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868"/>
        <w:gridCol w:w="3630"/>
      </w:tblGrid>
      <w:tr w:rsidR="00362FB3" w:rsidRPr="00362FB3" w:rsidTr="00362FB3">
        <w:tc>
          <w:tcPr>
            <w:tcW w:w="5868" w:type="dxa"/>
          </w:tcPr>
          <w:p w:rsidR="00362FB3" w:rsidRPr="00362FB3" w:rsidRDefault="00362FB3" w:rsidP="00362FB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pacing w:val="-2"/>
                <w:szCs w:val="28"/>
              </w:rPr>
            </w:pPr>
          </w:p>
        </w:tc>
        <w:tc>
          <w:tcPr>
            <w:tcW w:w="3630" w:type="dxa"/>
          </w:tcPr>
          <w:p w:rsidR="00362FB3" w:rsidRPr="00362FB3" w:rsidRDefault="00362FB3" w:rsidP="00362FB3">
            <w:pPr>
              <w:spacing w:line="240" w:lineRule="auto"/>
              <w:ind w:firstLine="0"/>
              <w:jc w:val="left"/>
              <w:rPr>
                <w:rFonts w:eastAsia="Times New Roman"/>
                <w:bCs/>
                <w:spacing w:val="-2"/>
                <w:sz w:val="24"/>
              </w:rPr>
            </w:pPr>
            <w:r w:rsidRPr="00362FB3">
              <w:rPr>
                <w:rFonts w:eastAsia="Times New Roman"/>
                <w:bCs/>
                <w:spacing w:val="-2"/>
                <w:sz w:val="24"/>
              </w:rPr>
              <w:t xml:space="preserve">Утвержден </w:t>
            </w:r>
          </w:p>
          <w:p w:rsidR="00362FB3" w:rsidRPr="00362FB3" w:rsidRDefault="00362FB3" w:rsidP="00362FB3">
            <w:pPr>
              <w:spacing w:line="240" w:lineRule="auto"/>
              <w:ind w:firstLine="0"/>
              <w:jc w:val="left"/>
              <w:rPr>
                <w:rFonts w:eastAsia="Times New Roman"/>
                <w:bCs/>
                <w:spacing w:val="-2"/>
                <w:sz w:val="24"/>
              </w:rPr>
            </w:pPr>
            <w:r w:rsidRPr="00362FB3">
              <w:rPr>
                <w:rFonts w:eastAsia="Times New Roman"/>
                <w:bCs/>
                <w:spacing w:val="-2"/>
                <w:sz w:val="24"/>
              </w:rPr>
              <w:t>постановлением коллегии контрольно-счетной палаты Волгоградской области</w:t>
            </w:r>
          </w:p>
          <w:p w:rsidR="00362FB3" w:rsidRPr="00362FB3" w:rsidRDefault="00362FB3" w:rsidP="00AC7234">
            <w:pPr>
              <w:spacing w:line="240" w:lineRule="auto"/>
              <w:ind w:firstLine="0"/>
              <w:jc w:val="left"/>
              <w:rPr>
                <w:rFonts w:eastAsia="Times New Roman"/>
                <w:bCs/>
                <w:spacing w:val="-2"/>
                <w:sz w:val="24"/>
              </w:rPr>
            </w:pPr>
            <w:r w:rsidRPr="00362FB3">
              <w:rPr>
                <w:rFonts w:eastAsia="Times New Roman"/>
                <w:bCs/>
                <w:spacing w:val="-2"/>
                <w:sz w:val="24"/>
              </w:rPr>
              <w:t xml:space="preserve">от </w:t>
            </w:r>
            <w:r w:rsidR="00AC7234">
              <w:rPr>
                <w:rFonts w:eastAsia="Times New Roman"/>
                <w:bCs/>
                <w:spacing w:val="-2"/>
                <w:sz w:val="24"/>
              </w:rPr>
              <w:t>15</w:t>
            </w:r>
            <w:r>
              <w:rPr>
                <w:rFonts w:eastAsia="Times New Roman"/>
                <w:bCs/>
                <w:spacing w:val="-2"/>
                <w:sz w:val="24"/>
              </w:rPr>
              <w:t xml:space="preserve"> октября</w:t>
            </w:r>
            <w:r w:rsidRPr="00362FB3">
              <w:rPr>
                <w:rFonts w:eastAsia="Times New Roman"/>
                <w:bCs/>
                <w:spacing w:val="-2"/>
                <w:sz w:val="24"/>
              </w:rPr>
              <w:t xml:space="preserve"> 2019 </w:t>
            </w:r>
            <w:r>
              <w:rPr>
                <w:rFonts w:eastAsia="Times New Roman"/>
                <w:bCs/>
                <w:spacing w:val="-2"/>
                <w:sz w:val="24"/>
              </w:rPr>
              <w:t xml:space="preserve">г. № </w:t>
            </w:r>
            <w:r w:rsidR="00AC7234">
              <w:rPr>
                <w:rFonts w:eastAsia="Times New Roman"/>
                <w:bCs/>
                <w:spacing w:val="-2"/>
                <w:sz w:val="24"/>
              </w:rPr>
              <w:t>18/1</w:t>
            </w:r>
          </w:p>
        </w:tc>
      </w:tr>
    </w:tbl>
    <w:p w:rsidR="008548ED" w:rsidRPr="008548ED" w:rsidRDefault="008548ED" w:rsidP="00362FB3">
      <w:pPr>
        <w:shd w:val="clear" w:color="auto" w:fill="FFFFFF"/>
        <w:spacing w:line="240" w:lineRule="auto"/>
        <w:ind w:firstLine="0"/>
        <w:jc w:val="center"/>
        <w:rPr>
          <w:rFonts w:eastAsia="Times New Roman"/>
          <w:b/>
          <w:bCs/>
          <w:spacing w:val="-2"/>
          <w:sz w:val="24"/>
          <w:lang w:eastAsia="ru-RU"/>
        </w:rPr>
      </w:pPr>
    </w:p>
    <w:p w:rsidR="00362FB3" w:rsidRPr="00362FB3" w:rsidRDefault="00362FB3" w:rsidP="00362FB3">
      <w:pPr>
        <w:shd w:val="clear" w:color="auto" w:fill="FFFFFF"/>
        <w:spacing w:line="240" w:lineRule="auto"/>
        <w:ind w:firstLine="0"/>
        <w:jc w:val="center"/>
        <w:rPr>
          <w:rFonts w:eastAsia="Times New Roman"/>
          <w:b/>
          <w:bCs/>
          <w:spacing w:val="-2"/>
          <w:sz w:val="24"/>
          <w:lang w:eastAsia="ru-RU"/>
        </w:rPr>
      </w:pPr>
      <w:r w:rsidRPr="00362FB3">
        <w:rPr>
          <w:rFonts w:eastAsia="Times New Roman"/>
          <w:b/>
          <w:bCs/>
          <w:spacing w:val="-2"/>
          <w:sz w:val="24"/>
          <w:lang w:eastAsia="ru-RU"/>
        </w:rPr>
        <w:t>ОТЧЕТ</w:t>
      </w:r>
    </w:p>
    <w:p w:rsidR="00362FB3" w:rsidRDefault="00362FB3" w:rsidP="00362FB3">
      <w:pPr>
        <w:shd w:val="clear" w:color="auto" w:fill="FFFFFF"/>
        <w:spacing w:line="240" w:lineRule="auto"/>
        <w:ind w:firstLine="0"/>
        <w:jc w:val="center"/>
        <w:rPr>
          <w:rFonts w:eastAsia="Times New Roman"/>
          <w:b/>
          <w:color w:val="000000"/>
          <w:sz w:val="24"/>
          <w:lang w:eastAsia="ru-RU"/>
        </w:rPr>
      </w:pPr>
      <w:r w:rsidRPr="00362FB3">
        <w:rPr>
          <w:rFonts w:eastAsia="Times New Roman"/>
          <w:b/>
          <w:bCs/>
          <w:spacing w:val="-2"/>
          <w:sz w:val="24"/>
          <w:lang w:eastAsia="ru-RU"/>
        </w:rPr>
        <w:t xml:space="preserve">о результатах </w:t>
      </w:r>
      <w:r w:rsidRPr="00362FB3">
        <w:rPr>
          <w:rFonts w:eastAsia="Times New Roman"/>
          <w:b/>
          <w:color w:val="000000"/>
          <w:sz w:val="24"/>
          <w:lang w:eastAsia="ru-RU"/>
        </w:rPr>
        <w:t xml:space="preserve">проверки законности, эффективности (экономности и результативности) использования средств областного бюджета, направленных на организацию транспортного обслуживания населения автомобильным транспортом в межмуниципальном и пригородном сообщении, в том числе анализа вопросов государственного регулирования цен (тарифов) в Волгоградской области </w:t>
      </w:r>
    </w:p>
    <w:p w:rsidR="00362FB3" w:rsidRPr="00362FB3" w:rsidRDefault="00362FB3" w:rsidP="00362FB3">
      <w:pPr>
        <w:shd w:val="clear" w:color="auto" w:fill="FFFFFF"/>
        <w:spacing w:line="240" w:lineRule="auto"/>
        <w:ind w:firstLine="0"/>
        <w:jc w:val="center"/>
        <w:rPr>
          <w:rFonts w:eastAsia="Times New Roman"/>
          <w:sz w:val="24"/>
          <w:lang w:eastAsia="ru-RU"/>
        </w:rPr>
      </w:pPr>
      <w:r w:rsidRPr="00362FB3">
        <w:rPr>
          <w:rFonts w:eastAsia="Times New Roman"/>
          <w:b/>
          <w:color w:val="000000"/>
          <w:sz w:val="24"/>
          <w:lang w:eastAsia="ru-RU"/>
        </w:rPr>
        <w:t>в 2018 году и истёкшем периоде 2019</w:t>
      </w:r>
      <w:r w:rsidRPr="00F3660A">
        <w:rPr>
          <w:rFonts w:eastAsia="Times New Roman"/>
          <w:b/>
          <w:color w:val="000000"/>
          <w:sz w:val="24"/>
          <w:lang w:eastAsia="ru-RU"/>
        </w:rPr>
        <w:t xml:space="preserve"> </w:t>
      </w:r>
      <w:r>
        <w:rPr>
          <w:rFonts w:eastAsia="Times New Roman"/>
          <w:b/>
          <w:color w:val="000000"/>
          <w:sz w:val="24"/>
          <w:lang w:eastAsia="ru-RU"/>
        </w:rPr>
        <w:t>г</w:t>
      </w:r>
      <w:r w:rsidRPr="00F3660A">
        <w:rPr>
          <w:rFonts w:eastAsia="Times New Roman"/>
          <w:b/>
          <w:color w:val="000000"/>
          <w:sz w:val="24"/>
          <w:lang w:eastAsia="ru-RU"/>
        </w:rPr>
        <w:t>ода</w:t>
      </w:r>
    </w:p>
    <w:p w:rsidR="00362FB3" w:rsidRPr="00362FB3" w:rsidRDefault="00362FB3" w:rsidP="00362FB3">
      <w:pPr>
        <w:shd w:val="clear" w:color="auto" w:fill="FFFFFF"/>
        <w:spacing w:before="2" w:line="240" w:lineRule="auto"/>
        <w:ind w:firstLine="0"/>
        <w:jc w:val="left"/>
        <w:rPr>
          <w:rFonts w:eastAsia="Times New Roman"/>
          <w:i/>
          <w:spacing w:val="-1"/>
          <w:sz w:val="24"/>
          <w:lang w:eastAsia="ru-RU"/>
        </w:rPr>
      </w:pPr>
    </w:p>
    <w:p w:rsidR="00362FB3" w:rsidRPr="007A5015" w:rsidRDefault="00362FB3" w:rsidP="007A5015">
      <w:pPr>
        <w:shd w:val="clear" w:color="auto" w:fill="FFFFFF"/>
        <w:spacing w:line="240" w:lineRule="auto"/>
        <w:ind w:firstLine="720"/>
        <w:rPr>
          <w:rFonts w:eastAsia="Times New Roman"/>
          <w:b/>
          <w:bCs/>
          <w:spacing w:val="-9"/>
          <w:sz w:val="24"/>
          <w:lang w:eastAsia="ru-RU"/>
        </w:rPr>
      </w:pPr>
      <w:r w:rsidRPr="007A5015">
        <w:rPr>
          <w:rFonts w:eastAsia="Times New Roman"/>
          <w:b/>
          <w:bCs/>
          <w:sz w:val="24"/>
          <w:lang w:eastAsia="ru-RU"/>
        </w:rPr>
        <w:t xml:space="preserve">Основание для проведения контрольного </w:t>
      </w:r>
      <w:r w:rsidRPr="007A5015">
        <w:rPr>
          <w:rFonts w:eastAsia="Times New Roman"/>
          <w:b/>
          <w:bCs/>
          <w:spacing w:val="-9"/>
          <w:sz w:val="24"/>
          <w:lang w:eastAsia="ru-RU"/>
        </w:rPr>
        <w:t xml:space="preserve">мероприятия: </w:t>
      </w:r>
      <w:r w:rsidR="001A3BE9" w:rsidRPr="007A5015">
        <w:rPr>
          <w:rFonts w:eastAsia="Times New Roman"/>
          <w:bCs/>
          <w:spacing w:val="-9"/>
          <w:sz w:val="24"/>
          <w:lang w:eastAsia="ru-RU"/>
        </w:rPr>
        <w:t xml:space="preserve">пункт 2.9 </w:t>
      </w:r>
      <w:r w:rsidR="001A3BE9" w:rsidRPr="007A5015">
        <w:rPr>
          <w:rFonts w:eastAsia="Times New Roman"/>
          <w:sz w:val="24"/>
          <w:lang w:eastAsia="ru-RU"/>
        </w:rPr>
        <w:t xml:space="preserve">плана работы контрольно-счетной палаты Волгоградской области (далее </w:t>
      </w:r>
      <w:r w:rsidR="007A5015">
        <w:rPr>
          <w:rFonts w:eastAsia="Times New Roman"/>
          <w:sz w:val="24"/>
          <w:lang w:eastAsia="ru-RU"/>
        </w:rPr>
        <w:t>-</w:t>
      </w:r>
      <w:r w:rsidR="001A3BE9" w:rsidRPr="007A5015">
        <w:rPr>
          <w:rFonts w:eastAsia="Times New Roman"/>
          <w:sz w:val="24"/>
          <w:lang w:eastAsia="ru-RU"/>
        </w:rPr>
        <w:t xml:space="preserve"> КСП) на 2019 год, утвержденного постановлением коллегии КСП от </w:t>
      </w:r>
      <w:r w:rsidR="001A3BE9" w:rsidRPr="007A5015">
        <w:rPr>
          <w:rFonts w:eastAsiaTheme="minorEastAsia"/>
          <w:sz w:val="24"/>
          <w:lang w:eastAsia="ru-RU"/>
        </w:rPr>
        <w:t>17.12.2018 № 23/2.</w:t>
      </w:r>
    </w:p>
    <w:p w:rsidR="00362FB3" w:rsidRPr="007A5015" w:rsidRDefault="00362FB3" w:rsidP="007A5015">
      <w:pPr>
        <w:shd w:val="clear" w:color="auto" w:fill="FFFFFF"/>
        <w:tabs>
          <w:tab w:val="left" w:leader="underscore" w:pos="7855"/>
        </w:tabs>
        <w:spacing w:line="240" w:lineRule="auto"/>
        <w:ind w:firstLine="720"/>
        <w:rPr>
          <w:rFonts w:eastAsia="Times New Roman"/>
          <w:b/>
          <w:bCs/>
          <w:spacing w:val="-12"/>
          <w:sz w:val="24"/>
          <w:lang w:eastAsia="ru-RU"/>
        </w:rPr>
      </w:pPr>
      <w:r w:rsidRPr="007A5015">
        <w:rPr>
          <w:rFonts w:eastAsia="Times New Roman"/>
          <w:b/>
          <w:bCs/>
          <w:spacing w:val="-1"/>
          <w:sz w:val="24"/>
          <w:lang w:eastAsia="ru-RU"/>
        </w:rPr>
        <w:t xml:space="preserve">Срок проведения контрольного мероприятия: </w:t>
      </w:r>
      <w:r w:rsidR="001A3BE9" w:rsidRPr="007A5015">
        <w:rPr>
          <w:rFonts w:eastAsia="Times New Roman"/>
          <w:sz w:val="24"/>
          <w:lang w:eastAsia="ru-RU"/>
        </w:rPr>
        <w:t xml:space="preserve">с </w:t>
      </w:r>
      <w:r w:rsidR="001A3BE9" w:rsidRPr="007A5015">
        <w:rPr>
          <w:sz w:val="24"/>
        </w:rPr>
        <w:t>18.06.2019 по 06.09.2019.</w:t>
      </w:r>
    </w:p>
    <w:p w:rsidR="001A3BE9" w:rsidRPr="007A5015" w:rsidRDefault="007A5015" w:rsidP="007A5015">
      <w:pPr>
        <w:pStyle w:val="22"/>
        <w:spacing w:after="0" w:line="240" w:lineRule="auto"/>
        <w:ind w:firstLine="7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Цели</w:t>
      </w:r>
      <w:r w:rsidR="00362FB3" w:rsidRPr="007A5015">
        <w:rPr>
          <w:b/>
          <w:bCs/>
          <w:spacing w:val="-2"/>
        </w:rPr>
        <w:t xml:space="preserve"> контрольного мероприятия: </w:t>
      </w:r>
    </w:p>
    <w:p w:rsidR="001A3BE9" w:rsidRPr="007A5015" w:rsidRDefault="001A3BE9" w:rsidP="007A5015">
      <w:pPr>
        <w:pStyle w:val="22"/>
        <w:spacing w:after="0" w:line="240" w:lineRule="auto"/>
        <w:ind w:firstLine="720"/>
        <w:jc w:val="both"/>
      </w:pPr>
      <w:r w:rsidRPr="007A5015">
        <w:t>1.</w:t>
      </w:r>
      <w:r w:rsidRPr="007A5015">
        <w:tab/>
        <w:t xml:space="preserve">Определить законность и эффективность использования бюджетных средств, направленных на обеспечение регулярных перевозок пассажиров и багажа автомобильным транспортом по межмуниципальным маршрутам регулярных перевозок по регулируемым тарифам в Волгоградской области (далее </w:t>
      </w:r>
      <w:r w:rsidR="007A5015">
        <w:t>-</w:t>
      </w:r>
      <w:r w:rsidRPr="007A5015">
        <w:t xml:space="preserve"> перевозки по РТ).</w:t>
      </w:r>
    </w:p>
    <w:p w:rsidR="001A3BE9" w:rsidRPr="001A3BE9" w:rsidRDefault="001A3BE9" w:rsidP="007A5015">
      <w:pPr>
        <w:autoSpaceDE w:val="0"/>
        <w:autoSpaceDN w:val="0"/>
        <w:adjustRightInd w:val="0"/>
        <w:spacing w:line="240" w:lineRule="auto"/>
        <w:ind w:firstLine="720"/>
        <w:rPr>
          <w:rFonts w:eastAsia="Times New Roman"/>
          <w:sz w:val="24"/>
          <w:lang w:eastAsia="ru-RU"/>
        </w:rPr>
      </w:pPr>
      <w:r w:rsidRPr="001A3BE9">
        <w:rPr>
          <w:rFonts w:eastAsia="Times New Roman"/>
          <w:sz w:val="24"/>
          <w:lang w:eastAsia="ru-RU"/>
        </w:rPr>
        <w:t>2.</w:t>
      </w:r>
      <w:r w:rsidRPr="001A3BE9">
        <w:rPr>
          <w:rFonts w:eastAsia="Times New Roman"/>
          <w:sz w:val="24"/>
          <w:lang w:eastAsia="ru-RU"/>
        </w:rPr>
        <w:tab/>
        <w:t xml:space="preserve">Оценить достоверность расчета экономически обоснованных тарифов на </w:t>
      </w:r>
      <w:r w:rsidRPr="007A5015">
        <w:rPr>
          <w:rFonts w:eastAsia="Times New Roman"/>
          <w:sz w:val="24"/>
          <w:lang w:eastAsia="ru-RU"/>
        </w:rPr>
        <w:t>перевозки по РТ</w:t>
      </w:r>
      <w:r w:rsidRPr="001A3BE9">
        <w:rPr>
          <w:rFonts w:eastAsia="Times New Roman"/>
          <w:sz w:val="24"/>
          <w:lang w:eastAsia="ru-RU"/>
        </w:rPr>
        <w:t>, их актуальность, влияние на экономическое состояние перевозчиков.</w:t>
      </w:r>
    </w:p>
    <w:p w:rsidR="001A3BE9" w:rsidRPr="001A3BE9" w:rsidRDefault="001A3BE9" w:rsidP="007A5015">
      <w:pPr>
        <w:autoSpaceDE w:val="0"/>
        <w:autoSpaceDN w:val="0"/>
        <w:adjustRightInd w:val="0"/>
        <w:spacing w:line="240" w:lineRule="auto"/>
        <w:ind w:firstLine="720"/>
        <w:rPr>
          <w:rFonts w:eastAsia="Times New Roman"/>
          <w:sz w:val="24"/>
          <w:lang w:eastAsia="ru-RU"/>
        </w:rPr>
      </w:pPr>
      <w:r w:rsidRPr="001A3BE9">
        <w:rPr>
          <w:rFonts w:eastAsia="Times New Roman"/>
          <w:sz w:val="24"/>
          <w:lang w:eastAsia="ru-RU"/>
        </w:rPr>
        <w:t>3.</w:t>
      </w:r>
      <w:r w:rsidRPr="001A3BE9">
        <w:rPr>
          <w:rFonts w:eastAsia="Times New Roman"/>
          <w:sz w:val="24"/>
          <w:lang w:eastAsia="ru-RU"/>
        </w:rPr>
        <w:tab/>
        <w:t>Оценить доступность транспортных услуг для населения, в том числе в части сети маршрутов и тарифов для населения в сопоставлении с другими регионами.</w:t>
      </w:r>
    </w:p>
    <w:p w:rsidR="00362FB3" w:rsidRPr="007A5015" w:rsidRDefault="00362FB3" w:rsidP="007A5015">
      <w:pPr>
        <w:shd w:val="clear" w:color="auto" w:fill="FFFFFF"/>
        <w:tabs>
          <w:tab w:val="left" w:leader="underscore" w:pos="9559"/>
        </w:tabs>
        <w:spacing w:line="240" w:lineRule="auto"/>
        <w:ind w:firstLine="720"/>
        <w:rPr>
          <w:rFonts w:eastAsia="Times New Roman"/>
          <w:sz w:val="24"/>
          <w:lang w:eastAsia="ru-RU"/>
        </w:rPr>
      </w:pPr>
      <w:r w:rsidRPr="007A5015">
        <w:rPr>
          <w:rFonts w:eastAsia="Times New Roman"/>
          <w:b/>
          <w:bCs/>
          <w:spacing w:val="-3"/>
          <w:sz w:val="24"/>
          <w:lang w:eastAsia="ru-RU"/>
        </w:rPr>
        <w:t>Проверяемый период деятельности:</w:t>
      </w:r>
      <w:r w:rsidR="001A3BE9" w:rsidRPr="007A5015">
        <w:rPr>
          <w:rFonts w:eastAsia="Times New Roman"/>
          <w:b/>
          <w:bCs/>
          <w:spacing w:val="-3"/>
          <w:sz w:val="24"/>
          <w:lang w:eastAsia="ru-RU"/>
        </w:rPr>
        <w:t xml:space="preserve"> </w:t>
      </w:r>
      <w:r w:rsidR="001A3BE9" w:rsidRPr="007A5015">
        <w:rPr>
          <w:rFonts w:eastAsia="Times New Roman"/>
          <w:color w:val="000000"/>
          <w:sz w:val="24"/>
          <w:lang w:eastAsia="ru-RU"/>
        </w:rPr>
        <w:t>2018 год и первое полугодие 2019 года.</w:t>
      </w:r>
    </w:p>
    <w:p w:rsidR="001A3BE9" w:rsidRPr="007A5015" w:rsidRDefault="00362FB3" w:rsidP="007A5015">
      <w:pPr>
        <w:shd w:val="clear" w:color="auto" w:fill="FFFFFF"/>
        <w:spacing w:line="240" w:lineRule="auto"/>
        <w:ind w:firstLine="720"/>
        <w:rPr>
          <w:rFonts w:eastAsia="Times New Roman"/>
          <w:b/>
          <w:bCs/>
          <w:spacing w:val="-15"/>
          <w:sz w:val="24"/>
          <w:lang w:eastAsia="ru-RU"/>
        </w:rPr>
      </w:pPr>
      <w:r w:rsidRPr="007A5015">
        <w:rPr>
          <w:rFonts w:eastAsia="Times New Roman"/>
          <w:b/>
          <w:bCs/>
          <w:spacing w:val="-15"/>
          <w:sz w:val="24"/>
          <w:lang w:eastAsia="ru-RU"/>
        </w:rPr>
        <w:t>Объект</w:t>
      </w:r>
      <w:r w:rsidR="007A5015">
        <w:rPr>
          <w:rFonts w:eastAsia="Times New Roman"/>
          <w:b/>
          <w:bCs/>
          <w:spacing w:val="-15"/>
          <w:sz w:val="24"/>
          <w:lang w:eastAsia="ru-RU"/>
        </w:rPr>
        <w:t>ы</w:t>
      </w:r>
      <w:r w:rsidRPr="007A5015">
        <w:rPr>
          <w:rFonts w:eastAsia="Times New Roman"/>
          <w:b/>
          <w:bCs/>
          <w:spacing w:val="-15"/>
          <w:sz w:val="24"/>
          <w:lang w:eastAsia="ru-RU"/>
        </w:rPr>
        <w:t xml:space="preserve"> контрольного мероприятия: </w:t>
      </w:r>
    </w:p>
    <w:p w:rsidR="001A3BE9" w:rsidRPr="001A3BE9" w:rsidRDefault="001A3BE9" w:rsidP="007A5015">
      <w:pPr>
        <w:spacing w:line="240" w:lineRule="auto"/>
        <w:rPr>
          <w:rFonts w:eastAsia="Times New Roman"/>
          <w:sz w:val="24"/>
          <w:lang w:eastAsia="ru-RU"/>
        </w:rPr>
      </w:pPr>
      <w:proofErr w:type="gramStart"/>
      <w:r w:rsidRPr="001A3BE9">
        <w:rPr>
          <w:rFonts w:eastAsia="Times New Roman"/>
          <w:sz w:val="24"/>
          <w:lang w:eastAsia="ru-RU"/>
        </w:rPr>
        <w:t>-комитет транспорта и дорожного хозяйства Волгоградской области (далее</w:t>
      </w:r>
      <w:proofErr w:type="gramEnd"/>
      <w:r w:rsidRPr="001A3BE9">
        <w:rPr>
          <w:rFonts w:eastAsia="Times New Roman"/>
          <w:sz w:val="24"/>
          <w:lang w:eastAsia="ru-RU"/>
        </w:rPr>
        <w:t xml:space="preserve"> - </w:t>
      </w:r>
      <w:proofErr w:type="spellStart"/>
      <w:proofErr w:type="gramStart"/>
      <w:r w:rsidRPr="001A3BE9">
        <w:rPr>
          <w:rFonts w:eastAsia="Times New Roman"/>
          <w:sz w:val="24"/>
          <w:lang w:eastAsia="ru-RU"/>
        </w:rPr>
        <w:t>Облкомдортранс</w:t>
      </w:r>
      <w:proofErr w:type="spellEnd"/>
      <w:r w:rsidRPr="001A3BE9">
        <w:rPr>
          <w:rFonts w:eastAsia="Times New Roman"/>
          <w:sz w:val="24"/>
          <w:lang w:eastAsia="ru-RU"/>
        </w:rPr>
        <w:t>);</w:t>
      </w:r>
      <w:proofErr w:type="gramEnd"/>
    </w:p>
    <w:p w:rsidR="001A3BE9" w:rsidRPr="001A3BE9" w:rsidRDefault="001A3BE9" w:rsidP="007A5015">
      <w:pPr>
        <w:spacing w:line="240" w:lineRule="auto"/>
        <w:rPr>
          <w:rFonts w:eastAsia="Times New Roman"/>
          <w:sz w:val="24"/>
          <w:lang w:eastAsia="ru-RU"/>
        </w:rPr>
      </w:pPr>
      <w:r w:rsidRPr="001A3BE9">
        <w:rPr>
          <w:rFonts w:eastAsia="Times New Roman"/>
          <w:sz w:val="24"/>
          <w:lang w:eastAsia="ru-RU"/>
        </w:rPr>
        <w:t xml:space="preserve">-комитет тарифного регулирования Волгоградской области (далее </w:t>
      </w:r>
      <w:r w:rsidR="007A5015">
        <w:rPr>
          <w:rFonts w:eastAsia="Times New Roman"/>
          <w:sz w:val="24"/>
          <w:lang w:eastAsia="ru-RU"/>
        </w:rPr>
        <w:t>-</w:t>
      </w:r>
      <w:r w:rsidRPr="001A3BE9">
        <w:rPr>
          <w:rFonts w:eastAsia="Times New Roman"/>
          <w:sz w:val="24"/>
          <w:lang w:eastAsia="ru-RU"/>
        </w:rPr>
        <w:t xml:space="preserve"> КТР</w:t>
      </w:r>
      <w:r w:rsidRPr="007A5015">
        <w:rPr>
          <w:rFonts w:eastAsia="Times New Roman"/>
          <w:sz w:val="24"/>
          <w:lang w:eastAsia="ru-RU"/>
        </w:rPr>
        <w:t xml:space="preserve"> Волгоградской области</w:t>
      </w:r>
      <w:r w:rsidRPr="001A3BE9">
        <w:rPr>
          <w:rFonts w:eastAsia="Times New Roman"/>
          <w:sz w:val="24"/>
          <w:lang w:eastAsia="ru-RU"/>
        </w:rPr>
        <w:t>);</w:t>
      </w:r>
    </w:p>
    <w:p w:rsidR="001A3BE9" w:rsidRPr="002808F1" w:rsidRDefault="001A3BE9" w:rsidP="007A5015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lang w:eastAsia="ru-RU"/>
        </w:rPr>
      </w:pPr>
      <w:r w:rsidRPr="001A3BE9">
        <w:rPr>
          <w:rFonts w:eastAsia="Times New Roman"/>
          <w:sz w:val="24"/>
          <w:lang w:eastAsia="ru-RU"/>
        </w:rPr>
        <w:t xml:space="preserve">-государственное унитарное предприятие </w:t>
      </w:r>
      <w:r w:rsidRPr="007A5015">
        <w:rPr>
          <w:rFonts w:eastAsia="Times New Roman"/>
          <w:sz w:val="24"/>
          <w:lang w:eastAsia="ru-RU"/>
        </w:rPr>
        <w:t xml:space="preserve">Волгоградской области </w:t>
      </w:r>
      <w:r w:rsidRPr="001A3BE9">
        <w:rPr>
          <w:rFonts w:eastAsia="Times New Roman"/>
          <w:sz w:val="24"/>
          <w:lang w:eastAsia="ru-RU"/>
        </w:rPr>
        <w:t>«</w:t>
      </w:r>
      <w:proofErr w:type="spellStart"/>
      <w:r w:rsidRPr="002808F1">
        <w:rPr>
          <w:rFonts w:eastAsia="Times New Roman"/>
          <w:sz w:val="24"/>
          <w:lang w:eastAsia="ru-RU"/>
        </w:rPr>
        <w:t>Волгоградавтотранс</w:t>
      </w:r>
      <w:proofErr w:type="spellEnd"/>
      <w:r w:rsidRPr="002808F1">
        <w:rPr>
          <w:rFonts w:eastAsia="Times New Roman"/>
          <w:sz w:val="24"/>
          <w:lang w:eastAsia="ru-RU"/>
        </w:rPr>
        <w:t xml:space="preserve">» (далее </w:t>
      </w:r>
      <w:r w:rsidR="007A5015" w:rsidRPr="002808F1">
        <w:rPr>
          <w:rFonts w:eastAsia="Times New Roman"/>
          <w:sz w:val="24"/>
          <w:lang w:eastAsia="ru-RU"/>
        </w:rPr>
        <w:t>-</w:t>
      </w:r>
      <w:r w:rsidRPr="002808F1">
        <w:rPr>
          <w:rFonts w:eastAsia="Times New Roman"/>
          <w:sz w:val="24"/>
          <w:lang w:eastAsia="ru-RU"/>
        </w:rPr>
        <w:t xml:space="preserve"> ГУП «</w:t>
      </w:r>
      <w:proofErr w:type="spellStart"/>
      <w:r w:rsidRPr="002808F1">
        <w:rPr>
          <w:rFonts w:eastAsia="Times New Roman"/>
          <w:sz w:val="24"/>
          <w:lang w:eastAsia="ru-RU"/>
        </w:rPr>
        <w:t>Волгоградавтотранс</w:t>
      </w:r>
      <w:proofErr w:type="spellEnd"/>
      <w:r w:rsidRPr="002808F1">
        <w:rPr>
          <w:rFonts w:eastAsia="Times New Roman"/>
          <w:sz w:val="24"/>
          <w:lang w:eastAsia="ru-RU"/>
        </w:rPr>
        <w:t>», ГУП);</w:t>
      </w:r>
    </w:p>
    <w:p w:rsidR="001A3BE9" w:rsidRPr="002808F1" w:rsidRDefault="001A3BE9" w:rsidP="007A5015">
      <w:pPr>
        <w:autoSpaceDE w:val="0"/>
        <w:autoSpaceDN w:val="0"/>
        <w:adjustRightInd w:val="0"/>
        <w:spacing w:line="240" w:lineRule="auto"/>
        <w:rPr>
          <w:rFonts w:eastAsia="Times New Roman"/>
          <w:spacing w:val="-4"/>
          <w:sz w:val="24"/>
          <w:lang w:eastAsia="ru-RU"/>
        </w:rPr>
      </w:pPr>
      <w:r w:rsidRPr="002808F1">
        <w:rPr>
          <w:rFonts w:eastAsia="Times New Roman"/>
          <w:sz w:val="24"/>
          <w:lang w:eastAsia="ru-RU"/>
        </w:rPr>
        <w:t>-</w:t>
      </w:r>
      <w:r w:rsidRPr="002808F1">
        <w:rPr>
          <w:rFonts w:eastAsia="Times New Roman"/>
          <w:spacing w:val="-4"/>
          <w:sz w:val="24"/>
          <w:lang w:eastAsia="ru-RU"/>
        </w:rPr>
        <w:t xml:space="preserve">муниципальное унитарное предприятие «Волжская автомобильная колонна № 1732» (далее </w:t>
      </w:r>
      <w:r w:rsidR="007A5015" w:rsidRPr="002808F1">
        <w:rPr>
          <w:rFonts w:eastAsia="Times New Roman"/>
          <w:spacing w:val="-4"/>
          <w:sz w:val="24"/>
          <w:lang w:eastAsia="ru-RU"/>
        </w:rPr>
        <w:t xml:space="preserve">- </w:t>
      </w:r>
      <w:r w:rsidRPr="002808F1">
        <w:rPr>
          <w:rFonts w:eastAsia="Times New Roman"/>
          <w:spacing w:val="-4"/>
          <w:sz w:val="24"/>
          <w:lang w:eastAsia="ru-RU"/>
        </w:rPr>
        <w:t>МУП «ВАК № 1732», МУП);</w:t>
      </w:r>
      <w:r w:rsidRPr="002808F1">
        <w:rPr>
          <w:rFonts w:eastAsia="Times New Roman"/>
          <w:i/>
          <w:sz w:val="24"/>
          <w:lang w:eastAsia="ru-RU"/>
        </w:rPr>
        <w:t xml:space="preserve"> </w:t>
      </w:r>
    </w:p>
    <w:p w:rsidR="001A3BE9" w:rsidRPr="002808F1" w:rsidRDefault="001A3BE9" w:rsidP="007A5015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lang w:eastAsia="ru-RU"/>
        </w:rPr>
      </w:pPr>
      <w:r w:rsidRPr="002808F1">
        <w:rPr>
          <w:rFonts w:eastAsia="Times New Roman"/>
          <w:bCs/>
          <w:sz w:val="24"/>
          <w:lang w:eastAsia="ru-RU"/>
        </w:rPr>
        <w:t>-ООО</w:t>
      </w:r>
      <w:r w:rsidRPr="002808F1">
        <w:rPr>
          <w:rFonts w:eastAsia="Times New Roman"/>
          <w:sz w:val="24"/>
          <w:lang w:eastAsia="ru-RU"/>
        </w:rPr>
        <w:t xml:space="preserve"> «</w:t>
      </w:r>
      <w:r w:rsidRPr="002808F1">
        <w:rPr>
          <w:rFonts w:eastAsia="Times New Roman"/>
          <w:bCs/>
          <w:sz w:val="24"/>
          <w:lang w:eastAsia="ru-RU"/>
        </w:rPr>
        <w:t>Волгоградский</w:t>
      </w:r>
      <w:r w:rsidRPr="002808F1">
        <w:rPr>
          <w:rFonts w:eastAsia="Times New Roman"/>
          <w:sz w:val="24"/>
          <w:lang w:eastAsia="ru-RU"/>
        </w:rPr>
        <w:t xml:space="preserve"> автобусный парк» (далее </w:t>
      </w:r>
      <w:r w:rsidR="007A5015" w:rsidRPr="002808F1">
        <w:rPr>
          <w:rFonts w:eastAsia="Times New Roman"/>
          <w:sz w:val="24"/>
          <w:lang w:eastAsia="ru-RU"/>
        </w:rPr>
        <w:t>-</w:t>
      </w:r>
      <w:r w:rsidRPr="002808F1">
        <w:rPr>
          <w:rFonts w:eastAsia="Times New Roman"/>
          <w:sz w:val="24"/>
          <w:lang w:eastAsia="ru-RU"/>
        </w:rPr>
        <w:t xml:space="preserve"> ООО «ВАП).</w:t>
      </w:r>
    </w:p>
    <w:p w:rsidR="007F3A14" w:rsidRPr="007A5015" w:rsidRDefault="007F3A14" w:rsidP="007A5015">
      <w:pPr>
        <w:autoSpaceDE w:val="0"/>
        <w:autoSpaceDN w:val="0"/>
        <w:adjustRightInd w:val="0"/>
        <w:spacing w:line="240" w:lineRule="auto"/>
        <w:ind w:firstLine="720"/>
        <w:rPr>
          <w:rFonts w:eastAsia="Times New Roman"/>
          <w:sz w:val="24"/>
        </w:rPr>
      </w:pPr>
      <w:r w:rsidRPr="002808F1">
        <w:rPr>
          <w:sz w:val="24"/>
        </w:rPr>
        <w:t>Запро</w:t>
      </w:r>
      <w:r w:rsidR="00402C0D">
        <w:rPr>
          <w:sz w:val="24"/>
        </w:rPr>
        <w:t>шена</w:t>
      </w:r>
      <w:r w:rsidRPr="002808F1">
        <w:rPr>
          <w:sz w:val="24"/>
        </w:rPr>
        <w:t xml:space="preserve"> информаци</w:t>
      </w:r>
      <w:r w:rsidR="00402C0D">
        <w:rPr>
          <w:sz w:val="24"/>
        </w:rPr>
        <w:t>я</w:t>
      </w:r>
      <w:r w:rsidR="00FC31A4">
        <w:rPr>
          <w:sz w:val="24"/>
        </w:rPr>
        <w:t xml:space="preserve"> у </w:t>
      </w:r>
      <w:r w:rsidRPr="002808F1">
        <w:rPr>
          <w:sz w:val="24"/>
        </w:rPr>
        <w:t>комитет</w:t>
      </w:r>
      <w:r w:rsidR="00402C0D">
        <w:rPr>
          <w:sz w:val="24"/>
        </w:rPr>
        <w:t>а</w:t>
      </w:r>
      <w:r w:rsidRPr="002808F1">
        <w:rPr>
          <w:sz w:val="24"/>
        </w:rPr>
        <w:t xml:space="preserve"> по управлению государственным имуществом Волгоградской области о неиспользуемом </w:t>
      </w:r>
      <w:r w:rsidRPr="007A5015">
        <w:rPr>
          <w:sz w:val="24"/>
        </w:rPr>
        <w:t xml:space="preserve">недвижимом имуществе, находящемся в хозяйственном ведении </w:t>
      </w:r>
      <w:r w:rsidRPr="007A5015">
        <w:rPr>
          <w:rFonts w:eastAsia="Times New Roman"/>
          <w:sz w:val="24"/>
        </w:rPr>
        <w:t>ГУП «</w:t>
      </w:r>
      <w:proofErr w:type="spellStart"/>
      <w:r w:rsidRPr="007A5015">
        <w:rPr>
          <w:rFonts w:eastAsia="Times New Roman"/>
          <w:sz w:val="24"/>
        </w:rPr>
        <w:t>Волгоградавтотранс</w:t>
      </w:r>
      <w:proofErr w:type="spellEnd"/>
      <w:r w:rsidRPr="007A5015">
        <w:rPr>
          <w:rFonts w:eastAsia="Times New Roman"/>
          <w:sz w:val="24"/>
        </w:rPr>
        <w:t>» (исх. от 09.08.2019 № 01КСП-02-04/</w:t>
      </w:r>
      <w:r w:rsidR="00FC31A4">
        <w:rPr>
          <w:rFonts w:eastAsia="Times New Roman"/>
          <w:sz w:val="24"/>
        </w:rPr>
        <w:t xml:space="preserve">1122, </w:t>
      </w:r>
      <w:proofErr w:type="spellStart"/>
      <w:r w:rsidR="00FC31A4">
        <w:rPr>
          <w:rFonts w:eastAsia="Times New Roman"/>
          <w:sz w:val="24"/>
        </w:rPr>
        <w:t>вх</w:t>
      </w:r>
      <w:proofErr w:type="spellEnd"/>
      <w:r w:rsidR="00FC31A4">
        <w:rPr>
          <w:rFonts w:eastAsia="Times New Roman"/>
          <w:sz w:val="24"/>
        </w:rPr>
        <w:t>. от 21.08.2019 № 1265).</w:t>
      </w:r>
    </w:p>
    <w:p w:rsidR="007F3A14" w:rsidRPr="007A5015" w:rsidRDefault="00362FB3" w:rsidP="007A5015">
      <w:pPr>
        <w:shd w:val="clear" w:color="auto" w:fill="FFFFFF"/>
        <w:spacing w:line="240" w:lineRule="auto"/>
        <w:ind w:firstLine="720"/>
        <w:rPr>
          <w:rFonts w:eastAsia="Times New Roman"/>
          <w:bCs/>
          <w:sz w:val="24"/>
          <w:lang w:eastAsia="ru-RU"/>
        </w:rPr>
      </w:pPr>
      <w:r w:rsidRPr="007A5015">
        <w:rPr>
          <w:rFonts w:eastAsia="Times New Roman"/>
          <w:b/>
          <w:sz w:val="24"/>
          <w:lang w:eastAsia="ru-RU"/>
        </w:rPr>
        <w:t>Перечень оформленных актов контрольных мероприятий:</w:t>
      </w:r>
      <w:r w:rsidR="007F3A14" w:rsidRPr="007A5015">
        <w:rPr>
          <w:rFonts w:eastAsia="Times New Roman"/>
          <w:bCs/>
          <w:sz w:val="24"/>
          <w:lang w:eastAsia="ru-RU"/>
        </w:rPr>
        <w:t xml:space="preserve"> пять актов проверки объектов контроля, </w:t>
      </w:r>
      <w:r w:rsidR="007F3A14" w:rsidRPr="007B53BA">
        <w:rPr>
          <w:rFonts w:eastAsia="Times New Roman"/>
          <w:bCs/>
          <w:sz w:val="24"/>
          <w:lang w:eastAsia="ru-RU"/>
        </w:rPr>
        <w:t>два из которых подписаны с пояснениями</w:t>
      </w:r>
      <w:r w:rsidR="003620AD" w:rsidRPr="007B53BA">
        <w:rPr>
          <w:rFonts w:eastAsia="Times New Roman"/>
          <w:bCs/>
          <w:sz w:val="24"/>
          <w:lang w:eastAsia="ru-RU"/>
        </w:rPr>
        <w:t xml:space="preserve"> и замечаниями</w:t>
      </w:r>
      <w:r w:rsidR="007F3A14" w:rsidRPr="007B53BA">
        <w:rPr>
          <w:rFonts w:eastAsia="Times New Roman"/>
          <w:bCs/>
          <w:sz w:val="24"/>
          <w:lang w:eastAsia="ru-RU"/>
        </w:rPr>
        <w:t>, на которые подготовлены заключения КСП:</w:t>
      </w:r>
    </w:p>
    <w:p w:rsidR="007F3A14" w:rsidRPr="007A5015" w:rsidRDefault="007F3A14" w:rsidP="007A5015">
      <w:pPr>
        <w:shd w:val="clear" w:color="auto" w:fill="FFFFFF"/>
        <w:spacing w:line="240" w:lineRule="auto"/>
        <w:ind w:firstLine="720"/>
        <w:rPr>
          <w:rFonts w:eastAsia="Times New Roman"/>
          <w:bCs/>
          <w:sz w:val="24"/>
          <w:lang w:eastAsia="ru-RU"/>
        </w:rPr>
      </w:pPr>
      <w:r w:rsidRPr="003774AB">
        <w:rPr>
          <w:rFonts w:eastAsia="Times New Roman"/>
          <w:sz w:val="24"/>
          <w:lang w:eastAsia="ru-RU"/>
        </w:rPr>
        <w:t>-</w:t>
      </w:r>
      <w:proofErr w:type="spellStart"/>
      <w:r w:rsidRPr="003774AB">
        <w:rPr>
          <w:rFonts w:eastAsia="Times New Roman"/>
          <w:sz w:val="24"/>
          <w:lang w:eastAsia="ru-RU"/>
        </w:rPr>
        <w:t>Облкомдортранс</w:t>
      </w:r>
      <w:proofErr w:type="spellEnd"/>
      <w:r w:rsidRPr="003774AB">
        <w:rPr>
          <w:rFonts w:eastAsia="Times New Roman"/>
          <w:sz w:val="24"/>
          <w:lang w:eastAsia="ru-RU"/>
        </w:rPr>
        <w:t xml:space="preserve"> - акт</w:t>
      </w:r>
      <w:r w:rsidRPr="003774AB">
        <w:rPr>
          <w:sz w:val="24"/>
        </w:rPr>
        <w:t xml:space="preserve"> от 06.09.2019 № 176, </w:t>
      </w:r>
      <w:r w:rsidR="007A5015" w:rsidRPr="003774AB">
        <w:rPr>
          <w:sz w:val="24"/>
        </w:rPr>
        <w:t xml:space="preserve">заключение на пояснения от </w:t>
      </w:r>
      <w:r w:rsidR="003774AB" w:rsidRPr="003774AB">
        <w:rPr>
          <w:sz w:val="24"/>
        </w:rPr>
        <w:t>07</w:t>
      </w:r>
      <w:r w:rsidR="007A5015" w:rsidRPr="003774AB">
        <w:rPr>
          <w:sz w:val="24"/>
        </w:rPr>
        <w:t>.</w:t>
      </w:r>
      <w:r w:rsidR="007F67F0" w:rsidRPr="003774AB">
        <w:rPr>
          <w:sz w:val="24"/>
        </w:rPr>
        <w:t>10</w:t>
      </w:r>
      <w:r w:rsidR="007A5015" w:rsidRPr="003774AB">
        <w:rPr>
          <w:sz w:val="24"/>
        </w:rPr>
        <w:t>.2019 № 01КСП-04-05/</w:t>
      </w:r>
      <w:r w:rsidR="003774AB" w:rsidRPr="003774AB">
        <w:rPr>
          <w:sz w:val="24"/>
        </w:rPr>
        <w:t>30</w:t>
      </w:r>
      <w:r w:rsidR="007A5015" w:rsidRPr="003774AB">
        <w:rPr>
          <w:sz w:val="24"/>
        </w:rPr>
        <w:t>;</w:t>
      </w:r>
    </w:p>
    <w:p w:rsidR="007F3A14" w:rsidRPr="007A5015" w:rsidRDefault="007F3A14" w:rsidP="007A5015">
      <w:pPr>
        <w:shd w:val="clear" w:color="auto" w:fill="FFFFFF"/>
        <w:spacing w:line="240" w:lineRule="auto"/>
        <w:ind w:firstLine="720"/>
        <w:rPr>
          <w:rFonts w:eastAsia="Times New Roman"/>
          <w:bCs/>
          <w:sz w:val="24"/>
          <w:lang w:eastAsia="ru-RU"/>
        </w:rPr>
      </w:pPr>
      <w:r w:rsidRPr="007A5015">
        <w:rPr>
          <w:rFonts w:eastAsia="Times New Roman"/>
          <w:sz w:val="24"/>
          <w:lang w:eastAsia="ru-RU"/>
        </w:rPr>
        <w:t>-</w:t>
      </w:r>
      <w:r w:rsidRPr="001A3BE9">
        <w:rPr>
          <w:rFonts w:eastAsia="Times New Roman"/>
          <w:sz w:val="24"/>
          <w:lang w:eastAsia="ru-RU"/>
        </w:rPr>
        <w:t>КТР</w:t>
      </w:r>
      <w:r w:rsidRPr="007A5015">
        <w:rPr>
          <w:rFonts w:eastAsia="Times New Roman"/>
          <w:sz w:val="24"/>
          <w:lang w:eastAsia="ru-RU"/>
        </w:rPr>
        <w:t xml:space="preserve"> Волгоградской области</w:t>
      </w:r>
      <w:r w:rsidRPr="007A5015">
        <w:rPr>
          <w:sz w:val="24"/>
        </w:rPr>
        <w:t xml:space="preserve"> </w:t>
      </w:r>
      <w:r w:rsidR="007A5015" w:rsidRPr="007A5015">
        <w:rPr>
          <w:sz w:val="24"/>
        </w:rPr>
        <w:t>-</w:t>
      </w:r>
      <w:r w:rsidRPr="007A5015">
        <w:rPr>
          <w:sz w:val="24"/>
        </w:rPr>
        <w:t xml:space="preserve"> акт от 13.08.2019 № 157</w:t>
      </w:r>
      <w:r w:rsidR="007A5015" w:rsidRPr="007A5015">
        <w:rPr>
          <w:sz w:val="24"/>
        </w:rPr>
        <w:t>, заключение на пояснения от 21.08.2019 № 01КСП-04-05/26;</w:t>
      </w:r>
    </w:p>
    <w:p w:rsidR="007F3A14" w:rsidRPr="007A5015" w:rsidRDefault="007F3A14" w:rsidP="007A5015">
      <w:pPr>
        <w:shd w:val="clear" w:color="auto" w:fill="FFFFFF"/>
        <w:spacing w:line="240" w:lineRule="auto"/>
        <w:ind w:firstLine="720"/>
        <w:rPr>
          <w:rFonts w:eastAsia="Times New Roman"/>
          <w:sz w:val="24"/>
          <w:lang w:eastAsia="ru-RU"/>
        </w:rPr>
      </w:pPr>
      <w:r w:rsidRPr="007A5015">
        <w:rPr>
          <w:rFonts w:eastAsia="Times New Roman"/>
          <w:sz w:val="24"/>
          <w:lang w:eastAsia="ru-RU"/>
        </w:rPr>
        <w:t xml:space="preserve">-ГУП </w:t>
      </w:r>
      <w:r w:rsidRPr="001A3BE9">
        <w:rPr>
          <w:rFonts w:eastAsia="Times New Roman"/>
          <w:sz w:val="24"/>
          <w:lang w:eastAsia="ru-RU"/>
        </w:rPr>
        <w:t>«</w:t>
      </w:r>
      <w:proofErr w:type="spellStart"/>
      <w:r w:rsidRPr="001A3BE9">
        <w:rPr>
          <w:rFonts w:eastAsia="Times New Roman"/>
          <w:sz w:val="24"/>
          <w:lang w:eastAsia="ru-RU"/>
        </w:rPr>
        <w:t>Волгоградавтотранс</w:t>
      </w:r>
      <w:proofErr w:type="spellEnd"/>
      <w:r w:rsidRPr="001A3BE9">
        <w:rPr>
          <w:rFonts w:eastAsia="Times New Roman"/>
          <w:sz w:val="24"/>
          <w:lang w:eastAsia="ru-RU"/>
        </w:rPr>
        <w:t>»</w:t>
      </w:r>
      <w:r w:rsidRPr="007A5015">
        <w:rPr>
          <w:sz w:val="24"/>
        </w:rPr>
        <w:t xml:space="preserve"> </w:t>
      </w:r>
      <w:proofErr w:type="gramStart"/>
      <w:r w:rsidRPr="007A5015">
        <w:rPr>
          <w:sz w:val="24"/>
        </w:rPr>
        <w:t>-а</w:t>
      </w:r>
      <w:proofErr w:type="gramEnd"/>
      <w:r w:rsidRPr="007A5015">
        <w:rPr>
          <w:sz w:val="24"/>
        </w:rPr>
        <w:t>кт от 26.07.2019 № 146</w:t>
      </w:r>
      <w:r w:rsidR="007A5015" w:rsidRPr="007A5015">
        <w:rPr>
          <w:sz w:val="24"/>
        </w:rPr>
        <w:t>;</w:t>
      </w:r>
    </w:p>
    <w:p w:rsidR="007F3A14" w:rsidRPr="007A5015" w:rsidRDefault="007F3A14" w:rsidP="007A5015">
      <w:pPr>
        <w:shd w:val="clear" w:color="auto" w:fill="FFFFFF"/>
        <w:spacing w:line="240" w:lineRule="auto"/>
        <w:ind w:firstLine="720"/>
        <w:rPr>
          <w:rFonts w:eastAsia="Times New Roman"/>
          <w:sz w:val="24"/>
          <w:lang w:eastAsia="ru-RU"/>
        </w:rPr>
      </w:pPr>
      <w:r w:rsidRPr="007A5015">
        <w:rPr>
          <w:rFonts w:eastAsia="Times New Roman"/>
          <w:spacing w:val="-4"/>
          <w:sz w:val="24"/>
          <w:lang w:eastAsia="ru-RU"/>
        </w:rPr>
        <w:t>-МУП «ВАК № 1732»</w:t>
      </w:r>
      <w:r w:rsidRPr="007A5015">
        <w:rPr>
          <w:sz w:val="24"/>
        </w:rPr>
        <w:t xml:space="preserve"> - акт 26.07.2019 № 145</w:t>
      </w:r>
      <w:r w:rsidR="007A5015" w:rsidRPr="007A5015">
        <w:rPr>
          <w:sz w:val="24"/>
        </w:rPr>
        <w:t>;</w:t>
      </w:r>
    </w:p>
    <w:p w:rsidR="007F3A14" w:rsidRDefault="007F3A14" w:rsidP="007A5015">
      <w:pPr>
        <w:shd w:val="clear" w:color="auto" w:fill="FFFFFF"/>
        <w:spacing w:line="240" w:lineRule="auto"/>
        <w:ind w:firstLine="720"/>
        <w:rPr>
          <w:sz w:val="24"/>
        </w:rPr>
      </w:pPr>
      <w:r w:rsidRPr="007A5015">
        <w:rPr>
          <w:rFonts w:eastAsia="Times New Roman"/>
          <w:color w:val="333333"/>
          <w:sz w:val="24"/>
          <w:lang w:eastAsia="ru-RU"/>
        </w:rPr>
        <w:t>-ООО «</w:t>
      </w:r>
      <w:r w:rsidRPr="001A3BE9">
        <w:rPr>
          <w:rFonts w:eastAsia="Times New Roman"/>
          <w:color w:val="333333"/>
          <w:sz w:val="24"/>
          <w:lang w:eastAsia="ru-RU"/>
        </w:rPr>
        <w:t>ВАП</w:t>
      </w:r>
      <w:r w:rsidRPr="007A5015">
        <w:rPr>
          <w:rFonts w:eastAsia="Times New Roman"/>
          <w:color w:val="333333"/>
          <w:sz w:val="24"/>
          <w:lang w:eastAsia="ru-RU"/>
        </w:rPr>
        <w:t>»</w:t>
      </w:r>
      <w:r w:rsidRPr="007A5015">
        <w:rPr>
          <w:sz w:val="24"/>
        </w:rPr>
        <w:t xml:space="preserve"> -</w:t>
      </w:r>
      <w:r w:rsidR="007A5015" w:rsidRPr="007A5015">
        <w:rPr>
          <w:sz w:val="24"/>
        </w:rPr>
        <w:t xml:space="preserve"> </w:t>
      </w:r>
      <w:r w:rsidR="00DE753D">
        <w:rPr>
          <w:sz w:val="24"/>
        </w:rPr>
        <w:t>акт от 26.07.2019 № 141.</w:t>
      </w:r>
    </w:p>
    <w:p w:rsidR="00FC31A4" w:rsidRDefault="00FC31A4" w:rsidP="007A5015">
      <w:pPr>
        <w:shd w:val="clear" w:color="auto" w:fill="FFFFFF"/>
        <w:spacing w:line="240" w:lineRule="auto"/>
        <w:ind w:firstLine="720"/>
        <w:rPr>
          <w:sz w:val="24"/>
        </w:rPr>
      </w:pPr>
    </w:p>
    <w:p w:rsidR="00FC31A4" w:rsidRPr="00DE753D" w:rsidRDefault="00FC31A4" w:rsidP="007A5015">
      <w:pPr>
        <w:shd w:val="clear" w:color="auto" w:fill="FFFFFF"/>
        <w:spacing w:line="240" w:lineRule="auto"/>
        <w:ind w:firstLine="720"/>
        <w:rPr>
          <w:rFonts w:eastAsia="Times New Roman"/>
          <w:bCs/>
          <w:sz w:val="24"/>
          <w:lang w:eastAsia="ru-RU"/>
        </w:rPr>
      </w:pPr>
    </w:p>
    <w:p w:rsidR="007A5015" w:rsidRPr="007A5015" w:rsidRDefault="00362FB3" w:rsidP="007A5015">
      <w:pPr>
        <w:shd w:val="clear" w:color="auto" w:fill="FFFFFF"/>
        <w:spacing w:line="240" w:lineRule="auto"/>
        <w:ind w:firstLine="720"/>
        <w:rPr>
          <w:rFonts w:eastAsia="Times New Roman"/>
          <w:b/>
          <w:sz w:val="24"/>
          <w:lang w:eastAsia="ru-RU"/>
        </w:rPr>
      </w:pPr>
      <w:r w:rsidRPr="007A5015">
        <w:rPr>
          <w:rFonts w:eastAsia="Times New Roman"/>
          <w:b/>
          <w:sz w:val="24"/>
          <w:lang w:eastAsia="ru-RU"/>
        </w:rPr>
        <w:lastRenderedPageBreak/>
        <w:t>Характеристика объектов контроля:</w:t>
      </w:r>
    </w:p>
    <w:p w:rsidR="0089005A" w:rsidRDefault="008B4314" w:rsidP="0082460B">
      <w:pPr>
        <w:pStyle w:val="ConsPlusNormal"/>
        <w:ind w:firstLine="709"/>
        <w:jc w:val="both"/>
      </w:pPr>
      <w:proofErr w:type="gramStart"/>
      <w:r>
        <w:t>В соответствии с п.</w:t>
      </w:r>
      <w:r w:rsidR="00E97878">
        <w:t xml:space="preserve"> </w:t>
      </w:r>
      <w:r>
        <w:t>2 ст.</w:t>
      </w:r>
      <w:r w:rsidR="00E97878">
        <w:t xml:space="preserve"> </w:t>
      </w:r>
      <w:r>
        <w:t xml:space="preserve">26.3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к полномочиям органов государственной власти субъекта </w:t>
      </w:r>
      <w:r w:rsidR="0082460B">
        <w:t>РФ по предметам совместного ведения</w:t>
      </w:r>
      <w:r w:rsidR="00A9454F">
        <w:t>, осуществляемым самостоятельно за счет средств бюджета субъекта относится решение вопросов организации транспортного обслуживания населения автомобильным транспортом в межмуниципальном и пригородном сообщении.</w:t>
      </w:r>
      <w:proofErr w:type="gramEnd"/>
    </w:p>
    <w:p w:rsidR="000A67B8" w:rsidRPr="00743572" w:rsidRDefault="000A67B8" w:rsidP="00743572">
      <w:pPr>
        <w:autoSpaceDE w:val="0"/>
        <w:autoSpaceDN w:val="0"/>
        <w:adjustRightInd w:val="0"/>
        <w:spacing w:line="240" w:lineRule="auto"/>
        <w:rPr>
          <w:bCs/>
          <w:iCs/>
          <w:sz w:val="24"/>
        </w:rPr>
      </w:pPr>
      <w:proofErr w:type="gramStart"/>
      <w:r>
        <w:rPr>
          <w:bCs/>
          <w:iCs/>
          <w:sz w:val="24"/>
        </w:rPr>
        <w:t xml:space="preserve">Отношения по </w:t>
      </w:r>
      <w:r w:rsidRPr="006518FF">
        <w:rPr>
          <w:bCs/>
          <w:iCs/>
          <w:sz w:val="24"/>
        </w:rPr>
        <w:t xml:space="preserve">организации регулярных перевозок пассажиров автомобильным транспортом </w:t>
      </w:r>
      <w:r>
        <w:rPr>
          <w:bCs/>
          <w:iCs/>
          <w:sz w:val="24"/>
        </w:rPr>
        <w:t xml:space="preserve">(далее - регулярные перевозки) регулируются Федеральным законом от 13.07.2015 № 220-ФЗ </w:t>
      </w:r>
      <w:r w:rsidRPr="00743572">
        <w:rPr>
          <w:bCs/>
          <w:iCs/>
          <w:sz w:val="24"/>
        </w:rPr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</w:t>
      </w:r>
      <w:r w:rsidR="00743572" w:rsidRPr="00743572">
        <w:rPr>
          <w:bCs/>
          <w:iCs/>
          <w:sz w:val="24"/>
        </w:rPr>
        <w:t>З</w:t>
      </w:r>
      <w:r w:rsidRPr="00743572">
        <w:rPr>
          <w:bCs/>
          <w:iCs/>
          <w:sz w:val="24"/>
        </w:rPr>
        <w:t xml:space="preserve">акон № 220-ФЗ) и </w:t>
      </w:r>
      <w:r w:rsidR="00CB572C" w:rsidRPr="004C6D78">
        <w:rPr>
          <w:rFonts w:eastAsiaTheme="minorHAnsi"/>
          <w:sz w:val="24"/>
        </w:rPr>
        <w:t>закон</w:t>
      </w:r>
      <w:r w:rsidR="00CB572C">
        <w:rPr>
          <w:rFonts w:eastAsiaTheme="minorHAnsi"/>
          <w:sz w:val="24"/>
        </w:rPr>
        <w:t>ом</w:t>
      </w:r>
      <w:r w:rsidR="00CB572C" w:rsidRPr="004C6D78">
        <w:rPr>
          <w:rFonts w:eastAsiaTheme="minorHAnsi"/>
          <w:sz w:val="24"/>
        </w:rPr>
        <w:t xml:space="preserve"> Волгоградской области от 29.12.2015 </w:t>
      </w:r>
      <w:r w:rsidR="00CB572C">
        <w:rPr>
          <w:rFonts w:eastAsiaTheme="minorHAnsi"/>
          <w:sz w:val="24"/>
        </w:rPr>
        <w:t>№</w:t>
      </w:r>
      <w:r w:rsidR="00CB572C" w:rsidRPr="004C6D78">
        <w:rPr>
          <w:rFonts w:eastAsiaTheme="minorHAnsi"/>
          <w:sz w:val="24"/>
        </w:rPr>
        <w:t xml:space="preserve"> 230-ОД </w:t>
      </w:r>
      <w:r w:rsidR="00CB572C">
        <w:rPr>
          <w:rFonts w:eastAsiaTheme="minorHAnsi"/>
          <w:sz w:val="24"/>
        </w:rPr>
        <w:t>«</w:t>
      </w:r>
      <w:r w:rsidR="00CB572C" w:rsidRPr="004C6D78">
        <w:rPr>
          <w:rFonts w:eastAsiaTheme="minorHAnsi"/>
          <w:sz w:val="24"/>
        </w:rPr>
        <w:t>Об отдельных вопросах организации регулярных перевозок</w:t>
      </w:r>
      <w:proofErr w:type="gramEnd"/>
      <w:r w:rsidR="00CB572C" w:rsidRPr="004C6D78">
        <w:rPr>
          <w:rFonts w:eastAsiaTheme="minorHAnsi"/>
          <w:sz w:val="24"/>
        </w:rPr>
        <w:t xml:space="preserve">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</w:t>
      </w:r>
      <w:r w:rsidR="00CB572C">
        <w:rPr>
          <w:rFonts w:eastAsiaTheme="minorHAnsi"/>
          <w:sz w:val="24"/>
        </w:rPr>
        <w:t>» (далее – Закон № 230-ОД)</w:t>
      </w:r>
      <w:r w:rsidRPr="00743572">
        <w:rPr>
          <w:bCs/>
          <w:iCs/>
          <w:sz w:val="24"/>
        </w:rPr>
        <w:t>.</w:t>
      </w:r>
    </w:p>
    <w:p w:rsidR="00B5444B" w:rsidRPr="00D713F5" w:rsidRDefault="00B5444B" w:rsidP="00B5444B">
      <w:pPr>
        <w:pStyle w:val="ConsPlusNormal"/>
        <w:ind w:firstLine="709"/>
        <w:jc w:val="both"/>
      </w:pPr>
      <w:r w:rsidRPr="00D713F5">
        <w:t>Регулярные перевозки подразделяются на два вида:</w:t>
      </w:r>
    </w:p>
    <w:p w:rsidR="00B5444B" w:rsidRPr="00D713F5" w:rsidRDefault="00B5444B" w:rsidP="00B5444B">
      <w:pPr>
        <w:pStyle w:val="ConsPlusNormal"/>
        <w:ind w:firstLine="709"/>
        <w:jc w:val="both"/>
        <w:rPr>
          <w:iCs/>
        </w:rPr>
      </w:pPr>
      <w:r w:rsidRPr="00D713F5">
        <w:t>-</w:t>
      </w:r>
      <w:r w:rsidRPr="00D713F5">
        <w:rPr>
          <w:iCs/>
        </w:rPr>
        <w:t>регулярные перевозки по регулируемым тарифам</w:t>
      </w:r>
      <w:r w:rsidR="00743572">
        <w:rPr>
          <w:iCs/>
        </w:rPr>
        <w:t xml:space="preserve"> (далее </w:t>
      </w:r>
      <w:r w:rsidR="00CB572C">
        <w:rPr>
          <w:iCs/>
        </w:rPr>
        <w:t>–</w:t>
      </w:r>
      <w:r w:rsidR="00743572">
        <w:rPr>
          <w:iCs/>
        </w:rPr>
        <w:t xml:space="preserve"> </w:t>
      </w:r>
      <w:r w:rsidR="00CB572C">
        <w:rPr>
          <w:iCs/>
        </w:rPr>
        <w:t xml:space="preserve">перевозки по </w:t>
      </w:r>
      <w:r w:rsidR="00743572">
        <w:rPr>
          <w:iCs/>
        </w:rPr>
        <w:t>РТ)</w:t>
      </w:r>
      <w:r w:rsidRPr="00D713F5">
        <w:rPr>
          <w:iCs/>
        </w:rPr>
        <w:t xml:space="preserve"> - регулярные перевозки, осуществляемые с применением тарифов, установленных органами государственной власти субъектов РФ или органами местного самоуправления, и предоставлением всех льгот на проезд, утвержденных в установленном порядке;</w:t>
      </w:r>
    </w:p>
    <w:p w:rsidR="00B5444B" w:rsidRDefault="00B5444B" w:rsidP="00B5444B">
      <w:pPr>
        <w:autoSpaceDE w:val="0"/>
        <w:autoSpaceDN w:val="0"/>
        <w:adjustRightInd w:val="0"/>
        <w:spacing w:line="240" w:lineRule="auto"/>
        <w:rPr>
          <w:rFonts w:eastAsiaTheme="minorHAnsi"/>
          <w:iCs/>
          <w:sz w:val="24"/>
        </w:rPr>
      </w:pPr>
      <w:r w:rsidRPr="00D713F5">
        <w:rPr>
          <w:rFonts w:eastAsiaTheme="minorHAnsi"/>
          <w:iCs/>
          <w:sz w:val="24"/>
        </w:rPr>
        <w:t>-регулярные перевозки по нерегулируемым тарифам</w:t>
      </w:r>
      <w:r w:rsidR="00743572">
        <w:rPr>
          <w:rFonts w:eastAsiaTheme="minorHAnsi"/>
          <w:iCs/>
          <w:sz w:val="24"/>
        </w:rPr>
        <w:t xml:space="preserve"> (далее – </w:t>
      </w:r>
      <w:r w:rsidR="00CB572C">
        <w:rPr>
          <w:rFonts w:eastAsiaTheme="minorHAnsi"/>
          <w:iCs/>
          <w:sz w:val="24"/>
        </w:rPr>
        <w:t xml:space="preserve">перевозки по </w:t>
      </w:r>
      <w:r w:rsidR="00743572">
        <w:rPr>
          <w:rFonts w:eastAsiaTheme="minorHAnsi"/>
          <w:iCs/>
          <w:sz w:val="24"/>
        </w:rPr>
        <w:t>НРТ)</w:t>
      </w:r>
      <w:r w:rsidRPr="00D713F5">
        <w:rPr>
          <w:rFonts w:eastAsiaTheme="minorHAnsi"/>
          <w:iCs/>
          <w:sz w:val="24"/>
        </w:rPr>
        <w:t xml:space="preserve"> - регулярные перевозки, осуществляемые с применением тарифов, установленных перевозчиком.</w:t>
      </w:r>
    </w:p>
    <w:p w:rsidR="00CB572C" w:rsidRDefault="00CB572C" w:rsidP="00CB572C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proofErr w:type="spellStart"/>
      <w:r w:rsidRPr="004C6D78">
        <w:rPr>
          <w:color w:val="000000"/>
          <w:sz w:val="24"/>
        </w:rPr>
        <w:t>Облкомдортранс</w:t>
      </w:r>
      <w:proofErr w:type="spellEnd"/>
      <w:r>
        <w:rPr>
          <w:color w:val="000000"/>
          <w:sz w:val="24"/>
        </w:rPr>
        <w:t xml:space="preserve"> </w:t>
      </w:r>
      <w:r w:rsidRPr="004C6D78">
        <w:rPr>
          <w:rFonts w:eastAsiaTheme="minorHAnsi"/>
          <w:sz w:val="24"/>
        </w:rPr>
        <w:t xml:space="preserve">является органом исполнительной власти Волгоградской области, уполномоченным в сфере транспорта, организации регулярных перевозок пассажиров и багажа автомобильным транспортом по межмуниципальным маршрутам регулярных перевозок в Волгоградской области. </w:t>
      </w:r>
    </w:p>
    <w:p w:rsidR="0049098D" w:rsidRDefault="00CB572C" w:rsidP="0049098D">
      <w:pPr>
        <w:pStyle w:val="ConsPlusNormal"/>
        <w:ind w:firstLine="709"/>
        <w:jc w:val="both"/>
      </w:pPr>
      <w:r>
        <w:rPr>
          <w:bCs/>
          <w:iCs/>
        </w:rPr>
        <w:t>И</w:t>
      </w:r>
      <w:r w:rsidR="0049098D">
        <w:rPr>
          <w:bCs/>
          <w:iCs/>
        </w:rPr>
        <w:t xml:space="preserve">нструментом финансирования мероприятий по организации транспортного обслуживания населения является государственная программа Волгоградской области «Развитие транспортной системы и обеспечение безопасности дорожного движения в Волгоградской области», утвержденная постановлением Администрации Волгоградской области от 23.01.2017 № 16-п (далее – ГП «Транспорт»). </w:t>
      </w:r>
    </w:p>
    <w:p w:rsidR="0049098D" w:rsidRDefault="0049098D" w:rsidP="0049098D">
      <w:pPr>
        <w:pStyle w:val="ConsPlusNormal"/>
        <w:ind w:firstLine="709"/>
        <w:jc w:val="both"/>
      </w:pPr>
      <w:r>
        <w:t xml:space="preserve">Расходы </w:t>
      </w:r>
      <w:r w:rsidR="001C1E01">
        <w:t xml:space="preserve">по организации транспортного обслуживания населения на маршрутах по </w:t>
      </w:r>
      <w:r w:rsidR="00CB572C">
        <w:t>РТ</w:t>
      </w:r>
      <w:r w:rsidR="001C1E01">
        <w:t xml:space="preserve"> </w:t>
      </w:r>
      <w:r>
        <w:t xml:space="preserve">утверждены </w:t>
      </w:r>
      <w:proofErr w:type="spellStart"/>
      <w:r>
        <w:t>Облкомдортрансу</w:t>
      </w:r>
      <w:proofErr w:type="spellEnd"/>
      <w:r w:rsidR="00E97878">
        <w:t xml:space="preserve"> </w:t>
      </w:r>
      <w:r w:rsidR="00743572">
        <w:t>з</w:t>
      </w:r>
      <w:r>
        <w:t xml:space="preserve">аконами </w:t>
      </w:r>
      <w:r w:rsidR="00CB572C">
        <w:t xml:space="preserve">об областном бюджете </w:t>
      </w:r>
      <w:r>
        <w:t xml:space="preserve">по подразделу </w:t>
      </w:r>
      <w:r w:rsidRPr="00832102">
        <w:t>0408 «Транспорт» в рамках основного мероприятия «Государственная поддержка общественного пассажирского транспорта» подпрограммы «Развитие системы общественного пассажирского транспорта в Волгоградской области»</w:t>
      </w:r>
      <w:r>
        <w:t>.</w:t>
      </w:r>
      <w:r w:rsidR="00CB5383">
        <w:t xml:space="preserve"> </w:t>
      </w:r>
    </w:p>
    <w:p w:rsidR="00EE1202" w:rsidRPr="001C1E01" w:rsidRDefault="00EE1202" w:rsidP="00EE1202">
      <w:pPr>
        <w:pStyle w:val="ConsPlusNormal"/>
        <w:ind w:firstLine="709"/>
        <w:jc w:val="both"/>
      </w:pPr>
      <w:r>
        <w:t xml:space="preserve">Финансовое обеспечение организации </w:t>
      </w:r>
      <w:r w:rsidRPr="001C1E01">
        <w:t xml:space="preserve">перевозок </w:t>
      </w:r>
      <w:r>
        <w:t>по РТ</w:t>
      </w:r>
      <w:r w:rsidRPr="001C1E01">
        <w:t xml:space="preserve"> в 2018 году и в первом полугодии 2019 года осуществлялась двумя способами:</w:t>
      </w:r>
    </w:p>
    <w:p w:rsidR="00EE1202" w:rsidRPr="001C1E01" w:rsidRDefault="00EE1202" w:rsidP="00EE1202">
      <w:pPr>
        <w:spacing w:line="240" w:lineRule="auto"/>
        <w:rPr>
          <w:sz w:val="24"/>
        </w:rPr>
      </w:pPr>
      <w:r w:rsidRPr="001C1E01">
        <w:rPr>
          <w:sz w:val="24"/>
        </w:rPr>
        <w:t xml:space="preserve">-путем предоставления субсидий транспортным организациям на возмещение недополученных доходов, возникающих в результате </w:t>
      </w:r>
      <w:r w:rsidR="002808F1">
        <w:rPr>
          <w:sz w:val="24"/>
        </w:rPr>
        <w:t>перевозок по РТ</w:t>
      </w:r>
      <w:r>
        <w:rPr>
          <w:sz w:val="24"/>
        </w:rPr>
        <w:t xml:space="preserve"> (далее – субсидия</w:t>
      </w:r>
      <w:r w:rsidR="00E97878">
        <w:rPr>
          <w:sz w:val="24"/>
        </w:rPr>
        <w:t xml:space="preserve"> по</w:t>
      </w:r>
      <w:r>
        <w:rPr>
          <w:sz w:val="24"/>
        </w:rPr>
        <w:t xml:space="preserve"> РТ)</w:t>
      </w:r>
      <w:r w:rsidRPr="001C1E01">
        <w:rPr>
          <w:sz w:val="24"/>
        </w:rPr>
        <w:t xml:space="preserve">. Получатель субсидии </w:t>
      </w:r>
      <w:r>
        <w:rPr>
          <w:sz w:val="24"/>
        </w:rPr>
        <w:t xml:space="preserve">- </w:t>
      </w:r>
      <w:r w:rsidRPr="001C1E01">
        <w:rPr>
          <w:rFonts w:eastAsia="Times New Roman"/>
          <w:color w:val="000000"/>
          <w:sz w:val="24"/>
          <w:lang w:eastAsia="ru-RU"/>
        </w:rPr>
        <w:t>ГУП «</w:t>
      </w:r>
      <w:proofErr w:type="spellStart"/>
      <w:r w:rsidRPr="001C1E01">
        <w:rPr>
          <w:rFonts w:eastAsia="Times New Roman"/>
          <w:color w:val="000000"/>
          <w:sz w:val="24"/>
          <w:lang w:eastAsia="ru-RU"/>
        </w:rPr>
        <w:t>Волгоградавтотранс</w:t>
      </w:r>
      <w:proofErr w:type="spellEnd"/>
      <w:r w:rsidRPr="001C1E01">
        <w:rPr>
          <w:rFonts w:eastAsia="Times New Roman"/>
          <w:color w:val="000000"/>
          <w:sz w:val="24"/>
          <w:lang w:eastAsia="ru-RU"/>
        </w:rPr>
        <w:t>» (</w:t>
      </w:r>
      <w:r>
        <w:rPr>
          <w:rFonts w:eastAsia="Times New Roman"/>
          <w:color w:val="000000"/>
          <w:sz w:val="24"/>
          <w:lang w:eastAsia="ru-RU"/>
        </w:rPr>
        <w:t>65</w:t>
      </w:r>
      <w:r w:rsidR="00E97878">
        <w:rPr>
          <w:rFonts w:eastAsia="Times New Roman"/>
          <w:color w:val="000000"/>
          <w:sz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lang w:eastAsia="ru-RU"/>
        </w:rPr>
        <w:t>из</w:t>
      </w:r>
      <w:r w:rsidR="00E97878">
        <w:rPr>
          <w:rFonts w:eastAsia="Times New Roman"/>
          <w:color w:val="000000"/>
          <w:sz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lang w:eastAsia="ru-RU"/>
        </w:rPr>
        <w:t>78</w:t>
      </w:r>
      <w:r w:rsidRPr="001C1E01">
        <w:rPr>
          <w:rFonts w:eastAsia="Times New Roman"/>
          <w:color w:val="000000"/>
          <w:sz w:val="24"/>
          <w:lang w:eastAsia="ru-RU"/>
        </w:rPr>
        <w:t xml:space="preserve"> маршрутов</w:t>
      </w:r>
      <w:r>
        <w:rPr>
          <w:rFonts w:eastAsia="Times New Roman"/>
          <w:color w:val="000000"/>
          <w:sz w:val="24"/>
          <w:lang w:eastAsia="ru-RU"/>
        </w:rPr>
        <w:t xml:space="preserve"> по РТ</w:t>
      </w:r>
      <w:r w:rsidRPr="001C1E01">
        <w:rPr>
          <w:rFonts w:eastAsia="Times New Roman"/>
          <w:color w:val="000000"/>
          <w:sz w:val="24"/>
          <w:lang w:eastAsia="ru-RU"/>
        </w:rPr>
        <w:t>)</w:t>
      </w:r>
      <w:r w:rsidRPr="001C1E01">
        <w:rPr>
          <w:sz w:val="24"/>
        </w:rPr>
        <w:t>;</w:t>
      </w:r>
    </w:p>
    <w:p w:rsidR="002B6574" w:rsidRPr="002B6574" w:rsidRDefault="00EE1202" w:rsidP="00EE1202">
      <w:pPr>
        <w:autoSpaceDE w:val="0"/>
        <w:autoSpaceDN w:val="0"/>
        <w:adjustRightInd w:val="0"/>
        <w:spacing w:line="240" w:lineRule="auto"/>
        <w:rPr>
          <w:sz w:val="24"/>
        </w:rPr>
      </w:pPr>
      <w:r w:rsidRPr="001C1E01">
        <w:rPr>
          <w:sz w:val="24"/>
        </w:rPr>
        <w:t>-путем заключения государственных контрактов с транспортными организациями на</w:t>
      </w:r>
      <w:r>
        <w:rPr>
          <w:sz w:val="24"/>
        </w:rPr>
        <w:t xml:space="preserve"> </w:t>
      </w:r>
      <w:r w:rsidRPr="002B6574">
        <w:rPr>
          <w:sz w:val="24"/>
        </w:rPr>
        <w:t>выполнение</w:t>
      </w:r>
      <w:r w:rsidR="00E97878" w:rsidRPr="002B6574">
        <w:rPr>
          <w:sz w:val="24"/>
        </w:rPr>
        <w:t xml:space="preserve"> </w:t>
      </w:r>
      <w:r w:rsidRPr="002B6574">
        <w:rPr>
          <w:rFonts w:eastAsiaTheme="minorHAnsi"/>
          <w:sz w:val="24"/>
        </w:rPr>
        <w:t>работ, связанных с осуществлением перевозок по РТ (далее - контракты по РТ)</w:t>
      </w:r>
      <w:r w:rsidRPr="002B6574">
        <w:rPr>
          <w:sz w:val="24"/>
        </w:rPr>
        <w:t xml:space="preserve">. Исполнители: </w:t>
      </w:r>
      <w:r w:rsidRPr="002B6574">
        <w:rPr>
          <w:rFonts w:eastAsia="Times New Roman"/>
          <w:color w:val="000000"/>
          <w:sz w:val="24"/>
          <w:lang w:eastAsia="ru-RU"/>
        </w:rPr>
        <w:t>МУП «ВАК № 1732» (11 из 78 маршрутов по РТ в 2018 году, 13 – в 2019 году)</w:t>
      </w:r>
      <w:r w:rsidRPr="002B6574">
        <w:rPr>
          <w:sz w:val="24"/>
        </w:rPr>
        <w:t xml:space="preserve"> </w:t>
      </w:r>
      <w:proofErr w:type="gramStart"/>
      <w:r w:rsidRPr="002B6574">
        <w:rPr>
          <w:sz w:val="24"/>
        </w:rPr>
        <w:t xml:space="preserve">и </w:t>
      </w:r>
      <w:r w:rsidRPr="002B6574">
        <w:rPr>
          <w:rFonts w:eastAsia="Times New Roman"/>
          <w:color w:val="000000"/>
          <w:sz w:val="24"/>
          <w:lang w:eastAsia="ru-RU"/>
        </w:rPr>
        <w:t>ООО</w:t>
      </w:r>
      <w:proofErr w:type="gramEnd"/>
      <w:r w:rsidRPr="002B6574">
        <w:rPr>
          <w:rFonts w:eastAsia="Times New Roman"/>
          <w:color w:val="000000"/>
          <w:sz w:val="24"/>
          <w:lang w:eastAsia="ru-RU"/>
        </w:rPr>
        <w:t xml:space="preserve"> «ВАП» (2 из 78 маршрутов в 2018 году).</w:t>
      </w:r>
      <w:r w:rsidR="002B6574" w:rsidRPr="002B6574">
        <w:rPr>
          <w:sz w:val="24"/>
        </w:rPr>
        <w:t xml:space="preserve"> </w:t>
      </w:r>
      <w:r w:rsidR="002B6574">
        <w:rPr>
          <w:sz w:val="24"/>
        </w:rPr>
        <w:t xml:space="preserve">Начальная (максимальная) цена контрактов (далее – НМЦК), заключённых </w:t>
      </w:r>
      <w:r w:rsidR="002B6574" w:rsidRPr="00A45E5D">
        <w:rPr>
          <w:sz w:val="24"/>
        </w:rPr>
        <w:t>с 01.07.2018</w:t>
      </w:r>
      <w:r w:rsidR="002B6574">
        <w:rPr>
          <w:sz w:val="24"/>
        </w:rPr>
        <w:t xml:space="preserve"> подлежит определению в соответствии с порядком, утверждённым Минтрансом России. </w:t>
      </w:r>
    </w:p>
    <w:p w:rsidR="00EE1202" w:rsidRDefault="002B6574" w:rsidP="00EE1202">
      <w:pPr>
        <w:autoSpaceDE w:val="0"/>
        <w:autoSpaceDN w:val="0"/>
        <w:adjustRightInd w:val="0"/>
        <w:spacing w:line="240" w:lineRule="auto"/>
        <w:rPr>
          <w:sz w:val="24"/>
        </w:rPr>
      </w:pPr>
      <w:r w:rsidRPr="002B6574">
        <w:rPr>
          <w:sz w:val="24"/>
        </w:rPr>
        <w:t>В 2018 году и первом полугодии 2019 года общий объём расходов на указанные цели без учета расходов на оплату кредиторской задолженности за 2017 год составил 316 512,1 тыс. рублей.</w:t>
      </w:r>
    </w:p>
    <w:p w:rsidR="0049098D" w:rsidRPr="002808F1" w:rsidRDefault="0049098D" w:rsidP="0049098D">
      <w:pPr>
        <w:pStyle w:val="ConsPlusNormal"/>
        <w:ind w:firstLine="709"/>
        <w:jc w:val="right"/>
        <w:rPr>
          <w:sz w:val="22"/>
          <w:szCs w:val="22"/>
        </w:rPr>
      </w:pPr>
      <w:r w:rsidRPr="002808F1">
        <w:rPr>
          <w:sz w:val="22"/>
          <w:szCs w:val="22"/>
        </w:rPr>
        <w:lastRenderedPageBreak/>
        <w:t>тыс. руб.</w:t>
      </w:r>
    </w:p>
    <w:tbl>
      <w:tblPr>
        <w:tblW w:w="9923" w:type="dxa"/>
        <w:tblInd w:w="-2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3119"/>
        <w:gridCol w:w="992"/>
        <w:gridCol w:w="1153"/>
        <w:gridCol w:w="993"/>
        <w:gridCol w:w="992"/>
        <w:gridCol w:w="2674"/>
      </w:tblGrid>
      <w:tr w:rsidR="0049098D" w:rsidRPr="00D02A8F" w:rsidTr="002B6574">
        <w:trPr>
          <w:trHeight w:val="20"/>
        </w:trPr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Направление расходов</w:t>
            </w:r>
          </w:p>
        </w:tc>
        <w:tc>
          <w:tcPr>
            <w:tcW w:w="4130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Объем финансирования</w:t>
            </w:r>
          </w:p>
        </w:tc>
        <w:tc>
          <w:tcPr>
            <w:tcW w:w="267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перевозчика</w:t>
            </w:r>
          </w:p>
        </w:tc>
      </w:tr>
      <w:tr w:rsidR="0049098D" w:rsidRPr="00D02A8F" w:rsidTr="002B6574">
        <w:trPr>
          <w:trHeight w:val="20"/>
        </w:trPr>
        <w:tc>
          <w:tcPr>
            <w:tcW w:w="3119" w:type="dxa"/>
            <w:vMerge/>
            <w:tcBorders>
              <w:left w:val="double" w:sz="4" w:space="0" w:color="auto"/>
            </w:tcBorders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674" w:type="dxa"/>
            <w:vMerge/>
            <w:tcBorders>
              <w:right w:val="double" w:sz="4" w:space="0" w:color="auto"/>
            </w:tcBorders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098D" w:rsidRPr="00D02A8F" w:rsidTr="002B6574">
        <w:trPr>
          <w:trHeight w:val="20"/>
        </w:trPr>
        <w:tc>
          <w:tcPr>
            <w:tcW w:w="311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EE1202" w:rsidP="007A6D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r w:rsidR="0049098D"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лан</w:t>
            </w:r>
          </w:p>
        </w:tc>
        <w:tc>
          <w:tcPr>
            <w:tcW w:w="115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EE1202" w:rsidP="007A6D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r w:rsidR="0049098D"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акт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EE1202" w:rsidP="007A6D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r w:rsidR="0049098D"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лан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EE1202" w:rsidP="007A6D07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r w:rsidR="0049098D"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акт</w:t>
            </w:r>
            <w:r w:rsidR="0049098D"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I полугод.</w:t>
            </w:r>
          </w:p>
        </w:tc>
        <w:tc>
          <w:tcPr>
            <w:tcW w:w="267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098D" w:rsidRPr="00D02A8F" w:rsidTr="002B6574">
        <w:trPr>
          <w:trHeight w:val="20"/>
        </w:trPr>
        <w:tc>
          <w:tcPr>
            <w:tcW w:w="311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49098D" w:rsidP="00E9787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</w:t>
            </w:r>
            <w:r w:rsidR="00E978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="00EE12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РТ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172 251,4</w:t>
            </w:r>
          </w:p>
        </w:tc>
        <w:tc>
          <w:tcPr>
            <w:tcW w:w="115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12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180 072,0</w:t>
            </w:r>
            <w:r w:rsidR="00CB5383" w:rsidRPr="00EE120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89 873,3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73 023,9</w:t>
            </w:r>
          </w:p>
        </w:tc>
        <w:tc>
          <w:tcPr>
            <w:tcW w:w="267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49098D" w:rsidP="002B657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r w:rsidR="002B65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Волгоградавтотранс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49098D" w:rsidRPr="00D02A8F" w:rsidTr="002B6574">
        <w:trPr>
          <w:trHeight w:val="20"/>
        </w:trPr>
        <w:tc>
          <w:tcPr>
            <w:tcW w:w="3119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EE1202" w:rsidP="00EE120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Оплата контрактов по РТ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56 621,3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16 720,1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28 856,3</w:t>
            </w:r>
          </w:p>
        </w:tc>
        <w:tc>
          <w:tcPr>
            <w:tcW w:w="2674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49098D" w:rsidP="00EE1202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МУП</w:t>
            </w:r>
            <w:r w:rsidR="000C6B7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</w:t>
            </w:r>
            <w:r w:rsidR="006166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="00734B8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</w:t>
            </w:r>
            <w:r w:rsidR="006166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734B8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49098D" w:rsidRPr="00D02A8F" w:rsidTr="002808F1">
        <w:trPr>
          <w:trHeight w:val="20"/>
        </w:trPr>
        <w:tc>
          <w:tcPr>
            <w:tcW w:w="311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left="-108"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17 839,8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left="-108"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7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9098D" w:rsidRPr="00D02A8F" w:rsidRDefault="0049098D" w:rsidP="007A6D0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«</w:t>
            </w:r>
            <w:r w:rsidRPr="00D02A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ВАП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49098D" w:rsidRPr="002808F1" w:rsidTr="002808F1">
        <w:trPr>
          <w:trHeight w:val="20"/>
        </w:trPr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49098D" w:rsidRPr="002808F1" w:rsidRDefault="0049098D" w:rsidP="007A6D07">
            <w:pPr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808F1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49098D" w:rsidRPr="002808F1" w:rsidRDefault="0049098D" w:rsidP="007A6D07">
            <w:pPr>
              <w:spacing w:line="240" w:lineRule="auto"/>
              <w:ind w:left="-108"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808F1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228 872,7</w:t>
            </w:r>
          </w:p>
        </w:tc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9098D" w:rsidRPr="002808F1" w:rsidRDefault="0049098D" w:rsidP="007A6D07">
            <w:pPr>
              <w:spacing w:line="240" w:lineRule="auto"/>
              <w:ind w:left="-108"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808F1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214 631,9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49098D" w:rsidRPr="002808F1" w:rsidRDefault="0049098D" w:rsidP="007A6D07">
            <w:pPr>
              <w:spacing w:line="240" w:lineRule="auto"/>
              <w:ind w:left="-108"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808F1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154 873,3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9098D" w:rsidRPr="002808F1" w:rsidRDefault="0049098D" w:rsidP="007A6D07">
            <w:pPr>
              <w:spacing w:line="240" w:lineRule="auto"/>
              <w:ind w:left="-108"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808F1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101 880,2</w:t>
            </w:r>
          </w:p>
        </w:tc>
        <w:tc>
          <w:tcPr>
            <w:tcW w:w="26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9098D" w:rsidRPr="002808F1" w:rsidRDefault="0049098D" w:rsidP="007A6D07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E1202" w:rsidRPr="00EE1202" w:rsidTr="002B6574">
        <w:trPr>
          <w:trHeight w:val="20"/>
        </w:trPr>
        <w:tc>
          <w:tcPr>
            <w:tcW w:w="9923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E1202" w:rsidRPr="00EE1202" w:rsidRDefault="00EE1202" w:rsidP="00EE1202">
            <w:pPr>
              <w:ind w:firstLine="0"/>
              <w:rPr>
                <w:i/>
                <w:color w:val="000000"/>
                <w:sz w:val="20"/>
                <w:szCs w:val="20"/>
              </w:rPr>
            </w:pPr>
            <w:r w:rsidRPr="00EE1202">
              <w:rPr>
                <w:i/>
                <w:color w:val="000000"/>
                <w:sz w:val="20"/>
                <w:szCs w:val="20"/>
              </w:rPr>
              <w:t>*без учёта расходов на оплату кредиторской задолженности за 2017 год.</w:t>
            </w:r>
          </w:p>
        </w:tc>
      </w:tr>
    </w:tbl>
    <w:p w:rsidR="00D713F5" w:rsidRPr="008F410A" w:rsidRDefault="00D713F5" w:rsidP="00C80E24">
      <w:pPr>
        <w:pStyle w:val="ConsPlusNormal"/>
        <w:ind w:firstLine="709"/>
        <w:jc w:val="both"/>
      </w:pPr>
    </w:p>
    <w:p w:rsidR="002B6574" w:rsidRPr="007A5015" w:rsidRDefault="002B6574" w:rsidP="002B6574">
      <w:pPr>
        <w:shd w:val="clear" w:color="auto" w:fill="FFFFFF"/>
        <w:spacing w:line="240" w:lineRule="auto"/>
        <w:ind w:firstLine="720"/>
        <w:rPr>
          <w:rFonts w:eastAsia="Times New Roman"/>
          <w:b/>
          <w:bCs/>
          <w:spacing w:val="-1"/>
          <w:sz w:val="24"/>
          <w:lang w:eastAsia="ru-RU"/>
        </w:rPr>
      </w:pPr>
      <w:r w:rsidRPr="007A5015">
        <w:rPr>
          <w:rFonts w:eastAsia="Times New Roman"/>
          <w:b/>
          <w:bCs/>
          <w:spacing w:val="-1"/>
          <w:sz w:val="24"/>
          <w:lang w:eastAsia="ru-RU"/>
        </w:rPr>
        <w:t>Результаты контрольного мероприятия:</w:t>
      </w:r>
    </w:p>
    <w:p w:rsidR="00A460F1" w:rsidRPr="00EB34F4" w:rsidRDefault="00A460F1" w:rsidP="001C1E01">
      <w:pPr>
        <w:pStyle w:val="ConsPlusNormal"/>
        <w:ind w:firstLine="709"/>
        <w:jc w:val="center"/>
        <w:rPr>
          <w:b/>
          <w:i/>
        </w:rPr>
      </w:pPr>
      <w:r w:rsidRPr="00EB34F4">
        <w:rPr>
          <w:b/>
          <w:i/>
        </w:rPr>
        <w:t>Соблюдение законодательства при использовании бюджетных средств</w:t>
      </w:r>
    </w:p>
    <w:p w:rsidR="000A7E90" w:rsidRPr="00EB34F4" w:rsidRDefault="001C1E01" w:rsidP="001C1E01">
      <w:pPr>
        <w:pStyle w:val="ConsPlusNormal"/>
        <w:ind w:firstLine="709"/>
        <w:jc w:val="center"/>
        <w:rPr>
          <w:i/>
        </w:rPr>
      </w:pPr>
      <w:r w:rsidRPr="00EB34F4">
        <w:rPr>
          <w:i/>
        </w:rPr>
        <w:t xml:space="preserve">Субсидии </w:t>
      </w:r>
      <w:r w:rsidR="00EE1202" w:rsidRPr="00EB34F4">
        <w:rPr>
          <w:i/>
        </w:rPr>
        <w:t xml:space="preserve">по РТ </w:t>
      </w:r>
    </w:p>
    <w:p w:rsidR="007A6D07" w:rsidRPr="007A6D07" w:rsidRDefault="00DE753D" w:rsidP="0030036B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EB34F4">
        <w:rPr>
          <w:rFonts w:eastAsiaTheme="minorHAnsi"/>
          <w:sz w:val="24"/>
        </w:rPr>
        <w:t>ГУП «</w:t>
      </w:r>
      <w:proofErr w:type="spellStart"/>
      <w:r w:rsidRPr="00EB34F4">
        <w:rPr>
          <w:rFonts w:eastAsiaTheme="minorHAnsi"/>
          <w:sz w:val="24"/>
        </w:rPr>
        <w:t>Волгорадавтотранс</w:t>
      </w:r>
      <w:proofErr w:type="spellEnd"/>
      <w:r w:rsidRPr="00EB34F4">
        <w:rPr>
          <w:rFonts w:eastAsiaTheme="minorHAnsi"/>
          <w:sz w:val="24"/>
        </w:rPr>
        <w:t>» осуществляло д</w:t>
      </w:r>
      <w:r w:rsidR="007A6D07" w:rsidRPr="00EB34F4">
        <w:rPr>
          <w:rFonts w:eastAsiaTheme="minorHAnsi"/>
          <w:sz w:val="24"/>
        </w:rPr>
        <w:t>еятельность по перевоз</w:t>
      </w:r>
      <w:r w:rsidRPr="00EB34F4">
        <w:rPr>
          <w:rFonts w:eastAsiaTheme="minorHAnsi"/>
          <w:sz w:val="24"/>
        </w:rPr>
        <w:t>кам</w:t>
      </w:r>
      <w:r w:rsidR="007A6D07" w:rsidRPr="00EB34F4">
        <w:rPr>
          <w:rFonts w:eastAsiaTheme="minorHAnsi"/>
          <w:sz w:val="24"/>
        </w:rPr>
        <w:t xml:space="preserve"> по </w:t>
      </w:r>
      <w:r w:rsidR="0030036B" w:rsidRPr="00EB34F4">
        <w:rPr>
          <w:rFonts w:eastAsiaTheme="minorHAnsi"/>
          <w:sz w:val="24"/>
        </w:rPr>
        <w:t>РТ</w:t>
      </w:r>
      <w:r w:rsidR="007A6D07" w:rsidRPr="00EB34F4">
        <w:rPr>
          <w:rFonts w:eastAsiaTheme="minorHAnsi"/>
          <w:sz w:val="24"/>
        </w:rPr>
        <w:t xml:space="preserve"> на</w:t>
      </w:r>
      <w:r w:rsidR="007A6D07" w:rsidRPr="007A6D07">
        <w:rPr>
          <w:rFonts w:eastAsiaTheme="minorHAnsi"/>
          <w:sz w:val="24"/>
        </w:rPr>
        <w:t xml:space="preserve"> основании договоров транспортного обслуживания, заключённых в июне 2015 года сроком на 5 лет на обслуживание 65 межмуниципальных маршрутов на территории Волгоградской области </w:t>
      </w:r>
      <w:r>
        <w:rPr>
          <w:rFonts w:eastAsiaTheme="minorHAnsi"/>
          <w:sz w:val="24"/>
        </w:rPr>
        <w:t>(</w:t>
      </w:r>
      <w:r w:rsidR="007A6D07" w:rsidRPr="007A6D07">
        <w:rPr>
          <w:rFonts w:eastAsiaTheme="minorHAnsi"/>
          <w:sz w:val="24"/>
        </w:rPr>
        <w:t>14 маршрутов междугородного сообщения и 51 маршрут пригородного сообщения</w:t>
      </w:r>
      <w:r>
        <w:rPr>
          <w:rFonts w:eastAsiaTheme="minorHAnsi"/>
          <w:sz w:val="24"/>
        </w:rPr>
        <w:t>), и соглашений о предоставлении субсидии по РТ</w:t>
      </w:r>
      <w:r w:rsidR="007A6D07" w:rsidRPr="007A6D07">
        <w:rPr>
          <w:rFonts w:eastAsiaTheme="minorHAnsi"/>
          <w:sz w:val="24"/>
        </w:rPr>
        <w:t>.</w:t>
      </w:r>
    </w:p>
    <w:p w:rsidR="007A6D07" w:rsidRPr="007A6D07" w:rsidRDefault="007A6D07" w:rsidP="008C16B0">
      <w:pPr>
        <w:spacing w:line="240" w:lineRule="auto"/>
        <w:rPr>
          <w:rFonts w:eastAsiaTheme="minorHAnsi"/>
          <w:sz w:val="24"/>
        </w:rPr>
      </w:pPr>
      <w:r w:rsidRPr="007A6D07">
        <w:rPr>
          <w:rFonts w:eastAsiaTheme="minorHAnsi"/>
          <w:sz w:val="24"/>
        </w:rPr>
        <w:t>ГУП «</w:t>
      </w:r>
      <w:proofErr w:type="spellStart"/>
      <w:r w:rsidRPr="007A6D07">
        <w:rPr>
          <w:rFonts w:eastAsiaTheme="minorHAnsi"/>
          <w:sz w:val="24"/>
        </w:rPr>
        <w:t>Волгоградавтотранс</w:t>
      </w:r>
      <w:proofErr w:type="spellEnd"/>
      <w:r w:rsidRPr="007A6D07">
        <w:rPr>
          <w:rFonts w:eastAsiaTheme="minorHAnsi"/>
          <w:sz w:val="24"/>
        </w:rPr>
        <w:t xml:space="preserve">» </w:t>
      </w:r>
      <w:r w:rsidR="000A22FB" w:rsidRPr="007A6D07">
        <w:rPr>
          <w:rFonts w:eastAsiaTheme="minorHAnsi"/>
          <w:sz w:val="24"/>
        </w:rPr>
        <w:t>не исполнена</w:t>
      </w:r>
      <w:r w:rsidR="000A22FB">
        <w:rPr>
          <w:rFonts w:eastAsiaTheme="minorHAnsi"/>
          <w:sz w:val="24"/>
        </w:rPr>
        <w:t xml:space="preserve"> в полном объёме</w:t>
      </w:r>
      <w:r w:rsidR="000A22FB" w:rsidRPr="007A6D07">
        <w:rPr>
          <w:rFonts w:eastAsiaTheme="minorHAnsi"/>
          <w:sz w:val="24"/>
        </w:rPr>
        <w:t xml:space="preserve"> </w:t>
      </w:r>
      <w:r w:rsidRPr="007A6D07">
        <w:rPr>
          <w:rFonts w:eastAsiaTheme="minorHAnsi"/>
          <w:sz w:val="24"/>
        </w:rPr>
        <w:t xml:space="preserve">обязанность </w:t>
      </w:r>
      <w:r w:rsidR="0030036B">
        <w:rPr>
          <w:rFonts w:eastAsiaTheme="minorHAnsi"/>
          <w:sz w:val="24"/>
        </w:rPr>
        <w:t xml:space="preserve">по </w:t>
      </w:r>
      <w:r w:rsidRPr="007A6D07">
        <w:rPr>
          <w:rFonts w:eastAsiaTheme="minorHAnsi"/>
          <w:sz w:val="24"/>
        </w:rPr>
        <w:t>ведени</w:t>
      </w:r>
      <w:r w:rsidR="0030036B">
        <w:rPr>
          <w:rFonts w:eastAsiaTheme="minorHAnsi"/>
          <w:sz w:val="24"/>
        </w:rPr>
        <w:t>ю</w:t>
      </w:r>
      <w:r w:rsidRPr="007A6D07">
        <w:rPr>
          <w:rFonts w:eastAsiaTheme="minorHAnsi"/>
          <w:sz w:val="24"/>
        </w:rPr>
        <w:t xml:space="preserve"> раздельного учёта</w:t>
      </w:r>
      <w:r w:rsidR="00206EAD" w:rsidRPr="00206EAD">
        <w:rPr>
          <w:rFonts w:eastAsiaTheme="minorHAnsi"/>
          <w:sz w:val="24"/>
        </w:rPr>
        <w:t xml:space="preserve"> </w:t>
      </w:r>
      <w:r w:rsidR="00206EAD" w:rsidRPr="007A6D07">
        <w:rPr>
          <w:rFonts w:eastAsiaTheme="minorHAnsi"/>
          <w:sz w:val="24"/>
        </w:rPr>
        <w:t>затрат и доходов при осуществлении регулируемой деятельности</w:t>
      </w:r>
      <w:r w:rsidR="000A22FB">
        <w:rPr>
          <w:rFonts w:eastAsiaTheme="minorHAnsi"/>
          <w:sz w:val="24"/>
        </w:rPr>
        <w:t xml:space="preserve">, которая согласно </w:t>
      </w:r>
      <w:proofErr w:type="spellStart"/>
      <w:r w:rsidR="00384A3D">
        <w:rPr>
          <w:rFonts w:eastAsiaTheme="minorHAnsi"/>
          <w:sz w:val="24"/>
        </w:rPr>
        <w:t>пп</w:t>
      </w:r>
      <w:proofErr w:type="spellEnd"/>
      <w:r w:rsidR="00384A3D">
        <w:rPr>
          <w:rFonts w:eastAsiaTheme="minorHAnsi"/>
          <w:sz w:val="24"/>
        </w:rPr>
        <w:t xml:space="preserve">. 3 </w:t>
      </w:r>
      <w:r w:rsidR="000A22FB" w:rsidRPr="007A6D07">
        <w:rPr>
          <w:rFonts w:eastAsiaTheme="minorHAnsi"/>
          <w:sz w:val="24"/>
        </w:rPr>
        <w:t>п.</w:t>
      </w:r>
      <w:r w:rsidR="000A22FB">
        <w:rPr>
          <w:rFonts w:eastAsiaTheme="minorHAnsi"/>
          <w:sz w:val="24"/>
        </w:rPr>
        <w:t xml:space="preserve"> </w:t>
      </w:r>
      <w:r w:rsidR="000A22FB" w:rsidRPr="007A6D07">
        <w:rPr>
          <w:rFonts w:eastAsiaTheme="minorHAnsi"/>
          <w:sz w:val="24"/>
        </w:rPr>
        <w:t>2.1</w:t>
      </w:r>
      <w:r w:rsidR="000A22FB">
        <w:rPr>
          <w:rFonts w:eastAsiaTheme="minorHAnsi"/>
          <w:sz w:val="24"/>
        </w:rPr>
        <w:t xml:space="preserve"> </w:t>
      </w:r>
      <w:r w:rsidR="000A22FB" w:rsidRPr="007A6D07">
        <w:rPr>
          <w:rFonts w:eastAsiaTheme="minorEastAsia"/>
          <w:sz w:val="24"/>
          <w:lang w:eastAsia="ru-RU"/>
        </w:rPr>
        <w:t>Поряд</w:t>
      </w:r>
      <w:r w:rsidR="00206EAD">
        <w:rPr>
          <w:rFonts w:eastAsiaTheme="minorEastAsia"/>
          <w:sz w:val="24"/>
          <w:lang w:eastAsia="ru-RU"/>
        </w:rPr>
        <w:t>ка</w:t>
      </w:r>
      <w:r w:rsidR="000A22FB" w:rsidRPr="007A6D07">
        <w:rPr>
          <w:rFonts w:eastAsiaTheme="minorEastAsia"/>
          <w:sz w:val="24"/>
          <w:lang w:eastAsia="ru-RU"/>
        </w:rPr>
        <w:t xml:space="preserve"> предоставления субсидии </w:t>
      </w:r>
      <w:r w:rsidR="000A22FB">
        <w:rPr>
          <w:rFonts w:eastAsiaTheme="minorEastAsia"/>
          <w:sz w:val="24"/>
          <w:lang w:eastAsia="ru-RU"/>
        </w:rPr>
        <w:t>по РТ</w:t>
      </w:r>
      <w:r w:rsidR="00206EAD">
        <w:rPr>
          <w:rFonts w:eastAsiaTheme="minorEastAsia"/>
          <w:sz w:val="24"/>
          <w:lang w:eastAsia="ru-RU"/>
        </w:rPr>
        <w:t>,</w:t>
      </w:r>
      <w:r w:rsidR="000A22FB" w:rsidRPr="007A6D07">
        <w:rPr>
          <w:rFonts w:eastAsiaTheme="minorEastAsia"/>
          <w:sz w:val="24"/>
          <w:lang w:eastAsia="ru-RU"/>
        </w:rPr>
        <w:t xml:space="preserve"> утверждён</w:t>
      </w:r>
      <w:r w:rsidR="00206EAD">
        <w:rPr>
          <w:rFonts w:eastAsiaTheme="minorEastAsia"/>
          <w:sz w:val="24"/>
          <w:lang w:eastAsia="ru-RU"/>
        </w:rPr>
        <w:t>ного</w:t>
      </w:r>
      <w:r w:rsidR="000A22FB" w:rsidRPr="007A6D07">
        <w:rPr>
          <w:rFonts w:eastAsiaTheme="minorEastAsia"/>
          <w:sz w:val="24"/>
          <w:lang w:eastAsia="ru-RU"/>
        </w:rPr>
        <w:t xml:space="preserve"> постановлением Администрации Волгоградской обл</w:t>
      </w:r>
      <w:r w:rsidR="000A22FB">
        <w:rPr>
          <w:rFonts w:eastAsiaTheme="minorEastAsia"/>
          <w:sz w:val="24"/>
          <w:lang w:eastAsia="ru-RU"/>
        </w:rPr>
        <w:t>асти</w:t>
      </w:r>
      <w:r w:rsidR="000A22FB" w:rsidRPr="007A6D07">
        <w:rPr>
          <w:rFonts w:eastAsiaTheme="minorEastAsia"/>
          <w:sz w:val="24"/>
          <w:lang w:eastAsia="ru-RU"/>
        </w:rPr>
        <w:t xml:space="preserve"> от 27.11.2017 </w:t>
      </w:r>
      <w:r w:rsidR="000A22FB">
        <w:rPr>
          <w:rFonts w:eastAsiaTheme="minorEastAsia"/>
          <w:sz w:val="24"/>
          <w:lang w:eastAsia="ru-RU"/>
        </w:rPr>
        <w:t>№</w:t>
      </w:r>
      <w:r w:rsidR="000A22FB" w:rsidRPr="007A6D07">
        <w:rPr>
          <w:rFonts w:eastAsiaTheme="minorEastAsia"/>
          <w:sz w:val="24"/>
          <w:lang w:eastAsia="ru-RU"/>
        </w:rPr>
        <w:t xml:space="preserve"> 623-п (далее – Порядок № 623-п)</w:t>
      </w:r>
      <w:r w:rsidR="00DE753D">
        <w:rPr>
          <w:rFonts w:eastAsiaTheme="minorEastAsia"/>
          <w:sz w:val="24"/>
          <w:lang w:eastAsia="ru-RU"/>
        </w:rPr>
        <w:t>,</w:t>
      </w:r>
      <w:r w:rsidR="00206EAD">
        <w:rPr>
          <w:rFonts w:eastAsiaTheme="minorEastAsia"/>
          <w:sz w:val="24"/>
          <w:lang w:eastAsia="ru-RU"/>
        </w:rPr>
        <w:t xml:space="preserve"> является одним из условий предоставления субсидии.</w:t>
      </w:r>
      <w:r w:rsidRPr="007A6D07">
        <w:rPr>
          <w:rFonts w:eastAsiaTheme="minorHAnsi"/>
          <w:sz w:val="24"/>
        </w:rPr>
        <w:t xml:space="preserve"> Положени</w:t>
      </w:r>
      <w:r w:rsidR="0030036B">
        <w:rPr>
          <w:rFonts w:eastAsiaTheme="minorHAnsi"/>
          <w:sz w:val="24"/>
        </w:rPr>
        <w:t>ем</w:t>
      </w:r>
      <w:r w:rsidRPr="007A6D07">
        <w:rPr>
          <w:rFonts w:eastAsiaTheme="minorHAnsi"/>
          <w:sz w:val="24"/>
        </w:rPr>
        <w:t xml:space="preserve"> об учётной политике </w:t>
      </w:r>
      <w:r w:rsidR="0030036B">
        <w:rPr>
          <w:rFonts w:eastAsiaTheme="minorHAnsi"/>
          <w:sz w:val="24"/>
        </w:rPr>
        <w:t>п</w:t>
      </w:r>
      <w:r w:rsidRPr="007A6D07">
        <w:rPr>
          <w:rFonts w:eastAsiaTheme="minorHAnsi"/>
          <w:sz w:val="24"/>
        </w:rPr>
        <w:t xml:space="preserve">редприятия не предусмотрены способы учёта доходов, затрат основного производства, общехозяйственных расходов, прочих расходов, относящихся к </w:t>
      </w:r>
      <w:r w:rsidR="000F1DEE">
        <w:rPr>
          <w:rFonts w:eastAsiaTheme="minorHAnsi"/>
          <w:sz w:val="24"/>
        </w:rPr>
        <w:t>перевозкам по РТ и НРТ. По этой причине</w:t>
      </w:r>
      <w:r w:rsidRPr="007A6D07">
        <w:rPr>
          <w:rFonts w:eastAsiaTheme="minorHAnsi"/>
          <w:sz w:val="24"/>
        </w:rPr>
        <w:t xml:space="preserve"> в филиалах и аппарате ГУП применялись различные способы и принципы отнесения расходов на результаты деятельности по разным видам перевозок (по маршрутам, субсидируемым из областного бюджета; по маршрутам, субсидируемым из муниципальных бюджетов; по маршрутам </w:t>
      </w:r>
      <w:r w:rsidR="000F1DEE">
        <w:rPr>
          <w:rFonts w:eastAsiaTheme="minorHAnsi"/>
          <w:sz w:val="24"/>
        </w:rPr>
        <w:t>по НРТ</w:t>
      </w:r>
      <w:r w:rsidRPr="007A6D07">
        <w:rPr>
          <w:rFonts w:eastAsiaTheme="minorHAnsi"/>
          <w:sz w:val="24"/>
        </w:rPr>
        <w:t xml:space="preserve"> – не субсидируемым).</w:t>
      </w:r>
    </w:p>
    <w:p w:rsidR="007A6D07" w:rsidRPr="007A6D07" w:rsidRDefault="007A6D07" w:rsidP="008C16B0">
      <w:pPr>
        <w:spacing w:line="240" w:lineRule="auto"/>
        <w:rPr>
          <w:rFonts w:eastAsiaTheme="minorHAnsi"/>
          <w:sz w:val="24"/>
        </w:rPr>
      </w:pPr>
      <w:proofErr w:type="gramStart"/>
      <w:r w:rsidRPr="007A6D07">
        <w:rPr>
          <w:rFonts w:eastAsiaTheme="minorHAnsi"/>
          <w:sz w:val="24"/>
        </w:rPr>
        <w:t xml:space="preserve">В результате недолжного исполнения обязанности по ведению раздельного учёта информация о расходах при обеспечении перевозок по </w:t>
      </w:r>
      <w:r w:rsidR="000F1DEE">
        <w:rPr>
          <w:rFonts w:eastAsiaTheme="minorHAnsi"/>
          <w:sz w:val="24"/>
        </w:rPr>
        <w:t>РТ</w:t>
      </w:r>
      <w:proofErr w:type="gramEnd"/>
      <w:r w:rsidRPr="007A6D07">
        <w:rPr>
          <w:rFonts w:eastAsiaTheme="minorHAnsi"/>
          <w:sz w:val="24"/>
        </w:rPr>
        <w:t>, которую ГУП предоставлял ежемесячно для получения субсидии, недостоверн</w:t>
      </w:r>
      <w:r w:rsidR="000F1DEE">
        <w:rPr>
          <w:rFonts w:eastAsiaTheme="minorHAnsi"/>
          <w:sz w:val="24"/>
        </w:rPr>
        <w:t>а</w:t>
      </w:r>
      <w:r w:rsidRPr="007A6D07">
        <w:rPr>
          <w:rFonts w:eastAsiaTheme="minorHAnsi"/>
          <w:sz w:val="24"/>
        </w:rPr>
        <w:t xml:space="preserve">. Так, за 2018 год расходы </w:t>
      </w:r>
      <w:r w:rsidR="00D60DFD" w:rsidRPr="007A6D07">
        <w:rPr>
          <w:rFonts w:eastAsiaTheme="minorHAnsi"/>
          <w:sz w:val="24"/>
        </w:rPr>
        <w:t>Г</w:t>
      </w:r>
      <w:r w:rsidR="00D60DFD">
        <w:rPr>
          <w:rFonts w:eastAsiaTheme="minorHAnsi"/>
          <w:sz w:val="24"/>
        </w:rPr>
        <w:t xml:space="preserve">УП </w:t>
      </w:r>
      <w:r w:rsidR="00D60DFD" w:rsidRPr="007A6D07">
        <w:rPr>
          <w:rFonts w:eastAsiaTheme="minorHAnsi"/>
          <w:sz w:val="24"/>
        </w:rPr>
        <w:t>«</w:t>
      </w:r>
      <w:proofErr w:type="spellStart"/>
      <w:r w:rsidR="00D60DFD" w:rsidRPr="007A6D07">
        <w:rPr>
          <w:rFonts w:eastAsiaTheme="minorHAnsi"/>
          <w:sz w:val="24"/>
        </w:rPr>
        <w:t>Волгоградавтотранс</w:t>
      </w:r>
      <w:proofErr w:type="spellEnd"/>
      <w:r w:rsidR="00D60DFD" w:rsidRPr="007A6D07">
        <w:rPr>
          <w:rFonts w:eastAsiaTheme="minorHAnsi"/>
          <w:sz w:val="24"/>
        </w:rPr>
        <w:t xml:space="preserve">» </w:t>
      </w:r>
      <w:r w:rsidRPr="007A6D07">
        <w:rPr>
          <w:rFonts w:eastAsiaTheme="minorHAnsi"/>
          <w:sz w:val="24"/>
        </w:rPr>
        <w:t xml:space="preserve">по осуществлению перевозок по </w:t>
      </w:r>
      <w:r w:rsidR="000F1DEE">
        <w:rPr>
          <w:rFonts w:eastAsiaTheme="minorHAnsi"/>
          <w:sz w:val="24"/>
        </w:rPr>
        <w:t>РТ</w:t>
      </w:r>
      <w:r w:rsidRPr="007A6D07">
        <w:rPr>
          <w:rFonts w:eastAsiaTheme="minorHAnsi"/>
          <w:sz w:val="24"/>
        </w:rPr>
        <w:t xml:space="preserve"> занижены на 20</w:t>
      </w:r>
      <w:r w:rsidR="00D60DFD">
        <w:rPr>
          <w:rFonts w:eastAsiaTheme="minorHAnsi"/>
          <w:sz w:val="24"/>
        </w:rPr>
        <w:t> </w:t>
      </w:r>
      <w:r w:rsidR="00C153D6">
        <w:rPr>
          <w:rFonts w:eastAsiaTheme="minorHAnsi"/>
          <w:sz w:val="24"/>
        </w:rPr>
        <w:t>504,3 тыс.</w:t>
      </w:r>
      <w:r w:rsidR="00206EAD">
        <w:rPr>
          <w:rFonts w:eastAsiaTheme="minorHAnsi"/>
          <w:sz w:val="24"/>
        </w:rPr>
        <w:t xml:space="preserve"> </w:t>
      </w:r>
      <w:r w:rsidR="00C153D6">
        <w:rPr>
          <w:rFonts w:eastAsiaTheme="minorHAnsi"/>
          <w:sz w:val="24"/>
        </w:rPr>
        <w:t>рублей.</w:t>
      </w:r>
    </w:p>
    <w:p w:rsidR="007A6D07" w:rsidRPr="003620AD" w:rsidRDefault="007A6D07" w:rsidP="008C16B0">
      <w:pPr>
        <w:spacing w:line="240" w:lineRule="auto"/>
        <w:rPr>
          <w:rFonts w:eastAsiaTheme="minorHAnsi"/>
          <w:sz w:val="24"/>
        </w:rPr>
      </w:pPr>
      <w:r w:rsidRPr="007A6D07">
        <w:rPr>
          <w:rFonts w:eastAsiaTheme="minorHAnsi"/>
          <w:sz w:val="24"/>
        </w:rPr>
        <w:t xml:space="preserve">Неверное определение и распределение расходов по видам перевозок не привело к дополнительным расходам областного бюджета. </w:t>
      </w:r>
      <w:proofErr w:type="gramStart"/>
      <w:r w:rsidR="00206EAD">
        <w:rPr>
          <w:rFonts w:eastAsiaTheme="minorHAnsi"/>
          <w:sz w:val="24"/>
        </w:rPr>
        <w:t>Однако</w:t>
      </w:r>
      <w:r w:rsidRPr="007A6D07">
        <w:rPr>
          <w:rFonts w:eastAsiaTheme="minorHAnsi"/>
          <w:sz w:val="24"/>
        </w:rPr>
        <w:t xml:space="preserve">, это повлияло на занижение субсидий на возмещение затрат в связи с оказанием услуг по перевозке пассажиров </w:t>
      </w:r>
      <w:r w:rsidR="00206EAD">
        <w:rPr>
          <w:rFonts w:eastAsiaTheme="minorHAnsi"/>
          <w:sz w:val="24"/>
        </w:rPr>
        <w:t xml:space="preserve">на муниципальных маршрутах </w:t>
      </w:r>
      <w:r w:rsidRPr="007A6D07">
        <w:rPr>
          <w:rFonts w:eastAsiaTheme="minorHAnsi"/>
          <w:sz w:val="24"/>
        </w:rPr>
        <w:t xml:space="preserve">по </w:t>
      </w:r>
      <w:r w:rsidR="000F1DEE">
        <w:rPr>
          <w:rFonts w:eastAsiaTheme="minorHAnsi"/>
          <w:sz w:val="24"/>
        </w:rPr>
        <w:t>РТ</w:t>
      </w:r>
      <w:r w:rsidRPr="007A6D07">
        <w:rPr>
          <w:rFonts w:eastAsiaTheme="minorHAnsi"/>
          <w:sz w:val="24"/>
        </w:rPr>
        <w:t>, которые получа</w:t>
      </w:r>
      <w:r w:rsidR="000F1DEE">
        <w:rPr>
          <w:rFonts w:eastAsiaTheme="minorHAnsi"/>
          <w:sz w:val="24"/>
        </w:rPr>
        <w:t>ли</w:t>
      </w:r>
      <w:r w:rsidRPr="007A6D07">
        <w:rPr>
          <w:rFonts w:eastAsiaTheme="minorHAnsi"/>
          <w:sz w:val="24"/>
        </w:rPr>
        <w:t xml:space="preserve"> филиалы </w:t>
      </w:r>
      <w:r w:rsidR="00D60DFD">
        <w:rPr>
          <w:rFonts w:eastAsiaTheme="minorHAnsi"/>
          <w:sz w:val="24"/>
        </w:rPr>
        <w:t>п</w:t>
      </w:r>
      <w:r w:rsidRPr="007A6D07">
        <w:rPr>
          <w:rFonts w:eastAsiaTheme="minorHAnsi"/>
          <w:sz w:val="24"/>
        </w:rPr>
        <w:t>редприятия (Автоколонна 1730 «</w:t>
      </w:r>
      <w:proofErr w:type="spellStart"/>
      <w:r w:rsidRPr="007A6D07">
        <w:rPr>
          <w:rFonts w:eastAsiaTheme="minorHAnsi"/>
          <w:sz w:val="24"/>
        </w:rPr>
        <w:t>Новоаннинская</w:t>
      </w:r>
      <w:proofErr w:type="spellEnd"/>
      <w:r w:rsidRPr="007A6D07">
        <w:rPr>
          <w:rFonts w:eastAsiaTheme="minorHAnsi"/>
          <w:sz w:val="24"/>
        </w:rPr>
        <w:t xml:space="preserve">», ПАТП </w:t>
      </w:r>
      <w:proofErr w:type="spellStart"/>
      <w:r w:rsidRPr="007A6D07">
        <w:rPr>
          <w:rFonts w:eastAsiaTheme="minorHAnsi"/>
          <w:sz w:val="24"/>
        </w:rPr>
        <w:t>Фроловское</w:t>
      </w:r>
      <w:proofErr w:type="spellEnd"/>
      <w:r w:rsidRPr="007A6D07">
        <w:rPr>
          <w:rFonts w:eastAsiaTheme="minorHAnsi"/>
          <w:sz w:val="24"/>
        </w:rPr>
        <w:t xml:space="preserve">) из </w:t>
      </w:r>
      <w:r w:rsidR="0069429B">
        <w:rPr>
          <w:rFonts w:eastAsiaTheme="minorHAnsi"/>
          <w:sz w:val="24"/>
        </w:rPr>
        <w:t xml:space="preserve">местных </w:t>
      </w:r>
      <w:r w:rsidRPr="007A6D07">
        <w:rPr>
          <w:rFonts w:eastAsiaTheme="minorHAnsi"/>
          <w:sz w:val="24"/>
        </w:rPr>
        <w:t>бюджет</w:t>
      </w:r>
      <w:r w:rsidR="0069429B">
        <w:rPr>
          <w:rFonts w:eastAsiaTheme="minorHAnsi"/>
          <w:sz w:val="24"/>
        </w:rPr>
        <w:t>ов</w:t>
      </w:r>
      <w:r w:rsidRPr="007A6D07">
        <w:rPr>
          <w:rFonts w:eastAsiaTheme="minorHAnsi"/>
          <w:sz w:val="24"/>
        </w:rPr>
        <w:t xml:space="preserve"> Новоаннинского </w:t>
      </w:r>
      <w:r w:rsidR="000F1DEE">
        <w:rPr>
          <w:rFonts w:eastAsiaTheme="minorHAnsi"/>
          <w:sz w:val="24"/>
        </w:rPr>
        <w:t xml:space="preserve">муниципального </w:t>
      </w:r>
      <w:r w:rsidRPr="007A6D07">
        <w:rPr>
          <w:rFonts w:eastAsiaTheme="minorHAnsi"/>
          <w:sz w:val="24"/>
        </w:rPr>
        <w:t>района</w:t>
      </w:r>
      <w:r w:rsidR="0069429B">
        <w:rPr>
          <w:rFonts w:eastAsiaTheme="minorHAnsi"/>
          <w:sz w:val="24"/>
        </w:rPr>
        <w:t>,</w:t>
      </w:r>
      <w:r w:rsidRPr="007A6D07">
        <w:rPr>
          <w:rFonts w:eastAsiaTheme="minorHAnsi"/>
          <w:sz w:val="24"/>
        </w:rPr>
        <w:t xml:space="preserve"> </w:t>
      </w:r>
      <w:r w:rsidR="00D100AA">
        <w:rPr>
          <w:rFonts w:eastAsiaTheme="minorHAnsi"/>
          <w:sz w:val="24"/>
        </w:rPr>
        <w:t>городско</w:t>
      </w:r>
      <w:r w:rsidR="0069429B">
        <w:rPr>
          <w:rFonts w:eastAsiaTheme="minorHAnsi"/>
          <w:sz w:val="24"/>
        </w:rPr>
        <w:t>го</w:t>
      </w:r>
      <w:r w:rsidR="00D100AA">
        <w:rPr>
          <w:rFonts w:eastAsiaTheme="minorHAnsi"/>
          <w:sz w:val="24"/>
        </w:rPr>
        <w:t xml:space="preserve"> поселени</w:t>
      </w:r>
      <w:r w:rsidR="0069429B">
        <w:rPr>
          <w:rFonts w:eastAsiaTheme="minorHAnsi"/>
          <w:sz w:val="24"/>
        </w:rPr>
        <w:t>я</w:t>
      </w:r>
      <w:r w:rsidR="00D100AA">
        <w:rPr>
          <w:rFonts w:eastAsiaTheme="minorHAnsi"/>
          <w:sz w:val="24"/>
        </w:rPr>
        <w:t xml:space="preserve"> </w:t>
      </w:r>
      <w:r w:rsidRPr="007A6D07">
        <w:rPr>
          <w:rFonts w:eastAsiaTheme="minorHAnsi"/>
          <w:sz w:val="24"/>
        </w:rPr>
        <w:t>г</w:t>
      </w:r>
      <w:r w:rsidR="00D100AA">
        <w:rPr>
          <w:rFonts w:eastAsiaTheme="minorHAnsi"/>
          <w:sz w:val="24"/>
        </w:rPr>
        <w:t>.</w:t>
      </w:r>
      <w:r w:rsidRPr="007A6D07">
        <w:rPr>
          <w:rFonts w:eastAsiaTheme="minorHAnsi"/>
          <w:sz w:val="24"/>
        </w:rPr>
        <w:t xml:space="preserve"> Новоаннинский, </w:t>
      </w:r>
      <w:r w:rsidR="00D100AA">
        <w:rPr>
          <w:rFonts w:eastAsiaTheme="minorHAnsi"/>
          <w:sz w:val="24"/>
        </w:rPr>
        <w:t>городск</w:t>
      </w:r>
      <w:r w:rsidR="0069429B">
        <w:rPr>
          <w:rFonts w:eastAsiaTheme="minorHAnsi"/>
          <w:sz w:val="24"/>
        </w:rPr>
        <w:t>ого</w:t>
      </w:r>
      <w:r w:rsidR="00D100AA">
        <w:rPr>
          <w:rFonts w:eastAsiaTheme="minorHAnsi"/>
          <w:sz w:val="24"/>
        </w:rPr>
        <w:t xml:space="preserve"> округ</w:t>
      </w:r>
      <w:r w:rsidR="0069429B">
        <w:rPr>
          <w:rFonts w:eastAsiaTheme="minorHAnsi"/>
          <w:sz w:val="24"/>
        </w:rPr>
        <w:t>а</w:t>
      </w:r>
      <w:r w:rsidR="00D100AA">
        <w:rPr>
          <w:rFonts w:eastAsiaTheme="minorHAnsi"/>
          <w:sz w:val="24"/>
        </w:rPr>
        <w:t xml:space="preserve"> </w:t>
      </w:r>
      <w:r w:rsidRPr="007A6D07">
        <w:rPr>
          <w:rFonts w:eastAsiaTheme="minorHAnsi"/>
          <w:sz w:val="24"/>
        </w:rPr>
        <w:t>г.</w:t>
      </w:r>
      <w:r w:rsidR="0069429B">
        <w:rPr>
          <w:rFonts w:eastAsiaTheme="minorHAnsi"/>
          <w:sz w:val="24"/>
        </w:rPr>
        <w:t xml:space="preserve"> </w:t>
      </w:r>
      <w:r w:rsidRPr="003620AD">
        <w:rPr>
          <w:rFonts w:eastAsiaTheme="minorHAnsi"/>
          <w:sz w:val="24"/>
        </w:rPr>
        <w:t>Фролово на 2</w:t>
      </w:r>
      <w:r w:rsidR="00D60DFD" w:rsidRPr="003620AD">
        <w:rPr>
          <w:rFonts w:eastAsiaTheme="minorHAnsi"/>
          <w:sz w:val="24"/>
        </w:rPr>
        <w:t> </w:t>
      </w:r>
      <w:r w:rsidRPr="003620AD">
        <w:rPr>
          <w:rFonts w:eastAsiaTheme="minorHAnsi"/>
          <w:sz w:val="24"/>
        </w:rPr>
        <w:t>680,9 тыс.</w:t>
      </w:r>
      <w:r w:rsidR="00C153D6" w:rsidRPr="003620AD">
        <w:rPr>
          <w:rFonts w:eastAsiaTheme="minorHAnsi"/>
          <w:sz w:val="24"/>
        </w:rPr>
        <w:t xml:space="preserve"> </w:t>
      </w:r>
      <w:r w:rsidRPr="003620AD">
        <w:rPr>
          <w:rFonts w:eastAsiaTheme="minorHAnsi"/>
          <w:sz w:val="24"/>
        </w:rPr>
        <w:t>руб., что отразилось на финансово-экономическом состоянии ГУП и увеличило убытки предприятия</w:t>
      </w:r>
      <w:proofErr w:type="gramEnd"/>
      <w:r w:rsidR="00DE753D" w:rsidRPr="003620AD">
        <w:rPr>
          <w:rFonts w:eastAsiaTheme="minorHAnsi"/>
          <w:sz w:val="24"/>
        </w:rPr>
        <w:t xml:space="preserve"> (см. раздел «Экономическое состояние перевозчиков»)</w:t>
      </w:r>
      <w:r w:rsidRPr="003620AD">
        <w:rPr>
          <w:rFonts w:eastAsiaTheme="minorHAnsi"/>
          <w:sz w:val="24"/>
        </w:rPr>
        <w:t>.</w:t>
      </w:r>
      <w:r w:rsidR="003620AD" w:rsidRPr="003620AD">
        <w:rPr>
          <w:rFonts w:eastAsiaTheme="minorHAnsi"/>
          <w:sz w:val="24"/>
        </w:rPr>
        <w:t xml:space="preserve"> В ходе проверки ГУП «</w:t>
      </w:r>
      <w:proofErr w:type="spellStart"/>
      <w:r w:rsidR="003620AD" w:rsidRPr="003620AD">
        <w:rPr>
          <w:rFonts w:eastAsiaTheme="minorHAnsi"/>
          <w:sz w:val="24"/>
        </w:rPr>
        <w:t>Волгоградавтотранс</w:t>
      </w:r>
      <w:proofErr w:type="spellEnd"/>
      <w:r w:rsidR="003620AD" w:rsidRPr="003620AD">
        <w:rPr>
          <w:rFonts w:eastAsiaTheme="minorHAnsi"/>
          <w:sz w:val="24"/>
        </w:rPr>
        <w:t>» начал принимать меры для</w:t>
      </w:r>
      <w:r w:rsidR="003620AD" w:rsidRPr="003620AD">
        <w:rPr>
          <w:sz w:val="24"/>
        </w:rPr>
        <w:t xml:space="preserve"> обеспечения надлежащего ведения раздельного учета затрат и доходов при осуществлении регулируемой деятельности.</w:t>
      </w:r>
    </w:p>
    <w:p w:rsidR="0030036B" w:rsidRPr="00D60DFD" w:rsidRDefault="0030036B" w:rsidP="0030036B">
      <w:pPr>
        <w:spacing w:line="240" w:lineRule="auto"/>
        <w:rPr>
          <w:rFonts w:eastAsiaTheme="minorHAnsi"/>
          <w:sz w:val="24"/>
        </w:rPr>
      </w:pPr>
      <w:r w:rsidRPr="003620AD">
        <w:rPr>
          <w:rFonts w:eastAsiaTheme="minorHAnsi"/>
          <w:sz w:val="24"/>
        </w:rPr>
        <w:t xml:space="preserve">В </w:t>
      </w:r>
      <w:r w:rsidR="000F1DEE" w:rsidRPr="003620AD">
        <w:rPr>
          <w:rFonts w:eastAsiaTheme="minorHAnsi"/>
          <w:sz w:val="24"/>
        </w:rPr>
        <w:t>соглашениях о предоставлении субсидии</w:t>
      </w:r>
      <w:r w:rsidR="00670163" w:rsidRPr="003620AD">
        <w:rPr>
          <w:rFonts w:eastAsiaTheme="minorHAnsi"/>
          <w:sz w:val="24"/>
        </w:rPr>
        <w:t xml:space="preserve"> по РТ</w:t>
      </w:r>
      <w:r w:rsidR="00206EAD" w:rsidRPr="003620AD">
        <w:rPr>
          <w:rFonts w:eastAsiaTheme="minorHAnsi"/>
          <w:sz w:val="24"/>
        </w:rPr>
        <w:t xml:space="preserve">, заключённых между </w:t>
      </w:r>
      <w:proofErr w:type="spellStart"/>
      <w:r w:rsidR="00206EAD" w:rsidRPr="003620AD">
        <w:rPr>
          <w:rFonts w:eastAsiaTheme="minorHAnsi"/>
          <w:sz w:val="24"/>
        </w:rPr>
        <w:t>Облкомдортрансом</w:t>
      </w:r>
      <w:proofErr w:type="spellEnd"/>
      <w:r w:rsidR="00206EAD" w:rsidRPr="003620AD">
        <w:rPr>
          <w:rFonts w:eastAsiaTheme="minorHAnsi"/>
          <w:sz w:val="24"/>
        </w:rPr>
        <w:t xml:space="preserve"> и ГУП,</w:t>
      </w:r>
      <w:r w:rsidRPr="003620AD">
        <w:rPr>
          <w:rFonts w:eastAsiaTheme="minorHAnsi"/>
          <w:sz w:val="24"/>
        </w:rPr>
        <w:t xml:space="preserve"> ведение раздельного учёта доходов и затрат не </w:t>
      </w:r>
      <w:r w:rsidR="00A05419" w:rsidRPr="003620AD">
        <w:rPr>
          <w:rFonts w:eastAsiaTheme="minorHAnsi"/>
          <w:sz w:val="24"/>
        </w:rPr>
        <w:t>закреплено</w:t>
      </w:r>
      <w:r w:rsidRPr="003620AD">
        <w:rPr>
          <w:rFonts w:eastAsiaTheme="minorHAnsi"/>
          <w:sz w:val="24"/>
        </w:rPr>
        <w:t xml:space="preserve"> в качестве</w:t>
      </w:r>
      <w:r w:rsidRPr="00206EAD">
        <w:rPr>
          <w:rFonts w:eastAsiaTheme="minorHAnsi"/>
          <w:sz w:val="24"/>
        </w:rPr>
        <w:t xml:space="preserve"> условия предоставления субсидии</w:t>
      </w:r>
      <w:r w:rsidR="00397A8C" w:rsidRPr="00206EAD">
        <w:rPr>
          <w:rFonts w:eastAsiaTheme="minorHAnsi"/>
          <w:sz w:val="24"/>
        </w:rPr>
        <w:t xml:space="preserve">, а </w:t>
      </w:r>
      <w:r w:rsidR="00A05419" w:rsidRPr="00206EAD">
        <w:rPr>
          <w:rFonts w:eastAsiaTheme="minorHAnsi"/>
          <w:sz w:val="24"/>
        </w:rPr>
        <w:t>включено в перечень</w:t>
      </w:r>
      <w:r w:rsidR="00C153D6" w:rsidRPr="00206EAD">
        <w:rPr>
          <w:rFonts w:eastAsiaTheme="minorHAnsi"/>
          <w:sz w:val="24"/>
        </w:rPr>
        <w:t xml:space="preserve"> </w:t>
      </w:r>
      <w:r w:rsidRPr="00206EAD">
        <w:rPr>
          <w:rFonts w:eastAsiaTheme="minorHAnsi"/>
          <w:sz w:val="24"/>
        </w:rPr>
        <w:t>обязанност</w:t>
      </w:r>
      <w:r w:rsidR="00A05419" w:rsidRPr="00206EAD">
        <w:rPr>
          <w:rFonts w:eastAsiaTheme="minorHAnsi"/>
          <w:sz w:val="24"/>
        </w:rPr>
        <w:t>ей</w:t>
      </w:r>
      <w:r w:rsidR="00C153D6" w:rsidRPr="00206EAD">
        <w:rPr>
          <w:rFonts w:eastAsiaTheme="minorHAnsi"/>
          <w:sz w:val="24"/>
        </w:rPr>
        <w:t xml:space="preserve"> </w:t>
      </w:r>
      <w:r w:rsidR="00397A8C" w:rsidRPr="00206EAD">
        <w:rPr>
          <w:rFonts w:eastAsiaTheme="minorHAnsi"/>
          <w:sz w:val="24"/>
        </w:rPr>
        <w:t>п</w:t>
      </w:r>
      <w:r w:rsidRPr="00206EAD">
        <w:rPr>
          <w:rFonts w:eastAsiaTheme="minorHAnsi"/>
          <w:sz w:val="24"/>
        </w:rPr>
        <w:t xml:space="preserve">еревозчика в разделе 4 «Взаимодействие сторон», что не соответствует требованиям </w:t>
      </w:r>
      <w:proofErr w:type="spellStart"/>
      <w:r w:rsidR="00384A3D">
        <w:rPr>
          <w:rFonts w:eastAsiaTheme="minorHAnsi"/>
          <w:sz w:val="24"/>
        </w:rPr>
        <w:t>пп</w:t>
      </w:r>
      <w:proofErr w:type="spellEnd"/>
      <w:r w:rsidR="00384A3D">
        <w:rPr>
          <w:rFonts w:eastAsiaTheme="minorHAnsi"/>
          <w:sz w:val="24"/>
        </w:rPr>
        <w:t xml:space="preserve">. 3 </w:t>
      </w:r>
      <w:r w:rsidRPr="00206EAD">
        <w:rPr>
          <w:rFonts w:eastAsiaTheme="minorHAnsi"/>
          <w:sz w:val="24"/>
        </w:rPr>
        <w:t>п.</w:t>
      </w:r>
      <w:r w:rsidR="00C153D6" w:rsidRPr="00206EAD">
        <w:rPr>
          <w:rFonts w:eastAsiaTheme="minorHAnsi"/>
          <w:sz w:val="24"/>
        </w:rPr>
        <w:t xml:space="preserve"> </w:t>
      </w:r>
      <w:r w:rsidRPr="00206EAD">
        <w:rPr>
          <w:rFonts w:eastAsiaTheme="minorHAnsi"/>
          <w:sz w:val="24"/>
        </w:rPr>
        <w:t>2.1 Порядка № 623</w:t>
      </w:r>
      <w:r w:rsidRPr="00D60DFD">
        <w:rPr>
          <w:rFonts w:eastAsiaTheme="minorHAnsi"/>
          <w:sz w:val="24"/>
        </w:rPr>
        <w:t xml:space="preserve">-п. </w:t>
      </w:r>
    </w:p>
    <w:p w:rsidR="0030036B" w:rsidRPr="007A6D07" w:rsidRDefault="0030036B" w:rsidP="0030036B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>Указанное нарушение исключает возможность привлечения получателя</w:t>
      </w:r>
      <w:r w:rsidR="00397A8C">
        <w:rPr>
          <w:rFonts w:eastAsiaTheme="minorHAnsi"/>
          <w:sz w:val="24"/>
        </w:rPr>
        <w:t xml:space="preserve"> (должностных лиц получателя)</w:t>
      </w:r>
      <w:r>
        <w:rPr>
          <w:rFonts w:eastAsiaTheme="minorHAnsi"/>
          <w:sz w:val="24"/>
        </w:rPr>
        <w:t xml:space="preserve"> субсидии к </w:t>
      </w:r>
      <w:r w:rsidRPr="007A6D07">
        <w:rPr>
          <w:rFonts w:eastAsiaTheme="minorHAnsi"/>
          <w:sz w:val="24"/>
        </w:rPr>
        <w:t>административн</w:t>
      </w:r>
      <w:r>
        <w:rPr>
          <w:rFonts w:eastAsiaTheme="minorHAnsi"/>
          <w:sz w:val="24"/>
        </w:rPr>
        <w:t>ой</w:t>
      </w:r>
      <w:r w:rsidRPr="007A6D07">
        <w:rPr>
          <w:rFonts w:eastAsiaTheme="minorHAnsi"/>
          <w:sz w:val="24"/>
        </w:rPr>
        <w:t xml:space="preserve"> ответственност</w:t>
      </w:r>
      <w:r>
        <w:rPr>
          <w:rFonts w:eastAsiaTheme="minorHAnsi"/>
          <w:sz w:val="24"/>
        </w:rPr>
        <w:t>и</w:t>
      </w:r>
      <w:r w:rsidRPr="007A6D07">
        <w:rPr>
          <w:rFonts w:eastAsiaTheme="minorHAnsi"/>
          <w:sz w:val="24"/>
        </w:rPr>
        <w:t xml:space="preserve"> за нарушение условий предоставления</w:t>
      </w:r>
      <w:r w:rsidR="00B718C1">
        <w:rPr>
          <w:rFonts w:eastAsiaTheme="minorHAnsi"/>
          <w:sz w:val="24"/>
        </w:rPr>
        <w:t xml:space="preserve"> субсидий</w:t>
      </w:r>
      <w:r>
        <w:rPr>
          <w:rFonts w:eastAsiaTheme="minorHAnsi"/>
          <w:sz w:val="24"/>
        </w:rPr>
        <w:t xml:space="preserve">, предусмотренной </w:t>
      </w:r>
      <w:proofErr w:type="gramStart"/>
      <w:r>
        <w:rPr>
          <w:rFonts w:eastAsiaTheme="minorHAnsi"/>
          <w:sz w:val="24"/>
        </w:rPr>
        <w:t>ч</w:t>
      </w:r>
      <w:proofErr w:type="gramEnd"/>
      <w:r>
        <w:rPr>
          <w:rFonts w:eastAsiaTheme="minorHAnsi"/>
          <w:sz w:val="24"/>
        </w:rPr>
        <w:t xml:space="preserve">. 2 </w:t>
      </w:r>
      <w:r w:rsidRPr="007A6D07">
        <w:rPr>
          <w:rFonts w:eastAsiaTheme="minorHAnsi"/>
          <w:sz w:val="24"/>
        </w:rPr>
        <w:t xml:space="preserve">ст. 15.15.5 </w:t>
      </w:r>
      <w:proofErr w:type="spellStart"/>
      <w:r w:rsidRPr="007A6D07">
        <w:rPr>
          <w:rFonts w:eastAsiaTheme="minorHAnsi"/>
          <w:sz w:val="24"/>
        </w:rPr>
        <w:t>КоАП</w:t>
      </w:r>
      <w:proofErr w:type="spellEnd"/>
      <w:r w:rsidRPr="007A6D07">
        <w:rPr>
          <w:rFonts w:eastAsiaTheme="minorHAnsi"/>
          <w:sz w:val="24"/>
        </w:rPr>
        <w:t xml:space="preserve">. </w:t>
      </w:r>
    </w:p>
    <w:p w:rsidR="00192431" w:rsidRDefault="00A460F1" w:rsidP="00192431">
      <w:pPr>
        <w:pStyle w:val="ConsPlusNormal"/>
        <w:jc w:val="center"/>
        <w:rPr>
          <w:i/>
        </w:rPr>
      </w:pPr>
      <w:r w:rsidRPr="00EB34F4">
        <w:rPr>
          <w:i/>
        </w:rPr>
        <w:lastRenderedPageBreak/>
        <w:t>К</w:t>
      </w:r>
      <w:r w:rsidR="00192431" w:rsidRPr="00EB34F4">
        <w:rPr>
          <w:i/>
        </w:rPr>
        <w:t>онтракт</w:t>
      </w:r>
      <w:r w:rsidRPr="00EB34F4">
        <w:rPr>
          <w:i/>
        </w:rPr>
        <w:t>ы</w:t>
      </w:r>
      <w:r w:rsidR="00C153D6" w:rsidRPr="00EB34F4">
        <w:rPr>
          <w:i/>
        </w:rPr>
        <w:t xml:space="preserve"> </w:t>
      </w:r>
      <w:r w:rsidR="00192431" w:rsidRPr="00EB34F4">
        <w:rPr>
          <w:i/>
        </w:rPr>
        <w:t>по РТ</w:t>
      </w:r>
    </w:p>
    <w:p w:rsidR="008F0ABB" w:rsidRPr="00670163" w:rsidRDefault="008F0ABB" w:rsidP="008F0ABB">
      <w:pPr>
        <w:autoSpaceDE w:val="0"/>
        <w:autoSpaceDN w:val="0"/>
        <w:adjustRightInd w:val="0"/>
        <w:spacing w:line="240" w:lineRule="auto"/>
        <w:ind w:firstLine="708"/>
        <w:rPr>
          <w:rFonts w:eastAsiaTheme="minorHAnsi"/>
          <w:sz w:val="24"/>
        </w:rPr>
      </w:pPr>
      <w:r w:rsidRPr="00E018E8">
        <w:rPr>
          <w:rFonts w:eastAsiaTheme="minorHAnsi"/>
          <w:sz w:val="24"/>
        </w:rPr>
        <w:t xml:space="preserve">В 2018 году и в течение периода январь-май 2019 года </w:t>
      </w:r>
      <w:proofErr w:type="spellStart"/>
      <w:r w:rsidRPr="00E018E8">
        <w:rPr>
          <w:rFonts w:eastAsiaTheme="minorHAnsi"/>
          <w:sz w:val="24"/>
        </w:rPr>
        <w:t>Облкомдортранс</w:t>
      </w:r>
      <w:proofErr w:type="spellEnd"/>
      <w:r w:rsidRPr="00E018E8">
        <w:rPr>
          <w:rFonts w:eastAsiaTheme="minorHAnsi"/>
          <w:sz w:val="24"/>
        </w:rPr>
        <w:t xml:space="preserve"> в рамках исполнения </w:t>
      </w:r>
      <w:proofErr w:type="gramStart"/>
      <w:r w:rsidRPr="00E018E8">
        <w:rPr>
          <w:rFonts w:eastAsiaTheme="minorHAnsi"/>
          <w:sz w:val="24"/>
        </w:rPr>
        <w:t>ч</w:t>
      </w:r>
      <w:proofErr w:type="gramEnd"/>
      <w:r w:rsidRPr="00E018E8">
        <w:rPr>
          <w:rFonts w:eastAsiaTheme="minorHAnsi"/>
          <w:sz w:val="24"/>
        </w:rPr>
        <w:t xml:space="preserve">. 2 ст. 14 Закона № 220-ФЗ заключил </w:t>
      </w:r>
      <w:r w:rsidR="00670163" w:rsidRPr="00E018E8">
        <w:rPr>
          <w:rFonts w:eastAsiaTheme="minorHAnsi"/>
          <w:sz w:val="24"/>
        </w:rPr>
        <w:t xml:space="preserve">1 государственный контракт с ООО «ВАП» </w:t>
      </w:r>
      <w:r w:rsidR="00670163">
        <w:rPr>
          <w:rFonts w:eastAsiaTheme="minorHAnsi"/>
          <w:sz w:val="24"/>
        </w:rPr>
        <w:t xml:space="preserve">и </w:t>
      </w:r>
      <w:r w:rsidRPr="00E018E8">
        <w:rPr>
          <w:rFonts w:eastAsiaTheme="minorHAnsi"/>
          <w:sz w:val="24"/>
        </w:rPr>
        <w:t xml:space="preserve">7 государственных контрактов с </w:t>
      </w:r>
      <w:r w:rsidRPr="00E018E8">
        <w:rPr>
          <w:rFonts w:eastAsia="Times New Roman"/>
          <w:sz w:val="24"/>
          <w:lang w:eastAsia="ru-RU"/>
        </w:rPr>
        <w:t>МУП «ВАК № 1732»</w:t>
      </w:r>
      <w:r w:rsidRPr="00E018E8">
        <w:rPr>
          <w:rFonts w:eastAsiaTheme="minorHAnsi"/>
          <w:sz w:val="24"/>
        </w:rPr>
        <w:t xml:space="preserve"> </w:t>
      </w:r>
      <w:r>
        <w:rPr>
          <w:rFonts w:eastAsiaTheme="minorHAnsi"/>
          <w:sz w:val="24"/>
        </w:rPr>
        <w:t xml:space="preserve">на перевозки по РТ </w:t>
      </w:r>
      <w:r w:rsidRPr="00E018E8">
        <w:rPr>
          <w:rFonts w:eastAsiaTheme="minorHAnsi"/>
          <w:sz w:val="24"/>
        </w:rPr>
        <w:t xml:space="preserve">на общую сумму </w:t>
      </w:r>
      <w:r w:rsidRPr="00670163">
        <w:rPr>
          <w:rFonts w:eastAsiaTheme="minorHAnsi"/>
          <w:sz w:val="24"/>
        </w:rPr>
        <w:t>115 772,8 тыс. рублей.</w:t>
      </w:r>
    </w:p>
    <w:p w:rsidR="00192431" w:rsidRDefault="00192431" w:rsidP="00192431">
      <w:pPr>
        <w:widowControl w:val="0"/>
        <w:suppressAutoHyphens/>
        <w:autoSpaceDE w:val="0"/>
        <w:spacing w:line="240" w:lineRule="auto"/>
        <w:rPr>
          <w:rFonts w:eastAsia="Times New Roman"/>
          <w:sz w:val="24"/>
          <w:lang w:eastAsia="ru-RU"/>
        </w:rPr>
      </w:pPr>
      <w:r w:rsidRPr="00670163">
        <w:rPr>
          <w:rFonts w:eastAsia="Times New Roman"/>
          <w:sz w:val="24"/>
          <w:lang w:eastAsia="ru-RU"/>
        </w:rPr>
        <w:t>ООО «ВАП» выступал подрядчиком по одному контракту по РТ по двум маршрутам (№ 123, 146) с периодом исполнения январь-сентябрь 2018</w:t>
      </w:r>
      <w:r w:rsidR="00C153D6" w:rsidRPr="00670163">
        <w:rPr>
          <w:rFonts w:eastAsia="Times New Roman"/>
          <w:sz w:val="24"/>
          <w:lang w:eastAsia="ru-RU"/>
        </w:rPr>
        <w:t xml:space="preserve"> </w:t>
      </w:r>
      <w:r w:rsidRPr="00670163">
        <w:rPr>
          <w:rFonts w:eastAsia="Times New Roman"/>
          <w:sz w:val="24"/>
          <w:lang w:eastAsia="ru-RU"/>
        </w:rPr>
        <w:t>года</w:t>
      </w:r>
      <w:r w:rsidR="00360806" w:rsidRPr="00670163">
        <w:rPr>
          <w:rFonts w:eastAsia="Times New Roman"/>
          <w:sz w:val="24"/>
          <w:lang w:eastAsia="ru-RU"/>
        </w:rPr>
        <w:t xml:space="preserve"> и </w:t>
      </w:r>
      <w:r w:rsidRPr="00670163">
        <w:rPr>
          <w:rFonts w:eastAsia="Times New Roman"/>
          <w:sz w:val="24"/>
          <w:lang w:eastAsia="ru-RU"/>
        </w:rPr>
        <w:t>ценой 33 474,1 тыс. рублей.</w:t>
      </w:r>
      <w:r w:rsidRPr="007924EE">
        <w:rPr>
          <w:rFonts w:eastAsia="Times New Roman"/>
          <w:sz w:val="24"/>
          <w:lang w:eastAsia="ru-RU"/>
        </w:rPr>
        <w:t xml:space="preserve"> </w:t>
      </w:r>
      <w:proofErr w:type="spellStart"/>
      <w:r>
        <w:rPr>
          <w:rFonts w:eastAsia="Times New Roman"/>
          <w:sz w:val="24"/>
          <w:lang w:eastAsia="ru-RU"/>
        </w:rPr>
        <w:t>Облкомдорт</w:t>
      </w:r>
      <w:r w:rsidR="00360806">
        <w:rPr>
          <w:rFonts w:eastAsia="Times New Roman"/>
          <w:sz w:val="24"/>
          <w:lang w:eastAsia="ru-RU"/>
        </w:rPr>
        <w:t>р</w:t>
      </w:r>
      <w:r>
        <w:rPr>
          <w:rFonts w:eastAsia="Times New Roman"/>
          <w:sz w:val="24"/>
          <w:lang w:eastAsia="ru-RU"/>
        </w:rPr>
        <w:t>анс</w:t>
      </w:r>
      <w:proofErr w:type="spellEnd"/>
      <w:r>
        <w:rPr>
          <w:rFonts w:eastAsia="Times New Roman"/>
          <w:sz w:val="24"/>
          <w:lang w:eastAsia="ru-RU"/>
        </w:rPr>
        <w:t xml:space="preserve"> принял и оплатил работ на</w:t>
      </w:r>
      <w:r w:rsidRPr="007924EE">
        <w:rPr>
          <w:rFonts w:eastAsia="Times New Roman"/>
          <w:sz w:val="24"/>
          <w:lang w:eastAsia="ru-RU"/>
        </w:rPr>
        <w:t xml:space="preserve"> 17</w:t>
      </w:r>
      <w:r>
        <w:rPr>
          <w:rFonts w:eastAsia="Times New Roman"/>
          <w:sz w:val="24"/>
          <w:lang w:eastAsia="ru-RU"/>
        </w:rPr>
        <w:t> </w:t>
      </w:r>
      <w:r w:rsidRPr="007924EE">
        <w:rPr>
          <w:rFonts w:eastAsia="Times New Roman"/>
          <w:sz w:val="24"/>
          <w:lang w:eastAsia="ru-RU"/>
        </w:rPr>
        <w:t>839,9 тыс. руб</w:t>
      </w:r>
      <w:r w:rsidR="00AC1AB8">
        <w:rPr>
          <w:rFonts w:eastAsia="Times New Roman"/>
          <w:sz w:val="24"/>
          <w:lang w:eastAsia="ru-RU"/>
        </w:rPr>
        <w:t>. в связи с применением штрафных санкций за выявленные нарушения условий контракта, а также в связи с меньшим, чем предусмотрено контрактом, подтверждённым объёмом выполненной работы.</w:t>
      </w:r>
      <w:r w:rsidR="00360806">
        <w:rPr>
          <w:rFonts w:eastAsia="Times New Roman"/>
          <w:sz w:val="24"/>
          <w:lang w:eastAsia="ru-RU"/>
        </w:rPr>
        <w:t xml:space="preserve"> Стороны ведут переписку. </w:t>
      </w:r>
      <w:r>
        <w:rPr>
          <w:rFonts w:eastAsia="Times New Roman"/>
          <w:sz w:val="24"/>
          <w:lang w:eastAsia="ru-RU"/>
        </w:rPr>
        <w:t>Иных нарушений условий контракт</w:t>
      </w:r>
      <w:r w:rsidR="00360806">
        <w:rPr>
          <w:rFonts w:eastAsia="Times New Roman"/>
          <w:sz w:val="24"/>
          <w:lang w:eastAsia="ru-RU"/>
        </w:rPr>
        <w:t>а</w:t>
      </w:r>
      <w:r>
        <w:rPr>
          <w:rFonts w:eastAsia="Times New Roman"/>
          <w:sz w:val="24"/>
          <w:lang w:eastAsia="ru-RU"/>
        </w:rPr>
        <w:t xml:space="preserve"> проверкой не установлено.</w:t>
      </w:r>
    </w:p>
    <w:p w:rsidR="00192431" w:rsidRPr="006166FF" w:rsidRDefault="00192431" w:rsidP="004807E8">
      <w:pPr>
        <w:spacing w:line="240" w:lineRule="auto"/>
        <w:rPr>
          <w:rFonts w:eastAsia="Calibri"/>
          <w:sz w:val="24"/>
        </w:rPr>
      </w:pPr>
      <w:r w:rsidRPr="00B718C1">
        <w:rPr>
          <w:rFonts w:eastAsia="Calibri"/>
          <w:sz w:val="24"/>
        </w:rPr>
        <w:t xml:space="preserve">МУП «ВАК № 1732» </w:t>
      </w:r>
      <w:r w:rsidR="00360806" w:rsidRPr="00B718C1">
        <w:rPr>
          <w:rFonts w:eastAsia="Calibri"/>
          <w:sz w:val="24"/>
        </w:rPr>
        <w:t xml:space="preserve">являлся подрядчиком по 7 контрактам по РТ </w:t>
      </w:r>
      <w:r w:rsidRPr="00B718C1">
        <w:rPr>
          <w:rFonts w:eastAsia="Calibri"/>
          <w:sz w:val="24"/>
        </w:rPr>
        <w:t>по 11 маршрутам пригородного сообщения в 2018 году (</w:t>
      </w:r>
      <w:r w:rsidR="00360806" w:rsidRPr="00B718C1">
        <w:rPr>
          <w:rFonts w:eastAsia="Calibri"/>
          <w:sz w:val="24"/>
        </w:rPr>
        <w:t xml:space="preserve">кроме </w:t>
      </w:r>
      <w:r w:rsidRPr="00B718C1">
        <w:rPr>
          <w:rFonts w:eastAsia="Calibri"/>
          <w:sz w:val="24"/>
        </w:rPr>
        <w:t>№ 123 и № 146</w:t>
      </w:r>
      <w:r w:rsidR="00360806" w:rsidRPr="00B718C1">
        <w:rPr>
          <w:rFonts w:eastAsia="Calibri"/>
          <w:sz w:val="24"/>
        </w:rPr>
        <w:t xml:space="preserve">, подрядчиком по которым выступал </w:t>
      </w:r>
      <w:r w:rsidRPr="00B718C1">
        <w:rPr>
          <w:rFonts w:eastAsia="Calibri"/>
          <w:sz w:val="24"/>
        </w:rPr>
        <w:t>ООО «ВАП») и 13 маршрутам пригородного сообщения в истекшем периоде 2019 года (</w:t>
      </w:r>
      <w:r w:rsidR="00360806" w:rsidRPr="00B718C1">
        <w:rPr>
          <w:rFonts w:eastAsia="Calibri"/>
          <w:sz w:val="24"/>
        </w:rPr>
        <w:t xml:space="preserve">№ </w:t>
      </w:r>
      <w:r w:rsidRPr="00B718C1">
        <w:rPr>
          <w:rFonts w:eastAsia="Calibri"/>
          <w:sz w:val="24"/>
        </w:rPr>
        <w:t xml:space="preserve">102, 104, 108, 109, 111, 112, 116, 117, 119,133,141, 123 и 146). </w:t>
      </w:r>
      <w:proofErr w:type="gramStart"/>
      <w:r w:rsidR="00360806" w:rsidRPr="00B718C1">
        <w:rPr>
          <w:rFonts w:eastAsia="Calibri"/>
          <w:sz w:val="24"/>
        </w:rPr>
        <w:t>Указанные маршруты</w:t>
      </w:r>
      <w:r w:rsidRPr="00B718C1">
        <w:rPr>
          <w:rFonts w:eastAsia="Calibri"/>
          <w:sz w:val="24"/>
        </w:rPr>
        <w:t xml:space="preserve"> составляют полный перечень маршрутов по РТ в заволжской части Волгоградской области и обеспечивают транспортную связь г. Волжский с г. Волгоград</w:t>
      </w:r>
      <w:r w:rsidR="00360806" w:rsidRPr="00B718C1">
        <w:rPr>
          <w:rFonts w:eastAsia="Calibri"/>
          <w:sz w:val="24"/>
        </w:rPr>
        <w:t>ом</w:t>
      </w:r>
      <w:r w:rsidRPr="00B718C1">
        <w:rPr>
          <w:rFonts w:eastAsia="Calibri"/>
          <w:sz w:val="24"/>
        </w:rPr>
        <w:t xml:space="preserve"> и населёнными пунктами</w:t>
      </w:r>
      <w:r w:rsidR="009C6038"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Среднеахтубинского</w:t>
      </w:r>
      <w:proofErr w:type="spellEnd"/>
      <w:r>
        <w:rPr>
          <w:rFonts w:eastAsia="Calibri"/>
          <w:sz w:val="24"/>
        </w:rPr>
        <w:t xml:space="preserve"> и Ленинского районов.</w:t>
      </w:r>
      <w:proofErr w:type="gramEnd"/>
      <w:r w:rsidR="00386106">
        <w:rPr>
          <w:rFonts w:eastAsia="Calibri"/>
          <w:sz w:val="24"/>
        </w:rPr>
        <w:t xml:space="preserve"> Общая сумма контрактов </w:t>
      </w:r>
      <w:r w:rsidR="00386106" w:rsidRPr="006166FF">
        <w:rPr>
          <w:rFonts w:eastAsia="Calibri"/>
          <w:sz w:val="24"/>
        </w:rPr>
        <w:t>82 298,7</w:t>
      </w:r>
      <w:r w:rsidR="00386106">
        <w:rPr>
          <w:rFonts w:eastAsia="Calibri"/>
          <w:sz w:val="24"/>
        </w:rPr>
        <w:t xml:space="preserve"> тыс. рублей. Период выполнения работ от одного до одиннадцати месяцев.</w:t>
      </w:r>
      <w:r w:rsidR="000B5DB5">
        <w:rPr>
          <w:rFonts w:eastAsia="Calibri"/>
          <w:sz w:val="24"/>
        </w:rPr>
        <w:t xml:space="preserve"> </w:t>
      </w:r>
    </w:p>
    <w:p w:rsidR="00192431" w:rsidRPr="002C7261" w:rsidRDefault="00670163" w:rsidP="00192431">
      <w:pPr>
        <w:autoSpaceDE w:val="0"/>
        <w:autoSpaceDN w:val="0"/>
        <w:adjustRightInd w:val="0"/>
        <w:spacing w:line="240" w:lineRule="auto"/>
        <w:ind w:firstLine="708"/>
        <w:rPr>
          <w:rFonts w:eastAsia="Calibri"/>
          <w:sz w:val="24"/>
        </w:rPr>
      </w:pPr>
      <w:r>
        <w:rPr>
          <w:rFonts w:eastAsia="Calibri"/>
          <w:sz w:val="24"/>
        </w:rPr>
        <w:t>Семь</w:t>
      </w:r>
      <w:r w:rsidR="00192431" w:rsidRPr="002C7261">
        <w:rPr>
          <w:rFonts w:eastAsia="Calibri"/>
          <w:sz w:val="24"/>
        </w:rPr>
        <w:t xml:space="preserve"> </w:t>
      </w:r>
      <w:r w:rsidR="00386106" w:rsidRPr="002C7261">
        <w:rPr>
          <w:rFonts w:eastAsia="Calibri"/>
          <w:sz w:val="24"/>
        </w:rPr>
        <w:t>контрактов</w:t>
      </w:r>
      <w:r w:rsidR="00192431" w:rsidRPr="002C7261">
        <w:rPr>
          <w:rFonts w:eastAsia="Calibri"/>
          <w:sz w:val="24"/>
        </w:rPr>
        <w:t xml:space="preserve"> заключены по результатам рассмотрения единственной заявки на участие в электронном аукционе</w:t>
      </w:r>
      <w:r w:rsidR="00B718C1" w:rsidRPr="002C7261">
        <w:rPr>
          <w:rFonts w:eastAsia="Calibri"/>
          <w:sz w:val="24"/>
        </w:rPr>
        <w:t xml:space="preserve"> по цене</w:t>
      </w:r>
      <w:r w:rsidR="008E21CF" w:rsidRPr="002C7261">
        <w:rPr>
          <w:rFonts w:eastAsia="Calibri"/>
          <w:sz w:val="24"/>
        </w:rPr>
        <w:t>,</w:t>
      </w:r>
      <w:r w:rsidR="00B718C1" w:rsidRPr="002C7261">
        <w:rPr>
          <w:rFonts w:eastAsia="Calibri"/>
          <w:sz w:val="24"/>
        </w:rPr>
        <w:t xml:space="preserve"> равной </w:t>
      </w:r>
      <w:r w:rsidR="00DE753D">
        <w:rPr>
          <w:rFonts w:eastAsia="Calibri"/>
          <w:sz w:val="24"/>
        </w:rPr>
        <w:t>НМЦК</w:t>
      </w:r>
      <w:r w:rsidR="00192431" w:rsidRPr="002C7261">
        <w:rPr>
          <w:rFonts w:eastAsia="Calibri"/>
          <w:sz w:val="24"/>
        </w:rPr>
        <w:t xml:space="preserve">. В аукционе на право заключения </w:t>
      </w:r>
      <w:r w:rsidR="00B718C1" w:rsidRPr="002C7261">
        <w:rPr>
          <w:rFonts w:eastAsia="Calibri"/>
          <w:sz w:val="24"/>
        </w:rPr>
        <w:t>контракта</w:t>
      </w:r>
      <w:r w:rsidR="00192431" w:rsidRPr="002C7261">
        <w:rPr>
          <w:rFonts w:eastAsia="Calibri"/>
          <w:sz w:val="24"/>
        </w:rPr>
        <w:t xml:space="preserve"> от 02.02.2019 № 1154095 помимо МУП «ВАК № 1732» участвовал</w:t>
      </w:r>
      <w:proofErr w:type="gramStart"/>
      <w:r w:rsidR="00192431" w:rsidRPr="002C7261">
        <w:rPr>
          <w:rFonts w:eastAsia="Calibri"/>
          <w:sz w:val="24"/>
        </w:rPr>
        <w:t>о ООО</w:t>
      </w:r>
      <w:proofErr w:type="gramEnd"/>
      <w:r w:rsidR="00192431" w:rsidRPr="002C7261">
        <w:rPr>
          <w:rFonts w:eastAsia="Calibri"/>
          <w:sz w:val="24"/>
        </w:rPr>
        <w:t xml:space="preserve"> «</w:t>
      </w:r>
      <w:r w:rsidR="00B718C1" w:rsidRPr="002C7261">
        <w:rPr>
          <w:rFonts w:eastAsia="Calibri"/>
          <w:sz w:val="24"/>
        </w:rPr>
        <w:t>ВАП</w:t>
      </w:r>
      <w:r w:rsidR="00192431" w:rsidRPr="002C7261">
        <w:rPr>
          <w:rFonts w:eastAsia="Calibri"/>
          <w:sz w:val="24"/>
        </w:rPr>
        <w:t>».</w:t>
      </w:r>
      <w:r w:rsidR="008E7F48" w:rsidRPr="002C7261">
        <w:rPr>
          <w:rFonts w:eastAsia="Calibri"/>
          <w:sz w:val="24"/>
        </w:rPr>
        <w:t xml:space="preserve"> </w:t>
      </w:r>
      <w:r w:rsidR="00B718C1" w:rsidRPr="002C7261">
        <w:rPr>
          <w:rFonts w:eastAsia="Calibri"/>
          <w:sz w:val="24"/>
        </w:rPr>
        <w:t>Цена контракта составила 17 150,0 тыс. руб.</w:t>
      </w:r>
      <w:r w:rsidR="002C7261" w:rsidRPr="002C7261">
        <w:rPr>
          <w:rFonts w:eastAsia="Calibri"/>
          <w:sz w:val="24"/>
        </w:rPr>
        <w:t xml:space="preserve">, </w:t>
      </w:r>
      <w:r w:rsidR="00B718C1" w:rsidRPr="002C7261">
        <w:rPr>
          <w:rFonts w:eastAsia="Calibri"/>
          <w:sz w:val="24"/>
        </w:rPr>
        <w:t>что ниже НМЦК (</w:t>
      </w:r>
      <w:r w:rsidR="00B718C1" w:rsidRPr="002C7261">
        <w:rPr>
          <w:rFonts w:eastAsia="Calibri"/>
          <w:bCs/>
          <w:color w:val="000000"/>
          <w:sz w:val="24"/>
        </w:rPr>
        <w:t>22 731,8</w:t>
      </w:r>
      <w:r w:rsidR="00D100AA">
        <w:rPr>
          <w:rFonts w:eastAsia="Calibri"/>
          <w:bCs/>
          <w:color w:val="000000"/>
          <w:sz w:val="24"/>
        </w:rPr>
        <w:t xml:space="preserve"> </w:t>
      </w:r>
      <w:r w:rsidR="00B718C1" w:rsidRPr="002C7261">
        <w:rPr>
          <w:rFonts w:eastAsia="Calibri"/>
          <w:sz w:val="24"/>
        </w:rPr>
        <w:t>тыс. руб.</w:t>
      </w:r>
      <w:r w:rsidR="008E21CF" w:rsidRPr="002C7261">
        <w:rPr>
          <w:rFonts w:eastAsia="Calibri"/>
          <w:sz w:val="24"/>
        </w:rPr>
        <w:t>)</w:t>
      </w:r>
      <w:r w:rsidR="00B718C1" w:rsidRPr="002C7261">
        <w:rPr>
          <w:rFonts w:eastAsia="Calibri"/>
          <w:sz w:val="24"/>
        </w:rPr>
        <w:t xml:space="preserve"> на 24,6 процента</w:t>
      </w:r>
      <w:r w:rsidR="00D100AA">
        <w:rPr>
          <w:rFonts w:eastAsia="Calibri"/>
          <w:sz w:val="24"/>
        </w:rPr>
        <w:t>.</w:t>
      </w:r>
    </w:p>
    <w:p w:rsidR="00E018E8" w:rsidRPr="00391D15" w:rsidRDefault="008F0ABB" w:rsidP="00670163">
      <w:pPr>
        <w:autoSpaceDE w:val="0"/>
        <w:autoSpaceDN w:val="0"/>
        <w:adjustRightInd w:val="0"/>
        <w:spacing w:line="240" w:lineRule="auto"/>
        <w:ind w:firstLine="692"/>
        <w:rPr>
          <w:rFonts w:eastAsiaTheme="minorHAnsi"/>
          <w:sz w:val="24"/>
        </w:rPr>
      </w:pPr>
      <w:r>
        <w:rPr>
          <w:rFonts w:eastAsia="Calibri"/>
          <w:sz w:val="24"/>
        </w:rPr>
        <w:t xml:space="preserve">Из восьми </w:t>
      </w:r>
      <w:r w:rsidR="006519AD">
        <w:rPr>
          <w:rFonts w:eastAsia="Calibri"/>
          <w:sz w:val="24"/>
        </w:rPr>
        <w:t>закупок</w:t>
      </w:r>
      <w:r>
        <w:rPr>
          <w:rFonts w:eastAsia="Calibri"/>
          <w:sz w:val="24"/>
        </w:rPr>
        <w:t xml:space="preserve"> Н</w:t>
      </w:r>
      <w:r w:rsidR="00FA3091" w:rsidRPr="002C7261">
        <w:rPr>
          <w:rFonts w:eastAsia="Calibri"/>
          <w:sz w:val="24"/>
        </w:rPr>
        <w:t>МЦ</w:t>
      </w:r>
      <w:r w:rsidR="002C7261" w:rsidRPr="002C7261">
        <w:rPr>
          <w:rFonts w:eastAsia="Calibri"/>
          <w:sz w:val="24"/>
        </w:rPr>
        <w:t xml:space="preserve"> двух контрактов</w:t>
      </w:r>
      <w:r w:rsidR="00E018E8" w:rsidRPr="002C7261">
        <w:rPr>
          <w:rFonts w:eastAsiaTheme="minorHAnsi"/>
          <w:sz w:val="24"/>
        </w:rPr>
        <w:t xml:space="preserve">, заключённых в 2017 году на </w:t>
      </w:r>
      <w:r w:rsidR="00FA3091" w:rsidRPr="002C7261">
        <w:rPr>
          <w:rFonts w:eastAsiaTheme="minorHAnsi"/>
          <w:sz w:val="24"/>
        </w:rPr>
        <w:t>оказание услуг</w:t>
      </w:r>
      <w:r w:rsidR="00E018E8" w:rsidRPr="002C7261">
        <w:rPr>
          <w:rFonts w:eastAsiaTheme="minorHAnsi"/>
          <w:sz w:val="24"/>
        </w:rPr>
        <w:t xml:space="preserve"> в январе –</w:t>
      </w:r>
      <w:r w:rsidR="00FA3091">
        <w:rPr>
          <w:rFonts w:eastAsiaTheme="minorHAnsi"/>
          <w:sz w:val="24"/>
        </w:rPr>
        <w:t xml:space="preserve"> </w:t>
      </w:r>
      <w:r w:rsidR="00E018E8" w:rsidRPr="00E018E8">
        <w:rPr>
          <w:rFonts w:eastAsiaTheme="minorHAnsi"/>
          <w:sz w:val="24"/>
        </w:rPr>
        <w:t>сентябре 2018 года</w:t>
      </w:r>
      <w:r w:rsidR="00D100AA">
        <w:rPr>
          <w:rFonts w:eastAsiaTheme="minorHAnsi"/>
          <w:sz w:val="24"/>
        </w:rPr>
        <w:t>,</w:t>
      </w:r>
      <w:r w:rsidR="00E018E8" w:rsidRPr="00E018E8">
        <w:rPr>
          <w:rFonts w:eastAsiaTheme="minorHAnsi"/>
          <w:sz w:val="24"/>
        </w:rPr>
        <w:t xml:space="preserve"> </w:t>
      </w:r>
      <w:proofErr w:type="gramStart"/>
      <w:r w:rsidR="00E018E8" w:rsidRPr="00E018E8">
        <w:rPr>
          <w:rFonts w:eastAsiaTheme="minorHAnsi"/>
          <w:sz w:val="24"/>
        </w:rPr>
        <w:t>определена</w:t>
      </w:r>
      <w:proofErr w:type="gramEnd"/>
      <w:r w:rsidR="00E018E8" w:rsidRPr="00E018E8">
        <w:rPr>
          <w:rFonts w:eastAsiaTheme="minorHAnsi"/>
          <w:sz w:val="24"/>
        </w:rPr>
        <w:t xml:space="preserve"> запросом цены на транспортные услуги.</w:t>
      </w:r>
      <w:r w:rsidR="00670163">
        <w:rPr>
          <w:rFonts w:eastAsiaTheme="minorHAnsi"/>
          <w:sz w:val="24"/>
        </w:rPr>
        <w:t xml:space="preserve"> </w:t>
      </w:r>
      <w:proofErr w:type="gramStart"/>
      <w:r w:rsidR="00E018E8" w:rsidRPr="00E018E8">
        <w:rPr>
          <w:rFonts w:eastAsiaTheme="minorHAnsi"/>
          <w:sz w:val="24"/>
        </w:rPr>
        <w:t>НМЦ</w:t>
      </w:r>
      <w:r w:rsidR="007F67F0">
        <w:rPr>
          <w:rFonts w:eastAsiaTheme="minorHAnsi"/>
          <w:sz w:val="24"/>
        </w:rPr>
        <w:t>К</w:t>
      </w:r>
      <w:r w:rsidR="00E018E8" w:rsidRPr="00E018E8">
        <w:rPr>
          <w:rFonts w:eastAsiaTheme="minorHAnsi"/>
          <w:sz w:val="24"/>
        </w:rPr>
        <w:t xml:space="preserve"> остальных </w:t>
      </w:r>
      <w:r w:rsidR="002C7261">
        <w:rPr>
          <w:rFonts w:eastAsiaTheme="minorHAnsi"/>
          <w:sz w:val="24"/>
        </w:rPr>
        <w:t xml:space="preserve">шести </w:t>
      </w:r>
      <w:r w:rsidR="007F67F0">
        <w:rPr>
          <w:rFonts w:eastAsiaTheme="minorHAnsi"/>
          <w:sz w:val="24"/>
        </w:rPr>
        <w:t>закупок</w:t>
      </w:r>
      <w:r w:rsidR="00E018E8" w:rsidRPr="00E018E8">
        <w:rPr>
          <w:rFonts w:eastAsiaTheme="minorHAnsi"/>
          <w:sz w:val="24"/>
        </w:rPr>
        <w:t xml:space="preserve"> подлежала определению в соответствии с </w:t>
      </w:r>
      <w:r w:rsidR="00D100AA">
        <w:rPr>
          <w:rFonts w:eastAsiaTheme="minorHAnsi"/>
          <w:sz w:val="24"/>
        </w:rPr>
        <w:t>«</w:t>
      </w:r>
      <w:r w:rsidR="00E018E8" w:rsidRPr="00E018E8">
        <w:rPr>
          <w:rFonts w:eastAsiaTheme="minorHAnsi"/>
          <w:sz w:val="24"/>
        </w:rPr>
        <w:t>Порядком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транспортом», утверждённым приказ</w:t>
      </w:r>
      <w:r w:rsidR="00D100AA">
        <w:rPr>
          <w:rFonts w:eastAsiaTheme="minorHAnsi"/>
          <w:sz w:val="24"/>
        </w:rPr>
        <w:t>ом</w:t>
      </w:r>
      <w:r w:rsidR="00E018E8" w:rsidRPr="00E018E8">
        <w:rPr>
          <w:rFonts w:eastAsiaTheme="minorHAnsi"/>
          <w:sz w:val="24"/>
        </w:rPr>
        <w:t xml:space="preserve"> </w:t>
      </w:r>
      <w:r w:rsidR="002C7261">
        <w:rPr>
          <w:rFonts w:eastAsiaTheme="minorHAnsi"/>
          <w:sz w:val="24"/>
        </w:rPr>
        <w:t xml:space="preserve">Минтранса России </w:t>
      </w:r>
      <w:r w:rsidR="00E018E8" w:rsidRPr="00E018E8">
        <w:rPr>
          <w:rFonts w:eastAsiaTheme="minorHAnsi"/>
          <w:sz w:val="24"/>
        </w:rPr>
        <w:t>от 08.12.201</w:t>
      </w:r>
      <w:r w:rsidR="00670163">
        <w:rPr>
          <w:rFonts w:eastAsiaTheme="minorHAnsi"/>
          <w:sz w:val="24"/>
        </w:rPr>
        <w:t>7 № 513 (далее – Порядок № 513)</w:t>
      </w:r>
      <w:r w:rsidR="00E018E8" w:rsidRPr="00E018E8">
        <w:rPr>
          <w:rFonts w:eastAsiaTheme="minorHAnsi"/>
          <w:sz w:val="24"/>
        </w:rPr>
        <w:t>.</w:t>
      </w:r>
      <w:proofErr w:type="gramEnd"/>
      <w:r w:rsidR="002C7261">
        <w:rPr>
          <w:rFonts w:eastAsiaTheme="minorHAnsi"/>
          <w:sz w:val="24"/>
        </w:rPr>
        <w:t xml:space="preserve"> Порядок № 513 действовал с 01.07.2018 по 11.07.2019. С 12.07.2019 вступил в силу п</w:t>
      </w:r>
      <w:r w:rsidR="002C7261" w:rsidRPr="00E018E8">
        <w:rPr>
          <w:rFonts w:eastAsiaTheme="minorHAnsi"/>
          <w:sz w:val="24"/>
        </w:rPr>
        <w:t>оряд</w:t>
      </w:r>
      <w:r w:rsidR="002C7261">
        <w:rPr>
          <w:rFonts w:eastAsiaTheme="minorHAnsi"/>
          <w:sz w:val="24"/>
        </w:rPr>
        <w:t>ок</w:t>
      </w:r>
      <w:r w:rsidR="002C7261" w:rsidRPr="00E018E8">
        <w:rPr>
          <w:rFonts w:eastAsiaTheme="minorHAnsi"/>
          <w:sz w:val="24"/>
        </w:rPr>
        <w:t xml:space="preserve"> определения </w:t>
      </w:r>
      <w:r w:rsidR="002C7261">
        <w:rPr>
          <w:rFonts w:eastAsiaTheme="minorHAnsi"/>
          <w:sz w:val="24"/>
        </w:rPr>
        <w:t xml:space="preserve">НМЦК, утверждённый приказом </w:t>
      </w:r>
      <w:r w:rsidR="002C7261" w:rsidRPr="00391D15">
        <w:rPr>
          <w:rFonts w:eastAsiaTheme="minorHAnsi"/>
          <w:sz w:val="24"/>
        </w:rPr>
        <w:t>Минтранса России от 30.05.2019 № 158 (далее – Порядок № 158).</w:t>
      </w:r>
    </w:p>
    <w:p w:rsidR="00E018E8" w:rsidRPr="00391D15" w:rsidRDefault="00E018E8" w:rsidP="000C6B70">
      <w:pPr>
        <w:autoSpaceDE w:val="0"/>
        <w:autoSpaceDN w:val="0"/>
        <w:adjustRightInd w:val="0"/>
        <w:spacing w:line="240" w:lineRule="auto"/>
        <w:ind w:firstLine="692"/>
        <w:rPr>
          <w:rFonts w:eastAsiaTheme="minorHAnsi"/>
          <w:sz w:val="24"/>
        </w:rPr>
      </w:pPr>
      <w:r w:rsidRPr="00391D15">
        <w:rPr>
          <w:rFonts w:eastAsiaTheme="minorHAnsi"/>
          <w:sz w:val="24"/>
        </w:rPr>
        <w:t xml:space="preserve">При определении НМЦК по </w:t>
      </w:r>
      <w:r w:rsidR="0074690B" w:rsidRPr="00391D15">
        <w:rPr>
          <w:rFonts w:eastAsiaTheme="minorHAnsi"/>
          <w:sz w:val="24"/>
        </w:rPr>
        <w:t xml:space="preserve">всем </w:t>
      </w:r>
      <w:r w:rsidR="007F67F0" w:rsidRPr="00391D15">
        <w:rPr>
          <w:rFonts w:eastAsiaTheme="minorHAnsi"/>
          <w:sz w:val="24"/>
        </w:rPr>
        <w:t>шести указанным</w:t>
      </w:r>
      <w:r w:rsidRPr="00391D15">
        <w:rPr>
          <w:rFonts w:eastAsiaTheme="minorHAnsi"/>
          <w:sz w:val="24"/>
        </w:rPr>
        <w:t xml:space="preserve"> </w:t>
      </w:r>
      <w:r w:rsidR="006519AD" w:rsidRPr="00391D15">
        <w:rPr>
          <w:rFonts w:eastAsiaTheme="minorHAnsi"/>
          <w:sz w:val="24"/>
        </w:rPr>
        <w:t>закупкам</w:t>
      </w:r>
      <w:r w:rsidRPr="00391D15">
        <w:rPr>
          <w:rFonts w:eastAsiaTheme="minorHAnsi"/>
          <w:sz w:val="24"/>
        </w:rPr>
        <w:t xml:space="preserve"> </w:t>
      </w:r>
      <w:proofErr w:type="spellStart"/>
      <w:r w:rsidRPr="00391D15">
        <w:rPr>
          <w:rFonts w:eastAsiaTheme="minorHAnsi"/>
          <w:sz w:val="24"/>
        </w:rPr>
        <w:t>Облкомдортранс</w:t>
      </w:r>
      <w:proofErr w:type="spellEnd"/>
      <w:r w:rsidRPr="00391D15">
        <w:rPr>
          <w:rFonts w:eastAsiaTheme="minorHAnsi"/>
          <w:sz w:val="24"/>
        </w:rPr>
        <w:t xml:space="preserve"> допустил </w:t>
      </w:r>
      <w:r w:rsidR="00DD6539" w:rsidRPr="00391D15">
        <w:rPr>
          <w:rFonts w:eastAsiaTheme="minorHAnsi"/>
          <w:sz w:val="24"/>
        </w:rPr>
        <w:t>65</w:t>
      </w:r>
      <w:r w:rsidR="00FC31A4" w:rsidRPr="00391D15">
        <w:rPr>
          <w:rFonts w:eastAsiaTheme="minorHAnsi"/>
          <w:sz w:val="24"/>
        </w:rPr>
        <w:t xml:space="preserve"> </w:t>
      </w:r>
      <w:r w:rsidRPr="00391D15">
        <w:rPr>
          <w:rFonts w:eastAsiaTheme="minorHAnsi"/>
          <w:sz w:val="24"/>
        </w:rPr>
        <w:t>н</w:t>
      </w:r>
      <w:r w:rsidR="00D100AA" w:rsidRPr="00391D15">
        <w:rPr>
          <w:rFonts w:eastAsiaTheme="minorHAnsi"/>
          <w:sz w:val="24"/>
        </w:rPr>
        <w:t>арушени</w:t>
      </w:r>
      <w:r w:rsidR="00FC31A4" w:rsidRPr="00391D15">
        <w:rPr>
          <w:rFonts w:eastAsiaTheme="minorHAnsi"/>
          <w:sz w:val="24"/>
        </w:rPr>
        <w:t>й</w:t>
      </w:r>
      <w:r w:rsidR="00D100AA" w:rsidRPr="00391D15">
        <w:rPr>
          <w:rFonts w:eastAsiaTheme="minorHAnsi"/>
          <w:sz w:val="24"/>
        </w:rPr>
        <w:t xml:space="preserve"> Порядка № 513 </w:t>
      </w:r>
      <w:r w:rsidR="00FC31A4" w:rsidRPr="00391D15">
        <w:rPr>
          <w:rFonts w:eastAsiaTheme="minorHAnsi"/>
          <w:sz w:val="24"/>
        </w:rPr>
        <w:t xml:space="preserve">на общую сумму </w:t>
      </w:r>
      <w:r w:rsidR="00391D15" w:rsidRPr="00391D15">
        <w:rPr>
          <w:rFonts w:eastAsiaTheme="minorHAnsi"/>
          <w:sz w:val="24"/>
        </w:rPr>
        <w:t xml:space="preserve">15 194,4 </w:t>
      </w:r>
      <w:r w:rsidR="00FC31A4" w:rsidRPr="00391D15">
        <w:rPr>
          <w:rFonts w:eastAsiaTheme="minorHAnsi"/>
          <w:sz w:val="24"/>
        </w:rPr>
        <w:t xml:space="preserve">тыс. руб., </w:t>
      </w:r>
      <w:r w:rsidR="00D100AA" w:rsidRPr="00391D15">
        <w:rPr>
          <w:rFonts w:eastAsiaTheme="minorHAnsi"/>
          <w:sz w:val="24"/>
        </w:rPr>
        <w:t>которые</w:t>
      </w:r>
      <w:r w:rsidRPr="00391D15">
        <w:rPr>
          <w:rFonts w:eastAsiaTheme="minorHAnsi"/>
          <w:sz w:val="24"/>
        </w:rPr>
        <w:t xml:space="preserve"> привели</w:t>
      </w:r>
      <w:r w:rsidR="000C6B70" w:rsidRPr="00391D15">
        <w:rPr>
          <w:rFonts w:eastAsiaTheme="minorHAnsi"/>
          <w:sz w:val="24"/>
        </w:rPr>
        <w:t xml:space="preserve"> </w:t>
      </w:r>
      <w:r w:rsidRPr="00391D15">
        <w:rPr>
          <w:rFonts w:eastAsiaTheme="minorHAnsi"/>
          <w:sz w:val="24"/>
        </w:rPr>
        <w:t>к занижению</w:t>
      </w:r>
      <w:r w:rsidR="000C6B70" w:rsidRPr="00391D15">
        <w:rPr>
          <w:rFonts w:eastAsiaTheme="minorHAnsi"/>
          <w:sz w:val="24"/>
        </w:rPr>
        <w:t xml:space="preserve"> (завышению)</w:t>
      </w:r>
      <w:r w:rsidRPr="00391D15">
        <w:rPr>
          <w:rFonts w:eastAsiaTheme="minorHAnsi"/>
          <w:sz w:val="24"/>
        </w:rPr>
        <w:t xml:space="preserve"> </w:t>
      </w:r>
      <w:r w:rsidR="000C6B70" w:rsidRPr="00391D15">
        <w:rPr>
          <w:rFonts w:eastAsiaTheme="minorHAnsi"/>
          <w:sz w:val="24"/>
        </w:rPr>
        <w:t>цены по</w:t>
      </w:r>
      <w:r w:rsidRPr="00391D15">
        <w:rPr>
          <w:rFonts w:eastAsiaTheme="minorHAnsi"/>
          <w:sz w:val="24"/>
        </w:rPr>
        <w:t xml:space="preserve"> </w:t>
      </w:r>
      <w:r w:rsidR="000C6B70" w:rsidRPr="00391D15">
        <w:rPr>
          <w:rFonts w:eastAsiaTheme="minorHAnsi"/>
          <w:sz w:val="24"/>
        </w:rPr>
        <w:t xml:space="preserve">пяти </w:t>
      </w:r>
      <w:r w:rsidRPr="00391D15">
        <w:rPr>
          <w:rFonts w:eastAsiaTheme="minorHAnsi"/>
          <w:sz w:val="24"/>
        </w:rPr>
        <w:t xml:space="preserve">контрактам, заключённым с единственным </w:t>
      </w:r>
      <w:r w:rsidR="00981CC6" w:rsidRPr="00391D15">
        <w:rPr>
          <w:rFonts w:eastAsiaTheme="minorHAnsi"/>
          <w:sz w:val="24"/>
        </w:rPr>
        <w:t>подрядчиком</w:t>
      </w:r>
      <w:r w:rsidR="007F67F0" w:rsidRPr="00391D15">
        <w:rPr>
          <w:rFonts w:eastAsiaTheme="minorHAnsi"/>
          <w:sz w:val="24"/>
        </w:rPr>
        <w:t>,</w:t>
      </w:r>
      <w:r w:rsidRPr="00391D15">
        <w:rPr>
          <w:rFonts w:eastAsiaTheme="minorHAnsi"/>
          <w:sz w:val="24"/>
        </w:rPr>
        <w:t xml:space="preserve"> на общую сумму </w:t>
      </w:r>
      <w:r w:rsidR="007F67F0" w:rsidRPr="00391D15">
        <w:rPr>
          <w:rFonts w:eastAsiaTheme="minorHAnsi"/>
          <w:sz w:val="24"/>
        </w:rPr>
        <w:t>3</w:t>
      </w:r>
      <w:r w:rsidR="00391D15" w:rsidRPr="00391D15">
        <w:rPr>
          <w:rFonts w:eastAsiaTheme="minorHAnsi"/>
          <w:sz w:val="24"/>
        </w:rPr>
        <w:t> 591,2</w:t>
      </w:r>
      <w:r w:rsidR="00A6679D" w:rsidRPr="00391D15">
        <w:rPr>
          <w:rFonts w:eastAsiaTheme="minorHAnsi"/>
          <w:sz w:val="24"/>
        </w:rPr>
        <w:t xml:space="preserve"> </w:t>
      </w:r>
      <w:r w:rsidRPr="00391D15">
        <w:rPr>
          <w:rFonts w:eastAsiaTheme="minorHAnsi"/>
          <w:sz w:val="24"/>
        </w:rPr>
        <w:t>тыс. руб.</w:t>
      </w:r>
      <w:r w:rsidR="000C6B70" w:rsidRPr="00391D15">
        <w:rPr>
          <w:rFonts w:eastAsiaTheme="minorHAnsi"/>
          <w:sz w:val="24"/>
        </w:rPr>
        <w:t>, в том числе</w:t>
      </w:r>
      <w:r w:rsidRPr="00391D15">
        <w:rPr>
          <w:rFonts w:eastAsiaTheme="minorHAnsi"/>
          <w:sz w:val="24"/>
        </w:rPr>
        <w:t>:</w:t>
      </w:r>
    </w:p>
    <w:p w:rsidR="000C6B70" w:rsidRPr="00391D15" w:rsidRDefault="000C6B70" w:rsidP="000C6B70">
      <w:pPr>
        <w:autoSpaceDE w:val="0"/>
        <w:autoSpaceDN w:val="0"/>
        <w:adjustRightInd w:val="0"/>
        <w:spacing w:line="240" w:lineRule="auto"/>
        <w:ind w:firstLine="692"/>
        <w:rPr>
          <w:rFonts w:eastAsiaTheme="minorHAnsi"/>
          <w:sz w:val="24"/>
        </w:rPr>
      </w:pPr>
      <w:r w:rsidRPr="00391D15">
        <w:rPr>
          <w:rFonts w:eastAsiaTheme="minorHAnsi"/>
          <w:sz w:val="24"/>
        </w:rPr>
        <w:t xml:space="preserve">-завышению цены по </w:t>
      </w:r>
      <w:r w:rsidR="00FC31A4" w:rsidRPr="00391D15">
        <w:rPr>
          <w:rFonts w:eastAsiaTheme="minorHAnsi"/>
          <w:sz w:val="24"/>
        </w:rPr>
        <w:t>1</w:t>
      </w:r>
      <w:r w:rsidRPr="00391D15">
        <w:rPr>
          <w:rFonts w:eastAsiaTheme="minorHAnsi"/>
          <w:sz w:val="24"/>
        </w:rPr>
        <w:t xml:space="preserve"> контрак</w:t>
      </w:r>
      <w:r w:rsidR="000E4898" w:rsidRPr="00391D15">
        <w:rPr>
          <w:rFonts w:eastAsiaTheme="minorHAnsi"/>
          <w:sz w:val="24"/>
        </w:rPr>
        <w:t>ту</w:t>
      </w:r>
      <w:r w:rsidRPr="00391D15">
        <w:rPr>
          <w:rFonts w:eastAsiaTheme="minorHAnsi"/>
          <w:sz w:val="24"/>
        </w:rPr>
        <w:t xml:space="preserve"> на </w:t>
      </w:r>
      <w:r w:rsidR="00391D15" w:rsidRPr="00391D15">
        <w:rPr>
          <w:rFonts w:eastAsiaTheme="minorHAnsi"/>
          <w:sz w:val="24"/>
        </w:rPr>
        <w:t xml:space="preserve">320,6 </w:t>
      </w:r>
      <w:r w:rsidRPr="00391D15">
        <w:rPr>
          <w:rFonts w:eastAsiaTheme="minorHAnsi"/>
          <w:sz w:val="24"/>
        </w:rPr>
        <w:t>тыс. руб.;</w:t>
      </w:r>
    </w:p>
    <w:p w:rsidR="000C6B70" w:rsidRPr="00391D15" w:rsidRDefault="000C6B70" w:rsidP="000C6B70">
      <w:pPr>
        <w:autoSpaceDE w:val="0"/>
        <w:autoSpaceDN w:val="0"/>
        <w:adjustRightInd w:val="0"/>
        <w:spacing w:line="240" w:lineRule="auto"/>
        <w:ind w:firstLine="692"/>
        <w:rPr>
          <w:rFonts w:eastAsiaTheme="minorHAnsi"/>
          <w:sz w:val="24"/>
        </w:rPr>
      </w:pPr>
      <w:r w:rsidRPr="00391D15">
        <w:rPr>
          <w:rFonts w:eastAsiaTheme="minorHAnsi"/>
          <w:sz w:val="24"/>
        </w:rPr>
        <w:t xml:space="preserve">-занижению цены по </w:t>
      </w:r>
      <w:r w:rsidR="00FC31A4" w:rsidRPr="00391D15">
        <w:rPr>
          <w:rFonts w:eastAsiaTheme="minorHAnsi"/>
          <w:sz w:val="24"/>
        </w:rPr>
        <w:t>4</w:t>
      </w:r>
      <w:r w:rsidRPr="00391D15">
        <w:rPr>
          <w:rFonts w:eastAsiaTheme="minorHAnsi"/>
          <w:sz w:val="24"/>
        </w:rPr>
        <w:t xml:space="preserve"> контрактам на </w:t>
      </w:r>
      <w:r w:rsidR="00391D15" w:rsidRPr="00391D15">
        <w:rPr>
          <w:rFonts w:eastAsiaTheme="minorHAnsi"/>
          <w:sz w:val="24"/>
        </w:rPr>
        <w:t xml:space="preserve">3 911,8 </w:t>
      </w:r>
      <w:r w:rsidRPr="00391D15">
        <w:rPr>
          <w:rFonts w:eastAsiaTheme="minorHAnsi"/>
          <w:sz w:val="24"/>
        </w:rPr>
        <w:t>тыс. рублей.</w:t>
      </w:r>
    </w:p>
    <w:p w:rsidR="00E018E8" w:rsidRPr="00E018E8" w:rsidRDefault="00E018E8" w:rsidP="0074690B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sz w:val="24"/>
        </w:rPr>
      </w:pPr>
      <w:r w:rsidRPr="00E018E8">
        <w:rPr>
          <w:rFonts w:eastAsiaTheme="minorHAnsi"/>
          <w:sz w:val="24"/>
        </w:rPr>
        <w:t xml:space="preserve">В нарушение п. 8 Порядка № 513 при расчете средней рыночной стоимости транспортных средств принимались коммерческие предложения </w:t>
      </w:r>
      <w:proofErr w:type="gramStart"/>
      <w:r w:rsidRPr="00E018E8">
        <w:rPr>
          <w:rFonts w:eastAsiaTheme="minorHAnsi"/>
          <w:sz w:val="24"/>
        </w:rPr>
        <w:t>от</w:t>
      </w:r>
      <w:proofErr w:type="gramEnd"/>
      <w:r w:rsidRPr="00E018E8">
        <w:rPr>
          <w:rFonts w:eastAsiaTheme="minorHAnsi"/>
          <w:sz w:val="24"/>
        </w:rPr>
        <w:t xml:space="preserve"> менее </w:t>
      </w:r>
      <w:proofErr w:type="gramStart"/>
      <w:r w:rsidRPr="00E018E8">
        <w:rPr>
          <w:rFonts w:eastAsiaTheme="minorHAnsi"/>
          <w:sz w:val="24"/>
        </w:rPr>
        <w:t>чем</w:t>
      </w:r>
      <w:proofErr w:type="gramEnd"/>
      <w:r w:rsidRPr="00E018E8">
        <w:rPr>
          <w:rFonts w:eastAsiaTheme="minorHAnsi"/>
          <w:sz w:val="24"/>
        </w:rPr>
        <w:t xml:space="preserve"> 3-4 поставщиков, у которых стоимость транспортных средств различалась более 10</w:t>
      </w:r>
      <w:r w:rsidR="00D100AA">
        <w:rPr>
          <w:rFonts w:eastAsiaTheme="minorHAnsi"/>
          <w:sz w:val="24"/>
        </w:rPr>
        <w:t xml:space="preserve"> процентов</w:t>
      </w:r>
      <w:r w:rsidRPr="00E018E8">
        <w:rPr>
          <w:rFonts w:eastAsiaTheme="minorHAnsi"/>
          <w:sz w:val="24"/>
        </w:rPr>
        <w:t xml:space="preserve">. </w:t>
      </w:r>
      <w:proofErr w:type="gramStart"/>
      <w:r w:rsidRPr="00E018E8">
        <w:rPr>
          <w:rFonts w:eastAsiaTheme="minorHAnsi"/>
          <w:sz w:val="24"/>
        </w:rPr>
        <w:t>Согласно требований</w:t>
      </w:r>
      <w:proofErr w:type="gramEnd"/>
      <w:r w:rsidRPr="00E018E8">
        <w:rPr>
          <w:rFonts w:eastAsiaTheme="minorHAnsi"/>
          <w:sz w:val="24"/>
        </w:rPr>
        <w:t xml:space="preserve"> данного пункта при отличии стоимости транспортных средств более 10% предложения поставщиков не учитываются, при этом продолжается опрос поставщиков до получения 3 - 4 ответов, отвечающих данному требованию.</w:t>
      </w:r>
    </w:p>
    <w:p w:rsidR="00E018E8" w:rsidRPr="0074690B" w:rsidRDefault="00E018E8" w:rsidP="00E018E8">
      <w:pPr>
        <w:autoSpaceDE w:val="0"/>
        <w:autoSpaceDN w:val="0"/>
        <w:adjustRightInd w:val="0"/>
        <w:spacing w:line="240" w:lineRule="auto"/>
        <w:ind w:firstLine="708"/>
        <w:rPr>
          <w:rFonts w:eastAsiaTheme="minorHAnsi"/>
          <w:sz w:val="24"/>
        </w:rPr>
      </w:pPr>
      <w:r w:rsidRPr="00E018E8">
        <w:rPr>
          <w:rFonts w:eastAsiaTheme="minorHAnsi"/>
          <w:sz w:val="24"/>
        </w:rPr>
        <w:t xml:space="preserve">При определении НМЦК </w:t>
      </w:r>
      <w:r w:rsidR="006519AD">
        <w:rPr>
          <w:rFonts w:eastAsiaTheme="minorHAnsi"/>
          <w:sz w:val="24"/>
        </w:rPr>
        <w:t xml:space="preserve">по закупке </w:t>
      </w:r>
      <w:r w:rsidRPr="00E018E8">
        <w:rPr>
          <w:rFonts w:eastAsiaTheme="minorHAnsi"/>
          <w:sz w:val="24"/>
        </w:rPr>
        <w:t>на 4 квартал 2018 года, минимальная и максимальная стоимость автобуса среднего класса отличалась в 1,5 раза</w:t>
      </w:r>
      <w:r w:rsidR="005D49A0">
        <w:rPr>
          <w:rFonts w:eastAsiaTheme="minorHAnsi"/>
          <w:sz w:val="24"/>
        </w:rPr>
        <w:t>.</w:t>
      </w:r>
      <w:r w:rsidRPr="00E018E8">
        <w:rPr>
          <w:rFonts w:eastAsiaTheme="minorHAnsi"/>
          <w:sz w:val="24"/>
        </w:rPr>
        <w:t xml:space="preserve"> При </w:t>
      </w:r>
      <w:r w:rsidRPr="0074690B">
        <w:rPr>
          <w:rFonts w:eastAsiaTheme="minorHAnsi"/>
          <w:sz w:val="24"/>
        </w:rPr>
        <w:t>определении НМЦК на 2019 год минимальная и максимальная стоимость автобуса большого класса отличалась в 1,3 раза, среднего класса – в 1,5 -2,5 раза.</w:t>
      </w:r>
    </w:p>
    <w:p w:rsidR="00E018E8" w:rsidRDefault="00E018E8" w:rsidP="0074690B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74690B">
        <w:rPr>
          <w:rFonts w:eastAsiaTheme="minorHAnsi"/>
          <w:sz w:val="24"/>
        </w:rPr>
        <w:t xml:space="preserve">Согласно пояснениям </w:t>
      </w:r>
      <w:proofErr w:type="spellStart"/>
      <w:r w:rsidRPr="0074690B">
        <w:rPr>
          <w:rFonts w:eastAsiaTheme="minorHAnsi"/>
          <w:sz w:val="24"/>
        </w:rPr>
        <w:t>Облкомдортранса</w:t>
      </w:r>
      <w:proofErr w:type="spellEnd"/>
      <w:r w:rsidRPr="0074690B">
        <w:rPr>
          <w:rFonts w:eastAsiaTheme="minorHAnsi"/>
          <w:sz w:val="24"/>
        </w:rPr>
        <w:t xml:space="preserve"> ввиду ограниченного числа поставщиков</w:t>
      </w:r>
      <w:r w:rsidRPr="00E018E8">
        <w:rPr>
          <w:rFonts w:eastAsiaTheme="minorHAnsi"/>
          <w:sz w:val="24"/>
        </w:rPr>
        <w:t xml:space="preserve"> автобусов, а также в связи с не предоставлением отдельными поставщиками запрашиваемой </w:t>
      </w:r>
      <w:r w:rsidRPr="00E018E8">
        <w:rPr>
          <w:rFonts w:eastAsiaTheme="minorHAnsi"/>
          <w:sz w:val="24"/>
        </w:rPr>
        <w:lastRenderedPageBreak/>
        <w:t>информации, оперировать единовременно информацией о цене автобусов более чем от 2 поставщиков не представлялось возможным.</w:t>
      </w:r>
    </w:p>
    <w:p w:rsidR="008F0ABB" w:rsidRDefault="008F0ABB" w:rsidP="0074690B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Средняя рыночная стоимость автобусов, принятая </w:t>
      </w:r>
      <w:proofErr w:type="spellStart"/>
      <w:r>
        <w:rPr>
          <w:rFonts w:eastAsiaTheme="minorHAnsi"/>
          <w:sz w:val="24"/>
        </w:rPr>
        <w:t>Облкомдортрансом</w:t>
      </w:r>
      <w:proofErr w:type="spellEnd"/>
      <w:r>
        <w:rPr>
          <w:rFonts w:eastAsiaTheme="minorHAnsi"/>
          <w:sz w:val="24"/>
        </w:rPr>
        <w:t xml:space="preserve"> для определения НМЦК, составила для большого автобуса 7 211,1 – 7 253,7 тыс. руб., для среднего – 2 894,0 – 4 058,0 тыс. рублей.</w:t>
      </w:r>
    </w:p>
    <w:p w:rsidR="00A45E5B" w:rsidRPr="00A45E5B" w:rsidRDefault="00A45E5B" w:rsidP="00A45E5B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A45E5B">
        <w:rPr>
          <w:rFonts w:eastAsiaTheme="minorHAnsi"/>
          <w:sz w:val="24"/>
        </w:rPr>
        <w:t>При исследовании информации</w:t>
      </w:r>
      <w:r w:rsidRPr="00A45E5B">
        <w:rPr>
          <w:rFonts w:eastAsia="Times New Roman"/>
          <w:sz w:val="24"/>
          <w:lang w:eastAsia="ru-RU"/>
        </w:rPr>
        <w:t>, размещенной в единой информационной системе в сфере закупок (</w:t>
      </w:r>
      <w:hyperlink r:id="rId8" w:history="1">
        <w:r w:rsidRPr="00A45E5B">
          <w:rPr>
            <w:rFonts w:eastAsia="Times New Roman"/>
            <w:sz w:val="24"/>
            <w:lang w:eastAsia="ru-RU"/>
          </w:rPr>
          <w:t>http://zakupki.gov.ru/</w:t>
        </w:r>
      </w:hyperlink>
      <w:r w:rsidRPr="00A45E5B">
        <w:rPr>
          <w:rFonts w:eastAsia="Times New Roman"/>
          <w:sz w:val="24"/>
          <w:lang w:eastAsia="ru-RU"/>
        </w:rPr>
        <w:t>), установлены случаи использования при определении НМЦК по подобным закупкам существенно меньшей средней стоимости автобусов. Так</w:t>
      </w:r>
      <w:r w:rsidR="00402C0D">
        <w:rPr>
          <w:rFonts w:eastAsia="Times New Roman"/>
          <w:sz w:val="24"/>
          <w:lang w:eastAsia="ru-RU"/>
        </w:rPr>
        <w:t>,</w:t>
      </w:r>
      <w:r w:rsidRPr="00A45E5B">
        <w:rPr>
          <w:bCs/>
          <w:sz w:val="24"/>
        </w:rPr>
        <w:t xml:space="preserve"> для определения НМЦК при закупке № 0145200000419000430 (Ленинградская область) </w:t>
      </w:r>
      <w:r w:rsidR="008F0ABB">
        <w:rPr>
          <w:bCs/>
          <w:sz w:val="24"/>
        </w:rPr>
        <w:t xml:space="preserve">принята </w:t>
      </w:r>
      <w:r w:rsidRPr="00A45E5B">
        <w:rPr>
          <w:bCs/>
          <w:sz w:val="24"/>
        </w:rPr>
        <w:t xml:space="preserve">средняя стоимость большого автобуса </w:t>
      </w:r>
      <w:r w:rsidR="008F0ABB">
        <w:rPr>
          <w:bCs/>
          <w:sz w:val="24"/>
        </w:rPr>
        <w:t xml:space="preserve">в размере </w:t>
      </w:r>
      <w:r w:rsidRPr="00A45E5B">
        <w:rPr>
          <w:bCs/>
          <w:sz w:val="24"/>
        </w:rPr>
        <w:t>5</w:t>
      </w:r>
      <w:r w:rsidR="008F0ABB">
        <w:rPr>
          <w:bCs/>
          <w:sz w:val="24"/>
        </w:rPr>
        <w:t> </w:t>
      </w:r>
      <w:r w:rsidRPr="00A45E5B">
        <w:rPr>
          <w:bCs/>
          <w:sz w:val="24"/>
        </w:rPr>
        <w:t xml:space="preserve">278,6 тыс. руб. (меньше средней стоимости, рассчитанной </w:t>
      </w:r>
      <w:proofErr w:type="spellStart"/>
      <w:r w:rsidRPr="00A45E5B">
        <w:rPr>
          <w:bCs/>
          <w:sz w:val="24"/>
        </w:rPr>
        <w:t>Облкомдортрансом</w:t>
      </w:r>
      <w:proofErr w:type="spellEnd"/>
      <w:r w:rsidRPr="00A45E5B">
        <w:rPr>
          <w:bCs/>
          <w:sz w:val="24"/>
        </w:rPr>
        <w:t xml:space="preserve"> на 27%), среднего автобуса </w:t>
      </w:r>
      <w:r w:rsidR="006519AD">
        <w:rPr>
          <w:bCs/>
          <w:sz w:val="24"/>
        </w:rPr>
        <w:t>–</w:t>
      </w:r>
      <w:r w:rsidRPr="00A45E5B">
        <w:rPr>
          <w:bCs/>
          <w:sz w:val="24"/>
        </w:rPr>
        <w:t xml:space="preserve"> 2</w:t>
      </w:r>
      <w:r w:rsidR="006519AD">
        <w:rPr>
          <w:bCs/>
          <w:sz w:val="24"/>
        </w:rPr>
        <w:t> </w:t>
      </w:r>
      <w:r w:rsidRPr="00A45E5B">
        <w:rPr>
          <w:bCs/>
          <w:sz w:val="24"/>
        </w:rPr>
        <w:t>285,7 тыс. руб. (</w:t>
      </w:r>
      <w:r w:rsidR="00402C0D">
        <w:rPr>
          <w:bCs/>
          <w:sz w:val="24"/>
        </w:rPr>
        <w:t xml:space="preserve">меньше </w:t>
      </w:r>
      <w:r w:rsidRPr="00A45E5B">
        <w:rPr>
          <w:bCs/>
          <w:sz w:val="24"/>
        </w:rPr>
        <w:t>на 21 – 44%).</w:t>
      </w:r>
    </w:p>
    <w:p w:rsidR="00A45E5B" w:rsidRDefault="006519AD" w:rsidP="00092373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>Д</w:t>
      </w:r>
      <w:r w:rsidR="005D49A0">
        <w:rPr>
          <w:rFonts w:eastAsiaTheme="minorHAnsi"/>
          <w:sz w:val="24"/>
        </w:rPr>
        <w:t xml:space="preserve">анные, представленные поставщиками, не позволяют произвести расчёт в полном соответствии с требованиями п. 8 Порядка № 513. Но эти данные позволяют использовать показатели стоимости с меньшим разбросом, что приближает расчёт к установленным требованиям. </w:t>
      </w:r>
    </w:p>
    <w:p w:rsidR="006519AD" w:rsidRDefault="00092373" w:rsidP="000E454A">
      <w:pPr>
        <w:pStyle w:val="a8"/>
        <w:numPr>
          <w:ilvl w:val="1"/>
          <w:numId w:val="2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 xml:space="preserve"> П</w:t>
      </w:r>
      <w:r w:rsidR="00E018E8" w:rsidRPr="009F3998">
        <w:rPr>
          <w:rFonts w:eastAsiaTheme="minorHAnsi"/>
        </w:rPr>
        <w:t xml:space="preserve">ри расчёте НМЦК </w:t>
      </w:r>
      <w:r w:rsidR="006519AD">
        <w:rPr>
          <w:rFonts w:eastAsiaTheme="minorHAnsi"/>
        </w:rPr>
        <w:t>по двум закупкам</w:t>
      </w:r>
      <w:r w:rsidR="00E018E8" w:rsidRPr="009F3998">
        <w:rPr>
          <w:rFonts w:eastAsiaTheme="minorHAnsi"/>
        </w:rPr>
        <w:t xml:space="preserve"> </w:t>
      </w:r>
      <w:r w:rsidRPr="00092373">
        <w:rPr>
          <w:rFonts w:eastAsiaTheme="minorHAnsi"/>
        </w:rPr>
        <w:t xml:space="preserve">использована </w:t>
      </w:r>
      <w:r w:rsidR="00E018E8" w:rsidRPr="00092373">
        <w:rPr>
          <w:rFonts w:eastAsiaTheme="minorHAnsi"/>
        </w:rPr>
        <w:t>стоимост</w:t>
      </w:r>
      <w:r w:rsidRPr="00092373">
        <w:rPr>
          <w:rFonts w:eastAsiaTheme="minorHAnsi"/>
        </w:rPr>
        <w:t>ь</w:t>
      </w:r>
      <w:r w:rsidR="00E018E8" w:rsidRPr="00092373">
        <w:rPr>
          <w:rFonts w:eastAsiaTheme="minorHAnsi"/>
        </w:rPr>
        <w:t xml:space="preserve"> автобуса среднего класса </w:t>
      </w:r>
      <w:r w:rsidR="00E018E8" w:rsidRPr="00092373">
        <w:rPr>
          <w:color w:val="000000"/>
        </w:rPr>
        <w:t>ЛИАЗ – 429260 в размере 6 035,0 тыс. руб., которая отличается от стоимости других автобусов в 1,6 – 2,5 раза</w:t>
      </w:r>
      <w:r w:rsidRPr="00092373">
        <w:rPr>
          <w:color w:val="000000"/>
        </w:rPr>
        <w:t xml:space="preserve">. При использовании </w:t>
      </w:r>
      <w:r w:rsidRPr="00BE088B">
        <w:rPr>
          <w:color w:val="000000"/>
        </w:rPr>
        <w:t xml:space="preserve">стоимости автобуса ПАЗ 423403-04 в размере 2 543,0 тыс. руб., отличающейся от стоимости других автобусов на 4-31%, </w:t>
      </w:r>
      <w:r w:rsidR="00E018E8" w:rsidRPr="00BE088B">
        <w:rPr>
          <w:rFonts w:eastAsiaTheme="minorHAnsi"/>
        </w:rPr>
        <w:t xml:space="preserve">НМЦК </w:t>
      </w:r>
      <w:r w:rsidR="002272A0" w:rsidRPr="00BE088B">
        <w:rPr>
          <w:rFonts w:eastAsiaTheme="minorHAnsi"/>
        </w:rPr>
        <w:t>была бы ниже на 249,4 тыс. руб</w:t>
      </w:r>
      <w:r w:rsidR="006519AD">
        <w:rPr>
          <w:rFonts w:eastAsiaTheme="minorHAnsi"/>
        </w:rPr>
        <w:t>лей.</w:t>
      </w:r>
    </w:p>
    <w:p w:rsidR="007001D3" w:rsidRPr="002A6969" w:rsidRDefault="00092373" w:rsidP="000E454A">
      <w:pPr>
        <w:pStyle w:val="ConsPlusNormal"/>
        <w:ind w:firstLine="709"/>
        <w:jc w:val="both"/>
      </w:pPr>
      <w:r w:rsidRPr="00BE088B">
        <w:t xml:space="preserve">1.2. </w:t>
      </w:r>
      <w:r w:rsidR="00951AE1">
        <w:tab/>
      </w:r>
      <w:r w:rsidR="003C2AF1" w:rsidRPr="00BE088B">
        <w:t xml:space="preserve">При расчёте НМЦК </w:t>
      </w:r>
      <w:r w:rsidR="006519AD">
        <w:t>по трём закупкам</w:t>
      </w:r>
      <w:r w:rsidR="003C2AF1" w:rsidRPr="00BE088B">
        <w:t xml:space="preserve"> использована стоимость автобуса большого</w:t>
      </w:r>
      <w:r w:rsidR="003C2AF1" w:rsidRPr="002A6969">
        <w:t xml:space="preserve"> класса VOLGABUS 527002-0000010</w:t>
      </w:r>
      <w:r w:rsidR="00B47347">
        <w:t xml:space="preserve"> (длина 11,99-12,19 м)</w:t>
      </w:r>
      <w:r w:rsidR="003C2AF1" w:rsidRPr="002A6969">
        <w:t xml:space="preserve"> по цене 8 400,0 тыс. рублей.  В том же </w:t>
      </w:r>
      <w:r w:rsidR="007001D3" w:rsidRPr="002A6969">
        <w:t xml:space="preserve">ответе ООО «ВОЛГОБАС ВОЛЖСКИЙ» от 22.08.2018 указана </w:t>
      </w:r>
      <w:r w:rsidR="002A6969" w:rsidRPr="002A6969">
        <w:t xml:space="preserve">цена </w:t>
      </w:r>
      <w:r w:rsidR="003C2AF1" w:rsidRPr="002A6969">
        <w:t>другого</w:t>
      </w:r>
      <w:r w:rsidR="007001D3" w:rsidRPr="002A6969">
        <w:t xml:space="preserve"> автобус</w:t>
      </w:r>
      <w:r w:rsidR="003C2AF1" w:rsidRPr="002A6969">
        <w:t>а</w:t>
      </w:r>
      <w:r w:rsidR="007001D3" w:rsidRPr="002A6969">
        <w:t xml:space="preserve"> </w:t>
      </w:r>
      <w:r w:rsidR="007001D3" w:rsidRPr="002A6969">
        <w:rPr>
          <w:lang w:val="en-US"/>
        </w:rPr>
        <w:t>VOLGABUS</w:t>
      </w:r>
      <w:r w:rsidR="007001D3" w:rsidRPr="002A6969">
        <w:t xml:space="preserve"> 52700</w:t>
      </w:r>
      <w:r w:rsidR="007001D3" w:rsidRPr="002A6969">
        <w:rPr>
          <w:lang w:val="en-US"/>
        </w:rPr>
        <w:t>H</w:t>
      </w:r>
      <w:r w:rsidR="007001D3" w:rsidRPr="002A6969">
        <w:t>-0000010</w:t>
      </w:r>
      <w:r w:rsidR="00B47347">
        <w:t xml:space="preserve"> (длина 10,08 м)</w:t>
      </w:r>
      <w:r w:rsidR="007001D3" w:rsidRPr="002A6969">
        <w:t xml:space="preserve"> </w:t>
      </w:r>
      <w:r w:rsidR="003C2AF1" w:rsidRPr="002A6969">
        <w:t>-</w:t>
      </w:r>
      <w:r w:rsidR="007001D3" w:rsidRPr="002A6969">
        <w:t xml:space="preserve"> 5 800,0 тыс. руб.</w:t>
      </w:r>
      <w:r w:rsidR="003C2AF1" w:rsidRPr="002A6969">
        <w:t>, которая не принята в расчёт</w:t>
      </w:r>
      <w:r w:rsidR="002A6969" w:rsidRPr="002A6969">
        <w:t>,</w:t>
      </w:r>
      <w:r w:rsidR="003C2AF1" w:rsidRPr="002A6969">
        <w:t xml:space="preserve"> так </w:t>
      </w:r>
      <w:proofErr w:type="gramStart"/>
      <w:r w:rsidR="003C2AF1" w:rsidRPr="002A6969">
        <w:t>как</w:t>
      </w:r>
      <w:proofErr w:type="gramEnd"/>
      <w:r w:rsidR="003C2AF1" w:rsidRPr="002A6969">
        <w:t xml:space="preserve"> по мнению </w:t>
      </w:r>
      <w:proofErr w:type="spellStart"/>
      <w:r w:rsidR="003C2AF1" w:rsidRPr="002A6969">
        <w:t>Облкомдортранса</w:t>
      </w:r>
      <w:proofErr w:type="spellEnd"/>
      <w:r w:rsidR="002A6969" w:rsidRPr="002A6969">
        <w:t>,</w:t>
      </w:r>
      <w:r w:rsidR="003C2AF1" w:rsidRPr="002A6969">
        <w:t xml:space="preserve"> этот автобус является автобусом среднего класса.</w:t>
      </w:r>
      <w:r w:rsidR="00951AE1">
        <w:t xml:space="preserve"> </w:t>
      </w:r>
    </w:p>
    <w:p w:rsidR="007001D3" w:rsidRPr="002A6969" w:rsidRDefault="007001D3" w:rsidP="008469F4">
      <w:pPr>
        <w:autoSpaceDE w:val="0"/>
        <w:autoSpaceDN w:val="0"/>
        <w:adjustRightInd w:val="0"/>
        <w:spacing w:line="240" w:lineRule="auto"/>
        <w:rPr>
          <w:sz w:val="24"/>
        </w:rPr>
      </w:pPr>
      <w:r w:rsidRPr="002A6969">
        <w:rPr>
          <w:sz w:val="24"/>
        </w:rPr>
        <w:t>Согласно п. 1</w:t>
      </w:r>
      <w:r w:rsidR="003C2AF1" w:rsidRPr="002A6969">
        <w:rPr>
          <w:sz w:val="24"/>
        </w:rPr>
        <w:t>4</w:t>
      </w:r>
      <w:r w:rsidRPr="002A6969">
        <w:rPr>
          <w:sz w:val="24"/>
        </w:rPr>
        <w:t xml:space="preserve"> ст. 3 Закона № 220-ФЗ </w:t>
      </w:r>
      <w:r w:rsidR="003C2AF1" w:rsidRPr="002A6969">
        <w:rPr>
          <w:rFonts w:eastAsiaTheme="minorHAnsi"/>
          <w:sz w:val="24"/>
        </w:rPr>
        <w:t xml:space="preserve">класс транспортных средств - группа транспортных средств, характеризующихся </w:t>
      </w:r>
      <w:r w:rsidR="004023C5">
        <w:rPr>
          <w:rFonts w:eastAsiaTheme="minorHAnsi"/>
          <w:sz w:val="24"/>
        </w:rPr>
        <w:t xml:space="preserve">только </w:t>
      </w:r>
      <w:r w:rsidR="003C2AF1" w:rsidRPr="002A6969">
        <w:rPr>
          <w:rFonts w:eastAsiaTheme="minorHAnsi"/>
          <w:sz w:val="24"/>
        </w:rPr>
        <w:t>определенными габаритами в части длины. К большому классу отнесены транспортные средства</w:t>
      </w:r>
      <w:r w:rsidRPr="002A6969">
        <w:rPr>
          <w:sz w:val="24"/>
        </w:rPr>
        <w:t xml:space="preserve"> </w:t>
      </w:r>
      <w:r w:rsidR="003C2AF1" w:rsidRPr="002A6969">
        <w:rPr>
          <w:sz w:val="24"/>
        </w:rPr>
        <w:t>длиной</w:t>
      </w:r>
      <w:r w:rsidRPr="002A6969">
        <w:rPr>
          <w:sz w:val="24"/>
        </w:rPr>
        <w:t xml:space="preserve"> </w:t>
      </w:r>
      <w:proofErr w:type="gramStart"/>
      <w:r w:rsidRPr="002A6969">
        <w:rPr>
          <w:sz w:val="24"/>
        </w:rPr>
        <w:t>от</w:t>
      </w:r>
      <w:proofErr w:type="gramEnd"/>
      <w:r w:rsidRPr="002A6969">
        <w:rPr>
          <w:sz w:val="24"/>
        </w:rPr>
        <w:t xml:space="preserve"> более </w:t>
      </w:r>
      <w:proofErr w:type="gramStart"/>
      <w:r w:rsidRPr="002A6969">
        <w:rPr>
          <w:sz w:val="24"/>
        </w:rPr>
        <w:t>чем</w:t>
      </w:r>
      <w:proofErr w:type="gramEnd"/>
      <w:r w:rsidRPr="002A6969">
        <w:rPr>
          <w:sz w:val="24"/>
        </w:rPr>
        <w:t xml:space="preserve"> 10 метров до 16 метров включительно.</w:t>
      </w:r>
    </w:p>
    <w:p w:rsidR="007001D3" w:rsidRPr="002A6969" w:rsidRDefault="002272A0" w:rsidP="008469F4">
      <w:pPr>
        <w:pStyle w:val="ConsPlusNormal"/>
        <w:ind w:firstLine="709"/>
        <w:jc w:val="both"/>
      </w:pPr>
      <w:r w:rsidRPr="002A6969">
        <w:t>Согласно информации об</w:t>
      </w:r>
      <w:r w:rsidR="007001D3" w:rsidRPr="002A6969">
        <w:t xml:space="preserve"> общи</w:t>
      </w:r>
      <w:r w:rsidRPr="002A6969">
        <w:t>х</w:t>
      </w:r>
      <w:r w:rsidR="007001D3" w:rsidRPr="002A6969">
        <w:t xml:space="preserve"> характеристика</w:t>
      </w:r>
      <w:r w:rsidRPr="002A6969">
        <w:t>х</w:t>
      </w:r>
      <w:r w:rsidR="007001D3" w:rsidRPr="002A6969">
        <w:t xml:space="preserve"> транспортного средства,</w:t>
      </w:r>
      <w:r w:rsidRPr="002A6969">
        <w:t xml:space="preserve"> содержащихся в</w:t>
      </w:r>
      <w:r w:rsidR="007001D3" w:rsidRPr="002A6969">
        <w:t xml:space="preserve"> Приложени</w:t>
      </w:r>
      <w:r w:rsidRPr="002A6969">
        <w:t>и</w:t>
      </w:r>
      <w:r w:rsidR="007001D3" w:rsidRPr="002A6969">
        <w:t xml:space="preserve"> № 1 к одобрению типа транспортного средства (Свидетельство № ТС RU E-RU.MT25.00027.P8), размещенн</w:t>
      </w:r>
      <w:r w:rsidRPr="002A6969">
        <w:t>ому</w:t>
      </w:r>
      <w:r w:rsidR="007001D3" w:rsidRPr="002A6969">
        <w:t xml:space="preserve"> на официальном сайте Федерального агентств</w:t>
      </w:r>
      <w:r w:rsidR="006E134D">
        <w:t>а</w:t>
      </w:r>
      <w:r w:rsidR="007001D3" w:rsidRPr="002A6969">
        <w:t xml:space="preserve"> по техническому регулированию и метрологии, длина </w:t>
      </w:r>
      <w:r w:rsidRPr="002A6969">
        <w:t xml:space="preserve">автобуса </w:t>
      </w:r>
      <w:r w:rsidR="007001D3" w:rsidRPr="002A6969">
        <w:t>VOLGABUS 52700H-0000010 составляет 10,08 метра. То есть</w:t>
      </w:r>
      <w:r w:rsidR="00A347D3">
        <w:t>,</w:t>
      </w:r>
      <w:r w:rsidR="00A460F1">
        <w:t xml:space="preserve"> этот автобус</w:t>
      </w:r>
      <w:r w:rsidR="007001D3" w:rsidRPr="002A6969">
        <w:t xml:space="preserve"> является автобусом большого класса.</w:t>
      </w:r>
    </w:p>
    <w:p w:rsidR="00951AE1" w:rsidRDefault="002272A0" w:rsidP="00951AE1">
      <w:pPr>
        <w:pStyle w:val="ConsPlusNormal"/>
        <w:ind w:firstLine="709"/>
        <w:jc w:val="both"/>
      </w:pPr>
      <w:r w:rsidRPr="002A6969">
        <w:rPr>
          <w:color w:val="000000"/>
        </w:rPr>
        <w:t xml:space="preserve">При использовании стоимости автобуса </w:t>
      </w:r>
      <w:r w:rsidRPr="002A6969">
        <w:t xml:space="preserve">VOLGABUS 52700H-0000010 </w:t>
      </w:r>
      <w:r w:rsidRPr="002A6969">
        <w:rPr>
          <w:color w:val="000000"/>
        </w:rPr>
        <w:t xml:space="preserve">в размере 5 800,0 тыс. руб. </w:t>
      </w:r>
      <w:r w:rsidRPr="00BE088B">
        <w:rPr>
          <w:color w:val="000000"/>
        </w:rPr>
        <w:t xml:space="preserve">вместо стоимости автобуса </w:t>
      </w:r>
      <w:r w:rsidRPr="00BE088B">
        <w:t>VOLGABUS 527002-0000010 в размере 8 400,0 тыс. руб</w:t>
      </w:r>
      <w:r w:rsidR="00A347D3">
        <w:t>.</w:t>
      </w:r>
      <w:r w:rsidRPr="00BE088B">
        <w:rPr>
          <w:color w:val="000000"/>
        </w:rPr>
        <w:t xml:space="preserve">, </w:t>
      </w:r>
      <w:r w:rsidRPr="00BE088B">
        <w:t xml:space="preserve">НМЦК </w:t>
      </w:r>
      <w:r w:rsidR="00951AE1">
        <w:t xml:space="preserve">по трём закупкам </w:t>
      </w:r>
      <w:r w:rsidRPr="00BE088B">
        <w:t xml:space="preserve">была бы ниже на </w:t>
      </w:r>
      <w:r w:rsidR="00A6679D" w:rsidRPr="00BE088B">
        <w:t>1</w:t>
      </w:r>
      <w:r w:rsidR="00A460F1">
        <w:t> </w:t>
      </w:r>
      <w:r w:rsidR="00A6679D" w:rsidRPr="00BE088B">
        <w:t>186,5</w:t>
      </w:r>
      <w:r w:rsidR="007A06F6" w:rsidRPr="00BE088B">
        <w:t xml:space="preserve"> </w:t>
      </w:r>
      <w:r w:rsidRPr="00BE088B">
        <w:t>тыс. руб</w:t>
      </w:r>
      <w:r w:rsidR="00951AE1">
        <w:t>лей</w:t>
      </w:r>
      <w:r w:rsidRPr="00BE088B">
        <w:t>.</w:t>
      </w:r>
    </w:p>
    <w:p w:rsidR="00951AE1" w:rsidRDefault="00E018E8" w:rsidP="000E4898">
      <w:pPr>
        <w:pStyle w:val="ConsPlusNormal"/>
        <w:numPr>
          <w:ilvl w:val="0"/>
          <w:numId w:val="20"/>
        </w:numPr>
        <w:ind w:left="0" w:firstLine="709"/>
        <w:jc w:val="both"/>
      </w:pPr>
      <w:r w:rsidRPr="00BE088B">
        <w:t xml:space="preserve">В нарушение п. 7 Порядка № 513 при определении НМЦК </w:t>
      </w:r>
      <w:r w:rsidR="00A347D3">
        <w:t xml:space="preserve">по </w:t>
      </w:r>
      <w:r w:rsidR="00951AE1">
        <w:t>двум закупкам</w:t>
      </w:r>
      <w:r w:rsidRPr="00BE088B">
        <w:t xml:space="preserve"> использовано не установленное реестром маршрутов максимальное количество транспортных средств на маршруте № 123 и № 146 </w:t>
      </w:r>
      <w:r w:rsidR="00951AE1">
        <w:t xml:space="preserve">- </w:t>
      </w:r>
      <w:r w:rsidRPr="00BE088B">
        <w:t>по 4 единицы среднего класса</w:t>
      </w:r>
      <w:r w:rsidR="0074690B" w:rsidRPr="00BE088B">
        <w:t>.</w:t>
      </w:r>
      <w:r w:rsidRPr="00BE088B">
        <w:t xml:space="preserve"> </w:t>
      </w:r>
      <w:r w:rsidR="0074690B" w:rsidRPr="00BE088B">
        <w:t>При расчётах использовалось количество</w:t>
      </w:r>
      <w:r w:rsidRPr="00BE088B">
        <w:t xml:space="preserve"> </w:t>
      </w:r>
      <w:r w:rsidR="0068292E" w:rsidRPr="00BE088B">
        <w:t>12</w:t>
      </w:r>
      <w:r w:rsidRPr="00BE088B">
        <w:t xml:space="preserve"> и 6 единиц</w:t>
      </w:r>
      <w:r w:rsidR="0074690B" w:rsidRPr="00BE088B">
        <w:t xml:space="preserve"> автобусов соответственно</w:t>
      </w:r>
      <w:r w:rsidRPr="00BE088B">
        <w:t xml:space="preserve">. НМЦК </w:t>
      </w:r>
      <w:proofErr w:type="gramStart"/>
      <w:r w:rsidRPr="00BE088B">
        <w:t>завышена</w:t>
      </w:r>
      <w:proofErr w:type="gramEnd"/>
      <w:r w:rsidRPr="00BE088B">
        <w:t xml:space="preserve"> на </w:t>
      </w:r>
      <w:r w:rsidR="0068292E" w:rsidRPr="00BE088B">
        <w:t>483,1 тыс. руб</w:t>
      </w:r>
      <w:r w:rsidR="00951AE1">
        <w:t>лей</w:t>
      </w:r>
      <w:r w:rsidR="0068292E" w:rsidRPr="00BE088B">
        <w:t>.</w:t>
      </w:r>
    </w:p>
    <w:p w:rsidR="000E4898" w:rsidRDefault="00E018E8" w:rsidP="000E4898">
      <w:pPr>
        <w:pStyle w:val="a8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 w:rsidRPr="000E4898">
        <w:rPr>
          <w:rFonts w:eastAsiaTheme="minorHAnsi"/>
        </w:rPr>
        <w:t>В нарушение приложения № 1</w:t>
      </w:r>
      <w:r w:rsidR="00A347D3" w:rsidRPr="000E4898">
        <w:rPr>
          <w:rFonts w:eastAsiaTheme="minorHAnsi"/>
        </w:rPr>
        <w:t xml:space="preserve"> к</w:t>
      </w:r>
      <w:r w:rsidRPr="000E4898">
        <w:rPr>
          <w:rFonts w:eastAsiaTheme="minorHAnsi"/>
        </w:rPr>
        <w:t xml:space="preserve"> Порядк</w:t>
      </w:r>
      <w:r w:rsidR="00A347D3" w:rsidRPr="000E4898">
        <w:rPr>
          <w:rFonts w:eastAsiaTheme="minorHAnsi"/>
        </w:rPr>
        <w:t>у</w:t>
      </w:r>
      <w:r w:rsidRPr="000E4898">
        <w:rPr>
          <w:rFonts w:eastAsiaTheme="minorHAnsi"/>
        </w:rPr>
        <w:t xml:space="preserve"> № 513 при расчете максимальной себестоимости 1 км пробега автобусов использованы ненадлежащие показатели, коэффициенты, индексы и расчёты. В результате </w:t>
      </w:r>
      <w:r w:rsidR="004B65C1">
        <w:rPr>
          <w:rFonts w:eastAsiaTheme="minorHAnsi"/>
        </w:rPr>
        <w:t>нарушений на 13</w:t>
      </w:r>
      <w:r w:rsidR="00391D15">
        <w:rPr>
          <w:rFonts w:eastAsiaTheme="minorHAnsi"/>
        </w:rPr>
        <w:t> 275,4</w:t>
      </w:r>
      <w:r w:rsidR="000E4898" w:rsidRPr="000E4898">
        <w:rPr>
          <w:rFonts w:eastAsiaTheme="minorHAnsi"/>
        </w:rPr>
        <w:t xml:space="preserve"> тыс. руб. </w:t>
      </w:r>
      <w:r w:rsidRPr="000E4898">
        <w:rPr>
          <w:rFonts w:eastAsiaTheme="minorHAnsi"/>
        </w:rPr>
        <w:t xml:space="preserve">НМЦК по 6 </w:t>
      </w:r>
      <w:r w:rsidR="00951AE1" w:rsidRPr="000E4898">
        <w:rPr>
          <w:rFonts w:eastAsiaTheme="minorHAnsi"/>
        </w:rPr>
        <w:t>закупкам</w:t>
      </w:r>
      <w:r w:rsidRPr="000E4898">
        <w:rPr>
          <w:rFonts w:eastAsiaTheme="minorHAnsi"/>
        </w:rPr>
        <w:t xml:space="preserve"> в </w:t>
      </w:r>
      <w:r w:rsidR="000E4898" w:rsidRPr="000E4898">
        <w:rPr>
          <w:rFonts w:eastAsiaTheme="minorHAnsi"/>
        </w:rPr>
        <w:t xml:space="preserve">целом </w:t>
      </w:r>
      <w:proofErr w:type="gramStart"/>
      <w:r w:rsidRPr="000E4898">
        <w:rPr>
          <w:rFonts w:eastAsiaTheme="minorHAnsi"/>
        </w:rPr>
        <w:t>занижена</w:t>
      </w:r>
      <w:proofErr w:type="gramEnd"/>
      <w:r w:rsidRPr="000E4898">
        <w:rPr>
          <w:rFonts w:eastAsiaTheme="minorHAnsi"/>
        </w:rPr>
        <w:t xml:space="preserve"> на </w:t>
      </w:r>
      <w:r w:rsidR="000E4898" w:rsidRPr="000E4898">
        <w:rPr>
          <w:rFonts w:eastAsiaTheme="minorHAnsi"/>
        </w:rPr>
        <w:t>8</w:t>
      </w:r>
      <w:r w:rsidR="00391D15">
        <w:t> 804,7</w:t>
      </w:r>
      <w:r w:rsidRPr="000E4898">
        <w:rPr>
          <w:rFonts w:eastAsiaTheme="minorHAnsi"/>
        </w:rPr>
        <w:t xml:space="preserve"> тыс. руб., что составляет </w:t>
      </w:r>
      <w:r w:rsidR="000E4898" w:rsidRPr="000E4898">
        <w:rPr>
          <w:rFonts w:eastAsiaTheme="minorHAnsi"/>
        </w:rPr>
        <w:t>11,</w:t>
      </w:r>
      <w:r w:rsidR="00391D15">
        <w:rPr>
          <w:rFonts w:eastAsiaTheme="minorHAnsi"/>
        </w:rPr>
        <w:t>7</w:t>
      </w:r>
      <w:r w:rsidRPr="000E4898">
        <w:rPr>
          <w:rFonts w:eastAsiaTheme="minorHAnsi"/>
        </w:rPr>
        <w:t>% от общего объёма НМЦК по эти</w:t>
      </w:r>
      <w:r w:rsidR="00D100AA" w:rsidRPr="000E4898">
        <w:rPr>
          <w:rFonts w:eastAsiaTheme="minorHAnsi"/>
        </w:rPr>
        <w:t>м</w:t>
      </w:r>
      <w:r w:rsidRPr="000E4898">
        <w:rPr>
          <w:rFonts w:eastAsiaTheme="minorHAnsi"/>
        </w:rPr>
        <w:t xml:space="preserve"> контрактам</w:t>
      </w:r>
      <w:r w:rsidR="000E4898" w:rsidRPr="000E4898">
        <w:rPr>
          <w:rFonts w:eastAsiaTheme="minorHAnsi"/>
        </w:rPr>
        <w:t>.</w:t>
      </w:r>
    </w:p>
    <w:p w:rsidR="0058711E" w:rsidRPr="000E4898" w:rsidRDefault="0058711E" w:rsidP="004B65C1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</w:rPr>
      </w:pPr>
      <w:r w:rsidRPr="000E4898">
        <w:rPr>
          <w:rFonts w:eastAsiaTheme="minorHAnsi"/>
        </w:rPr>
        <w:t xml:space="preserve">Указанные нарушения содержат признаки нарушения - несоблюдение порядка или формы </w:t>
      </w:r>
      <w:hyperlink r:id="rId9" w:history="1">
        <w:r w:rsidRPr="000E4898">
          <w:rPr>
            <w:rFonts w:eastAsiaTheme="minorHAnsi"/>
          </w:rPr>
          <w:t>обоснования</w:t>
        </w:r>
      </w:hyperlink>
      <w:r w:rsidRPr="000E4898">
        <w:rPr>
          <w:rFonts w:eastAsiaTheme="minorHAnsi"/>
        </w:rPr>
        <w:t xml:space="preserve"> </w:t>
      </w:r>
      <w:r w:rsidR="00A347D3" w:rsidRPr="000E4898">
        <w:rPr>
          <w:rFonts w:eastAsiaTheme="minorHAnsi"/>
        </w:rPr>
        <w:t>НМЦК</w:t>
      </w:r>
      <w:r w:rsidRPr="000E4898">
        <w:rPr>
          <w:rFonts w:eastAsiaTheme="minorHAnsi"/>
        </w:rPr>
        <w:t xml:space="preserve">, обоснования объекта закупки (за исключением описания объекта закупки), за которое предусмотрена административная ответственность, </w:t>
      </w:r>
      <w:r w:rsidR="00A460F1" w:rsidRPr="000E4898">
        <w:rPr>
          <w:rFonts w:eastAsiaTheme="minorHAnsi"/>
        </w:rPr>
        <w:lastRenderedPageBreak/>
        <w:t>установленная</w:t>
      </w:r>
      <w:r w:rsidRPr="000E4898">
        <w:rPr>
          <w:rFonts w:eastAsiaTheme="minorHAnsi"/>
        </w:rPr>
        <w:t xml:space="preserve"> </w:t>
      </w:r>
      <w:proofErr w:type="gramStart"/>
      <w:r w:rsidRPr="000E4898">
        <w:rPr>
          <w:rFonts w:eastAsiaTheme="minorHAnsi"/>
        </w:rPr>
        <w:t>ч</w:t>
      </w:r>
      <w:proofErr w:type="gramEnd"/>
      <w:r w:rsidRPr="000E4898">
        <w:rPr>
          <w:rFonts w:eastAsiaTheme="minorHAnsi"/>
        </w:rPr>
        <w:t>.</w:t>
      </w:r>
      <w:r w:rsidR="00A347D3" w:rsidRPr="000E4898">
        <w:rPr>
          <w:rFonts w:eastAsiaTheme="minorHAnsi"/>
        </w:rPr>
        <w:t xml:space="preserve"> </w:t>
      </w:r>
      <w:r w:rsidRPr="000E4898">
        <w:rPr>
          <w:rFonts w:eastAsiaTheme="minorHAnsi"/>
        </w:rPr>
        <w:t>2 ст.</w:t>
      </w:r>
      <w:r w:rsidRPr="000E4898">
        <w:rPr>
          <w:rFonts w:eastAsiaTheme="minorHAnsi"/>
          <w:bCs/>
        </w:rPr>
        <w:t xml:space="preserve"> 7.29.3. </w:t>
      </w:r>
      <w:proofErr w:type="spellStart"/>
      <w:r w:rsidR="00A460F1" w:rsidRPr="000E4898">
        <w:rPr>
          <w:rFonts w:eastAsiaTheme="minorHAnsi"/>
          <w:bCs/>
        </w:rPr>
        <w:t>КоАП</w:t>
      </w:r>
      <w:proofErr w:type="spellEnd"/>
      <w:r w:rsidR="00A460F1" w:rsidRPr="000E4898">
        <w:rPr>
          <w:rFonts w:eastAsiaTheme="minorHAnsi"/>
          <w:bCs/>
        </w:rPr>
        <w:t xml:space="preserve"> РФ </w:t>
      </w:r>
      <w:r w:rsidRPr="000E4898">
        <w:rPr>
          <w:rFonts w:eastAsiaTheme="minorHAnsi"/>
          <w:bCs/>
        </w:rPr>
        <w:t>«Нарушение законодательства Российской Федерации о контрактной системе в сфере закупок при планировании закупок».</w:t>
      </w:r>
    </w:p>
    <w:p w:rsidR="00251261" w:rsidRDefault="00251261" w:rsidP="0025126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i/>
          <w:sz w:val="24"/>
        </w:rPr>
      </w:pPr>
    </w:p>
    <w:p w:rsidR="00251261" w:rsidRDefault="00251261" w:rsidP="0025126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i/>
          <w:sz w:val="24"/>
        </w:rPr>
      </w:pPr>
      <w:r>
        <w:rPr>
          <w:rFonts w:eastAsiaTheme="minorHAnsi"/>
          <w:i/>
          <w:sz w:val="24"/>
        </w:rPr>
        <w:t>Эффективность использования бюджетных средств</w:t>
      </w:r>
    </w:p>
    <w:p w:rsidR="001E214E" w:rsidRPr="001E214E" w:rsidRDefault="00251261" w:rsidP="001E214E">
      <w:pPr>
        <w:autoSpaceDE w:val="0"/>
        <w:autoSpaceDN w:val="0"/>
        <w:adjustRightInd w:val="0"/>
        <w:spacing w:line="240" w:lineRule="auto"/>
        <w:rPr>
          <w:sz w:val="24"/>
        </w:rPr>
      </w:pPr>
      <w:r w:rsidRPr="001E214E">
        <w:rPr>
          <w:rFonts w:eastAsia="Times New Roman"/>
          <w:bCs/>
          <w:sz w:val="24"/>
          <w:lang w:eastAsia="ru-RU"/>
        </w:rPr>
        <w:t xml:space="preserve">Как указано выше, </w:t>
      </w:r>
      <w:r w:rsidRPr="001E214E">
        <w:rPr>
          <w:rFonts w:eastAsia="Times New Roman"/>
          <w:sz w:val="24"/>
          <w:lang w:eastAsia="ru-RU"/>
        </w:rPr>
        <w:t xml:space="preserve">расходы по организации транспортного обслуживания населения автомобильным транспортом в межмуниципальном и пригородном сообщении на маршрутах по регулируемым тарифам осуществлялись в рамках </w:t>
      </w:r>
      <w:r w:rsidR="001E214E" w:rsidRPr="001E214E">
        <w:rPr>
          <w:sz w:val="24"/>
        </w:rPr>
        <w:t>основного мероприятия «Государственная поддержка общественного пассажирского транспорта» подпрограммы «Развитие системы общественного пассажирского транспорта в Волгоградской области» ГП «Транспорт».</w:t>
      </w:r>
    </w:p>
    <w:p w:rsidR="001E214E" w:rsidRPr="001E214E" w:rsidRDefault="001E214E" w:rsidP="001E214E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1E214E">
        <w:rPr>
          <w:rFonts w:eastAsiaTheme="minorHAnsi"/>
          <w:sz w:val="24"/>
        </w:rPr>
        <w:t>Цель подпрограммы и ГП в рассматриваемой части закреплена как повышение доступности пассажирских транспортных услуг для населения Волгоградской области, которая решается путём государственной поддержки транспортных организаций, в том числе осуществляющих перевозки пассажиров по регулируемым тарифам, установленным ниже экономически обоснованных.</w:t>
      </w:r>
    </w:p>
    <w:p w:rsidR="001E214E" w:rsidRPr="001E214E" w:rsidRDefault="001E214E" w:rsidP="001E214E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1E214E">
        <w:rPr>
          <w:rFonts w:eastAsiaTheme="minorHAnsi"/>
          <w:sz w:val="24"/>
        </w:rPr>
        <w:t>Целевым показателем</w:t>
      </w:r>
      <w:r>
        <w:rPr>
          <w:rFonts w:eastAsiaTheme="minorHAnsi"/>
          <w:sz w:val="24"/>
        </w:rPr>
        <w:t>,</w:t>
      </w:r>
      <w:r w:rsidRPr="001E214E">
        <w:rPr>
          <w:rFonts w:eastAsiaTheme="minorHAnsi"/>
          <w:sz w:val="24"/>
        </w:rPr>
        <w:t xml:space="preserve"> характеризующим достижение цели </w:t>
      </w:r>
      <w:r w:rsidR="00A347D3">
        <w:rPr>
          <w:rFonts w:eastAsiaTheme="minorHAnsi"/>
          <w:sz w:val="24"/>
        </w:rPr>
        <w:t xml:space="preserve">и </w:t>
      </w:r>
      <w:r w:rsidRPr="001E214E">
        <w:rPr>
          <w:rFonts w:eastAsiaTheme="minorHAnsi"/>
          <w:sz w:val="24"/>
        </w:rPr>
        <w:t>решение задачи</w:t>
      </w:r>
      <w:r w:rsidR="00A347D3">
        <w:rPr>
          <w:rFonts w:eastAsiaTheme="minorHAnsi"/>
          <w:sz w:val="24"/>
        </w:rPr>
        <w:t>,</w:t>
      </w:r>
      <w:r w:rsidRPr="001E214E">
        <w:rPr>
          <w:rFonts w:eastAsiaTheme="minorHAnsi"/>
          <w:sz w:val="24"/>
        </w:rPr>
        <w:t xml:space="preserve"> </w:t>
      </w:r>
      <w:r w:rsidR="00A347D3">
        <w:rPr>
          <w:rFonts w:eastAsiaTheme="minorHAnsi"/>
          <w:sz w:val="24"/>
        </w:rPr>
        <w:t>определён</w:t>
      </w:r>
      <w:r w:rsidRPr="001E214E">
        <w:rPr>
          <w:rFonts w:eastAsiaTheme="minorHAnsi"/>
          <w:sz w:val="24"/>
        </w:rPr>
        <w:t xml:space="preserve"> «Пассажирооборот автомобильного транспорта общего пользования» с целевым значением на период с 2018 по 2024 годы </w:t>
      </w:r>
      <w:r w:rsidR="00D50DBA">
        <w:rPr>
          <w:rFonts w:eastAsiaTheme="minorHAnsi"/>
          <w:sz w:val="24"/>
        </w:rPr>
        <w:t xml:space="preserve">в размере </w:t>
      </w:r>
      <w:r w:rsidRPr="001E214E">
        <w:rPr>
          <w:rFonts w:eastAsiaTheme="minorHAnsi"/>
          <w:sz w:val="24"/>
        </w:rPr>
        <w:t>585 млн. место-км</w:t>
      </w:r>
      <w:r>
        <w:rPr>
          <w:rFonts w:eastAsiaTheme="minorHAnsi"/>
          <w:sz w:val="24"/>
        </w:rPr>
        <w:t xml:space="preserve"> </w:t>
      </w:r>
      <w:r w:rsidR="00A460F1">
        <w:rPr>
          <w:rFonts w:eastAsiaTheme="minorHAnsi"/>
          <w:sz w:val="24"/>
        </w:rPr>
        <w:t>ежегодно</w:t>
      </w:r>
      <w:r>
        <w:rPr>
          <w:rFonts w:eastAsiaTheme="minorHAnsi"/>
          <w:sz w:val="24"/>
        </w:rPr>
        <w:t>.</w:t>
      </w:r>
    </w:p>
    <w:p w:rsidR="00251261" w:rsidRPr="00257584" w:rsidRDefault="00251261" w:rsidP="00251261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lang w:eastAsia="ru-RU"/>
        </w:rPr>
      </w:pPr>
      <w:r w:rsidRPr="00257584">
        <w:rPr>
          <w:rFonts w:eastAsia="Times New Roman"/>
          <w:sz w:val="24"/>
          <w:lang w:eastAsia="ru-RU"/>
        </w:rPr>
        <w:t>Исходя из положений ГП «</w:t>
      </w:r>
      <w:r w:rsidR="00D50DBA">
        <w:rPr>
          <w:rFonts w:eastAsia="Times New Roman"/>
          <w:sz w:val="24"/>
          <w:lang w:eastAsia="ru-RU"/>
        </w:rPr>
        <w:t>Транспорт</w:t>
      </w:r>
      <w:r w:rsidRPr="00257584">
        <w:rPr>
          <w:rFonts w:eastAsia="Times New Roman"/>
          <w:sz w:val="24"/>
          <w:lang w:eastAsia="ru-RU"/>
        </w:rPr>
        <w:t>»</w:t>
      </w:r>
      <w:r w:rsidR="00D50DBA">
        <w:rPr>
          <w:rFonts w:eastAsia="Times New Roman"/>
          <w:sz w:val="24"/>
          <w:lang w:eastAsia="ru-RU"/>
        </w:rPr>
        <w:t>, методики расчёта целевого показателя можно прийти к заключению</w:t>
      </w:r>
      <w:r w:rsidR="00D06622">
        <w:rPr>
          <w:rFonts w:eastAsia="Times New Roman"/>
          <w:sz w:val="24"/>
          <w:lang w:eastAsia="ru-RU"/>
        </w:rPr>
        <w:t xml:space="preserve"> о том, что </w:t>
      </w:r>
      <w:r w:rsidR="00D50DBA">
        <w:rPr>
          <w:rFonts w:eastAsia="Times New Roman"/>
          <w:sz w:val="24"/>
          <w:lang w:eastAsia="ru-RU"/>
        </w:rPr>
        <w:t xml:space="preserve">применительно к данной программе под словосочетанием </w:t>
      </w:r>
      <w:r w:rsidRPr="00257584">
        <w:rPr>
          <w:rFonts w:eastAsia="Times New Roman"/>
          <w:sz w:val="24"/>
          <w:lang w:eastAsia="ru-RU"/>
        </w:rPr>
        <w:t xml:space="preserve">«Пассажирооборот автомобильного транспорта общего пользования» </w:t>
      </w:r>
      <w:r w:rsidR="00D50DBA">
        <w:rPr>
          <w:rFonts w:eastAsia="Times New Roman"/>
          <w:sz w:val="24"/>
          <w:lang w:eastAsia="ru-RU"/>
        </w:rPr>
        <w:t>понимается</w:t>
      </w:r>
      <w:r w:rsidRPr="00257584">
        <w:rPr>
          <w:rFonts w:eastAsia="Times New Roman"/>
          <w:sz w:val="24"/>
          <w:lang w:eastAsia="ru-RU"/>
        </w:rPr>
        <w:t xml:space="preserve"> только данные </w:t>
      </w:r>
      <w:r w:rsidR="00D06622">
        <w:rPr>
          <w:rFonts w:eastAsia="Times New Roman"/>
          <w:sz w:val="24"/>
          <w:lang w:eastAsia="ru-RU"/>
        </w:rPr>
        <w:t xml:space="preserve">о </w:t>
      </w:r>
      <w:r w:rsidRPr="00257584">
        <w:rPr>
          <w:rFonts w:eastAsia="Times New Roman"/>
          <w:sz w:val="24"/>
          <w:lang w:eastAsia="ru-RU"/>
        </w:rPr>
        <w:t>регулярных перевоз</w:t>
      </w:r>
      <w:r w:rsidR="00D06622">
        <w:rPr>
          <w:rFonts w:eastAsia="Times New Roman"/>
          <w:sz w:val="24"/>
          <w:lang w:eastAsia="ru-RU"/>
        </w:rPr>
        <w:t>ках</w:t>
      </w:r>
      <w:r w:rsidRPr="00257584">
        <w:rPr>
          <w:rFonts w:eastAsia="Times New Roman"/>
          <w:sz w:val="24"/>
          <w:lang w:eastAsia="ru-RU"/>
        </w:rPr>
        <w:t xml:space="preserve"> на межмуниципальных маршрутах по </w:t>
      </w:r>
      <w:r w:rsidR="00A347D3">
        <w:rPr>
          <w:rFonts w:eastAsia="Times New Roman"/>
          <w:sz w:val="24"/>
          <w:lang w:eastAsia="ru-RU"/>
        </w:rPr>
        <w:t>РТ</w:t>
      </w:r>
      <w:r w:rsidR="00D06622">
        <w:rPr>
          <w:rFonts w:eastAsia="Times New Roman"/>
          <w:sz w:val="24"/>
          <w:lang w:eastAsia="ru-RU"/>
        </w:rPr>
        <w:t xml:space="preserve">, измеряемые в </w:t>
      </w:r>
      <w:proofErr w:type="spellStart"/>
      <w:proofErr w:type="gramStart"/>
      <w:r w:rsidR="00D06622">
        <w:rPr>
          <w:rFonts w:eastAsia="Times New Roman"/>
          <w:sz w:val="24"/>
          <w:lang w:eastAsia="ru-RU"/>
        </w:rPr>
        <w:t>место-километрах</w:t>
      </w:r>
      <w:proofErr w:type="spellEnd"/>
      <w:proofErr w:type="gramEnd"/>
      <w:r w:rsidRPr="00257584">
        <w:rPr>
          <w:rFonts w:eastAsia="Times New Roman"/>
          <w:sz w:val="24"/>
          <w:lang w:eastAsia="ru-RU"/>
        </w:rPr>
        <w:t>.</w:t>
      </w:r>
    </w:p>
    <w:p w:rsidR="00D06622" w:rsidRDefault="00D06622" w:rsidP="00AD4E62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="Times New Roman"/>
          <w:bCs/>
          <w:sz w:val="24"/>
          <w:lang w:eastAsia="ru-RU"/>
        </w:rPr>
        <w:t xml:space="preserve">Наименование показателя, содержащегося в ГП, не согласовано по содержанию и единицам измерения. Согласно </w:t>
      </w:r>
      <w:r w:rsidR="002077EE">
        <w:rPr>
          <w:rFonts w:eastAsia="Times New Roman"/>
          <w:bCs/>
          <w:sz w:val="24"/>
          <w:lang w:eastAsia="ru-RU"/>
        </w:rPr>
        <w:t>нормативным правовым актам</w:t>
      </w:r>
      <w:r w:rsidR="00B367C6">
        <w:rPr>
          <w:rFonts w:eastAsiaTheme="minorHAnsi"/>
          <w:sz w:val="24"/>
        </w:rPr>
        <w:t xml:space="preserve"> Росстата пассажирооборот транспорта</w:t>
      </w:r>
      <w:r>
        <w:rPr>
          <w:rFonts w:eastAsiaTheme="minorHAnsi"/>
          <w:sz w:val="24"/>
        </w:rPr>
        <w:t xml:space="preserve"> - объем работы транспорта по перевозкам пассажиров. Единицей измерения является </w:t>
      </w:r>
      <w:proofErr w:type="spellStart"/>
      <w:r>
        <w:rPr>
          <w:rFonts w:eastAsiaTheme="minorHAnsi"/>
          <w:sz w:val="24"/>
        </w:rPr>
        <w:t>пассажиро-километр</w:t>
      </w:r>
      <w:proofErr w:type="spellEnd"/>
      <w:r>
        <w:rPr>
          <w:rFonts w:eastAsiaTheme="minorHAnsi"/>
          <w:sz w:val="24"/>
        </w:rPr>
        <w:t xml:space="preserve">, т.е. перемещение пассажира на расстояние в 1 км. </w:t>
      </w:r>
    </w:p>
    <w:p w:rsidR="00B367C6" w:rsidRDefault="00B367C6" w:rsidP="00AD4E62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>Единиц</w:t>
      </w:r>
      <w:r w:rsidR="00977546">
        <w:rPr>
          <w:rFonts w:eastAsiaTheme="minorHAnsi"/>
          <w:sz w:val="24"/>
        </w:rPr>
        <w:t>ей</w:t>
      </w:r>
      <w:r>
        <w:rPr>
          <w:rFonts w:eastAsiaTheme="minorHAnsi"/>
          <w:sz w:val="24"/>
        </w:rPr>
        <w:t xml:space="preserve"> измерения </w:t>
      </w:r>
      <w:r w:rsidR="00A460F1">
        <w:rPr>
          <w:rFonts w:eastAsiaTheme="minorHAnsi"/>
          <w:sz w:val="24"/>
        </w:rPr>
        <w:t>«</w:t>
      </w:r>
      <w:r>
        <w:rPr>
          <w:rFonts w:eastAsia="Times New Roman"/>
          <w:sz w:val="24"/>
          <w:lang w:eastAsia="ru-RU"/>
        </w:rPr>
        <w:t>место-километр</w:t>
      </w:r>
      <w:r w:rsidR="00A460F1">
        <w:rPr>
          <w:rFonts w:eastAsia="Times New Roman"/>
          <w:sz w:val="24"/>
          <w:lang w:eastAsia="ru-RU"/>
        </w:rPr>
        <w:t>»</w:t>
      </w:r>
      <w:r>
        <w:rPr>
          <w:rFonts w:eastAsia="Times New Roman"/>
          <w:sz w:val="24"/>
          <w:lang w:eastAsia="ru-RU"/>
        </w:rPr>
        <w:t xml:space="preserve"> измеряется показатель «Транспортная работа», </w:t>
      </w:r>
      <w:r w:rsidR="00977546">
        <w:rPr>
          <w:rFonts w:eastAsia="Times New Roman"/>
          <w:sz w:val="24"/>
          <w:lang w:eastAsia="ru-RU"/>
        </w:rPr>
        <w:t xml:space="preserve">который </w:t>
      </w:r>
      <w:r>
        <w:rPr>
          <w:rFonts w:eastAsia="Times New Roman"/>
          <w:sz w:val="24"/>
          <w:lang w:eastAsia="ru-RU"/>
        </w:rPr>
        <w:t>встречае</w:t>
      </w:r>
      <w:r w:rsidR="00977546">
        <w:rPr>
          <w:rFonts w:eastAsia="Times New Roman"/>
          <w:sz w:val="24"/>
          <w:lang w:eastAsia="ru-RU"/>
        </w:rPr>
        <w:t>тся</w:t>
      </w:r>
      <w:r>
        <w:rPr>
          <w:rFonts w:eastAsia="Times New Roman"/>
          <w:sz w:val="24"/>
          <w:lang w:eastAsia="ru-RU"/>
        </w:rPr>
        <w:t xml:space="preserve"> в некоторых нормативных правовых актах, например, в </w:t>
      </w:r>
      <w:r>
        <w:rPr>
          <w:rFonts w:eastAsiaTheme="minorHAnsi"/>
          <w:sz w:val="24"/>
        </w:rPr>
        <w:t>Ме</w:t>
      </w:r>
      <w:r w:rsidR="00A347D3">
        <w:rPr>
          <w:rFonts w:eastAsiaTheme="minorHAnsi"/>
          <w:sz w:val="24"/>
        </w:rPr>
        <w:t>тодике расчета размера субсидий…</w:t>
      </w:r>
      <w:r>
        <w:rPr>
          <w:rFonts w:eastAsiaTheme="minorHAnsi"/>
          <w:sz w:val="24"/>
        </w:rPr>
        <w:t xml:space="preserve"> по социальным проездным билетам, утверждённой постановлением Администрации Волгоградской области от 27.11.2017 </w:t>
      </w:r>
      <w:r w:rsidR="00A460F1">
        <w:rPr>
          <w:rFonts w:eastAsiaTheme="minorHAnsi"/>
          <w:sz w:val="24"/>
        </w:rPr>
        <w:t>№</w:t>
      </w:r>
      <w:r>
        <w:rPr>
          <w:rFonts w:eastAsiaTheme="minorHAnsi"/>
          <w:sz w:val="24"/>
        </w:rPr>
        <w:t xml:space="preserve"> 622-п.</w:t>
      </w:r>
    </w:p>
    <w:p w:rsidR="00AD4E62" w:rsidRDefault="00B367C6" w:rsidP="00020057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proofErr w:type="gramStart"/>
      <w:r>
        <w:rPr>
          <w:rFonts w:eastAsia="Times New Roman"/>
          <w:bCs/>
          <w:sz w:val="24"/>
          <w:lang w:eastAsia="ru-RU"/>
        </w:rPr>
        <w:t>Таким образом</w:t>
      </w:r>
      <w:r w:rsidR="00190416">
        <w:rPr>
          <w:rFonts w:eastAsia="Times New Roman"/>
          <w:bCs/>
          <w:sz w:val="24"/>
          <w:lang w:eastAsia="ru-RU"/>
        </w:rPr>
        <w:t>,</w:t>
      </w:r>
      <w:r>
        <w:rPr>
          <w:rFonts w:eastAsia="Times New Roman"/>
          <w:bCs/>
          <w:sz w:val="24"/>
          <w:lang w:eastAsia="ru-RU"/>
        </w:rPr>
        <w:t xml:space="preserve"> положения ГП «Транспорт» в части </w:t>
      </w:r>
      <w:r w:rsidR="00AD4E62">
        <w:rPr>
          <w:rFonts w:eastAsia="Times New Roman"/>
          <w:bCs/>
          <w:sz w:val="24"/>
          <w:lang w:eastAsia="ru-RU"/>
        </w:rPr>
        <w:t xml:space="preserve">наименования и единиц измерения целевого показателя </w:t>
      </w:r>
      <w:r w:rsidR="00AD4E62" w:rsidRPr="00257584">
        <w:rPr>
          <w:rFonts w:eastAsia="Times New Roman"/>
          <w:sz w:val="24"/>
          <w:lang w:eastAsia="ru-RU"/>
        </w:rPr>
        <w:t>«Пассажирооборот автомобильного транспорта общего пользования»</w:t>
      </w:r>
      <w:r w:rsidR="00AD4E62" w:rsidRPr="00AD4E62">
        <w:rPr>
          <w:rFonts w:eastAsiaTheme="minorHAnsi"/>
          <w:sz w:val="24"/>
        </w:rPr>
        <w:t xml:space="preserve"> </w:t>
      </w:r>
      <w:r w:rsidR="00AD4E62">
        <w:rPr>
          <w:rFonts w:eastAsiaTheme="minorHAnsi"/>
          <w:sz w:val="24"/>
        </w:rPr>
        <w:t>не отвечают требованиям ч.</w:t>
      </w:r>
      <w:r w:rsidR="00A460F1">
        <w:rPr>
          <w:rFonts w:eastAsiaTheme="minorHAnsi"/>
          <w:sz w:val="24"/>
        </w:rPr>
        <w:t xml:space="preserve"> </w:t>
      </w:r>
      <w:r w:rsidR="00AD4E62">
        <w:rPr>
          <w:rFonts w:eastAsiaTheme="minorHAnsi"/>
          <w:sz w:val="24"/>
        </w:rPr>
        <w:t xml:space="preserve">1 ст. 24 </w:t>
      </w:r>
      <w:r w:rsidR="00977546">
        <w:rPr>
          <w:rFonts w:eastAsiaTheme="minorHAnsi"/>
          <w:sz w:val="24"/>
        </w:rPr>
        <w:t>З</w:t>
      </w:r>
      <w:r w:rsidR="00AD4E62">
        <w:rPr>
          <w:rFonts w:eastAsiaTheme="minorHAnsi"/>
          <w:sz w:val="24"/>
        </w:rPr>
        <w:t>акон</w:t>
      </w:r>
      <w:r w:rsidR="00977546">
        <w:rPr>
          <w:rFonts w:eastAsiaTheme="minorHAnsi"/>
          <w:sz w:val="24"/>
        </w:rPr>
        <w:t>а</w:t>
      </w:r>
      <w:r w:rsidR="00AD4E62">
        <w:rPr>
          <w:rFonts w:eastAsiaTheme="minorHAnsi"/>
          <w:sz w:val="24"/>
        </w:rPr>
        <w:t xml:space="preserve"> Волгоградской области от 09.12.2014 </w:t>
      </w:r>
      <w:r w:rsidR="00A460F1">
        <w:rPr>
          <w:rFonts w:eastAsiaTheme="minorHAnsi"/>
          <w:sz w:val="24"/>
        </w:rPr>
        <w:t>№</w:t>
      </w:r>
      <w:r w:rsidR="00AD4E62">
        <w:rPr>
          <w:rFonts w:eastAsiaTheme="minorHAnsi"/>
          <w:sz w:val="24"/>
        </w:rPr>
        <w:t xml:space="preserve"> 169-ОД «О нормативных правовых актах Волгоградской области», согласно которой положения нормативных правовых актов Волгоградской области должны быть четко сформулированы в целях исключения возможности их двойного толкования.</w:t>
      </w:r>
      <w:proofErr w:type="gramEnd"/>
    </w:p>
    <w:p w:rsidR="00020057" w:rsidRPr="00020057" w:rsidRDefault="00020057" w:rsidP="00020057">
      <w:pPr>
        <w:pStyle w:val="a8"/>
        <w:autoSpaceDE w:val="0"/>
        <w:autoSpaceDN w:val="0"/>
        <w:adjustRightInd w:val="0"/>
        <w:ind w:left="0" w:firstLine="709"/>
        <w:jc w:val="both"/>
        <w:outlineLvl w:val="0"/>
        <w:rPr>
          <w:rFonts w:eastAsiaTheme="minorHAnsi"/>
          <w:bCs/>
        </w:rPr>
      </w:pPr>
      <w:proofErr w:type="gramStart"/>
      <w:r>
        <w:rPr>
          <w:bCs/>
        </w:rPr>
        <w:t>Кроме того, целевой показатель, выраженный в «</w:t>
      </w:r>
      <w:proofErr w:type="spellStart"/>
      <w:r>
        <w:rPr>
          <w:bCs/>
        </w:rPr>
        <w:t>место-километрах</w:t>
      </w:r>
      <w:proofErr w:type="spellEnd"/>
      <w:r>
        <w:rPr>
          <w:bCs/>
        </w:rPr>
        <w:t>» и обозначающий количество «провезённых мест» в автобусах, не</w:t>
      </w:r>
      <w:r>
        <w:rPr>
          <w:rFonts w:eastAsiaTheme="minorHAnsi"/>
        </w:rPr>
        <w:t xml:space="preserve"> очевидным образом характеризует прогресс в достижении цели или решении задачи государственной </w:t>
      </w:r>
      <w:r>
        <w:rPr>
          <w:bCs/>
        </w:rPr>
        <w:t xml:space="preserve">ГП «Транспорт» </w:t>
      </w:r>
      <w:r>
        <w:rPr>
          <w:rFonts w:eastAsiaTheme="minorHAnsi"/>
        </w:rPr>
        <w:t xml:space="preserve">по </w:t>
      </w:r>
      <w:r w:rsidRPr="001E214E">
        <w:rPr>
          <w:rFonts w:eastAsiaTheme="minorHAnsi"/>
        </w:rPr>
        <w:t>повышени</w:t>
      </w:r>
      <w:r>
        <w:rPr>
          <w:rFonts w:eastAsiaTheme="minorHAnsi"/>
        </w:rPr>
        <w:t>ю</w:t>
      </w:r>
      <w:r w:rsidRPr="001E214E">
        <w:rPr>
          <w:rFonts w:eastAsiaTheme="minorHAnsi"/>
        </w:rPr>
        <w:t xml:space="preserve"> </w:t>
      </w:r>
      <w:r w:rsidRPr="00836C37">
        <w:rPr>
          <w:rFonts w:eastAsiaTheme="minorHAnsi"/>
        </w:rPr>
        <w:t>доступности пассажирских транспортных услуг для населения</w:t>
      </w:r>
      <w:r>
        <w:rPr>
          <w:rFonts w:eastAsiaTheme="minorHAnsi"/>
        </w:rPr>
        <w:t>, то есть</w:t>
      </w:r>
      <w:r w:rsidRPr="00035BA0">
        <w:rPr>
          <w:rFonts w:eastAsiaTheme="minorHAnsi"/>
        </w:rPr>
        <w:t xml:space="preserve"> </w:t>
      </w:r>
      <w:r>
        <w:rPr>
          <w:rFonts w:eastAsiaTheme="minorHAnsi"/>
        </w:rPr>
        <w:t xml:space="preserve">не соответствует требованию адекватности, установленному п. 2.5 </w:t>
      </w:r>
      <w:r w:rsidRPr="00836C37">
        <w:rPr>
          <w:rFonts w:eastAsiaTheme="minorHAnsi"/>
        </w:rPr>
        <w:t>Порядка разработки, реализации и оценки эффективности реализации государственных программ Волгоградской области, утверждённого постановлением Правительства Волгоградской</w:t>
      </w:r>
      <w:proofErr w:type="gramEnd"/>
      <w:r w:rsidRPr="00836C37">
        <w:rPr>
          <w:rFonts w:eastAsiaTheme="minorHAnsi"/>
        </w:rPr>
        <w:t xml:space="preserve"> области от 27.08.2013 № 423-п</w:t>
      </w:r>
      <w:r>
        <w:rPr>
          <w:rFonts w:eastAsiaTheme="minorHAnsi"/>
        </w:rPr>
        <w:t xml:space="preserve"> (далее – Порядок № 423-п).</w:t>
      </w:r>
    </w:p>
    <w:p w:rsidR="00251261" w:rsidRPr="00257584" w:rsidRDefault="00251261" w:rsidP="00020057">
      <w:pPr>
        <w:autoSpaceDE w:val="0"/>
        <w:autoSpaceDN w:val="0"/>
        <w:adjustRightInd w:val="0"/>
        <w:spacing w:line="240" w:lineRule="auto"/>
        <w:rPr>
          <w:rFonts w:eastAsia="Times New Roman"/>
          <w:bCs/>
          <w:sz w:val="24"/>
          <w:lang w:eastAsia="ru-RU"/>
        </w:rPr>
      </w:pPr>
      <w:r w:rsidRPr="00257584">
        <w:rPr>
          <w:rFonts w:eastAsia="Times New Roman"/>
          <w:bCs/>
          <w:sz w:val="24"/>
          <w:lang w:eastAsia="ru-RU"/>
        </w:rPr>
        <w:t xml:space="preserve">Согласно годовому докладу </w:t>
      </w:r>
      <w:r w:rsidR="00AD4E62" w:rsidRPr="00257584">
        <w:rPr>
          <w:rFonts w:eastAsia="Times New Roman"/>
          <w:bCs/>
          <w:sz w:val="24"/>
          <w:lang w:eastAsia="ru-RU"/>
        </w:rPr>
        <w:t xml:space="preserve">о ходе реализации </w:t>
      </w:r>
      <w:r w:rsidR="00AD4E62">
        <w:rPr>
          <w:rFonts w:eastAsia="Times New Roman"/>
          <w:bCs/>
          <w:sz w:val="24"/>
          <w:lang w:eastAsia="ru-RU"/>
        </w:rPr>
        <w:t xml:space="preserve">ГП «Транспорт», подготовленному </w:t>
      </w:r>
      <w:proofErr w:type="spellStart"/>
      <w:r w:rsidR="00AD4E62">
        <w:rPr>
          <w:rFonts w:eastAsia="Times New Roman"/>
          <w:bCs/>
          <w:sz w:val="24"/>
          <w:lang w:eastAsia="ru-RU"/>
        </w:rPr>
        <w:t>Облкомдортрансом</w:t>
      </w:r>
      <w:proofErr w:type="spellEnd"/>
      <w:r w:rsidR="00AD4E62">
        <w:rPr>
          <w:rFonts w:eastAsia="Times New Roman"/>
          <w:bCs/>
          <w:sz w:val="24"/>
          <w:lang w:eastAsia="ru-RU"/>
        </w:rPr>
        <w:t xml:space="preserve">, плановое </w:t>
      </w:r>
      <w:r w:rsidRPr="00257584">
        <w:rPr>
          <w:rFonts w:eastAsia="Times New Roman"/>
          <w:bCs/>
          <w:sz w:val="24"/>
          <w:lang w:eastAsia="ru-RU"/>
        </w:rPr>
        <w:t xml:space="preserve">значение показателя «Пассажирооборот автомобильного транспорта общего пользования» </w:t>
      </w:r>
      <w:r w:rsidR="00AD4E62">
        <w:rPr>
          <w:rFonts w:eastAsia="Times New Roman"/>
          <w:bCs/>
          <w:sz w:val="24"/>
          <w:lang w:eastAsia="ru-RU"/>
        </w:rPr>
        <w:t xml:space="preserve">за 2018 год </w:t>
      </w:r>
      <w:r w:rsidRPr="00257584">
        <w:rPr>
          <w:rFonts w:eastAsia="Times New Roman"/>
          <w:bCs/>
          <w:sz w:val="24"/>
          <w:lang w:eastAsia="ru-RU"/>
        </w:rPr>
        <w:t>не достигнуто (</w:t>
      </w:r>
      <w:r w:rsidRPr="00257584">
        <w:rPr>
          <w:rFonts w:eastAsia="Times New Roman"/>
          <w:bCs/>
          <w:i/>
          <w:sz w:val="24"/>
          <w:lang w:eastAsia="ru-RU"/>
        </w:rPr>
        <w:t xml:space="preserve">план: 585 млн. </w:t>
      </w:r>
      <w:proofErr w:type="spellStart"/>
      <w:proofErr w:type="gramStart"/>
      <w:r w:rsidRPr="00257584">
        <w:rPr>
          <w:rFonts w:eastAsia="Times New Roman"/>
          <w:bCs/>
          <w:i/>
          <w:sz w:val="24"/>
          <w:lang w:eastAsia="ru-RU"/>
        </w:rPr>
        <w:t>место-километров</w:t>
      </w:r>
      <w:proofErr w:type="spellEnd"/>
      <w:proofErr w:type="gramEnd"/>
      <w:r w:rsidRPr="00257584">
        <w:rPr>
          <w:rFonts w:eastAsia="Times New Roman"/>
          <w:bCs/>
          <w:i/>
          <w:sz w:val="24"/>
          <w:lang w:eastAsia="ru-RU"/>
        </w:rPr>
        <w:t xml:space="preserve">, </w:t>
      </w:r>
      <w:r w:rsidR="00617B05">
        <w:rPr>
          <w:rFonts w:eastAsia="Times New Roman"/>
          <w:bCs/>
          <w:i/>
          <w:sz w:val="24"/>
          <w:lang w:eastAsia="ru-RU"/>
        </w:rPr>
        <w:t>отчёт</w:t>
      </w:r>
      <w:r w:rsidRPr="00257584">
        <w:rPr>
          <w:rFonts w:eastAsia="Times New Roman"/>
          <w:bCs/>
          <w:i/>
          <w:sz w:val="24"/>
          <w:lang w:eastAsia="ru-RU"/>
        </w:rPr>
        <w:t xml:space="preserve">: 575,4 млн. </w:t>
      </w:r>
      <w:proofErr w:type="spellStart"/>
      <w:r w:rsidRPr="00257584">
        <w:rPr>
          <w:rFonts w:eastAsia="Times New Roman"/>
          <w:bCs/>
          <w:i/>
          <w:sz w:val="24"/>
          <w:lang w:eastAsia="ru-RU"/>
        </w:rPr>
        <w:t>место-километров</w:t>
      </w:r>
      <w:proofErr w:type="spellEnd"/>
      <w:r w:rsidRPr="00257584">
        <w:rPr>
          <w:rFonts w:eastAsia="Times New Roman"/>
          <w:bCs/>
          <w:sz w:val="24"/>
          <w:lang w:eastAsia="ru-RU"/>
        </w:rPr>
        <w:t>).</w:t>
      </w:r>
    </w:p>
    <w:p w:rsidR="00617B05" w:rsidRPr="00617B05" w:rsidRDefault="00AD4E62" w:rsidP="00251261">
      <w:pPr>
        <w:autoSpaceDE w:val="0"/>
        <w:autoSpaceDN w:val="0"/>
        <w:adjustRightInd w:val="0"/>
        <w:spacing w:line="240" w:lineRule="auto"/>
        <w:rPr>
          <w:rFonts w:eastAsia="Times New Roman"/>
          <w:bCs/>
          <w:sz w:val="24"/>
          <w:lang w:eastAsia="ru-RU"/>
        </w:rPr>
      </w:pPr>
      <w:r>
        <w:rPr>
          <w:rFonts w:eastAsia="Times New Roman"/>
          <w:bCs/>
          <w:sz w:val="24"/>
          <w:lang w:eastAsia="ru-RU"/>
        </w:rPr>
        <w:t xml:space="preserve">Проверкой перевозчиков и их отчётных документов установлено, что значение </w:t>
      </w:r>
      <w:r w:rsidRPr="00617B05">
        <w:rPr>
          <w:rFonts w:eastAsia="Times New Roman"/>
          <w:bCs/>
          <w:sz w:val="24"/>
          <w:lang w:eastAsia="ru-RU"/>
        </w:rPr>
        <w:t>целевого показателя</w:t>
      </w:r>
      <w:r w:rsidR="00617B05" w:rsidRPr="00617B05">
        <w:rPr>
          <w:rFonts w:eastAsia="Times New Roman"/>
          <w:bCs/>
          <w:sz w:val="24"/>
          <w:lang w:eastAsia="ru-RU"/>
        </w:rPr>
        <w:t>,</w:t>
      </w:r>
      <w:r w:rsidRPr="00617B05">
        <w:rPr>
          <w:rFonts w:eastAsia="Times New Roman"/>
          <w:bCs/>
          <w:sz w:val="24"/>
          <w:lang w:eastAsia="ru-RU"/>
        </w:rPr>
        <w:t xml:space="preserve"> именуемого в ГП «Транспорт» «Пассажирооборот автомобильного транспорта общего пользования» </w:t>
      </w:r>
      <w:r w:rsidR="00617B05">
        <w:rPr>
          <w:rFonts w:eastAsia="Times New Roman"/>
          <w:bCs/>
          <w:sz w:val="24"/>
          <w:lang w:eastAsia="ru-RU"/>
        </w:rPr>
        <w:t xml:space="preserve">и </w:t>
      </w:r>
      <w:r w:rsidRPr="00617B05">
        <w:rPr>
          <w:rFonts w:eastAsia="Times New Roman"/>
          <w:bCs/>
          <w:sz w:val="24"/>
          <w:lang w:eastAsia="ru-RU"/>
        </w:rPr>
        <w:t xml:space="preserve">измеряемого в </w:t>
      </w:r>
      <w:proofErr w:type="spellStart"/>
      <w:proofErr w:type="gramStart"/>
      <w:r w:rsidRPr="00617B05">
        <w:rPr>
          <w:rFonts w:eastAsia="Times New Roman"/>
          <w:bCs/>
          <w:sz w:val="24"/>
          <w:lang w:eastAsia="ru-RU"/>
        </w:rPr>
        <w:t>место-километрах</w:t>
      </w:r>
      <w:proofErr w:type="spellEnd"/>
      <w:proofErr w:type="gramEnd"/>
      <w:r w:rsidR="00617B05" w:rsidRPr="00617B05">
        <w:rPr>
          <w:rFonts w:eastAsia="Times New Roman"/>
          <w:bCs/>
          <w:sz w:val="24"/>
          <w:lang w:eastAsia="ru-RU"/>
        </w:rPr>
        <w:t>, за 2018</w:t>
      </w:r>
      <w:r w:rsidR="003774AB">
        <w:rPr>
          <w:rFonts w:eastAsia="Times New Roman"/>
          <w:bCs/>
          <w:sz w:val="24"/>
          <w:lang w:eastAsia="ru-RU"/>
        </w:rPr>
        <w:t xml:space="preserve"> год </w:t>
      </w:r>
      <w:r w:rsidR="00617B05" w:rsidRPr="00617B05">
        <w:rPr>
          <w:rFonts w:eastAsia="Times New Roman"/>
          <w:bCs/>
          <w:sz w:val="24"/>
          <w:lang w:eastAsia="ru-RU"/>
        </w:rPr>
        <w:t xml:space="preserve">составило </w:t>
      </w:r>
      <w:r w:rsidR="00617B05" w:rsidRPr="00617B05">
        <w:rPr>
          <w:rFonts w:eastAsia="Times New Roman"/>
          <w:color w:val="000000"/>
          <w:sz w:val="24"/>
          <w:szCs w:val="22"/>
          <w:lang w:eastAsia="ru-RU"/>
        </w:rPr>
        <w:t>594,5</w:t>
      </w:r>
      <w:r w:rsidR="00617B05" w:rsidRPr="00617B05">
        <w:rPr>
          <w:rFonts w:eastAsia="Times New Roman"/>
          <w:bCs/>
          <w:sz w:val="24"/>
          <w:lang w:eastAsia="ru-RU"/>
        </w:rPr>
        <w:t xml:space="preserve"> млн. место-к</w:t>
      </w:r>
      <w:r w:rsidR="00A347D3">
        <w:rPr>
          <w:rFonts w:eastAsia="Times New Roman"/>
          <w:bCs/>
          <w:sz w:val="24"/>
          <w:lang w:eastAsia="ru-RU"/>
        </w:rPr>
        <w:t>м</w:t>
      </w:r>
      <w:r w:rsidR="00617B05">
        <w:rPr>
          <w:rFonts w:eastAsia="Times New Roman"/>
          <w:bCs/>
          <w:sz w:val="24"/>
          <w:lang w:eastAsia="ru-RU"/>
        </w:rPr>
        <w:t xml:space="preserve">, что больше планируемого значения на 9,6 </w:t>
      </w:r>
      <w:r w:rsidR="00617B05" w:rsidRPr="00617B05">
        <w:rPr>
          <w:rFonts w:eastAsia="Times New Roman"/>
          <w:bCs/>
          <w:sz w:val="24"/>
          <w:lang w:eastAsia="ru-RU"/>
        </w:rPr>
        <w:t>млн. место-к</w:t>
      </w:r>
      <w:r w:rsidR="00A347D3">
        <w:rPr>
          <w:rFonts w:eastAsia="Times New Roman"/>
          <w:bCs/>
          <w:sz w:val="24"/>
          <w:lang w:eastAsia="ru-RU"/>
        </w:rPr>
        <w:t>м</w:t>
      </w:r>
      <w:r w:rsidR="00617B05">
        <w:rPr>
          <w:rFonts w:eastAsia="Times New Roman"/>
          <w:bCs/>
          <w:sz w:val="24"/>
          <w:lang w:eastAsia="ru-RU"/>
        </w:rPr>
        <w:t xml:space="preserve"> (1,6%), </w:t>
      </w:r>
      <w:r w:rsidR="004B65C1">
        <w:rPr>
          <w:rFonts w:eastAsia="Times New Roman"/>
          <w:bCs/>
          <w:sz w:val="24"/>
          <w:lang w:eastAsia="ru-RU"/>
        </w:rPr>
        <w:t>значения, указанного в отчёте</w:t>
      </w:r>
      <w:r w:rsidR="00617B05">
        <w:rPr>
          <w:rFonts w:eastAsia="Times New Roman"/>
          <w:bCs/>
          <w:sz w:val="24"/>
          <w:lang w:eastAsia="ru-RU"/>
        </w:rPr>
        <w:t xml:space="preserve"> – </w:t>
      </w:r>
      <w:r w:rsidR="004B65C1">
        <w:rPr>
          <w:rFonts w:eastAsia="Times New Roman"/>
          <w:bCs/>
          <w:sz w:val="24"/>
          <w:lang w:eastAsia="ru-RU"/>
        </w:rPr>
        <w:t xml:space="preserve">больше </w:t>
      </w:r>
      <w:r w:rsidR="00617B05">
        <w:rPr>
          <w:rFonts w:eastAsia="Times New Roman"/>
          <w:bCs/>
          <w:sz w:val="24"/>
          <w:lang w:eastAsia="ru-RU"/>
        </w:rPr>
        <w:t>на 19,1</w:t>
      </w:r>
      <w:r w:rsidR="00617B05" w:rsidRPr="00617B05">
        <w:rPr>
          <w:rFonts w:eastAsia="Times New Roman"/>
          <w:bCs/>
          <w:sz w:val="24"/>
          <w:lang w:eastAsia="ru-RU"/>
        </w:rPr>
        <w:t xml:space="preserve"> млн. место-к</w:t>
      </w:r>
      <w:r w:rsidR="00A347D3">
        <w:rPr>
          <w:rFonts w:eastAsia="Times New Roman"/>
          <w:bCs/>
          <w:sz w:val="24"/>
          <w:lang w:eastAsia="ru-RU"/>
        </w:rPr>
        <w:t>м</w:t>
      </w:r>
      <w:r w:rsidR="00617B05">
        <w:rPr>
          <w:rFonts w:eastAsia="Times New Roman"/>
          <w:bCs/>
          <w:sz w:val="24"/>
          <w:lang w:eastAsia="ru-RU"/>
        </w:rPr>
        <w:t xml:space="preserve"> (3,3%).</w:t>
      </w:r>
    </w:p>
    <w:p w:rsidR="00DF145A" w:rsidRDefault="00DF145A" w:rsidP="00251261">
      <w:pPr>
        <w:autoSpaceDE w:val="0"/>
        <w:autoSpaceDN w:val="0"/>
        <w:adjustRightInd w:val="0"/>
        <w:spacing w:line="240" w:lineRule="auto"/>
        <w:rPr>
          <w:rFonts w:eastAsia="Times New Roman"/>
          <w:bCs/>
          <w:sz w:val="24"/>
          <w:lang w:eastAsia="ru-RU"/>
        </w:rPr>
      </w:pPr>
      <w:r>
        <w:rPr>
          <w:rFonts w:eastAsia="Times New Roman"/>
          <w:bCs/>
          <w:sz w:val="24"/>
          <w:lang w:eastAsia="ru-RU"/>
        </w:rPr>
        <w:lastRenderedPageBreak/>
        <w:t>При формальной оценке перевыполнение планового значения целевого показателя при затратах, меньше запланированных, означает эффективное использование бюджетных средств.</w:t>
      </w:r>
    </w:p>
    <w:tbl>
      <w:tblPr>
        <w:tblW w:w="9904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119"/>
        <w:gridCol w:w="992"/>
        <w:gridCol w:w="1257"/>
        <w:gridCol w:w="1417"/>
      </w:tblGrid>
      <w:tr w:rsidR="00A13BE1" w:rsidRPr="00247C59" w:rsidTr="00A84D74">
        <w:trPr>
          <w:trHeight w:val="20"/>
        </w:trPr>
        <w:tc>
          <w:tcPr>
            <w:tcW w:w="62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13BE1" w:rsidRPr="00247C59" w:rsidRDefault="00DF145A" w:rsidP="00DF145A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13BE1" w:rsidRPr="00247C59" w:rsidRDefault="00A13BE1" w:rsidP="00DF145A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13BE1" w:rsidRPr="00247C59" w:rsidRDefault="00A13BE1" w:rsidP="00DF145A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BE1" w:rsidRPr="00247C59" w:rsidRDefault="00A13BE1" w:rsidP="00DF145A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</w:tr>
      <w:tr w:rsidR="00A13BE1" w:rsidRPr="00247C59" w:rsidTr="00A84D74">
        <w:trPr>
          <w:trHeight w:val="20"/>
        </w:trPr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13BE1" w:rsidRPr="00247C59" w:rsidRDefault="00A13BE1" w:rsidP="0028664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Финансирование, тыс. руб.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13BE1" w:rsidRPr="00247C59" w:rsidRDefault="00A13BE1" w:rsidP="0028664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Субсидий по РТ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13BE1" w:rsidRPr="00247C59" w:rsidRDefault="00A13BE1" w:rsidP="0028664B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172 251,4</w:t>
            </w:r>
          </w:p>
        </w:tc>
        <w:tc>
          <w:tcPr>
            <w:tcW w:w="125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13BE1" w:rsidRPr="00247C59" w:rsidRDefault="00A13BE1" w:rsidP="0028664B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180 072,0*</w:t>
            </w: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A13BE1" w:rsidRPr="00247C59" w:rsidRDefault="00DF145A" w:rsidP="0028664B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+7 820,6</w:t>
            </w:r>
          </w:p>
        </w:tc>
      </w:tr>
      <w:tr w:rsidR="00DF145A" w:rsidRPr="00247C59" w:rsidTr="00A84D74">
        <w:trPr>
          <w:trHeight w:val="20"/>
        </w:trPr>
        <w:tc>
          <w:tcPr>
            <w:tcW w:w="3119" w:type="dxa"/>
            <w:vMerge/>
            <w:tcBorders>
              <w:left w:val="double" w:sz="4" w:space="0" w:color="auto"/>
            </w:tcBorders>
          </w:tcPr>
          <w:p w:rsidR="00DF145A" w:rsidRPr="00247C59" w:rsidRDefault="00DF145A" w:rsidP="00A13BE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F145A" w:rsidRPr="00247C59" w:rsidRDefault="00DF145A" w:rsidP="00A13BE1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Контракты по РТ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45A" w:rsidRPr="00247C59" w:rsidRDefault="00DF145A" w:rsidP="0028664B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56 621,3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DF145A" w:rsidRPr="00247C59" w:rsidRDefault="00DF145A" w:rsidP="00DF145A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34 559,9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DF145A" w:rsidRPr="00247C59" w:rsidRDefault="00DF145A" w:rsidP="0028664B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-22 061,4</w:t>
            </w:r>
          </w:p>
        </w:tc>
      </w:tr>
      <w:tr w:rsidR="00A13BE1" w:rsidRPr="00247C59" w:rsidTr="00A84D74">
        <w:trPr>
          <w:trHeight w:val="20"/>
        </w:trPr>
        <w:tc>
          <w:tcPr>
            <w:tcW w:w="31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13BE1" w:rsidRPr="00247C59" w:rsidRDefault="00A13BE1" w:rsidP="0028664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  <w:hideMark/>
          </w:tcPr>
          <w:p w:rsidR="00A13BE1" w:rsidRPr="00247C59" w:rsidRDefault="00A13BE1" w:rsidP="0028664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  <w:hideMark/>
          </w:tcPr>
          <w:p w:rsidR="00A13BE1" w:rsidRPr="00247C59" w:rsidRDefault="00A13BE1" w:rsidP="0028664B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228 872,7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13BE1" w:rsidRPr="00247C59" w:rsidRDefault="00A13BE1" w:rsidP="0028664B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214 631,9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:rsidR="00A13BE1" w:rsidRPr="00247C59" w:rsidRDefault="0028664B" w:rsidP="0028664B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-14 240,8</w:t>
            </w:r>
          </w:p>
        </w:tc>
      </w:tr>
      <w:tr w:rsidR="00A13BE1" w:rsidRPr="00247C59" w:rsidTr="00A84D74">
        <w:trPr>
          <w:trHeight w:val="20"/>
        </w:trPr>
        <w:tc>
          <w:tcPr>
            <w:tcW w:w="62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13BE1" w:rsidRPr="00247C59" w:rsidRDefault="00A13BE1" w:rsidP="0028664B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bCs/>
                <w:sz w:val="20"/>
                <w:szCs w:val="20"/>
                <w:lang w:eastAsia="ru-RU"/>
              </w:rPr>
              <w:t>Целевой показатель «Пассажирооборот автомобильного транспорта общего пользования», млн. место-км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3BE1" w:rsidRPr="00247C59" w:rsidRDefault="00A13BE1" w:rsidP="0028664B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585</w:t>
            </w:r>
            <w:r w:rsidR="00DF145A" w:rsidRPr="00247C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13BE1" w:rsidRPr="00247C59" w:rsidRDefault="00A13BE1" w:rsidP="0028664B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594,5</w:t>
            </w:r>
          </w:p>
        </w:tc>
        <w:tc>
          <w:tcPr>
            <w:tcW w:w="1417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13BE1" w:rsidRPr="00247C59" w:rsidRDefault="0028664B" w:rsidP="0028664B">
            <w:pPr>
              <w:spacing w:line="240" w:lineRule="auto"/>
              <w:ind w:left="-108"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+9,5</w:t>
            </w:r>
          </w:p>
        </w:tc>
      </w:tr>
      <w:tr w:rsidR="00DF145A" w:rsidRPr="00247C59" w:rsidTr="00A84D74">
        <w:trPr>
          <w:trHeight w:val="20"/>
        </w:trPr>
        <w:tc>
          <w:tcPr>
            <w:tcW w:w="9904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F145A" w:rsidRPr="00247C59" w:rsidRDefault="00DF145A" w:rsidP="0028664B">
            <w:pPr>
              <w:ind w:firstLine="0"/>
              <w:rPr>
                <w:i/>
                <w:color w:val="000000"/>
                <w:sz w:val="20"/>
                <w:szCs w:val="20"/>
              </w:rPr>
            </w:pPr>
            <w:r w:rsidRPr="00247C59">
              <w:rPr>
                <w:i/>
                <w:color w:val="000000"/>
                <w:sz w:val="20"/>
                <w:szCs w:val="20"/>
              </w:rPr>
              <w:t>*без учёта расходов на оплату кредиторской задолженности за 2017 год.</w:t>
            </w:r>
          </w:p>
        </w:tc>
      </w:tr>
    </w:tbl>
    <w:p w:rsidR="0028664B" w:rsidRDefault="0028664B" w:rsidP="00251261">
      <w:pPr>
        <w:autoSpaceDE w:val="0"/>
        <w:autoSpaceDN w:val="0"/>
        <w:adjustRightInd w:val="0"/>
        <w:spacing w:line="240" w:lineRule="auto"/>
        <w:rPr>
          <w:rFonts w:eastAsia="Times New Roman"/>
          <w:bCs/>
          <w:sz w:val="24"/>
          <w:lang w:eastAsia="ru-RU"/>
        </w:rPr>
      </w:pPr>
      <w:r>
        <w:rPr>
          <w:rFonts w:eastAsia="Times New Roman"/>
          <w:bCs/>
          <w:sz w:val="24"/>
          <w:lang w:eastAsia="ru-RU"/>
        </w:rPr>
        <w:t>Вместе с тем:</w:t>
      </w:r>
    </w:p>
    <w:p w:rsidR="0028664B" w:rsidRDefault="0028664B" w:rsidP="00251261">
      <w:pPr>
        <w:autoSpaceDE w:val="0"/>
        <w:autoSpaceDN w:val="0"/>
        <w:adjustRightInd w:val="0"/>
        <w:spacing w:line="240" w:lineRule="auto"/>
        <w:rPr>
          <w:rFonts w:eastAsia="Times New Roman"/>
          <w:bCs/>
          <w:sz w:val="24"/>
          <w:lang w:eastAsia="ru-RU"/>
        </w:rPr>
      </w:pPr>
      <w:r>
        <w:rPr>
          <w:rFonts w:eastAsia="Times New Roman"/>
          <w:bCs/>
          <w:sz w:val="24"/>
          <w:lang w:eastAsia="ru-RU"/>
        </w:rPr>
        <w:t>-экономия бюджетных средств обусловлена, в основном, применением штрафных санкций к ООО «ВАП»;</w:t>
      </w:r>
    </w:p>
    <w:p w:rsidR="0028664B" w:rsidRDefault="0028664B" w:rsidP="00251261">
      <w:pPr>
        <w:autoSpaceDE w:val="0"/>
        <w:autoSpaceDN w:val="0"/>
        <w:adjustRightInd w:val="0"/>
        <w:spacing w:line="240" w:lineRule="auto"/>
        <w:rPr>
          <w:rFonts w:eastAsia="Times New Roman"/>
          <w:bCs/>
          <w:sz w:val="24"/>
          <w:lang w:eastAsia="ru-RU"/>
        </w:rPr>
      </w:pPr>
      <w:r>
        <w:rPr>
          <w:rFonts w:eastAsia="Times New Roman"/>
          <w:bCs/>
          <w:sz w:val="24"/>
          <w:lang w:eastAsia="ru-RU"/>
        </w:rPr>
        <w:t>-в 4 кв. 2018 года по причине отсутствия лимитов бюджетных обязательств не осуществлялись перевозки по РТ по значимым маршрутам № 123, 146 «Волжский – Волгоград» с объёмом плановой транспортной работ</w:t>
      </w:r>
      <w:r w:rsidR="00977546">
        <w:rPr>
          <w:rFonts w:eastAsia="Times New Roman"/>
          <w:bCs/>
          <w:sz w:val="24"/>
          <w:lang w:eastAsia="ru-RU"/>
        </w:rPr>
        <w:t>ы</w:t>
      </w:r>
      <w:r>
        <w:rPr>
          <w:rFonts w:eastAsia="Times New Roman"/>
          <w:bCs/>
          <w:sz w:val="24"/>
          <w:lang w:eastAsia="ru-RU"/>
        </w:rPr>
        <w:t xml:space="preserve"> около </w:t>
      </w:r>
      <w:r w:rsidR="001E006A">
        <w:rPr>
          <w:rFonts w:eastAsia="Times New Roman"/>
          <w:bCs/>
          <w:sz w:val="24"/>
          <w:lang w:eastAsia="ru-RU"/>
        </w:rPr>
        <w:t>12</w:t>
      </w:r>
      <w:r>
        <w:rPr>
          <w:rFonts w:eastAsia="Times New Roman"/>
          <w:bCs/>
          <w:sz w:val="24"/>
          <w:lang w:eastAsia="ru-RU"/>
        </w:rPr>
        <w:t xml:space="preserve"> млн. место</w:t>
      </w:r>
      <w:r w:rsidR="000D4D29">
        <w:rPr>
          <w:rFonts w:eastAsia="Times New Roman"/>
          <w:bCs/>
          <w:sz w:val="24"/>
          <w:lang w:eastAsia="ru-RU"/>
        </w:rPr>
        <w:t>-</w:t>
      </w:r>
      <w:r>
        <w:rPr>
          <w:rFonts w:eastAsia="Times New Roman"/>
          <w:bCs/>
          <w:sz w:val="24"/>
          <w:lang w:eastAsia="ru-RU"/>
        </w:rPr>
        <w:t>к</w:t>
      </w:r>
      <w:r w:rsidR="0060694F">
        <w:rPr>
          <w:rFonts w:eastAsia="Times New Roman"/>
          <w:bCs/>
          <w:sz w:val="24"/>
          <w:lang w:eastAsia="ru-RU"/>
        </w:rPr>
        <w:t>м;</w:t>
      </w:r>
    </w:p>
    <w:p w:rsidR="0060694F" w:rsidRDefault="0060694F" w:rsidP="00251261">
      <w:pPr>
        <w:autoSpaceDE w:val="0"/>
        <w:autoSpaceDN w:val="0"/>
        <w:adjustRightInd w:val="0"/>
        <w:spacing w:line="240" w:lineRule="auto"/>
        <w:rPr>
          <w:rFonts w:eastAsia="Times New Roman"/>
          <w:bCs/>
          <w:sz w:val="24"/>
          <w:lang w:eastAsia="ru-RU"/>
        </w:rPr>
      </w:pPr>
      <w:r>
        <w:rPr>
          <w:rFonts w:eastAsia="Times New Roman"/>
          <w:bCs/>
          <w:sz w:val="24"/>
          <w:lang w:eastAsia="ru-RU"/>
        </w:rPr>
        <w:t>-объём транспортной работы, закреплённый в соглашении о предоставлении субсидии по РТ и контрактах по РТ</w:t>
      </w:r>
      <w:r w:rsidR="002102F5">
        <w:rPr>
          <w:rFonts w:eastAsia="Times New Roman"/>
          <w:bCs/>
          <w:sz w:val="24"/>
          <w:lang w:eastAsia="ru-RU"/>
        </w:rPr>
        <w:t xml:space="preserve"> - </w:t>
      </w:r>
      <w:r>
        <w:rPr>
          <w:rFonts w:eastAsia="Times New Roman"/>
          <w:bCs/>
          <w:sz w:val="24"/>
          <w:lang w:eastAsia="ru-RU"/>
        </w:rPr>
        <w:t>664,8 млн. место-км</w:t>
      </w:r>
      <w:r w:rsidR="002102F5">
        <w:rPr>
          <w:rFonts w:eastAsia="Times New Roman"/>
          <w:bCs/>
          <w:sz w:val="24"/>
          <w:lang w:eastAsia="ru-RU"/>
        </w:rPr>
        <w:t>,</w:t>
      </w:r>
      <w:r>
        <w:rPr>
          <w:rFonts w:eastAsia="Times New Roman"/>
          <w:bCs/>
          <w:sz w:val="24"/>
          <w:lang w:eastAsia="ru-RU"/>
        </w:rPr>
        <w:t xml:space="preserve"> значительно превышает плановое (585,0) и достигнутое (594,5) значения целевого показателя. </w:t>
      </w:r>
    </w:p>
    <w:p w:rsidR="0060694F" w:rsidRDefault="0060694F" w:rsidP="0060694F">
      <w:pPr>
        <w:autoSpaceDE w:val="0"/>
        <w:autoSpaceDN w:val="0"/>
        <w:adjustRightInd w:val="0"/>
        <w:spacing w:line="240" w:lineRule="auto"/>
        <w:rPr>
          <w:rFonts w:eastAsia="Times New Roman"/>
          <w:bCs/>
          <w:sz w:val="24"/>
          <w:lang w:eastAsia="ru-RU"/>
        </w:rPr>
      </w:pPr>
      <w:r>
        <w:rPr>
          <w:rFonts w:eastAsia="Times New Roman"/>
          <w:bCs/>
          <w:sz w:val="24"/>
          <w:lang w:eastAsia="ru-RU"/>
        </w:rPr>
        <w:tab/>
      </w:r>
      <w:r>
        <w:rPr>
          <w:rFonts w:eastAsia="Times New Roman"/>
          <w:bCs/>
          <w:sz w:val="24"/>
          <w:lang w:eastAsia="ru-RU"/>
        </w:rPr>
        <w:tab/>
      </w:r>
      <w:r>
        <w:rPr>
          <w:rFonts w:eastAsia="Times New Roman"/>
          <w:bCs/>
          <w:sz w:val="24"/>
          <w:lang w:eastAsia="ru-RU"/>
        </w:rPr>
        <w:tab/>
      </w:r>
      <w:r>
        <w:rPr>
          <w:rFonts w:eastAsia="Times New Roman"/>
          <w:bCs/>
          <w:sz w:val="24"/>
          <w:lang w:eastAsia="ru-RU"/>
        </w:rPr>
        <w:tab/>
      </w:r>
      <w:r>
        <w:rPr>
          <w:rFonts w:eastAsia="Times New Roman"/>
          <w:bCs/>
          <w:sz w:val="24"/>
          <w:lang w:eastAsia="ru-RU"/>
        </w:rPr>
        <w:tab/>
      </w:r>
      <w:r>
        <w:rPr>
          <w:rFonts w:eastAsia="Times New Roman"/>
          <w:bCs/>
          <w:sz w:val="24"/>
          <w:lang w:eastAsia="ru-RU"/>
        </w:rPr>
        <w:tab/>
      </w:r>
      <w:r>
        <w:rPr>
          <w:rFonts w:eastAsia="Times New Roman"/>
          <w:bCs/>
          <w:sz w:val="24"/>
          <w:lang w:eastAsia="ru-RU"/>
        </w:rPr>
        <w:tab/>
      </w:r>
      <w:r>
        <w:rPr>
          <w:rFonts w:eastAsia="Times New Roman"/>
          <w:bCs/>
          <w:sz w:val="24"/>
          <w:lang w:eastAsia="ru-RU"/>
        </w:rPr>
        <w:tab/>
      </w:r>
      <w:r>
        <w:rPr>
          <w:rFonts w:eastAsia="Times New Roman"/>
          <w:bCs/>
          <w:sz w:val="24"/>
          <w:lang w:eastAsia="ru-RU"/>
        </w:rPr>
        <w:tab/>
        <w:t>млн. место-км</w:t>
      </w:r>
    </w:p>
    <w:tbl>
      <w:tblPr>
        <w:tblStyle w:val="a7"/>
        <w:tblW w:w="7933" w:type="dxa"/>
        <w:jc w:val="center"/>
        <w:tblLook w:val="04A0"/>
      </w:tblPr>
      <w:tblGrid>
        <w:gridCol w:w="3209"/>
        <w:gridCol w:w="3590"/>
        <w:gridCol w:w="1134"/>
      </w:tblGrid>
      <w:tr w:rsidR="0060694F" w:rsidRPr="0060694F" w:rsidTr="0060694F">
        <w:trPr>
          <w:jc w:val="center"/>
        </w:trPr>
        <w:tc>
          <w:tcPr>
            <w:tcW w:w="3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0694F" w:rsidRPr="0060694F" w:rsidRDefault="0060694F" w:rsidP="00024C6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0694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Перевозчик</w:t>
            </w:r>
          </w:p>
        </w:tc>
        <w:tc>
          <w:tcPr>
            <w:tcW w:w="3590" w:type="dxa"/>
            <w:tcBorders>
              <w:top w:val="double" w:sz="4" w:space="0" w:color="auto"/>
              <w:bottom w:val="double" w:sz="4" w:space="0" w:color="auto"/>
            </w:tcBorders>
          </w:tcPr>
          <w:p w:rsidR="0060694F" w:rsidRPr="0060694F" w:rsidRDefault="0060694F" w:rsidP="00024C6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0694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План по соглашению и контрактам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94F" w:rsidRPr="0060694F" w:rsidRDefault="0060694F" w:rsidP="00024C6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0694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</w:tr>
      <w:tr w:rsidR="0060694F" w:rsidRPr="0060694F" w:rsidTr="0060694F">
        <w:trPr>
          <w:jc w:val="center"/>
        </w:trPr>
        <w:tc>
          <w:tcPr>
            <w:tcW w:w="3209" w:type="dxa"/>
            <w:tcBorders>
              <w:top w:val="double" w:sz="4" w:space="0" w:color="auto"/>
              <w:left w:val="double" w:sz="4" w:space="0" w:color="auto"/>
            </w:tcBorders>
          </w:tcPr>
          <w:p w:rsidR="0060694F" w:rsidRPr="0060694F" w:rsidRDefault="0060694F" w:rsidP="00024C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0694F">
              <w:rPr>
                <w:rFonts w:eastAsia="Times New Roman"/>
                <w:bCs/>
                <w:sz w:val="20"/>
                <w:szCs w:val="20"/>
                <w:lang w:eastAsia="ru-RU"/>
              </w:rPr>
              <w:t>ГУП «</w:t>
            </w:r>
            <w:proofErr w:type="spellStart"/>
            <w:r w:rsidRPr="0060694F">
              <w:rPr>
                <w:rFonts w:eastAsia="Times New Roman"/>
                <w:bCs/>
                <w:sz w:val="20"/>
                <w:szCs w:val="20"/>
                <w:lang w:eastAsia="ru-RU"/>
              </w:rPr>
              <w:t>Волгоградавтотранс</w:t>
            </w:r>
            <w:proofErr w:type="spellEnd"/>
            <w:r w:rsidRPr="0060694F">
              <w:rPr>
                <w:rFonts w:eastAsia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90" w:type="dxa"/>
            <w:tcBorders>
              <w:top w:val="double" w:sz="4" w:space="0" w:color="auto"/>
            </w:tcBorders>
          </w:tcPr>
          <w:p w:rsidR="0060694F" w:rsidRPr="0060694F" w:rsidRDefault="0060694F" w:rsidP="00024C6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0694F">
              <w:rPr>
                <w:rFonts w:eastAsia="Times New Roman"/>
                <w:bCs/>
                <w:sz w:val="20"/>
                <w:szCs w:val="20"/>
                <w:lang w:eastAsia="ru-RU"/>
              </w:rPr>
              <w:t>577,0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60694F" w:rsidRPr="0060694F" w:rsidRDefault="0060694F" w:rsidP="00024C6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0694F">
              <w:rPr>
                <w:rFonts w:eastAsia="Times New Roman"/>
                <w:bCs/>
                <w:sz w:val="20"/>
                <w:szCs w:val="20"/>
                <w:lang w:eastAsia="ru-RU"/>
              </w:rPr>
              <w:t>520,3</w:t>
            </w:r>
          </w:p>
        </w:tc>
      </w:tr>
      <w:tr w:rsidR="0060694F" w:rsidRPr="0060694F" w:rsidTr="0060694F">
        <w:trPr>
          <w:jc w:val="center"/>
        </w:trPr>
        <w:tc>
          <w:tcPr>
            <w:tcW w:w="3209" w:type="dxa"/>
            <w:tcBorders>
              <w:left w:val="double" w:sz="4" w:space="0" w:color="auto"/>
            </w:tcBorders>
          </w:tcPr>
          <w:p w:rsidR="0060694F" w:rsidRPr="0060694F" w:rsidRDefault="0060694F" w:rsidP="00024C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0694F">
              <w:rPr>
                <w:rFonts w:eastAsia="Times New Roman"/>
                <w:bCs/>
                <w:sz w:val="20"/>
                <w:szCs w:val="20"/>
                <w:lang w:eastAsia="ru-RU"/>
              </w:rPr>
              <w:t>МУП «ВАК № 1732»</w:t>
            </w:r>
          </w:p>
        </w:tc>
        <w:tc>
          <w:tcPr>
            <w:tcW w:w="3590" w:type="dxa"/>
          </w:tcPr>
          <w:p w:rsidR="0060694F" w:rsidRPr="0060694F" w:rsidRDefault="0060694F" w:rsidP="00024C6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0694F">
              <w:rPr>
                <w:rFonts w:eastAsia="Times New Roman"/>
                <w:bCs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60694F" w:rsidRPr="0060694F" w:rsidRDefault="0060694F" w:rsidP="00024C6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0694F">
              <w:rPr>
                <w:rFonts w:eastAsia="Times New Roman"/>
                <w:bCs/>
                <w:sz w:val="20"/>
                <w:szCs w:val="20"/>
                <w:lang w:eastAsia="ru-RU"/>
              </w:rPr>
              <w:t>32,2</w:t>
            </w:r>
          </w:p>
        </w:tc>
      </w:tr>
      <w:tr w:rsidR="0060694F" w:rsidRPr="0060694F" w:rsidTr="0060694F">
        <w:trPr>
          <w:jc w:val="center"/>
        </w:trPr>
        <w:tc>
          <w:tcPr>
            <w:tcW w:w="3209" w:type="dxa"/>
            <w:tcBorders>
              <w:left w:val="double" w:sz="4" w:space="0" w:color="auto"/>
              <w:bottom w:val="double" w:sz="4" w:space="0" w:color="auto"/>
            </w:tcBorders>
          </w:tcPr>
          <w:p w:rsidR="0060694F" w:rsidRPr="0060694F" w:rsidRDefault="0060694F" w:rsidP="00024C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0694F">
              <w:rPr>
                <w:rFonts w:eastAsia="Times New Roman"/>
                <w:bCs/>
                <w:sz w:val="20"/>
                <w:szCs w:val="20"/>
                <w:lang w:eastAsia="ru-RU"/>
              </w:rPr>
              <w:t>ООО «ВАП»</w:t>
            </w:r>
          </w:p>
        </w:tc>
        <w:tc>
          <w:tcPr>
            <w:tcW w:w="3590" w:type="dxa"/>
            <w:tcBorders>
              <w:bottom w:val="double" w:sz="4" w:space="0" w:color="auto"/>
            </w:tcBorders>
          </w:tcPr>
          <w:p w:rsidR="0060694F" w:rsidRPr="0060694F" w:rsidRDefault="0060694F" w:rsidP="00024C6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0694F">
              <w:rPr>
                <w:rFonts w:eastAsia="Times New Roman"/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</w:tcPr>
          <w:p w:rsidR="0060694F" w:rsidRPr="0060694F" w:rsidRDefault="0060694F" w:rsidP="00024C6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0694F">
              <w:rPr>
                <w:rFonts w:eastAsia="Times New Roman"/>
                <w:bCs/>
                <w:sz w:val="20"/>
                <w:szCs w:val="20"/>
                <w:lang w:eastAsia="ru-RU"/>
              </w:rPr>
              <w:t>42,0</w:t>
            </w:r>
          </w:p>
        </w:tc>
      </w:tr>
      <w:tr w:rsidR="0060694F" w:rsidRPr="0060694F" w:rsidTr="0060694F">
        <w:trPr>
          <w:jc w:val="center"/>
        </w:trPr>
        <w:tc>
          <w:tcPr>
            <w:tcW w:w="3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0694F" w:rsidRPr="0060694F" w:rsidRDefault="0060694F" w:rsidP="00024C6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0694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90" w:type="dxa"/>
            <w:tcBorders>
              <w:top w:val="double" w:sz="4" w:space="0" w:color="auto"/>
              <w:bottom w:val="double" w:sz="4" w:space="0" w:color="auto"/>
            </w:tcBorders>
          </w:tcPr>
          <w:p w:rsidR="0060694F" w:rsidRPr="0060694F" w:rsidRDefault="0060694F" w:rsidP="00024C6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0694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664,8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94F" w:rsidRPr="0060694F" w:rsidRDefault="0060694F" w:rsidP="00024C6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0694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594,5</w:t>
            </w:r>
          </w:p>
        </w:tc>
      </w:tr>
    </w:tbl>
    <w:p w:rsidR="00195BD0" w:rsidRDefault="00195BD0" w:rsidP="004B3A5A">
      <w:pPr>
        <w:autoSpaceDE w:val="0"/>
        <w:autoSpaceDN w:val="0"/>
        <w:adjustRightInd w:val="0"/>
        <w:spacing w:line="240" w:lineRule="auto"/>
        <w:rPr>
          <w:rFonts w:eastAsia="Times New Roman"/>
          <w:bCs/>
          <w:sz w:val="24"/>
          <w:lang w:eastAsia="ru-RU"/>
        </w:rPr>
      </w:pPr>
    </w:p>
    <w:p w:rsidR="00A13BE1" w:rsidRDefault="00247C59" w:rsidP="004B3A5A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="Times New Roman"/>
          <w:bCs/>
          <w:sz w:val="24"/>
          <w:lang w:eastAsia="ru-RU"/>
        </w:rPr>
        <w:t>С учётом указанных факторов не представляется возможным сделать однозначный вывод об эффективном использовании бюджетных средств и достижении цели ГП «Транспорт»</w:t>
      </w:r>
      <w:r w:rsidRPr="00247C59">
        <w:rPr>
          <w:rFonts w:eastAsiaTheme="minorHAnsi"/>
          <w:sz w:val="24"/>
        </w:rPr>
        <w:t xml:space="preserve"> </w:t>
      </w:r>
      <w:r>
        <w:rPr>
          <w:rFonts w:eastAsiaTheme="minorHAnsi"/>
          <w:sz w:val="24"/>
        </w:rPr>
        <w:t xml:space="preserve">в части </w:t>
      </w:r>
      <w:r w:rsidRPr="001E214E">
        <w:rPr>
          <w:rFonts w:eastAsiaTheme="minorHAnsi"/>
          <w:sz w:val="24"/>
        </w:rPr>
        <w:t>повышение доступности пассажирских транспортных услуг для населения</w:t>
      </w:r>
      <w:r>
        <w:rPr>
          <w:rFonts w:eastAsiaTheme="minorHAnsi"/>
          <w:sz w:val="24"/>
        </w:rPr>
        <w:t>.</w:t>
      </w:r>
    </w:p>
    <w:p w:rsidR="004B3A5A" w:rsidRDefault="00350B8F" w:rsidP="004B3A5A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Приведённые данные могут свидетельствовать о недостатках при разработке и корректировке ГП «Транспорт», допущенных ответственным исполнителем – </w:t>
      </w:r>
      <w:proofErr w:type="spellStart"/>
      <w:r>
        <w:rPr>
          <w:rFonts w:eastAsiaTheme="minorHAnsi"/>
          <w:sz w:val="24"/>
        </w:rPr>
        <w:t>Облкомдортрансом</w:t>
      </w:r>
      <w:proofErr w:type="spellEnd"/>
      <w:r w:rsidR="0060694F">
        <w:rPr>
          <w:rFonts w:eastAsiaTheme="minorHAnsi"/>
          <w:sz w:val="24"/>
        </w:rPr>
        <w:t xml:space="preserve">, </w:t>
      </w:r>
      <w:r w:rsidR="00B90D3B" w:rsidRPr="00B90D3B">
        <w:rPr>
          <w:rFonts w:eastAsiaTheme="minorHAnsi"/>
          <w:sz w:val="24"/>
        </w:rPr>
        <w:t xml:space="preserve">и об отсутствии </w:t>
      </w:r>
      <w:proofErr w:type="spellStart"/>
      <w:r w:rsidR="00B90D3B" w:rsidRPr="00B90D3B">
        <w:rPr>
          <w:rFonts w:eastAsiaTheme="minorHAnsi"/>
          <w:sz w:val="24"/>
        </w:rPr>
        <w:t>взаимоувязанности</w:t>
      </w:r>
      <w:proofErr w:type="spellEnd"/>
      <w:r w:rsidR="00B90D3B" w:rsidRPr="00B90D3B">
        <w:rPr>
          <w:rFonts w:eastAsiaTheme="minorHAnsi"/>
          <w:sz w:val="24"/>
        </w:rPr>
        <w:t xml:space="preserve"> соответствующих мероприятий программы по задачам и ресурсам</w:t>
      </w:r>
      <w:r w:rsidR="004B3A5A">
        <w:rPr>
          <w:rFonts w:eastAsiaTheme="minorHAnsi"/>
          <w:sz w:val="24"/>
        </w:rPr>
        <w:t xml:space="preserve">, что </w:t>
      </w:r>
      <w:proofErr w:type="spellStart"/>
      <w:r w:rsidR="004B3A5A">
        <w:rPr>
          <w:rFonts w:eastAsiaTheme="minorHAnsi"/>
          <w:sz w:val="24"/>
        </w:rPr>
        <w:t>несоответствует</w:t>
      </w:r>
      <w:proofErr w:type="spellEnd"/>
      <w:r w:rsidR="004B3A5A">
        <w:rPr>
          <w:rFonts w:eastAsiaTheme="minorHAnsi"/>
          <w:sz w:val="24"/>
        </w:rPr>
        <w:t xml:space="preserve"> п. 1.2. Порядка № 423-п.</w:t>
      </w:r>
    </w:p>
    <w:p w:rsidR="00350B8F" w:rsidRPr="008548ED" w:rsidRDefault="00350B8F" w:rsidP="00251261">
      <w:pPr>
        <w:autoSpaceDE w:val="0"/>
        <w:autoSpaceDN w:val="0"/>
        <w:adjustRightInd w:val="0"/>
        <w:spacing w:line="240" w:lineRule="auto"/>
        <w:rPr>
          <w:rFonts w:eastAsiaTheme="minorHAnsi"/>
          <w:sz w:val="16"/>
          <w:szCs w:val="16"/>
        </w:rPr>
      </w:pPr>
    </w:p>
    <w:p w:rsidR="00611639" w:rsidRPr="00611639" w:rsidRDefault="00FB0030" w:rsidP="00611639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4"/>
        </w:rPr>
      </w:pPr>
      <w:r w:rsidRPr="00611639">
        <w:rPr>
          <w:b/>
          <w:sz w:val="24"/>
        </w:rPr>
        <w:t>Система транспортного обслуживания населения автомобильным транспортом в межмуниципальном и пригородном сообщении в Волгоградской области</w:t>
      </w:r>
    </w:p>
    <w:p w:rsidR="00FB0030" w:rsidRPr="00611639" w:rsidRDefault="00611639" w:rsidP="0061163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b/>
          <w:sz w:val="24"/>
        </w:rPr>
      </w:pPr>
      <w:r w:rsidRPr="00611639">
        <w:rPr>
          <w:b/>
          <w:sz w:val="24"/>
        </w:rPr>
        <w:t>и перспективы её развития</w:t>
      </w:r>
    </w:p>
    <w:p w:rsidR="00FB0030" w:rsidRPr="00611639" w:rsidRDefault="00602340" w:rsidP="00195BD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i/>
          <w:sz w:val="24"/>
        </w:rPr>
      </w:pPr>
      <w:r>
        <w:rPr>
          <w:rFonts w:eastAsiaTheme="minorHAnsi"/>
          <w:i/>
          <w:sz w:val="24"/>
        </w:rPr>
        <w:t>Сеть маршрутов</w:t>
      </w:r>
    </w:p>
    <w:p w:rsidR="00D654B9" w:rsidRPr="00D654B9" w:rsidRDefault="00D654B9" w:rsidP="00D654B9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D654B9">
        <w:rPr>
          <w:rFonts w:eastAsiaTheme="minorHAnsi"/>
          <w:sz w:val="24"/>
        </w:rPr>
        <w:t xml:space="preserve">В соответствии с требованиями Законов № 220-ФЗ и № 230-ОД </w:t>
      </w:r>
      <w:proofErr w:type="spellStart"/>
      <w:r w:rsidRPr="00D654B9">
        <w:rPr>
          <w:rFonts w:eastAsiaTheme="minorHAnsi"/>
          <w:sz w:val="24"/>
        </w:rPr>
        <w:t>Облкомдортранс</w:t>
      </w:r>
      <w:proofErr w:type="spellEnd"/>
      <w:r w:rsidRPr="00D654B9">
        <w:rPr>
          <w:rFonts w:eastAsiaTheme="minorHAnsi"/>
          <w:sz w:val="24"/>
        </w:rPr>
        <w:t xml:space="preserve"> ведёт реестр межмуниципальных маршрутов регулярных перевозок (далее – Реестр</w:t>
      </w:r>
      <w:r>
        <w:rPr>
          <w:rFonts w:eastAsiaTheme="minorHAnsi"/>
          <w:sz w:val="24"/>
        </w:rPr>
        <w:t xml:space="preserve"> маршрутов</w:t>
      </w:r>
      <w:r w:rsidRPr="00D654B9">
        <w:rPr>
          <w:rFonts w:eastAsiaTheme="minorHAnsi"/>
          <w:sz w:val="24"/>
        </w:rPr>
        <w:t>)</w:t>
      </w:r>
      <w:r>
        <w:rPr>
          <w:rFonts w:eastAsiaTheme="minorHAnsi"/>
          <w:sz w:val="24"/>
        </w:rPr>
        <w:t>, который</w:t>
      </w:r>
      <w:r w:rsidRPr="00D654B9">
        <w:rPr>
          <w:rFonts w:eastAsiaTheme="minorHAnsi"/>
          <w:sz w:val="24"/>
        </w:rPr>
        <w:t xml:space="preserve"> размещен </w:t>
      </w:r>
      <w:r>
        <w:rPr>
          <w:rFonts w:eastAsiaTheme="minorHAnsi"/>
          <w:sz w:val="24"/>
        </w:rPr>
        <w:t xml:space="preserve">в открытом доступе </w:t>
      </w:r>
      <w:r w:rsidRPr="00D654B9">
        <w:rPr>
          <w:rFonts w:eastAsiaTheme="minorHAnsi"/>
          <w:sz w:val="24"/>
        </w:rPr>
        <w:t>(</w:t>
      </w:r>
      <w:hyperlink r:id="rId10" w:history="1">
        <w:r w:rsidRPr="00D654B9">
          <w:rPr>
            <w:rFonts w:eastAsiaTheme="minorHAnsi"/>
            <w:sz w:val="24"/>
          </w:rPr>
          <w:t>http://uad.volgograd.ru/current-activity/services/avtobus-marhrut/</w:t>
        </w:r>
      </w:hyperlink>
      <w:r w:rsidRPr="00D654B9">
        <w:rPr>
          <w:rFonts w:eastAsiaTheme="minorHAnsi"/>
          <w:sz w:val="24"/>
        </w:rPr>
        <w:t xml:space="preserve">) </w:t>
      </w:r>
      <w:r w:rsidR="0058711E">
        <w:rPr>
          <w:rFonts w:eastAsiaTheme="minorHAnsi"/>
          <w:sz w:val="24"/>
        </w:rPr>
        <w:t xml:space="preserve">и </w:t>
      </w:r>
      <w:r w:rsidRPr="00D654B9">
        <w:rPr>
          <w:rFonts w:eastAsiaTheme="minorHAnsi"/>
          <w:sz w:val="24"/>
        </w:rPr>
        <w:t xml:space="preserve">по содержанию сведений отвечает установленным требованиям. </w:t>
      </w:r>
    </w:p>
    <w:p w:rsidR="00D654B9" w:rsidRDefault="00D654B9" w:rsidP="00D654B9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По состоянию на </w:t>
      </w:r>
      <w:r w:rsidRPr="00D654B9">
        <w:rPr>
          <w:rFonts w:eastAsiaTheme="minorHAnsi"/>
          <w:sz w:val="24"/>
        </w:rPr>
        <w:t xml:space="preserve">20.05.2019 в Реестр </w:t>
      </w:r>
      <w:r>
        <w:rPr>
          <w:rFonts w:eastAsiaTheme="minorHAnsi"/>
          <w:sz w:val="24"/>
        </w:rPr>
        <w:t xml:space="preserve">маршрутов </w:t>
      </w:r>
      <w:proofErr w:type="gramStart"/>
      <w:r w:rsidRPr="00D654B9">
        <w:rPr>
          <w:rFonts w:eastAsiaTheme="minorHAnsi"/>
          <w:sz w:val="24"/>
        </w:rPr>
        <w:t>включены</w:t>
      </w:r>
      <w:proofErr w:type="gramEnd"/>
      <w:r w:rsidRPr="00D654B9">
        <w:rPr>
          <w:rFonts w:eastAsiaTheme="minorHAnsi"/>
          <w:sz w:val="24"/>
        </w:rPr>
        <w:t xml:space="preserve"> 304 маршрута регулярных перевозок, </w:t>
      </w:r>
      <w:r>
        <w:rPr>
          <w:rFonts w:eastAsiaTheme="minorHAnsi"/>
          <w:sz w:val="24"/>
        </w:rPr>
        <w:t>в том числе</w:t>
      </w:r>
      <w:r w:rsidRPr="00D654B9">
        <w:rPr>
          <w:rFonts w:eastAsiaTheme="minorHAnsi"/>
          <w:sz w:val="24"/>
        </w:rPr>
        <w:t xml:space="preserve"> 85 по регулируемым тарифам</w:t>
      </w:r>
      <w:r>
        <w:rPr>
          <w:rFonts w:eastAsiaTheme="minorHAnsi"/>
          <w:sz w:val="24"/>
        </w:rPr>
        <w:t xml:space="preserve"> (РТ)</w:t>
      </w:r>
      <w:r w:rsidRPr="00D654B9">
        <w:rPr>
          <w:rFonts w:eastAsiaTheme="minorHAnsi"/>
          <w:sz w:val="24"/>
        </w:rPr>
        <w:t xml:space="preserve"> и 219 по нерегулируемым тарифам</w:t>
      </w:r>
      <w:r>
        <w:rPr>
          <w:rFonts w:eastAsiaTheme="minorHAnsi"/>
          <w:sz w:val="24"/>
        </w:rPr>
        <w:t xml:space="preserve"> (НРТ)</w:t>
      </w:r>
      <w:r w:rsidRPr="00D654B9">
        <w:rPr>
          <w:rFonts w:eastAsiaTheme="minorHAnsi"/>
          <w:sz w:val="24"/>
        </w:rPr>
        <w:t>.</w:t>
      </w:r>
      <w:r w:rsidR="00CE5FE4">
        <w:rPr>
          <w:rFonts w:eastAsiaTheme="minorHAnsi"/>
          <w:sz w:val="24"/>
        </w:rPr>
        <w:t xml:space="preserve"> </w:t>
      </w:r>
      <w:r w:rsidR="00A04633">
        <w:rPr>
          <w:rFonts w:eastAsiaTheme="minorHAnsi"/>
          <w:sz w:val="24"/>
        </w:rPr>
        <w:t xml:space="preserve">Из </w:t>
      </w:r>
      <w:r w:rsidR="004B65C1">
        <w:rPr>
          <w:rFonts w:eastAsiaTheme="minorHAnsi"/>
          <w:sz w:val="24"/>
        </w:rPr>
        <w:t xml:space="preserve">85 маршрутов </w:t>
      </w:r>
      <w:r w:rsidR="00A04633">
        <w:rPr>
          <w:rFonts w:eastAsiaTheme="minorHAnsi"/>
          <w:sz w:val="24"/>
        </w:rPr>
        <w:t>по РТ</w:t>
      </w:r>
      <w:r w:rsidR="004B65C1">
        <w:rPr>
          <w:rFonts w:eastAsiaTheme="minorHAnsi"/>
          <w:sz w:val="24"/>
        </w:rPr>
        <w:t>, находящихся в Реестре маршрутов,</w:t>
      </w:r>
      <w:r w:rsidR="00A04633">
        <w:rPr>
          <w:rFonts w:eastAsiaTheme="minorHAnsi"/>
          <w:sz w:val="24"/>
        </w:rPr>
        <w:t xml:space="preserve"> ф</w:t>
      </w:r>
      <w:r w:rsidR="00412CB4">
        <w:rPr>
          <w:rFonts w:eastAsiaTheme="minorHAnsi"/>
          <w:sz w:val="24"/>
        </w:rPr>
        <w:t xml:space="preserve">актически в 2018 – 2019 годах обслуживается 78 маршрутов по РТ. </w:t>
      </w:r>
      <w:r>
        <w:rPr>
          <w:rFonts w:eastAsiaTheme="minorHAnsi"/>
          <w:sz w:val="24"/>
        </w:rPr>
        <w:t>Охват территории Волгоградской области сетью маршрутов по РТ проиллюстрирован рисунком</w:t>
      </w:r>
      <w:r w:rsidRPr="00977546">
        <w:rPr>
          <w:rFonts w:eastAsiaTheme="minorHAnsi"/>
          <w:sz w:val="24"/>
        </w:rPr>
        <w:t>.</w:t>
      </w:r>
      <w:r w:rsidR="0058711E">
        <w:rPr>
          <w:rFonts w:eastAsiaTheme="minorHAnsi"/>
          <w:sz w:val="24"/>
        </w:rPr>
        <w:t xml:space="preserve"> </w:t>
      </w:r>
    </w:p>
    <w:p w:rsidR="007A37E3" w:rsidRDefault="007A37E3" w:rsidP="007A37E3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 w:val="24"/>
        </w:rPr>
      </w:pPr>
      <w:r w:rsidRPr="007A37E3">
        <w:rPr>
          <w:rFonts w:eastAsiaTheme="minorHAnsi"/>
          <w:noProof/>
          <w:sz w:val="24"/>
          <w:lang w:eastAsia="ru-RU"/>
        </w:rPr>
        <w:lastRenderedPageBreak/>
        <w:drawing>
          <wp:inline distT="0" distB="0" distL="0" distR="0">
            <wp:extent cx="5512082" cy="5320145"/>
            <wp:effectExtent l="171450" t="190500" r="184150" b="166370"/>
            <wp:docPr id="5" name="Рисунок 5" descr="\\Kancelyariya\документы\2019\Миргородов\ТРАНСПОРТ\Буряков\Маршруты\В текст 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ncelyariya\документы\2019\Миргородов\ТРАНСПОРТ\Буряков\Маршруты\В текст 22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061" cy="5351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D36BCB" w:rsidRDefault="00D654B9" w:rsidP="00D654B9">
      <w:pPr>
        <w:spacing w:line="240" w:lineRule="auto"/>
        <w:rPr>
          <w:rFonts w:eastAsia="Times New Roman"/>
          <w:sz w:val="24"/>
          <w:szCs w:val="20"/>
          <w:lang w:eastAsia="ru-RU"/>
        </w:rPr>
      </w:pPr>
      <w:proofErr w:type="gramStart"/>
      <w:r w:rsidRPr="00D654B9">
        <w:rPr>
          <w:rFonts w:eastAsia="Times New Roman"/>
          <w:sz w:val="24"/>
          <w:szCs w:val="20"/>
          <w:lang w:eastAsia="ru-RU"/>
        </w:rPr>
        <w:t xml:space="preserve">Автобусными маршрутами регулярных перевозок по </w:t>
      </w:r>
      <w:r>
        <w:rPr>
          <w:rFonts w:eastAsia="Times New Roman"/>
          <w:sz w:val="24"/>
          <w:szCs w:val="20"/>
          <w:lang w:eastAsia="ru-RU"/>
        </w:rPr>
        <w:t>РТ</w:t>
      </w:r>
      <w:r w:rsidRPr="00D654B9">
        <w:rPr>
          <w:rFonts w:eastAsia="Times New Roman"/>
          <w:sz w:val="24"/>
          <w:szCs w:val="20"/>
          <w:lang w:eastAsia="ru-RU"/>
        </w:rPr>
        <w:t xml:space="preserve"> в разной степени охвачены 15 из 32 муниципальных районов и </w:t>
      </w:r>
      <w:r w:rsidR="008548ED">
        <w:rPr>
          <w:rFonts w:eastAsia="Times New Roman"/>
          <w:sz w:val="24"/>
          <w:szCs w:val="20"/>
          <w:lang w:eastAsia="ru-RU"/>
        </w:rPr>
        <w:t>6</w:t>
      </w:r>
      <w:r w:rsidRPr="00D654B9">
        <w:rPr>
          <w:rFonts w:eastAsia="Times New Roman"/>
          <w:sz w:val="24"/>
          <w:szCs w:val="20"/>
          <w:lang w:eastAsia="ru-RU"/>
        </w:rPr>
        <w:t xml:space="preserve"> городских округов</w:t>
      </w:r>
      <w:r w:rsidR="0058711E">
        <w:rPr>
          <w:rFonts w:eastAsia="Times New Roman"/>
          <w:sz w:val="24"/>
          <w:szCs w:val="20"/>
          <w:lang w:eastAsia="ru-RU"/>
        </w:rPr>
        <w:t xml:space="preserve"> Волгоградской области</w:t>
      </w:r>
      <w:r w:rsidRPr="00D654B9">
        <w:rPr>
          <w:rFonts w:eastAsia="Times New Roman"/>
          <w:sz w:val="24"/>
          <w:szCs w:val="20"/>
          <w:lang w:eastAsia="ru-RU"/>
        </w:rPr>
        <w:t>.</w:t>
      </w:r>
      <w:proofErr w:type="gramEnd"/>
      <w:r w:rsidRPr="00D654B9">
        <w:rPr>
          <w:rFonts w:eastAsia="Times New Roman"/>
          <w:sz w:val="24"/>
          <w:szCs w:val="20"/>
          <w:lang w:eastAsia="ru-RU"/>
        </w:rPr>
        <w:t xml:space="preserve"> </w:t>
      </w:r>
      <w:r w:rsidR="00412CB4">
        <w:rPr>
          <w:rFonts w:eastAsia="Times New Roman"/>
          <w:sz w:val="24"/>
          <w:szCs w:val="20"/>
          <w:lang w:eastAsia="ru-RU"/>
        </w:rPr>
        <w:t xml:space="preserve">Условно </w:t>
      </w:r>
      <w:r w:rsidR="00D36BCB">
        <w:rPr>
          <w:rFonts w:eastAsia="Times New Roman"/>
          <w:sz w:val="24"/>
          <w:szCs w:val="20"/>
          <w:lang w:eastAsia="ru-RU"/>
        </w:rPr>
        <w:t>маршрутную сеть по РТ</w:t>
      </w:r>
      <w:r w:rsidR="0058711E">
        <w:rPr>
          <w:rFonts w:eastAsia="Times New Roman"/>
          <w:sz w:val="24"/>
          <w:szCs w:val="20"/>
          <w:lang w:eastAsia="ru-RU"/>
        </w:rPr>
        <w:t xml:space="preserve"> </w:t>
      </w:r>
      <w:r w:rsidR="00412CB4">
        <w:rPr>
          <w:rFonts w:eastAsia="Times New Roman"/>
          <w:sz w:val="24"/>
          <w:szCs w:val="20"/>
          <w:lang w:eastAsia="ru-RU"/>
        </w:rPr>
        <w:t>можно сгруппировать по 5 зонам</w:t>
      </w:r>
      <w:r w:rsidR="00D36BCB">
        <w:rPr>
          <w:rFonts w:eastAsia="Times New Roman"/>
          <w:sz w:val="24"/>
          <w:szCs w:val="20"/>
          <w:lang w:eastAsia="ru-RU"/>
        </w:rPr>
        <w:t xml:space="preserve">, одна из которых включает 3 </w:t>
      </w:r>
      <w:proofErr w:type="spellStart"/>
      <w:r w:rsidR="00D36BCB">
        <w:rPr>
          <w:rFonts w:eastAsia="Times New Roman"/>
          <w:sz w:val="24"/>
          <w:szCs w:val="20"/>
          <w:lang w:eastAsia="ru-RU"/>
        </w:rPr>
        <w:t>подзоны</w:t>
      </w:r>
      <w:proofErr w:type="spellEnd"/>
      <w:r w:rsidR="00D36BCB">
        <w:rPr>
          <w:rFonts w:eastAsia="Times New Roman"/>
          <w:sz w:val="24"/>
          <w:szCs w:val="20"/>
          <w:lang w:eastAsia="ru-RU"/>
        </w:rPr>
        <w:t>.</w:t>
      </w:r>
    </w:p>
    <w:tbl>
      <w:tblPr>
        <w:tblW w:w="650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3397"/>
        <w:gridCol w:w="3109"/>
      </w:tblGrid>
      <w:tr w:rsidR="00602340" w:rsidRPr="00160266" w:rsidTr="00602340">
        <w:trPr>
          <w:trHeight w:val="20"/>
          <w:jc w:val="center"/>
        </w:trPr>
        <w:tc>
          <w:tcPr>
            <w:tcW w:w="3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02340" w:rsidRPr="00160266" w:rsidRDefault="00602340" w:rsidP="00557D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160266">
              <w:rPr>
                <w:rFonts w:eastAsia="Times New Roman"/>
                <w:b/>
                <w:sz w:val="22"/>
                <w:szCs w:val="22"/>
                <w:lang w:eastAsia="ru-RU"/>
              </w:rPr>
              <w:t>Зона (</w:t>
            </w:r>
            <w:proofErr w:type="spellStart"/>
            <w:r w:rsidRPr="00160266">
              <w:rPr>
                <w:rFonts w:eastAsia="Times New Roman"/>
                <w:b/>
                <w:sz w:val="22"/>
                <w:szCs w:val="22"/>
                <w:lang w:eastAsia="ru-RU"/>
              </w:rPr>
              <w:t>подзона</w:t>
            </w:r>
            <w:proofErr w:type="spellEnd"/>
            <w:r w:rsidRPr="00160266">
              <w:rPr>
                <w:rFonts w:eastAsia="Times New Roman"/>
                <w:b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31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02340" w:rsidRPr="00160266" w:rsidRDefault="00602340" w:rsidP="00557D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160266">
              <w:rPr>
                <w:rFonts w:eastAsia="Times New Roman"/>
                <w:b/>
                <w:sz w:val="22"/>
                <w:szCs w:val="22"/>
                <w:lang w:eastAsia="ru-RU"/>
              </w:rPr>
              <w:t>Кол-во маршрутов по РТ</w:t>
            </w:r>
          </w:p>
        </w:tc>
      </w:tr>
      <w:tr w:rsidR="00602340" w:rsidRPr="00160266" w:rsidTr="00602340">
        <w:trPr>
          <w:trHeight w:val="20"/>
          <w:jc w:val="center"/>
        </w:trPr>
        <w:tc>
          <w:tcPr>
            <w:tcW w:w="339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557DE0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160266">
              <w:rPr>
                <w:rFonts w:eastAsia="Times New Roman"/>
                <w:sz w:val="22"/>
                <w:szCs w:val="22"/>
                <w:lang w:eastAsia="ru-RU"/>
              </w:rPr>
              <w:t>Волгоградская</w:t>
            </w:r>
          </w:p>
        </w:tc>
        <w:tc>
          <w:tcPr>
            <w:tcW w:w="310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557DE0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160266">
              <w:rPr>
                <w:rFonts w:eastAsia="Times New Roman"/>
                <w:sz w:val="22"/>
                <w:szCs w:val="22"/>
                <w:lang w:eastAsia="ru-RU"/>
              </w:rPr>
              <w:t>44</w:t>
            </w:r>
          </w:p>
        </w:tc>
      </w:tr>
      <w:tr w:rsidR="00602340" w:rsidRPr="00160266" w:rsidTr="00602340">
        <w:trPr>
          <w:trHeight w:val="20"/>
          <w:jc w:val="center"/>
        </w:trPr>
        <w:tc>
          <w:tcPr>
            <w:tcW w:w="3397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557DE0">
            <w:pPr>
              <w:spacing w:line="240" w:lineRule="auto"/>
              <w:ind w:left="430" w:firstLine="0"/>
              <w:jc w:val="left"/>
              <w:rPr>
                <w:rFonts w:eastAsia="Times New Roman"/>
                <w:i/>
                <w:sz w:val="22"/>
                <w:lang w:eastAsia="ru-RU"/>
              </w:rPr>
            </w:pPr>
            <w:proofErr w:type="spellStart"/>
            <w:r w:rsidRPr="00160266">
              <w:rPr>
                <w:rFonts w:eastAsia="Times New Roman"/>
                <w:i/>
                <w:sz w:val="22"/>
                <w:szCs w:val="22"/>
                <w:lang w:eastAsia="ru-RU"/>
              </w:rPr>
              <w:t>Светлоярская</w:t>
            </w:r>
            <w:proofErr w:type="spellEnd"/>
          </w:p>
        </w:tc>
        <w:tc>
          <w:tcPr>
            <w:tcW w:w="310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557DE0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60266">
              <w:rPr>
                <w:rFonts w:eastAsia="Times New Roman"/>
                <w:i/>
                <w:sz w:val="22"/>
                <w:szCs w:val="22"/>
                <w:lang w:eastAsia="ru-RU"/>
              </w:rPr>
              <w:t>15</w:t>
            </w:r>
          </w:p>
        </w:tc>
      </w:tr>
      <w:tr w:rsidR="00602340" w:rsidRPr="00160266" w:rsidTr="00602340">
        <w:trPr>
          <w:trHeight w:val="20"/>
          <w:jc w:val="center"/>
        </w:trPr>
        <w:tc>
          <w:tcPr>
            <w:tcW w:w="3397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557DE0">
            <w:pPr>
              <w:spacing w:line="240" w:lineRule="auto"/>
              <w:ind w:left="430" w:firstLine="0"/>
              <w:jc w:val="left"/>
              <w:rPr>
                <w:rFonts w:eastAsia="Times New Roman"/>
                <w:i/>
                <w:sz w:val="22"/>
                <w:lang w:eastAsia="ru-RU"/>
              </w:rPr>
            </w:pPr>
            <w:proofErr w:type="spellStart"/>
            <w:r w:rsidRPr="00160266">
              <w:rPr>
                <w:rFonts w:eastAsia="Times New Roman"/>
                <w:i/>
                <w:sz w:val="22"/>
                <w:szCs w:val="22"/>
                <w:lang w:eastAsia="ru-RU"/>
              </w:rPr>
              <w:t>Дубовско-Городищенская</w:t>
            </w:r>
            <w:proofErr w:type="spellEnd"/>
          </w:p>
        </w:tc>
        <w:tc>
          <w:tcPr>
            <w:tcW w:w="310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DB5BB0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60266">
              <w:rPr>
                <w:rFonts w:eastAsia="Times New Roman"/>
                <w:i/>
                <w:sz w:val="22"/>
                <w:szCs w:val="22"/>
                <w:lang w:eastAsia="ru-RU"/>
              </w:rPr>
              <w:t>1</w:t>
            </w:r>
            <w:r w:rsidR="00DB5BB0" w:rsidRPr="00160266">
              <w:rPr>
                <w:rFonts w:eastAsia="Times New Roman"/>
                <w:i/>
                <w:sz w:val="22"/>
                <w:szCs w:val="22"/>
                <w:lang w:eastAsia="ru-RU"/>
              </w:rPr>
              <w:t>6</w:t>
            </w:r>
          </w:p>
        </w:tc>
      </w:tr>
      <w:tr w:rsidR="00602340" w:rsidRPr="00160266" w:rsidTr="00602340">
        <w:trPr>
          <w:trHeight w:val="20"/>
          <w:jc w:val="center"/>
        </w:trPr>
        <w:tc>
          <w:tcPr>
            <w:tcW w:w="3397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557DE0">
            <w:pPr>
              <w:spacing w:line="240" w:lineRule="auto"/>
              <w:ind w:left="430" w:firstLine="0"/>
              <w:jc w:val="left"/>
              <w:rPr>
                <w:rFonts w:eastAsia="Times New Roman"/>
                <w:i/>
                <w:sz w:val="22"/>
                <w:lang w:eastAsia="ru-RU"/>
              </w:rPr>
            </w:pPr>
            <w:r w:rsidRPr="00160266">
              <w:rPr>
                <w:rFonts w:eastAsia="Times New Roman"/>
                <w:i/>
                <w:sz w:val="22"/>
                <w:szCs w:val="22"/>
                <w:lang w:eastAsia="ru-RU"/>
              </w:rPr>
              <w:t>Волжская</w:t>
            </w:r>
          </w:p>
        </w:tc>
        <w:tc>
          <w:tcPr>
            <w:tcW w:w="310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DB5BB0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160266">
              <w:rPr>
                <w:rFonts w:eastAsia="Times New Roman"/>
                <w:i/>
                <w:sz w:val="22"/>
                <w:szCs w:val="22"/>
                <w:lang w:eastAsia="ru-RU"/>
              </w:rPr>
              <w:t>1</w:t>
            </w:r>
            <w:r w:rsidR="00DB5BB0" w:rsidRPr="00160266">
              <w:rPr>
                <w:rFonts w:eastAsia="Times New Roman"/>
                <w:i/>
                <w:sz w:val="22"/>
                <w:szCs w:val="22"/>
                <w:lang w:eastAsia="ru-RU"/>
              </w:rPr>
              <w:t>3</w:t>
            </w:r>
          </w:p>
        </w:tc>
      </w:tr>
      <w:tr w:rsidR="00602340" w:rsidRPr="00160266" w:rsidTr="00602340">
        <w:trPr>
          <w:trHeight w:val="20"/>
          <w:jc w:val="center"/>
        </w:trPr>
        <w:tc>
          <w:tcPr>
            <w:tcW w:w="3397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557DE0">
            <w:pPr>
              <w:spacing w:line="240" w:lineRule="auto"/>
              <w:ind w:firstLine="5"/>
              <w:rPr>
                <w:rFonts w:eastAsia="Times New Roman"/>
                <w:sz w:val="22"/>
                <w:lang w:eastAsia="ru-RU"/>
              </w:rPr>
            </w:pPr>
            <w:r w:rsidRPr="00160266">
              <w:rPr>
                <w:rFonts w:eastAsia="Times New Roman"/>
                <w:sz w:val="22"/>
                <w:szCs w:val="22"/>
                <w:lang w:eastAsia="ru-RU"/>
              </w:rPr>
              <w:t>Урюпинская</w:t>
            </w:r>
          </w:p>
        </w:tc>
        <w:tc>
          <w:tcPr>
            <w:tcW w:w="310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557DE0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160266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</w:tr>
      <w:tr w:rsidR="00602340" w:rsidRPr="00160266" w:rsidTr="00602340">
        <w:trPr>
          <w:trHeight w:val="20"/>
          <w:jc w:val="center"/>
        </w:trPr>
        <w:tc>
          <w:tcPr>
            <w:tcW w:w="3397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557DE0">
            <w:pPr>
              <w:spacing w:line="240" w:lineRule="auto"/>
              <w:ind w:firstLine="5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160266">
              <w:rPr>
                <w:rFonts w:eastAsia="Times New Roman"/>
                <w:sz w:val="22"/>
                <w:szCs w:val="22"/>
                <w:lang w:eastAsia="ru-RU"/>
              </w:rPr>
              <w:t>Камышинская</w:t>
            </w:r>
            <w:proofErr w:type="spellEnd"/>
          </w:p>
        </w:tc>
        <w:tc>
          <w:tcPr>
            <w:tcW w:w="310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557DE0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160266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</w:tr>
      <w:tr w:rsidR="00602340" w:rsidRPr="00160266" w:rsidTr="00602340">
        <w:trPr>
          <w:trHeight w:val="20"/>
          <w:jc w:val="center"/>
        </w:trPr>
        <w:tc>
          <w:tcPr>
            <w:tcW w:w="3397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557DE0">
            <w:pPr>
              <w:spacing w:line="240" w:lineRule="auto"/>
              <w:ind w:firstLine="5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160266">
              <w:rPr>
                <w:rFonts w:eastAsia="Times New Roman"/>
                <w:sz w:val="22"/>
                <w:szCs w:val="22"/>
                <w:lang w:eastAsia="ru-RU"/>
              </w:rPr>
              <w:t>Новоаннинская</w:t>
            </w:r>
            <w:proofErr w:type="spellEnd"/>
          </w:p>
        </w:tc>
        <w:tc>
          <w:tcPr>
            <w:tcW w:w="310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557DE0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160266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602340" w:rsidRPr="00160266" w:rsidTr="00602340">
        <w:trPr>
          <w:trHeight w:val="20"/>
          <w:jc w:val="center"/>
        </w:trPr>
        <w:tc>
          <w:tcPr>
            <w:tcW w:w="339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557DE0">
            <w:pPr>
              <w:spacing w:line="240" w:lineRule="auto"/>
              <w:ind w:firstLine="5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160266">
              <w:rPr>
                <w:rFonts w:eastAsia="Times New Roman"/>
                <w:sz w:val="22"/>
                <w:szCs w:val="22"/>
                <w:lang w:eastAsia="ru-RU"/>
              </w:rPr>
              <w:t>Фроловская</w:t>
            </w:r>
            <w:proofErr w:type="spellEnd"/>
          </w:p>
        </w:tc>
        <w:tc>
          <w:tcPr>
            <w:tcW w:w="31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557DE0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160266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</w:tr>
      <w:tr w:rsidR="00602340" w:rsidRPr="00160266" w:rsidTr="00602340">
        <w:trPr>
          <w:trHeight w:val="20"/>
          <w:jc w:val="center"/>
        </w:trPr>
        <w:tc>
          <w:tcPr>
            <w:tcW w:w="3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557DE0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ru-RU"/>
              </w:rPr>
            </w:pPr>
            <w:r w:rsidRPr="00160266">
              <w:rPr>
                <w:rFonts w:eastAsia="Times New Roman"/>
                <w:b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31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02340" w:rsidRPr="00160266" w:rsidRDefault="00602340" w:rsidP="00557DE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160266">
              <w:rPr>
                <w:rFonts w:eastAsia="Times New Roman"/>
                <w:b/>
                <w:sz w:val="22"/>
                <w:szCs w:val="22"/>
                <w:lang w:eastAsia="ru-RU"/>
              </w:rPr>
              <w:t>78</w:t>
            </w:r>
          </w:p>
        </w:tc>
      </w:tr>
    </w:tbl>
    <w:p w:rsidR="00195BD0" w:rsidRDefault="00195BD0" w:rsidP="00D36BCB">
      <w:pPr>
        <w:spacing w:line="240" w:lineRule="auto"/>
        <w:rPr>
          <w:rFonts w:eastAsia="Times New Roman"/>
          <w:sz w:val="24"/>
          <w:szCs w:val="20"/>
          <w:lang w:eastAsia="ru-RU"/>
        </w:rPr>
      </w:pPr>
    </w:p>
    <w:p w:rsidR="00D36BCB" w:rsidRDefault="008548ED" w:rsidP="00D36BCB">
      <w:pPr>
        <w:spacing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  <w:t xml:space="preserve">Охват городов и поселений Волгоградской области сетью маршрутов по РТ носит неоднородный характер. </w:t>
      </w:r>
      <w:r w:rsidR="009B2B07">
        <w:rPr>
          <w:rFonts w:eastAsia="Times New Roman"/>
          <w:sz w:val="24"/>
          <w:szCs w:val="20"/>
          <w:lang w:eastAsia="ru-RU"/>
        </w:rPr>
        <w:t xml:space="preserve">Административные центры </w:t>
      </w:r>
      <w:r w:rsidR="00CA794F">
        <w:rPr>
          <w:rFonts w:eastAsia="Times New Roman"/>
          <w:sz w:val="24"/>
          <w:szCs w:val="20"/>
          <w:lang w:eastAsia="ru-RU"/>
        </w:rPr>
        <w:t>22</w:t>
      </w:r>
      <w:r w:rsidR="009B2B07">
        <w:rPr>
          <w:rFonts w:eastAsia="Times New Roman"/>
          <w:sz w:val="24"/>
          <w:szCs w:val="20"/>
          <w:lang w:eastAsia="ru-RU"/>
        </w:rPr>
        <w:t xml:space="preserve"> муниципальных районов н</w:t>
      </w:r>
      <w:r w:rsidR="00602340">
        <w:rPr>
          <w:rFonts w:eastAsia="Times New Roman"/>
          <w:sz w:val="24"/>
          <w:szCs w:val="20"/>
          <w:lang w:eastAsia="ru-RU"/>
        </w:rPr>
        <w:t xml:space="preserve">е имеют транспортной связи маршрутами по РТ </w:t>
      </w:r>
      <w:r w:rsidR="009B2B07">
        <w:rPr>
          <w:rFonts w:eastAsia="Times New Roman"/>
          <w:sz w:val="24"/>
          <w:szCs w:val="20"/>
          <w:lang w:eastAsia="ru-RU"/>
        </w:rPr>
        <w:t xml:space="preserve">между собой и </w:t>
      </w:r>
      <w:r w:rsidR="00CA794F">
        <w:rPr>
          <w:rFonts w:eastAsia="Times New Roman"/>
          <w:sz w:val="24"/>
          <w:szCs w:val="20"/>
          <w:lang w:eastAsia="ru-RU"/>
        </w:rPr>
        <w:t>(</w:t>
      </w:r>
      <w:r w:rsidR="009B2B07">
        <w:rPr>
          <w:rFonts w:eastAsia="Times New Roman"/>
          <w:sz w:val="24"/>
          <w:szCs w:val="20"/>
          <w:lang w:eastAsia="ru-RU"/>
        </w:rPr>
        <w:t>или</w:t>
      </w:r>
      <w:r w:rsidR="00CA794F">
        <w:rPr>
          <w:rFonts w:eastAsia="Times New Roman"/>
          <w:sz w:val="24"/>
          <w:szCs w:val="20"/>
          <w:lang w:eastAsia="ru-RU"/>
        </w:rPr>
        <w:t>)</w:t>
      </w:r>
      <w:r w:rsidR="009B2B07">
        <w:rPr>
          <w:rFonts w:eastAsia="Times New Roman"/>
          <w:sz w:val="24"/>
          <w:szCs w:val="20"/>
          <w:lang w:eastAsia="ru-RU"/>
        </w:rPr>
        <w:t xml:space="preserve"> с городскими округами. Городской округ </w:t>
      </w:r>
      <w:proofErr w:type="gramStart"/>
      <w:r w:rsidR="009B2B07">
        <w:rPr>
          <w:rFonts w:eastAsia="Times New Roman"/>
          <w:sz w:val="24"/>
          <w:szCs w:val="20"/>
          <w:lang w:eastAsia="ru-RU"/>
        </w:rPr>
        <w:t>г</w:t>
      </w:r>
      <w:proofErr w:type="gramEnd"/>
      <w:r w:rsidR="009B2B07">
        <w:rPr>
          <w:rFonts w:eastAsia="Times New Roman"/>
          <w:sz w:val="24"/>
          <w:szCs w:val="20"/>
          <w:lang w:eastAsia="ru-RU"/>
        </w:rPr>
        <w:t xml:space="preserve">. Михайловка не обеспечен связью маршрутами по РТ с другими муниципалитетами. Также </w:t>
      </w:r>
      <w:r w:rsidR="00AA1A78">
        <w:rPr>
          <w:rFonts w:eastAsia="Times New Roman"/>
          <w:sz w:val="24"/>
          <w:szCs w:val="20"/>
          <w:lang w:eastAsia="ru-RU"/>
        </w:rPr>
        <w:t xml:space="preserve">непосредственно </w:t>
      </w:r>
      <w:r w:rsidR="009B2B07">
        <w:rPr>
          <w:rFonts w:eastAsia="Times New Roman"/>
          <w:sz w:val="24"/>
          <w:szCs w:val="20"/>
          <w:lang w:eastAsia="ru-RU"/>
        </w:rPr>
        <w:t xml:space="preserve">в этом городском округе отсутствуют </w:t>
      </w:r>
      <w:r w:rsidR="009B2B07">
        <w:rPr>
          <w:rFonts w:eastAsia="Times New Roman"/>
          <w:sz w:val="24"/>
          <w:szCs w:val="20"/>
          <w:lang w:eastAsia="ru-RU"/>
        </w:rPr>
        <w:lastRenderedPageBreak/>
        <w:t>муниципальные маршруты по РТ.</w:t>
      </w:r>
      <w:r w:rsidR="0058711E">
        <w:rPr>
          <w:rFonts w:eastAsia="Times New Roman"/>
          <w:sz w:val="24"/>
          <w:szCs w:val="20"/>
          <w:lang w:eastAsia="ru-RU"/>
        </w:rPr>
        <w:t xml:space="preserve"> </w:t>
      </w:r>
      <w:r w:rsidR="00CA794F">
        <w:rPr>
          <w:rFonts w:eastAsia="Times New Roman"/>
          <w:sz w:val="24"/>
          <w:szCs w:val="20"/>
          <w:lang w:eastAsia="ru-RU"/>
        </w:rPr>
        <w:t>Административные центры 11 муниципальных районов из 22 указанных не имеют также железнодорожной связи с другими территориями.</w:t>
      </w:r>
    </w:p>
    <w:p w:rsidR="00611639" w:rsidRDefault="00FF6956" w:rsidP="00FB0030">
      <w:pPr>
        <w:autoSpaceDE w:val="0"/>
        <w:autoSpaceDN w:val="0"/>
        <w:adjustRightInd w:val="0"/>
        <w:spacing w:line="240" w:lineRule="auto"/>
        <w:ind w:firstLine="708"/>
        <w:rPr>
          <w:rFonts w:eastAsiaTheme="minorHAnsi"/>
          <w:sz w:val="24"/>
        </w:rPr>
      </w:pPr>
      <w:r>
        <w:rPr>
          <w:rFonts w:eastAsiaTheme="minorHAnsi"/>
          <w:sz w:val="24"/>
        </w:rPr>
        <w:t>С</w:t>
      </w:r>
      <w:r w:rsidR="00AA1A78">
        <w:rPr>
          <w:rFonts w:eastAsiaTheme="minorHAnsi"/>
          <w:sz w:val="24"/>
        </w:rPr>
        <w:t>уществование значительной территории региона без сети</w:t>
      </w:r>
      <w:r>
        <w:rPr>
          <w:rFonts w:eastAsiaTheme="minorHAnsi"/>
          <w:sz w:val="24"/>
        </w:rPr>
        <w:t xml:space="preserve"> автобусных межмуниципальных маршрутов по РТ</w:t>
      </w:r>
      <w:r w:rsidR="00AA1A78">
        <w:rPr>
          <w:rFonts w:eastAsiaTheme="minorHAnsi"/>
          <w:sz w:val="24"/>
        </w:rPr>
        <w:t>, требующей затрат большого объёма бюджетных ресурсов, в течени</w:t>
      </w:r>
      <w:proofErr w:type="gramStart"/>
      <w:r w:rsidR="00AA1A78">
        <w:rPr>
          <w:rFonts w:eastAsiaTheme="minorHAnsi"/>
          <w:sz w:val="24"/>
        </w:rPr>
        <w:t>и</w:t>
      </w:r>
      <w:proofErr w:type="gramEnd"/>
      <w:r w:rsidR="00AA1A78">
        <w:rPr>
          <w:rFonts w:eastAsiaTheme="minorHAnsi"/>
          <w:sz w:val="24"/>
        </w:rPr>
        <w:t xml:space="preserve"> продолжительного периода может ставить вопрос о возможности обеспечения транспортных потребностей населения без испол</w:t>
      </w:r>
      <w:r w:rsidR="00F732C2">
        <w:rPr>
          <w:rFonts w:eastAsiaTheme="minorHAnsi"/>
          <w:sz w:val="24"/>
        </w:rPr>
        <w:t>ь</w:t>
      </w:r>
      <w:r w:rsidR="00AA1A78">
        <w:rPr>
          <w:rFonts w:eastAsiaTheme="minorHAnsi"/>
          <w:sz w:val="24"/>
        </w:rPr>
        <w:t xml:space="preserve">зования </w:t>
      </w:r>
      <w:r w:rsidR="00F732C2">
        <w:rPr>
          <w:rFonts w:eastAsiaTheme="minorHAnsi"/>
          <w:sz w:val="24"/>
        </w:rPr>
        <w:t>(с минимальным использованием)</w:t>
      </w:r>
      <w:r w:rsidR="00AE52EE">
        <w:rPr>
          <w:rFonts w:eastAsiaTheme="minorHAnsi"/>
          <w:sz w:val="24"/>
        </w:rPr>
        <w:t xml:space="preserve"> </w:t>
      </w:r>
      <w:r w:rsidR="00AA1A78">
        <w:rPr>
          <w:rFonts w:eastAsiaTheme="minorHAnsi"/>
          <w:sz w:val="24"/>
        </w:rPr>
        <w:t>регулируемых тарифов</w:t>
      </w:r>
      <w:r w:rsidR="00F732C2">
        <w:rPr>
          <w:rFonts w:eastAsiaTheme="minorHAnsi"/>
          <w:sz w:val="24"/>
        </w:rPr>
        <w:t xml:space="preserve"> за счёт построения адекватной конкурентной сети маршрутов по НРТ.</w:t>
      </w:r>
    </w:p>
    <w:p w:rsidR="002B6CA0" w:rsidRDefault="00A04633" w:rsidP="002B6CA0">
      <w:pPr>
        <w:pStyle w:val="ConsPlusNormal"/>
        <w:ind w:firstLine="709"/>
        <w:jc w:val="both"/>
      </w:pPr>
      <w:r>
        <w:t>С</w:t>
      </w:r>
      <w:r w:rsidR="002B6CA0">
        <w:t>опоставление системы организации транспортного обслуживания населения автомобильным транспортом в ряде субъектов РФ</w:t>
      </w:r>
      <w:r>
        <w:t xml:space="preserve"> (</w:t>
      </w:r>
      <w:r w:rsidR="002B6CA0">
        <w:t>Саратовская, Самарская, Нижегородская, Воронежская, Астраханская и Ростовская области</w:t>
      </w:r>
      <w:r>
        <w:t>)</w:t>
      </w:r>
      <w:r w:rsidR="008548ED">
        <w:t xml:space="preserve"> показало следующее</w:t>
      </w:r>
      <w:r w:rsidR="002B6CA0">
        <w:t>.</w:t>
      </w:r>
    </w:p>
    <w:p w:rsidR="002B6CA0" w:rsidRDefault="00AE52EE" w:rsidP="002B6CA0">
      <w:pPr>
        <w:pStyle w:val="ConsPlusNormal"/>
        <w:ind w:firstLine="709"/>
        <w:jc w:val="both"/>
      </w:pPr>
      <w:r>
        <w:t>Общая картина</w:t>
      </w:r>
      <w:r w:rsidR="002B6CA0">
        <w:t xml:space="preserve"> организации транспортного обслуживания </w:t>
      </w:r>
      <w:r>
        <w:t xml:space="preserve">населения </w:t>
      </w:r>
      <w:r w:rsidR="002B6CA0">
        <w:t>автомобильным транспортом в целом</w:t>
      </w:r>
      <w:r>
        <w:t xml:space="preserve"> (</w:t>
      </w:r>
      <w:r w:rsidR="00402C0D">
        <w:t>по всем видам маршрутов, в том числе и</w:t>
      </w:r>
      <w:r w:rsidR="002B6CA0">
        <w:t xml:space="preserve"> по межмуниципальным маршрутам</w:t>
      </w:r>
      <w:r>
        <w:t>) представлена в таблице</w:t>
      </w:r>
      <w:r w:rsidR="002B6CA0">
        <w:t>.</w:t>
      </w:r>
    </w:p>
    <w:p w:rsidR="00195BD0" w:rsidRDefault="00195BD0" w:rsidP="002B6CA0">
      <w:pPr>
        <w:pStyle w:val="ConsPlusNormal"/>
        <w:ind w:firstLine="709"/>
        <w:jc w:val="both"/>
      </w:pPr>
    </w:p>
    <w:tbl>
      <w:tblPr>
        <w:tblW w:w="96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552"/>
        <w:gridCol w:w="1560"/>
        <w:gridCol w:w="1417"/>
        <w:gridCol w:w="1418"/>
        <w:gridCol w:w="1276"/>
        <w:gridCol w:w="1417"/>
      </w:tblGrid>
      <w:tr w:rsidR="00A04633" w:rsidRPr="005828C5" w:rsidTr="000C6B70">
        <w:trPr>
          <w:trHeight w:val="230"/>
        </w:trPr>
        <w:tc>
          <w:tcPr>
            <w:tcW w:w="964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633" w:rsidRPr="00A04633" w:rsidRDefault="00A04633" w:rsidP="009C60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A04633">
              <w:rPr>
                <w:b/>
                <w:sz w:val="22"/>
                <w:szCs w:val="22"/>
              </w:rPr>
              <w:t>анные</w:t>
            </w:r>
            <w:r w:rsidRPr="00A0463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на 01.01.2018 за 2017 год</w:t>
            </w:r>
          </w:p>
        </w:tc>
      </w:tr>
      <w:tr w:rsidR="002B6CA0" w:rsidRPr="005828C5" w:rsidTr="009C6038">
        <w:trPr>
          <w:trHeight w:val="230"/>
        </w:trPr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582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субъекта РФ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населения</w:t>
            </w:r>
            <w:r w:rsidRPr="00582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Перевозка пассажиров млн</w:t>
            </w:r>
            <w:proofErr w:type="gramStart"/>
            <w:r w:rsidRPr="00582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582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ел.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2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Пассажир</w:t>
            </w:r>
            <w:proofErr w:type="gramStart"/>
            <w:r w:rsidRPr="00582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582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оборот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2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млн.пасс-км</w:t>
            </w:r>
          </w:p>
        </w:tc>
        <w:tc>
          <w:tcPr>
            <w:tcW w:w="2693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B6CA0" w:rsidRDefault="002B6CA0" w:rsidP="009C60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Число автобусов </w:t>
            </w:r>
          </w:p>
          <w:p w:rsidR="002B6CA0" w:rsidRDefault="002B6CA0" w:rsidP="009C60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общего пользования </w:t>
            </w:r>
          </w:p>
          <w:p w:rsidR="002B6CA0" w:rsidRPr="005828C5" w:rsidRDefault="002B6CA0" w:rsidP="009C60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 100 тыс. населения</w:t>
            </w:r>
          </w:p>
        </w:tc>
      </w:tr>
      <w:tr w:rsidR="002B6CA0" w:rsidRPr="005828C5" w:rsidTr="009C6038">
        <w:trPr>
          <w:trHeight w:val="570"/>
        </w:trPr>
        <w:tc>
          <w:tcPr>
            <w:tcW w:w="2552" w:type="dxa"/>
            <w:vMerge/>
            <w:tcBorders>
              <w:left w:val="double" w:sz="4" w:space="0" w:color="auto"/>
            </w:tcBorders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right w:val="double" w:sz="4" w:space="0" w:color="auto"/>
            </w:tcBorders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B6CA0" w:rsidRPr="005828C5" w:rsidTr="009C6038">
        <w:trPr>
          <w:trHeight w:val="20"/>
        </w:trPr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в РФ</w:t>
            </w:r>
          </w:p>
        </w:tc>
      </w:tr>
      <w:tr w:rsidR="002B6CA0" w:rsidRPr="005828C5" w:rsidTr="009C6038">
        <w:trPr>
          <w:trHeight w:val="20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right="-108"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2463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210,9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3278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2B6CA0" w:rsidRPr="005828C5" w:rsidTr="009C6038">
        <w:trPr>
          <w:trHeight w:val="20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right="-108"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2B6CA0" w:rsidRPr="005828C5" w:rsidTr="009C6038">
        <w:trPr>
          <w:trHeight w:val="20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2B6CA0" w:rsidRPr="005828C5" w:rsidTr="009C6038">
        <w:trPr>
          <w:trHeight w:val="20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left"/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  <w:t>2521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  <w:t>255,9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  <w:t>4862</w:t>
            </w:r>
            <w:r w:rsidR="008641BB"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  <w:t>18</w:t>
            </w:r>
          </w:p>
        </w:tc>
      </w:tr>
      <w:tr w:rsidR="002B6CA0" w:rsidRPr="005828C5" w:rsidTr="009C6038">
        <w:trPr>
          <w:trHeight w:val="20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2B6CA0" w:rsidRPr="005828C5" w:rsidTr="009C6038">
        <w:trPr>
          <w:trHeight w:val="20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2B6CA0" w:rsidRPr="005828C5" w:rsidTr="009C6038">
        <w:trPr>
          <w:trHeight w:val="20"/>
        </w:trPr>
        <w:tc>
          <w:tcPr>
            <w:tcW w:w="255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3193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183,2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2733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B6CA0" w:rsidRPr="005828C5" w:rsidRDefault="002B6CA0" w:rsidP="009C603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28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</w:tbl>
    <w:p w:rsidR="008641BB" w:rsidRPr="008641BB" w:rsidRDefault="008641BB" w:rsidP="008641BB">
      <w:pPr>
        <w:pStyle w:val="ConsPlusNormal"/>
        <w:ind w:firstLine="709"/>
        <w:jc w:val="both"/>
        <w:rPr>
          <w:i/>
          <w:sz w:val="22"/>
          <w:szCs w:val="22"/>
          <w:highlight w:val="red"/>
        </w:rPr>
      </w:pPr>
      <w:r w:rsidRPr="008641BB">
        <w:rPr>
          <w:i/>
          <w:sz w:val="22"/>
          <w:szCs w:val="22"/>
        </w:rPr>
        <w:t xml:space="preserve">*-пассажирооборот на межмуниципальных маршрутах по РТ в 2018 году составил </w:t>
      </w:r>
      <w:r w:rsidR="00AE52EE">
        <w:rPr>
          <w:i/>
          <w:sz w:val="22"/>
          <w:szCs w:val="22"/>
        </w:rPr>
        <w:t>594,4</w:t>
      </w:r>
      <w:r w:rsidRPr="008641BB">
        <w:rPr>
          <w:rFonts w:eastAsia="Times New Roman"/>
          <w:bCs/>
          <w:i/>
          <w:color w:val="000000"/>
          <w:sz w:val="22"/>
          <w:szCs w:val="22"/>
          <w:lang w:eastAsia="ru-RU"/>
        </w:rPr>
        <w:t xml:space="preserve"> млн.</w:t>
      </w:r>
      <w:r w:rsidR="00316E5C">
        <w:rPr>
          <w:rFonts w:eastAsia="Times New Roman"/>
          <w:bCs/>
          <w:i/>
          <w:color w:val="000000"/>
          <w:sz w:val="22"/>
          <w:szCs w:val="22"/>
          <w:lang w:eastAsia="ru-RU"/>
        </w:rPr>
        <w:t> </w:t>
      </w:r>
      <w:r w:rsidRPr="008641BB">
        <w:rPr>
          <w:rFonts w:eastAsia="Times New Roman"/>
          <w:bCs/>
          <w:i/>
          <w:color w:val="000000"/>
          <w:sz w:val="22"/>
          <w:szCs w:val="22"/>
          <w:lang w:eastAsia="ru-RU"/>
        </w:rPr>
        <w:t>пасс-км</w:t>
      </w:r>
      <w:r w:rsidR="00AE52EE">
        <w:rPr>
          <w:rFonts w:eastAsia="Times New Roman"/>
          <w:bCs/>
          <w:i/>
          <w:color w:val="000000"/>
          <w:sz w:val="22"/>
          <w:szCs w:val="22"/>
          <w:lang w:eastAsia="ru-RU"/>
        </w:rPr>
        <w:t>, или 12,2 % от общего объёма пассажирооборота</w:t>
      </w:r>
      <w:r w:rsidR="00FF4648">
        <w:rPr>
          <w:rFonts w:eastAsia="Times New Roman"/>
          <w:bCs/>
          <w:i/>
          <w:color w:val="000000"/>
          <w:sz w:val="22"/>
          <w:szCs w:val="22"/>
          <w:lang w:eastAsia="ru-RU"/>
        </w:rPr>
        <w:t>.</w:t>
      </w:r>
    </w:p>
    <w:p w:rsidR="00195BD0" w:rsidRDefault="00195BD0" w:rsidP="002B6CA0">
      <w:pPr>
        <w:pStyle w:val="ConsPlusNormal"/>
        <w:ind w:firstLine="709"/>
        <w:jc w:val="both"/>
      </w:pPr>
    </w:p>
    <w:p w:rsidR="002B6CA0" w:rsidRDefault="00C51891" w:rsidP="002B6CA0">
      <w:pPr>
        <w:pStyle w:val="ConsPlusNormal"/>
        <w:ind w:firstLine="709"/>
        <w:jc w:val="both"/>
      </w:pPr>
      <w:r>
        <w:t>Волгоградская область среди сравниваемых</w:t>
      </w:r>
      <w:r w:rsidR="002B6CA0">
        <w:t xml:space="preserve"> субъектов характеризуется наибольшими показателями пассажирооборота (4 862 млн. пасс-км) и количества автобусов общего пользования на 100 тыс. населения (146 ед.). По </w:t>
      </w:r>
      <w:r w:rsidR="008641BB">
        <w:t>последнему показателю</w:t>
      </w:r>
      <w:r w:rsidR="002B6CA0">
        <w:t xml:space="preserve"> Волгоградская область (146 ед.) занимает 18 место в РФ, опережая при этом сопоставимую по численности населения Саратовскую область</w:t>
      </w:r>
      <w:r w:rsidR="008641BB">
        <w:t xml:space="preserve"> (90 ед.) </w:t>
      </w:r>
      <w:r w:rsidR="002B6CA0">
        <w:t xml:space="preserve"> более чем в 1,6 раза.</w:t>
      </w:r>
    </w:p>
    <w:p w:rsidR="002B6CA0" w:rsidRDefault="002B6CA0" w:rsidP="002B6CA0">
      <w:pPr>
        <w:pStyle w:val="ConsPlusNormal"/>
        <w:ind w:firstLine="709"/>
        <w:jc w:val="both"/>
      </w:pPr>
      <w:r>
        <w:t xml:space="preserve">Сведения о количестве маршрутов </w:t>
      </w:r>
      <w:r w:rsidR="00C51891">
        <w:t>по РТ</w:t>
      </w:r>
      <w:r>
        <w:t xml:space="preserve"> и </w:t>
      </w:r>
      <w:r w:rsidR="00C51891">
        <w:t>НРТ</w:t>
      </w:r>
      <w:r>
        <w:t xml:space="preserve"> </w:t>
      </w:r>
      <w:r w:rsidR="00A45E5D">
        <w:t xml:space="preserve">по состоянию на 01.07.2019 </w:t>
      </w:r>
      <w:proofErr w:type="gramStart"/>
      <w:r w:rsidR="00C51891">
        <w:t>согласно</w:t>
      </w:r>
      <w:r>
        <w:t xml:space="preserve"> Реестров</w:t>
      </w:r>
      <w:proofErr w:type="gramEnd"/>
      <w:r>
        <w:t xml:space="preserve"> межмуниципальных маршрутов, размещенных на официальных интернет-сайтах уполномоченных органов исполнительной власти субъектов РФ</w:t>
      </w:r>
      <w:r w:rsidR="00C51891">
        <w:t xml:space="preserve">, представлены диаграммой. </w:t>
      </w:r>
    </w:p>
    <w:p w:rsidR="002B6CA0" w:rsidRDefault="002B6CA0" w:rsidP="002B6CA0">
      <w:pPr>
        <w:pStyle w:val="ConsPlusNormal"/>
        <w:jc w:val="center"/>
      </w:pPr>
      <w:r w:rsidRPr="00484A1D">
        <w:rPr>
          <w:noProof/>
          <w:lang w:eastAsia="ru-RU"/>
        </w:rPr>
        <w:drawing>
          <wp:inline distT="0" distB="0" distL="0" distR="0">
            <wp:extent cx="5976620" cy="2103120"/>
            <wp:effectExtent l="0" t="0" r="5080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B6CA0" w:rsidRDefault="002B6CA0" w:rsidP="002B6CA0">
      <w:pPr>
        <w:pStyle w:val="ConsPlusNormal"/>
        <w:ind w:firstLine="709"/>
        <w:jc w:val="both"/>
      </w:pPr>
      <w:r>
        <w:t>Наибольшее количество маршрутов регулярных перевозок в Ростовской области - 670 ед., из них 554 маршрута, или 82,7% от общего количества</w:t>
      </w:r>
      <w:r w:rsidR="008E7F48">
        <w:t>,</w:t>
      </w:r>
      <w:r>
        <w:t xml:space="preserve"> – маршруты по </w:t>
      </w:r>
      <w:r w:rsidR="00C51891">
        <w:t>РТ</w:t>
      </w:r>
      <w:r>
        <w:t>. При этом</w:t>
      </w:r>
      <w:proofErr w:type="gramStart"/>
      <w:r>
        <w:t>,</w:t>
      </w:r>
      <w:proofErr w:type="gramEnd"/>
      <w:r>
        <w:t xml:space="preserve"> согласно графику изменения вида регулярных перевозок, утвержденному постановлением Правительства Ростовской области от 27.01.2016 № 25, в период с 19.08.2019 по 16.01.2022 </w:t>
      </w:r>
      <w:r>
        <w:lastRenderedPageBreak/>
        <w:t>по 516 маршрутам запланировано изменение вида перевозок с регулируемых тарифов на нерегулируемые.</w:t>
      </w:r>
    </w:p>
    <w:p w:rsidR="002B6CA0" w:rsidRDefault="002B6CA0" w:rsidP="002B6CA0">
      <w:pPr>
        <w:pStyle w:val="ConsPlusNormal"/>
        <w:ind w:firstLine="709"/>
        <w:jc w:val="both"/>
      </w:pPr>
      <w:r>
        <w:t xml:space="preserve">В Нижегородской и Самарской областях все маршруты отнесены к маршрутам по </w:t>
      </w:r>
      <w:r w:rsidR="00A04633">
        <w:t>НРТ</w:t>
      </w:r>
      <w:r>
        <w:t xml:space="preserve">. В Саратовской области из 183 маршрутов регулярных перевозок только 3 маршрута по </w:t>
      </w:r>
      <w:r w:rsidR="00A04633">
        <w:t>РТ</w:t>
      </w:r>
      <w:r>
        <w:t>.</w:t>
      </w:r>
    </w:p>
    <w:p w:rsidR="00F732C2" w:rsidRPr="00F732C2" w:rsidRDefault="00F732C2" w:rsidP="00FB0030">
      <w:pPr>
        <w:autoSpaceDE w:val="0"/>
        <w:autoSpaceDN w:val="0"/>
        <w:adjustRightInd w:val="0"/>
        <w:spacing w:line="240" w:lineRule="auto"/>
        <w:ind w:firstLine="708"/>
        <w:rPr>
          <w:rFonts w:eastAsiaTheme="minorHAnsi"/>
          <w:i/>
          <w:sz w:val="24"/>
        </w:rPr>
      </w:pPr>
      <w:r w:rsidRPr="00F732C2">
        <w:rPr>
          <w:rFonts w:eastAsiaTheme="minorHAnsi"/>
          <w:i/>
          <w:sz w:val="24"/>
        </w:rPr>
        <w:t xml:space="preserve">Финансовое обеспечение </w:t>
      </w:r>
      <w:r>
        <w:rPr>
          <w:rFonts w:eastAsiaTheme="minorHAnsi"/>
          <w:i/>
          <w:sz w:val="24"/>
        </w:rPr>
        <w:t xml:space="preserve">межмуниципальных автомобильных перевозок по </w:t>
      </w:r>
      <w:r w:rsidRPr="00F732C2">
        <w:rPr>
          <w:rFonts w:eastAsiaTheme="minorHAnsi"/>
          <w:i/>
          <w:sz w:val="24"/>
        </w:rPr>
        <w:t>РТ</w:t>
      </w:r>
    </w:p>
    <w:p w:rsidR="00C51891" w:rsidRPr="004F425F" w:rsidRDefault="004F425F" w:rsidP="00FB0030">
      <w:pPr>
        <w:autoSpaceDE w:val="0"/>
        <w:autoSpaceDN w:val="0"/>
        <w:adjustRightInd w:val="0"/>
        <w:spacing w:line="240" w:lineRule="auto"/>
        <w:ind w:firstLine="708"/>
        <w:rPr>
          <w:rFonts w:eastAsiaTheme="minorHAnsi"/>
          <w:sz w:val="24"/>
        </w:rPr>
      </w:pPr>
      <w:r w:rsidRPr="004F425F">
        <w:rPr>
          <w:rFonts w:eastAsiaTheme="minorHAnsi"/>
          <w:sz w:val="24"/>
        </w:rPr>
        <w:t>Информация об объёмах государственной поддержки межмуниципальных автомобильных перевозок по РТ в сравниваемых субъектах РФ представлена в таблице.</w:t>
      </w:r>
    </w:p>
    <w:p w:rsidR="004F425F" w:rsidRPr="008F410A" w:rsidRDefault="008E7F48" w:rsidP="004F425F">
      <w:pPr>
        <w:pStyle w:val="ConsPlusNormal"/>
        <w:ind w:firstLine="709"/>
        <w:jc w:val="right"/>
        <w:rPr>
          <w:sz w:val="22"/>
          <w:szCs w:val="22"/>
        </w:rPr>
      </w:pPr>
      <w:proofErr w:type="gramStart"/>
      <w:r w:rsidRPr="008F410A">
        <w:rPr>
          <w:sz w:val="22"/>
          <w:szCs w:val="22"/>
        </w:rPr>
        <w:t>т</w:t>
      </w:r>
      <w:proofErr w:type="gramEnd"/>
      <w:r w:rsidRPr="008F410A">
        <w:rPr>
          <w:sz w:val="22"/>
          <w:szCs w:val="22"/>
        </w:rPr>
        <w:t>ыс</w:t>
      </w:r>
      <w:r w:rsidR="004F425F" w:rsidRPr="008F410A">
        <w:rPr>
          <w:sz w:val="22"/>
          <w:szCs w:val="22"/>
        </w:rPr>
        <w:t>. руб.</w:t>
      </w: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2410"/>
        <w:gridCol w:w="1134"/>
        <w:gridCol w:w="1276"/>
        <w:gridCol w:w="1134"/>
        <w:gridCol w:w="1134"/>
        <w:gridCol w:w="1134"/>
        <w:gridCol w:w="1276"/>
      </w:tblGrid>
      <w:tr w:rsidR="004F425F" w:rsidRPr="00C82FBF" w:rsidTr="004F425F">
        <w:trPr>
          <w:trHeight w:val="20"/>
        </w:trPr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C82F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субъекта РФ</w:t>
            </w:r>
          </w:p>
        </w:tc>
        <w:tc>
          <w:tcPr>
            <w:tcW w:w="7088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A45E5D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государственной поддержки</w:t>
            </w:r>
            <w:r w:rsidR="00A45E5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0C00">
              <w:rPr>
                <w:rFonts w:eastAsia="Times New Roman"/>
                <w:sz w:val="20"/>
                <w:szCs w:val="20"/>
                <w:lang w:eastAsia="ru-RU"/>
              </w:rPr>
              <w:t>(утверждено Законом о бюджете)</w:t>
            </w:r>
          </w:p>
        </w:tc>
      </w:tr>
      <w:tr w:rsidR="004F425F" w:rsidRPr="00C82FBF" w:rsidTr="004F425F">
        <w:trPr>
          <w:trHeight w:val="20"/>
        </w:trPr>
        <w:tc>
          <w:tcPr>
            <w:tcW w:w="2410" w:type="dxa"/>
            <w:vMerge/>
            <w:tcBorders>
              <w:left w:val="double" w:sz="4" w:space="0" w:color="auto"/>
            </w:tcBorders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контракт</w:t>
            </w: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316E5C" w:rsidP="009C60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="004F425F" w:rsidRPr="00C82F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сего:</w:t>
            </w:r>
          </w:p>
        </w:tc>
      </w:tr>
      <w:tr w:rsidR="004F425F" w:rsidRPr="00C82FBF" w:rsidTr="004F425F">
        <w:trPr>
          <w:trHeight w:val="20"/>
        </w:trPr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230C00" w:rsidP="00230C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230C00" w:rsidP="00230C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230C00" w:rsidP="00230C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230C00" w:rsidP="00230C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230C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018 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230C00" w:rsidP="009C603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4F425F" w:rsidRPr="00C82FBF" w:rsidTr="004F425F">
        <w:trPr>
          <w:trHeight w:val="20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4F425F" w:rsidRPr="00C82FBF" w:rsidTr="004F425F">
        <w:trPr>
          <w:trHeight w:val="20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F425F" w:rsidRPr="00C82FBF" w:rsidTr="004F425F">
        <w:trPr>
          <w:trHeight w:val="20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175 563,0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155 310,8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175 563,0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155 310,8</w:t>
            </w:r>
          </w:p>
        </w:tc>
      </w:tr>
      <w:tr w:rsidR="004F425F" w:rsidRPr="00230C00" w:rsidTr="004F425F">
        <w:trPr>
          <w:trHeight w:val="20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F425F" w:rsidRPr="00230C00" w:rsidRDefault="004F425F" w:rsidP="009C603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30C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230C00" w:rsidRDefault="008E7F48" w:rsidP="009C6038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30C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180 072,0</w:t>
            </w:r>
            <w:r w:rsidR="004F425F" w:rsidRPr="00230C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425F" w:rsidRPr="00230C00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30C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182 000,0**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230C00" w:rsidRDefault="008E7F48" w:rsidP="009C6038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30C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34 559,9</w:t>
            </w:r>
            <w:r w:rsidR="004F425F" w:rsidRPr="00230C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230C00" w:rsidRDefault="00230C00" w:rsidP="009C6038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30C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70 205,4</w:t>
            </w:r>
            <w:r w:rsidR="004F425F" w:rsidRPr="00230C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230C00" w:rsidRDefault="00230C00" w:rsidP="00230C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30C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214 631,9</w:t>
            </w:r>
            <w:r w:rsidR="004F425F" w:rsidRPr="00230C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F425F" w:rsidRPr="00230C00" w:rsidRDefault="00230C00" w:rsidP="009C6038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30C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252 205,4</w:t>
            </w:r>
            <w:r w:rsidR="004F425F" w:rsidRPr="00230C0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</w:tr>
      <w:tr w:rsidR="004F425F" w:rsidRPr="00C82FBF" w:rsidTr="004F425F">
        <w:trPr>
          <w:trHeight w:val="20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2 286,3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2 286,3</w:t>
            </w:r>
          </w:p>
        </w:tc>
      </w:tr>
      <w:tr w:rsidR="004F425F" w:rsidRPr="00C82FBF" w:rsidTr="004F425F">
        <w:trPr>
          <w:trHeight w:val="20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F425F" w:rsidRPr="00C82FBF" w:rsidTr="00316E5C">
        <w:trPr>
          <w:trHeight w:val="20"/>
        </w:trPr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82FBF">
              <w:rPr>
                <w:rFonts w:eastAsia="Times New Roman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F425F" w:rsidRPr="00C82FBF" w:rsidRDefault="004F425F" w:rsidP="009C603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F425F" w:rsidRPr="00230C00" w:rsidRDefault="004F425F" w:rsidP="004F425F">
      <w:pPr>
        <w:pStyle w:val="ConsPlusNormal"/>
        <w:ind w:firstLine="709"/>
        <w:jc w:val="both"/>
        <w:rPr>
          <w:i/>
          <w:sz w:val="22"/>
          <w:szCs w:val="22"/>
        </w:rPr>
      </w:pPr>
      <w:r w:rsidRPr="00230C00">
        <w:rPr>
          <w:i/>
          <w:sz w:val="22"/>
          <w:szCs w:val="22"/>
        </w:rPr>
        <w:t>*- фактические расходы без кредиторской задолженности за 2017 год</w:t>
      </w:r>
    </w:p>
    <w:p w:rsidR="004F425F" w:rsidRPr="008A3656" w:rsidRDefault="00F107E5" w:rsidP="004F425F">
      <w:pPr>
        <w:pStyle w:val="ConsPlusNormal"/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** - оценка</w:t>
      </w:r>
    </w:p>
    <w:p w:rsidR="00195BD0" w:rsidRDefault="00195BD0" w:rsidP="004F425F">
      <w:pPr>
        <w:pStyle w:val="ConsPlusNormal"/>
        <w:ind w:firstLine="709"/>
        <w:jc w:val="both"/>
      </w:pPr>
    </w:p>
    <w:p w:rsidR="004F425F" w:rsidRDefault="004F425F" w:rsidP="004F425F">
      <w:pPr>
        <w:pStyle w:val="ConsPlusNormal"/>
        <w:ind w:firstLine="709"/>
        <w:jc w:val="both"/>
      </w:pPr>
      <w:r>
        <w:t xml:space="preserve">В 2018 году и первом полугодии 2019 года расходы на </w:t>
      </w:r>
      <w:r w:rsidR="009507DB">
        <w:t>финансовое обеспечение перевозок</w:t>
      </w:r>
      <w:r>
        <w:t xml:space="preserve"> на </w:t>
      </w:r>
      <w:r w:rsidR="00FB2BE0">
        <w:t xml:space="preserve">межмуниципальных </w:t>
      </w:r>
      <w:r>
        <w:t xml:space="preserve">маршрутах по </w:t>
      </w:r>
      <w:r w:rsidR="00FB2BE0">
        <w:t>РТ</w:t>
      </w:r>
      <w:r>
        <w:t xml:space="preserve"> осуществлял</w:t>
      </w:r>
      <w:r w:rsidR="009507DB">
        <w:t>о</w:t>
      </w:r>
      <w:r>
        <w:t xml:space="preserve">сь только в Волгоградской и Воронежской областях. В Волгоградской области при меньшем количестве маршрутов </w:t>
      </w:r>
      <w:r w:rsidR="00FB2BE0">
        <w:t>почти в 2</w:t>
      </w:r>
      <w:r>
        <w:t xml:space="preserve"> раза</w:t>
      </w:r>
      <w:r w:rsidR="00FB2BE0">
        <w:t xml:space="preserve"> (78 и 148 соответственно)</w:t>
      </w:r>
      <w:r>
        <w:t xml:space="preserve"> объем государственной поддержки в 2018 году превышает расходы Воронежской области на </w:t>
      </w:r>
      <w:r w:rsidR="00230C00">
        <w:t xml:space="preserve">22,2 %, в 2019 году – </w:t>
      </w:r>
      <w:r w:rsidR="0062739D">
        <w:t xml:space="preserve">на </w:t>
      </w:r>
      <w:r w:rsidR="00230C00">
        <w:t>62,4 процента.</w:t>
      </w:r>
    </w:p>
    <w:p w:rsidR="004F425F" w:rsidRDefault="004F425F" w:rsidP="004F425F">
      <w:pPr>
        <w:pStyle w:val="ConsPlusNormal"/>
        <w:ind w:firstLine="709"/>
        <w:jc w:val="both"/>
      </w:pPr>
      <w:r>
        <w:t xml:space="preserve">В Астраханской и Саратовской областях законами о бюджетах предусмотрены незначительные объемы соответствующих расходов, но фактически (по пояснениям </w:t>
      </w:r>
      <w:proofErr w:type="gramStart"/>
      <w:r>
        <w:t xml:space="preserve">специалистов) </w:t>
      </w:r>
      <w:proofErr w:type="gramEnd"/>
      <w:r>
        <w:t>расходы не осуществлялись в связи с отсутствием выпадающих доходов у перевозчиков. В Астраханской области перевозчиками выступают индивидуальные предприниматели, в Саратовской области – АО «</w:t>
      </w:r>
      <w:proofErr w:type="spellStart"/>
      <w:r>
        <w:t>Межгородтранс</w:t>
      </w:r>
      <w:proofErr w:type="spellEnd"/>
      <w:r>
        <w:t>».</w:t>
      </w:r>
    </w:p>
    <w:p w:rsidR="004F425F" w:rsidRPr="00FB2BE0" w:rsidRDefault="004F425F" w:rsidP="004F425F">
      <w:pPr>
        <w:pStyle w:val="ConsPlusNormal"/>
        <w:ind w:firstLine="709"/>
        <w:jc w:val="both"/>
      </w:pPr>
      <w:r>
        <w:t xml:space="preserve">В Ростовской области при </w:t>
      </w:r>
      <w:r w:rsidRPr="00FB2BE0">
        <w:t xml:space="preserve">наличии 554 маршрутов по </w:t>
      </w:r>
      <w:r w:rsidR="00FB2BE0" w:rsidRPr="00FB2BE0">
        <w:t>РТ</w:t>
      </w:r>
      <w:r w:rsidRPr="00FB2BE0">
        <w:t xml:space="preserve"> расходы в 2018 году и первом полугодии 2019 года отсутствовали</w:t>
      </w:r>
      <w:r w:rsidR="00FB2BE0" w:rsidRPr="00FB2BE0">
        <w:t>, так как</w:t>
      </w:r>
      <w:r w:rsidRPr="00FB2BE0">
        <w:t xml:space="preserve"> возможность субсидирования выпадающих доходов, возникающих в результате регулярных перевозок по </w:t>
      </w:r>
      <w:r w:rsidR="00FB2BE0" w:rsidRPr="00FB2BE0">
        <w:t>РТ</w:t>
      </w:r>
      <w:r w:rsidR="009507DB">
        <w:t>,</w:t>
      </w:r>
      <w:r w:rsidRPr="00FB2BE0">
        <w:t xml:space="preserve"> не предусмотрена.</w:t>
      </w:r>
    </w:p>
    <w:p w:rsidR="0065462F" w:rsidRPr="00DB5BB0" w:rsidRDefault="00C51891" w:rsidP="002B6CA0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proofErr w:type="gramStart"/>
      <w:r>
        <w:rPr>
          <w:rFonts w:eastAsiaTheme="minorHAnsi"/>
          <w:sz w:val="24"/>
        </w:rPr>
        <w:t>В Волгоградской области д</w:t>
      </w:r>
      <w:r w:rsidR="004B327C" w:rsidRPr="00DB5BB0">
        <w:rPr>
          <w:rFonts w:eastAsiaTheme="minorHAnsi"/>
          <w:sz w:val="24"/>
        </w:rPr>
        <w:t>о 2018 года финансовое обеспечение межмуниципальных автомобильных перевозок по РТ</w:t>
      </w:r>
      <w:r w:rsidR="002B6CA0">
        <w:rPr>
          <w:rFonts w:eastAsiaTheme="minorHAnsi"/>
          <w:sz w:val="24"/>
        </w:rPr>
        <w:t xml:space="preserve"> </w:t>
      </w:r>
      <w:r w:rsidR="0065462F" w:rsidRPr="00DB5BB0">
        <w:rPr>
          <w:rFonts w:eastAsiaTheme="minorHAnsi"/>
          <w:sz w:val="24"/>
        </w:rPr>
        <w:t xml:space="preserve">в полном объёме </w:t>
      </w:r>
      <w:r w:rsidR="004B327C" w:rsidRPr="00DB5BB0">
        <w:rPr>
          <w:rFonts w:eastAsiaTheme="minorHAnsi"/>
          <w:sz w:val="24"/>
        </w:rPr>
        <w:t xml:space="preserve">осуществлялось путём представления перевозчикам субсидий </w:t>
      </w:r>
      <w:r w:rsidR="009507DB">
        <w:rPr>
          <w:rFonts w:eastAsiaTheme="minorHAnsi"/>
          <w:sz w:val="24"/>
        </w:rPr>
        <w:t xml:space="preserve">по </w:t>
      </w:r>
      <w:r w:rsidR="004B327C" w:rsidRPr="00DB5BB0">
        <w:rPr>
          <w:rFonts w:eastAsiaTheme="minorHAnsi"/>
          <w:sz w:val="24"/>
        </w:rPr>
        <w:t>РТ, принцип определения объёма которых базируется на определении разницы между доходом, который мог получить перевозчик, предоставляя услуги по экономически обоснованным тарифам</w:t>
      </w:r>
      <w:r w:rsidR="0065462F" w:rsidRPr="00DB5BB0">
        <w:rPr>
          <w:rFonts w:eastAsiaTheme="minorHAnsi"/>
          <w:sz w:val="24"/>
        </w:rPr>
        <w:t xml:space="preserve"> (далее – ЭОТ), и доходами, которые он получил, осуществляя перевозки по </w:t>
      </w:r>
      <w:hyperlink w:anchor="P39" w:history="1">
        <w:r w:rsidR="0065462F" w:rsidRPr="00DB5BB0">
          <w:rPr>
            <w:rFonts w:eastAsiaTheme="minorHAnsi"/>
            <w:sz w:val="24"/>
          </w:rPr>
          <w:t>тарифам</w:t>
        </w:r>
      </w:hyperlink>
      <w:r w:rsidR="0065462F" w:rsidRPr="00DB5BB0">
        <w:rPr>
          <w:rFonts w:eastAsiaTheme="minorHAnsi"/>
          <w:sz w:val="24"/>
        </w:rPr>
        <w:t>, соответствующи</w:t>
      </w:r>
      <w:r w:rsidR="008F410A">
        <w:rPr>
          <w:rFonts w:eastAsiaTheme="minorHAnsi"/>
          <w:sz w:val="24"/>
        </w:rPr>
        <w:t>м</w:t>
      </w:r>
      <w:r w:rsidR="0065462F" w:rsidRPr="00DB5BB0">
        <w:rPr>
          <w:rFonts w:eastAsiaTheme="minorHAnsi"/>
          <w:sz w:val="24"/>
        </w:rPr>
        <w:t xml:space="preserve"> критериям доступности</w:t>
      </w:r>
      <w:r w:rsidR="009507DB">
        <w:rPr>
          <w:rFonts w:eastAsiaTheme="minorHAnsi"/>
          <w:sz w:val="24"/>
        </w:rPr>
        <w:t xml:space="preserve"> </w:t>
      </w:r>
      <w:r w:rsidR="0065462F" w:rsidRPr="0065462F">
        <w:rPr>
          <w:rFonts w:eastAsiaTheme="minorHAnsi"/>
          <w:sz w:val="24"/>
        </w:rPr>
        <w:t>транспортных услуг</w:t>
      </w:r>
      <w:r w:rsidR="0065462F" w:rsidRPr="00DB5BB0">
        <w:rPr>
          <w:rFonts w:eastAsiaTheme="minorHAnsi"/>
          <w:sz w:val="24"/>
        </w:rPr>
        <w:t xml:space="preserve"> (далее</w:t>
      </w:r>
      <w:proofErr w:type="gramEnd"/>
      <w:r w:rsidR="0065462F" w:rsidRPr="00DB5BB0">
        <w:rPr>
          <w:rFonts w:eastAsiaTheme="minorHAnsi"/>
          <w:sz w:val="24"/>
        </w:rPr>
        <w:t xml:space="preserve"> – </w:t>
      </w:r>
      <w:r w:rsidR="00977546">
        <w:rPr>
          <w:rFonts w:eastAsiaTheme="minorHAnsi"/>
          <w:sz w:val="24"/>
        </w:rPr>
        <w:t xml:space="preserve">тариф </w:t>
      </w:r>
      <w:r w:rsidR="0065462F" w:rsidRPr="00DB5BB0">
        <w:rPr>
          <w:rFonts w:eastAsiaTheme="minorHAnsi"/>
          <w:sz w:val="24"/>
        </w:rPr>
        <w:t>К</w:t>
      </w:r>
      <w:r w:rsidR="00B86E7E">
        <w:rPr>
          <w:rFonts w:eastAsiaTheme="minorHAnsi"/>
          <w:sz w:val="24"/>
        </w:rPr>
        <w:t>РД</w:t>
      </w:r>
      <w:r w:rsidR="0065462F" w:rsidRPr="00DB5BB0">
        <w:rPr>
          <w:rFonts w:eastAsiaTheme="minorHAnsi"/>
          <w:sz w:val="24"/>
        </w:rPr>
        <w:t>).</w:t>
      </w:r>
    </w:p>
    <w:p w:rsidR="0065462F" w:rsidRPr="00DB5BB0" w:rsidRDefault="0065462F" w:rsidP="002B6CA0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DB5BB0">
        <w:rPr>
          <w:rFonts w:eastAsiaTheme="minorHAnsi"/>
          <w:sz w:val="24"/>
        </w:rPr>
        <w:t xml:space="preserve">С 2018 года в связи с изданием Закона № 220-ФЗ происходит переход на обеспечение регулярных перевозок по РТ посредством заключения государственных </w:t>
      </w:r>
      <w:hyperlink r:id="rId13" w:history="1">
        <w:r w:rsidRPr="00DB5BB0">
          <w:rPr>
            <w:rFonts w:eastAsiaTheme="minorHAnsi"/>
            <w:sz w:val="24"/>
          </w:rPr>
          <w:t>контрактов</w:t>
        </w:r>
      </w:hyperlink>
      <w:r w:rsidR="009507DB">
        <w:rPr>
          <w:rFonts w:eastAsiaTheme="minorHAnsi"/>
          <w:sz w:val="24"/>
        </w:rPr>
        <w:t xml:space="preserve"> </w:t>
      </w:r>
      <w:r w:rsidRPr="00DB5BB0">
        <w:rPr>
          <w:rFonts w:eastAsiaTheme="minorHAnsi"/>
          <w:sz w:val="24"/>
        </w:rPr>
        <w:t>на выполнение соответствующих работ</w:t>
      </w:r>
      <w:r w:rsidR="009507DB">
        <w:rPr>
          <w:rFonts w:eastAsiaTheme="minorHAnsi"/>
          <w:sz w:val="24"/>
        </w:rPr>
        <w:t xml:space="preserve"> </w:t>
      </w:r>
      <w:r w:rsidRPr="00DB5BB0">
        <w:rPr>
          <w:rFonts w:eastAsiaTheme="minorHAnsi"/>
          <w:sz w:val="24"/>
        </w:rPr>
        <w:t xml:space="preserve">в </w:t>
      </w:r>
      <w:hyperlink r:id="rId14" w:history="1">
        <w:r w:rsidRPr="00DB5BB0">
          <w:rPr>
            <w:rFonts w:eastAsiaTheme="minorHAnsi"/>
            <w:sz w:val="24"/>
          </w:rPr>
          <w:t>порядке</w:t>
        </w:r>
      </w:hyperlink>
      <w:r w:rsidRPr="00DB5BB0">
        <w:rPr>
          <w:rFonts w:eastAsiaTheme="minorHAnsi"/>
          <w:sz w:val="24"/>
        </w:rPr>
        <w:t xml:space="preserve">, установленном </w:t>
      </w:r>
      <w:hyperlink r:id="rId15" w:history="1">
        <w:r w:rsidRPr="00DB5BB0">
          <w:rPr>
            <w:rFonts w:eastAsiaTheme="minorHAnsi"/>
            <w:sz w:val="24"/>
          </w:rPr>
          <w:t>законодательством</w:t>
        </w:r>
      </w:hyperlink>
      <w:r w:rsidR="009507DB">
        <w:rPr>
          <w:rFonts w:eastAsiaTheme="minorHAnsi"/>
          <w:sz w:val="24"/>
        </w:rPr>
        <w:t xml:space="preserve"> </w:t>
      </w:r>
      <w:r w:rsidRPr="00DB5BB0">
        <w:rPr>
          <w:rFonts w:eastAsiaTheme="minorHAnsi"/>
          <w:sz w:val="24"/>
        </w:rPr>
        <w:t>РФ о контрактной системе в сфере закупок товаров, работ, услуг для обеспечения государственных и муниципальных нужд.</w:t>
      </w:r>
      <w:r w:rsidR="00DB5BB0" w:rsidRPr="00DB5BB0">
        <w:rPr>
          <w:rFonts w:eastAsiaTheme="minorHAnsi"/>
          <w:sz w:val="24"/>
        </w:rPr>
        <w:t xml:space="preserve"> Как упоминалось выше</w:t>
      </w:r>
      <w:r w:rsidR="00977546">
        <w:rPr>
          <w:rFonts w:eastAsiaTheme="minorHAnsi"/>
          <w:sz w:val="24"/>
        </w:rPr>
        <w:t>,</w:t>
      </w:r>
      <w:r w:rsidR="00DB5BB0" w:rsidRPr="00DB5BB0">
        <w:rPr>
          <w:rFonts w:eastAsiaTheme="minorHAnsi"/>
          <w:sz w:val="24"/>
        </w:rPr>
        <w:t xml:space="preserve"> вся Волжская </w:t>
      </w:r>
      <w:proofErr w:type="spellStart"/>
      <w:r w:rsidR="00DB5BB0" w:rsidRPr="00DB5BB0">
        <w:rPr>
          <w:rFonts w:eastAsiaTheme="minorHAnsi"/>
          <w:sz w:val="24"/>
        </w:rPr>
        <w:t>подзона</w:t>
      </w:r>
      <w:proofErr w:type="spellEnd"/>
      <w:r w:rsidR="00DB5BB0" w:rsidRPr="00DB5BB0">
        <w:rPr>
          <w:rFonts w:eastAsiaTheme="minorHAnsi"/>
          <w:sz w:val="24"/>
        </w:rPr>
        <w:t xml:space="preserve"> Волгоградской зоны перевозок по РТ (13 маршрутов) с 2018 года финансируется через механизм контрактов по РТ.</w:t>
      </w:r>
    </w:p>
    <w:p w:rsidR="0065462F" w:rsidRPr="00DB5BB0" w:rsidRDefault="00DB5BB0" w:rsidP="002B6CA0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DB5BB0">
        <w:rPr>
          <w:rFonts w:eastAsiaTheme="minorHAnsi"/>
          <w:sz w:val="24"/>
        </w:rPr>
        <w:t xml:space="preserve">По пояснениям </w:t>
      </w:r>
      <w:proofErr w:type="spellStart"/>
      <w:r w:rsidRPr="00DB5BB0">
        <w:rPr>
          <w:rFonts w:eastAsiaTheme="minorHAnsi"/>
          <w:sz w:val="24"/>
        </w:rPr>
        <w:t>Облкомдортранса</w:t>
      </w:r>
      <w:proofErr w:type="spellEnd"/>
      <w:r w:rsidRPr="00DB5BB0">
        <w:rPr>
          <w:rFonts w:eastAsiaTheme="minorHAnsi"/>
          <w:sz w:val="24"/>
        </w:rPr>
        <w:t xml:space="preserve"> механизм предоставления субсидий</w:t>
      </w:r>
      <w:r w:rsidR="009507DB">
        <w:rPr>
          <w:rFonts w:eastAsiaTheme="minorHAnsi"/>
          <w:sz w:val="24"/>
        </w:rPr>
        <w:t xml:space="preserve"> по</w:t>
      </w:r>
      <w:r w:rsidRPr="00DB5BB0">
        <w:rPr>
          <w:rFonts w:eastAsiaTheme="minorHAnsi"/>
          <w:sz w:val="24"/>
        </w:rPr>
        <w:t xml:space="preserve"> РТ по ост</w:t>
      </w:r>
      <w:r w:rsidR="00977546">
        <w:rPr>
          <w:rFonts w:eastAsiaTheme="minorHAnsi"/>
          <w:sz w:val="24"/>
        </w:rPr>
        <w:t>альной части маршрутов сохранит</w:t>
      </w:r>
      <w:r w:rsidRPr="00DB5BB0">
        <w:rPr>
          <w:rFonts w:eastAsiaTheme="minorHAnsi"/>
          <w:sz w:val="24"/>
        </w:rPr>
        <w:t>ся до середины 2020 года – до окончания действия договоров транспортного обслуживания, заключённых в 2015 году до вступления в силу Закона № 220-ФЗ.</w:t>
      </w:r>
    </w:p>
    <w:p w:rsidR="009507DB" w:rsidRDefault="00D41A1A" w:rsidP="008F410A">
      <w:pPr>
        <w:autoSpaceDE w:val="0"/>
        <w:autoSpaceDN w:val="0"/>
        <w:adjustRightInd w:val="0"/>
        <w:spacing w:line="240" w:lineRule="auto"/>
        <w:outlineLvl w:val="0"/>
        <w:rPr>
          <w:rFonts w:eastAsiaTheme="minorHAnsi"/>
          <w:b/>
          <w:bCs/>
          <w:sz w:val="18"/>
          <w:szCs w:val="18"/>
        </w:rPr>
      </w:pPr>
      <w:r>
        <w:rPr>
          <w:rFonts w:eastAsiaTheme="minorHAnsi"/>
          <w:sz w:val="24"/>
        </w:rPr>
        <w:lastRenderedPageBreak/>
        <w:t xml:space="preserve">ЭОТ </w:t>
      </w:r>
      <w:r w:rsidRPr="0065462F">
        <w:rPr>
          <w:rFonts w:eastAsiaTheme="minorHAnsi"/>
          <w:sz w:val="24"/>
        </w:rPr>
        <w:t>на межмуниципальных маршрутах</w:t>
      </w:r>
      <w:r w:rsidR="00FB2BE0">
        <w:rPr>
          <w:rFonts w:eastAsiaTheme="minorHAnsi"/>
          <w:sz w:val="24"/>
        </w:rPr>
        <w:t xml:space="preserve"> </w:t>
      </w:r>
      <w:r w:rsidRPr="0065462F">
        <w:rPr>
          <w:rFonts w:eastAsiaTheme="minorHAnsi"/>
          <w:sz w:val="24"/>
        </w:rPr>
        <w:t>в целях определения нормативов субсидирования</w:t>
      </w:r>
      <w:r>
        <w:rPr>
          <w:rFonts w:eastAsiaTheme="minorHAnsi"/>
          <w:sz w:val="24"/>
        </w:rPr>
        <w:t xml:space="preserve"> установлены приказом КТР Волгоградской </w:t>
      </w:r>
      <w:r w:rsidRPr="009507DB">
        <w:rPr>
          <w:rFonts w:eastAsiaTheme="minorHAnsi"/>
          <w:sz w:val="24"/>
        </w:rPr>
        <w:t>области</w:t>
      </w:r>
      <w:r w:rsidR="009507DB" w:rsidRPr="009507DB">
        <w:rPr>
          <w:rFonts w:eastAsiaTheme="minorHAnsi"/>
          <w:sz w:val="24"/>
        </w:rPr>
        <w:t xml:space="preserve"> </w:t>
      </w:r>
      <w:r w:rsidRPr="009507DB">
        <w:rPr>
          <w:rFonts w:eastAsiaTheme="minorHAnsi"/>
          <w:sz w:val="24"/>
        </w:rPr>
        <w:t>от 31.03.2015 № 10/2</w:t>
      </w:r>
      <w:r w:rsidR="009507DB" w:rsidRPr="009507DB">
        <w:rPr>
          <w:rFonts w:eastAsiaTheme="minorHAnsi"/>
          <w:sz w:val="24"/>
        </w:rPr>
        <w:t xml:space="preserve"> </w:t>
      </w:r>
      <w:r w:rsidR="00331FE9" w:rsidRPr="009507DB">
        <w:rPr>
          <w:rFonts w:eastAsiaTheme="minorHAnsi"/>
          <w:sz w:val="24"/>
        </w:rPr>
        <w:t>на основании показателей 2014 года</w:t>
      </w:r>
      <w:r w:rsidR="009507DB" w:rsidRPr="009507DB">
        <w:rPr>
          <w:rFonts w:eastAsiaTheme="minorHAnsi"/>
          <w:sz w:val="24"/>
        </w:rPr>
        <w:t xml:space="preserve"> с использованием </w:t>
      </w:r>
      <w:r w:rsidR="009507DB" w:rsidRPr="009507DB">
        <w:rPr>
          <w:rFonts w:eastAsiaTheme="minorHAnsi"/>
          <w:sz w:val="24"/>
          <w:szCs w:val="22"/>
        </w:rPr>
        <w:t>Методических рекомендаций</w:t>
      </w:r>
      <w:r w:rsidR="008F410A">
        <w:rPr>
          <w:rFonts w:eastAsiaTheme="minorHAnsi"/>
          <w:sz w:val="24"/>
          <w:szCs w:val="22"/>
        </w:rPr>
        <w:t>…,</w:t>
      </w:r>
      <w:r w:rsidR="009507DB" w:rsidRPr="009507DB">
        <w:rPr>
          <w:rFonts w:eastAsiaTheme="minorHAnsi"/>
          <w:sz w:val="24"/>
          <w:szCs w:val="22"/>
        </w:rPr>
        <w:t xml:space="preserve"> введённых в действие распоряжением Минтранса России от 18.04.2013№ НА-37-р.</w:t>
      </w:r>
    </w:p>
    <w:p w:rsidR="00331FE9" w:rsidRPr="00331FE9" w:rsidRDefault="009507DB" w:rsidP="008F410A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>ЭОТ</w:t>
      </w:r>
      <w:r w:rsidR="00331FE9" w:rsidRPr="00331FE9">
        <w:rPr>
          <w:rFonts w:eastAsiaTheme="minorHAnsi"/>
          <w:sz w:val="24"/>
        </w:rPr>
        <w:t xml:space="preserve"> на протяжении четырех лет не пересматривались. Объективный рост по статьям затрат перевозчиков не учитывается</w:t>
      </w:r>
      <w:r w:rsidR="00670F4A">
        <w:rPr>
          <w:rFonts w:eastAsiaTheme="minorHAnsi"/>
          <w:sz w:val="24"/>
        </w:rPr>
        <w:t xml:space="preserve"> (</w:t>
      </w:r>
      <w:proofErr w:type="gramStart"/>
      <w:r w:rsidR="00670F4A">
        <w:rPr>
          <w:rFonts w:eastAsiaTheme="minorHAnsi"/>
          <w:sz w:val="24"/>
        </w:rPr>
        <w:t>см</w:t>
      </w:r>
      <w:proofErr w:type="gramEnd"/>
      <w:r w:rsidR="00670F4A">
        <w:rPr>
          <w:rFonts w:eastAsiaTheme="minorHAnsi"/>
          <w:sz w:val="24"/>
        </w:rPr>
        <w:t>. раздел «Экономическое состояние перевозчиков»)</w:t>
      </w:r>
      <w:r w:rsidR="00331FE9" w:rsidRPr="00331FE9">
        <w:rPr>
          <w:rFonts w:eastAsiaTheme="minorHAnsi"/>
          <w:sz w:val="24"/>
        </w:rPr>
        <w:t xml:space="preserve">. </w:t>
      </w:r>
    </w:p>
    <w:p w:rsidR="008F06C6" w:rsidRDefault="00BA56E7" w:rsidP="008F410A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 w:val="24"/>
          <w:lang w:eastAsia="ru-RU"/>
        </w:rPr>
      </w:pPr>
      <w:r w:rsidRPr="00BA56E7">
        <w:rPr>
          <w:rFonts w:eastAsiaTheme="minorHAnsi"/>
          <w:sz w:val="24"/>
        </w:rPr>
        <w:t xml:space="preserve">В конце 2015 года </w:t>
      </w:r>
      <w:proofErr w:type="spellStart"/>
      <w:r w:rsidRPr="00BA56E7">
        <w:rPr>
          <w:rFonts w:eastAsiaTheme="minorHAnsi"/>
          <w:sz w:val="24"/>
        </w:rPr>
        <w:t>Облкомдортранс</w:t>
      </w:r>
      <w:proofErr w:type="spellEnd"/>
      <w:r w:rsidR="009507DB">
        <w:rPr>
          <w:rFonts w:eastAsiaTheme="minorHAnsi"/>
          <w:sz w:val="24"/>
        </w:rPr>
        <w:t xml:space="preserve"> </w:t>
      </w:r>
      <w:r>
        <w:rPr>
          <w:rFonts w:eastAsiaTheme="minorHAnsi"/>
          <w:sz w:val="24"/>
        </w:rPr>
        <w:t>инициировал пересмотр</w:t>
      </w:r>
      <w:r w:rsidRPr="00BA56E7">
        <w:rPr>
          <w:rFonts w:eastAsiaTheme="minorHAnsi"/>
          <w:sz w:val="24"/>
        </w:rPr>
        <w:t xml:space="preserve"> ЭОТ на 2016 год.</w:t>
      </w:r>
      <w:r>
        <w:rPr>
          <w:rFonts w:eastAsiaTheme="minorHAnsi"/>
          <w:sz w:val="24"/>
        </w:rPr>
        <w:t xml:space="preserve"> Но в результате продолжительной переписки и обсуждений </w:t>
      </w:r>
      <w:r w:rsidR="008F06C6">
        <w:rPr>
          <w:rFonts w:eastAsiaTheme="minorHAnsi"/>
          <w:sz w:val="24"/>
        </w:rPr>
        <w:t xml:space="preserve">в сентябре 2016 года </w:t>
      </w:r>
      <w:r>
        <w:rPr>
          <w:rFonts w:eastAsiaTheme="minorHAnsi"/>
          <w:sz w:val="24"/>
        </w:rPr>
        <w:t xml:space="preserve">заявление </w:t>
      </w:r>
      <w:r w:rsidR="008F06C6">
        <w:rPr>
          <w:rFonts w:eastAsiaTheme="minorHAnsi"/>
          <w:sz w:val="24"/>
        </w:rPr>
        <w:t>было отозвано.</w:t>
      </w:r>
      <w:r w:rsidR="009507DB">
        <w:rPr>
          <w:rFonts w:eastAsiaTheme="minorHAnsi"/>
          <w:sz w:val="24"/>
        </w:rPr>
        <w:t xml:space="preserve"> </w:t>
      </w:r>
      <w:proofErr w:type="gramStart"/>
      <w:r w:rsidR="008F06C6" w:rsidRPr="00BA56E7">
        <w:rPr>
          <w:rFonts w:eastAsia="Times New Roman"/>
          <w:sz w:val="24"/>
          <w:lang w:eastAsia="ru-RU"/>
        </w:rPr>
        <w:t xml:space="preserve">Свое решение </w:t>
      </w:r>
      <w:proofErr w:type="spellStart"/>
      <w:r w:rsidR="008F06C6" w:rsidRPr="00BA56E7">
        <w:rPr>
          <w:rFonts w:eastAsia="Times New Roman"/>
          <w:sz w:val="24"/>
          <w:lang w:eastAsia="ru-RU"/>
        </w:rPr>
        <w:t>Облкомдортранс</w:t>
      </w:r>
      <w:proofErr w:type="spellEnd"/>
      <w:r w:rsidR="008F06C6" w:rsidRPr="00BA56E7">
        <w:rPr>
          <w:rFonts w:eastAsia="Times New Roman"/>
          <w:sz w:val="24"/>
          <w:lang w:eastAsia="ru-RU"/>
        </w:rPr>
        <w:t xml:space="preserve"> аргументировал тем, что </w:t>
      </w:r>
      <w:r w:rsidR="008F06C6">
        <w:rPr>
          <w:rFonts w:eastAsia="Times New Roman"/>
          <w:sz w:val="24"/>
          <w:lang w:eastAsia="ru-RU"/>
        </w:rPr>
        <w:t xml:space="preserve">КТР Волгоградской области при расчёте </w:t>
      </w:r>
      <w:r w:rsidR="008F06C6" w:rsidRPr="00BA56E7">
        <w:rPr>
          <w:rFonts w:eastAsia="Times New Roman"/>
          <w:sz w:val="24"/>
          <w:lang w:eastAsia="ru-RU"/>
        </w:rPr>
        <w:t xml:space="preserve">ЭОТ </w:t>
      </w:r>
      <w:r w:rsidR="008F06C6">
        <w:rPr>
          <w:rFonts w:eastAsia="Times New Roman"/>
          <w:sz w:val="24"/>
          <w:lang w:eastAsia="ru-RU"/>
        </w:rPr>
        <w:t xml:space="preserve">пользуется </w:t>
      </w:r>
      <w:r w:rsidR="008F06C6" w:rsidRPr="00BA56E7">
        <w:rPr>
          <w:rFonts w:eastAsia="Times New Roman"/>
          <w:sz w:val="24"/>
          <w:lang w:eastAsia="ru-RU"/>
        </w:rPr>
        <w:t xml:space="preserve">методом от фактически достигнутых показателей, в результате чего </w:t>
      </w:r>
      <w:r w:rsidR="008F06C6">
        <w:rPr>
          <w:rFonts w:eastAsia="Times New Roman"/>
          <w:sz w:val="24"/>
          <w:lang w:eastAsia="ru-RU"/>
        </w:rPr>
        <w:t>новые ЭОТ меньше действующих, что приведёт к</w:t>
      </w:r>
      <w:r w:rsidR="008F06C6" w:rsidRPr="00BA56E7">
        <w:rPr>
          <w:rFonts w:eastAsia="Times New Roman"/>
          <w:sz w:val="24"/>
          <w:lang w:eastAsia="ru-RU"/>
        </w:rPr>
        <w:t xml:space="preserve"> ухудшен</w:t>
      </w:r>
      <w:r w:rsidR="008F06C6">
        <w:rPr>
          <w:rFonts w:eastAsia="Times New Roman"/>
          <w:sz w:val="24"/>
          <w:lang w:eastAsia="ru-RU"/>
        </w:rPr>
        <w:t>ию</w:t>
      </w:r>
      <w:r w:rsidR="009507DB">
        <w:rPr>
          <w:rFonts w:eastAsia="Times New Roman"/>
          <w:sz w:val="24"/>
          <w:lang w:eastAsia="ru-RU"/>
        </w:rPr>
        <w:t xml:space="preserve"> </w:t>
      </w:r>
      <w:r w:rsidR="008F06C6">
        <w:rPr>
          <w:rFonts w:eastAsia="Times New Roman"/>
          <w:sz w:val="24"/>
          <w:lang w:eastAsia="ru-RU"/>
        </w:rPr>
        <w:t>экономического</w:t>
      </w:r>
      <w:r w:rsidR="008F06C6" w:rsidRPr="00BA56E7">
        <w:rPr>
          <w:rFonts w:eastAsia="Times New Roman"/>
          <w:sz w:val="24"/>
          <w:lang w:eastAsia="ru-RU"/>
        </w:rPr>
        <w:t xml:space="preserve"> состояния </w:t>
      </w:r>
      <w:r w:rsidR="008F06C6">
        <w:rPr>
          <w:rFonts w:eastAsia="Times New Roman"/>
          <w:sz w:val="24"/>
          <w:lang w:eastAsia="ru-RU"/>
        </w:rPr>
        <w:t>перевозчиков</w:t>
      </w:r>
      <w:r w:rsidR="008F06C6" w:rsidRPr="00BA56E7">
        <w:rPr>
          <w:rFonts w:eastAsia="Times New Roman"/>
          <w:sz w:val="24"/>
          <w:lang w:eastAsia="ru-RU"/>
        </w:rPr>
        <w:t>.</w:t>
      </w:r>
      <w:proofErr w:type="gramEnd"/>
      <w:r w:rsidR="009507DB">
        <w:rPr>
          <w:rFonts w:eastAsia="Times New Roman"/>
          <w:sz w:val="24"/>
          <w:lang w:eastAsia="ru-RU"/>
        </w:rPr>
        <w:t xml:space="preserve"> </w:t>
      </w:r>
      <w:r w:rsidR="007F0CCC">
        <w:rPr>
          <w:rFonts w:eastAsia="Times New Roman"/>
          <w:sz w:val="24"/>
          <w:lang w:eastAsia="ru-RU"/>
        </w:rPr>
        <w:t>КТР Волгоградской области мотивирует свой подход к расчёту ЭОТ необходимостью минимизации расходов областного бюджета.</w:t>
      </w:r>
    </w:p>
    <w:p w:rsidR="00981318" w:rsidRPr="00BA56E7" w:rsidRDefault="00981318" w:rsidP="002B6CA0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 w:val="24"/>
          <w:lang w:eastAsia="ru-RU"/>
        </w:rPr>
      </w:pPr>
      <w:proofErr w:type="gramStart"/>
      <w:r>
        <w:rPr>
          <w:rFonts w:eastAsia="Times New Roman"/>
          <w:sz w:val="24"/>
          <w:lang w:eastAsia="ru-RU"/>
        </w:rPr>
        <w:t>В настоящее время в связи с переходом</w:t>
      </w:r>
      <w:r w:rsidR="009507DB">
        <w:rPr>
          <w:rFonts w:eastAsia="Times New Roman"/>
          <w:sz w:val="24"/>
          <w:lang w:eastAsia="ru-RU"/>
        </w:rPr>
        <w:t xml:space="preserve"> </w:t>
      </w:r>
      <w:r w:rsidR="00216B9E" w:rsidRPr="00DB5BB0">
        <w:rPr>
          <w:rFonts w:eastAsiaTheme="minorHAnsi"/>
          <w:sz w:val="24"/>
        </w:rPr>
        <w:t>на обеспечение регулярных перевозок по РТ</w:t>
      </w:r>
      <w:proofErr w:type="gramEnd"/>
      <w:r w:rsidR="00216B9E" w:rsidRPr="00DB5BB0">
        <w:rPr>
          <w:rFonts w:eastAsiaTheme="minorHAnsi"/>
          <w:sz w:val="24"/>
        </w:rPr>
        <w:t xml:space="preserve"> посредством заключения </w:t>
      </w:r>
      <w:r w:rsidR="00216B9E">
        <w:rPr>
          <w:rFonts w:eastAsiaTheme="minorHAnsi"/>
          <w:sz w:val="24"/>
        </w:rPr>
        <w:t>контрактов по РТ</w:t>
      </w:r>
      <w:r w:rsidR="009507DB">
        <w:rPr>
          <w:rFonts w:eastAsiaTheme="minorHAnsi"/>
          <w:sz w:val="24"/>
        </w:rPr>
        <w:t xml:space="preserve"> </w:t>
      </w:r>
      <w:r w:rsidR="00216B9E">
        <w:rPr>
          <w:sz w:val="24"/>
        </w:rPr>
        <w:t>вопрос установления ЭОТ в перспективе потеря</w:t>
      </w:r>
      <w:r w:rsidR="00FF6956">
        <w:rPr>
          <w:sz w:val="24"/>
        </w:rPr>
        <w:t>ет</w:t>
      </w:r>
      <w:r w:rsidR="00216B9E">
        <w:rPr>
          <w:sz w:val="24"/>
        </w:rPr>
        <w:t xml:space="preserve"> свою актуальность.</w:t>
      </w:r>
    </w:p>
    <w:p w:rsidR="00851875" w:rsidRPr="00851875" w:rsidRDefault="00B86E7E" w:rsidP="002B6CA0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851875">
        <w:t>Тарифы КРД призваны решить две задачи: обеспечить доступность транспортных услуг автомобильного транспорта для населения и служить одни</w:t>
      </w:r>
      <w:r w:rsidR="00851875" w:rsidRPr="00851875">
        <w:t>м</w:t>
      </w:r>
      <w:r w:rsidRPr="00851875">
        <w:t xml:space="preserve"> из </w:t>
      </w:r>
      <w:r w:rsidR="00851875" w:rsidRPr="00851875">
        <w:t xml:space="preserve">показателей для </w:t>
      </w:r>
      <w:r w:rsidRPr="00851875">
        <w:t xml:space="preserve">определения объёма </w:t>
      </w:r>
      <w:r w:rsidR="00851875" w:rsidRPr="00851875">
        <w:t>субсидирования перевозчиков. Тарифы КРД также установлены в 2015 году приказом КТР Волгоградской области от 31.03.2015 № 10/1 в размере 1,66</w:t>
      </w:r>
      <w:r w:rsidR="003373EA">
        <w:t xml:space="preserve"> руб.</w:t>
      </w:r>
      <w:r w:rsidR="009507DB">
        <w:t xml:space="preserve"> </w:t>
      </w:r>
      <w:r w:rsidR="00851875" w:rsidRPr="00851875">
        <w:rPr>
          <w:rFonts w:eastAsia="Times New Roman"/>
          <w:lang w:eastAsia="ru-RU"/>
        </w:rPr>
        <w:t xml:space="preserve">за 1 </w:t>
      </w:r>
      <w:proofErr w:type="spellStart"/>
      <w:r w:rsidR="00851875" w:rsidRPr="00851875">
        <w:rPr>
          <w:rFonts w:eastAsia="Times New Roman"/>
          <w:lang w:eastAsia="ru-RU"/>
        </w:rPr>
        <w:t>пасс</w:t>
      </w:r>
      <w:proofErr w:type="gramStart"/>
      <w:r w:rsidR="00851875" w:rsidRPr="00851875">
        <w:rPr>
          <w:rFonts w:eastAsia="Times New Roman"/>
          <w:lang w:eastAsia="ru-RU"/>
        </w:rPr>
        <w:t>.-</w:t>
      </w:r>
      <w:proofErr w:type="gramEnd"/>
      <w:r w:rsidR="00851875" w:rsidRPr="00851875">
        <w:rPr>
          <w:rFonts w:eastAsia="Times New Roman"/>
          <w:lang w:eastAsia="ru-RU"/>
        </w:rPr>
        <w:t>км</w:t>
      </w:r>
      <w:proofErr w:type="spellEnd"/>
      <w:r w:rsidR="00851875" w:rsidRPr="00851875">
        <w:rPr>
          <w:rFonts w:eastAsia="Times New Roman"/>
          <w:lang w:eastAsia="ru-RU"/>
        </w:rPr>
        <w:t xml:space="preserve"> в пригородном сообщении и 1,72</w:t>
      </w:r>
      <w:r w:rsidR="003373EA">
        <w:rPr>
          <w:rFonts w:eastAsia="Times New Roman"/>
          <w:lang w:eastAsia="ru-RU"/>
        </w:rPr>
        <w:t xml:space="preserve"> руб.</w:t>
      </w:r>
      <w:r w:rsidR="00851875" w:rsidRPr="00851875">
        <w:rPr>
          <w:rFonts w:eastAsia="Times New Roman"/>
          <w:lang w:eastAsia="ru-RU"/>
        </w:rPr>
        <w:t xml:space="preserve"> за 1 </w:t>
      </w:r>
      <w:proofErr w:type="spellStart"/>
      <w:r w:rsidR="00851875" w:rsidRPr="00851875">
        <w:rPr>
          <w:rFonts w:eastAsia="Times New Roman"/>
          <w:lang w:eastAsia="ru-RU"/>
        </w:rPr>
        <w:t>пасс.-км</w:t>
      </w:r>
      <w:proofErr w:type="spellEnd"/>
      <w:r w:rsidR="00851875" w:rsidRPr="00851875">
        <w:rPr>
          <w:rFonts w:eastAsia="Times New Roman"/>
          <w:lang w:eastAsia="ru-RU"/>
        </w:rPr>
        <w:t xml:space="preserve"> во внутриобластном междугороднем. С 01.01.2019 термин «тариф» заменён на термин «предельный тариф», что позволяет перевозчикам уменьшать фактически используемые тарифы при оказании услуг.</w:t>
      </w:r>
    </w:p>
    <w:p w:rsidR="0065462F" w:rsidRPr="002B6CA0" w:rsidRDefault="00A01DFD" w:rsidP="002B6CA0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proofErr w:type="gramStart"/>
      <w:r>
        <w:rPr>
          <w:rFonts w:eastAsiaTheme="minorHAnsi"/>
          <w:sz w:val="24"/>
        </w:rPr>
        <w:t xml:space="preserve">В основу расчёта тарифов КРД заложены показатели </w:t>
      </w:r>
      <w:r w:rsidRPr="00D76F69">
        <w:rPr>
          <w:sz w:val="24"/>
        </w:rPr>
        <w:t>месячн</w:t>
      </w:r>
      <w:r>
        <w:rPr>
          <w:sz w:val="24"/>
        </w:rPr>
        <w:t>ого</w:t>
      </w:r>
      <w:r w:rsidRPr="00D76F69">
        <w:rPr>
          <w:sz w:val="24"/>
        </w:rPr>
        <w:t xml:space="preserve"> среднедушев</w:t>
      </w:r>
      <w:r>
        <w:rPr>
          <w:sz w:val="24"/>
        </w:rPr>
        <w:t>ого</w:t>
      </w:r>
      <w:r w:rsidRPr="00D76F69">
        <w:rPr>
          <w:sz w:val="24"/>
        </w:rPr>
        <w:t xml:space="preserve"> доход</w:t>
      </w:r>
      <w:r>
        <w:rPr>
          <w:sz w:val="24"/>
        </w:rPr>
        <w:t>а</w:t>
      </w:r>
      <w:r w:rsidRPr="00D76F69">
        <w:rPr>
          <w:sz w:val="24"/>
        </w:rPr>
        <w:t xml:space="preserve"> населения</w:t>
      </w:r>
      <w:r>
        <w:rPr>
          <w:sz w:val="24"/>
        </w:rPr>
        <w:t xml:space="preserve"> (на 2015 год - 20 335 руб.), критерий доступности транспортных услуг (доля затрат населения на транспорт в объёме среднедушевого дохода) для </w:t>
      </w:r>
      <w:r w:rsidRPr="00851875">
        <w:rPr>
          <w:rFonts w:eastAsia="Times New Roman"/>
          <w:sz w:val="24"/>
          <w:lang w:eastAsia="ru-RU"/>
        </w:rPr>
        <w:t>пригородн</w:t>
      </w:r>
      <w:r>
        <w:rPr>
          <w:rFonts w:eastAsia="Times New Roman"/>
          <w:sz w:val="24"/>
          <w:lang w:eastAsia="ru-RU"/>
        </w:rPr>
        <w:t>ого</w:t>
      </w:r>
      <w:r w:rsidRPr="00851875">
        <w:rPr>
          <w:rFonts w:eastAsia="Times New Roman"/>
          <w:sz w:val="24"/>
          <w:lang w:eastAsia="ru-RU"/>
        </w:rPr>
        <w:t xml:space="preserve"> сообщени</w:t>
      </w:r>
      <w:r>
        <w:rPr>
          <w:rFonts w:eastAsia="Times New Roman"/>
          <w:sz w:val="24"/>
          <w:lang w:eastAsia="ru-RU"/>
        </w:rPr>
        <w:t xml:space="preserve">я 5,5%, для </w:t>
      </w:r>
      <w:r w:rsidRPr="00851875">
        <w:rPr>
          <w:rFonts w:eastAsia="Times New Roman"/>
          <w:sz w:val="24"/>
          <w:lang w:eastAsia="ru-RU"/>
        </w:rPr>
        <w:t>междугородн</w:t>
      </w:r>
      <w:r>
        <w:rPr>
          <w:rFonts w:eastAsia="Times New Roman"/>
          <w:sz w:val="24"/>
          <w:lang w:eastAsia="ru-RU"/>
        </w:rPr>
        <w:t xml:space="preserve">его - 2,5% и показатели нормативно-плановой </w:t>
      </w:r>
      <w:r w:rsidRPr="002B6CA0">
        <w:rPr>
          <w:rFonts w:eastAsia="Times New Roman"/>
          <w:sz w:val="24"/>
          <w:lang w:eastAsia="ru-RU"/>
        </w:rPr>
        <w:t>транспортной активности населения.</w:t>
      </w:r>
      <w:proofErr w:type="gramEnd"/>
    </w:p>
    <w:p w:rsidR="004B327C" w:rsidRPr="002B6CA0" w:rsidRDefault="00865970" w:rsidP="002B6CA0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lang w:eastAsia="ru-RU"/>
        </w:rPr>
      </w:pPr>
      <w:r w:rsidRPr="002B6CA0">
        <w:rPr>
          <w:rFonts w:eastAsia="Times New Roman"/>
          <w:sz w:val="24"/>
          <w:lang w:eastAsia="ru-RU"/>
        </w:rPr>
        <w:t xml:space="preserve">За прошедший период величина тарифов КРД </w:t>
      </w:r>
      <w:r w:rsidR="008F410A">
        <w:rPr>
          <w:rFonts w:eastAsia="Times New Roman"/>
          <w:sz w:val="24"/>
          <w:lang w:eastAsia="ru-RU"/>
        </w:rPr>
        <w:t xml:space="preserve">также  </w:t>
      </w:r>
      <w:r w:rsidRPr="002B6CA0">
        <w:rPr>
          <w:rFonts w:eastAsia="Times New Roman"/>
          <w:sz w:val="24"/>
          <w:lang w:eastAsia="ru-RU"/>
        </w:rPr>
        <w:t>не изменялась.</w:t>
      </w:r>
    </w:p>
    <w:p w:rsidR="00077907" w:rsidRDefault="00865970" w:rsidP="00077907">
      <w:pPr>
        <w:autoSpaceDE w:val="0"/>
        <w:autoSpaceDN w:val="0"/>
        <w:adjustRightInd w:val="0"/>
        <w:spacing w:line="240" w:lineRule="auto"/>
        <w:ind w:firstLine="708"/>
        <w:rPr>
          <w:rFonts w:eastAsiaTheme="minorHAnsi"/>
          <w:sz w:val="24"/>
        </w:rPr>
      </w:pPr>
      <w:r w:rsidRPr="002B6CA0">
        <w:rPr>
          <w:rFonts w:eastAsiaTheme="minorHAnsi"/>
          <w:sz w:val="24"/>
        </w:rPr>
        <w:t xml:space="preserve">Действующий </w:t>
      </w:r>
      <w:hyperlink r:id="rId16" w:history="1">
        <w:r w:rsidRPr="002B6CA0">
          <w:rPr>
            <w:rFonts w:eastAsiaTheme="minorHAnsi"/>
            <w:sz w:val="24"/>
          </w:rPr>
          <w:t>Порядок</w:t>
        </w:r>
      </w:hyperlink>
      <w:r w:rsidRPr="002B6CA0">
        <w:rPr>
          <w:rFonts w:eastAsiaTheme="minorHAnsi"/>
          <w:sz w:val="24"/>
        </w:rPr>
        <w:t xml:space="preserve"> установления регулируемых тарифов</w:t>
      </w:r>
      <w:r w:rsidR="00077907" w:rsidRPr="002B6CA0">
        <w:rPr>
          <w:rFonts w:eastAsiaTheme="minorHAnsi"/>
          <w:sz w:val="24"/>
        </w:rPr>
        <w:t xml:space="preserve"> КРД </w:t>
      </w:r>
      <w:r w:rsidRPr="002B6CA0">
        <w:rPr>
          <w:rFonts w:eastAsiaTheme="minorHAnsi"/>
          <w:sz w:val="24"/>
        </w:rPr>
        <w:t>утверждён приказом КТР Волгоградской</w:t>
      </w:r>
      <w:r>
        <w:rPr>
          <w:rFonts w:eastAsiaTheme="minorHAnsi"/>
          <w:sz w:val="24"/>
        </w:rPr>
        <w:t xml:space="preserve"> области </w:t>
      </w:r>
      <w:r>
        <w:rPr>
          <w:sz w:val="24"/>
        </w:rPr>
        <w:t>от 09.03.2016 № 8/9</w:t>
      </w:r>
      <w:r w:rsidR="00077907">
        <w:rPr>
          <w:sz w:val="24"/>
        </w:rPr>
        <w:t xml:space="preserve"> (далее – Порядок № 8/9)</w:t>
      </w:r>
      <w:r>
        <w:rPr>
          <w:sz w:val="24"/>
        </w:rPr>
        <w:t xml:space="preserve"> и </w:t>
      </w:r>
      <w:r w:rsidR="00077907">
        <w:rPr>
          <w:sz w:val="24"/>
        </w:rPr>
        <w:t xml:space="preserve">закрепляет обязанность инициирования установления тарифов за </w:t>
      </w:r>
      <w:proofErr w:type="spellStart"/>
      <w:r w:rsidR="00077907">
        <w:rPr>
          <w:sz w:val="24"/>
        </w:rPr>
        <w:t>Облкодортрансом</w:t>
      </w:r>
      <w:proofErr w:type="spellEnd"/>
      <w:r w:rsidR="00077907">
        <w:rPr>
          <w:sz w:val="24"/>
        </w:rPr>
        <w:t xml:space="preserve">, который </w:t>
      </w:r>
      <w:r w:rsidR="008F410A">
        <w:rPr>
          <w:sz w:val="24"/>
        </w:rPr>
        <w:t>должен</w:t>
      </w:r>
      <w:r w:rsidR="00077907">
        <w:rPr>
          <w:sz w:val="24"/>
        </w:rPr>
        <w:t xml:space="preserve"> </w:t>
      </w:r>
      <w:r w:rsidR="00077907">
        <w:rPr>
          <w:rFonts w:eastAsiaTheme="minorHAnsi"/>
          <w:sz w:val="24"/>
        </w:rPr>
        <w:t>не позднее 01 октября года, предшествующего расчетному периоду регулирования, представить</w:t>
      </w:r>
      <w:r w:rsidR="002B6CA0">
        <w:rPr>
          <w:rFonts w:eastAsiaTheme="minorHAnsi"/>
          <w:sz w:val="24"/>
        </w:rPr>
        <w:t xml:space="preserve"> </w:t>
      </w:r>
      <w:r w:rsidR="00077907">
        <w:rPr>
          <w:rFonts w:eastAsiaTheme="minorHAnsi"/>
          <w:sz w:val="24"/>
        </w:rPr>
        <w:t>заявление об установлении тарифов КРД и обосновывающие материалы.</w:t>
      </w:r>
    </w:p>
    <w:p w:rsidR="00077907" w:rsidRDefault="00077907" w:rsidP="00077907">
      <w:pPr>
        <w:autoSpaceDE w:val="0"/>
        <w:autoSpaceDN w:val="0"/>
        <w:adjustRightInd w:val="0"/>
        <w:spacing w:line="240" w:lineRule="auto"/>
        <w:ind w:firstLine="708"/>
        <w:rPr>
          <w:sz w:val="24"/>
        </w:rPr>
      </w:pPr>
      <w:r w:rsidRPr="00A3177D">
        <w:rPr>
          <w:sz w:val="24"/>
        </w:rPr>
        <w:t xml:space="preserve">В нарушение п. 2.1 Порядка № 8/9 </w:t>
      </w:r>
      <w:proofErr w:type="spellStart"/>
      <w:r w:rsidRPr="00A3177D">
        <w:rPr>
          <w:sz w:val="24"/>
        </w:rPr>
        <w:t>Облкомдортранс</w:t>
      </w:r>
      <w:proofErr w:type="spellEnd"/>
      <w:r w:rsidRPr="00A3177D">
        <w:rPr>
          <w:sz w:val="24"/>
        </w:rPr>
        <w:t xml:space="preserve"> с 2016 года ни разу не </w:t>
      </w:r>
      <w:r>
        <w:rPr>
          <w:sz w:val="24"/>
        </w:rPr>
        <w:t>направлял</w:t>
      </w:r>
      <w:r w:rsidRPr="00A3177D">
        <w:rPr>
          <w:sz w:val="24"/>
        </w:rPr>
        <w:t xml:space="preserve"> в КТР </w:t>
      </w:r>
      <w:r>
        <w:rPr>
          <w:sz w:val="24"/>
        </w:rPr>
        <w:t>Волгоградской области заявление об установлении тарифов КРД.</w:t>
      </w:r>
    </w:p>
    <w:p w:rsidR="00557DE0" w:rsidRDefault="00077907" w:rsidP="001C74D7">
      <w:pPr>
        <w:autoSpaceDE w:val="0"/>
        <w:autoSpaceDN w:val="0"/>
        <w:adjustRightInd w:val="0"/>
        <w:spacing w:line="240" w:lineRule="auto"/>
        <w:ind w:firstLine="708"/>
        <w:rPr>
          <w:sz w:val="24"/>
        </w:rPr>
      </w:pPr>
      <w:r>
        <w:rPr>
          <w:sz w:val="24"/>
        </w:rPr>
        <w:t>Данные о размерах тарифов КРД на 2018 – 2019 годы, рассчитанные в соответствии с Порядком № 8/9</w:t>
      </w:r>
      <w:r w:rsidR="005A208C">
        <w:rPr>
          <w:sz w:val="24"/>
        </w:rPr>
        <w:t xml:space="preserve"> и на основе статистических данных и показателей, представленных </w:t>
      </w:r>
      <w:proofErr w:type="spellStart"/>
      <w:r w:rsidR="005A208C">
        <w:rPr>
          <w:sz w:val="24"/>
        </w:rPr>
        <w:t>Облкомдортрансом</w:t>
      </w:r>
      <w:proofErr w:type="spellEnd"/>
      <w:r w:rsidR="005A208C">
        <w:rPr>
          <w:sz w:val="24"/>
        </w:rPr>
        <w:t>,</w:t>
      </w:r>
      <w:r w:rsidR="001C74D7">
        <w:rPr>
          <w:sz w:val="24"/>
        </w:rPr>
        <w:t xml:space="preserve"> </w:t>
      </w:r>
      <w:r w:rsidR="005A208C">
        <w:rPr>
          <w:sz w:val="24"/>
        </w:rPr>
        <w:t>приведены</w:t>
      </w:r>
      <w:r w:rsidR="001C74D7">
        <w:rPr>
          <w:sz w:val="24"/>
        </w:rPr>
        <w:t xml:space="preserve"> в таблице.</w:t>
      </w:r>
    </w:p>
    <w:p w:rsidR="00FF4648" w:rsidRDefault="00FF4648" w:rsidP="001C74D7">
      <w:pPr>
        <w:autoSpaceDE w:val="0"/>
        <w:autoSpaceDN w:val="0"/>
        <w:adjustRightInd w:val="0"/>
        <w:spacing w:line="240" w:lineRule="auto"/>
        <w:ind w:firstLine="708"/>
        <w:rPr>
          <w:sz w:val="24"/>
        </w:rPr>
      </w:pPr>
    </w:p>
    <w:tbl>
      <w:tblPr>
        <w:tblStyle w:val="a7"/>
        <w:tblW w:w="9786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341"/>
        <w:gridCol w:w="2889"/>
        <w:gridCol w:w="1356"/>
        <w:gridCol w:w="942"/>
        <w:gridCol w:w="904"/>
        <w:gridCol w:w="1354"/>
      </w:tblGrid>
      <w:tr w:rsidR="00107A74" w:rsidRPr="005055FC" w:rsidTr="006001A4">
        <w:tc>
          <w:tcPr>
            <w:tcW w:w="5230" w:type="dxa"/>
            <w:gridSpan w:val="2"/>
            <w:tcBorders>
              <w:bottom w:val="double" w:sz="4" w:space="0" w:color="auto"/>
            </w:tcBorders>
          </w:tcPr>
          <w:p w:rsidR="00107A74" w:rsidRPr="005055FC" w:rsidRDefault="00107A74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 xml:space="preserve">Вид </w:t>
            </w:r>
            <w:proofErr w:type="gramStart"/>
            <w:r w:rsidRPr="005055FC">
              <w:rPr>
                <w:rFonts w:eastAsiaTheme="minorHAnsi"/>
                <w:sz w:val="20"/>
                <w:szCs w:val="20"/>
              </w:rPr>
              <w:t>межмуниципального</w:t>
            </w:r>
            <w:proofErr w:type="gramEnd"/>
          </w:p>
          <w:p w:rsidR="00107A74" w:rsidRPr="005055FC" w:rsidRDefault="00107A74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сообщения</w:t>
            </w:r>
          </w:p>
        </w:tc>
        <w:tc>
          <w:tcPr>
            <w:tcW w:w="1356" w:type="dxa"/>
            <w:tcBorders>
              <w:bottom w:val="double" w:sz="4" w:space="0" w:color="auto"/>
            </w:tcBorders>
          </w:tcPr>
          <w:p w:rsidR="00107A74" w:rsidRPr="005055FC" w:rsidRDefault="00107A74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2015</w:t>
            </w:r>
          </w:p>
          <w:p w:rsidR="00107A74" w:rsidRPr="005055FC" w:rsidRDefault="00107A74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(утверждено)</w:t>
            </w:r>
          </w:p>
        </w:tc>
        <w:tc>
          <w:tcPr>
            <w:tcW w:w="942" w:type="dxa"/>
            <w:tcBorders>
              <w:bottom w:val="double" w:sz="4" w:space="0" w:color="auto"/>
            </w:tcBorders>
          </w:tcPr>
          <w:p w:rsidR="00107A74" w:rsidRPr="005055FC" w:rsidRDefault="00107A74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2018 (расчёт)</w:t>
            </w:r>
          </w:p>
        </w:tc>
        <w:tc>
          <w:tcPr>
            <w:tcW w:w="904" w:type="dxa"/>
            <w:tcBorders>
              <w:bottom w:val="double" w:sz="4" w:space="0" w:color="auto"/>
            </w:tcBorders>
          </w:tcPr>
          <w:p w:rsidR="00107A74" w:rsidRPr="005055FC" w:rsidRDefault="00107A74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2019 (расчёт)</w:t>
            </w:r>
          </w:p>
        </w:tc>
        <w:tc>
          <w:tcPr>
            <w:tcW w:w="1354" w:type="dxa"/>
            <w:tcBorders>
              <w:bottom w:val="double" w:sz="4" w:space="0" w:color="auto"/>
            </w:tcBorders>
          </w:tcPr>
          <w:p w:rsidR="00107A74" w:rsidRPr="005055FC" w:rsidRDefault="00107A74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Изменение 2019 к 2015</w:t>
            </w:r>
          </w:p>
        </w:tc>
      </w:tr>
      <w:tr w:rsidR="005055FC" w:rsidRPr="005055FC" w:rsidTr="006001A4">
        <w:tc>
          <w:tcPr>
            <w:tcW w:w="9786" w:type="dxa"/>
            <w:gridSpan w:val="6"/>
            <w:tcBorders>
              <w:top w:val="double" w:sz="4" w:space="0" w:color="auto"/>
            </w:tcBorders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5055FC">
              <w:rPr>
                <w:rFonts w:eastAsiaTheme="minorHAnsi"/>
                <w:b/>
                <w:sz w:val="20"/>
                <w:szCs w:val="20"/>
              </w:rPr>
              <w:t>Тарифы КРД</w:t>
            </w:r>
            <w:r>
              <w:rPr>
                <w:rFonts w:eastAsiaTheme="minorHAnsi"/>
                <w:b/>
                <w:sz w:val="20"/>
                <w:szCs w:val="20"/>
              </w:rPr>
              <w:t>,</w:t>
            </w:r>
            <w:r w:rsidRPr="005055FC">
              <w:rPr>
                <w:rFonts w:eastAsiaTheme="minorHAnsi"/>
                <w:b/>
                <w:sz w:val="20"/>
                <w:szCs w:val="20"/>
              </w:rPr>
              <w:t xml:space="preserve"> руб. за 1 </w:t>
            </w:r>
            <w:proofErr w:type="spellStart"/>
            <w:r w:rsidRPr="005055FC">
              <w:rPr>
                <w:rFonts w:eastAsiaTheme="minorHAnsi"/>
                <w:b/>
                <w:sz w:val="20"/>
                <w:szCs w:val="20"/>
              </w:rPr>
              <w:t>пасс</w:t>
            </w:r>
            <w:proofErr w:type="gramStart"/>
            <w:r w:rsidRPr="005055FC">
              <w:rPr>
                <w:rFonts w:eastAsiaTheme="minorHAnsi"/>
                <w:b/>
                <w:sz w:val="20"/>
                <w:szCs w:val="20"/>
              </w:rPr>
              <w:t>.-</w:t>
            </w:r>
            <w:proofErr w:type="gramEnd"/>
            <w:r w:rsidRPr="005055FC">
              <w:rPr>
                <w:rFonts w:eastAsiaTheme="minorHAnsi"/>
                <w:b/>
                <w:sz w:val="20"/>
                <w:szCs w:val="20"/>
              </w:rPr>
              <w:t>км</w:t>
            </w:r>
            <w:proofErr w:type="spellEnd"/>
          </w:p>
        </w:tc>
      </w:tr>
      <w:tr w:rsidR="005055FC" w:rsidRPr="005055FC" w:rsidTr="006001A4">
        <w:tc>
          <w:tcPr>
            <w:tcW w:w="5230" w:type="dxa"/>
            <w:gridSpan w:val="2"/>
            <w:tcBorders>
              <w:top w:val="double" w:sz="4" w:space="0" w:color="auto"/>
            </w:tcBorders>
          </w:tcPr>
          <w:p w:rsidR="005055FC" w:rsidRPr="005055FC" w:rsidRDefault="005055FC" w:rsidP="008E66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Пригородное</w:t>
            </w:r>
          </w:p>
        </w:tc>
        <w:tc>
          <w:tcPr>
            <w:tcW w:w="1356" w:type="dxa"/>
            <w:tcBorders>
              <w:top w:val="double" w:sz="4" w:space="0" w:color="auto"/>
            </w:tcBorders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1,66</w:t>
            </w:r>
          </w:p>
        </w:tc>
        <w:tc>
          <w:tcPr>
            <w:tcW w:w="942" w:type="dxa"/>
            <w:tcBorders>
              <w:top w:val="double" w:sz="4" w:space="0" w:color="auto"/>
            </w:tcBorders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1,62</w:t>
            </w:r>
          </w:p>
        </w:tc>
        <w:tc>
          <w:tcPr>
            <w:tcW w:w="904" w:type="dxa"/>
            <w:tcBorders>
              <w:top w:val="double" w:sz="4" w:space="0" w:color="auto"/>
            </w:tcBorders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1,66</w:t>
            </w:r>
          </w:p>
        </w:tc>
        <w:tc>
          <w:tcPr>
            <w:tcW w:w="1354" w:type="dxa"/>
            <w:tcBorders>
              <w:top w:val="double" w:sz="4" w:space="0" w:color="auto"/>
            </w:tcBorders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0</w:t>
            </w:r>
          </w:p>
        </w:tc>
      </w:tr>
      <w:tr w:rsidR="005055FC" w:rsidRPr="005055FC" w:rsidTr="006001A4">
        <w:tc>
          <w:tcPr>
            <w:tcW w:w="5230" w:type="dxa"/>
            <w:gridSpan w:val="2"/>
            <w:tcBorders>
              <w:bottom w:val="double" w:sz="4" w:space="0" w:color="auto"/>
            </w:tcBorders>
          </w:tcPr>
          <w:p w:rsidR="005055FC" w:rsidRPr="005055FC" w:rsidRDefault="005055FC" w:rsidP="008E66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Внутриобластное междугородное</w:t>
            </w:r>
          </w:p>
        </w:tc>
        <w:tc>
          <w:tcPr>
            <w:tcW w:w="1356" w:type="dxa"/>
            <w:tcBorders>
              <w:bottom w:val="double" w:sz="4" w:space="0" w:color="auto"/>
            </w:tcBorders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1,72</w:t>
            </w:r>
          </w:p>
        </w:tc>
        <w:tc>
          <w:tcPr>
            <w:tcW w:w="942" w:type="dxa"/>
            <w:tcBorders>
              <w:bottom w:val="double" w:sz="4" w:space="0" w:color="auto"/>
            </w:tcBorders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3,92</w:t>
            </w:r>
          </w:p>
        </w:tc>
        <w:tc>
          <w:tcPr>
            <w:tcW w:w="904" w:type="dxa"/>
            <w:tcBorders>
              <w:bottom w:val="double" w:sz="4" w:space="0" w:color="auto"/>
            </w:tcBorders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4,15</w:t>
            </w:r>
          </w:p>
        </w:tc>
        <w:tc>
          <w:tcPr>
            <w:tcW w:w="1354" w:type="dxa"/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+2,4 раза</w:t>
            </w:r>
          </w:p>
        </w:tc>
      </w:tr>
      <w:tr w:rsidR="005055FC" w:rsidRPr="005055FC" w:rsidTr="006001A4">
        <w:tc>
          <w:tcPr>
            <w:tcW w:w="9786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5055FC">
              <w:rPr>
                <w:rFonts w:eastAsiaTheme="minorHAnsi"/>
                <w:b/>
                <w:sz w:val="20"/>
                <w:szCs w:val="20"/>
              </w:rPr>
              <w:t>Основные исходные данные</w:t>
            </w:r>
          </w:p>
        </w:tc>
      </w:tr>
      <w:tr w:rsidR="005055FC" w:rsidRPr="005055FC" w:rsidTr="006001A4">
        <w:tc>
          <w:tcPr>
            <w:tcW w:w="523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5055FC" w:rsidRPr="005055FC" w:rsidRDefault="002B6CA0" w:rsidP="0022542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</w:t>
            </w:r>
            <w:r w:rsidR="005055FC" w:rsidRPr="005055FC">
              <w:rPr>
                <w:rFonts w:eastAsiaTheme="minorHAnsi"/>
                <w:sz w:val="20"/>
                <w:szCs w:val="20"/>
              </w:rPr>
              <w:t>реднедушевой доход населения, руб.</w:t>
            </w:r>
          </w:p>
        </w:tc>
        <w:tc>
          <w:tcPr>
            <w:tcW w:w="1356" w:type="dxa"/>
            <w:tcBorders>
              <w:top w:val="double" w:sz="4" w:space="0" w:color="auto"/>
              <w:bottom w:val="single" w:sz="4" w:space="0" w:color="auto"/>
            </w:tcBorders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20 335</w:t>
            </w:r>
          </w:p>
        </w:tc>
        <w:tc>
          <w:tcPr>
            <w:tcW w:w="942" w:type="dxa"/>
            <w:tcBorders>
              <w:top w:val="double" w:sz="4" w:space="0" w:color="auto"/>
              <w:bottom w:val="single" w:sz="4" w:space="0" w:color="auto"/>
            </w:tcBorders>
          </w:tcPr>
          <w:p w:rsidR="005055FC" w:rsidRPr="005055FC" w:rsidRDefault="002071A4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22 745</w:t>
            </w:r>
          </w:p>
        </w:tc>
        <w:tc>
          <w:tcPr>
            <w:tcW w:w="904" w:type="dxa"/>
            <w:tcBorders>
              <w:top w:val="double" w:sz="4" w:space="0" w:color="auto"/>
              <w:bottom w:val="single" w:sz="4" w:space="0" w:color="auto"/>
            </w:tcBorders>
          </w:tcPr>
          <w:p w:rsidR="005055FC" w:rsidRPr="005055FC" w:rsidRDefault="002071A4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23 233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+5%</w:t>
            </w:r>
          </w:p>
        </w:tc>
      </w:tr>
      <w:tr w:rsidR="003E0C67" w:rsidRPr="005055FC" w:rsidTr="006001A4">
        <w:tc>
          <w:tcPr>
            <w:tcW w:w="5230" w:type="dxa"/>
            <w:gridSpan w:val="2"/>
            <w:tcBorders>
              <w:top w:val="single" w:sz="4" w:space="0" w:color="auto"/>
            </w:tcBorders>
          </w:tcPr>
          <w:p w:rsidR="003E0C67" w:rsidRDefault="003E0C67" w:rsidP="003E0C6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Критерий доступности транспортных услуг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автомобил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>. транспорта в пригородном сообщении, %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3E0C67" w:rsidRPr="005055FC" w:rsidRDefault="003E0C67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5,5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C67" w:rsidRDefault="006827B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3E0C67" w:rsidRDefault="006827B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5,0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:rsidR="003E0C67" w:rsidRPr="005055FC" w:rsidRDefault="006827B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-9,1%</w:t>
            </w:r>
          </w:p>
        </w:tc>
      </w:tr>
      <w:tr w:rsidR="005055FC" w:rsidRPr="005055FC" w:rsidTr="006001A4">
        <w:tc>
          <w:tcPr>
            <w:tcW w:w="2341" w:type="dxa"/>
            <w:vMerge w:val="restart"/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 xml:space="preserve">Средняя плановая дальность поездки, </w:t>
            </w:r>
            <w:proofErr w:type="gramStart"/>
            <w:r w:rsidRPr="005055FC">
              <w:rPr>
                <w:rFonts w:eastAsiaTheme="minorHAnsi"/>
                <w:sz w:val="20"/>
                <w:szCs w:val="20"/>
              </w:rPr>
              <w:t>км</w:t>
            </w:r>
            <w:proofErr w:type="gramEnd"/>
            <w:r w:rsidRPr="005055FC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2889" w:type="dxa"/>
          </w:tcPr>
          <w:p w:rsidR="005055FC" w:rsidRPr="005055FC" w:rsidRDefault="005055FC" w:rsidP="008E665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в пригородном сообщении</w:t>
            </w:r>
          </w:p>
        </w:tc>
        <w:tc>
          <w:tcPr>
            <w:tcW w:w="1356" w:type="dxa"/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16,8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17,5</w:t>
            </w:r>
          </w:p>
        </w:tc>
        <w:tc>
          <w:tcPr>
            <w:tcW w:w="904" w:type="dxa"/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17,5</w:t>
            </w:r>
          </w:p>
        </w:tc>
        <w:tc>
          <w:tcPr>
            <w:tcW w:w="1354" w:type="dxa"/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+4,2%</w:t>
            </w:r>
          </w:p>
        </w:tc>
      </w:tr>
      <w:tr w:rsidR="005055FC" w:rsidRPr="005055FC" w:rsidTr="006001A4">
        <w:tc>
          <w:tcPr>
            <w:tcW w:w="2341" w:type="dxa"/>
            <w:vMerge/>
          </w:tcPr>
          <w:p w:rsidR="005055FC" w:rsidRPr="005055FC" w:rsidRDefault="005055FC" w:rsidP="0007790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89" w:type="dxa"/>
          </w:tcPr>
          <w:p w:rsidR="005055FC" w:rsidRPr="005055FC" w:rsidRDefault="005055FC" w:rsidP="00316E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 xml:space="preserve">в междугородном сообщении </w:t>
            </w:r>
          </w:p>
        </w:tc>
        <w:tc>
          <w:tcPr>
            <w:tcW w:w="1356" w:type="dxa"/>
            <w:vAlign w:val="center"/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147,5</w:t>
            </w:r>
          </w:p>
        </w:tc>
        <w:tc>
          <w:tcPr>
            <w:tcW w:w="942" w:type="dxa"/>
            <w:vAlign w:val="center"/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49,5</w:t>
            </w:r>
          </w:p>
        </w:tc>
        <w:tc>
          <w:tcPr>
            <w:tcW w:w="904" w:type="dxa"/>
            <w:vAlign w:val="center"/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49,5</w:t>
            </w:r>
          </w:p>
        </w:tc>
        <w:tc>
          <w:tcPr>
            <w:tcW w:w="1354" w:type="dxa"/>
            <w:vAlign w:val="center"/>
          </w:tcPr>
          <w:p w:rsidR="005055FC" w:rsidRPr="005055FC" w:rsidRDefault="005055FC" w:rsidP="005055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5055FC">
              <w:rPr>
                <w:rFonts w:eastAsiaTheme="minorHAnsi"/>
                <w:sz w:val="20"/>
                <w:szCs w:val="20"/>
              </w:rPr>
              <w:t>-в 3 раза</w:t>
            </w:r>
          </w:p>
        </w:tc>
      </w:tr>
    </w:tbl>
    <w:p w:rsidR="008F410A" w:rsidRDefault="008F410A" w:rsidP="001C74D7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</w:p>
    <w:p w:rsidR="001C74D7" w:rsidRDefault="001C74D7" w:rsidP="001C74D7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130DB3">
        <w:rPr>
          <w:rFonts w:eastAsiaTheme="minorHAnsi"/>
          <w:sz w:val="24"/>
        </w:rPr>
        <w:t xml:space="preserve">При определении тарифов КРД в соответствии с </w:t>
      </w:r>
      <w:r w:rsidR="0022542E" w:rsidRPr="00130DB3">
        <w:rPr>
          <w:rFonts w:eastAsiaTheme="minorHAnsi"/>
          <w:sz w:val="24"/>
        </w:rPr>
        <w:t xml:space="preserve">закреплённым </w:t>
      </w:r>
      <w:r w:rsidRPr="00130DB3">
        <w:rPr>
          <w:rFonts w:eastAsiaTheme="minorHAnsi"/>
          <w:sz w:val="24"/>
        </w:rPr>
        <w:t>порядком тариф на</w:t>
      </w:r>
      <w:r w:rsidR="0022542E" w:rsidRPr="00130DB3">
        <w:rPr>
          <w:rFonts w:eastAsiaTheme="minorHAnsi"/>
          <w:sz w:val="24"/>
        </w:rPr>
        <w:t xml:space="preserve"> </w:t>
      </w:r>
      <w:r w:rsidRPr="00130DB3">
        <w:rPr>
          <w:rFonts w:eastAsiaTheme="minorHAnsi"/>
          <w:sz w:val="24"/>
        </w:rPr>
        <w:t xml:space="preserve">перевозку пассажиров в пригородном сообщении </w:t>
      </w:r>
      <w:r w:rsidR="0022542E" w:rsidRPr="00130DB3">
        <w:rPr>
          <w:rFonts w:eastAsiaTheme="minorHAnsi"/>
          <w:sz w:val="24"/>
        </w:rPr>
        <w:t>в 2019 год</w:t>
      </w:r>
      <w:r w:rsidR="003373EA">
        <w:rPr>
          <w:rFonts w:eastAsiaTheme="minorHAnsi"/>
          <w:sz w:val="24"/>
        </w:rPr>
        <w:t>у</w:t>
      </w:r>
      <w:r w:rsidR="0022542E" w:rsidRPr="00130DB3">
        <w:rPr>
          <w:rFonts w:eastAsiaTheme="minorHAnsi"/>
          <w:sz w:val="24"/>
        </w:rPr>
        <w:t xml:space="preserve"> </w:t>
      </w:r>
      <w:r w:rsidR="003774AB">
        <w:rPr>
          <w:rFonts w:eastAsiaTheme="minorHAnsi"/>
          <w:sz w:val="24"/>
        </w:rPr>
        <w:t>был бы</w:t>
      </w:r>
      <w:r w:rsidRPr="00130DB3">
        <w:rPr>
          <w:rFonts w:eastAsiaTheme="minorHAnsi"/>
          <w:sz w:val="24"/>
        </w:rPr>
        <w:t xml:space="preserve"> равен установленному</w:t>
      </w:r>
      <w:r w:rsidR="0022542E" w:rsidRPr="00130DB3">
        <w:rPr>
          <w:rFonts w:eastAsiaTheme="minorHAnsi"/>
          <w:sz w:val="24"/>
        </w:rPr>
        <w:t xml:space="preserve"> - 1,66 руб. за 1 </w:t>
      </w:r>
      <w:proofErr w:type="spellStart"/>
      <w:r w:rsidR="0022542E" w:rsidRPr="00130DB3">
        <w:rPr>
          <w:rFonts w:eastAsiaTheme="minorHAnsi"/>
          <w:sz w:val="24"/>
        </w:rPr>
        <w:t>пасс</w:t>
      </w:r>
      <w:proofErr w:type="gramStart"/>
      <w:r w:rsidR="0022542E" w:rsidRPr="00130DB3">
        <w:rPr>
          <w:rFonts w:eastAsiaTheme="minorHAnsi"/>
          <w:sz w:val="24"/>
        </w:rPr>
        <w:t>.-</w:t>
      </w:r>
      <w:proofErr w:type="gramEnd"/>
      <w:r w:rsidR="0022542E" w:rsidRPr="00130DB3">
        <w:rPr>
          <w:rFonts w:eastAsiaTheme="minorHAnsi"/>
          <w:sz w:val="24"/>
        </w:rPr>
        <w:t>км</w:t>
      </w:r>
      <w:proofErr w:type="spellEnd"/>
      <w:r w:rsidR="0022542E" w:rsidRPr="00130DB3">
        <w:rPr>
          <w:rFonts w:eastAsiaTheme="minorHAnsi"/>
          <w:sz w:val="24"/>
        </w:rPr>
        <w:t xml:space="preserve"> вследствие </w:t>
      </w:r>
      <w:r w:rsidR="006827BC">
        <w:rPr>
          <w:rFonts w:eastAsiaTheme="minorHAnsi"/>
          <w:sz w:val="24"/>
        </w:rPr>
        <w:t xml:space="preserve">разнонаправленного изменения величин среднедушевого </w:t>
      </w:r>
      <w:r w:rsidR="006827BC">
        <w:rPr>
          <w:rFonts w:eastAsiaTheme="minorHAnsi"/>
          <w:sz w:val="24"/>
        </w:rPr>
        <w:lastRenderedPageBreak/>
        <w:t>дохода, плановой дальности поездки и критерия доступности</w:t>
      </w:r>
      <w:r w:rsidR="0022542E" w:rsidRPr="00130DB3">
        <w:rPr>
          <w:rFonts w:eastAsiaTheme="minorHAnsi"/>
          <w:sz w:val="24"/>
        </w:rPr>
        <w:t xml:space="preserve">. Тариф на перевозки в междугороднем сообщении составит 4,15 руб. за 1 </w:t>
      </w:r>
      <w:proofErr w:type="spellStart"/>
      <w:r w:rsidR="0022542E" w:rsidRPr="00130DB3">
        <w:rPr>
          <w:rFonts w:eastAsiaTheme="minorHAnsi"/>
          <w:sz w:val="24"/>
        </w:rPr>
        <w:t>пасс</w:t>
      </w:r>
      <w:proofErr w:type="gramStart"/>
      <w:r w:rsidR="0022542E" w:rsidRPr="00130DB3">
        <w:rPr>
          <w:rFonts w:eastAsiaTheme="minorHAnsi"/>
          <w:sz w:val="24"/>
        </w:rPr>
        <w:t>.-</w:t>
      </w:r>
      <w:proofErr w:type="gramEnd"/>
      <w:r w:rsidR="0022542E" w:rsidRPr="00130DB3">
        <w:rPr>
          <w:rFonts w:eastAsiaTheme="minorHAnsi"/>
          <w:sz w:val="24"/>
        </w:rPr>
        <w:t>км</w:t>
      </w:r>
      <w:proofErr w:type="spellEnd"/>
      <w:r w:rsidR="0022542E" w:rsidRPr="00130DB3">
        <w:rPr>
          <w:rFonts w:eastAsiaTheme="minorHAnsi"/>
          <w:sz w:val="24"/>
        </w:rPr>
        <w:t>, что больше действующего в 2,4 раза по причине значительного сокращения средней плановой дальности поездки.</w:t>
      </w:r>
    </w:p>
    <w:p w:rsidR="005A208C" w:rsidRDefault="005A208C" w:rsidP="001C74D7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130DB3">
        <w:rPr>
          <w:rFonts w:eastAsiaTheme="minorHAnsi"/>
          <w:sz w:val="24"/>
        </w:rPr>
        <w:t xml:space="preserve">Также необходимо отметить, что </w:t>
      </w:r>
      <w:r w:rsidR="001617DE" w:rsidRPr="00130DB3">
        <w:rPr>
          <w:rFonts w:eastAsiaTheme="minorHAnsi"/>
          <w:sz w:val="24"/>
        </w:rPr>
        <w:t>т</w:t>
      </w:r>
      <w:r w:rsidRPr="00130DB3">
        <w:rPr>
          <w:rFonts w:eastAsiaTheme="minorHAnsi"/>
          <w:sz w:val="24"/>
        </w:rPr>
        <w:t>ребования</w:t>
      </w:r>
      <w:r w:rsidR="001617DE" w:rsidRPr="00130DB3">
        <w:rPr>
          <w:rFonts w:eastAsiaTheme="minorHAnsi"/>
          <w:sz w:val="24"/>
        </w:rPr>
        <w:t>ми</w:t>
      </w:r>
      <w:r w:rsidRPr="00130DB3">
        <w:rPr>
          <w:rFonts w:eastAsiaTheme="minorHAnsi"/>
          <w:sz w:val="24"/>
        </w:rPr>
        <w:t xml:space="preserve"> к параметрам областного транспортного</w:t>
      </w:r>
      <w:r w:rsidRPr="005A208C">
        <w:rPr>
          <w:rFonts w:eastAsiaTheme="minorHAnsi"/>
          <w:sz w:val="24"/>
        </w:rPr>
        <w:t xml:space="preserve"> заказа на 2017-2030 годы </w:t>
      </w:r>
      <w:r w:rsidR="006E7213">
        <w:rPr>
          <w:rFonts w:eastAsiaTheme="minorHAnsi"/>
          <w:sz w:val="24"/>
        </w:rPr>
        <w:t>К</w:t>
      </w:r>
      <w:r w:rsidRPr="005A208C">
        <w:rPr>
          <w:rFonts w:eastAsiaTheme="minorHAnsi"/>
          <w:sz w:val="24"/>
        </w:rPr>
        <w:t>омплексного плана транспортного обслуживания населения Волгоградской области на средне- и долгосрочную перспективу до 2030 года в части пригородных пассажирских перевозок, утвержденного постановлением Администрации Волгоградской области от 14.06.2016 №</w:t>
      </w:r>
      <w:r w:rsidR="0022542E">
        <w:rPr>
          <w:rFonts w:eastAsiaTheme="minorHAnsi"/>
          <w:sz w:val="24"/>
        </w:rPr>
        <w:t xml:space="preserve"> </w:t>
      </w:r>
      <w:r w:rsidRPr="005A208C">
        <w:rPr>
          <w:rFonts w:eastAsiaTheme="minorHAnsi"/>
          <w:sz w:val="24"/>
        </w:rPr>
        <w:t xml:space="preserve">287-п, </w:t>
      </w:r>
      <w:r w:rsidR="001617DE">
        <w:rPr>
          <w:rFonts w:eastAsiaTheme="minorHAnsi"/>
          <w:sz w:val="24"/>
        </w:rPr>
        <w:t xml:space="preserve">предусмотрено, что </w:t>
      </w:r>
      <w:r w:rsidRPr="005A208C">
        <w:rPr>
          <w:rFonts w:eastAsiaTheme="minorHAnsi"/>
          <w:sz w:val="24"/>
        </w:rPr>
        <w:t>тариф КРД</w:t>
      </w:r>
      <w:r w:rsidR="001617DE">
        <w:rPr>
          <w:rFonts w:eastAsiaTheme="minorHAnsi"/>
          <w:sz w:val="24"/>
        </w:rPr>
        <w:t xml:space="preserve"> с 2017 года </w:t>
      </w:r>
      <w:r w:rsidRPr="005A208C">
        <w:rPr>
          <w:rFonts w:eastAsiaTheme="minorHAnsi"/>
          <w:sz w:val="24"/>
        </w:rPr>
        <w:t xml:space="preserve">должен составлять 4,51 руб. за 1 </w:t>
      </w:r>
      <w:proofErr w:type="spellStart"/>
      <w:r w:rsidRPr="005A208C">
        <w:rPr>
          <w:rFonts w:eastAsiaTheme="minorHAnsi"/>
          <w:sz w:val="24"/>
        </w:rPr>
        <w:t>пасс</w:t>
      </w:r>
      <w:proofErr w:type="gramStart"/>
      <w:r w:rsidR="001C74D7">
        <w:rPr>
          <w:rFonts w:eastAsiaTheme="minorHAnsi"/>
          <w:sz w:val="24"/>
        </w:rPr>
        <w:t>.</w:t>
      </w:r>
      <w:r w:rsidRPr="005A208C">
        <w:rPr>
          <w:rFonts w:eastAsiaTheme="minorHAnsi"/>
          <w:sz w:val="24"/>
        </w:rPr>
        <w:t>-</w:t>
      </w:r>
      <w:proofErr w:type="gramEnd"/>
      <w:r w:rsidRPr="005A208C">
        <w:rPr>
          <w:rFonts w:eastAsiaTheme="minorHAnsi"/>
          <w:sz w:val="24"/>
        </w:rPr>
        <w:t>к</w:t>
      </w:r>
      <w:r w:rsidR="001C74D7">
        <w:rPr>
          <w:rFonts w:eastAsiaTheme="minorHAnsi"/>
          <w:sz w:val="24"/>
        </w:rPr>
        <w:t>м</w:t>
      </w:r>
      <w:proofErr w:type="spellEnd"/>
      <w:r w:rsidR="001617DE">
        <w:rPr>
          <w:rFonts w:eastAsiaTheme="minorHAnsi"/>
          <w:sz w:val="24"/>
        </w:rPr>
        <w:t xml:space="preserve"> на подавляющем большинстве маршрутов</w:t>
      </w:r>
      <w:r w:rsidR="00130DB3">
        <w:rPr>
          <w:rFonts w:eastAsiaTheme="minorHAnsi"/>
          <w:sz w:val="24"/>
        </w:rPr>
        <w:t>.</w:t>
      </w:r>
    </w:p>
    <w:p w:rsidR="008E665E" w:rsidRDefault="008E665E" w:rsidP="001C74D7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Сопоставление размеров тарифов на межмуниципальные перевозки, установленных в </w:t>
      </w:r>
      <w:r w:rsidR="00FB2BE0">
        <w:rPr>
          <w:rFonts w:eastAsiaTheme="minorHAnsi"/>
          <w:sz w:val="24"/>
        </w:rPr>
        <w:t xml:space="preserve">исследуемых </w:t>
      </w:r>
      <w:r>
        <w:rPr>
          <w:rFonts w:eastAsiaTheme="minorHAnsi"/>
          <w:sz w:val="24"/>
        </w:rPr>
        <w:t>субъект</w:t>
      </w:r>
      <w:r w:rsidR="00FB2BE0">
        <w:rPr>
          <w:rFonts w:eastAsiaTheme="minorHAnsi"/>
          <w:sz w:val="24"/>
        </w:rPr>
        <w:t>ах</w:t>
      </w:r>
      <w:r>
        <w:rPr>
          <w:rFonts w:eastAsiaTheme="minorHAnsi"/>
          <w:sz w:val="24"/>
        </w:rPr>
        <w:t xml:space="preserve"> РФ</w:t>
      </w:r>
      <w:r w:rsidR="002B6CA0">
        <w:rPr>
          <w:rFonts w:eastAsiaTheme="minorHAnsi"/>
          <w:sz w:val="24"/>
        </w:rPr>
        <w:t>,</w:t>
      </w:r>
      <w:r>
        <w:rPr>
          <w:rFonts w:eastAsiaTheme="minorHAnsi"/>
          <w:sz w:val="24"/>
        </w:rPr>
        <w:t xml:space="preserve"> представлено в таблице.</w:t>
      </w:r>
    </w:p>
    <w:p w:rsidR="00667201" w:rsidRDefault="00667201" w:rsidP="001C74D7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7"/>
        <w:gridCol w:w="1559"/>
        <w:gridCol w:w="2682"/>
        <w:gridCol w:w="2126"/>
      </w:tblGrid>
      <w:tr w:rsidR="008E665E" w:rsidRPr="008E665E" w:rsidTr="0062739D">
        <w:trPr>
          <w:trHeight w:val="20"/>
          <w:jc w:val="center"/>
        </w:trPr>
        <w:tc>
          <w:tcPr>
            <w:tcW w:w="2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субъекта РФ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Тариф,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руб. за </w:t>
            </w:r>
            <w:r w:rsidRPr="008E665E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8E665E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пасс</w:t>
            </w:r>
            <w:proofErr w:type="gramStart"/>
            <w:r w:rsidRPr="008E665E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.-</w:t>
            </w:r>
            <w:proofErr w:type="gramEnd"/>
            <w:r w:rsidRPr="008E665E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км</w:t>
            </w:r>
            <w:proofErr w:type="spellEnd"/>
          </w:p>
        </w:tc>
        <w:tc>
          <w:tcPr>
            <w:tcW w:w="268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Среднедушевые доходы населения</w:t>
            </w:r>
            <w:r w:rsidR="00E12EC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в 2018 году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8E665E" w:rsidRPr="008E665E" w:rsidRDefault="00FF4648" w:rsidP="008E665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Приведённый</w:t>
            </w:r>
            <w:r w:rsidR="008E665E" w:rsidRPr="008E665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КРД</w:t>
            </w:r>
            <w:r w:rsidR="00E12E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(2/3*100</w:t>
            </w:r>
            <w:r w:rsidR="008E665E" w:rsidRPr="008E66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000)</w:t>
            </w:r>
          </w:p>
        </w:tc>
      </w:tr>
      <w:tr w:rsidR="008E665E" w:rsidRPr="008E665E" w:rsidTr="0062739D">
        <w:trPr>
          <w:trHeight w:val="20"/>
          <w:jc w:val="center"/>
        </w:trPr>
        <w:tc>
          <w:tcPr>
            <w:tcW w:w="2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E665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8E665E" w:rsidRPr="008E665E" w:rsidTr="0062739D">
        <w:trPr>
          <w:trHeight w:val="20"/>
          <w:jc w:val="center"/>
        </w:trPr>
        <w:tc>
          <w:tcPr>
            <w:tcW w:w="271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2682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sz w:val="20"/>
                <w:szCs w:val="20"/>
                <w:lang w:eastAsia="ru-RU"/>
              </w:rPr>
              <w:t>20 634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10,42</w:t>
            </w:r>
          </w:p>
        </w:tc>
      </w:tr>
      <w:tr w:rsidR="008E665E" w:rsidRPr="008E665E" w:rsidTr="0062739D">
        <w:trPr>
          <w:trHeight w:val="20"/>
          <w:jc w:val="center"/>
        </w:trPr>
        <w:tc>
          <w:tcPr>
            <w:tcW w:w="2717" w:type="dxa"/>
            <w:tcBorders>
              <w:left w:val="double" w:sz="4" w:space="0" w:color="auto"/>
            </w:tcBorders>
            <w:shd w:val="clear" w:color="auto" w:fill="auto"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sz w:val="20"/>
                <w:szCs w:val="20"/>
                <w:lang w:eastAsia="ru-RU"/>
              </w:rPr>
              <w:t>31 700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7,89</w:t>
            </w:r>
          </w:p>
        </w:tc>
      </w:tr>
      <w:tr w:rsidR="008E665E" w:rsidRPr="008E665E" w:rsidTr="0062739D">
        <w:trPr>
          <w:trHeight w:val="20"/>
          <w:jc w:val="center"/>
        </w:trPr>
        <w:tc>
          <w:tcPr>
            <w:tcW w:w="2717" w:type="dxa"/>
            <w:tcBorders>
              <w:left w:val="double" w:sz="4" w:space="0" w:color="auto"/>
            </w:tcBorders>
            <w:shd w:val="clear" w:color="auto" w:fill="auto"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sz w:val="20"/>
                <w:szCs w:val="20"/>
                <w:lang w:eastAsia="ru-RU"/>
              </w:rPr>
              <w:t>30 487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7,54</w:t>
            </w:r>
          </w:p>
        </w:tc>
      </w:tr>
      <w:tr w:rsidR="008E665E" w:rsidRPr="00E12EC4" w:rsidTr="0062739D">
        <w:trPr>
          <w:trHeight w:val="20"/>
          <w:jc w:val="center"/>
        </w:trPr>
        <w:tc>
          <w:tcPr>
            <w:tcW w:w="2717" w:type="dxa"/>
            <w:tcBorders>
              <w:left w:val="double" w:sz="4" w:space="0" w:color="auto"/>
            </w:tcBorders>
            <w:shd w:val="clear" w:color="auto" w:fill="auto"/>
            <w:vAlign w:val="bottom"/>
            <w:hideMark/>
          </w:tcPr>
          <w:p w:rsidR="008E665E" w:rsidRPr="00E12EC4" w:rsidRDefault="008E665E" w:rsidP="008E665E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EC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E665E" w:rsidRPr="00E12EC4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12EC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8E665E" w:rsidRPr="00E12EC4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12EC4">
              <w:rPr>
                <w:rFonts w:eastAsia="Times New Roman"/>
                <w:b/>
                <w:sz w:val="20"/>
                <w:szCs w:val="20"/>
                <w:lang w:eastAsia="ru-RU"/>
              </w:rPr>
              <w:t>22 341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8E665E" w:rsidRPr="00E12EC4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12EC4">
              <w:rPr>
                <w:rFonts w:eastAsia="Times New Roman"/>
                <w:b/>
                <w:sz w:val="20"/>
                <w:szCs w:val="20"/>
                <w:lang w:eastAsia="ru-RU"/>
              </w:rPr>
              <w:t>7,43</w:t>
            </w:r>
          </w:p>
        </w:tc>
      </w:tr>
      <w:tr w:rsidR="008E665E" w:rsidRPr="008E665E" w:rsidTr="0062739D">
        <w:trPr>
          <w:trHeight w:val="20"/>
          <w:jc w:val="center"/>
        </w:trPr>
        <w:tc>
          <w:tcPr>
            <w:tcW w:w="2717" w:type="dxa"/>
            <w:tcBorders>
              <w:left w:val="double" w:sz="4" w:space="0" w:color="auto"/>
            </w:tcBorders>
            <w:shd w:val="clear" w:color="auto" w:fill="auto"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682" w:type="dxa"/>
            <w:shd w:val="clear" w:color="auto" w:fill="auto"/>
            <w:noWrap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sz w:val="20"/>
                <w:szCs w:val="20"/>
                <w:lang w:eastAsia="ru-RU"/>
              </w:rPr>
              <w:t>23 024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7,38</w:t>
            </w:r>
          </w:p>
        </w:tc>
      </w:tr>
      <w:tr w:rsidR="008E665E" w:rsidRPr="008E665E" w:rsidTr="0062739D">
        <w:trPr>
          <w:trHeight w:val="20"/>
          <w:jc w:val="center"/>
        </w:trPr>
        <w:tc>
          <w:tcPr>
            <w:tcW w:w="27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1,83</w:t>
            </w:r>
          </w:p>
        </w:tc>
        <w:tc>
          <w:tcPr>
            <w:tcW w:w="268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sz w:val="20"/>
                <w:szCs w:val="20"/>
                <w:lang w:eastAsia="ru-RU"/>
              </w:rPr>
              <w:t>28 885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8E665E" w:rsidRPr="008E665E" w:rsidRDefault="008E665E" w:rsidP="008E665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66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6,34</w:t>
            </w:r>
          </w:p>
        </w:tc>
      </w:tr>
    </w:tbl>
    <w:p w:rsidR="005A208C" w:rsidRDefault="005A208C" w:rsidP="005A208C">
      <w:pPr>
        <w:spacing w:line="240" w:lineRule="auto"/>
        <w:ind w:firstLine="993"/>
        <w:rPr>
          <w:rFonts w:eastAsiaTheme="minorHAnsi"/>
          <w:sz w:val="22"/>
          <w:szCs w:val="22"/>
        </w:rPr>
      </w:pPr>
    </w:p>
    <w:p w:rsidR="008E665E" w:rsidRPr="00160266" w:rsidRDefault="008E665E" w:rsidP="005A208C">
      <w:pPr>
        <w:spacing w:line="240" w:lineRule="auto"/>
        <w:ind w:firstLine="993"/>
        <w:rPr>
          <w:rFonts w:eastAsiaTheme="minorHAnsi"/>
          <w:sz w:val="24"/>
        </w:rPr>
      </w:pPr>
      <w:r w:rsidRPr="00160266">
        <w:rPr>
          <w:rFonts w:eastAsiaTheme="minorHAnsi"/>
          <w:sz w:val="24"/>
        </w:rPr>
        <w:t xml:space="preserve">В Волгоградской области </w:t>
      </w:r>
      <w:r w:rsidR="00CE5FE4" w:rsidRPr="00160266">
        <w:rPr>
          <w:rFonts w:eastAsiaTheme="minorHAnsi"/>
          <w:sz w:val="24"/>
        </w:rPr>
        <w:t xml:space="preserve">в абсолютных величинах </w:t>
      </w:r>
      <w:r w:rsidRPr="00160266">
        <w:rPr>
          <w:rFonts w:eastAsiaTheme="minorHAnsi"/>
          <w:sz w:val="24"/>
        </w:rPr>
        <w:t>наименьший тариф КРД сред</w:t>
      </w:r>
      <w:r w:rsidR="00E12EC4" w:rsidRPr="00160266">
        <w:rPr>
          <w:rFonts w:eastAsiaTheme="minorHAnsi"/>
          <w:sz w:val="24"/>
        </w:rPr>
        <w:t xml:space="preserve">и сравниваемых регионов. Показатель соотношения тарифа к среднедушевым доходам населения, как к базовой величине, используемой для расчёта тарифа, показывает, что тариф в Волгоградской области третий по величине после тарифов в Астраханской и Ростовской областях за счёт большего значения доходов населения в этих регионах. В Саратовской области соотнесённый к доходам тариф больше тарифа </w:t>
      </w:r>
      <w:r w:rsidR="00C03B39" w:rsidRPr="00160266">
        <w:rPr>
          <w:rFonts w:eastAsiaTheme="minorHAnsi"/>
          <w:sz w:val="24"/>
        </w:rPr>
        <w:t>в Волгоградской области более чем на 40 % (10,42/7,43-100).</w:t>
      </w:r>
    </w:p>
    <w:p w:rsidR="003E4716" w:rsidRPr="00E66A46" w:rsidRDefault="001E1AAD" w:rsidP="001E1AAD">
      <w:pPr>
        <w:pStyle w:val="ConsPlusNormal"/>
        <w:ind w:firstLine="709"/>
        <w:jc w:val="both"/>
        <w:rPr>
          <w:rFonts w:eastAsia="Times New Roman"/>
          <w:b/>
          <w:bCs/>
          <w:sz w:val="20"/>
          <w:szCs w:val="20"/>
          <w:lang w:eastAsia="ru-RU"/>
        </w:rPr>
      </w:pPr>
      <w:proofErr w:type="gramStart"/>
      <w:r>
        <w:t>После полного перехода на механизм финансового обеспечения перевозок через контракты по РТ и п</w:t>
      </w:r>
      <w:r w:rsidR="003E4716">
        <w:t xml:space="preserve">ри сохранении существующей маршрутной сети межмуниципальных перевозок в Волгоградской области, сохранении тарифов КРД и объёмов пассажирооборота на маршрутах по РТ, что фактически задекларировано ГП «Транспорт» путем закрепления неизменного значения целевого показателя «Пассажирооборот автомобильного транспорта общего пользования» на уровне 585 млн. </w:t>
      </w:r>
      <w:r w:rsidR="00667201">
        <w:t xml:space="preserve">место </w:t>
      </w:r>
      <w:r w:rsidR="003E4716">
        <w:t>- км в год, для финансового обеспечения</w:t>
      </w:r>
      <w:proofErr w:type="gramEnd"/>
      <w:r w:rsidR="003E4716">
        <w:t xml:space="preserve"> </w:t>
      </w:r>
      <w:proofErr w:type="gramStart"/>
      <w:r>
        <w:t xml:space="preserve">межмуниципальных </w:t>
      </w:r>
      <w:r w:rsidR="003E4716">
        <w:t>перевозок по РТ по оценке</w:t>
      </w:r>
      <w:r w:rsidR="003373EA">
        <w:t>,</w:t>
      </w:r>
      <w:r w:rsidR="003E4716">
        <w:t xml:space="preserve"> </w:t>
      </w:r>
      <w:r>
        <w:t xml:space="preserve">исходя из действующего </w:t>
      </w:r>
      <w:r w:rsidR="006E7213">
        <w:t>п</w:t>
      </w:r>
      <w:r>
        <w:t>орядка определения НМЦК</w:t>
      </w:r>
      <w:r w:rsidR="006E7213">
        <w:t xml:space="preserve"> (Порядок № 158)</w:t>
      </w:r>
      <w:r>
        <w:t xml:space="preserve"> </w:t>
      </w:r>
      <w:r w:rsidR="00DC4027">
        <w:t xml:space="preserve">в ценах 2020 года </w:t>
      </w:r>
      <w:r w:rsidR="001F4DCE">
        <w:t xml:space="preserve"> в зависимости от разных подходов к расчёту затрат на оплату труд</w:t>
      </w:r>
      <w:r w:rsidR="003373EA">
        <w:t>а,</w:t>
      </w:r>
      <w:r w:rsidR="001F4DCE">
        <w:t xml:space="preserve"> </w:t>
      </w:r>
      <w:r w:rsidR="003E4716">
        <w:t xml:space="preserve">потребуется </w:t>
      </w:r>
      <w:r w:rsidR="001F4DCE">
        <w:t>порядка 550,0 – 650,0 млн. руб.</w:t>
      </w:r>
      <w:r>
        <w:t xml:space="preserve"> в год, что </w:t>
      </w:r>
      <w:r w:rsidRPr="00E66A46">
        <w:t>превышает фактические расходы 2018 года</w:t>
      </w:r>
      <w:r w:rsidRPr="00E66A46">
        <w:rPr>
          <w:b/>
        </w:rPr>
        <w:t xml:space="preserve"> </w:t>
      </w:r>
      <w:r w:rsidR="00DC4027" w:rsidRPr="00E66A46">
        <w:t>(</w:t>
      </w:r>
      <w:r w:rsidR="00DC4027" w:rsidRPr="00E66A46">
        <w:rPr>
          <w:rFonts w:eastAsia="Times New Roman"/>
          <w:bCs/>
          <w:lang w:eastAsia="ru-RU"/>
        </w:rPr>
        <w:t>214 631,9 тыс. руб.)</w:t>
      </w:r>
      <w:r w:rsidR="00DC4027" w:rsidRPr="00E66A46"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  <w:r w:rsidRPr="00E66A46">
        <w:t xml:space="preserve">в </w:t>
      </w:r>
      <w:r w:rsidR="001F4DCE" w:rsidRPr="00E66A46">
        <w:t>2,6 - 3</w:t>
      </w:r>
      <w:r w:rsidRPr="00E66A46">
        <w:t xml:space="preserve"> раз</w:t>
      </w:r>
      <w:r w:rsidR="00402C0D">
        <w:t>а</w:t>
      </w:r>
      <w:r w:rsidRPr="00E66A46">
        <w:t>.</w:t>
      </w:r>
      <w:r w:rsidR="00DC4027" w:rsidRPr="00E66A46"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  <w:proofErr w:type="gramEnd"/>
    </w:p>
    <w:p w:rsidR="00E66A46" w:rsidRPr="00E66A46" w:rsidRDefault="002402B7" w:rsidP="00247C59">
      <w:pPr>
        <w:spacing w:line="240" w:lineRule="auto"/>
        <w:rPr>
          <w:sz w:val="24"/>
        </w:rPr>
      </w:pPr>
      <w:r w:rsidRPr="00E66A46">
        <w:rPr>
          <w:sz w:val="24"/>
        </w:rPr>
        <w:t>Вместе с этим необходимо отметить, что в РФ имеются примеры</w:t>
      </w:r>
      <w:r w:rsidR="00247C59" w:rsidRPr="00E66A46">
        <w:rPr>
          <w:sz w:val="24"/>
        </w:rPr>
        <w:t xml:space="preserve"> минимизации расходов бюджетных сре</w:t>
      </w:r>
      <w:proofErr w:type="gramStart"/>
      <w:r w:rsidR="00247C59" w:rsidRPr="00E66A46">
        <w:rPr>
          <w:sz w:val="24"/>
        </w:rPr>
        <w:t>дств пр</w:t>
      </w:r>
      <w:proofErr w:type="gramEnd"/>
      <w:r w:rsidR="00247C59" w:rsidRPr="00E66A46">
        <w:rPr>
          <w:sz w:val="24"/>
        </w:rPr>
        <w:t>и организации перевозок по РТ через механизм заключения контрактов по РТ</w:t>
      </w:r>
      <w:r w:rsidR="00E66A46" w:rsidRPr="00E66A46">
        <w:rPr>
          <w:sz w:val="24"/>
        </w:rPr>
        <w:t>.</w:t>
      </w:r>
    </w:p>
    <w:p w:rsidR="00247C59" w:rsidRPr="00452066" w:rsidRDefault="00247C59" w:rsidP="00247C59">
      <w:pPr>
        <w:spacing w:line="240" w:lineRule="auto"/>
        <w:rPr>
          <w:rFonts w:eastAsia="Times New Roman"/>
          <w:sz w:val="24"/>
          <w:lang w:eastAsia="ru-RU"/>
        </w:rPr>
      </w:pPr>
      <w:r w:rsidRPr="00247C59">
        <w:rPr>
          <w:rFonts w:eastAsia="Times New Roman"/>
          <w:sz w:val="24"/>
          <w:lang w:eastAsia="ru-RU"/>
        </w:rPr>
        <w:t>Так,</w:t>
      </w:r>
      <w:r w:rsidR="00E66A46" w:rsidRPr="00E66A46">
        <w:rPr>
          <w:rFonts w:eastAsia="Times New Roman"/>
          <w:sz w:val="24"/>
          <w:lang w:eastAsia="ru-RU"/>
        </w:rPr>
        <w:t xml:space="preserve"> </w:t>
      </w:r>
      <w:r w:rsidR="00E66A46" w:rsidRPr="00247C59">
        <w:rPr>
          <w:rFonts w:eastAsia="Times New Roman"/>
          <w:sz w:val="24"/>
          <w:lang w:eastAsia="ru-RU"/>
        </w:rPr>
        <w:t>например</w:t>
      </w:r>
      <w:r w:rsidR="00E66A46" w:rsidRPr="00E66A46">
        <w:rPr>
          <w:rFonts w:eastAsia="Times New Roman"/>
          <w:sz w:val="24"/>
          <w:lang w:eastAsia="ru-RU"/>
        </w:rPr>
        <w:t>, согласно информации, размещенной в единой информационной системе в сфере закупок (</w:t>
      </w:r>
      <w:hyperlink r:id="rId17" w:history="1">
        <w:r w:rsidR="00E66A46" w:rsidRPr="00E66A46">
          <w:rPr>
            <w:rFonts w:eastAsia="Times New Roman"/>
            <w:sz w:val="24"/>
            <w:lang w:eastAsia="ru-RU"/>
          </w:rPr>
          <w:t>http://zakupki.gov.ru/</w:t>
        </w:r>
      </w:hyperlink>
      <w:r w:rsidR="00E66A46" w:rsidRPr="00E66A46">
        <w:rPr>
          <w:rFonts w:eastAsia="Times New Roman"/>
          <w:sz w:val="24"/>
          <w:lang w:eastAsia="ru-RU"/>
        </w:rPr>
        <w:t>)</w:t>
      </w:r>
      <w:r w:rsidRPr="00247C59">
        <w:rPr>
          <w:rFonts w:eastAsia="Times New Roman"/>
          <w:sz w:val="24"/>
          <w:lang w:eastAsia="ru-RU"/>
        </w:rPr>
        <w:t xml:space="preserve">, </w:t>
      </w:r>
      <w:r w:rsidR="00E66A46" w:rsidRPr="00E66A46">
        <w:rPr>
          <w:rFonts w:eastAsia="Times New Roman"/>
          <w:sz w:val="24"/>
          <w:lang w:eastAsia="ru-RU"/>
        </w:rPr>
        <w:t>НМЦК</w:t>
      </w:r>
      <w:r w:rsidRPr="00247C59">
        <w:rPr>
          <w:rFonts w:eastAsia="Times New Roman"/>
          <w:sz w:val="24"/>
          <w:lang w:eastAsia="ru-RU"/>
        </w:rPr>
        <w:t xml:space="preserve"> всех контрактов на выполнение работ, связанных с осуществлением регулярных перевозок </w:t>
      </w:r>
      <w:r w:rsidR="00E66A46" w:rsidRPr="00E66A46">
        <w:rPr>
          <w:rFonts w:eastAsia="Times New Roman"/>
          <w:sz w:val="24"/>
          <w:lang w:eastAsia="ru-RU"/>
        </w:rPr>
        <w:t>по РТ</w:t>
      </w:r>
      <w:r w:rsidRPr="00247C59">
        <w:rPr>
          <w:rFonts w:eastAsia="Times New Roman"/>
          <w:sz w:val="24"/>
          <w:lang w:eastAsia="ru-RU"/>
        </w:rPr>
        <w:t xml:space="preserve"> по смежным межрегиональным маршрутам Ленинградской области</w:t>
      </w:r>
      <w:r w:rsidR="00402C0D">
        <w:rPr>
          <w:rFonts w:eastAsia="Times New Roman"/>
          <w:sz w:val="24"/>
          <w:lang w:eastAsia="ru-RU"/>
        </w:rPr>
        <w:t>,</w:t>
      </w:r>
      <w:r w:rsidRPr="00247C59">
        <w:rPr>
          <w:rFonts w:eastAsia="Times New Roman"/>
          <w:sz w:val="24"/>
          <w:lang w:eastAsia="ru-RU"/>
        </w:rPr>
        <w:t xml:space="preserve"> </w:t>
      </w:r>
      <w:proofErr w:type="gramStart"/>
      <w:r w:rsidRPr="00247C59">
        <w:rPr>
          <w:rFonts w:eastAsia="Times New Roman"/>
          <w:sz w:val="24"/>
          <w:lang w:eastAsia="ru-RU"/>
        </w:rPr>
        <w:t>рассчитана</w:t>
      </w:r>
      <w:proofErr w:type="gramEnd"/>
      <w:r w:rsidRPr="00247C59">
        <w:rPr>
          <w:rFonts w:eastAsia="Times New Roman"/>
          <w:sz w:val="24"/>
          <w:lang w:eastAsia="ru-RU"/>
        </w:rPr>
        <w:t xml:space="preserve"> </w:t>
      </w:r>
      <w:r w:rsidRPr="00247C59">
        <w:rPr>
          <w:rFonts w:eastAsia="Times New Roman"/>
          <w:b/>
          <w:sz w:val="24"/>
          <w:u w:val="single"/>
          <w:lang w:eastAsia="ru-RU"/>
        </w:rPr>
        <w:t>в сумме 1,0 рубль</w:t>
      </w:r>
      <w:r w:rsidRPr="00247C59">
        <w:rPr>
          <w:rFonts w:eastAsia="Times New Roman"/>
          <w:sz w:val="24"/>
          <w:lang w:eastAsia="ru-RU"/>
        </w:rPr>
        <w:t>.</w:t>
      </w:r>
      <w:r w:rsidR="00E66A46">
        <w:rPr>
          <w:rFonts w:eastAsia="Times New Roman"/>
          <w:sz w:val="24"/>
          <w:lang w:eastAsia="ru-RU"/>
        </w:rPr>
        <w:t xml:space="preserve"> Контракты являются долгосрочными – 4-5 лет. Указанный размер НМЦК обеспечивается </w:t>
      </w:r>
      <w:r w:rsidR="00E66A46" w:rsidRPr="00452066">
        <w:rPr>
          <w:rFonts w:eastAsia="Times New Roman"/>
          <w:sz w:val="24"/>
          <w:lang w:eastAsia="ru-RU"/>
        </w:rPr>
        <w:t>включением в один лот трёх-семи «прибыльных» и «убыточных» маршрутов.</w:t>
      </w:r>
      <w:r w:rsidR="00A45E5D" w:rsidRPr="00A45E5D">
        <w:rPr>
          <w:rFonts w:eastAsia="Times New Roman"/>
          <w:sz w:val="24"/>
          <w:lang w:eastAsia="ru-RU"/>
        </w:rPr>
        <w:t xml:space="preserve"> </w:t>
      </w:r>
      <w:r w:rsidR="00A45E5D">
        <w:rPr>
          <w:rFonts w:eastAsia="Times New Roman"/>
          <w:sz w:val="24"/>
          <w:lang w:eastAsia="ru-RU"/>
        </w:rPr>
        <w:t>Размер платы за проезд пассажиров превышает стоимость работы транспортных средств за счёт</w:t>
      </w:r>
      <w:r w:rsidR="00A45E5D" w:rsidRPr="00452066">
        <w:rPr>
          <w:rFonts w:eastAsia="Times New Roman"/>
          <w:sz w:val="24"/>
          <w:lang w:eastAsia="ru-RU"/>
        </w:rPr>
        <w:t xml:space="preserve"> </w:t>
      </w:r>
      <w:r w:rsidR="00E5303C">
        <w:rPr>
          <w:rFonts w:eastAsia="Times New Roman"/>
          <w:sz w:val="24"/>
          <w:lang w:eastAsia="ru-RU"/>
        </w:rPr>
        <w:t xml:space="preserve">значительного </w:t>
      </w:r>
      <w:r w:rsidR="00A45E5D" w:rsidRPr="00452066">
        <w:rPr>
          <w:rFonts w:eastAsia="Times New Roman"/>
          <w:sz w:val="24"/>
          <w:lang w:eastAsia="ru-RU"/>
        </w:rPr>
        <w:t>планируемого пассажирооборота на маршрутах</w:t>
      </w:r>
      <w:r w:rsidR="00A45E5D">
        <w:rPr>
          <w:rFonts w:eastAsia="Times New Roman"/>
          <w:sz w:val="24"/>
          <w:lang w:eastAsia="ru-RU"/>
        </w:rPr>
        <w:t xml:space="preserve"> и </w:t>
      </w:r>
      <w:r w:rsidR="00E5303C">
        <w:rPr>
          <w:rFonts w:eastAsia="Times New Roman"/>
          <w:sz w:val="24"/>
          <w:lang w:eastAsia="ru-RU"/>
        </w:rPr>
        <w:t>величины</w:t>
      </w:r>
      <w:r w:rsidR="00A45E5D">
        <w:rPr>
          <w:rFonts w:eastAsia="Times New Roman"/>
          <w:sz w:val="24"/>
          <w:lang w:eastAsia="ru-RU"/>
        </w:rPr>
        <w:t xml:space="preserve"> тариф</w:t>
      </w:r>
      <w:r w:rsidR="00E5303C">
        <w:rPr>
          <w:rFonts w:eastAsia="Times New Roman"/>
          <w:sz w:val="24"/>
          <w:lang w:eastAsia="ru-RU"/>
        </w:rPr>
        <w:t>а.</w:t>
      </w:r>
    </w:p>
    <w:p w:rsidR="00520558" w:rsidRPr="00452066" w:rsidRDefault="00520558" w:rsidP="00520558">
      <w:pPr>
        <w:spacing w:line="240" w:lineRule="auto"/>
        <w:rPr>
          <w:rFonts w:eastAsia="Times New Roman"/>
          <w:sz w:val="24"/>
          <w:lang w:eastAsia="ru-RU"/>
        </w:rPr>
      </w:pPr>
      <w:proofErr w:type="gramStart"/>
      <w:r w:rsidRPr="00452066">
        <w:rPr>
          <w:rFonts w:eastAsia="Times New Roman"/>
          <w:sz w:val="24"/>
          <w:lang w:eastAsia="ru-RU"/>
        </w:rPr>
        <w:t>Подобные подходы применены также в Кемеровской (НМЦК 0,01 руб.), Тамбовской (0,2 руб.), Ярославской (1,0 руб.) областях, Красноярском крае (6,00 руб.) и Республике Алтай (10,0 руб.).</w:t>
      </w:r>
      <w:proofErr w:type="gramEnd"/>
    </w:p>
    <w:p w:rsidR="001F4DCE" w:rsidRPr="00452066" w:rsidRDefault="001F4DCE" w:rsidP="001E1AA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i/>
          <w:sz w:val="24"/>
        </w:rPr>
      </w:pPr>
    </w:p>
    <w:p w:rsidR="00611639" w:rsidRPr="00F732C2" w:rsidRDefault="00F732C2" w:rsidP="001E1AA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i/>
          <w:sz w:val="24"/>
        </w:rPr>
      </w:pPr>
      <w:r w:rsidRPr="00F732C2">
        <w:rPr>
          <w:rFonts w:eastAsiaTheme="minorHAnsi"/>
          <w:i/>
          <w:sz w:val="24"/>
        </w:rPr>
        <w:lastRenderedPageBreak/>
        <w:t>Экономическое состояние перевозчиков</w:t>
      </w:r>
    </w:p>
    <w:p w:rsidR="00611639" w:rsidRDefault="001516FD" w:rsidP="00FB0030">
      <w:pPr>
        <w:autoSpaceDE w:val="0"/>
        <w:autoSpaceDN w:val="0"/>
        <w:adjustRightInd w:val="0"/>
        <w:spacing w:line="240" w:lineRule="auto"/>
        <w:ind w:firstLine="708"/>
        <w:rPr>
          <w:rFonts w:eastAsiaTheme="minorHAnsi"/>
          <w:sz w:val="24"/>
        </w:rPr>
      </w:pPr>
      <w:r>
        <w:rPr>
          <w:rFonts w:eastAsiaTheme="minorHAnsi"/>
          <w:sz w:val="24"/>
        </w:rPr>
        <w:t>Как упоминалось выше</w:t>
      </w:r>
      <w:r w:rsidR="00A66BD9">
        <w:rPr>
          <w:rFonts w:eastAsiaTheme="minorHAnsi"/>
          <w:sz w:val="24"/>
        </w:rPr>
        <w:t>,</w:t>
      </w:r>
      <w:r>
        <w:rPr>
          <w:rFonts w:eastAsiaTheme="minorHAnsi"/>
          <w:sz w:val="24"/>
        </w:rPr>
        <w:t xml:space="preserve"> межмуниципальные маршруты по РТ в Волгоградской области в основном обслуживают ГУП «</w:t>
      </w:r>
      <w:proofErr w:type="spellStart"/>
      <w:r>
        <w:rPr>
          <w:rFonts w:eastAsiaTheme="minorHAnsi"/>
          <w:sz w:val="24"/>
        </w:rPr>
        <w:t>Волгоградавтотранс</w:t>
      </w:r>
      <w:proofErr w:type="spellEnd"/>
      <w:r>
        <w:rPr>
          <w:rFonts w:eastAsiaTheme="minorHAnsi"/>
          <w:sz w:val="24"/>
        </w:rPr>
        <w:t>» и МУП «ВАК № 1732». В 2018 году 9 месяцев маршруты № 123, № 146 (Волжский - Волгоград) обслуживались ООО «ВАП».</w:t>
      </w:r>
    </w:p>
    <w:p w:rsidR="0025143E" w:rsidRPr="0025143E" w:rsidRDefault="0025143E" w:rsidP="002A6752">
      <w:pPr>
        <w:spacing w:line="240" w:lineRule="auto"/>
        <w:rPr>
          <w:rFonts w:eastAsiaTheme="minorEastAsia"/>
          <w:sz w:val="24"/>
          <w:lang w:eastAsia="ru-RU"/>
        </w:rPr>
      </w:pPr>
      <w:r>
        <w:rPr>
          <w:rFonts w:eastAsia="Calibri"/>
          <w:sz w:val="24"/>
        </w:rPr>
        <w:t>В</w:t>
      </w:r>
      <w:r w:rsidRPr="0025143E">
        <w:rPr>
          <w:rFonts w:eastAsia="Calibri"/>
          <w:sz w:val="24"/>
        </w:rPr>
        <w:t xml:space="preserve"> состав ГУП «</w:t>
      </w:r>
      <w:proofErr w:type="spellStart"/>
      <w:r w:rsidRPr="0025143E">
        <w:rPr>
          <w:rFonts w:eastAsia="Calibri"/>
          <w:sz w:val="24"/>
        </w:rPr>
        <w:t>Волгоградавтотранс</w:t>
      </w:r>
      <w:proofErr w:type="spellEnd"/>
      <w:r w:rsidRPr="0025143E">
        <w:rPr>
          <w:rFonts w:eastAsia="Calibri"/>
          <w:sz w:val="24"/>
        </w:rPr>
        <w:t>» входят 10 филиалов и 14 структурных подразделений</w:t>
      </w:r>
      <w:r>
        <w:rPr>
          <w:rFonts w:eastAsia="Calibri"/>
          <w:sz w:val="24"/>
        </w:rPr>
        <w:t>. Из 10 филиалов только 6</w:t>
      </w:r>
      <w:r w:rsidRPr="0025143E">
        <w:rPr>
          <w:rFonts w:eastAsia="Calibri"/>
          <w:sz w:val="24"/>
        </w:rPr>
        <w:t xml:space="preserve"> осуществляют деятельность по перевозке пассажиров.</w:t>
      </w:r>
      <w:r>
        <w:rPr>
          <w:rFonts w:eastAsia="Calibri"/>
          <w:sz w:val="24"/>
        </w:rPr>
        <w:t xml:space="preserve"> </w:t>
      </w:r>
      <w:r w:rsidRPr="0025143E">
        <w:rPr>
          <w:rFonts w:eastAsia="Calibri"/>
          <w:sz w:val="24"/>
        </w:rPr>
        <w:t>Четыре филиала предоставляли часть имущества в аренду и безвозмездное пользование.</w:t>
      </w:r>
      <w:r>
        <w:rPr>
          <w:rFonts w:eastAsia="Calibri"/>
          <w:sz w:val="24"/>
        </w:rPr>
        <w:t xml:space="preserve"> </w:t>
      </w:r>
      <w:r w:rsidRPr="0025143E">
        <w:rPr>
          <w:rFonts w:eastAsiaTheme="minorEastAsia"/>
          <w:sz w:val="24"/>
          <w:lang w:eastAsia="ru-RU"/>
        </w:rPr>
        <w:t xml:space="preserve">Предприятие наделено имуществом на праве хозяйственного ведения. Балансовая стоимость основных средств на 01.01.2019 составляла 712 171,9 тыс. рублей. </w:t>
      </w:r>
    </w:p>
    <w:p w:rsidR="0025143E" w:rsidRPr="007A1CB5" w:rsidRDefault="0025143E" w:rsidP="002A6752">
      <w:pPr>
        <w:spacing w:line="240" w:lineRule="auto"/>
        <w:rPr>
          <w:rFonts w:eastAsiaTheme="minorEastAsia"/>
          <w:sz w:val="24"/>
          <w:lang w:eastAsia="ru-RU"/>
        </w:rPr>
      </w:pPr>
      <w:r w:rsidRPr="0025143E">
        <w:rPr>
          <w:rFonts w:eastAsiaTheme="minorEastAsia"/>
          <w:sz w:val="24"/>
          <w:lang w:eastAsia="ru-RU"/>
        </w:rPr>
        <w:t xml:space="preserve">Автобусный парк </w:t>
      </w:r>
      <w:r>
        <w:rPr>
          <w:rFonts w:eastAsiaTheme="minorEastAsia"/>
          <w:sz w:val="24"/>
          <w:lang w:eastAsia="ru-RU"/>
        </w:rPr>
        <w:t>ГУП</w:t>
      </w:r>
      <w:r w:rsidRPr="0025143E">
        <w:rPr>
          <w:rFonts w:eastAsiaTheme="minorEastAsia"/>
          <w:sz w:val="24"/>
          <w:lang w:eastAsia="ru-RU"/>
        </w:rPr>
        <w:t xml:space="preserve"> состоит </w:t>
      </w:r>
      <w:r w:rsidRPr="00D35304">
        <w:rPr>
          <w:rFonts w:eastAsiaTheme="minorEastAsia"/>
          <w:sz w:val="24"/>
          <w:lang w:eastAsia="ru-RU"/>
        </w:rPr>
        <w:t>из 324 единиц</w:t>
      </w:r>
      <w:r w:rsidR="00D35304" w:rsidRPr="00D35304">
        <w:rPr>
          <w:rFonts w:eastAsiaTheme="minorEastAsia"/>
          <w:sz w:val="24"/>
          <w:lang w:eastAsia="ru-RU"/>
        </w:rPr>
        <w:t xml:space="preserve">, </w:t>
      </w:r>
      <w:r w:rsidR="006B1693" w:rsidRPr="00D35304">
        <w:rPr>
          <w:rFonts w:eastAsiaTheme="minorEastAsia"/>
          <w:sz w:val="24"/>
          <w:lang w:eastAsia="ru-RU"/>
        </w:rPr>
        <w:t>в том числе</w:t>
      </w:r>
      <w:r w:rsidRPr="00D35304">
        <w:rPr>
          <w:rFonts w:eastAsiaTheme="minorEastAsia"/>
          <w:sz w:val="24"/>
          <w:lang w:eastAsia="ru-RU"/>
        </w:rPr>
        <w:t xml:space="preserve"> </w:t>
      </w:r>
      <w:r w:rsidR="005205A3">
        <w:rPr>
          <w:rFonts w:eastAsiaTheme="minorEastAsia"/>
          <w:sz w:val="24"/>
          <w:lang w:eastAsia="ru-RU"/>
        </w:rPr>
        <w:t>303</w:t>
      </w:r>
      <w:r w:rsidRPr="00D35304">
        <w:rPr>
          <w:rFonts w:eastAsiaTheme="minorEastAsia"/>
          <w:sz w:val="24"/>
          <w:lang w:eastAsia="ru-RU"/>
        </w:rPr>
        <w:t xml:space="preserve"> автобуса получено безвозмездно от </w:t>
      </w:r>
      <w:proofErr w:type="spellStart"/>
      <w:r w:rsidRPr="00D35304">
        <w:rPr>
          <w:rFonts w:eastAsiaTheme="minorEastAsia"/>
          <w:sz w:val="24"/>
          <w:lang w:eastAsia="ru-RU"/>
        </w:rPr>
        <w:t>Облкомдортранса</w:t>
      </w:r>
      <w:proofErr w:type="spellEnd"/>
      <w:r w:rsidR="005205A3">
        <w:rPr>
          <w:rFonts w:eastAsiaTheme="minorEastAsia"/>
          <w:sz w:val="24"/>
          <w:lang w:eastAsia="ru-RU"/>
        </w:rPr>
        <w:t>,</w:t>
      </w:r>
      <w:r w:rsidRPr="007A1CB5">
        <w:rPr>
          <w:rFonts w:eastAsiaTheme="minorEastAsia"/>
          <w:sz w:val="24"/>
          <w:lang w:eastAsia="ru-RU"/>
        </w:rPr>
        <w:t xml:space="preserve"> местных администраций</w:t>
      </w:r>
      <w:r w:rsidR="005205A3">
        <w:rPr>
          <w:rFonts w:eastAsiaTheme="minorEastAsia"/>
          <w:sz w:val="24"/>
          <w:lang w:eastAsia="ru-RU"/>
        </w:rPr>
        <w:t>,</w:t>
      </w:r>
      <w:r w:rsidR="00221E8A" w:rsidRPr="007A1CB5">
        <w:rPr>
          <w:sz w:val="24"/>
        </w:rPr>
        <w:t xml:space="preserve"> других юридических лиц в результате реорганизации предприятий в 2011-2013 </w:t>
      </w:r>
      <w:r w:rsidR="007A1CB5" w:rsidRPr="007A1CB5">
        <w:rPr>
          <w:sz w:val="24"/>
        </w:rPr>
        <w:t>годах</w:t>
      </w:r>
      <w:r w:rsidRPr="007A1CB5">
        <w:rPr>
          <w:rFonts w:eastAsiaTheme="minorEastAsia"/>
          <w:sz w:val="24"/>
          <w:lang w:eastAsia="ru-RU"/>
        </w:rPr>
        <w:t>.</w:t>
      </w:r>
      <w:r w:rsidR="00D32172" w:rsidRPr="007A1CB5">
        <w:rPr>
          <w:rFonts w:eastAsiaTheme="minorEastAsia"/>
          <w:sz w:val="24"/>
          <w:lang w:eastAsia="ru-RU"/>
        </w:rPr>
        <w:t xml:space="preserve"> </w:t>
      </w:r>
      <w:r w:rsidRPr="007A1CB5">
        <w:rPr>
          <w:rFonts w:eastAsiaTheme="minorEastAsia"/>
          <w:sz w:val="24"/>
          <w:lang w:eastAsia="ru-RU"/>
        </w:rPr>
        <w:t xml:space="preserve">33 автобуса (или 10% автобусного парка) на </w:t>
      </w:r>
      <w:r w:rsidR="00D32172" w:rsidRPr="007A1CB5">
        <w:rPr>
          <w:rFonts w:eastAsiaTheme="minorEastAsia"/>
          <w:sz w:val="24"/>
          <w:lang w:eastAsia="ru-RU"/>
        </w:rPr>
        <w:t>дату</w:t>
      </w:r>
      <w:r w:rsidRPr="007A1CB5">
        <w:rPr>
          <w:rFonts w:eastAsiaTheme="minorEastAsia"/>
          <w:sz w:val="24"/>
          <w:lang w:eastAsia="ru-RU"/>
        </w:rPr>
        <w:t xml:space="preserve"> проверки не эксплуатируются в связи с непригодностью</w:t>
      </w:r>
      <w:r w:rsidR="00D32172" w:rsidRPr="007A1CB5">
        <w:rPr>
          <w:rFonts w:eastAsiaTheme="minorEastAsia"/>
          <w:sz w:val="24"/>
          <w:lang w:eastAsia="ru-RU"/>
        </w:rPr>
        <w:t xml:space="preserve"> и</w:t>
      </w:r>
      <w:r w:rsidRPr="007A1CB5">
        <w:rPr>
          <w:rFonts w:eastAsiaTheme="minorEastAsia"/>
          <w:sz w:val="24"/>
          <w:lang w:eastAsia="ru-RU"/>
        </w:rPr>
        <w:t xml:space="preserve"> не подлежат ремонту.</w:t>
      </w:r>
    </w:p>
    <w:p w:rsidR="0025143E" w:rsidRDefault="0025143E" w:rsidP="002A6752">
      <w:pPr>
        <w:spacing w:line="240" w:lineRule="auto"/>
        <w:rPr>
          <w:rFonts w:eastAsiaTheme="minorEastAsia"/>
          <w:sz w:val="24"/>
          <w:lang w:eastAsia="ru-RU"/>
        </w:rPr>
      </w:pPr>
      <w:r w:rsidRPr="007A1CB5">
        <w:rPr>
          <w:rFonts w:eastAsiaTheme="minorEastAsia"/>
          <w:sz w:val="24"/>
          <w:lang w:eastAsia="ru-RU"/>
        </w:rPr>
        <w:t>Среднесписочная</w:t>
      </w:r>
      <w:r w:rsidRPr="0025143E">
        <w:rPr>
          <w:rFonts w:eastAsiaTheme="minorEastAsia"/>
          <w:sz w:val="24"/>
          <w:lang w:eastAsia="ru-RU"/>
        </w:rPr>
        <w:t xml:space="preserve"> численность работников ГУП за 2018 год составляла 703 человека, из них 44,1% приходится на долю водителей, 14,8% - доля работников ремонтной зоны, 27,5</w:t>
      </w:r>
      <w:r w:rsidR="002402B7">
        <w:rPr>
          <w:rFonts w:eastAsiaTheme="minorEastAsia"/>
          <w:sz w:val="24"/>
          <w:lang w:eastAsia="ru-RU"/>
        </w:rPr>
        <w:t> </w:t>
      </w:r>
      <w:r w:rsidRPr="0025143E">
        <w:rPr>
          <w:rFonts w:eastAsiaTheme="minorEastAsia"/>
          <w:sz w:val="24"/>
          <w:lang w:eastAsia="ru-RU"/>
        </w:rPr>
        <w:t xml:space="preserve">% </w:t>
      </w:r>
      <w:r w:rsidR="00D32172">
        <w:rPr>
          <w:rFonts w:eastAsiaTheme="minorEastAsia"/>
          <w:sz w:val="24"/>
          <w:lang w:eastAsia="ru-RU"/>
        </w:rPr>
        <w:t>-</w:t>
      </w:r>
      <w:r w:rsidRPr="0025143E">
        <w:rPr>
          <w:rFonts w:eastAsiaTheme="minorEastAsia"/>
          <w:sz w:val="24"/>
          <w:lang w:eastAsia="ru-RU"/>
        </w:rPr>
        <w:t xml:space="preserve"> на долю служащих. Наиболее многочисленными подразделениями являются АК</w:t>
      </w:r>
      <w:r w:rsidR="00A66BD9">
        <w:rPr>
          <w:rFonts w:eastAsiaTheme="minorEastAsia"/>
          <w:sz w:val="24"/>
          <w:lang w:eastAsia="ru-RU"/>
        </w:rPr>
        <w:t>-</w:t>
      </w:r>
      <w:r w:rsidRPr="0025143E">
        <w:rPr>
          <w:rFonts w:eastAsiaTheme="minorEastAsia"/>
          <w:sz w:val="24"/>
          <w:lang w:eastAsia="ru-RU"/>
        </w:rPr>
        <w:t>1208 с численностью 244 чел. (34,7% от общей численности) и ПАТП</w:t>
      </w:r>
      <w:r w:rsidR="00A66BD9">
        <w:rPr>
          <w:rFonts w:eastAsiaTheme="minorEastAsia"/>
          <w:sz w:val="24"/>
          <w:lang w:eastAsia="ru-RU"/>
        </w:rPr>
        <w:t>-</w:t>
      </w:r>
      <w:r w:rsidRPr="0025143E">
        <w:rPr>
          <w:rFonts w:eastAsiaTheme="minorEastAsia"/>
          <w:sz w:val="24"/>
          <w:lang w:eastAsia="ru-RU"/>
        </w:rPr>
        <w:t xml:space="preserve">2 с численностью 202 чел. (28,7% от общей численности), расположенные в </w:t>
      </w:r>
      <w:proofErr w:type="gramStart"/>
      <w:r w:rsidRPr="0025143E">
        <w:rPr>
          <w:rFonts w:eastAsiaTheme="minorEastAsia"/>
          <w:sz w:val="24"/>
          <w:lang w:eastAsia="ru-RU"/>
        </w:rPr>
        <w:t>г</w:t>
      </w:r>
      <w:proofErr w:type="gramEnd"/>
      <w:r w:rsidRPr="0025143E">
        <w:rPr>
          <w:rFonts w:eastAsiaTheme="minorEastAsia"/>
          <w:sz w:val="24"/>
          <w:lang w:eastAsia="ru-RU"/>
        </w:rPr>
        <w:t>. Волгограде.</w:t>
      </w:r>
      <w:r w:rsidR="00D32172">
        <w:rPr>
          <w:rFonts w:eastAsiaTheme="minorEastAsia"/>
          <w:sz w:val="24"/>
          <w:lang w:eastAsia="ru-RU"/>
        </w:rPr>
        <w:t xml:space="preserve"> </w:t>
      </w:r>
      <w:r w:rsidRPr="0025143E">
        <w:rPr>
          <w:rFonts w:eastAsiaTheme="minorEastAsia"/>
          <w:sz w:val="24"/>
          <w:lang w:eastAsia="ru-RU"/>
        </w:rPr>
        <w:t xml:space="preserve">В 1 полугодии 2019 года среднесписочная численность </w:t>
      </w:r>
      <w:r w:rsidR="00D32172">
        <w:rPr>
          <w:rFonts w:eastAsiaTheme="minorEastAsia"/>
          <w:sz w:val="24"/>
          <w:lang w:eastAsia="ru-RU"/>
        </w:rPr>
        <w:t>п</w:t>
      </w:r>
      <w:r w:rsidRPr="0025143E">
        <w:rPr>
          <w:rFonts w:eastAsiaTheme="minorEastAsia"/>
          <w:sz w:val="24"/>
          <w:lang w:eastAsia="ru-RU"/>
        </w:rPr>
        <w:t>редприятия увеличилась на 32 человека за счёт увеличения численности кондукторов и водителей ПАТП</w:t>
      </w:r>
      <w:r w:rsidR="00A66BD9">
        <w:rPr>
          <w:rFonts w:eastAsiaTheme="minorEastAsia"/>
          <w:sz w:val="24"/>
          <w:lang w:eastAsia="ru-RU"/>
        </w:rPr>
        <w:t>-</w:t>
      </w:r>
      <w:r w:rsidRPr="0025143E">
        <w:rPr>
          <w:rFonts w:eastAsiaTheme="minorEastAsia"/>
          <w:sz w:val="24"/>
          <w:lang w:eastAsia="ru-RU"/>
        </w:rPr>
        <w:t>2 и АК</w:t>
      </w:r>
      <w:r w:rsidR="00A66BD9">
        <w:rPr>
          <w:rFonts w:eastAsiaTheme="minorEastAsia"/>
          <w:sz w:val="24"/>
          <w:lang w:eastAsia="ru-RU"/>
        </w:rPr>
        <w:t>-</w:t>
      </w:r>
      <w:r w:rsidRPr="0025143E">
        <w:rPr>
          <w:rFonts w:eastAsiaTheme="minorEastAsia"/>
          <w:sz w:val="24"/>
          <w:lang w:eastAsia="ru-RU"/>
        </w:rPr>
        <w:t xml:space="preserve">1208. Среднемесячная заработная плата одного работника </w:t>
      </w:r>
      <w:r w:rsidR="00D32172">
        <w:rPr>
          <w:rFonts w:eastAsiaTheme="minorEastAsia"/>
          <w:sz w:val="24"/>
          <w:lang w:eastAsia="ru-RU"/>
        </w:rPr>
        <w:t>п</w:t>
      </w:r>
      <w:r w:rsidRPr="0025143E">
        <w:rPr>
          <w:rFonts w:eastAsiaTheme="minorEastAsia"/>
          <w:sz w:val="24"/>
          <w:lang w:eastAsia="ru-RU"/>
        </w:rPr>
        <w:t>редприятия в 2018 году составила 20,9 тыс.</w:t>
      </w:r>
      <w:r w:rsidR="00D32172">
        <w:rPr>
          <w:rFonts w:eastAsiaTheme="minorEastAsia"/>
          <w:sz w:val="24"/>
          <w:lang w:eastAsia="ru-RU"/>
        </w:rPr>
        <w:t xml:space="preserve"> </w:t>
      </w:r>
      <w:r w:rsidRPr="0025143E">
        <w:rPr>
          <w:rFonts w:eastAsiaTheme="minorEastAsia"/>
          <w:sz w:val="24"/>
          <w:lang w:eastAsia="ru-RU"/>
        </w:rPr>
        <w:t>рублей.</w:t>
      </w:r>
    </w:p>
    <w:p w:rsidR="0025143E" w:rsidRDefault="0025143E" w:rsidP="002A6752">
      <w:pPr>
        <w:spacing w:line="240" w:lineRule="auto"/>
        <w:rPr>
          <w:rFonts w:eastAsiaTheme="minorEastAsia"/>
          <w:sz w:val="24"/>
          <w:lang w:eastAsia="ru-RU"/>
        </w:rPr>
      </w:pPr>
      <w:r w:rsidRPr="0025143E">
        <w:rPr>
          <w:rFonts w:eastAsiaTheme="minorEastAsia"/>
          <w:sz w:val="24"/>
          <w:lang w:eastAsia="ru-RU"/>
        </w:rPr>
        <w:t xml:space="preserve">В результате финансово-хозяйственной деятельности </w:t>
      </w:r>
      <w:r w:rsidR="003B3EE3">
        <w:rPr>
          <w:rFonts w:eastAsiaTheme="minorEastAsia"/>
          <w:sz w:val="24"/>
          <w:lang w:eastAsia="ru-RU"/>
        </w:rPr>
        <w:t xml:space="preserve">предприятия </w:t>
      </w:r>
      <w:r w:rsidRPr="0025143E">
        <w:rPr>
          <w:rFonts w:eastAsiaTheme="minorEastAsia"/>
          <w:sz w:val="24"/>
          <w:lang w:eastAsia="ru-RU"/>
        </w:rPr>
        <w:t>ежегодно образовывался убыток</w:t>
      </w:r>
      <w:r w:rsidR="00FC6DD0">
        <w:rPr>
          <w:rFonts w:eastAsiaTheme="minorEastAsia"/>
          <w:sz w:val="24"/>
          <w:lang w:eastAsia="ru-RU"/>
        </w:rPr>
        <w:t>: в 2016 году -</w:t>
      </w:r>
      <w:r w:rsidR="00D32172">
        <w:rPr>
          <w:rFonts w:eastAsiaTheme="minorEastAsia"/>
          <w:sz w:val="24"/>
          <w:lang w:eastAsia="ru-RU"/>
        </w:rPr>
        <w:t xml:space="preserve"> 7 191,0</w:t>
      </w:r>
      <w:r w:rsidR="00FC6DD0">
        <w:rPr>
          <w:rFonts w:eastAsiaTheme="minorEastAsia"/>
          <w:sz w:val="24"/>
          <w:lang w:eastAsia="ru-RU"/>
        </w:rPr>
        <w:t xml:space="preserve"> тыс. руб., в 2017 году - 23 268,0 тыс. руб., в 2018 году –</w:t>
      </w:r>
      <w:r w:rsidR="00D32172">
        <w:rPr>
          <w:rFonts w:eastAsiaTheme="minorEastAsia"/>
          <w:sz w:val="24"/>
          <w:lang w:eastAsia="ru-RU"/>
        </w:rPr>
        <w:t xml:space="preserve"> </w:t>
      </w:r>
      <w:r w:rsidR="00FC6DD0">
        <w:rPr>
          <w:rFonts w:eastAsiaTheme="minorEastAsia"/>
          <w:sz w:val="24"/>
          <w:lang w:eastAsia="ru-RU"/>
        </w:rPr>
        <w:t>12 901,0</w:t>
      </w:r>
      <w:r w:rsidRPr="0025143E">
        <w:rPr>
          <w:rFonts w:eastAsiaTheme="minorEastAsia"/>
          <w:sz w:val="24"/>
          <w:lang w:eastAsia="ru-RU"/>
        </w:rPr>
        <w:t xml:space="preserve"> тыс. руб</w:t>
      </w:r>
      <w:r w:rsidR="00D32172">
        <w:rPr>
          <w:rFonts w:eastAsiaTheme="minorEastAsia"/>
          <w:sz w:val="24"/>
          <w:lang w:eastAsia="ru-RU"/>
        </w:rPr>
        <w:t>лей</w:t>
      </w:r>
      <w:r w:rsidRPr="0025143E">
        <w:rPr>
          <w:rFonts w:eastAsiaTheme="minorEastAsia"/>
          <w:sz w:val="24"/>
          <w:lang w:eastAsia="ru-RU"/>
        </w:rPr>
        <w:t xml:space="preserve">. </w:t>
      </w:r>
      <w:r w:rsidR="003B3EE3">
        <w:rPr>
          <w:rFonts w:eastAsiaTheme="minorEastAsia"/>
          <w:sz w:val="24"/>
          <w:lang w:eastAsia="ru-RU"/>
        </w:rPr>
        <w:t>Одной из п</w:t>
      </w:r>
      <w:r w:rsidRPr="0025143E">
        <w:rPr>
          <w:rFonts w:eastAsiaTheme="minorEastAsia"/>
          <w:sz w:val="24"/>
          <w:lang w:eastAsia="ru-RU"/>
        </w:rPr>
        <w:t>ричин убытков является содержание неиспользуемого имущества автотранспортных баз, числящихся за филиалами ГУП, которые не осуществляли деятельность</w:t>
      </w:r>
      <w:r w:rsidR="00667201">
        <w:rPr>
          <w:rFonts w:eastAsiaTheme="minorEastAsia"/>
          <w:sz w:val="24"/>
          <w:lang w:eastAsia="ru-RU"/>
        </w:rPr>
        <w:t xml:space="preserve"> по перевозке пассажиров</w:t>
      </w:r>
      <w:r w:rsidRPr="0025143E">
        <w:rPr>
          <w:rFonts w:eastAsiaTheme="minorEastAsia"/>
          <w:sz w:val="24"/>
          <w:lang w:eastAsia="ru-RU"/>
        </w:rPr>
        <w:t xml:space="preserve">. Так, </w:t>
      </w:r>
      <w:r w:rsidR="00D32172">
        <w:rPr>
          <w:rFonts w:eastAsiaTheme="minorEastAsia"/>
          <w:sz w:val="24"/>
          <w:lang w:eastAsia="ru-RU"/>
        </w:rPr>
        <w:t>в</w:t>
      </w:r>
      <w:r w:rsidRPr="0025143E">
        <w:rPr>
          <w:rFonts w:eastAsiaTheme="minorEastAsia"/>
          <w:sz w:val="24"/>
          <w:lang w:eastAsia="ru-RU"/>
        </w:rPr>
        <w:t xml:space="preserve"> 2018 год</w:t>
      </w:r>
      <w:r w:rsidR="00D32172">
        <w:rPr>
          <w:rFonts w:eastAsiaTheme="minorEastAsia"/>
          <w:sz w:val="24"/>
          <w:lang w:eastAsia="ru-RU"/>
        </w:rPr>
        <w:t>у</w:t>
      </w:r>
      <w:r w:rsidRPr="0025143E">
        <w:rPr>
          <w:rFonts w:eastAsiaTheme="minorEastAsia"/>
          <w:sz w:val="24"/>
          <w:lang w:eastAsia="ru-RU"/>
        </w:rPr>
        <w:t xml:space="preserve"> «расходы на содержание законсервированных производственных баз</w:t>
      </w:r>
      <w:r w:rsidR="00D32172">
        <w:rPr>
          <w:rFonts w:eastAsiaTheme="minorEastAsia"/>
          <w:sz w:val="24"/>
          <w:lang w:eastAsia="ru-RU"/>
        </w:rPr>
        <w:t>»</w:t>
      </w:r>
      <w:r w:rsidRPr="0025143E">
        <w:rPr>
          <w:rFonts w:eastAsiaTheme="minorEastAsia"/>
          <w:sz w:val="24"/>
          <w:lang w:eastAsia="ru-RU"/>
        </w:rPr>
        <w:t xml:space="preserve"> составили 14 806,5 тыс.</w:t>
      </w:r>
      <w:r w:rsidR="00D32172">
        <w:rPr>
          <w:rFonts w:eastAsiaTheme="minorEastAsia"/>
          <w:sz w:val="24"/>
          <w:lang w:eastAsia="ru-RU"/>
        </w:rPr>
        <w:t xml:space="preserve"> руб.</w:t>
      </w:r>
      <w:r w:rsidRPr="0025143E">
        <w:rPr>
          <w:rFonts w:eastAsiaTheme="minorEastAsia"/>
          <w:sz w:val="24"/>
          <w:lang w:eastAsia="ru-RU"/>
        </w:rPr>
        <w:t>, что сопоставимо с убытком предприятия в сумме 12</w:t>
      </w:r>
      <w:r w:rsidR="00E41824">
        <w:rPr>
          <w:rFonts w:eastAsiaTheme="minorEastAsia"/>
          <w:sz w:val="24"/>
          <w:lang w:eastAsia="ru-RU"/>
        </w:rPr>
        <w:t> </w:t>
      </w:r>
      <w:r w:rsidRPr="0025143E">
        <w:rPr>
          <w:rFonts w:eastAsiaTheme="minorEastAsia"/>
          <w:sz w:val="24"/>
          <w:lang w:eastAsia="ru-RU"/>
        </w:rPr>
        <w:t>901,0 тыс.</w:t>
      </w:r>
      <w:r w:rsidR="00D32172">
        <w:rPr>
          <w:rFonts w:eastAsiaTheme="minorEastAsia"/>
          <w:sz w:val="24"/>
          <w:lang w:eastAsia="ru-RU"/>
        </w:rPr>
        <w:t xml:space="preserve"> </w:t>
      </w:r>
      <w:r w:rsidRPr="0025143E">
        <w:rPr>
          <w:rFonts w:eastAsiaTheme="minorEastAsia"/>
          <w:sz w:val="24"/>
          <w:lang w:eastAsia="ru-RU"/>
        </w:rPr>
        <w:t>рублей.</w:t>
      </w:r>
    </w:p>
    <w:p w:rsidR="00E41824" w:rsidRPr="00FC6DD0" w:rsidRDefault="00E41824" w:rsidP="00E41824">
      <w:pPr>
        <w:spacing w:line="240" w:lineRule="auto"/>
        <w:rPr>
          <w:rFonts w:eastAsiaTheme="minorHAnsi"/>
          <w:sz w:val="24"/>
        </w:rPr>
      </w:pPr>
      <w:r>
        <w:rPr>
          <w:rFonts w:eastAsiaTheme="minorEastAsia"/>
          <w:sz w:val="24"/>
          <w:lang w:eastAsia="ru-RU"/>
        </w:rPr>
        <w:t>Информация о результатах деятельности ГУП «</w:t>
      </w:r>
      <w:proofErr w:type="spellStart"/>
      <w:r>
        <w:rPr>
          <w:rFonts w:eastAsiaTheme="minorEastAsia"/>
          <w:sz w:val="24"/>
          <w:lang w:eastAsia="ru-RU"/>
        </w:rPr>
        <w:t>Волгоградавтотранс</w:t>
      </w:r>
      <w:proofErr w:type="spellEnd"/>
      <w:r>
        <w:rPr>
          <w:rFonts w:eastAsiaTheme="minorEastAsia"/>
          <w:sz w:val="24"/>
          <w:lang w:eastAsia="ru-RU"/>
        </w:rPr>
        <w:t xml:space="preserve">» за 2018 год </w:t>
      </w:r>
      <w:r w:rsidRPr="00FC6DD0">
        <w:rPr>
          <w:rFonts w:eastAsiaTheme="minorEastAsia"/>
          <w:sz w:val="24"/>
          <w:lang w:eastAsia="ru-RU"/>
        </w:rPr>
        <w:t>в</w:t>
      </w:r>
      <w:r w:rsidR="007A1CB5" w:rsidRPr="00FC6DD0">
        <w:rPr>
          <w:rFonts w:eastAsiaTheme="minorEastAsia"/>
          <w:sz w:val="24"/>
          <w:lang w:eastAsia="ru-RU"/>
        </w:rPr>
        <w:t xml:space="preserve"> части перевозок пассажиров в</w:t>
      </w:r>
      <w:r w:rsidRPr="00FC6DD0">
        <w:rPr>
          <w:rFonts w:eastAsiaTheme="minorEastAsia"/>
          <w:sz w:val="24"/>
          <w:lang w:eastAsia="ru-RU"/>
        </w:rPr>
        <w:t xml:space="preserve"> разрезе видов </w:t>
      </w:r>
      <w:r w:rsidR="007A1CB5" w:rsidRPr="00FC6DD0">
        <w:rPr>
          <w:rFonts w:eastAsiaTheme="minorEastAsia"/>
          <w:sz w:val="24"/>
          <w:lang w:eastAsia="ru-RU"/>
        </w:rPr>
        <w:t>перевозок</w:t>
      </w:r>
      <w:r w:rsidRPr="00FC6DD0">
        <w:rPr>
          <w:rFonts w:eastAsiaTheme="minorEastAsia"/>
          <w:sz w:val="24"/>
          <w:lang w:eastAsia="ru-RU"/>
        </w:rPr>
        <w:t xml:space="preserve"> без учёта</w:t>
      </w:r>
      <w:r w:rsidR="007A1CB5" w:rsidRPr="00FC6DD0">
        <w:rPr>
          <w:rFonts w:eastAsiaTheme="minorEastAsia"/>
          <w:sz w:val="24"/>
          <w:lang w:eastAsia="ru-RU"/>
        </w:rPr>
        <w:t xml:space="preserve"> иных видов деятельности и </w:t>
      </w:r>
      <w:r w:rsidRPr="00FC6DD0">
        <w:rPr>
          <w:rFonts w:eastAsiaTheme="minorEastAsia"/>
          <w:sz w:val="24"/>
          <w:lang w:eastAsia="ru-RU"/>
        </w:rPr>
        <w:t>доходов по дебиторской задолженности за 2017 год</w:t>
      </w:r>
      <w:r w:rsidRPr="00FC6DD0">
        <w:rPr>
          <w:rFonts w:eastAsiaTheme="minorHAnsi"/>
          <w:sz w:val="24"/>
        </w:rPr>
        <w:t xml:space="preserve"> представлена в таблице.</w:t>
      </w:r>
    </w:p>
    <w:p w:rsidR="00E41824" w:rsidRDefault="00E41824" w:rsidP="00E41824">
      <w:pPr>
        <w:spacing w:line="240" w:lineRule="auto"/>
        <w:ind w:firstLine="0"/>
        <w:rPr>
          <w:rFonts w:eastAsiaTheme="minorHAnsi"/>
          <w:sz w:val="24"/>
        </w:rPr>
      </w:pPr>
    </w:p>
    <w:tbl>
      <w:tblPr>
        <w:tblW w:w="10305" w:type="dxa"/>
        <w:tblInd w:w="-743" w:type="dxa"/>
        <w:tblLook w:val="04A0"/>
      </w:tblPr>
      <w:tblGrid>
        <w:gridCol w:w="3138"/>
        <w:gridCol w:w="1449"/>
        <w:gridCol w:w="1403"/>
        <w:gridCol w:w="1198"/>
        <w:gridCol w:w="1620"/>
        <w:gridCol w:w="1497"/>
      </w:tblGrid>
      <w:tr w:rsidR="00FC6DD0" w:rsidRPr="002A6752" w:rsidTr="00FC6DD0">
        <w:trPr>
          <w:trHeight w:val="20"/>
        </w:trPr>
        <w:tc>
          <w:tcPr>
            <w:tcW w:w="313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D0" w:rsidRPr="00FC6DD0" w:rsidRDefault="00FC6DD0" w:rsidP="00FC6D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6DD0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4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6DD0" w:rsidRPr="00FC6DD0" w:rsidRDefault="00FC6DD0" w:rsidP="00FC6D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6DD0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ИТОГО по предприятию</w:t>
            </w: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D0" w:rsidRPr="00FC6DD0" w:rsidRDefault="00FC6DD0" w:rsidP="00FC6D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6DD0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 маршрутах по РТ</w:t>
            </w:r>
          </w:p>
        </w:tc>
        <w:tc>
          <w:tcPr>
            <w:tcW w:w="311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DD0" w:rsidRPr="00FC6DD0" w:rsidRDefault="00FC6DD0" w:rsidP="00FC6D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6DD0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Коммерческие перевозки</w:t>
            </w:r>
          </w:p>
        </w:tc>
      </w:tr>
      <w:tr w:rsidR="00FC6DD0" w:rsidRPr="002A6752" w:rsidTr="00FC6DD0">
        <w:trPr>
          <w:trHeight w:val="20"/>
        </w:trPr>
        <w:tc>
          <w:tcPr>
            <w:tcW w:w="313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D0" w:rsidRPr="00FC6DD0" w:rsidRDefault="00FC6DD0" w:rsidP="00FC6D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D0" w:rsidRPr="00FC6DD0" w:rsidRDefault="00FC6DD0" w:rsidP="00FC6D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D0" w:rsidRPr="00FC6DD0" w:rsidRDefault="00FC6DD0" w:rsidP="00FC6D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6DD0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Межмуници-пальные</w:t>
            </w:r>
            <w:proofErr w:type="spellEnd"/>
            <w:proofErr w:type="gramEnd"/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D0" w:rsidRPr="00FC6DD0" w:rsidRDefault="00FC6DD0" w:rsidP="00FC6D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6DD0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Муници-пальные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D0" w:rsidRPr="00FC6DD0" w:rsidRDefault="00FC6DD0" w:rsidP="00FC6D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6DD0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 маршрутах по НРТ</w:t>
            </w:r>
          </w:p>
        </w:tc>
        <w:tc>
          <w:tcPr>
            <w:tcW w:w="149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6DD0" w:rsidRPr="00FC6DD0" w:rsidRDefault="00FC6DD0" w:rsidP="00FC6DD0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6DD0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Заказ, </w:t>
            </w:r>
            <w:proofErr w:type="gramStart"/>
            <w:r w:rsidRPr="00FC6DD0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грузовые</w:t>
            </w:r>
            <w:proofErr w:type="gramEnd"/>
          </w:p>
        </w:tc>
      </w:tr>
      <w:tr w:rsidR="00E41824" w:rsidRPr="002A6752" w:rsidTr="00FC6DD0">
        <w:trPr>
          <w:trHeight w:val="20"/>
        </w:trPr>
        <w:tc>
          <w:tcPr>
            <w:tcW w:w="31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E41824">
            <w:pPr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ОХОДЫ</w:t>
            </w:r>
          </w:p>
        </w:tc>
        <w:tc>
          <w:tcPr>
            <w:tcW w:w="14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435 083,3</w:t>
            </w:r>
          </w:p>
        </w:tc>
        <w:tc>
          <w:tcPr>
            <w:tcW w:w="140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282 276,2</w:t>
            </w:r>
          </w:p>
        </w:tc>
        <w:tc>
          <w:tcPr>
            <w:tcW w:w="119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37 992,5</w:t>
            </w: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88 499,3</w:t>
            </w: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26 315,3</w:t>
            </w:r>
          </w:p>
        </w:tc>
      </w:tr>
      <w:tr w:rsidR="00E41824" w:rsidRPr="002A6752" w:rsidTr="00FC6DD0">
        <w:trPr>
          <w:trHeight w:val="20"/>
        </w:trPr>
        <w:tc>
          <w:tcPr>
            <w:tcW w:w="313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Выручка </w:t>
            </w:r>
            <w:r w:rsidRPr="002A67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 т</w:t>
            </w:r>
            <w:proofErr w:type="gramStart"/>
            <w:r w:rsidRPr="002A67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A67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продажи СПБ)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233 230,3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98 312,2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20 103,5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88 499,3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26 315,3</w:t>
            </w:r>
          </w:p>
        </w:tc>
      </w:tr>
      <w:tr w:rsidR="00E41824" w:rsidRPr="002A6752" w:rsidTr="00FC6DD0">
        <w:trPr>
          <w:trHeight w:val="20"/>
        </w:trPr>
        <w:tc>
          <w:tcPr>
            <w:tcW w:w="313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Субсидия СПБ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5 170,0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3 892,0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1 278,0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824" w:rsidRPr="002A6752" w:rsidTr="00FC6DD0">
        <w:trPr>
          <w:trHeight w:val="20"/>
        </w:trPr>
        <w:tc>
          <w:tcPr>
            <w:tcW w:w="313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Субсидия </w:t>
            </w: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по РТ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196 683,0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180 072,0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16 611,0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824" w:rsidRPr="002A6752" w:rsidTr="00FC6DD0">
        <w:trPr>
          <w:trHeight w:val="20"/>
        </w:trPr>
        <w:tc>
          <w:tcPr>
            <w:tcW w:w="313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182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452 334,3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273 651,3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40 673,4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115 643,8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22 365,8</w:t>
            </w:r>
          </w:p>
        </w:tc>
      </w:tr>
      <w:tr w:rsidR="00E41824" w:rsidRPr="002A6752" w:rsidTr="00FC6DD0">
        <w:trPr>
          <w:trHeight w:val="20"/>
        </w:trPr>
        <w:tc>
          <w:tcPr>
            <w:tcW w:w="313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FC6DD0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Себестоимость </w:t>
            </w:r>
            <w:r w:rsidRPr="002A67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 т.ч. Аппарат)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446 451,3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267 768,3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40 673,4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115 643,8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22 365,8</w:t>
            </w:r>
          </w:p>
        </w:tc>
      </w:tr>
      <w:tr w:rsidR="00E41824" w:rsidRPr="002A6752" w:rsidTr="00FC6DD0">
        <w:trPr>
          <w:trHeight w:val="20"/>
        </w:trPr>
        <w:tc>
          <w:tcPr>
            <w:tcW w:w="313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FC6DD0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5 883,0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5 883,0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1824" w:rsidRPr="002A6752" w:rsidTr="00FC6DD0">
        <w:trPr>
          <w:trHeight w:val="20"/>
        </w:trPr>
        <w:tc>
          <w:tcPr>
            <w:tcW w:w="3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44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-17 251,0</w:t>
            </w:r>
          </w:p>
        </w:tc>
        <w:tc>
          <w:tcPr>
            <w:tcW w:w="14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8 624,9</w:t>
            </w:r>
          </w:p>
        </w:tc>
        <w:tc>
          <w:tcPr>
            <w:tcW w:w="119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-2 680,9</w:t>
            </w: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-27 144,5</w:t>
            </w: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41824" w:rsidRPr="002A6752" w:rsidRDefault="00E41824" w:rsidP="003B3EE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A675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3 949,5</w:t>
            </w:r>
          </w:p>
        </w:tc>
      </w:tr>
    </w:tbl>
    <w:p w:rsidR="00E41824" w:rsidRDefault="00E41824" w:rsidP="00E41824">
      <w:pPr>
        <w:spacing w:line="240" w:lineRule="auto"/>
        <w:ind w:firstLine="0"/>
        <w:rPr>
          <w:rFonts w:eastAsiaTheme="minorHAnsi"/>
          <w:sz w:val="24"/>
        </w:rPr>
      </w:pPr>
    </w:p>
    <w:p w:rsidR="00E41824" w:rsidRDefault="003B3EE3" w:rsidP="00E41824">
      <w:pPr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>Приведённые</w:t>
      </w:r>
      <w:r w:rsidR="00D21664">
        <w:rPr>
          <w:rFonts w:eastAsiaTheme="minorHAnsi"/>
          <w:sz w:val="24"/>
        </w:rPr>
        <w:t xml:space="preserve"> данные свидетельствуют о том, что в целом отрицательный финансовый результат деятельности </w:t>
      </w:r>
      <w:r w:rsidR="004E6C04">
        <w:rPr>
          <w:rFonts w:eastAsiaTheme="minorHAnsi"/>
          <w:sz w:val="24"/>
        </w:rPr>
        <w:t>ГУП</w:t>
      </w:r>
      <w:r w:rsidR="00D21664">
        <w:rPr>
          <w:rFonts w:eastAsiaTheme="minorHAnsi"/>
          <w:sz w:val="24"/>
        </w:rPr>
        <w:t xml:space="preserve"> </w:t>
      </w:r>
      <w:r w:rsidR="00FC6DD0">
        <w:rPr>
          <w:rFonts w:eastAsiaTheme="minorHAnsi"/>
          <w:sz w:val="24"/>
        </w:rPr>
        <w:t xml:space="preserve">по перевозкам </w:t>
      </w:r>
      <w:r w:rsidR="00D21664">
        <w:rPr>
          <w:rFonts w:eastAsiaTheme="minorHAnsi"/>
          <w:sz w:val="24"/>
        </w:rPr>
        <w:t>в 2018 году</w:t>
      </w:r>
      <w:r w:rsidR="009E559D">
        <w:rPr>
          <w:rFonts w:eastAsiaTheme="minorHAnsi"/>
          <w:sz w:val="24"/>
        </w:rPr>
        <w:t xml:space="preserve"> (-17,3 млн. руб.)</w:t>
      </w:r>
      <w:r w:rsidR="00D21664">
        <w:rPr>
          <w:rFonts w:eastAsiaTheme="minorHAnsi"/>
          <w:sz w:val="24"/>
        </w:rPr>
        <w:t xml:space="preserve"> обусловлен убыточностью перевозок по НРТ</w:t>
      </w:r>
      <w:r w:rsidR="009E559D">
        <w:rPr>
          <w:rFonts w:eastAsiaTheme="minorHAnsi"/>
          <w:sz w:val="24"/>
        </w:rPr>
        <w:t xml:space="preserve"> (-27,1 млн. руб.), что в свою очередь говорит об отсутствии на предприятии </w:t>
      </w:r>
      <w:r w:rsidR="0033102B">
        <w:rPr>
          <w:rFonts w:eastAsiaTheme="minorHAnsi"/>
          <w:sz w:val="24"/>
        </w:rPr>
        <w:t>разумной</w:t>
      </w:r>
      <w:r w:rsidR="009E559D">
        <w:rPr>
          <w:rFonts w:eastAsiaTheme="minorHAnsi"/>
          <w:sz w:val="24"/>
        </w:rPr>
        <w:t xml:space="preserve"> коммерческой политики, которая должна обеспечить как минимум безубыточность </w:t>
      </w:r>
      <w:r w:rsidR="00FC6DD0">
        <w:rPr>
          <w:rFonts w:eastAsiaTheme="minorHAnsi"/>
          <w:sz w:val="24"/>
        </w:rPr>
        <w:t>этой</w:t>
      </w:r>
      <w:r w:rsidR="009E559D">
        <w:rPr>
          <w:rFonts w:eastAsiaTheme="minorHAnsi"/>
          <w:sz w:val="24"/>
        </w:rPr>
        <w:t xml:space="preserve"> деятельности.</w:t>
      </w:r>
    </w:p>
    <w:p w:rsidR="009E559D" w:rsidRDefault="009E559D" w:rsidP="00E41824">
      <w:pPr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Положительный финансовый результат от деятельности по перевозкам на межмуниципальных маршрутах по РТ (+8,6 млн. руб., или условная рентабельность 3,1%) </w:t>
      </w:r>
      <w:r w:rsidR="003B3EE3">
        <w:rPr>
          <w:rFonts w:eastAsiaTheme="minorHAnsi"/>
          <w:sz w:val="24"/>
        </w:rPr>
        <w:t xml:space="preserve">формально </w:t>
      </w:r>
      <w:r>
        <w:rPr>
          <w:rFonts w:eastAsiaTheme="minorHAnsi"/>
          <w:sz w:val="24"/>
        </w:rPr>
        <w:t xml:space="preserve">может являться подтверждением сбалансированности системы организационного </w:t>
      </w:r>
      <w:r>
        <w:rPr>
          <w:rFonts w:eastAsiaTheme="minorHAnsi"/>
          <w:sz w:val="24"/>
        </w:rPr>
        <w:lastRenderedPageBreak/>
        <w:t>и фин</w:t>
      </w:r>
      <w:r w:rsidR="003B3EE3">
        <w:rPr>
          <w:rFonts w:eastAsiaTheme="minorHAnsi"/>
          <w:sz w:val="24"/>
        </w:rPr>
        <w:t xml:space="preserve">ансового обеспечения перевозок </w:t>
      </w:r>
      <w:r>
        <w:rPr>
          <w:rFonts w:eastAsiaTheme="minorHAnsi"/>
          <w:sz w:val="24"/>
        </w:rPr>
        <w:t xml:space="preserve">по РТ через механизм предоставления субсидий </w:t>
      </w:r>
      <w:r w:rsidR="00670F4A">
        <w:rPr>
          <w:rFonts w:eastAsiaTheme="minorHAnsi"/>
          <w:sz w:val="24"/>
        </w:rPr>
        <w:t xml:space="preserve">по </w:t>
      </w:r>
      <w:r>
        <w:rPr>
          <w:rFonts w:eastAsiaTheme="minorHAnsi"/>
          <w:sz w:val="24"/>
        </w:rPr>
        <w:t>РТ.</w:t>
      </w:r>
    </w:p>
    <w:p w:rsidR="009E559D" w:rsidRDefault="003B3EE3" w:rsidP="00E41824">
      <w:pPr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>Однако детальный анализ расходов и доходов предприятия показал</w:t>
      </w:r>
      <w:r w:rsidR="00C675AA">
        <w:rPr>
          <w:rFonts w:eastAsiaTheme="minorHAnsi"/>
          <w:sz w:val="24"/>
        </w:rPr>
        <w:t xml:space="preserve">, что формальный положительный финансовый результат не является отражением реального </w:t>
      </w:r>
      <w:r w:rsidR="00670F4A">
        <w:rPr>
          <w:rFonts w:eastAsiaTheme="minorHAnsi"/>
          <w:sz w:val="24"/>
        </w:rPr>
        <w:t xml:space="preserve">экономического </w:t>
      </w:r>
      <w:r w:rsidR="00C675AA">
        <w:rPr>
          <w:rFonts w:eastAsiaTheme="minorHAnsi"/>
          <w:sz w:val="24"/>
        </w:rPr>
        <w:t>состояния ГУП «</w:t>
      </w:r>
      <w:proofErr w:type="spellStart"/>
      <w:r w:rsidR="00C675AA">
        <w:rPr>
          <w:rFonts w:eastAsiaTheme="minorHAnsi"/>
          <w:sz w:val="24"/>
        </w:rPr>
        <w:t>Волгоградавтотранс</w:t>
      </w:r>
      <w:proofErr w:type="spellEnd"/>
      <w:r w:rsidR="00C675AA">
        <w:rPr>
          <w:rFonts w:eastAsiaTheme="minorHAnsi"/>
          <w:sz w:val="24"/>
        </w:rPr>
        <w:t>»</w:t>
      </w:r>
      <w:r w:rsidR="00FC6DD0">
        <w:rPr>
          <w:rFonts w:eastAsiaTheme="minorHAnsi"/>
          <w:sz w:val="24"/>
        </w:rPr>
        <w:t>:</w:t>
      </w:r>
    </w:p>
    <w:p w:rsidR="00C675AA" w:rsidRDefault="00C675AA" w:rsidP="00AE022C">
      <w:pPr>
        <w:pStyle w:val="a8"/>
        <w:numPr>
          <w:ilvl w:val="0"/>
          <w:numId w:val="17"/>
        </w:numPr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Фактические затраты предприятия не могут обеспечить его стабильного функционирования.</w:t>
      </w:r>
    </w:p>
    <w:p w:rsidR="00E86B89" w:rsidRDefault="00E86B89" w:rsidP="00C675AA">
      <w:pPr>
        <w:pStyle w:val="a8"/>
        <w:ind w:left="0" w:firstLine="709"/>
        <w:jc w:val="both"/>
        <w:rPr>
          <w:rFonts w:eastAsiaTheme="minorHAnsi"/>
        </w:rPr>
      </w:pPr>
      <w:r w:rsidRPr="00AE022C">
        <w:rPr>
          <w:rFonts w:eastAsiaTheme="minorHAnsi"/>
        </w:rPr>
        <w:t xml:space="preserve">Структурный анализ затрат в стоимости 1 км пробега </w:t>
      </w:r>
      <w:r w:rsidR="00D17FC8" w:rsidRPr="00AE022C">
        <w:rPr>
          <w:rFonts w:eastAsiaTheme="minorHAnsi"/>
        </w:rPr>
        <w:t>по четырем маршрутам с наибольшим объёмом работы</w:t>
      </w:r>
      <w:r w:rsidR="009F6DAA">
        <w:rPr>
          <w:rFonts w:eastAsiaTheme="minorHAnsi"/>
        </w:rPr>
        <w:t xml:space="preserve"> (51,5%) и долей субсидии по РТ (47,6%)</w:t>
      </w:r>
      <w:r w:rsidR="00D17FC8" w:rsidRPr="00AE022C">
        <w:rPr>
          <w:rFonts w:eastAsiaTheme="minorHAnsi"/>
        </w:rPr>
        <w:t xml:space="preserve"> и всем</w:t>
      </w:r>
      <w:r w:rsidRPr="00AE022C">
        <w:rPr>
          <w:rFonts w:eastAsiaTheme="minorHAnsi"/>
        </w:rPr>
        <w:t xml:space="preserve"> маршрут</w:t>
      </w:r>
      <w:r w:rsidR="00D17FC8" w:rsidRPr="00AE022C">
        <w:rPr>
          <w:rFonts w:eastAsiaTheme="minorHAnsi"/>
        </w:rPr>
        <w:t>ам</w:t>
      </w:r>
      <w:r w:rsidRPr="00AE022C">
        <w:rPr>
          <w:rFonts w:eastAsiaTheme="minorHAnsi"/>
        </w:rPr>
        <w:t xml:space="preserve"> по сравнению с расчётом ЭОТ представлен в таблице.</w:t>
      </w:r>
    </w:p>
    <w:p w:rsidR="00195BD0" w:rsidRDefault="00195BD0" w:rsidP="00C675AA">
      <w:pPr>
        <w:pStyle w:val="a8"/>
        <w:ind w:left="0" w:firstLine="709"/>
        <w:jc w:val="both"/>
        <w:rPr>
          <w:rFonts w:eastAsiaTheme="minorHAnsi"/>
        </w:rPr>
      </w:pPr>
    </w:p>
    <w:tbl>
      <w:tblPr>
        <w:tblW w:w="9507" w:type="dxa"/>
        <w:tblInd w:w="98" w:type="dxa"/>
        <w:tblLook w:val="04A0"/>
      </w:tblPr>
      <w:tblGrid>
        <w:gridCol w:w="3979"/>
        <w:gridCol w:w="1559"/>
        <w:gridCol w:w="1559"/>
        <w:gridCol w:w="1418"/>
        <w:gridCol w:w="992"/>
      </w:tblGrid>
      <w:tr w:rsidR="00001845" w:rsidRPr="007A6D07" w:rsidTr="000C6B70">
        <w:trPr>
          <w:trHeight w:val="20"/>
        </w:trPr>
        <w:tc>
          <w:tcPr>
            <w:tcW w:w="397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845" w:rsidRPr="007A6D07" w:rsidRDefault="00001845" w:rsidP="00E018E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1845" w:rsidRPr="007A6D07" w:rsidRDefault="00001845" w:rsidP="00E86B8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Структура затрат</w:t>
            </w:r>
          </w:p>
        </w:tc>
      </w:tr>
      <w:tr w:rsidR="00001845" w:rsidRPr="007A6D07" w:rsidTr="000C6B70">
        <w:trPr>
          <w:trHeight w:val="20"/>
        </w:trPr>
        <w:tc>
          <w:tcPr>
            <w:tcW w:w="397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45" w:rsidRPr="007A6D07" w:rsidRDefault="00001845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45" w:rsidRPr="007A6D07" w:rsidRDefault="00001845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7A6D07">
              <w:rPr>
                <w:rFonts w:eastAsia="Times New Roman"/>
                <w:sz w:val="20"/>
                <w:szCs w:val="20"/>
              </w:rPr>
              <w:t>о 4 маршрутам в среднем на 1 км пробега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01845" w:rsidRPr="007A6D07" w:rsidRDefault="00001845" w:rsidP="00E86B8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7A6D07">
              <w:rPr>
                <w:rFonts w:eastAsia="Times New Roman"/>
                <w:sz w:val="20"/>
                <w:szCs w:val="20"/>
              </w:rPr>
              <w:t>а все маршруты</w:t>
            </w:r>
            <w:r>
              <w:rPr>
                <w:rFonts w:eastAsia="Times New Roman"/>
                <w:sz w:val="20"/>
                <w:szCs w:val="20"/>
              </w:rPr>
              <w:t xml:space="preserve"> РТ </w:t>
            </w:r>
            <w:r w:rsidRPr="007A6D07">
              <w:rPr>
                <w:rFonts w:eastAsia="Times New Roman"/>
                <w:sz w:val="20"/>
                <w:szCs w:val="20"/>
              </w:rPr>
              <w:t>на весь пробег</w:t>
            </w:r>
          </w:p>
        </w:tc>
      </w:tr>
      <w:tr w:rsidR="00001845" w:rsidRPr="007A6D07" w:rsidTr="000C6B70">
        <w:trPr>
          <w:trHeight w:val="20"/>
        </w:trPr>
        <w:tc>
          <w:tcPr>
            <w:tcW w:w="397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01845" w:rsidRPr="007A6D07" w:rsidRDefault="00001845" w:rsidP="00E018E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45" w:rsidRPr="007A6D07" w:rsidRDefault="00001845" w:rsidP="00E86B8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7A6D07">
              <w:rPr>
                <w:rFonts w:eastAsia="Times New Roman"/>
                <w:sz w:val="20"/>
                <w:szCs w:val="20"/>
              </w:rPr>
              <w:t xml:space="preserve">асчёт </w:t>
            </w:r>
            <w:r>
              <w:rPr>
                <w:rFonts w:eastAsia="Times New Roman"/>
                <w:sz w:val="20"/>
                <w:szCs w:val="20"/>
              </w:rPr>
              <w:t>ЭОТ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45" w:rsidRPr="007A6D07" w:rsidRDefault="00001845" w:rsidP="00E86B8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45" w:rsidRPr="007A6D07" w:rsidRDefault="00001845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Всего затрат</w:t>
            </w:r>
            <w:r>
              <w:rPr>
                <w:rFonts w:eastAsia="Times New Roman"/>
                <w:sz w:val="20"/>
                <w:szCs w:val="20"/>
              </w:rPr>
              <w:t>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01845" w:rsidRPr="007A6D07" w:rsidRDefault="00001845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Доля, %</w:t>
            </w:r>
          </w:p>
        </w:tc>
      </w:tr>
      <w:tr w:rsidR="00E86B89" w:rsidRPr="007A6D07" w:rsidTr="00001845">
        <w:trPr>
          <w:trHeight w:val="20"/>
        </w:trPr>
        <w:tc>
          <w:tcPr>
            <w:tcW w:w="3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Горючее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28,5%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25,4%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55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A6D07">
              <w:rPr>
                <w:rFonts w:eastAsia="Times New Roman"/>
                <w:sz w:val="20"/>
                <w:szCs w:val="20"/>
              </w:rPr>
              <w:t>257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20,2%</w:t>
            </w:r>
          </w:p>
        </w:tc>
      </w:tr>
      <w:tr w:rsidR="00E86B89" w:rsidRPr="007A6D07" w:rsidTr="00001845">
        <w:trPr>
          <w:trHeight w:val="20"/>
        </w:trPr>
        <w:tc>
          <w:tcPr>
            <w:tcW w:w="39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Смазочные материалы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A6D07">
              <w:rPr>
                <w:rFonts w:eastAsia="Times New Roman"/>
                <w:sz w:val="20"/>
                <w:szCs w:val="20"/>
              </w:rPr>
              <w:t>229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0,8%</w:t>
            </w:r>
          </w:p>
        </w:tc>
      </w:tr>
      <w:tr w:rsidR="00E86B89" w:rsidRPr="007A6D07" w:rsidTr="00001845">
        <w:trPr>
          <w:trHeight w:val="20"/>
        </w:trPr>
        <w:tc>
          <w:tcPr>
            <w:tcW w:w="39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Шины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2,2%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1,1%</w:t>
            </w:r>
          </w:p>
        </w:tc>
        <w:tc>
          <w:tcPr>
            <w:tcW w:w="141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A6D07">
              <w:rPr>
                <w:rFonts w:eastAsia="Times New Roman"/>
                <w:sz w:val="20"/>
                <w:szCs w:val="20"/>
              </w:rPr>
              <w:t>658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1,0%</w:t>
            </w:r>
          </w:p>
        </w:tc>
      </w:tr>
      <w:tr w:rsidR="00E86B89" w:rsidRPr="007A6D07" w:rsidTr="00001845">
        <w:trPr>
          <w:trHeight w:val="20"/>
        </w:trPr>
        <w:tc>
          <w:tcPr>
            <w:tcW w:w="39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Техническое обслуживание и ремонт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8,8%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5,7%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22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A6D07">
              <w:rPr>
                <w:rFonts w:eastAsia="Times New Roman"/>
                <w:sz w:val="20"/>
                <w:szCs w:val="20"/>
              </w:rPr>
              <w:t>187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8,1%</w:t>
            </w:r>
          </w:p>
        </w:tc>
      </w:tr>
      <w:tr w:rsidR="00E86B89" w:rsidRPr="007A6D07" w:rsidTr="00001845">
        <w:trPr>
          <w:trHeight w:val="20"/>
        </w:trPr>
        <w:tc>
          <w:tcPr>
            <w:tcW w:w="39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Амортизация подвижного состава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16,4%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0,1%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A6D07">
              <w:rPr>
                <w:rFonts w:eastAsia="Times New Roman"/>
                <w:sz w:val="20"/>
                <w:szCs w:val="20"/>
              </w:rPr>
              <w:t>169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1,5%</w:t>
            </w:r>
          </w:p>
        </w:tc>
      </w:tr>
      <w:tr w:rsidR="00E86B89" w:rsidRPr="007A6D07" w:rsidTr="00001845">
        <w:trPr>
          <w:trHeight w:val="20"/>
        </w:trPr>
        <w:tc>
          <w:tcPr>
            <w:tcW w:w="397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B89" w:rsidRPr="007A6D07" w:rsidRDefault="00E86B89" w:rsidP="00E86B8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Заработная плата водителей и кондукторов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12,2%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30,3%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68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A6D07">
              <w:rPr>
                <w:rFonts w:eastAsia="Times New Roman"/>
                <w:sz w:val="20"/>
                <w:szCs w:val="20"/>
              </w:rPr>
              <w:t>365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25,0%</w:t>
            </w:r>
          </w:p>
        </w:tc>
      </w:tr>
      <w:tr w:rsidR="00E86B89" w:rsidRPr="007A6D07" w:rsidTr="00001845">
        <w:trPr>
          <w:trHeight w:val="20"/>
        </w:trPr>
        <w:tc>
          <w:tcPr>
            <w:tcW w:w="397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B89" w:rsidRPr="007A6D07" w:rsidRDefault="00E86B89" w:rsidP="00E86B89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 xml:space="preserve">Прочие расходы 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31,9%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37,5%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118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A6D07">
              <w:rPr>
                <w:rFonts w:eastAsia="Times New Roman"/>
                <w:sz w:val="20"/>
                <w:szCs w:val="20"/>
              </w:rPr>
              <w:t>786,3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43,4%</w:t>
            </w:r>
          </w:p>
        </w:tc>
      </w:tr>
      <w:tr w:rsidR="00E86B89" w:rsidRPr="007A6D07" w:rsidTr="00001845">
        <w:trPr>
          <w:trHeight w:val="20"/>
        </w:trPr>
        <w:tc>
          <w:tcPr>
            <w:tcW w:w="3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100,0%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100,0%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273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A6D07">
              <w:rPr>
                <w:rFonts w:eastAsia="Times New Roman"/>
                <w:sz w:val="20"/>
                <w:szCs w:val="20"/>
              </w:rPr>
              <w:t>651,3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86B89" w:rsidRPr="007A6D07" w:rsidRDefault="00E86B89" w:rsidP="00E018E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A6D07">
              <w:rPr>
                <w:rFonts w:eastAsia="Times New Roman"/>
                <w:sz w:val="20"/>
                <w:szCs w:val="20"/>
              </w:rPr>
              <w:t>100,00%</w:t>
            </w:r>
          </w:p>
        </w:tc>
      </w:tr>
    </w:tbl>
    <w:p w:rsidR="00195BD0" w:rsidRDefault="00195BD0" w:rsidP="00AE022C">
      <w:pPr>
        <w:spacing w:line="240" w:lineRule="auto"/>
        <w:contextualSpacing/>
        <w:rPr>
          <w:rFonts w:eastAsiaTheme="minorHAnsi"/>
          <w:sz w:val="24"/>
        </w:rPr>
      </w:pPr>
    </w:p>
    <w:p w:rsidR="00AE022C" w:rsidRDefault="00D17FC8" w:rsidP="00AE022C">
      <w:pPr>
        <w:spacing w:line="240" w:lineRule="auto"/>
        <w:contextualSpacing/>
        <w:rPr>
          <w:rFonts w:eastAsiaTheme="minorHAnsi"/>
          <w:bCs/>
          <w:sz w:val="24"/>
          <w:szCs w:val="22"/>
        </w:rPr>
      </w:pPr>
      <w:r>
        <w:rPr>
          <w:rFonts w:eastAsiaTheme="minorHAnsi"/>
          <w:sz w:val="24"/>
        </w:rPr>
        <w:t>Фактическая структура расходов предприятия существенно отличается от структуры расходов, учтённых в 2015 году при расчёте ЭОТ. За счёт расходов на ГСМ, шины, техобслуживание, ремонт и амортизацию в 2-2,5 раза увеличилась доля расходов на оплату труда. При расчёте ЭОТ</w:t>
      </w:r>
      <w:r w:rsidR="00E86B89" w:rsidRPr="007A6D07">
        <w:rPr>
          <w:rFonts w:eastAsiaTheme="minorHAnsi"/>
          <w:sz w:val="24"/>
        </w:rPr>
        <w:t xml:space="preserve"> зарплата водителей </w:t>
      </w:r>
      <w:r w:rsidRPr="007A6D07">
        <w:rPr>
          <w:rFonts w:eastAsiaTheme="minorHAnsi"/>
          <w:sz w:val="24"/>
        </w:rPr>
        <w:t xml:space="preserve">принята </w:t>
      </w:r>
      <w:r w:rsidR="00E86B89" w:rsidRPr="007A6D07">
        <w:rPr>
          <w:rFonts w:eastAsiaTheme="minorHAnsi"/>
          <w:sz w:val="24"/>
        </w:rPr>
        <w:t>в размере 16,8 тыс.</w:t>
      </w:r>
      <w:r>
        <w:rPr>
          <w:rFonts w:eastAsiaTheme="minorHAnsi"/>
          <w:sz w:val="24"/>
        </w:rPr>
        <w:t xml:space="preserve"> </w:t>
      </w:r>
      <w:r w:rsidR="00E86B89" w:rsidRPr="007A6D07">
        <w:rPr>
          <w:rFonts w:eastAsiaTheme="minorHAnsi"/>
          <w:sz w:val="24"/>
        </w:rPr>
        <w:t>руб</w:t>
      </w:r>
      <w:r w:rsidR="00DB6478">
        <w:rPr>
          <w:rFonts w:eastAsiaTheme="minorHAnsi"/>
          <w:sz w:val="24"/>
        </w:rPr>
        <w:t>лей</w:t>
      </w:r>
      <w:r w:rsidR="00E86B89" w:rsidRPr="007A6D07">
        <w:rPr>
          <w:rFonts w:eastAsiaTheme="minorHAnsi"/>
          <w:sz w:val="24"/>
        </w:rPr>
        <w:t xml:space="preserve">. </w:t>
      </w:r>
      <w:r w:rsidR="00DB6478">
        <w:rPr>
          <w:rFonts w:eastAsiaTheme="minorHAnsi"/>
          <w:sz w:val="24"/>
        </w:rPr>
        <w:t>Ф</w:t>
      </w:r>
      <w:r w:rsidR="00E86B89" w:rsidRPr="007A6D07">
        <w:rPr>
          <w:rFonts w:eastAsiaTheme="minorHAnsi"/>
          <w:sz w:val="24"/>
        </w:rPr>
        <w:t>актическ</w:t>
      </w:r>
      <w:r w:rsidR="00DB6478">
        <w:rPr>
          <w:rFonts w:eastAsiaTheme="minorHAnsi"/>
          <w:sz w:val="24"/>
        </w:rPr>
        <w:t>ая</w:t>
      </w:r>
      <w:r w:rsidR="00E86B89" w:rsidRPr="007A6D07">
        <w:rPr>
          <w:rFonts w:eastAsiaTheme="minorHAnsi"/>
          <w:sz w:val="24"/>
        </w:rPr>
        <w:t xml:space="preserve"> средняя </w:t>
      </w:r>
      <w:r w:rsidR="00FC6DD0">
        <w:rPr>
          <w:rFonts w:eastAsiaTheme="minorHAnsi"/>
          <w:sz w:val="24"/>
        </w:rPr>
        <w:t>оплата труда</w:t>
      </w:r>
      <w:r w:rsidR="00E86B89" w:rsidRPr="007A6D07">
        <w:rPr>
          <w:rFonts w:eastAsiaTheme="minorHAnsi"/>
          <w:sz w:val="24"/>
        </w:rPr>
        <w:t xml:space="preserve"> водителей на выбранных 4 маршрутах составила 24,</w:t>
      </w:r>
      <w:r>
        <w:rPr>
          <w:rFonts w:eastAsiaTheme="minorHAnsi"/>
          <w:sz w:val="24"/>
        </w:rPr>
        <w:t>4</w:t>
      </w:r>
      <w:r w:rsidR="00E86B89" w:rsidRPr="007A6D07">
        <w:rPr>
          <w:rFonts w:eastAsiaTheme="minorHAnsi"/>
          <w:sz w:val="24"/>
        </w:rPr>
        <w:t xml:space="preserve"> тыс.</w:t>
      </w:r>
      <w:r>
        <w:rPr>
          <w:rFonts w:eastAsiaTheme="minorHAnsi"/>
          <w:sz w:val="24"/>
        </w:rPr>
        <w:t xml:space="preserve"> </w:t>
      </w:r>
      <w:r w:rsidR="00E86B89" w:rsidRPr="007A6D07">
        <w:rPr>
          <w:rFonts w:eastAsiaTheme="minorHAnsi"/>
          <w:sz w:val="24"/>
        </w:rPr>
        <w:t>руб.</w:t>
      </w:r>
      <w:r w:rsidR="00C675AA">
        <w:rPr>
          <w:rFonts w:eastAsiaTheme="minorHAnsi"/>
          <w:sz w:val="24"/>
        </w:rPr>
        <w:t>,</w:t>
      </w:r>
      <w:r w:rsidR="00AE022C" w:rsidRPr="00AE022C">
        <w:rPr>
          <w:rFonts w:eastAsiaTheme="minorHAnsi"/>
          <w:sz w:val="24"/>
        </w:rPr>
        <w:t xml:space="preserve"> </w:t>
      </w:r>
      <w:r w:rsidR="00C675AA" w:rsidRPr="007A6D07">
        <w:rPr>
          <w:rFonts w:eastAsiaTheme="minorHAnsi"/>
          <w:sz w:val="24"/>
        </w:rPr>
        <w:t xml:space="preserve">т.е. </w:t>
      </w:r>
      <w:r w:rsidR="00DB6478">
        <w:rPr>
          <w:rFonts w:eastAsiaTheme="minorHAnsi"/>
          <w:sz w:val="24"/>
        </w:rPr>
        <w:t xml:space="preserve">больше показателя, использованного при расчёте ЭОТ, </w:t>
      </w:r>
      <w:r w:rsidR="00C675AA" w:rsidRPr="007A6D07">
        <w:rPr>
          <w:rFonts w:eastAsiaTheme="minorHAnsi"/>
          <w:sz w:val="24"/>
        </w:rPr>
        <w:t>на 4</w:t>
      </w:r>
      <w:r w:rsidR="00DB6478">
        <w:rPr>
          <w:rFonts w:eastAsiaTheme="minorHAnsi"/>
          <w:sz w:val="24"/>
        </w:rPr>
        <w:t>5,2 процента</w:t>
      </w:r>
      <w:r w:rsidR="00E86B89" w:rsidRPr="007A6D07">
        <w:rPr>
          <w:rFonts w:eastAsiaTheme="minorHAnsi"/>
          <w:sz w:val="24"/>
        </w:rPr>
        <w:t>.</w:t>
      </w:r>
      <w:r w:rsidR="00AE022C" w:rsidRPr="00AE022C">
        <w:rPr>
          <w:rFonts w:eastAsiaTheme="minorHAnsi"/>
          <w:bCs/>
          <w:sz w:val="24"/>
          <w:szCs w:val="22"/>
        </w:rPr>
        <w:t xml:space="preserve"> Цена дизельного топлива в расчёте ЭОТ принята в размере 33,50 руб. за 1 л, средние потребительские цены на дизельное топливо в 2018 году колебались в пределах 39,7- 44,99 руб. за 1 л, то есть выросли на 19-34 процента.</w:t>
      </w:r>
    </w:p>
    <w:p w:rsidR="00670F4A" w:rsidRPr="00331FE9" w:rsidRDefault="00670F4A" w:rsidP="00670F4A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sz w:val="24"/>
        </w:rPr>
        <w:t>При</w:t>
      </w:r>
      <w:r w:rsidRPr="00EE731D">
        <w:rPr>
          <w:sz w:val="24"/>
        </w:rPr>
        <w:t xml:space="preserve"> расчете ЭОТ </w:t>
      </w:r>
      <w:r w:rsidRPr="006D464D">
        <w:rPr>
          <w:sz w:val="24"/>
        </w:rPr>
        <w:t>рентабельност</w:t>
      </w:r>
      <w:r>
        <w:rPr>
          <w:sz w:val="24"/>
        </w:rPr>
        <w:t>ь (прибыль) не предусмотрена.</w:t>
      </w:r>
    </w:p>
    <w:p w:rsidR="00E86B89" w:rsidRPr="007A6D07" w:rsidRDefault="00D17FC8" w:rsidP="00E86B89">
      <w:pPr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>Сокращение доли расходов по отдельным статьям обусловлено следующими причинами</w:t>
      </w:r>
      <w:r w:rsidR="00E86B89" w:rsidRPr="007A6D07">
        <w:rPr>
          <w:rFonts w:eastAsiaTheme="minorHAnsi"/>
          <w:sz w:val="24"/>
        </w:rPr>
        <w:t>:</w:t>
      </w:r>
    </w:p>
    <w:p w:rsidR="00E86B89" w:rsidRPr="007A6D07" w:rsidRDefault="00E86B89" w:rsidP="00E86B89">
      <w:pPr>
        <w:spacing w:line="240" w:lineRule="auto"/>
        <w:rPr>
          <w:rFonts w:eastAsiaTheme="minorHAnsi"/>
          <w:sz w:val="24"/>
        </w:rPr>
      </w:pPr>
      <w:r w:rsidRPr="007A6D07">
        <w:rPr>
          <w:rFonts w:eastAsiaTheme="minorHAnsi"/>
          <w:sz w:val="24"/>
        </w:rPr>
        <w:t xml:space="preserve">-по статье «горючее» - в связи с тем, что часть автобусов вместо </w:t>
      </w:r>
      <w:r w:rsidR="00587107">
        <w:rPr>
          <w:rFonts w:eastAsiaTheme="minorHAnsi"/>
          <w:sz w:val="24"/>
        </w:rPr>
        <w:t xml:space="preserve">расчётного </w:t>
      </w:r>
      <w:r w:rsidRPr="007A6D07">
        <w:rPr>
          <w:rFonts w:eastAsiaTheme="minorHAnsi"/>
          <w:sz w:val="24"/>
        </w:rPr>
        <w:t xml:space="preserve">дизельного топлива </w:t>
      </w:r>
      <w:r w:rsidR="00587107">
        <w:rPr>
          <w:rFonts w:eastAsiaTheme="minorHAnsi"/>
          <w:sz w:val="24"/>
        </w:rPr>
        <w:t xml:space="preserve">работает на </w:t>
      </w:r>
      <w:r w:rsidR="00587107" w:rsidRPr="00E66A46">
        <w:rPr>
          <w:rFonts w:eastAsiaTheme="minorHAnsi"/>
          <w:sz w:val="24"/>
        </w:rPr>
        <w:t>газомоторном топливе</w:t>
      </w:r>
      <w:r w:rsidRPr="00E66A46">
        <w:rPr>
          <w:rFonts w:eastAsiaTheme="minorHAnsi"/>
          <w:sz w:val="24"/>
        </w:rPr>
        <w:t>, стоимость которого в 2,5 раза меньше при сравнительно одинаковом расходе;</w:t>
      </w:r>
    </w:p>
    <w:p w:rsidR="00E86B89" w:rsidRPr="007A6D07" w:rsidRDefault="00587107" w:rsidP="00E86B89">
      <w:pPr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>-</w:t>
      </w:r>
      <w:r w:rsidR="00E86B89" w:rsidRPr="007A6D07">
        <w:rPr>
          <w:rFonts w:eastAsiaTheme="minorHAnsi"/>
          <w:sz w:val="24"/>
        </w:rPr>
        <w:t xml:space="preserve">по статьям «смазочные материалы», «шины», «техническое обслуживание и ремонт» фактические затраты ниже </w:t>
      </w:r>
      <w:r>
        <w:rPr>
          <w:rFonts w:eastAsiaTheme="minorHAnsi"/>
          <w:sz w:val="24"/>
        </w:rPr>
        <w:t>установленных норм</w:t>
      </w:r>
      <w:r w:rsidR="00E86B89" w:rsidRPr="007A6D07">
        <w:rPr>
          <w:rFonts w:eastAsiaTheme="minorHAnsi"/>
          <w:sz w:val="24"/>
        </w:rPr>
        <w:t xml:space="preserve"> по причине </w:t>
      </w:r>
      <w:r>
        <w:rPr>
          <w:rFonts w:eastAsiaTheme="minorHAnsi"/>
          <w:sz w:val="24"/>
        </w:rPr>
        <w:t>жёсткой экономии</w:t>
      </w:r>
      <w:r w:rsidR="00E86B89" w:rsidRPr="007A6D07">
        <w:rPr>
          <w:rFonts w:eastAsiaTheme="minorHAnsi"/>
          <w:sz w:val="24"/>
        </w:rPr>
        <w:t>;</w:t>
      </w:r>
    </w:p>
    <w:p w:rsidR="00E86B89" w:rsidRDefault="00E86B89" w:rsidP="00587107">
      <w:pPr>
        <w:spacing w:line="240" w:lineRule="auto"/>
        <w:rPr>
          <w:rFonts w:eastAsiaTheme="minorHAnsi"/>
          <w:sz w:val="24"/>
        </w:rPr>
      </w:pPr>
      <w:r w:rsidRPr="007A6D07">
        <w:rPr>
          <w:rFonts w:eastAsiaTheme="minorHAnsi"/>
          <w:sz w:val="24"/>
        </w:rPr>
        <w:t>-</w:t>
      </w:r>
      <w:r w:rsidR="00587107">
        <w:rPr>
          <w:rFonts w:eastAsiaTheme="minorHAnsi"/>
          <w:sz w:val="24"/>
        </w:rPr>
        <w:t xml:space="preserve">затраты на амортизацию практически отсутствуют в связи с истечением сроков амортизации (изношенный парк) и отсутствием амортизации </w:t>
      </w:r>
      <w:r w:rsidR="009F6DAA">
        <w:rPr>
          <w:rFonts w:eastAsiaTheme="minorHAnsi"/>
          <w:sz w:val="24"/>
        </w:rPr>
        <w:t>в результате</w:t>
      </w:r>
      <w:r w:rsidR="00587107">
        <w:rPr>
          <w:rFonts w:eastAsiaTheme="minorHAnsi"/>
          <w:sz w:val="24"/>
        </w:rPr>
        <w:t xml:space="preserve"> безвозмездного получения автобусов. </w:t>
      </w:r>
    </w:p>
    <w:p w:rsidR="00E66A46" w:rsidRPr="00E66A46" w:rsidRDefault="00E66A46" w:rsidP="00E66A46">
      <w:pPr>
        <w:spacing w:line="240" w:lineRule="auto"/>
        <w:rPr>
          <w:rFonts w:eastAsiaTheme="minorHAnsi"/>
          <w:sz w:val="24"/>
          <w:szCs w:val="22"/>
        </w:rPr>
      </w:pPr>
      <w:r w:rsidRPr="00E66A46">
        <w:rPr>
          <w:rFonts w:eastAsiaTheme="minorHAnsi"/>
          <w:sz w:val="24"/>
        </w:rPr>
        <w:t>КТР Волгоградской области считает, что отсутствие (незначительный объём) амортизации в структуре расходов перевозчиков говорит о том, что парк перевозчиков не обновлялся, средства на амортизацию направлялись на другие статьи затрат, что свидетельствует о недостаточном контроле со стороны собственников.</w:t>
      </w:r>
    </w:p>
    <w:p w:rsidR="00AE022C" w:rsidRDefault="00AE022C" w:rsidP="00E86B89">
      <w:pPr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>Таким образом</w:t>
      </w:r>
      <w:r w:rsidR="00A66BD9">
        <w:rPr>
          <w:rFonts w:eastAsiaTheme="minorHAnsi"/>
          <w:sz w:val="24"/>
        </w:rPr>
        <w:t>,</w:t>
      </w:r>
      <w:r>
        <w:rPr>
          <w:rFonts w:eastAsiaTheme="minorHAnsi"/>
          <w:sz w:val="24"/>
        </w:rPr>
        <w:t xml:space="preserve"> предприятие</w:t>
      </w:r>
      <w:r w:rsidR="00402C0D">
        <w:rPr>
          <w:rFonts w:eastAsiaTheme="minorHAnsi"/>
          <w:sz w:val="24"/>
        </w:rPr>
        <w:t>,</w:t>
      </w:r>
      <w:r>
        <w:rPr>
          <w:rFonts w:eastAsiaTheme="minorHAnsi"/>
          <w:sz w:val="24"/>
        </w:rPr>
        <w:t xml:space="preserve"> имея номинальный положительный финансовый результат от перевозок по РТ, который</w:t>
      </w:r>
      <w:r w:rsidRPr="00AE022C">
        <w:rPr>
          <w:rFonts w:eastAsiaTheme="minorHAnsi"/>
          <w:bCs/>
          <w:sz w:val="24"/>
          <w:szCs w:val="22"/>
        </w:rPr>
        <w:t xml:space="preserve"> направлялся на частичное покрытие убытков по перевозкам по НРТ</w:t>
      </w:r>
      <w:r>
        <w:rPr>
          <w:rFonts w:eastAsiaTheme="minorHAnsi"/>
          <w:bCs/>
          <w:sz w:val="24"/>
          <w:szCs w:val="22"/>
        </w:rPr>
        <w:t xml:space="preserve">, не обновляет автобусный парк, </w:t>
      </w:r>
      <w:r w:rsidR="00DB6478">
        <w:rPr>
          <w:rFonts w:eastAsiaTheme="minorHAnsi"/>
          <w:bCs/>
          <w:sz w:val="24"/>
          <w:szCs w:val="22"/>
        </w:rPr>
        <w:t>сдерживает</w:t>
      </w:r>
      <w:r>
        <w:rPr>
          <w:rFonts w:eastAsiaTheme="minorHAnsi"/>
          <w:bCs/>
          <w:sz w:val="24"/>
          <w:szCs w:val="22"/>
        </w:rPr>
        <w:t xml:space="preserve"> рост оплаты труда, осуществляет з</w:t>
      </w:r>
      <w:r w:rsidRPr="00AE022C">
        <w:rPr>
          <w:rFonts w:eastAsiaTheme="minorHAnsi"/>
          <w:bCs/>
          <w:sz w:val="24"/>
          <w:szCs w:val="22"/>
        </w:rPr>
        <w:t>атраты на техническое обслуживание, смазочные материалы, замену шин ниже нормативных</w:t>
      </w:r>
      <w:r>
        <w:rPr>
          <w:rFonts w:eastAsiaTheme="minorHAnsi"/>
          <w:bCs/>
          <w:sz w:val="24"/>
          <w:szCs w:val="22"/>
        </w:rPr>
        <w:t>.</w:t>
      </w:r>
      <w:r w:rsidR="0007344A" w:rsidRPr="0007344A">
        <w:rPr>
          <w:bCs/>
          <w:sz w:val="24"/>
        </w:rPr>
        <w:t xml:space="preserve"> </w:t>
      </w:r>
      <w:r w:rsidR="0007344A">
        <w:rPr>
          <w:bCs/>
          <w:sz w:val="24"/>
        </w:rPr>
        <w:t xml:space="preserve">Учредитель ГУП </w:t>
      </w:r>
      <w:r w:rsidR="0007344A" w:rsidRPr="003B24A8">
        <w:rPr>
          <w:sz w:val="24"/>
        </w:rPr>
        <w:t>«</w:t>
      </w:r>
      <w:proofErr w:type="spellStart"/>
      <w:r w:rsidR="0007344A" w:rsidRPr="003B24A8">
        <w:rPr>
          <w:sz w:val="24"/>
        </w:rPr>
        <w:t>Волгоградавтотранс</w:t>
      </w:r>
      <w:proofErr w:type="spellEnd"/>
      <w:r w:rsidR="0007344A" w:rsidRPr="003B24A8">
        <w:rPr>
          <w:sz w:val="24"/>
        </w:rPr>
        <w:t>»</w:t>
      </w:r>
      <w:r w:rsidR="0007344A">
        <w:rPr>
          <w:sz w:val="24"/>
        </w:rPr>
        <w:t xml:space="preserve"> - </w:t>
      </w:r>
      <w:r w:rsidR="0007344A">
        <w:rPr>
          <w:bCs/>
          <w:sz w:val="24"/>
        </w:rPr>
        <w:t xml:space="preserve">комитет по управлению </w:t>
      </w:r>
      <w:r w:rsidR="0007344A">
        <w:rPr>
          <w:bCs/>
          <w:sz w:val="24"/>
        </w:rPr>
        <w:lastRenderedPageBreak/>
        <w:t>имуществом Волгоградской области характеризует финансовое состояние предприятия как неустойчивое, планово-убыточное.</w:t>
      </w:r>
    </w:p>
    <w:p w:rsidR="009F6DAA" w:rsidRPr="009F6DAA" w:rsidRDefault="00C675AA" w:rsidP="00295E39">
      <w:pPr>
        <w:pStyle w:val="a8"/>
        <w:numPr>
          <w:ilvl w:val="0"/>
          <w:numId w:val="17"/>
        </w:numPr>
        <w:ind w:left="0" w:firstLine="709"/>
        <w:jc w:val="both"/>
        <w:rPr>
          <w:rFonts w:eastAsiaTheme="minorHAnsi"/>
          <w:bCs/>
          <w:szCs w:val="22"/>
        </w:rPr>
      </w:pPr>
      <w:r>
        <w:rPr>
          <w:rFonts w:eastAsiaTheme="minorHAnsi"/>
          <w:bCs/>
          <w:szCs w:val="22"/>
        </w:rPr>
        <w:t xml:space="preserve">Существующая система </w:t>
      </w:r>
      <w:r w:rsidR="00DB6478">
        <w:rPr>
          <w:rFonts w:eastAsiaTheme="minorHAnsi"/>
          <w:bCs/>
          <w:szCs w:val="22"/>
        </w:rPr>
        <w:t xml:space="preserve">дублирующих </w:t>
      </w:r>
      <w:r>
        <w:rPr>
          <w:rFonts w:eastAsiaTheme="minorHAnsi"/>
          <w:bCs/>
          <w:szCs w:val="22"/>
        </w:rPr>
        <w:t xml:space="preserve">маршрутов по РТ и НРТ, иные проблемы рынка пассажирских перевозок не позволяют обеспечить высокий пассажирооборот на маршрутах по РТ, снижают </w:t>
      </w:r>
      <w:r w:rsidR="00295E39">
        <w:rPr>
          <w:rFonts w:eastAsiaTheme="minorHAnsi"/>
          <w:bCs/>
          <w:szCs w:val="22"/>
        </w:rPr>
        <w:t>доходы перевозчиков, увеличивая требуемые объёмы финансовой поддержки из бюджета.</w:t>
      </w:r>
    </w:p>
    <w:p w:rsidR="009F6DAA" w:rsidRDefault="00295E39" w:rsidP="00AE022C">
      <w:pPr>
        <w:spacing w:line="240" w:lineRule="auto"/>
        <w:contextualSpacing/>
        <w:rPr>
          <w:rFonts w:eastAsiaTheme="minorHAnsi"/>
          <w:sz w:val="24"/>
        </w:rPr>
      </w:pPr>
      <w:r>
        <w:rPr>
          <w:rFonts w:eastAsiaTheme="minorHAnsi"/>
          <w:bCs/>
          <w:sz w:val="24"/>
          <w:szCs w:val="22"/>
        </w:rPr>
        <w:t xml:space="preserve">Наиболее ёмко степень использования </w:t>
      </w:r>
      <w:r w:rsidR="00172FEE">
        <w:rPr>
          <w:rFonts w:eastAsiaTheme="minorHAnsi"/>
          <w:bCs/>
          <w:sz w:val="24"/>
          <w:szCs w:val="22"/>
        </w:rPr>
        <w:t>автобусов характеризует показатель наполняемости, определяемый как отношение</w:t>
      </w:r>
      <w:r w:rsidR="00172FEE" w:rsidRPr="007A6D07">
        <w:rPr>
          <w:rFonts w:eastAsiaTheme="minorHAnsi"/>
          <w:sz w:val="24"/>
        </w:rPr>
        <w:t xml:space="preserve"> значения пассажирооборота (</w:t>
      </w:r>
      <w:proofErr w:type="spellStart"/>
      <w:r w:rsidR="00172FEE" w:rsidRPr="007A6D07">
        <w:rPr>
          <w:rFonts w:eastAsiaTheme="minorHAnsi"/>
          <w:sz w:val="24"/>
        </w:rPr>
        <w:t>пас</w:t>
      </w:r>
      <w:r w:rsidR="0089342A">
        <w:rPr>
          <w:rFonts w:eastAsiaTheme="minorHAnsi"/>
          <w:sz w:val="24"/>
        </w:rPr>
        <w:t>с</w:t>
      </w:r>
      <w:proofErr w:type="gramStart"/>
      <w:r w:rsidR="00172FEE">
        <w:rPr>
          <w:rFonts w:eastAsiaTheme="minorHAnsi"/>
          <w:sz w:val="24"/>
        </w:rPr>
        <w:t>.</w:t>
      </w:r>
      <w:r w:rsidR="00172FEE" w:rsidRPr="007A6D07">
        <w:rPr>
          <w:rFonts w:eastAsiaTheme="minorHAnsi"/>
          <w:sz w:val="24"/>
        </w:rPr>
        <w:t>-</w:t>
      </w:r>
      <w:proofErr w:type="gramEnd"/>
      <w:r w:rsidR="00172FEE" w:rsidRPr="007A6D07">
        <w:rPr>
          <w:rFonts w:eastAsiaTheme="minorHAnsi"/>
          <w:sz w:val="24"/>
        </w:rPr>
        <w:t>км</w:t>
      </w:r>
      <w:proofErr w:type="spellEnd"/>
      <w:r w:rsidR="00172FEE" w:rsidRPr="007A6D07">
        <w:rPr>
          <w:rFonts w:eastAsiaTheme="minorHAnsi"/>
          <w:sz w:val="24"/>
        </w:rPr>
        <w:t>) на значение транспортной работы (место-км) и показыва</w:t>
      </w:r>
      <w:r w:rsidR="00172FEE">
        <w:rPr>
          <w:rFonts w:eastAsiaTheme="minorHAnsi"/>
          <w:sz w:val="24"/>
        </w:rPr>
        <w:t>ющий</w:t>
      </w:r>
      <w:r w:rsidR="0089342A">
        <w:rPr>
          <w:rFonts w:eastAsiaTheme="minorHAnsi"/>
          <w:sz w:val="24"/>
        </w:rPr>
        <w:t>,</w:t>
      </w:r>
      <w:r w:rsidR="00172FEE" w:rsidRPr="007A6D07">
        <w:rPr>
          <w:rFonts w:eastAsiaTheme="minorHAnsi"/>
          <w:sz w:val="24"/>
        </w:rPr>
        <w:t xml:space="preserve"> на</w:t>
      </w:r>
      <w:r w:rsidR="00172FEE">
        <w:rPr>
          <w:rFonts w:eastAsiaTheme="minorHAnsi"/>
          <w:sz w:val="24"/>
        </w:rPr>
        <w:t xml:space="preserve"> </w:t>
      </w:r>
      <w:r w:rsidR="00172FEE" w:rsidRPr="007A6D07">
        <w:rPr>
          <w:rFonts w:eastAsiaTheme="minorHAnsi"/>
          <w:sz w:val="24"/>
        </w:rPr>
        <w:t>сколько процентов использована вместимость автобусов.</w:t>
      </w:r>
    </w:p>
    <w:p w:rsidR="00195BD0" w:rsidRDefault="00195BD0" w:rsidP="00AE022C">
      <w:pPr>
        <w:spacing w:line="240" w:lineRule="auto"/>
        <w:contextualSpacing/>
        <w:rPr>
          <w:rFonts w:eastAsiaTheme="minorHAnsi"/>
          <w:bCs/>
          <w:sz w:val="24"/>
          <w:szCs w:val="22"/>
        </w:rPr>
      </w:pPr>
    </w:p>
    <w:tbl>
      <w:tblPr>
        <w:tblW w:w="108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956"/>
        <w:gridCol w:w="4137"/>
        <w:gridCol w:w="1513"/>
        <w:gridCol w:w="1881"/>
        <w:gridCol w:w="1641"/>
      </w:tblGrid>
      <w:tr w:rsidR="00172FEE" w:rsidRPr="00172FEE" w:rsidTr="00001845">
        <w:trPr>
          <w:trHeight w:val="20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2FEE" w:rsidRPr="00172FEE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413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1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Транспортная работа, тыс. место-км</w:t>
            </w:r>
          </w:p>
        </w:tc>
        <w:tc>
          <w:tcPr>
            <w:tcW w:w="188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Пассажирооборот, тыс.</w:t>
            </w:r>
            <w:r w:rsidRPr="00172F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15C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пасс</w:t>
            </w:r>
            <w:proofErr w:type="gramStart"/>
            <w:r w:rsidRPr="008715C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.-</w:t>
            </w:r>
            <w:proofErr w:type="gramEnd"/>
            <w:r w:rsidRPr="008715C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км</w:t>
            </w:r>
            <w:proofErr w:type="spellEnd"/>
            <w:r w:rsidRPr="008715C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4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Наполняемость автобусов, %</w:t>
            </w:r>
          </w:p>
        </w:tc>
      </w:tr>
      <w:tr w:rsidR="00172FEE" w:rsidRPr="00172FEE" w:rsidTr="00001845">
        <w:trPr>
          <w:trHeight w:val="20"/>
        </w:trPr>
        <w:tc>
          <w:tcPr>
            <w:tcW w:w="719" w:type="dxa"/>
            <w:vMerge w:val="restart"/>
            <w:tcBorders>
              <w:left w:val="double" w:sz="4" w:space="0" w:color="auto"/>
            </w:tcBorders>
            <w:shd w:val="clear" w:color="000000" w:fill="FFFFFF"/>
            <w:vAlign w:val="center"/>
          </w:tcPr>
          <w:p w:rsidR="00172FEE" w:rsidRPr="00172FEE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F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Макс.</w:t>
            </w:r>
          </w:p>
        </w:tc>
        <w:tc>
          <w:tcPr>
            <w:tcW w:w="956" w:type="dxa"/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4137" w:type="dxa"/>
            <w:shd w:val="clear" w:color="000000" w:fill="FFFFFF"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Новоаннинский (АС) - </w:t>
            </w:r>
            <w:proofErr w:type="spellStart"/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Start"/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риображенская</w:t>
            </w:r>
            <w:proofErr w:type="spellEnd"/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641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172FEE" w:rsidRPr="008715C0" w:rsidRDefault="00172FEE" w:rsidP="0089342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</w:tr>
      <w:tr w:rsidR="00172FEE" w:rsidRPr="00172FEE" w:rsidTr="00001845">
        <w:trPr>
          <w:trHeight w:val="20"/>
        </w:trPr>
        <w:tc>
          <w:tcPr>
            <w:tcW w:w="719" w:type="dxa"/>
            <w:vMerge/>
            <w:tcBorders>
              <w:left w:val="double" w:sz="4" w:space="0" w:color="auto"/>
            </w:tcBorders>
            <w:shd w:val="clear" w:color="000000" w:fill="FFFFFF"/>
            <w:vAlign w:val="center"/>
          </w:tcPr>
          <w:p w:rsidR="00172FEE" w:rsidRPr="00172FEE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4137" w:type="dxa"/>
            <w:shd w:val="clear" w:color="000000" w:fill="FFFFFF"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Новоаннинский (АС) - п. </w:t>
            </w:r>
            <w:proofErr w:type="spellStart"/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Зубриловский</w:t>
            </w:r>
            <w:proofErr w:type="spellEnd"/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641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172FEE" w:rsidRPr="008715C0" w:rsidRDefault="00172FEE" w:rsidP="0089342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</w:tr>
      <w:tr w:rsidR="00172FEE" w:rsidRPr="00172FEE" w:rsidTr="00001845">
        <w:trPr>
          <w:trHeight w:val="20"/>
        </w:trPr>
        <w:tc>
          <w:tcPr>
            <w:tcW w:w="719" w:type="dxa"/>
            <w:vMerge/>
            <w:tcBorders>
              <w:left w:val="double" w:sz="4" w:space="0" w:color="auto"/>
            </w:tcBorders>
            <w:shd w:val="clear" w:color="000000" w:fill="FFFFFF"/>
            <w:vAlign w:val="center"/>
          </w:tcPr>
          <w:p w:rsidR="00172FEE" w:rsidRPr="00172FEE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4137" w:type="dxa"/>
            <w:shd w:val="clear" w:color="000000" w:fill="FFFFFF"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Камышин (АС) – п. </w:t>
            </w:r>
            <w:proofErr w:type="spellStart"/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Воднобуерачное</w:t>
            </w:r>
            <w:proofErr w:type="spellEnd"/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sz w:val="20"/>
                <w:szCs w:val="20"/>
                <w:lang w:eastAsia="ru-RU"/>
              </w:rPr>
              <w:t>2291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641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172FEE" w:rsidRPr="008715C0" w:rsidRDefault="00172FEE" w:rsidP="0089342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</w:tr>
      <w:tr w:rsidR="00172FEE" w:rsidRPr="00172FEE" w:rsidTr="00001845">
        <w:trPr>
          <w:trHeight w:val="20"/>
        </w:trPr>
        <w:tc>
          <w:tcPr>
            <w:tcW w:w="719" w:type="dxa"/>
            <w:vMerge w:val="restart"/>
            <w:tcBorders>
              <w:left w:val="double" w:sz="4" w:space="0" w:color="auto"/>
            </w:tcBorders>
            <w:shd w:val="clear" w:color="000000" w:fill="FFFFFF"/>
            <w:vAlign w:val="center"/>
          </w:tcPr>
          <w:p w:rsidR="00172FEE" w:rsidRPr="00172FEE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72FE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956" w:type="dxa"/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125а</w:t>
            </w:r>
          </w:p>
        </w:tc>
        <w:tc>
          <w:tcPr>
            <w:tcW w:w="4137" w:type="dxa"/>
            <w:shd w:val="clear" w:color="FFFFCC" w:fill="FFFFFF"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Волгоград-с</w:t>
            </w:r>
            <w:proofErr w:type="gramStart"/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арповка</w:t>
            </w:r>
            <w:proofErr w:type="spellEnd"/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sz w:val="20"/>
                <w:szCs w:val="20"/>
                <w:lang w:eastAsia="ru-RU"/>
              </w:rPr>
              <w:t>6193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641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172FEE" w:rsidRPr="008715C0" w:rsidRDefault="00172FEE" w:rsidP="0089342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172FEE" w:rsidRPr="00172FEE" w:rsidTr="00001845">
        <w:trPr>
          <w:trHeight w:val="20"/>
        </w:trPr>
        <w:tc>
          <w:tcPr>
            <w:tcW w:w="719" w:type="dxa"/>
            <w:vMerge/>
            <w:tcBorders>
              <w:left w:val="double" w:sz="4" w:space="0" w:color="auto"/>
            </w:tcBorders>
            <w:shd w:val="clear" w:color="000000" w:fill="FFFFFF"/>
          </w:tcPr>
          <w:p w:rsidR="00172FEE" w:rsidRPr="00172FEE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139э</w:t>
            </w:r>
          </w:p>
        </w:tc>
        <w:tc>
          <w:tcPr>
            <w:tcW w:w="4137" w:type="dxa"/>
            <w:shd w:val="clear" w:color="000000" w:fill="FFFFFF"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Руднева-дачи </w:t>
            </w:r>
            <w:proofErr w:type="spellStart"/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Волжаночка</w:t>
            </w:r>
            <w:proofErr w:type="spellEnd"/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3" w:type="dxa"/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sz w:val="20"/>
                <w:szCs w:val="20"/>
                <w:lang w:eastAsia="ru-RU"/>
              </w:rPr>
              <w:t>1219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41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172FEE" w:rsidRPr="008715C0" w:rsidRDefault="00172FEE" w:rsidP="0089342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172FEE" w:rsidRPr="00172FEE" w:rsidTr="00001845">
        <w:trPr>
          <w:trHeight w:val="20"/>
        </w:trPr>
        <w:tc>
          <w:tcPr>
            <w:tcW w:w="71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000000" w:fill="FFFFFF"/>
          </w:tcPr>
          <w:p w:rsidR="00172FEE" w:rsidRPr="00172FEE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bottom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137" w:type="dxa"/>
            <w:tcBorders>
              <w:bottom w:val="double" w:sz="4" w:space="0" w:color="auto"/>
            </w:tcBorders>
            <w:shd w:val="clear" w:color="FFFFCC" w:fill="FFFFFF"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олгоград  - п.Грачи </w:t>
            </w:r>
          </w:p>
        </w:tc>
        <w:tc>
          <w:tcPr>
            <w:tcW w:w="1513" w:type="dxa"/>
            <w:tcBorders>
              <w:bottom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sz w:val="20"/>
                <w:szCs w:val="20"/>
                <w:lang w:eastAsia="ru-RU"/>
              </w:rPr>
              <w:t>5326</w:t>
            </w:r>
          </w:p>
        </w:tc>
        <w:tc>
          <w:tcPr>
            <w:tcW w:w="1881" w:type="dxa"/>
            <w:tcBorders>
              <w:bottom w:val="double" w:sz="4" w:space="0" w:color="auto"/>
            </w:tcBorders>
            <w:shd w:val="clear" w:color="000000" w:fill="FFFFFF"/>
            <w:noWrap/>
            <w:vAlign w:val="center"/>
            <w:hideMark/>
          </w:tcPr>
          <w:p w:rsidR="00172FEE" w:rsidRPr="008715C0" w:rsidRDefault="00172FEE" w:rsidP="00172FEE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64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172FEE" w:rsidRPr="008715C0" w:rsidRDefault="00172FEE" w:rsidP="0089342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15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F85D68" w:rsidRPr="00F85D68" w:rsidTr="00001845">
        <w:trPr>
          <w:trHeight w:val="20"/>
        </w:trPr>
        <w:tc>
          <w:tcPr>
            <w:tcW w:w="58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FFFFFF"/>
          </w:tcPr>
          <w:p w:rsidR="00F85D68" w:rsidRPr="00F85D68" w:rsidRDefault="00F85D68" w:rsidP="00F85D6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85D6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13" w:type="dxa"/>
            <w:tcBorders>
              <w:top w:val="double" w:sz="4" w:space="0" w:color="auto"/>
              <w:bottom w:val="double" w:sz="4" w:space="0" w:color="auto"/>
            </w:tcBorders>
            <w:shd w:val="clear" w:color="000000" w:fill="FFFFFF"/>
            <w:noWrap/>
            <w:vAlign w:val="center"/>
          </w:tcPr>
          <w:p w:rsidR="00F85D68" w:rsidRPr="00F85D68" w:rsidRDefault="00F85D68" w:rsidP="00172FE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85D68">
              <w:rPr>
                <w:rFonts w:eastAsia="Times New Roman"/>
                <w:b/>
                <w:sz w:val="20"/>
                <w:szCs w:val="20"/>
                <w:lang w:eastAsia="ru-RU"/>
              </w:rPr>
              <w:t>594 499</w:t>
            </w:r>
          </w:p>
        </w:tc>
        <w:tc>
          <w:tcPr>
            <w:tcW w:w="1881" w:type="dxa"/>
            <w:tcBorders>
              <w:top w:val="double" w:sz="4" w:space="0" w:color="auto"/>
              <w:bottom w:val="double" w:sz="4" w:space="0" w:color="auto"/>
            </w:tcBorders>
            <w:shd w:val="clear" w:color="000000" w:fill="FFFFFF"/>
            <w:noWrap/>
            <w:vAlign w:val="center"/>
          </w:tcPr>
          <w:p w:rsidR="00F85D68" w:rsidRPr="00F85D68" w:rsidRDefault="00F85D68" w:rsidP="00172FEE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85D68">
              <w:rPr>
                <w:rFonts w:eastAsia="Times New Roman"/>
                <w:b/>
                <w:sz w:val="20"/>
                <w:szCs w:val="20"/>
                <w:lang w:eastAsia="ru-RU"/>
              </w:rPr>
              <w:t>74 108</w:t>
            </w:r>
          </w:p>
        </w:tc>
        <w:tc>
          <w:tcPr>
            <w:tcW w:w="16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F85D68" w:rsidRPr="00F85D68" w:rsidRDefault="00F85D68" w:rsidP="0089342A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85D6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</w:tbl>
    <w:p w:rsidR="00195BD0" w:rsidRDefault="00195BD0" w:rsidP="00AE022C">
      <w:pPr>
        <w:spacing w:line="240" w:lineRule="auto"/>
        <w:contextualSpacing/>
        <w:rPr>
          <w:rFonts w:eastAsiaTheme="minorHAnsi"/>
          <w:bCs/>
          <w:sz w:val="24"/>
          <w:szCs w:val="22"/>
        </w:rPr>
      </w:pPr>
    </w:p>
    <w:p w:rsidR="00C675AA" w:rsidRDefault="00172FEE" w:rsidP="00AE022C">
      <w:pPr>
        <w:spacing w:line="240" w:lineRule="auto"/>
        <w:contextualSpacing/>
        <w:rPr>
          <w:rFonts w:eastAsiaTheme="minorHAnsi"/>
          <w:bCs/>
          <w:sz w:val="24"/>
          <w:szCs w:val="22"/>
        </w:rPr>
      </w:pPr>
      <w:r>
        <w:rPr>
          <w:rFonts w:eastAsiaTheme="minorHAnsi"/>
          <w:bCs/>
          <w:sz w:val="24"/>
          <w:szCs w:val="22"/>
        </w:rPr>
        <w:t>Средняя наполняемость автобусов по всем 78 маршрутам по РТ в 2018 году составила 12,5 процента. В зависимости от маршрута этот показатель колеблется в пределах от 4,1 до 43,9 процента.</w:t>
      </w:r>
    </w:p>
    <w:p w:rsidR="00F85D68" w:rsidRPr="004B0FC1" w:rsidRDefault="00F85D68" w:rsidP="004B0FC1">
      <w:pPr>
        <w:spacing w:line="240" w:lineRule="auto"/>
        <w:contextualSpacing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По мнению </w:t>
      </w:r>
      <w:proofErr w:type="gramStart"/>
      <w:r>
        <w:rPr>
          <w:rFonts w:eastAsiaTheme="minorHAnsi"/>
          <w:sz w:val="24"/>
        </w:rPr>
        <w:t>перевозчиков</w:t>
      </w:r>
      <w:proofErr w:type="gramEnd"/>
      <w:r>
        <w:rPr>
          <w:rFonts w:eastAsiaTheme="minorHAnsi"/>
          <w:sz w:val="24"/>
        </w:rPr>
        <w:t xml:space="preserve"> н</w:t>
      </w:r>
      <w:r w:rsidRPr="007A6D07">
        <w:rPr>
          <w:rFonts w:eastAsiaTheme="minorHAnsi"/>
          <w:sz w:val="24"/>
        </w:rPr>
        <w:t xml:space="preserve">изкий пассажиропоток </w:t>
      </w:r>
      <w:r>
        <w:rPr>
          <w:rFonts w:eastAsiaTheme="minorHAnsi"/>
          <w:sz w:val="24"/>
        </w:rPr>
        <w:t xml:space="preserve">на маршрутах по РТ </w:t>
      </w:r>
      <w:r w:rsidRPr="007A6D07">
        <w:rPr>
          <w:rFonts w:eastAsiaTheme="minorHAnsi"/>
          <w:sz w:val="24"/>
        </w:rPr>
        <w:t xml:space="preserve">обусловлен </w:t>
      </w:r>
      <w:r>
        <w:rPr>
          <w:rFonts w:eastAsiaTheme="minorHAnsi"/>
          <w:sz w:val="24"/>
        </w:rPr>
        <w:t>наличием установленных</w:t>
      </w:r>
      <w:r w:rsidRPr="007A6D07">
        <w:rPr>
          <w:rFonts w:eastAsiaTheme="minorHAnsi"/>
          <w:sz w:val="24"/>
        </w:rPr>
        <w:t xml:space="preserve"> </w:t>
      </w:r>
      <w:proofErr w:type="spellStart"/>
      <w:r w:rsidRPr="007A6D07">
        <w:rPr>
          <w:rFonts w:eastAsiaTheme="minorHAnsi"/>
          <w:sz w:val="24"/>
        </w:rPr>
        <w:t>Облкомдортрансом</w:t>
      </w:r>
      <w:proofErr w:type="spellEnd"/>
      <w:r w:rsidRPr="007A6D07">
        <w:rPr>
          <w:rFonts w:eastAsiaTheme="minorHAnsi"/>
          <w:sz w:val="24"/>
        </w:rPr>
        <w:t xml:space="preserve"> дублирующи</w:t>
      </w:r>
      <w:r>
        <w:rPr>
          <w:rFonts w:eastAsiaTheme="minorHAnsi"/>
          <w:sz w:val="24"/>
        </w:rPr>
        <w:t>х</w:t>
      </w:r>
      <w:r w:rsidRPr="007A6D07">
        <w:rPr>
          <w:rFonts w:eastAsiaTheme="minorHAnsi"/>
          <w:sz w:val="24"/>
        </w:rPr>
        <w:t xml:space="preserve"> </w:t>
      </w:r>
      <w:r>
        <w:rPr>
          <w:rFonts w:eastAsiaTheme="minorHAnsi"/>
          <w:sz w:val="24"/>
        </w:rPr>
        <w:t>маршрутов по НРТ, обслуживаемых иными коммерческими организациями и индивидуальными предпринимателями.</w:t>
      </w:r>
      <w:r w:rsidR="00E15D2F">
        <w:rPr>
          <w:rFonts w:eastAsiaTheme="minorHAnsi"/>
          <w:sz w:val="24"/>
        </w:rPr>
        <w:t xml:space="preserve"> ГУП «</w:t>
      </w:r>
      <w:proofErr w:type="spellStart"/>
      <w:r w:rsidR="00E15D2F">
        <w:rPr>
          <w:rFonts w:eastAsiaTheme="minorHAnsi"/>
          <w:sz w:val="24"/>
        </w:rPr>
        <w:t>Волгоградавтотранс</w:t>
      </w:r>
      <w:proofErr w:type="spellEnd"/>
      <w:r w:rsidR="00E15D2F">
        <w:rPr>
          <w:rFonts w:eastAsiaTheme="minorHAnsi"/>
          <w:sz w:val="24"/>
        </w:rPr>
        <w:t xml:space="preserve">» считает, что в различной степени </w:t>
      </w:r>
      <w:r w:rsidR="00E15D2F" w:rsidRPr="004B0FC1">
        <w:rPr>
          <w:rFonts w:eastAsiaTheme="minorHAnsi"/>
          <w:sz w:val="24"/>
        </w:rPr>
        <w:t>з</w:t>
      </w:r>
      <w:r w:rsidR="00DE6448" w:rsidRPr="004B0FC1">
        <w:rPr>
          <w:rFonts w:eastAsiaTheme="minorHAnsi"/>
          <w:sz w:val="24"/>
        </w:rPr>
        <w:t>адублированы 15 маршрутов по РТ.</w:t>
      </w:r>
    </w:p>
    <w:p w:rsidR="000B5DB5" w:rsidRPr="005B748E" w:rsidRDefault="0089342A" w:rsidP="000B5DB5">
      <w:pPr>
        <w:autoSpaceDE w:val="0"/>
        <w:autoSpaceDN w:val="0"/>
        <w:adjustRightInd w:val="0"/>
        <w:spacing w:line="240" w:lineRule="auto"/>
        <w:rPr>
          <w:rFonts w:eastAsiaTheme="minorHAnsi"/>
          <w:bCs/>
          <w:sz w:val="24"/>
        </w:rPr>
      </w:pPr>
      <w:r w:rsidRPr="000B5DB5">
        <w:rPr>
          <w:rFonts w:eastAsiaTheme="minorHAnsi"/>
          <w:bCs/>
          <w:sz w:val="24"/>
        </w:rPr>
        <w:t xml:space="preserve">Согласно п. 6.1 </w:t>
      </w:r>
      <w:r w:rsidR="000B5DB5" w:rsidRPr="000B5DB5">
        <w:rPr>
          <w:rFonts w:eastAsia="Times New Roman"/>
          <w:sz w:val="24"/>
          <w:lang w:eastAsia="ru-RU"/>
        </w:rPr>
        <w:t>Документ</w:t>
      </w:r>
      <w:r>
        <w:rPr>
          <w:rFonts w:eastAsia="Times New Roman"/>
          <w:sz w:val="24"/>
          <w:lang w:eastAsia="ru-RU"/>
        </w:rPr>
        <w:t>а</w:t>
      </w:r>
      <w:r w:rsidR="000B5DB5" w:rsidRPr="000B5DB5">
        <w:rPr>
          <w:rFonts w:eastAsia="Times New Roman"/>
          <w:sz w:val="24"/>
          <w:lang w:eastAsia="ru-RU"/>
        </w:rPr>
        <w:t xml:space="preserve"> планирования регулярных перевозок пассажиров и багажа автомобильным транспортом по межмуниципальным маршрутам регулярных перевозок в Волгоградской области, утвержденн</w:t>
      </w:r>
      <w:r>
        <w:rPr>
          <w:rFonts w:eastAsia="Times New Roman"/>
          <w:sz w:val="24"/>
          <w:lang w:eastAsia="ru-RU"/>
        </w:rPr>
        <w:t>ого</w:t>
      </w:r>
      <w:r w:rsidR="000B5DB5" w:rsidRPr="000B5DB5">
        <w:rPr>
          <w:rFonts w:eastAsia="Times New Roman"/>
          <w:sz w:val="24"/>
          <w:lang w:eastAsia="ru-RU"/>
        </w:rPr>
        <w:t xml:space="preserve"> постановлением Администрации Волгоградской области от 26.06.2017 № 340-п (далее – Документ планирования) во исполнение требований Закона № 220-ФЗ</w:t>
      </w:r>
      <w:r>
        <w:rPr>
          <w:rFonts w:eastAsia="Times New Roman"/>
          <w:sz w:val="24"/>
          <w:lang w:eastAsia="ru-RU"/>
        </w:rPr>
        <w:t>,</w:t>
      </w:r>
      <w:r w:rsidR="000B5DB5" w:rsidRPr="000B5DB5">
        <w:rPr>
          <w:rFonts w:eastAsia="Times New Roman"/>
          <w:sz w:val="24"/>
          <w:lang w:eastAsia="ru-RU"/>
        </w:rPr>
        <w:t xml:space="preserve"> </w:t>
      </w:r>
      <w:r w:rsidR="000B5DB5" w:rsidRPr="005B748E">
        <w:rPr>
          <w:rFonts w:eastAsia="Times New Roman"/>
          <w:sz w:val="24"/>
          <w:lang w:eastAsia="ru-RU"/>
        </w:rPr>
        <w:t xml:space="preserve">предусмотрена отмена </w:t>
      </w:r>
      <w:r w:rsidRPr="005B748E">
        <w:rPr>
          <w:rFonts w:eastAsia="Times New Roman"/>
          <w:sz w:val="24"/>
          <w:lang w:eastAsia="ru-RU"/>
        </w:rPr>
        <w:t>и изменение ряда дублирующих и неэффективных маршрутов по НРТ</w:t>
      </w:r>
      <w:r w:rsidR="000B5DB5" w:rsidRPr="005B748E">
        <w:rPr>
          <w:rFonts w:eastAsiaTheme="minorHAnsi"/>
          <w:bCs/>
          <w:sz w:val="24"/>
        </w:rPr>
        <w:t xml:space="preserve"> в 2018 году. По состоянию на дату проверки такие мероприятия не проведены.</w:t>
      </w:r>
      <w:r w:rsidR="005B748E" w:rsidRPr="005B748E">
        <w:rPr>
          <w:sz w:val="24"/>
        </w:rPr>
        <w:t xml:space="preserve"> В 2017-2019 годах отменено 11 маршрутов из 51 маршрута, подлежащего к отмене, и </w:t>
      </w:r>
      <w:proofErr w:type="gramStart"/>
      <w:r w:rsidR="005B748E" w:rsidRPr="005B748E">
        <w:rPr>
          <w:sz w:val="24"/>
        </w:rPr>
        <w:t>изменены</w:t>
      </w:r>
      <w:proofErr w:type="gramEnd"/>
      <w:r w:rsidR="005B748E" w:rsidRPr="005B748E">
        <w:rPr>
          <w:sz w:val="24"/>
        </w:rPr>
        <w:t xml:space="preserve"> 14 маршрутов из 46 маршрутов, подлежащих изменению.</w:t>
      </w:r>
    </w:p>
    <w:p w:rsidR="00032CC7" w:rsidRDefault="00032CC7" w:rsidP="00AE022C">
      <w:pPr>
        <w:spacing w:line="240" w:lineRule="auto"/>
        <w:contextualSpacing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Также остаётся нерешённой ситуация </w:t>
      </w:r>
      <w:r w:rsidR="00DB6478">
        <w:rPr>
          <w:rFonts w:eastAsiaTheme="minorHAnsi"/>
          <w:sz w:val="24"/>
        </w:rPr>
        <w:t xml:space="preserve">с </w:t>
      </w:r>
      <w:r w:rsidR="002B5E6B">
        <w:rPr>
          <w:rFonts w:eastAsiaTheme="minorHAnsi"/>
          <w:sz w:val="24"/>
        </w:rPr>
        <w:t xml:space="preserve">регулярными перевозками пассажиров под видом заказных, </w:t>
      </w:r>
      <w:r w:rsidR="00326F8B">
        <w:rPr>
          <w:rFonts w:eastAsiaTheme="minorHAnsi"/>
          <w:sz w:val="24"/>
        </w:rPr>
        <w:t xml:space="preserve">которая приводит к оттоку пассажиров </w:t>
      </w:r>
      <w:r w:rsidR="002B5E6B">
        <w:rPr>
          <w:rFonts w:eastAsiaTheme="minorHAnsi"/>
          <w:sz w:val="24"/>
        </w:rPr>
        <w:t>от легальных</w:t>
      </w:r>
      <w:r w:rsidR="00326F8B">
        <w:rPr>
          <w:rFonts w:eastAsiaTheme="minorHAnsi"/>
          <w:sz w:val="24"/>
        </w:rPr>
        <w:t>,</w:t>
      </w:r>
      <w:r w:rsidR="002B5E6B">
        <w:rPr>
          <w:rFonts w:eastAsiaTheme="minorHAnsi"/>
          <w:sz w:val="24"/>
        </w:rPr>
        <w:t xml:space="preserve"> добросовестных перевозчиков.</w:t>
      </w:r>
      <w:r w:rsidR="00E15D2F">
        <w:rPr>
          <w:rFonts w:eastAsiaTheme="minorHAnsi"/>
          <w:sz w:val="24"/>
        </w:rPr>
        <w:t xml:space="preserve"> </w:t>
      </w:r>
    </w:p>
    <w:p w:rsidR="00AE022C" w:rsidRPr="00AE022C" w:rsidRDefault="00AE022C" w:rsidP="00AE022C">
      <w:pPr>
        <w:spacing w:line="240" w:lineRule="auto"/>
        <w:contextualSpacing/>
        <w:rPr>
          <w:rFonts w:eastAsiaTheme="minorHAnsi"/>
          <w:bCs/>
          <w:sz w:val="24"/>
        </w:rPr>
      </w:pPr>
      <w:r w:rsidRPr="00AE022C">
        <w:rPr>
          <w:rFonts w:eastAsiaTheme="minorHAnsi"/>
          <w:bCs/>
          <w:sz w:val="24"/>
          <w:szCs w:val="22"/>
        </w:rPr>
        <w:t>Таким образом</w:t>
      </w:r>
      <w:r w:rsidR="00A66BD9">
        <w:rPr>
          <w:rFonts w:eastAsiaTheme="minorHAnsi"/>
          <w:bCs/>
          <w:sz w:val="24"/>
          <w:szCs w:val="22"/>
        </w:rPr>
        <w:t>,</w:t>
      </w:r>
      <w:r w:rsidRPr="00AE022C">
        <w:rPr>
          <w:rFonts w:eastAsiaTheme="minorHAnsi"/>
          <w:bCs/>
          <w:sz w:val="24"/>
          <w:szCs w:val="22"/>
        </w:rPr>
        <w:t xml:space="preserve"> система транспортного обеспечения населения через механизм субсидирования на основе неизменяемых тарифов с существующей сетью маршрутов по РТ и НРТ не способна обеспечить стабильную работу предприятия, отвечающую требованиям безопасности перевозок, </w:t>
      </w:r>
      <w:proofErr w:type="gramStart"/>
      <w:r w:rsidRPr="00AE022C">
        <w:rPr>
          <w:rFonts w:eastAsiaTheme="minorHAnsi"/>
          <w:bCs/>
          <w:sz w:val="24"/>
          <w:szCs w:val="22"/>
        </w:rPr>
        <w:t>и</w:t>
      </w:r>
      <w:proofErr w:type="gramEnd"/>
      <w:r w:rsidRPr="00AE022C">
        <w:rPr>
          <w:rFonts w:eastAsiaTheme="minorHAnsi"/>
          <w:bCs/>
          <w:sz w:val="24"/>
          <w:szCs w:val="22"/>
        </w:rPr>
        <w:t xml:space="preserve"> в конечном счёте приведёт к полной </w:t>
      </w:r>
      <w:r w:rsidRPr="00AE022C">
        <w:rPr>
          <w:rFonts w:eastAsiaTheme="minorHAnsi"/>
          <w:bCs/>
          <w:sz w:val="24"/>
        </w:rPr>
        <w:t>дестабилизации финансово-экономического состояния перевозчика.</w:t>
      </w:r>
    </w:p>
    <w:p w:rsidR="00C94C5A" w:rsidRPr="00F10544" w:rsidRDefault="00C94C5A" w:rsidP="00C94C5A">
      <w:pPr>
        <w:pStyle w:val="ConsPlusNormal"/>
        <w:ind w:firstLine="709"/>
        <w:jc w:val="both"/>
      </w:pPr>
      <w:r w:rsidRPr="00F10544">
        <w:t>Общее количество автобусов</w:t>
      </w:r>
      <w:r>
        <w:t>,</w:t>
      </w:r>
      <w:r w:rsidRPr="00F10544">
        <w:t xml:space="preserve"> эксплуатируемых МУП «ВАК № 1732»</w:t>
      </w:r>
      <w:r w:rsidR="00A66BD9">
        <w:t>,</w:t>
      </w:r>
      <w:r w:rsidRPr="00F10544">
        <w:t xml:space="preserve"> составляет 171 единиц</w:t>
      </w:r>
      <w:r w:rsidR="0007344A">
        <w:t>у</w:t>
      </w:r>
      <w:r w:rsidRPr="00F10544">
        <w:t xml:space="preserve">, из которых 114 единиц находятся в собственности </w:t>
      </w:r>
      <w:r>
        <w:t>п</w:t>
      </w:r>
      <w:r w:rsidRPr="00F10544">
        <w:t xml:space="preserve">редприятия и 57 единиц </w:t>
      </w:r>
      <w:r>
        <w:t>-</w:t>
      </w:r>
      <w:r w:rsidR="0007344A">
        <w:t xml:space="preserve"> </w:t>
      </w:r>
      <w:r w:rsidRPr="00F10544">
        <w:t xml:space="preserve">на </w:t>
      </w:r>
      <w:proofErr w:type="spellStart"/>
      <w:r w:rsidRPr="00F10544">
        <w:t>забалансовом</w:t>
      </w:r>
      <w:proofErr w:type="spellEnd"/>
      <w:r w:rsidRPr="00F10544">
        <w:t xml:space="preserve"> учете, в том числе 50 </w:t>
      </w:r>
      <w:r>
        <w:t>автобусов,</w:t>
      </w:r>
      <w:r w:rsidRPr="00F10544">
        <w:t xml:space="preserve"> приобретенных в лизинг.</w:t>
      </w:r>
      <w:r w:rsidR="007A37E3">
        <w:t xml:space="preserve"> Межмуниципальные маршруты по РТ обслуживает 20 автобусов.</w:t>
      </w:r>
    </w:p>
    <w:p w:rsidR="00C94C5A" w:rsidRDefault="00C94C5A" w:rsidP="00C94C5A">
      <w:pPr>
        <w:autoSpaceDE w:val="0"/>
        <w:autoSpaceDN w:val="0"/>
        <w:adjustRightInd w:val="0"/>
        <w:spacing w:line="240" w:lineRule="auto"/>
        <w:rPr>
          <w:rFonts w:eastAsia="Calibri"/>
          <w:sz w:val="24"/>
        </w:rPr>
      </w:pPr>
      <w:r w:rsidRPr="00E75C03">
        <w:rPr>
          <w:rFonts w:eastAsia="Calibri"/>
          <w:sz w:val="24"/>
        </w:rPr>
        <w:t>Информация о результате деятельности МУП «ВАК № 1732» по пассажирским перевозкам по межмуниципальным маршрутам по РТ представлена в таблице.</w:t>
      </w:r>
    </w:p>
    <w:p w:rsidR="00195BD0" w:rsidRDefault="00195BD0" w:rsidP="00C94C5A">
      <w:pPr>
        <w:autoSpaceDE w:val="0"/>
        <w:autoSpaceDN w:val="0"/>
        <w:adjustRightInd w:val="0"/>
        <w:spacing w:line="240" w:lineRule="auto"/>
        <w:rPr>
          <w:rFonts w:eastAsia="Calibri"/>
          <w:sz w:val="24"/>
        </w:rPr>
      </w:pPr>
    </w:p>
    <w:p w:rsidR="00195BD0" w:rsidRDefault="00195BD0" w:rsidP="00C94C5A">
      <w:pPr>
        <w:autoSpaceDE w:val="0"/>
        <w:autoSpaceDN w:val="0"/>
        <w:adjustRightInd w:val="0"/>
        <w:spacing w:line="240" w:lineRule="auto"/>
        <w:rPr>
          <w:rFonts w:eastAsia="Calibri"/>
          <w:sz w:val="24"/>
        </w:rPr>
      </w:pPr>
    </w:p>
    <w:p w:rsidR="00195BD0" w:rsidRDefault="00195BD0" w:rsidP="00C94C5A">
      <w:pPr>
        <w:autoSpaceDE w:val="0"/>
        <w:autoSpaceDN w:val="0"/>
        <w:adjustRightInd w:val="0"/>
        <w:spacing w:line="240" w:lineRule="auto"/>
        <w:rPr>
          <w:rFonts w:eastAsia="Calibri"/>
          <w:sz w:val="24"/>
        </w:rPr>
      </w:pPr>
    </w:p>
    <w:p w:rsidR="00A66BD9" w:rsidRPr="00E75C03" w:rsidRDefault="00A66BD9" w:rsidP="00A66BD9">
      <w:pPr>
        <w:autoSpaceDE w:val="0"/>
        <w:autoSpaceDN w:val="0"/>
        <w:adjustRightInd w:val="0"/>
        <w:spacing w:line="240" w:lineRule="auto"/>
        <w:ind w:left="7079"/>
        <w:rPr>
          <w:rFonts w:eastAsia="Calibri"/>
          <w:sz w:val="24"/>
        </w:rPr>
      </w:pPr>
      <w:r>
        <w:rPr>
          <w:rFonts w:eastAsia="Calibri"/>
          <w:sz w:val="24"/>
        </w:rPr>
        <w:lastRenderedPageBreak/>
        <w:t>тыс. руб.</w:t>
      </w:r>
    </w:p>
    <w:tbl>
      <w:tblPr>
        <w:tblW w:w="8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6"/>
        <w:gridCol w:w="1276"/>
        <w:gridCol w:w="1417"/>
      </w:tblGrid>
      <w:tr w:rsidR="00C94C5A" w:rsidRPr="00E15D2F" w:rsidTr="00001845">
        <w:trPr>
          <w:trHeight w:val="20"/>
          <w:jc w:val="center"/>
        </w:trPr>
        <w:tc>
          <w:tcPr>
            <w:tcW w:w="5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5 мес2019</w:t>
            </w:r>
          </w:p>
        </w:tc>
      </w:tr>
      <w:tr w:rsidR="00C94C5A" w:rsidRPr="00E15D2F" w:rsidTr="00001845">
        <w:trPr>
          <w:trHeight w:val="20"/>
          <w:jc w:val="center"/>
        </w:trPr>
        <w:tc>
          <w:tcPr>
            <w:tcW w:w="545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25 812,1</w:t>
            </w: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27 667,4</w:t>
            </w:r>
          </w:p>
        </w:tc>
      </w:tr>
      <w:tr w:rsidR="00C94C5A" w:rsidRPr="00E15D2F" w:rsidTr="00001845">
        <w:trPr>
          <w:trHeight w:val="20"/>
          <w:jc w:val="center"/>
        </w:trPr>
        <w:tc>
          <w:tcPr>
            <w:tcW w:w="54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Выручка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15D2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от продажи билетов </w:t>
            </w:r>
            <w:r w:rsidRPr="00E15D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 т.ч. от продажи СПБ)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6 067,0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4 678,1</w:t>
            </w:r>
          </w:p>
        </w:tc>
      </w:tr>
      <w:tr w:rsidR="00C94C5A" w:rsidRPr="00E15D2F" w:rsidTr="00001845">
        <w:trPr>
          <w:trHeight w:val="20"/>
          <w:jc w:val="center"/>
        </w:trPr>
        <w:tc>
          <w:tcPr>
            <w:tcW w:w="54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Субсидия СПБ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202,7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256,6</w:t>
            </w:r>
          </w:p>
        </w:tc>
      </w:tr>
      <w:tr w:rsidR="00C94C5A" w:rsidRPr="00E15D2F" w:rsidTr="00001845">
        <w:trPr>
          <w:trHeight w:val="20"/>
          <w:jc w:val="center"/>
        </w:trPr>
        <w:tc>
          <w:tcPr>
            <w:tcW w:w="5456" w:type="dxa"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Доходы по контрактам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="000734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15D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542,4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22 732,7</w:t>
            </w:r>
          </w:p>
        </w:tc>
      </w:tr>
      <w:tr w:rsidR="00C94C5A" w:rsidRPr="00E15D2F" w:rsidTr="00001845">
        <w:trPr>
          <w:trHeight w:val="20"/>
          <w:jc w:val="center"/>
        </w:trPr>
        <w:tc>
          <w:tcPr>
            <w:tcW w:w="545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21 601,9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24 373,9</w:t>
            </w:r>
          </w:p>
        </w:tc>
      </w:tr>
      <w:tr w:rsidR="00C94C5A" w:rsidRPr="00E15D2F" w:rsidTr="00001845">
        <w:trPr>
          <w:trHeight w:val="20"/>
          <w:jc w:val="center"/>
        </w:trPr>
        <w:tc>
          <w:tcPr>
            <w:tcW w:w="5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4 210,2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94C5A" w:rsidRPr="00E15D2F" w:rsidRDefault="00C94C5A" w:rsidP="00E018E8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15D2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3 293,5</w:t>
            </w:r>
          </w:p>
        </w:tc>
      </w:tr>
    </w:tbl>
    <w:p w:rsidR="00C94C5A" w:rsidRDefault="00C94C5A" w:rsidP="00C94C5A">
      <w:pPr>
        <w:autoSpaceDE w:val="0"/>
        <w:autoSpaceDN w:val="0"/>
        <w:adjustRightInd w:val="0"/>
        <w:spacing w:line="240" w:lineRule="auto"/>
        <w:rPr>
          <w:rFonts w:eastAsia="Calibri"/>
          <w:sz w:val="24"/>
        </w:rPr>
      </w:pPr>
      <w:r w:rsidRPr="00E75C03">
        <w:rPr>
          <w:rFonts w:eastAsia="Calibri"/>
          <w:sz w:val="24"/>
        </w:rPr>
        <w:t xml:space="preserve">МУП </w:t>
      </w:r>
      <w:r>
        <w:rPr>
          <w:rFonts w:eastAsia="Calibri"/>
          <w:sz w:val="24"/>
        </w:rPr>
        <w:t xml:space="preserve">по </w:t>
      </w:r>
      <w:r w:rsidRPr="00E75C03">
        <w:rPr>
          <w:rFonts w:eastAsia="Calibri"/>
          <w:sz w:val="24"/>
        </w:rPr>
        <w:t>перевозкам по межмуниципальным маршрутам по РТ</w:t>
      </w:r>
      <w:r>
        <w:rPr>
          <w:rFonts w:eastAsia="Calibri"/>
          <w:sz w:val="24"/>
        </w:rPr>
        <w:t xml:space="preserve"> получило положительный финансовый результат – доходы превышают расходы. Отношение результата к расходам (показатель, подобный показателю уровня рентабельности) составляет 19,5 и 13,5% соответственно по периодам и превышает уровень рентабельности, используемый при расчёте </w:t>
      </w:r>
      <w:r w:rsidRPr="007A37E3">
        <w:rPr>
          <w:rFonts w:eastAsia="Calibri"/>
          <w:sz w:val="24"/>
        </w:rPr>
        <w:t>НМЦК (9,6% - в Порядке № 513, 4,8% в - Порядке № 158).</w:t>
      </w:r>
      <w:r>
        <w:rPr>
          <w:rFonts w:eastAsia="Calibri"/>
          <w:sz w:val="24"/>
        </w:rPr>
        <w:t xml:space="preserve"> </w:t>
      </w:r>
    </w:p>
    <w:p w:rsidR="00C94C5A" w:rsidRDefault="00C94C5A" w:rsidP="00C94C5A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lang w:eastAsia="ru-RU"/>
        </w:rPr>
      </w:pPr>
      <w:r w:rsidRPr="006166FF">
        <w:rPr>
          <w:rFonts w:eastAsia="Times New Roman"/>
          <w:sz w:val="24"/>
          <w:lang w:eastAsia="ru-RU"/>
        </w:rPr>
        <w:t xml:space="preserve">Согласно бухгалтерской отчетности </w:t>
      </w:r>
      <w:r w:rsidRPr="006166FF">
        <w:rPr>
          <w:rFonts w:eastAsia="Calibri"/>
          <w:sz w:val="24"/>
        </w:rPr>
        <w:t>МУП «ВАК № 1732»</w:t>
      </w:r>
      <w:r w:rsidRPr="006166FF">
        <w:rPr>
          <w:rFonts w:eastAsia="Times New Roman"/>
          <w:sz w:val="24"/>
          <w:lang w:eastAsia="ru-RU"/>
        </w:rPr>
        <w:t xml:space="preserve"> за 2018 год</w:t>
      </w:r>
      <w:r>
        <w:rPr>
          <w:rFonts w:eastAsia="Times New Roman"/>
          <w:sz w:val="24"/>
          <w:lang w:eastAsia="ru-RU"/>
        </w:rPr>
        <w:t xml:space="preserve"> </w:t>
      </w:r>
      <w:r w:rsidRPr="006166FF">
        <w:rPr>
          <w:rFonts w:eastAsia="Times New Roman"/>
          <w:sz w:val="24"/>
          <w:lang w:eastAsia="ru-RU"/>
        </w:rPr>
        <w:t xml:space="preserve">убыток от деятельности </w:t>
      </w:r>
      <w:r>
        <w:rPr>
          <w:rFonts w:eastAsia="Calibri"/>
          <w:sz w:val="24"/>
        </w:rPr>
        <w:t>предприятия</w:t>
      </w:r>
      <w:r w:rsidRPr="006166FF">
        <w:rPr>
          <w:rFonts w:eastAsia="Times New Roman"/>
          <w:sz w:val="24"/>
          <w:lang w:eastAsia="ru-RU"/>
        </w:rPr>
        <w:t xml:space="preserve"> составил 38 374,0 тыс. руб., т.е. положительн</w:t>
      </w:r>
      <w:r w:rsidR="00A66BD9">
        <w:rPr>
          <w:rFonts w:eastAsia="Times New Roman"/>
          <w:sz w:val="24"/>
          <w:lang w:eastAsia="ru-RU"/>
        </w:rPr>
        <w:t>ый</w:t>
      </w:r>
      <w:r w:rsidRPr="006166FF">
        <w:rPr>
          <w:rFonts w:eastAsia="Times New Roman"/>
          <w:sz w:val="24"/>
          <w:lang w:eastAsia="ru-RU"/>
        </w:rPr>
        <w:t xml:space="preserve"> </w:t>
      </w:r>
      <w:r>
        <w:rPr>
          <w:rFonts w:eastAsia="Times New Roman"/>
          <w:sz w:val="24"/>
          <w:lang w:eastAsia="ru-RU"/>
        </w:rPr>
        <w:t xml:space="preserve">финансовый результат от </w:t>
      </w:r>
      <w:r w:rsidRPr="006166FF">
        <w:rPr>
          <w:rFonts w:eastAsia="Times New Roman"/>
          <w:sz w:val="24"/>
          <w:lang w:eastAsia="ru-RU"/>
        </w:rPr>
        <w:t xml:space="preserve">пригородных перевозок </w:t>
      </w:r>
      <w:r>
        <w:rPr>
          <w:rFonts w:eastAsia="Times New Roman"/>
          <w:sz w:val="24"/>
          <w:lang w:eastAsia="ru-RU"/>
        </w:rPr>
        <w:t xml:space="preserve">по РТ </w:t>
      </w:r>
      <w:r w:rsidRPr="006166FF">
        <w:rPr>
          <w:rFonts w:eastAsia="Times New Roman"/>
          <w:sz w:val="24"/>
          <w:lang w:eastAsia="ru-RU"/>
        </w:rPr>
        <w:t>снизил убыток от осуществления иной деятельности.</w:t>
      </w:r>
    </w:p>
    <w:p w:rsidR="00C94C5A" w:rsidRPr="00295E08" w:rsidRDefault="00C94C5A" w:rsidP="00C94C5A">
      <w:pPr>
        <w:spacing w:line="240" w:lineRule="auto"/>
        <w:rPr>
          <w:sz w:val="24"/>
        </w:rPr>
      </w:pPr>
      <w:r w:rsidRPr="00295E08">
        <w:rPr>
          <w:sz w:val="24"/>
        </w:rPr>
        <w:t xml:space="preserve">ООО «ВАП» входит </w:t>
      </w:r>
      <w:r>
        <w:rPr>
          <w:sz w:val="24"/>
        </w:rPr>
        <w:t xml:space="preserve">в </w:t>
      </w:r>
      <w:r w:rsidRPr="00EF5B2E">
        <w:rPr>
          <w:sz w:val="24"/>
        </w:rPr>
        <w:t>состав</w:t>
      </w:r>
      <w:r w:rsidRPr="00295E08">
        <w:rPr>
          <w:sz w:val="24"/>
        </w:rPr>
        <w:t xml:space="preserve"> </w:t>
      </w:r>
      <w:r w:rsidR="00A66BD9">
        <w:rPr>
          <w:sz w:val="24"/>
        </w:rPr>
        <w:t>холдинговой т</w:t>
      </w:r>
      <w:r w:rsidR="00167185">
        <w:rPr>
          <w:sz w:val="24"/>
        </w:rPr>
        <w:t>ранспортной</w:t>
      </w:r>
      <w:r w:rsidRPr="00295E08">
        <w:rPr>
          <w:sz w:val="24"/>
        </w:rPr>
        <w:t xml:space="preserve"> </w:t>
      </w:r>
      <w:r w:rsidR="00167185">
        <w:rPr>
          <w:sz w:val="24"/>
        </w:rPr>
        <w:t xml:space="preserve">компании </w:t>
      </w:r>
      <w:r w:rsidRPr="00295E08">
        <w:rPr>
          <w:sz w:val="24"/>
        </w:rPr>
        <w:t>«</w:t>
      </w:r>
      <w:proofErr w:type="spellStart"/>
      <w:r w:rsidRPr="00295E08">
        <w:rPr>
          <w:sz w:val="24"/>
        </w:rPr>
        <w:t>Питеравто</w:t>
      </w:r>
      <w:proofErr w:type="spellEnd"/>
      <w:r w:rsidRPr="00295E08">
        <w:rPr>
          <w:sz w:val="24"/>
        </w:rPr>
        <w:t>»</w:t>
      </w:r>
      <w:r w:rsidR="004B0FC1">
        <w:rPr>
          <w:sz w:val="24"/>
        </w:rPr>
        <w:t>. Большая часть</w:t>
      </w:r>
      <w:r w:rsidRPr="00295E08">
        <w:rPr>
          <w:sz w:val="24"/>
        </w:rPr>
        <w:t xml:space="preserve"> административно-управленческ</w:t>
      </w:r>
      <w:r w:rsidR="004B0FC1">
        <w:rPr>
          <w:sz w:val="24"/>
        </w:rPr>
        <w:t>ого</w:t>
      </w:r>
      <w:r w:rsidRPr="00295E08">
        <w:rPr>
          <w:sz w:val="24"/>
        </w:rPr>
        <w:t xml:space="preserve"> персонал</w:t>
      </w:r>
      <w:r w:rsidR="004B0FC1">
        <w:rPr>
          <w:sz w:val="24"/>
        </w:rPr>
        <w:t>а</w:t>
      </w:r>
      <w:r w:rsidRPr="00295E08">
        <w:rPr>
          <w:sz w:val="24"/>
        </w:rPr>
        <w:t xml:space="preserve"> территориально находится в </w:t>
      </w:r>
      <w:proofErr w:type="gramStart"/>
      <w:r w:rsidRPr="00295E08">
        <w:rPr>
          <w:sz w:val="24"/>
        </w:rPr>
        <w:t>г</w:t>
      </w:r>
      <w:proofErr w:type="gramEnd"/>
      <w:r w:rsidRPr="00295E08">
        <w:rPr>
          <w:sz w:val="24"/>
        </w:rPr>
        <w:t xml:space="preserve">. Санкт-Петербург. Бухгалтерское </w:t>
      </w:r>
      <w:proofErr w:type="gramStart"/>
      <w:r w:rsidRPr="00295E08">
        <w:rPr>
          <w:sz w:val="24"/>
        </w:rPr>
        <w:t>обслуживание</w:t>
      </w:r>
      <w:proofErr w:type="gramEnd"/>
      <w:r w:rsidRPr="00295E08">
        <w:rPr>
          <w:sz w:val="24"/>
        </w:rPr>
        <w:t xml:space="preserve"> оказывается по договору </w:t>
      </w:r>
      <w:r w:rsidR="008E4F0C">
        <w:rPr>
          <w:sz w:val="24"/>
        </w:rPr>
        <w:t>организацией</w:t>
      </w:r>
      <w:r w:rsidRPr="00295E08">
        <w:rPr>
          <w:sz w:val="24"/>
        </w:rPr>
        <w:t xml:space="preserve">, </w:t>
      </w:r>
      <w:r w:rsidR="004B0FC1" w:rsidRPr="00295E08">
        <w:rPr>
          <w:sz w:val="24"/>
        </w:rPr>
        <w:t xml:space="preserve">также </w:t>
      </w:r>
      <w:r w:rsidRPr="00295E08">
        <w:rPr>
          <w:sz w:val="24"/>
        </w:rPr>
        <w:t>находящ</w:t>
      </w:r>
      <w:r w:rsidR="00167185">
        <w:rPr>
          <w:sz w:val="24"/>
        </w:rPr>
        <w:t>ей</w:t>
      </w:r>
      <w:r w:rsidRPr="00295E08">
        <w:rPr>
          <w:sz w:val="24"/>
        </w:rPr>
        <w:t>ся в г. Санкт-Петербург. Указанная ситуация приводит к низким косвенным расходам ООО «ВАП», а также к невозможности исследования первичной документации в полном объеме.</w:t>
      </w:r>
      <w:r w:rsidR="008E4F0C">
        <w:rPr>
          <w:sz w:val="24"/>
        </w:rPr>
        <w:t xml:space="preserve"> </w:t>
      </w:r>
      <w:r w:rsidRPr="00295E08">
        <w:rPr>
          <w:sz w:val="24"/>
        </w:rPr>
        <w:t xml:space="preserve">На </w:t>
      </w:r>
      <w:r w:rsidR="008E4F0C">
        <w:rPr>
          <w:sz w:val="24"/>
        </w:rPr>
        <w:t xml:space="preserve">дату </w:t>
      </w:r>
      <w:r w:rsidRPr="00295E08">
        <w:rPr>
          <w:sz w:val="24"/>
        </w:rPr>
        <w:t xml:space="preserve">проверки </w:t>
      </w:r>
      <w:r w:rsidR="008E4F0C">
        <w:rPr>
          <w:sz w:val="24"/>
        </w:rPr>
        <w:t xml:space="preserve">парк </w:t>
      </w:r>
      <w:r w:rsidRPr="00295E08">
        <w:rPr>
          <w:sz w:val="24"/>
        </w:rPr>
        <w:t>ООО «ВАП» насчитыва</w:t>
      </w:r>
      <w:r w:rsidR="004B0FC1">
        <w:rPr>
          <w:sz w:val="24"/>
        </w:rPr>
        <w:t>л</w:t>
      </w:r>
      <w:r w:rsidRPr="00295E08">
        <w:rPr>
          <w:sz w:val="24"/>
        </w:rPr>
        <w:t xml:space="preserve"> 237 единиц подвижного состава.</w:t>
      </w:r>
    </w:p>
    <w:p w:rsidR="007C2812" w:rsidRDefault="007C2812" w:rsidP="007C2812">
      <w:pPr>
        <w:widowControl w:val="0"/>
        <w:suppressAutoHyphens/>
        <w:autoSpaceDE w:val="0"/>
        <w:spacing w:line="240" w:lineRule="auto"/>
        <w:rPr>
          <w:rFonts w:eastAsia="Calibri"/>
          <w:sz w:val="24"/>
        </w:rPr>
      </w:pPr>
      <w:r w:rsidRPr="007C2812">
        <w:rPr>
          <w:rFonts w:eastAsia="Times New Roman"/>
          <w:sz w:val="24"/>
          <w:lang w:eastAsia="ru-RU"/>
        </w:rPr>
        <w:t>ООО «ВАП»</w:t>
      </w:r>
      <w:r>
        <w:rPr>
          <w:rFonts w:eastAsia="Times New Roman"/>
          <w:sz w:val="24"/>
          <w:lang w:eastAsia="ru-RU"/>
        </w:rPr>
        <w:t xml:space="preserve"> выступал подрядчиком по одному контракту по РТ по двум маршрутам (№ 123, 146) с периодом исполнения январь-сентябрь </w:t>
      </w:r>
      <w:r w:rsidRPr="007924EE">
        <w:rPr>
          <w:rFonts w:eastAsia="Times New Roman"/>
          <w:sz w:val="24"/>
          <w:lang w:eastAsia="ru-RU"/>
        </w:rPr>
        <w:t>2018</w:t>
      </w:r>
      <w:r w:rsidR="00167185">
        <w:rPr>
          <w:rFonts w:eastAsia="Times New Roman"/>
          <w:sz w:val="24"/>
          <w:lang w:eastAsia="ru-RU"/>
        </w:rPr>
        <w:t xml:space="preserve"> </w:t>
      </w:r>
      <w:r>
        <w:rPr>
          <w:rFonts w:eastAsia="Times New Roman"/>
          <w:sz w:val="24"/>
          <w:lang w:eastAsia="ru-RU"/>
        </w:rPr>
        <w:t xml:space="preserve">года и ценой </w:t>
      </w:r>
      <w:r w:rsidRPr="007924EE">
        <w:rPr>
          <w:rFonts w:eastAsia="Times New Roman"/>
          <w:sz w:val="24"/>
          <w:lang w:eastAsia="ru-RU"/>
        </w:rPr>
        <w:t xml:space="preserve">33 474,1 тыс. рублей. </w:t>
      </w:r>
      <w:proofErr w:type="spellStart"/>
      <w:r>
        <w:rPr>
          <w:rFonts w:eastAsia="Times New Roman"/>
          <w:sz w:val="24"/>
          <w:lang w:eastAsia="ru-RU"/>
        </w:rPr>
        <w:t>Облкомдортранс</w:t>
      </w:r>
      <w:proofErr w:type="spellEnd"/>
      <w:r>
        <w:rPr>
          <w:rFonts w:eastAsia="Times New Roman"/>
          <w:sz w:val="24"/>
          <w:lang w:eastAsia="ru-RU"/>
        </w:rPr>
        <w:t xml:space="preserve"> принял и оплатил работ</w:t>
      </w:r>
      <w:r w:rsidR="00167185">
        <w:rPr>
          <w:rFonts w:eastAsia="Times New Roman"/>
          <w:sz w:val="24"/>
          <w:lang w:eastAsia="ru-RU"/>
        </w:rPr>
        <w:t>ы</w:t>
      </w:r>
      <w:r>
        <w:rPr>
          <w:rFonts w:eastAsia="Times New Roman"/>
          <w:sz w:val="24"/>
          <w:lang w:eastAsia="ru-RU"/>
        </w:rPr>
        <w:t xml:space="preserve"> на</w:t>
      </w:r>
      <w:r w:rsidRPr="007924EE">
        <w:rPr>
          <w:rFonts w:eastAsia="Times New Roman"/>
          <w:sz w:val="24"/>
          <w:lang w:eastAsia="ru-RU"/>
        </w:rPr>
        <w:t xml:space="preserve"> 17</w:t>
      </w:r>
      <w:r>
        <w:rPr>
          <w:rFonts w:eastAsia="Times New Roman"/>
          <w:sz w:val="24"/>
          <w:lang w:eastAsia="ru-RU"/>
        </w:rPr>
        <w:t> </w:t>
      </w:r>
      <w:r w:rsidRPr="007924EE">
        <w:rPr>
          <w:rFonts w:eastAsia="Times New Roman"/>
          <w:sz w:val="24"/>
          <w:lang w:eastAsia="ru-RU"/>
        </w:rPr>
        <w:t>839,9 тыс. руб</w:t>
      </w:r>
      <w:r>
        <w:rPr>
          <w:rFonts w:eastAsia="Times New Roman"/>
          <w:sz w:val="24"/>
          <w:lang w:eastAsia="ru-RU"/>
        </w:rPr>
        <w:t xml:space="preserve">. (см. выше). </w:t>
      </w:r>
    </w:p>
    <w:p w:rsidR="007C2812" w:rsidRDefault="007C2812" w:rsidP="007C2812">
      <w:pPr>
        <w:autoSpaceDE w:val="0"/>
        <w:autoSpaceDN w:val="0"/>
        <w:adjustRightInd w:val="0"/>
        <w:spacing w:line="240" w:lineRule="auto"/>
        <w:rPr>
          <w:rFonts w:eastAsia="Calibri"/>
          <w:sz w:val="24"/>
        </w:rPr>
      </w:pPr>
      <w:r w:rsidRPr="00E75C03">
        <w:rPr>
          <w:rFonts w:eastAsia="Calibri"/>
          <w:sz w:val="24"/>
        </w:rPr>
        <w:t>Информация о результате деятельност</w:t>
      </w:r>
      <w:proofErr w:type="gramStart"/>
      <w:r w:rsidRPr="00E75C03">
        <w:rPr>
          <w:rFonts w:eastAsia="Calibri"/>
          <w:sz w:val="24"/>
        </w:rPr>
        <w:t xml:space="preserve">и </w:t>
      </w:r>
      <w:r>
        <w:rPr>
          <w:rFonts w:eastAsia="Calibri"/>
          <w:sz w:val="24"/>
        </w:rPr>
        <w:t>ООО</w:t>
      </w:r>
      <w:proofErr w:type="gramEnd"/>
      <w:r>
        <w:rPr>
          <w:rFonts w:eastAsia="Calibri"/>
          <w:sz w:val="24"/>
        </w:rPr>
        <w:t xml:space="preserve"> «ВАП»</w:t>
      </w:r>
      <w:r w:rsidRPr="00E75C03">
        <w:rPr>
          <w:rFonts w:eastAsia="Calibri"/>
          <w:sz w:val="24"/>
        </w:rPr>
        <w:t xml:space="preserve"> по перевозкам по межмуниципальным маршрутам по РТ представлена в таблице.</w:t>
      </w:r>
    </w:p>
    <w:p w:rsidR="004807E8" w:rsidRDefault="00167185" w:rsidP="007C2812">
      <w:pPr>
        <w:autoSpaceDE w:val="0"/>
        <w:autoSpaceDN w:val="0"/>
        <w:adjustRightInd w:val="0"/>
        <w:spacing w:line="240" w:lineRule="auto"/>
        <w:rPr>
          <w:rFonts w:eastAsia="Calibri"/>
          <w:sz w:val="24"/>
        </w:rPr>
      </w:pP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  <w:t>тыс. руб.</w:t>
      </w:r>
    </w:p>
    <w:tbl>
      <w:tblPr>
        <w:tblW w:w="5540" w:type="dxa"/>
        <w:jc w:val="center"/>
        <w:tblLook w:val="04A0"/>
      </w:tblPr>
      <w:tblGrid>
        <w:gridCol w:w="3760"/>
        <w:gridCol w:w="1780"/>
      </w:tblGrid>
      <w:tr w:rsidR="002D2B84" w:rsidRPr="007C2812" w:rsidTr="00E22491">
        <w:trPr>
          <w:trHeight w:val="230"/>
          <w:jc w:val="center"/>
        </w:trPr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2B84" w:rsidRPr="002D2B84" w:rsidRDefault="002D2B84" w:rsidP="002D2B84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D2B8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2B84" w:rsidRPr="002D2B84" w:rsidRDefault="004B0FC1" w:rsidP="002D2B84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9 мес. </w:t>
            </w:r>
            <w:r w:rsidR="002D2B84" w:rsidRPr="002D2B8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</w:tr>
      <w:tr w:rsidR="007C2812" w:rsidRPr="007C2812" w:rsidTr="00E22491">
        <w:trPr>
          <w:trHeight w:val="20"/>
          <w:jc w:val="center"/>
        </w:trPr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12" w:rsidRPr="007C2812" w:rsidRDefault="007C2812" w:rsidP="007C2812">
            <w:pPr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C281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8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C2812" w:rsidRPr="007C2812" w:rsidRDefault="007C2812" w:rsidP="007C2812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C281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30 966,7</w:t>
            </w:r>
          </w:p>
        </w:tc>
      </w:tr>
      <w:tr w:rsidR="007C2812" w:rsidRPr="007C2812" w:rsidTr="00E22491">
        <w:trPr>
          <w:trHeight w:val="20"/>
          <w:jc w:val="center"/>
        </w:trPr>
        <w:tc>
          <w:tcPr>
            <w:tcW w:w="37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12" w:rsidRPr="007C2812" w:rsidRDefault="007C2812" w:rsidP="007C2812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281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Выручка </w:t>
            </w:r>
            <w:r w:rsidRPr="007C281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 т</w:t>
            </w:r>
            <w:proofErr w:type="gramStart"/>
            <w:r w:rsidRPr="007C281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7C281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продажи СПБ)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C2812" w:rsidRPr="007C2812" w:rsidRDefault="007C2812" w:rsidP="007C2812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281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3 533,8</w:t>
            </w:r>
          </w:p>
        </w:tc>
      </w:tr>
      <w:tr w:rsidR="007C2812" w:rsidRPr="007C2812" w:rsidTr="00E22491">
        <w:trPr>
          <w:trHeight w:val="20"/>
          <w:jc w:val="center"/>
        </w:trPr>
        <w:tc>
          <w:tcPr>
            <w:tcW w:w="37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12" w:rsidRPr="007C2812" w:rsidRDefault="007C2812" w:rsidP="007C2812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281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Контракт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C2812" w:rsidRPr="007C2812" w:rsidRDefault="007C2812" w:rsidP="007C2812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281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27 018,5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7C2812" w:rsidRPr="007C2812" w:rsidTr="00E22491">
        <w:trPr>
          <w:trHeight w:val="20"/>
          <w:jc w:val="center"/>
        </w:trPr>
        <w:tc>
          <w:tcPr>
            <w:tcW w:w="37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12" w:rsidRPr="007C2812" w:rsidRDefault="007C2812" w:rsidP="007C2812">
            <w:pPr>
              <w:spacing w:line="240" w:lineRule="auto"/>
              <w:ind w:firstLine="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281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Субсидия СПБ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C2812" w:rsidRPr="007C2812" w:rsidRDefault="007C2812" w:rsidP="007C2812">
            <w:pPr>
              <w:spacing w:line="240" w:lineRule="auto"/>
              <w:ind w:firstLine="0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281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414,4</w:t>
            </w:r>
          </w:p>
        </w:tc>
      </w:tr>
      <w:tr w:rsidR="007C2812" w:rsidRPr="007C2812" w:rsidTr="00E22491">
        <w:trPr>
          <w:trHeight w:val="20"/>
          <w:jc w:val="center"/>
        </w:trPr>
        <w:tc>
          <w:tcPr>
            <w:tcW w:w="376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12" w:rsidRPr="007C2812" w:rsidRDefault="007C2812" w:rsidP="007C281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281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C2812" w:rsidRPr="007C2812" w:rsidRDefault="007C2812" w:rsidP="007C2812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281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29 023,9</w:t>
            </w:r>
          </w:p>
        </w:tc>
      </w:tr>
      <w:tr w:rsidR="007C2812" w:rsidRPr="007C2812" w:rsidTr="00E22491">
        <w:trPr>
          <w:trHeight w:val="20"/>
          <w:jc w:val="center"/>
        </w:trPr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12" w:rsidRPr="007C2812" w:rsidRDefault="007C2812" w:rsidP="007C2812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281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C2812" w:rsidRPr="007C2812" w:rsidRDefault="007C2812" w:rsidP="007C2812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C2812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1 942,8</w:t>
            </w:r>
          </w:p>
        </w:tc>
      </w:tr>
      <w:tr w:rsidR="002D2B84" w:rsidRPr="007C2812" w:rsidTr="00E22491">
        <w:trPr>
          <w:trHeight w:val="20"/>
          <w:jc w:val="center"/>
        </w:trPr>
        <w:tc>
          <w:tcPr>
            <w:tcW w:w="554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D2B84" w:rsidRPr="002D2B84" w:rsidRDefault="002D2B84" w:rsidP="002D2B8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2B84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*с учётом неоплаченной, но вероятно выполненной работы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 и без учёта штрафов</w:t>
            </w:r>
          </w:p>
        </w:tc>
      </w:tr>
    </w:tbl>
    <w:p w:rsidR="00195BD0" w:rsidRDefault="00195BD0" w:rsidP="007C2812">
      <w:pPr>
        <w:autoSpaceDE w:val="0"/>
        <w:autoSpaceDN w:val="0"/>
        <w:adjustRightInd w:val="0"/>
        <w:spacing w:line="240" w:lineRule="auto"/>
        <w:rPr>
          <w:rFonts w:eastAsia="Calibri"/>
          <w:sz w:val="24"/>
        </w:rPr>
      </w:pPr>
    </w:p>
    <w:p w:rsidR="007C2812" w:rsidRDefault="002D2B84" w:rsidP="007C2812">
      <w:pPr>
        <w:autoSpaceDE w:val="0"/>
        <w:autoSpaceDN w:val="0"/>
        <w:adjustRightInd w:val="0"/>
        <w:spacing w:line="240" w:lineRule="auto"/>
        <w:rPr>
          <w:rFonts w:eastAsia="Calibri"/>
          <w:sz w:val="24"/>
        </w:rPr>
      </w:pPr>
      <w:r>
        <w:rPr>
          <w:rFonts w:eastAsia="Calibri"/>
          <w:sz w:val="24"/>
        </w:rPr>
        <w:t>Общество</w:t>
      </w:r>
      <w:r w:rsidR="007C2812" w:rsidRPr="00E75C03">
        <w:rPr>
          <w:rFonts w:eastAsia="Calibri"/>
          <w:sz w:val="24"/>
        </w:rPr>
        <w:t xml:space="preserve"> </w:t>
      </w:r>
      <w:r w:rsidR="007C2812">
        <w:rPr>
          <w:rFonts w:eastAsia="Calibri"/>
          <w:sz w:val="24"/>
        </w:rPr>
        <w:t xml:space="preserve">по </w:t>
      </w:r>
      <w:r>
        <w:rPr>
          <w:rFonts w:eastAsia="Calibri"/>
          <w:sz w:val="24"/>
        </w:rPr>
        <w:t xml:space="preserve">рассматриваемым </w:t>
      </w:r>
      <w:r w:rsidR="007C2812" w:rsidRPr="00E75C03">
        <w:rPr>
          <w:rFonts w:eastAsia="Calibri"/>
          <w:sz w:val="24"/>
        </w:rPr>
        <w:t xml:space="preserve">перевозкам </w:t>
      </w:r>
      <w:r w:rsidR="00E22491">
        <w:rPr>
          <w:rFonts w:eastAsia="Calibri"/>
          <w:sz w:val="24"/>
        </w:rPr>
        <w:t xml:space="preserve">при надлежащем подтверждении проделанной работы </w:t>
      </w:r>
      <w:r w:rsidR="007C2812">
        <w:rPr>
          <w:rFonts w:eastAsia="Calibri"/>
          <w:sz w:val="24"/>
        </w:rPr>
        <w:t>получило</w:t>
      </w:r>
      <w:r w:rsidR="00E22491">
        <w:rPr>
          <w:rFonts w:eastAsia="Calibri"/>
          <w:sz w:val="24"/>
        </w:rPr>
        <w:t xml:space="preserve"> бы</w:t>
      </w:r>
      <w:r w:rsidR="007C2812">
        <w:rPr>
          <w:rFonts w:eastAsia="Calibri"/>
          <w:sz w:val="24"/>
        </w:rPr>
        <w:t xml:space="preserve"> положительный финансовый результат – доходы превышают расходы</w:t>
      </w:r>
      <w:r>
        <w:rPr>
          <w:rFonts w:eastAsia="Calibri"/>
          <w:sz w:val="24"/>
        </w:rPr>
        <w:t xml:space="preserve"> </w:t>
      </w:r>
      <w:r w:rsidR="007A37E3">
        <w:rPr>
          <w:rFonts w:eastAsia="Calibri"/>
          <w:sz w:val="24"/>
        </w:rPr>
        <w:t>на</w:t>
      </w:r>
      <w:r>
        <w:rPr>
          <w:rFonts w:eastAsia="Calibri"/>
          <w:sz w:val="24"/>
        </w:rPr>
        <w:t xml:space="preserve"> 1 942,8 тыс. рублей</w:t>
      </w:r>
      <w:r w:rsidR="007C2812">
        <w:rPr>
          <w:rFonts w:eastAsia="Calibri"/>
          <w:sz w:val="24"/>
        </w:rPr>
        <w:t xml:space="preserve">. Отношение результата к расходам (показатель, подобный показателю уровня рентабельности) составляет </w:t>
      </w:r>
      <w:r>
        <w:rPr>
          <w:rFonts w:eastAsia="Calibri"/>
          <w:sz w:val="24"/>
        </w:rPr>
        <w:t>6,7 процента</w:t>
      </w:r>
      <w:r w:rsidR="007C2812">
        <w:rPr>
          <w:rFonts w:eastAsia="Calibri"/>
          <w:sz w:val="24"/>
        </w:rPr>
        <w:t xml:space="preserve">. </w:t>
      </w:r>
    </w:p>
    <w:p w:rsidR="001E1AAD" w:rsidRPr="00611639" w:rsidRDefault="001E1AAD" w:rsidP="00FB0030">
      <w:pPr>
        <w:autoSpaceDE w:val="0"/>
        <w:autoSpaceDN w:val="0"/>
        <w:adjustRightInd w:val="0"/>
        <w:spacing w:line="240" w:lineRule="auto"/>
        <w:ind w:firstLine="708"/>
        <w:rPr>
          <w:rFonts w:eastAsiaTheme="minorHAnsi"/>
          <w:sz w:val="24"/>
        </w:rPr>
      </w:pPr>
    </w:p>
    <w:p w:rsidR="0089342A" w:rsidRDefault="00F732C2" w:rsidP="001E1AA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i/>
          <w:sz w:val="24"/>
        </w:rPr>
      </w:pPr>
      <w:r w:rsidRPr="001E1AAD">
        <w:rPr>
          <w:rFonts w:eastAsiaTheme="minorHAnsi"/>
          <w:i/>
          <w:sz w:val="24"/>
        </w:rPr>
        <w:t>Перспектив</w:t>
      </w:r>
      <w:r w:rsidR="000A02EC" w:rsidRPr="001E1AAD">
        <w:rPr>
          <w:rFonts w:eastAsiaTheme="minorHAnsi"/>
          <w:i/>
          <w:sz w:val="24"/>
        </w:rPr>
        <w:t>ы изменения системы</w:t>
      </w:r>
    </w:p>
    <w:p w:rsidR="00F732C2" w:rsidRPr="001E1AAD" w:rsidRDefault="000A02EC" w:rsidP="001E1AA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i/>
          <w:sz w:val="24"/>
        </w:rPr>
      </w:pPr>
      <w:r w:rsidRPr="001E1AAD">
        <w:rPr>
          <w:rFonts w:eastAsiaTheme="minorHAnsi"/>
          <w:i/>
          <w:sz w:val="24"/>
        </w:rPr>
        <w:t xml:space="preserve"> межмуниципальных автомобильных регулярных перевозок</w:t>
      </w:r>
    </w:p>
    <w:p w:rsidR="00810A4B" w:rsidRPr="00736805" w:rsidRDefault="00810A4B" w:rsidP="00810A4B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810A4B">
        <w:rPr>
          <w:rFonts w:eastAsiaTheme="minorHAnsi"/>
          <w:sz w:val="24"/>
        </w:rPr>
        <w:t>Анализ нормативной правовой базы Волгоградской области в сфере организации транспортного обслуживания населения</w:t>
      </w:r>
      <w:r w:rsidR="00736805">
        <w:rPr>
          <w:rFonts w:eastAsiaTheme="minorHAnsi"/>
          <w:sz w:val="24"/>
        </w:rPr>
        <w:t>, настоящая проверка</w:t>
      </w:r>
      <w:r w:rsidRPr="00810A4B">
        <w:rPr>
          <w:rFonts w:eastAsiaTheme="minorHAnsi"/>
          <w:sz w:val="24"/>
        </w:rPr>
        <w:t xml:space="preserve"> показал</w:t>
      </w:r>
      <w:r w:rsidR="00736805">
        <w:rPr>
          <w:rFonts w:eastAsiaTheme="minorHAnsi"/>
          <w:sz w:val="24"/>
        </w:rPr>
        <w:t>и</w:t>
      </w:r>
      <w:r w:rsidRPr="00810A4B">
        <w:rPr>
          <w:rFonts w:eastAsiaTheme="minorHAnsi"/>
          <w:sz w:val="24"/>
        </w:rPr>
        <w:t xml:space="preserve"> отсутствие </w:t>
      </w:r>
      <w:r>
        <w:rPr>
          <w:rFonts w:eastAsiaTheme="minorHAnsi"/>
          <w:sz w:val="24"/>
        </w:rPr>
        <w:t>единого</w:t>
      </w:r>
      <w:r w:rsidR="00FE5F06">
        <w:rPr>
          <w:rFonts w:eastAsiaTheme="minorHAnsi"/>
          <w:sz w:val="24"/>
        </w:rPr>
        <w:t>,</w:t>
      </w:r>
      <w:r w:rsidRPr="00810A4B">
        <w:rPr>
          <w:rFonts w:eastAsiaTheme="minorHAnsi"/>
          <w:sz w:val="24"/>
        </w:rPr>
        <w:t xml:space="preserve"> комплексного</w:t>
      </w:r>
      <w:r w:rsidR="00FE5F06">
        <w:rPr>
          <w:rFonts w:eastAsiaTheme="minorHAnsi"/>
          <w:sz w:val="24"/>
        </w:rPr>
        <w:t>,</w:t>
      </w:r>
      <w:r w:rsidRPr="00810A4B">
        <w:rPr>
          <w:rFonts w:eastAsiaTheme="minorHAnsi"/>
          <w:sz w:val="24"/>
        </w:rPr>
        <w:t xml:space="preserve"> </w:t>
      </w:r>
      <w:r w:rsidR="00945AA6">
        <w:rPr>
          <w:rFonts w:eastAsiaTheme="minorHAnsi"/>
          <w:sz w:val="24"/>
        </w:rPr>
        <w:t xml:space="preserve">прозрачного </w:t>
      </w:r>
      <w:r w:rsidR="00FE5F06">
        <w:rPr>
          <w:rFonts w:eastAsiaTheme="minorHAnsi"/>
          <w:sz w:val="24"/>
        </w:rPr>
        <w:t xml:space="preserve">и последовательного </w:t>
      </w:r>
      <w:r w:rsidRPr="00810A4B">
        <w:rPr>
          <w:rFonts w:eastAsiaTheme="minorHAnsi"/>
          <w:sz w:val="24"/>
        </w:rPr>
        <w:t>подхода к решению вопросов развития регулярных перевозок автомобильным транспортом</w:t>
      </w:r>
      <w:r w:rsidR="007D11CD">
        <w:rPr>
          <w:rFonts w:eastAsiaTheme="minorHAnsi"/>
          <w:sz w:val="24"/>
        </w:rPr>
        <w:t xml:space="preserve"> по межмуниципальным маршрутам</w:t>
      </w:r>
      <w:r w:rsidRPr="00810A4B">
        <w:rPr>
          <w:rFonts w:eastAsiaTheme="minorHAnsi"/>
          <w:sz w:val="24"/>
        </w:rPr>
        <w:t>.</w:t>
      </w:r>
    </w:p>
    <w:p w:rsidR="00945AA6" w:rsidRPr="00736805" w:rsidRDefault="00945AA6" w:rsidP="00810A4B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736805">
        <w:rPr>
          <w:rFonts w:eastAsiaTheme="minorHAnsi"/>
          <w:sz w:val="24"/>
        </w:rPr>
        <w:t>Документами, призванными определить такой подход и закрепить планы изменения системы межмуниципальных автомобильных регулярных перевозок, являются ранее упомянутые:</w:t>
      </w:r>
    </w:p>
    <w:p w:rsidR="00945AA6" w:rsidRDefault="00736805" w:rsidP="00810A4B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736805">
        <w:rPr>
          <w:rFonts w:eastAsiaTheme="minorHAnsi"/>
          <w:sz w:val="24"/>
        </w:rPr>
        <w:lastRenderedPageBreak/>
        <w:t>-</w:t>
      </w:r>
      <w:r w:rsidR="00945AA6" w:rsidRPr="00736805">
        <w:rPr>
          <w:rFonts w:eastAsiaTheme="minorHAnsi"/>
          <w:sz w:val="24"/>
        </w:rPr>
        <w:t>Комплексн</w:t>
      </w:r>
      <w:r w:rsidR="0085109D">
        <w:rPr>
          <w:rFonts w:eastAsiaTheme="minorHAnsi"/>
          <w:sz w:val="24"/>
        </w:rPr>
        <w:t>ый</w:t>
      </w:r>
      <w:r w:rsidR="00945AA6" w:rsidRPr="00736805">
        <w:rPr>
          <w:rFonts w:eastAsiaTheme="minorHAnsi"/>
          <w:sz w:val="24"/>
        </w:rPr>
        <w:t xml:space="preserve"> план транспортного обслуживания населения Волгоградской области на средне- и долгосрочную перспективу до 2030 года в части пригородных пассажирских перевозок, утвержденн</w:t>
      </w:r>
      <w:r w:rsidRPr="00736805">
        <w:rPr>
          <w:rFonts w:eastAsiaTheme="minorHAnsi"/>
          <w:sz w:val="24"/>
        </w:rPr>
        <w:t>ый</w:t>
      </w:r>
      <w:r w:rsidR="00945AA6" w:rsidRPr="00736805">
        <w:rPr>
          <w:rFonts w:eastAsiaTheme="minorHAnsi"/>
          <w:sz w:val="24"/>
        </w:rPr>
        <w:t xml:space="preserve"> постановлением Администрации Волгоградской области от</w:t>
      </w:r>
      <w:r w:rsidR="00945AA6" w:rsidRPr="005A208C">
        <w:rPr>
          <w:rFonts w:eastAsiaTheme="minorHAnsi"/>
          <w:sz w:val="24"/>
        </w:rPr>
        <w:t xml:space="preserve"> 14.06.2016 №</w:t>
      </w:r>
      <w:r w:rsidR="00945AA6">
        <w:rPr>
          <w:rFonts w:eastAsiaTheme="minorHAnsi"/>
          <w:sz w:val="24"/>
        </w:rPr>
        <w:t xml:space="preserve"> </w:t>
      </w:r>
      <w:r w:rsidR="00945AA6" w:rsidRPr="005A208C">
        <w:rPr>
          <w:rFonts w:eastAsiaTheme="minorHAnsi"/>
          <w:sz w:val="24"/>
        </w:rPr>
        <w:t>287-п</w:t>
      </w:r>
      <w:r>
        <w:rPr>
          <w:rFonts w:eastAsiaTheme="minorHAnsi"/>
          <w:sz w:val="24"/>
        </w:rPr>
        <w:t xml:space="preserve"> (далее – Комплексный план)</w:t>
      </w:r>
      <w:r w:rsidR="00FE5F06">
        <w:rPr>
          <w:rFonts w:eastAsiaTheme="minorHAnsi"/>
          <w:sz w:val="24"/>
        </w:rPr>
        <w:t>. С даты принятия не корректировался</w:t>
      </w:r>
      <w:r w:rsidR="00326F8B">
        <w:rPr>
          <w:rFonts w:eastAsiaTheme="minorHAnsi"/>
          <w:sz w:val="24"/>
        </w:rPr>
        <w:t xml:space="preserve"> и не всегда исполняется</w:t>
      </w:r>
      <w:r>
        <w:rPr>
          <w:rFonts w:eastAsiaTheme="minorHAnsi"/>
          <w:sz w:val="24"/>
        </w:rPr>
        <w:t>;</w:t>
      </w:r>
    </w:p>
    <w:p w:rsidR="00945AA6" w:rsidRDefault="00736805" w:rsidP="00810A4B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-</w:t>
      </w:r>
      <w:r w:rsidRPr="00810A4B">
        <w:rPr>
          <w:rFonts w:eastAsia="Times New Roman"/>
          <w:sz w:val="24"/>
          <w:lang w:eastAsia="ru-RU"/>
        </w:rPr>
        <w:t>Документ планирования регулярных перевозок пассажиров и багажа автомобильным транспортом по межмуниципальным маршрутам регулярных перевозок в Волгоградской области</w:t>
      </w:r>
      <w:r w:rsidR="0085109D">
        <w:rPr>
          <w:rFonts w:eastAsia="Times New Roman"/>
          <w:sz w:val="24"/>
          <w:lang w:eastAsia="ru-RU"/>
        </w:rPr>
        <w:t>,</w:t>
      </w:r>
      <w:r w:rsidRPr="00810A4B">
        <w:rPr>
          <w:rFonts w:eastAsia="Times New Roman"/>
          <w:sz w:val="24"/>
          <w:lang w:eastAsia="ru-RU"/>
        </w:rPr>
        <w:t xml:space="preserve"> утвержден</w:t>
      </w:r>
      <w:r>
        <w:rPr>
          <w:rFonts w:eastAsia="Times New Roman"/>
          <w:sz w:val="24"/>
          <w:lang w:eastAsia="ru-RU"/>
        </w:rPr>
        <w:t>ный</w:t>
      </w:r>
      <w:r w:rsidRPr="00810A4B">
        <w:rPr>
          <w:rFonts w:eastAsia="Times New Roman"/>
          <w:sz w:val="24"/>
          <w:lang w:eastAsia="ru-RU"/>
        </w:rPr>
        <w:t xml:space="preserve"> постановлением Администрации Волгоградской области от 26.06.2017 № 340-п (далее – Документ планирования)</w:t>
      </w:r>
      <w:r w:rsidR="00FE5F06">
        <w:rPr>
          <w:rFonts w:eastAsia="Times New Roman"/>
          <w:sz w:val="24"/>
          <w:lang w:eastAsia="ru-RU"/>
        </w:rPr>
        <w:t>. Один раз внесены изменения, призванные устранить технические ошибки, допущенные в первой редакции</w:t>
      </w:r>
      <w:r w:rsidR="0085109D">
        <w:rPr>
          <w:rFonts w:eastAsia="Times New Roman"/>
          <w:sz w:val="24"/>
          <w:lang w:eastAsia="ru-RU"/>
        </w:rPr>
        <w:t>;</w:t>
      </w:r>
    </w:p>
    <w:p w:rsidR="00736805" w:rsidRDefault="00736805" w:rsidP="00810A4B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-ГП «Транспорт»</w:t>
      </w:r>
      <w:r w:rsidR="00FE5F06">
        <w:rPr>
          <w:rFonts w:eastAsia="Times New Roman"/>
          <w:sz w:val="24"/>
          <w:lang w:eastAsia="ru-RU"/>
        </w:rPr>
        <w:t>. Периодически корректируется</w:t>
      </w:r>
      <w:r>
        <w:rPr>
          <w:rFonts w:eastAsia="Times New Roman"/>
          <w:sz w:val="24"/>
          <w:lang w:eastAsia="ru-RU"/>
        </w:rPr>
        <w:t>.</w:t>
      </w:r>
    </w:p>
    <w:p w:rsidR="0085109D" w:rsidRDefault="0085109D" w:rsidP="00BC6CE1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Названные нормативные правовые акты декларативно</w:t>
      </w:r>
      <w:r w:rsidR="00402C0D">
        <w:rPr>
          <w:rFonts w:eastAsia="Times New Roman"/>
          <w:sz w:val="24"/>
          <w:lang w:eastAsia="ru-RU"/>
        </w:rPr>
        <w:t xml:space="preserve"> </w:t>
      </w:r>
      <w:r>
        <w:rPr>
          <w:rFonts w:eastAsia="Times New Roman"/>
          <w:sz w:val="24"/>
          <w:lang w:eastAsia="ru-RU"/>
        </w:rPr>
        <w:t>неконкретны, не согласованы между собой и не учитывают объективные обстоятельства сегодняшнего дня.</w:t>
      </w:r>
      <w:r w:rsidR="00FE5F06">
        <w:rPr>
          <w:rFonts w:eastAsia="Times New Roman"/>
          <w:sz w:val="24"/>
          <w:lang w:eastAsia="ru-RU"/>
        </w:rPr>
        <w:t xml:space="preserve"> Уполномоченный орган исполнительной власти Волгоградской области – </w:t>
      </w:r>
      <w:proofErr w:type="spellStart"/>
      <w:r w:rsidR="00FE5F06">
        <w:rPr>
          <w:rFonts w:eastAsia="Times New Roman"/>
          <w:sz w:val="24"/>
          <w:lang w:eastAsia="ru-RU"/>
        </w:rPr>
        <w:t>Облкомдортранс</w:t>
      </w:r>
      <w:proofErr w:type="spellEnd"/>
      <w:r w:rsidR="00FE5F06">
        <w:rPr>
          <w:rFonts w:eastAsia="Times New Roman"/>
          <w:sz w:val="24"/>
          <w:lang w:eastAsia="ru-RU"/>
        </w:rPr>
        <w:t xml:space="preserve"> не обеспечивает согласованность нормативно-правовой базы и, по существу, не </w:t>
      </w:r>
      <w:r w:rsidR="00BC6CE1">
        <w:rPr>
          <w:rFonts w:eastAsia="Times New Roman"/>
          <w:sz w:val="24"/>
          <w:lang w:eastAsia="ru-RU"/>
        </w:rPr>
        <w:t>имеет тактики и стратегии своих действий в свете происходящего изменения механизма финансового обеспечения перевозок по РТ.</w:t>
      </w:r>
    </w:p>
    <w:p w:rsidR="00A269EC" w:rsidRDefault="00A269EC" w:rsidP="00BC6CE1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="Times New Roman"/>
          <w:sz w:val="24"/>
          <w:lang w:eastAsia="ru-RU"/>
        </w:rPr>
        <w:t>Комплексный план предусматривает закупку 130 автобусов в 2015-2018 годах и строительство</w:t>
      </w:r>
      <w:r w:rsidRPr="00A269EC">
        <w:rPr>
          <w:rFonts w:eastAsiaTheme="minorHAnsi"/>
          <w:sz w:val="24"/>
        </w:rPr>
        <w:t xml:space="preserve"> </w:t>
      </w:r>
      <w:r w:rsidR="00FE5F06">
        <w:rPr>
          <w:rFonts w:eastAsiaTheme="minorHAnsi"/>
          <w:sz w:val="24"/>
        </w:rPr>
        <w:t>(</w:t>
      </w:r>
      <w:r>
        <w:rPr>
          <w:rFonts w:eastAsiaTheme="minorHAnsi"/>
          <w:sz w:val="24"/>
        </w:rPr>
        <w:t>реконструкци</w:t>
      </w:r>
      <w:r w:rsidR="00FE5F06">
        <w:rPr>
          <w:rFonts w:eastAsiaTheme="minorHAnsi"/>
          <w:sz w:val="24"/>
        </w:rPr>
        <w:t>ю</w:t>
      </w:r>
      <w:r>
        <w:rPr>
          <w:rFonts w:eastAsiaTheme="minorHAnsi"/>
          <w:sz w:val="24"/>
        </w:rPr>
        <w:t xml:space="preserve">) </w:t>
      </w:r>
      <w:r w:rsidR="00FE5F06">
        <w:rPr>
          <w:rFonts w:eastAsiaTheme="minorHAnsi"/>
          <w:sz w:val="24"/>
        </w:rPr>
        <w:t xml:space="preserve">в 2014-2017 годах </w:t>
      </w:r>
      <w:r>
        <w:rPr>
          <w:rFonts w:eastAsiaTheme="minorHAnsi"/>
          <w:sz w:val="24"/>
        </w:rPr>
        <w:t>автомобильных дорог регионального или межмуниципального значения общей протяженностью 65,609 к</w:t>
      </w:r>
      <w:r w:rsidR="00FE5F06">
        <w:rPr>
          <w:rFonts w:eastAsiaTheme="minorHAnsi"/>
          <w:sz w:val="24"/>
        </w:rPr>
        <w:t xml:space="preserve">м. Вопросы изменения механизма финансового обеспечения перевозок по РТ документом не затрагиваются. Однако с 2017 года предусмотрено увеличение ЭОТ и тарифа КРД до 4,15 руб. за 1 </w:t>
      </w:r>
      <w:proofErr w:type="spellStart"/>
      <w:r w:rsidR="00FE5F06">
        <w:rPr>
          <w:rFonts w:eastAsiaTheme="minorHAnsi"/>
          <w:sz w:val="24"/>
        </w:rPr>
        <w:t>пасс</w:t>
      </w:r>
      <w:proofErr w:type="gramStart"/>
      <w:r w:rsidR="00FE5F06">
        <w:rPr>
          <w:rFonts w:eastAsiaTheme="minorHAnsi"/>
          <w:sz w:val="24"/>
        </w:rPr>
        <w:t>.-</w:t>
      </w:r>
      <w:proofErr w:type="gramEnd"/>
      <w:r w:rsidR="00FE5F06">
        <w:rPr>
          <w:rFonts w:eastAsiaTheme="minorHAnsi"/>
          <w:sz w:val="24"/>
        </w:rPr>
        <w:t>км</w:t>
      </w:r>
      <w:proofErr w:type="spellEnd"/>
      <w:r w:rsidR="00326F8B">
        <w:rPr>
          <w:rFonts w:eastAsiaTheme="minorHAnsi"/>
          <w:sz w:val="24"/>
        </w:rPr>
        <w:t>, что не реализовано</w:t>
      </w:r>
      <w:r w:rsidR="00FE5F06">
        <w:rPr>
          <w:rFonts w:eastAsiaTheme="minorHAnsi"/>
          <w:sz w:val="24"/>
        </w:rPr>
        <w:t>.</w:t>
      </w:r>
    </w:p>
    <w:p w:rsidR="0085109D" w:rsidRDefault="00FE5F06" w:rsidP="00BC6CE1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Как </w:t>
      </w:r>
      <w:r w:rsidR="00BC6CE1">
        <w:rPr>
          <w:rFonts w:eastAsia="Times New Roman"/>
          <w:sz w:val="24"/>
          <w:lang w:eastAsia="ru-RU"/>
        </w:rPr>
        <w:t>упоминалось выше</w:t>
      </w:r>
      <w:r w:rsidR="00167185">
        <w:rPr>
          <w:rFonts w:eastAsia="Times New Roman"/>
          <w:sz w:val="24"/>
          <w:lang w:eastAsia="ru-RU"/>
        </w:rPr>
        <w:t>,</w:t>
      </w:r>
      <w:r w:rsidR="00BC6CE1">
        <w:rPr>
          <w:rFonts w:eastAsia="Times New Roman"/>
          <w:sz w:val="24"/>
          <w:lang w:eastAsia="ru-RU"/>
        </w:rPr>
        <w:t xml:space="preserve"> с 2015 года попытка изменения ЭОТ не реализована, инициирование увеличения тарифа КРД не осуществлялось.</w:t>
      </w:r>
    </w:p>
    <w:p w:rsidR="0085109D" w:rsidRDefault="007D11CD" w:rsidP="00810A4B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Указанные правовые акты</w:t>
      </w:r>
      <w:r w:rsidR="00BC6CE1">
        <w:rPr>
          <w:rFonts w:eastAsia="Times New Roman"/>
          <w:sz w:val="24"/>
          <w:lang w:eastAsia="ru-RU"/>
        </w:rPr>
        <w:t xml:space="preserve"> содержат различную информацию о количестве и составе межмуниципальных маршрутов регулярных перевозок</w:t>
      </w:r>
      <w:r w:rsidR="00F64E1B">
        <w:rPr>
          <w:rFonts w:eastAsia="Times New Roman"/>
          <w:sz w:val="24"/>
          <w:lang w:eastAsia="ru-RU"/>
        </w:rPr>
        <w:t xml:space="preserve"> в Волгоградской области</w:t>
      </w:r>
      <w:r w:rsidR="00BC6CE1">
        <w:rPr>
          <w:rFonts w:eastAsia="Times New Roman"/>
          <w:sz w:val="24"/>
          <w:lang w:eastAsia="ru-RU"/>
        </w:rPr>
        <w:t>.</w:t>
      </w:r>
    </w:p>
    <w:p w:rsidR="004807E8" w:rsidRDefault="00F64E1B" w:rsidP="00810A4B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  <w:t>ед.</w:t>
      </w:r>
    </w:p>
    <w:tbl>
      <w:tblPr>
        <w:tblStyle w:val="a7"/>
        <w:tblW w:w="0" w:type="auto"/>
        <w:jc w:val="center"/>
        <w:tblLook w:val="04A0"/>
      </w:tblPr>
      <w:tblGrid>
        <w:gridCol w:w="2802"/>
        <w:gridCol w:w="690"/>
        <w:gridCol w:w="709"/>
        <w:gridCol w:w="2570"/>
        <w:gridCol w:w="929"/>
      </w:tblGrid>
      <w:tr w:rsidR="00BC6CE1" w:rsidRPr="00BC6CE1" w:rsidTr="007D11CD">
        <w:trPr>
          <w:jc w:val="center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C6CE1">
              <w:rPr>
                <w:rFonts w:eastAsia="Times New Roman"/>
                <w:b/>
                <w:sz w:val="20"/>
                <w:szCs w:val="20"/>
                <w:lang w:eastAsia="ru-RU"/>
              </w:rPr>
              <w:t>Источник</w:t>
            </w:r>
          </w:p>
        </w:tc>
        <w:tc>
          <w:tcPr>
            <w:tcW w:w="690" w:type="dxa"/>
            <w:tcBorders>
              <w:top w:val="double" w:sz="4" w:space="0" w:color="auto"/>
              <w:bottom w:val="double" w:sz="4" w:space="0" w:color="auto"/>
            </w:tcBorders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C6CE1">
              <w:rPr>
                <w:rFonts w:eastAsia="Times New Roman"/>
                <w:b/>
                <w:sz w:val="20"/>
                <w:szCs w:val="20"/>
                <w:lang w:eastAsia="ru-RU"/>
              </w:rPr>
              <w:t>РТ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C6CE1">
              <w:rPr>
                <w:rFonts w:eastAsia="Times New Roman"/>
                <w:b/>
                <w:sz w:val="20"/>
                <w:szCs w:val="20"/>
                <w:lang w:eastAsia="ru-RU"/>
              </w:rPr>
              <w:t>НРТ</w:t>
            </w:r>
          </w:p>
        </w:tc>
        <w:tc>
          <w:tcPr>
            <w:tcW w:w="2570" w:type="dxa"/>
            <w:tcBorders>
              <w:top w:val="double" w:sz="4" w:space="0" w:color="auto"/>
              <w:bottom w:val="double" w:sz="4" w:space="0" w:color="auto"/>
            </w:tcBorders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C6CE1">
              <w:rPr>
                <w:rFonts w:eastAsia="Times New Roman"/>
                <w:b/>
                <w:sz w:val="20"/>
                <w:szCs w:val="20"/>
                <w:lang w:eastAsia="ru-RU"/>
              </w:rPr>
              <w:t>Подлежащих отмене</w:t>
            </w:r>
          </w:p>
        </w:tc>
        <w:tc>
          <w:tcPr>
            <w:tcW w:w="9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C6CE1"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BC6CE1" w:rsidRPr="00BC6CE1" w:rsidTr="007D11CD">
        <w:trPr>
          <w:jc w:val="center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</w:tcBorders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C6CE1">
              <w:rPr>
                <w:rFonts w:eastAsia="Times New Roman"/>
                <w:sz w:val="20"/>
                <w:szCs w:val="20"/>
                <w:lang w:eastAsia="ru-RU"/>
              </w:rPr>
              <w:t>Комплексный план</w:t>
            </w:r>
          </w:p>
        </w:tc>
        <w:tc>
          <w:tcPr>
            <w:tcW w:w="690" w:type="dxa"/>
            <w:tcBorders>
              <w:top w:val="double" w:sz="4" w:space="0" w:color="auto"/>
            </w:tcBorders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70" w:type="dxa"/>
            <w:tcBorders>
              <w:top w:val="double" w:sz="4" w:space="0" w:color="auto"/>
            </w:tcBorders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double" w:sz="4" w:space="0" w:color="auto"/>
              <w:right w:val="double" w:sz="4" w:space="0" w:color="auto"/>
            </w:tcBorders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CE1">
              <w:rPr>
                <w:rFonts w:eastAsia="Times New Roman"/>
                <w:sz w:val="20"/>
                <w:szCs w:val="20"/>
                <w:lang w:eastAsia="ru-RU"/>
              </w:rPr>
              <w:t>283</w:t>
            </w:r>
          </w:p>
        </w:tc>
      </w:tr>
      <w:tr w:rsidR="00BC6CE1" w:rsidRPr="00BC6CE1" w:rsidTr="007D11CD">
        <w:trPr>
          <w:jc w:val="center"/>
        </w:trPr>
        <w:tc>
          <w:tcPr>
            <w:tcW w:w="2802" w:type="dxa"/>
            <w:tcBorders>
              <w:left w:val="double" w:sz="4" w:space="0" w:color="auto"/>
            </w:tcBorders>
          </w:tcPr>
          <w:p w:rsidR="00BC6CE1" w:rsidRPr="00BC6CE1" w:rsidRDefault="00BC6CE1" w:rsidP="00810A4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C6CE1">
              <w:rPr>
                <w:rFonts w:eastAsia="Times New Roman"/>
                <w:sz w:val="20"/>
                <w:szCs w:val="20"/>
                <w:lang w:eastAsia="ru-RU"/>
              </w:rPr>
              <w:t>Документ планирования</w:t>
            </w:r>
          </w:p>
        </w:tc>
        <w:tc>
          <w:tcPr>
            <w:tcW w:w="690" w:type="dxa"/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CE1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CE1">
              <w:rPr>
                <w:rFonts w:eastAsia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570" w:type="dxa"/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CE1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29" w:type="dxa"/>
            <w:tcBorders>
              <w:right w:val="double" w:sz="4" w:space="0" w:color="auto"/>
            </w:tcBorders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CE1">
              <w:rPr>
                <w:rFonts w:eastAsia="Times New Roman"/>
                <w:sz w:val="20"/>
                <w:szCs w:val="20"/>
                <w:lang w:eastAsia="ru-RU"/>
              </w:rPr>
              <w:t>304</w:t>
            </w:r>
          </w:p>
        </w:tc>
      </w:tr>
      <w:tr w:rsidR="00BC6CE1" w:rsidRPr="00BC6CE1" w:rsidTr="00430DBB">
        <w:trPr>
          <w:jc w:val="center"/>
        </w:trPr>
        <w:tc>
          <w:tcPr>
            <w:tcW w:w="2802" w:type="dxa"/>
            <w:tcBorders>
              <w:left w:val="double" w:sz="4" w:space="0" w:color="auto"/>
              <w:bottom w:val="double" w:sz="4" w:space="0" w:color="auto"/>
            </w:tcBorders>
          </w:tcPr>
          <w:p w:rsidR="00BC6CE1" w:rsidRPr="00BC6CE1" w:rsidRDefault="00BC6CE1" w:rsidP="00810A4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C6CE1">
              <w:rPr>
                <w:rFonts w:eastAsia="Times New Roman"/>
                <w:sz w:val="20"/>
                <w:szCs w:val="20"/>
                <w:lang w:eastAsia="ru-RU"/>
              </w:rPr>
              <w:t>Реестр маршрутов</w:t>
            </w:r>
          </w:p>
        </w:tc>
        <w:tc>
          <w:tcPr>
            <w:tcW w:w="690" w:type="dxa"/>
            <w:tcBorders>
              <w:bottom w:val="double" w:sz="4" w:space="0" w:color="auto"/>
            </w:tcBorders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CE1"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CE1">
              <w:rPr>
                <w:rFonts w:eastAsia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570" w:type="dxa"/>
            <w:tcBorders>
              <w:bottom w:val="double" w:sz="4" w:space="0" w:color="auto"/>
            </w:tcBorders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9" w:type="dxa"/>
            <w:tcBorders>
              <w:bottom w:val="double" w:sz="4" w:space="0" w:color="auto"/>
              <w:right w:val="double" w:sz="4" w:space="0" w:color="auto"/>
            </w:tcBorders>
          </w:tcPr>
          <w:p w:rsidR="00BC6CE1" w:rsidRPr="00BC6CE1" w:rsidRDefault="00BC6CE1" w:rsidP="00BC6CE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6CE1">
              <w:rPr>
                <w:rFonts w:eastAsia="Times New Roman"/>
                <w:sz w:val="20"/>
                <w:szCs w:val="20"/>
                <w:lang w:eastAsia="ru-RU"/>
              </w:rPr>
              <w:t>304</w:t>
            </w:r>
          </w:p>
        </w:tc>
      </w:tr>
    </w:tbl>
    <w:p w:rsidR="00195BD0" w:rsidRDefault="00195BD0" w:rsidP="00810A4B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0"/>
          <w:lang w:eastAsia="ru-RU"/>
        </w:rPr>
      </w:pPr>
    </w:p>
    <w:p w:rsidR="00810A4B" w:rsidRDefault="00810A4B" w:rsidP="00810A4B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0"/>
          <w:lang w:eastAsia="ru-RU"/>
        </w:rPr>
      </w:pPr>
      <w:r w:rsidRPr="00810A4B">
        <w:rPr>
          <w:rFonts w:eastAsia="Times New Roman"/>
          <w:sz w:val="24"/>
          <w:szCs w:val="20"/>
          <w:lang w:eastAsia="ru-RU"/>
        </w:rPr>
        <w:t xml:space="preserve">Документом планирования закреплены вопросы организации регулярных перевозок по регулируемым и нерегулируемым тарифам и перечни межмуниципальных </w:t>
      </w:r>
      <w:r w:rsidR="0023719C" w:rsidRPr="00810A4B">
        <w:rPr>
          <w:rFonts w:eastAsia="Times New Roman"/>
          <w:sz w:val="24"/>
          <w:szCs w:val="20"/>
          <w:lang w:eastAsia="ru-RU"/>
        </w:rPr>
        <w:t xml:space="preserve">действующих, подлежащих изменению и отмене </w:t>
      </w:r>
      <w:r w:rsidRPr="00810A4B">
        <w:rPr>
          <w:rFonts w:eastAsia="Times New Roman"/>
          <w:sz w:val="24"/>
          <w:szCs w:val="20"/>
          <w:lang w:eastAsia="ru-RU"/>
        </w:rPr>
        <w:t>маршрутов.</w:t>
      </w:r>
    </w:p>
    <w:p w:rsidR="000E5734" w:rsidRDefault="000E5734" w:rsidP="00167185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>Мероприятия по организации и проведению отмены и изменению дублирующих и неэффективных межмуниципальных маршрутов регулярных перевозок, определённые Документом планирования к реализации в 2017-2018 годах</w:t>
      </w:r>
      <w:r w:rsidR="00167185">
        <w:rPr>
          <w:rFonts w:eastAsiaTheme="minorHAnsi"/>
          <w:sz w:val="24"/>
        </w:rPr>
        <w:t>,</w:t>
      </w:r>
      <w:r>
        <w:rPr>
          <w:rFonts w:eastAsiaTheme="minorHAnsi"/>
          <w:sz w:val="24"/>
        </w:rPr>
        <w:t xml:space="preserve"> в большей части не исполнены.</w:t>
      </w:r>
      <w:r w:rsidR="005B748E" w:rsidRPr="005B748E">
        <w:rPr>
          <w:rFonts w:eastAsiaTheme="minorHAnsi"/>
          <w:bCs/>
          <w:sz w:val="24"/>
        </w:rPr>
        <w:t xml:space="preserve"> </w:t>
      </w:r>
      <w:r w:rsidR="005B748E" w:rsidRPr="005B748E">
        <w:rPr>
          <w:sz w:val="24"/>
        </w:rPr>
        <w:t xml:space="preserve">В 2017-2019 годах отменено 11 маршрутов из 51 маршрута, подлежащего к отмене, и </w:t>
      </w:r>
      <w:proofErr w:type="gramStart"/>
      <w:r w:rsidR="005B748E" w:rsidRPr="005B748E">
        <w:rPr>
          <w:sz w:val="24"/>
        </w:rPr>
        <w:t>изменены</w:t>
      </w:r>
      <w:proofErr w:type="gramEnd"/>
      <w:r w:rsidR="005B748E" w:rsidRPr="005B748E">
        <w:rPr>
          <w:sz w:val="24"/>
        </w:rPr>
        <w:t xml:space="preserve"> 14 маршрутов из 46 маршрутов, подлежащих изменению.</w:t>
      </w:r>
    </w:p>
    <w:p w:rsidR="000E5734" w:rsidRPr="00810A4B" w:rsidRDefault="000E5734" w:rsidP="000E5734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810A4B">
        <w:rPr>
          <w:rFonts w:eastAsiaTheme="minorHAnsi"/>
          <w:sz w:val="24"/>
        </w:rPr>
        <w:t>Одной из основных проблем в организации регулярных перевозок Документом планирования обозначено отсутствие обустроенных транспортно-пересадочных узлов</w:t>
      </w:r>
      <w:r w:rsidR="005342F6">
        <w:rPr>
          <w:rFonts w:eastAsiaTheme="minorHAnsi"/>
          <w:sz w:val="24"/>
        </w:rPr>
        <w:t xml:space="preserve"> в </w:t>
      </w:r>
      <w:proofErr w:type="gramStart"/>
      <w:r w:rsidR="005342F6">
        <w:rPr>
          <w:rFonts w:eastAsiaTheme="minorHAnsi"/>
          <w:sz w:val="24"/>
        </w:rPr>
        <w:t>г</w:t>
      </w:r>
      <w:proofErr w:type="gramEnd"/>
      <w:r w:rsidR="005342F6">
        <w:rPr>
          <w:rFonts w:eastAsiaTheme="minorHAnsi"/>
          <w:sz w:val="24"/>
        </w:rPr>
        <w:t>. Волгограде</w:t>
      </w:r>
      <w:r w:rsidRPr="00810A4B">
        <w:rPr>
          <w:rFonts w:eastAsiaTheme="minorHAnsi"/>
          <w:sz w:val="24"/>
        </w:rPr>
        <w:t xml:space="preserve">. По пояснениям </w:t>
      </w:r>
      <w:proofErr w:type="spellStart"/>
      <w:r w:rsidRPr="00810A4B">
        <w:rPr>
          <w:rFonts w:eastAsiaTheme="minorHAnsi"/>
          <w:sz w:val="24"/>
        </w:rPr>
        <w:t>Облкомдортранса</w:t>
      </w:r>
      <w:proofErr w:type="spellEnd"/>
      <w:r w:rsidRPr="00810A4B">
        <w:rPr>
          <w:rFonts w:eastAsiaTheme="minorHAnsi"/>
          <w:sz w:val="24"/>
        </w:rPr>
        <w:t xml:space="preserve"> формирование оптимальной маршрутной сети возможно при наличии таких узлов. При этом </w:t>
      </w:r>
      <w:proofErr w:type="spellStart"/>
      <w:r w:rsidRPr="00810A4B">
        <w:rPr>
          <w:rFonts w:eastAsiaTheme="minorHAnsi"/>
          <w:sz w:val="24"/>
        </w:rPr>
        <w:t>Облкомдортранс</w:t>
      </w:r>
      <w:proofErr w:type="spellEnd"/>
      <w:r w:rsidRPr="00810A4B">
        <w:rPr>
          <w:rFonts w:eastAsiaTheme="minorHAnsi"/>
          <w:sz w:val="24"/>
        </w:rPr>
        <w:t xml:space="preserve"> не владеет информацией о сроках и перспективах создания транспортно-пересадочных узлов.</w:t>
      </w:r>
    </w:p>
    <w:p w:rsidR="009A6A49" w:rsidRPr="00E97BAA" w:rsidRDefault="009A6A49" w:rsidP="009A6A49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0"/>
          <w:lang w:eastAsia="ru-RU"/>
        </w:rPr>
      </w:pPr>
      <w:r w:rsidRPr="000E5734">
        <w:rPr>
          <w:rFonts w:eastAsia="Times New Roman"/>
          <w:sz w:val="24"/>
          <w:szCs w:val="20"/>
          <w:lang w:eastAsia="ru-RU"/>
        </w:rPr>
        <w:t xml:space="preserve">График </w:t>
      </w:r>
      <w:r w:rsidRPr="00810A4B">
        <w:rPr>
          <w:rFonts w:eastAsia="Times New Roman"/>
          <w:sz w:val="24"/>
          <w:lang w:eastAsia="ru-RU"/>
        </w:rPr>
        <w:t>заключения государственных контрактов</w:t>
      </w:r>
      <w:r w:rsidRPr="000E5734">
        <w:rPr>
          <w:rFonts w:eastAsia="Times New Roman"/>
          <w:sz w:val="24"/>
          <w:lang w:eastAsia="ru-RU"/>
        </w:rPr>
        <w:t xml:space="preserve"> для организации регулярных перевозок по РТ, обязательность наличия которого установлена положениями </w:t>
      </w:r>
      <w:r w:rsidRPr="00810A4B">
        <w:rPr>
          <w:rFonts w:eastAsiaTheme="minorHAnsi"/>
          <w:sz w:val="24"/>
        </w:rPr>
        <w:t>п.</w:t>
      </w:r>
      <w:r>
        <w:rPr>
          <w:rFonts w:eastAsiaTheme="minorHAnsi"/>
          <w:sz w:val="24"/>
        </w:rPr>
        <w:t xml:space="preserve"> </w:t>
      </w:r>
      <w:r w:rsidRPr="00810A4B">
        <w:rPr>
          <w:rFonts w:eastAsiaTheme="minorHAnsi"/>
          <w:sz w:val="24"/>
        </w:rPr>
        <w:t>9 ст.</w:t>
      </w:r>
      <w:r w:rsidR="00D378B1">
        <w:rPr>
          <w:rFonts w:eastAsiaTheme="minorHAnsi"/>
          <w:sz w:val="24"/>
        </w:rPr>
        <w:t xml:space="preserve"> </w:t>
      </w:r>
      <w:r w:rsidRPr="00810A4B">
        <w:rPr>
          <w:rFonts w:eastAsiaTheme="minorHAnsi"/>
          <w:sz w:val="24"/>
        </w:rPr>
        <w:t xml:space="preserve">39 </w:t>
      </w:r>
      <w:r w:rsidRPr="000E5734">
        <w:rPr>
          <w:rFonts w:eastAsiaTheme="minorHAnsi"/>
          <w:sz w:val="24"/>
        </w:rPr>
        <w:t>З</w:t>
      </w:r>
      <w:r w:rsidRPr="00810A4B">
        <w:rPr>
          <w:rFonts w:eastAsiaTheme="minorHAnsi"/>
          <w:sz w:val="24"/>
        </w:rPr>
        <w:t>акона № 220-ФЗ</w:t>
      </w:r>
      <w:r w:rsidRPr="000E5734">
        <w:rPr>
          <w:rFonts w:eastAsiaTheme="minorHAnsi"/>
          <w:sz w:val="24"/>
        </w:rPr>
        <w:t>, Документом планирования не предусмотрен.</w:t>
      </w:r>
      <w:r w:rsidRPr="000E5734">
        <w:rPr>
          <w:rFonts w:eastAsia="Times New Roman"/>
          <w:sz w:val="24"/>
          <w:szCs w:val="20"/>
          <w:lang w:eastAsia="ru-RU"/>
        </w:rPr>
        <w:t xml:space="preserve"> Вместо этого обозначена </w:t>
      </w:r>
      <w:r w:rsidRPr="00E97BAA">
        <w:rPr>
          <w:rFonts w:eastAsia="Times New Roman"/>
          <w:sz w:val="24"/>
          <w:szCs w:val="20"/>
          <w:lang w:eastAsia="ru-RU"/>
        </w:rPr>
        <w:t xml:space="preserve">дата начала </w:t>
      </w:r>
      <w:r w:rsidRPr="00810A4B">
        <w:rPr>
          <w:rFonts w:eastAsia="Times New Roman"/>
          <w:sz w:val="24"/>
          <w:szCs w:val="20"/>
          <w:lang w:eastAsia="ru-RU"/>
        </w:rPr>
        <w:t>заключени</w:t>
      </w:r>
      <w:r w:rsidRPr="00E97BAA">
        <w:rPr>
          <w:rFonts w:eastAsia="Times New Roman"/>
          <w:sz w:val="24"/>
          <w:szCs w:val="20"/>
          <w:lang w:eastAsia="ru-RU"/>
        </w:rPr>
        <w:t>я</w:t>
      </w:r>
      <w:r w:rsidRPr="00810A4B">
        <w:rPr>
          <w:rFonts w:eastAsia="Times New Roman"/>
          <w:sz w:val="24"/>
          <w:szCs w:val="20"/>
          <w:lang w:eastAsia="ru-RU"/>
        </w:rPr>
        <w:t xml:space="preserve"> контрактов </w:t>
      </w:r>
      <w:r w:rsidRPr="00E97BAA">
        <w:rPr>
          <w:rFonts w:eastAsia="Times New Roman"/>
          <w:sz w:val="24"/>
          <w:szCs w:val="20"/>
          <w:lang w:eastAsia="ru-RU"/>
        </w:rPr>
        <w:t>-</w:t>
      </w:r>
      <w:r w:rsidRPr="00810A4B">
        <w:rPr>
          <w:rFonts w:eastAsia="Times New Roman"/>
          <w:sz w:val="24"/>
          <w:szCs w:val="20"/>
          <w:lang w:eastAsia="ru-RU"/>
        </w:rPr>
        <w:t xml:space="preserve"> с 01 января 2018 г</w:t>
      </w:r>
      <w:r w:rsidR="00D378B1">
        <w:rPr>
          <w:rFonts w:eastAsia="Times New Roman"/>
          <w:sz w:val="24"/>
          <w:szCs w:val="20"/>
          <w:lang w:eastAsia="ru-RU"/>
        </w:rPr>
        <w:t>ода</w:t>
      </w:r>
      <w:r w:rsidRPr="00810A4B">
        <w:rPr>
          <w:rFonts w:eastAsia="Times New Roman"/>
          <w:sz w:val="24"/>
          <w:szCs w:val="20"/>
          <w:lang w:eastAsia="ru-RU"/>
        </w:rPr>
        <w:t>.</w:t>
      </w:r>
    </w:p>
    <w:p w:rsidR="009A6A49" w:rsidRPr="00E97BAA" w:rsidRDefault="009A6A49" w:rsidP="009A6A49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proofErr w:type="spellStart"/>
      <w:r w:rsidRPr="00E97BAA">
        <w:rPr>
          <w:rFonts w:eastAsia="Times New Roman"/>
          <w:sz w:val="24"/>
          <w:szCs w:val="20"/>
          <w:lang w:eastAsia="ru-RU"/>
        </w:rPr>
        <w:t>Облкомдортранс</w:t>
      </w:r>
      <w:proofErr w:type="spellEnd"/>
      <w:r w:rsidRPr="00E97BAA">
        <w:rPr>
          <w:rFonts w:eastAsia="Times New Roman"/>
          <w:sz w:val="24"/>
          <w:szCs w:val="20"/>
          <w:lang w:eastAsia="ru-RU"/>
        </w:rPr>
        <w:t xml:space="preserve"> проявляет непоследовательность действий по переходу на контракты по РТ.</w:t>
      </w:r>
      <w:r w:rsidRPr="00E97BAA">
        <w:rPr>
          <w:rFonts w:eastAsiaTheme="minorHAnsi"/>
          <w:sz w:val="24"/>
        </w:rPr>
        <w:t xml:space="preserve"> Изменениями </w:t>
      </w:r>
      <w:r w:rsidRPr="00810A4B">
        <w:rPr>
          <w:rFonts w:eastAsiaTheme="minorHAnsi"/>
          <w:sz w:val="24"/>
        </w:rPr>
        <w:t xml:space="preserve">ГП «Транспорт» от 23.04.2018 расходы на предоставление субсидий </w:t>
      </w:r>
      <w:r w:rsidR="00F64E1B">
        <w:rPr>
          <w:rFonts w:eastAsiaTheme="minorHAnsi"/>
          <w:sz w:val="24"/>
        </w:rPr>
        <w:t xml:space="preserve">по РТ </w:t>
      </w:r>
      <w:r w:rsidRPr="00810A4B">
        <w:rPr>
          <w:rFonts w:eastAsiaTheme="minorHAnsi"/>
          <w:sz w:val="24"/>
        </w:rPr>
        <w:t>перевозчикам в полном объеме</w:t>
      </w:r>
      <w:r w:rsidRPr="00E97BAA">
        <w:rPr>
          <w:rFonts w:eastAsiaTheme="minorHAnsi"/>
          <w:sz w:val="24"/>
        </w:rPr>
        <w:t xml:space="preserve"> перераспределены</w:t>
      </w:r>
      <w:r w:rsidRPr="00810A4B">
        <w:rPr>
          <w:rFonts w:eastAsiaTheme="minorHAnsi"/>
          <w:sz w:val="24"/>
        </w:rPr>
        <w:t xml:space="preserve"> на расходы </w:t>
      </w:r>
      <w:r w:rsidRPr="00E97BAA">
        <w:rPr>
          <w:rFonts w:eastAsiaTheme="minorHAnsi"/>
          <w:sz w:val="24"/>
        </w:rPr>
        <w:t xml:space="preserve">по </w:t>
      </w:r>
      <w:r w:rsidRPr="00810A4B">
        <w:rPr>
          <w:rFonts w:eastAsiaTheme="minorHAnsi"/>
          <w:sz w:val="24"/>
        </w:rPr>
        <w:t>контракт</w:t>
      </w:r>
      <w:r w:rsidR="00167185">
        <w:rPr>
          <w:rFonts w:eastAsiaTheme="minorHAnsi"/>
          <w:sz w:val="24"/>
        </w:rPr>
        <w:t>ам</w:t>
      </w:r>
      <w:r w:rsidR="00F64E1B">
        <w:rPr>
          <w:rFonts w:eastAsiaTheme="minorHAnsi"/>
          <w:sz w:val="24"/>
        </w:rPr>
        <w:t xml:space="preserve"> по РТ</w:t>
      </w:r>
      <w:r w:rsidRPr="00E97BAA">
        <w:rPr>
          <w:rFonts w:eastAsiaTheme="minorHAnsi"/>
          <w:sz w:val="24"/>
        </w:rPr>
        <w:t xml:space="preserve">, что могло свидетельствовать о полном переходе на механизм заключения контрактов с 2018 </w:t>
      </w:r>
      <w:r w:rsidRPr="00E97BAA">
        <w:rPr>
          <w:rFonts w:eastAsiaTheme="minorHAnsi"/>
          <w:sz w:val="24"/>
        </w:rPr>
        <w:lastRenderedPageBreak/>
        <w:t>года</w:t>
      </w:r>
      <w:r w:rsidRPr="00810A4B">
        <w:rPr>
          <w:rFonts w:eastAsiaTheme="minorHAnsi"/>
          <w:sz w:val="24"/>
        </w:rPr>
        <w:t>.</w:t>
      </w:r>
      <w:r w:rsidRPr="00E97BAA">
        <w:rPr>
          <w:rFonts w:eastAsiaTheme="minorHAnsi"/>
          <w:sz w:val="24"/>
        </w:rPr>
        <w:t xml:space="preserve"> Однако изменениями</w:t>
      </w:r>
      <w:r w:rsidRPr="00810A4B">
        <w:rPr>
          <w:rFonts w:eastAsiaTheme="minorHAnsi"/>
          <w:sz w:val="24"/>
        </w:rPr>
        <w:t xml:space="preserve"> ГП «Транспорт» от 04.07.2018 (спустя чуть более двух месяцев) объемы финансирования установлены вновь по двум направлениям</w:t>
      </w:r>
      <w:r w:rsidRPr="00E97BAA">
        <w:rPr>
          <w:rFonts w:eastAsiaTheme="minorHAnsi"/>
          <w:sz w:val="24"/>
        </w:rPr>
        <w:t xml:space="preserve"> финансового обеспечения (субсидии и контракты)</w:t>
      </w:r>
      <w:r w:rsidRPr="00810A4B">
        <w:rPr>
          <w:rFonts w:eastAsiaTheme="minorHAnsi"/>
          <w:sz w:val="24"/>
        </w:rPr>
        <w:t>.</w:t>
      </w:r>
    </w:p>
    <w:p w:rsidR="00346B23" w:rsidRDefault="0042779E" w:rsidP="009A6A49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E97BAA">
        <w:rPr>
          <w:rFonts w:eastAsiaTheme="minorHAnsi"/>
          <w:sz w:val="24"/>
        </w:rPr>
        <w:t>Согласно действующей редакции ГП «Транспорт» полный переход на механизм заключения контрактов предусмотрен с 2021 года</w:t>
      </w:r>
      <w:r w:rsidR="00346B23" w:rsidRPr="00E97BAA">
        <w:rPr>
          <w:rFonts w:eastAsiaTheme="minorHAnsi"/>
          <w:sz w:val="24"/>
        </w:rPr>
        <w:t xml:space="preserve">. </w:t>
      </w:r>
    </w:p>
    <w:p w:rsidR="00346B23" w:rsidRPr="00810A4B" w:rsidRDefault="00346B23" w:rsidP="00346B23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ab/>
      </w:r>
      <w:r>
        <w:rPr>
          <w:rFonts w:eastAsiaTheme="minorHAnsi"/>
          <w:sz w:val="24"/>
        </w:rPr>
        <w:tab/>
      </w:r>
      <w:r>
        <w:rPr>
          <w:rFonts w:eastAsiaTheme="minorHAnsi"/>
          <w:sz w:val="24"/>
        </w:rPr>
        <w:tab/>
      </w:r>
      <w:r>
        <w:rPr>
          <w:rFonts w:eastAsiaTheme="minorHAnsi"/>
          <w:sz w:val="24"/>
        </w:rPr>
        <w:tab/>
      </w:r>
      <w:r>
        <w:rPr>
          <w:rFonts w:eastAsiaTheme="minorHAnsi"/>
          <w:sz w:val="24"/>
        </w:rPr>
        <w:tab/>
      </w:r>
      <w:r>
        <w:rPr>
          <w:rFonts w:eastAsiaTheme="minorHAnsi"/>
          <w:sz w:val="24"/>
        </w:rPr>
        <w:tab/>
      </w:r>
      <w:r>
        <w:rPr>
          <w:rFonts w:eastAsiaTheme="minorHAnsi"/>
          <w:sz w:val="24"/>
        </w:rPr>
        <w:tab/>
      </w:r>
      <w:r w:rsidR="005342F6">
        <w:rPr>
          <w:rFonts w:eastAsiaTheme="minorHAnsi"/>
          <w:sz w:val="24"/>
        </w:rPr>
        <w:tab/>
      </w:r>
      <w:r w:rsidR="005342F6">
        <w:rPr>
          <w:rFonts w:eastAsiaTheme="minorHAnsi"/>
          <w:sz w:val="24"/>
        </w:rPr>
        <w:tab/>
      </w:r>
      <w:r w:rsidR="005342F6">
        <w:rPr>
          <w:rFonts w:eastAsiaTheme="minorHAnsi"/>
          <w:sz w:val="24"/>
        </w:rPr>
        <w:tab/>
      </w:r>
      <w:r>
        <w:rPr>
          <w:rFonts w:eastAsiaTheme="minorHAnsi"/>
          <w:sz w:val="24"/>
        </w:rPr>
        <w:tab/>
      </w:r>
      <w:proofErr w:type="gramStart"/>
      <w:r>
        <w:rPr>
          <w:rFonts w:eastAsiaTheme="minorHAnsi"/>
          <w:sz w:val="24"/>
        </w:rPr>
        <w:t>м</w:t>
      </w:r>
      <w:proofErr w:type="gramEnd"/>
      <w:r>
        <w:rPr>
          <w:rFonts w:eastAsiaTheme="minorHAnsi"/>
          <w:sz w:val="24"/>
        </w:rPr>
        <w:t>лн. руб.</w:t>
      </w:r>
    </w:p>
    <w:tbl>
      <w:tblPr>
        <w:tblW w:w="10047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8"/>
        <w:gridCol w:w="3361"/>
        <w:gridCol w:w="666"/>
        <w:gridCol w:w="666"/>
        <w:gridCol w:w="705"/>
        <w:gridCol w:w="779"/>
        <w:gridCol w:w="851"/>
        <w:gridCol w:w="850"/>
        <w:gridCol w:w="851"/>
      </w:tblGrid>
      <w:tr w:rsidR="00346B23" w:rsidRPr="0042779E" w:rsidTr="0033044E">
        <w:trPr>
          <w:trHeight w:val="20"/>
        </w:trPr>
        <w:tc>
          <w:tcPr>
            <w:tcW w:w="4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6B23" w:rsidRPr="0042779E" w:rsidRDefault="00346B23" w:rsidP="004807E8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46B23" w:rsidRPr="0042779E" w:rsidRDefault="00346B23" w:rsidP="004807E8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46B23" w:rsidRPr="0042779E" w:rsidRDefault="00346B23" w:rsidP="004807E8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46B23" w:rsidRPr="0042779E" w:rsidRDefault="00346B23" w:rsidP="004807E8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46B23" w:rsidRPr="0042779E" w:rsidRDefault="00346B23" w:rsidP="004807E8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46B23" w:rsidRPr="0042779E" w:rsidRDefault="00346B23" w:rsidP="004807E8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46B23" w:rsidRPr="0042779E" w:rsidRDefault="00346B23" w:rsidP="004807E8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46B23" w:rsidRPr="0042779E" w:rsidRDefault="00346B23" w:rsidP="004807E8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A44FFD" w:rsidRPr="0042779E" w:rsidTr="0033044E">
        <w:trPr>
          <w:trHeight w:val="20"/>
        </w:trPr>
        <w:tc>
          <w:tcPr>
            <w:tcW w:w="131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44FFD" w:rsidRPr="0042779E" w:rsidRDefault="00A44FFD" w:rsidP="00A44FFD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ГП «Транспорт»</w:t>
            </w:r>
          </w:p>
        </w:tc>
        <w:tc>
          <w:tcPr>
            <w:tcW w:w="3361" w:type="dxa"/>
            <w:tcBorders>
              <w:top w:val="double" w:sz="4" w:space="0" w:color="auto"/>
            </w:tcBorders>
            <w:vAlign w:val="bottom"/>
          </w:tcPr>
          <w:p w:rsidR="00A44FFD" w:rsidRPr="0042779E" w:rsidRDefault="00A44FFD" w:rsidP="0033044E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7C59">
              <w:rPr>
                <w:rFonts w:eastAsia="Times New Roman"/>
                <w:bCs/>
                <w:sz w:val="20"/>
                <w:szCs w:val="20"/>
                <w:lang w:eastAsia="ru-RU"/>
              </w:rPr>
              <w:t>Пассажирооборот автотранспорта общего пользования, млн. место-км</w:t>
            </w: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70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77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A44FFD" w:rsidRPr="0042779E" w:rsidTr="0033044E">
        <w:trPr>
          <w:trHeight w:val="20"/>
        </w:trPr>
        <w:tc>
          <w:tcPr>
            <w:tcW w:w="1318" w:type="dxa"/>
            <w:vMerge/>
            <w:tcBorders>
              <w:left w:val="double" w:sz="4" w:space="0" w:color="auto"/>
            </w:tcBorders>
            <w:vAlign w:val="center"/>
          </w:tcPr>
          <w:p w:rsidR="00A44FFD" w:rsidRPr="0042779E" w:rsidRDefault="00A44FFD" w:rsidP="00346B2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1" w:type="dxa"/>
            <w:vAlign w:val="bottom"/>
          </w:tcPr>
          <w:p w:rsidR="00A44FFD" w:rsidRPr="0042779E" w:rsidRDefault="00A44FFD" w:rsidP="00346B2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по РТ</w:t>
            </w:r>
          </w:p>
        </w:tc>
        <w:tc>
          <w:tcPr>
            <w:tcW w:w="666" w:type="dxa"/>
            <w:shd w:val="clear" w:color="auto" w:fill="auto"/>
            <w:vAlign w:val="bottom"/>
            <w:hideMark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172,3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FFD" w:rsidRPr="0042779E" w:rsidTr="0033044E">
        <w:trPr>
          <w:trHeight w:val="20"/>
        </w:trPr>
        <w:tc>
          <w:tcPr>
            <w:tcW w:w="1318" w:type="dxa"/>
            <w:vMerge/>
            <w:tcBorders>
              <w:left w:val="double" w:sz="4" w:space="0" w:color="auto"/>
            </w:tcBorders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1" w:type="dxa"/>
            <w:vAlign w:val="bottom"/>
          </w:tcPr>
          <w:p w:rsidR="00A44FFD" w:rsidRPr="0042779E" w:rsidRDefault="00A44FFD" w:rsidP="00346B2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Контракт по РТ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207,1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277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207,1</w:t>
            </w:r>
          </w:p>
        </w:tc>
      </w:tr>
      <w:tr w:rsidR="00A44FFD" w:rsidRPr="0042779E" w:rsidTr="0033044E">
        <w:trPr>
          <w:trHeight w:val="20"/>
        </w:trPr>
        <w:tc>
          <w:tcPr>
            <w:tcW w:w="131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44FFD" w:rsidRPr="0042779E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1" w:type="dxa"/>
            <w:tcBorders>
              <w:bottom w:val="double" w:sz="4" w:space="0" w:color="auto"/>
            </w:tcBorders>
            <w:vAlign w:val="bottom"/>
          </w:tcPr>
          <w:p w:rsidR="00A44FFD" w:rsidRPr="005342F6" w:rsidRDefault="00A44FFD" w:rsidP="00346B23">
            <w:pPr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342F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44FFD" w:rsidRPr="005342F6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342F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228,9</w:t>
            </w:r>
          </w:p>
        </w:tc>
        <w:tc>
          <w:tcPr>
            <w:tcW w:w="66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44FFD" w:rsidRPr="005342F6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342F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154,9</w:t>
            </w:r>
          </w:p>
        </w:tc>
        <w:tc>
          <w:tcPr>
            <w:tcW w:w="705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44FFD" w:rsidRPr="005342F6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342F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77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44FFD" w:rsidRPr="005342F6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342F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207,1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44FFD" w:rsidRPr="005342F6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342F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207,1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44FFD" w:rsidRPr="005342F6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342F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207,1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44FFD" w:rsidRPr="005342F6" w:rsidRDefault="00A44FFD" w:rsidP="00346B2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342F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207,1</w:t>
            </w:r>
          </w:p>
        </w:tc>
      </w:tr>
      <w:tr w:rsidR="00346B23" w:rsidRPr="005342F6" w:rsidTr="0033044E">
        <w:trPr>
          <w:trHeight w:val="20"/>
        </w:trPr>
        <w:tc>
          <w:tcPr>
            <w:tcW w:w="467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346B23" w:rsidRPr="005342F6" w:rsidRDefault="00346B23" w:rsidP="00346B23">
            <w:pPr>
              <w:spacing w:line="240" w:lineRule="auto"/>
              <w:ind w:firstLine="0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342F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Оценка объёмов финансирования (2018 - факт)</w:t>
            </w: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46B23" w:rsidRPr="005342F6" w:rsidRDefault="00346B23" w:rsidP="00346B2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342F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214,6</w:t>
            </w: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46B23" w:rsidRPr="005342F6" w:rsidRDefault="00346B23" w:rsidP="00346B2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342F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252,2</w:t>
            </w:r>
          </w:p>
        </w:tc>
        <w:tc>
          <w:tcPr>
            <w:tcW w:w="705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46B23" w:rsidRPr="005342F6" w:rsidRDefault="005342F6" w:rsidP="00346B23">
            <w:pPr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3331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46B23" w:rsidRPr="005342F6" w:rsidRDefault="00346B23" w:rsidP="00346B23">
            <w:pPr>
              <w:spacing w:line="240" w:lineRule="auto"/>
              <w:ind w:firstLine="0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342F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550,0-650,0 </w:t>
            </w:r>
            <w:r w:rsidR="005342F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 год </w:t>
            </w:r>
            <w:r w:rsidRPr="005342F6">
              <w:rPr>
                <w:rFonts w:eastAsia="Times New Roman"/>
                <w:b/>
                <w:sz w:val="20"/>
                <w:szCs w:val="20"/>
                <w:lang w:eastAsia="ru-RU"/>
              </w:rPr>
              <w:t>в ценах 2020</w:t>
            </w:r>
            <w:r w:rsidR="005342F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342F6">
              <w:rPr>
                <w:rFonts w:eastAsia="Times New Roman"/>
                <w:b/>
                <w:sz w:val="20"/>
                <w:szCs w:val="20"/>
                <w:lang w:eastAsia="ru-RU"/>
              </w:rPr>
              <w:t>года</w:t>
            </w:r>
          </w:p>
        </w:tc>
      </w:tr>
    </w:tbl>
    <w:p w:rsidR="00195BD0" w:rsidRDefault="00195BD0" w:rsidP="00A44FFD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</w:p>
    <w:p w:rsidR="0023719C" w:rsidRPr="00E97BAA" w:rsidRDefault="00346B23" w:rsidP="00A44FFD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0"/>
          <w:lang w:eastAsia="ru-RU"/>
        </w:rPr>
      </w:pPr>
      <w:r w:rsidRPr="00E97BAA">
        <w:rPr>
          <w:rFonts w:eastAsiaTheme="minorHAnsi"/>
          <w:sz w:val="24"/>
        </w:rPr>
        <w:t>Судя по постоянному значению целевого показателя «</w:t>
      </w:r>
      <w:r w:rsidRPr="00E97BAA">
        <w:rPr>
          <w:rFonts w:eastAsia="Times New Roman"/>
          <w:bCs/>
          <w:sz w:val="24"/>
          <w:lang w:eastAsia="ru-RU"/>
        </w:rPr>
        <w:t>Пассажирооборот автомобильного транспорта общего пользования» - 585 млн. место-км</w:t>
      </w:r>
      <w:r w:rsidRPr="00E97BAA">
        <w:rPr>
          <w:rFonts w:eastAsiaTheme="minorHAnsi"/>
          <w:sz w:val="24"/>
        </w:rPr>
        <w:t xml:space="preserve"> трансформация маршрутной сети регулярных перевозок программой не предусмотрена. </w:t>
      </w:r>
      <w:proofErr w:type="gramStart"/>
      <w:r w:rsidRPr="00E97BAA">
        <w:rPr>
          <w:rFonts w:eastAsiaTheme="minorHAnsi"/>
          <w:sz w:val="24"/>
        </w:rPr>
        <w:t>По вышеописанным причинам</w:t>
      </w:r>
      <w:r w:rsidR="00A44FFD" w:rsidRPr="00E97BAA">
        <w:rPr>
          <w:rFonts w:eastAsiaTheme="minorHAnsi"/>
          <w:sz w:val="24"/>
        </w:rPr>
        <w:t xml:space="preserve"> успешная </w:t>
      </w:r>
      <w:r w:rsidRPr="00E97BAA">
        <w:rPr>
          <w:rFonts w:eastAsiaTheme="minorHAnsi"/>
          <w:sz w:val="24"/>
        </w:rPr>
        <w:t>реализация задачи сохранения транспортной работы по маршрутам по РТ без изменения подходов к организации</w:t>
      </w:r>
      <w:proofErr w:type="gramEnd"/>
      <w:r w:rsidRPr="00E97BAA">
        <w:rPr>
          <w:rFonts w:eastAsiaTheme="minorHAnsi"/>
          <w:sz w:val="24"/>
        </w:rPr>
        <w:t xml:space="preserve"> пассажирских перевозок с запланированным объёмом финансирования </w:t>
      </w:r>
      <w:r w:rsidR="005342F6">
        <w:rPr>
          <w:rFonts w:eastAsiaTheme="minorHAnsi"/>
          <w:sz w:val="24"/>
        </w:rPr>
        <w:t xml:space="preserve">205,7 - </w:t>
      </w:r>
      <w:r w:rsidRPr="00E97BAA">
        <w:rPr>
          <w:rFonts w:eastAsiaTheme="minorHAnsi"/>
          <w:sz w:val="24"/>
        </w:rPr>
        <w:t xml:space="preserve">207,1 млн. руб. в год представляется </w:t>
      </w:r>
      <w:proofErr w:type="spellStart"/>
      <w:r w:rsidRPr="00E97BAA">
        <w:rPr>
          <w:rFonts w:eastAsiaTheme="minorHAnsi"/>
          <w:sz w:val="24"/>
        </w:rPr>
        <w:t>малореалистичной</w:t>
      </w:r>
      <w:proofErr w:type="spellEnd"/>
      <w:r w:rsidRPr="00E97BAA">
        <w:rPr>
          <w:rFonts w:eastAsiaTheme="minorHAnsi"/>
          <w:sz w:val="24"/>
        </w:rPr>
        <w:t xml:space="preserve">. </w:t>
      </w:r>
    </w:p>
    <w:p w:rsidR="009A6A49" w:rsidRPr="00810A4B" w:rsidRDefault="00A44FFD" w:rsidP="00A44FFD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0"/>
          <w:lang w:eastAsia="ru-RU"/>
        </w:rPr>
      </w:pPr>
      <w:r w:rsidRPr="00E97BAA">
        <w:rPr>
          <w:rFonts w:eastAsia="Times New Roman"/>
          <w:sz w:val="24"/>
          <w:szCs w:val="20"/>
          <w:lang w:eastAsia="ru-RU"/>
        </w:rPr>
        <w:t xml:space="preserve">Также необходимо отметить, что </w:t>
      </w:r>
      <w:r w:rsidRPr="00810A4B">
        <w:rPr>
          <w:rFonts w:eastAsiaTheme="minorHAnsi"/>
          <w:sz w:val="24"/>
        </w:rPr>
        <w:t>планировани</w:t>
      </w:r>
      <w:r w:rsidRPr="00E97BAA">
        <w:rPr>
          <w:rFonts w:eastAsiaTheme="minorHAnsi"/>
          <w:sz w:val="24"/>
        </w:rPr>
        <w:t>е</w:t>
      </w:r>
      <w:r w:rsidRPr="00810A4B">
        <w:rPr>
          <w:rFonts w:eastAsiaTheme="minorHAnsi"/>
          <w:sz w:val="24"/>
        </w:rPr>
        <w:t xml:space="preserve"> и организаци</w:t>
      </w:r>
      <w:r w:rsidR="00326F8B">
        <w:rPr>
          <w:rFonts w:eastAsiaTheme="minorHAnsi"/>
          <w:sz w:val="24"/>
        </w:rPr>
        <w:t>я</w:t>
      </w:r>
      <w:r w:rsidRPr="00810A4B">
        <w:rPr>
          <w:rFonts w:eastAsiaTheme="minorHAnsi"/>
          <w:sz w:val="24"/>
        </w:rPr>
        <w:t xml:space="preserve"> закупок на выполнение работ, связанных с регулярными перевозками</w:t>
      </w:r>
      <w:r w:rsidRPr="00E97BAA">
        <w:rPr>
          <w:rFonts w:eastAsiaTheme="minorHAnsi"/>
          <w:sz w:val="24"/>
        </w:rPr>
        <w:t xml:space="preserve">, </w:t>
      </w:r>
      <w:proofErr w:type="gramStart"/>
      <w:r w:rsidRPr="00E97BAA">
        <w:rPr>
          <w:rFonts w:eastAsiaTheme="minorHAnsi"/>
          <w:sz w:val="24"/>
        </w:rPr>
        <w:t>непоследовательны</w:t>
      </w:r>
      <w:proofErr w:type="gramEnd"/>
      <w:r w:rsidRPr="00E97BAA">
        <w:rPr>
          <w:rFonts w:eastAsiaTheme="minorHAnsi"/>
          <w:sz w:val="24"/>
        </w:rPr>
        <w:t xml:space="preserve"> и обрывочны.</w:t>
      </w:r>
      <w:r w:rsidRPr="00E97BAA">
        <w:rPr>
          <w:rFonts w:eastAsia="Times New Roman"/>
          <w:sz w:val="24"/>
          <w:szCs w:val="20"/>
          <w:lang w:eastAsia="ru-RU"/>
        </w:rPr>
        <w:t xml:space="preserve"> На 2019 год з</w:t>
      </w:r>
      <w:r w:rsidR="009A6A49" w:rsidRPr="00810A4B">
        <w:rPr>
          <w:rFonts w:eastAsiaTheme="minorHAnsi"/>
          <w:sz w:val="24"/>
        </w:rPr>
        <w:t xml:space="preserve">аключено 6 государственных контрактов со сроком выполнения работ </w:t>
      </w:r>
      <w:r w:rsidRPr="00E97BAA">
        <w:rPr>
          <w:rFonts w:eastAsiaTheme="minorHAnsi"/>
          <w:sz w:val="24"/>
        </w:rPr>
        <w:t xml:space="preserve">по 13 маршрутам </w:t>
      </w:r>
      <w:r w:rsidR="009A6A49" w:rsidRPr="00810A4B">
        <w:rPr>
          <w:rFonts w:eastAsiaTheme="minorHAnsi"/>
          <w:sz w:val="24"/>
        </w:rPr>
        <w:t>от одного до одиннадцати месяцев</w:t>
      </w:r>
      <w:r w:rsidRPr="00E97BAA">
        <w:rPr>
          <w:rFonts w:eastAsiaTheme="minorHAnsi"/>
          <w:sz w:val="24"/>
        </w:rPr>
        <w:t>. Долгосрочные контракты не заключаются. П</w:t>
      </w:r>
      <w:r w:rsidR="009A6A49" w:rsidRPr="00810A4B">
        <w:rPr>
          <w:rFonts w:eastAsiaTheme="minorHAnsi"/>
          <w:sz w:val="24"/>
        </w:rPr>
        <w:t xml:space="preserve">о пояснениям </w:t>
      </w:r>
      <w:proofErr w:type="spellStart"/>
      <w:r w:rsidR="009A6A49" w:rsidRPr="00810A4B">
        <w:rPr>
          <w:rFonts w:eastAsiaTheme="minorHAnsi"/>
          <w:sz w:val="24"/>
        </w:rPr>
        <w:t>Облкомдортранса</w:t>
      </w:r>
      <w:proofErr w:type="spellEnd"/>
      <w:r w:rsidR="009A6A49" w:rsidRPr="00810A4B">
        <w:rPr>
          <w:rFonts w:eastAsiaTheme="minorHAnsi"/>
          <w:sz w:val="24"/>
        </w:rPr>
        <w:t xml:space="preserve"> </w:t>
      </w:r>
      <w:r w:rsidRPr="00E97BAA">
        <w:rPr>
          <w:rFonts w:eastAsiaTheme="minorHAnsi"/>
          <w:sz w:val="24"/>
        </w:rPr>
        <w:t>ситуация обусловлена задержкой при организации закупок, что потребовало</w:t>
      </w:r>
      <w:r w:rsidR="009A6A49" w:rsidRPr="00810A4B">
        <w:rPr>
          <w:rFonts w:eastAsiaTheme="minorHAnsi"/>
          <w:sz w:val="24"/>
        </w:rPr>
        <w:t xml:space="preserve"> </w:t>
      </w:r>
      <w:r w:rsidRPr="00E97BAA">
        <w:rPr>
          <w:rFonts w:eastAsiaTheme="minorHAnsi"/>
          <w:sz w:val="24"/>
        </w:rPr>
        <w:t xml:space="preserve">применения </w:t>
      </w:r>
      <w:r w:rsidR="009A6A49" w:rsidRPr="00810A4B">
        <w:rPr>
          <w:rFonts w:eastAsiaTheme="minorHAnsi"/>
          <w:sz w:val="24"/>
        </w:rPr>
        <w:t>ускоренной процедур</w:t>
      </w:r>
      <w:r w:rsidR="00167185">
        <w:rPr>
          <w:rFonts w:eastAsiaTheme="minorHAnsi"/>
          <w:sz w:val="24"/>
        </w:rPr>
        <w:t>ы</w:t>
      </w:r>
      <w:r w:rsidR="009A6A49" w:rsidRPr="00810A4B">
        <w:rPr>
          <w:rFonts w:eastAsiaTheme="minorHAnsi"/>
          <w:sz w:val="24"/>
        </w:rPr>
        <w:t xml:space="preserve"> разм</w:t>
      </w:r>
      <w:r w:rsidR="005342F6">
        <w:rPr>
          <w:rFonts w:eastAsiaTheme="minorHAnsi"/>
          <w:sz w:val="24"/>
        </w:rPr>
        <w:t xml:space="preserve">ещения заказов </w:t>
      </w:r>
      <w:proofErr w:type="gramStart"/>
      <w:r w:rsidR="005342F6">
        <w:rPr>
          <w:rFonts w:eastAsiaTheme="minorHAnsi"/>
          <w:sz w:val="24"/>
        </w:rPr>
        <w:t>с</w:t>
      </w:r>
      <w:proofErr w:type="gramEnd"/>
      <w:r w:rsidR="005342F6">
        <w:rPr>
          <w:rFonts w:eastAsiaTheme="minorHAnsi"/>
          <w:sz w:val="24"/>
        </w:rPr>
        <w:t xml:space="preserve"> невысокой НМЦК.</w:t>
      </w:r>
    </w:p>
    <w:p w:rsidR="00810A4B" w:rsidRDefault="00A44FFD" w:rsidP="00E97BAA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0"/>
          <w:lang w:eastAsia="ru-RU"/>
        </w:rPr>
      </w:pPr>
      <w:proofErr w:type="gramStart"/>
      <w:r w:rsidRPr="00E97BAA">
        <w:rPr>
          <w:rFonts w:eastAsiaTheme="minorHAnsi"/>
          <w:sz w:val="24"/>
        </w:rPr>
        <w:t xml:space="preserve">По этому поводу Президент России В.В. Путин на </w:t>
      </w:r>
      <w:r w:rsidR="00945AA6" w:rsidRPr="00E97BAA">
        <w:rPr>
          <w:rFonts w:eastAsiaTheme="minorHAnsi"/>
          <w:sz w:val="24"/>
        </w:rPr>
        <w:t>заседани</w:t>
      </w:r>
      <w:r w:rsidRPr="00E97BAA">
        <w:rPr>
          <w:rFonts w:eastAsiaTheme="minorHAnsi"/>
          <w:sz w:val="24"/>
        </w:rPr>
        <w:t>и</w:t>
      </w:r>
      <w:r w:rsidR="00945AA6" w:rsidRPr="00E97BAA">
        <w:rPr>
          <w:rFonts w:eastAsiaTheme="minorHAnsi"/>
          <w:sz w:val="24"/>
        </w:rPr>
        <w:t xml:space="preserve"> президиума Государственного совета,</w:t>
      </w:r>
      <w:r w:rsidRPr="00E97BAA">
        <w:rPr>
          <w:rFonts w:eastAsiaTheme="minorHAnsi"/>
          <w:sz w:val="24"/>
        </w:rPr>
        <w:t xml:space="preserve"> прошедшего</w:t>
      </w:r>
      <w:r w:rsidR="00945AA6" w:rsidRPr="00E97BAA">
        <w:rPr>
          <w:rFonts w:eastAsiaTheme="minorHAnsi"/>
          <w:sz w:val="24"/>
        </w:rPr>
        <w:t xml:space="preserve"> </w:t>
      </w:r>
      <w:r w:rsidRPr="00E97BAA">
        <w:rPr>
          <w:rFonts w:eastAsiaTheme="minorHAnsi"/>
          <w:sz w:val="24"/>
        </w:rPr>
        <w:t xml:space="preserve">22.09.2017 и </w:t>
      </w:r>
      <w:r w:rsidR="00945AA6" w:rsidRPr="00E97BAA">
        <w:rPr>
          <w:rFonts w:eastAsiaTheme="minorHAnsi"/>
          <w:sz w:val="24"/>
        </w:rPr>
        <w:t>посвящённ</w:t>
      </w:r>
      <w:r w:rsidRPr="00E97BAA">
        <w:rPr>
          <w:rFonts w:eastAsiaTheme="minorHAnsi"/>
          <w:sz w:val="24"/>
        </w:rPr>
        <w:t>ого</w:t>
      </w:r>
      <w:r w:rsidR="00945AA6" w:rsidRPr="00E97BAA">
        <w:rPr>
          <w:rFonts w:eastAsiaTheme="minorHAnsi"/>
          <w:sz w:val="24"/>
        </w:rPr>
        <w:t xml:space="preserve"> вопросам комплексного развития пассажирских перевозок в субъектах Российской Федерации </w:t>
      </w:r>
      <w:r w:rsidR="005342F6">
        <w:rPr>
          <w:rFonts w:eastAsiaTheme="minorHAnsi"/>
          <w:sz w:val="24"/>
        </w:rPr>
        <w:t>отметил</w:t>
      </w:r>
      <w:r w:rsidRPr="00E97BAA">
        <w:rPr>
          <w:rFonts w:eastAsiaTheme="minorHAnsi"/>
          <w:sz w:val="24"/>
        </w:rPr>
        <w:t>, что</w:t>
      </w:r>
      <w:r w:rsidR="00E97BAA" w:rsidRPr="00E97BAA">
        <w:rPr>
          <w:rFonts w:eastAsiaTheme="minorHAnsi"/>
          <w:sz w:val="24"/>
        </w:rPr>
        <w:t xml:space="preserve"> стимулом </w:t>
      </w:r>
      <w:r w:rsidR="00945AA6" w:rsidRPr="00E97BAA">
        <w:rPr>
          <w:rFonts w:eastAsia="Times New Roman"/>
          <w:sz w:val="24"/>
          <w:szCs w:val="20"/>
          <w:lang w:eastAsia="ru-RU"/>
        </w:rPr>
        <w:t xml:space="preserve">к повсеместному обновлению </w:t>
      </w:r>
      <w:r w:rsidR="00E97BAA" w:rsidRPr="00E97BAA">
        <w:rPr>
          <w:rFonts w:eastAsia="Times New Roman"/>
          <w:sz w:val="24"/>
          <w:szCs w:val="20"/>
          <w:lang w:eastAsia="ru-RU"/>
        </w:rPr>
        <w:t>парка</w:t>
      </w:r>
      <w:r w:rsidR="00945AA6" w:rsidRPr="00E97BAA">
        <w:rPr>
          <w:rFonts w:eastAsia="Times New Roman"/>
          <w:sz w:val="24"/>
          <w:szCs w:val="20"/>
          <w:lang w:eastAsia="ru-RU"/>
        </w:rPr>
        <w:t xml:space="preserve"> общественного транспорта </w:t>
      </w:r>
      <w:r w:rsidR="00E97BAA" w:rsidRPr="00E97BAA">
        <w:rPr>
          <w:rFonts w:eastAsia="Times New Roman"/>
          <w:sz w:val="24"/>
          <w:szCs w:val="20"/>
          <w:lang w:eastAsia="ru-RU"/>
        </w:rPr>
        <w:t>являются</w:t>
      </w:r>
      <w:r w:rsidR="00945AA6" w:rsidRPr="00E97BAA">
        <w:rPr>
          <w:rFonts w:eastAsia="Times New Roman"/>
          <w:sz w:val="24"/>
          <w:szCs w:val="20"/>
          <w:lang w:eastAsia="ru-RU"/>
        </w:rPr>
        <w:t xml:space="preserve">, </w:t>
      </w:r>
      <w:r w:rsidR="00E97BAA" w:rsidRPr="00E97BAA">
        <w:rPr>
          <w:rFonts w:eastAsia="Times New Roman"/>
          <w:sz w:val="24"/>
          <w:szCs w:val="20"/>
          <w:lang w:eastAsia="ru-RU"/>
        </w:rPr>
        <w:t>«</w:t>
      </w:r>
      <w:r w:rsidR="00945AA6" w:rsidRPr="00E97BAA">
        <w:rPr>
          <w:rFonts w:eastAsia="Times New Roman"/>
          <w:sz w:val="24"/>
          <w:szCs w:val="20"/>
          <w:lang w:eastAsia="ru-RU"/>
        </w:rPr>
        <w:t xml:space="preserve">в том числе и долгосрочные контракты с перевозчиками, что поможет им </w:t>
      </w:r>
      <w:proofErr w:type="spellStart"/>
      <w:r w:rsidR="00945AA6" w:rsidRPr="00E97BAA">
        <w:rPr>
          <w:rFonts w:eastAsia="Times New Roman"/>
          <w:sz w:val="24"/>
          <w:szCs w:val="20"/>
          <w:lang w:eastAsia="ru-RU"/>
        </w:rPr>
        <w:t>вдолгую</w:t>
      </w:r>
      <w:proofErr w:type="spellEnd"/>
      <w:r w:rsidR="00945AA6" w:rsidRPr="00E97BAA">
        <w:rPr>
          <w:rFonts w:eastAsia="Times New Roman"/>
          <w:sz w:val="24"/>
          <w:szCs w:val="20"/>
          <w:lang w:eastAsia="ru-RU"/>
        </w:rPr>
        <w:t xml:space="preserve"> планировать свою деятельность и инвестиции в приобретение новых транспортных средств</w:t>
      </w:r>
      <w:r w:rsidR="00E97BAA" w:rsidRPr="00E97BAA">
        <w:rPr>
          <w:rFonts w:eastAsia="Times New Roman"/>
          <w:sz w:val="24"/>
          <w:szCs w:val="20"/>
          <w:lang w:eastAsia="ru-RU"/>
        </w:rPr>
        <w:t>»</w:t>
      </w:r>
      <w:r w:rsidR="00945AA6" w:rsidRPr="00E97BAA">
        <w:rPr>
          <w:rFonts w:eastAsia="Times New Roman"/>
          <w:sz w:val="24"/>
          <w:szCs w:val="20"/>
          <w:lang w:eastAsia="ru-RU"/>
        </w:rPr>
        <w:t>.</w:t>
      </w:r>
      <w:proofErr w:type="gramEnd"/>
    </w:p>
    <w:p w:rsidR="00E64BE8" w:rsidRDefault="00E64BE8" w:rsidP="00E64BE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i/>
          <w:sz w:val="24"/>
        </w:rPr>
      </w:pPr>
    </w:p>
    <w:p w:rsidR="00E64BE8" w:rsidRDefault="00E64BE8" w:rsidP="00E64BE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i/>
          <w:sz w:val="24"/>
        </w:rPr>
      </w:pPr>
      <w:r w:rsidRPr="001E1AAD">
        <w:rPr>
          <w:rFonts w:eastAsiaTheme="minorHAnsi"/>
          <w:i/>
          <w:sz w:val="24"/>
        </w:rPr>
        <w:t>Отдельные вопросы</w:t>
      </w:r>
    </w:p>
    <w:p w:rsidR="00E64BE8" w:rsidRDefault="00E64BE8" w:rsidP="00E64BE8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4F3A2B">
        <w:rPr>
          <w:rFonts w:eastAsiaTheme="minorHAnsi"/>
          <w:sz w:val="24"/>
        </w:rPr>
        <w:t xml:space="preserve">В целом </w:t>
      </w:r>
      <w:r>
        <w:rPr>
          <w:rFonts w:eastAsiaTheme="minorHAnsi"/>
          <w:sz w:val="24"/>
        </w:rPr>
        <w:t xml:space="preserve">в РФ </w:t>
      </w:r>
      <w:r w:rsidRPr="004F3A2B">
        <w:rPr>
          <w:rFonts w:eastAsiaTheme="minorHAnsi"/>
          <w:sz w:val="24"/>
        </w:rPr>
        <w:t>и в Волгоградской области в частности существуют различные рычаги поддержки (развития) разных сфер экономики, местом приложения которых выступает общественный пассажирский автомобильный транспорт.</w:t>
      </w:r>
    </w:p>
    <w:p w:rsidR="00326F8B" w:rsidRDefault="00E64BE8" w:rsidP="00E64BE8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В результате отсутствия координации при использовании этих рычагов происходит излишнее («двойное») использование бюджетных средств, </w:t>
      </w:r>
      <w:r w:rsidR="00326F8B">
        <w:rPr>
          <w:rFonts w:eastAsiaTheme="minorHAnsi"/>
          <w:sz w:val="24"/>
        </w:rPr>
        <w:t>что, в целом, может негативно отражаться на эффективности их использования.</w:t>
      </w:r>
    </w:p>
    <w:p w:rsidR="00E64BE8" w:rsidRPr="004F3A2B" w:rsidRDefault="00E64BE8" w:rsidP="00E64BE8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Так, как сказано выше, государственная поддержка пассажирских автомобильных перевозок по РТ в рамках ГП «Транспорт» </w:t>
      </w:r>
      <w:r w:rsidR="008C0984">
        <w:rPr>
          <w:rFonts w:eastAsiaTheme="minorHAnsi"/>
          <w:sz w:val="24"/>
        </w:rPr>
        <w:t>основывается</w:t>
      </w:r>
      <w:r>
        <w:rPr>
          <w:rFonts w:eastAsiaTheme="minorHAnsi"/>
          <w:sz w:val="24"/>
        </w:rPr>
        <w:t xml:space="preserve"> на предоставлении перевозчикам субсидии по РТ и заключении контрактов по РТ. При определении объёмов финансирования в об</w:t>
      </w:r>
      <w:r w:rsidR="00402C0D">
        <w:rPr>
          <w:rFonts w:eastAsiaTheme="minorHAnsi"/>
          <w:sz w:val="24"/>
        </w:rPr>
        <w:t>о</w:t>
      </w:r>
      <w:r>
        <w:rPr>
          <w:rFonts w:eastAsiaTheme="minorHAnsi"/>
          <w:sz w:val="24"/>
        </w:rPr>
        <w:t>их случаях предусматривается объём средств на приобретение (возобновление) парка автобусов.</w:t>
      </w:r>
    </w:p>
    <w:p w:rsidR="00E64BE8" w:rsidRPr="00C94C5A" w:rsidRDefault="00E64BE8" w:rsidP="00E64BE8">
      <w:pPr>
        <w:spacing w:line="240" w:lineRule="auto"/>
        <w:contextualSpacing/>
        <w:rPr>
          <w:rFonts w:eastAsiaTheme="minorHAnsi"/>
          <w:sz w:val="24"/>
        </w:rPr>
      </w:pPr>
      <w:r w:rsidRPr="00C94C5A">
        <w:rPr>
          <w:rFonts w:eastAsiaTheme="minorHAnsi"/>
          <w:sz w:val="24"/>
          <w:szCs w:val="22"/>
        </w:rPr>
        <w:t xml:space="preserve">Определение объёма субсидии по РТ базируется на расчёте разницы между </w:t>
      </w:r>
      <w:r>
        <w:rPr>
          <w:rFonts w:eastAsiaTheme="minorHAnsi"/>
          <w:sz w:val="24"/>
          <w:szCs w:val="22"/>
        </w:rPr>
        <w:t xml:space="preserve">ЭОТ и тарифами КРД. </w:t>
      </w:r>
      <w:r w:rsidRPr="00C94C5A">
        <w:rPr>
          <w:rFonts w:eastAsiaTheme="minorHAnsi"/>
          <w:sz w:val="24"/>
          <w:szCs w:val="22"/>
        </w:rPr>
        <w:t xml:space="preserve">КТР </w:t>
      </w:r>
      <w:r>
        <w:rPr>
          <w:rFonts w:eastAsiaTheme="minorHAnsi"/>
          <w:sz w:val="24"/>
          <w:szCs w:val="22"/>
        </w:rPr>
        <w:t xml:space="preserve">Волгоградской области </w:t>
      </w:r>
      <w:r w:rsidRPr="00C94C5A">
        <w:rPr>
          <w:rFonts w:eastAsiaTheme="minorHAnsi"/>
          <w:sz w:val="24"/>
          <w:szCs w:val="22"/>
        </w:rPr>
        <w:t xml:space="preserve">при расчёте </w:t>
      </w:r>
      <w:r>
        <w:rPr>
          <w:rFonts w:eastAsiaTheme="minorHAnsi"/>
          <w:sz w:val="24"/>
          <w:szCs w:val="22"/>
        </w:rPr>
        <w:t>ЭОТ</w:t>
      </w:r>
      <w:r w:rsidRPr="00C94C5A">
        <w:rPr>
          <w:rFonts w:eastAsiaTheme="minorHAnsi"/>
          <w:sz w:val="24"/>
          <w:szCs w:val="22"/>
        </w:rPr>
        <w:t xml:space="preserve"> </w:t>
      </w:r>
      <w:r>
        <w:rPr>
          <w:rFonts w:eastAsiaTheme="minorHAnsi"/>
          <w:sz w:val="24"/>
          <w:szCs w:val="22"/>
        </w:rPr>
        <w:t xml:space="preserve">в </w:t>
      </w:r>
      <w:r w:rsidRPr="00C94C5A">
        <w:rPr>
          <w:rFonts w:eastAsiaTheme="minorHAnsi"/>
          <w:sz w:val="24"/>
        </w:rPr>
        <w:t>составе прямых расходов при перевозках учтена амортизация автобусов исходя из стоимо</w:t>
      </w:r>
      <w:r>
        <w:rPr>
          <w:rFonts w:eastAsiaTheme="minorHAnsi"/>
          <w:sz w:val="24"/>
        </w:rPr>
        <w:t>сти новых транспортных средств. То есть</w:t>
      </w:r>
      <w:r w:rsidRPr="00C94C5A">
        <w:rPr>
          <w:rFonts w:eastAsiaTheme="minorHAnsi"/>
          <w:sz w:val="24"/>
        </w:rPr>
        <w:t>, субсидия по РТ была призвана обеспечить затраты перевозчиков по приобретению автобусов.</w:t>
      </w:r>
    </w:p>
    <w:p w:rsidR="00E64BE8" w:rsidRPr="00C94C5A" w:rsidRDefault="00E64BE8" w:rsidP="00E64BE8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C94C5A">
        <w:rPr>
          <w:rFonts w:eastAsiaTheme="minorHAnsi"/>
          <w:sz w:val="24"/>
        </w:rPr>
        <w:t xml:space="preserve">При определении НМЦК при осуществлении закупок в сфере </w:t>
      </w:r>
      <w:r w:rsidR="00F64E1B">
        <w:rPr>
          <w:rFonts w:eastAsiaTheme="minorHAnsi"/>
          <w:sz w:val="24"/>
        </w:rPr>
        <w:t>перевозок по РТ</w:t>
      </w:r>
      <w:r w:rsidRPr="00C94C5A">
        <w:rPr>
          <w:rFonts w:eastAsiaTheme="minorHAnsi"/>
          <w:sz w:val="24"/>
        </w:rPr>
        <w:t xml:space="preserve"> в соответствии с п. 7 Порядка № 513 и Порядка № 158 учитывается средняя рыночная стоимость новых автобусов. То есть</w:t>
      </w:r>
      <w:r>
        <w:rPr>
          <w:rFonts w:eastAsiaTheme="minorHAnsi"/>
          <w:sz w:val="24"/>
        </w:rPr>
        <w:t>,</w:t>
      </w:r>
      <w:r w:rsidRPr="00C94C5A">
        <w:rPr>
          <w:rFonts w:eastAsiaTheme="minorHAnsi"/>
          <w:sz w:val="24"/>
        </w:rPr>
        <w:t xml:space="preserve"> в составе оплаты контрактов, заключённых по НМЦК, в </w:t>
      </w:r>
      <w:r w:rsidRPr="00C94C5A">
        <w:rPr>
          <w:rFonts w:eastAsiaTheme="minorHAnsi"/>
          <w:sz w:val="24"/>
        </w:rPr>
        <w:lastRenderedPageBreak/>
        <w:t>полном объёме учтены распределённые</w:t>
      </w:r>
      <w:r w:rsidR="008C0984">
        <w:rPr>
          <w:rFonts w:eastAsiaTheme="minorHAnsi"/>
          <w:sz w:val="24"/>
        </w:rPr>
        <w:t xml:space="preserve"> на семь лет (период полной амортизации)</w:t>
      </w:r>
      <w:r w:rsidRPr="00C94C5A">
        <w:rPr>
          <w:rFonts w:eastAsiaTheme="minorHAnsi"/>
          <w:sz w:val="24"/>
        </w:rPr>
        <w:t xml:space="preserve"> затраты перевозчика на приобретение новых автобусов.</w:t>
      </w:r>
    </w:p>
    <w:p w:rsidR="006601BB" w:rsidRPr="00C94C5A" w:rsidRDefault="00E64BE8" w:rsidP="006601BB">
      <w:pPr>
        <w:spacing w:line="240" w:lineRule="auto"/>
        <w:rPr>
          <w:rFonts w:eastAsiaTheme="minorHAnsi"/>
          <w:sz w:val="24"/>
          <w:szCs w:val="22"/>
        </w:rPr>
      </w:pPr>
      <w:proofErr w:type="gramStart"/>
      <w:r w:rsidRPr="00C94C5A">
        <w:rPr>
          <w:rFonts w:eastAsiaTheme="minorHAnsi"/>
          <w:sz w:val="24"/>
        </w:rPr>
        <w:t xml:space="preserve">В то же время в 2014 – 2018 годах </w:t>
      </w:r>
      <w:proofErr w:type="spellStart"/>
      <w:r w:rsidRPr="00C94C5A">
        <w:rPr>
          <w:rFonts w:eastAsiaTheme="minorHAnsi"/>
          <w:sz w:val="24"/>
        </w:rPr>
        <w:t>Облкомдортранс</w:t>
      </w:r>
      <w:proofErr w:type="spellEnd"/>
      <w:r w:rsidRPr="00C94C5A">
        <w:rPr>
          <w:rFonts w:eastAsiaTheme="minorHAnsi"/>
          <w:sz w:val="24"/>
        </w:rPr>
        <w:t xml:space="preserve"> </w:t>
      </w:r>
      <w:r w:rsidRPr="00C94C5A">
        <w:rPr>
          <w:rFonts w:eastAsiaTheme="minorHAnsi"/>
          <w:sz w:val="24"/>
          <w:szCs w:val="22"/>
        </w:rPr>
        <w:t xml:space="preserve">в рамках </w:t>
      </w:r>
      <w:r w:rsidRPr="00C94C5A">
        <w:rPr>
          <w:rFonts w:eastAsiaTheme="minorHAnsi"/>
          <w:sz w:val="24"/>
        </w:rPr>
        <w:t xml:space="preserve">государственной программы Волгоградской области «Энергосбережение и повышение энергетической эффективности в Волгоградской области», утвержденной постановлением Администрации Волгоградской области от 31.12.2014 № 136-п (далее </w:t>
      </w:r>
      <w:r>
        <w:rPr>
          <w:rFonts w:eastAsiaTheme="minorHAnsi"/>
          <w:sz w:val="24"/>
        </w:rPr>
        <w:t>-</w:t>
      </w:r>
      <w:r w:rsidRPr="00C94C5A">
        <w:rPr>
          <w:rFonts w:eastAsiaTheme="minorHAnsi"/>
          <w:sz w:val="24"/>
        </w:rPr>
        <w:t xml:space="preserve"> ГП «Энергосбережение»</w:t>
      </w:r>
      <w:r>
        <w:rPr>
          <w:rFonts w:eastAsiaTheme="minorHAnsi"/>
          <w:sz w:val="24"/>
        </w:rPr>
        <w:t>)</w:t>
      </w:r>
      <w:r w:rsidRPr="00C94C5A">
        <w:rPr>
          <w:rFonts w:eastAsiaTheme="minorHAnsi"/>
          <w:sz w:val="24"/>
        </w:rPr>
        <w:t>, приобрёл в лизинг и безвозмездно передал транспортным предприятиям 143 автобуса на общую сумму 1 706 792,4 тыс. руб</w:t>
      </w:r>
      <w:r w:rsidR="00E119F3">
        <w:rPr>
          <w:rFonts w:eastAsiaTheme="minorHAnsi"/>
          <w:sz w:val="24"/>
        </w:rPr>
        <w:t>.</w:t>
      </w:r>
      <w:r w:rsidR="006601BB">
        <w:rPr>
          <w:rFonts w:eastAsiaTheme="minorHAnsi"/>
          <w:sz w:val="24"/>
        </w:rPr>
        <w:t>, в том числе:</w:t>
      </w:r>
      <w:r w:rsidR="006601BB" w:rsidRPr="006601BB">
        <w:rPr>
          <w:rFonts w:eastAsiaTheme="minorHAnsi"/>
          <w:sz w:val="24"/>
          <w:szCs w:val="22"/>
        </w:rPr>
        <w:t xml:space="preserve"> </w:t>
      </w:r>
      <w:r w:rsidR="006601BB" w:rsidRPr="00C94C5A">
        <w:rPr>
          <w:rFonts w:eastAsiaTheme="minorHAnsi"/>
          <w:sz w:val="24"/>
          <w:szCs w:val="22"/>
        </w:rPr>
        <w:t xml:space="preserve">80 единиц - МУП </w:t>
      </w:r>
      <w:r w:rsidR="006601BB">
        <w:rPr>
          <w:rFonts w:eastAsiaTheme="minorHAnsi"/>
          <w:sz w:val="24"/>
          <w:szCs w:val="22"/>
        </w:rPr>
        <w:t>«</w:t>
      </w:r>
      <w:r w:rsidR="006601BB" w:rsidRPr="00C94C5A">
        <w:rPr>
          <w:rFonts w:eastAsiaTheme="minorHAnsi"/>
          <w:sz w:val="24"/>
          <w:szCs w:val="22"/>
        </w:rPr>
        <w:t>ВПАТП №7</w:t>
      </w:r>
      <w:proofErr w:type="gramEnd"/>
      <w:r w:rsidR="006601BB">
        <w:rPr>
          <w:rFonts w:eastAsiaTheme="minorHAnsi"/>
          <w:sz w:val="24"/>
          <w:szCs w:val="22"/>
        </w:rPr>
        <w:t>»</w:t>
      </w:r>
      <w:r w:rsidR="00E119F3">
        <w:rPr>
          <w:rFonts w:eastAsiaTheme="minorHAnsi"/>
          <w:sz w:val="24"/>
          <w:szCs w:val="22"/>
        </w:rPr>
        <w:t xml:space="preserve">, </w:t>
      </w:r>
      <w:r w:rsidR="006601BB" w:rsidRPr="00C94C5A">
        <w:rPr>
          <w:rFonts w:eastAsiaTheme="minorHAnsi"/>
          <w:sz w:val="24"/>
          <w:szCs w:val="22"/>
        </w:rPr>
        <w:t>38 ед</w:t>
      </w:r>
      <w:r w:rsidR="00E119F3">
        <w:rPr>
          <w:rFonts w:eastAsiaTheme="minorHAnsi"/>
          <w:sz w:val="24"/>
          <w:szCs w:val="22"/>
        </w:rPr>
        <w:t>иниц - ГУП «</w:t>
      </w:r>
      <w:proofErr w:type="spellStart"/>
      <w:r w:rsidR="00E119F3">
        <w:rPr>
          <w:rFonts w:eastAsiaTheme="minorHAnsi"/>
          <w:sz w:val="24"/>
          <w:szCs w:val="22"/>
        </w:rPr>
        <w:t>Волгоградавтотранс</w:t>
      </w:r>
      <w:proofErr w:type="spellEnd"/>
      <w:r w:rsidR="00E119F3">
        <w:rPr>
          <w:rFonts w:eastAsiaTheme="minorHAnsi"/>
          <w:sz w:val="24"/>
          <w:szCs w:val="22"/>
        </w:rPr>
        <w:t>»</w:t>
      </w:r>
      <w:r w:rsidR="00F64E1B">
        <w:rPr>
          <w:rFonts w:eastAsiaTheme="minorHAnsi"/>
          <w:sz w:val="24"/>
          <w:szCs w:val="22"/>
        </w:rPr>
        <w:t xml:space="preserve"> и </w:t>
      </w:r>
      <w:r w:rsidR="006601BB" w:rsidRPr="00C94C5A">
        <w:rPr>
          <w:rFonts w:eastAsiaTheme="minorHAnsi"/>
          <w:sz w:val="24"/>
          <w:szCs w:val="22"/>
        </w:rPr>
        <w:t>25 единиц - МУП «ВАК № 1732».</w:t>
      </w:r>
    </w:p>
    <w:p w:rsidR="00E64BE8" w:rsidRPr="00C94C5A" w:rsidRDefault="00E64BE8" w:rsidP="00E64BE8">
      <w:pPr>
        <w:spacing w:line="240" w:lineRule="auto"/>
        <w:rPr>
          <w:rFonts w:eastAsia="Calibri"/>
          <w:sz w:val="24"/>
          <w:szCs w:val="22"/>
        </w:rPr>
      </w:pPr>
      <w:r w:rsidRPr="00C94C5A">
        <w:rPr>
          <w:rFonts w:eastAsia="Calibri"/>
          <w:sz w:val="24"/>
          <w:szCs w:val="22"/>
        </w:rPr>
        <w:t xml:space="preserve">Документами на передачу автобусов не определены условия или ограничения их использования, в том числе </w:t>
      </w:r>
      <w:r w:rsidR="00E119F3" w:rsidRPr="00C94C5A">
        <w:rPr>
          <w:rFonts w:eastAsia="Calibri"/>
          <w:sz w:val="24"/>
          <w:szCs w:val="22"/>
        </w:rPr>
        <w:t xml:space="preserve">не определены </w:t>
      </w:r>
      <w:r w:rsidRPr="00C94C5A">
        <w:rPr>
          <w:rFonts w:eastAsia="Calibri"/>
          <w:sz w:val="24"/>
          <w:szCs w:val="22"/>
        </w:rPr>
        <w:t xml:space="preserve">маршруты (межмуниципальные, муниципальные, по РТ, по НРТ, заказные перевозки). Фактически автобусы используются перевозчиками на разных маршрутах. С экономической точки зрения вид маршрута использования конкретного автобуса не имеет значения, так как экономическая выгода от </w:t>
      </w:r>
      <w:r w:rsidR="00F64E1B">
        <w:rPr>
          <w:rFonts w:eastAsia="Calibri"/>
          <w:sz w:val="24"/>
          <w:szCs w:val="22"/>
        </w:rPr>
        <w:t xml:space="preserve">его </w:t>
      </w:r>
      <w:r w:rsidRPr="00C94C5A">
        <w:rPr>
          <w:rFonts w:eastAsia="Calibri"/>
          <w:sz w:val="24"/>
          <w:szCs w:val="22"/>
        </w:rPr>
        <w:t xml:space="preserve">безвозмездного получения отражается </w:t>
      </w:r>
      <w:r>
        <w:rPr>
          <w:rFonts w:eastAsia="Calibri"/>
          <w:sz w:val="24"/>
          <w:szCs w:val="22"/>
        </w:rPr>
        <w:t xml:space="preserve">в </w:t>
      </w:r>
      <w:r w:rsidRPr="00C94C5A">
        <w:rPr>
          <w:rFonts w:eastAsia="Calibri"/>
          <w:sz w:val="24"/>
          <w:szCs w:val="22"/>
        </w:rPr>
        <w:t>целом на финансовом результате деятельности предприятия</w:t>
      </w:r>
    </w:p>
    <w:p w:rsidR="00E64BE8" w:rsidRPr="00C94C5A" w:rsidRDefault="00E64BE8" w:rsidP="00E64BE8">
      <w:pPr>
        <w:spacing w:line="240" w:lineRule="auto"/>
        <w:rPr>
          <w:rFonts w:eastAsiaTheme="minorHAnsi"/>
          <w:sz w:val="24"/>
          <w:szCs w:val="22"/>
        </w:rPr>
      </w:pPr>
      <w:r w:rsidRPr="00C94C5A">
        <w:rPr>
          <w:rFonts w:eastAsiaTheme="minorHAnsi"/>
          <w:sz w:val="24"/>
          <w:szCs w:val="22"/>
        </w:rPr>
        <w:t>В 2019 году на межмуниципальных маршрутах по РТ МУП «ВАК № 1732» эксплуатировал</w:t>
      </w:r>
      <w:r>
        <w:rPr>
          <w:rFonts w:eastAsiaTheme="minorHAnsi"/>
          <w:sz w:val="24"/>
          <w:szCs w:val="22"/>
        </w:rPr>
        <w:t>о</w:t>
      </w:r>
      <w:r w:rsidRPr="00C94C5A">
        <w:rPr>
          <w:rFonts w:eastAsiaTheme="minorHAnsi"/>
          <w:sz w:val="24"/>
          <w:szCs w:val="22"/>
        </w:rPr>
        <w:t xml:space="preserve"> 20 автобусов, то есть на 5 автобусов меньше, чем получил безвозмездно по контрактам лизинга.</w:t>
      </w:r>
    </w:p>
    <w:p w:rsidR="00E64BE8" w:rsidRDefault="00E64BE8" w:rsidP="00E64BE8">
      <w:pPr>
        <w:spacing w:line="240" w:lineRule="auto"/>
        <w:rPr>
          <w:rFonts w:eastAsiaTheme="minorHAnsi"/>
          <w:sz w:val="24"/>
          <w:szCs w:val="22"/>
        </w:rPr>
      </w:pPr>
      <w:r w:rsidRPr="00D35304">
        <w:rPr>
          <w:rFonts w:eastAsiaTheme="minorEastAsia"/>
          <w:sz w:val="24"/>
          <w:lang w:eastAsia="ru-RU"/>
        </w:rPr>
        <w:t xml:space="preserve">Из </w:t>
      </w:r>
      <w:r w:rsidR="00D35304" w:rsidRPr="00D35304">
        <w:rPr>
          <w:rFonts w:eastAsiaTheme="minorEastAsia"/>
          <w:sz w:val="24"/>
          <w:lang w:eastAsia="ru-RU"/>
        </w:rPr>
        <w:t>291</w:t>
      </w:r>
      <w:r w:rsidRPr="00D35304">
        <w:rPr>
          <w:rFonts w:eastAsiaTheme="minorEastAsia"/>
          <w:sz w:val="24"/>
          <w:lang w:eastAsia="ru-RU"/>
        </w:rPr>
        <w:t xml:space="preserve"> единиц</w:t>
      </w:r>
      <w:r w:rsidR="00D35304" w:rsidRPr="00D35304">
        <w:rPr>
          <w:rFonts w:eastAsiaTheme="minorEastAsia"/>
          <w:sz w:val="24"/>
          <w:lang w:eastAsia="ru-RU"/>
        </w:rPr>
        <w:t>ы</w:t>
      </w:r>
      <w:r w:rsidRPr="00D35304">
        <w:rPr>
          <w:rFonts w:eastAsiaTheme="minorEastAsia"/>
          <w:sz w:val="24"/>
          <w:lang w:eastAsia="ru-RU"/>
        </w:rPr>
        <w:t xml:space="preserve"> </w:t>
      </w:r>
      <w:r w:rsidR="00D35304" w:rsidRPr="00D35304">
        <w:rPr>
          <w:rFonts w:eastAsiaTheme="minorEastAsia"/>
          <w:sz w:val="24"/>
          <w:lang w:eastAsia="ru-RU"/>
        </w:rPr>
        <w:t xml:space="preserve">эксплуатируемого </w:t>
      </w:r>
      <w:r w:rsidRPr="00D35304">
        <w:rPr>
          <w:rFonts w:eastAsiaTheme="minorEastAsia"/>
          <w:sz w:val="24"/>
          <w:lang w:eastAsia="ru-RU"/>
        </w:rPr>
        <w:t>автобусного парка</w:t>
      </w:r>
      <w:r w:rsidRPr="00D35304">
        <w:rPr>
          <w:rFonts w:eastAsiaTheme="minorHAnsi"/>
          <w:sz w:val="24"/>
          <w:szCs w:val="22"/>
        </w:rPr>
        <w:t xml:space="preserve"> ГУП «</w:t>
      </w:r>
      <w:proofErr w:type="spellStart"/>
      <w:r w:rsidRPr="00D35304">
        <w:rPr>
          <w:rFonts w:eastAsiaTheme="minorHAnsi"/>
          <w:sz w:val="24"/>
          <w:szCs w:val="22"/>
        </w:rPr>
        <w:t>Волгоградавтотранс</w:t>
      </w:r>
      <w:proofErr w:type="spellEnd"/>
      <w:r w:rsidRPr="00D35304">
        <w:rPr>
          <w:rFonts w:eastAsiaTheme="minorHAnsi"/>
          <w:sz w:val="24"/>
          <w:szCs w:val="22"/>
        </w:rPr>
        <w:t>» 2</w:t>
      </w:r>
      <w:r w:rsidR="008C0984">
        <w:rPr>
          <w:rFonts w:eastAsiaTheme="minorHAnsi"/>
          <w:sz w:val="24"/>
          <w:szCs w:val="22"/>
        </w:rPr>
        <w:t>1</w:t>
      </w:r>
      <w:r w:rsidRPr="00D35304">
        <w:rPr>
          <w:rFonts w:eastAsiaTheme="minorHAnsi"/>
          <w:sz w:val="24"/>
          <w:szCs w:val="22"/>
        </w:rPr>
        <w:t xml:space="preserve"> автобусов приобретены предприятием за счёт собственных средств, остальные </w:t>
      </w:r>
      <w:r w:rsidRPr="00D35304">
        <w:rPr>
          <w:rFonts w:eastAsiaTheme="minorEastAsia"/>
          <w:sz w:val="24"/>
          <w:lang w:eastAsia="ru-RU"/>
        </w:rPr>
        <w:t xml:space="preserve">получены безвозмездно от </w:t>
      </w:r>
      <w:proofErr w:type="spellStart"/>
      <w:r w:rsidRPr="00D35304">
        <w:rPr>
          <w:rFonts w:eastAsiaTheme="minorEastAsia"/>
          <w:sz w:val="24"/>
          <w:lang w:eastAsia="ru-RU"/>
        </w:rPr>
        <w:t>Облкомдортранса</w:t>
      </w:r>
      <w:proofErr w:type="spellEnd"/>
      <w:r w:rsidRPr="00D35304">
        <w:rPr>
          <w:rFonts w:eastAsiaTheme="minorEastAsia"/>
          <w:sz w:val="24"/>
          <w:lang w:eastAsia="ru-RU"/>
        </w:rPr>
        <w:t>, местных администраций и</w:t>
      </w:r>
      <w:r w:rsidRPr="00D35304">
        <w:rPr>
          <w:sz w:val="24"/>
        </w:rPr>
        <w:t xml:space="preserve"> других юридических лиц</w:t>
      </w:r>
      <w:r w:rsidR="00F64E1B" w:rsidRPr="00D35304">
        <w:rPr>
          <w:sz w:val="24"/>
        </w:rPr>
        <w:t>.</w:t>
      </w:r>
      <w:r w:rsidRPr="00D35304">
        <w:rPr>
          <w:sz w:val="24"/>
        </w:rPr>
        <w:t xml:space="preserve"> </w:t>
      </w:r>
      <w:r w:rsidRPr="00D35304">
        <w:rPr>
          <w:rFonts w:eastAsiaTheme="minorEastAsia"/>
          <w:sz w:val="24"/>
          <w:lang w:eastAsia="ru-RU"/>
        </w:rPr>
        <w:t xml:space="preserve">Согласно Реестру маршрутов максимальное количество автобусов по 65 маршрутам по РТ, обслуживаемым </w:t>
      </w:r>
      <w:r w:rsidRPr="00D35304">
        <w:rPr>
          <w:rFonts w:eastAsiaTheme="minorHAnsi"/>
          <w:sz w:val="24"/>
          <w:szCs w:val="22"/>
        </w:rPr>
        <w:t>ГУП «</w:t>
      </w:r>
      <w:proofErr w:type="spellStart"/>
      <w:r w:rsidRPr="00D35304">
        <w:rPr>
          <w:rFonts w:eastAsiaTheme="minorHAnsi"/>
          <w:sz w:val="24"/>
          <w:szCs w:val="22"/>
        </w:rPr>
        <w:t>Волгоградавтотранс</w:t>
      </w:r>
      <w:proofErr w:type="spellEnd"/>
      <w:r w:rsidRPr="00D35304">
        <w:rPr>
          <w:rFonts w:eastAsiaTheme="minorHAnsi"/>
          <w:sz w:val="24"/>
          <w:szCs w:val="22"/>
        </w:rPr>
        <w:t>»,</w:t>
      </w:r>
      <w:r w:rsidRPr="00C94C5A">
        <w:rPr>
          <w:rFonts w:eastAsiaTheme="minorHAnsi"/>
          <w:sz w:val="24"/>
          <w:szCs w:val="22"/>
        </w:rPr>
        <w:t xml:space="preserve"> составляет 158 единиц, в том числе 121 автобус по круглогодичным маршрутам и 37 по сезонным.</w:t>
      </w:r>
    </w:p>
    <w:p w:rsidR="00E64BE8" w:rsidRPr="00C94C5A" w:rsidRDefault="00E64BE8" w:rsidP="00E64BE8">
      <w:pPr>
        <w:spacing w:line="240" w:lineRule="auto"/>
        <w:rPr>
          <w:rFonts w:eastAsiaTheme="minorHAnsi"/>
          <w:sz w:val="24"/>
          <w:szCs w:val="22"/>
        </w:rPr>
      </w:pPr>
      <w:r w:rsidRPr="00C94C5A">
        <w:rPr>
          <w:rFonts w:eastAsiaTheme="minorHAnsi"/>
          <w:sz w:val="24"/>
          <w:szCs w:val="22"/>
        </w:rPr>
        <w:t>Таким образом, количество автобусов, используемых перевозчиками на маршрутах по РТ, меньше количества автобусов, полученных предприятиями безвозмездно.</w:t>
      </w:r>
    </w:p>
    <w:p w:rsidR="00E64BE8" w:rsidRPr="00C94C5A" w:rsidRDefault="00E64BE8" w:rsidP="00E64BE8">
      <w:pPr>
        <w:spacing w:line="240" w:lineRule="auto"/>
        <w:rPr>
          <w:rFonts w:eastAsiaTheme="minorHAnsi"/>
          <w:sz w:val="24"/>
          <w:szCs w:val="22"/>
        </w:rPr>
      </w:pPr>
      <w:r w:rsidRPr="00C94C5A">
        <w:rPr>
          <w:rFonts w:eastAsiaTheme="minorHAnsi"/>
          <w:sz w:val="24"/>
          <w:szCs w:val="22"/>
        </w:rPr>
        <w:t>Согласно расчётам КТР</w:t>
      </w:r>
      <w:r>
        <w:rPr>
          <w:rFonts w:eastAsiaTheme="minorHAnsi"/>
          <w:sz w:val="24"/>
          <w:szCs w:val="22"/>
        </w:rPr>
        <w:t xml:space="preserve"> Волгоградской области</w:t>
      </w:r>
      <w:r w:rsidRPr="00C94C5A">
        <w:rPr>
          <w:rFonts w:eastAsiaTheme="minorHAnsi"/>
          <w:sz w:val="24"/>
          <w:szCs w:val="22"/>
        </w:rPr>
        <w:t xml:space="preserve">, произведённым при установлении </w:t>
      </w:r>
      <w:r w:rsidRPr="004970E3">
        <w:rPr>
          <w:rFonts w:eastAsiaTheme="minorHAnsi"/>
          <w:sz w:val="24"/>
          <w:szCs w:val="22"/>
        </w:rPr>
        <w:t>ЭОТ</w:t>
      </w:r>
      <w:r w:rsidRPr="00C94C5A">
        <w:rPr>
          <w:rFonts w:eastAsiaTheme="minorHAnsi"/>
          <w:sz w:val="24"/>
          <w:szCs w:val="22"/>
        </w:rPr>
        <w:t>, в тарифы по 65 маршрутам по РТ, обслуживаемых ГУП «</w:t>
      </w:r>
      <w:proofErr w:type="spellStart"/>
      <w:r w:rsidRPr="00C94C5A">
        <w:rPr>
          <w:rFonts w:eastAsiaTheme="minorHAnsi"/>
          <w:sz w:val="24"/>
          <w:szCs w:val="22"/>
        </w:rPr>
        <w:t>Волгоградавтотранс</w:t>
      </w:r>
      <w:proofErr w:type="spellEnd"/>
      <w:r w:rsidRPr="00C94C5A">
        <w:rPr>
          <w:rFonts w:eastAsiaTheme="minorHAnsi"/>
          <w:sz w:val="24"/>
          <w:szCs w:val="22"/>
        </w:rPr>
        <w:t xml:space="preserve">» включена </w:t>
      </w:r>
      <w:r w:rsidR="005205A3">
        <w:rPr>
          <w:rFonts w:eastAsiaTheme="minorHAnsi"/>
          <w:sz w:val="24"/>
          <w:szCs w:val="22"/>
        </w:rPr>
        <w:t>стоимость новых автобусов (</w:t>
      </w:r>
      <w:r w:rsidR="000A2996">
        <w:rPr>
          <w:rFonts w:eastAsiaTheme="minorHAnsi"/>
          <w:sz w:val="24"/>
          <w:szCs w:val="22"/>
        </w:rPr>
        <w:t xml:space="preserve">в размере годового объёма </w:t>
      </w:r>
      <w:r w:rsidR="005205A3">
        <w:rPr>
          <w:rFonts w:eastAsiaTheme="minorHAnsi"/>
          <w:sz w:val="24"/>
          <w:szCs w:val="22"/>
        </w:rPr>
        <w:t>амортизаци</w:t>
      </w:r>
      <w:r w:rsidR="000A2996">
        <w:rPr>
          <w:rFonts w:eastAsiaTheme="minorHAnsi"/>
          <w:sz w:val="24"/>
          <w:szCs w:val="22"/>
        </w:rPr>
        <w:t>онных отчислений</w:t>
      </w:r>
      <w:r w:rsidR="005205A3">
        <w:rPr>
          <w:rFonts w:eastAsiaTheme="minorHAnsi"/>
          <w:sz w:val="24"/>
          <w:szCs w:val="22"/>
        </w:rPr>
        <w:t>)</w:t>
      </w:r>
      <w:r w:rsidRPr="00C94C5A">
        <w:rPr>
          <w:rFonts w:eastAsiaTheme="minorHAnsi"/>
          <w:sz w:val="24"/>
          <w:szCs w:val="22"/>
        </w:rPr>
        <w:t xml:space="preserve"> в сумме 50 594,7 тыс. руб. в год. При расчёте НМЦК по 13 маршрутам по РТ, обслуживаемых в 2019 году МУП «ВАК № 1732», учтена средняя рыночная стоимость автобусов</w:t>
      </w:r>
      <w:r w:rsidR="005205A3">
        <w:rPr>
          <w:rFonts w:eastAsiaTheme="minorHAnsi"/>
          <w:sz w:val="24"/>
          <w:szCs w:val="22"/>
        </w:rPr>
        <w:t xml:space="preserve"> (распределённая на 7 лет амортизационного периода)</w:t>
      </w:r>
      <w:r w:rsidRPr="00C94C5A">
        <w:rPr>
          <w:rFonts w:eastAsiaTheme="minorHAnsi"/>
          <w:sz w:val="24"/>
          <w:szCs w:val="22"/>
        </w:rPr>
        <w:t xml:space="preserve"> в сумме 12 631,3 тыс. руб. из расчёта на год.</w:t>
      </w:r>
    </w:p>
    <w:p w:rsidR="00E64BE8" w:rsidRPr="00C94C5A" w:rsidRDefault="00E64BE8" w:rsidP="00E64BE8">
      <w:pPr>
        <w:spacing w:line="240" w:lineRule="auto"/>
        <w:rPr>
          <w:rFonts w:eastAsiaTheme="minorHAnsi"/>
          <w:sz w:val="24"/>
        </w:rPr>
      </w:pPr>
      <w:r w:rsidRPr="00C94C5A">
        <w:rPr>
          <w:rFonts w:eastAsiaTheme="minorHAnsi"/>
          <w:sz w:val="24"/>
          <w:szCs w:val="22"/>
        </w:rPr>
        <w:t>Обобщая вышеизложенное</w:t>
      </w:r>
      <w:r>
        <w:rPr>
          <w:rFonts w:eastAsiaTheme="minorHAnsi"/>
          <w:sz w:val="24"/>
          <w:szCs w:val="22"/>
        </w:rPr>
        <w:t>,</w:t>
      </w:r>
      <w:r w:rsidRPr="00C94C5A">
        <w:rPr>
          <w:rFonts w:eastAsiaTheme="minorHAnsi"/>
          <w:sz w:val="24"/>
          <w:szCs w:val="22"/>
        </w:rPr>
        <w:t xml:space="preserve"> можно констатировать, что Волгоградская </w:t>
      </w:r>
      <w:proofErr w:type="gramStart"/>
      <w:r w:rsidRPr="00C94C5A">
        <w:rPr>
          <w:rFonts w:eastAsiaTheme="minorHAnsi"/>
          <w:sz w:val="24"/>
          <w:szCs w:val="22"/>
        </w:rPr>
        <w:t>область</w:t>
      </w:r>
      <w:proofErr w:type="gramEnd"/>
      <w:r w:rsidRPr="00C94C5A">
        <w:rPr>
          <w:rFonts w:eastAsiaTheme="minorHAnsi"/>
          <w:sz w:val="24"/>
          <w:szCs w:val="22"/>
        </w:rPr>
        <w:t xml:space="preserve"> приобретая за счёт бюджетных средств и безвозмездно передавая перевозчикам автобусы в рамках ГП «Энергосбережение» повторно оплачивает стоимость этих автобусов через механизмы предоставления субсидий по РТ и контрактов</w:t>
      </w:r>
      <w:r w:rsidRPr="00C94C5A">
        <w:rPr>
          <w:rFonts w:eastAsiaTheme="minorHAnsi"/>
          <w:sz w:val="24"/>
        </w:rPr>
        <w:t xml:space="preserve"> </w:t>
      </w:r>
      <w:r>
        <w:rPr>
          <w:rFonts w:eastAsiaTheme="minorHAnsi"/>
          <w:sz w:val="24"/>
        </w:rPr>
        <w:t>по РТ</w:t>
      </w:r>
      <w:r w:rsidRPr="00C94C5A">
        <w:rPr>
          <w:rFonts w:eastAsiaTheme="minorHAnsi"/>
          <w:sz w:val="24"/>
        </w:rPr>
        <w:t>. Совокупный объём «двойных» расходов может составлять 63 226,0 тыс. руб. в год.</w:t>
      </w:r>
    </w:p>
    <w:p w:rsidR="00E64BE8" w:rsidRPr="00C94C5A" w:rsidRDefault="00E64BE8" w:rsidP="00E64BE8">
      <w:pPr>
        <w:spacing w:line="240" w:lineRule="auto"/>
        <w:rPr>
          <w:rFonts w:eastAsiaTheme="minorHAnsi"/>
          <w:sz w:val="24"/>
        </w:rPr>
      </w:pPr>
      <w:proofErr w:type="gramStart"/>
      <w:r w:rsidRPr="00C94C5A">
        <w:rPr>
          <w:rFonts w:eastAsiaTheme="minorHAnsi"/>
          <w:sz w:val="24"/>
        </w:rPr>
        <w:t>В результате</w:t>
      </w:r>
      <w:r>
        <w:rPr>
          <w:rFonts w:eastAsiaTheme="minorHAnsi"/>
          <w:sz w:val="24"/>
        </w:rPr>
        <w:t>, в случае с субсидиями по РТ, определяемыми на основе тарифов, установленных в 2015 году и не отвечающих экономическим реалиям,</w:t>
      </w:r>
      <w:r w:rsidRPr="00C94C5A">
        <w:rPr>
          <w:rFonts w:eastAsiaTheme="minorHAnsi"/>
          <w:sz w:val="24"/>
        </w:rPr>
        <w:t xml:space="preserve"> сложилась ситуация, при которой у перевозчиков формируется условный объём резервов, не используемый по прямому предназначению на должное обновление парка автобусов, а используемый на другие цели</w:t>
      </w:r>
      <w:r>
        <w:rPr>
          <w:rFonts w:eastAsiaTheme="minorHAnsi"/>
          <w:sz w:val="24"/>
        </w:rPr>
        <w:t>,</w:t>
      </w:r>
      <w:r w:rsidRPr="00C94C5A">
        <w:rPr>
          <w:rFonts w:eastAsiaTheme="minorHAnsi"/>
          <w:sz w:val="24"/>
        </w:rPr>
        <w:t xml:space="preserve"> компенсируя негативные экономические и производственные составляющие </w:t>
      </w:r>
      <w:r>
        <w:rPr>
          <w:rFonts w:eastAsiaTheme="minorHAnsi"/>
          <w:sz w:val="24"/>
        </w:rPr>
        <w:t xml:space="preserve">своей </w:t>
      </w:r>
      <w:r w:rsidRPr="00C94C5A">
        <w:rPr>
          <w:rFonts w:eastAsiaTheme="minorHAnsi"/>
          <w:sz w:val="24"/>
        </w:rPr>
        <w:t>деятельности и транспортного комплекса Волгоградской области в</w:t>
      </w:r>
      <w:proofErr w:type="gramEnd"/>
      <w:r w:rsidRPr="00C94C5A">
        <w:rPr>
          <w:rFonts w:eastAsiaTheme="minorHAnsi"/>
          <w:sz w:val="24"/>
        </w:rPr>
        <w:t xml:space="preserve"> целом, в том числе за счёт несбалансированного государственного </w:t>
      </w:r>
      <w:r w:rsidR="00731750">
        <w:rPr>
          <w:rFonts w:eastAsiaTheme="minorHAnsi"/>
          <w:sz w:val="24"/>
        </w:rPr>
        <w:t xml:space="preserve">тарифного </w:t>
      </w:r>
      <w:r w:rsidRPr="00C94C5A">
        <w:rPr>
          <w:rFonts w:eastAsiaTheme="minorHAnsi"/>
          <w:sz w:val="24"/>
        </w:rPr>
        <w:t>регулирования.</w:t>
      </w:r>
    </w:p>
    <w:p w:rsidR="00E64BE8" w:rsidRDefault="00E64BE8" w:rsidP="00E64BE8">
      <w:pPr>
        <w:spacing w:line="240" w:lineRule="auto"/>
        <w:contextualSpacing/>
        <w:rPr>
          <w:rFonts w:eastAsiaTheme="minorHAnsi"/>
          <w:sz w:val="24"/>
        </w:rPr>
      </w:pPr>
      <w:proofErr w:type="gramStart"/>
      <w:r>
        <w:rPr>
          <w:rFonts w:eastAsiaTheme="minorHAnsi"/>
          <w:sz w:val="24"/>
        </w:rPr>
        <w:t>Действующий с середины 2018 года м</w:t>
      </w:r>
      <w:r w:rsidRPr="00C94C5A">
        <w:rPr>
          <w:rFonts w:eastAsiaTheme="minorHAnsi"/>
          <w:sz w:val="24"/>
        </w:rPr>
        <w:t xml:space="preserve">еханизм закупок услуг в сфере регулярных перевозок пассажиров на основе установленного Минтрансом РФ порядка определения НМЦК закрепил формирование адекватной стоимости этих </w:t>
      </w:r>
      <w:r>
        <w:rPr>
          <w:rFonts w:eastAsiaTheme="minorHAnsi"/>
          <w:sz w:val="24"/>
        </w:rPr>
        <w:t>работ</w:t>
      </w:r>
      <w:r w:rsidR="000A2996">
        <w:rPr>
          <w:rFonts w:eastAsiaTheme="minorHAnsi"/>
          <w:sz w:val="24"/>
        </w:rPr>
        <w:t>, что</w:t>
      </w:r>
      <w:r w:rsidR="000A3133">
        <w:rPr>
          <w:rFonts w:eastAsiaTheme="minorHAnsi"/>
          <w:sz w:val="24"/>
        </w:rPr>
        <w:t>,</w:t>
      </w:r>
      <w:r w:rsidR="000A2996">
        <w:rPr>
          <w:rFonts w:eastAsiaTheme="minorHAnsi"/>
          <w:sz w:val="24"/>
        </w:rPr>
        <w:t xml:space="preserve"> по оптимистичной оценке</w:t>
      </w:r>
      <w:r w:rsidR="000A3133">
        <w:rPr>
          <w:rFonts w:eastAsiaTheme="minorHAnsi"/>
          <w:sz w:val="24"/>
        </w:rPr>
        <w:t>,</w:t>
      </w:r>
      <w:r w:rsidR="000A2996">
        <w:rPr>
          <w:rFonts w:eastAsiaTheme="minorHAnsi"/>
          <w:sz w:val="24"/>
        </w:rPr>
        <w:t xml:space="preserve"> увеличит потребность в бюджетном финансировании </w:t>
      </w:r>
      <w:r w:rsidR="00B42B3E">
        <w:rPr>
          <w:rFonts w:eastAsiaTheme="minorHAnsi"/>
          <w:sz w:val="24"/>
        </w:rPr>
        <w:t xml:space="preserve">межмуниципальных перевозок пассажиров автомобильным транспортом </w:t>
      </w:r>
      <w:r w:rsidR="000A2996">
        <w:rPr>
          <w:rFonts w:eastAsiaTheme="minorHAnsi"/>
          <w:sz w:val="24"/>
        </w:rPr>
        <w:t xml:space="preserve">более чем 2,5 раза </w:t>
      </w:r>
      <w:r w:rsidR="00B42B3E">
        <w:rPr>
          <w:rFonts w:eastAsiaTheme="minorHAnsi"/>
          <w:sz w:val="24"/>
        </w:rPr>
        <w:t>по сравнению с существующим объёмом затрат</w:t>
      </w:r>
      <w:r w:rsidRPr="00C94C5A">
        <w:rPr>
          <w:rFonts w:eastAsiaTheme="minorHAnsi"/>
          <w:sz w:val="24"/>
        </w:rPr>
        <w:t>.</w:t>
      </w:r>
      <w:proofErr w:type="gramEnd"/>
    </w:p>
    <w:p w:rsidR="00E64BE8" w:rsidRPr="00F57D10" w:rsidRDefault="00E64BE8" w:rsidP="00E64BE8">
      <w:pPr>
        <w:autoSpaceDE w:val="0"/>
        <w:autoSpaceDN w:val="0"/>
        <w:adjustRightInd w:val="0"/>
        <w:spacing w:line="240" w:lineRule="auto"/>
        <w:ind w:firstLine="567"/>
        <w:rPr>
          <w:rFonts w:eastAsia="Times New Roman"/>
          <w:sz w:val="24"/>
          <w:lang w:eastAsia="ru-RU"/>
        </w:rPr>
      </w:pPr>
      <w:proofErr w:type="gramStart"/>
      <w:r w:rsidRPr="00FB7E58">
        <w:rPr>
          <w:rFonts w:eastAsiaTheme="minorHAnsi"/>
          <w:sz w:val="24"/>
        </w:rPr>
        <w:t>Особую актуальность поставленный вопрос приобретает в условиях</w:t>
      </w:r>
      <w:r w:rsidRPr="00FB7E58">
        <w:rPr>
          <w:rFonts w:eastAsia="Arial Unicode MS"/>
          <w:sz w:val="24"/>
          <w:lang w:eastAsia="ru-RU"/>
        </w:rPr>
        <w:t xml:space="preserve"> запланированного с 2020 года в рамках национального проекта </w:t>
      </w:r>
      <w:r w:rsidRPr="00FB7E58">
        <w:rPr>
          <w:sz w:val="24"/>
        </w:rPr>
        <w:t xml:space="preserve">«Безопасные и качественные автомобильные </w:t>
      </w:r>
      <w:r w:rsidRPr="00FB7E58">
        <w:rPr>
          <w:sz w:val="24"/>
        </w:rPr>
        <w:lastRenderedPageBreak/>
        <w:t xml:space="preserve">дороги» </w:t>
      </w:r>
      <w:r w:rsidRPr="00F57D10">
        <w:rPr>
          <w:rFonts w:eastAsia="Times New Roman"/>
          <w:sz w:val="24"/>
          <w:lang w:eastAsia="ru-RU"/>
        </w:rPr>
        <w:t>обновлени</w:t>
      </w:r>
      <w:r w:rsidRPr="00FB7E58">
        <w:rPr>
          <w:rFonts w:eastAsia="Times New Roman"/>
          <w:sz w:val="24"/>
          <w:lang w:eastAsia="ru-RU"/>
        </w:rPr>
        <w:t>я</w:t>
      </w:r>
      <w:r w:rsidRPr="00F57D10">
        <w:rPr>
          <w:rFonts w:eastAsia="Times New Roman"/>
          <w:sz w:val="24"/>
          <w:lang w:eastAsia="ru-RU"/>
        </w:rPr>
        <w:t xml:space="preserve"> подвижного состава наземного общественного пассажирского транспорта в 20 крупнейших городских агломерациях (за исключением Московской и Санкт-Петербургской)</w:t>
      </w:r>
      <w:r w:rsidRPr="00FB7E58">
        <w:rPr>
          <w:rFonts w:eastAsia="Times New Roman"/>
          <w:sz w:val="24"/>
          <w:lang w:eastAsia="ru-RU"/>
        </w:rPr>
        <w:t xml:space="preserve"> с </w:t>
      </w:r>
      <w:r w:rsidRPr="00F57D10">
        <w:rPr>
          <w:rFonts w:eastAsia="Times New Roman"/>
          <w:sz w:val="24"/>
          <w:lang w:eastAsia="ru-RU"/>
        </w:rPr>
        <w:t>предусмотрен</w:t>
      </w:r>
      <w:r w:rsidRPr="00FB7E58">
        <w:rPr>
          <w:rFonts w:eastAsia="Times New Roman"/>
          <w:sz w:val="24"/>
          <w:lang w:eastAsia="ru-RU"/>
        </w:rPr>
        <w:t>ным объёмом</w:t>
      </w:r>
      <w:r w:rsidRPr="00F57D10">
        <w:rPr>
          <w:rFonts w:eastAsia="Times New Roman"/>
          <w:sz w:val="24"/>
          <w:lang w:eastAsia="ru-RU"/>
        </w:rPr>
        <w:t xml:space="preserve"> трансферт</w:t>
      </w:r>
      <w:r w:rsidRPr="00FB7E58">
        <w:rPr>
          <w:rFonts w:eastAsia="Times New Roman"/>
          <w:sz w:val="24"/>
          <w:lang w:eastAsia="ru-RU"/>
        </w:rPr>
        <w:t>ов</w:t>
      </w:r>
      <w:r w:rsidRPr="00F57D10">
        <w:rPr>
          <w:rFonts w:eastAsia="Times New Roman"/>
          <w:sz w:val="24"/>
          <w:lang w:eastAsia="ru-RU"/>
        </w:rPr>
        <w:t xml:space="preserve"> бюджетам регионов из федерального бюджета по</w:t>
      </w:r>
      <w:r w:rsidRPr="00FB7E58">
        <w:rPr>
          <w:rFonts w:eastAsia="Times New Roman"/>
          <w:sz w:val="24"/>
          <w:lang w:eastAsia="ru-RU"/>
        </w:rPr>
        <w:t xml:space="preserve"> 4</w:t>
      </w:r>
      <w:r>
        <w:rPr>
          <w:rFonts w:eastAsia="Times New Roman"/>
          <w:sz w:val="24"/>
          <w:lang w:eastAsia="ru-RU"/>
        </w:rPr>
        <w:t> </w:t>
      </w:r>
      <w:r w:rsidRPr="00FB7E58">
        <w:rPr>
          <w:rFonts w:eastAsia="Times New Roman"/>
          <w:sz w:val="24"/>
          <w:lang w:eastAsia="ru-RU"/>
        </w:rPr>
        <w:t>000,0 млн. руб. в год.</w:t>
      </w:r>
      <w:proofErr w:type="gramEnd"/>
    </w:p>
    <w:p w:rsidR="00A25DE2" w:rsidRPr="00810A4B" w:rsidRDefault="00A25DE2" w:rsidP="00810A4B">
      <w:pPr>
        <w:spacing w:line="240" w:lineRule="auto"/>
        <w:rPr>
          <w:rFonts w:eastAsia="Times New Roman"/>
          <w:sz w:val="24"/>
          <w:szCs w:val="20"/>
          <w:lang w:eastAsia="ru-RU"/>
        </w:rPr>
      </w:pPr>
    </w:p>
    <w:p w:rsidR="00810A4B" w:rsidRDefault="005342F6" w:rsidP="006601BB">
      <w:pPr>
        <w:spacing w:line="240" w:lineRule="auto"/>
        <w:rPr>
          <w:rFonts w:eastAsia="Times New Roman"/>
          <w:b/>
          <w:sz w:val="24"/>
          <w:szCs w:val="20"/>
          <w:lang w:eastAsia="ru-RU"/>
        </w:rPr>
      </w:pPr>
      <w:r w:rsidRPr="00A45E5D">
        <w:rPr>
          <w:rFonts w:eastAsia="Times New Roman"/>
          <w:b/>
          <w:sz w:val="24"/>
          <w:szCs w:val="20"/>
          <w:lang w:eastAsia="ru-RU"/>
        </w:rPr>
        <w:t>Выводы</w:t>
      </w:r>
      <w:r w:rsidR="00A45E5D" w:rsidRPr="00A45E5D">
        <w:rPr>
          <w:rFonts w:eastAsia="Times New Roman"/>
          <w:b/>
          <w:sz w:val="24"/>
          <w:szCs w:val="20"/>
          <w:lang w:eastAsia="ru-RU"/>
        </w:rPr>
        <w:t>:</w:t>
      </w:r>
    </w:p>
    <w:p w:rsidR="00B2655E" w:rsidRPr="00A25DE2" w:rsidRDefault="00F0048F" w:rsidP="00384A3D">
      <w:pPr>
        <w:pStyle w:val="a8"/>
        <w:numPr>
          <w:ilvl w:val="0"/>
          <w:numId w:val="25"/>
        </w:numPr>
        <w:ind w:left="0" w:firstLine="709"/>
        <w:jc w:val="both"/>
        <w:rPr>
          <w:bCs/>
        </w:rPr>
      </w:pPr>
      <w:r w:rsidRPr="00A25DE2">
        <w:rPr>
          <w:color w:val="000000"/>
        </w:rPr>
        <w:t>В Волгоградской области в 2018 году - 1 полугодии 2019 года транспортное обслуживание населения автомобильным транспортом в межмуниципальном и пригородном сообщении осуществлялось на 304 маршрутах регулярных перевозок, в том числе на 78 маршрутах по регулируемым тарифам.</w:t>
      </w:r>
      <w:r w:rsidR="00B2655E" w:rsidRPr="00A25DE2">
        <w:rPr>
          <w:color w:val="000000"/>
        </w:rPr>
        <w:t xml:space="preserve"> </w:t>
      </w:r>
      <w:r w:rsidR="00B2655E" w:rsidRPr="00B2655E">
        <w:t xml:space="preserve">В 2018 году </w:t>
      </w:r>
      <w:r w:rsidR="00B2655E">
        <w:t xml:space="preserve">на маршрутах по регулируемым тарифам перевозчиками выполнена работа в объёме 594,5 млн. </w:t>
      </w:r>
      <w:proofErr w:type="spellStart"/>
      <w:proofErr w:type="gramStart"/>
      <w:r w:rsidR="00B2655E">
        <w:t>место-километров</w:t>
      </w:r>
      <w:proofErr w:type="spellEnd"/>
      <w:proofErr w:type="gramEnd"/>
      <w:r w:rsidR="00A25DE2">
        <w:t xml:space="preserve">. </w:t>
      </w:r>
      <w:r w:rsidR="00B2655E" w:rsidRPr="00A25DE2">
        <w:t xml:space="preserve">Расходы областного бюджета на финансовое обеспечение перевозок на маршрутах по регулируемым тарифам в 2018 году составили </w:t>
      </w:r>
      <w:r w:rsidR="00B2655E" w:rsidRPr="00A25DE2">
        <w:rPr>
          <w:color w:val="000000"/>
        </w:rPr>
        <w:t xml:space="preserve">214 631,9 тыс. руб., в 2019 году - по оценке составят </w:t>
      </w:r>
      <w:r w:rsidR="00B2655E" w:rsidRPr="00A25DE2">
        <w:rPr>
          <w:bCs/>
        </w:rPr>
        <w:t>252 205,4 тыс. рублей.</w:t>
      </w:r>
    </w:p>
    <w:p w:rsidR="00024C6C" w:rsidRDefault="00024C6C" w:rsidP="004803DB">
      <w:pPr>
        <w:pStyle w:val="a8"/>
        <w:numPr>
          <w:ilvl w:val="0"/>
          <w:numId w:val="25"/>
        </w:numPr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Соблюдение законодательства при использовании бюджетных средств.</w:t>
      </w:r>
    </w:p>
    <w:p w:rsidR="008E3B13" w:rsidRPr="004803DB" w:rsidRDefault="008E3B13" w:rsidP="004803DB">
      <w:pPr>
        <w:pStyle w:val="a8"/>
        <w:numPr>
          <w:ilvl w:val="1"/>
          <w:numId w:val="25"/>
        </w:numPr>
        <w:ind w:left="0" w:firstLine="709"/>
        <w:jc w:val="both"/>
        <w:rPr>
          <w:rFonts w:eastAsiaTheme="minorHAnsi"/>
        </w:rPr>
      </w:pPr>
      <w:r w:rsidRPr="004803DB">
        <w:rPr>
          <w:rFonts w:eastAsiaTheme="minorHAnsi"/>
        </w:rPr>
        <w:t>ГУП «</w:t>
      </w:r>
      <w:proofErr w:type="spellStart"/>
      <w:r w:rsidRPr="004803DB">
        <w:rPr>
          <w:rFonts w:eastAsiaTheme="minorHAnsi"/>
        </w:rPr>
        <w:t>Волгоградавтотранс</w:t>
      </w:r>
      <w:proofErr w:type="spellEnd"/>
      <w:r w:rsidRPr="004803DB">
        <w:rPr>
          <w:rFonts w:eastAsiaTheme="minorHAnsi"/>
        </w:rPr>
        <w:t xml:space="preserve">» не исполнена в полном объёме обязанность по ведению раздельного учёта затрат и доходов при осуществлении регулируемой деятельности, которая согласно </w:t>
      </w:r>
      <w:proofErr w:type="spellStart"/>
      <w:r w:rsidR="00384A3D" w:rsidRPr="004803DB">
        <w:rPr>
          <w:rFonts w:eastAsiaTheme="minorHAnsi"/>
        </w:rPr>
        <w:t>пп</w:t>
      </w:r>
      <w:proofErr w:type="spellEnd"/>
      <w:r w:rsidR="00384A3D" w:rsidRPr="004803DB">
        <w:rPr>
          <w:rFonts w:eastAsiaTheme="minorHAnsi"/>
        </w:rPr>
        <w:t xml:space="preserve">. 3 </w:t>
      </w:r>
      <w:r w:rsidRPr="004803DB">
        <w:rPr>
          <w:rFonts w:eastAsiaTheme="minorHAnsi"/>
        </w:rPr>
        <w:t xml:space="preserve">п. 2.1 </w:t>
      </w:r>
      <w:r w:rsidRPr="004803DB">
        <w:rPr>
          <w:rFonts w:eastAsiaTheme="minorEastAsia"/>
        </w:rPr>
        <w:t xml:space="preserve">Порядка предоставления субсидии </w:t>
      </w:r>
      <w:r w:rsidR="007135AD" w:rsidRPr="004803DB">
        <w:rPr>
          <w:rFonts w:eastAsiaTheme="minorEastAsia"/>
        </w:rPr>
        <w:t>…</w:t>
      </w:r>
      <w:r w:rsidRPr="004803DB">
        <w:rPr>
          <w:rFonts w:eastAsiaTheme="minorEastAsia"/>
        </w:rPr>
        <w:t>, утверждённого постановлением Администрации Волгоградской области от 27.11.2017 № 623-п, является одним из условий предоставления субсидии.</w:t>
      </w:r>
      <w:r w:rsidRPr="004803DB">
        <w:rPr>
          <w:rFonts w:eastAsiaTheme="minorHAnsi"/>
        </w:rPr>
        <w:t xml:space="preserve"> </w:t>
      </w:r>
      <w:proofErr w:type="gramStart"/>
      <w:r w:rsidR="007135AD" w:rsidRPr="004803DB">
        <w:rPr>
          <w:rFonts w:eastAsiaTheme="minorHAnsi"/>
        </w:rPr>
        <w:t>Нарушение</w:t>
      </w:r>
      <w:r w:rsidRPr="004803DB">
        <w:rPr>
          <w:rFonts w:eastAsiaTheme="minorHAnsi"/>
        </w:rPr>
        <w:t xml:space="preserve"> не привело к дополнительным расходам областного бюджета</w:t>
      </w:r>
      <w:r w:rsidR="007135AD" w:rsidRPr="004803DB">
        <w:rPr>
          <w:rFonts w:eastAsiaTheme="minorHAnsi"/>
        </w:rPr>
        <w:t xml:space="preserve">, но послужило причиной </w:t>
      </w:r>
      <w:proofErr w:type="spellStart"/>
      <w:r w:rsidR="00A25DE2" w:rsidRPr="004803DB">
        <w:rPr>
          <w:rFonts w:eastAsiaTheme="minorHAnsi"/>
        </w:rPr>
        <w:t>недополучения</w:t>
      </w:r>
      <w:proofErr w:type="spellEnd"/>
      <w:r w:rsidRPr="004803DB">
        <w:rPr>
          <w:rFonts w:eastAsiaTheme="minorHAnsi"/>
        </w:rPr>
        <w:t xml:space="preserve"> </w:t>
      </w:r>
      <w:r w:rsidR="00FA3DF2" w:rsidRPr="004803DB">
        <w:rPr>
          <w:rFonts w:eastAsiaTheme="minorHAnsi"/>
        </w:rPr>
        <w:t xml:space="preserve">из местных бюджетов </w:t>
      </w:r>
      <w:r w:rsidRPr="004803DB">
        <w:rPr>
          <w:rFonts w:eastAsiaTheme="minorHAnsi"/>
        </w:rPr>
        <w:t xml:space="preserve">субсидий на возмещение затрат в связи с оказанием услуг по перевозке пассажиров на муниципальных маршрутах по </w:t>
      </w:r>
      <w:r w:rsidR="00E90BCA" w:rsidRPr="004803DB">
        <w:rPr>
          <w:rFonts w:eastAsiaTheme="minorHAnsi"/>
        </w:rPr>
        <w:t xml:space="preserve">регулируемым тарифам </w:t>
      </w:r>
      <w:r w:rsidR="00B54015" w:rsidRPr="004803DB">
        <w:rPr>
          <w:rFonts w:eastAsiaTheme="minorHAnsi"/>
        </w:rPr>
        <w:t xml:space="preserve">за 2018 год </w:t>
      </w:r>
      <w:r w:rsidR="00FA3DF2" w:rsidRPr="004803DB">
        <w:rPr>
          <w:rFonts w:eastAsiaTheme="minorHAnsi"/>
        </w:rPr>
        <w:t>в размере</w:t>
      </w:r>
      <w:r w:rsidRPr="004803DB">
        <w:rPr>
          <w:rFonts w:eastAsiaTheme="minorHAnsi"/>
        </w:rPr>
        <w:t xml:space="preserve"> 2 680,9 тыс. руб., что отразилось на финансово-экономическом состоянии и увеличило убытки предприятия.</w:t>
      </w:r>
      <w:proofErr w:type="gramEnd"/>
      <w:r w:rsidR="004803DB" w:rsidRPr="004803DB">
        <w:rPr>
          <w:rFonts w:eastAsiaTheme="minorHAnsi"/>
        </w:rPr>
        <w:t xml:space="preserve"> В ходе проверки ГУП «</w:t>
      </w:r>
      <w:proofErr w:type="spellStart"/>
      <w:r w:rsidR="004803DB" w:rsidRPr="004803DB">
        <w:rPr>
          <w:rFonts w:eastAsiaTheme="minorHAnsi"/>
        </w:rPr>
        <w:t>Волгоградавтотранс</w:t>
      </w:r>
      <w:proofErr w:type="spellEnd"/>
      <w:r w:rsidR="004803DB" w:rsidRPr="004803DB">
        <w:rPr>
          <w:rFonts w:eastAsiaTheme="minorHAnsi"/>
        </w:rPr>
        <w:t>» начал принимать меры для</w:t>
      </w:r>
      <w:r w:rsidR="004803DB" w:rsidRPr="004803DB">
        <w:t xml:space="preserve"> обеспечения надлежащего ведения раздельного учета затрат и доходов при осуществлении регулируемой деятельности.</w:t>
      </w:r>
    </w:p>
    <w:p w:rsidR="008E3B13" w:rsidRDefault="00FB5273" w:rsidP="004803DB">
      <w:pPr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>С</w:t>
      </w:r>
      <w:r w:rsidR="008E3B13">
        <w:rPr>
          <w:rFonts w:eastAsiaTheme="minorHAnsi"/>
          <w:sz w:val="24"/>
        </w:rPr>
        <w:t>оглашения</w:t>
      </w:r>
      <w:r>
        <w:rPr>
          <w:rFonts w:eastAsiaTheme="minorHAnsi"/>
          <w:sz w:val="24"/>
        </w:rPr>
        <w:t>ми</w:t>
      </w:r>
      <w:r w:rsidR="008E3B13">
        <w:rPr>
          <w:rFonts w:eastAsiaTheme="minorHAnsi"/>
          <w:sz w:val="24"/>
        </w:rPr>
        <w:t xml:space="preserve"> о предоставлении субсидии, заключённы</w:t>
      </w:r>
      <w:r>
        <w:rPr>
          <w:rFonts w:eastAsiaTheme="minorHAnsi"/>
          <w:sz w:val="24"/>
        </w:rPr>
        <w:t>ми</w:t>
      </w:r>
      <w:r w:rsidR="008E3B13">
        <w:rPr>
          <w:rFonts w:eastAsiaTheme="minorHAnsi"/>
          <w:sz w:val="24"/>
        </w:rPr>
        <w:t xml:space="preserve"> </w:t>
      </w:r>
      <w:proofErr w:type="spellStart"/>
      <w:r w:rsidR="008E3B13" w:rsidRPr="00206EAD">
        <w:rPr>
          <w:rFonts w:eastAsiaTheme="minorHAnsi"/>
          <w:sz w:val="24"/>
        </w:rPr>
        <w:t>Облкомдортрансом</w:t>
      </w:r>
      <w:proofErr w:type="spellEnd"/>
      <w:r w:rsidR="008E3B13" w:rsidRPr="00206EAD">
        <w:rPr>
          <w:rFonts w:eastAsiaTheme="minorHAnsi"/>
          <w:sz w:val="24"/>
        </w:rPr>
        <w:t xml:space="preserve"> и ГУП</w:t>
      </w:r>
      <w:r>
        <w:rPr>
          <w:rFonts w:eastAsiaTheme="minorHAnsi"/>
          <w:sz w:val="24"/>
        </w:rPr>
        <w:t xml:space="preserve"> </w:t>
      </w:r>
      <w:r w:rsidRPr="007135AD">
        <w:rPr>
          <w:rFonts w:eastAsiaTheme="minorHAnsi"/>
          <w:sz w:val="24"/>
        </w:rPr>
        <w:t>«</w:t>
      </w:r>
      <w:proofErr w:type="spellStart"/>
      <w:r w:rsidRPr="007135AD">
        <w:rPr>
          <w:rFonts w:eastAsiaTheme="minorHAnsi"/>
          <w:sz w:val="24"/>
        </w:rPr>
        <w:t>Волгоградавтотранс</w:t>
      </w:r>
      <w:proofErr w:type="spellEnd"/>
      <w:r w:rsidRPr="007135AD">
        <w:rPr>
          <w:rFonts w:eastAsiaTheme="minorHAnsi"/>
          <w:sz w:val="24"/>
        </w:rPr>
        <w:t>»</w:t>
      </w:r>
      <w:r w:rsidR="008E3B13" w:rsidRPr="00206EAD">
        <w:rPr>
          <w:rFonts w:eastAsiaTheme="minorHAnsi"/>
          <w:sz w:val="24"/>
        </w:rPr>
        <w:t xml:space="preserve">, ведение раздельного учёта доходов и затрат не закреплено в качестве условия предоставления субсидии, что не соответствует требованиям </w:t>
      </w:r>
      <w:proofErr w:type="spellStart"/>
      <w:r w:rsidR="00384A3D">
        <w:rPr>
          <w:rFonts w:eastAsiaTheme="minorHAnsi"/>
          <w:sz w:val="24"/>
        </w:rPr>
        <w:t>пп</w:t>
      </w:r>
      <w:proofErr w:type="spellEnd"/>
      <w:r w:rsidR="00384A3D">
        <w:rPr>
          <w:rFonts w:eastAsiaTheme="minorHAnsi"/>
          <w:sz w:val="24"/>
        </w:rPr>
        <w:t xml:space="preserve">. 3 </w:t>
      </w:r>
      <w:r w:rsidR="008E3B13" w:rsidRPr="00206EAD">
        <w:rPr>
          <w:rFonts w:eastAsiaTheme="minorHAnsi"/>
          <w:sz w:val="24"/>
        </w:rPr>
        <w:t>п. 2.1 Порядка № 623</w:t>
      </w:r>
      <w:r w:rsidR="008E3B13" w:rsidRPr="00D60DFD">
        <w:rPr>
          <w:rFonts w:eastAsiaTheme="minorHAnsi"/>
          <w:sz w:val="24"/>
        </w:rPr>
        <w:t xml:space="preserve">-п. </w:t>
      </w:r>
    </w:p>
    <w:p w:rsidR="00981CC6" w:rsidRPr="00B42B3E" w:rsidRDefault="008E3B13" w:rsidP="004803DB">
      <w:pPr>
        <w:pStyle w:val="a8"/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proofErr w:type="gramStart"/>
      <w:r w:rsidRPr="00BF3B79">
        <w:rPr>
          <w:rFonts w:eastAsiaTheme="minorHAnsi"/>
        </w:rPr>
        <w:t xml:space="preserve">При определении </w:t>
      </w:r>
      <w:r w:rsidR="001B4D21" w:rsidRPr="00BF3B79">
        <w:rPr>
          <w:rFonts w:eastAsiaTheme="minorHAnsi"/>
        </w:rPr>
        <w:t xml:space="preserve">начальной (максимальной) цены контрактов </w:t>
      </w:r>
      <w:r w:rsidRPr="00BF3B79">
        <w:rPr>
          <w:rFonts w:eastAsiaTheme="minorHAnsi"/>
        </w:rPr>
        <w:t xml:space="preserve">по </w:t>
      </w:r>
      <w:r w:rsidR="001B4D21" w:rsidRPr="00BF3B79">
        <w:rPr>
          <w:rFonts w:eastAsiaTheme="minorHAnsi"/>
        </w:rPr>
        <w:t>шести</w:t>
      </w:r>
      <w:r w:rsidRPr="00BF3B79">
        <w:rPr>
          <w:rFonts w:eastAsiaTheme="minorHAnsi"/>
        </w:rPr>
        <w:t xml:space="preserve"> закупкам </w:t>
      </w:r>
      <w:proofErr w:type="spellStart"/>
      <w:r w:rsidRPr="00BF3B79">
        <w:rPr>
          <w:rFonts w:eastAsiaTheme="minorHAnsi"/>
        </w:rPr>
        <w:t>Облкомдортранс</w:t>
      </w:r>
      <w:proofErr w:type="spellEnd"/>
      <w:r w:rsidRPr="00BF3B79">
        <w:rPr>
          <w:rFonts w:eastAsiaTheme="minorHAnsi"/>
        </w:rPr>
        <w:t xml:space="preserve"> допустил </w:t>
      </w:r>
      <w:r w:rsidR="00DD6539" w:rsidRPr="00BF3B79">
        <w:rPr>
          <w:rFonts w:eastAsiaTheme="minorHAnsi"/>
        </w:rPr>
        <w:t>65</w:t>
      </w:r>
      <w:r w:rsidR="001B4D21" w:rsidRPr="00BF3B79">
        <w:rPr>
          <w:rFonts w:eastAsiaTheme="minorHAnsi"/>
        </w:rPr>
        <w:t xml:space="preserve"> нарушений </w:t>
      </w:r>
      <w:r w:rsidRPr="00BF3B79">
        <w:rPr>
          <w:rFonts w:eastAsiaTheme="minorHAnsi"/>
        </w:rPr>
        <w:t xml:space="preserve">Порядка </w:t>
      </w:r>
      <w:r w:rsidR="001B4D21" w:rsidRPr="00BF3B79">
        <w:rPr>
          <w:rFonts w:eastAsiaTheme="minorHAnsi"/>
        </w:rPr>
        <w:t>определения начальной (максимальной) цены контракта…, утверждённого приказом Минтранса России от 08.12.2017 № 513</w:t>
      </w:r>
      <w:r w:rsidRPr="00BF3B79">
        <w:rPr>
          <w:rFonts w:eastAsiaTheme="minorHAnsi"/>
        </w:rPr>
        <w:t xml:space="preserve">, </w:t>
      </w:r>
      <w:r w:rsidR="00981CC6" w:rsidRPr="00BF3B79">
        <w:rPr>
          <w:rFonts w:eastAsiaTheme="minorHAnsi"/>
        </w:rPr>
        <w:t xml:space="preserve">на общую сумму </w:t>
      </w:r>
      <w:r w:rsidR="00B42B3E" w:rsidRPr="00BF3B79">
        <w:rPr>
          <w:rFonts w:eastAsiaTheme="minorHAnsi"/>
        </w:rPr>
        <w:t>15</w:t>
      </w:r>
      <w:r w:rsidR="00391D15" w:rsidRPr="00BF3B79">
        <w:rPr>
          <w:rFonts w:eastAsiaTheme="minorHAnsi"/>
        </w:rPr>
        <w:t> 194,4</w:t>
      </w:r>
      <w:r w:rsidR="00B42B3E" w:rsidRPr="00BF3B79">
        <w:rPr>
          <w:rFonts w:eastAsiaTheme="minorHAnsi"/>
        </w:rPr>
        <w:t xml:space="preserve"> </w:t>
      </w:r>
      <w:r w:rsidR="00981CC6" w:rsidRPr="00BF3B79">
        <w:rPr>
          <w:rFonts w:eastAsiaTheme="minorHAnsi"/>
        </w:rPr>
        <w:t xml:space="preserve">тыс. руб., </w:t>
      </w:r>
      <w:r w:rsidRPr="00BF3B79">
        <w:rPr>
          <w:rFonts w:eastAsiaTheme="minorHAnsi"/>
        </w:rPr>
        <w:t xml:space="preserve">которые </w:t>
      </w:r>
      <w:r w:rsidR="00981CC6" w:rsidRPr="00BF3B79">
        <w:rPr>
          <w:rFonts w:eastAsiaTheme="minorHAnsi"/>
        </w:rPr>
        <w:t xml:space="preserve">в совокупности </w:t>
      </w:r>
      <w:r w:rsidRPr="00BF3B79">
        <w:rPr>
          <w:rFonts w:eastAsiaTheme="minorHAnsi"/>
        </w:rPr>
        <w:t>привели к за</w:t>
      </w:r>
      <w:r w:rsidR="00981CC6" w:rsidRPr="00BF3B79">
        <w:rPr>
          <w:rFonts w:eastAsiaTheme="minorHAnsi"/>
        </w:rPr>
        <w:t>вышению</w:t>
      </w:r>
      <w:r w:rsidRPr="00BF3B79">
        <w:rPr>
          <w:rFonts w:eastAsiaTheme="minorHAnsi"/>
        </w:rPr>
        <w:t xml:space="preserve"> цены по </w:t>
      </w:r>
      <w:r w:rsidR="00B42B3E" w:rsidRPr="00BF3B79">
        <w:rPr>
          <w:rFonts w:eastAsiaTheme="minorHAnsi"/>
        </w:rPr>
        <w:t>одному</w:t>
      </w:r>
      <w:r w:rsidRPr="00BF3B79">
        <w:rPr>
          <w:rFonts w:eastAsiaTheme="minorHAnsi"/>
        </w:rPr>
        <w:t xml:space="preserve"> контракт</w:t>
      </w:r>
      <w:r w:rsidR="00B42B3E" w:rsidRPr="00BF3B79">
        <w:rPr>
          <w:rFonts w:eastAsiaTheme="minorHAnsi"/>
        </w:rPr>
        <w:t>у</w:t>
      </w:r>
      <w:r w:rsidRPr="00BF3B79">
        <w:rPr>
          <w:rFonts w:eastAsiaTheme="minorHAnsi"/>
        </w:rPr>
        <w:t>, заключённ</w:t>
      </w:r>
      <w:r w:rsidR="00B42B3E" w:rsidRPr="00BF3B79">
        <w:rPr>
          <w:rFonts w:eastAsiaTheme="minorHAnsi"/>
        </w:rPr>
        <w:t>ому</w:t>
      </w:r>
      <w:r w:rsidRPr="00BF3B79">
        <w:rPr>
          <w:rFonts w:eastAsiaTheme="minorHAnsi"/>
        </w:rPr>
        <w:t xml:space="preserve"> с единственным </w:t>
      </w:r>
      <w:r w:rsidR="00981CC6" w:rsidRPr="00BF3B79">
        <w:rPr>
          <w:rFonts w:eastAsiaTheme="minorHAnsi"/>
        </w:rPr>
        <w:t>подрядчиком,</w:t>
      </w:r>
      <w:r w:rsidRPr="00BF3B79">
        <w:rPr>
          <w:rFonts w:eastAsiaTheme="minorHAnsi"/>
        </w:rPr>
        <w:t xml:space="preserve"> на </w:t>
      </w:r>
      <w:r w:rsidR="00B42B3E" w:rsidRPr="00BF3B79">
        <w:rPr>
          <w:rFonts w:eastAsiaTheme="minorHAnsi"/>
        </w:rPr>
        <w:t>3</w:t>
      </w:r>
      <w:r w:rsidR="00391D15" w:rsidRPr="00BF3B79">
        <w:rPr>
          <w:rFonts w:eastAsiaTheme="minorHAnsi"/>
        </w:rPr>
        <w:t>20</w:t>
      </w:r>
      <w:r w:rsidR="00B42B3E" w:rsidRPr="00BF3B79">
        <w:rPr>
          <w:rFonts w:eastAsiaTheme="minorHAnsi"/>
        </w:rPr>
        <w:t>,</w:t>
      </w:r>
      <w:r w:rsidR="00391D15" w:rsidRPr="00BF3B79">
        <w:rPr>
          <w:rFonts w:eastAsiaTheme="minorHAnsi"/>
        </w:rPr>
        <w:t>6</w:t>
      </w:r>
      <w:r w:rsidRPr="00BF3B79">
        <w:rPr>
          <w:rFonts w:eastAsiaTheme="minorHAnsi"/>
        </w:rPr>
        <w:t xml:space="preserve"> тыс. руб.</w:t>
      </w:r>
      <w:r w:rsidR="00981CC6" w:rsidRPr="00BF3B79">
        <w:rPr>
          <w:rFonts w:eastAsiaTheme="minorHAnsi"/>
        </w:rPr>
        <w:t xml:space="preserve"> и занижению цены по </w:t>
      </w:r>
      <w:r w:rsidR="00B42B3E" w:rsidRPr="00BF3B79">
        <w:rPr>
          <w:rFonts w:eastAsiaTheme="minorHAnsi"/>
        </w:rPr>
        <w:t>четырём</w:t>
      </w:r>
      <w:r w:rsidR="00981CC6" w:rsidRPr="00BF3B79">
        <w:rPr>
          <w:rFonts w:eastAsiaTheme="minorHAnsi"/>
        </w:rPr>
        <w:t xml:space="preserve"> контрактам</w:t>
      </w:r>
      <w:r w:rsidR="00391D15" w:rsidRPr="00BF3B79">
        <w:rPr>
          <w:rFonts w:eastAsiaTheme="minorHAnsi"/>
        </w:rPr>
        <w:t>,</w:t>
      </w:r>
      <w:r w:rsidR="00981CC6" w:rsidRPr="00BF3B79">
        <w:rPr>
          <w:rFonts w:eastAsiaTheme="minorHAnsi"/>
        </w:rPr>
        <w:t xml:space="preserve"> </w:t>
      </w:r>
      <w:r w:rsidR="00391D15" w:rsidRPr="00BF3B79">
        <w:rPr>
          <w:rFonts w:eastAsiaTheme="minorHAnsi"/>
        </w:rPr>
        <w:t>заключённым с единственным</w:t>
      </w:r>
      <w:proofErr w:type="gramEnd"/>
      <w:r w:rsidR="00391D15" w:rsidRPr="00BF3B79">
        <w:rPr>
          <w:rFonts w:eastAsiaTheme="minorHAnsi"/>
        </w:rPr>
        <w:t xml:space="preserve"> подрядчиком</w:t>
      </w:r>
      <w:proofErr w:type="gramStart"/>
      <w:r w:rsidR="00391D15" w:rsidRPr="00BF3B79">
        <w:rPr>
          <w:rFonts w:eastAsiaTheme="minorHAnsi"/>
        </w:rPr>
        <w:t>.</w:t>
      </w:r>
      <w:proofErr w:type="gramEnd"/>
      <w:r w:rsidR="00391D15" w:rsidRPr="00BF3B79">
        <w:rPr>
          <w:rFonts w:eastAsiaTheme="minorHAnsi"/>
        </w:rPr>
        <w:t xml:space="preserve"> </w:t>
      </w:r>
      <w:proofErr w:type="gramStart"/>
      <w:r w:rsidR="00981CC6" w:rsidRPr="00BF3B79">
        <w:rPr>
          <w:rFonts w:eastAsiaTheme="minorHAnsi"/>
        </w:rPr>
        <w:t>н</w:t>
      </w:r>
      <w:proofErr w:type="gramEnd"/>
      <w:r w:rsidR="00981CC6" w:rsidRPr="00BF3B79">
        <w:rPr>
          <w:rFonts w:eastAsiaTheme="minorHAnsi"/>
        </w:rPr>
        <w:t xml:space="preserve">а </w:t>
      </w:r>
      <w:r w:rsidR="00B42B3E" w:rsidRPr="00BF3B79">
        <w:rPr>
          <w:rFonts w:eastAsiaTheme="minorHAnsi"/>
        </w:rPr>
        <w:t>3</w:t>
      </w:r>
      <w:r w:rsidR="00391D15" w:rsidRPr="00BF3B79">
        <w:rPr>
          <w:rFonts w:eastAsiaTheme="minorHAnsi"/>
        </w:rPr>
        <w:t> 911,8</w:t>
      </w:r>
      <w:r w:rsidR="00B42B3E" w:rsidRPr="00BF3B79">
        <w:rPr>
          <w:rFonts w:eastAsiaTheme="minorHAnsi"/>
        </w:rPr>
        <w:t xml:space="preserve"> </w:t>
      </w:r>
      <w:r w:rsidR="00981CC6" w:rsidRPr="00BF3B79">
        <w:rPr>
          <w:rFonts w:eastAsiaTheme="minorHAnsi"/>
        </w:rPr>
        <w:t>тыс</w:t>
      </w:r>
      <w:r w:rsidR="00981CC6" w:rsidRPr="00B42B3E">
        <w:rPr>
          <w:rFonts w:eastAsiaTheme="minorHAnsi"/>
        </w:rPr>
        <w:t>. рублей.</w:t>
      </w:r>
    </w:p>
    <w:p w:rsidR="008E3B13" w:rsidRDefault="008E3B13" w:rsidP="00035BA0">
      <w:pPr>
        <w:autoSpaceDE w:val="0"/>
        <w:autoSpaceDN w:val="0"/>
        <w:adjustRightInd w:val="0"/>
        <w:spacing w:line="240" w:lineRule="auto"/>
        <w:outlineLvl w:val="0"/>
        <w:rPr>
          <w:rFonts w:eastAsiaTheme="minorHAnsi"/>
          <w:bCs/>
          <w:sz w:val="24"/>
        </w:rPr>
      </w:pPr>
      <w:r w:rsidRPr="00B42B3E">
        <w:rPr>
          <w:rFonts w:eastAsiaTheme="minorHAnsi"/>
          <w:sz w:val="24"/>
        </w:rPr>
        <w:t>Указанные нарушения содержат признаки</w:t>
      </w:r>
      <w:r w:rsidRPr="0058711E">
        <w:rPr>
          <w:rFonts w:eastAsiaTheme="minorHAnsi"/>
          <w:sz w:val="24"/>
        </w:rPr>
        <w:t xml:space="preserve"> нарушения, за которое предусмотрена административная ответственность, </w:t>
      </w:r>
      <w:r>
        <w:rPr>
          <w:rFonts w:eastAsiaTheme="minorHAnsi"/>
          <w:sz w:val="24"/>
        </w:rPr>
        <w:t>установленная</w:t>
      </w:r>
      <w:r w:rsidRPr="0058711E">
        <w:rPr>
          <w:rFonts w:eastAsiaTheme="minorHAnsi"/>
          <w:sz w:val="24"/>
        </w:rPr>
        <w:t xml:space="preserve"> </w:t>
      </w:r>
      <w:proofErr w:type="gramStart"/>
      <w:r w:rsidRPr="0058711E">
        <w:rPr>
          <w:rFonts w:eastAsiaTheme="minorHAnsi"/>
          <w:sz w:val="24"/>
        </w:rPr>
        <w:t>ч</w:t>
      </w:r>
      <w:proofErr w:type="gramEnd"/>
      <w:r w:rsidRPr="0058711E">
        <w:rPr>
          <w:rFonts w:eastAsiaTheme="minorHAnsi"/>
          <w:sz w:val="24"/>
        </w:rPr>
        <w:t>.</w:t>
      </w:r>
      <w:r w:rsidR="00981CC6">
        <w:rPr>
          <w:rFonts w:eastAsiaTheme="minorHAnsi"/>
          <w:sz w:val="24"/>
        </w:rPr>
        <w:t xml:space="preserve"> </w:t>
      </w:r>
      <w:r w:rsidRPr="0058711E">
        <w:rPr>
          <w:rFonts w:eastAsiaTheme="minorHAnsi"/>
          <w:sz w:val="24"/>
        </w:rPr>
        <w:t>2 ст.</w:t>
      </w:r>
      <w:r w:rsidRPr="0058711E">
        <w:rPr>
          <w:rFonts w:eastAsiaTheme="minorHAnsi"/>
          <w:bCs/>
          <w:sz w:val="24"/>
        </w:rPr>
        <w:t xml:space="preserve"> 7.29.3. </w:t>
      </w:r>
      <w:proofErr w:type="spellStart"/>
      <w:r w:rsidRPr="0058711E">
        <w:rPr>
          <w:rFonts w:eastAsiaTheme="minorHAnsi"/>
          <w:bCs/>
          <w:sz w:val="24"/>
        </w:rPr>
        <w:t>КоАП</w:t>
      </w:r>
      <w:proofErr w:type="spellEnd"/>
      <w:r w:rsidRPr="0058711E">
        <w:rPr>
          <w:rFonts w:eastAsiaTheme="minorHAnsi"/>
          <w:bCs/>
          <w:sz w:val="24"/>
        </w:rPr>
        <w:t xml:space="preserve"> РФ.</w:t>
      </w:r>
    </w:p>
    <w:p w:rsidR="00024C6C" w:rsidRPr="00024C6C" w:rsidRDefault="00024C6C" w:rsidP="00035BA0">
      <w:pPr>
        <w:pStyle w:val="a8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Theme="minorHAnsi"/>
          <w:bCs/>
        </w:rPr>
      </w:pPr>
      <w:r>
        <w:rPr>
          <w:bCs/>
        </w:rPr>
        <w:t>Эффективность использования бюджетных средств.</w:t>
      </w:r>
    </w:p>
    <w:p w:rsidR="002102F5" w:rsidRPr="00035BA0" w:rsidRDefault="00024C6C" w:rsidP="00035BA0">
      <w:pPr>
        <w:pStyle w:val="a8"/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 w:rsidRPr="00035BA0">
        <w:rPr>
          <w:rFonts w:eastAsiaTheme="minorHAnsi"/>
          <w:bCs/>
        </w:rPr>
        <w:t xml:space="preserve">При плановом значении целевого показателя, закреплённого ГП «Транспорт» как </w:t>
      </w:r>
      <w:r w:rsidRPr="00257584">
        <w:t>«Пассажирооборот автомобильного транспорта общего пользования»</w:t>
      </w:r>
      <w:r w:rsidR="00693615">
        <w:t xml:space="preserve"> на 2018 год в размере 585</w:t>
      </w:r>
      <w:r w:rsidR="002102F5">
        <w:t>,0</w:t>
      </w:r>
      <w:r w:rsidR="00693615">
        <w:t xml:space="preserve"> млн. место-км, </w:t>
      </w:r>
      <w:proofErr w:type="spellStart"/>
      <w:r w:rsidR="00693615">
        <w:t>Облкомдортанс</w:t>
      </w:r>
      <w:proofErr w:type="spellEnd"/>
      <w:r w:rsidR="00693615">
        <w:t xml:space="preserve"> заключил соглашение и контракты на перевозки по межмуниципальным маршрутам по регулируемым тарифам с объёмом транспортной работы 664,8 млн. место-км. Фактически</w:t>
      </w:r>
      <w:r w:rsidR="00A25DE2">
        <w:t>й</w:t>
      </w:r>
      <w:r w:rsidR="00693615">
        <w:t xml:space="preserve"> </w:t>
      </w:r>
      <w:r w:rsidR="00A25DE2">
        <w:t xml:space="preserve">объём выполненных </w:t>
      </w:r>
      <w:r w:rsidR="00693615">
        <w:t xml:space="preserve">работ </w:t>
      </w:r>
      <w:r w:rsidR="00A25DE2">
        <w:t>составил</w:t>
      </w:r>
      <w:r w:rsidR="00693615">
        <w:t xml:space="preserve"> 594,5 млн. место-км. </w:t>
      </w:r>
      <w:r w:rsidR="000C6CBE">
        <w:t xml:space="preserve">В </w:t>
      </w:r>
      <w:r w:rsidR="000C6CBE" w:rsidRPr="00035BA0">
        <w:rPr>
          <w:bCs/>
        </w:rPr>
        <w:t xml:space="preserve">годовом докладе о ходе реализации ГП «Транспорт» </w:t>
      </w:r>
      <w:proofErr w:type="spellStart"/>
      <w:r w:rsidR="000C6CBE" w:rsidRPr="009C1DBB">
        <w:t>Облкомдортранс</w:t>
      </w:r>
      <w:proofErr w:type="spellEnd"/>
      <w:r w:rsidR="000C6CBE" w:rsidRPr="009C1DBB">
        <w:t xml:space="preserve"> указал недостоверные данные о достигнутом значении целевого показателя в размере 575,4 млн. место-км.</w:t>
      </w:r>
      <w:r w:rsidR="002102F5" w:rsidRPr="00035BA0">
        <w:rPr>
          <w:bCs/>
        </w:rPr>
        <w:t xml:space="preserve"> </w:t>
      </w:r>
    </w:p>
    <w:p w:rsidR="00024C6C" w:rsidRPr="00836C37" w:rsidRDefault="00035BA0" w:rsidP="00035BA0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="Times New Roman"/>
          <w:bCs/>
          <w:sz w:val="24"/>
          <w:lang w:eastAsia="ru-RU"/>
        </w:rPr>
        <w:t>Изложенное</w:t>
      </w:r>
      <w:r w:rsidR="002102F5">
        <w:rPr>
          <w:rFonts w:eastAsia="Times New Roman"/>
          <w:bCs/>
          <w:sz w:val="24"/>
          <w:lang w:eastAsia="ru-RU"/>
        </w:rPr>
        <w:t xml:space="preserve"> не позволяют сделать однозначный вывод об эффективном использовании бюджетных средств и достижении цели ГП «Транспорт»</w:t>
      </w:r>
      <w:r w:rsidR="002102F5" w:rsidRPr="00247C59">
        <w:rPr>
          <w:rFonts w:eastAsiaTheme="minorHAnsi"/>
          <w:sz w:val="24"/>
        </w:rPr>
        <w:t xml:space="preserve"> </w:t>
      </w:r>
      <w:r>
        <w:rPr>
          <w:rFonts w:eastAsiaTheme="minorHAnsi"/>
          <w:sz w:val="24"/>
        </w:rPr>
        <w:t xml:space="preserve">и </w:t>
      </w:r>
      <w:r w:rsidR="002102F5" w:rsidRPr="00836C37">
        <w:rPr>
          <w:rFonts w:eastAsiaTheme="minorHAnsi"/>
          <w:sz w:val="24"/>
        </w:rPr>
        <w:t>мо</w:t>
      </w:r>
      <w:r>
        <w:rPr>
          <w:rFonts w:eastAsiaTheme="minorHAnsi"/>
          <w:sz w:val="24"/>
        </w:rPr>
        <w:t>жет</w:t>
      </w:r>
      <w:r w:rsidR="002102F5" w:rsidRPr="00836C37">
        <w:rPr>
          <w:rFonts w:eastAsiaTheme="minorHAnsi"/>
          <w:sz w:val="24"/>
        </w:rPr>
        <w:t xml:space="preserve"> свидетельствовать о недостатках при разраб</w:t>
      </w:r>
      <w:r>
        <w:rPr>
          <w:rFonts w:eastAsiaTheme="minorHAnsi"/>
          <w:sz w:val="24"/>
        </w:rPr>
        <w:t xml:space="preserve">отке и корректировке программы в части </w:t>
      </w:r>
      <w:r w:rsidR="00B90D3B" w:rsidRPr="00B90D3B">
        <w:rPr>
          <w:rFonts w:eastAsiaTheme="minorHAnsi"/>
          <w:sz w:val="24"/>
        </w:rPr>
        <w:t>отсутстви</w:t>
      </w:r>
      <w:r>
        <w:rPr>
          <w:rFonts w:eastAsiaTheme="minorHAnsi"/>
          <w:sz w:val="24"/>
        </w:rPr>
        <w:t>я</w:t>
      </w:r>
      <w:r w:rsidR="00B90D3B" w:rsidRPr="00B90D3B">
        <w:rPr>
          <w:rFonts w:eastAsiaTheme="minorHAnsi"/>
          <w:sz w:val="24"/>
        </w:rPr>
        <w:t xml:space="preserve"> </w:t>
      </w:r>
      <w:proofErr w:type="spellStart"/>
      <w:r w:rsidR="00B90D3B" w:rsidRPr="00B90D3B">
        <w:rPr>
          <w:rFonts w:eastAsiaTheme="minorHAnsi"/>
          <w:sz w:val="24"/>
        </w:rPr>
        <w:t>взаимоувязанности</w:t>
      </w:r>
      <w:proofErr w:type="spellEnd"/>
      <w:r w:rsidR="00B90D3B" w:rsidRPr="00B90D3B">
        <w:rPr>
          <w:rFonts w:eastAsiaTheme="minorHAnsi"/>
          <w:sz w:val="24"/>
        </w:rPr>
        <w:t xml:space="preserve"> мероприятий программы по задачам и ресурсам</w:t>
      </w:r>
      <w:r w:rsidR="002102F5" w:rsidRPr="00836C37">
        <w:rPr>
          <w:rFonts w:eastAsiaTheme="minorHAnsi"/>
          <w:sz w:val="24"/>
        </w:rPr>
        <w:t>,</w:t>
      </w:r>
      <w:r>
        <w:rPr>
          <w:rFonts w:eastAsiaTheme="minorHAnsi"/>
          <w:sz w:val="24"/>
        </w:rPr>
        <w:t xml:space="preserve"> </w:t>
      </w:r>
      <w:r w:rsidR="002102F5" w:rsidRPr="00836C37">
        <w:rPr>
          <w:rFonts w:eastAsiaTheme="minorHAnsi"/>
          <w:sz w:val="24"/>
        </w:rPr>
        <w:t xml:space="preserve">что </w:t>
      </w:r>
      <w:r>
        <w:rPr>
          <w:rFonts w:eastAsiaTheme="minorHAnsi"/>
          <w:sz w:val="24"/>
        </w:rPr>
        <w:t xml:space="preserve">не соответствует </w:t>
      </w:r>
      <w:r w:rsidR="002102F5" w:rsidRPr="00836C37">
        <w:rPr>
          <w:rFonts w:eastAsiaTheme="minorHAnsi"/>
          <w:sz w:val="24"/>
        </w:rPr>
        <w:t>п. 1.2.</w:t>
      </w:r>
      <w:r>
        <w:rPr>
          <w:rFonts w:eastAsiaTheme="minorHAnsi"/>
          <w:sz w:val="24"/>
        </w:rPr>
        <w:t xml:space="preserve"> </w:t>
      </w:r>
      <w:r w:rsidR="002102F5" w:rsidRPr="00836C37">
        <w:rPr>
          <w:rFonts w:eastAsiaTheme="minorHAnsi"/>
          <w:sz w:val="24"/>
        </w:rPr>
        <w:t xml:space="preserve">Порядка разработки, реализации и оценки эффективности реализации </w:t>
      </w:r>
      <w:r w:rsidR="002102F5" w:rsidRPr="00836C37">
        <w:rPr>
          <w:rFonts w:eastAsiaTheme="minorHAnsi"/>
          <w:sz w:val="24"/>
        </w:rPr>
        <w:lastRenderedPageBreak/>
        <w:t>государственных программ Волгоградской области, утверждённого постановлением Правительства Волгоградской области от 27.08.2013 № 423-п.</w:t>
      </w:r>
    </w:p>
    <w:p w:rsidR="00035BA0" w:rsidRPr="00035BA0" w:rsidRDefault="00251F3B" w:rsidP="00035BA0">
      <w:pPr>
        <w:pStyle w:val="a8"/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Theme="minorHAnsi"/>
          <w:bCs/>
        </w:rPr>
      </w:pPr>
      <w:proofErr w:type="gramStart"/>
      <w:r w:rsidRPr="00836C37">
        <w:rPr>
          <w:bCs/>
        </w:rPr>
        <w:t xml:space="preserve">Положения ГП «Транспорт» в части наименования и единиц измерения целевого показателя </w:t>
      </w:r>
      <w:r w:rsidRPr="00836C37">
        <w:t>«Пассажирооборот автомобильного транспорта общего пользования»</w:t>
      </w:r>
      <w:r w:rsidRPr="00836C37">
        <w:rPr>
          <w:rFonts w:eastAsiaTheme="minorHAnsi"/>
        </w:rPr>
        <w:t xml:space="preserve"> не согласованы и не отвечают требованиям ч. 1 ст. 24 Закона Волгоградской области от 09.12.2014 № 169-ОД «О нормативных правовых актах Волгоградской области», согласно которой положения нормативных правовых актов Волгоградской области должны быть четко сформулированы в целях исключения возможности их двойного толкования</w:t>
      </w:r>
      <w:r w:rsidR="00E7147E" w:rsidRPr="00836C37">
        <w:rPr>
          <w:rFonts w:eastAsiaTheme="minorHAnsi"/>
        </w:rPr>
        <w:t>.</w:t>
      </w:r>
      <w:r w:rsidR="00035BA0" w:rsidRPr="00035BA0">
        <w:rPr>
          <w:bCs/>
        </w:rPr>
        <w:t xml:space="preserve"> </w:t>
      </w:r>
      <w:proofErr w:type="gramEnd"/>
    </w:p>
    <w:p w:rsidR="00981CC6" w:rsidRPr="00836C37" w:rsidRDefault="00035BA0" w:rsidP="00035BA0">
      <w:pPr>
        <w:pStyle w:val="a8"/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Theme="minorHAnsi"/>
          <w:bCs/>
        </w:rPr>
      </w:pPr>
      <w:proofErr w:type="gramStart"/>
      <w:r>
        <w:rPr>
          <w:bCs/>
        </w:rPr>
        <w:t>Целевой показатель, выраженный в «</w:t>
      </w:r>
      <w:proofErr w:type="spellStart"/>
      <w:r>
        <w:rPr>
          <w:bCs/>
        </w:rPr>
        <w:t>место-километрах</w:t>
      </w:r>
      <w:proofErr w:type="spellEnd"/>
      <w:r>
        <w:rPr>
          <w:bCs/>
        </w:rPr>
        <w:t>» и обозначающий количество «провезённых мест» в автобусах, не</w:t>
      </w:r>
      <w:r>
        <w:rPr>
          <w:rFonts w:eastAsiaTheme="minorHAnsi"/>
        </w:rPr>
        <w:t xml:space="preserve"> очевидным образом характеризует прогресс в достижении цели или решении задачи государственной </w:t>
      </w:r>
      <w:r>
        <w:rPr>
          <w:bCs/>
        </w:rPr>
        <w:t xml:space="preserve">ГП «Транспорт» </w:t>
      </w:r>
      <w:r>
        <w:rPr>
          <w:rFonts w:eastAsiaTheme="minorHAnsi"/>
        </w:rPr>
        <w:t xml:space="preserve">по </w:t>
      </w:r>
      <w:r w:rsidRPr="001E214E">
        <w:rPr>
          <w:rFonts w:eastAsiaTheme="minorHAnsi"/>
        </w:rPr>
        <w:t>повышени</w:t>
      </w:r>
      <w:r>
        <w:rPr>
          <w:rFonts w:eastAsiaTheme="minorHAnsi"/>
        </w:rPr>
        <w:t>ю</w:t>
      </w:r>
      <w:r w:rsidRPr="001E214E">
        <w:rPr>
          <w:rFonts w:eastAsiaTheme="minorHAnsi"/>
        </w:rPr>
        <w:t xml:space="preserve"> </w:t>
      </w:r>
      <w:r w:rsidRPr="00836C37">
        <w:rPr>
          <w:rFonts w:eastAsiaTheme="minorHAnsi"/>
        </w:rPr>
        <w:t>доступности пассажирских транспортных услуг для населения</w:t>
      </w:r>
      <w:r>
        <w:rPr>
          <w:rFonts w:eastAsiaTheme="minorHAnsi"/>
        </w:rPr>
        <w:t>, то есть</w:t>
      </w:r>
      <w:r w:rsidRPr="00035BA0">
        <w:rPr>
          <w:rFonts w:eastAsiaTheme="minorHAnsi"/>
        </w:rPr>
        <w:t xml:space="preserve"> </w:t>
      </w:r>
      <w:r>
        <w:rPr>
          <w:rFonts w:eastAsiaTheme="minorHAnsi"/>
        </w:rPr>
        <w:t>не соответствует требованию ад</w:t>
      </w:r>
      <w:r w:rsidR="00020057">
        <w:rPr>
          <w:rFonts w:eastAsiaTheme="minorHAnsi"/>
        </w:rPr>
        <w:t>е</w:t>
      </w:r>
      <w:r>
        <w:rPr>
          <w:rFonts w:eastAsiaTheme="minorHAnsi"/>
        </w:rPr>
        <w:t xml:space="preserve">кватности, установленному п. 2.5 </w:t>
      </w:r>
      <w:r w:rsidRPr="00836C37">
        <w:rPr>
          <w:rFonts w:eastAsiaTheme="minorHAnsi"/>
        </w:rPr>
        <w:t>Порядка разработки, реализации и оценки эффективности реализации государственных программ Волгоградской области, утверждённого постановлением Правительства Волгоградской области от</w:t>
      </w:r>
      <w:proofErr w:type="gramEnd"/>
      <w:r w:rsidRPr="00836C37">
        <w:rPr>
          <w:rFonts w:eastAsiaTheme="minorHAnsi"/>
        </w:rPr>
        <w:t xml:space="preserve"> 27.08.2013 № 423-п</w:t>
      </w:r>
      <w:r>
        <w:rPr>
          <w:rFonts w:eastAsiaTheme="minorHAnsi"/>
        </w:rPr>
        <w:t>.</w:t>
      </w:r>
    </w:p>
    <w:p w:rsidR="008E3B13" w:rsidRPr="00836C37" w:rsidRDefault="00C834F0" w:rsidP="00035BA0">
      <w:pPr>
        <w:pStyle w:val="a8"/>
        <w:numPr>
          <w:ilvl w:val="0"/>
          <w:numId w:val="25"/>
        </w:numPr>
        <w:ind w:left="0" w:firstLine="709"/>
        <w:jc w:val="both"/>
        <w:rPr>
          <w:rFonts w:eastAsiaTheme="minorHAnsi"/>
        </w:rPr>
      </w:pPr>
      <w:r w:rsidRPr="00836C37">
        <w:t>О</w:t>
      </w:r>
      <w:r w:rsidR="008E3B13" w:rsidRPr="00836C37">
        <w:t xml:space="preserve">хват </w:t>
      </w:r>
      <w:r w:rsidRPr="00836C37">
        <w:t>территории</w:t>
      </w:r>
      <w:r w:rsidR="008E3B13" w:rsidRPr="00836C37">
        <w:t xml:space="preserve"> Волгоградской области сетью маршрутов </w:t>
      </w:r>
      <w:r w:rsidR="00A25DE2">
        <w:t xml:space="preserve">пассажирских перевозок </w:t>
      </w:r>
      <w:r w:rsidR="008E3B13" w:rsidRPr="00836C37">
        <w:t xml:space="preserve">по </w:t>
      </w:r>
      <w:r w:rsidRPr="00836C37">
        <w:t>регулируемым тарифам</w:t>
      </w:r>
      <w:r w:rsidR="008E3B13" w:rsidRPr="00836C37">
        <w:t xml:space="preserve"> носит неоднородный характер. Административные центры 11 муниципальных районов не имеют доступа к железнодорожному </w:t>
      </w:r>
      <w:r w:rsidR="00020057">
        <w:t xml:space="preserve">транспорту </w:t>
      </w:r>
      <w:r w:rsidR="008E3B13" w:rsidRPr="00836C37">
        <w:t xml:space="preserve">и автомобильному межмуниципальному транспорту по </w:t>
      </w:r>
      <w:r w:rsidRPr="00836C37">
        <w:t>регулируемым тарифам</w:t>
      </w:r>
      <w:r w:rsidR="008E3B13" w:rsidRPr="00836C37">
        <w:t xml:space="preserve">. </w:t>
      </w:r>
      <w:r w:rsidR="00BA3669">
        <w:rPr>
          <w:rFonts w:eastAsiaTheme="minorHAnsi"/>
        </w:rPr>
        <w:t>С</w:t>
      </w:r>
      <w:r w:rsidR="008E3B13" w:rsidRPr="00836C37">
        <w:rPr>
          <w:rFonts w:eastAsiaTheme="minorHAnsi"/>
        </w:rPr>
        <w:t>уществование значительной территории региона без такой сети</w:t>
      </w:r>
      <w:r w:rsidR="00BA3669">
        <w:rPr>
          <w:rFonts w:eastAsiaTheme="minorHAnsi"/>
        </w:rPr>
        <w:t xml:space="preserve"> межмуниципальных маршрутов по регулируемым тарифам</w:t>
      </w:r>
      <w:r w:rsidR="008E3B13" w:rsidRPr="00836C37">
        <w:rPr>
          <w:rFonts w:eastAsiaTheme="minorHAnsi"/>
        </w:rPr>
        <w:t>, требующей затрат большого объёма бюджетных ресурсов, в течени</w:t>
      </w:r>
      <w:r w:rsidR="00285639">
        <w:rPr>
          <w:rFonts w:eastAsiaTheme="minorHAnsi"/>
        </w:rPr>
        <w:t>е</w:t>
      </w:r>
      <w:r w:rsidR="008E3B13" w:rsidRPr="00836C37">
        <w:rPr>
          <w:rFonts w:eastAsiaTheme="minorHAnsi"/>
        </w:rPr>
        <w:t xml:space="preserve"> продолжительного периода</w:t>
      </w:r>
      <w:r w:rsidR="00285639">
        <w:rPr>
          <w:rFonts w:eastAsiaTheme="minorHAnsi"/>
        </w:rPr>
        <w:t xml:space="preserve"> свидетельствует</w:t>
      </w:r>
      <w:r w:rsidR="008E3B13" w:rsidRPr="00836C37">
        <w:rPr>
          <w:rFonts w:eastAsiaTheme="minorHAnsi"/>
        </w:rPr>
        <w:t xml:space="preserve"> о возможности обеспечения транспортных потребностей населения без использования (с минимальным использованием) регулируемых тарифов за счёт построения адекватной</w:t>
      </w:r>
      <w:r w:rsidR="00A25DE2">
        <w:rPr>
          <w:rFonts w:eastAsiaTheme="minorHAnsi"/>
        </w:rPr>
        <w:t>,</w:t>
      </w:r>
      <w:r w:rsidR="008E3B13" w:rsidRPr="00836C37">
        <w:rPr>
          <w:rFonts w:eastAsiaTheme="minorHAnsi"/>
        </w:rPr>
        <w:t xml:space="preserve"> конкурентной сети маршрутов по </w:t>
      </w:r>
      <w:r w:rsidRPr="00836C37">
        <w:rPr>
          <w:rFonts w:eastAsiaTheme="minorHAnsi"/>
        </w:rPr>
        <w:t>нерегулируемым тарифам</w:t>
      </w:r>
      <w:r w:rsidR="008E3B13" w:rsidRPr="00836C37">
        <w:rPr>
          <w:rFonts w:eastAsiaTheme="minorHAnsi"/>
        </w:rPr>
        <w:t>.</w:t>
      </w:r>
    </w:p>
    <w:p w:rsidR="003905A6" w:rsidRPr="00836C37" w:rsidRDefault="00C834F0" w:rsidP="006601BB">
      <w:pPr>
        <w:pStyle w:val="a8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836C37">
        <w:rPr>
          <w:rFonts w:eastAsiaTheme="minorHAnsi"/>
        </w:rPr>
        <w:t xml:space="preserve">Сопоставление системы транспортного </w:t>
      </w:r>
      <w:r w:rsidRPr="00836C37">
        <w:rPr>
          <w:color w:val="000000"/>
        </w:rPr>
        <w:t xml:space="preserve">обслуживания населения автомобильным транспортом в межмуниципальном </w:t>
      </w:r>
      <w:r w:rsidR="003905A6" w:rsidRPr="00836C37">
        <w:rPr>
          <w:color w:val="000000"/>
        </w:rPr>
        <w:t xml:space="preserve">сообщении в </w:t>
      </w:r>
      <w:r w:rsidRPr="00836C37">
        <w:rPr>
          <w:color w:val="000000"/>
        </w:rPr>
        <w:t xml:space="preserve">Волгоградской области с системами шести других </w:t>
      </w:r>
      <w:r w:rsidR="003905A6" w:rsidRPr="00836C37">
        <w:rPr>
          <w:color w:val="000000"/>
        </w:rPr>
        <w:t>сопоставимых субъектов РФ</w:t>
      </w:r>
      <w:r w:rsidRPr="00836C37">
        <w:rPr>
          <w:color w:val="000000"/>
        </w:rPr>
        <w:t xml:space="preserve"> показало</w:t>
      </w:r>
      <w:r w:rsidR="003905A6" w:rsidRPr="00836C37">
        <w:rPr>
          <w:color w:val="000000"/>
        </w:rPr>
        <w:t>:</w:t>
      </w:r>
    </w:p>
    <w:p w:rsidR="00C834F0" w:rsidRPr="00836C37" w:rsidRDefault="00285639" w:rsidP="006601BB">
      <w:pPr>
        <w:pStyle w:val="a8"/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 Из семи проанализированных р</w:t>
      </w:r>
      <w:r w:rsidR="003905A6" w:rsidRPr="00836C37">
        <w:rPr>
          <w:color w:val="000000"/>
        </w:rPr>
        <w:t>егион</w:t>
      </w:r>
      <w:r>
        <w:rPr>
          <w:color w:val="000000"/>
        </w:rPr>
        <w:t>ов установлено, что отдельные регионы</w:t>
      </w:r>
      <w:r w:rsidR="003905A6" w:rsidRPr="00836C37">
        <w:rPr>
          <w:color w:val="000000"/>
        </w:rPr>
        <w:t xml:space="preserve"> не несут расходов по поддержке межмуниципальных перевозок как при отсутствии маршрутов по регулируемым тарифам, так и при их наличии. Исключением является Воронежская область, бюджетом которой на эти цели на 2018 год было предусмотрено 175,6 млн. руб. при наличии в реестре 148 маршрутов по регулируемым тарифам (справочно</w:t>
      </w:r>
      <w:r w:rsidR="00C834F0" w:rsidRPr="00836C37">
        <w:rPr>
          <w:color w:val="000000"/>
        </w:rPr>
        <w:t>:</w:t>
      </w:r>
      <w:r w:rsidR="003905A6" w:rsidRPr="00836C37">
        <w:rPr>
          <w:color w:val="000000"/>
        </w:rPr>
        <w:t xml:space="preserve"> факт по Волгоградской области – 214,6 млн. руб. и 78 маршрутов)</w:t>
      </w:r>
      <w:r w:rsidR="00F77F2A" w:rsidRPr="00836C37">
        <w:rPr>
          <w:color w:val="000000"/>
        </w:rPr>
        <w:t>.</w:t>
      </w:r>
    </w:p>
    <w:p w:rsidR="00F77F2A" w:rsidRPr="00836C37" w:rsidRDefault="00F77F2A" w:rsidP="006601BB">
      <w:pPr>
        <w:pStyle w:val="a8"/>
        <w:numPr>
          <w:ilvl w:val="1"/>
          <w:numId w:val="25"/>
        </w:numPr>
        <w:ind w:left="0" w:firstLine="709"/>
        <w:jc w:val="both"/>
        <w:rPr>
          <w:rFonts w:eastAsiaTheme="minorHAnsi"/>
        </w:rPr>
      </w:pPr>
      <w:r w:rsidRPr="00836C37">
        <w:rPr>
          <w:rFonts w:eastAsiaTheme="minorHAnsi"/>
        </w:rPr>
        <w:t xml:space="preserve">В Волгоградской области наименьший тариф на проезд в пригородном сообщении в абсолютных величинах </w:t>
      </w:r>
      <w:r w:rsidR="00A25DE2" w:rsidRPr="00836C37">
        <w:rPr>
          <w:rFonts w:eastAsiaTheme="minorHAnsi"/>
        </w:rPr>
        <w:t xml:space="preserve">(1,66 руб. за 1 </w:t>
      </w:r>
      <w:proofErr w:type="spellStart"/>
      <w:r w:rsidR="00A25DE2" w:rsidRPr="00836C37">
        <w:rPr>
          <w:rFonts w:eastAsiaTheme="minorHAnsi"/>
        </w:rPr>
        <w:t>пасс</w:t>
      </w:r>
      <w:proofErr w:type="gramStart"/>
      <w:r w:rsidR="00A25DE2" w:rsidRPr="00836C37">
        <w:rPr>
          <w:rFonts w:eastAsiaTheme="minorHAnsi"/>
        </w:rPr>
        <w:t>.-</w:t>
      </w:r>
      <w:proofErr w:type="gramEnd"/>
      <w:r w:rsidR="00A25DE2" w:rsidRPr="00836C37">
        <w:rPr>
          <w:rFonts w:eastAsiaTheme="minorHAnsi"/>
        </w:rPr>
        <w:t>км</w:t>
      </w:r>
      <w:proofErr w:type="spellEnd"/>
      <w:r w:rsidR="00A25DE2" w:rsidRPr="00836C37">
        <w:rPr>
          <w:rFonts w:eastAsiaTheme="minorHAnsi"/>
        </w:rPr>
        <w:t xml:space="preserve">) </w:t>
      </w:r>
      <w:r w:rsidRPr="00836C37">
        <w:rPr>
          <w:rFonts w:eastAsiaTheme="minorHAnsi"/>
        </w:rPr>
        <w:t>и третий в соотношении к среднедушевым доходам. В Саратовской области соотнесённый к доходам</w:t>
      </w:r>
      <w:r w:rsidR="00A25DE2">
        <w:rPr>
          <w:rFonts w:eastAsiaTheme="minorHAnsi"/>
        </w:rPr>
        <w:t xml:space="preserve"> населения </w:t>
      </w:r>
      <w:r w:rsidRPr="00836C37">
        <w:rPr>
          <w:rFonts w:eastAsiaTheme="minorHAnsi"/>
        </w:rPr>
        <w:t>тариф больше тарифа в Волгоградской области более чем на 40 процентов.</w:t>
      </w:r>
    </w:p>
    <w:p w:rsidR="00F77F2A" w:rsidRPr="00836C37" w:rsidRDefault="005E0B63" w:rsidP="006601BB">
      <w:pPr>
        <w:pStyle w:val="a8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836C37">
        <w:rPr>
          <w:color w:val="000000"/>
        </w:rPr>
        <w:t xml:space="preserve">В Волгоградской области тарифы </w:t>
      </w:r>
      <w:r w:rsidR="00AC6898" w:rsidRPr="00836C37">
        <w:rPr>
          <w:color w:val="000000"/>
        </w:rPr>
        <w:t xml:space="preserve">для населения </w:t>
      </w:r>
      <w:r w:rsidRPr="00836C37">
        <w:rPr>
          <w:color w:val="000000"/>
        </w:rPr>
        <w:t xml:space="preserve">на проезд на межмуниципальных маршрутах и экономически обоснованные тарифы, необходимые для определения объёма субсидии перевозчикам, </w:t>
      </w:r>
      <w:r w:rsidR="00AC6898" w:rsidRPr="00836C37">
        <w:rPr>
          <w:color w:val="000000"/>
        </w:rPr>
        <w:t xml:space="preserve">установлены в 2015 году и по настоящее время не пересматривались. Первые - по причине отсутствия инициативы со стороны </w:t>
      </w:r>
      <w:proofErr w:type="spellStart"/>
      <w:r w:rsidR="00AC6898" w:rsidRPr="00836C37">
        <w:rPr>
          <w:color w:val="000000"/>
        </w:rPr>
        <w:t>Облкомдортранса</w:t>
      </w:r>
      <w:proofErr w:type="spellEnd"/>
      <w:r w:rsidR="00AC6898" w:rsidRPr="00836C37">
        <w:rPr>
          <w:color w:val="000000"/>
        </w:rPr>
        <w:t xml:space="preserve">, вторые - по причине позиции </w:t>
      </w:r>
      <w:r w:rsidR="00AC6898" w:rsidRPr="00836C37">
        <w:t>КТР Волгоградской области, мотивированной необходимостью минимизации расходов областного бюджета.</w:t>
      </w:r>
      <w:r w:rsidR="00E43EF8" w:rsidRPr="00836C37">
        <w:t xml:space="preserve"> </w:t>
      </w:r>
      <w:r w:rsidR="00285639">
        <w:t>О</w:t>
      </w:r>
      <w:r w:rsidR="00E43EF8" w:rsidRPr="00836C37">
        <w:t xml:space="preserve">тсутствие сбалансированной тарифной политики, учитывающей объективный рост затрат на перевозки, </w:t>
      </w:r>
      <w:r w:rsidR="00020057">
        <w:t>является причиной неудовлетворительного</w:t>
      </w:r>
      <w:r w:rsidR="00E43EF8" w:rsidRPr="00836C37">
        <w:t xml:space="preserve"> финансово-экономическо</w:t>
      </w:r>
      <w:r w:rsidR="00020057">
        <w:t>го</w:t>
      </w:r>
      <w:r w:rsidR="00E43EF8" w:rsidRPr="00836C37">
        <w:t xml:space="preserve"> положени</w:t>
      </w:r>
      <w:r w:rsidR="00020057">
        <w:t>я</w:t>
      </w:r>
      <w:r w:rsidR="00E43EF8" w:rsidRPr="00836C37">
        <w:t xml:space="preserve"> основного перевозчика – ГУП «</w:t>
      </w:r>
      <w:proofErr w:type="spellStart"/>
      <w:r w:rsidR="00E43EF8" w:rsidRPr="00836C37">
        <w:t>Волгоградавтотранс</w:t>
      </w:r>
      <w:proofErr w:type="spellEnd"/>
      <w:r w:rsidR="00E43EF8" w:rsidRPr="00836C37">
        <w:t>».</w:t>
      </w:r>
    </w:p>
    <w:p w:rsidR="00E81ABA" w:rsidRPr="00836C37" w:rsidRDefault="0096548E" w:rsidP="006601BB">
      <w:pPr>
        <w:pStyle w:val="a8"/>
        <w:numPr>
          <w:ilvl w:val="0"/>
          <w:numId w:val="25"/>
        </w:numPr>
        <w:ind w:left="0" w:firstLine="709"/>
        <w:jc w:val="both"/>
        <w:rPr>
          <w:rFonts w:eastAsiaTheme="minorHAnsi"/>
        </w:rPr>
      </w:pPr>
      <w:r w:rsidRPr="00836C37">
        <w:t>По результатам деятельности ГУП «</w:t>
      </w:r>
      <w:proofErr w:type="spellStart"/>
      <w:r w:rsidRPr="00836C37">
        <w:t>Волгоградавтотранс</w:t>
      </w:r>
      <w:proofErr w:type="spellEnd"/>
      <w:r w:rsidRPr="00836C37">
        <w:t xml:space="preserve">» в 2016 – 2018 годах сложились убытки. </w:t>
      </w:r>
      <w:proofErr w:type="gramStart"/>
      <w:r w:rsidRPr="00836C37">
        <w:t xml:space="preserve">В 2018 году при общем убытке в размере 12,9 млн. руб. </w:t>
      </w:r>
      <w:r w:rsidR="00E81ABA" w:rsidRPr="00836C37">
        <w:t xml:space="preserve">номинальный положительный финансовый результат </w:t>
      </w:r>
      <w:r w:rsidRPr="00836C37">
        <w:t xml:space="preserve">от субсидируемой из областного бюджета деятельности по перевозке пассажиров по межмуниципальным маршрутам по регулируемым тарифам </w:t>
      </w:r>
      <w:r w:rsidR="00E81ABA" w:rsidRPr="00836C37">
        <w:t>составил</w:t>
      </w:r>
      <w:r w:rsidRPr="00836C37">
        <w:t xml:space="preserve"> 8,6 млн. руб., который обусловлен</w:t>
      </w:r>
      <w:r w:rsidRPr="00836C37">
        <w:rPr>
          <w:rFonts w:eastAsiaTheme="minorHAnsi"/>
          <w:bCs/>
        </w:rPr>
        <w:t xml:space="preserve"> отсутствием затрат на обновление автобусного парка, сдерживанием роста оплаты труда, осуществл</w:t>
      </w:r>
      <w:r w:rsidR="00E81ABA" w:rsidRPr="00836C37">
        <w:rPr>
          <w:rFonts w:eastAsiaTheme="minorHAnsi"/>
          <w:bCs/>
        </w:rPr>
        <w:t>ением</w:t>
      </w:r>
      <w:r w:rsidRPr="00836C37">
        <w:rPr>
          <w:rFonts w:eastAsiaTheme="minorHAnsi"/>
          <w:bCs/>
        </w:rPr>
        <w:t xml:space="preserve"> затрат на </w:t>
      </w:r>
      <w:r w:rsidRPr="00836C37">
        <w:rPr>
          <w:rFonts w:eastAsiaTheme="minorHAnsi"/>
          <w:bCs/>
        </w:rPr>
        <w:lastRenderedPageBreak/>
        <w:t>техническое обслуживание ниже нормативных</w:t>
      </w:r>
      <w:r w:rsidR="00E81ABA" w:rsidRPr="00836C37">
        <w:rPr>
          <w:rFonts w:eastAsiaTheme="minorHAnsi"/>
          <w:bCs/>
        </w:rPr>
        <w:t>.</w:t>
      </w:r>
      <w:proofErr w:type="gramEnd"/>
      <w:r w:rsidR="00E81ABA" w:rsidRPr="00836C37">
        <w:rPr>
          <w:rFonts w:eastAsiaTheme="minorHAnsi"/>
          <w:bCs/>
        </w:rPr>
        <w:t xml:space="preserve"> Общий убыток от деятельности </w:t>
      </w:r>
      <w:r w:rsidR="00E81ABA" w:rsidRPr="00836C37">
        <w:t>ГУП «</w:t>
      </w:r>
      <w:proofErr w:type="spellStart"/>
      <w:r w:rsidR="00E81ABA" w:rsidRPr="00836C37">
        <w:t>Волгоградавтотранс</w:t>
      </w:r>
      <w:proofErr w:type="spellEnd"/>
      <w:r w:rsidR="00E81ABA" w:rsidRPr="00836C37">
        <w:rPr>
          <w:rFonts w:eastAsiaTheme="minorHAnsi"/>
          <w:bCs/>
        </w:rPr>
        <w:t xml:space="preserve">» сложился, в основном, из-за </w:t>
      </w:r>
      <w:r w:rsidR="00E81ABA" w:rsidRPr="00836C37">
        <w:rPr>
          <w:rFonts w:eastAsiaTheme="minorEastAsia"/>
        </w:rPr>
        <w:t xml:space="preserve">расходов на содержание законсервированных неиспользуемый производственных баз (14,8 млн. руб.) и </w:t>
      </w:r>
      <w:r w:rsidR="00E81ABA" w:rsidRPr="00836C37">
        <w:rPr>
          <w:rFonts w:eastAsiaTheme="minorHAnsi"/>
        </w:rPr>
        <w:t xml:space="preserve">убыточности перевозок по нерегулируемым тарифам (27,1 млн. руб.), что в свою очередь говорит об отсутствии на предприятии </w:t>
      </w:r>
      <w:r w:rsidR="0033102B">
        <w:rPr>
          <w:rFonts w:eastAsiaTheme="minorHAnsi"/>
        </w:rPr>
        <w:t>разумной</w:t>
      </w:r>
      <w:r w:rsidR="00E81ABA" w:rsidRPr="00836C37">
        <w:rPr>
          <w:rFonts w:eastAsiaTheme="minorHAnsi"/>
        </w:rPr>
        <w:t xml:space="preserve"> коммерческой политики, которая должна обеспечить как минимум безубыточность этой деятельности.</w:t>
      </w:r>
    </w:p>
    <w:p w:rsidR="002B6301" w:rsidRPr="00150CB2" w:rsidRDefault="002B6301" w:rsidP="006601BB">
      <w:pPr>
        <w:pStyle w:val="a8"/>
        <w:numPr>
          <w:ilvl w:val="0"/>
          <w:numId w:val="25"/>
        </w:numPr>
        <w:ind w:left="0" w:firstLine="709"/>
        <w:jc w:val="both"/>
        <w:rPr>
          <w:rFonts w:eastAsiaTheme="minorHAnsi"/>
          <w:bCs/>
        </w:rPr>
      </w:pPr>
      <w:r w:rsidRPr="00836C37">
        <w:rPr>
          <w:rFonts w:eastAsiaTheme="minorHAnsi"/>
          <w:bCs/>
        </w:rPr>
        <w:t xml:space="preserve">Существующая в Волгоградской области система маршрутов межмуниципальных перевозок, иные проблемы рынка пассажирских перевозок не позволяют обеспечить высокий пассажирооборот на маршрутах по </w:t>
      </w:r>
      <w:r w:rsidR="00836C37" w:rsidRPr="00836C37">
        <w:rPr>
          <w:rFonts w:eastAsiaTheme="minorHAnsi"/>
          <w:bCs/>
        </w:rPr>
        <w:t>регулируемым тарифам</w:t>
      </w:r>
      <w:r w:rsidRPr="00836C37">
        <w:rPr>
          <w:rFonts w:eastAsiaTheme="minorHAnsi"/>
          <w:bCs/>
        </w:rPr>
        <w:t>, снижают доходы перевозчиков, увеличивая требуемые объёмы финансовой поддержки из бюджета.</w:t>
      </w:r>
      <w:r w:rsidR="00836C37" w:rsidRPr="00836C37">
        <w:rPr>
          <w:rFonts w:eastAsiaTheme="minorHAnsi"/>
          <w:bCs/>
        </w:rPr>
        <w:t xml:space="preserve"> Средняя наполняемость автобусов по всем 78 маршрутам по регулируемым тарифам в 2018 году составила 12,5</w:t>
      </w:r>
      <w:r w:rsidR="00E64BE8">
        <w:rPr>
          <w:rFonts w:eastAsiaTheme="minorHAnsi"/>
          <w:bCs/>
        </w:rPr>
        <w:t>%, что, п</w:t>
      </w:r>
      <w:r w:rsidR="00836C37" w:rsidRPr="00836C37">
        <w:rPr>
          <w:rFonts w:eastAsiaTheme="minorHAnsi"/>
        </w:rPr>
        <w:t>о мнению перевозчиков</w:t>
      </w:r>
      <w:r w:rsidR="00E64BE8">
        <w:rPr>
          <w:rFonts w:eastAsiaTheme="minorHAnsi"/>
        </w:rPr>
        <w:t>,</w:t>
      </w:r>
      <w:r w:rsidR="00836C37" w:rsidRPr="00836C37">
        <w:rPr>
          <w:rFonts w:eastAsiaTheme="minorHAnsi"/>
        </w:rPr>
        <w:t xml:space="preserve"> обусловлен</w:t>
      </w:r>
      <w:r w:rsidR="00E64BE8">
        <w:rPr>
          <w:rFonts w:eastAsiaTheme="minorHAnsi"/>
        </w:rPr>
        <w:t>о</w:t>
      </w:r>
      <w:r w:rsidR="00836C37" w:rsidRPr="00836C37">
        <w:rPr>
          <w:rFonts w:eastAsiaTheme="minorHAnsi"/>
        </w:rPr>
        <w:t xml:space="preserve"> наличием установленных </w:t>
      </w:r>
      <w:proofErr w:type="spellStart"/>
      <w:r w:rsidR="00836C37" w:rsidRPr="00836C37">
        <w:rPr>
          <w:rFonts w:eastAsiaTheme="minorHAnsi"/>
        </w:rPr>
        <w:t>Облкомдортрансом</w:t>
      </w:r>
      <w:proofErr w:type="spellEnd"/>
      <w:r w:rsidR="00836C37" w:rsidRPr="00836C37">
        <w:rPr>
          <w:rFonts w:eastAsiaTheme="minorHAnsi"/>
        </w:rPr>
        <w:t xml:space="preserve"> дублирующих маршрутов по нерегулируемым тарифам, обслуживаемых иными коммерческими организациями и индивидуальными предпринимателями</w:t>
      </w:r>
      <w:r w:rsidR="00BA3669">
        <w:rPr>
          <w:rFonts w:eastAsiaTheme="minorHAnsi"/>
        </w:rPr>
        <w:t>, а также существованием нелегальных регулярных перевозок пассажиров под видом заказных перевозок</w:t>
      </w:r>
      <w:r w:rsidR="00836C37" w:rsidRPr="00836C37">
        <w:rPr>
          <w:rFonts w:eastAsiaTheme="minorHAnsi"/>
        </w:rPr>
        <w:t>.</w:t>
      </w:r>
    </w:p>
    <w:p w:rsidR="00150CB2" w:rsidRPr="00150CB2" w:rsidRDefault="00150CB2" w:rsidP="006601BB">
      <w:pPr>
        <w:pStyle w:val="a8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 w:rsidRPr="00150CB2">
        <w:rPr>
          <w:rFonts w:eastAsiaTheme="minorHAnsi"/>
        </w:rPr>
        <w:t xml:space="preserve">С 2018 года </w:t>
      </w:r>
      <w:r>
        <w:rPr>
          <w:rFonts w:eastAsiaTheme="minorHAnsi"/>
        </w:rPr>
        <w:t>в Волгоградской области</w:t>
      </w:r>
      <w:r w:rsidRPr="00150CB2">
        <w:rPr>
          <w:rFonts w:eastAsiaTheme="minorHAnsi"/>
        </w:rPr>
        <w:t xml:space="preserve"> происходит переход на обеспечение регулярных перевозок по </w:t>
      </w:r>
      <w:r>
        <w:rPr>
          <w:rFonts w:eastAsiaTheme="minorHAnsi"/>
        </w:rPr>
        <w:t>регулируемым тарифам</w:t>
      </w:r>
      <w:r w:rsidRPr="00150CB2">
        <w:rPr>
          <w:rFonts w:eastAsiaTheme="minorHAnsi"/>
        </w:rPr>
        <w:t xml:space="preserve"> посредством заключения государственных </w:t>
      </w:r>
      <w:hyperlink r:id="rId18" w:history="1">
        <w:r w:rsidRPr="00150CB2">
          <w:rPr>
            <w:rFonts w:eastAsiaTheme="minorHAnsi"/>
          </w:rPr>
          <w:t>контрактов</w:t>
        </w:r>
      </w:hyperlink>
      <w:r w:rsidRPr="00150CB2">
        <w:rPr>
          <w:rFonts w:eastAsiaTheme="minorHAnsi"/>
        </w:rPr>
        <w:t xml:space="preserve"> на выполнение соответствующих работ</w:t>
      </w:r>
      <w:r w:rsidR="00725A57">
        <w:rPr>
          <w:rFonts w:eastAsiaTheme="minorHAnsi"/>
        </w:rPr>
        <w:t>, который предполагает справедливое, адекватное ценообразование стоимости работ и развитие конкуренции на рынке пассажирских перевозок</w:t>
      </w:r>
      <w:r>
        <w:rPr>
          <w:rFonts w:eastAsiaTheme="minorHAnsi"/>
        </w:rPr>
        <w:t>.</w:t>
      </w:r>
      <w:r w:rsidRPr="00150CB2">
        <w:rPr>
          <w:rFonts w:eastAsiaTheme="minorHAnsi"/>
        </w:rPr>
        <w:t xml:space="preserve"> </w:t>
      </w:r>
      <w:proofErr w:type="gramStart"/>
      <w:r w:rsidRPr="00150CB2">
        <w:rPr>
          <w:rFonts w:eastAsiaTheme="minorHAnsi"/>
        </w:rPr>
        <w:t>Волжская</w:t>
      </w:r>
      <w:proofErr w:type="gramEnd"/>
      <w:r w:rsidRPr="00150CB2">
        <w:rPr>
          <w:rFonts w:eastAsiaTheme="minorHAnsi"/>
        </w:rPr>
        <w:t xml:space="preserve"> </w:t>
      </w:r>
      <w:proofErr w:type="spellStart"/>
      <w:r w:rsidRPr="00150CB2">
        <w:rPr>
          <w:rFonts w:eastAsiaTheme="minorHAnsi"/>
        </w:rPr>
        <w:t>подзона</w:t>
      </w:r>
      <w:proofErr w:type="spellEnd"/>
      <w:r w:rsidRPr="00150CB2">
        <w:rPr>
          <w:rFonts w:eastAsiaTheme="minorHAnsi"/>
        </w:rPr>
        <w:t xml:space="preserve"> Волгоградской зоны перевозок (13 маршрутов) с 2018 года финансируется через механизм контрактов.</w:t>
      </w:r>
      <w:r>
        <w:rPr>
          <w:rFonts w:eastAsiaTheme="minorHAnsi"/>
        </w:rPr>
        <w:t xml:space="preserve"> Полный переход </w:t>
      </w:r>
      <w:r w:rsidR="00725A57">
        <w:rPr>
          <w:rFonts w:eastAsiaTheme="minorHAnsi"/>
        </w:rPr>
        <w:t xml:space="preserve">на новый механизм </w:t>
      </w:r>
      <w:r>
        <w:rPr>
          <w:rFonts w:eastAsiaTheme="minorHAnsi"/>
        </w:rPr>
        <w:t>предполагается в 2020 году.</w:t>
      </w:r>
      <w:r w:rsidR="00457F88" w:rsidRPr="00457F88">
        <w:t xml:space="preserve"> </w:t>
      </w:r>
      <w:r w:rsidR="00457F88">
        <w:t>Вопрос установления экономически обоснованных тарифов потеряет свою актуальность.</w:t>
      </w:r>
    </w:p>
    <w:p w:rsidR="00725A57" w:rsidRPr="00052057" w:rsidRDefault="008E3B13" w:rsidP="006601BB">
      <w:pPr>
        <w:pStyle w:val="ConsPlusNormal"/>
        <w:ind w:firstLine="709"/>
        <w:jc w:val="both"/>
      </w:pPr>
      <w:proofErr w:type="gramStart"/>
      <w:r>
        <w:t xml:space="preserve">После полного перехода при сохранении существующей маршрутной сети межмуниципальных перевозок, сохранении </w:t>
      </w:r>
      <w:r w:rsidR="00BA3669">
        <w:t xml:space="preserve">неизменных </w:t>
      </w:r>
      <w:r>
        <w:t xml:space="preserve">тарифов </w:t>
      </w:r>
      <w:r w:rsidR="00150CB2">
        <w:t>для населения</w:t>
      </w:r>
      <w:r w:rsidR="00725A57">
        <w:t>,</w:t>
      </w:r>
      <w:r w:rsidR="00150CB2">
        <w:t xml:space="preserve"> </w:t>
      </w:r>
      <w:r>
        <w:t>объёмов пассажирооборота</w:t>
      </w:r>
      <w:r w:rsidR="00725A57">
        <w:t>, подавлении конкуренции</w:t>
      </w:r>
      <w:r>
        <w:t xml:space="preserve"> для финансового обеспечения </w:t>
      </w:r>
      <w:r w:rsidRPr="00052057">
        <w:t xml:space="preserve">межмуниципальных перевозок по </w:t>
      </w:r>
      <w:r w:rsidR="00150CB2" w:rsidRPr="00052057">
        <w:t>регулируемым тарифам</w:t>
      </w:r>
      <w:r w:rsidRPr="00052057">
        <w:t xml:space="preserve"> по оценке в ценах 2020 года потребуется порядка 550,0 – 650,0 млн. руб. в год, что превышает фактические расходы </w:t>
      </w:r>
      <w:r w:rsidR="00B02890">
        <w:t xml:space="preserve">областного бюджета за </w:t>
      </w:r>
      <w:r w:rsidRPr="00052057">
        <w:t>2018 год (</w:t>
      </w:r>
      <w:r w:rsidRPr="00052057">
        <w:rPr>
          <w:rFonts w:eastAsia="Times New Roman"/>
          <w:bCs/>
          <w:lang w:eastAsia="ru-RU"/>
        </w:rPr>
        <w:t>214</w:t>
      </w:r>
      <w:r w:rsidR="00B02890">
        <w:rPr>
          <w:rFonts w:eastAsia="Times New Roman"/>
          <w:bCs/>
          <w:lang w:eastAsia="ru-RU"/>
        </w:rPr>
        <w:t>,6 млн</w:t>
      </w:r>
      <w:r w:rsidRPr="00052057">
        <w:rPr>
          <w:rFonts w:eastAsia="Times New Roman"/>
          <w:bCs/>
          <w:lang w:eastAsia="ru-RU"/>
        </w:rPr>
        <w:t xml:space="preserve">. руб.) </w:t>
      </w:r>
      <w:r w:rsidRPr="00052057">
        <w:t>в 2,6 - 3 раз</w:t>
      </w:r>
      <w:r w:rsidR="002F5DF8">
        <w:t>а</w:t>
      </w:r>
      <w:r w:rsidRPr="00052057">
        <w:t>.</w:t>
      </w:r>
      <w:proofErr w:type="gramEnd"/>
    </w:p>
    <w:p w:rsidR="008E3B13" w:rsidRPr="00052057" w:rsidRDefault="00052057" w:rsidP="006601BB">
      <w:pPr>
        <w:pStyle w:val="ConsPlusNormal"/>
        <w:ind w:firstLine="709"/>
        <w:jc w:val="both"/>
        <w:rPr>
          <w:rFonts w:eastAsia="Times New Roman"/>
          <w:bCs/>
          <w:lang w:eastAsia="ru-RU"/>
        </w:rPr>
      </w:pPr>
      <w:r w:rsidRPr="00052057">
        <w:rPr>
          <w:rFonts w:eastAsia="Times New Roman"/>
          <w:bCs/>
          <w:lang w:eastAsia="ru-RU"/>
        </w:rPr>
        <w:t xml:space="preserve">Практика ряда регионов России демонстрирует возможность организации </w:t>
      </w:r>
      <w:r w:rsidRPr="00052057">
        <w:rPr>
          <w:color w:val="000000"/>
        </w:rPr>
        <w:t>транспортного обслуживание населения автомобильным транспортом в межмуниципальном сообщении по регулируемым тарифам практически без использования бюджетных средств</w:t>
      </w:r>
      <w:r w:rsidR="00D665CB">
        <w:rPr>
          <w:color w:val="000000"/>
        </w:rPr>
        <w:t xml:space="preserve"> за счёт обеспечения значительного пассажирооборота и комбинирования маршрутов</w:t>
      </w:r>
      <w:r w:rsidRPr="00052057">
        <w:rPr>
          <w:color w:val="000000"/>
        </w:rPr>
        <w:t>.</w:t>
      </w:r>
    </w:p>
    <w:p w:rsidR="00052057" w:rsidRPr="006601BB" w:rsidRDefault="00052057" w:rsidP="006601BB">
      <w:pPr>
        <w:pStyle w:val="a8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 w:rsidRPr="006601BB">
        <w:rPr>
          <w:rFonts w:eastAsiaTheme="minorHAnsi"/>
        </w:rPr>
        <w:t>В Волгоградской области отсутствует единый, комплексный, прозрачный и последовательный подход к решению вопросов развития регулярных перевозок автомобильным транспортом по межмуниципальным маршрутам.</w:t>
      </w:r>
    </w:p>
    <w:p w:rsidR="00052057" w:rsidRDefault="00052057" w:rsidP="006601BB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Имеющиеся нормативные правовые акты в данной сфере декларативно</w:t>
      </w:r>
      <w:r w:rsidR="002F5DF8">
        <w:rPr>
          <w:rFonts w:eastAsia="Times New Roman"/>
          <w:sz w:val="24"/>
          <w:lang w:eastAsia="ru-RU"/>
        </w:rPr>
        <w:t xml:space="preserve"> </w:t>
      </w:r>
      <w:r>
        <w:rPr>
          <w:rFonts w:eastAsia="Times New Roman"/>
          <w:sz w:val="24"/>
          <w:lang w:eastAsia="ru-RU"/>
        </w:rPr>
        <w:t>неконкретны, не согласованы между собой, не учитывают объективные обстоятельства сегодняшнего дня</w:t>
      </w:r>
      <w:r w:rsidR="00864E2F">
        <w:rPr>
          <w:rFonts w:eastAsia="Times New Roman"/>
          <w:sz w:val="24"/>
          <w:lang w:eastAsia="ru-RU"/>
        </w:rPr>
        <w:t>, не отвечают в полной мере федеральному законодательству</w:t>
      </w:r>
      <w:r>
        <w:rPr>
          <w:rFonts w:eastAsia="Times New Roman"/>
          <w:sz w:val="24"/>
          <w:lang w:eastAsia="ru-RU"/>
        </w:rPr>
        <w:t xml:space="preserve"> и </w:t>
      </w:r>
      <w:r w:rsidR="002F5DF8">
        <w:rPr>
          <w:rFonts w:eastAsia="Times New Roman"/>
          <w:sz w:val="24"/>
          <w:lang w:eastAsia="ru-RU"/>
        </w:rPr>
        <w:t xml:space="preserve">в значительной степени </w:t>
      </w:r>
      <w:r>
        <w:rPr>
          <w:rFonts w:eastAsia="Times New Roman"/>
          <w:sz w:val="24"/>
          <w:lang w:eastAsia="ru-RU"/>
        </w:rPr>
        <w:t xml:space="preserve">не исполняются. Уполномоченный орган исполнительной власти Волгоградской области – </w:t>
      </w:r>
      <w:proofErr w:type="spellStart"/>
      <w:r>
        <w:rPr>
          <w:rFonts w:eastAsia="Times New Roman"/>
          <w:sz w:val="24"/>
          <w:lang w:eastAsia="ru-RU"/>
        </w:rPr>
        <w:t>Облкомдортранс</w:t>
      </w:r>
      <w:proofErr w:type="spellEnd"/>
      <w:r>
        <w:rPr>
          <w:rFonts w:eastAsia="Times New Roman"/>
          <w:sz w:val="24"/>
          <w:lang w:eastAsia="ru-RU"/>
        </w:rPr>
        <w:t xml:space="preserve"> не обеспечивает согласованность нормативно-правовой базы, предпринимает непоследовательные шаги и, по существу, не имеет тактики и стратегии своих действий в свете происходящего изменения механизма финансового обеспечения </w:t>
      </w:r>
      <w:r w:rsidR="00864E2F">
        <w:rPr>
          <w:rFonts w:eastAsia="Times New Roman"/>
          <w:sz w:val="24"/>
          <w:lang w:eastAsia="ru-RU"/>
        </w:rPr>
        <w:t>пассажирских перевозок</w:t>
      </w:r>
      <w:r>
        <w:rPr>
          <w:rFonts w:eastAsia="Times New Roman"/>
          <w:sz w:val="24"/>
          <w:lang w:eastAsia="ru-RU"/>
        </w:rPr>
        <w:t>.</w:t>
      </w:r>
    </w:p>
    <w:p w:rsidR="00052057" w:rsidRDefault="00864E2F" w:rsidP="002639C3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>Р</w:t>
      </w:r>
      <w:r w:rsidR="00052057" w:rsidRPr="00E97BAA">
        <w:rPr>
          <w:rFonts w:eastAsiaTheme="minorHAnsi"/>
          <w:sz w:val="24"/>
        </w:rPr>
        <w:t>еализация</w:t>
      </w:r>
      <w:r>
        <w:rPr>
          <w:rFonts w:eastAsiaTheme="minorHAnsi"/>
          <w:sz w:val="24"/>
        </w:rPr>
        <w:t xml:space="preserve"> задекларированной ГП «Транспорт»</w:t>
      </w:r>
      <w:r w:rsidR="00052057" w:rsidRPr="00E97BAA">
        <w:rPr>
          <w:rFonts w:eastAsiaTheme="minorHAnsi"/>
          <w:sz w:val="24"/>
        </w:rPr>
        <w:t xml:space="preserve"> задачи сохранения транспортной работы по маршрутам по </w:t>
      </w:r>
      <w:r>
        <w:rPr>
          <w:rFonts w:eastAsiaTheme="minorHAnsi"/>
          <w:sz w:val="24"/>
        </w:rPr>
        <w:t>регулируемым тарифам б</w:t>
      </w:r>
      <w:r w:rsidR="00052057" w:rsidRPr="00E97BAA">
        <w:rPr>
          <w:rFonts w:eastAsiaTheme="minorHAnsi"/>
          <w:sz w:val="24"/>
        </w:rPr>
        <w:t xml:space="preserve">ез изменения подходов к организации пассажирских перевозок с запланированным </w:t>
      </w:r>
      <w:r>
        <w:rPr>
          <w:rFonts w:eastAsiaTheme="minorHAnsi"/>
          <w:sz w:val="24"/>
        </w:rPr>
        <w:t xml:space="preserve">с 2020 года </w:t>
      </w:r>
      <w:r w:rsidR="00052057" w:rsidRPr="00E97BAA">
        <w:rPr>
          <w:rFonts w:eastAsiaTheme="minorHAnsi"/>
          <w:sz w:val="24"/>
        </w:rPr>
        <w:t xml:space="preserve">объёмом финансирования </w:t>
      </w:r>
      <w:r w:rsidR="00052057">
        <w:rPr>
          <w:rFonts w:eastAsiaTheme="minorHAnsi"/>
          <w:sz w:val="24"/>
        </w:rPr>
        <w:t xml:space="preserve">205,7 - </w:t>
      </w:r>
      <w:r w:rsidR="00052057" w:rsidRPr="00E97BAA">
        <w:rPr>
          <w:rFonts w:eastAsiaTheme="minorHAnsi"/>
          <w:sz w:val="24"/>
        </w:rPr>
        <w:t xml:space="preserve">207,1 млн. руб. в год представляется </w:t>
      </w:r>
      <w:proofErr w:type="spellStart"/>
      <w:r w:rsidR="00052057" w:rsidRPr="00E97BAA">
        <w:rPr>
          <w:rFonts w:eastAsiaTheme="minorHAnsi"/>
          <w:sz w:val="24"/>
        </w:rPr>
        <w:t>малореалистичной</w:t>
      </w:r>
      <w:proofErr w:type="spellEnd"/>
      <w:r w:rsidR="00052057" w:rsidRPr="00E97BAA">
        <w:rPr>
          <w:rFonts w:eastAsiaTheme="minorHAnsi"/>
          <w:sz w:val="24"/>
        </w:rPr>
        <w:t xml:space="preserve">. </w:t>
      </w:r>
    </w:p>
    <w:p w:rsidR="002639C3" w:rsidRDefault="002639C3" w:rsidP="002639C3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="Times New Roman"/>
          <w:sz w:val="24"/>
          <w:szCs w:val="20"/>
          <w:lang w:eastAsia="ru-RU"/>
        </w:rPr>
        <w:t xml:space="preserve">На основании изложенного необходимо констатировать, что </w:t>
      </w:r>
      <w:proofErr w:type="spellStart"/>
      <w:r>
        <w:rPr>
          <w:rFonts w:eastAsia="Times New Roman"/>
          <w:sz w:val="24"/>
          <w:szCs w:val="20"/>
          <w:lang w:eastAsia="ru-RU"/>
        </w:rPr>
        <w:t>Облкомдортранс</w:t>
      </w:r>
      <w:proofErr w:type="spellEnd"/>
      <w:r>
        <w:rPr>
          <w:rFonts w:eastAsia="Times New Roman"/>
          <w:sz w:val="24"/>
          <w:szCs w:val="20"/>
          <w:lang w:eastAsia="ru-RU"/>
        </w:rPr>
        <w:t xml:space="preserve"> не исполняет надлежащим образом полномочия </w:t>
      </w:r>
      <w:r>
        <w:rPr>
          <w:rFonts w:eastAsiaTheme="minorHAnsi"/>
          <w:sz w:val="24"/>
        </w:rPr>
        <w:t>в сфере организации регулярных перевозок пассажиров и багажа автомобильным транспортом по межмуниципальным маршрутам регулярных перевозок в Волгоградской области, которыми он наделён законодательством Волгоградской области.</w:t>
      </w:r>
    </w:p>
    <w:p w:rsidR="008E3B13" w:rsidRPr="006601BB" w:rsidRDefault="008E3B13" w:rsidP="006601BB">
      <w:pPr>
        <w:pStyle w:val="a8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 w:rsidRPr="006601BB">
        <w:rPr>
          <w:rFonts w:eastAsiaTheme="minorHAnsi"/>
        </w:rPr>
        <w:lastRenderedPageBreak/>
        <w:t xml:space="preserve">В результате отсутствия координации при использовании </w:t>
      </w:r>
      <w:r w:rsidR="006601BB" w:rsidRPr="006601BB">
        <w:rPr>
          <w:rFonts w:eastAsiaTheme="minorHAnsi"/>
        </w:rPr>
        <w:t xml:space="preserve">различных рычагов поддержки (развития) разных сфер экономики, местом приложения которых выступает общественный пассажирский автомобильный транспорт, </w:t>
      </w:r>
      <w:r w:rsidRPr="006601BB">
        <w:rPr>
          <w:rFonts w:eastAsiaTheme="minorHAnsi"/>
        </w:rPr>
        <w:t xml:space="preserve">происходит излишнее («двойное») использование бюджетных средств, </w:t>
      </w:r>
      <w:r w:rsidR="00D665CB">
        <w:rPr>
          <w:rFonts w:eastAsiaTheme="minorHAnsi"/>
        </w:rPr>
        <w:t>которое может негативно отражаться на эффективности их использования</w:t>
      </w:r>
      <w:r w:rsidRPr="006601BB">
        <w:rPr>
          <w:rFonts w:eastAsiaTheme="minorHAnsi"/>
        </w:rPr>
        <w:t>.</w:t>
      </w:r>
    </w:p>
    <w:p w:rsidR="008E3B13" w:rsidRDefault="008E3B13" w:rsidP="006601BB">
      <w:pPr>
        <w:spacing w:line="240" w:lineRule="auto"/>
        <w:rPr>
          <w:rFonts w:eastAsiaTheme="minorHAnsi"/>
          <w:sz w:val="24"/>
        </w:rPr>
      </w:pPr>
      <w:r w:rsidRPr="00C94C5A">
        <w:rPr>
          <w:rFonts w:eastAsiaTheme="minorHAnsi"/>
          <w:sz w:val="24"/>
          <w:szCs w:val="22"/>
        </w:rPr>
        <w:t>Волгоградская область</w:t>
      </w:r>
      <w:r w:rsidR="002F5DF8">
        <w:rPr>
          <w:rFonts w:eastAsiaTheme="minorHAnsi"/>
          <w:sz w:val="24"/>
          <w:szCs w:val="22"/>
        </w:rPr>
        <w:t>,</w:t>
      </w:r>
      <w:r w:rsidRPr="00C94C5A">
        <w:rPr>
          <w:rFonts w:eastAsiaTheme="minorHAnsi"/>
          <w:sz w:val="24"/>
          <w:szCs w:val="22"/>
        </w:rPr>
        <w:t xml:space="preserve"> приобретая за счёт бюджетных средств и безвозмездно передавая </w:t>
      </w:r>
      <w:r w:rsidR="00F12583">
        <w:rPr>
          <w:rFonts w:eastAsiaTheme="minorHAnsi"/>
          <w:sz w:val="24"/>
          <w:szCs w:val="22"/>
        </w:rPr>
        <w:t xml:space="preserve">транспортным </w:t>
      </w:r>
      <w:r w:rsidR="006601BB">
        <w:rPr>
          <w:rFonts w:eastAsiaTheme="minorHAnsi"/>
          <w:sz w:val="24"/>
          <w:szCs w:val="22"/>
        </w:rPr>
        <w:t>государственн</w:t>
      </w:r>
      <w:r w:rsidR="00F12583">
        <w:rPr>
          <w:rFonts w:eastAsiaTheme="minorHAnsi"/>
          <w:sz w:val="24"/>
          <w:szCs w:val="22"/>
        </w:rPr>
        <w:t>ым</w:t>
      </w:r>
      <w:r w:rsidR="006601BB">
        <w:rPr>
          <w:rFonts w:eastAsiaTheme="minorHAnsi"/>
          <w:sz w:val="24"/>
          <w:szCs w:val="22"/>
        </w:rPr>
        <w:t xml:space="preserve"> (муниципальн</w:t>
      </w:r>
      <w:r w:rsidR="00F12583">
        <w:rPr>
          <w:rFonts w:eastAsiaTheme="minorHAnsi"/>
          <w:sz w:val="24"/>
          <w:szCs w:val="22"/>
        </w:rPr>
        <w:t>ым</w:t>
      </w:r>
      <w:r w:rsidR="006601BB">
        <w:rPr>
          <w:rFonts w:eastAsiaTheme="minorHAnsi"/>
          <w:sz w:val="24"/>
          <w:szCs w:val="22"/>
        </w:rPr>
        <w:t xml:space="preserve">) </w:t>
      </w:r>
      <w:r w:rsidR="001254CB">
        <w:rPr>
          <w:rFonts w:eastAsiaTheme="minorHAnsi"/>
          <w:sz w:val="24"/>
          <w:szCs w:val="22"/>
        </w:rPr>
        <w:t xml:space="preserve">унитарным </w:t>
      </w:r>
      <w:r w:rsidR="00F12583">
        <w:rPr>
          <w:rFonts w:eastAsiaTheme="minorHAnsi"/>
          <w:sz w:val="24"/>
          <w:szCs w:val="22"/>
        </w:rPr>
        <w:t>предприятиям</w:t>
      </w:r>
      <w:r w:rsidR="006601BB">
        <w:rPr>
          <w:rFonts w:eastAsiaTheme="minorHAnsi"/>
          <w:sz w:val="24"/>
          <w:szCs w:val="22"/>
        </w:rPr>
        <w:t xml:space="preserve"> </w:t>
      </w:r>
      <w:r w:rsidRPr="00C94C5A">
        <w:rPr>
          <w:rFonts w:eastAsiaTheme="minorHAnsi"/>
          <w:sz w:val="24"/>
          <w:szCs w:val="22"/>
        </w:rPr>
        <w:t>автобусы в рамках ГП «Энергосбережение»</w:t>
      </w:r>
      <w:r w:rsidR="002F5DF8">
        <w:rPr>
          <w:rFonts w:eastAsiaTheme="minorHAnsi"/>
          <w:sz w:val="24"/>
          <w:szCs w:val="22"/>
        </w:rPr>
        <w:t>,</w:t>
      </w:r>
      <w:r w:rsidRPr="00C94C5A">
        <w:rPr>
          <w:rFonts w:eastAsiaTheme="minorHAnsi"/>
          <w:sz w:val="24"/>
          <w:szCs w:val="22"/>
        </w:rPr>
        <w:t xml:space="preserve"> повторно </w:t>
      </w:r>
      <w:proofErr w:type="gramStart"/>
      <w:r w:rsidRPr="00C94C5A">
        <w:rPr>
          <w:rFonts w:eastAsiaTheme="minorHAnsi"/>
          <w:sz w:val="24"/>
          <w:szCs w:val="22"/>
        </w:rPr>
        <w:t>оплачивает стоимость этих</w:t>
      </w:r>
      <w:proofErr w:type="gramEnd"/>
      <w:r w:rsidRPr="00C94C5A">
        <w:rPr>
          <w:rFonts w:eastAsiaTheme="minorHAnsi"/>
          <w:sz w:val="24"/>
          <w:szCs w:val="22"/>
        </w:rPr>
        <w:t xml:space="preserve"> автобусов через механизмы предоставления субсидий и </w:t>
      </w:r>
      <w:r w:rsidR="006601BB">
        <w:rPr>
          <w:rFonts w:eastAsiaTheme="minorHAnsi"/>
          <w:sz w:val="24"/>
          <w:szCs w:val="22"/>
        </w:rPr>
        <w:t xml:space="preserve">оплаты </w:t>
      </w:r>
      <w:r w:rsidRPr="00C94C5A">
        <w:rPr>
          <w:rFonts w:eastAsiaTheme="minorHAnsi"/>
          <w:sz w:val="24"/>
          <w:szCs w:val="22"/>
        </w:rPr>
        <w:t>контрактов</w:t>
      </w:r>
      <w:r w:rsidRPr="00C94C5A">
        <w:rPr>
          <w:rFonts w:eastAsiaTheme="minorHAnsi"/>
          <w:sz w:val="24"/>
        </w:rPr>
        <w:t xml:space="preserve"> </w:t>
      </w:r>
      <w:r w:rsidR="006601BB">
        <w:rPr>
          <w:rFonts w:eastAsiaTheme="minorHAnsi"/>
          <w:sz w:val="24"/>
        </w:rPr>
        <w:t>в рамках ГП «Транспорт»</w:t>
      </w:r>
      <w:r w:rsidRPr="00C94C5A">
        <w:rPr>
          <w:rFonts w:eastAsiaTheme="minorHAnsi"/>
          <w:sz w:val="24"/>
        </w:rPr>
        <w:t xml:space="preserve">. Совокупный объём «двойных» расходов </w:t>
      </w:r>
      <w:proofErr w:type="gramStart"/>
      <w:r w:rsidR="006601BB">
        <w:rPr>
          <w:rFonts w:eastAsiaTheme="minorHAnsi"/>
          <w:sz w:val="24"/>
        </w:rPr>
        <w:t xml:space="preserve">исходя из количества фактически переданных автобусов </w:t>
      </w:r>
      <w:r w:rsidRPr="00C94C5A">
        <w:rPr>
          <w:rFonts w:eastAsiaTheme="minorHAnsi"/>
          <w:sz w:val="24"/>
        </w:rPr>
        <w:t>может</w:t>
      </w:r>
      <w:proofErr w:type="gramEnd"/>
      <w:r w:rsidRPr="00C94C5A">
        <w:rPr>
          <w:rFonts w:eastAsiaTheme="minorHAnsi"/>
          <w:sz w:val="24"/>
        </w:rPr>
        <w:t xml:space="preserve"> составлять </w:t>
      </w:r>
      <w:r w:rsidR="006601BB">
        <w:rPr>
          <w:rFonts w:eastAsiaTheme="minorHAnsi"/>
          <w:sz w:val="24"/>
        </w:rPr>
        <w:t xml:space="preserve">более </w:t>
      </w:r>
      <w:r w:rsidRPr="00C94C5A">
        <w:rPr>
          <w:rFonts w:eastAsiaTheme="minorHAnsi"/>
          <w:sz w:val="24"/>
        </w:rPr>
        <w:t>63</w:t>
      </w:r>
      <w:r w:rsidR="006601BB">
        <w:rPr>
          <w:rFonts w:eastAsiaTheme="minorHAnsi"/>
          <w:sz w:val="24"/>
        </w:rPr>
        <w:t>,0 млн</w:t>
      </w:r>
      <w:r w:rsidRPr="00C94C5A">
        <w:rPr>
          <w:rFonts w:eastAsiaTheme="minorHAnsi"/>
          <w:sz w:val="24"/>
        </w:rPr>
        <w:t>. руб. в год.</w:t>
      </w:r>
    </w:p>
    <w:p w:rsidR="00BF3B79" w:rsidRDefault="00BF3B79" w:rsidP="006601BB">
      <w:pPr>
        <w:spacing w:line="240" w:lineRule="auto"/>
        <w:rPr>
          <w:rFonts w:eastAsiaTheme="minorHAnsi"/>
          <w:sz w:val="24"/>
        </w:rPr>
      </w:pPr>
    </w:p>
    <w:p w:rsidR="00C330BE" w:rsidRPr="00041E53" w:rsidRDefault="00C330BE" w:rsidP="006601BB">
      <w:pPr>
        <w:spacing w:line="240" w:lineRule="auto"/>
        <w:rPr>
          <w:rFonts w:eastAsiaTheme="minorHAnsi"/>
          <w:b/>
          <w:i/>
          <w:sz w:val="24"/>
        </w:rPr>
      </w:pPr>
      <w:r w:rsidRPr="00041E53">
        <w:rPr>
          <w:rFonts w:eastAsiaTheme="minorHAnsi"/>
          <w:b/>
          <w:i/>
          <w:sz w:val="24"/>
        </w:rPr>
        <w:t xml:space="preserve">Обобщая изложенные выводы </w:t>
      </w:r>
      <w:r w:rsidR="00041E53" w:rsidRPr="00041E53">
        <w:rPr>
          <w:rFonts w:eastAsiaTheme="minorHAnsi"/>
          <w:b/>
          <w:i/>
          <w:sz w:val="24"/>
        </w:rPr>
        <w:t>необходимо констатировать следующее.</w:t>
      </w:r>
    </w:p>
    <w:p w:rsidR="00576228" w:rsidRDefault="00576228" w:rsidP="00C330BE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В Волгоградской области </w:t>
      </w:r>
      <w:r w:rsidRPr="00C330BE">
        <w:rPr>
          <w:rFonts w:eastAsiaTheme="minorHAnsi"/>
          <w:sz w:val="24"/>
        </w:rPr>
        <w:t>транспортное обслуживание населения автомобильным транспортом в межмуниципальном сообщении</w:t>
      </w:r>
      <w:r>
        <w:rPr>
          <w:rFonts w:eastAsiaTheme="minorHAnsi"/>
          <w:sz w:val="24"/>
        </w:rPr>
        <w:t xml:space="preserve"> на маршрутах по регулируемым тарифам носит неоднородный характер и требует значительного объёма финансирования из областного бюджета. </w:t>
      </w:r>
    </w:p>
    <w:p w:rsidR="00C330BE" w:rsidRDefault="00C330BE" w:rsidP="00C330BE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C330BE">
        <w:rPr>
          <w:rFonts w:eastAsiaTheme="minorHAnsi"/>
          <w:sz w:val="24"/>
        </w:rPr>
        <w:t>Существование значительной территории региона без сети межмуниципальных маршрутов по регулируемым тарифам</w:t>
      </w:r>
      <w:r w:rsidR="00576228">
        <w:rPr>
          <w:rFonts w:eastAsiaTheme="minorHAnsi"/>
          <w:sz w:val="24"/>
        </w:rPr>
        <w:t xml:space="preserve"> </w:t>
      </w:r>
      <w:r w:rsidR="00295561">
        <w:rPr>
          <w:rFonts w:eastAsiaTheme="minorHAnsi"/>
          <w:sz w:val="24"/>
        </w:rPr>
        <w:t xml:space="preserve">свидетельствует </w:t>
      </w:r>
      <w:r w:rsidRPr="00C330BE">
        <w:rPr>
          <w:rFonts w:eastAsiaTheme="minorHAnsi"/>
          <w:sz w:val="24"/>
        </w:rPr>
        <w:t>о возможности обеспечения транспортных потребностей населения без использования (с минимальным использованием) регулируемых тарифов за счёт построения конкурентной сети маршрутов по нерегулируемым тарифам</w:t>
      </w:r>
      <w:r w:rsidR="00576228">
        <w:rPr>
          <w:rFonts w:eastAsiaTheme="minorHAnsi"/>
          <w:sz w:val="24"/>
        </w:rPr>
        <w:t>, что также подтверждается примерами других субъектов РФ</w:t>
      </w:r>
      <w:r w:rsidRPr="00C330BE">
        <w:rPr>
          <w:rFonts w:eastAsiaTheme="minorHAnsi"/>
          <w:sz w:val="24"/>
        </w:rPr>
        <w:t>.</w:t>
      </w:r>
    </w:p>
    <w:p w:rsidR="00576228" w:rsidRPr="00C330BE" w:rsidRDefault="00576228" w:rsidP="00576228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C330BE">
        <w:rPr>
          <w:rFonts w:eastAsiaTheme="minorHAnsi"/>
          <w:sz w:val="24"/>
        </w:rPr>
        <w:t>Практика ряда регионов России</w:t>
      </w:r>
      <w:r w:rsidR="0016686F">
        <w:rPr>
          <w:rFonts w:eastAsiaTheme="minorHAnsi"/>
          <w:sz w:val="24"/>
        </w:rPr>
        <w:t xml:space="preserve"> также </w:t>
      </w:r>
      <w:r w:rsidR="002E3195">
        <w:rPr>
          <w:rFonts w:eastAsiaTheme="minorHAnsi"/>
          <w:sz w:val="24"/>
        </w:rPr>
        <w:t>показывает</w:t>
      </w:r>
      <w:r w:rsidRPr="00C330BE">
        <w:rPr>
          <w:rFonts w:eastAsiaTheme="minorHAnsi"/>
          <w:sz w:val="24"/>
        </w:rPr>
        <w:t xml:space="preserve"> возможность организации транспортного обслуживани</w:t>
      </w:r>
      <w:r w:rsidR="002E3195">
        <w:rPr>
          <w:rFonts w:eastAsiaTheme="minorHAnsi"/>
          <w:sz w:val="24"/>
        </w:rPr>
        <w:t>я</w:t>
      </w:r>
      <w:r w:rsidRPr="00C330BE">
        <w:rPr>
          <w:rFonts w:eastAsiaTheme="minorHAnsi"/>
          <w:sz w:val="24"/>
        </w:rPr>
        <w:t xml:space="preserve"> населения автомобильным транспортом в межмуниципальном сообщении по регулируемым тарифам без использования бюджетных средств за счёт обеспечения значительного пассажирооборота и комбинирования маршрутов.</w:t>
      </w:r>
    </w:p>
    <w:p w:rsidR="00C330BE" w:rsidRPr="00C330BE" w:rsidRDefault="0016686F" w:rsidP="0016686F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>
        <w:rPr>
          <w:rFonts w:eastAsiaTheme="minorHAnsi"/>
          <w:sz w:val="24"/>
        </w:rPr>
        <w:t>Убыточность деятельности основного перевозчика</w:t>
      </w:r>
      <w:r w:rsidR="00C330BE" w:rsidRPr="00C330BE">
        <w:rPr>
          <w:rFonts w:eastAsiaTheme="minorHAnsi"/>
          <w:sz w:val="24"/>
        </w:rPr>
        <w:t xml:space="preserve"> ГУП «</w:t>
      </w:r>
      <w:proofErr w:type="spellStart"/>
      <w:r w:rsidR="00C330BE" w:rsidRPr="00C330BE">
        <w:rPr>
          <w:rFonts w:eastAsiaTheme="minorHAnsi"/>
          <w:sz w:val="24"/>
        </w:rPr>
        <w:t>Волгоградавтотранс</w:t>
      </w:r>
      <w:proofErr w:type="spellEnd"/>
      <w:r w:rsidR="00C330BE" w:rsidRPr="00C330BE">
        <w:rPr>
          <w:rFonts w:eastAsiaTheme="minorHAnsi"/>
          <w:sz w:val="24"/>
        </w:rPr>
        <w:t xml:space="preserve">» </w:t>
      </w:r>
      <w:r w:rsidR="00092E4E">
        <w:rPr>
          <w:rFonts w:eastAsiaTheme="minorHAnsi"/>
          <w:sz w:val="24"/>
        </w:rPr>
        <w:t xml:space="preserve">в 2018 году </w:t>
      </w:r>
      <w:r>
        <w:rPr>
          <w:rFonts w:eastAsiaTheme="minorHAnsi"/>
          <w:sz w:val="24"/>
        </w:rPr>
        <w:t>обусловлена</w:t>
      </w:r>
      <w:r w:rsidR="00C330BE" w:rsidRPr="00C330BE">
        <w:rPr>
          <w:rFonts w:eastAsiaTheme="minorHAnsi"/>
          <w:sz w:val="24"/>
        </w:rPr>
        <w:t xml:space="preserve"> расход</w:t>
      </w:r>
      <w:r>
        <w:rPr>
          <w:rFonts w:eastAsiaTheme="minorHAnsi"/>
          <w:sz w:val="24"/>
        </w:rPr>
        <w:t>ами</w:t>
      </w:r>
      <w:r w:rsidR="00C330BE" w:rsidRPr="00C330BE">
        <w:rPr>
          <w:rFonts w:eastAsiaTheme="minorHAnsi"/>
          <w:sz w:val="24"/>
        </w:rPr>
        <w:t xml:space="preserve"> на содержание законсервированных неиспользуемы</w:t>
      </w:r>
      <w:r w:rsidR="002E3195">
        <w:rPr>
          <w:rFonts w:eastAsiaTheme="minorHAnsi"/>
          <w:sz w:val="24"/>
        </w:rPr>
        <w:t>х</w:t>
      </w:r>
      <w:r w:rsidR="00C330BE" w:rsidRPr="00C330BE">
        <w:rPr>
          <w:rFonts w:eastAsiaTheme="minorHAnsi"/>
          <w:sz w:val="24"/>
        </w:rPr>
        <w:t xml:space="preserve"> производственных </w:t>
      </w:r>
      <w:r>
        <w:rPr>
          <w:rFonts w:eastAsiaTheme="minorHAnsi"/>
          <w:sz w:val="24"/>
        </w:rPr>
        <w:t xml:space="preserve">баз </w:t>
      </w:r>
      <w:r w:rsidR="00C330BE" w:rsidRPr="00C330BE">
        <w:rPr>
          <w:rFonts w:eastAsiaTheme="minorHAnsi"/>
          <w:sz w:val="24"/>
        </w:rPr>
        <w:t>и убыт</w:t>
      </w:r>
      <w:r>
        <w:rPr>
          <w:rFonts w:eastAsiaTheme="minorHAnsi"/>
          <w:sz w:val="24"/>
        </w:rPr>
        <w:t>ками</w:t>
      </w:r>
      <w:r w:rsidR="00C330BE" w:rsidRPr="00C330BE">
        <w:rPr>
          <w:rFonts w:eastAsiaTheme="minorHAnsi"/>
          <w:sz w:val="24"/>
        </w:rPr>
        <w:t xml:space="preserve"> </w:t>
      </w:r>
      <w:r>
        <w:rPr>
          <w:rFonts w:eastAsiaTheme="minorHAnsi"/>
          <w:sz w:val="24"/>
        </w:rPr>
        <w:t xml:space="preserve">от </w:t>
      </w:r>
      <w:r w:rsidR="00C330BE" w:rsidRPr="00C330BE">
        <w:rPr>
          <w:rFonts w:eastAsiaTheme="minorHAnsi"/>
          <w:sz w:val="24"/>
        </w:rPr>
        <w:t xml:space="preserve">перевозок по нерегулируемым тарифам, что </w:t>
      </w:r>
      <w:r>
        <w:rPr>
          <w:rFonts w:eastAsiaTheme="minorHAnsi"/>
          <w:sz w:val="24"/>
        </w:rPr>
        <w:t>свидетельствует</w:t>
      </w:r>
      <w:r w:rsidR="00C330BE" w:rsidRPr="00C330BE">
        <w:rPr>
          <w:rFonts w:eastAsiaTheme="minorHAnsi"/>
          <w:sz w:val="24"/>
        </w:rPr>
        <w:t xml:space="preserve"> об отсутствии на предприятии разумной коммерческой политики, котор</w:t>
      </w:r>
      <w:bookmarkStart w:id="0" w:name="_GoBack"/>
      <w:bookmarkEnd w:id="0"/>
      <w:r w:rsidR="00C330BE" w:rsidRPr="00C330BE">
        <w:rPr>
          <w:rFonts w:eastAsiaTheme="minorHAnsi"/>
          <w:sz w:val="24"/>
        </w:rPr>
        <w:t>ая должна обеспечить бе</w:t>
      </w:r>
      <w:r>
        <w:rPr>
          <w:rFonts w:eastAsiaTheme="minorHAnsi"/>
          <w:sz w:val="24"/>
        </w:rPr>
        <w:t>зубыточность этой деятельности.</w:t>
      </w:r>
    </w:p>
    <w:p w:rsidR="00C330BE" w:rsidRPr="00C330BE" w:rsidRDefault="00C330BE" w:rsidP="00C330BE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  <w:r w:rsidRPr="00C330BE">
        <w:rPr>
          <w:rFonts w:eastAsiaTheme="minorHAnsi"/>
          <w:sz w:val="24"/>
        </w:rPr>
        <w:t xml:space="preserve">С 2018 года в Волгоградской области происходит переход на </w:t>
      </w:r>
      <w:r w:rsidR="00092E4E">
        <w:rPr>
          <w:rFonts w:eastAsiaTheme="minorHAnsi"/>
          <w:sz w:val="24"/>
        </w:rPr>
        <w:t xml:space="preserve">новый механизм </w:t>
      </w:r>
      <w:r w:rsidRPr="00C330BE">
        <w:rPr>
          <w:rFonts w:eastAsiaTheme="minorHAnsi"/>
          <w:sz w:val="24"/>
        </w:rPr>
        <w:t>обеспечени</w:t>
      </w:r>
      <w:r w:rsidR="00092E4E">
        <w:rPr>
          <w:rFonts w:eastAsiaTheme="minorHAnsi"/>
          <w:sz w:val="24"/>
        </w:rPr>
        <w:t>я</w:t>
      </w:r>
      <w:r w:rsidRPr="00C330BE">
        <w:rPr>
          <w:rFonts w:eastAsiaTheme="minorHAnsi"/>
          <w:sz w:val="24"/>
        </w:rPr>
        <w:t xml:space="preserve"> регулярных перевозок по регулируемым тарифам </w:t>
      </w:r>
      <w:r w:rsidR="00092E4E">
        <w:rPr>
          <w:rFonts w:eastAsiaTheme="minorHAnsi"/>
          <w:sz w:val="24"/>
        </w:rPr>
        <w:t xml:space="preserve">- </w:t>
      </w:r>
      <w:r w:rsidRPr="00C330BE">
        <w:rPr>
          <w:rFonts w:eastAsiaTheme="minorHAnsi"/>
          <w:sz w:val="24"/>
        </w:rPr>
        <w:t>посредством заключения государственных контрактов на выполнение соответствующих работ</w:t>
      </w:r>
      <w:r w:rsidR="00092E4E">
        <w:rPr>
          <w:rFonts w:eastAsiaTheme="minorHAnsi"/>
          <w:sz w:val="24"/>
        </w:rPr>
        <w:t>.</w:t>
      </w:r>
      <w:r w:rsidR="00041E53">
        <w:rPr>
          <w:rFonts w:eastAsiaTheme="minorHAnsi"/>
          <w:sz w:val="24"/>
        </w:rPr>
        <w:t xml:space="preserve"> </w:t>
      </w:r>
      <w:proofErr w:type="gramStart"/>
      <w:r w:rsidRPr="00C330BE">
        <w:rPr>
          <w:rFonts w:eastAsiaTheme="minorHAnsi"/>
          <w:sz w:val="24"/>
        </w:rPr>
        <w:t>После полного перехода</w:t>
      </w:r>
      <w:r w:rsidR="00092E4E">
        <w:rPr>
          <w:rFonts w:eastAsiaTheme="minorHAnsi"/>
          <w:sz w:val="24"/>
        </w:rPr>
        <w:t xml:space="preserve"> на новый механизм во второй половине 2020 года </w:t>
      </w:r>
      <w:r w:rsidRPr="00C330BE">
        <w:rPr>
          <w:rFonts w:eastAsiaTheme="minorHAnsi"/>
          <w:sz w:val="24"/>
        </w:rPr>
        <w:t>при сохранении существующей маршрутной сети межмуниципальных перевозок, сохранении тарифов для населения</w:t>
      </w:r>
      <w:r w:rsidR="0057118E">
        <w:rPr>
          <w:rFonts w:eastAsiaTheme="minorHAnsi"/>
          <w:sz w:val="24"/>
        </w:rPr>
        <w:t>, которые не пересматривались с 2015 года,</w:t>
      </w:r>
      <w:r w:rsidR="00041E53">
        <w:rPr>
          <w:rFonts w:eastAsiaTheme="minorHAnsi"/>
          <w:sz w:val="24"/>
        </w:rPr>
        <w:t xml:space="preserve"> и </w:t>
      </w:r>
      <w:proofErr w:type="spellStart"/>
      <w:r w:rsidR="00295561">
        <w:rPr>
          <w:rFonts w:eastAsiaTheme="minorHAnsi"/>
          <w:sz w:val="24"/>
        </w:rPr>
        <w:t>неувеличении</w:t>
      </w:r>
      <w:proofErr w:type="spellEnd"/>
      <w:r w:rsidR="0057118E">
        <w:rPr>
          <w:rFonts w:eastAsiaTheme="minorHAnsi"/>
          <w:sz w:val="24"/>
        </w:rPr>
        <w:t xml:space="preserve"> </w:t>
      </w:r>
      <w:r w:rsidRPr="00C330BE">
        <w:rPr>
          <w:rFonts w:eastAsiaTheme="minorHAnsi"/>
          <w:sz w:val="24"/>
        </w:rPr>
        <w:t xml:space="preserve">объёмов пассажирооборота </w:t>
      </w:r>
      <w:r w:rsidR="0057118E">
        <w:rPr>
          <w:rFonts w:eastAsiaTheme="minorHAnsi"/>
          <w:sz w:val="24"/>
        </w:rPr>
        <w:t xml:space="preserve">на маршрутах по регулируемым тарифам </w:t>
      </w:r>
      <w:r w:rsidRPr="00C330BE">
        <w:rPr>
          <w:rFonts w:eastAsiaTheme="minorHAnsi"/>
          <w:sz w:val="24"/>
        </w:rPr>
        <w:t>для финансового обеспечения перевозок по регулируемым тарифам по оценке потребуется порядка 550,0 – 650,0 млн. руб. в год, что превышает фактические расходы областного бюджета</w:t>
      </w:r>
      <w:proofErr w:type="gramEnd"/>
      <w:r w:rsidRPr="00C330BE">
        <w:rPr>
          <w:rFonts w:eastAsiaTheme="minorHAnsi"/>
          <w:sz w:val="24"/>
        </w:rPr>
        <w:t xml:space="preserve"> за 2018 год (214,6 млн. руб.) в 2,6 - 3 раза.</w:t>
      </w:r>
    </w:p>
    <w:p w:rsidR="00D665CB" w:rsidRDefault="00D665CB" w:rsidP="006601BB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</w:p>
    <w:p w:rsidR="0057118E" w:rsidRDefault="0057118E" w:rsidP="006601BB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</w:p>
    <w:p w:rsidR="00195BD0" w:rsidRDefault="00195BD0" w:rsidP="006601BB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</w:p>
    <w:p w:rsidR="00D665CB" w:rsidRDefault="00D665CB" w:rsidP="006601BB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</w:rPr>
      </w:pPr>
    </w:p>
    <w:p w:rsidR="006601BB" w:rsidRPr="006601BB" w:rsidRDefault="006601BB" w:rsidP="006601BB">
      <w:pPr>
        <w:autoSpaceDE w:val="0"/>
        <w:autoSpaceDN w:val="0"/>
        <w:adjustRightInd w:val="0"/>
        <w:spacing w:line="240" w:lineRule="auto"/>
        <w:rPr>
          <w:rFonts w:eastAsiaTheme="minorHAnsi"/>
          <w:b/>
          <w:sz w:val="24"/>
        </w:rPr>
      </w:pPr>
      <w:r w:rsidRPr="006601BB">
        <w:rPr>
          <w:rFonts w:eastAsiaTheme="minorHAnsi"/>
          <w:b/>
          <w:sz w:val="24"/>
        </w:rPr>
        <w:t>Аудитор</w:t>
      </w:r>
      <w:r w:rsidRPr="006601BB">
        <w:rPr>
          <w:rFonts w:eastAsiaTheme="minorHAnsi"/>
          <w:b/>
          <w:sz w:val="24"/>
        </w:rPr>
        <w:tab/>
      </w:r>
      <w:r w:rsidRPr="006601BB">
        <w:rPr>
          <w:rFonts w:eastAsiaTheme="minorHAnsi"/>
          <w:b/>
          <w:sz w:val="24"/>
        </w:rPr>
        <w:tab/>
      </w:r>
      <w:r w:rsidRPr="006601BB">
        <w:rPr>
          <w:rFonts w:eastAsiaTheme="minorHAnsi"/>
          <w:b/>
          <w:sz w:val="24"/>
        </w:rPr>
        <w:tab/>
      </w:r>
      <w:r w:rsidRPr="006601BB">
        <w:rPr>
          <w:rFonts w:eastAsiaTheme="minorHAnsi"/>
          <w:b/>
          <w:sz w:val="24"/>
        </w:rPr>
        <w:tab/>
      </w:r>
      <w:r w:rsidRPr="006601BB">
        <w:rPr>
          <w:rFonts w:eastAsiaTheme="minorHAnsi"/>
          <w:b/>
          <w:sz w:val="24"/>
        </w:rPr>
        <w:tab/>
      </w:r>
      <w:r w:rsidRPr="006601BB">
        <w:rPr>
          <w:rFonts w:eastAsiaTheme="minorHAnsi"/>
          <w:b/>
          <w:sz w:val="24"/>
        </w:rPr>
        <w:tab/>
      </w:r>
      <w:r w:rsidRPr="006601BB">
        <w:rPr>
          <w:rFonts w:eastAsiaTheme="minorHAnsi"/>
          <w:b/>
          <w:sz w:val="24"/>
        </w:rPr>
        <w:tab/>
      </w:r>
      <w:r w:rsidRPr="006601BB">
        <w:rPr>
          <w:rFonts w:eastAsiaTheme="minorHAnsi"/>
          <w:b/>
          <w:sz w:val="24"/>
        </w:rPr>
        <w:tab/>
        <w:t>Н.Л.</w:t>
      </w:r>
      <w:r w:rsidR="00B3258F">
        <w:rPr>
          <w:rFonts w:eastAsiaTheme="minorHAnsi"/>
          <w:b/>
          <w:sz w:val="24"/>
        </w:rPr>
        <w:t xml:space="preserve"> </w:t>
      </w:r>
      <w:proofErr w:type="spellStart"/>
      <w:r w:rsidRPr="006601BB">
        <w:rPr>
          <w:rFonts w:eastAsiaTheme="minorHAnsi"/>
          <w:b/>
          <w:sz w:val="24"/>
        </w:rPr>
        <w:t>Ноздрюхина</w:t>
      </w:r>
      <w:proofErr w:type="spellEnd"/>
    </w:p>
    <w:sectPr w:rsidR="006601BB" w:rsidRPr="006601BB" w:rsidSect="00195BD0">
      <w:headerReference w:type="default" r:id="rId19"/>
      <w:pgSz w:w="11906" w:h="16838"/>
      <w:pgMar w:top="1134" w:right="567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4AB" w:rsidRDefault="003774AB" w:rsidP="0058711E">
      <w:pPr>
        <w:spacing w:line="240" w:lineRule="auto"/>
      </w:pPr>
      <w:r>
        <w:separator/>
      </w:r>
    </w:p>
  </w:endnote>
  <w:endnote w:type="continuationSeparator" w:id="0">
    <w:p w:rsidR="003774AB" w:rsidRDefault="003774AB" w:rsidP="00587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4AB" w:rsidRDefault="003774AB" w:rsidP="0058711E">
      <w:pPr>
        <w:spacing w:line="240" w:lineRule="auto"/>
      </w:pPr>
      <w:r>
        <w:separator/>
      </w:r>
    </w:p>
  </w:footnote>
  <w:footnote w:type="continuationSeparator" w:id="0">
    <w:p w:rsidR="003774AB" w:rsidRDefault="003774AB" w:rsidP="0058711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14427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774AB" w:rsidRDefault="00AB2930">
        <w:pPr>
          <w:pStyle w:val="ac"/>
          <w:jc w:val="center"/>
        </w:pPr>
        <w:r w:rsidRPr="0058711E">
          <w:rPr>
            <w:sz w:val="24"/>
          </w:rPr>
          <w:fldChar w:fldCharType="begin"/>
        </w:r>
        <w:r w:rsidR="003774AB" w:rsidRPr="0058711E">
          <w:rPr>
            <w:sz w:val="24"/>
          </w:rPr>
          <w:instrText>PAGE   \* MERGEFORMAT</w:instrText>
        </w:r>
        <w:r w:rsidRPr="0058711E">
          <w:rPr>
            <w:sz w:val="24"/>
          </w:rPr>
          <w:fldChar w:fldCharType="separate"/>
        </w:r>
        <w:r w:rsidR="00F14D03">
          <w:rPr>
            <w:noProof/>
            <w:sz w:val="24"/>
          </w:rPr>
          <w:t>23</w:t>
        </w:r>
        <w:r w:rsidRPr="0058711E">
          <w:rPr>
            <w:sz w:val="24"/>
          </w:rPr>
          <w:fldChar w:fldCharType="end"/>
        </w:r>
      </w:p>
    </w:sdtContent>
  </w:sdt>
  <w:p w:rsidR="003774AB" w:rsidRDefault="003774A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67C1"/>
    <w:multiLevelType w:val="multilevel"/>
    <w:tmpl w:val="877AB4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>
    <w:nsid w:val="10F10FD2"/>
    <w:multiLevelType w:val="multilevel"/>
    <w:tmpl w:val="43D00B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6601AE1"/>
    <w:multiLevelType w:val="hybridMultilevel"/>
    <w:tmpl w:val="58CE7196"/>
    <w:lvl w:ilvl="0" w:tplc="E3EC6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9F7889"/>
    <w:multiLevelType w:val="hybridMultilevel"/>
    <w:tmpl w:val="C8B8F00E"/>
    <w:lvl w:ilvl="0" w:tplc="E092F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5C4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745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AAB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88A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A4D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841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5A6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4C2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8C86C66"/>
    <w:multiLevelType w:val="hybridMultilevel"/>
    <w:tmpl w:val="6D3E5644"/>
    <w:lvl w:ilvl="0" w:tplc="B97C4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FB16C4"/>
    <w:multiLevelType w:val="hybridMultilevel"/>
    <w:tmpl w:val="2BA81E86"/>
    <w:lvl w:ilvl="0" w:tplc="5DF02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6C9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8C7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D24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D64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B66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843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D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881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46D7F37"/>
    <w:multiLevelType w:val="hybridMultilevel"/>
    <w:tmpl w:val="763676D4"/>
    <w:lvl w:ilvl="0" w:tplc="14BCD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52A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A7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AE8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BEE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CAE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820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D0B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88E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B3E6A9B"/>
    <w:multiLevelType w:val="hybridMultilevel"/>
    <w:tmpl w:val="C95C6FF6"/>
    <w:lvl w:ilvl="0" w:tplc="19345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D23F16"/>
    <w:multiLevelType w:val="hybridMultilevel"/>
    <w:tmpl w:val="F0440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9452308"/>
    <w:multiLevelType w:val="hybridMultilevel"/>
    <w:tmpl w:val="1F3C9C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EFB2ED2"/>
    <w:multiLevelType w:val="hybridMultilevel"/>
    <w:tmpl w:val="C2909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5375C6F"/>
    <w:multiLevelType w:val="hybridMultilevel"/>
    <w:tmpl w:val="2E68A3AE"/>
    <w:lvl w:ilvl="0" w:tplc="04190001">
      <w:start w:val="1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74696"/>
    <w:multiLevelType w:val="hybridMultilevel"/>
    <w:tmpl w:val="D26C0C54"/>
    <w:lvl w:ilvl="0" w:tplc="8C5E5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775B00"/>
    <w:multiLevelType w:val="hybridMultilevel"/>
    <w:tmpl w:val="90E892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7572F1B"/>
    <w:multiLevelType w:val="hybridMultilevel"/>
    <w:tmpl w:val="D458F370"/>
    <w:lvl w:ilvl="0" w:tplc="D8828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E0A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8A0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AE8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F2C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146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67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1C3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E45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B0D27EC"/>
    <w:multiLevelType w:val="hybridMultilevel"/>
    <w:tmpl w:val="97E0DE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F0C6F9B"/>
    <w:multiLevelType w:val="multilevel"/>
    <w:tmpl w:val="DACAFFB2"/>
    <w:lvl w:ilvl="0">
      <w:start w:val="1"/>
      <w:numFmt w:val="decimal"/>
      <w:pStyle w:val="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1853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bullet"/>
      <w:lvlRestart w:val="0"/>
      <w:pStyle w:val="5"/>
      <w:suff w:val="space"/>
      <w:lvlText w:val=""/>
      <w:lvlJc w:val="left"/>
      <w:pPr>
        <w:ind w:left="998" w:hanging="998"/>
      </w:pPr>
      <w:rPr>
        <w:rFonts w:ascii="Symbol" w:hAnsi="Symbol" w:hint="default"/>
        <w:color w:val="auto"/>
      </w:rPr>
    </w:lvl>
    <w:lvl w:ilvl="5">
      <w:start w:val="1"/>
      <w:numFmt w:val="decimal"/>
      <w:suff w:val="space"/>
      <w:lvlText w:val="§ %6."/>
      <w:lvlJc w:val="left"/>
      <w:pPr>
        <w:ind w:left="1152" w:hanging="1152"/>
      </w:pPr>
      <w:rPr>
        <w:rFonts w:hint="default"/>
        <w:color w:val="auto"/>
        <w:sz w:val="24"/>
      </w:rPr>
    </w:lvl>
    <w:lvl w:ilvl="6">
      <w:start w:val="1"/>
      <w:numFmt w:val="russianUpper"/>
      <w:pStyle w:val="7"/>
      <w:suff w:val="space"/>
      <w:lvlText w:val="Приложение 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suff w:val="space"/>
      <w:lvlText w:val="%7.%8.%9"/>
      <w:lvlJc w:val="left"/>
      <w:pPr>
        <w:ind w:left="1584" w:hanging="1584"/>
      </w:pPr>
      <w:rPr>
        <w:rFonts w:hint="default"/>
      </w:rPr>
    </w:lvl>
  </w:abstractNum>
  <w:abstractNum w:abstractNumId="17">
    <w:nsid w:val="71715095"/>
    <w:multiLevelType w:val="hybridMultilevel"/>
    <w:tmpl w:val="0A98BCA6"/>
    <w:lvl w:ilvl="0" w:tplc="200CF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33B7DDA"/>
    <w:multiLevelType w:val="hybridMultilevel"/>
    <w:tmpl w:val="CCDEF7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3B53FB6"/>
    <w:multiLevelType w:val="hybridMultilevel"/>
    <w:tmpl w:val="0B4A6DA2"/>
    <w:lvl w:ilvl="0" w:tplc="984ADEBA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43E5207"/>
    <w:multiLevelType w:val="hybridMultilevel"/>
    <w:tmpl w:val="3FD405DC"/>
    <w:lvl w:ilvl="0" w:tplc="07F45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52E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440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507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E5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FC9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300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EE5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A6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7414AE7"/>
    <w:multiLevelType w:val="hybridMultilevel"/>
    <w:tmpl w:val="826CC828"/>
    <w:lvl w:ilvl="0" w:tplc="DA8CDA5C">
      <w:start w:val="6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845527A"/>
    <w:multiLevelType w:val="hybridMultilevel"/>
    <w:tmpl w:val="C8026992"/>
    <w:lvl w:ilvl="0" w:tplc="838E4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4E8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86A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AAC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B22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2C8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F26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120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9C1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8D26BC9"/>
    <w:multiLevelType w:val="hybridMultilevel"/>
    <w:tmpl w:val="15CA3E9E"/>
    <w:lvl w:ilvl="0" w:tplc="7B0CE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9FD29FB"/>
    <w:multiLevelType w:val="hybridMultilevel"/>
    <w:tmpl w:val="565C63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20"/>
  </w:num>
  <w:num w:numId="4">
    <w:abstractNumId w:val="3"/>
  </w:num>
  <w:num w:numId="5">
    <w:abstractNumId w:val="4"/>
  </w:num>
  <w:num w:numId="6">
    <w:abstractNumId w:val="17"/>
  </w:num>
  <w:num w:numId="7">
    <w:abstractNumId w:val="13"/>
  </w:num>
  <w:num w:numId="8">
    <w:abstractNumId w:val="11"/>
  </w:num>
  <w:num w:numId="9">
    <w:abstractNumId w:val="7"/>
  </w:num>
  <w:num w:numId="10">
    <w:abstractNumId w:val="21"/>
  </w:num>
  <w:num w:numId="11">
    <w:abstractNumId w:val="10"/>
  </w:num>
  <w:num w:numId="12">
    <w:abstractNumId w:val="9"/>
  </w:num>
  <w:num w:numId="13">
    <w:abstractNumId w:val="15"/>
  </w:num>
  <w:num w:numId="14">
    <w:abstractNumId w:val="24"/>
  </w:num>
  <w:num w:numId="15">
    <w:abstractNumId w:val="8"/>
  </w:num>
  <w:num w:numId="16">
    <w:abstractNumId w:val="18"/>
  </w:num>
  <w:num w:numId="17">
    <w:abstractNumId w:val="23"/>
  </w:num>
  <w:num w:numId="18">
    <w:abstractNumId w:val="12"/>
  </w:num>
  <w:num w:numId="19">
    <w:abstractNumId w:val="19"/>
  </w:num>
  <w:num w:numId="20">
    <w:abstractNumId w:val="0"/>
  </w:num>
  <w:num w:numId="21">
    <w:abstractNumId w:val="5"/>
  </w:num>
  <w:num w:numId="22">
    <w:abstractNumId w:val="6"/>
  </w:num>
  <w:num w:numId="23">
    <w:abstractNumId w:val="22"/>
  </w:num>
  <w:num w:numId="24">
    <w:abstractNumId w:val="2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6A6"/>
    <w:rsid w:val="000001CA"/>
    <w:rsid w:val="00000AC6"/>
    <w:rsid w:val="00000FF7"/>
    <w:rsid w:val="000011AF"/>
    <w:rsid w:val="0000169F"/>
    <w:rsid w:val="0000178D"/>
    <w:rsid w:val="00001845"/>
    <w:rsid w:val="00001A51"/>
    <w:rsid w:val="00001FAC"/>
    <w:rsid w:val="00002148"/>
    <w:rsid w:val="000027ED"/>
    <w:rsid w:val="00002F4F"/>
    <w:rsid w:val="0000419D"/>
    <w:rsid w:val="000045E9"/>
    <w:rsid w:val="00004742"/>
    <w:rsid w:val="00004C3F"/>
    <w:rsid w:val="000052E1"/>
    <w:rsid w:val="000055FF"/>
    <w:rsid w:val="00005712"/>
    <w:rsid w:val="0000587A"/>
    <w:rsid w:val="00005C43"/>
    <w:rsid w:val="00006BBC"/>
    <w:rsid w:val="00006D62"/>
    <w:rsid w:val="000070DA"/>
    <w:rsid w:val="000070F5"/>
    <w:rsid w:val="00007111"/>
    <w:rsid w:val="0000778A"/>
    <w:rsid w:val="00007A50"/>
    <w:rsid w:val="00007B3A"/>
    <w:rsid w:val="000100AF"/>
    <w:rsid w:val="000102ED"/>
    <w:rsid w:val="00010584"/>
    <w:rsid w:val="00011939"/>
    <w:rsid w:val="00011D83"/>
    <w:rsid w:val="00012198"/>
    <w:rsid w:val="0001352E"/>
    <w:rsid w:val="00013811"/>
    <w:rsid w:val="00013A86"/>
    <w:rsid w:val="00013D6C"/>
    <w:rsid w:val="00014514"/>
    <w:rsid w:val="000145A9"/>
    <w:rsid w:val="00014B12"/>
    <w:rsid w:val="00014CE4"/>
    <w:rsid w:val="000150F0"/>
    <w:rsid w:val="000178B6"/>
    <w:rsid w:val="00020057"/>
    <w:rsid w:val="00020AE5"/>
    <w:rsid w:val="00020F9A"/>
    <w:rsid w:val="0002136C"/>
    <w:rsid w:val="00021BFD"/>
    <w:rsid w:val="00022FD9"/>
    <w:rsid w:val="0002367F"/>
    <w:rsid w:val="00023C36"/>
    <w:rsid w:val="0002449C"/>
    <w:rsid w:val="00024C6C"/>
    <w:rsid w:val="00025900"/>
    <w:rsid w:val="00025D66"/>
    <w:rsid w:val="00025E86"/>
    <w:rsid w:val="00026C5F"/>
    <w:rsid w:val="00027121"/>
    <w:rsid w:val="0002783C"/>
    <w:rsid w:val="00030472"/>
    <w:rsid w:val="00030529"/>
    <w:rsid w:val="00030EE7"/>
    <w:rsid w:val="0003155E"/>
    <w:rsid w:val="00031631"/>
    <w:rsid w:val="0003259A"/>
    <w:rsid w:val="00032A56"/>
    <w:rsid w:val="00032CC7"/>
    <w:rsid w:val="00032F0A"/>
    <w:rsid w:val="00033017"/>
    <w:rsid w:val="00033783"/>
    <w:rsid w:val="00033A28"/>
    <w:rsid w:val="00033F17"/>
    <w:rsid w:val="000341C3"/>
    <w:rsid w:val="00034DE2"/>
    <w:rsid w:val="00034E80"/>
    <w:rsid w:val="0003533B"/>
    <w:rsid w:val="000355DA"/>
    <w:rsid w:val="00035BA0"/>
    <w:rsid w:val="00035BF6"/>
    <w:rsid w:val="000367BC"/>
    <w:rsid w:val="00036E86"/>
    <w:rsid w:val="000370A9"/>
    <w:rsid w:val="0003717F"/>
    <w:rsid w:val="00037C6A"/>
    <w:rsid w:val="00037E5B"/>
    <w:rsid w:val="00040DBC"/>
    <w:rsid w:val="00041E53"/>
    <w:rsid w:val="00042573"/>
    <w:rsid w:val="000425CD"/>
    <w:rsid w:val="00042960"/>
    <w:rsid w:val="00043372"/>
    <w:rsid w:val="00044466"/>
    <w:rsid w:val="000448B6"/>
    <w:rsid w:val="000451B5"/>
    <w:rsid w:val="0004568E"/>
    <w:rsid w:val="000456F1"/>
    <w:rsid w:val="00046229"/>
    <w:rsid w:val="00046909"/>
    <w:rsid w:val="000500EB"/>
    <w:rsid w:val="000503CA"/>
    <w:rsid w:val="0005077B"/>
    <w:rsid w:val="000507EC"/>
    <w:rsid w:val="00050968"/>
    <w:rsid w:val="00050BA2"/>
    <w:rsid w:val="00050DBC"/>
    <w:rsid w:val="000510D6"/>
    <w:rsid w:val="00051109"/>
    <w:rsid w:val="000516D4"/>
    <w:rsid w:val="00051B9C"/>
    <w:rsid w:val="00052057"/>
    <w:rsid w:val="00052943"/>
    <w:rsid w:val="00054D6E"/>
    <w:rsid w:val="00055171"/>
    <w:rsid w:val="00056B3E"/>
    <w:rsid w:val="0005704A"/>
    <w:rsid w:val="00057283"/>
    <w:rsid w:val="0005734B"/>
    <w:rsid w:val="0005795D"/>
    <w:rsid w:val="00057B41"/>
    <w:rsid w:val="00057DE2"/>
    <w:rsid w:val="000601B2"/>
    <w:rsid w:val="000603A0"/>
    <w:rsid w:val="00060B9C"/>
    <w:rsid w:val="00060BDE"/>
    <w:rsid w:val="00060FC9"/>
    <w:rsid w:val="00061EF7"/>
    <w:rsid w:val="000622E7"/>
    <w:rsid w:val="00062692"/>
    <w:rsid w:val="00062E8F"/>
    <w:rsid w:val="00062F71"/>
    <w:rsid w:val="0006488E"/>
    <w:rsid w:val="00064F97"/>
    <w:rsid w:val="000652A0"/>
    <w:rsid w:val="000664C7"/>
    <w:rsid w:val="0006665C"/>
    <w:rsid w:val="0006678A"/>
    <w:rsid w:val="000668D5"/>
    <w:rsid w:val="00070FA6"/>
    <w:rsid w:val="00071123"/>
    <w:rsid w:val="0007136D"/>
    <w:rsid w:val="000725E5"/>
    <w:rsid w:val="00072CDA"/>
    <w:rsid w:val="0007344A"/>
    <w:rsid w:val="0007444D"/>
    <w:rsid w:val="000758A9"/>
    <w:rsid w:val="00075B90"/>
    <w:rsid w:val="00075E47"/>
    <w:rsid w:val="00076019"/>
    <w:rsid w:val="000763A4"/>
    <w:rsid w:val="00076630"/>
    <w:rsid w:val="000778BE"/>
    <w:rsid w:val="00077907"/>
    <w:rsid w:val="00077B71"/>
    <w:rsid w:val="000807A5"/>
    <w:rsid w:val="0008093C"/>
    <w:rsid w:val="0008109F"/>
    <w:rsid w:val="00081304"/>
    <w:rsid w:val="000823AD"/>
    <w:rsid w:val="00082896"/>
    <w:rsid w:val="00082B19"/>
    <w:rsid w:val="00082C18"/>
    <w:rsid w:val="00083713"/>
    <w:rsid w:val="00083945"/>
    <w:rsid w:val="000839A7"/>
    <w:rsid w:val="00083C1D"/>
    <w:rsid w:val="00083CD0"/>
    <w:rsid w:val="00083F22"/>
    <w:rsid w:val="0008411D"/>
    <w:rsid w:val="000845F8"/>
    <w:rsid w:val="00084834"/>
    <w:rsid w:val="00084FBC"/>
    <w:rsid w:val="00086172"/>
    <w:rsid w:val="00086A82"/>
    <w:rsid w:val="00087491"/>
    <w:rsid w:val="00087549"/>
    <w:rsid w:val="00090598"/>
    <w:rsid w:val="000905D3"/>
    <w:rsid w:val="00091AA6"/>
    <w:rsid w:val="00091E58"/>
    <w:rsid w:val="00092373"/>
    <w:rsid w:val="0009276E"/>
    <w:rsid w:val="00092A38"/>
    <w:rsid w:val="00092E4E"/>
    <w:rsid w:val="000930BB"/>
    <w:rsid w:val="00094657"/>
    <w:rsid w:val="000946A2"/>
    <w:rsid w:val="000947AA"/>
    <w:rsid w:val="00095380"/>
    <w:rsid w:val="000964E4"/>
    <w:rsid w:val="00096F93"/>
    <w:rsid w:val="000A02EC"/>
    <w:rsid w:val="000A0C2C"/>
    <w:rsid w:val="000A12AC"/>
    <w:rsid w:val="000A1A87"/>
    <w:rsid w:val="000A1B33"/>
    <w:rsid w:val="000A22FB"/>
    <w:rsid w:val="000A2474"/>
    <w:rsid w:val="000A2996"/>
    <w:rsid w:val="000A29D8"/>
    <w:rsid w:val="000A2AA3"/>
    <w:rsid w:val="000A2D22"/>
    <w:rsid w:val="000A3133"/>
    <w:rsid w:val="000A3239"/>
    <w:rsid w:val="000A350B"/>
    <w:rsid w:val="000A3A48"/>
    <w:rsid w:val="000A3D35"/>
    <w:rsid w:val="000A3D8A"/>
    <w:rsid w:val="000A3DEB"/>
    <w:rsid w:val="000A46B3"/>
    <w:rsid w:val="000A4D58"/>
    <w:rsid w:val="000A502C"/>
    <w:rsid w:val="000A51B7"/>
    <w:rsid w:val="000A5DF1"/>
    <w:rsid w:val="000A67B8"/>
    <w:rsid w:val="000A67BB"/>
    <w:rsid w:val="000A6B21"/>
    <w:rsid w:val="000A7E90"/>
    <w:rsid w:val="000B04BD"/>
    <w:rsid w:val="000B17B1"/>
    <w:rsid w:val="000B1DBF"/>
    <w:rsid w:val="000B2073"/>
    <w:rsid w:val="000B23C8"/>
    <w:rsid w:val="000B2A7F"/>
    <w:rsid w:val="000B32C0"/>
    <w:rsid w:val="000B3A4E"/>
    <w:rsid w:val="000B3B7E"/>
    <w:rsid w:val="000B4541"/>
    <w:rsid w:val="000B4E1D"/>
    <w:rsid w:val="000B4E27"/>
    <w:rsid w:val="000B50F8"/>
    <w:rsid w:val="000B571C"/>
    <w:rsid w:val="000B576B"/>
    <w:rsid w:val="000B5DB5"/>
    <w:rsid w:val="000B6577"/>
    <w:rsid w:val="000B6D54"/>
    <w:rsid w:val="000B76E3"/>
    <w:rsid w:val="000B7725"/>
    <w:rsid w:val="000B7B6E"/>
    <w:rsid w:val="000C019A"/>
    <w:rsid w:val="000C0D50"/>
    <w:rsid w:val="000C0DD2"/>
    <w:rsid w:val="000C18DC"/>
    <w:rsid w:val="000C330C"/>
    <w:rsid w:val="000C45D2"/>
    <w:rsid w:val="000C48D8"/>
    <w:rsid w:val="000C4D8B"/>
    <w:rsid w:val="000C5805"/>
    <w:rsid w:val="000C5B95"/>
    <w:rsid w:val="000C60CC"/>
    <w:rsid w:val="000C611C"/>
    <w:rsid w:val="000C6222"/>
    <w:rsid w:val="000C62A4"/>
    <w:rsid w:val="000C62FB"/>
    <w:rsid w:val="000C6B70"/>
    <w:rsid w:val="000C6BA1"/>
    <w:rsid w:val="000C6CBE"/>
    <w:rsid w:val="000C7730"/>
    <w:rsid w:val="000C775E"/>
    <w:rsid w:val="000C7861"/>
    <w:rsid w:val="000D002C"/>
    <w:rsid w:val="000D013D"/>
    <w:rsid w:val="000D04FB"/>
    <w:rsid w:val="000D0F5C"/>
    <w:rsid w:val="000D164B"/>
    <w:rsid w:val="000D25B0"/>
    <w:rsid w:val="000D2F95"/>
    <w:rsid w:val="000D323D"/>
    <w:rsid w:val="000D33E8"/>
    <w:rsid w:val="000D4221"/>
    <w:rsid w:val="000D4D29"/>
    <w:rsid w:val="000D4F86"/>
    <w:rsid w:val="000D5788"/>
    <w:rsid w:val="000D61C7"/>
    <w:rsid w:val="000D623A"/>
    <w:rsid w:val="000D647F"/>
    <w:rsid w:val="000D6515"/>
    <w:rsid w:val="000D6F62"/>
    <w:rsid w:val="000D7A65"/>
    <w:rsid w:val="000E02E7"/>
    <w:rsid w:val="000E0707"/>
    <w:rsid w:val="000E1293"/>
    <w:rsid w:val="000E130A"/>
    <w:rsid w:val="000E1356"/>
    <w:rsid w:val="000E20A6"/>
    <w:rsid w:val="000E2C1F"/>
    <w:rsid w:val="000E2C67"/>
    <w:rsid w:val="000E3560"/>
    <w:rsid w:val="000E4320"/>
    <w:rsid w:val="000E44A3"/>
    <w:rsid w:val="000E454A"/>
    <w:rsid w:val="000E4898"/>
    <w:rsid w:val="000E5152"/>
    <w:rsid w:val="000E5734"/>
    <w:rsid w:val="000E5C74"/>
    <w:rsid w:val="000E619B"/>
    <w:rsid w:val="000E6961"/>
    <w:rsid w:val="000E6FF4"/>
    <w:rsid w:val="000E7858"/>
    <w:rsid w:val="000E7F15"/>
    <w:rsid w:val="000F0001"/>
    <w:rsid w:val="000F0053"/>
    <w:rsid w:val="000F03EB"/>
    <w:rsid w:val="000F1238"/>
    <w:rsid w:val="000F17C3"/>
    <w:rsid w:val="000F1DEE"/>
    <w:rsid w:val="000F233D"/>
    <w:rsid w:val="000F28B8"/>
    <w:rsid w:val="000F29F9"/>
    <w:rsid w:val="000F2C99"/>
    <w:rsid w:val="000F2CCB"/>
    <w:rsid w:val="000F2EAE"/>
    <w:rsid w:val="000F2FE9"/>
    <w:rsid w:val="000F492F"/>
    <w:rsid w:val="000F4C82"/>
    <w:rsid w:val="000F4F11"/>
    <w:rsid w:val="000F5D30"/>
    <w:rsid w:val="000F632C"/>
    <w:rsid w:val="000F6334"/>
    <w:rsid w:val="000F69E2"/>
    <w:rsid w:val="000F774F"/>
    <w:rsid w:val="001001DD"/>
    <w:rsid w:val="00100360"/>
    <w:rsid w:val="00100CD7"/>
    <w:rsid w:val="00100CE9"/>
    <w:rsid w:val="00100EA2"/>
    <w:rsid w:val="00101ADE"/>
    <w:rsid w:val="001020F8"/>
    <w:rsid w:val="00102C6B"/>
    <w:rsid w:val="001033C4"/>
    <w:rsid w:val="00103BC5"/>
    <w:rsid w:val="00103FD5"/>
    <w:rsid w:val="0010413A"/>
    <w:rsid w:val="00104204"/>
    <w:rsid w:val="0010482F"/>
    <w:rsid w:val="00104990"/>
    <w:rsid w:val="00104DC2"/>
    <w:rsid w:val="00105542"/>
    <w:rsid w:val="00105B0A"/>
    <w:rsid w:val="00105F56"/>
    <w:rsid w:val="00105F99"/>
    <w:rsid w:val="001069CA"/>
    <w:rsid w:val="00107A74"/>
    <w:rsid w:val="001100E7"/>
    <w:rsid w:val="00110BD6"/>
    <w:rsid w:val="00110F8D"/>
    <w:rsid w:val="00111325"/>
    <w:rsid w:val="001116EA"/>
    <w:rsid w:val="001117F2"/>
    <w:rsid w:val="00111863"/>
    <w:rsid w:val="00111C99"/>
    <w:rsid w:val="0011201F"/>
    <w:rsid w:val="001123AA"/>
    <w:rsid w:val="001126C6"/>
    <w:rsid w:val="0011335F"/>
    <w:rsid w:val="001137FC"/>
    <w:rsid w:val="00113AFD"/>
    <w:rsid w:val="00114503"/>
    <w:rsid w:val="001149CD"/>
    <w:rsid w:val="00114BD5"/>
    <w:rsid w:val="00114DEB"/>
    <w:rsid w:val="00115704"/>
    <w:rsid w:val="00115E66"/>
    <w:rsid w:val="00116166"/>
    <w:rsid w:val="00116559"/>
    <w:rsid w:val="00116AB7"/>
    <w:rsid w:val="00116DD1"/>
    <w:rsid w:val="00116E8B"/>
    <w:rsid w:val="00116F34"/>
    <w:rsid w:val="00117C1C"/>
    <w:rsid w:val="00117C67"/>
    <w:rsid w:val="00117DB9"/>
    <w:rsid w:val="00117DC5"/>
    <w:rsid w:val="00117F32"/>
    <w:rsid w:val="00120F1B"/>
    <w:rsid w:val="0012138C"/>
    <w:rsid w:val="00121986"/>
    <w:rsid w:val="001219C6"/>
    <w:rsid w:val="00121C48"/>
    <w:rsid w:val="00121FBE"/>
    <w:rsid w:val="00122609"/>
    <w:rsid w:val="00122755"/>
    <w:rsid w:val="00122D14"/>
    <w:rsid w:val="00122D7D"/>
    <w:rsid w:val="00122E0C"/>
    <w:rsid w:val="001236BC"/>
    <w:rsid w:val="001237CB"/>
    <w:rsid w:val="001239A2"/>
    <w:rsid w:val="0012401B"/>
    <w:rsid w:val="001246AB"/>
    <w:rsid w:val="0012477E"/>
    <w:rsid w:val="001254CB"/>
    <w:rsid w:val="00125938"/>
    <w:rsid w:val="00125DD3"/>
    <w:rsid w:val="00126181"/>
    <w:rsid w:val="0012650F"/>
    <w:rsid w:val="001265D4"/>
    <w:rsid w:val="00127193"/>
    <w:rsid w:val="001302D8"/>
    <w:rsid w:val="00130DB3"/>
    <w:rsid w:val="00131753"/>
    <w:rsid w:val="0013176A"/>
    <w:rsid w:val="00131850"/>
    <w:rsid w:val="001322C2"/>
    <w:rsid w:val="00132731"/>
    <w:rsid w:val="001329FB"/>
    <w:rsid w:val="00133276"/>
    <w:rsid w:val="00133708"/>
    <w:rsid w:val="00133FE1"/>
    <w:rsid w:val="00133FF3"/>
    <w:rsid w:val="001346DB"/>
    <w:rsid w:val="001352EC"/>
    <w:rsid w:val="00135926"/>
    <w:rsid w:val="00135B70"/>
    <w:rsid w:val="00136446"/>
    <w:rsid w:val="00136628"/>
    <w:rsid w:val="00136B9C"/>
    <w:rsid w:val="00136D9D"/>
    <w:rsid w:val="00137D7D"/>
    <w:rsid w:val="001402B5"/>
    <w:rsid w:val="001403A7"/>
    <w:rsid w:val="00141335"/>
    <w:rsid w:val="001424C1"/>
    <w:rsid w:val="00142971"/>
    <w:rsid w:val="00142A3C"/>
    <w:rsid w:val="00142DB3"/>
    <w:rsid w:val="00145145"/>
    <w:rsid w:val="00145406"/>
    <w:rsid w:val="00145AC1"/>
    <w:rsid w:val="00145DD4"/>
    <w:rsid w:val="00146894"/>
    <w:rsid w:val="00147154"/>
    <w:rsid w:val="00147A0C"/>
    <w:rsid w:val="00147EC2"/>
    <w:rsid w:val="00147F56"/>
    <w:rsid w:val="001503D2"/>
    <w:rsid w:val="00150CA7"/>
    <w:rsid w:val="00150CB2"/>
    <w:rsid w:val="00150D44"/>
    <w:rsid w:val="001516FD"/>
    <w:rsid w:val="0015259D"/>
    <w:rsid w:val="001530C4"/>
    <w:rsid w:val="001538E8"/>
    <w:rsid w:val="00154939"/>
    <w:rsid w:val="00154BCA"/>
    <w:rsid w:val="00154E82"/>
    <w:rsid w:val="00154ED2"/>
    <w:rsid w:val="001555BB"/>
    <w:rsid w:val="00155908"/>
    <w:rsid w:val="0015597F"/>
    <w:rsid w:val="00155D6D"/>
    <w:rsid w:val="0015615C"/>
    <w:rsid w:val="001573E5"/>
    <w:rsid w:val="001573F2"/>
    <w:rsid w:val="0015774A"/>
    <w:rsid w:val="00157F5C"/>
    <w:rsid w:val="00160266"/>
    <w:rsid w:val="001605D7"/>
    <w:rsid w:val="00160DE4"/>
    <w:rsid w:val="001611C4"/>
    <w:rsid w:val="00161397"/>
    <w:rsid w:val="001617DE"/>
    <w:rsid w:val="00161821"/>
    <w:rsid w:val="00161A5C"/>
    <w:rsid w:val="0016290F"/>
    <w:rsid w:val="00162A35"/>
    <w:rsid w:val="00162A5F"/>
    <w:rsid w:val="00162BF2"/>
    <w:rsid w:val="001633E5"/>
    <w:rsid w:val="0016393B"/>
    <w:rsid w:val="001644AB"/>
    <w:rsid w:val="00164A65"/>
    <w:rsid w:val="001650D5"/>
    <w:rsid w:val="0016686F"/>
    <w:rsid w:val="00166EDA"/>
    <w:rsid w:val="00166F8F"/>
    <w:rsid w:val="00167139"/>
    <w:rsid w:val="00167171"/>
    <w:rsid w:val="00167185"/>
    <w:rsid w:val="0016784D"/>
    <w:rsid w:val="00167B4E"/>
    <w:rsid w:val="00167C30"/>
    <w:rsid w:val="00167C5D"/>
    <w:rsid w:val="00167D48"/>
    <w:rsid w:val="0017022C"/>
    <w:rsid w:val="00170AE0"/>
    <w:rsid w:val="00171014"/>
    <w:rsid w:val="001711DC"/>
    <w:rsid w:val="0017127A"/>
    <w:rsid w:val="001713D6"/>
    <w:rsid w:val="001716EA"/>
    <w:rsid w:val="001726A7"/>
    <w:rsid w:val="001728C1"/>
    <w:rsid w:val="00172FEE"/>
    <w:rsid w:val="00173135"/>
    <w:rsid w:val="001736B8"/>
    <w:rsid w:val="00174624"/>
    <w:rsid w:val="001746AF"/>
    <w:rsid w:val="00174E87"/>
    <w:rsid w:val="00174F90"/>
    <w:rsid w:val="001750EF"/>
    <w:rsid w:val="00175712"/>
    <w:rsid w:val="00175AF1"/>
    <w:rsid w:val="00175C46"/>
    <w:rsid w:val="0017611B"/>
    <w:rsid w:val="00176319"/>
    <w:rsid w:val="001765A2"/>
    <w:rsid w:val="00176C4A"/>
    <w:rsid w:val="0017793C"/>
    <w:rsid w:val="00177C44"/>
    <w:rsid w:val="00177DB1"/>
    <w:rsid w:val="0018019D"/>
    <w:rsid w:val="00180930"/>
    <w:rsid w:val="0018099F"/>
    <w:rsid w:val="00180E79"/>
    <w:rsid w:val="0018123F"/>
    <w:rsid w:val="0018204C"/>
    <w:rsid w:val="001827CA"/>
    <w:rsid w:val="00182888"/>
    <w:rsid w:val="00182DAC"/>
    <w:rsid w:val="00182DEA"/>
    <w:rsid w:val="00183224"/>
    <w:rsid w:val="001839B8"/>
    <w:rsid w:val="00183B5B"/>
    <w:rsid w:val="0018436B"/>
    <w:rsid w:val="001847BC"/>
    <w:rsid w:val="0018537D"/>
    <w:rsid w:val="0018615C"/>
    <w:rsid w:val="00186289"/>
    <w:rsid w:val="0018636C"/>
    <w:rsid w:val="00186629"/>
    <w:rsid w:val="00186962"/>
    <w:rsid w:val="00187260"/>
    <w:rsid w:val="00187485"/>
    <w:rsid w:val="0018795B"/>
    <w:rsid w:val="0019029A"/>
    <w:rsid w:val="00190416"/>
    <w:rsid w:val="00190921"/>
    <w:rsid w:val="00190CD6"/>
    <w:rsid w:val="00191185"/>
    <w:rsid w:val="00191FA4"/>
    <w:rsid w:val="00192431"/>
    <w:rsid w:val="00192953"/>
    <w:rsid w:val="00192B5E"/>
    <w:rsid w:val="00193204"/>
    <w:rsid w:val="001937BC"/>
    <w:rsid w:val="001945A0"/>
    <w:rsid w:val="00194943"/>
    <w:rsid w:val="00194C58"/>
    <w:rsid w:val="00194E13"/>
    <w:rsid w:val="00195BD0"/>
    <w:rsid w:val="00195CB3"/>
    <w:rsid w:val="00195F44"/>
    <w:rsid w:val="001969B6"/>
    <w:rsid w:val="00196AFF"/>
    <w:rsid w:val="00196CB3"/>
    <w:rsid w:val="00197492"/>
    <w:rsid w:val="0019764C"/>
    <w:rsid w:val="001A03D9"/>
    <w:rsid w:val="001A054B"/>
    <w:rsid w:val="001A0AE2"/>
    <w:rsid w:val="001A1289"/>
    <w:rsid w:val="001A1696"/>
    <w:rsid w:val="001A19CE"/>
    <w:rsid w:val="001A1B6B"/>
    <w:rsid w:val="001A21BB"/>
    <w:rsid w:val="001A21F9"/>
    <w:rsid w:val="001A2B9E"/>
    <w:rsid w:val="001A3738"/>
    <w:rsid w:val="001A3BE9"/>
    <w:rsid w:val="001A477A"/>
    <w:rsid w:val="001A483F"/>
    <w:rsid w:val="001A5CB2"/>
    <w:rsid w:val="001A604E"/>
    <w:rsid w:val="001A6A49"/>
    <w:rsid w:val="001A6C61"/>
    <w:rsid w:val="001A6E15"/>
    <w:rsid w:val="001A7153"/>
    <w:rsid w:val="001A7A4F"/>
    <w:rsid w:val="001B0133"/>
    <w:rsid w:val="001B0C3E"/>
    <w:rsid w:val="001B11BF"/>
    <w:rsid w:val="001B12AB"/>
    <w:rsid w:val="001B1676"/>
    <w:rsid w:val="001B2533"/>
    <w:rsid w:val="001B29C3"/>
    <w:rsid w:val="001B375B"/>
    <w:rsid w:val="001B3FD9"/>
    <w:rsid w:val="001B46C5"/>
    <w:rsid w:val="001B4724"/>
    <w:rsid w:val="001B4CCF"/>
    <w:rsid w:val="001B4D21"/>
    <w:rsid w:val="001B548B"/>
    <w:rsid w:val="001B5746"/>
    <w:rsid w:val="001B638B"/>
    <w:rsid w:val="001B6E04"/>
    <w:rsid w:val="001B7C66"/>
    <w:rsid w:val="001C00EE"/>
    <w:rsid w:val="001C0267"/>
    <w:rsid w:val="001C143C"/>
    <w:rsid w:val="001C15C9"/>
    <w:rsid w:val="001C1A97"/>
    <w:rsid w:val="001C1B93"/>
    <w:rsid w:val="001C1C42"/>
    <w:rsid w:val="001C1E01"/>
    <w:rsid w:val="001C20AA"/>
    <w:rsid w:val="001C20E7"/>
    <w:rsid w:val="001C2754"/>
    <w:rsid w:val="001C28BC"/>
    <w:rsid w:val="001C2EE0"/>
    <w:rsid w:val="001C336E"/>
    <w:rsid w:val="001C3AA5"/>
    <w:rsid w:val="001C3F55"/>
    <w:rsid w:val="001C4308"/>
    <w:rsid w:val="001C4F44"/>
    <w:rsid w:val="001C506C"/>
    <w:rsid w:val="001C53C4"/>
    <w:rsid w:val="001C56EA"/>
    <w:rsid w:val="001C5D8F"/>
    <w:rsid w:val="001C6C1E"/>
    <w:rsid w:val="001C7383"/>
    <w:rsid w:val="001C74D7"/>
    <w:rsid w:val="001C7A11"/>
    <w:rsid w:val="001C7A6A"/>
    <w:rsid w:val="001C7D90"/>
    <w:rsid w:val="001D0256"/>
    <w:rsid w:val="001D02E0"/>
    <w:rsid w:val="001D02F3"/>
    <w:rsid w:val="001D04E5"/>
    <w:rsid w:val="001D113C"/>
    <w:rsid w:val="001D1561"/>
    <w:rsid w:val="001D18F3"/>
    <w:rsid w:val="001D229B"/>
    <w:rsid w:val="001D2382"/>
    <w:rsid w:val="001D274E"/>
    <w:rsid w:val="001D3821"/>
    <w:rsid w:val="001D3C8F"/>
    <w:rsid w:val="001D4ED2"/>
    <w:rsid w:val="001D51DB"/>
    <w:rsid w:val="001D57C8"/>
    <w:rsid w:val="001D6704"/>
    <w:rsid w:val="001D6C3F"/>
    <w:rsid w:val="001E006A"/>
    <w:rsid w:val="001E01DD"/>
    <w:rsid w:val="001E0351"/>
    <w:rsid w:val="001E0B14"/>
    <w:rsid w:val="001E0E01"/>
    <w:rsid w:val="001E13D9"/>
    <w:rsid w:val="001E160C"/>
    <w:rsid w:val="001E18CF"/>
    <w:rsid w:val="001E1964"/>
    <w:rsid w:val="001E1AAD"/>
    <w:rsid w:val="001E214E"/>
    <w:rsid w:val="001E284F"/>
    <w:rsid w:val="001E3740"/>
    <w:rsid w:val="001E3FCB"/>
    <w:rsid w:val="001E4111"/>
    <w:rsid w:val="001E4C4E"/>
    <w:rsid w:val="001E4CFF"/>
    <w:rsid w:val="001E52A2"/>
    <w:rsid w:val="001E542A"/>
    <w:rsid w:val="001E5632"/>
    <w:rsid w:val="001E5868"/>
    <w:rsid w:val="001E5CE8"/>
    <w:rsid w:val="001E5FB4"/>
    <w:rsid w:val="001E67DD"/>
    <w:rsid w:val="001E686E"/>
    <w:rsid w:val="001E68DC"/>
    <w:rsid w:val="001E69BC"/>
    <w:rsid w:val="001E714E"/>
    <w:rsid w:val="001E76DA"/>
    <w:rsid w:val="001E79BA"/>
    <w:rsid w:val="001F03F2"/>
    <w:rsid w:val="001F0642"/>
    <w:rsid w:val="001F0A06"/>
    <w:rsid w:val="001F0B72"/>
    <w:rsid w:val="001F12A5"/>
    <w:rsid w:val="001F1E75"/>
    <w:rsid w:val="001F22B3"/>
    <w:rsid w:val="001F27CC"/>
    <w:rsid w:val="001F2CC3"/>
    <w:rsid w:val="001F3BB5"/>
    <w:rsid w:val="001F3BFE"/>
    <w:rsid w:val="001F41B4"/>
    <w:rsid w:val="001F48C5"/>
    <w:rsid w:val="001F4DCE"/>
    <w:rsid w:val="001F52AA"/>
    <w:rsid w:val="001F532C"/>
    <w:rsid w:val="001F53C6"/>
    <w:rsid w:val="001F5CD2"/>
    <w:rsid w:val="001F6BF4"/>
    <w:rsid w:val="001F7351"/>
    <w:rsid w:val="001F73A0"/>
    <w:rsid w:val="0020032F"/>
    <w:rsid w:val="0020090A"/>
    <w:rsid w:val="00200AFE"/>
    <w:rsid w:val="00200CBC"/>
    <w:rsid w:val="0020152B"/>
    <w:rsid w:val="00203385"/>
    <w:rsid w:val="00203A00"/>
    <w:rsid w:val="00203BD6"/>
    <w:rsid w:val="00204A2D"/>
    <w:rsid w:val="0020539E"/>
    <w:rsid w:val="00205724"/>
    <w:rsid w:val="00206201"/>
    <w:rsid w:val="00206C7D"/>
    <w:rsid w:val="00206CA5"/>
    <w:rsid w:val="00206EAD"/>
    <w:rsid w:val="002071A4"/>
    <w:rsid w:val="002075B9"/>
    <w:rsid w:val="002077EE"/>
    <w:rsid w:val="002078CE"/>
    <w:rsid w:val="00207E08"/>
    <w:rsid w:val="002102F5"/>
    <w:rsid w:val="00210BA3"/>
    <w:rsid w:val="00210BC7"/>
    <w:rsid w:val="00210DF1"/>
    <w:rsid w:val="002112CD"/>
    <w:rsid w:val="002117AA"/>
    <w:rsid w:val="00211CBB"/>
    <w:rsid w:val="0021259B"/>
    <w:rsid w:val="00212BC3"/>
    <w:rsid w:val="00212C53"/>
    <w:rsid w:val="0021320B"/>
    <w:rsid w:val="00213385"/>
    <w:rsid w:val="002134E2"/>
    <w:rsid w:val="00213558"/>
    <w:rsid w:val="002136C4"/>
    <w:rsid w:val="0021380D"/>
    <w:rsid w:val="00213F15"/>
    <w:rsid w:val="00214062"/>
    <w:rsid w:val="00214690"/>
    <w:rsid w:val="0021482A"/>
    <w:rsid w:val="00214BD9"/>
    <w:rsid w:val="00215135"/>
    <w:rsid w:val="00215662"/>
    <w:rsid w:val="00215B1A"/>
    <w:rsid w:val="00215F12"/>
    <w:rsid w:val="0021658A"/>
    <w:rsid w:val="00216B9E"/>
    <w:rsid w:val="0021730F"/>
    <w:rsid w:val="00217635"/>
    <w:rsid w:val="00220421"/>
    <w:rsid w:val="00220723"/>
    <w:rsid w:val="00220D23"/>
    <w:rsid w:val="002210A8"/>
    <w:rsid w:val="0022170B"/>
    <w:rsid w:val="002217B5"/>
    <w:rsid w:val="00221D11"/>
    <w:rsid w:val="00221E3B"/>
    <w:rsid w:val="00221E8A"/>
    <w:rsid w:val="0022224F"/>
    <w:rsid w:val="00222476"/>
    <w:rsid w:val="002227ED"/>
    <w:rsid w:val="002228B6"/>
    <w:rsid w:val="00222A66"/>
    <w:rsid w:val="00222DD8"/>
    <w:rsid w:val="002246FC"/>
    <w:rsid w:val="0022523C"/>
    <w:rsid w:val="0022542E"/>
    <w:rsid w:val="00225F54"/>
    <w:rsid w:val="0022655D"/>
    <w:rsid w:val="002272A0"/>
    <w:rsid w:val="00227873"/>
    <w:rsid w:val="00227E9B"/>
    <w:rsid w:val="002300B6"/>
    <w:rsid w:val="002300C6"/>
    <w:rsid w:val="002300FF"/>
    <w:rsid w:val="002306DC"/>
    <w:rsid w:val="00230C00"/>
    <w:rsid w:val="0023161F"/>
    <w:rsid w:val="00232BAC"/>
    <w:rsid w:val="00233120"/>
    <w:rsid w:val="00233131"/>
    <w:rsid w:val="00233579"/>
    <w:rsid w:val="00233FBB"/>
    <w:rsid w:val="00234213"/>
    <w:rsid w:val="0023436A"/>
    <w:rsid w:val="00234673"/>
    <w:rsid w:val="002346C1"/>
    <w:rsid w:val="00234799"/>
    <w:rsid w:val="00234CDF"/>
    <w:rsid w:val="00234DF6"/>
    <w:rsid w:val="00235984"/>
    <w:rsid w:val="002361C2"/>
    <w:rsid w:val="00236534"/>
    <w:rsid w:val="0023685D"/>
    <w:rsid w:val="0023719C"/>
    <w:rsid w:val="00237486"/>
    <w:rsid w:val="00237A25"/>
    <w:rsid w:val="00237F4C"/>
    <w:rsid w:val="00237FF9"/>
    <w:rsid w:val="00240100"/>
    <w:rsid w:val="002402B7"/>
    <w:rsid w:val="002408C3"/>
    <w:rsid w:val="00240B29"/>
    <w:rsid w:val="00241864"/>
    <w:rsid w:val="002419B2"/>
    <w:rsid w:val="0024275C"/>
    <w:rsid w:val="002431AC"/>
    <w:rsid w:val="0024328F"/>
    <w:rsid w:val="00243ACC"/>
    <w:rsid w:val="00243E3D"/>
    <w:rsid w:val="002442F1"/>
    <w:rsid w:val="002449E9"/>
    <w:rsid w:val="00244E06"/>
    <w:rsid w:val="00244EC6"/>
    <w:rsid w:val="00244F28"/>
    <w:rsid w:val="00244FFD"/>
    <w:rsid w:val="002458B8"/>
    <w:rsid w:val="002458FE"/>
    <w:rsid w:val="002459DA"/>
    <w:rsid w:val="00245D7A"/>
    <w:rsid w:val="00246061"/>
    <w:rsid w:val="00246B9B"/>
    <w:rsid w:val="00246FC9"/>
    <w:rsid w:val="002470B4"/>
    <w:rsid w:val="002472B8"/>
    <w:rsid w:val="00247697"/>
    <w:rsid w:val="00247C59"/>
    <w:rsid w:val="00250A5A"/>
    <w:rsid w:val="00250D4A"/>
    <w:rsid w:val="00250D94"/>
    <w:rsid w:val="00251261"/>
    <w:rsid w:val="00251338"/>
    <w:rsid w:val="002513A6"/>
    <w:rsid w:val="0025143E"/>
    <w:rsid w:val="00251F3B"/>
    <w:rsid w:val="0025224E"/>
    <w:rsid w:val="00253657"/>
    <w:rsid w:val="0025384E"/>
    <w:rsid w:val="00253FA6"/>
    <w:rsid w:val="0025409B"/>
    <w:rsid w:val="00254BAA"/>
    <w:rsid w:val="002550A8"/>
    <w:rsid w:val="00255190"/>
    <w:rsid w:val="002555D6"/>
    <w:rsid w:val="00256D1C"/>
    <w:rsid w:val="00257584"/>
    <w:rsid w:val="00257AE9"/>
    <w:rsid w:val="00260180"/>
    <w:rsid w:val="002607A7"/>
    <w:rsid w:val="00260AD6"/>
    <w:rsid w:val="00260C9A"/>
    <w:rsid w:val="00260CF4"/>
    <w:rsid w:val="00261386"/>
    <w:rsid w:val="00261409"/>
    <w:rsid w:val="0026194B"/>
    <w:rsid w:val="00261A07"/>
    <w:rsid w:val="00261F6C"/>
    <w:rsid w:val="00262228"/>
    <w:rsid w:val="00262E21"/>
    <w:rsid w:val="0026353B"/>
    <w:rsid w:val="00263879"/>
    <w:rsid w:val="002639C3"/>
    <w:rsid w:val="00263DE6"/>
    <w:rsid w:val="00264272"/>
    <w:rsid w:val="00264D0E"/>
    <w:rsid w:val="0026580D"/>
    <w:rsid w:val="00265A01"/>
    <w:rsid w:val="00267A59"/>
    <w:rsid w:val="00267B39"/>
    <w:rsid w:val="00272181"/>
    <w:rsid w:val="00273C86"/>
    <w:rsid w:val="00273E22"/>
    <w:rsid w:val="00273EFD"/>
    <w:rsid w:val="0027428A"/>
    <w:rsid w:val="00274518"/>
    <w:rsid w:val="00274B12"/>
    <w:rsid w:val="00274FCE"/>
    <w:rsid w:val="002755D4"/>
    <w:rsid w:val="00277ADF"/>
    <w:rsid w:val="00277C99"/>
    <w:rsid w:val="002801FB"/>
    <w:rsid w:val="0028072E"/>
    <w:rsid w:val="002808F1"/>
    <w:rsid w:val="00280C87"/>
    <w:rsid w:val="00280F8C"/>
    <w:rsid w:val="002818AB"/>
    <w:rsid w:val="00281AB5"/>
    <w:rsid w:val="00281AFF"/>
    <w:rsid w:val="00281D1C"/>
    <w:rsid w:val="00281D33"/>
    <w:rsid w:val="00281D50"/>
    <w:rsid w:val="00282161"/>
    <w:rsid w:val="00283D38"/>
    <w:rsid w:val="00284283"/>
    <w:rsid w:val="00284E30"/>
    <w:rsid w:val="00285058"/>
    <w:rsid w:val="0028528B"/>
    <w:rsid w:val="00285639"/>
    <w:rsid w:val="002858D4"/>
    <w:rsid w:val="002859D3"/>
    <w:rsid w:val="00285DF5"/>
    <w:rsid w:val="002865CC"/>
    <w:rsid w:val="0028664B"/>
    <w:rsid w:val="00286DC7"/>
    <w:rsid w:val="00287075"/>
    <w:rsid w:val="00290288"/>
    <w:rsid w:val="002906BD"/>
    <w:rsid w:val="0029074A"/>
    <w:rsid w:val="00290892"/>
    <w:rsid w:val="00290FA6"/>
    <w:rsid w:val="00291473"/>
    <w:rsid w:val="0029183B"/>
    <w:rsid w:val="00291C73"/>
    <w:rsid w:val="00291DB4"/>
    <w:rsid w:val="00291FD1"/>
    <w:rsid w:val="002923E3"/>
    <w:rsid w:val="00292F2B"/>
    <w:rsid w:val="00295168"/>
    <w:rsid w:val="00295561"/>
    <w:rsid w:val="00295E39"/>
    <w:rsid w:val="00296B21"/>
    <w:rsid w:val="00297F49"/>
    <w:rsid w:val="002A00B4"/>
    <w:rsid w:val="002A01EF"/>
    <w:rsid w:val="002A0A88"/>
    <w:rsid w:val="002A0E24"/>
    <w:rsid w:val="002A1606"/>
    <w:rsid w:val="002A19E0"/>
    <w:rsid w:val="002A21E9"/>
    <w:rsid w:val="002A2664"/>
    <w:rsid w:val="002A29EB"/>
    <w:rsid w:val="002A3710"/>
    <w:rsid w:val="002A42FC"/>
    <w:rsid w:val="002A4F8E"/>
    <w:rsid w:val="002A50D5"/>
    <w:rsid w:val="002A54D3"/>
    <w:rsid w:val="002A5AD5"/>
    <w:rsid w:val="002A5BA1"/>
    <w:rsid w:val="002A5FA8"/>
    <w:rsid w:val="002A6506"/>
    <w:rsid w:val="002A6752"/>
    <w:rsid w:val="002A6969"/>
    <w:rsid w:val="002A6B00"/>
    <w:rsid w:val="002A6C74"/>
    <w:rsid w:val="002A6F68"/>
    <w:rsid w:val="002A7066"/>
    <w:rsid w:val="002A7271"/>
    <w:rsid w:val="002A747C"/>
    <w:rsid w:val="002A7AAA"/>
    <w:rsid w:val="002B00AC"/>
    <w:rsid w:val="002B0FBB"/>
    <w:rsid w:val="002B1341"/>
    <w:rsid w:val="002B14B7"/>
    <w:rsid w:val="002B1B22"/>
    <w:rsid w:val="002B1D58"/>
    <w:rsid w:val="002B2767"/>
    <w:rsid w:val="002B29C5"/>
    <w:rsid w:val="002B2B81"/>
    <w:rsid w:val="002B332B"/>
    <w:rsid w:val="002B3647"/>
    <w:rsid w:val="002B3989"/>
    <w:rsid w:val="002B4644"/>
    <w:rsid w:val="002B50D9"/>
    <w:rsid w:val="002B5E6B"/>
    <w:rsid w:val="002B6104"/>
    <w:rsid w:val="002B6151"/>
    <w:rsid w:val="002B6301"/>
    <w:rsid w:val="002B6574"/>
    <w:rsid w:val="002B6CA0"/>
    <w:rsid w:val="002B6F48"/>
    <w:rsid w:val="002B6FA2"/>
    <w:rsid w:val="002B7389"/>
    <w:rsid w:val="002B7694"/>
    <w:rsid w:val="002B79E4"/>
    <w:rsid w:val="002B7CBD"/>
    <w:rsid w:val="002B7D59"/>
    <w:rsid w:val="002B7DE3"/>
    <w:rsid w:val="002C000A"/>
    <w:rsid w:val="002C079A"/>
    <w:rsid w:val="002C0F6F"/>
    <w:rsid w:val="002C0FB1"/>
    <w:rsid w:val="002C11A9"/>
    <w:rsid w:val="002C182F"/>
    <w:rsid w:val="002C1C60"/>
    <w:rsid w:val="002C24A2"/>
    <w:rsid w:val="002C2CB5"/>
    <w:rsid w:val="002C2CE1"/>
    <w:rsid w:val="002C2D15"/>
    <w:rsid w:val="002C2DA7"/>
    <w:rsid w:val="002C2EC7"/>
    <w:rsid w:val="002C3007"/>
    <w:rsid w:val="002C3716"/>
    <w:rsid w:val="002C3B22"/>
    <w:rsid w:val="002C4C66"/>
    <w:rsid w:val="002C5093"/>
    <w:rsid w:val="002C5385"/>
    <w:rsid w:val="002C54FE"/>
    <w:rsid w:val="002C56E9"/>
    <w:rsid w:val="002C5AD2"/>
    <w:rsid w:val="002C5F59"/>
    <w:rsid w:val="002C6224"/>
    <w:rsid w:val="002C6AFF"/>
    <w:rsid w:val="002C6BF6"/>
    <w:rsid w:val="002C7261"/>
    <w:rsid w:val="002C78A8"/>
    <w:rsid w:val="002C78E7"/>
    <w:rsid w:val="002D02D0"/>
    <w:rsid w:val="002D03E5"/>
    <w:rsid w:val="002D0464"/>
    <w:rsid w:val="002D087C"/>
    <w:rsid w:val="002D0AEB"/>
    <w:rsid w:val="002D0D73"/>
    <w:rsid w:val="002D1B7E"/>
    <w:rsid w:val="002D2B84"/>
    <w:rsid w:val="002D2D65"/>
    <w:rsid w:val="002D310C"/>
    <w:rsid w:val="002D3199"/>
    <w:rsid w:val="002D3CF6"/>
    <w:rsid w:val="002D3F69"/>
    <w:rsid w:val="002D403D"/>
    <w:rsid w:val="002D4070"/>
    <w:rsid w:val="002D45C0"/>
    <w:rsid w:val="002D5000"/>
    <w:rsid w:val="002D5BA2"/>
    <w:rsid w:val="002D5D42"/>
    <w:rsid w:val="002D66AC"/>
    <w:rsid w:val="002D694B"/>
    <w:rsid w:val="002D7114"/>
    <w:rsid w:val="002D72EC"/>
    <w:rsid w:val="002E01BE"/>
    <w:rsid w:val="002E18E1"/>
    <w:rsid w:val="002E1BC2"/>
    <w:rsid w:val="002E1C15"/>
    <w:rsid w:val="002E1CCC"/>
    <w:rsid w:val="002E2B8B"/>
    <w:rsid w:val="002E3195"/>
    <w:rsid w:val="002E40DF"/>
    <w:rsid w:val="002E4102"/>
    <w:rsid w:val="002E5584"/>
    <w:rsid w:val="002E5E4B"/>
    <w:rsid w:val="002E65DA"/>
    <w:rsid w:val="002E6941"/>
    <w:rsid w:val="002E6EA5"/>
    <w:rsid w:val="002E740C"/>
    <w:rsid w:val="002F0A09"/>
    <w:rsid w:val="002F0E19"/>
    <w:rsid w:val="002F1205"/>
    <w:rsid w:val="002F279D"/>
    <w:rsid w:val="002F2EB7"/>
    <w:rsid w:val="002F2F4E"/>
    <w:rsid w:val="002F36BC"/>
    <w:rsid w:val="002F3F06"/>
    <w:rsid w:val="002F485A"/>
    <w:rsid w:val="002F4A56"/>
    <w:rsid w:val="002F4D53"/>
    <w:rsid w:val="002F58E0"/>
    <w:rsid w:val="002F5A0B"/>
    <w:rsid w:val="002F5B42"/>
    <w:rsid w:val="002F5DF8"/>
    <w:rsid w:val="002F5F47"/>
    <w:rsid w:val="002F62E1"/>
    <w:rsid w:val="002F63D1"/>
    <w:rsid w:val="002F67C3"/>
    <w:rsid w:val="002F6884"/>
    <w:rsid w:val="002F68B2"/>
    <w:rsid w:val="002F6BA6"/>
    <w:rsid w:val="002F6FF9"/>
    <w:rsid w:val="002F73C6"/>
    <w:rsid w:val="002F7412"/>
    <w:rsid w:val="002F768C"/>
    <w:rsid w:val="002F78F2"/>
    <w:rsid w:val="002F7C37"/>
    <w:rsid w:val="003002AE"/>
    <w:rsid w:val="0030036B"/>
    <w:rsid w:val="00300BBF"/>
    <w:rsid w:val="00300D57"/>
    <w:rsid w:val="003014B4"/>
    <w:rsid w:val="003016DE"/>
    <w:rsid w:val="0030225C"/>
    <w:rsid w:val="00302970"/>
    <w:rsid w:val="00302E28"/>
    <w:rsid w:val="00302ECA"/>
    <w:rsid w:val="003034D9"/>
    <w:rsid w:val="00303666"/>
    <w:rsid w:val="00303884"/>
    <w:rsid w:val="00304351"/>
    <w:rsid w:val="00304889"/>
    <w:rsid w:val="00304C48"/>
    <w:rsid w:val="00305000"/>
    <w:rsid w:val="00305A9F"/>
    <w:rsid w:val="00305B22"/>
    <w:rsid w:val="00305FDD"/>
    <w:rsid w:val="00306173"/>
    <w:rsid w:val="00306259"/>
    <w:rsid w:val="00307284"/>
    <w:rsid w:val="0030735E"/>
    <w:rsid w:val="003073AD"/>
    <w:rsid w:val="003073F4"/>
    <w:rsid w:val="00310B1A"/>
    <w:rsid w:val="0031102A"/>
    <w:rsid w:val="0031106F"/>
    <w:rsid w:val="0031128E"/>
    <w:rsid w:val="00311633"/>
    <w:rsid w:val="00311857"/>
    <w:rsid w:val="00312295"/>
    <w:rsid w:val="00312652"/>
    <w:rsid w:val="00312C1C"/>
    <w:rsid w:val="003143EF"/>
    <w:rsid w:val="00314E68"/>
    <w:rsid w:val="003151B2"/>
    <w:rsid w:val="003159DA"/>
    <w:rsid w:val="00315BAB"/>
    <w:rsid w:val="00315F80"/>
    <w:rsid w:val="003167FC"/>
    <w:rsid w:val="0031681D"/>
    <w:rsid w:val="00316C4A"/>
    <w:rsid w:val="00316E5C"/>
    <w:rsid w:val="00317126"/>
    <w:rsid w:val="003178EC"/>
    <w:rsid w:val="00317C02"/>
    <w:rsid w:val="0032028F"/>
    <w:rsid w:val="0032060A"/>
    <w:rsid w:val="00320B72"/>
    <w:rsid w:val="0032128D"/>
    <w:rsid w:val="0032167C"/>
    <w:rsid w:val="003216C3"/>
    <w:rsid w:val="00322248"/>
    <w:rsid w:val="003226A6"/>
    <w:rsid w:val="003232C5"/>
    <w:rsid w:val="003235D4"/>
    <w:rsid w:val="0032370F"/>
    <w:rsid w:val="00323A1A"/>
    <w:rsid w:val="00324953"/>
    <w:rsid w:val="00325049"/>
    <w:rsid w:val="0032574D"/>
    <w:rsid w:val="00325A44"/>
    <w:rsid w:val="00325A51"/>
    <w:rsid w:val="00325DFE"/>
    <w:rsid w:val="003263EC"/>
    <w:rsid w:val="00326F8B"/>
    <w:rsid w:val="00327FD1"/>
    <w:rsid w:val="00330001"/>
    <w:rsid w:val="0033044E"/>
    <w:rsid w:val="0033102B"/>
    <w:rsid w:val="00331F84"/>
    <w:rsid w:val="00331FE9"/>
    <w:rsid w:val="0033210F"/>
    <w:rsid w:val="00332AF0"/>
    <w:rsid w:val="00332B68"/>
    <w:rsid w:val="0033351B"/>
    <w:rsid w:val="0033355C"/>
    <w:rsid w:val="00334195"/>
    <w:rsid w:val="003359E7"/>
    <w:rsid w:val="00335C7F"/>
    <w:rsid w:val="00335CED"/>
    <w:rsid w:val="00336197"/>
    <w:rsid w:val="003367D4"/>
    <w:rsid w:val="00336C2C"/>
    <w:rsid w:val="003373EA"/>
    <w:rsid w:val="00337806"/>
    <w:rsid w:val="00340C68"/>
    <w:rsid w:val="00340EB8"/>
    <w:rsid w:val="00340F8C"/>
    <w:rsid w:val="0034109A"/>
    <w:rsid w:val="003414DB"/>
    <w:rsid w:val="003415AE"/>
    <w:rsid w:val="00341EEF"/>
    <w:rsid w:val="00341F35"/>
    <w:rsid w:val="00342107"/>
    <w:rsid w:val="0034234F"/>
    <w:rsid w:val="00342889"/>
    <w:rsid w:val="0034295D"/>
    <w:rsid w:val="00342A76"/>
    <w:rsid w:val="00342E56"/>
    <w:rsid w:val="00343CD5"/>
    <w:rsid w:val="00345A1E"/>
    <w:rsid w:val="00345B92"/>
    <w:rsid w:val="0034663C"/>
    <w:rsid w:val="0034684D"/>
    <w:rsid w:val="00346B23"/>
    <w:rsid w:val="00346F96"/>
    <w:rsid w:val="00347350"/>
    <w:rsid w:val="003473CD"/>
    <w:rsid w:val="00347421"/>
    <w:rsid w:val="00350459"/>
    <w:rsid w:val="0035066F"/>
    <w:rsid w:val="003506CC"/>
    <w:rsid w:val="00350B8F"/>
    <w:rsid w:val="0035108E"/>
    <w:rsid w:val="00351152"/>
    <w:rsid w:val="003513ED"/>
    <w:rsid w:val="003522C0"/>
    <w:rsid w:val="00352736"/>
    <w:rsid w:val="00352CA2"/>
    <w:rsid w:val="00353918"/>
    <w:rsid w:val="00353B1E"/>
    <w:rsid w:val="00353F84"/>
    <w:rsid w:val="003544EE"/>
    <w:rsid w:val="00355100"/>
    <w:rsid w:val="00355797"/>
    <w:rsid w:val="003561E9"/>
    <w:rsid w:val="00356592"/>
    <w:rsid w:val="0035689D"/>
    <w:rsid w:val="00356990"/>
    <w:rsid w:val="003569CB"/>
    <w:rsid w:val="00356ADC"/>
    <w:rsid w:val="00356CB2"/>
    <w:rsid w:val="00356D1B"/>
    <w:rsid w:val="00356DAF"/>
    <w:rsid w:val="003578FF"/>
    <w:rsid w:val="00357F60"/>
    <w:rsid w:val="00360273"/>
    <w:rsid w:val="003604A8"/>
    <w:rsid w:val="00360806"/>
    <w:rsid w:val="003609F5"/>
    <w:rsid w:val="00360FE7"/>
    <w:rsid w:val="00360FF5"/>
    <w:rsid w:val="003620AD"/>
    <w:rsid w:val="0036244F"/>
    <w:rsid w:val="00362FB3"/>
    <w:rsid w:val="00363573"/>
    <w:rsid w:val="003638FF"/>
    <w:rsid w:val="0036439A"/>
    <w:rsid w:val="003648D9"/>
    <w:rsid w:val="00364923"/>
    <w:rsid w:val="00364ADF"/>
    <w:rsid w:val="00365A4C"/>
    <w:rsid w:val="00366B49"/>
    <w:rsid w:val="00367097"/>
    <w:rsid w:val="003674B4"/>
    <w:rsid w:val="00367BFD"/>
    <w:rsid w:val="003701EE"/>
    <w:rsid w:val="00370A50"/>
    <w:rsid w:val="00370AB6"/>
    <w:rsid w:val="0037114B"/>
    <w:rsid w:val="0037208F"/>
    <w:rsid w:val="003722B0"/>
    <w:rsid w:val="00372BFF"/>
    <w:rsid w:val="00372E4F"/>
    <w:rsid w:val="00373B08"/>
    <w:rsid w:val="0037527F"/>
    <w:rsid w:val="00375413"/>
    <w:rsid w:val="00375B2A"/>
    <w:rsid w:val="003762EF"/>
    <w:rsid w:val="00376DDB"/>
    <w:rsid w:val="003774AB"/>
    <w:rsid w:val="00377895"/>
    <w:rsid w:val="003778F4"/>
    <w:rsid w:val="003803D8"/>
    <w:rsid w:val="00380F4B"/>
    <w:rsid w:val="00382D2A"/>
    <w:rsid w:val="00382F1D"/>
    <w:rsid w:val="0038307F"/>
    <w:rsid w:val="00383BA8"/>
    <w:rsid w:val="00384851"/>
    <w:rsid w:val="00384A3D"/>
    <w:rsid w:val="00384B85"/>
    <w:rsid w:val="003850AB"/>
    <w:rsid w:val="00385622"/>
    <w:rsid w:val="00385E4B"/>
    <w:rsid w:val="00386106"/>
    <w:rsid w:val="0038683D"/>
    <w:rsid w:val="00386893"/>
    <w:rsid w:val="00386F6B"/>
    <w:rsid w:val="00387397"/>
    <w:rsid w:val="00387C65"/>
    <w:rsid w:val="00390282"/>
    <w:rsid w:val="003905A6"/>
    <w:rsid w:val="00390630"/>
    <w:rsid w:val="00391297"/>
    <w:rsid w:val="003915CD"/>
    <w:rsid w:val="00391D15"/>
    <w:rsid w:val="0039221E"/>
    <w:rsid w:val="003922BF"/>
    <w:rsid w:val="00392D5E"/>
    <w:rsid w:val="00393700"/>
    <w:rsid w:val="00393BB0"/>
    <w:rsid w:val="00393D1E"/>
    <w:rsid w:val="0039413C"/>
    <w:rsid w:val="00394164"/>
    <w:rsid w:val="0039445F"/>
    <w:rsid w:val="00394DD4"/>
    <w:rsid w:val="00394EA5"/>
    <w:rsid w:val="00395207"/>
    <w:rsid w:val="00395758"/>
    <w:rsid w:val="00395FEB"/>
    <w:rsid w:val="00396715"/>
    <w:rsid w:val="00396E6B"/>
    <w:rsid w:val="0039711C"/>
    <w:rsid w:val="00397661"/>
    <w:rsid w:val="00397A8C"/>
    <w:rsid w:val="00397D4F"/>
    <w:rsid w:val="003A0003"/>
    <w:rsid w:val="003A1A29"/>
    <w:rsid w:val="003A2567"/>
    <w:rsid w:val="003A2732"/>
    <w:rsid w:val="003A2B89"/>
    <w:rsid w:val="003A361B"/>
    <w:rsid w:val="003A3978"/>
    <w:rsid w:val="003A3B9F"/>
    <w:rsid w:val="003A471D"/>
    <w:rsid w:val="003A4802"/>
    <w:rsid w:val="003A4D1E"/>
    <w:rsid w:val="003A4F55"/>
    <w:rsid w:val="003A53D9"/>
    <w:rsid w:val="003A6677"/>
    <w:rsid w:val="003A66D6"/>
    <w:rsid w:val="003A68D6"/>
    <w:rsid w:val="003A6E42"/>
    <w:rsid w:val="003A78F9"/>
    <w:rsid w:val="003A79F4"/>
    <w:rsid w:val="003A7A5F"/>
    <w:rsid w:val="003A7ABA"/>
    <w:rsid w:val="003A7E11"/>
    <w:rsid w:val="003B00FA"/>
    <w:rsid w:val="003B0344"/>
    <w:rsid w:val="003B0C4A"/>
    <w:rsid w:val="003B0F38"/>
    <w:rsid w:val="003B1990"/>
    <w:rsid w:val="003B1D00"/>
    <w:rsid w:val="003B232A"/>
    <w:rsid w:val="003B3459"/>
    <w:rsid w:val="003B3EE3"/>
    <w:rsid w:val="003B47AB"/>
    <w:rsid w:val="003B4956"/>
    <w:rsid w:val="003B5191"/>
    <w:rsid w:val="003B553E"/>
    <w:rsid w:val="003B5945"/>
    <w:rsid w:val="003B6A3F"/>
    <w:rsid w:val="003B6A5E"/>
    <w:rsid w:val="003B6DBA"/>
    <w:rsid w:val="003B767B"/>
    <w:rsid w:val="003B7C65"/>
    <w:rsid w:val="003B7D1E"/>
    <w:rsid w:val="003B7D88"/>
    <w:rsid w:val="003C0DBC"/>
    <w:rsid w:val="003C1455"/>
    <w:rsid w:val="003C16D1"/>
    <w:rsid w:val="003C1991"/>
    <w:rsid w:val="003C24E9"/>
    <w:rsid w:val="003C2A24"/>
    <w:rsid w:val="003C2AF1"/>
    <w:rsid w:val="003C2DC8"/>
    <w:rsid w:val="003C2E26"/>
    <w:rsid w:val="003C3030"/>
    <w:rsid w:val="003C32E6"/>
    <w:rsid w:val="003C35B5"/>
    <w:rsid w:val="003C437F"/>
    <w:rsid w:val="003C6049"/>
    <w:rsid w:val="003C6B7F"/>
    <w:rsid w:val="003C6D24"/>
    <w:rsid w:val="003C7297"/>
    <w:rsid w:val="003C77CC"/>
    <w:rsid w:val="003C7BF2"/>
    <w:rsid w:val="003C7D45"/>
    <w:rsid w:val="003D0228"/>
    <w:rsid w:val="003D09A8"/>
    <w:rsid w:val="003D0E1D"/>
    <w:rsid w:val="003D1B6A"/>
    <w:rsid w:val="003D1D0F"/>
    <w:rsid w:val="003D2489"/>
    <w:rsid w:val="003D2E17"/>
    <w:rsid w:val="003D333F"/>
    <w:rsid w:val="003D34A2"/>
    <w:rsid w:val="003D4417"/>
    <w:rsid w:val="003D450E"/>
    <w:rsid w:val="003D462A"/>
    <w:rsid w:val="003D4E7E"/>
    <w:rsid w:val="003D5270"/>
    <w:rsid w:val="003D5448"/>
    <w:rsid w:val="003D5449"/>
    <w:rsid w:val="003D5C2A"/>
    <w:rsid w:val="003D5DC0"/>
    <w:rsid w:val="003D6037"/>
    <w:rsid w:val="003D61D8"/>
    <w:rsid w:val="003D6581"/>
    <w:rsid w:val="003D665B"/>
    <w:rsid w:val="003D68DD"/>
    <w:rsid w:val="003D69AB"/>
    <w:rsid w:val="003D6ED8"/>
    <w:rsid w:val="003E073A"/>
    <w:rsid w:val="003E0B30"/>
    <w:rsid w:val="003E0C67"/>
    <w:rsid w:val="003E0FE2"/>
    <w:rsid w:val="003E0FF5"/>
    <w:rsid w:val="003E10DA"/>
    <w:rsid w:val="003E135B"/>
    <w:rsid w:val="003E13F5"/>
    <w:rsid w:val="003E15DB"/>
    <w:rsid w:val="003E1876"/>
    <w:rsid w:val="003E2CD5"/>
    <w:rsid w:val="003E2E1C"/>
    <w:rsid w:val="003E3516"/>
    <w:rsid w:val="003E3DDC"/>
    <w:rsid w:val="003E43B0"/>
    <w:rsid w:val="003E45DA"/>
    <w:rsid w:val="003E4716"/>
    <w:rsid w:val="003E487F"/>
    <w:rsid w:val="003E49A9"/>
    <w:rsid w:val="003E4E12"/>
    <w:rsid w:val="003E4E55"/>
    <w:rsid w:val="003E5B06"/>
    <w:rsid w:val="003E66BC"/>
    <w:rsid w:val="003E7662"/>
    <w:rsid w:val="003E7945"/>
    <w:rsid w:val="003E7CCB"/>
    <w:rsid w:val="003E7E0A"/>
    <w:rsid w:val="003F1FCD"/>
    <w:rsid w:val="003F229C"/>
    <w:rsid w:val="003F2571"/>
    <w:rsid w:val="003F259D"/>
    <w:rsid w:val="003F2BDA"/>
    <w:rsid w:val="003F2DA2"/>
    <w:rsid w:val="003F3333"/>
    <w:rsid w:val="003F371E"/>
    <w:rsid w:val="003F389A"/>
    <w:rsid w:val="003F3C08"/>
    <w:rsid w:val="003F42A2"/>
    <w:rsid w:val="003F4FBA"/>
    <w:rsid w:val="003F569C"/>
    <w:rsid w:val="003F588F"/>
    <w:rsid w:val="003F5980"/>
    <w:rsid w:val="003F5C14"/>
    <w:rsid w:val="003F5F89"/>
    <w:rsid w:val="003F6332"/>
    <w:rsid w:val="003F69B6"/>
    <w:rsid w:val="003F6AAF"/>
    <w:rsid w:val="003F72B0"/>
    <w:rsid w:val="003F7802"/>
    <w:rsid w:val="003F79DC"/>
    <w:rsid w:val="00400214"/>
    <w:rsid w:val="00400604"/>
    <w:rsid w:val="004008BF"/>
    <w:rsid w:val="00400C06"/>
    <w:rsid w:val="00402136"/>
    <w:rsid w:val="004023C5"/>
    <w:rsid w:val="0040270F"/>
    <w:rsid w:val="00402980"/>
    <w:rsid w:val="00402A50"/>
    <w:rsid w:val="00402C0D"/>
    <w:rsid w:val="00402DAF"/>
    <w:rsid w:val="00402E07"/>
    <w:rsid w:val="00404081"/>
    <w:rsid w:val="00404143"/>
    <w:rsid w:val="004042E5"/>
    <w:rsid w:val="004042FE"/>
    <w:rsid w:val="004044FD"/>
    <w:rsid w:val="00404A3A"/>
    <w:rsid w:val="00405302"/>
    <w:rsid w:val="004053E6"/>
    <w:rsid w:val="00405482"/>
    <w:rsid w:val="00405833"/>
    <w:rsid w:val="004058E4"/>
    <w:rsid w:val="00406EC6"/>
    <w:rsid w:val="00407CBE"/>
    <w:rsid w:val="00407E0F"/>
    <w:rsid w:val="00407F1C"/>
    <w:rsid w:val="00410D17"/>
    <w:rsid w:val="00410F01"/>
    <w:rsid w:val="004125C2"/>
    <w:rsid w:val="00412BE5"/>
    <w:rsid w:val="00412CB4"/>
    <w:rsid w:val="004132EB"/>
    <w:rsid w:val="004138D1"/>
    <w:rsid w:val="004149DC"/>
    <w:rsid w:val="00414C53"/>
    <w:rsid w:val="00415466"/>
    <w:rsid w:val="00415A52"/>
    <w:rsid w:val="00415C60"/>
    <w:rsid w:val="00415EC9"/>
    <w:rsid w:val="00415FF7"/>
    <w:rsid w:val="00416C5F"/>
    <w:rsid w:val="00416FEC"/>
    <w:rsid w:val="0041730B"/>
    <w:rsid w:val="004204C9"/>
    <w:rsid w:val="00420851"/>
    <w:rsid w:val="00420935"/>
    <w:rsid w:val="00420A36"/>
    <w:rsid w:val="004213E4"/>
    <w:rsid w:val="00421659"/>
    <w:rsid w:val="00421AEE"/>
    <w:rsid w:val="00421B58"/>
    <w:rsid w:val="00421C26"/>
    <w:rsid w:val="00422979"/>
    <w:rsid w:val="00423541"/>
    <w:rsid w:val="0042365A"/>
    <w:rsid w:val="004237D5"/>
    <w:rsid w:val="00424D5A"/>
    <w:rsid w:val="00425689"/>
    <w:rsid w:val="00425EC6"/>
    <w:rsid w:val="00426074"/>
    <w:rsid w:val="0042650D"/>
    <w:rsid w:val="00426626"/>
    <w:rsid w:val="004267D4"/>
    <w:rsid w:val="00426D3F"/>
    <w:rsid w:val="004276D0"/>
    <w:rsid w:val="0042779E"/>
    <w:rsid w:val="004302E6"/>
    <w:rsid w:val="00430544"/>
    <w:rsid w:val="00430CFD"/>
    <w:rsid w:val="00430DBB"/>
    <w:rsid w:val="00431D20"/>
    <w:rsid w:val="004320E1"/>
    <w:rsid w:val="00432533"/>
    <w:rsid w:val="00432998"/>
    <w:rsid w:val="00432DA9"/>
    <w:rsid w:val="004330A5"/>
    <w:rsid w:val="004331AE"/>
    <w:rsid w:val="00433684"/>
    <w:rsid w:val="00433A26"/>
    <w:rsid w:val="00435D55"/>
    <w:rsid w:val="00435EA0"/>
    <w:rsid w:val="00436787"/>
    <w:rsid w:val="004367D1"/>
    <w:rsid w:val="00436D49"/>
    <w:rsid w:val="004377D8"/>
    <w:rsid w:val="00440420"/>
    <w:rsid w:val="00440ADC"/>
    <w:rsid w:val="00441142"/>
    <w:rsid w:val="0044140C"/>
    <w:rsid w:val="00441D36"/>
    <w:rsid w:val="00441DA8"/>
    <w:rsid w:val="00442533"/>
    <w:rsid w:val="00442D96"/>
    <w:rsid w:val="00443455"/>
    <w:rsid w:val="00443A89"/>
    <w:rsid w:val="00443B8C"/>
    <w:rsid w:val="004452CB"/>
    <w:rsid w:val="00445716"/>
    <w:rsid w:val="00445851"/>
    <w:rsid w:val="00445C26"/>
    <w:rsid w:val="0044607B"/>
    <w:rsid w:val="004465BF"/>
    <w:rsid w:val="00447798"/>
    <w:rsid w:val="00447818"/>
    <w:rsid w:val="00447EB7"/>
    <w:rsid w:val="00447F6E"/>
    <w:rsid w:val="00450F60"/>
    <w:rsid w:val="004510CA"/>
    <w:rsid w:val="00451E21"/>
    <w:rsid w:val="00452066"/>
    <w:rsid w:val="00452148"/>
    <w:rsid w:val="004522FE"/>
    <w:rsid w:val="00452A48"/>
    <w:rsid w:val="00452C05"/>
    <w:rsid w:val="00453149"/>
    <w:rsid w:val="004543D5"/>
    <w:rsid w:val="00454766"/>
    <w:rsid w:val="00455569"/>
    <w:rsid w:val="00456B77"/>
    <w:rsid w:val="00457F88"/>
    <w:rsid w:val="00460423"/>
    <w:rsid w:val="00460BE4"/>
    <w:rsid w:val="00460DE7"/>
    <w:rsid w:val="0046143B"/>
    <w:rsid w:val="004619F9"/>
    <w:rsid w:val="00462C12"/>
    <w:rsid w:val="00463981"/>
    <w:rsid w:val="00465742"/>
    <w:rsid w:val="00465A63"/>
    <w:rsid w:val="0046652F"/>
    <w:rsid w:val="00466820"/>
    <w:rsid w:val="00466C56"/>
    <w:rsid w:val="0046716B"/>
    <w:rsid w:val="00467788"/>
    <w:rsid w:val="004678BB"/>
    <w:rsid w:val="00467F93"/>
    <w:rsid w:val="00470363"/>
    <w:rsid w:val="0047063E"/>
    <w:rsid w:val="00470A23"/>
    <w:rsid w:val="00470FE7"/>
    <w:rsid w:val="0047157F"/>
    <w:rsid w:val="004720CF"/>
    <w:rsid w:val="00472844"/>
    <w:rsid w:val="00472A97"/>
    <w:rsid w:val="004731A2"/>
    <w:rsid w:val="00473369"/>
    <w:rsid w:val="0047547F"/>
    <w:rsid w:val="004761CE"/>
    <w:rsid w:val="00476552"/>
    <w:rsid w:val="0047702E"/>
    <w:rsid w:val="004777A6"/>
    <w:rsid w:val="004778CB"/>
    <w:rsid w:val="00477A8B"/>
    <w:rsid w:val="004803CA"/>
    <w:rsid w:val="004803DB"/>
    <w:rsid w:val="004807E8"/>
    <w:rsid w:val="00480C2E"/>
    <w:rsid w:val="00481022"/>
    <w:rsid w:val="004817AF"/>
    <w:rsid w:val="0048192C"/>
    <w:rsid w:val="00482035"/>
    <w:rsid w:val="00482865"/>
    <w:rsid w:val="00482F2E"/>
    <w:rsid w:val="00483261"/>
    <w:rsid w:val="00483820"/>
    <w:rsid w:val="00483B07"/>
    <w:rsid w:val="004843AB"/>
    <w:rsid w:val="00484A1D"/>
    <w:rsid w:val="00484FE6"/>
    <w:rsid w:val="0048541F"/>
    <w:rsid w:val="00486A57"/>
    <w:rsid w:val="00486C37"/>
    <w:rsid w:val="00486F90"/>
    <w:rsid w:val="00487644"/>
    <w:rsid w:val="004876B1"/>
    <w:rsid w:val="00487945"/>
    <w:rsid w:val="00487A0C"/>
    <w:rsid w:val="00487B47"/>
    <w:rsid w:val="0049009A"/>
    <w:rsid w:val="0049098D"/>
    <w:rsid w:val="00490E50"/>
    <w:rsid w:val="00491159"/>
    <w:rsid w:val="004914C4"/>
    <w:rsid w:val="00491D7E"/>
    <w:rsid w:val="0049236E"/>
    <w:rsid w:val="0049340A"/>
    <w:rsid w:val="004936F9"/>
    <w:rsid w:val="004937A9"/>
    <w:rsid w:val="00493834"/>
    <w:rsid w:val="00493E66"/>
    <w:rsid w:val="004942CB"/>
    <w:rsid w:val="00495552"/>
    <w:rsid w:val="00495CA0"/>
    <w:rsid w:val="004970E3"/>
    <w:rsid w:val="004974BD"/>
    <w:rsid w:val="0049772B"/>
    <w:rsid w:val="004A00B2"/>
    <w:rsid w:val="004A034A"/>
    <w:rsid w:val="004A0508"/>
    <w:rsid w:val="004A0B15"/>
    <w:rsid w:val="004A1D4D"/>
    <w:rsid w:val="004A255D"/>
    <w:rsid w:val="004A2A1F"/>
    <w:rsid w:val="004A2FD3"/>
    <w:rsid w:val="004A31C4"/>
    <w:rsid w:val="004A3C54"/>
    <w:rsid w:val="004A3CDE"/>
    <w:rsid w:val="004A3D01"/>
    <w:rsid w:val="004A4008"/>
    <w:rsid w:val="004A481F"/>
    <w:rsid w:val="004A4A63"/>
    <w:rsid w:val="004A5178"/>
    <w:rsid w:val="004A58BF"/>
    <w:rsid w:val="004A5A69"/>
    <w:rsid w:val="004A7618"/>
    <w:rsid w:val="004A7762"/>
    <w:rsid w:val="004B0529"/>
    <w:rsid w:val="004B0FC1"/>
    <w:rsid w:val="004B11A9"/>
    <w:rsid w:val="004B1DAA"/>
    <w:rsid w:val="004B1FD3"/>
    <w:rsid w:val="004B327C"/>
    <w:rsid w:val="004B3A5A"/>
    <w:rsid w:val="004B3B2F"/>
    <w:rsid w:val="004B3BFB"/>
    <w:rsid w:val="004B4094"/>
    <w:rsid w:val="004B418A"/>
    <w:rsid w:val="004B423C"/>
    <w:rsid w:val="004B42EE"/>
    <w:rsid w:val="004B48CE"/>
    <w:rsid w:val="004B4AA3"/>
    <w:rsid w:val="004B4C4F"/>
    <w:rsid w:val="004B5ACC"/>
    <w:rsid w:val="004B6213"/>
    <w:rsid w:val="004B65C1"/>
    <w:rsid w:val="004B6C54"/>
    <w:rsid w:val="004B6CCF"/>
    <w:rsid w:val="004B71DE"/>
    <w:rsid w:val="004B7589"/>
    <w:rsid w:val="004C00F0"/>
    <w:rsid w:val="004C04A9"/>
    <w:rsid w:val="004C1E63"/>
    <w:rsid w:val="004C2D36"/>
    <w:rsid w:val="004C36C1"/>
    <w:rsid w:val="004C3873"/>
    <w:rsid w:val="004C3D09"/>
    <w:rsid w:val="004C3DAB"/>
    <w:rsid w:val="004C40E1"/>
    <w:rsid w:val="004C46F7"/>
    <w:rsid w:val="004C4B5A"/>
    <w:rsid w:val="004C5036"/>
    <w:rsid w:val="004C50D4"/>
    <w:rsid w:val="004C5471"/>
    <w:rsid w:val="004C57A7"/>
    <w:rsid w:val="004C597D"/>
    <w:rsid w:val="004C5EAF"/>
    <w:rsid w:val="004C6A7E"/>
    <w:rsid w:val="004C6A96"/>
    <w:rsid w:val="004C6AEC"/>
    <w:rsid w:val="004C6B6A"/>
    <w:rsid w:val="004C6D78"/>
    <w:rsid w:val="004C6F25"/>
    <w:rsid w:val="004C71E7"/>
    <w:rsid w:val="004C7BBD"/>
    <w:rsid w:val="004C7F05"/>
    <w:rsid w:val="004D060F"/>
    <w:rsid w:val="004D061B"/>
    <w:rsid w:val="004D068C"/>
    <w:rsid w:val="004D0A97"/>
    <w:rsid w:val="004D1123"/>
    <w:rsid w:val="004D1E2D"/>
    <w:rsid w:val="004D2DA2"/>
    <w:rsid w:val="004D3620"/>
    <w:rsid w:val="004D3841"/>
    <w:rsid w:val="004D40B6"/>
    <w:rsid w:val="004D4505"/>
    <w:rsid w:val="004D52CF"/>
    <w:rsid w:val="004D5B81"/>
    <w:rsid w:val="004D5D21"/>
    <w:rsid w:val="004D5FFF"/>
    <w:rsid w:val="004D61EF"/>
    <w:rsid w:val="004D6866"/>
    <w:rsid w:val="004D6FE1"/>
    <w:rsid w:val="004D720E"/>
    <w:rsid w:val="004D73A4"/>
    <w:rsid w:val="004D7773"/>
    <w:rsid w:val="004D7F33"/>
    <w:rsid w:val="004E0A1C"/>
    <w:rsid w:val="004E13B0"/>
    <w:rsid w:val="004E153D"/>
    <w:rsid w:val="004E15C2"/>
    <w:rsid w:val="004E15D9"/>
    <w:rsid w:val="004E1B18"/>
    <w:rsid w:val="004E1C0D"/>
    <w:rsid w:val="004E200C"/>
    <w:rsid w:val="004E2BA4"/>
    <w:rsid w:val="004E478F"/>
    <w:rsid w:val="004E53E3"/>
    <w:rsid w:val="004E5FDF"/>
    <w:rsid w:val="004E6958"/>
    <w:rsid w:val="004E6C04"/>
    <w:rsid w:val="004E7261"/>
    <w:rsid w:val="004E78CA"/>
    <w:rsid w:val="004F041E"/>
    <w:rsid w:val="004F0970"/>
    <w:rsid w:val="004F099F"/>
    <w:rsid w:val="004F0E97"/>
    <w:rsid w:val="004F1DD2"/>
    <w:rsid w:val="004F1F09"/>
    <w:rsid w:val="004F203A"/>
    <w:rsid w:val="004F23FB"/>
    <w:rsid w:val="004F26AB"/>
    <w:rsid w:val="004F2ABA"/>
    <w:rsid w:val="004F3A2B"/>
    <w:rsid w:val="004F4186"/>
    <w:rsid w:val="004F425F"/>
    <w:rsid w:val="004F4717"/>
    <w:rsid w:val="004F4BCD"/>
    <w:rsid w:val="004F54D6"/>
    <w:rsid w:val="004F555E"/>
    <w:rsid w:val="004F5A5A"/>
    <w:rsid w:val="004F5E1E"/>
    <w:rsid w:val="004F5FBA"/>
    <w:rsid w:val="004F7553"/>
    <w:rsid w:val="004F78F9"/>
    <w:rsid w:val="004F7A95"/>
    <w:rsid w:val="004F7AA8"/>
    <w:rsid w:val="004F7F63"/>
    <w:rsid w:val="00500537"/>
    <w:rsid w:val="00500E0A"/>
    <w:rsid w:val="00501A63"/>
    <w:rsid w:val="00501B0D"/>
    <w:rsid w:val="0050222D"/>
    <w:rsid w:val="005024C7"/>
    <w:rsid w:val="005027CE"/>
    <w:rsid w:val="0050346B"/>
    <w:rsid w:val="0050381A"/>
    <w:rsid w:val="00504E68"/>
    <w:rsid w:val="005050F9"/>
    <w:rsid w:val="00505400"/>
    <w:rsid w:val="005055FC"/>
    <w:rsid w:val="005057EF"/>
    <w:rsid w:val="00505912"/>
    <w:rsid w:val="00505A49"/>
    <w:rsid w:val="00505B07"/>
    <w:rsid w:val="005066F6"/>
    <w:rsid w:val="00506A38"/>
    <w:rsid w:val="00506E8C"/>
    <w:rsid w:val="00506F32"/>
    <w:rsid w:val="00507192"/>
    <w:rsid w:val="0050752B"/>
    <w:rsid w:val="0051010E"/>
    <w:rsid w:val="00510122"/>
    <w:rsid w:val="0051042B"/>
    <w:rsid w:val="00510FE4"/>
    <w:rsid w:val="00511664"/>
    <w:rsid w:val="005120C8"/>
    <w:rsid w:val="0051286D"/>
    <w:rsid w:val="005133B9"/>
    <w:rsid w:val="005135A7"/>
    <w:rsid w:val="005136D4"/>
    <w:rsid w:val="005137EE"/>
    <w:rsid w:val="005140F7"/>
    <w:rsid w:val="005143C5"/>
    <w:rsid w:val="005144D6"/>
    <w:rsid w:val="005147BE"/>
    <w:rsid w:val="0051501E"/>
    <w:rsid w:val="005155DC"/>
    <w:rsid w:val="00515B73"/>
    <w:rsid w:val="00515BF5"/>
    <w:rsid w:val="00516266"/>
    <w:rsid w:val="00516305"/>
    <w:rsid w:val="00516C60"/>
    <w:rsid w:val="00516E96"/>
    <w:rsid w:val="00517092"/>
    <w:rsid w:val="00517ECF"/>
    <w:rsid w:val="00520469"/>
    <w:rsid w:val="00520558"/>
    <w:rsid w:val="005205A3"/>
    <w:rsid w:val="00520968"/>
    <w:rsid w:val="0052126F"/>
    <w:rsid w:val="00521D82"/>
    <w:rsid w:val="00522109"/>
    <w:rsid w:val="00523DC7"/>
    <w:rsid w:val="005241DB"/>
    <w:rsid w:val="0052449B"/>
    <w:rsid w:val="00524B64"/>
    <w:rsid w:val="0052520E"/>
    <w:rsid w:val="005259D8"/>
    <w:rsid w:val="00525CE1"/>
    <w:rsid w:val="00525D7D"/>
    <w:rsid w:val="00525FBD"/>
    <w:rsid w:val="0052673D"/>
    <w:rsid w:val="0052673E"/>
    <w:rsid w:val="00526AAE"/>
    <w:rsid w:val="00526B84"/>
    <w:rsid w:val="00526CBA"/>
    <w:rsid w:val="00526F1C"/>
    <w:rsid w:val="00527190"/>
    <w:rsid w:val="00527556"/>
    <w:rsid w:val="00530184"/>
    <w:rsid w:val="00530CE6"/>
    <w:rsid w:val="0053105D"/>
    <w:rsid w:val="00532243"/>
    <w:rsid w:val="005327BD"/>
    <w:rsid w:val="005328C0"/>
    <w:rsid w:val="00532F04"/>
    <w:rsid w:val="00533389"/>
    <w:rsid w:val="00533823"/>
    <w:rsid w:val="00533A16"/>
    <w:rsid w:val="005340B3"/>
    <w:rsid w:val="005342F6"/>
    <w:rsid w:val="005343B5"/>
    <w:rsid w:val="0053464F"/>
    <w:rsid w:val="00534987"/>
    <w:rsid w:val="005354F5"/>
    <w:rsid w:val="00535676"/>
    <w:rsid w:val="0053579A"/>
    <w:rsid w:val="00535BAD"/>
    <w:rsid w:val="00536222"/>
    <w:rsid w:val="00536CFB"/>
    <w:rsid w:val="00536F3C"/>
    <w:rsid w:val="005377C9"/>
    <w:rsid w:val="0054017F"/>
    <w:rsid w:val="005403DC"/>
    <w:rsid w:val="00540F58"/>
    <w:rsid w:val="00541049"/>
    <w:rsid w:val="005412E5"/>
    <w:rsid w:val="00541343"/>
    <w:rsid w:val="00541502"/>
    <w:rsid w:val="0054166E"/>
    <w:rsid w:val="00541BB3"/>
    <w:rsid w:val="00542375"/>
    <w:rsid w:val="00542425"/>
    <w:rsid w:val="0054298B"/>
    <w:rsid w:val="00542AB7"/>
    <w:rsid w:val="00542DF0"/>
    <w:rsid w:val="00543004"/>
    <w:rsid w:val="00543463"/>
    <w:rsid w:val="005436FF"/>
    <w:rsid w:val="005445EF"/>
    <w:rsid w:val="00544873"/>
    <w:rsid w:val="00544AAE"/>
    <w:rsid w:val="00544DB5"/>
    <w:rsid w:val="00545496"/>
    <w:rsid w:val="00545D27"/>
    <w:rsid w:val="00545E89"/>
    <w:rsid w:val="005460F4"/>
    <w:rsid w:val="005464CC"/>
    <w:rsid w:val="00546863"/>
    <w:rsid w:val="00546B66"/>
    <w:rsid w:val="00546B6C"/>
    <w:rsid w:val="00546C0F"/>
    <w:rsid w:val="00546DA3"/>
    <w:rsid w:val="00547D7B"/>
    <w:rsid w:val="00550D18"/>
    <w:rsid w:val="005517A1"/>
    <w:rsid w:val="005519D4"/>
    <w:rsid w:val="00551FD7"/>
    <w:rsid w:val="00552379"/>
    <w:rsid w:val="005529F9"/>
    <w:rsid w:val="00552B03"/>
    <w:rsid w:val="00553080"/>
    <w:rsid w:val="0055355D"/>
    <w:rsid w:val="0055422F"/>
    <w:rsid w:val="00555287"/>
    <w:rsid w:val="005555C7"/>
    <w:rsid w:val="00555C96"/>
    <w:rsid w:val="00555FFD"/>
    <w:rsid w:val="00556586"/>
    <w:rsid w:val="00556905"/>
    <w:rsid w:val="00556A64"/>
    <w:rsid w:val="00556AEA"/>
    <w:rsid w:val="00556EBD"/>
    <w:rsid w:val="0055725B"/>
    <w:rsid w:val="00557358"/>
    <w:rsid w:val="00557767"/>
    <w:rsid w:val="00557CED"/>
    <w:rsid w:val="00557D96"/>
    <w:rsid w:val="00557DE0"/>
    <w:rsid w:val="00560CAB"/>
    <w:rsid w:val="00560D8D"/>
    <w:rsid w:val="00561253"/>
    <w:rsid w:val="00561519"/>
    <w:rsid w:val="00561B3F"/>
    <w:rsid w:val="0056305E"/>
    <w:rsid w:val="005633E0"/>
    <w:rsid w:val="005636A8"/>
    <w:rsid w:val="00564E57"/>
    <w:rsid w:val="00565184"/>
    <w:rsid w:val="0056530A"/>
    <w:rsid w:val="00565E61"/>
    <w:rsid w:val="0056658D"/>
    <w:rsid w:val="00566F38"/>
    <w:rsid w:val="0056782B"/>
    <w:rsid w:val="00567994"/>
    <w:rsid w:val="00567B68"/>
    <w:rsid w:val="0057086E"/>
    <w:rsid w:val="00570E11"/>
    <w:rsid w:val="0057118E"/>
    <w:rsid w:val="005711DA"/>
    <w:rsid w:val="005725DE"/>
    <w:rsid w:val="0057268F"/>
    <w:rsid w:val="005729E3"/>
    <w:rsid w:val="00572ABB"/>
    <w:rsid w:val="00572E94"/>
    <w:rsid w:val="00572F25"/>
    <w:rsid w:val="00573393"/>
    <w:rsid w:val="005733C8"/>
    <w:rsid w:val="0057359F"/>
    <w:rsid w:val="00573E2F"/>
    <w:rsid w:val="00574418"/>
    <w:rsid w:val="005748EB"/>
    <w:rsid w:val="005754C2"/>
    <w:rsid w:val="0057600F"/>
    <w:rsid w:val="00576228"/>
    <w:rsid w:val="00577667"/>
    <w:rsid w:val="005816B3"/>
    <w:rsid w:val="00581BE9"/>
    <w:rsid w:val="0058251E"/>
    <w:rsid w:val="005828C5"/>
    <w:rsid w:val="005831D5"/>
    <w:rsid w:val="005837F6"/>
    <w:rsid w:val="00583DA1"/>
    <w:rsid w:val="00584A86"/>
    <w:rsid w:val="00584BC3"/>
    <w:rsid w:val="00585CD4"/>
    <w:rsid w:val="00586060"/>
    <w:rsid w:val="00586183"/>
    <w:rsid w:val="00587107"/>
    <w:rsid w:val="0058711E"/>
    <w:rsid w:val="00587F62"/>
    <w:rsid w:val="00587FF2"/>
    <w:rsid w:val="0059027B"/>
    <w:rsid w:val="00590D4D"/>
    <w:rsid w:val="00590EE4"/>
    <w:rsid w:val="0059205A"/>
    <w:rsid w:val="0059205D"/>
    <w:rsid w:val="00592117"/>
    <w:rsid w:val="00592853"/>
    <w:rsid w:val="00592E84"/>
    <w:rsid w:val="00592F7A"/>
    <w:rsid w:val="00593167"/>
    <w:rsid w:val="005936B1"/>
    <w:rsid w:val="00593A24"/>
    <w:rsid w:val="00593FD2"/>
    <w:rsid w:val="00594166"/>
    <w:rsid w:val="0059442F"/>
    <w:rsid w:val="00595107"/>
    <w:rsid w:val="0059543A"/>
    <w:rsid w:val="00597047"/>
    <w:rsid w:val="005970F2"/>
    <w:rsid w:val="00597556"/>
    <w:rsid w:val="00597B58"/>
    <w:rsid w:val="005A0AFB"/>
    <w:rsid w:val="005A12DC"/>
    <w:rsid w:val="005A19FB"/>
    <w:rsid w:val="005A208C"/>
    <w:rsid w:val="005A2E0E"/>
    <w:rsid w:val="005A3015"/>
    <w:rsid w:val="005A3462"/>
    <w:rsid w:val="005A3803"/>
    <w:rsid w:val="005A3BCA"/>
    <w:rsid w:val="005A3D31"/>
    <w:rsid w:val="005A4C35"/>
    <w:rsid w:val="005A4E59"/>
    <w:rsid w:val="005A5F93"/>
    <w:rsid w:val="005A62DA"/>
    <w:rsid w:val="005A63B7"/>
    <w:rsid w:val="005A6A02"/>
    <w:rsid w:val="005A7410"/>
    <w:rsid w:val="005A7BD8"/>
    <w:rsid w:val="005B011C"/>
    <w:rsid w:val="005B01D2"/>
    <w:rsid w:val="005B0332"/>
    <w:rsid w:val="005B03DC"/>
    <w:rsid w:val="005B09E3"/>
    <w:rsid w:val="005B0C82"/>
    <w:rsid w:val="005B0CF9"/>
    <w:rsid w:val="005B0D78"/>
    <w:rsid w:val="005B14BA"/>
    <w:rsid w:val="005B1C70"/>
    <w:rsid w:val="005B2069"/>
    <w:rsid w:val="005B2A10"/>
    <w:rsid w:val="005B2E40"/>
    <w:rsid w:val="005B4017"/>
    <w:rsid w:val="005B4F8C"/>
    <w:rsid w:val="005B4FE6"/>
    <w:rsid w:val="005B5531"/>
    <w:rsid w:val="005B612B"/>
    <w:rsid w:val="005B663A"/>
    <w:rsid w:val="005B6E80"/>
    <w:rsid w:val="005B71A3"/>
    <w:rsid w:val="005B748E"/>
    <w:rsid w:val="005B7907"/>
    <w:rsid w:val="005B7C8D"/>
    <w:rsid w:val="005B7DB7"/>
    <w:rsid w:val="005C168C"/>
    <w:rsid w:val="005C1C9D"/>
    <w:rsid w:val="005C1FAB"/>
    <w:rsid w:val="005C1FD6"/>
    <w:rsid w:val="005C288A"/>
    <w:rsid w:val="005C321B"/>
    <w:rsid w:val="005C4491"/>
    <w:rsid w:val="005C4ABD"/>
    <w:rsid w:val="005C4ACD"/>
    <w:rsid w:val="005C6D89"/>
    <w:rsid w:val="005C77C6"/>
    <w:rsid w:val="005C7BD5"/>
    <w:rsid w:val="005D0429"/>
    <w:rsid w:val="005D05B6"/>
    <w:rsid w:val="005D081C"/>
    <w:rsid w:val="005D185E"/>
    <w:rsid w:val="005D32A8"/>
    <w:rsid w:val="005D37AC"/>
    <w:rsid w:val="005D3841"/>
    <w:rsid w:val="005D4608"/>
    <w:rsid w:val="005D46A2"/>
    <w:rsid w:val="005D46FB"/>
    <w:rsid w:val="005D47B7"/>
    <w:rsid w:val="005D49A0"/>
    <w:rsid w:val="005D4CD6"/>
    <w:rsid w:val="005D4DB8"/>
    <w:rsid w:val="005D4F15"/>
    <w:rsid w:val="005D545E"/>
    <w:rsid w:val="005D5B83"/>
    <w:rsid w:val="005D6435"/>
    <w:rsid w:val="005D658A"/>
    <w:rsid w:val="005D744E"/>
    <w:rsid w:val="005D7B19"/>
    <w:rsid w:val="005D7E75"/>
    <w:rsid w:val="005E0055"/>
    <w:rsid w:val="005E055E"/>
    <w:rsid w:val="005E0742"/>
    <w:rsid w:val="005E0AB4"/>
    <w:rsid w:val="005E0B63"/>
    <w:rsid w:val="005E1B59"/>
    <w:rsid w:val="005E1D29"/>
    <w:rsid w:val="005E21A5"/>
    <w:rsid w:val="005E2290"/>
    <w:rsid w:val="005E27E9"/>
    <w:rsid w:val="005E2BB8"/>
    <w:rsid w:val="005E2C3F"/>
    <w:rsid w:val="005E2DF9"/>
    <w:rsid w:val="005E387F"/>
    <w:rsid w:val="005E3A86"/>
    <w:rsid w:val="005E3C05"/>
    <w:rsid w:val="005E3C1D"/>
    <w:rsid w:val="005E40B6"/>
    <w:rsid w:val="005E4327"/>
    <w:rsid w:val="005E551C"/>
    <w:rsid w:val="005E5964"/>
    <w:rsid w:val="005E6242"/>
    <w:rsid w:val="005E651C"/>
    <w:rsid w:val="005E71A9"/>
    <w:rsid w:val="005E7507"/>
    <w:rsid w:val="005E79EE"/>
    <w:rsid w:val="005E7F49"/>
    <w:rsid w:val="005F001E"/>
    <w:rsid w:val="005F041B"/>
    <w:rsid w:val="005F04A1"/>
    <w:rsid w:val="005F05A9"/>
    <w:rsid w:val="005F063D"/>
    <w:rsid w:val="005F07BC"/>
    <w:rsid w:val="005F0DD5"/>
    <w:rsid w:val="005F110F"/>
    <w:rsid w:val="005F14F4"/>
    <w:rsid w:val="005F1AC9"/>
    <w:rsid w:val="005F1C25"/>
    <w:rsid w:val="005F2191"/>
    <w:rsid w:val="005F2705"/>
    <w:rsid w:val="005F3410"/>
    <w:rsid w:val="005F39BE"/>
    <w:rsid w:val="005F3CA8"/>
    <w:rsid w:val="005F4D9C"/>
    <w:rsid w:val="005F543F"/>
    <w:rsid w:val="005F558C"/>
    <w:rsid w:val="005F5A38"/>
    <w:rsid w:val="005F5F71"/>
    <w:rsid w:val="005F6660"/>
    <w:rsid w:val="005F6910"/>
    <w:rsid w:val="005F6F2C"/>
    <w:rsid w:val="005F71F3"/>
    <w:rsid w:val="005F7362"/>
    <w:rsid w:val="005F7507"/>
    <w:rsid w:val="005F75A0"/>
    <w:rsid w:val="005F76CC"/>
    <w:rsid w:val="005F78EF"/>
    <w:rsid w:val="005F7D72"/>
    <w:rsid w:val="00600131"/>
    <w:rsid w:val="006001A4"/>
    <w:rsid w:val="0060027C"/>
    <w:rsid w:val="006004C3"/>
    <w:rsid w:val="00600564"/>
    <w:rsid w:val="006006FD"/>
    <w:rsid w:val="00600F1B"/>
    <w:rsid w:val="00601275"/>
    <w:rsid w:val="00601A3F"/>
    <w:rsid w:val="00601F83"/>
    <w:rsid w:val="00602340"/>
    <w:rsid w:val="00602767"/>
    <w:rsid w:val="006027CF"/>
    <w:rsid w:val="006028C1"/>
    <w:rsid w:val="006029FF"/>
    <w:rsid w:val="00603D1A"/>
    <w:rsid w:val="006043CA"/>
    <w:rsid w:val="0060479E"/>
    <w:rsid w:val="00604F5B"/>
    <w:rsid w:val="00605025"/>
    <w:rsid w:val="006053CC"/>
    <w:rsid w:val="006054CB"/>
    <w:rsid w:val="00605FC4"/>
    <w:rsid w:val="0060694F"/>
    <w:rsid w:val="00606A24"/>
    <w:rsid w:val="00606EAF"/>
    <w:rsid w:val="00606F67"/>
    <w:rsid w:val="00610E23"/>
    <w:rsid w:val="00610EC4"/>
    <w:rsid w:val="00611488"/>
    <w:rsid w:val="00611639"/>
    <w:rsid w:val="006117DC"/>
    <w:rsid w:val="0061197C"/>
    <w:rsid w:val="006122B7"/>
    <w:rsid w:val="00613443"/>
    <w:rsid w:val="00613496"/>
    <w:rsid w:val="006144AD"/>
    <w:rsid w:val="00614C01"/>
    <w:rsid w:val="00615019"/>
    <w:rsid w:val="00615264"/>
    <w:rsid w:val="00615284"/>
    <w:rsid w:val="006166FF"/>
    <w:rsid w:val="00617B05"/>
    <w:rsid w:val="00620061"/>
    <w:rsid w:val="00621A44"/>
    <w:rsid w:val="00622315"/>
    <w:rsid w:val="00622557"/>
    <w:rsid w:val="00622A0B"/>
    <w:rsid w:val="006231F8"/>
    <w:rsid w:val="0062334C"/>
    <w:rsid w:val="00623558"/>
    <w:rsid w:val="00623851"/>
    <w:rsid w:val="00623BC7"/>
    <w:rsid w:val="006244C6"/>
    <w:rsid w:val="00624504"/>
    <w:rsid w:val="00624DC8"/>
    <w:rsid w:val="006264EF"/>
    <w:rsid w:val="00626BDB"/>
    <w:rsid w:val="0062739D"/>
    <w:rsid w:val="006275E6"/>
    <w:rsid w:val="00627787"/>
    <w:rsid w:val="00627958"/>
    <w:rsid w:val="006303CE"/>
    <w:rsid w:val="00630C48"/>
    <w:rsid w:val="00630C4B"/>
    <w:rsid w:val="00630DE4"/>
    <w:rsid w:val="00630EA0"/>
    <w:rsid w:val="0063182F"/>
    <w:rsid w:val="0063212B"/>
    <w:rsid w:val="006323A5"/>
    <w:rsid w:val="00632626"/>
    <w:rsid w:val="00632644"/>
    <w:rsid w:val="0063290C"/>
    <w:rsid w:val="006333C5"/>
    <w:rsid w:val="00633469"/>
    <w:rsid w:val="00633D94"/>
    <w:rsid w:val="00633E31"/>
    <w:rsid w:val="00633EF0"/>
    <w:rsid w:val="00634B2F"/>
    <w:rsid w:val="00634D3C"/>
    <w:rsid w:val="00634FA7"/>
    <w:rsid w:val="00635B5A"/>
    <w:rsid w:val="00636019"/>
    <w:rsid w:val="00636B7A"/>
    <w:rsid w:val="00636F24"/>
    <w:rsid w:val="0063713C"/>
    <w:rsid w:val="006376CF"/>
    <w:rsid w:val="00637B2B"/>
    <w:rsid w:val="00640F5C"/>
    <w:rsid w:val="00641C68"/>
    <w:rsid w:val="00641CCB"/>
    <w:rsid w:val="006432A0"/>
    <w:rsid w:val="006435C3"/>
    <w:rsid w:val="00643A5F"/>
    <w:rsid w:val="0064498B"/>
    <w:rsid w:val="006449FA"/>
    <w:rsid w:val="006453D4"/>
    <w:rsid w:val="006456E9"/>
    <w:rsid w:val="00645E9E"/>
    <w:rsid w:val="0064740B"/>
    <w:rsid w:val="00647892"/>
    <w:rsid w:val="00647FD6"/>
    <w:rsid w:val="006500B2"/>
    <w:rsid w:val="006501EA"/>
    <w:rsid w:val="006513D0"/>
    <w:rsid w:val="00651572"/>
    <w:rsid w:val="00651621"/>
    <w:rsid w:val="006518FF"/>
    <w:rsid w:val="006519AD"/>
    <w:rsid w:val="006528A3"/>
    <w:rsid w:val="00653673"/>
    <w:rsid w:val="00653986"/>
    <w:rsid w:val="00654029"/>
    <w:rsid w:val="006545B1"/>
    <w:rsid w:val="0065462F"/>
    <w:rsid w:val="00655BD9"/>
    <w:rsid w:val="00655BF3"/>
    <w:rsid w:val="00657265"/>
    <w:rsid w:val="006601BB"/>
    <w:rsid w:val="00660A47"/>
    <w:rsid w:val="00660AAF"/>
    <w:rsid w:val="00661646"/>
    <w:rsid w:val="006626E3"/>
    <w:rsid w:val="00662B15"/>
    <w:rsid w:val="0066306C"/>
    <w:rsid w:val="00664426"/>
    <w:rsid w:val="00664866"/>
    <w:rsid w:val="00665399"/>
    <w:rsid w:val="00665403"/>
    <w:rsid w:val="006658D2"/>
    <w:rsid w:val="00665DCF"/>
    <w:rsid w:val="00666195"/>
    <w:rsid w:val="006668AD"/>
    <w:rsid w:val="00666918"/>
    <w:rsid w:val="00666C9E"/>
    <w:rsid w:val="00667201"/>
    <w:rsid w:val="006675BC"/>
    <w:rsid w:val="00667A17"/>
    <w:rsid w:val="00667D43"/>
    <w:rsid w:val="00670163"/>
    <w:rsid w:val="00670481"/>
    <w:rsid w:val="00670ACD"/>
    <w:rsid w:val="00670F4A"/>
    <w:rsid w:val="00671E46"/>
    <w:rsid w:val="006724B5"/>
    <w:rsid w:val="00672F85"/>
    <w:rsid w:val="00672FE4"/>
    <w:rsid w:val="006736F5"/>
    <w:rsid w:val="00674705"/>
    <w:rsid w:val="0067525C"/>
    <w:rsid w:val="00675956"/>
    <w:rsid w:val="00676321"/>
    <w:rsid w:val="00676466"/>
    <w:rsid w:val="00676A94"/>
    <w:rsid w:val="006776FC"/>
    <w:rsid w:val="0068055F"/>
    <w:rsid w:val="00680668"/>
    <w:rsid w:val="00681C91"/>
    <w:rsid w:val="00682534"/>
    <w:rsid w:val="006827BC"/>
    <w:rsid w:val="0068292E"/>
    <w:rsid w:val="00682E8B"/>
    <w:rsid w:val="00682F0D"/>
    <w:rsid w:val="00682FC9"/>
    <w:rsid w:val="0068310E"/>
    <w:rsid w:val="00683616"/>
    <w:rsid w:val="00683BA8"/>
    <w:rsid w:val="0068422C"/>
    <w:rsid w:val="0068465E"/>
    <w:rsid w:val="0068494E"/>
    <w:rsid w:val="0068605F"/>
    <w:rsid w:val="0068645E"/>
    <w:rsid w:val="00686C5C"/>
    <w:rsid w:val="00687108"/>
    <w:rsid w:val="00687ABD"/>
    <w:rsid w:val="00690C00"/>
    <w:rsid w:val="00690CD8"/>
    <w:rsid w:val="006912CF"/>
    <w:rsid w:val="00691AF4"/>
    <w:rsid w:val="00691B71"/>
    <w:rsid w:val="00691C83"/>
    <w:rsid w:val="006921B7"/>
    <w:rsid w:val="00693576"/>
    <w:rsid w:val="0069359E"/>
    <w:rsid w:val="00693615"/>
    <w:rsid w:val="006939A7"/>
    <w:rsid w:val="00693B32"/>
    <w:rsid w:val="00693B5D"/>
    <w:rsid w:val="00694008"/>
    <w:rsid w:val="0069426C"/>
    <w:rsid w:val="0069429B"/>
    <w:rsid w:val="00694AF7"/>
    <w:rsid w:val="00694B59"/>
    <w:rsid w:val="00694C02"/>
    <w:rsid w:val="00695226"/>
    <w:rsid w:val="00695677"/>
    <w:rsid w:val="006959A8"/>
    <w:rsid w:val="006959E7"/>
    <w:rsid w:val="00695E0A"/>
    <w:rsid w:val="00696787"/>
    <w:rsid w:val="00697232"/>
    <w:rsid w:val="00697295"/>
    <w:rsid w:val="0069732B"/>
    <w:rsid w:val="00697334"/>
    <w:rsid w:val="006974D9"/>
    <w:rsid w:val="00697D6E"/>
    <w:rsid w:val="006A03AE"/>
    <w:rsid w:val="006A0AEF"/>
    <w:rsid w:val="006A3D6E"/>
    <w:rsid w:val="006A4896"/>
    <w:rsid w:val="006A49CE"/>
    <w:rsid w:val="006A5947"/>
    <w:rsid w:val="006A747A"/>
    <w:rsid w:val="006A7504"/>
    <w:rsid w:val="006A752A"/>
    <w:rsid w:val="006B049C"/>
    <w:rsid w:val="006B1693"/>
    <w:rsid w:val="006B2C3D"/>
    <w:rsid w:val="006B304C"/>
    <w:rsid w:val="006B30E9"/>
    <w:rsid w:val="006B360D"/>
    <w:rsid w:val="006B3642"/>
    <w:rsid w:val="006B453C"/>
    <w:rsid w:val="006B4741"/>
    <w:rsid w:val="006B494F"/>
    <w:rsid w:val="006B57B5"/>
    <w:rsid w:val="006B5834"/>
    <w:rsid w:val="006B58E1"/>
    <w:rsid w:val="006B5AB9"/>
    <w:rsid w:val="006B5B87"/>
    <w:rsid w:val="006B5E61"/>
    <w:rsid w:val="006B6990"/>
    <w:rsid w:val="006B6F9A"/>
    <w:rsid w:val="006B79DF"/>
    <w:rsid w:val="006B7FC4"/>
    <w:rsid w:val="006C1A3B"/>
    <w:rsid w:val="006C2194"/>
    <w:rsid w:val="006C2C1F"/>
    <w:rsid w:val="006C35BD"/>
    <w:rsid w:val="006C37C2"/>
    <w:rsid w:val="006C43A9"/>
    <w:rsid w:val="006C47A9"/>
    <w:rsid w:val="006C4FF0"/>
    <w:rsid w:val="006C5999"/>
    <w:rsid w:val="006C5DCF"/>
    <w:rsid w:val="006C6E1F"/>
    <w:rsid w:val="006D00EC"/>
    <w:rsid w:val="006D024A"/>
    <w:rsid w:val="006D1FE7"/>
    <w:rsid w:val="006D1FF5"/>
    <w:rsid w:val="006D212F"/>
    <w:rsid w:val="006D21B5"/>
    <w:rsid w:val="006D25A7"/>
    <w:rsid w:val="006D2BCA"/>
    <w:rsid w:val="006D2E94"/>
    <w:rsid w:val="006D3128"/>
    <w:rsid w:val="006D33AC"/>
    <w:rsid w:val="006D3C09"/>
    <w:rsid w:val="006D4F08"/>
    <w:rsid w:val="006D5474"/>
    <w:rsid w:val="006D5B2A"/>
    <w:rsid w:val="006D5CDF"/>
    <w:rsid w:val="006D61F9"/>
    <w:rsid w:val="006D63FC"/>
    <w:rsid w:val="006D6479"/>
    <w:rsid w:val="006D67AC"/>
    <w:rsid w:val="006D70F3"/>
    <w:rsid w:val="006D75C4"/>
    <w:rsid w:val="006D79BC"/>
    <w:rsid w:val="006D7E0A"/>
    <w:rsid w:val="006E01E0"/>
    <w:rsid w:val="006E06CB"/>
    <w:rsid w:val="006E0B6F"/>
    <w:rsid w:val="006E111A"/>
    <w:rsid w:val="006E134D"/>
    <w:rsid w:val="006E1A63"/>
    <w:rsid w:val="006E1B91"/>
    <w:rsid w:val="006E2F7F"/>
    <w:rsid w:val="006E2FF3"/>
    <w:rsid w:val="006E332F"/>
    <w:rsid w:val="006E3DE0"/>
    <w:rsid w:val="006E5568"/>
    <w:rsid w:val="006E5E99"/>
    <w:rsid w:val="006E6E62"/>
    <w:rsid w:val="006E6F82"/>
    <w:rsid w:val="006E71CE"/>
    <w:rsid w:val="006E7213"/>
    <w:rsid w:val="006F00DA"/>
    <w:rsid w:val="006F01A1"/>
    <w:rsid w:val="006F08C2"/>
    <w:rsid w:val="006F179D"/>
    <w:rsid w:val="006F17FE"/>
    <w:rsid w:val="006F1C1C"/>
    <w:rsid w:val="006F246E"/>
    <w:rsid w:val="006F2540"/>
    <w:rsid w:val="006F26AA"/>
    <w:rsid w:val="006F2D64"/>
    <w:rsid w:val="006F3313"/>
    <w:rsid w:val="006F3EDE"/>
    <w:rsid w:val="006F3FA9"/>
    <w:rsid w:val="006F4248"/>
    <w:rsid w:val="006F46B9"/>
    <w:rsid w:val="006F477A"/>
    <w:rsid w:val="006F4C36"/>
    <w:rsid w:val="006F4E3E"/>
    <w:rsid w:val="006F4E7D"/>
    <w:rsid w:val="006F4E92"/>
    <w:rsid w:val="006F51BE"/>
    <w:rsid w:val="006F55C1"/>
    <w:rsid w:val="006F6059"/>
    <w:rsid w:val="006F6E3D"/>
    <w:rsid w:val="006F6FC2"/>
    <w:rsid w:val="006F79D0"/>
    <w:rsid w:val="006F7CC5"/>
    <w:rsid w:val="006F7CEC"/>
    <w:rsid w:val="007001D3"/>
    <w:rsid w:val="0070073D"/>
    <w:rsid w:val="00700923"/>
    <w:rsid w:val="00700938"/>
    <w:rsid w:val="0070141B"/>
    <w:rsid w:val="00701576"/>
    <w:rsid w:val="0070160A"/>
    <w:rsid w:val="007018D4"/>
    <w:rsid w:val="00701E46"/>
    <w:rsid w:val="00701F8B"/>
    <w:rsid w:val="007026FB"/>
    <w:rsid w:val="00702732"/>
    <w:rsid w:val="007037F8"/>
    <w:rsid w:val="00703C20"/>
    <w:rsid w:val="00703DED"/>
    <w:rsid w:val="00704B03"/>
    <w:rsid w:val="007051D0"/>
    <w:rsid w:val="007052CB"/>
    <w:rsid w:val="007059AE"/>
    <w:rsid w:val="00706094"/>
    <w:rsid w:val="007062A2"/>
    <w:rsid w:val="007064D6"/>
    <w:rsid w:val="00707CC7"/>
    <w:rsid w:val="0071051A"/>
    <w:rsid w:val="0071066C"/>
    <w:rsid w:val="007108D8"/>
    <w:rsid w:val="00710E0D"/>
    <w:rsid w:val="00710ED2"/>
    <w:rsid w:val="007120EA"/>
    <w:rsid w:val="00712316"/>
    <w:rsid w:val="007125D2"/>
    <w:rsid w:val="007125E2"/>
    <w:rsid w:val="00712852"/>
    <w:rsid w:val="00712AF1"/>
    <w:rsid w:val="00712AF2"/>
    <w:rsid w:val="00713263"/>
    <w:rsid w:val="007135AD"/>
    <w:rsid w:val="00713736"/>
    <w:rsid w:val="00714765"/>
    <w:rsid w:val="007153C0"/>
    <w:rsid w:val="007156EE"/>
    <w:rsid w:val="007166D8"/>
    <w:rsid w:val="00716925"/>
    <w:rsid w:val="007174D2"/>
    <w:rsid w:val="007205CD"/>
    <w:rsid w:val="007216DF"/>
    <w:rsid w:val="00721789"/>
    <w:rsid w:val="00722295"/>
    <w:rsid w:val="00722846"/>
    <w:rsid w:val="00722B1F"/>
    <w:rsid w:val="00722E50"/>
    <w:rsid w:val="007233F4"/>
    <w:rsid w:val="00723492"/>
    <w:rsid w:val="00723CB7"/>
    <w:rsid w:val="00723DEC"/>
    <w:rsid w:val="00724B7A"/>
    <w:rsid w:val="00724C89"/>
    <w:rsid w:val="007253F8"/>
    <w:rsid w:val="007257D3"/>
    <w:rsid w:val="00725A57"/>
    <w:rsid w:val="00725A91"/>
    <w:rsid w:val="007262C6"/>
    <w:rsid w:val="007262E0"/>
    <w:rsid w:val="00726FE3"/>
    <w:rsid w:val="0072770E"/>
    <w:rsid w:val="0072780F"/>
    <w:rsid w:val="007300DC"/>
    <w:rsid w:val="00730635"/>
    <w:rsid w:val="00730C5C"/>
    <w:rsid w:val="00730CE7"/>
    <w:rsid w:val="00731750"/>
    <w:rsid w:val="00731B41"/>
    <w:rsid w:val="007320C7"/>
    <w:rsid w:val="00734028"/>
    <w:rsid w:val="00734404"/>
    <w:rsid w:val="00734581"/>
    <w:rsid w:val="00734674"/>
    <w:rsid w:val="00734B87"/>
    <w:rsid w:val="00734C34"/>
    <w:rsid w:val="00734CDE"/>
    <w:rsid w:val="007350AD"/>
    <w:rsid w:val="00735106"/>
    <w:rsid w:val="00735454"/>
    <w:rsid w:val="00735943"/>
    <w:rsid w:val="00736805"/>
    <w:rsid w:val="0073751E"/>
    <w:rsid w:val="007379CC"/>
    <w:rsid w:val="00740B1C"/>
    <w:rsid w:val="00740C8D"/>
    <w:rsid w:val="00740CDF"/>
    <w:rsid w:val="00741CC1"/>
    <w:rsid w:val="007426B6"/>
    <w:rsid w:val="00742986"/>
    <w:rsid w:val="00742ECD"/>
    <w:rsid w:val="007431C4"/>
    <w:rsid w:val="00743382"/>
    <w:rsid w:val="00743572"/>
    <w:rsid w:val="007437AF"/>
    <w:rsid w:val="00743F56"/>
    <w:rsid w:val="0074472A"/>
    <w:rsid w:val="0074476E"/>
    <w:rsid w:val="007449D9"/>
    <w:rsid w:val="007466C0"/>
    <w:rsid w:val="0074690B"/>
    <w:rsid w:val="00746A59"/>
    <w:rsid w:val="00746DF4"/>
    <w:rsid w:val="00747573"/>
    <w:rsid w:val="00747A95"/>
    <w:rsid w:val="007509E2"/>
    <w:rsid w:val="00750E42"/>
    <w:rsid w:val="007510A8"/>
    <w:rsid w:val="007513C5"/>
    <w:rsid w:val="00751CEE"/>
    <w:rsid w:val="00752224"/>
    <w:rsid w:val="0075254D"/>
    <w:rsid w:val="007534A7"/>
    <w:rsid w:val="007538D0"/>
    <w:rsid w:val="00753AFC"/>
    <w:rsid w:val="00753CFB"/>
    <w:rsid w:val="00754464"/>
    <w:rsid w:val="00755D5C"/>
    <w:rsid w:val="00755D70"/>
    <w:rsid w:val="00756515"/>
    <w:rsid w:val="00756726"/>
    <w:rsid w:val="00757E50"/>
    <w:rsid w:val="00760CFA"/>
    <w:rsid w:val="00760D19"/>
    <w:rsid w:val="00761694"/>
    <w:rsid w:val="00761A75"/>
    <w:rsid w:val="00761A98"/>
    <w:rsid w:val="00761CB0"/>
    <w:rsid w:val="00762D6B"/>
    <w:rsid w:val="007635D1"/>
    <w:rsid w:val="007636FF"/>
    <w:rsid w:val="007637B6"/>
    <w:rsid w:val="00763ECF"/>
    <w:rsid w:val="00764793"/>
    <w:rsid w:val="0076485C"/>
    <w:rsid w:val="00764B59"/>
    <w:rsid w:val="00764E06"/>
    <w:rsid w:val="007652AD"/>
    <w:rsid w:val="00765414"/>
    <w:rsid w:val="007659CB"/>
    <w:rsid w:val="0076615C"/>
    <w:rsid w:val="00766288"/>
    <w:rsid w:val="0076673C"/>
    <w:rsid w:val="00766A1A"/>
    <w:rsid w:val="007671AC"/>
    <w:rsid w:val="007676F8"/>
    <w:rsid w:val="007706B9"/>
    <w:rsid w:val="007717F4"/>
    <w:rsid w:val="00771A82"/>
    <w:rsid w:val="00773039"/>
    <w:rsid w:val="00773817"/>
    <w:rsid w:val="00773DE5"/>
    <w:rsid w:val="00773FAD"/>
    <w:rsid w:val="0077426D"/>
    <w:rsid w:val="0077514E"/>
    <w:rsid w:val="007754E3"/>
    <w:rsid w:val="0077605A"/>
    <w:rsid w:val="007763F4"/>
    <w:rsid w:val="00776ADA"/>
    <w:rsid w:val="00776F80"/>
    <w:rsid w:val="0077708E"/>
    <w:rsid w:val="007772FA"/>
    <w:rsid w:val="00777523"/>
    <w:rsid w:val="007777B2"/>
    <w:rsid w:val="007804E9"/>
    <w:rsid w:val="00780E38"/>
    <w:rsid w:val="00781065"/>
    <w:rsid w:val="007812B1"/>
    <w:rsid w:val="007818E7"/>
    <w:rsid w:val="007818EF"/>
    <w:rsid w:val="00782839"/>
    <w:rsid w:val="00782A34"/>
    <w:rsid w:val="0078314B"/>
    <w:rsid w:val="0078352F"/>
    <w:rsid w:val="0078382A"/>
    <w:rsid w:val="0078383B"/>
    <w:rsid w:val="0078517E"/>
    <w:rsid w:val="00785A43"/>
    <w:rsid w:val="00785D1C"/>
    <w:rsid w:val="00785DB5"/>
    <w:rsid w:val="00786B10"/>
    <w:rsid w:val="00787707"/>
    <w:rsid w:val="00790690"/>
    <w:rsid w:val="007906D7"/>
    <w:rsid w:val="0079073A"/>
    <w:rsid w:val="0079079F"/>
    <w:rsid w:val="007907FF"/>
    <w:rsid w:val="007909B9"/>
    <w:rsid w:val="00790FF3"/>
    <w:rsid w:val="0079106F"/>
    <w:rsid w:val="0079160E"/>
    <w:rsid w:val="007921FC"/>
    <w:rsid w:val="007924EE"/>
    <w:rsid w:val="00792AFC"/>
    <w:rsid w:val="00792D03"/>
    <w:rsid w:val="00792FD2"/>
    <w:rsid w:val="007931DF"/>
    <w:rsid w:val="0079385B"/>
    <w:rsid w:val="007938D8"/>
    <w:rsid w:val="00793DD9"/>
    <w:rsid w:val="00793F92"/>
    <w:rsid w:val="0079428A"/>
    <w:rsid w:val="00794490"/>
    <w:rsid w:val="00794863"/>
    <w:rsid w:val="00794A6B"/>
    <w:rsid w:val="00794B1F"/>
    <w:rsid w:val="00794EA2"/>
    <w:rsid w:val="007955E7"/>
    <w:rsid w:val="00795A2B"/>
    <w:rsid w:val="00795CE8"/>
    <w:rsid w:val="0079656B"/>
    <w:rsid w:val="00796B74"/>
    <w:rsid w:val="00796D67"/>
    <w:rsid w:val="00796E80"/>
    <w:rsid w:val="0079705B"/>
    <w:rsid w:val="007970B5"/>
    <w:rsid w:val="00797EF3"/>
    <w:rsid w:val="007A0268"/>
    <w:rsid w:val="007A06CE"/>
    <w:rsid w:val="007A06F6"/>
    <w:rsid w:val="007A0776"/>
    <w:rsid w:val="007A15D8"/>
    <w:rsid w:val="007A1CB5"/>
    <w:rsid w:val="007A22AA"/>
    <w:rsid w:val="007A24EF"/>
    <w:rsid w:val="007A3061"/>
    <w:rsid w:val="007A3085"/>
    <w:rsid w:val="007A324F"/>
    <w:rsid w:val="007A37E3"/>
    <w:rsid w:val="007A3B7D"/>
    <w:rsid w:val="007A3EF8"/>
    <w:rsid w:val="007A4051"/>
    <w:rsid w:val="007A40B9"/>
    <w:rsid w:val="007A48AD"/>
    <w:rsid w:val="007A496B"/>
    <w:rsid w:val="007A5015"/>
    <w:rsid w:val="007A5909"/>
    <w:rsid w:val="007A61DC"/>
    <w:rsid w:val="007A65B3"/>
    <w:rsid w:val="007A6CE7"/>
    <w:rsid w:val="007A6D07"/>
    <w:rsid w:val="007A6D6D"/>
    <w:rsid w:val="007A7105"/>
    <w:rsid w:val="007A72B6"/>
    <w:rsid w:val="007A7998"/>
    <w:rsid w:val="007A7E8A"/>
    <w:rsid w:val="007B0585"/>
    <w:rsid w:val="007B0699"/>
    <w:rsid w:val="007B10F5"/>
    <w:rsid w:val="007B1209"/>
    <w:rsid w:val="007B12B6"/>
    <w:rsid w:val="007B12BE"/>
    <w:rsid w:val="007B160E"/>
    <w:rsid w:val="007B1A74"/>
    <w:rsid w:val="007B20F9"/>
    <w:rsid w:val="007B23DC"/>
    <w:rsid w:val="007B3A16"/>
    <w:rsid w:val="007B3EAE"/>
    <w:rsid w:val="007B44EE"/>
    <w:rsid w:val="007B47A3"/>
    <w:rsid w:val="007B4D31"/>
    <w:rsid w:val="007B5272"/>
    <w:rsid w:val="007B53BA"/>
    <w:rsid w:val="007B5FF9"/>
    <w:rsid w:val="007B6A03"/>
    <w:rsid w:val="007B6CAF"/>
    <w:rsid w:val="007B6FAB"/>
    <w:rsid w:val="007B789C"/>
    <w:rsid w:val="007B7A7F"/>
    <w:rsid w:val="007C027E"/>
    <w:rsid w:val="007C0599"/>
    <w:rsid w:val="007C0FC7"/>
    <w:rsid w:val="007C2273"/>
    <w:rsid w:val="007C2425"/>
    <w:rsid w:val="007C2812"/>
    <w:rsid w:val="007C358C"/>
    <w:rsid w:val="007C583A"/>
    <w:rsid w:val="007C5D7F"/>
    <w:rsid w:val="007C5FAD"/>
    <w:rsid w:val="007C66D4"/>
    <w:rsid w:val="007C70FF"/>
    <w:rsid w:val="007C7D3A"/>
    <w:rsid w:val="007D0F44"/>
    <w:rsid w:val="007D11CD"/>
    <w:rsid w:val="007D124B"/>
    <w:rsid w:val="007D38A7"/>
    <w:rsid w:val="007D3F97"/>
    <w:rsid w:val="007D402C"/>
    <w:rsid w:val="007D423D"/>
    <w:rsid w:val="007D4E92"/>
    <w:rsid w:val="007D51CC"/>
    <w:rsid w:val="007D5698"/>
    <w:rsid w:val="007D5BF4"/>
    <w:rsid w:val="007D670B"/>
    <w:rsid w:val="007D6A18"/>
    <w:rsid w:val="007D6CC2"/>
    <w:rsid w:val="007D6F1A"/>
    <w:rsid w:val="007D78B4"/>
    <w:rsid w:val="007D7A9E"/>
    <w:rsid w:val="007E00B8"/>
    <w:rsid w:val="007E0294"/>
    <w:rsid w:val="007E074E"/>
    <w:rsid w:val="007E0AF0"/>
    <w:rsid w:val="007E1489"/>
    <w:rsid w:val="007E19D0"/>
    <w:rsid w:val="007E28BA"/>
    <w:rsid w:val="007E33DA"/>
    <w:rsid w:val="007E4405"/>
    <w:rsid w:val="007E448A"/>
    <w:rsid w:val="007E46B5"/>
    <w:rsid w:val="007E4874"/>
    <w:rsid w:val="007E4BD3"/>
    <w:rsid w:val="007E50CE"/>
    <w:rsid w:val="007E5519"/>
    <w:rsid w:val="007E55BB"/>
    <w:rsid w:val="007E5D82"/>
    <w:rsid w:val="007E5FB2"/>
    <w:rsid w:val="007E6129"/>
    <w:rsid w:val="007E77B9"/>
    <w:rsid w:val="007E7816"/>
    <w:rsid w:val="007F02B5"/>
    <w:rsid w:val="007F063B"/>
    <w:rsid w:val="007F06C8"/>
    <w:rsid w:val="007F0C9A"/>
    <w:rsid w:val="007F0CCC"/>
    <w:rsid w:val="007F1417"/>
    <w:rsid w:val="007F15DE"/>
    <w:rsid w:val="007F1CF6"/>
    <w:rsid w:val="007F1FE4"/>
    <w:rsid w:val="007F21AC"/>
    <w:rsid w:val="007F2384"/>
    <w:rsid w:val="007F27DA"/>
    <w:rsid w:val="007F2A52"/>
    <w:rsid w:val="007F2BD4"/>
    <w:rsid w:val="007F2CFC"/>
    <w:rsid w:val="007F2F48"/>
    <w:rsid w:val="007F30DD"/>
    <w:rsid w:val="007F34D0"/>
    <w:rsid w:val="007F36D9"/>
    <w:rsid w:val="007F38A4"/>
    <w:rsid w:val="007F39C7"/>
    <w:rsid w:val="007F3A14"/>
    <w:rsid w:val="007F3E4B"/>
    <w:rsid w:val="007F4E5E"/>
    <w:rsid w:val="007F537A"/>
    <w:rsid w:val="007F58F0"/>
    <w:rsid w:val="007F594A"/>
    <w:rsid w:val="007F615F"/>
    <w:rsid w:val="007F67F0"/>
    <w:rsid w:val="007F74F4"/>
    <w:rsid w:val="007F78EE"/>
    <w:rsid w:val="008002F8"/>
    <w:rsid w:val="00800566"/>
    <w:rsid w:val="0080061A"/>
    <w:rsid w:val="008006C4"/>
    <w:rsid w:val="00801120"/>
    <w:rsid w:val="0080127B"/>
    <w:rsid w:val="00802646"/>
    <w:rsid w:val="00802B75"/>
    <w:rsid w:val="00802BF6"/>
    <w:rsid w:val="00802CD7"/>
    <w:rsid w:val="00802EAB"/>
    <w:rsid w:val="00802EE9"/>
    <w:rsid w:val="00802F2E"/>
    <w:rsid w:val="00803153"/>
    <w:rsid w:val="0080327A"/>
    <w:rsid w:val="008032F4"/>
    <w:rsid w:val="0080395B"/>
    <w:rsid w:val="00803AB7"/>
    <w:rsid w:val="00803CAF"/>
    <w:rsid w:val="00803F96"/>
    <w:rsid w:val="00805296"/>
    <w:rsid w:val="00805E31"/>
    <w:rsid w:val="00805FC5"/>
    <w:rsid w:val="00806B8E"/>
    <w:rsid w:val="008077F8"/>
    <w:rsid w:val="00807BC3"/>
    <w:rsid w:val="00810007"/>
    <w:rsid w:val="0081043E"/>
    <w:rsid w:val="00810A4B"/>
    <w:rsid w:val="008112D6"/>
    <w:rsid w:val="008115F1"/>
    <w:rsid w:val="008117CB"/>
    <w:rsid w:val="00811DCF"/>
    <w:rsid w:val="00811F00"/>
    <w:rsid w:val="008128D7"/>
    <w:rsid w:val="00812E99"/>
    <w:rsid w:val="008132E5"/>
    <w:rsid w:val="00813391"/>
    <w:rsid w:val="00813F3B"/>
    <w:rsid w:val="00814C7D"/>
    <w:rsid w:val="00814CA2"/>
    <w:rsid w:val="008152A9"/>
    <w:rsid w:val="0081594E"/>
    <w:rsid w:val="008160EA"/>
    <w:rsid w:val="00816531"/>
    <w:rsid w:val="00816DC7"/>
    <w:rsid w:val="00816E15"/>
    <w:rsid w:val="00817046"/>
    <w:rsid w:val="008172C8"/>
    <w:rsid w:val="00817A13"/>
    <w:rsid w:val="00820954"/>
    <w:rsid w:val="00820B70"/>
    <w:rsid w:val="008212E0"/>
    <w:rsid w:val="008226A7"/>
    <w:rsid w:val="0082292A"/>
    <w:rsid w:val="008229E8"/>
    <w:rsid w:val="00822E23"/>
    <w:rsid w:val="0082399F"/>
    <w:rsid w:val="008243F8"/>
    <w:rsid w:val="0082460B"/>
    <w:rsid w:val="00824D3A"/>
    <w:rsid w:val="00824E48"/>
    <w:rsid w:val="00824FFA"/>
    <w:rsid w:val="00825433"/>
    <w:rsid w:val="00825954"/>
    <w:rsid w:val="00826180"/>
    <w:rsid w:val="008263D5"/>
    <w:rsid w:val="0082652C"/>
    <w:rsid w:val="008269B5"/>
    <w:rsid w:val="00826C53"/>
    <w:rsid w:val="00827401"/>
    <w:rsid w:val="00827D88"/>
    <w:rsid w:val="00827E1A"/>
    <w:rsid w:val="008309AE"/>
    <w:rsid w:val="00831133"/>
    <w:rsid w:val="0083123F"/>
    <w:rsid w:val="00831553"/>
    <w:rsid w:val="0083184B"/>
    <w:rsid w:val="008319B6"/>
    <w:rsid w:val="00832102"/>
    <w:rsid w:val="0083224E"/>
    <w:rsid w:val="00832679"/>
    <w:rsid w:val="00832F14"/>
    <w:rsid w:val="008334B6"/>
    <w:rsid w:val="00833958"/>
    <w:rsid w:val="00833AB9"/>
    <w:rsid w:val="00834732"/>
    <w:rsid w:val="00835426"/>
    <w:rsid w:val="0083555F"/>
    <w:rsid w:val="00835A61"/>
    <w:rsid w:val="00835EF2"/>
    <w:rsid w:val="00836C37"/>
    <w:rsid w:val="00836E7D"/>
    <w:rsid w:val="00837B7A"/>
    <w:rsid w:val="00837DBA"/>
    <w:rsid w:val="00837E0C"/>
    <w:rsid w:val="00837F8A"/>
    <w:rsid w:val="0084001D"/>
    <w:rsid w:val="0084005C"/>
    <w:rsid w:val="008405D5"/>
    <w:rsid w:val="00840866"/>
    <w:rsid w:val="0084108F"/>
    <w:rsid w:val="008416D9"/>
    <w:rsid w:val="0084194D"/>
    <w:rsid w:val="008421BE"/>
    <w:rsid w:val="00842B7B"/>
    <w:rsid w:val="00844009"/>
    <w:rsid w:val="00844464"/>
    <w:rsid w:val="00844ABC"/>
    <w:rsid w:val="00844B71"/>
    <w:rsid w:val="00845345"/>
    <w:rsid w:val="00845655"/>
    <w:rsid w:val="00845E4F"/>
    <w:rsid w:val="00845E85"/>
    <w:rsid w:val="008465AE"/>
    <w:rsid w:val="008469F4"/>
    <w:rsid w:val="00846CBF"/>
    <w:rsid w:val="00846CC2"/>
    <w:rsid w:val="008470CD"/>
    <w:rsid w:val="008501F2"/>
    <w:rsid w:val="008508AD"/>
    <w:rsid w:val="00850A99"/>
    <w:rsid w:val="0085102F"/>
    <w:rsid w:val="0085109D"/>
    <w:rsid w:val="00851875"/>
    <w:rsid w:val="0085279F"/>
    <w:rsid w:val="00852B99"/>
    <w:rsid w:val="008530FE"/>
    <w:rsid w:val="0085347A"/>
    <w:rsid w:val="00853A05"/>
    <w:rsid w:val="008548AD"/>
    <w:rsid w:val="008548ED"/>
    <w:rsid w:val="00854C46"/>
    <w:rsid w:val="00854F0B"/>
    <w:rsid w:val="00855170"/>
    <w:rsid w:val="008556D3"/>
    <w:rsid w:val="00856352"/>
    <w:rsid w:val="00856C84"/>
    <w:rsid w:val="00857B5E"/>
    <w:rsid w:val="0086000D"/>
    <w:rsid w:val="00862208"/>
    <w:rsid w:val="00862267"/>
    <w:rsid w:val="0086273F"/>
    <w:rsid w:val="00862BD4"/>
    <w:rsid w:val="00862D66"/>
    <w:rsid w:val="00862E72"/>
    <w:rsid w:val="00863298"/>
    <w:rsid w:val="00863784"/>
    <w:rsid w:val="00863ED6"/>
    <w:rsid w:val="008641BB"/>
    <w:rsid w:val="00864909"/>
    <w:rsid w:val="00864E2F"/>
    <w:rsid w:val="008652F0"/>
    <w:rsid w:val="00865970"/>
    <w:rsid w:val="00865E4A"/>
    <w:rsid w:val="00865EB9"/>
    <w:rsid w:val="00866692"/>
    <w:rsid w:val="00866792"/>
    <w:rsid w:val="00867290"/>
    <w:rsid w:val="00867D14"/>
    <w:rsid w:val="00867D3B"/>
    <w:rsid w:val="00871076"/>
    <w:rsid w:val="008715C0"/>
    <w:rsid w:val="00871C43"/>
    <w:rsid w:val="008727B0"/>
    <w:rsid w:val="008745E0"/>
    <w:rsid w:val="008746D7"/>
    <w:rsid w:val="0087476A"/>
    <w:rsid w:val="00874EF9"/>
    <w:rsid w:val="00874F2F"/>
    <w:rsid w:val="00875289"/>
    <w:rsid w:val="0087647F"/>
    <w:rsid w:val="0087689E"/>
    <w:rsid w:val="00876CF8"/>
    <w:rsid w:val="00876D9A"/>
    <w:rsid w:val="00876F54"/>
    <w:rsid w:val="00877493"/>
    <w:rsid w:val="00877601"/>
    <w:rsid w:val="00877714"/>
    <w:rsid w:val="00877942"/>
    <w:rsid w:val="008802F7"/>
    <w:rsid w:val="0088036A"/>
    <w:rsid w:val="00880714"/>
    <w:rsid w:val="00880D9F"/>
    <w:rsid w:val="00881BA3"/>
    <w:rsid w:val="00881C00"/>
    <w:rsid w:val="00881E05"/>
    <w:rsid w:val="00882157"/>
    <w:rsid w:val="0088231C"/>
    <w:rsid w:val="0088239D"/>
    <w:rsid w:val="00882502"/>
    <w:rsid w:val="00882D1E"/>
    <w:rsid w:val="00883D10"/>
    <w:rsid w:val="00883E31"/>
    <w:rsid w:val="0088450A"/>
    <w:rsid w:val="00884858"/>
    <w:rsid w:val="0088533B"/>
    <w:rsid w:val="008853C3"/>
    <w:rsid w:val="00885744"/>
    <w:rsid w:val="00885D25"/>
    <w:rsid w:val="00885E03"/>
    <w:rsid w:val="00885E60"/>
    <w:rsid w:val="00886274"/>
    <w:rsid w:val="008864C4"/>
    <w:rsid w:val="008867BE"/>
    <w:rsid w:val="008867FE"/>
    <w:rsid w:val="00886960"/>
    <w:rsid w:val="00886B4B"/>
    <w:rsid w:val="00886BA3"/>
    <w:rsid w:val="00886E80"/>
    <w:rsid w:val="00887648"/>
    <w:rsid w:val="0089005A"/>
    <w:rsid w:val="00890322"/>
    <w:rsid w:val="00890450"/>
    <w:rsid w:val="008909F3"/>
    <w:rsid w:val="00890B70"/>
    <w:rsid w:val="00890B81"/>
    <w:rsid w:val="00890FDC"/>
    <w:rsid w:val="00891584"/>
    <w:rsid w:val="00891E61"/>
    <w:rsid w:val="00892255"/>
    <w:rsid w:val="00892484"/>
    <w:rsid w:val="0089342A"/>
    <w:rsid w:val="0089397E"/>
    <w:rsid w:val="00893B2E"/>
    <w:rsid w:val="00894220"/>
    <w:rsid w:val="008944B6"/>
    <w:rsid w:val="00895BE5"/>
    <w:rsid w:val="00896320"/>
    <w:rsid w:val="00897319"/>
    <w:rsid w:val="00897BB4"/>
    <w:rsid w:val="008A0469"/>
    <w:rsid w:val="008A04AD"/>
    <w:rsid w:val="008A06DE"/>
    <w:rsid w:val="008A096A"/>
    <w:rsid w:val="008A0E52"/>
    <w:rsid w:val="008A1377"/>
    <w:rsid w:val="008A2FBA"/>
    <w:rsid w:val="008A3222"/>
    <w:rsid w:val="008A34F0"/>
    <w:rsid w:val="008A3656"/>
    <w:rsid w:val="008A3882"/>
    <w:rsid w:val="008A3DDA"/>
    <w:rsid w:val="008A4E25"/>
    <w:rsid w:val="008A5193"/>
    <w:rsid w:val="008A51D8"/>
    <w:rsid w:val="008A54DC"/>
    <w:rsid w:val="008A5538"/>
    <w:rsid w:val="008A57CF"/>
    <w:rsid w:val="008A5F89"/>
    <w:rsid w:val="008A6175"/>
    <w:rsid w:val="008A6634"/>
    <w:rsid w:val="008A70B9"/>
    <w:rsid w:val="008A73B8"/>
    <w:rsid w:val="008A73FF"/>
    <w:rsid w:val="008A79A9"/>
    <w:rsid w:val="008A7A82"/>
    <w:rsid w:val="008A7BAE"/>
    <w:rsid w:val="008A7CB0"/>
    <w:rsid w:val="008A7DB0"/>
    <w:rsid w:val="008B0AC2"/>
    <w:rsid w:val="008B1392"/>
    <w:rsid w:val="008B16CF"/>
    <w:rsid w:val="008B1762"/>
    <w:rsid w:val="008B1979"/>
    <w:rsid w:val="008B1C31"/>
    <w:rsid w:val="008B4314"/>
    <w:rsid w:val="008B45B5"/>
    <w:rsid w:val="008B45C6"/>
    <w:rsid w:val="008B4686"/>
    <w:rsid w:val="008B4725"/>
    <w:rsid w:val="008B492D"/>
    <w:rsid w:val="008B4F24"/>
    <w:rsid w:val="008B4F3A"/>
    <w:rsid w:val="008B55EA"/>
    <w:rsid w:val="008B605E"/>
    <w:rsid w:val="008B70B5"/>
    <w:rsid w:val="008B70DC"/>
    <w:rsid w:val="008B71AD"/>
    <w:rsid w:val="008B72D8"/>
    <w:rsid w:val="008B7346"/>
    <w:rsid w:val="008B7ADE"/>
    <w:rsid w:val="008C0420"/>
    <w:rsid w:val="008C0937"/>
    <w:rsid w:val="008C0984"/>
    <w:rsid w:val="008C0A64"/>
    <w:rsid w:val="008C13D2"/>
    <w:rsid w:val="008C16B0"/>
    <w:rsid w:val="008C1A8A"/>
    <w:rsid w:val="008C2063"/>
    <w:rsid w:val="008C24C3"/>
    <w:rsid w:val="008C268A"/>
    <w:rsid w:val="008C46C1"/>
    <w:rsid w:val="008C4790"/>
    <w:rsid w:val="008C4C6B"/>
    <w:rsid w:val="008C50B2"/>
    <w:rsid w:val="008C519E"/>
    <w:rsid w:val="008C571B"/>
    <w:rsid w:val="008C579C"/>
    <w:rsid w:val="008C57AB"/>
    <w:rsid w:val="008C59C6"/>
    <w:rsid w:val="008C5D38"/>
    <w:rsid w:val="008C71C8"/>
    <w:rsid w:val="008C72A7"/>
    <w:rsid w:val="008C7399"/>
    <w:rsid w:val="008C797F"/>
    <w:rsid w:val="008C7AA7"/>
    <w:rsid w:val="008D0130"/>
    <w:rsid w:val="008D0EBC"/>
    <w:rsid w:val="008D1132"/>
    <w:rsid w:val="008D1881"/>
    <w:rsid w:val="008D1C3A"/>
    <w:rsid w:val="008D1F34"/>
    <w:rsid w:val="008D2175"/>
    <w:rsid w:val="008D2EBD"/>
    <w:rsid w:val="008D364A"/>
    <w:rsid w:val="008D3687"/>
    <w:rsid w:val="008D4213"/>
    <w:rsid w:val="008D42B2"/>
    <w:rsid w:val="008D45BD"/>
    <w:rsid w:val="008D4CAB"/>
    <w:rsid w:val="008D51A4"/>
    <w:rsid w:val="008D5254"/>
    <w:rsid w:val="008D581C"/>
    <w:rsid w:val="008D5A8A"/>
    <w:rsid w:val="008D5CF5"/>
    <w:rsid w:val="008D5D04"/>
    <w:rsid w:val="008E010F"/>
    <w:rsid w:val="008E019C"/>
    <w:rsid w:val="008E08FD"/>
    <w:rsid w:val="008E09F2"/>
    <w:rsid w:val="008E0A49"/>
    <w:rsid w:val="008E0A94"/>
    <w:rsid w:val="008E0C43"/>
    <w:rsid w:val="008E0D78"/>
    <w:rsid w:val="008E100F"/>
    <w:rsid w:val="008E145E"/>
    <w:rsid w:val="008E147C"/>
    <w:rsid w:val="008E1504"/>
    <w:rsid w:val="008E21A3"/>
    <w:rsid w:val="008E21CF"/>
    <w:rsid w:val="008E2351"/>
    <w:rsid w:val="008E3610"/>
    <w:rsid w:val="008E394B"/>
    <w:rsid w:val="008E3B13"/>
    <w:rsid w:val="008E460D"/>
    <w:rsid w:val="008E4F0C"/>
    <w:rsid w:val="008E5010"/>
    <w:rsid w:val="008E53CB"/>
    <w:rsid w:val="008E61EA"/>
    <w:rsid w:val="008E665E"/>
    <w:rsid w:val="008E6B22"/>
    <w:rsid w:val="008E7488"/>
    <w:rsid w:val="008E74AD"/>
    <w:rsid w:val="008E7B69"/>
    <w:rsid w:val="008E7F48"/>
    <w:rsid w:val="008F06C6"/>
    <w:rsid w:val="008F09F8"/>
    <w:rsid w:val="008F0ABB"/>
    <w:rsid w:val="008F0B05"/>
    <w:rsid w:val="008F0B5F"/>
    <w:rsid w:val="008F1965"/>
    <w:rsid w:val="008F1CFF"/>
    <w:rsid w:val="008F236A"/>
    <w:rsid w:val="008F27FA"/>
    <w:rsid w:val="008F3157"/>
    <w:rsid w:val="008F31CF"/>
    <w:rsid w:val="008F410A"/>
    <w:rsid w:val="008F4AA2"/>
    <w:rsid w:val="008F5E53"/>
    <w:rsid w:val="008F5F8E"/>
    <w:rsid w:val="008F600C"/>
    <w:rsid w:val="008F60E5"/>
    <w:rsid w:val="008F6414"/>
    <w:rsid w:val="008F659B"/>
    <w:rsid w:val="008F6BF4"/>
    <w:rsid w:val="008F7B2C"/>
    <w:rsid w:val="008F7BAA"/>
    <w:rsid w:val="008F7DB6"/>
    <w:rsid w:val="008F7DD8"/>
    <w:rsid w:val="008F7DF2"/>
    <w:rsid w:val="0090040E"/>
    <w:rsid w:val="009007E9"/>
    <w:rsid w:val="00902822"/>
    <w:rsid w:val="00902899"/>
    <w:rsid w:val="0090291D"/>
    <w:rsid w:val="00902B1A"/>
    <w:rsid w:val="00902D7F"/>
    <w:rsid w:val="0090340C"/>
    <w:rsid w:val="009036AF"/>
    <w:rsid w:val="00903A53"/>
    <w:rsid w:val="009043A7"/>
    <w:rsid w:val="00904617"/>
    <w:rsid w:val="0090539D"/>
    <w:rsid w:val="00905890"/>
    <w:rsid w:val="00905EF3"/>
    <w:rsid w:val="00905FAA"/>
    <w:rsid w:val="0090636C"/>
    <w:rsid w:val="00906643"/>
    <w:rsid w:val="00906A66"/>
    <w:rsid w:val="00906AB7"/>
    <w:rsid w:val="009071C4"/>
    <w:rsid w:val="00907494"/>
    <w:rsid w:val="00907723"/>
    <w:rsid w:val="00907FDF"/>
    <w:rsid w:val="0091012C"/>
    <w:rsid w:val="00910166"/>
    <w:rsid w:val="00910782"/>
    <w:rsid w:val="00910AD5"/>
    <w:rsid w:val="00910FA0"/>
    <w:rsid w:val="00911855"/>
    <w:rsid w:val="00911D0A"/>
    <w:rsid w:val="0091201D"/>
    <w:rsid w:val="009127F7"/>
    <w:rsid w:val="009128B0"/>
    <w:rsid w:val="00913034"/>
    <w:rsid w:val="00913222"/>
    <w:rsid w:val="00913225"/>
    <w:rsid w:val="00913A2F"/>
    <w:rsid w:val="00913DDC"/>
    <w:rsid w:val="0091420D"/>
    <w:rsid w:val="0091441B"/>
    <w:rsid w:val="0091567D"/>
    <w:rsid w:val="009158B4"/>
    <w:rsid w:val="009162D6"/>
    <w:rsid w:val="00916400"/>
    <w:rsid w:val="00916568"/>
    <w:rsid w:val="00916594"/>
    <w:rsid w:val="00917193"/>
    <w:rsid w:val="0091753B"/>
    <w:rsid w:val="009200ED"/>
    <w:rsid w:val="00920167"/>
    <w:rsid w:val="00920884"/>
    <w:rsid w:val="00922459"/>
    <w:rsid w:val="009227DB"/>
    <w:rsid w:val="00923982"/>
    <w:rsid w:val="009246A4"/>
    <w:rsid w:val="0092504C"/>
    <w:rsid w:val="009253FC"/>
    <w:rsid w:val="009256AE"/>
    <w:rsid w:val="009257D4"/>
    <w:rsid w:val="0092586A"/>
    <w:rsid w:val="00925C43"/>
    <w:rsid w:val="009265D5"/>
    <w:rsid w:val="0092687C"/>
    <w:rsid w:val="009271EF"/>
    <w:rsid w:val="009274B5"/>
    <w:rsid w:val="00927B3F"/>
    <w:rsid w:val="00927C87"/>
    <w:rsid w:val="00930759"/>
    <w:rsid w:val="00930C7C"/>
    <w:rsid w:val="00930CC5"/>
    <w:rsid w:val="00931120"/>
    <w:rsid w:val="0093180E"/>
    <w:rsid w:val="00931C34"/>
    <w:rsid w:val="00931E04"/>
    <w:rsid w:val="00932125"/>
    <w:rsid w:val="0093273B"/>
    <w:rsid w:val="00932E72"/>
    <w:rsid w:val="009331F7"/>
    <w:rsid w:val="00933391"/>
    <w:rsid w:val="00933C6F"/>
    <w:rsid w:val="00934319"/>
    <w:rsid w:val="00934ACE"/>
    <w:rsid w:val="009350A1"/>
    <w:rsid w:val="009350C3"/>
    <w:rsid w:val="00935283"/>
    <w:rsid w:val="00935363"/>
    <w:rsid w:val="00935478"/>
    <w:rsid w:val="00935DD0"/>
    <w:rsid w:val="00936956"/>
    <w:rsid w:val="00936B5B"/>
    <w:rsid w:val="00937FEA"/>
    <w:rsid w:val="00940076"/>
    <w:rsid w:val="0094070C"/>
    <w:rsid w:val="00940774"/>
    <w:rsid w:val="009409A4"/>
    <w:rsid w:val="009411BC"/>
    <w:rsid w:val="009418A1"/>
    <w:rsid w:val="00941962"/>
    <w:rsid w:val="00941CDE"/>
    <w:rsid w:val="00941E35"/>
    <w:rsid w:val="0094217E"/>
    <w:rsid w:val="009421AF"/>
    <w:rsid w:val="009426C8"/>
    <w:rsid w:val="00942963"/>
    <w:rsid w:val="009431EE"/>
    <w:rsid w:val="009440E2"/>
    <w:rsid w:val="009444DA"/>
    <w:rsid w:val="00945313"/>
    <w:rsid w:val="009458FC"/>
    <w:rsid w:val="00945AA6"/>
    <w:rsid w:val="00945C94"/>
    <w:rsid w:val="009460D6"/>
    <w:rsid w:val="009463A4"/>
    <w:rsid w:val="00946803"/>
    <w:rsid w:val="0094699E"/>
    <w:rsid w:val="00946AD9"/>
    <w:rsid w:val="00946CE2"/>
    <w:rsid w:val="009472E6"/>
    <w:rsid w:val="00947349"/>
    <w:rsid w:val="009477B9"/>
    <w:rsid w:val="00950626"/>
    <w:rsid w:val="009507DB"/>
    <w:rsid w:val="009519F7"/>
    <w:rsid w:val="00951AE1"/>
    <w:rsid w:val="00952F0A"/>
    <w:rsid w:val="0095393D"/>
    <w:rsid w:val="00954B1B"/>
    <w:rsid w:val="009563E6"/>
    <w:rsid w:val="00956462"/>
    <w:rsid w:val="0095723B"/>
    <w:rsid w:val="009577A3"/>
    <w:rsid w:val="00957EF8"/>
    <w:rsid w:val="00960ABC"/>
    <w:rsid w:val="00960F03"/>
    <w:rsid w:val="0096101E"/>
    <w:rsid w:val="0096154F"/>
    <w:rsid w:val="00961708"/>
    <w:rsid w:val="00961AE6"/>
    <w:rsid w:val="00961D0D"/>
    <w:rsid w:val="00962805"/>
    <w:rsid w:val="00962C28"/>
    <w:rsid w:val="00962F34"/>
    <w:rsid w:val="00962FA8"/>
    <w:rsid w:val="00963161"/>
    <w:rsid w:val="0096339C"/>
    <w:rsid w:val="00963C29"/>
    <w:rsid w:val="00963CB6"/>
    <w:rsid w:val="00964AA3"/>
    <w:rsid w:val="00965166"/>
    <w:rsid w:val="0096548E"/>
    <w:rsid w:val="00965773"/>
    <w:rsid w:val="009658A6"/>
    <w:rsid w:val="00966144"/>
    <w:rsid w:val="00967675"/>
    <w:rsid w:val="00970E10"/>
    <w:rsid w:val="0097223E"/>
    <w:rsid w:val="00972612"/>
    <w:rsid w:val="0097261B"/>
    <w:rsid w:val="009729B6"/>
    <w:rsid w:val="00972CF4"/>
    <w:rsid w:val="009732E2"/>
    <w:rsid w:val="00973B03"/>
    <w:rsid w:val="009742F2"/>
    <w:rsid w:val="009745E4"/>
    <w:rsid w:val="009749BD"/>
    <w:rsid w:val="00974A30"/>
    <w:rsid w:val="0097605F"/>
    <w:rsid w:val="009768DA"/>
    <w:rsid w:val="0097706B"/>
    <w:rsid w:val="00977278"/>
    <w:rsid w:val="00977546"/>
    <w:rsid w:val="00977739"/>
    <w:rsid w:val="009804B3"/>
    <w:rsid w:val="00980D92"/>
    <w:rsid w:val="00981318"/>
    <w:rsid w:val="0098169D"/>
    <w:rsid w:val="00981863"/>
    <w:rsid w:val="00981CC6"/>
    <w:rsid w:val="0098209E"/>
    <w:rsid w:val="009820A2"/>
    <w:rsid w:val="00982245"/>
    <w:rsid w:val="0098288C"/>
    <w:rsid w:val="00982BCC"/>
    <w:rsid w:val="00982E4F"/>
    <w:rsid w:val="00982E9B"/>
    <w:rsid w:val="00983064"/>
    <w:rsid w:val="00983F16"/>
    <w:rsid w:val="00985795"/>
    <w:rsid w:val="00985A4E"/>
    <w:rsid w:val="00986305"/>
    <w:rsid w:val="00986AA7"/>
    <w:rsid w:val="00986D1F"/>
    <w:rsid w:val="009873E8"/>
    <w:rsid w:val="0099077A"/>
    <w:rsid w:val="009914EA"/>
    <w:rsid w:val="009917AC"/>
    <w:rsid w:val="00991811"/>
    <w:rsid w:val="00991D0F"/>
    <w:rsid w:val="00992D43"/>
    <w:rsid w:val="0099314A"/>
    <w:rsid w:val="0099381C"/>
    <w:rsid w:val="009942A3"/>
    <w:rsid w:val="009948FF"/>
    <w:rsid w:val="0099502E"/>
    <w:rsid w:val="009951E8"/>
    <w:rsid w:val="00996717"/>
    <w:rsid w:val="00996A43"/>
    <w:rsid w:val="009971F7"/>
    <w:rsid w:val="0099762E"/>
    <w:rsid w:val="009976C6"/>
    <w:rsid w:val="009976C9"/>
    <w:rsid w:val="00997892"/>
    <w:rsid w:val="00997A5F"/>
    <w:rsid w:val="00997C8E"/>
    <w:rsid w:val="00997EF8"/>
    <w:rsid w:val="009A03E1"/>
    <w:rsid w:val="009A0BDA"/>
    <w:rsid w:val="009A137F"/>
    <w:rsid w:val="009A18D7"/>
    <w:rsid w:val="009A2BC9"/>
    <w:rsid w:val="009A2C4A"/>
    <w:rsid w:val="009A4218"/>
    <w:rsid w:val="009A4752"/>
    <w:rsid w:val="009A49B3"/>
    <w:rsid w:val="009A4D97"/>
    <w:rsid w:val="009A4E13"/>
    <w:rsid w:val="009A5324"/>
    <w:rsid w:val="009A5329"/>
    <w:rsid w:val="009A5531"/>
    <w:rsid w:val="009A57CF"/>
    <w:rsid w:val="009A60D5"/>
    <w:rsid w:val="009A6A49"/>
    <w:rsid w:val="009A6E41"/>
    <w:rsid w:val="009A70ED"/>
    <w:rsid w:val="009A73F7"/>
    <w:rsid w:val="009A7432"/>
    <w:rsid w:val="009A7502"/>
    <w:rsid w:val="009A761A"/>
    <w:rsid w:val="009A7803"/>
    <w:rsid w:val="009A7910"/>
    <w:rsid w:val="009A7FFC"/>
    <w:rsid w:val="009B0095"/>
    <w:rsid w:val="009B03F6"/>
    <w:rsid w:val="009B0DB0"/>
    <w:rsid w:val="009B0F71"/>
    <w:rsid w:val="009B164E"/>
    <w:rsid w:val="009B17E7"/>
    <w:rsid w:val="009B1EA1"/>
    <w:rsid w:val="009B27EF"/>
    <w:rsid w:val="009B28AE"/>
    <w:rsid w:val="009B2B07"/>
    <w:rsid w:val="009B2C76"/>
    <w:rsid w:val="009B2D18"/>
    <w:rsid w:val="009B2DBE"/>
    <w:rsid w:val="009B3435"/>
    <w:rsid w:val="009B378A"/>
    <w:rsid w:val="009B3F30"/>
    <w:rsid w:val="009B4087"/>
    <w:rsid w:val="009B42C3"/>
    <w:rsid w:val="009B49E6"/>
    <w:rsid w:val="009B50BD"/>
    <w:rsid w:val="009B536D"/>
    <w:rsid w:val="009B53D9"/>
    <w:rsid w:val="009B5A26"/>
    <w:rsid w:val="009B5B7C"/>
    <w:rsid w:val="009B5C30"/>
    <w:rsid w:val="009B5E46"/>
    <w:rsid w:val="009B5E7F"/>
    <w:rsid w:val="009B797C"/>
    <w:rsid w:val="009C01DC"/>
    <w:rsid w:val="009C14FF"/>
    <w:rsid w:val="009C1971"/>
    <w:rsid w:val="009C226F"/>
    <w:rsid w:val="009C293B"/>
    <w:rsid w:val="009C3679"/>
    <w:rsid w:val="009C37B8"/>
    <w:rsid w:val="009C5B70"/>
    <w:rsid w:val="009C6038"/>
    <w:rsid w:val="009C706B"/>
    <w:rsid w:val="009C757E"/>
    <w:rsid w:val="009C75B0"/>
    <w:rsid w:val="009C77EB"/>
    <w:rsid w:val="009D0DC8"/>
    <w:rsid w:val="009D129E"/>
    <w:rsid w:val="009D1C96"/>
    <w:rsid w:val="009D20AF"/>
    <w:rsid w:val="009D25E4"/>
    <w:rsid w:val="009D2794"/>
    <w:rsid w:val="009D2A11"/>
    <w:rsid w:val="009D2A5C"/>
    <w:rsid w:val="009D2F5A"/>
    <w:rsid w:val="009D3013"/>
    <w:rsid w:val="009D4248"/>
    <w:rsid w:val="009D5A56"/>
    <w:rsid w:val="009D5D87"/>
    <w:rsid w:val="009D6031"/>
    <w:rsid w:val="009D620D"/>
    <w:rsid w:val="009D6740"/>
    <w:rsid w:val="009D6EC3"/>
    <w:rsid w:val="009D7444"/>
    <w:rsid w:val="009D7C32"/>
    <w:rsid w:val="009D7DB3"/>
    <w:rsid w:val="009E110F"/>
    <w:rsid w:val="009E1881"/>
    <w:rsid w:val="009E19EA"/>
    <w:rsid w:val="009E2161"/>
    <w:rsid w:val="009E2720"/>
    <w:rsid w:val="009E2A6A"/>
    <w:rsid w:val="009E30DA"/>
    <w:rsid w:val="009E355B"/>
    <w:rsid w:val="009E3F36"/>
    <w:rsid w:val="009E4528"/>
    <w:rsid w:val="009E500F"/>
    <w:rsid w:val="009E559D"/>
    <w:rsid w:val="009E62D0"/>
    <w:rsid w:val="009E7484"/>
    <w:rsid w:val="009E7C04"/>
    <w:rsid w:val="009F0155"/>
    <w:rsid w:val="009F081B"/>
    <w:rsid w:val="009F09FA"/>
    <w:rsid w:val="009F0B1F"/>
    <w:rsid w:val="009F1F07"/>
    <w:rsid w:val="009F1F8F"/>
    <w:rsid w:val="009F28C8"/>
    <w:rsid w:val="009F2AF9"/>
    <w:rsid w:val="009F343B"/>
    <w:rsid w:val="009F3597"/>
    <w:rsid w:val="009F37AA"/>
    <w:rsid w:val="009F3998"/>
    <w:rsid w:val="009F4562"/>
    <w:rsid w:val="009F4DD1"/>
    <w:rsid w:val="009F5468"/>
    <w:rsid w:val="009F59D6"/>
    <w:rsid w:val="009F6DAA"/>
    <w:rsid w:val="009F6EA5"/>
    <w:rsid w:val="009F736D"/>
    <w:rsid w:val="009F743C"/>
    <w:rsid w:val="00A01344"/>
    <w:rsid w:val="00A0144F"/>
    <w:rsid w:val="00A019A9"/>
    <w:rsid w:val="00A01BB1"/>
    <w:rsid w:val="00A01D9B"/>
    <w:rsid w:val="00A01DFD"/>
    <w:rsid w:val="00A01E82"/>
    <w:rsid w:val="00A01F6C"/>
    <w:rsid w:val="00A0207A"/>
    <w:rsid w:val="00A022C0"/>
    <w:rsid w:val="00A02591"/>
    <w:rsid w:val="00A02F94"/>
    <w:rsid w:val="00A035FD"/>
    <w:rsid w:val="00A0385F"/>
    <w:rsid w:val="00A04002"/>
    <w:rsid w:val="00A0420C"/>
    <w:rsid w:val="00A04633"/>
    <w:rsid w:val="00A04B18"/>
    <w:rsid w:val="00A04B3D"/>
    <w:rsid w:val="00A04D85"/>
    <w:rsid w:val="00A04FA1"/>
    <w:rsid w:val="00A05419"/>
    <w:rsid w:val="00A0567D"/>
    <w:rsid w:val="00A05BF1"/>
    <w:rsid w:val="00A0615D"/>
    <w:rsid w:val="00A0624D"/>
    <w:rsid w:val="00A06885"/>
    <w:rsid w:val="00A06892"/>
    <w:rsid w:val="00A07879"/>
    <w:rsid w:val="00A07D97"/>
    <w:rsid w:val="00A1105A"/>
    <w:rsid w:val="00A11140"/>
    <w:rsid w:val="00A11285"/>
    <w:rsid w:val="00A112A6"/>
    <w:rsid w:val="00A126CD"/>
    <w:rsid w:val="00A128D0"/>
    <w:rsid w:val="00A138D2"/>
    <w:rsid w:val="00A13BE1"/>
    <w:rsid w:val="00A1575F"/>
    <w:rsid w:val="00A15C2E"/>
    <w:rsid w:val="00A15DC2"/>
    <w:rsid w:val="00A16EB1"/>
    <w:rsid w:val="00A17A3E"/>
    <w:rsid w:val="00A17A53"/>
    <w:rsid w:val="00A17DE2"/>
    <w:rsid w:val="00A2071C"/>
    <w:rsid w:val="00A20F90"/>
    <w:rsid w:val="00A211E0"/>
    <w:rsid w:val="00A213F1"/>
    <w:rsid w:val="00A215E6"/>
    <w:rsid w:val="00A215E9"/>
    <w:rsid w:val="00A216E4"/>
    <w:rsid w:val="00A21E96"/>
    <w:rsid w:val="00A227A9"/>
    <w:rsid w:val="00A22C94"/>
    <w:rsid w:val="00A22DB2"/>
    <w:rsid w:val="00A23105"/>
    <w:rsid w:val="00A2314E"/>
    <w:rsid w:val="00A2349D"/>
    <w:rsid w:val="00A2365A"/>
    <w:rsid w:val="00A2368F"/>
    <w:rsid w:val="00A23804"/>
    <w:rsid w:val="00A23A6C"/>
    <w:rsid w:val="00A23DEA"/>
    <w:rsid w:val="00A243D5"/>
    <w:rsid w:val="00A24870"/>
    <w:rsid w:val="00A24A1C"/>
    <w:rsid w:val="00A24F5E"/>
    <w:rsid w:val="00A25116"/>
    <w:rsid w:val="00A25DE2"/>
    <w:rsid w:val="00A25F3B"/>
    <w:rsid w:val="00A267B5"/>
    <w:rsid w:val="00A269EC"/>
    <w:rsid w:val="00A26C06"/>
    <w:rsid w:val="00A26D76"/>
    <w:rsid w:val="00A27029"/>
    <w:rsid w:val="00A274C1"/>
    <w:rsid w:val="00A27DD1"/>
    <w:rsid w:val="00A30120"/>
    <w:rsid w:val="00A307F3"/>
    <w:rsid w:val="00A30DEC"/>
    <w:rsid w:val="00A310F2"/>
    <w:rsid w:val="00A32965"/>
    <w:rsid w:val="00A32C0B"/>
    <w:rsid w:val="00A32C7D"/>
    <w:rsid w:val="00A3311B"/>
    <w:rsid w:val="00A347D3"/>
    <w:rsid w:val="00A34F62"/>
    <w:rsid w:val="00A35D0E"/>
    <w:rsid w:val="00A36469"/>
    <w:rsid w:val="00A3678F"/>
    <w:rsid w:val="00A369E4"/>
    <w:rsid w:val="00A36BCA"/>
    <w:rsid w:val="00A378A0"/>
    <w:rsid w:val="00A4056A"/>
    <w:rsid w:val="00A40EB6"/>
    <w:rsid w:val="00A410B8"/>
    <w:rsid w:val="00A41806"/>
    <w:rsid w:val="00A4195B"/>
    <w:rsid w:val="00A42571"/>
    <w:rsid w:val="00A42603"/>
    <w:rsid w:val="00A42B7A"/>
    <w:rsid w:val="00A436BF"/>
    <w:rsid w:val="00A4373D"/>
    <w:rsid w:val="00A438AB"/>
    <w:rsid w:val="00A43D11"/>
    <w:rsid w:val="00A447F7"/>
    <w:rsid w:val="00A449A8"/>
    <w:rsid w:val="00A44FFD"/>
    <w:rsid w:val="00A45E5B"/>
    <w:rsid w:val="00A45E5D"/>
    <w:rsid w:val="00A460F1"/>
    <w:rsid w:val="00A46304"/>
    <w:rsid w:val="00A46313"/>
    <w:rsid w:val="00A463A8"/>
    <w:rsid w:val="00A465C4"/>
    <w:rsid w:val="00A46A41"/>
    <w:rsid w:val="00A470E7"/>
    <w:rsid w:val="00A50217"/>
    <w:rsid w:val="00A507A3"/>
    <w:rsid w:val="00A50BEC"/>
    <w:rsid w:val="00A50D17"/>
    <w:rsid w:val="00A51141"/>
    <w:rsid w:val="00A51C61"/>
    <w:rsid w:val="00A51FA4"/>
    <w:rsid w:val="00A521F4"/>
    <w:rsid w:val="00A52B45"/>
    <w:rsid w:val="00A53985"/>
    <w:rsid w:val="00A53A8D"/>
    <w:rsid w:val="00A53B3F"/>
    <w:rsid w:val="00A53E72"/>
    <w:rsid w:val="00A544F4"/>
    <w:rsid w:val="00A5458D"/>
    <w:rsid w:val="00A5474B"/>
    <w:rsid w:val="00A55043"/>
    <w:rsid w:val="00A554F5"/>
    <w:rsid w:val="00A559F4"/>
    <w:rsid w:val="00A564E7"/>
    <w:rsid w:val="00A56EBF"/>
    <w:rsid w:val="00A575D9"/>
    <w:rsid w:val="00A5781E"/>
    <w:rsid w:val="00A6015A"/>
    <w:rsid w:val="00A60184"/>
    <w:rsid w:val="00A60428"/>
    <w:rsid w:val="00A60ADD"/>
    <w:rsid w:val="00A6133B"/>
    <w:rsid w:val="00A61628"/>
    <w:rsid w:val="00A61759"/>
    <w:rsid w:val="00A625EF"/>
    <w:rsid w:val="00A6282A"/>
    <w:rsid w:val="00A62B72"/>
    <w:rsid w:val="00A632E3"/>
    <w:rsid w:val="00A633E4"/>
    <w:rsid w:val="00A63C2F"/>
    <w:rsid w:val="00A64A06"/>
    <w:rsid w:val="00A64EB1"/>
    <w:rsid w:val="00A65E41"/>
    <w:rsid w:val="00A65FE0"/>
    <w:rsid w:val="00A6651D"/>
    <w:rsid w:val="00A6679D"/>
    <w:rsid w:val="00A66BD9"/>
    <w:rsid w:val="00A67602"/>
    <w:rsid w:val="00A67797"/>
    <w:rsid w:val="00A67809"/>
    <w:rsid w:val="00A709DF"/>
    <w:rsid w:val="00A70E34"/>
    <w:rsid w:val="00A7191B"/>
    <w:rsid w:val="00A71FBF"/>
    <w:rsid w:val="00A7377A"/>
    <w:rsid w:val="00A740DF"/>
    <w:rsid w:val="00A7419B"/>
    <w:rsid w:val="00A7440A"/>
    <w:rsid w:val="00A74A18"/>
    <w:rsid w:val="00A74E3F"/>
    <w:rsid w:val="00A75101"/>
    <w:rsid w:val="00A75464"/>
    <w:rsid w:val="00A756D7"/>
    <w:rsid w:val="00A75973"/>
    <w:rsid w:val="00A7621C"/>
    <w:rsid w:val="00A76B75"/>
    <w:rsid w:val="00A76C8B"/>
    <w:rsid w:val="00A76D53"/>
    <w:rsid w:val="00A77659"/>
    <w:rsid w:val="00A77FF9"/>
    <w:rsid w:val="00A8025B"/>
    <w:rsid w:val="00A80805"/>
    <w:rsid w:val="00A80A4C"/>
    <w:rsid w:val="00A80DC1"/>
    <w:rsid w:val="00A80F72"/>
    <w:rsid w:val="00A81D6F"/>
    <w:rsid w:val="00A828EA"/>
    <w:rsid w:val="00A82B3C"/>
    <w:rsid w:val="00A82CC1"/>
    <w:rsid w:val="00A82D47"/>
    <w:rsid w:val="00A82ED1"/>
    <w:rsid w:val="00A8317D"/>
    <w:rsid w:val="00A839F4"/>
    <w:rsid w:val="00A83FE3"/>
    <w:rsid w:val="00A8438D"/>
    <w:rsid w:val="00A848E8"/>
    <w:rsid w:val="00A84D74"/>
    <w:rsid w:val="00A8514D"/>
    <w:rsid w:val="00A8538B"/>
    <w:rsid w:val="00A85613"/>
    <w:rsid w:val="00A85AFA"/>
    <w:rsid w:val="00A85DE6"/>
    <w:rsid w:val="00A86C92"/>
    <w:rsid w:val="00A874F6"/>
    <w:rsid w:val="00A87C7A"/>
    <w:rsid w:val="00A87EFA"/>
    <w:rsid w:val="00A87FEC"/>
    <w:rsid w:val="00A90330"/>
    <w:rsid w:val="00A910A5"/>
    <w:rsid w:val="00A91C42"/>
    <w:rsid w:val="00A924B3"/>
    <w:rsid w:val="00A93256"/>
    <w:rsid w:val="00A9334C"/>
    <w:rsid w:val="00A937A6"/>
    <w:rsid w:val="00A938F7"/>
    <w:rsid w:val="00A93ED8"/>
    <w:rsid w:val="00A9454F"/>
    <w:rsid w:val="00A94690"/>
    <w:rsid w:val="00A94A24"/>
    <w:rsid w:val="00A94A2C"/>
    <w:rsid w:val="00A96246"/>
    <w:rsid w:val="00A96506"/>
    <w:rsid w:val="00A96E61"/>
    <w:rsid w:val="00A977B5"/>
    <w:rsid w:val="00A97A0E"/>
    <w:rsid w:val="00AA0400"/>
    <w:rsid w:val="00AA06BD"/>
    <w:rsid w:val="00AA0938"/>
    <w:rsid w:val="00AA09D6"/>
    <w:rsid w:val="00AA0B2C"/>
    <w:rsid w:val="00AA0FED"/>
    <w:rsid w:val="00AA1276"/>
    <w:rsid w:val="00AA1688"/>
    <w:rsid w:val="00AA1A78"/>
    <w:rsid w:val="00AA20A5"/>
    <w:rsid w:val="00AA245C"/>
    <w:rsid w:val="00AA2704"/>
    <w:rsid w:val="00AA2999"/>
    <w:rsid w:val="00AA3A79"/>
    <w:rsid w:val="00AA3EAF"/>
    <w:rsid w:val="00AA4AEB"/>
    <w:rsid w:val="00AA550C"/>
    <w:rsid w:val="00AA5C72"/>
    <w:rsid w:val="00AA6260"/>
    <w:rsid w:val="00AA65D7"/>
    <w:rsid w:val="00AA6B64"/>
    <w:rsid w:val="00AA731B"/>
    <w:rsid w:val="00AA775E"/>
    <w:rsid w:val="00AA79B4"/>
    <w:rsid w:val="00AA7A98"/>
    <w:rsid w:val="00AA7C6D"/>
    <w:rsid w:val="00AA7D4D"/>
    <w:rsid w:val="00AB0C5C"/>
    <w:rsid w:val="00AB0DF6"/>
    <w:rsid w:val="00AB11D1"/>
    <w:rsid w:val="00AB17C1"/>
    <w:rsid w:val="00AB1C17"/>
    <w:rsid w:val="00AB1E71"/>
    <w:rsid w:val="00AB213F"/>
    <w:rsid w:val="00AB2930"/>
    <w:rsid w:val="00AB2E3F"/>
    <w:rsid w:val="00AB2FE7"/>
    <w:rsid w:val="00AB314A"/>
    <w:rsid w:val="00AB3600"/>
    <w:rsid w:val="00AB3C15"/>
    <w:rsid w:val="00AB3F19"/>
    <w:rsid w:val="00AB4087"/>
    <w:rsid w:val="00AB40DD"/>
    <w:rsid w:val="00AB4CCB"/>
    <w:rsid w:val="00AB4EEA"/>
    <w:rsid w:val="00AB52F9"/>
    <w:rsid w:val="00AB5959"/>
    <w:rsid w:val="00AB5D9B"/>
    <w:rsid w:val="00AB6636"/>
    <w:rsid w:val="00AB6AD0"/>
    <w:rsid w:val="00AB6B2C"/>
    <w:rsid w:val="00AB6FB5"/>
    <w:rsid w:val="00AB79C8"/>
    <w:rsid w:val="00AC0377"/>
    <w:rsid w:val="00AC090D"/>
    <w:rsid w:val="00AC0C10"/>
    <w:rsid w:val="00AC16EC"/>
    <w:rsid w:val="00AC1AB8"/>
    <w:rsid w:val="00AC1DAB"/>
    <w:rsid w:val="00AC2053"/>
    <w:rsid w:val="00AC24F8"/>
    <w:rsid w:val="00AC2775"/>
    <w:rsid w:val="00AC2E50"/>
    <w:rsid w:val="00AC31CC"/>
    <w:rsid w:val="00AC3D47"/>
    <w:rsid w:val="00AC3F7E"/>
    <w:rsid w:val="00AC411B"/>
    <w:rsid w:val="00AC48DB"/>
    <w:rsid w:val="00AC4A53"/>
    <w:rsid w:val="00AC4C04"/>
    <w:rsid w:val="00AC581C"/>
    <w:rsid w:val="00AC6097"/>
    <w:rsid w:val="00AC62F6"/>
    <w:rsid w:val="00AC6898"/>
    <w:rsid w:val="00AC68BA"/>
    <w:rsid w:val="00AC7234"/>
    <w:rsid w:val="00AC75D6"/>
    <w:rsid w:val="00AC7D0A"/>
    <w:rsid w:val="00AC7E06"/>
    <w:rsid w:val="00AC7E64"/>
    <w:rsid w:val="00AD019C"/>
    <w:rsid w:val="00AD0B66"/>
    <w:rsid w:val="00AD2106"/>
    <w:rsid w:val="00AD2576"/>
    <w:rsid w:val="00AD2D2E"/>
    <w:rsid w:val="00AD3213"/>
    <w:rsid w:val="00AD3516"/>
    <w:rsid w:val="00AD458F"/>
    <w:rsid w:val="00AD4E62"/>
    <w:rsid w:val="00AD60D5"/>
    <w:rsid w:val="00AD64D9"/>
    <w:rsid w:val="00AD670D"/>
    <w:rsid w:val="00AD68C3"/>
    <w:rsid w:val="00AD7059"/>
    <w:rsid w:val="00AD720F"/>
    <w:rsid w:val="00AD747D"/>
    <w:rsid w:val="00AD74E3"/>
    <w:rsid w:val="00AD7A86"/>
    <w:rsid w:val="00AE0183"/>
    <w:rsid w:val="00AE022C"/>
    <w:rsid w:val="00AE027C"/>
    <w:rsid w:val="00AE0365"/>
    <w:rsid w:val="00AE0C2F"/>
    <w:rsid w:val="00AE143F"/>
    <w:rsid w:val="00AE1BD6"/>
    <w:rsid w:val="00AE2298"/>
    <w:rsid w:val="00AE2556"/>
    <w:rsid w:val="00AE2AB8"/>
    <w:rsid w:val="00AE3912"/>
    <w:rsid w:val="00AE3BA8"/>
    <w:rsid w:val="00AE4665"/>
    <w:rsid w:val="00AE52EE"/>
    <w:rsid w:val="00AE617A"/>
    <w:rsid w:val="00AE6BCC"/>
    <w:rsid w:val="00AE6EE9"/>
    <w:rsid w:val="00AE7383"/>
    <w:rsid w:val="00AE7E1C"/>
    <w:rsid w:val="00AF05CB"/>
    <w:rsid w:val="00AF07F3"/>
    <w:rsid w:val="00AF0A68"/>
    <w:rsid w:val="00AF0DDA"/>
    <w:rsid w:val="00AF0E54"/>
    <w:rsid w:val="00AF2237"/>
    <w:rsid w:val="00AF32B9"/>
    <w:rsid w:val="00AF3B12"/>
    <w:rsid w:val="00AF3DA1"/>
    <w:rsid w:val="00AF42BF"/>
    <w:rsid w:val="00AF4609"/>
    <w:rsid w:val="00AF46E2"/>
    <w:rsid w:val="00AF4B20"/>
    <w:rsid w:val="00AF4DBD"/>
    <w:rsid w:val="00AF57A6"/>
    <w:rsid w:val="00AF64D0"/>
    <w:rsid w:val="00AF6BA6"/>
    <w:rsid w:val="00AF7723"/>
    <w:rsid w:val="00AF7809"/>
    <w:rsid w:val="00AF78C3"/>
    <w:rsid w:val="00AF7B5B"/>
    <w:rsid w:val="00AF7FD6"/>
    <w:rsid w:val="00B00007"/>
    <w:rsid w:val="00B0001C"/>
    <w:rsid w:val="00B00A3F"/>
    <w:rsid w:val="00B011AC"/>
    <w:rsid w:val="00B0137A"/>
    <w:rsid w:val="00B02890"/>
    <w:rsid w:val="00B0370A"/>
    <w:rsid w:val="00B04501"/>
    <w:rsid w:val="00B04958"/>
    <w:rsid w:val="00B0546B"/>
    <w:rsid w:val="00B05893"/>
    <w:rsid w:val="00B06F3E"/>
    <w:rsid w:val="00B0721A"/>
    <w:rsid w:val="00B103BC"/>
    <w:rsid w:val="00B10562"/>
    <w:rsid w:val="00B10667"/>
    <w:rsid w:val="00B10BC6"/>
    <w:rsid w:val="00B10E22"/>
    <w:rsid w:val="00B110A2"/>
    <w:rsid w:val="00B113B8"/>
    <w:rsid w:val="00B114AE"/>
    <w:rsid w:val="00B1260C"/>
    <w:rsid w:val="00B126D2"/>
    <w:rsid w:val="00B12B4A"/>
    <w:rsid w:val="00B12E49"/>
    <w:rsid w:val="00B137D7"/>
    <w:rsid w:val="00B13BFF"/>
    <w:rsid w:val="00B140C5"/>
    <w:rsid w:val="00B14A12"/>
    <w:rsid w:val="00B14A4E"/>
    <w:rsid w:val="00B15172"/>
    <w:rsid w:val="00B155C4"/>
    <w:rsid w:val="00B15CD4"/>
    <w:rsid w:val="00B17533"/>
    <w:rsid w:val="00B179A8"/>
    <w:rsid w:val="00B17A70"/>
    <w:rsid w:val="00B2028D"/>
    <w:rsid w:val="00B20467"/>
    <w:rsid w:val="00B204E9"/>
    <w:rsid w:val="00B20891"/>
    <w:rsid w:val="00B214A6"/>
    <w:rsid w:val="00B219B3"/>
    <w:rsid w:val="00B21A33"/>
    <w:rsid w:val="00B21B53"/>
    <w:rsid w:val="00B21E5F"/>
    <w:rsid w:val="00B220F8"/>
    <w:rsid w:val="00B2218C"/>
    <w:rsid w:val="00B226FB"/>
    <w:rsid w:val="00B22A5C"/>
    <w:rsid w:val="00B22D12"/>
    <w:rsid w:val="00B2362D"/>
    <w:rsid w:val="00B23FD7"/>
    <w:rsid w:val="00B2426B"/>
    <w:rsid w:val="00B24463"/>
    <w:rsid w:val="00B246F6"/>
    <w:rsid w:val="00B24C4A"/>
    <w:rsid w:val="00B256AA"/>
    <w:rsid w:val="00B259BE"/>
    <w:rsid w:val="00B2655E"/>
    <w:rsid w:val="00B26A94"/>
    <w:rsid w:val="00B26B57"/>
    <w:rsid w:val="00B26FB1"/>
    <w:rsid w:val="00B279F3"/>
    <w:rsid w:val="00B300EC"/>
    <w:rsid w:val="00B30B9D"/>
    <w:rsid w:val="00B319A1"/>
    <w:rsid w:val="00B31A4F"/>
    <w:rsid w:val="00B31E2B"/>
    <w:rsid w:val="00B3258F"/>
    <w:rsid w:val="00B328F5"/>
    <w:rsid w:val="00B32B96"/>
    <w:rsid w:val="00B33365"/>
    <w:rsid w:val="00B33CCE"/>
    <w:rsid w:val="00B34472"/>
    <w:rsid w:val="00B34562"/>
    <w:rsid w:val="00B350B2"/>
    <w:rsid w:val="00B35293"/>
    <w:rsid w:val="00B354ED"/>
    <w:rsid w:val="00B356DC"/>
    <w:rsid w:val="00B358E9"/>
    <w:rsid w:val="00B36028"/>
    <w:rsid w:val="00B367C6"/>
    <w:rsid w:val="00B3699E"/>
    <w:rsid w:val="00B36F86"/>
    <w:rsid w:val="00B37652"/>
    <w:rsid w:val="00B37884"/>
    <w:rsid w:val="00B3788D"/>
    <w:rsid w:val="00B401A7"/>
    <w:rsid w:val="00B40779"/>
    <w:rsid w:val="00B4166B"/>
    <w:rsid w:val="00B423B4"/>
    <w:rsid w:val="00B426F6"/>
    <w:rsid w:val="00B42B3E"/>
    <w:rsid w:val="00B432D1"/>
    <w:rsid w:val="00B43523"/>
    <w:rsid w:val="00B444AF"/>
    <w:rsid w:val="00B45113"/>
    <w:rsid w:val="00B4573F"/>
    <w:rsid w:val="00B4586F"/>
    <w:rsid w:val="00B45E7E"/>
    <w:rsid w:val="00B460A3"/>
    <w:rsid w:val="00B46521"/>
    <w:rsid w:val="00B47347"/>
    <w:rsid w:val="00B477B2"/>
    <w:rsid w:val="00B47FF9"/>
    <w:rsid w:val="00B503D0"/>
    <w:rsid w:val="00B50427"/>
    <w:rsid w:val="00B50A53"/>
    <w:rsid w:val="00B50CE1"/>
    <w:rsid w:val="00B510B3"/>
    <w:rsid w:val="00B5259B"/>
    <w:rsid w:val="00B525AB"/>
    <w:rsid w:val="00B52787"/>
    <w:rsid w:val="00B52CC4"/>
    <w:rsid w:val="00B52CEE"/>
    <w:rsid w:val="00B53283"/>
    <w:rsid w:val="00B532F8"/>
    <w:rsid w:val="00B53329"/>
    <w:rsid w:val="00B535F6"/>
    <w:rsid w:val="00B53947"/>
    <w:rsid w:val="00B53CBB"/>
    <w:rsid w:val="00B53E28"/>
    <w:rsid w:val="00B54015"/>
    <w:rsid w:val="00B54270"/>
    <w:rsid w:val="00B5444B"/>
    <w:rsid w:val="00B54833"/>
    <w:rsid w:val="00B549DC"/>
    <w:rsid w:val="00B54DE3"/>
    <w:rsid w:val="00B55156"/>
    <w:rsid w:val="00B552E8"/>
    <w:rsid w:val="00B55B2C"/>
    <w:rsid w:val="00B55D07"/>
    <w:rsid w:val="00B56024"/>
    <w:rsid w:val="00B56E4D"/>
    <w:rsid w:val="00B573B8"/>
    <w:rsid w:val="00B60C0C"/>
    <w:rsid w:val="00B612EB"/>
    <w:rsid w:val="00B615A4"/>
    <w:rsid w:val="00B617FC"/>
    <w:rsid w:val="00B61925"/>
    <w:rsid w:val="00B61F55"/>
    <w:rsid w:val="00B639AC"/>
    <w:rsid w:val="00B64574"/>
    <w:rsid w:val="00B64647"/>
    <w:rsid w:val="00B64AF7"/>
    <w:rsid w:val="00B65F35"/>
    <w:rsid w:val="00B6665C"/>
    <w:rsid w:val="00B6682B"/>
    <w:rsid w:val="00B66B91"/>
    <w:rsid w:val="00B66C18"/>
    <w:rsid w:val="00B66CC0"/>
    <w:rsid w:val="00B67781"/>
    <w:rsid w:val="00B709ED"/>
    <w:rsid w:val="00B70C32"/>
    <w:rsid w:val="00B718C1"/>
    <w:rsid w:val="00B71AA1"/>
    <w:rsid w:val="00B71B56"/>
    <w:rsid w:val="00B71B5D"/>
    <w:rsid w:val="00B71CF7"/>
    <w:rsid w:val="00B71E75"/>
    <w:rsid w:val="00B72C32"/>
    <w:rsid w:val="00B72F3B"/>
    <w:rsid w:val="00B73277"/>
    <w:rsid w:val="00B73658"/>
    <w:rsid w:val="00B744E0"/>
    <w:rsid w:val="00B74698"/>
    <w:rsid w:val="00B74E2B"/>
    <w:rsid w:val="00B751E8"/>
    <w:rsid w:val="00B753E3"/>
    <w:rsid w:val="00B7563D"/>
    <w:rsid w:val="00B75978"/>
    <w:rsid w:val="00B759D6"/>
    <w:rsid w:val="00B75CEE"/>
    <w:rsid w:val="00B75E1C"/>
    <w:rsid w:val="00B75F73"/>
    <w:rsid w:val="00B76139"/>
    <w:rsid w:val="00B766DA"/>
    <w:rsid w:val="00B7706F"/>
    <w:rsid w:val="00B770F7"/>
    <w:rsid w:val="00B773AB"/>
    <w:rsid w:val="00B77B6E"/>
    <w:rsid w:val="00B77CE8"/>
    <w:rsid w:val="00B80009"/>
    <w:rsid w:val="00B80EE7"/>
    <w:rsid w:val="00B81440"/>
    <w:rsid w:val="00B81D32"/>
    <w:rsid w:val="00B8259F"/>
    <w:rsid w:val="00B82D6F"/>
    <w:rsid w:val="00B830D5"/>
    <w:rsid w:val="00B8311D"/>
    <w:rsid w:val="00B83262"/>
    <w:rsid w:val="00B833D9"/>
    <w:rsid w:val="00B83470"/>
    <w:rsid w:val="00B83DDA"/>
    <w:rsid w:val="00B8448D"/>
    <w:rsid w:val="00B84659"/>
    <w:rsid w:val="00B847C0"/>
    <w:rsid w:val="00B85769"/>
    <w:rsid w:val="00B862DD"/>
    <w:rsid w:val="00B8682E"/>
    <w:rsid w:val="00B86875"/>
    <w:rsid w:val="00B869D2"/>
    <w:rsid w:val="00B86A67"/>
    <w:rsid w:val="00B86E7E"/>
    <w:rsid w:val="00B86EC8"/>
    <w:rsid w:val="00B8720B"/>
    <w:rsid w:val="00B8745F"/>
    <w:rsid w:val="00B87867"/>
    <w:rsid w:val="00B90D3B"/>
    <w:rsid w:val="00B91AFE"/>
    <w:rsid w:val="00B92668"/>
    <w:rsid w:val="00B92A55"/>
    <w:rsid w:val="00B92B61"/>
    <w:rsid w:val="00B93524"/>
    <w:rsid w:val="00B93E4C"/>
    <w:rsid w:val="00B9417A"/>
    <w:rsid w:val="00B94325"/>
    <w:rsid w:val="00B9502D"/>
    <w:rsid w:val="00B95BEE"/>
    <w:rsid w:val="00B95D43"/>
    <w:rsid w:val="00B967EF"/>
    <w:rsid w:val="00B96BB3"/>
    <w:rsid w:val="00B96E6C"/>
    <w:rsid w:val="00B96F48"/>
    <w:rsid w:val="00B9718D"/>
    <w:rsid w:val="00B97315"/>
    <w:rsid w:val="00B977FB"/>
    <w:rsid w:val="00B97E78"/>
    <w:rsid w:val="00BA089C"/>
    <w:rsid w:val="00BA0A39"/>
    <w:rsid w:val="00BA13FA"/>
    <w:rsid w:val="00BA172E"/>
    <w:rsid w:val="00BA21B9"/>
    <w:rsid w:val="00BA3601"/>
    <w:rsid w:val="00BA3669"/>
    <w:rsid w:val="00BA37F5"/>
    <w:rsid w:val="00BA3A7D"/>
    <w:rsid w:val="00BA3A81"/>
    <w:rsid w:val="00BA3F11"/>
    <w:rsid w:val="00BA4AA5"/>
    <w:rsid w:val="00BA4BEE"/>
    <w:rsid w:val="00BA4C3B"/>
    <w:rsid w:val="00BA54C2"/>
    <w:rsid w:val="00BA56E7"/>
    <w:rsid w:val="00BA6325"/>
    <w:rsid w:val="00BA644E"/>
    <w:rsid w:val="00BA757E"/>
    <w:rsid w:val="00BB0E85"/>
    <w:rsid w:val="00BB1D59"/>
    <w:rsid w:val="00BB2B1E"/>
    <w:rsid w:val="00BB3036"/>
    <w:rsid w:val="00BB33A0"/>
    <w:rsid w:val="00BB363D"/>
    <w:rsid w:val="00BB3F61"/>
    <w:rsid w:val="00BB41DA"/>
    <w:rsid w:val="00BB4698"/>
    <w:rsid w:val="00BB488F"/>
    <w:rsid w:val="00BB5410"/>
    <w:rsid w:val="00BB598D"/>
    <w:rsid w:val="00BB5DBC"/>
    <w:rsid w:val="00BB5F68"/>
    <w:rsid w:val="00BB6255"/>
    <w:rsid w:val="00BB6280"/>
    <w:rsid w:val="00BB63FB"/>
    <w:rsid w:val="00BB6638"/>
    <w:rsid w:val="00BB686B"/>
    <w:rsid w:val="00BB6D15"/>
    <w:rsid w:val="00BB7F61"/>
    <w:rsid w:val="00BC05B7"/>
    <w:rsid w:val="00BC084A"/>
    <w:rsid w:val="00BC0D3E"/>
    <w:rsid w:val="00BC1331"/>
    <w:rsid w:val="00BC16DD"/>
    <w:rsid w:val="00BC1D05"/>
    <w:rsid w:val="00BC2F91"/>
    <w:rsid w:val="00BC3953"/>
    <w:rsid w:val="00BC3E43"/>
    <w:rsid w:val="00BC3E85"/>
    <w:rsid w:val="00BC3EF2"/>
    <w:rsid w:val="00BC41A0"/>
    <w:rsid w:val="00BC4326"/>
    <w:rsid w:val="00BC4418"/>
    <w:rsid w:val="00BC4D49"/>
    <w:rsid w:val="00BC4D6C"/>
    <w:rsid w:val="00BC5172"/>
    <w:rsid w:val="00BC583D"/>
    <w:rsid w:val="00BC599A"/>
    <w:rsid w:val="00BC5C2B"/>
    <w:rsid w:val="00BC5E3E"/>
    <w:rsid w:val="00BC5F21"/>
    <w:rsid w:val="00BC6193"/>
    <w:rsid w:val="00BC619F"/>
    <w:rsid w:val="00BC6CE1"/>
    <w:rsid w:val="00BC6D35"/>
    <w:rsid w:val="00BC7293"/>
    <w:rsid w:val="00BC73E9"/>
    <w:rsid w:val="00BC78FA"/>
    <w:rsid w:val="00BC7A34"/>
    <w:rsid w:val="00BC7D4E"/>
    <w:rsid w:val="00BD0BA5"/>
    <w:rsid w:val="00BD0F7A"/>
    <w:rsid w:val="00BD147B"/>
    <w:rsid w:val="00BD18AD"/>
    <w:rsid w:val="00BD1D54"/>
    <w:rsid w:val="00BD1F7E"/>
    <w:rsid w:val="00BD2755"/>
    <w:rsid w:val="00BD2D84"/>
    <w:rsid w:val="00BD2DE4"/>
    <w:rsid w:val="00BD308F"/>
    <w:rsid w:val="00BD31B3"/>
    <w:rsid w:val="00BD37FB"/>
    <w:rsid w:val="00BD38C3"/>
    <w:rsid w:val="00BD38FD"/>
    <w:rsid w:val="00BD4975"/>
    <w:rsid w:val="00BD4BBF"/>
    <w:rsid w:val="00BD4D24"/>
    <w:rsid w:val="00BD5A9C"/>
    <w:rsid w:val="00BD5CA2"/>
    <w:rsid w:val="00BD63F4"/>
    <w:rsid w:val="00BD6D71"/>
    <w:rsid w:val="00BD7655"/>
    <w:rsid w:val="00BD76AB"/>
    <w:rsid w:val="00BD78C5"/>
    <w:rsid w:val="00BD79EB"/>
    <w:rsid w:val="00BD7BDC"/>
    <w:rsid w:val="00BE088B"/>
    <w:rsid w:val="00BE10A1"/>
    <w:rsid w:val="00BE13CA"/>
    <w:rsid w:val="00BE1D8C"/>
    <w:rsid w:val="00BE25D7"/>
    <w:rsid w:val="00BE2E6D"/>
    <w:rsid w:val="00BE3399"/>
    <w:rsid w:val="00BE3C90"/>
    <w:rsid w:val="00BE3E08"/>
    <w:rsid w:val="00BE51E1"/>
    <w:rsid w:val="00BE5634"/>
    <w:rsid w:val="00BE5C18"/>
    <w:rsid w:val="00BE6126"/>
    <w:rsid w:val="00BE6CAA"/>
    <w:rsid w:val="00BE73FA"/>
    <w:rsid w:val="00BE7719"/>
    <w:rsid w:val="00BE785F"/>
    <w:rsid w:val="00BE7F99"/>
    <w:rsid w:val="00BE7F9A"/>
    <w:rsid w:val="00BF00BC"/>
    <w:rsid w:val="00BF039F"/>
    <w:rsid w:val="00BF0A02"/>
    <w:rsid w:val="00BF0A68"/>
    <w:rsid w:val="00BF18A9"/>
    <w:rsid w:val="00BF1D5F"/>
    <w:rsid w:val="00BF25C7"/>
    <w:rsid w:val="00BF29F5"/>
    <w:rsid w:val="00BF3B79"/>
    <w:rsid w:val="00BF466C"/>
    <w:rsid w:val="00BF497E"/>
    <w:rsid w:val="00BF4DD5"/>
    <w:rsid w:val="00BF5723"/>
    <w:rsid w:val="00BF58A3"/>
    <w:rsid w:val="00BF617B"/>
    <w:rsid w:val="00BF679E"/>
    <w:rsid w:val="00BF7511"/>
    <w:rsid w:val="00BF751A"/>
    <w:rsid w:val="00BF7FE3"/>
    <w:rsid w:val="00C002E2"/>
    <w:rsid w:val="00C00799"/>
    <w:rsid w:val="00C010B2"/>
    <w:rsid w:val="00C0114A"/>
    <w:rsid w:val="00C0133F"/>
    <w:rsid w:val="00C02439"/>
    <w:rsid w:val="00C02F63"/>
    <w:rsid w:val="00C0380E"/>
    <w:rsid w:val="00C03B39"/>
    <w:rsid w:val="00C044E1"/>
    <w:rsid w:val="00C04A78"/>
    <w:rsid w:val="00C04D4A"/>
    <w:rsid w:val="00C0524D"/>
    <w:rsid w:val="00C053F2"/>
    <w:rsid w:val="00C05C30"/>
    <w:rsid w:val="00C05DF0"/>
    <w:rsid w:val="00C06659"/>
    <w:rsid w:val="00C06F3F"/>
    <w:rsid w:val="00C075AB"/>
    <w:rsid w:val="00C07974"/>
    <w:rsid w:val="00C10155"/>
    <w:rsid w:val="00C108AB"/>
    <w:rsid w:val="00C10B1F"/>
    <w:rsid w:val="00C10ED9"/>
    <w:rsid w:val="00C10F5F"/>
    <w:rsid w:val="00C1117A"/>
    <w:rsid w:val="00C116CB"/>
    <w:rsid w:val="00C11D65"/>
    <w:rsid w:val="00C120A7"/>
    <w:rsid w:val="00C129A7"/>
    <w:rsid w:val="00C13250"/>
    <w:rsid w:val="00C13699"/>
    <w:rsid w:val="00C13FCF"/>
    <w:rsid w:val="00C145FD"/>
    <w:rsid w:val="00C1526D"/>
    <w:rsid w:val="00C153D6"/>
    <w:rsid w:val="00C15488"/>
    <w:rsid w:val="00C15EC4"/>
    <w:rsid w:val="00C16232"/>
    <w:rsid w:val="00C16283"/>
    <w:rsid w:val="00C17AFE"/>
    <w:rsid w:val="00C20258"/>
    <w:rsid w:val="00C20C7D"/>
    <w:rsid w:val="00C20DA5"/>
    <w:rsid w:val="00C21169"/>
    <w:rsid w:val="00C2144F"/>
    <w:rsid w:val="00C21923"/>
    <w:rsid w:val="00C21A1F"/>
    <w:rsid w:val="00C2218A"/>
    <w:rsid w:val="00C227BC"/>
    <w:rsid w:val="00C230A8"/>
    <w:rsid w:val="00C23C6C"/>
    <w:rsid w:val="00C23FAE"/>
    <w:rsid w:val="00C24726"/>
    <w:rsid w:val="00C248CB"/>
    <w:rsid w:val="00C249CA"/>
    <w:rsid w:val="00C24BE8"/>
    <w:rsid w:val="00C250F2"/>
    <w:rsid w:val="00C2532C"/>
    <w:rsid w:val="00C253E6"/>
    <w:rsid w:val="00C25659"/>
    <w:rsid w:val="00C2577C"/>
    <w:rsid w:val="00C25FD8"/>
    <w:rsid w:val="00C2635E"/>
    <w:rsid w:val="00C2646A"/>
    <w:rsid w:val="00C2736B"/>
    <w:rsid w:val="00C2786B"/>
    <w:rsid w:val="00C27EC3"/>
    <w:rsid w:val="00C30519"/>
    <w:rsid w:val="00C305D6"/>
    <w:rsid w:val="00C306B7"/>
    <w:rsid w:val="00C312FE"/>
    <w:rsid w:val="00C31746"/>
    <w:rsid w:val="00C32641"/>
    <w:rsid w:val="00C330BE"/>
    <w:rsid w:val="00C338A8"/>
    <w:rsid w:val="00C33C84"/>
    <w:rsid w:val="00C33ED1"/>
    <w:rsid w:val="00C33F79"/>
    <w:rsid w:val="00C33FC5"/>
    <w:rsid w:val="00C343BF"/>
    <w:rsid w:val="00C34D5D"/>
    <w:rsid w:val="00C3536A"/>
    <w:rsid w:val="00C368CA"/>
    <w:rsid w:val="00C37470"/>
    <w:rsid w:val="00C37D51"/>
    <w:rsid w:val="00C37DF0"/>
    <w:rsid w:val="00C37FBA"/>
    <w:rsid w:val="00C40230"/>
    <w:rsid w:val="00C4035A"/>
    <w:rsid w:val="00C403EE"/>
    <w:rsid w:val="00C40AE2"/>
    <w:rsid w:val="00C40B1C"/>
    <w:rsid w:val="00C41626"/>
    <w:rsid w:val="00C41679"/>
    <w:rsid w:val="00C43255"/>
    <w:rsid w:val="00C433E5"/>
    <w:rsid w:val="00C443B8"/>
    <w:rsid w:val="00C44AC5"/>
    <w:rsid w:val="00C45E87"/>
    <w:rsid w:val="00C4600C"/>
    <w:rsid w:val="00C46327"/>
    <w:rsid w:val="00C46462"/>
    <w:rsid w:val="00C4667C"/>
    <w:rsid w:val="00C504AF"/>
    <w:rsid w:val="00C50C00"/>
    <w:rsid w:val="00C50DF8"/>
    <w:rsid w:val="00C5112C"/>
    <w:rsid w:val="00C516D9"/>
    <w:rsid w:val="00C51891"/>
    <w:rsid w:val="00C51A86"/>
    <w:rsid w:val="00C51C8D"/>
    <w:rsid w:val="00C531B7"/>
    <w:rsid w:val="00C53436"/>
    <w:rsid w:val="00C53568"/>
    <w:rsid w:val="00C53726"/>
    <w:rsid w:val="00C53F36"/>
    <w:rsid w:val="00C540FB"/>
    <w:rsid w:val="00C54428"/>
    <w:rsid w:val="00C54687"/>
    <w:rsid w:val="00C54BBD"/>
    <w:rsid w:val="00C5568B"/>
    <w:rsid w:val="00C55B7A"/>
    <w:rsid w:val="00C55F69"/>
    <w:rsid w:val="00C55FEE"/>
    <w:rsid w:val="00C560AE"/>
    <w:rsid w:val="00C5671E"/>
    <w:rsid w:val="00C56C14"/>
    <w:rsid w:val="00C56DDC"/>
    <w:rsid w:val="00C56F77"/>
    <w:rsid w:val="00C57094"/>
    <w:rsid w:val="00C5732C"/>
    <w:rsid w:val="00C6032B"/>
    <w:rsid w:val="00C60D45"/>
    <w:rsid w:val="00C60E0D"/>
    <w:rsid w:val="00C61996"/>
    <w:rsid w:val="00C61B42"/>
    <w:rsid w:val="00C61DEA"/>
    <w:rsid w:val="00C6360E"/>
    <w:rsid w:val="00C63EA2"/>
    <w:rsid w:val="00C6448F"/>
    <w:rsid w:val="00C64651"/>
    <w:rsid w:val="00C6504D"/>
    <w:rsid w:val="00C65198"/>
    <w:rsid w:val="00C66B8C"/>
    <w:rsid w:val="00C675AA"/>
    <w:rsid w:val="00C67D30"/>
    <w:rsid w:val="00C700C6"/>
    <w:rsid w:val="00C7020B"/>
    <w:rsid w:val="00C70CFD"/>
    <w:rsid w:val="00C70E45"/>
    <w:rsid w:val="00C711A8"/>
    <w:rsid w:val="00C712DA"/>
    <w:rsid w:val="00C71EC0"/>
    <w:rsid w:val="00C71F51"/>
    <w:rsid w:val="00C71F6E"/>
    <w:rsid w:val="00C7283C"/>
    <w:rsid w:val="00C72C94"/>
    <w:rsid w:val="00C72E31"/>
    <w:rsid w:val="00C75474"/>
    <w:rsid w:val="00C75621"/>
    <w:rsid w:val="00C756A6"/>
    <w:rsid w:val="00C758FB"/>
    <w:rsid w:val="00C75B5F"/>
    <w:rsid w:val="00C75CDF"/>
    <w:rsid w:val="00C76183"/>
    <w:rsid w:val="00C76844"/>
    <w:rsid w:val="00C771B6"/>
    <w:rsid w:val="00C771D5"/>
    <w:rsid w:val="00C77546"/>
    <w:rsid w:val="00C776F4"/>
    <w:rsid w:val="00C77CD2"/>
    <w:rsid w:val="00C80350"/>
    <w:rsid w:val="00C80485"/>
    <w:rsid w:val="00C8050C"/>
    <w:rsid w:val="00C80A31"/>
    <w:rsid w:val="00C80D22"/>
    <w:rsid w:val="00C80E24"/>
    <w:rsid w:val="00C80EC0"/>
    <w:rsid w:val="00C82129"/>
    <w:rsid w:val="00C82B2F"/>
    <w:rsid w:val="00C82F48"/>
    <w:rsid w:val="00C82FBF"/>
    <w:rsid w:val="00C834F0"/>
    <w:rsid w:val="00C83B78"/>
    <w:rsid w:val="00C83FAC"/>
    <w:rsid w:val="00C85466"/>
    <w:rsid w:val="00C857C6"/>
    <w:rsid w:val="00C85E5A"/>
    <w:rsid w:val="00C86692"/>
    <w:rsid w:val="00C872F3"/>
    <w:rsid w:val="00C8749E"/>
    <w:rsid w:val="00C874BF"/>
    <w:rsid w:val="00C87D6C"/>
    <w:rsid w:val="00C9036B"/>
    <w:rsid w:val="00C905A4"/>
    <w:rsid w:val="00C90932"/>
    <w:rsid w:val="00C91543"/>
    <w:rsid w:val="00C919C5"/>
    <w:rsid w:val="00C92B64"/>
    <w:rsid w:val="00C92FF2"/>
    <w:rsid w:val="00C938FF"/>
    <w:rsid w:val="00C94314"/>
    <w:rsid w:val="00C94914"/>
    <w:rsid w:val="00C94C5A"/>
    <w:rsid w:val="00C950B4"/>
    <w:rsid w:val="00C9541D"/>
    <w:rsid w:val="00C959D3"/>
    <w:rsid w:val="00C95D0D"/>
    <w:rsid w:val="00C95D45"/>
    <w:rsid w:val="00C95E1F"/>
    <w:rsid w:val="00C95FE1"/>
    <w:rsid w:val="00C976FC"/>
    <w:rsid w:val="00C978F2"/>
    <w:rsid w:val="00C97BC2"/>
    <w:rsid w:val="00C97DFB"/>
    <w:rsid w:val="00CA0527"/>
    <w:rsid w:val="00CA0DC9"/>
    <w:rsid w:val="00CA0F8E"/>
    <w:rsid w:val="00CA10FC"/>
    <w:rsid w:val="00CA1723"/>
    <w:rsid w:val="00CA22C7"/>
    <w:rsid w:val="00CA25AB"/>
    <w:rsid w:val="00CA2842"/>
    <w:rsid w:val="00CA2919"/>
    <w:rsid w:val="00CA2DE2"/>
    <w:rsid w:val="00CA2E58"/>
    <w:rsid w:val="00CA33E0"/>
    <w:rsid w:val="00CA385C"/>
    <w:rsid w:val="00CA3D88"/>
    <w:rsid w:val="00CA415A"/>
    <w:rsid w:val="00CA4AE2"/>
    <w:rsid w:val="00CA4E32"/>
    <w:rsid w:val="00CA540D"/>
    <w:rsid w:val="00CA54AD"/>
    <w:rsid w:val="00CA5D86"/>
    <w:rsid w:val="00CA6237"/>
    <w:rsid w:val="00CA6EC6"/>
    <w:rsid w:val="00CA7241"/>
    <w:rsid w:val="00CA794F"/>
    <w:rsid w:val="00CA7DFB"/>
    <w:rsid w:val="00CB0817"/>
    <w:rsid w:val="00CB113A"/>
    <w:rsid w:val="00CB1869"/>
    <w:rsid w:val="00CB1C10"/>
    <w:rsid w:val="00CB3039"/>
    <w:rsid w:val="00CB37F2"/>
    <w:rsid w:val="00CB393B"/>
    <w:rsid w:val="00CB3ECA"/>
    <w:rsid w:val="00CB4518"/>
    <w:rsid w:val="00CB4CF0"/>
    <w:rsid w:val="00CB5383"/>
    <w:rsid w:val="00CB5655"/>
    <w:rsid w:val="00CB572C"/>
    <w:rsid w:val="00CB5C8A"/>
    <w:rsid w:val="00CB5E97"/>
    <w:rsid w:val="00CB6CC8"/>
    <w:rsid w:val="00CB6E4A"/>
    <w:rsid w:val="00CB70A5"/>
    <w:rsid w:val="00CB78DB"/>
    <w:rsid w:val="00CB79B1"/>
    <w:rsid w:val="00CB7A17"/>
    <w:rsid w:val="00CB7CB8"/>
    <w:rsid w:val="00CC02F7"/>
    <w:rsid w:val="00CC0834"/>
    <w:rsid w:val="00CC0F81"/>
    <w:rsid w:val="00CC146E"/>
    <w:rsid w:val="00CC1AAE"/>
    <w:rsid w:val="00CC2833"/>
    <w:rsid w:val="00CC29D7"/>
    <w:rsid w:val="00CC39E9"/>
    <w:rsid w:val="00CC3F85"/>
    <w:rsid w:val="00CC3FEF"/>
    <w:rsid w:val="00CC4C4E"/>
    <w:rsid w:val="00CC5588"/>
    <w:rsid w:val="00CC5CE9"/>
    <w:rsid w:val="00CC5F69"/>
    <w:rsid w:val="00CC5FFF"/>
    <w:rsid w:val="00CC6E98"/>
    <w:rsid w:val="00CC701D"/>
    <w:rsid w:val="00CC739D"/>
    <w:rsid w:val="00CC7461"/>
    <w:rsid w:val="00CC7AD4"/>
    <w:rsid w:val="00CC7C92"/>
    <w:rsid w:val="00CC7DEC"/>
    <w:rsid w:val="00CD024A"/>
    <w:rsid w:val="00CD0595"/>
    <w:rsid w:val="00CD0F82"/>
    <w:rsid w:val="00CD1312"/>
    <w:rsid w:val="00CD16E0"/>
    <w:rsid w:val="00CD1A47"/>
    <w:rsid w:val="00CD1EC3"/>
    <w:rsid w:val="00CD1FD9"/>
    <w:rsid w:val="00CD3037"/>
    <w:rsid w:val="00CD3496"/>
    <w:rsid w:val="00CD371C"/>
    <w:rsid w:val="00CD4039"/>
    <w:rsid w:val="00CD50D7"/>
    <w:rsid w:val="00CD5904"/>
    <w:rsid w:val="00CD5C67"/>
    <w:rsid w:val="00CD5DE8"/>
    <w:rsid w:val="00CD6133"/>
    <w:rsid w:val="00CD72A3"/>
    <w:rsid w:val="00CE019F"/>
    <w:rsid w:val="00CE07E2"/>
    <w:rsid w:val="00CE09B1"/>
    <w:rsid w:val="00CE0AC0"/>
    <w:rsid w:val="00CE0C31"/>
    <w:rsid w:val="00CE112E"/>
    <w:rsid w:val="00CE1169"/>
    <w:rsid w:val="00CE1923"/>
    <w:rsid w:val="00CE1AE9"/>
    <w:rsid w:val="00CE1ECC"/>
    <w:rsid w:val="00CE226D"/>
    <w:rsid w:val="00CE2333"/>
    <w:rsid w:val="00CE2580"/>
    <w:rsid w:val="00CE26A2"/>
    <w:rsid w:val="00CE278B"/>
    <w:rsid w:val="00CE382B"/>
    <w:rsid w:val="00CE3D3A"/>
    <w:rsid w:val="00CE3EE2"/>
    <w:rsid w:val="00CE4B72"/>
    <w:rsid w:val="00CE4C0E"/>
    <w:rsid w:val="00CE4EC1"/>
    <w:rsid w:val="00CE5609"/>
    <w:rsid w:val="00CE5A5E"/>
    <w:rsid w:val="00CE5E53"/>
    <w:rsid w:val="00CE5FE4"/>
    <w:rsid w:val="00CE7085"/>
    <w:rsid w:val="00CF0397"/>
    <w:rsid w:val="00CF06F7"/>
    <w:rsid w:val="00CF07CA"/>
    <w:rsid w:val="00CF0AA4"/>
    <w:rsid w:val="00CF11A2"/>
    <w:rsid w:val="00CF2F60"/>
    <w:rsid w:val="00CF3129"/>
    <w:rsid w:val="00CF34C7"/>
    <w:rsid w:val="00CF3736"/>
    <w:rsid w:val="00CF3804"/>
    <w:rsid w:val="00CF38CE"/>
    <w:rsid w:val="00CF40D0"/>
    <w:rsid w:val="00CF48FD"/>
    <w:rsid w:val="00CF4C85"/>
    <w:rsid w:val="00CF4DAB"/>
    <w:rsid w:val="00CF4F2D"/>
    <w:rsid w:val="00CF595D"/>
    <w:rsid w:val="00CF5C33"/>
    <w:rsid w:val="00CF61A2"/>
    <w:rsid w:val="00CF634D"/>
    <w:rsid w:val="00CF6A72"/>
    <w:rsid w:val="00CF6C48"/>
    <w:rsid w:val="00CF7263"/>
    <w:rsid w:val="00CF7EB6"/>
    <w:rsid w:val="00D01638"/>
    <w:rsid w:val="00D0183F"/>
    <w:rsid w:val="00D01DA8"/>
    <w:rsid w:val="00D02A0A"/>
    <w:rsid w:val="00D02A8F"/>
    <w:rsid w:val="00D03800"/>
    <w:rsid w:val="00D03A4F"/>
    <w:rsid w:val="00D040A1"/>
    <w:rsid w:val="00D040A7"/>
    <w:rsid w:val="00D043A0"/>
    <w:rsid w:val="00D044AF"/>
    <w:rsid w:val="00D04A6B"/>
    <w:rsid w:val="00D058B0"/>
    <w:rsid w:val="00D05D60"/>
    <w:rsid w:val="00D06622"/>
    <w:rsid w:val="00D069C8"/>
    <w:rsid w:val="00D06B0A"/>
    <w:rsid w:val="00D07062"/>
    <w:rsid w:val="00D074BF"/>
    <w:rsid w:val="00D07BDB"/>
    <w:rsid w:val="00D10013"/>
    <w:rsid w:val="00D100AA"/>
    <w:rsid w:val="00D10AF5"/>
    <w:rsid w:val="00D10DD4"/>
    <w:rsid w:val="00D1151A"/>
    <w:rsid w:val="00D11540"/>
    <w:rsid w:val="00D11A3B"/>
    <w:rsid w:val="00D12051"/>
    <w:rsid w:val="00D120D3"/>
    <w:rsid w:val="00D12497"/>
    <w:rsid w:val="00D125E4"/>
    <w:rsid w:val="00D1269C"/>
    <w:rsid w:val="00D12CFB"/>
    <w:rsid w:val="00D130F4"/>
    <w:rsid w:val="00D13153"/>
    <w:rsid w:val="00D136E2"/>
    <w:rsid w:val="00D13C0F"/>
    <w:rsid w:val="00D14C95"/>
    <w:rsid w:val="00D15039"/>
    <w:rsid w:val="00D1526D"/>
    <w:rsid w:val="00D15357"/>
    <w:rsid w:val="00D1592C"/>
    <w:rsid w:val="00D163CE"/>
    <w:rsid w:val="00D16A8E"/>
    <w:rsid w:val="00D16D27"/>
    <w:rsid w:val="00D170BC"/>
    <w:rsid w:val="00D17181"/>
    <w:rsid w:val="00D1733B"/>
    <w:rsid w:val="00D17516"/>
    <w:rsid w:val="00D17FC8"/>
    <w:rsid w:val="00D20ABE"/>
    <w:rsid w:val="00D20B52"/>
    <w:rsid w:val="00D20C91"/>
    <w:rsid w:val="00D20CA5"/>
    <w:rsid w:val="00D21248"/>
    <w:rsid w:val="00D21664"/>
    <w:rsid w:val="00D21FE6"/>
    <w:rsid w:val="00D2203F"/>
    <w:rsid w:val="00D22162"/>
    <w:rsid w:val="00D22CD9"/>
    <w:rsid w:val="00D22CE8"/>
    <w:rsid w:val="00D22E4B"/>
    <w:rsid w:val="00D23652"/>
    <w:rsid w:val="00D2405B"/>
    <w:rsid w:val="00D244D5"/>
    <w:rsid w:val="00D24AED"/>
    <w:rsid w:val="00D257CB"/>
    <w:rsid w:val="00D259F1"/>
    <w:rsid w:val="00D25F69"/>
    <w:rsid w:val="00D2600B"/>
    <w:rsid w:val="00D27AF5"/>
    <w:rsid w:val="00D27C75"/>
    <w:rsid w:val="00D302FE"/>
    <w:rsid w:val="00D30A26"/>
    <w:rsid w:val="00D30BB4"/>
    <w:rsid w:val="00D31A81"/>
    <w:rsid w:val="00D32172"/>
    <w:rsid w:val="00D32DA9"/>
    <w:rsid w:val="00D32DAD"/>
    <w:rsid w:val="00D3300D"/>
    <w:rsid w:val="00D33854"/>
    <w:rsid w:val="00D33B67"/>
    <w:rsid w:val="00D33E58"/>
    <w:rsid w:val="00D33F1F"/>
    <w:rsid w:val="00D34641"/>
    <w:rsid w:val="00D3498B"/>
    <w:rsid w:val="00D34CDA"/>
    <w:rsid w:val="00D34D54"/>
    <w:rsid w:val="00D35013"/>
    <w:rsid w:val="00D35304"/>
    <w:rsid w:val="00D36035"/>
    <w:rsid w:val="00D36196"/>
    <w:rsid w:val="00D361FB"/>
    <w:rsid w:val="00D36514"/>
    <w:rsid w:val="00D3656F"/>
    <w:rsid w:val="00D36605"/>
    <w:rsid w:val="00D3680A"/>
    <w:rsid w:val="00D36A0B"/>
    <w:rsid w:val="00D36BCB"/>
    <w:rsid w:val="00D36E12"/>
    <w:rsid w:val="00D370D0"/>
    <w:rsid w:val="00D37851"/>
    <w:rsid w:val="00D378B1"/>
    <w:rsid w:val="00D37C07"/>
    <w:rsid w:val="00D40131"/>
    <w:rsid w:val="00D40841"/>
    <w:rsid w:val="00D41A1A"/>
    <w:rsid w:val="00D42984"/>
    <w:rsid w:val="00D429AF"/>
    <w:rsid w:val="00D43B25"/>
    <w:rsid w:val="00D43C3A"/>
    <w:rsid w:val="00D43E92"/>
    <w:rsid w:val="00D44162"/>
    <w:rsid w:val="00D446F5"/>
    <w:rsid w:val="00D446FD"/>
    <w:rsid w:val="00D4493B"/>
    <w:rsid w:val="00D45EA6"/>
    <w:rsid w:val="00D45EC7"/>
    <w:rsid w:val="00D46697"/>
    <w:rsid w:val="00D47349"/>
    <w:rsid w:val="00D47770"/>
    <w:rsid w:val="00D47F82"/>
    <w:rsid w:val="00D50430"/>
    <w:rsid w:val="00D50694"/>
    <w:rsid w:val="00D50CB5"/>
    <w:rsid w:val="00D50DBA"/>
    <w:rsid w:val="00D50DEC"/>
    <w:rsid w:val="00D50F6E"/>
    <w:rsid w:val="00D515D1"/>
    <w:rsid w:val="00D518FE"/>
    <w:rsid w:val="00D51B6F"/>
    <w:rsid w:val="00D51D9E"/>
    <w:rsid w:val="00D523B8"/>
    <w:rsid w:val="00D52C2C"/>
    <w:rsid w:val="00D532A5"/>
    <w:rsid w:val="00D53961"/>
    <w:rsid w:val="00D53A87"/>
    <w:rsid w:val="00D5458A"/>
    <w:rsid w:val="00D54B4D"/>
    <w:rsid w:val="00D54B5A"/>
    <w:rsid w:val="00D54DB2"/>
    <w:rsid w:val="00D54FFD"/>
    <w:rsid w:val="00D55044"/>
    <w:rsid w:val="00D55173"/>
    <w:rsid w:val="00D5545B"/>
    <w:rsid w:val="00D554C0"/>
    <w:rsid w:val="00D557FB"/>
    <w:rsid w:val="00D55FDE"/>
    <w:rsid w:val="00D560D9"/>
    <w:rsid w:val="00D56492"/>
    <w:rsid w:val="00D56B2B"/>
    <w:rsid w:val="00D56D5C"/>
    <w:rsid w:val="00D56EFF"/>
    <w:rsid w:val="00D57475"/>
    <w:rsid w:val="00D57DF1"/>
    <w:rsid w:val="00D604C7"/>
    <w:rsid w:val="00D6056B"/>
    <w:rsid w:val="00D6086D"/>
    <w:rsid w:val="00D60DFD"/>
    <w:rsid w:val="00D6177F"/>
    <w:rsid w:val="00D61E27"/>
    <w:rsid w:val="00D61F40"/>
    <w:rsid w:val="00D6271B"/>
    <w:rsid w:val="00D62FF6"/>
    <w:rsid w:val="00D633D9"/>
    <w:rsid w:val="00D63803"/>
    <w:rsid w:val="00D63B19"/>
    <w:rsid w:val="00D63D51"/>
    <w:rsid w:val="00D63ECC"/>
    <w:rsid w:val="00D641A5"/>
    <w:rsid w:val="00D64960"/>
    <w:rsid w:val="00D64EFE"/>
    <w:rsid w:val="00D65345"/>
    <w:rsid w:val="00D654B9"/>
    <w:rsid w:val="00D65892"/>
    <w:rsid w:val="00D65A2B"/>
    <w:rsid w:val="00D65DAA"/>
    <w:rsid w:val="00D66041"/>
    <w:rsid w:val="00D6612C"/>
    <w:rsid w:val="00D665CB"/>
    <w:rsid w:val="00D6772A"/>
    <w:rsid w:val="00D7054E"/>
    <w:rsid w:val="00D70971"/>
    <w:rsid w:val="00D70BD6"/>
    <w:rsid w:val="00D70FAA"/>
    <w:rsid w:val="00D7123C"/>
    <w:rsid w:val="00D713F5"/>
    <w:rsid w:val="00D7164D"/>
    <w:rsid w:val="00D71DAB"/>
    <w:rsid w:val="00D71F15"/>
    <w:rsid w:val="00D723DC"/>
    <w:rsid w:val="00D7248F"/>
    <w:rsid w:val="00D72C61"/>
    <w:rsid w:val="00D73702"/>
    <w:rsid w:val="00D73C77"/>
    <w:rsid w:val="00D73DA2"/>
    <w:rsid w:val="00D73F1D"/>
    <w:rsid w:val="00D749C0"/>
    <w:rsid w:val="00D74AD4"/>
    <w:rsid w:val="00D757DC"/>
    <w:rsid w:val="00D7606D"/>
    <w:rsid w:val="00D76646"/>
    <w:rsid w:val="00D77937"/>
    <w:rsid w:val="00D77D16"/>
    <w:rsid w:val="00D77D49"/>
    <w:rsid w:val="00D77F67"/>
    <w:rsid w:val="00D80990"/>
    <w:rsid w:val="00D80ACA"/>
    <w:rsid w:val="00D80E55"/>
    <w:rsid w:val="00D810D7"/>
    <w:rsid w:val="00D81103"/>
    <w:rsid w:val="00D81945"/>
    <w:rsid w:val="00D82102"/>
    <w:rsid w:val="00D82E8C"/>
    <w:rsid w:val="00D82EAE"/>
    <w:rsid w:val="00D83463"/>
    <w:rsid w:val="00D8389F"/>
    <w:rsid w:val="00D84270"/>
    <w:rsid w:val="00D85185"/>
    <w:rsid w:val="00D857A0"/>
    <w:rsid w:val="00D858A9"/>
    <w:rsid w:val="00D85E56"/>
    <w:rsid w:val="00D868CC"/>
    <w:rsid w:val="00D86B79"/>
    <w:rsid w:val="00D875B5"/>
    <w:rsid w:val="00D90656"/>
    <w:rsid w:val="00D90C30"/>
    <w:rsid w:val="00D90CFC"/>
    <w:rsid w:val="00D917E7"/>
    <w:rsid w:val="00D91EB6"/>
    <w:rsid w:val="00D91F07"/>
    <w:rsid w:val="00D9283C"/>
    <w:rsid w:val="00D92A3A"/>
    <w:rsid w:val="00D9323E"/>
    <w:rsid w:val="00D939D5"/>
    <w:rsid w:val="00D93C34"/>
    <w:rsid w:val="00D94069"/>
    <w:rsid w:val="00D94421"/>
    <w:rsid w:val="00D94735"/>
    <w:rsid w:val="00D94800"/>
    <w:rsid w:val="00D9522F"/>
    <w:rsid w:val="00D9525B"/>
    <w:rsid w:val="00D95BA7"/>
    <w:rsid w:val="00D95DBF"/>
    <w:rsid w:val="00D96BD9"/>
    <w:rsid w:val="00D96F41"/>
    <w:rsid w:val="00D97A4D"/>
    <w:rsid w:val="00DA1763"/>
    <w:rsid w:val="00DA1F1B"/>
    <w:rsid w:val="00DA244E"/>
    <w:rsid w:val="00DA2521"/>
    <w:rsid w:val="00DA26C9"/>
    <w:rsid w:val="00DA2FDF"/>
    <w:rsid w:val="00DA32C2"/>
    <w:rsid w:val="00DA33DF"/>
    <w:rsid w:val="00DA3D7E"/>
    <w:rsid w:val="00DA3EAF"/>
    <w:rsid w:val="00DA406B"/>
    <w:rsid w:val="00DA417D"/>
    <w:rsid w:val="00DA41B2"/>
    <w:rsid w:val="00DA53A6"/>
    <w:rsid w:val="00DA62F0"/>
    <w:rsid w:val="00DA6530"/>
    <w:rsid w:val="00DA6765"/>
    <w:rsid w:val="00DA7B2A"/>
    <w:rsid w:val="00DB0582"/>
    <w:rsid w:val="00DB0750"/>
    <w:rsid w:val="00DB0C3D"/>
    <w:rsid w:val="00DB13BC"/>
    <w:rsid w:val="00DB1E7A"/>
    <w:rsid w:val="00DB1FED"/>
    <w:rsid w:val="00DB20DC"/>
    <w:rsid w:val="00DB2AA1"/>
    <w:rsid w:val="00DB2C9E"/>
    <w:rsid w:val="00DB3952"/>
    <w:rsid w:val="00DB4083"/>
    <w:rsid w:val="00DB4829"/>
    <w:rsid w:val="00DB4D34"/>
    <w:rsid w:val="00DB5BB0"/>
    <w:rsid w:val="00DB5DCC"/>
    <w:rsid w:val="00DB619D"/>
    <w:rsid w:val="00DB61F4"/>
    <w:rsid w:val="00DB6478"/>
    <w:rsid w:val="00DB6656"/>
    <w:rsid w:val="00DB6EDC"/>
    <w:rsid w:val="00DB7270"/>
    <w:rsid w:val="00DB7407"/>
    <w:rsid w:val="00DB7C22"/>
    <w:rsid w:val="00DC1298"/>
    <w:rsid w:val="00DC1F33"/>
    <w:rsid w:val="00DC2107"/>
    <w:rsid w:val="00DC218D"/>
    <w:rsid w:val="00DC28E8"/>
    <w:rsid w:val="00DC2C35"/>
    <w:rsid w:val="00DC2EC6"/>
    <w:rsid w:val="00DC335D"/>
    <w:rsid w:val="00DC35A8"/>
    <w:rsid w:val="00DC3E31"/>
    <w:rsid w:val="00DC4027"/>
    <w:rsid w:val="00DC451D"/>
    <w:rsid w:val="00DC486F"/>
    <w:rsid w:val="00DC6366"/>
    <w:rsid w:val="00DC6800"/>
    <w:rsid w:val="00DC6933"/>
    <w:rsid w:val="00DC6D93"/>
    <w:rsid w:val="00DC6E9A"/>
    <w:rsid w:val="00DC707B"/>
    <w:rsid w:val="00DC77AE"/>
    <w:rsid w:val="00DC7EBD"/>
    <w:rsid w:val="00DD0B89"/>
    <w:rsid w:val="00DD1FD7"/>
    <w:rsid w:val="00DD29ED"/>
    <w:rsid w:val="00DD3DAF"/>
    <w:rsid w:val="00DD4448"/>
    <w:rsid w:val="00DD48CA"/>
    <w:rsid w:val="00DD4943"/>
    <w:rsid w:val="00DD527C"/>
    <w:rsid w:val="00DD6539"/>
    <w:rsid w:val="00DD6666"/>
    <w:rsid w:val="00DD6A2F"/>
    <w:rsid w:val="00DD6A30"/>
    <w:rsid w:val="00DD744B"/>
    <w:rsid w:val="00DE0106"/>
    <w:rsid w:val="00DE0E36"/>
    <w:rsid w:val="00DE10A4"/>
    <w:rsid w:val="00DE13B1"/>
    <w:rsid w:val="00DE1E42"/>
    <w:rsid w:val="00DE1F93"/>
    <w:rsid w:val="00DE2794"/>
    <w:rsid w:val="00DE28CD"/>
    <w:rsid w:val="00DE2FD7"/>
    <w:rsid w:val="00DE4096"/>
    <w:rsid w:val="00DE453B"/>
    <w:rsid w:val="00DE4863"/>
    <w:rsid w:val="00DE4BFE"/>
    <w:rsid w:val="00DE50CD"/>
    <w:rsid w:val="00DE51C7"/>
    <w:rsid w:val="00DE51DD"/>
    <w:rsid w:val="00DE5424"/>
    <w:rsid w:val="00DE5727"/>
    <w:rsid w:val="00DE5F42"/>
    <w:rsid w:val="00DE6217"/>
    <w:rsid w:val="00DE6448"/>
    <w:rsid w:val="00DE6970"/>
    <w:rsid w:val="00DE6BCF"/>
    <w:rsid w:val="00DE6F9E"/>
    <w:rsid w:val="00DE7436"/>
    <w:rsid w:val="00DE753D"/>
    <w:rsid w:val="00DE7737"/>
    <w:rsid w:val="00DE79A6"/>
    <w:rsid w:val="00DF0087"/>
    <w:rsid w:val="00DF0360"/>
    <w:rsid w:val="00DF062C"/>
    <w:rsid w:val="00DF0F6C"/>
    <w:rsid w:val="00DF106A"/>
    <w:rsid w:val="00DF145A"/>
    <w:rsid w:val="00DF2E4F"/>
    <w:rsid w:val="00DF309B"/>
    <w:rsid w:val="00DF33D7"/>
    <w:rsid w:val="00DF3410"/>
    <w:rsid w:val="00DF345C"/>
    <w:rsid w:val="00DF3745"/>
    <w:rsid w:val="00DF3771"/>
    <w:rsid w:val="00DF3B21"/>
    <w:rsid w:val="00DF3CFD"/>
    <w:rsid w:val="00DF436A"/>
    <w:rsid w:val="00DF47CE"/>
    <w:rsid w:val="00DF555C"/>
    <w:rsid w:val="00DF73F1"/>
    <w:rsid w:val="00DF7DE2"/>
    <w:rsid w:val="00E0036C"/>
    <w:rsid w:val="00E00395"/>
    <w:rsid w:val="00E00AE4"/>
    <w:rsid w:val="00E00D80"/>
    <w:rsid w:val="00E012C4"/>
    <w:rsid w:val="00E013F7"/>
    <w:rsid w:val="00E018E8"/>
    <w:rsid w:val="00E02140"/>
    <w:rsid w:val="00E021D9"/>
    <w:rsid w:val="00E02413"/>
    <w:rsid w:val="00E0293C"/>
    <w:rsid w:val="00E0345C"/>
    <w:rsid w:val="00E04399"/>
    <w:rsid w:val="00E04563"/>
    <w:rsid w:val="00E04CC7"/>
    <w:rsid w:val="00E06322"/>
    <w:rsid w:val="00E063CA"/>
    <w:rsid w:val="00E06808"/>
    <w:rsid w:val="00E06C99"/>
    <w:rsid w:val="00E1015B"/>
    <w:rsid w:val="00E111EF"/>
    <w:rsid w:val="00E115B6"/>
    <w:rsid w:val="00E119F3"/>
    <w:rsid w:val="00E11B2A"/>
    <w:rsid w:val="00E11BA7"/>
    <w:rsid w:val="00E11F53"/>
    <w:rsid w:val="00E127A7"/>
    <w:rsid w:val="00E12894"/>
    <w:rsid w:val="00E12D11"/>
    <w:rsid w:val="00E12EC4"/>
    <w:rsid w:val="00E12F23"/>
    <w:rsid w:val="00E131A9"/>
    <w:rsid w:val="00E13552"/>
    <w:rsid w:val="00E13BC6"/>
    <w:rsid w:val="00E13E62"/>
    <w:rsid w:val="00E144A7"/>
    <w:rsid w:val="00E147C5"/>
    <w:rsid w:val="00E14C5B"/>
    <w:rsid w:val="00E1507A"/>
    <w:rsid w:val="00E15D2F"/>
    <w:rsid w:val="00E16928"/>
    <w:rsid w:val="00E17C0B"/>
    <w:rsid w:val="00E17C4E"/>
    <w:rsid w:val="00E17D18"/>
    <w:rsid w:val="00E2038C"/>
    <w:rsid w:val="00E206AD"/>
    <w:rsid w:val="00E2086B"/>
    <w:rsid w:val="00E208B1"/>
    <w:rsid w:val="00E20996"/>
    <w:rsid w:val="00E20E92"/>
    <w:rsid w:val="00E212F1"/>
    <w:rsid w:val="00E215D5"/>
    <w:rsid w:val="00E215D6"/>
    <w:rsid w:val="00E21E84"/>
    <w:rsid w:val="00E22491"/>
    <w:rsid w:val="00E22CDC"/>
    <w:rsid w:val="00E22D89"/>
    <w:rsid w:val="00E22F11"/>
    <w:rsid w:val="00E2304D"/>
    <w:rsid w:val="00E239C1"/>
    <w:rsid w:val="00E23F6E"/>
    <w:rsid w:val="00E24B49"/>
    <w:rsid w:val="00E24C7A"/>
    <w:rsid w:val="00E24DC0"/>
    <w:rsid w:val="00E24EAA"/>
    <w:rsid w:val="00E2517E"/>
    <w:rsid w:val="00E2542C"/>
    <w:rsid w:val="00E25C50"/>
    <w:rsid w:val="00E26849"/>
    <w:rsid w:val="00E26B63"/>
    <w:rsid w:val="00E27229"/>
    <w:rsid w:val="00E27CFB"/>
    <w:rsid w:val="00E3076A"/>
    <w:rsid w:val="00E31215"/>
    <w:rsid w:val="00E31821"/>
    <w:rsid w:val="00E32634"/>
    <w:rsid w:val="00E329DF"/>
    <w:rsid w:val="00E32AEB"/>
    <w:rsid w:val="00E32E38"/>
    <w:rsid w:val="00E33D32"/>
    <w:rsid w:val="00E33D45"/>
    <w:rsid w:val="00E34184"/>
    <w:rsid w:val="00E34678"/>
    <w:rsid w:val="00E34BE6"/>
    <w:rsid w:val="00E353AD"/>
    <w:rsid w:val="00E35834"/>
    <w:rsid w:val="00E35C4A"/>
    <w:rsid w:val="00E360E7"/>
    <w:rsid w:val="00E361FF"/>
    <w:rsid w:val="00E36D2B"/>
    <w:rsid w:val="00E37C89"/>
    <w:rsid w:val="00E37E14"/>
    <w:rsid w:val="00E409CE"/>
    <w:rsid w:val="00E4120C"/>
    <w:rsid w:val="00E4161D"/>
    <w:rsid w:val="00E41824"/>
    <w:rsid w:val="00E42087"/>
    <w:rsid w:val="00E42403"/>
    <w:rsid w:val="00E426B6"/>
    <w:rsid w:val="00E43BCD"/>
    <w:rsid w:val="00E43EF8"/>
    <w:rsid w:val="00E44FA5"/>
    <w:rsid w:val="00E458AF"/>
    <w:rsid w:val="00E45CBC"/>
    <w:rsid w:val="00E45FC4"/>
    <w:rsid w:val="00E46121"/>
    <w:rsid w:val="00E4749A"/>
    <w:rsid w:val="00E50653"/>
    <w:rsid w:val="00E50849"/>
    <w:rsid w:val="00E50AA4"/>
    <w:rsid w:val="00E50C6E"/>
    <w:rsid w:val="00E50D5E"/>
    <w:rsid w:val="00E518B1"/>
    <w:rsid w:val="00E528DF"/>
    <w:rsid w:val="00E52A90"/>
    <w:rsid w:val="00E5303C"/>
    <w:rsid w:val="00E53F50"/>
    <w:rsid w:val="00E5405A"/>
    <w:rsid w:val="00E54346"/>
    <w:rsid w:val="00E54430"/>
    <w:rsid w:val="00E5448C"/>
    <w:rsid w:val="00E544DA"/>
    <w:rsid w:val="00E55066"/>
    <w:rsid w:val="00E553D5"/>
    <w:rsid w:val="00E55559"/>
    <w:rsid w:val="00E55FB4"/>
    <w:rsid w:val="00E56563"/>
    <w:rsid w:val="00E567D7"/>
    <w:rsid w:val="00E56A10"/>
    <w:rsid w:val="00E56AE1"/>
    <w:rsid w:val="00E6037E"/>
    <w:rsid w:val="00E6061F"/>
    <w:rsid w:val="00E608D2"/>
    <w:rsid w:val="00E6191A"/>
    <w:rsid w:val="00E625A0"/>
    <w:rsid w:val="00E62963"/>
    <w:rsid w:val="00E62BF9"/>
    <w:rsid w:val="00E62C04"/>
    <w:rsid w:val="00E62FEE"/>
    <w:rsid w:val="00E6319B"/>
    <w:rsid w:val="00E632AC"/>
    <w:rsid w:val="00E63803"/>
    <w:rsid w:val="00E63ACD"/>
    <w:rsid w:val="00E63C65"/>
    <w:rsid w:val="00E640DE"/>
    <w:rsid w:val="00E64216"/>
    <w:rsid w:val="00E646E2"/>
    <w:rsid w:val="00E64BE8"/>
    <w:rsid w:val="00E64E15"/>
    <w:rsid w:val="00E65E59"/>
    <w:rsid w:val="00E6636F"/>
    <w:rsid w:val="00E66A46"/>
    <w:rsid w:val="00E66A72"/>
    <w:rsid w:val="00E66B5C"/>
    <w:rsid w:val="00E66C5B"/>
    <w:rsid w:val="00E67A43"/>
    <w:rsid w:val="00E67C78"/>
    <w:rsid w:val="00E701E7"/>
    <w:rsid w:val="00E70F91"/>
    <w:rsid w:val="00E7147E"/>
    <w:rsid w:val="00E71597"/>
    <w:rsid w:val="00E7159D"/>
    <w:rsid w:val="00E71954"/>
    <w:rsid w:val="00E719C3"/>
    <w:rsid w:val="00E727FE"/>
    <w:rsid w:val="00E72F05"/>
    <w:rsid w:val="00E731A6"/>
    <w:rsid w:val="00E73287"/>
    <w:rsid w:val="00E73704"/>
    <w:rsid w:val="00E7372E"/>
    <w:rsid w:val="00E738A2"/>
    <w:rsid w:val="00E738CD"/>
    <w:rsid w:val="00E73A48"/>
    <w:rsid w:val="00E73EC7"/>
    <w:rsid w:val="00E74CC1"/>
    <w:rsid w:val="00E7521B"/>
    <w:rsid w:val="00E756A5"/>
    <w:rsid w:val="00E75C03"/>
    <w:rsid w:val="00E76396"/>
    <w:rsid w:val="00E765B3"/>
    <w:rsid w:val="00E76C8D"/>
    <w:rsid w:val="00E805AE"/>
    <w:rsid w:val="00E80809"/>
    <w:rsid w:val="00E80966"/>
    <w:rsid w:val="00E80A88"/>
    <w:rsid w:val="00E81446"/>
    <w:rsid w:val="00E81ABA"/>
    <w:rsid w:val="00E8236A"/>
    <w:rsid w:val="00E82446"/>
    <w:rsid w:val="00E8276E"/>
    <w:rsid w:val="00E82926"/>
    <w:rsid w:val="00E82AAD"/>
    <w:rsid w:val="00E82B52"/>
    <w:rsid w:val="00E8303D"/>
    <w:rsid w:val="00E83213"/>
    <w:rsid w:val="00E83FBF"/>
    <w:rsid w:val="00E84045"/>
    <w:rsid w:val="00E84662"/>
    <w:rsid w:val="00E84BA8"/>
    <w:rsid w:val="00E850E3"/>
    <w:rsid w:val="00E85E37"/>
    <w:rsid w:val="00E86B89"/>
    <w:rsid w:val="00E8714E"/>
    <w:rsid w:val="00E877FF"/>
    <w:rsid w:val="00E87B89"/>
    <w:rsid w:val="00E90BCA"/>
    <w:rsid w:val="00E90D65"/>
    <w:rsid w:val="00E90F84"/>
    <w:rsid w:val="00E91054"/>
    <w:rsid w:val="00E915CD"/>
    <w:rsid w:val="00E921ED"/>
    <w:rsid w:val="00E92321"/>
    <w:rsid w:val="00E9259D"/>
    <w:rsid w:val="00E92BC0"/>
    <w:rsid w:val="00E9399C"/>
    <w:rsid w:val="00E943D2"/>
    <w:rsid w:val="00E94E43"/>
    <w:rsid w:val="00E952EC"/>
    <w:rsid w:val="00E9566F"/>
    <w:rsid w:val="00E95679"/>
    <w:rsid w:val="00E95796"/>
    <w:rsid w:val="00E95858"/>
    <w:rsid w:val="00E95B0D"/>
    <w:rsid w:val="00E9639C"/>
    <w:rsid w:val="00E96716"/>
    <w:rsid w:val="00E96722"/>
    <w:rsid w:val="00E968D1"/>
    <w:rsid w:val="00E96A3C"/>
    <w:rsid w:val="00E96E33"/>
    <w:rsid w:val="00E96F2F"/>
    <w:rsid w:val="00E97285"/>
    <w:rsid w:val="00E974EB"/>
    <w:rsid w:val="00E9776B"/>
    <w:rsid w:val="00E977E0"/>
    <w:rsid w:val="00E97878"/>
    <w:rsid w:val="00E97BAA"/>
    <w:rsid w:val="00E97F50"/>
    <w:rsid w:val="00EA0472"/>
    <w:rsid w:val="00EA0F3B"/>
    <w:rsid w:val="00EA103C"/>
    <w:rsid w:val="00EA1220"/>
    <w:rsid w:val="00EA12B4"/>
    <w:rsid w:val="00EA1F46"/>
    <w:rsid w:val="00EA23DE"/>
    <w:rsid w:val="00EA2872"/>
    <w:rsid w:val="00EA28B2"/>
    <w:rsid w:val="00EA2936"/>
    <w:rsid w:val="00EA2A7C"/>
    <w:rsid w:val="00EA2BD6"/>
    <w:rsid w:val="00EA2F81"/>
    <w:rsid w:val="00EA30A9"/>
    <w:rsid w:val="00EA3EE9"/>
    <w:rsid w:val="00EA421A"/>
    <w:rsid w:val="00EA4B31"/>
    <w:rsid w:val="00EA500E"/>
    <w:rsid w:val="00EA5393"/>
    <w:rsid w:val="00EA554A"/>
    <w:rsid w:val="00EA606A"/>
    <w:rsid w:val="00EA72B3"/>
    <w:rsid w:val="00EA75FC"/>
    <w:rsid w:val="00EA7CF0"/>
    <w:rsid w:val="00EB0165"/>
    <w:rsid w:val="00EB03B3"/>
    <w:rsid w:val="00EB0567"/>
    <w:rsid w:val="00EB0BA5"/>
    <w:rsid w:val="00EB0BEE"/>
    <w:rsid w:val="00EB1090"/>
    <w:rsid w:val="00EB1600"/>
    <w:rsid w:val="00EB1770"/>
    <w:rsid w:val="00EB19FF"/>
    <w:rsid w:val="00EB1D27"/>
    <w:rsid w:val="00EB1D66"/>
    <w:rsid w:val="00EB1E5D"/>
    <w:rsid w:val="00EB1FA5"/>
    <w:rsid w:val="00EB2091"/>
    <w:rsid w:val="00EB26C1"/>
    <w:rsid w:val="00EB272F"/>
    <w:rsid w:val="00EB2733"/>
    <w:rsid w:val="00EB31EB"/>
    <w:rsid w:val="00EB34F4"/>
    <w:rsid w:val="00EB361B"/>
    <w:rsid w:val="00EB3D8B"/>
    <w:rsid w:val="00EB4CB2"/>
    <w:rsid w:val="00EB51D5"/>
    <w:rsid w:val="00EB5211"/>
    <w:rsid w:val="00EB5965"/>
    <w:rsid w:val="00EB6781"/>
    <w:rsid w:val="00EB691D"/>
    <w:rsid w:val="00EB69D0"/>
    <w:rsid w:val="00EB6BB1"/>
    <w:rsid w:val="00EB6E5B"/>
    <w:rsid w:val="00EB77C4"/>
    <w:rsid w:val="00EB78AB"/>
    <w:rsid w:val="00EB794E"/>
    <w:rsid w:val="00EC00A4"/>
    <w:rsid w:val="00EC024C"/>
    <w:rsid w:val="00EC0598"/>
    <w:rsid w:val="00EC09AA"/>
    <w:rsid w:val="00EC0A02"/>
    <w:rsid w:val="00EC1137"/>
    <w:rsid w:val="00EC1525"/>
    <w:rsid w:val="00EC19CA"/>
    <w:rsid w:val="00EC1EC6"/>
    <w:rsid w:val="00EC2DCF"/>
    <w:rsid w:val="00EC2E7F"/>
    <w:rsid w:val="00EC35C1"/>
    <w:rsid w:val="00EC3A15"/>
    <w:rsid w:val="00EC3AF8"/>
    <w:rsid w:val="00EC416C"/>
    <w:rsid w:val="00EC45D2"/>
    <w:rsid w:val="00EC4968"/>
    <w:rsid w:val="00EC505D"/>
    <w:rsid w:val="00EC5D52"/>
    <w:rsid w:val="00EC5E0D"/>
    <w:rsid w:val="00EC5F6E"/>
    <w:rsid w:val="00EC60CB"/>
    <w:rsid w:val="00EC62B6"/>
    <w:rsid w:val="00EC691F"/>
    <w:rsid w:val="00EC6F9B"/>
    <w:rsid w:val="00EC70A6"/>
    <w:rsid w:val="00EC7306"/>
    <w:rsid w:val="00EC76C4"/>
    <w:rsid w:val="00EC785F"/>
    <w:rsid w:val="00EC7BAE"/>
    <w:rsid w:val="00EC7FE3"/>
    <w:rsid w:val="00ED08D9"/>
    <w:rsid w:val="00ED100F"/>
    <w:rsid w:val="00ED160F"/>
    <w:rsid w:val="00ED22B2"/>
    <w:rsid w:val="00ED372C"/>
    <w:rsid w:val="00ED3E8A"/>
    <w:rsid w:val="00ED53DF"/>
    <w:rsid w:val="00ED5FE1"/>
    <w:rsid w:val="00ED65AA"/>
    <w:rsid w:val="00ED67A1"/>
    <w:rsid w:val="00ED7E97"/>
    <w:rsid w:val="00EE0B84"/>
    <w:rsid w:val="00EE0E67"/>
    <w:rsid w:val="00EE11CC"/>
    <w:rsid w:val="00EE1202"/>
    <w:rsid w:val="00EE171B"/>
    <w:rsid w:val="00EE1AD8"/>
    <w:rsid w:val="00EE1B9A"/>
    <w:rsid w:val="00EE1EAE"/>
    <w:rsid w:val="00EE259B"/>
    <w:rsid w:val="00EE268A"/>
    <w:rsid w:val="00EE2ED6"/>
    <w:rsid w:val="00EE37DE"/>
    <w:rsid w:val="00EE3889"/>
    <w:rsid w:val="00EE3BAD"/>
    <w:rsid w:val="00EE4139"/>
    <w:rsid w:val="00EE4FC5"/>
    <w:rsid w:val="00EE4FE7"/>
    <w:rsid w:val="00EE5473"/>
    <w:rsid w:val="00EE5C14"/>
    <w:rsid w:val="00EE5D52"/>
    <w:rsid w:val="00EE601B"/>
    <w:rsid w:val="00EE6622"/>
    <w:rsid w:val="00EE6C70"/>
    <w:rsid w:val="00EE6FE5"/>
    <w:rsid w:val="00EE73D1"/>
    <w:rsid w:val="00EE7DED"/>
    <w:rsid w:val="00EE7FDB"/>
    <w:rsid w:val="00EF0987"/>
    <w:rsid w:val="00EF0B58"/>
    <w:rsid w:val="00EF0C09"/>
    <w:rsid w:val="00EF0D52"/>
    <w:rsid w:val="00EF14E1"/>
    <w:rsid w:val="00EF27CF"/>
    <w:rsid w:val="00EF286F"/>
    <w:rsid w:val="00EF2F7E"/>
    <w:rsid w:val="00EF3011"/>
    <w:rsid w:val="00EF3994"/>
    <w:rsid w:val="00EF4196"/>
    <w:rsid w:val="00EF6F30"/>
    <w:rsid w:val="00EF715F"/>
    <w:rsid w:val="00EF729A"/>
    <w:rsid w:val="00EF7419"/>
    <w:rsid w:val="00EF7A80"/>
    <w:rsid w:val="00EF7C20"/>
    <w:rsid w:val="00EF7C3F"/>
    <w:rsid w:val="00F0048F"/>
    <w:rsid w:val="00F009D2"/>
    <w:rsid w:val="00F00AB3"/>
    <w:rsid w:val="00F00D08"/>
    <w:rsid w:val="00F0160E"/>
    <w:rsid w:val="00F02721"/>
    <w:rsid w:val="00F027E0"/>
    <w:rsid w:val="00F02AEA"/>
    <w:rsid w:val="00F035FB"/>
    <w:rsid w:val="00F0387A"/>
    <w:rsid w:val="00F03B11"/>
    <w:rsid w:val="00F04378"/>
    <w:rsid w:val="00F0575C"/>
    <w:rsid w:val="00F05BE3"/>
    <w:rsid w:val="00F06574"/>
    <w:rsid w:val="00F06C04"/>
    <w:rsid w:val="00F070EC"/>
    <w:rsid w:val="00F0753E"/>
    <w:rsid w:val="00F07F1F"/>
    <w:rsid w:val="00F10716"/>
    <w:rsid w:val="00F107E5"/>
    <w:rsid w:val="00F10A0A"/>
    <w:rsid w:val="00F10AC6"/>
    <w:rsid w:val="00F11526"/>
    <w:rsid w:val="00F119DB"/>
    <w:rsid w:val="00F11A44"/>
    <w:rsid w:val="00F11E34"/>
    <w:rsid w:val="00F123A9"/>
    <w:rsid w:val="00F12583"/>
    <w:rsid w:val="00F128CC"/>
    <w:rsid w:val="00F135BB"/>
    <w:rsid w:val="00F13662"/>
    <w:rsid w:val="00F138ED"/>
    <w:rsid w:val="00F13D31"/>
    <w:rsid w:val="00F14244"/>
    <w:rsid w:val="00F14D03"/>
    <w:rsid w:val="00F14FC8"/>
    <w:rsid w:val="00F15972"/>
    <w:rsid w:val="00F1633B"/>
    <w:rsid w:val="00F16B93"/>
    <w:rsid w:val="00F20A8E"/>
    <w:rsid w:val="00F20AEE"/>
    <w:rsid w:val="00F20C1D"/>
    <w:rsid w:val="00F21D3E"/>
    <w:rsid w:val="00F21F97"/>
    <w:rsid w:val="00F220C6"/>
    <w:rsid w:val="00F2261E"/>
    <w:rsid w:val="00F2324E"/>
    <w:rsid w:val="00F23589"/>
    <w:rsid w:val="00F238E4"/>
    <w:rsid w:val="00F239E7"/>
    <w:rsid w:val="00F2527C"/>
    <w:rsid w:val="00F258CD"/>
    <w:rsid w:val="00F26942"/>
    <w:rsid w:val="00F2759E"/>
    <w:rsid w:val="00F27F09"/>
    <w:rsid w:val="00F303F9"/>
    <w:rsid w:val="00F30ED9"/>
    <w:rsid w:val="00F3144E"/>
    <w:rsid w:val="00F3152D"/>
    <w:rsid w:val="00F31CB2"/>
    <w:rsid w:val="00F322E1"/>
    <w:rsid w:val="00F32657"/>
    <w:rsid w:val="00F32925"/>
    <w:rsid w:val="00F3364B"/>
    <w:rsid w:val="00F33BF9"/>
    <w:rsid w:val="00F34376"/>
    <w:rsid w:val="00F3525B"/>
    <w:rsid w:val="00F35348"/>
    <w:rsid w:val="00F35514"/>
    <w:rsid w:val="00F358FA"/>
    <w:rsid w:val="00F35A72"/>
    <w:rsid w:val="00F36004"/>
    <w:rsid w:val="00F3606F"/>
    <w:rsid w:val="00F36406"/>
    <w:rsid w:val="00F36417"/>
    <w:rsid w:val="00F3660A"/>
    <w:rsid w:val="00F37AE4"/>
    <w:rsid w:val="00F37DC7"/>
    <w:rsid w:val="00F401F7"/>
    <w:rsid w:val="00F40BDA"/>
    <w:rsid w:val="00F40FC4"/>
    <w:rsid w:val="00F41250"/>
    <w:rsid w:val="00F41343"/>
    <w:rsid w:val="00F4157E"/>
    <w:rsid w:val="00F417D7"/>
    <w:rsid w:val="00F41946"/>
    <w:rsid w:val="00F419EC"/>
    <w:rsid w:val="00F41B23"/>
    <w:rsid w:val="00F41B36"/>
    <w:rsid w:val="00F41EB9"/>
    <w:rsid w:val="00F42834"/>
    <w:rsid w:val="00F42D2B"/>
    <w:rsid w:val="00F42D5D"/>
    <w:rsid w:val="00F43BE4"/>
    <w:rsid w:val="00F442AA"/>
    <w:rsid w:val="00F446B5"/>
    <w:rsid w:val="00F44747"/>
    <w:rsid w:val="00F448EA"/>
    <w:rsid w:val="00F44E54"/>
    <w:rsid w:val="00F46744"/>
    <w:rsid w:val="00F46F25"/>
    <w:rsid w:val="00F47BC8"/>
    <w:rsid w:val="00F503C9"/>
    <w:rsid w:val="00F50917"/>
    <w:rsid w:val="00F509EC"/>
    <w:rsid w:val="00F5136F"/>
    <w:rsid w:val="00F5184A"/>
    <w:rsid w:val="00F51D9E"/>
    <w:rsid w:val="00F5265B"/>
    <w:rsid w:val="00F5279E"/>
    <w:rsid w:val="00F53854"/>
    <w:rsid w:val="00F53AA5"/>
    <w:rsid w:val="00F53C3C"/>
    <w:rsid w:val="00F54222"/>
    <w:rsid w:val="00F5451B"/>
    <w:rsid w:val="00F547DE"/>
    <w:rsid w:val="00F54EF9"/>
    <w:rsid w:val="00F55088"/>
    <w:rsid w:val="00F55586"/>
    <w:rsid w:val="00F556CB"/>
    <w:rsid w:val="00F56F6B"/>
    <w:rsid w:val="00F57346"/>
    <w:rsid w:val="00F575B1"/>
    <w:rsid w:val="00F5775B"/>
    <w:rsid w:val="00F57D10"/>
    <w:rsid w:val="00F603B3"/>
    <w:rsid w:val="00F60C01"/>
    <w:rsid w:val="00F616C5"/>
    <w:rsid w:val="00F61851"/>
    <w:rsid w:val="00F61973"/>
    <w:rsid w:val="00F61E36"/>
    <w:rsid w:val="00F621F1"/>
    <w:rsid w:val="00F628F4"/>
    <w:rsid w:val="00F62C91"/>
    <w:rsid w:val="00F63035"/>
    <w:rsid w:val="00F63E38"/>
    <w:rsid w:val="00F64E1B"/>
    <w:rsid w:val="00F650C6"/>
    <w:rsid w:val="00F650F0"/>
    <w:rsid w:val="00F65532"/>
    <w:rsid w:val="00F657A8"/>
    <w:rsid w:val="00F66058"/>
    <w:rsid w:val="00F66083"/>
    <w:rsid w:val="00F661C8"/>
    <w:rsid w:val="00F66697"/>
    <w:rsid w:val="00F670B0"/>
    <w:rsid w:val="00F6722D"/>
    <w:rsid w:val="00F67E0C"/>
    <w:rsid w:val="00F67F4F"/>
    <w:rsid w:val="00F7037E"/>
    <w:rsid w:val="00F7155F"/>
    <w:rsid w:val="00F72882"/>
    <w:rsid w:val="00F72DB7"/>
    <w:rsid w:val="00F72FB3"/>
    <w:rsid w:val="00F7311A"/>
    <w:rsid w:val="00F732C2"/>
    <w:rsid w:val="00F7394B"/>
    <w:rsid w:val="00F73E50"/>
    <w:rsid w:val="00F74495"/>
    <w:rsid w:val="00F756D8"/>
    <w:rsid w:val="00F75E58"/>
    <w:rsid w:val="00F760D7"/>
    <w:rsid w:val="00F7662A"/>
    <w:rsid w:val="00F76700"/>
    <w:rsid w:val="00F77375"/>
    <w:rsid w:val="00F776E4"/>
    <w:rsid w:val="00F77865"/>
    <w:rsid w:val="00F77D0B"/>
    <w:rsid w:val="00F77F2A"/>
    <w:rsid w:val="00F80658"/>
    <w:rsid w:val="00F80D78"/>
    <w:rsid w:val="00F8122D"/>
    <w:rsid w:val="00F8125C"/>
    <w:rsid w:val="00F8219F"/>
    <w:rsid w:val="00F821AD"/>
    <w:rsid w:val="00F82394"/>
    <w:rsid w:val="00F8359A"/>
    <w:rsid w:val="00F8361D"/>
    <w:rsid w:val="00F83A05"/>
    <w:rsid w:val="00F83A33"/>
    <w:rsid w:val="00F83A51"/>
    <w:rsid w:val="00F83C40"/>
    <w:rsid w:val="00F83D60"/>
    <w:rsid w:val="00F841F6"/>
    <w:rsid w:val="00F843F9"/>
    <w:rsid w:val="00F849CC"/>
    <w:rsid w:val="00F85814"/>
    <w:rsid w:val="00F85B69"/>
    <w:rsid w:val="00F85D68"/>
    <w:rsid w:val="00F85DD4"/>
    <w:rsid w:val="00F87AF1"/>
    <w:rsid w:val="00F90235"/>
    <w:rsid w:val="00F90606"/>
    <w:rsid w:val="00F90976"/>
    <w:rsid w:val="00F90A95"/>
    <w:rsid w:val="00F90F1B"/>
    <w:rsid w:val="00F90F29"/>
    <w:rsid w:val="00F910AF"/>
    <w:rsid w:val="00F91722"/>
    <w:rsid w:val="00F92324"/>
    <w:rsid w:val="00F92B6F"/>
    <w:rsid w:val="00F93111"/>
    <w:rsid w:val="00F93515"/>
    <w:rsid w:val="00F93997"/>
    <w:rsid w:val="00F939E9"/>
    <w:rsid w:val="00F94218"/>
    <w:rsid w:val="00F94323"/>
    <w:rsid w:val="00F95CC0"/>
    <w:rsid w:val="00F9669E"/>
    <w:rsid w:val="00F9715E"/>
    <w:rsid w:val="00F97836"/>
    <w:rsid w:val="00F97CF3"/>
    <w:rsid w:val="00F97D3C"/>
    <w:rsid w:val="00F97D95"/>
    <w:rsid w:val="00FA070E"/>
    <w:rsid w:val="00FA114F"/>
    <w:rsid w:val="00FA144C"/>
    <w:rsid w:val="00FA1A78"/>
    <w:rsid w:val="00FA1D77"/>
    <w:rsid w:val="00FA1EAF"/>
    <w:rsid w:val="00FA21C6"/>
    <w:rsid w:val="00FA2719"/>
    <w:rsid w:val="00FA2BFA"/>
    <w:rsid w:val="00FA3091"/>
    <w:rsid w:val="00FA36A3"/>
    <w:rsid w:val="00FA3CD0"/>
    <w:rsid w:val="00FA3DD0"/>
    <w:rsid w:val="00FA3DF2"/>
    <w:rsid w:val="00FA4B37"/>
    <w:rsid w:val="00FA59D2"/>
    <w:rsid w:val="00FA5B01"/>
    <w:rsid w:val="00FA634A"/>
    <w:rsid w:val="00FA6F4B"/>
    <w:rsid w:val="00FA73B7"/>
    <w:rsid w:val="00FA7941"/>
    <w:rsid w:val="00FB0030"/>
    <w:rsid w:val="00FB039A"/>
    <w:rsid w:val="00FB0995"/>
    <w:rsid w:val="00FB0A07"/>
    <w:rsid w:val="00FB1262"/>
    <w:rsid w:val="00FB1952"/>
    <w:rsid w:val="00FB1A35"/>
    <w:rsid w:val="00FB21AB"/>
    <w:rsid w:val="00FB2BD6"/>
    <w:rsid w:val="00FB2BE0"/>
    <w:rsid w:val="00FB2D6C"/>
    <w:rsid w:val="00FB3646"/>
    <w:rsid w:val="00FB3A04"/>
    <w:rsid w:val="00FB3C2C"/>
    <w:rsid w:val="00FB3C84"/>
    <w:rsid w:val="00FB42FD"/>
    <w:rsid w:val="00FB4885"/>
    <w:rsid w:val="00FB5273"/>
    <w:rsid w:val="00FB631B"/>
    <w:rsid w:val="00FB648F"/>
    <w:rsid w:val="00FB6882"/>
    <w:rsid w:val="00FB6B7E"/>
    <w:rsid w:val="00FB78B4"/>
    <w:rsid w:val="00FB7AB1"/>
    <w:rsid w:val="00FB7E58"/>
    <w:rsid w:val="00FC064C"/>
    <w:rsid w:val="00FC0E8D"/>
    <w:rsid w:val="00FC114E"/>
    <w:rsid w:val="00FC1BC0"/>
    <w:rsid w:val="00FC1E17"/>
    <w:rsid w:val="00FC20C1"/>
    <w:rsid w:val="00FC31A4"/>
    <w:rsid w:val="00FC405F"/>
    <w:rsid w:val="00FC409F"/>
    <w:rsid w:val="00FC41E2"/>
    <w:rsid w:val="00FC543B"/>
    <w:rsid w:val="00FC5F0A"/>
    <w:rsid w:val="00FC6250"/>
    <w:rsid w:val="00FC65A7"/>
    <w:rsid w:val="00FC65C2"/>
    <w:rsid w:val="00FC69EF"/>
    <w:rsid w:val="00FC6B9B"/>
    <w:rsid w:val="00FC6CAE"/>
    <w:rsid w:val="00FC6DD0"/>
    <w:rsid w:val="00FC6ED4"/>
    <w:rsid w:val="00FC6F13"/>
    <w:rsid w:val="00FC71F4"/>
    <w:rsid w:val="00FC742A"/>
    <w:rsid w:val="00FC7927"/>
    <w:rsid w:val="00FC7CEC"/>
    <w:rsid w:val="00FC7EB9"/>
    <w:rsid w:val="00FD03AE"/>
    <w:rsid w:val="00FD06AF"/>
    <w:rsid w:val="00FD09C5"/>
    <w:rsid w:val="00FD1544"/>
    <w:rsid w:val="00FD2362"/>
    <w:rsid w:val="00FD2BA9"/>
    <w:rsid w:val="00FD33BE"/>
    <w:rsid w:val="00FD3413"/>
    <w:rsid w:val="00FD346C"/>
    <w:rsid w:val="00FD36EC"/>
    <w:rsid w:val="00FD4519"/>
    <w:rsid w:val="00FD49B1"/>
    <w:rsid w:val="00FD5996"/>
    <w:rsid w:val="00FD5A43"/>
    <w:rsid w:val="00FD5B89"/>
    <w:rsid w:val="00FD5CA2"/>
    <w:rsid w:val="00FD638D"/>
    <w:rsid w:val="00FD6848"/>
    <w:rsid w:val="00FD7676"/>
    <w:rsid w:val="00FE03FF"/>
    <w:rsid w:val="00FE0403"/>
    <w:rsid w:val="00FE0F92"/>
    <w:rsid w:val="00FE1132"/>
    <w:rsid w:val="00FE12C2"/>
    <w:rsid w:val="00FE1316"/>
    <w:rsid w:val="00FE1A9C"/>
    <w:rsid w:val="00FE1D8B"/>
    <w:rsid w:val="00FE1E9E"/>
    <w:rsid w:val="00FE28B9"/>
    <w:rsid w:val="00FE303D"/>
    <w:rsid w:val="00FE3D89"/>
    <w:rsid w:val="00FE3FF8"/>
    <w:rsid w:val="00FE40D8"/>
    <w:rsid w:val="00FE412B"/>
    <w:rsid w:val="00FE4131"/>
    <w:rsid w:val="00FE4265"/>
    <w:rsid w:val="00FE48D8"/>
    <w:rsid w:val="00FE4970"/>
    <w:rsid w:val="00FE4AB6"/>
    <w:rsid w:val="00FE578C"/>
    <w:rsid w:val="00FE5CD3"/>
    <w:rsid w:val="00FE5F06"/>
    <w:rsid w:val="00FE6121"/>
    <w:rsid w:val="00FE68A1"/>
    <w:rsid w:val="00FE68E3"/>
    <w:rsid w:val="00FE6C9C"/>
    <w:rsid w:val="00FE6D9C"/>
    <w:rsid w:val="00FE70E2"/>
    <w:rsid w:val="00FE732F"/>
    <w:rsid w:val="00FE7640"/>
    <w:rsid w:val="00FE78F0"/>
    <w:rsid w:val="00FF2174"/>
    <w:rsid w:val="00FF22BE"/>
    <w:rsid w:val="00FF2516"/>
    <w:rsid w:val="00FF2A29"/>
    <w:rsid w:val="00FF2B69"/>
    <w:rsid w:val="00FF2D78"/>
    <w:rsid w:val="00FF2E7A"/>
    <w:rsid w:val="00FF36BF"/>
    <w:rsid w:val="00FF3A9C"/>
    <w:rsid w:val="00FF4648"/>
    <w:rsid w:val="00FF4C89"/>
    <w:rsid w:val="00FF51A5"/>
    <w:rsid w:val="00FF51D9"/>
    <w:rsid w:val="00FF54B4"/>
    <w:rsid w:val="00FF6956"/>
    <w:rsid w:val="00FF6B27"/>
    <w:rsid w:val="00FF749F"/>
    <w:rsid w:val="00FF7695"/>
    <w:rsid w:val="00FF77E3"/>
    <w:rsid w:val="00FF7A72"/>
    <w:rsid w:val="00FF7B2E"/>
    <w:rsid w:val="00FF7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3E"/>
    <w:pPr>
      <w:spacing w:after="0" w:line="360" w:lineRule="auto"/>
      <w:ind w:firstLine="709"/>
      <w:jc w:val="both"/>
    </w:pPr>
    <w:rPr>
      <w:rFonts w:ascii="Times New Roman" w:eastAsia="MS Mincho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C756A6"/>
    <w:pPr>
      <w:keepNext/>
      <w:keepLines/>
      <w:pageBreakBefore/>
      <w:numPr>
        <w:numId w:val="1"/>
      </w:numPr>
      <w:tabs>
        <w:tab w:val="left" w:pos="1985"/>
      </w:tabs>
      <w:suppressAutoHyphens/>
      <w:spacing w:before="240" w:after="120" w:line="240" w:lineRule="auto"/>
      <w:jc w:val="left"/>
      <w:outlineLvl w:val="0"/>
    </w:pPr>
    <w:rPr>
      <w:rFonts w:eastAsia="MS Gothic"/>
      <w:b/>
      <w:bCs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AF7FD6"/>
    <w:pPr>
      <w:numPr>
        <w:ilvl w:val="1"/>
        <w:numId w:val="1"/>
      </w:numPr>
      <w:suppressAutoHyphens/>
      <w:autoSpaceDE w:val="0"/>
      <w:autoSpaceDN w:val="0"/>
      <w:adjustRightInd w:val="0"/>
      <w:spacing w:after="120" w:line="240" w:lineRule="auto"/>
      <w:ind w:left="576" w:firstLine="540"/>
      <w:jc w:val="left"/>
      <w:outlineLvl w:val="1"/>
    </w:pPr>
    <w:rPr>
      <w:rFonts w:eastAsiaTheme="minorHAnsi"/>
      <w:bCs/>
      <w:i/>
      <w:color w:val="0070C0"/>
      <w:sz w:val="20"/>
      <w:szCs w:val="20"/>
    </w:rPr>
  </w:style>
  <w:style w:type="paragraph" w:styleId="3">
    <w:name w:val="heading 3"/>
    <w:basedOn w:val="a"/>
    <w:next w:val="a"/>
    <w:link w:val="30"/>
    <w:uiPriority w:val="9"/>
    <w:qFormat/>
    <w:rsid w:val="00C756A6"/>
    <w:pPr>
      <w:keepNext/>
      <w:keepLines/>
      <w:numPr>
        <w:ilvl w:val="2"/>
        <w:numId w:val="1"/>
      </w:numPr>
      <w:spacing w:before="120" w:after="120" w:line="240" w:lineRule="auto"/>
      <w:jc w:val="left"/>
      <w:outlineLvl w:val="2"/>
    </w:pPr>
    <w:rPr>
      <w:rFonts w:eastAsia="MS Gothic"/>
      <w:b/>
      <w:i/>
    </w:rPr>
  </w:style>
  <w:style w:type="paragraph" w:styleId="4">
    <w:name w:val="heading 4"/>
    <w:basedOn w:val="a"/>
    <w:next w:val="a"/>
    <w:link w:val="40"/>
    <w:uiPriority w:val="9"/>
    <w:qFormat/>
    <w:rsid w:val="00C756A6"/>
    <w:pPr>
      <w:keepNext/>
      <w:keepLines/>
      <w:numPr>
        <w:ilvl w:val="3"/>
        <w:numId w:val="1"/>
      </w:numPr>
      <w:spacing w:before="120" w:after="120" w:line="240" w:lineRule="auto"/>
      <w:outlineLvl w:val="3"/>
    </w:pPr>
    <w:rPr>
      <w:rFonts w:eastAsia="MS Gothic"/>
      <w:i/>
      <w:iCs/>
    </w:rPr>
  </w:style>
  <w:style w:type="paragraph" w:styleId="5">
    <w:name w:val="heading 5"/>
    <w:basedOn w:val="a"/>
    <w:next w:val="a"/>
    <w:link w:val="50"/>
    <w:uiPriority w:val="9"/>
    <w:qFormat/>
    <w:rsid w:val="00C756A6"/>
    <w:pPr>
      <w:keepNext/>
      <w:keepLines/>
      <w:numPr>
        <w:ilvl w:val="4"/>
        <w:numId w:val="1"/>
      </w:numPr>
      <w:spacing w:before="40"/>
      <w:outlineLvl w:val="4"/>
    </w:pPr>
    <w:rPr>
      <w:rFonts w:eastAsia="MS Gothic"/>
    </w:rPr>
  </w:style>
  <w:style w:type="paragraph" w:styleId="7">
    <w:name w:val="heading 7"/>
    <w:basedOn w:val="a"/>
    <w:next w:val="a"/>
    <w:link w:val="70"/>
    <w:uiPriority w:val="9"/>
    <w:qFormat/>
    <w:rsid w:val="00C756A6"/>
    <w:pPr>
      <w:keepNext/>
      <w:keepLines/>
      <w:numPr>
        <w:ilvl w:val="6"/>
        <w:numId w:val="1"/>
      </w:numPr>
      <w:spacing w:before="40"/>
      <w:outlineLvl w:val="6"/>
    </w:pPr>
    <w:rPr>
      <w:rFonts w:eastAsia="MS Gothic"/>
      <w:i/>
      <w:iCs/>
      <w:color w:val="1F4D78"/>
    </w:rPr>
  </w:style>
  <w:style w:type="paragraph" w:styleId="8">
    <w:name w:val="heading 8"/>
    <w:basedOn w:val="a"/>
    <w:next w:val="a"/>
    <w:link w:val="80"/>
    <w:uiPriority w:val="9"/>
    <w:qFormat/>
    <w:rsid w:val="00C756A6"/>
    <w:pPr>
      <w:keepNext/>
      <w:keepLines/>
      <w:numPr>
        <w:ilvl w:val="7"/>
        <w:numId w:val="1"/>
      </w:numPr>
      <w:spacing w:before="40"/>
      <w:outlineLvl w:val="7"/>
    </w:pPr>
    <w:rPr>
      <w:rFonts w:eastAsia="MS Gothic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qFormat/>
    <w:rsid w:val="00C756A6"/>
    <w:pPr>
      <w:keepNext/>
      <w:keepLines/>
      <w:numPr>
        <w:ilvl w:val="8"/>
        <w:numId w:val="1"/>
      </w:numPr>
      <w:spacing w:before="40"/>
      <w:outlineLvl w:val="8"/>
    </w:pPr>
    <w:rPr>
      <w:rFonts w:eastAsia="MS Gothic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A6"/>
    <w:rPr>
      <w:rFonts w:ascii="Times New Roman" w:eastAsia="MS Gothic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F7FD6"/>
    <w:rPr>
      <w:rFonts w:ascii="Times New Roman" w:hAnsi="Times New Roman" w:cs="Times New Roman"/>
      <w:bCs/>
      <w:i/>
      <w:color w:val="0070C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C756A6"/>
    <w:rPr>
      <w:rFonts w:ascii="Times New Roman" w:eastAsia="MS Gothic" w:hAnsi="Times New Roman" w:cs="Times New Roman"/>
      <w:b/>
      <w:i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C756A6"/>
    <w:rPr>
      <w:rFonts w:ascii="Times New Roman" w:eastAsia="MS Gothic" w:hAnsi="Times New Roman" w:cs="Times New Roman"/>
      <w:i/>
      <w:iCs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C756A6"/>
    <w:rPr>
      <w:rFonts w:ascii="Times New Roman" w:eastAsia="MS Gothic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uiPriority w:val="9"/>
    <w:rsid w:val="00C756A6"/>
    <w:rPr>
      <w:rFonts w:ascii="Times New Roman" w:eastAsia="MS Gothic" w:hAnsi="Times New Roman" w:cs="Times New Roman"/>
      <w:i/>
      <w:iCs/>
      <w:color w:val="1F4D78"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rsid w:val="00C756A6"/>
    <w:rPr>
      <w:rFonts w:ascii="Times New Roman" w:eastAsia="MS Gothic" w:hAnsi="Times New Roman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C756A6"/>
    <w:rPr>
      <w:rFonts w:ascii="Times New Roman" w:eastAsia="MS Gothic" w:hAnsi="Times New Roman" w:cs="Times New Roman"/>
      <w:i/>
      <w:iCs/>
      <w:color w:val="272727"/>
      <w:sz w:val="21"/>
      <w:szCs w:val="21"/>
    </w:rPr>
  </w:style>
  <w:style w:type="paragraph" w:styleId="a3">
    <w:name w:val="caption"/>
    <w:basedOn w:val="a"/>
    <w:next w:val="a"/>
    <w:autoRedefine/>
    <w:uiPriority w:val="35"/>
    <w:qFormat/>
    <w:rsid w:val="00C756A6"/>
    <w:pPr>
      <w:spacing w:after="200" w:line="240" w:lineRule="auto"/>
      <w:ind w:firstLine="0"/>
      <w:jc w:val="center"/>
    </w:pPr>
    <w:rPr>
      <w:iCs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B67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781"/>
    <w:rPr>
      <w:rFonts w:ascii="Tahoma" w:eastAsia="MS Mincho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EB6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132E5"/>
    <w:rPr>
      <w:color w:val="0000FF"/>
      <w:u w:val="single"/>
    </w:rPr>
  </w:style>
  <w:style w:type="table" w:styleId="a7">
    <w:name w:val="Table Grid"/>
    <w:basedOn w:val="a1"/>
    <w:uiPriority w:val="59"/>
    <w:rsid w:val="00E62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F6AAF"/>
    <w:pPr>
      <w:spacing w:line="240" w:lineRule="auto"/>
      <w:ind w:left="720" w:firstLine="0"/>
      <w:contextualSpacing/>
      <w:jc w:val="left"/>
    </w:pPr>
    <w:rPr>
      <w:rFonts w:eastAsia="Times New Roman"/>
      <w:sz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E147C5"/>
    <w:rPr>
      <w:color w:val="800080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7A6D07"/>
  </w:style>
  <w:style w:type="numbering" w:customStyle="1" w:styleId="21">
    <w:name w:val="Нет списка2"/>
    <w:next w:val="a2"/>
    <w:uiPriority w:val="99"/>
    <w:semiHidden/>
    <w:unhideWhenUsed/>
    <w:rsid w:val="007924EE"/>
  </w:style>
  <w:style w:type="paragraph" w:styleId="aa">
    <w:name w:val="Title"/>
    <w:basedOn w:val="a"/>
    <w:link w:val="ab"/>
    <w:qFormat/>
    <w:rsid w:val="007924EE"/>
    <w:pPr>
      <w:spacing w:line="240" w:lineRule="auto"/>
      <w:ind w:firstLine="0"/>
      <w:jc w:val="center"/>
    </w:pPr>
    <w:rPr>
      <w:rFonts w:eastAsia="Times New Roman"/>
      <w:b/>
      <w:bCs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7924E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2">
    <w:name w:val="Верхний колонтитул1"/>
    <w:basedOn w:val="a"/>
    <w:next w:val="ac"/>
    <w:link w:val="ad"/>
    <w:uiPriority w:val="99"/>
    <w:unhideWhenUsed/>
    <w:rsid w:val="007924EE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="Times New Roman" w:hAnsiTheme="minorHAnsi" w:cstheme="minorBid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12"/>
    <w:uiPriority w:val="99"/>
    <w:rsid w:val="007924EE"/>
    <w:rPr>
      <w:rFonts w:eastAsia="Times New Roman"/>
      <w:lang w:eastAsia="ru-RU"/>
    </w:rPr>
  </w:style>
  <w:style w:type="paragraph" w:customStyle="1" w:styleId="13">
    <w:name w:val="Нижний колонтитул1"/>
    <w:basedOn w:val="a"/>
    <w:next w:val="ae"/>
    <w:link w:val="af"/>
    <w:uiPriority w:val="99"/>
    <w:semiHidden/>
    <w:unhideWhenUsed/>
    <w:rsid w:val="007924EE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="Times New Roman" w:hAnsiTheme="minorHAnsi" w:cstheme="minorBid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13"/>
    <w:uiPriority w:val="99"/>
    <w:semiHidden/>
    <w:rsid w:val="007924EE"/>
    <w:rPr>
      <w:rFonts w:eastAsia="Times New Roman"/>
      <w:lang w:eastAsia="ru-RU"/>
    </w:rPr>
  </w:style>
  <w:style w:type="paragraph" w:styleId="ac">
    <w:name w:val="header"/>
    <w:basedOn w:val="a"/>
    <w:link w:val="14"/>
    <w:uiPriority w:val="99"/>
    <w:unhideWhenUsed/>
    <w:rsid w:val="007924EE"/>
    <w:pPr>
      <w:tabs>
        <w:tab w:val="center" w:pos="4677"/>
        <w:tab w:val="right" w:pos="9355"/>
      </w:tabs>
      <w:spacing w:line="240" w:lineRule="auto"/>
    </w:pPr>
  </w:style>
  <w:style w:type="character" w:customStyle="1" w:styleId="14">
    <w:name w:val="Верхний колонтитул Знак1"/>
    <w:basedOn w:val="a0"/>
    <w:link w:val="ac"/>
    <w:uiPriority w:val="99"/>
    <w:rsid w:val="007924EE"/>
    <w:rPr>
      <w:rFonts w:ascii="Times New Roman" w:eastAsia="MS Mincho" w:hAnsi="Times New Roman" w:cs="Times New Roman"/>
      <w:sz w:val="28"/>
      <w:szCs w:val="24"/>
    </w:rPr>
  </w:style>
  <w:style w:type="paragraph" w:styleId="ae">
    <w:name w:val="footer"/>
    <w:basedOn w:val="a"/>
    <w:link w:val="15"/>
    <w:uiPriority w:val="99"/>
    <w:unhideWhenUsed/>
    <w:rsid w:val="007924EE"/>
    <w:pPr>
      <w:tabs>
        <w:tab w:val="center" w:pos="4677"/>
        <w:tab w:val="right" w:pos="9355"/>
      </w:tabs>
      <w:spacing w:line="240" w:lineRule="auto"/>
    </w:pPr>
  </w:style>
  <w:style w:type="character" w:customStyle="1" w:styleId="15">
    <w:name w:val="Нижний колонтитул Знак1"/>
    <w:basedOn w:val="a0"/>
    <w:link w:val="ae"/>
    <w:uiPriority w:val="99"/>
    <w:rsid w:val="007924EE"/>
    <w:rPr>
      <w:rFonts w:ascii="Times New Roman" w:eastAsia="MS Mincho" w:hAnsi="Times New Roman" w:cs="Times New Roman"/>
      <w:sz w:val="28"/>
      <w:szCs w:val="24"/>
    </w:rPr>
  </w:style>
  <w:style w:type="numbering" w:customStyle="1" w:styleId="31">
    <w:name w:val="Нет списка3"/>
    <w:next w:val="a2"/>
    <w:uiPriority w:val="99"/>
    <w:semiHidden/>
    <w:unhideWhenUsed/>
    <w:rsid w:val="006166FF"/>
  </w:style>
  <w:style w:type="table" w:customStyle="1" w:styleId="16">
    <w:name w:val="Сетка таблицы1"/>
    <w:basedOn w:val="a1"/>
    <w:next w:val="a7"/>
    <w:uiPriority w:val="59"/>
    <w:rsid w:val="00616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166FF"/>
  </w:style>
  <w:style w:type="paragraph" w:styleId="22">
    <w:name w:val="Body Text 2"/>
    <w:basedOn w:val="a"/>
    <w:link w:val="23"/>
    <w:uiPriority w:val="99"/>
    <w:rsid w:val="006166FF"/>
    <w:pPr>
      <w:spacing w:after="120" w:line="480" w:lineRule="auto"/>
      <w:ind w:firstLine="0"/>
      <w:jc w:val="left"/>
    </w:pPr>
    <w:rPr>
      <w:rFonts w:eastAsia="Times New Roman"/>
      <w:sz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6166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rsid w:val="006166FF"/>
    <w:pPr>
      <w:suppressAutoHyphens/>
      <w:spacing w:after="120" w:line="240" w:lineRule="auto"/>
      <w:ind w:left="283" w:firstLine="0"/>
      <w:jc w:val="left"/>
    </w:pPr>
    <w:rPr>
      <w:rFonts w:eastAsia="Times New Roman"/>
      <w:sz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6166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semiHidden/>
    <w:rsid w:val="006166FF"/>
    <w:pPr>
      <w:spacing w:after="120" w:line="240" w:lineRule="auto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6166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6166FF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lang w:eastAsia="ru-RU"/>
    </w:rPr>
  </w:style>
  <w:style w:type="paragraph" w:customStyle="1" w:styleId="17">
    <w:name w:val="Рецензия1"/>
    <w:next w:val="af3"/>
    <w:hidden/>
    <w:uiPriority w:val="99"/>
    <w:semiHidden/>
    <w:rsid w:val="006166FF"/>
    <w:pPr>
      <w:spacing w:after="0" w:line="240" w:lineRule="auto"/>
    </w:pPr>
  </w:style>
  <w:style w:type="paragraph" w:customStyle="1" w:styleId="310">
    <w:name w:val="Основной текст с отступом 31"/>
    <w:basedOn w:val="a"/>
    <w:next w:val="34"/>
    <w:link w:val="35"/>
    <w:uiPriority w:val="99"/>
    <w:unhideWhenUsed/>
    <w:rsid w:val="006166FF"/>
    <w:pPr>
      <w:spacing w:after="120" w:line="276" w:lineRule="auto"/>
      <w:ind w:left="283" w:firstLine="0"/>
      <w:jc w:val="lef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5">
    <w:name w:val="Основной текст с отступом 3 Знак"/>
    <w:basedOn w:val="a0"/>
    <w:link w:val="310"/>
    <w:uiPriority w:val="99"/>
    <w:rsid w:val="006166FF"/>
    <w:rPr>
      <w:sz w:val="16"/>
      <w:szCs w:val="16"/>
    </w:rPr>
  </w:style>
  <w:style w:type="character" w:styleId="af4">
    <w:name w:val="Emphasis"/>
    <w:basedOn w:val="a0"/>
    <w:uiPriority w:val="20"/>
    <w:qFormat/>
    <w:rsid w:val="006166FF"/>
    <w:rPr>
      <w:i/>
      <w:iCs/>
    </w:rPr>
  </w:style>
  <w:style w:type="paragraph" w:customStyle="1" w:styleId="FR1">
    <w:name w:val="FR1"/>
    <w:rsid w:val="006166FF"/>
    <w:pPr>
      <w:widowControl w:val="0"/>
      <w:autoSpaceDE w:val="0"/>
      <w:autoSpaceDN w:val="0"/>
      <w:adjustRightInd w:val="0"/>
      <w:spacing w:before="480" w:after="0" w:line="240" w:lineRule="auto"/>
      <w:ind w:left="3760"/>
    </w:pPr>
    <w:rPr>
      <w:rFonts w:ascii="Arial" w:eastAsia="Times New Roman" w:hAnsi="Arial" w:cs="Arial"/>
      <w:b/>
      <w:bCs/>
      <w:lang w:eastAsia="ru-RU"/>
    </w:rPr>
  </w:style>
  <w:style w:type="paragraph" w:styleId="af3">
    <w:name w:val="Revision"/>
    <w:hidden/>
    <w:uiPriority w:val="99"/>
    <w:semiHidden/>
    <w:rsid w:val="006166FF"/>
    <w:pPr>
      <w:spacing w:after="0" w:line="240" w:lineRule="auto"/>
    </w:pPr>
    <w:rPr>
      <w:rFonts w:ascii="Times New Roman" w:eastAsia="MS Mincho" w:hAnsi="Times New Roman" w:cs="Times New Roman"/>
      <w:sz w:val="28"/>
      <w:szCs w:val="24"/>
    </w:rPr>
  </w:style>
  <w:style w:type="paragraph" w:styleId="34">
    <w:name w:val="Body Text Indent 3"/>
    <w:basedOn w:val="a"/>
    <w:link w:val="311"/>
    <w:uiPriority w:val="99"/>
    <w:semiHidden/>
    <w:unhideWhenUsed/>
    <w:rsid w:val="006166FF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6166FF"/>
    <w:rPr>
      <w:rFonts w:ascii="Times New Roman" w:eastAsia="MS Mincho" w:hAnsi="Times New Roman" w:cs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851875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7"/>
    <w:rsid w:val="0036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7"/>
    <w:uiPriority w:val="59"/>
    <w:rsid w:val="00E71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8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5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hyperlink" Target="consultantplus://offline/ref=BFF45DE6B5B8EA671002C29B9F110A6D77843901ED41CB6170D57EC870A1BECCA1D94B804CEE5EED34B508993F4C222630D3771486A6BC55m0OAL" TargetMode="External"/><Relationship Id="rId18" Type="http://schemas.openxmlformats.org/officeDocument/2006/relationships/hyperlink" Target="consultantplus://offline/ref=BFF45DE6B5B8EA671002C29B9F110A6D77843901ED41CB6170D57EC870A1BECCA1D94B804CEE5EED34B508993F4C222630D3771486A6BC55m0OA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7F47E24F8049256C669E8D825C9F7331B0EDD157AE872FACDAC06AD56CE9176078645281F818FA51768FD438FC2DF49DA7DEBD310557B165930A00z9SF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FF8BD1570907C1BEE8E7EB4A0740772888FE0C1BFB614F43267B25686BB0952734F0F859CC93D7A50C3DBD0B8A13A5027A219EF82j6R0L" TargetMode="External"/><Relationship Id="rId10" Type="http://schemas.openxmlformats.org/officeDocument/2006/relationships/hyperlink" Target="http://uad.volgograd.ru/current-activity/services/avtobus-marhrut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AA9F76774E1EDCDC57AFBB5EF293CE9C4E5A5425CCDDD43E61F53B0D05593BCAB1209434B26FCE1070562EC2FAD8840BB0A4B5991D4347M8mDD" TargetMode="External"/><Relationship Id="rId14" Type="http://schemas.openxmlformats.org/officeDocument/2006/relationships/hyperlink" Target="consultantplus://offline/ref=4FF8BD1570907C1BEE8E7EB4A0740772888FECC2B9BC14F43267B25686BB0952734F0F859CCA362F018CDA8CFFF429532FA21BE79D6B6C41j8R3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5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 rtl="0">
              <a:defRPr sz="1050"/>
            </a:pPr>
            <a:r>
              <a:rPr lang="ru-RU" sz="1050"/>
              <a:t>Количество автобусных маршрутов регулярных перевозок, ед.</a:t>
            </a:r>
          </a:p>
        </c:rich>
      </c:tx>
      <c:layout>
        <c:manualLayout>
          <c:xMode val="edge"/>
          <c:yMode val="edge"/>
          <c:x val="0.21479641772315294"/>
          <c:y val="3.1115248921991492E-2"/>
        </c:manualLayout>
      </c:layout>
    </c:title>
    <c:view3D>
      <c:rotX val="10"/>
      <c:depthPercent val="100"/>
      <c:rAngAx val="1"/>
    </c:view3D>
    <c:floor>
      <c:spPr>
        <a:noFill/>
      </c:spPr>
    </c:floor>
    <c:backWall>
      <c:spPr>
        <a:noFill/>
      </c:spPr>
    </c:backWall>
    <c:plotArea>
      <c:layout>
        <c:manualLayout>
          <c:layoutTarget val="inner"/>
          <c:xMode val="edge"/>
          <c:yMode val="edge"/>
          <c:x val="0.12108309481800315"/>
          <c:y val="0.15638393440480874"/>
          <c:w val="0.85556934313341992"/>
          <c:h val="0.64953612962237028"/>
        </c:manualLayout>
      </c:layout>
      <c:bar3DChart>
        <c:barDir val="bar"/>
        <c:grouping val="stacked"/>
        <c:ser>
          <c:idx val="2"/>
          <c:order val="0"/>
          <c:tx>
            <c:strRef>
              <c:f>Лист1!$B$1</c:f>
              <c:strCache>
                <c:ptCount val="1"/>
                <c:pt idx="0">
                  <c:v>регулируемые тарифы</c:v>
                </c:pt>
              </c:strCache>
            </c:strRef>
          </c:tx>
          <c:spPr>
            <a:gradFill rotWithShape="1">
              <a:gsLst>
                <a:gs pos="0">
                  <a:srgbClr val="4F81BD">
                    <a:shade val="51000"/>
                    <a:satMod val="130000"/>
                  </a:srgbClr>
                </a:gs>
                <a:gs pos="80000">
                  <a:srgbClr val="4F81BD">
                    <a:shade val="93000"/>
                    <a:satMod val="130000"/>
                  </a:srgbClr>
                </a:gs>
                <a:gs pos="100000">
                  <a:srgbClr val="4F81BD">
                    <a:shade val="94000"/>
                    <a:satMod val="135000"/>
                  </a:srgb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1.2450715916165221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900" b="1">
                      <a:solidFill>
                        <a:srgbClr val="7030A0"/>
                      </a:solidFill>
                    </a:defRPr>
                  </a:pPr>
                  <a:endParaRPr lang="ru-RU"/>
                </a:p>
              </c:txPr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25835235526125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900" b="1">
                      <a:solidFill>
                        <a:srgbClr val="7030A0"/>
                      </a:solidFill>
                    </a:defRPr>
                  </a:pPr>
                  <a:endParaRPr lang="ru-RU"/>
                </a:p>
              </c:txPr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2450715916165221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900" b="1">
                      <a:solidFill>
                        <a:srgbClr val="7030A0"/>
                      </a:solidFill>
                    </a:defRPr>
                  </a:pPr>
                  <a:endParaRPr lang="ru-RU"/>
                </a:p>
              </c:txPr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Саратовская</c:v>
                </c:pt>
                <c:pt idx="1">
                  <c:v>Нижегородская</c:v>
                </c:pt>
                <c:pt idx="2">
                  <c:v>Воронежская</c:v>
                </c:pt>
                <c:pt idx="3">
                  <c:v>Волгоградская</c:v>
                </c:pt>
                <c:pt idx="4">
                  <c:v>Астраханская</c:v>
                </c:pt>
                <c:pt idx="5">
                  <c:v>Ростовская</c:v>
                </c:pt>
                <c:pt idx="6">
                  <c:v>Самарская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 formatCode="0">
                  <c:v>3</c:v>
                </c:pt>
                <c:pt idx="1">
                  <c:v>0</c:v>
                </c:pt>
                <c:pt idx="2">
                  <c:v>148</c:v>
                </c:pt>
                <c:pt idx="3">
                  <c:v>85</c:v>
                </c:pt>
                <c:pt idx="4">
                  <c:v>53</c:v>
                </c:pt>
                <c:pt idx="5">
                  <c:v>554</c:v>
                </c:pt>
                <c:pt idx="6">
                  <c:v>0</c:v>
                </c:pt>
              </c:numCache>
            </c:numRef>
          </c:val>
        </c:ser>
        <c:ser>
          <c:idx val="3"/>
          <c:order val="1"/>
          <c:tx>
            <c:strRef>
              <c:f>Лист1!$C$1</c:f>
              <c:strCache>
                <c:ptCount val="1"/>
                <c:pt idx="0">
                  <c:v>нерегулируемые тарифы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Саратовская</c:v>
                </c:pt>
                <c:pt idx="1">
                  <c:v>Нижегородская</c:v>
                </c:pt>
                <c:pt idx="2">
                  <c:v>Воронежская</c:v>
                </c:pt>
                <c:pt idx="3">
                  <c:v>Волгоградская</c:v>
                </c:pt>
                <c:pt idx="4">
                  <c:v>Астраханская</c:v>
                </c:pt>
                <c:pt idx="5">
                  <c:v>Ростовская</c:v>
                </c:pt>
                <c:pt idx="6">
                  <c:v>Самарская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 formatCode="0">
                  <c:v>180</c:v>
                </c:pt>
                <c:pt idx="1">
                  <c:v>265</c:v>
                </c:pt>
                <c:pt idx="2">
                  <c:v>110</c:v>
                </c:pt>
                <c:pt idx="3">
                  <c:v>218</c:v>
                </c:pt>
                <c:pt idx="4">
                  <c:v>46</c:v>
                </c:pt>
                <c:pt idx="5">
                  <c:v>116</c:v>
                </c:pt>
                <c:pt idx="6">
                  <c:v>196</c:v>
                </c:pt>
              </c:numCache>
            </c:numRef>
          </c:val>
        </c:ser>
        <c:dLbls>
          <c:showVal val="1"/>
        </c:dLbls>
        <c:gapWidth val="50"/>
        <c:gapDepth val="100"/>
        <c:shape val="cylinder"/>
        <c:axId val="162461952"/>
        <c:axId val="162460416"/>
        <c:axId val="0"/>
      </c:bar3DChart>
      <c:valAx>
        <c:axId val="162460416"/>
        <c:scaling>
          <c:orientation val="minMax"/>
        </c:scaling>
        <c:axPos val="b"/>
        <c:majorGridlines>
          <c:spPr>
            <a:ln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0" sourceLinked="0"/>
        <c:tickLblPos val="nextTo"/>
        <c:spPr>
          <a:ln>
            <a:solidFill>
              <a:sysClr val="window" lastClr="FFFFFF">
                <a:lumMod val="85000"/>
              </a:sysClr>
            </a:solidFill>
          </a:ln>
        </c:spPr>
        <c:txPr>
          <a:bodyPr/>
          <a:lstStyle/>
          <a:p>
            <a:pPr>
              <a:defRPr sz="800"/>
            </a:pPr>
            <a:endParaRPr lang="ru-RU"/>
          </a:p>
        </c:txPr>
        <c:crossAx val="162461952"/>
        <c:crosses val="autoZero"/>
        <c:crossBetween val="between"/>
      </c:valAx>
      <c:catAx>
        <c:axId val="162461952"/>
        <c:scaling>
          <c:orientation val="minMax"/>
        </c:scaling>
        <c:axPos val="l"/>
        <c:numFmt formatCode="General" sourceLinked="1"/>
        <c:tickLblPos val="nextTo"/>
        <c:spPr>
          <a:noFill/>
          <a:ln>
            <a:solidFill>
              <a:sysClr val="window" lastClr="FFFFFF">
                <a:lumMod val="85000"/>
              </a:sysClr>
            </a:solidFill>
          </a:ln>
        </c:spPr>
        <c:txPr>
          <a:bodyPr/>
          <a:lstStyle/>
          <a:p>
            <a:pPr>
              <a:defRPr sz="1000"/>
            </a:pPr>
            <a:endParaRPr lang="ru-RU"/>
          </a:p>
        </c:txPr>
        <c:crossAx val="162460416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2.0440742271814761E-4"/>
          <c:y val="0.88670619364955094"/>
          <c:w val="0.99779143462295161"/>
          <c:h val="9.2550307069123566E-2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50">
          <a:latin typeface="Times New Roman" pitchFamily="18" charset="0"/>
          <a:cs typeface="Times New Roman" pitchFamily="18" charset="0"/>
        </a:defRPr>
      </a:pPr>
      <a:endParaRPr lang="ru-RU"/>
    </a:p>
  </c:txPr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0.87186</cdr:x>
      <cdr:y>0.30521</cdr:y>
    </cdr:from>
    <cdr:to>
      <cdr:x>0.9602</cdr:x>
      <cdr:y>0.40199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5332575" y="729691"/>
          <a:ext cx="540291" cy="2313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232DE-1602-4735-BDCD-B8DFD99D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11719</Words>
  <Characters>66801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Контрольно-счетная палата Волгоградской области</Company>
  <LinksUpToDate>false</LinksUpToDate>
  <CharactersWithSpaces>78364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Самарцева Оксана Геннадьевна</cp:lastModifiedBy>
  <cp:revision>2</cp:revision>
  <cp:lastPrinted>2019-10-16T06:17:00Z</cp:lastPrinted>
  <dcterms:created xsi:type="dcterms:W3CDTF">2019-11-19T14:46:00Z</dcterms:created>
  <dcterms:modified xsi:type="dcterms:W3CDTF">2019-11-19T14:46:00Z</dcterms:modified>
</cp:coreProperties>
</file>