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8B" w:rsidRPr="004A3F1B" w:rsidRDefault="00B8578B" w:rsidP="00DC5F7C">
      <w:pPr>
        <w:ind w:left="4956" w:firstLine="708"/>
        <w:rPr>
          <w:b/>
          <w:bCs/>
          <w:caps/>
          <w:color w:val="000000" w:themeColor="text1"/>
        </w:rPr>
      </w:pPr>
      <w:r w:rsidRPr="004A3F1B">
        <w:rPr>
          <w:b/>
          <w:bCs/>
          <w:caps/>
          <w:color w:val="000000" w:themeColor="text1"/>
        </w:rPr>
        <w:t>УТВЕРЖДено</w:t>
      </w:r>
    </w:p>
    <w:p w:rsidR="00B8578B" w:rsidRPr="004A3F1B" w:rsidRDefault="00B8578B" w:rsidP="00DC5F7C">
      <w:pPr>
        <w:ind w:left="5664"/>
        <w:rPr>
          <w:color w:val="000000" w:themeColor="text1"/>
        </w:rPr>
      </w:pPr>
      <w:r w:rsidRPr="004A3F1B">
        <w:rPr>
          <w:color w:val="000000" w:themeColor="text1"/>
        </w:rPr>
        <w:t>постановлением коллегии контрольно-счетной палаты Волгоградской области</w:t>
      </w:r>
    </w:p>
    <w:p w:rsidR="00B8578B" w:rsidRPr="004A3F1B" w:rsidRDefault="00B8578B" w:rsidP="00DC5F7C">
      <w:pPr>
        <w:ind w:left="4956" w:firstLine="708"/>
        <w:rPr>
          <w:color w:val="000000" w:themeColor="text1"/>
        </w:rPr>
      </w:pPr>
      <w:r w:rsidRPr="00171937">
        <w:rPr>
          <w:color w:val="000000" w:themeColor="text1"/>
        </w:rPr>
        <w:t>от</w:t>
      </w:r>
      <w:r w:rsidR="006B7324" w:rsidRPr="00171937">
        <w:rPr>
          <w:color w:val="000000" w:themeColor="text1"/>
        </w:rPr>
        <w:t xml:space="preserve"> </w:t>
      </w:r>
      <w:r w:rsidR="00171937">
        <w:rPr>
          <w:color w:val="000000" w:themeColor="text1"/>
        </w:rPr>
        <w:t xml:space="preserve"> </w:t>
      </w:r>
      <w:r w:rsidR="006C30FF">
        <w:rPr>
          <w:color w:val="000000" w:themeColor="text1"/>
        </w:rPr>
        <w:t xml:space="preserve">19 </w:t>
      </w:r>
      <w:r w:rsidR="006B7324" w:rsidRPr="00171937">
        <w:rPr>
          <w:color w:val="000000" w:themeColor="text1"/>
        </w:rPr>
        <w:t>апреля</w:t>
      </w:r>
      <w:r w:rsidR="006B7324">
        <w:rPr>
          <w:color w:val="000000" w:themeColor="text1"/>
        </w:rPr>
        <w:t xml:space="preserve"> </w:t>
      </w:r>
      <w:r w:rsidRPr="004A3F1B">
        <w:rPr>
          <w:color w:val="000000" w:themeColor="text1"/>
        </w:rPr>
        <w:t>201</w:t>
      </w:r>
      <w:r w:rsidR="006B7324">
        <w:rPr>
          <w:color w:val="000000" w:themeColor="text1"/>
        </w:rPr>
        <w:t>6</w:t>
      </w:r>
      <w:r w:rsidRPr="004A3F1B">
        <w:rPr>
          <w:color w:val="000000" w:themeColor="text1"/>
        </w:rPr>
        <w:t xml:space="preserve"> года №</w:t>
      </w:r>
      <w:r w:rsidR="000E46DE" w:rsidRPr="004A3F1B">
        <w:rPr>
          <w:color w:val="000000" w:themeColor="text1"/>
        </w:rPr>
        <w:t xml:space="preserve"> </w:t>
      </w:r>
      <w:r w:rsidR="006C30FF">
        <w:rPr>
          <w:color w:val="000000" w:themeColor="text1"/>
        </w:rPr>
        <w:t>9</w:t>
      </w:r>
      <w:r w:rsidR="001F3BE6" w:rsidRPr="004A3F1B">
        <w:rPr>
          <w:color w:val="000000" w:themeColor="text1"/>
        </w:rPr>
        <w:t>/</w:t>
      </w:r>
      <w:r w:rsidR="006C30FF">
        <w:rPr>
          <w:color w:val="000000" w:themeColor="text1"/>
        </w:rPr>
        <w:t>1</w:t>
      </w:r>
    </w:p>
    <w:p w:rsidR="00B8578B" w:rsidRDefault="00B8578B" w:rsidP="00DC5F7C">
      <w:pPr>
        <w:pStyle w:val="af1"/>
        <w:rPr>
          <w:color w:val="000000" w:themeColor="text1"/>
        </w:rPr>
      </w:pPr>
    </w:p>
    <w:p w:rsidR="0053442C" w:rsidRPr="004A3F1B" w:rsidRDefault="0053442C" w:rsidP="00DC5F7C">
      <w:pPr>
        <w:pStyle w:val="af1"/>
        <w:rPr>
          <w:color w:val="000000" w:themeColor="text1"/>
        </w:rPr>
      </w:pPr>
    </w:p>
    <w:p w:rsidR="00B8578B" w:rsidRPr="004A3F1B" w:rsidRDefault="00B8578B" w:rsidP="006B7324">
      <w:pPr>
        <w:pStyle w:val="2"/>
        <w:spacing w:after="0" w:line="240" w:lineRule="auto"/>
        <w:jc w:val="center"/>
        <w:rPr>
          <w:b/>
          <w:bCs/>
          <w:color w:val="000000" w:themeColor="text1"/>
        </w:rPr>
      </w:pPr>
      <w:r w:rsidRPr="004A3F1B">
        <w:rPr>
          <w:b/>
          <w:bCs/>
          <w:color w:val="000000" w:themeColor="text1"/>
        </w:rPr>
        <w:t>ЗАКЛЮЧЕНИЕ</w:t>
      </w:r>
    </w:p>
    <w:p w:rsidR="000E46DE" w:rsidRPr="004A3F1B" w:rsidRDefault="000E46DE" w:rsidP="006B7324">
      <w:pPr>
        <w:jc w:val="center"/>
        <w:rPr>
          <w:b/>
          <w:bCs/>
          <w:iCs/>
          <w:color w:val="000000" w:themeColor="text1"/>
        </w:rPr>
      </w:pPr>
      <w:r w:rsidRPr="004A3F1B">
        <w:rPr>
          <w:b/>
          <w:bCs/>
          <w:iCs/>
          <w:color w:val="000000" w:themeColor="text1"/>
        </w:rPr>
        <w:t>по результатам внешней проверки бюджетной отчетности и</w:t>
      </w:r>
    </w:p>
    <w:p w:rsidR="000E46DE" w:rsidRPr="006B7324" w:rsidRDefault="000E46DE" w:rsidP="006B7324">
      <w:pPr>
        <w:jc w:val="center"/>
        <w:rPr>
          <w:b/>
          <w:bCs/>
          <w:iCs/>
          <w:color w:val="000000" w:themeColor="text1"/>
        </w:rPr>
      </w:pPr>
      <w:r w:rsidRPr="004A3F1B">
        <w:rPr>
          <w:b/>
          <w:bCs/>
          <w:iCs/>
          <w:color w:val="000000" w:themeColor="text1"/>
        </w:rPr>
        <w:t xml:space="preserve">отдельных вопросов </w:t>
      </w:r>
      <w:r w:rsidRPr="006B7324">
        <w:rPr>
          <w:b/>
          <w:bCs/>
          <w:iCs/>
          <w:color w:val="000000" w:themeColor="text1"/>
        </w:rPr>
        <w:t>испол</w:t>
      </w:r>
      <w:r w:rsidR="006B7324" w:rsidRPr="006B7324">
        <w:rPr>
          <w:b/>
          <w:bCs/>
          <w:iCs/>
          <w:color w:val="000000" w:themeColor="text1"/>
        </w:rPr>
        <w:t xml:space="preserve">нения областного бюджета </w:t>
      </w:r>
      <w:r w:rsidR="00BB3647">
        <w:rPr>
          <w:b/>
          <w:bCs/>
          <w:iCs/>
          <w:color w:val="000000" w:themeColor="text1"/>
        </w:rPr>
        <w:t>за 2015 год</w:t>
      </w:r>
    </w:p>
    <w:p w:rsidR="006B7324" w:rsidRPr="00F46BEB" w:rsidRDefault="000E46DE" w:rsidP="00F46BEB">
      <w:pPr>
        <w:pStyle w:val="2"/>
        <w:spacing w:after="0" w:line="240" w:lineRule="auto"/>
        <w:jc w:val="center"/>
        <w:rPr>
          <w:b/>
          <w:bCs/>
          <w:color w:val="000000" w:themeColor="text1"/>
        </w:rPr>
      </w:pPr>
      <w:r w:rsidRPr="006B7324">
        <w:rPr>
          <w:b/>
          <w:color w:val="000000" w:themeColor="text1"/>
        </w:rPr>
        <w:t xml:space="preserve">главным администратором </w:t>
      </w:r>
      <w:r w:rsidRPr="00F46BEB">
        <w:rPr>
          <w:b/>
          <w:bCs/>
          <w:color w:val="000000" w:themeColor="text1"/>
        </w:rPr>
        <w:t xml:space="preserve">бюджетных средств </w:t>
      </w:r>
      <w:r w:rsidR="00A610C9" w:rsidRPr="00F46BEB">
        <w:rPr>
          <w:b/>
          <w:bCs/>
          <w:color w:val="000000" w:themeColor="text1"/>
        </w:rPr>
        <w:t xml:space="preserve">- </w:t>
      </w:r>
    </w:p>
    <w:p w:rsidR="006B7324" w:rsidRPr="00F46BEB" w:rsidRDefault="006B7324" w:rsidP="00F46BEB">
      <w:pPr>
        <w:pStyle w:val="2"/>
        <w:spacing w:after="0" w:line="240" w:lineRule="auto"/>
        <w:jc w:val="center"/>
        <w:rPr>
          <w:b/>
          <w:bCs/>
          <w:color w:val="000000" w:themeColor="text1"/>
        </w:rPr>
      </w:pPr>
      <w:r w:rsidRPr="00F46BEB">
        <w:rPr>
          <w:b/>
          <w:bCs/>
          <w:color w:val="000000" w:themeColor="text1"/>
        </w:rPr>
        <w:t xml:space="preserve"> комитетом строительства Волгоградской области</w:t>
      </w:r>
      <w:r w:rsidR="00F46BEB" w:rsidRPr="00F46BEB">
        <w:rPr>
          <w:b/>
          <w:bCs/>
          <w:color w:val="000000" w:themeColor="text1"/>
        </w:rPr>
        <w:t>, в т.ч. проведение встречных проверок в части реализации подпрограммы «Развитие дошкольного, общего образования и дополнительного образования детей» государственной программы Волгоградской области «Развитие образования» на 2014-2020 годы, утвержденной постановлением Правительства Волгоградско</w:t>
      </w:r>
      <w:r w:rsidR="00F46BEB">
        <w:rPr>
          <w:b/>
          <w:bCs/>
          <w:color w:val="000000" w:themeColor="text1"/>
        </w:rPr>
        <w:t>й области от 25.11.2013 № 668-п</w:t>
      </w:r>
    </w:p>
    <w:p w:rsidR="000E46DE" w:rsidRDefault="000E46DE" w:rsidP="001E7CA7">
      <w:pPr>
        <w:pStyle w:val="2"/>
        <w:spacing w:after="0" w:line="240" w:lineRule="auto"/>
        <w:jc w:val="center"/>
        <w:rPr>
          <w:b/>
          <w:bCs/>
          <w:color w:val="000000" w:themeColor="text1"/>
          <w:highlight w:val="yellow"/>
        </w:rPr>
      </w:pPr>
    </w:p>
    <w:p w:rsidR="00F46BEB" w:rsidRPr="000138A1" w:rsidRDefault="00A610C9" w:rsidP="00F46BEB">
      <w:pPr>
        <w:ind w:firstLine="709"/>
        <w:jc w:val="both"/>
        <w:rPr>
          <w:color w:val="000000" w:themeColor="text1"/>
        </w:rPr>
      </w:pPr>
      <w:r w:rsidRPr="00F46BEB">
        <w:rPr>
          <w:color w:val="000000" w:themeColor="text1"/>
        </w:rPr>
        <w:t>В соответствии с планом работы контрольно-счетной палаты Волгоградской области, утвержденным постановлением коллегии контрольно-счётной палаты Волгоградской области от 29.12.2015 № 34/1, в целях подготовки заключения на годовой отчет об исполнении областного бюджета за 2015 год, с 08.02.2016 по 18.03.2016 проведена внешняя проверка бюджетной отчетности и отдельных вопросов исполнения областного бюджета за 2015 год главным администратором</w:t>
      </w:r>
      <w:r w:rsidR="00305564">
        <w:rPr>
          <w:color w:val="000000" w:themeColor="text1"/>
        </w:rPr>
        <w:t xml:space="preserve"> средств областного бюджета -</w:t>
      </w:r>
      <w:r w:rsidRPr="00F46BEB">
        <w:rPr>
          <w:color w:val="000000" w:themeColor="text1"/>
        </w:rPr>
        <w:t xml:space="preserve"> комитетом строительства Волгоградской области</w:t>
      </w:r>
      <w:r w:rsidR="00305564">
        <w:rPr>
          <w:color w:val="000000" w:themeColor="text1"/>
        </w:rPr>
        <w:t xml:space="preserve">, </w:t>
      </w:r>
      <w:r w:rsidRPr="00F46BEB">
        <w:rPr>
          <w:color w:val="000000" w:themeColor="text1"/>
        </w:rPr>
        <w:t xml:space="preserve">в том числе </w:t>
      </w:r>
      <w:r w:rsidR="00F46BEB" w:rsidRPr="00F46BEB">
        <w:rPr>
          <w:color w:val="000000" w:themeColor="text1"/>
        </w:rPr>
        <w:t>проведен</w:t>
      </w:r>
      <w:r w:rsidR="00F8670F">
        <w:rPr>
          <w:color w:val="000000" w:themeColor="text1"/>
        </w:rPr>
        <w:t>ы</w:t>
      </w:r>
      <w:r w:rsidR="00F46BEB" w:rsidRPr="00F46BEB">
        <w:rPr>
          <w:color w:val="000000" w:themeColor="text1"/>
        </w:rPr>
        <w:t xml:space="preserve"> встречны</w:t>
      </w:r>
      <w:r w:rsidR="00F8670F">
        <w:rPr>
          <w:color w:val="000000" w:themeColor="text1"/>
        </w:rPr>
        <w:t>е</w:t>
      </w:r>
      <w:r w:rsidR="00F46BEB" w:rsidRPr="00F46BEB">
        <w:rPr>
          <w:color w:val="000000" w:themeColor="text1"/>
        </w:rPr>
        <w:t xml:space="preserve"> провер</w:t>
      </w:r>
      <w:r w:rsidR="00F8670F">
        <w:rPr>
          <w:color w:val="000000" w:themeColor="text1"/>
        </w:rPr>
        <w:t>ки</w:t>
      </w:r>
      <w:r w:rsidR="00F46BEB" w:rsidRPr="00F46BEB">
        <w:rPr>
          <w:color w:val="000000" w:themeColor="text1"/>
        </w:rPr>
        <w:t xml:space="preserve"> в части реализации подпрограммы «Развитие дошкольного, общего образования и дополнительного образования детей» государственной программы Волгоградской области «Развитие образования» на 2014-2020 годы, утвержденной постановлением Правительства Волгоградской области от 25.11.</w:t>
      </w:r>
      <w:r w:rsidR="00F8670F">
        <w:rPr>
          <w:color w:val="000000" w:themeColor="text1"/>
        </w:rPr>
        <w:t>2013 № 668-п, в муниципальных образованиях.</w:t>
      </w:r>
    </w:p>
    <w:p w:rsidR="00346718" w:rsidRPr="000138A1" w:rsidRDefault="00902E50" w:rsidP="000138A1">
      <w:pPr>
        <w:ind w:firstLine="709"/>
        <w:jc w:val="both"/>
        <w:rPr>
          <w:color w:val="000000" w:themeColor="text1"/>
        </w:rPr>
      </w:pPr>
      <w:r w:rsidRPr="000138A1">
        <w:rPr>
          <w:color w:val="000000" w:themeColor="text1"/>
        </w:rPr>
        <w:t>Объект</w:t>
      </w:r>
      <w:r w:rsidR="00305564" w:rsidRPr="000138A1">
        <w:rPr>
          <w:color w:val="000000" w:themeColor="text1"/>
        </w:rPr>
        <w:t>ами</w:t>
      </w:r>
      <w:r w:rsidRPr="000138A1">
        <w:rPr>
          <w:color w:val="000000" w:themeColor="text1"/>
        </w:rPr>
        <w:t xml:space="preserve"> проверки</w:t>
      </w:r>
      <w:r w:rsidR="00305564" w:rsidRPr="000138A1">
        <w:rPr>
          <w:color w:val="000000" w:themeColor="text1"/>
        </w:rPr>
        <w:t xml:space="preserve"> являлись:</w:t>
      </w:r>
      <w:r w:rsidRPr="000138A1">
        <w:rPr>
          <w:color w:val="000000" w:themeColor="text1"/>
        </w:rPr>
        <w:t xml:space="preserve"> </w:t>
      </w:r>
      <w:r w:rsidR="00305564" w:rsidRPr="000138A1">
        <w:rPr>
          <w:color w:val="000000" w:themeColor="text1"/>
        </w:rPr>
        <w:t>комитет</w:t>
      </w:r>
      <w:r w:rsidRPr="000138A1">
        <w:rPr>
          <w:color w:val="000000" w:themeColor="text1"/>
        </w:rPr>
        <w:t xml:space="preserve"> строительства Волгоградской области (</w:t>
      </w:r>
      <w:r w:rsidR="00305564" w:rsidRPr="000138A1">
        <w:rPr>
          <w:color w:val="000000" w:themeColor="text1"/>
        </w:rPr>
        <w:t>далее - Облстрой</w:t>
      </w:r>
      <w:r w:rsidR="000138A1">
        <w:rPr>
          <w:color w:val="000000" w:themeColor="text1"/>
        </w:rPr>
        <w:t>);</w:t>
      </w:r>
      <w:r w:rsidR="00305564" w:rsidRPr="000138A1">
        <w:rPr>
          <w:color w:val="000000" w:themeColor="text1"/>
        </w:rPr>
        <w:t xml:space="preserve"> </w:t>
      </w:r>
      <w:r w:rsidR="00CE5C5D" w:rsidRPr="000138A1">
        <w:rPr>
          <w:color w:val="000000" w:themeColor="text1"/>
        </w:rPr>
        <w:t>администраци</w:t>
      </w:r>
      <w:r w:rsidR="000138A1">
        <w:rPr>
          <w:color w:val="000000" w:themeColor="text1"/>
        </w:rPr>
        <w:t>и:</w:t>
      </w:r>
      <w:r w:rsidR="00CE5C5D" w:rsidRPr="000138A1">
        <w:rPr>
          <w:color w:val="000000" w:themeColor="text1"/>
        </w:rPr>
        <w:t xml:space="preserve"> </w:t>
      </w:r>
      <w:r w:rsidR="000138A1">
        <w:rPr>
          <w:color w:val="000000" w:themeColor="text1"/>
        </w:rPr>
        <w:t>городского округа -</w:t>
      </w:r>
      <w:r w:rsidR="000138A1" w:rsidRPr="00AD7681">
        <w:rPr>
          <w:color w:val="000000" w:themeColor="text1"/>
        </w:rPr>
        <w:t xml:space="preserve"> город Фролово</w:t>
      </w:r>
      <w:r w:rsidR="000138A1">
        <w:rPr>
          <w:color w:val="000000" w:themeColor="text1"/>
        </w:rPr>
        <w:t>,</w:t>
      </w:r>
      <w:r w:rsidR="000138A1" w:rsidRPr="00AD7681">
        <w:rPr>
          <w:color w:val="000000" w:themeColor="text1"/>
        </w:rPr>
        <w:t xml:space="preserve"> </w:t>
      </w:r>
      <w:r w:rsidR="00CE5C5D" w:rsidRPr="000138A1">
        <w:rPr>
          <w:color w:val="000000" w:themeColor="text1"/>
        </w:rPr>
        <w:t xml:space="preserve">Быковского </w:t>
      </w:r>
      <w:r w:rsidR="000138A1">
        <w:rPr>
          <w:color w:val="000000" w:themeColor="text1"/>
        </w:rPr>
        <w:t>и</w:t>
      </w:r>
      <w:r w:rsidR="00CE5C5D" w:rsidRPr="000138A1">
        <w:rPr>
          <w:color w:val="000000" w:themeColor="text1"/>
        </w:rPr>
        <w:t xml:space="preserve"> Городищенского муниципальн</w:t>
      </w:r>
      <w:r w:rsidR="000138A1">
        <w:rPr>
          <w:color w:val="000000" w:themeColor="text1"/>
        </w:rPr>
        <w:t>ых районов;</w:t>
      </w:r>
      <w:r w:rsidR="00CE5C5D" w:rsidRPr="000138A1">
        <w:rPr>
          <w:color w:val="000000" w:themeColor="text1"/>
        </w:rPr>
        <w:t xml:space="preserve"> </w:t>
      </w:r>
      <w:r w:rsidR="000138A1" w:rsidRPr="000138A1">
        <w:rPr>
          <w:color w:val="000000" w:themeColor="text1"/>
        </w:rPr>
        <w:t>государственное казенное учреждение Волгоградской области «Управление капитального строительства» (далее ГКУ ВО «УКС»)</w:t>
      </w:r>
      <w:r w:rsidR="000138A1">
        <w:rPr>
          <w:color w:val="000000" w:themeColor="text1"/>
        </w:rPr>
        <w:t xml:space="preserve">, </w:t>
      </w:r>
      <w:r w:rsidR="000138A1" w:rsidRPr="000138A1">
        <w:rPr>
          <w:color w:val="000000" w:themeColor="text1"/>
        </w:rPr>
        <w:t>муниципальное казенное учреждение «Служба единого заказчика-застройщика администрации Волгограда» (</w:t>
      </w:r>
      <w:r w:rsidR="000138A1">
        <w:rPr>
          <w:color w:val="000000" w:themeColor="text1"/>
        </w:rPr>
        <w:t xml:space="preserve">далее - </w:t>
      </w:r>
      <w:r w:rsidR="000138A1" w:rsidRPr="000138A1">
        <w:rPr>
          <w:color w:val="000000" w:themeColor="text1"/>
        </w:rPr>
        <w:t xml:space="preserve">МКУ «Служба заказчика </w:t>
      </w:r>
      <w:r w:rsidR="000138A1">
        <w:rPr>
          <w:color w:val="000000" w:themeColor="text1"/>
        </w:rPr>
        <w:t>-</w:t>
      </w:r>
      <w:r w:rsidR="000138A1" w:rsidRPr="000138A1">
        <w:rPr>
          <w:color w:val="000000" w:themeColor="text1"/>
        </w:rPr>
        <w:t xml:space="preserve"> застройщика Волгограда»</w:t>
      </w:r>
      <w:r w:rsidR="00F8670F">
        <w:rPr>
          <w:color w:val="000000" w:themeColor="text1"/>
        </w:rPr>
        <w:t>)</w:t>
      </w:r>
      <w:r w:rsidR="000138A1" w:rsidRPr="000138A1">
        <w:rPr>
          <w:color w:val="000000" w:themeColor="text1"/>
        </w:rPr>
        <w:t>,</w:t>
      </w:r>
      <w:r w:rsidR="000138A1">
        <w:rPr>
          <w:color w:val="000000" w:themeColor="text1"/>
        </w:rPr>
        <w:t xml:space="preserve"> </w:t>
      </w:r>
      <w:r w:rsidR="00305564" w:rsidRPr="000138A1">
        <w:rPr>
          <w:color w:val="000000" w:themeColor="text1"/>
        </w:rPr>
        <w:t>управление капитального строительства а</w:t>
      </w:r>
      <w:r w:rsidR="00CE5C5D" w:rsidRPr="000138A1">
        <w:rPr>
          <w:color w:val="000000" w:themeColor="text1"/>
        </w:rPr>
        <w:t>дминистрации городского округа -</w:t>
      </w:r>
      <w:r w:rsidR="00305564" w:rsidRPr="000138A1">
        <w:rPr>
          <w:color w:val="000000" w:themeColor="text1"/>
        </w:rPr>
        <w:t> город Волжский Волгоградской области</w:t>
      </w:r>
      <w:r w:rsidR="00346718" w:rsidRPr="000138A1">
        <w:rPr>
          <w:color w:val="000000" w:themeColor="text1"/>
        </w:rPr>
        <w:t xml:space="preserve"> </w:t>
      </w:r>
      <w:r w:rsidR="00CE5C5D" w:rsidRPr="000138A1">
        <w:rPr>
          <w:color w:val="000000" w:themeColor="text1"/>
        </w:rPr>
        <w:t>(далее - УКС г. Волжского), муниципальное казенное учреждение «Управление капитальным строительством и техническим обеспечением деятельности органов местного самоуправления Городищенского муниципального района» (далее МКУ «УКС ТОД»)</w:t>
      </w:r>
      <w:r w:rsidR="000138A1">
        <w:rPr>
          <w:color w:val="000000" w:themeColor="text1"/>
        </w:rPr>
        <w:t>.</w:t>
      </w:r>
      <w:r w:rsidR="00346718" w:rsidRPr="000138A1">
        <w:rPr>
          <w:color w:val="000000" w:themeColor="text1"/>
        </w:rPr>
        <w:t xml:space="preserve"> </w:t>
      </w:r>
    </w:p>
    <w:p w:rsidR="00346718" w:rsidRPr="000138A1" w:rsidRDefault="00346718" w:rsidP="00346718">
      <w:pPr>
        <w:ind w:firstLine="709"/>
        <w:jc w:val="both"/>
        <w:rPr>
          <w:color w:val="000000" w:themeColor="text1"/>
        </w:rPr>
      </w:pPr>
      <w:r w:rsidRPr="000138A1">
        <w:rPr>
          <w:color w:val="000000" w:themeColor="text1"/>
        </w:rPr>
        <w:t xml:space="preserve">По результатам проверки оформлено </w:t>
      </w:r>
      <w:r w:rsidR="000138A1" w:rsidRPr="000138A1">
        <w:rPr>
          <w:color w:val="000000" w:themeColor="text1"/>
        </w:rPr>
        <w:t>8 актов</w:t>
      </w:r>
      <w:r w:rsidRPr="000138A1">
        <w:rPr>
          <w:color w:val="000000" w:themeColor="text1"/>
        </w:rPr>
        <w:t xml:space="preserve">, из </w:t>
      </w:r>
      <w:r w:rsidRPr="00F1502A">
        <w:t xml:space="preserve">них </w:t>
      </w:r>
      <w:r w:rsidR="00207227">
        <w:t>6</w:t>
      </w:r>
      <w:r w:rsidRPr="00F1502A">
        <w:t xml:space="preserve"> акт</w:t>
      </w:r>
      <w:r w:rsidR="00207227">
        <w:t>ов</w:t>
      </w:r>
      <w:r w:rsidRPr="00F1502A">
        <w:t xml:space="preserve"> подписан</w:t>
      </w:r>
      <w:r w:rsidR="00A34A46" w:rsidRPr="00F1502A">
        <w:t>ы</w:t>
      </w:r>
      <w:r w:rsidRPr="000138A1">
        <w:rPr>
          <w:color w:val="000000" w:themeColor="text1"/>
        </w:rPr>
        <w:t xml:space="preserve"> с</w:t>
      </w:r>
      <w:r w:rsidR="00A34A46" w:rsidRPr="000138A1">
        <w:rPr>
          <w:color w:val="000000" w:themeColor="text1"/>
        </w:rPr>
        <w:t xml:space="preserve"> разногласиями</w:t>
      </w:r>
      <w:r w:rsidRPr="000138A1">
        <w:rPr>
          <w:color w:val="000000" w:themeColor="text1"/>
        </w:rPr>
        <w:t>, на которые контрольно-счетной палатой Во</w:t>
      </w:r>
      <w:r w:rsidR="00A34A46" w:rsidRPr="000138A1">
        <w:rPr>
          <w:color w:val="000000" w:themeColor="text1"/>
        </w:rPr>
        <w:t xml:space="preserve">лгоградской области </w:t>
      </w:r>
      <w:r w:rsidR="007D5740">
        <w:rPr>
          <w:color w:val="000000" w:themeColor="text1"/>
        </w:rPr>
        <w:t xml:space="preserve">(далее - КСП) </w:t>
      </w:r>
      <w:r w:rsidR="00A34A46" w:rsidRPr="000138A1">
        <w:rPr>
          <w:color w:val="000000" w:themeColor="text1"/>
        </w:rPr>
        <w:t>подготовлены</w:t>
      </w:r>
      <w:r w:rsidRPr="000138A1">
        <w:rPr>
          <w:color w:val="000000" w:themeColor="text1"/>
        </w:rPr>
        <w:t xml:space="preserve"> за</w:t>
      </w:r>
      <w:r w:rsidR="00A34A46" w:rsidRPr="000138A1">
        <w:rPr>
          <w:color w:val="000000" w:themeColor="text1"/>
        </w:rPr>
        <w:t>ключения</w:t>
      </w:r>
      <w:r w:rsidRPr="000138A1">
        <w:rPr>
          <w:color w:val="000000" w:themeColor="text1"/>
        </w:rPr>
        <w:t>.</w:t>
      </w:r>
    </w:p>
    <w:p w:rsidR="00946468" w:rsidRDefault="00946468" w:rsidP="00946468">
      <w:pPr>
        <w:ind w:firstLine="709"/>
        <w:jc w:val="both"/>
        <w:rPr>
          <w:color w:val="000000" w:themeColor="text1"/>
        </w:rPr>
      </w:pPr>
      <w:r w:rsidRPr="00946468">
        <w:rPr>
          <w:color w:val="000000" w:themeColor="text1"/>
        </w:rPr>
        <w:t>Облстрой</w:t>
      </w:r>
      <w:r w:rsidR="00274C68" w:rsidRPr="00946468">
        <w:rPr>
          <w:color w:val="000000" w:themeColor="text1"/>
        </w:rPr>
        <w:t>,</w:t>
      </w:r>
      <w:r w:rsidR="00B8578B" w:rsidRPr="00946468">
        <w:rPr>
          <w:color w:val="000000" w:themeColor="text1"/>
        </w:rPr>
        <w:t xml:space="preserve"> </w:t>
      </w:r>
      <w:r w:rsidR="004D5FDA" w:rsidRPr="00946468">
        <w:rPr>
          <w:color w:val="000000" w:themeColor="text1"/>
        </w:rPr>
        <w:t>согласно</w:t>
      </w:r>
      <w:r w:rsidR="00B8578B" w:rsidRPr="00946468">
        <w:rPr>
          <w:color w:val="000000" w:themeColor="text1"/>
        </w:rPr>
        <w:t xml:space="preserve"> </w:t>
      </w:r>
      <w:r w:rsidR="004D5FDA" w:rsidRPr="00946468">
        <w:rPr>
          <w:color w:val="000000" w:themeColor="text1"/>
        </w:rPr>
        <w:t>положению</w:t>
      </w:r>
      <w:r w:rsidR="00B30442" w:rsidRPr="00946468">
        <w:rPr>
          <w:color w:val="000000" w:themeColor="text1"/>
        </w:rPr>
        <w:t xml:space="preserve"> о </w:t>
      </w:r>
      <w:r>
        <w:rPr>
          <w:color w:val="000000" w:themeColor="text1"/>
        </w:rPr>
        <w:t>комитете</w:t>
      </w:r>
      <w:r w:rsidR="00B30442" w:rsidRPr="00946468">
        <w:rPr>
          <w:color w:val="000000" w:themeColor="text1"/>
        </w:rPr>
        <w:t xml:space="preserve"> (утв. постановлением Губернатора Волгоградской области </w:t>
      </w:r>
      <w:r w:rsidRPr="00946468">
        <w:rPr>
          <w:color w:val="000000" w:themeColor="text1"/>
        </w:rPr>
        <w:t>от 24.11</w:t>
      </w:r>
      <w:r w:rsidR="0099393A">
        <w:rPr>
          <w:color w:val="000000" w:themeColor="text1"/>
        </w:rPr>
        <w:t>.</w:t>
      </w:r>
      <w:r w:rsidRPr="00946468">
        <w:rPr>
          <w:color w:val="000000" w:themeColor="text1"/>
        </w:rPr>
        <w:t>2014 </w:t>
      </w:r>
      <w:r>
        <w:rPr>
          <w:color w:val="000000" w:themeColor="text1"/>
        </w:rPr>
        <w:t>№</w:t>
      </w:r>
      <w:r w:rsidRPr="00946468">
        <w:rPr>
          <w:color w:val="000000" w:themeColor="text1"/>
        </w:rPr>
        <w:t> 170</w:t>
      </w:r>
      <w:r w:rsidR="00B30442" w:rsidRPr="00946468">
        <w:rPr>
          <w:color w:val="000000" w:themeColor="text1"/>
        </w:rPr>
        <w:t>)</w:t>
      </w:r>
      <w:r w:rsidR="00274C68" w:rsidRPr="00946468">
        <w:rPr>
          <w:color w:val="000000" w:themeColor="text1"/>
        </w:rPr>
        <w:t>,</w:t>
      </w:r>
      <w:r w:rsidR="00B30442" w:rsidRPr="00946468">
        <w:rPr>
          <w:color w:val="000000" w:themeColor="text1"/>
        </w:rPr>
        <w:t xml:space="preserve"> является органом исполнительной власти Волгоградской области, уполномоченным в </w:t>
      </w:r>
      <w:r w:rsidRPr="00946468">
        <w:rPr>
          <w:color w:val="000000" w:themeColor="text1"/>
        </w:rPr>
        <w:t>сферах строительства, обеспечения жилыми помещениями отдельных категорий граждан, градостроительной деятельности и архитектуры на территории Волгоградской области.</w:t>
      </w:r>
    </w:p>
    <w:p w:rsidR="0099393A" w:rsidRPr="0099393A" w:rsidRDefault="0099393A" w:rsidP="0099393A">
      <w:pPr>
        <w:ind w:firstLine="709"/>
        <w:jc w:val="both"/>
        <w:rPr>
          <w:color w:val="000000" w:themeColor="text1"/>
        </w:rPr>
      </w:pPr>
      <w:r w:rsidRPr="0099393A">
        <w:rPr>
          <w:color w:val="000000" w:themeColor="text1"/>
        </w:rPr>
        <w:t>На 01.01.2016 списочная численность работников комитета составляет 85 человек, в том числе государственную должность занимает 1 человек, госуда</w:t>
      </w:r>
      <w:r>
        <w:rPr>
          <w:color w:val="000000" w:themeColor="text1"/>
        </w:rPr>
        <w:t>рственные гражданские служащие -</w:t>
      </w:r>
      <w:r w:rsidRPr="0099393A">
        <w:rPr>
          <w:color w:val="000000" w:themeColor="text1"/>
        </w:rPr>
        <w:t xml:space="preserve"> 73 человека (1 вакансия), работники, осуществляющие техническое обеспечение </w:t>
      </w:r>
      <w:r>
        <w:rPr>
          <w:color w:val="000000" w:themeColor="text1"/>
        </w:rPr>
        <w:t>-</w:t>
      </w:r>
      <w:r w:rsidRPr="0099393A">
        <w:rPr>
          <w:color w:val="000000" w:themeColor="text1"/>
        </w:rPr>
        <w:t xml:space="preserve"> 11 человек.</w:t>
      </w:r>
    </w:p>
    <w:p w:rsidR="0099393A" w:rsidRDefault="0099393A" w:rsidP="00946468">
      <w:pPr>
        <w:ind w:firstLine="709"/>
        <w:jc w:val="both"/>
        <w:rPr>
          <w:color w:val="000000" w:themeColor="text1"/>
        </w:rPr>
      </w:pPr>
    </w:p>
    <w:p w:rsidR="00AD65B8" w:rsidRPr="00AD65B8" w:rsidRDefault="00140A94" w:rsidP="00AD65B8">
      <w:pPr>
        <w:ind w:firstLine="709"/>
        <w:jc w:val="both"/>
        <w:rPr>
          <w:color w:val="000000" w:themeColor="text1"/>
        </w:rPr>
      </w:pPr>
      <w:r w:rsidRPr="00AD65B8">
        <w:rPr>
          <w:color w:val="000000" w:themeColor="text1"/>
        </w:rPr>
        <w:t xml:space="preserve">Предельная штатная численность государственных гражданских служащих Волгоградской области (далее - ГГС) </w:t>
      </w:r>
      <w:r w:rsidR="0099393A" w:rsidRPr="00AD65B8">
        <w:rPr>
          <w:color w:val="000000" w:themeColor="text1"/>
        </w:rPr>
        <w:t>п</w:t>
      </w:r>
      <w:r w:rsidRPr="00AD65B8">
        <w:rPr>
          <w:color w:val="000000" w:themeColor="text1"/>
        </w:rPr>
        <w:t xml:space="preserve">о отношению к 2014 году увеличилась на 15 единиц, </w:t>
      </w:r>
      <w:r w:rsidRPr="00AD65B8">
        <w:rPr>
          <w:color w:val="000000" w:themeColor="text1"/>
        </w:rPr>
        <w:lastRenderedPageBreak/>
        <w:t xml:space="preserve">или </w:t>
      </w:r>
      <w:r w:rsidR="00965CC9">
        <w:rPr>
          <w:color w:val="000000" w:themeColor="text1"/>
        </w:rPr>
        <w:t xml:space="preserve">на </w:t>
      </w:r>
      <w:r w:rsidRPr="00AD65B8">
        <w:rPr>
          <w:color w:val="000000" w:themeColor="text1"/>
        </w:rPr>
        <w:t>25,9</w:t>
      </w:r>
      <w:r w:rsidR="00965CC9">
        <w:rPr>
          <w:color w:val="000000" w:themeColor="text1"/>
        </w:rPr>
        <w:t>%, т</w:t>
      </w:r>
      <w:r w:rsidR="00AD65B8">
        <w:rPr>
          <w:color w:val="000000" w:themeColor="text1"/>
        </w:rPr>
        <w:t xml:space="preserve">ак как </w:t>
      </w:r>
      <w:r w:rsidR="00AD65B8">
        <w:t xml:space="preserve">постановлением Губернатора Волгоградской области от 22.06.2015 № 560 «О внесении изменений в постановление Губернатора Волгоградской области от 24.11.2014 № 170 «Об утверждении Положения о комитете строительства Волгоградской области» </w:t>
      </w:r>
      <w:r w:rsidR="00AD65B8" w:rsidRPr="00AD65B8">
        <w:rPr>
          <w:color w:val="000000" w:themeColor="text1"/>
        </w:rPr>
        <w:t xml:space="preserve">комитету </w:t>
      </w:r>
      <w:r w:rsidR="00AD65B8">
        <w:rPr>
          <w:color w:val="000000" w:themeColor="text1"/>
        </w:rPr>
        <w:t xml:space="preserve">переданы </w:t>
      </w:r>
      <w:r w:rsidR="00AD65B8" w:rsidRPr="00AD65B8">
        <w:rPr>
          <w:color w:val="000000" w:themeColor="text1"/>
        </w:rPr>
        <w:t>полномочи</w:t>
      </w:r>
      <w:r w:rsidR="00AD65B8">
        <w:rPr>
          <w:color w:val="000000" w:themeColor="text1"/>
        </w:rPr>
        <w:t>я в сфере</w:t>
      </w:r>
      <w:r w:rsidR="00AD65B8" w:rsidRPr="00AD65B8">
        <w:rPr>
          <w:color w:val="000000" w:themeColor="text1"/>
        </w:rPr>
        <w:t xml:space="preserve"> </w:t>
      </w:r>
      <w:bookmarkStart w:id="0" w:name="sub_21214"/>
      <w:r w:rsidR="00AD65B8" w:rsidRPr="00AD65B8">
        <w:rPr>
          <w:color w:val="000000" w:themeColor="text1"/>
        </w:rPr>
        <w:t>переселени</w:t>
      </w:r>
      <w:r w:rsidR="00AD65B8">
        <w:rPr>
          <w:color w:val="000000" w:themeColor="text1"/>
        </w:rPr>
        <w:t>я</w:t>
      </w:r>
      <w:r w:rsidR="00AD65B8" w:rsidRPr="00AD65B8">
        <w:rPr>
          <w:color w:val="000000" w:themeColor="text1"/>
        </w:rPr>
        <w:t xml:space="preserve"> граждан из аварийного жилищного фонда и </w:t>
      </w:r>
      <w:bookmarkEnd w:id="0"/>
      <w:r w:rsidR="00AD65B8" w:rsidRPr="00AD65B8">
        <w:rPr>
          <w:color w:val="000000" w:themeColor="text1"/>
        </w:rPr>
        <w:t>осуществлени</w:t>
      </w:r>
      <w:r w:rsidR="00AD65B8">
        <w:rPr>
          <w:color w:val="000000" w:themeColor="text1"/>
        </w:rPr>
        <w:t>я</w:t>
      </w:r>
      <w:r w:rsidR="00AD65B8" w:rsidRPr="00AD65B8">
        <w:rPr>
          <w:color w:val="000000" w:themeColor="text1"/>
        </w:rPr>
        <w:t xml:space="preserve"> взаимодействия с государственной корпорацией - Фондом содействия реформированию жилищно-коммунального хозяйства</w:t>
      </w:r>
      <w:r w:rsidR="00AD65B8">
        <w:t>.</w:t>
      </w:r>
    </w:p>
    <w:p w:rsidR="00140A94" w:rsidRPr="00F30FD4" w:rsidRDefault="00AD65B8" w:rsidP="00140A94">
      <w:pPr>
        <w:ind w:firstLine="709"/>
        <w:jc w:val="both"/>
      </w:pPr>
      <w:r w:rsidRPr="00F30FD4">
        <w:rPr>
          <w:color w:val="000000" w:themeColor="text1"/>
        </w:rPr>
        <w:t xml:space="preserve">В </w:t>
      </w:r>
      <w:r w:rsidR="00965CC9">
        <w:rPr>
          <w:color w:val="000000" w:themeColor="text1"/>
        </w:rPr>
        <w:t>э</w:t>
      </w:r>
      <w:r w:rsidRPr="00F30FD4">
        <w:rPr>
          <w:color w:val="000000" w:themeColor="text1"/>
        </w:rPr>
        <w:t>той</w:t>
      </w:r>
      <w:r w:rsidR="00140A94" w:rsidRPr="00F30FD4">
        <w:rPr>
          <w:color w:val="000000" w:themeColor="text1"/>
        </w:rPr>
        <w:t xml:space="preserve"> связи</w:t>
      </w:r>
      <w:r w:rsidRPr="00F30FD4">
        <w:rPr>
          <w:color w:val="000000" w:themeColor="text1"/>
        </w:rPr>
        <w:t xml:space="preserve"> в </w:t>
      </w:r>
      <w:r w:rsidR="00140A94" w:rsidRPr="00F30FD4">
        <w:rPr>
          <w:color w:val="000000" w:themeColor="text1"/>
        </w:rPr>
        <w:t>структур</w:t>
      </w:r>
      <w:r w:rsidRPr="00F30FD4">
        <w:rPr>
          <w:color w:val="000000" w:themeColor="text1"/>
        </w:rPr>
        <w:t>е</w:t>
      </w:r>
      <w:r w:rsidR="00140A94" w:rsidRPr="00F30FD4">
        <w:rPr>
          <w:color w:val="000000" w:themeColor="text1"/>
        </w:rPr>
        <w:t xml:space="preserve"> </w:t>
      </w:r>
      <w:r w:rsidR="00142DD9">
        <w:rPr>
          <w:color w:val="000000" w:themeColor="text1"/>
        </w:rPr>
        <w:t>Облстроя</w:t>
      </w:r>
      <w:r w:rsidRPr="00F30FD4">
        <w:rPr>
          <w:color w:val="000000" w:themeColor="text1"/>
        </w:rPr>
        <w:t xml:space="preserve"> </w:t>
      </w:r>
      <w:r w:rsidR="00140A94" w:rsidRPr="00F30FD4">
        <w:rPr>
          <w:color w:val="000000" w:themeColor="text1"/>
        </w:rPr>
        <w:t>создан</w:t>
      </w:r>
      <w:r w:rsidRPr="00F30FD4">
        <w:rPr>
          <w:color w:val="000000" w:themeColor="text1"/>
        </w:rPr>
        <w:t xml:space="preserve">ы </w:t>
      </w:r>
      <w:r w:rsidR="00140A94" w:rsidRPr="00F30FD4">
        <w:rPr>
          <w:color w:val="000000" w:themeColor="text1"/>
        </w:rPr>
        <w:t>2 новых отдел</w:t>
      </w:r>
      <w:r w:rsidRPr="00F30FD4">
        <w:rPr>
          <w:color w:val="000000" w:themeColor="text1"/>
        </w:rPr>
        <w:t>а (</w:t>
      </w:r>
      <w:r w:rsidR="00140A94" w:rsidRPr="00F30FD4">
        <w:rPr>
          <w:color w:val="000000" w:themeColor="text1"/>
        </w:rPr>
        <w:t>отдел по переселению граждан из</w:t>
      </w:r>
      <w:r w:rsidRPr="00F30FD4">
        <w:rPr>
          <w:color w:val="000000" w:themeColor="text1"/>
        </w:rPr>
        <w:t xml:space="preserve"> аварийного жилищного фонда</w:t>
      </w:r>
      <w:r w:rsidR="00F30FD4" w:rsidRPr="00F30FD4">
        <w:rPr>
          <w:color w:val="000000" w:themeColor="text1"/>
        </w:rPr>
        <w:t xml:space="preserve"> (5 человек),</w:t>
      </w:r>
      <w:r w:rsidRPr="00F30FD4">
        <w:rPr>
          <w:color w:val="000000" w:themeColor="text1"/>
        </w:rPr>
        <w:t xml:space="preserve"> отдел архитектуры (5 человек</w:t>
      </w:r>
      <w:r w:rsidR="00140A94" w:rsidRPr="00F30FD4">
        <w:rPr>
          <w:color w:val="000000" w:themeColor="text1"/>
        </w:rPr>
        <w:t>)</w:t>
      </w:r>
      <w:r w:rsidR="00F30FD4" w:rsidRPr="00F30FD4">
        <w:rPr>
          <w:color w:val="000000" w:themeColor="text1"/>
        </w:rPr>
        <w:t>)</w:t>
      </w:r>
      <w:r w:rsidR="00FA45DC">
        <w:rPr>
          <w:color w:val="000000" w:themeColor="text1"/>
        </w:rPr>
        <w:t>,</w:t>
      </w:r>
      <w:r w:rsidR="00140A94" w:rsidRPr="00F30FD4">
        <w:rPr>
          <w:color w:val="000000" w:themeColor="text1"/>
        </w:rPr>
        <w:t xml:space="preserve"> и отдел правового</w:t>
      </w:r>
      <w:r w:rsidR="00F30FD4" w:rsidRPr="00F30FD4">
        <w:rPr>
          <w:color w:val="000000" w:themeColor="text1"/>
        </w:rPr>
        <w:t xml:space="preserve"> и кадрового обеспечения (7 человек</w:t>
      </w:r>
      <w:r w:rsidR="00140A94" w:rsidRPr="00F30FD4">
        <w:rPr>
          <w:color w:val="000000" w:themeColor="text1"/>
        </w:rPr>
        <w:t xml:space="preserve">) </w:t>
      </w:r>
      <w:r w:rsidR="00F30FD4" w:rsidRPr="00F30FD4">
        <w:rPr>
          <w:color w:val="000000" w:themeColor="text1"/>
        </w:rPr>
        <w:t xml:space="preserve">реорганизован </w:t>
      </w:r>
      <w:r w:rsidR="00140A94" w:rsidRPr="00F30FD4">
        <w:rPr>
          <w:color w:val="000000" w:themeColor="text1"/>
        </w:rPr>
        <w:t xml:space="preserve">в правовое управление (12 </w:t>
      </w:r>
      <w:r w:rsidR="00140A94" w:rsidRPr="00F30FD4">
        <w:t xml:space="preserve">человек). </w:t>
      </w:r>
    </w:p>
    <w:p w:rsidR="00946468" w:rsidRPr="00F30FD4" w:rsidRDefault="00F30FD4" w:rsidP="00F30FD4">
      <w:pPr>
        <w:ind w:firstLine="709"/>
        <w:jc w:val="both"/>
      </w:pPr>
      <w:r w:rsidRPr="00F30FD4">
        <w:t>Н</w:t>
      </w:r>
      <w:r w:rsidR="00946468" w:rsidRPr="00F30FD4">
        <w:t xml:space="preserve">а 01.01.2015 в ведении Облстроя находились три учреждения: ГКУ ВО «УКС», ГАУ ВО «Облгосэкспертиза» и </w:t>
      </w:r>
      <w:r w:rsidRPr="00F30FD4">
        <w:t>ГАУ ВО «РЦЦС ВО»</w:t>
      </w:r>
      <w:r w:rsidR="00946468" w:rsidRPr="00F30FD4">
        <w:t>. В связи с реорганизацией казенного предприятия Волгоградской области «Волгоградское областное архитектурно - планировочное бюро» в государственное бюджетное учреждение (далее - ГБУ ВО «ВОАПБ»)</w:t>
      </w:r>
      <w:r w:rsidR="00FA45DC">
        <w:t>,</w:t>
      </w:r>
      <w:r w:rsidR="00946468" w:rsidRPr="00F30FD4">
        <w:t xml:space="preserve"> учредителем которого является комитет (постановление Администрации Волгоградской области от 23.01.2015 №30-п), количество подведомственных учреждений на 01.01.2016 возросло до четырех.</w:t>
      </w:r>
    </w:p>
    <w:p w:rsidR="004D5FDA" w:rsidRPr="006B7324" w:rsidRDefault="004D5FDA" w:rsidP="004D5FDA">
      <w:pPr>
        <w:ind w:firstLine="709"/>
        <w:jc w:val="both"/>
        <w:rPr>
          <w:color w:val="000000" w:themeColor="text1"/>
          <w:highlight w:val="yellow"/>
          <w:lang w:eastAsia="en-US"/>
        </w:rPr>
      </w:pPr>
    </w:p>
    <w:p w:rsidR="00B8578B" w:rsidRPr="007D5740" w:rsidRDefault="00225C69" w:rsidP="00C05F42">
      <w:pPr>
        <w:jc w:val="center"/>
        <w:rPr>
          <w:b/>
          <w:bCs/>
          <w:i/>
          <w:iCs/>
          <w:color w:val="000000" w:themeColor="text1"/>
        </w:rPr>
      </w:pPr>
      <w:r w:rsidRPr="007D5740">
        <w:rPr>
          <w:b/>
          <w:bCs/>
          <w:i/>
          <w:iCs/>
          <w:color w:val="000000" w:themeColor="text1"/>
        </w:rPr>
        <w:t>Сводная б</w:t>
      </w:r>
      <w:r w:rsidR="00B8578B" w:rsidRPr="007D5740">
        <w:rPr>
          <w:b/>
          <w:bCs/>
          <w:i/>
          <w:iCs/>
          <w:color w:val="000000" w:themeColor="text1"/>
        </w:rPr>
        <w:t>юджетная отчетность</w:t>
      </w:r>
    </w:p>
    <w:p w:rsidR="00CF6C3E" w:rsidRDefault="00CF6C3E" w:rsidP="00CF6C3E">
      <w:pPr>
        <w:ind w:firstLine="709"/>
        <w:jc w:val="both"/>
        <w:rPr>
          <w:color w:val="000000" w:themeColor="text1"/>
        </w:rPr>
      </w:pPr>
      <w:r w:rsidRPr="00CF6C3E">
        <w:rPr>
          <w:color w:val="000000" w:themeColor="text1"/>
        </w:rPr>
        <w:t xml:space="preserve">Сводная бюджетная отчетность </w:t>
      </w:r>
      <w:r w:rsidR="00D86268">
        <w:rPr>
          <w:color w:val="000000" w:themeColor="text1"/>
        </w:rPr>
        <w:t>Облстроя</w:t>
      </w:r>
      <w:r w:rsidRPr="00CF6C3E">
        <w:rPr>
          <w:color w:val="000000" w:themeColor="text1"/>
        </w:rPr>
        <w:t xml:space="preserve"> за 2015 год представлена к проверке в составе, определенном ст. 264.1 БК РФ и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w:t>
      </w:r>
      <w:r w:rsidR="00BD1D7B">
        <w:rPr>
          <w:color w:val="000000" w:themeColor="text1"/>
        </w:rPr>
        <w:t>РФ от 28.12.2010 № 191н (далее -</w:t>
      </w:r>
      <w:r w:rsidRPr="00CF6C3E">
        <w:rPr>
          <w:color w:val="000000" w:themeColor="text1"/>
        </w:rPr>
        <w:t xml:space="preserve"> Инструкция № 191н).</w:t>
      </w:r>
    </w:p>
    <w:p w:rsidR="00BD274C" w:rsidRPr="00BD274C" w:rsidRDefault="00BD274C" w:rsidP="00BD274C">
      <w:pPr>
        <w:ind w:firstLine="709"/>
        <w:jc w:val="both"/>
        <w:rPr>
          <w:color w:val="000000" w:themeColor="text1"/>
        </w:rPr>
      </w:pPr>
      <w:r w:rsidRPr="00BD274C">
        <w:rPr>
          <w:color w:val="000000" w:themeColor="text1"/>
        </w:rPr>
        <w:t xml:space="preserve">Согласно п.1 ст.13 Федерального закона от 06.12.2011 № 402-ФЗ «О бухгалтерском учете»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необходимое пользователям этой отчетности для принятия экономических решений. </w:t>
      </w:r>
    </w:p>
    <w:p w:rsidR="00BD274C" w:rsidRPr="00466A1D" w:rsidRDefault="00D759DA" w:rsidP="00BD274C">
      <w:pPr>
        <w:ind w:firstLine="709"/>
        <w:jc w:val="both"/>
      </w:pPr>
      <w:r w:rsidRPr="00A47D4F">
        <w:t xml:space="preserve">В ходе проверки </w:t>
      </w:r>
      <w:r>
        <w:t xml:space="preserve">установлено, </w:t>
      </w:r>
      <w:r w:rsidRPr="00D759DA">
        <w:t>что п</w:t>
      </w:r>
      <w:r w:rsidR="007D3A61" w:rsidRPr="00D759DA">
        <w:t xml:space="preserve">редставленная </w:t>
      </w:r>
      <w:r w:rsidRPr="00D759DA">
        <w:rPr>
          <w:color w:val="000000" w:themeColor="text1"/>
        </w:rPr>
        <w:t xml:space="preserve">сводная бюджетная отчетность Облстроя, а также бюджетная отчётность </w:t>
      </w:r>
      <w:r w:rsidRPr="00BD274C">
        <w:rPr>
          <w:color w:val="000000" w:themeColor="text1"/>
        </w:rPr>
        <w:t xml:space="preserve">подведомственного учреждения ГКУ ВО «УКС» </w:t>
      </w:r>
      <w:r w:rsidR="007D3A61" w:rsidRPr="00BD274C">
        <w:t>не отвеч</w:t>
      </w:r>
      <w:r w:rsidR="00BD274C" w:rsidRPr="00BD274C">
        <w:t>аю</w:t>
      </w:r>
      <w:r w:rsidR="007D3A61" w:rsidRPr="00BD274C">
        <w:t xml:space="preserve">т </w:t>
      </w:r>
      <w:r w:rsidR="00BD274C" w:rsidRPr="00BD274C">
        <w:t xml:space="preserve">вышеуказанным </w:t>
      </w:r>
      <w:r w:rsidR="007D3A61" w:rsidRPr="00BD274C">
        <w:t>требовани</w:t>
      </w:r>
      <w:r w:rsidR="00BD274C" w:rsidRPr="00BD274C">
        <w:t>ям</w:t>
      </w:r>
      <w:r w:rsidR="007D3A61" w:rsidRPr="00BD274C">
        <w:t xml:space="preserve">, </w:t>
      </w:r>
      <w:r w:rsidR="00BD274C" w:rsidRPr="00BD274C">
        <w:t>так как содерж</w:t>
      </w:r>
      <w:r w:rsidR="00744B7D">
        <w:t>и</w:t>
      </w:r>
      <w:r w:rsidR="00BD274C" w:rsidRPr="00BD274C">
        <w:t xml:space="preserve">т недостоверные </w:t>
      </w:r>
      <w:r w:rsidR="00CF6C3E" w:rsidRPr="00466A1D">
        <w:t>показател</w:t>
      </w:r>
      <w:r w:rsidR="00BD274C" w:rsidRPr="00466A1D">
        <w:t>и</w:t>
      </w:r>
      <w:r w:rsidR="00A54337" w:rsidRPr="00466A1D">
        <w:t>.</w:t>
      </w:r>
      <w:r w:rsidR="00EE23F8" w:rsidRPr="00466A1D">
        <w:t xml:space="preserve"> </w:t>
      </w:r>
      <w:r w:rsidR="00753BAB" w:rsidRPr="00466A1D">
        <w:t xml:space="preserve">Так, в </w:t>
      </w:r>
      <w:r w:rsidR="00BD274C" w:rsidRPr="00466A1D">
        <w:t>Сведениях о движении нефинансовых активов (</w:t>
      </w:r>
      <w:hyperlink w:anchor="sub_503168" w:history="1">
        <w:r w:rsidR="00BD274C" w:rsidRPr="00466A1D">
          <w:t>ф. 0503168</w:t>
        </w:r>
      </w:hyperlink>
      <w:r w:rsidR="00BD274C" w:rsidRPr="00466A1D">
        <w:t>) по строке 460 в графе 7 «Наличие на конец года» данные о стоимости имущества, полученного в пользование</w:t>
      </w:r>
      <w:r w:rsidR="00A54337" w:rsidRPr="00466A1D">
        <w:t>, искажены на 29690,7тыс. рублей</w:t>
      </w:r>
      <w:r w:rsidR="00BD274C" w:rsidRPr="00466A1D">
        <w:t xml:space="preserve">. </w:t>
      </w:r>
    </w:p>
    <w:p w:rsidR="00507AAB" w:rsidRPr="00466A1D" w:rsidRDefault="00507AAB" w:rsidP="00507AAB">
      <w:pPr>
        <w:ind w:firstLine="709"/>
        <w:jc w:val="both"/>
      </w:pPr>
      <w:r w:rsidRPr="00466A1D">
        <w:t xml:space="preserve">Искажение бюджетной отчётности является следствием неправомерного отражения в регистрах бухгалтерского учета ГКУ ВО «УКС» увеличения стоимости земельных участков, полученных в пользование, что указывает на нарушение </w:t>
      </w:r>
      <w:hyperlink r:id="rId8" w:history="1">
        <w:r w:rsidRPr="00466A1D">
          <w:t>п. п. 32</w:t>
        </w:r>
      </w:hyperlink>
      <w:r w:rsidRPr="00466A1D">
        <w:t xml:space="preserve">, </w:t>
      </w:r>
      <w:hyperlink r:id="rId9" w:history="1">
        <w:r w:rsidRPr="00466A1D">
          <w:t>333</w:t>
        </w:r>
      </w:hyperlink>
      <w:r w:rsidRPr="00466A1D">
        <w:t xml:space="preserve">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01.02.2010 № 157н). </w:t>
      </w:r>
    </w:p>
    <w:p w:rsidR="00507AAB" w:rsidRDefault="00507AAB" w:rsidP="00507AAB">
      <w:pPr>
        <w:tabs>
          <w:tab w:val="left" w:pos="1276"/>
        </w:tabs>
        <w:jc w:val="both"/>
        <w:rPr>
          <w:color w:val="0070C0"/>
        </w:rPr>
      </w:pPr>
    </w:p>
    <w:p w:rsidR="00B630FF" w:rsidRPr="003121AE" w:rsidRDefault="00B630FF" w:rsidP="00B630FF">
      <w:pPr>
        <w:jc w:val="center"/>
        <w:rPr>
          <w:b/>
          <w:bCs/>
          <w:i/>
        </w:rPr>
      </w:pPr>
      <w:r w:rsidRPr="003121AE">
        <w:rPr>
          <w:b/>
          <w:bCs/>
          <w:i/>
        </w:rPr>
        <w:t>Описание основных показателей отчетности</w:t>
      </w:r>
    </w:p>
    <w:p w:rsidR="00B630FF" w:rsidRPr="0065439F" w:rsidRDefault="00B630FF" w:rsidP="0065439F">
      <w:pPr>
        <w:ind w:firstLine="709"/>
        <w:jc w:val="both"/>
        <w:rPr>
          <w:color w:val="000000" w:themeColor="text1"/>
        </w:rPr>
      </w:pPr>
      <w:r w:rsidRPr="0065439F">
        <w:rPr>
          <w:color w:val="000000" w:themeColor="text1"/>
        </w:rPr>
        <w:t>Анализ сводной бюджетной отчетности показал, что комитет имеет следующие обобщенные финансовые показатели деятельности.</w:t>
      </w:r>
    </w:p>
    <w:p w:rsidR="00B630FF" w:rsidRPr="0065439F" w:rsidRDefault="00B630FF" w:rsidP="0065439F">
      <w:pPr>
        <w:ind w:firstLine="709"/>
        <w:jc w:val="both"/>
        <w:rPr>
          <w:color w:val="000000" w:themeColor="text1"/>
        </w:rPr>
      </w:pPr>
      <w:r w:rsidRPr="0065439F">
        <w:rPr>
          <w:color w:val="000000" w:themeColor="text1"/>
        </w:rPr>
        <w:t>Согласно сводному балансу комитета (ф. 0503130) по состоянию на 01.01.2016:</w:t>
      </w:r>
    </w:p>
    <w:p w:rsidR="0065439F" w:rsidRPr="0065439F" w:rsidRDefault="00B630FF" w:rsidP="0065439F">
      <w:pPr>
        <w:ind w:firstLine="709"/>
        <w:jc w:val="both"/>
        <w:rPr>
          <w:color w:val="000000" w:themeColor="text1"/>
        </w:rPr>
      </w:pPr>
      <w:r w:rsidRPr="0065439F">
        <w:rPr>
          <w:color w:val="000000" w:themeColor="text1"/>
          <w:u w:val="single"/>
        </w:rPr>
        <w:t>-нефинансовые активы</w:t>
      </w:r>
      <w:r w:rsidRPr="0065439F">
        <w:rPr>
          <w:color w:val="000000" w:themeColor="text1"/>
        </w:rPr>
        <w:t xml:space="preserve"> составляют 1408694,3 тыс. руб.</w:t>
      </w:r>
      <w:r w:rsidR="00D96CFC">
        <w:rPr>
          <w:color w:val="000000" w:themeColor="text1"/>
        </w:rPr>
        <w:t xml:space="preserve"> </w:t>
      </w:r>
      <w:r w:rsidR="00836DEA">
        <w:rPr>
          <w:color w:val="000000" w:themeColor="text1"/>
        </w:rPr>
        <w:t xml:space="preserve">- уменьшились за отчетный год </w:t>
      </w:r>
      <w:r w:rsidRPr="0065439F">
        <w:rPr>
          <w:color w:val="000000" w:themeColor="text1"/>
        </w:rPr>
        <w:t xml:space="preserve">на 32362,4 тыс. руб., или на 2,2%, </w:t>
      </w:r>
      <w:r w:rsidR="0065439F" w:rsidRPr="0065439F">
        <w:rPr>
          <w:color w:val="000000" w:themeColor="text1"/>
        </w:rPr>
        <w:t>ввиду прекращения права пользования земельными участками ГКУ ВО «УКС»</w:t>
      </w:r>
      <w:r w:rsidR="0065439F">
        <w:rPr>
          <w:color w:val="000000" w:themeColor="text1"/>
        </w:rPr>
        <w:t xml:space="preserve"> </w:t>
      </w:r>
      <w:r w:rsidR="0065439F" w:rsidRPr="0065439F">
        <w:rPr>
          <w:color w:val="000000" w:themeColor="text1"/>
        </w:rPr>
        <w:t>(-185968,9 тыс. руб.</w:t>
      </w:r>
      <w:r w:rsidR="0065439F">
        <w:rPr>
          <w:color w:val="000000" w:themeColor="text1"/>
        </w:rPr>
        <w:t xml:space="preserve">), при этом </w:t>
      </w:r>
      <w:r w:rsidR="0065439F" w:rsidRPr="0065439F">
        <w:rPr>
          <w:color w:val="000000" w:themeColor="text1"/>
        </w:rPr>
        <w:t>рост</w:t>
      </w:r>
      <w:r w:rsidR="0065439F">
        <w:rPr>
          <w:color w:val="000000" w:themeColor="text1"/>
        </w:rPr>
        <w:t xml:space="preserve"> </w:t>
      </w:r>
      <w:r w:rsidR="00836DEA" w:rsidRPr="00836DEA">
        <w:rPr>
          <w:color w:val="000000" w:themeColor="text1"/>
        </w:rPr>
        <w:t xml:space="preserve">составил </w:t>
      </w:r>
      <w:r w:rsidR="00836DEA">
        <w:rPr>
          <w:color w:val="000000" w:themeColor="text1"/>
        </w:rPr>
        <w:t>-</w:t>
      </w:r>
      <w:r w:rsidR="00836DEA" w:rsidRPr="00836DEA">
        <w:rPr>
          <w:color w:val="000000" w:themeColor="text1"/>
        </w:rPr>
        <w:t xml:space="preserve"> 153606,5 тыс. руб., из них </w:t>
      </w:r>
      <w:r w:rsidR="0065439F" w:rsidRPr="0065439F">
        <w:rPr>
          <w:color w:val="000000" w:themeColor="text1"/>
        </w:rPr>
        <w:t>приобретени</w:t>
      </w:r>
      <w:r w:rsidR="00836DEA">
        <w:rPr>
          <w:color w:val="000000" w:themeColor="text1"/>
        </w:rPr>
        <w:t>е</w:t>
      </w:r>
      <w:r w:rsidR="0065439F" w:rsidRPr="0065439F">
        <w:rPr>
          <w:color w:val="000000" w:themeColor="text1"/>
        </w:rPr>
        <w:t xml:space="preserve"> жилых помещений</w:t>
      </w:r>
      <w:r w:rsidR="00836DEA">
        <w:rPr>
          <w:color w:val="000000" w:themeColor="text1"/>
        </w:rPr>
        <w:t>,</w:t>
      </w:r>
      <w:r w:rsidR="0065439F" w:rsidRPr="0065439F">
        <w:rPr>
          <w:color w:val="000000" w:themeColor="text1"/>
        </w:rPr>
        <w:t xml:space="preserve"> учтенных в балансе ГКУ ВО «УКС»</w:t>
      </w:r>
      <w:r w:rsidR="00F01758">
        <w:rPr>
          <w:color w:val="000000" w:themeColor="text1"/>
        </w:rPr>
        <w:t>,</w:t>
      </w:r>
      <w:r w:rsidR="0065439F">
        <w:rPr>
          <w:color w:val="000000" w:themeColor="text1"/>
        </w:rPr>
        <w:t xml:space="preserve"> </w:t>
      </w:r>
      <w:r w:rsidR="00836DEA">
        <w:rPr>
          <w:color w:val="000000" w:themeColor="text1"/>
        </w:rPr>
        <w:t>- 146271,6 тыс. руб</w:t>
      </w:r>
      <w:r w:rsidR="00D96CFC">
        <w:rPr>
          <w:color w:val="000000" w:themeColor="text1"/>
        </w:rPr>
        <w:t>.</w:t>
      </w:r>
      <w:r w:rsidR="0065439F" w:rsidRPr="0065439F">
        <w:rPr>
          <w:color w:val="000000" w:themeColor="text1"/>
        </w:rPr>
        <w:t>;</w:t>
      </w:r>
    </w:p>
    <w:p w:rsidR="00D635B1" w:rsidRPr="00466A1D" w:rsidRDefault="00B630FF" w:rsidP="00F53522">
      <w:pPr>
        <w:ind w:firstLine="709"/>
        <w:jc w:val="both"/>
      </w:pPr>
      <w:r w:rsidRPr="00836DEA">
        <w:rPr>
          <w:color w:val="000000" w:themeColor="text1"/>
          <w:u w:val="single"/>
        </w:rPr>
        <w:lastRenderedPageBreak/>
        <w:t>-финансовые активы</w:t>
      </w:r>
      <w:r w:rsidRPr="00836DEA">
        <w:rPr>
          <w:color w:val="000000" w:themeColor="text1"/>
        </w:rPr>
        <w:t xml:space="preserve"> составляют 161750,0 тыс. руб. </w:t>
      </w:r>
      <w:r w:rsidR="00D635B1">
        <w:rPr>
          <w:color w:val="000000" w:themeColor="text1"/>
        </w:rPr>
        <w:t>-</w:t>
      </w:r>
      <w:r w:rsidR="00836DEA">
        <w:rPr>
          <w:color w:val="000000" w:themeColor="text1"/>
        </w:rPr>
        <w:t xml:space="preserve"> </w:t>
      </w:r>
      <w:r w:rsidRPr="00836DEA">
        <w:rPr>
          <w:color w:val="000000" w:themeColor="text1"/>
        </w:rPr>
        <w:t>увеличи</w:t>
      </w:r>
      <w:r w:rsidR="00836DEA">
        <w:rPr>
          <w:color w:val="000000" w:themeColor="text1"/>
        </w:rPr>
        <w:t xml:space="preserve">лись </w:t>
      </w:r>
      <w:r w:rsidRPr="00836DEA">
        <w:rPr>
          <w:color w:val="000000" w:themeColor="text1"/>
        </w:rPr>
        <w:t>на 55420,1 тыс. руб., или на 52,1</w:t>
      </w:r>
      <w:r w:rsidRPr="00D635B1">
        <w:rPr>
          <w:color w:val="000000" w:themeColor="text1"/>
        </w:rPr>
        <w:t xml:space="preserve">%, </w:t>
      </w:r>
      <w:r w:rsidR="00D635B1" w:rsidRPr="00D635B1">
        <w:rPr>
          <w:color w:val="000000" w:themeColor="text1"/>
        </w:rPr>
        <w:t>в том числе в расчетах по ущербу и иным доходам - на 73625,3 тыс. руб., или более чем в 42 раза, за сче</w:t>
      </w:r>
      <w:r w:rsidR="00F01758">
        <w:rPr>
          <w:color w:val="000000" w:themeColor="text1"/>
        </w:rPr>
        <w:t>т отражения (74853,0 тыс. руб.)</w:t>
      </w:r>
      <w:r w:rsidR="00D635B1" w:rsidRPr="00D635B1">
        <w:rPr>
          <w:color w:val="000000" w:themeColor="text1"/>
        </w:rPr>
        <w:t xml:space="preserve"> ущерба и иных доходов, подлежащих взысканию по решениям судов. Из них: материальный ущерб составил 14549,3 тыс. руб. (Спеваков Ю.В.), стоимость неотработанного аванса по государственному </w:t>
      </w:r>
      <w:r w:rsidR="00D635B1" w:rsidRPr="00334575">
        <w:t>контракту - 14260,2 тыс.</w:t>
      </w:r>
      <w:r w:rsidR="00D635B1" w:rsidRPr="00D635B1">
        <w:rPr>
          <w:color w:val="000000" w:themeColor="text1"/>
        </w:rPr>
        <w:t xml:space="preserve"> руб. (ООО «СевКавПромЖилСтрой»); </w:t>
      </w:r>
      <w:r w:rsidR="00F01758">
        <w:rPr>
          <w:color w:val="000000" w:themeColor="text1"/>
        </w:rPr>
        <w:t>убытки в виде реальных расходов</w:t>
      </w:r>
      <w:r w:rsidR="00D635B1" w:rsidRPr="00D635B1">
        <w:rPr>
          <w:color w:val="000000" w:themeColor="text1"/>
        </w:rPr>
        <w:t xml:space="preserve"> в связи с приобретением квартиры для больного туберкулезом - 964,1 тыс. руб. (Минфин РФ); неустойка за нарушение обязательств по государственным контрактам – 44993,4 тыс. руб. (ООО «Диалог» - 43190,5 тыс. руб.; ООО «Малахит» - 1536,8 тыс. руб., ООО «Строй - К» - 266,1 тыс. рублей). За 2015 год взыскание составило 1227,7 тыс. руб., из них 1146,8 тыс. руб., или 93,4% возмещено двумя контрагентами: Минфином РФ (964,1 тыс. руб.)</w:t>
      </w:r>
      <w:r w:rsidR="00D96CFC">
        <w:rPr>
          <w:color w:val="000000" w:themeColor="text1"/>
        </w:rPr>
        <w:t>,</w:t>
      </w:r>
      <w:r w:rsidR="00D635B1" w:rsidRPr="00D635B1">
        <w:rPr>
          <w:color w:val="000000" w:themeColor="text1"/>
        </w:rPr>
        <w:t xml:space="preserve"> ООО «Малахит» (182,8 тыс. рублей). </w:t>
      </w:r>
      <w:r w:rsidR="00D635B1" w:rsidRPr="00F53522">
        <w:rPr>
          <w:color w:val="000000" w:themeColor="text1"/>
        </w:rPr>
        <w:t xml:space="preserve">Безрезультативность исполнительного производства в отношении ООО «Диалог» (возбуждено в 2014 году, рассрочка исполнения платежей до 30.11.2015), ООО «СевКавПромЖилСтрой» (возбуждено в январе 2015 года), ООО «Строй </w:t>
      </w:r>
      <w:r w:rsidR="00D96CFC">
        <w:rPr>
          <w:color w:val="000000" w:themeColor="text1"/>
        </w:rPr>
        <w:t>-</w:t>
      </w:r>
      <w:r w:rsidR="00D635B1" w:rsidRPr="00F53522">
        <w:rPr>
          <w:color w:val="000000" w:themeColor="text1"/>
        </w:rPr>
        <w:t xml:space="preserve"> К</w:t>
      </w:r>
      <w:r w:rsidR="00D96CFC">
        <w:rPr>
          <w:color w:val="000000" w:themeColor="text1"/>
        </w:rPr>
        <w:t>»</w:t>
      </w:r>
      <w:r w:rsidR="00D635B1" w:rsidRPr="00F53522">
        <w:rPr>
          <w:color w:val="000000" w:themeColor="text1"/>
        </w:rPr>
        <w:t xml:space="preserve"> (возбуждено в мае 2015), а также </w:t>
      </w:r>
      <w:r w:rsidR="00F53522" w:rsidRPr="00F53522">
        <w:rPr>
          <w:color w:val="000000" w:themeColor="text1"/>
        </w:rPr>
        <w:t>по суммам,</w:t>
      </w:r>
      <w:r w:rsidR="00D635B1" w:rsidRPr="00F53522">
        <w:rPr>
          <w:color w:val="000000" w:themeColor="text1"/>
        </w:rPr>
        <w:t xml:space="preserve"> учтенн</w:t>
      </w:r>
      <w:r w:rsidR="00F53522" w:rsidRPr="00F53522">
        <w:rPr>
          <w:color w:val="000000" w:themeColor="text1"/>
        </w:rPr>
        <w:t>ым</w:t>
      </w:r>
      <w:r w:rsidR="00D635B1" w:rsidRPr="00F53522">
        <w:rPr>
          <w:color w:val="000000" w:themeColor="text1"/>
        </w:rPr>
        <w:t xml:space="preserve"> на 01.01.2015 </w:t>
      </w:r>
      <w:r w:rsidR="00F53522" w:rsidRPr="00F53522">
        <w:rPr>
          <w:color w:val="000000" w:themeColor="text1"/>
        </w:rPr>
        <w:t>(</w:t>
      </w:r>
      <w:r w:rsidR="00D635B1" w:rsidRPr="00F53522">
        <w:rPr>
          <w:color w:val="000000" w:themeColor="text1"/>
        </w:rPr>
        <w:t>1739,8 тыс. руб</w:t>
      </w:r>
      <w:r w:rsidR="00D635B1" w:rsidRPr="00F01758">
        <w:rPr>
          <w:color w:val="000000" w:themeColor="text1"/>
        </w:rPr>
        <w:t>.</w:t>
      </w:r>
      <w:r w:rsidR="00F53522" w:rsidRPr="00F01758">
        <w:rPr>
          <w:color w:val="000000" w:themeColor="text1"/>
        </w:rPr>
        <w:t>)</w:t>
      </w:r>
      <w:r w:rsidR="00D635B1" w:rsidRPr="00F01758">
        <w:rPr>
          <w:color w:val="000000" w:themeColor="text1"/>
        </w:rPr>
        <w:t xml:space="preserve">, </w:t>
      </w:r>
      <w:r w:rsidR="00D635B1" w:rsidRPr="00466A1D">
        <w:t>свидетельству</w:t>
      </w:r>
      <w:r w:rsidR="00F53522" w:rsidRPr="00466A1D">
        <w:t>е</w:t>
      </w:r>
      <w:r w:rsidR="00D635B1" w:rsidRPr="00466A1D">
        <w:t xml:space="preserve">т о </w:t>
      </w:r>
      <w:r w:rsidR="00F01758" w:rsidRPr="00466A1D">
        <w:t xml:space="preserve">рисках </w:t>
      </w:r>
      <w:r w:rsidR="00D635B1" w:rsidRPr="00466A1D">
        <w:t xml:space="preserve">взыскания в областной бюджет более 70,0 млн. рублей. </w:t>
      </w:r>
    </w:p>
    <w:p w:rsidR="00D635B1" w:rsidRPr="00466A1D" w:rsidRDefault="00F53522" w:rsidP="00D635B1">
      <w:pPr>
        <w:ind w:firstLine="709"/>
        <w:jc w:val="both"/>
      </w:pPr>
      <w:r w:rsidRPr="00466A1D">
        <w:t>Р</w:t>
      </w:r>
      <w:r w:rsidR="00D635B1" w:rsidRPr="00466A1D">
        <w:t>асчеты по выданным авансам сократились на 18274,7 тыс. руб., или на 17,5</w:t>
      </w:r>
      <w:r w:rsidRPr="00466A1D">
        <w:t xml:space="preserve"> процента</w:t>
      </w:r>
      <w:r w:rsidR="00D96CFC" w:rsidRPr="00466A1D">
        <w:t>:</w:t>
      </w:r>
    </w:p>
    <w:p w:rsidR="00B630FF" w:rsidRPr="00466A1D" w:rsidRDefault="00B630FF" w:rsidP="00836DEA">
      <w:pPr>
        <w:ind w:firstLine="709"/>
        <w:jc w:val="both"/>
      </w:pPr>
      <w:r w:rsidRPr="00466A1D">
        <w:rPr>
          <w:u w:val="single"/>
        </w:rPr>
        <w:t>-обязательства</w:t>
      </w:r>
      <w:r w:rsidRPr="00466A1D">
        <w:t xml:space="preserve"> составляют 117345,6 тыс. руб. </w:t>
      </w:r>
      <w:r w:rsidR="00F53522" w:rsidRPr="00466A1D">
        <w:t xml:space="preserve">- </w:t>
      </w:r>
      <w:r w:rsidRPr="00466A1D">
        <w:t>уменьши</w:t>
      </w:r>
      <w:r w:rsidR="00F53522" w:rsidRPr="00466A1D">
        <w:t>лись</w:t>
      </w:r>
      <w:r w:rsidRPr="00466A1D">
        <w:t xml:space="preserve"> в 4,7 раза (- 437890,3 тыс. руб.) в основном в расчетах по доходам (в 7,2 раза, или на 399239,7 тыс. руб.) и принятым обязательствам (в 2,1 раза, или на 46210,5 тыс. руб</w:t>
      </w:r>
      <w:r w:rsidR="006D6434" w:rsidRPr="00466A1D">
        <w:t>лей</w:t>
      </w:r>
      <w:r w:rsidRPr="00466A1D">
        <w:t>). При этом обязательства перед бюджетом увеличились на 7633,9 тыс. руб., или в 5,2 раза.</w:t>
      </w:r>
    </w:p>
    <w:p w:rsidR="002D0BF3" w:rsidRPr="00466A1D" w:rsidRDefault="002D0BF3" w:rsidP="002D0BF3">
      <w:pPr>
        <w:ind w:firstLine="709"/>
        <w:jc w:val="both"/>
        <w:rPr>
          <w:sz w:val="22"/>
          <w:szCs w:val="22"/>
        </w:rPr>
      </w:pPr>
      <w:r w:rsidRPr="00466A1D">
        <w:t>Информация об объемах дебиторской и кредиторской задолженност</w:t>
      </w:r>
      <w:r w:rsidR="004C1691" w:rsidRPr="00466A1D">
        <w:t>и</w:t>
      </w:r>
      <w:r w:rsidRPr="00466A1D">
        <w:t xml:space="preserve"> по состоянию на начало и на конец года представлена в таблице.                                                                 </w:t>
      </w:r>
      <w:r w:rsidRPr="00466A1D">
        <w:rPr>
          <w:sz w:val="22"/>
          <w:szCs w:val="22"/>
        </w:rPr>
        <w:t xml:space="preserve"> </w:t>
      </w:r>
    </w:p>
    <w:p w:rsidR="002D0BF3" w:rsidRPr="00466A1D" w:rsidRDefault="002D0BF3" w:rsidP="002D0BF3">
      <w:pPr>
        <w:ind w:firstLine="709"/>
        <w:jc w:val="right"/>
        <w:rPr>
          <w:i/>
          <w:sz w:val="20"/>
          <w:szCs w:val="20"/>
        </w:rPr>
      </w:pPr>
      <w:r w:rsidRPr="00466A1D">
        <w:rPr>
          <w:sz w:val="22"/>
          <w:szCs w:val="22"/>
        </w:rPr>
        <w:t>(</w:t>
      </w:r>
      <w:r w:rsidRPr="00466A1D">
        <w:rPr>
          <w:i/>
          <w:sz w:val="20"/>
          <w:szCs w:val="20"/>
        </w:rPr>
        <w:t>тыс. руб.)</w:t>
      </w:r>
    </w:p>
    <w:tbl>
      <w:tblPr>
        <w:tblW w:w="9654" w:type="dxa"/>
        <w:tblInd w:w="93" w:type="dxa"/>
        <w:tblLayout w:type="fixed"/>
        <w:tblLook w:val="04A0"/>
      </w:tblPr>
      <w:tblGrid>
        <w:gridCol w:w="4620"/>
        <w:gridCol w:w="1420"/>
        <w:gridCol w:w="1420"/>
        <w:gridCol w:w="1202"/>
        <w:gridCol w:w="992"/>
      </w:tblGrid>
      <w:tr w:rsidR="002D0BF3" w:rsidRPr="00466A1D" w:rsidTr="00694F2C">
        <w:trPr>
          <w:trHeight w:val="255"/>
        </w:trPr>
        <w:tc>
          <w:tcPr>
            <w:tcW w:w="4620" w:type="dxa"/>
            <w:vMerge w:val="restart"/>
            <w:tcBorders>
              <w:top w:val="double" w:sz="6" w:space="0" w:color="auto"/>
              <w:left w:val="double" w:sz="6" w:space="0" w:color="auto"/>
              <w:bottom w:val="single" w:sz="4" w:space="0" w:color="auto"/>
              <w:right w:val="double" w:sz="6" w:space="0" w:color="auto"/>
            </w:tcBorders>
            <w:shd w:val="clear" w:color="auto" w:fill="auto"/>
            <w:vAlign w:val="center"/>
            <w:hideMark/>
          </w:tcPr>
          <w:p w:rsidR="002D0BF3" w:rsidRPr="00466A1D" w:rsidRDefault="002D0BF3" w:rsidP="00694F2C">
            <w:pPr>
              <w:jc w:val="center"/>
              <w:rPr>
                <w:bCs/>
                <w:sz w:val="18"/>
                <w:szCs w:val="18"/>
              </w:rPr>
            </w:pPr>
            <w:r w:rsidRPr="00466A1D">
              <w:rPr>
                <w:bCs/>
                <w:sz w:val="18"/>
                <w:szCs w:val="18"/>
              </w:rPr>
              <w:t>Наименование показателя</w:t>
            </w:r>
          </w:p>
        </w:tc>
        <w:tc>
          <w:tcPr>
            <w:tcW w:w="2840" w:type="dxa"/>
            <w:gridSpan w:val="2"/>
            <w:tcBorders>
              <w:top w:val="double" w:sz="6" w:space="0" w:color="auto"/>
              <w:left w:val="double" w:sz="6" w:space="0" w:color="auto"/>
              <w:bottom w:val="single" w:sz="4" w:space="0" w:color="auto"/>
              <w:right w:val="single" w:sz="4" w:space="0" w:color="auto"/>
            </w:tcBorders>
            <w:shd w:val="clear" w:color="auto" w:fill="auto"/>
            <w:vAlign w:val="center"/>
            <w:hideMark/>
          </w:tcPr>
          <w:p w:rsidR="002D0BF3" w:rsidRPr="00466A1D" w:rsidRDefault="008B5442" w:rsidP="00694F2C">
            <w:pPr>
              <w:jc w:val="center"/>
              <w:rPr>
                <w:bCs/>
                <w:sz w:val="18"/>
                <w:szCs w:val="18"/>
              </w:rPr>
            </w:pPr>
            <w:r w:rsidRPr="00466A1D">
              <w:rPr>
                <w:bCs/>
                <w:sz w:val="18"/>
                <w:szCs w:val="18"/>
              </w:rPr>
              <w:t>Сумма задолженности</w:t>
            </w:r>
          </w:p>
        </w:tc>
        <w:tc>
          <w:tcPr>
            <w:tcW w:w="2194" w:type="dxa"/>
            <w:gridSpan w:val="2"/>
            <w:tcBorders>
              <w:top w:val="double" w:sz="6" w:space="0" w:color="auto"/>
              <w:left w:val="nil"/>
              <w:bottom w:val="single" w:sz="4" w:space="0" w:color="auto"/>
              <w:right w:val="double" w:sz="6" w:space="0" w:color="auto"/>
            </w:tcBorders>
            <w:shd w:val="clear" w:color="auto" w:fill="auto"/>
            <w:vAlign w:val="center"/>
            <w:hideMark/>
          </w:tcPr>
          <w:p w:rsidR="002D0BF3" w:rsidRPr="00466A1D" w:rsidRDefault="002D0BF3" w:rsidP="00694F2C">
            <w:pPr>
              <w:jc w:val="center"/>
              <w:rPr>
                <w:bCs/>
                <w:sz w:val="18"/>
                <w:szCs w:val="18"/>
              </w:rPr>
            </w:pPr>
            <w:r w:rsidRPr="00466A1D">
              <w:rPr>
                <w:bCs/>
                <w:sz w:val="18"/>
                <w:szCs w:val="18"/>
              </w:rPr>
              <w:t>Отклонение</w:t>
            </w:r>
          </w:p>
        </w:tc>
      </w:tr>
      <w:tr w:rsidR="002D0BF3" w:rsidRPr="00466A1D" w:rsidTr="00694F2C">
        <w:trPr>
          <w:trHeight w:val="255"/>
        </w:trPr>
        <w:tc>
          <w:tcPr>
            <w:tcW w:w="4620" w:type="dxa"/>
            <w:vMerge/>
            <w:tcBorders>
              <w:top w:val="single" w:sz="4" w:space="0" w:color="auto"/>
              <w:left w:val="double" w:sz="6" w:space="0" w:color="auto"/>
              <w:bottom w:val="double" w:sz="6" w:space="0" w:color="auto"/>
              <w:right w:val="double" w:sz="6" w:space="0" w:color="auto"/>
            </w:tcBorders>
            <w:vAlign w:val="center"/>
            <w:hideMark/>
          </w:tcPr>
          <w:p w:rsidR="002D0BF3" w:rsidRPr="00466A1D" w:rsidRDefault="002D0BF3" w:rsidP="00694F2C">
            <w:pPr>
              <w:rPr>
                <w:bCs/>
                <w:sz w:val="18"/>
                <w:szCs w:val="18"/>
              </w:rPr>
            </w:pPr>
          </w:p>
        </w:tc>
        <w:tc>
          <w:tcPr>
            <w:tcW w:w="1420" w:type="dxa"/>
            <w:tcBorders>
              <w:top w:val="nil"/>
              <w:left w:val="double" w:sz="6" w:space="0" w:color="auto"/>
              <w:bottom w:val="double" w:sz="6" w:space="0" w:color="auto"/>
              <w:right w:val="single" w:sz="4" w:space="0" w:color="auto"/>
            </w:tcBorders>
            <w:shd w:val="clear" w:color="auto" w:fill="auto"/>
            <w:vAlign w:val="center"/>
            <w:hideMark/>
          </w:tcPr>
          <w:p w:rsidR="002D0BF3" w:rsidRPr="00466A1D" w:rsidRDefault="002D0BF3" w:rsidP="00694F2C">
            <w:pPr>
              <w:jc w:val="center"/>
              <w:rPr>
                <w:bCs/>
                <w:sz w:val="18"/>
                <w:szCs w:val="18"/>
              </w:rPr>
            </w:pPr>
            <w:r w:rsidRPr="00466A1D">
              <w:rPr>
                <w:bCs/>
                <w:sz w:val="18"/>
                <w:szCs w:val="18"/>
              </w:rPr>
              <w:t>на 01.01.2015</w:t>
            </w:r>
          </w:p>
        </w:tc>
        <w:tc>
          <w:tcPr>
            <w:tcW w:w="1420" w:type="dxa"/>
            <w:tcBorders>
              <w:top w:val="nil"/>
              <w:left w:val="nil"/>
              <w:bottom w:val="double" w:sz="6" w:space="0" w:color="auto"/>
              <w:right w:val="single" w:sz="4" w:space="0" w:color="auto"/>
            </w:tcBorders>
            <w:shd w:val="clear" w:color="auto" w:fill="auto"/>
            <w:vAlign w:val="center"/>
            <w:hideMark/>
          </w:tcPr>
          <w:p w:rsidR="002D0BF3" w:rsidRPr="00466A1D" w:rsidRDefault="002D0BF3" w:rsidP="002D0BF3">
            <w:pPr>
              <w:jc w:val="center"/>
              <w:rPr>
                <w:bCs/>
                <w:sz w:val="18"/>
                <w:szCs w:val="18"/>
              </w:rPr>
            </w:pPr>
            <w:r w:rsidRPr="00466A1D">
              <w:rPr>
                <w:bCs/>
                <w:sz w:val="18"/>
                <w:szCs w:val="18"/>
              </w:rPr>
              <w:t>на 01.01.2016</w:t>
            </w:r>
          </w:p>
        </w:tc>
        <w:tc>
          <w:tcPr>
            <w:tcW w:w="1202" w:type="dxa"/>
            <w:tcBorders>
              <w:top w:val="nil"/>
              <w:left w:val="nil"/>
              <w:bottom w:val="double" w:sz="6" w:space="0" w:color="auto"/>
              <w:right w:val="single" w:sz="4" w:space="0" w:color="auto"/>
            </w:tcBorders>
            <w:shd w:val="clear" w:color="auto" w:fill="auto"/>
            <w:vAlign w:val="center"/>
            <w:hideMark/>
          </w:tcPr>
          <w:p w:rsidR="002D0BF3" w:rsidRPr="00466A1D" w:rsidRDefault="002D0BF3" w:rsidP="00694F2C">
            <w:pPr>
              <w:jc w:val="center"/>
              <w:rPr>
                <w:bCs/>
                <w:sz w:val="18"/>
                <w:szCs w:val="18"/>
              </w:rPr>
            </w:pPr>
            <w:r w:rsidRPr="00466A1D">
              <w:rPr>
                <w:bCs/>
                <w:sz w:val="18"/>
                <w:szCs w:val="18"/>
              </w:rPr>
              <w:t>тыс. руб.</w:t>
            </w:r>
          </w:p>
        </w:tc>
        <w:tc>
          <w:tcPr>
            <w:tcW w:w="992" w:type="dxa"/>
            <w:tcBorders>
              <w:top w:val="nil"/>
              <w:left w:val="nil"/>
              <w:bottom w:val="double" w:sz="6" w:space="0" w:color="auto"/>
              <w:right w:val="double" w:sz="6" w:space="0" w:color="auto"/>
            </w:tcBorders>
            <w:shd w:val="clear" w:color="auto" w:fill="auto"/>
            <w:vAlign w:val="center"/>
            <w:hideMark/>
          </w:tcPr>
          <w:p w:rsidR="002D0BF3" w:rsidRPr="00466A1D" w:rsidRDefault="002D0BF3" w:rsidP="00694F2C">
            <w:pPr>
              <w:jc w:val="center"/>
              <w:rPr>
                <w:bCs/>
                <w:sz w:val="18"/>
                <w:szCs w:val="18"/>
              </w:rPr>
            </w:pPr>
            <w:r w:rsidRPr="00466A1D">
              <w:rPr>
                <w:bCs/>
                <w:sz w:val="18"/>
                <w:szCs w:val="18"/>
              </w:rPr>
              <w:t>%%</w:t>
            </w:r>
          </w:p>
        </w:tc>
      </w:tr>
      <w:tr w:rsidR="002D0BF3" w:rsidRPr="00466A1D" w:rsidTr="00694F2C">
        <w:trPr>
          <w:trHeight w:val="270"/>
        </w:trPr>
        <w:tc>
          <w:tcPr>
            <w:tcW w:w="4620" w:type="dxa"/>
            <w:tcBorders>
              <w:top w:val="double" w:sz="6" w:space="0" w:color="auto"/>
              <w:left w:val="double" w:sz="6" w:space="0" w:color="auto"/>
              <w:bottom w:val="double" w:sz="6" w:space="0" w:color="auto"/>
              <w:right w:val="double" w:sz="6" w:space="0" w:color="auto"/>
            </w:tcBorders>
            <w:shd w:val="clear" w:color="auto" w:fill="auto"/>
            <w:vAlign w:val="bottom"/>
            <w:hideMark/>
          </w:tcPr>
          <w:p w:rsidR="008B5442" w:rsidRPr="00466A1D" w:rsidRDefault="008B5442" w:rsidP="00694F2C">
            <w:pPr>
              <w:rPr>
                <w:b/>
                <w:bCs/>
                <w:iCs/>
                <w:sz w:val="18"/>
                <w:szCs w:val="18"/>
              </w:rPr>
            </w:pPr>
            <w:r w:rsidRPr="00466A1D">
              <w:rPr>
                <w:b/>
                <w:bCs/>
                <w:iCs/>
                <w:sz w:val="18"/>
                <w:szCs w:val="18"/>
              </w:rPr>
              <w:t>Дебиторская</w:t>
            </w:r>
            <w:r w:rsidR="002D0BF3" w:rsidRPr="00466A1D">
              <w:rPr>
                <w:b/>
                <w:bCs/>
                <w:iCs/>
                <w:sz w:val="18"/>
                <w:szCs w:val="18"/>
              </w:rPr>
              <w:t xml:space="preserve"> задолженность </w:t>
            </w:r>
            <w:r w:rsidRPr="00466A1D">
              <w:rPr>
                <w:b/>
                <w:bCs/>
                <w:iCs/>
                <w:sz w:val="18"/>
                <w:szCs w:val="18"/>
              </w:rPr>
              <w:t>итого,</w:t>
            </w:r>
          </w:p>
          <w:p w:rsidR="002D0BF3" w:rsidRPr="00466A1D" w:rsidRDefault="002D0BF3" w:rsidP="00694F2C">
            <w:pPr>
              <w:rPr>
                <w:b/>
                <w:bCs/>
                <w:iCs/>
                <w:sz w:val="18"/>
                <w:szCs w:val="18"/>
                <w:highlight w:val="yellow"/>
              </w:rPr>
            </w:pPr>
            <w:r w:rsidRPr="00466A1D">
              <w:rPr>
                <w:b/>
                <w:bCs/>
                <w:sz w:val="18"/>
                <w:szCs w:val="18"/>
              </w:rPr>
              <w:t>в том числе:</w:t>
            </w:r>
          </w:p>
        </w:tc>
        <w:tc>
          <w:tcPr>
            <w:tcW w:w="1420" w:type="dxa"/>
            <w:tcBorders>
              <w:top w:val="double" w:sz="6" w:space="0" w:color="auto"/>
              <w:left w:val="double" w:sz="6" w:space="0" w:color="auto"/>
              <w:bottom w:val="double" w:sz="6" w:space="0" w:color="auto"/>
              <w:right w:val="single" w:sz="4" w:space="0" w:color="auto"/>
            </w:tcBorders>
            <w:shd w:val="clear" w:color="auto" w:fill="auto"/>
            <w:vAlign w:val="bottom"/>
            <w:hideMark/>
          </w:tcPr>
          <w:p w:rsidR="002D0BF3" w:rsidRPr="00466A1D" w:rsidRDefault="00847042" w:rsidP="00694F2C">
            <w:pPr>
              <w:jc w:val="right"/>
              <w:rPr>
                <w:b/>
                <w:bCs/>
                <w:iCs/>
                <w:sz w:val="18"/>
                <w:szCs w:val="18"/>
              </w:rPr>
            </w:pPr>
            <w:r w:rsidRPr="00466A1D">
              <w:rPr>
                <w:b/>
                <w:bCs/>
                <w:iCs/>
                <w:sz w:val="18"/>
                <w:szCs w:val="18"/>
              </w:rPr>
              <w:t>106329,8</w:t>
            </w:r>
          </w:p>
        </w:tc>
        <w:tc>
          <w:tcPr>
            <w:tcW w:w="1420" w:type="dxa"/>
            <w:tcBorders>
              <w:top w:val="double" w:sz="6" w:space="0" w:color="auto"/>
              <w:left w:val="nil"/>
              <w:bottom w:val="double" w:sz="6" w:space="0" w:color="auto"/>
              <w:right w:val="single" w:sz="4" w:space="0" w:color="auto"/>
            </w:tcBorders>
            <w:shd w:val="clear" w:color="auto" w:fill="auto"/>
            <w:vAlign w:val="bottom"/>
            <w:hideMark/>
          </w:tcPr>
          <w:p w:rsidR="002D0BF3" w:rsidRPr="00466A1D" w:rsidRDefault="00847042" w:rsidP="00694F2C">
            <w:pPr>
              <w:jc w:val="right"/>
              <w:rPr>
                <w:b/>
                <w:bCs/>
                <w:iCs/>
                <w:sz w:val="18"/>
                <w:szCs w:val="18"/>
              </w:rPr>
            </w:pPr>
            <w:r w:rsidRPr="00466A1D">
              <w:rPr>
                <w:b/>
                <w:bCs/>
                <w:iCs/>
                <w:sz w:val="18"/>
                <w:szCs w:val="18"/>
              </w:rPr>
              <w:t>161750,0</w:t>
            </w:r>
          </w:p>
        </w:tc>
        <w:tc>
          <w:tcPr>
            <w:tcW w:w="1202" w:type="dxa"/>
            <w:tcBorders>
              <w:top w:val="double" w:sz="6" w:space="0" w:color="auto"/>
              <w:left w:val="nil"/>
              <w:bottom w:val="double" w:sz="6" w:space="0" w:color="auto"/>
              <w:right w:val="single" w:sz="4" w:space="0" w:color="auto"/>
            </w:tcBorders>
            <w:shd w:val="clear" w:color="auto" w:fill="auto"/>
            <w:vAlign w:val="bottom"/>
            <w:hideMark/>
          </w:tcPr>
          <w:p w:rsidR="002D0BF3" w:rsidRPr="00466A1D" w:rsidRDefault="00847042" w:rsidP="00694F2C">
            <w:pPr>
              <w:jc w:val="right"/>
              <w:rPr>
                <w:b/>
                <w:bCs/>
                <w:iCs/>
                <w:sz w:val="18"/>
                <w:szCs w:val="18"/>
              </w:rPr>
            </w:pPr>
            <w:r w:rsidRPr="00466A1D">
              <w:rPr>
                <w:b/>
                <w:bCs/>
                <w:iCs/>
                <w:sz w:val="18"/>
                <w:szCs w:val="18"/>
              </w:rPr>
              <w:t>+55420,2</w:t>
            </w:r>
          </w:p>
        </w:tc>
        <w:tc>
          <w:tcPr>
            <w:tcW w:w="992" w:type="dxa"/>
            <w:tcBorders>
              <w:top w:val="double" w:sz="6" w:space="0" w:color="auto"/>
              <w:left w:val="nil"/>
              <w:bottom w:val="double" w:sz="6" w:space="0" w:color="auto"/>
              <w:right w:val="double" w:sz="6" w:space="0" w:color="auto"/>
            </w:tcBorders>
            <w:shd w:val="clear" w:color="auto" w:fill="auto"/>
            <w:vAlign w:val="bottom"/>
            <w:hideMark/>
          </w:tcPr>
          <w:p w:rsidR="002D0BF3" w:rsidRPr="00466A1D" w:rsidRDefault="00847042" w:rsidP="00694F2C">
            <w:pPr>
              <w:jc w:val="right"/>
              <w:rPr>
                <w:b/>
                <w:bCs/>
                <w:iCs/>
                <w:sz w:val="18"/>
                <w:szCs w:val="18"/>
              </w:rPr>
            </w:pPr>
            <w:r w:rsidRPr="00466A1D">
              <w:rPr>
                <w:b/>
                <w:bCs/>
                <w:iCs/>
                <w:sz w:val="18"/>
                <w:szCs w:val="18"/>
              </w:rPr>
              <w:t>+52,1</w:t>
            </w:r>
          </w:p>
        </w:tc>
      </w:tr>
      <w:tr w:rsidR="002D0BF3" w:rsidRPr="00466A1D" w:rsidTr="00694F2C">
        <w:trPr>
          <w:trHeight w:val="255"/>
        </w:trPr>
        <w:tc>
          <w:tcPr>
            <w:tcW w:w="4620" w:type="dxa"/>
            <w:tcBorders>
              <w:top w:val="nil"/>
              <w:left w:val="double" w:sz="6" w:space="0" w:color="auto"/>
              <w:bottom w:val="single" w:sz="4" w:space="0" w:color="auto"/>
              <w:right w:val="double" w:sz="6" w:space="0" w:color="auto"/>
            </w:tcBorders>
            <w:shd w:val="clear" w:color="auto" w:fill="auto"/>
            <w:vAlign w:val="bottom"/>
            <w:hideMark/>
          </w:tcPr>
          <w:p w:rsidR="002D0BF3" w:rsidRPr="00466A1D" w:rsidRDefault="002D0BF3" w:rsidP="00694F2C">
            <w:pPr>
              <w:rPr>
                <w:sz w:val="18"/>
                <w:szCs w:val="18"/>
                <w:highlight w:val="yellow"/>
              </w:rPr>
            </w:pPr>
            <w:r w:rsidRPr="00466A1D">
              <w:rPr>
                <w:sz w:val="18"/>
                <w:szCs w:val="18"/>
              </w:rPr>
              <w:t>расчеты по выданным авансам</w:t>
            </w:r>
          </w:p>
        </w:tc>
        <w:tc>
          <w:tcPr>
            <w:tcW w:w="1420" w:type="dxa"/>
            <w:tcBorders>
              <w:top w:val="nil"/>
              <w:left w:val="double" w:sz="6" w:space="0" w:color="auto"/>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104537,1</w:t>
            </w:r>
          </w:p>
        </w:tc>
        <w:tc>
          <w:tcPr>
            <w:tcW w:w="1420" w:type="dxa"/>
            <w:tcBorders>
              <w:top w:val="nil"/>
              <w:left w:val="nil"/>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86262,4</w:t>
            </w:r>
          </w:p>
        </w:tc>
        <w:tc>
          <w:tcPr>
            <w:tcW w:w="1202" w:type="dxa"/>
            <w:tcBorders>
              <w:top w:val="nil"/>
              <w:left w:val="nil"/>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-18274,7</w:t>
            </w:r>
          </w:p>
        </w:tc>
        <w:tc>
          <w:tcPr>
            <w:tcW w:w="992" w:type="dxa"/>
            <w:tcBorders>
              <w:top w:val="nil"/>
              <w:left w:val="nil"/>
              <w:bottom w:val="single" w:sz="4" w:space="0" w:color="auto"/>
              <w:right w:val="double" w:sz="6"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-17,5</w:t>
            </w:r>
          </w:p>
        </w:tc>
      </w:tr>
      <w:tr w:rsidR="002D0BF3" w:rsidRPr="00466A1D" w:rsidTr="00694F2C">
        <w:trPr>
          <w:trHeight w:val="255"/>
        </w:trPr>
        <w:tc>
          <w:tcPr>
            <w:tcW w:w="4620" w:type="dxa"/>
            <w:tcBorders>
              <w:top w:val="nil"/>
              <w:left w:val="double" w:sz="6" w:space="0" w:color="auto"/>
              <w:bottom w:val="single" w:sz="4" w:space="0" w:color="auto"/>
              <w:right w:val="double" w:sz="6" w:space="0" w:color="auto"/>
            </w:tcBorders>
            <w:shd w:val="clear" w:color="auto" w:fill="auto"/>
            <w:vAlign w:val="bottom"/>
            <w:hideMark/>
          </w:tcPr>
          <w:p w:rsidR="002D0BF3" w:rsidRPr="00466A1D" w:rsidRDefault="002D0BF3" w:rsidP="00694F2C">
            <w:pPr>
              <w:rPr>
                <w:sz w:val="18"/>
                <w:szCs w:val="18"/>
                <w:highlight w:val="yellow"/>
              </w:rPr>
            </w:pPr>
            <w:r w:rsidRPr="00466A1D">
              <w:rPr>
                <w:sz w:val="18"/>
                <w:szCs w:val="18"/>
              </w:rPr>
              <w:t>расчеты с подотчетными лицами</w:t>
            </w:r>
          </w:p>
        </w:tc>
        <w:tc>
          <w:tcPr>
            <w:tcW w:w="1420" w:type="dxa"/>
            <w:tcBorders>
              <w:top w:val="nil"/>
              <w:left w:val="double" w:sz="6" w:space="0" w:color="auto"/>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21,9</w:t>
            </w:r>
          </w:p>
        </w:tc>
        <w:tc>
          <w:tcPr>
            <w:tcW w:w="1420" w:type="dxa"/>
            <w:tcBorders>
              <w:top w:val="nil"/>
              <w:left w:val="nil"/>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116,3</w:t>
            </w:r>
          </w:p>
        </w:tc>
        <w:tc>
          <w:tcPr>
            <w:tcW w:w="1202" w:type="dxa"/>
            <w:tcBorders>
              <w:top w:val="nil"/>
              <w:left w:val="nil"/>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+94,4</w:t>
            </w:r>
          </w:p>
        </w:tc>
        <w:tc>
          <w:tcPr>
            <w:tcW w:w="992" w:type="dxa"/>
            <w:tcBorders>
              <w:top w:val="nil"/>
              <w:left w:val="nil"/>
              <w:bottom w:val="single" w:sz="4" w:space="0" w:color="auto"/>
              <w:right w:val="double" w:sz="6" w:space="0" w:color="auto"/>
            </w:tcBorders>
            <w:shd w:val="clear" w:color="auto" w:fill="auto"/>
            <w:vAlign w:val="bottom"/>
            <w:hideMark/>
          </w:tcPr>
          <w:p w:rsidR="002D0BF3" w:rsidRPr="00466A1D" w:rsidRDefault="00A753DE" w:rsidP="00694F2C">
            <w:pPr>
              <w:jc w:val="right"/>
              <w:rPr>
                <w:sz w:val="18"/>
                <w:szCs w:val="18"/>
              </w:rPr>
            </w:pPr>
            <w:r w:rsidRPr="00466A1D">
              <w:rPr>
                <w:sz w:val="18"/>
                <w:szCs w:val="18"/>
              </w:rPr>
              <w:t>в 4 раза</w:t>
            </w:r>
          </w:p>
        </w:tc>
      </w:tr>
      <w:tr w:rsidR="002D0BF3" w:rsidRPr="00466A1D" w:rsidTr="00694F2C">
        <w:trPr>
          <w:trHeight w:val="255"/>
        </w:trPr>
        <w:tc>
          <w:tcPr>
            <w:tcW w:w="4620" w:type="dxa"/>
            <w:tcBorders>
              <w:top w:val="nil"/>
              <w:left w:val="double" w:sz="6" w:space="0" w:color="auto"/>
              <w:bottom w:val="single" w:sz="4" w:space="0" w:color="auto"/>
              <w:right w:val="double" w:sz="6" w:space="0" w:color="auto"/>
            </w:tcBorders>
            <w:shd w:val="clear" w:color="auto" w:fill="auto"/>
            <w:vAlign w:val="bottom"/>
            <w:hideMark/>
          </w:tcPr>
          <w:p w:rsidR="002D0BF3" w:rsidRPr="00466A1D" w:rsidRDefault="002D0BF3" w:rsidP="00694F2C">
            <w:pPr>
              <w:rPr>
                <w:sz w:val="18"/>
                <w:szCs w:val="18"/>
                <w:highlight w:val="yellow"/>
              </w:rPr>
            </w:pPr>
            <w:r w:rsidRPr="00466A1D">
              <w:rPr>
                <w:sz w:val="18"/>
                <w:szCs w:val="18"/>
              </w:rPr>
              <w:t>расчеты по ущербу и иным доходам</w:t>
            </w:r>
          </w:p>
        </w:tc>
        <w:tc>
          <w:tcPr>
            <w:tcW w:w="1420" w:type="dxa"/>
            <w:tcBorders>
              <w:top w:val="nil"/>
              <w:left w:val="double" w:sz="6" w:space="0" w:color="auto"/>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1739,8</w:t>
            </w:r>
          </w:p>
        </w:tc>
        <w:tc>
          <w:tcPr>
            <w:tcW w:w="1420" w:type="dxa"/>
            <w:tcBorders>
              <w:top w:val="nil"/>
              <w:left w:val="nil"/>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75365,1</w:t>
            </w:r>
          </w:p>
        </w:tc>
        <w:tc>
          <w:tcPr>
            <w:tcW w:w="1202" w:type="dxa"/>
            <w:tcBorders>
              <w:top w:val="nil"/>
              <w:left w:val="nil"/>
              <w:bottom w:val="single" w:sz="4"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+73625,3</w:t>
            </w:r>
          </w:p>
        </w:tc>
        <w:tc>
          <w:tcPr>
            <w:tcW w:w="992" w:type="dxa"/>
            <w:tcBorders>
              <w:top w:val="nil"/>
              <w:left w:val="nil"/>
              <w:bottom w:val="single" w:sz="4" w:space="0" w:color="auto"/>
              <w:right w:val="double" w:sz="6" w:space="0" w:color="auto"/>
            </w:tcBorders>
            <w:shd w:val="clear" w:color="auto" w:fill="auto"/>
            <w:vAlign w:val="bottom"/>
            <w:hideMark/>
          </w:tcPr>
          <w:p w:rsidR="002D0BF3" w:rsidRPr="00466A1D" w:rsidRDefault="00A753DE" w:rsidP="00694F2C">
            <w:pPr>
              <w:jc w:val="right"/>
              <w:rPr>
                <w:sz w:val="18"/>
                <w:szCs w:val="18"/>
              </w:rPr>
            </w:pPr>
            <w:r w:rsidRPr="00466A1D">
              <w:rPr>
                <w:sz w:val="18"/>
                <w:szCs w:val="18"/>
              </w:rPr>
              <w:t>в 42 раза</w:t>
            </w:r>
          </w:p>
        </w:tc>
      </w:tr>
      <w:tr w:rsidR="008B5442" w:rsidRPr="00466A1D" w:rsidTr="00694F2C">
        <w:trPr>
          <w:trHeight w:val="255"/>
        </w:trPr>
        <w:tc>
          <w:tcPr>
            <w:tcW w:w="4620" w:type="dxa"/>
            <w:tcBorders>
              <w:top w:val="nil"/>
              <w:left w:val="double" w:sz="6" w:space="0" w:color="auto"/>
              <w:bottom w:val="double" w:sz="6" w:space="0" w:color="auto"/>
              <w:right w:val="double" w:sz="6" w:space="0" w:color="auto"/>
            </w:tcBorders>
            <w:shd w:val="clear" w:color="auto" w:fill="auto"/>
            <w:vAlign w:val="bottom"/>
            <w:hideMark/>
          </w:tcPr>
          <w:p w:rsidR="008B5442" w:rsidRPr="00466A1D" w:rsidRDefault="008B5442" w:rsidP="00694F2C">
            <w:pPr>
              <w:rPr>
                <w:sz w:val="18"/>
                <w:szCs w:val="18"/>
              </w:rPr>
            </w:pPr>
            <w:r w:rsidRPr="00466A1D">
              <w:rPr>
                <w:sz w:val="18"/>
                <w:szCs w:val="18"/>
              </w:rPr>
              <w:t>расчеты с дебиторами</w:t>
            </w:r>
          </w:p>
        </w:tc>
        <w:tc>
          <w:tcPr>
            <w:tcW w:w="1420" w:type="dxa"/>
            <w:tcBorders>
              <w:top w:val="nil"/>
              <w:left w:val="double" w:sz="6" w:space="0" w:color="auto"/>
              <w:bottom w:val="double" w:sz="6" w:space="0" w:color="auto"/>
              <w:right w:val="single" w:sz="4" w:space="0" w:color="auto"/>
            </w:tcBorders>
            <w:shd w:val="clear" w:color="auto" w:fill="auto"/>
            <w:vAlign w:val="bottom"/>
            <w:hideMark/>
          </w:tcPr>
          <w:p w:rsidR="008B5442" w:rsidRPr="00466A1D" w:rsidRDefault="008B5442" w:rsidP="00694F2C">
            <w:pPr>
              <w:jc w:val="right"/>
              <w:rPr>
                <w:sz w:val="18"/>
                <w:szCs w:val="18"/>
              </w:rPr>
            </w:pPr>
            <w:r w:rsidRPr="00466A1D">
              <w:rPr>
                <w:sz w:val="18"/>
                <w:szCs w:val="18"/>
              </w:rPr>
              <w:t>0,0</w:t>
            </w:r>
          </w:p>
        </w:tc>
        <w:tc>
          <w:tcPr>
            <w:tcW w:w="1420" w:type="dxa"/>
            <w:tcBorders>
              <w:top w:val="nil"/>
              <w:left w:val="nil"/>
              <w:bottom w:val="double" w:sz="6" w:space="0" w:color="auto"/>
              <w:right w:val="single" w:sz="4" w:space="0" w:color="auto"/>
            </w:tcBorders>
            <w:shd w:val="clear" w:color="auto" w:fill="auto"/>
            <w:vAlign w:val="bottom"/>
            <w:hideMark/>
          </w:tcPr>
          <w:p w:rsidR="008B5442" w:rsidRPr="00466A1D" w:rsidRDefault="008B5442" w:rsidP="00694F2C">
            <w:pPr>
              <w:jc w:val="right"/>
              <w:rPr>
                <w:sz w:val="18"/>
                <w:szCs w:val="18"/>
              </w:rPr>
            </w:pPr>
            <w:r w:rsidRPr="00466A1D">
              <w:rPr>
                <w:sz w:val="18"/>
                <w:szCs w:val="18"/>
              </w:rPr>
              <w:t>0,2</w:t>
            </w:r>
          </w:p>
        </w:tc>
        <w:tc>
          <w:tcPr>
            <w:tcW w:w="1202" w:type="dxa"/>
            <w:tcBorders>
              <w:top w:val="nil"/>
              <w:left w:val="nil"/>
              <w:bottom w:val="double" w:sz="6" w:space="0" w:color="auto"/>
              <w:right w:val="single" w:sz="4" w:space="0" w:color="auto"/>
            </w:tcBorders>
            <w:shd w:val="clear" w:color="auto" w:fill="auto"/>
            <w:vAlign w:val="bottom"/>
            <w:hideMark/>
          </w:tcPr>
          <w:p w:rsidR="008B5442" w:rsidRPr="00466A1D" w:rsidRDefault="008B5442" w:rsidP="00694F2C">
            <w:pPr>
              <w:jc w:val="right"/>
              <w:rPr>
                <w:sz w:val="18"/>
                <w:szCs w:val="18"/>
              </w:rPr>
            </w:pPr>
            <w:r w:rsidRPr="00466A1D">
              <w:rPr>
                <w:sz w:val="18"/>
                <w:szCs w:val="18"/>
              </w:rPr>
              <w:t>+0,2</w:t>
            </w:r>
          </w:p>
        </w:tc>
        <w:tc>
          <w:tcPr>
            <w:tcW w:w="992" w:type="dxa"/>
            <w:tcBorders>
              <w:top w:val="nil"/>
              <w:left w:val="nil"/>
              <w:bottom w:val="double" w:sz="6" w:space="0" w:color="auto"/>
              <w:right w:val="double" w:sz="6" w:space="0" w:color="auto"/>
            </w:tcBorders>
            <w:shd w:val="clear" w:color="auto" w:fill="auto"/>
            <w:vAlign w:val="bottom"/>
            <w:hideMark/>
          </w:tcPr>
          <w:p w:rsidR="008B5442" w:rsidRPr="00466A1D" w:rsidRDefault="008B5442" w:rsidP="00694F2C">
            <w:pPr>
              <w:jc w:val="right"/>
              <w:rPr>
                <w:sz w:val="18"/>
                <w:szCs w:val="18"/>
              </w:rPr>
            </w:pPr>
            <w:r w:rsidRPr="00466A1D">
              <w:rPr>
                <w:sz w:val="18"/>
                <w:szCs w:val="18"/>
              </w:rPr>
              <w:t>0,0</w:t>
            </w:r>
          </w:p>
        </w:tc>
      </w:tr>
      <w:tr w:rsidR="002D0BF3" w:rsidRPr="00466A1D" w:rsidTr="00694F2C">
        <w:trPr>
          <w:trHeight w:val="255"/>
        </w:trPr>
        <w:tc>
          <w:tcPr>
            <w:tcW w:w="4620" w:type="dxa"/>
            <w:tcBorders>
              <w:top w:val="nil"/>
              <w:left w:val="double" w:sz="6" w:space="0" w:color="auto"/>
              <w:bottom w:val="double" w:sz="6" w:space="0" w:color="auto"/>
              <w:right w:val="double" w:sz="6" w:space="0" w:color="auto"/>
            </w:tcBorders>
            <w:shd w:val="clear" w:color="auto" w:fill="auto"/>
            <w:vAlign w:val="bottom"/>
            <w:hideMark/>
          </w:tcPr>
          <w:p w:rsidR="002D0BF3" w:rsidRPr="00466A1D" w:rsidRDefault="002D0BF3" w:rsidP="00694F2C">
            <w:pPr>
              <w:rPr>
                <w:sz w:val="18"/>
                <w:szCs w:val="18"/>
              </w:rPr>
            </w:pPr>
            <w:r w:rsidRPr="00466A1D">
              <w:rPr>
                <w:sz w:val="18"/>
                <w:szCs w:val="18"/>
              </w:rPr>
              <w:t>расчеты по платежам в бюджеты</w:t>
            </w:r>
          </w:p>
        </w:tc>
        <w:tc>
          <w:tcPr>
            <w:tcW w:w="1420" w:type="dxa"/>
            <w:tcBorders>
              <w:top w:val="nil"/>
              <w:left w:val="double" w:sz="6" w:space="0" w:color="auto"/>
              <w:bottom w:val="double" w:sz="6" w:space="0" w:color="auto"/>
              <w:right w:val="single" w:sz="4" w:space="0" w:color="auto"/>
            </w:tcBorders>
            <w:shd w:val="clear" w:color="auto" w:fill="auto"/>
            <w:vAlign w:val="bottom"/>
            <w:hideMark/>
          </w:tcPr>
          <w:p w:rsidR="002D0BF3" w:rsidRPr="00466A1D" w:rsidRDefault="008B5442" w:rsidP="00694F2C">
            <w:pPr>
              <w:jc w:val="right"/>
              <w:rPr>
                <w:sz w:val="18"/>
                <w:szCs w:val="18"/>
              </w:rPr>
            </w:pPr>
            <w:r w:rsidRPr="00466A1D">
              <w:rPr>
                <w:sz w:val="18"/>
                <w:szCs w:val="18"/>
              </w:rPr>
              <w:t>31,0</w:t>
            </w:r>
          </w:p>
        </w:tc>
        <w:tc>
          <w:tcPr>
            <w:tcW w:w="1420" w:type="dxa"/>
            <w:tcBorders>
              <w:top w:val="nil"/>
              <w:left w:val="nil"/>
              <w:bottom w:val="double" w:sz="6" w:space="0" w:color="auto"/>
              <w:right w:val="single" w:sz="4" w:space="0" w:color="auto"/>
            </w:tcBorders>
            <w:shd w:val="clear" w:color="auto" w:fill="auto"/>
            <w:vAlign w:val="bottom"/>
            <w:hideMark/>
          </w:tcPr>
          <w:p w:rsidR="002D0BF3" w:rsidRPr="00466A1D" w:rsidRDefault="00847042" w:rsidP="00694F2C">
            <w:pPr>
              <w:jc w:val="right"/>
              <w:rPr>
                <w:sz w:val="18"/>
                <w:szCs w:val="18"/>
              </w:rPr>
            </w:pPr>
            <w:r w:rsidRPr="00466A1D">
              <w:rPr>
                <w:sz w:val="18"/>
                <w:szCs w:val="18"/>
              </w:rPr>
              <w:t>6,0</w:t>
            </w:r>
          </w:p>
        </w:tc>
        <w:tc>
          <w:tcPr>
            <w:tcW w:w="1202" w:type="dxa"/>
            <w:tcBorders>
              <w:top w:val="nil"/>
              <w:left w:val="nil"/>
              <w:bottom w:val="double" w:sz="6" w:space="0" w:color="auto"/>
              <w:right w:val="single" w:sz="4" w:space="0" w:color="auto"/>
            </w:tcBorders>
            <w:shd w:val="clear" w:color="auto" w:fill="auto"/>
            <w:vAlign w:val="bottom"/>
            <w:hideMark/>
          </w:tcPr>
          <w:p w:rsidR="002D0BF3" w:rsidRPr="00466A1D" w:rsidRDefault="00847042" w:rsidP="00694F2C">
            <w:pPr>
              <w:jc w:val="right"/>
              <w:rPr>
                <w:sz w:val="18"/>
                <w:szCs w:val="18"/>
              </w:rPr>
            </w:pPr>
            <w:r w:rsidRPr="00466A1D">
              <w:rPr>
                <w:sz w:val="18"/>
                <w:szCs w:val="18"/>
              </w:rPr>
              <w:t>-25,0</w:t>
            </w:r>
          </w:p>
        </w:tc>
        <w:tc>
          <w:tcPr>
            <w:tcW w:w="992" w:type="dxa"/>
            <w:tcBorders>
              <w:top w:val="nil"/>
              <w:left w:val="nil"/>
              <w:bottom w:val="double" w:sz="6" w:space="0" w:color="auto"/>
              <w:right w:val="double" w:sz="6" w:space="0" w:color="auto"/>
            </w:tcBorders>
            <w:shd w:val="clear" w:color="auto" w:fill="auto"/>
            <w:vAlign w:val="bottom"/>
            <w:hideMark/>
          </w:tcPr>
          <w:p w:rsidR="002D0BF3" w:rsidRPr="00466A1D" w:rsidRDefault="00847042" w:rsidP="00694F2C">
            <w:pPr>
              <w:jc w:val="right"/>
              <w:rPr>
                <w:sz w:val="18"/>
                <w:szCs w:val="18"/>
              </w:rPr>
            </w:pPr>
            <w:r w:rsidRPr="00466A1D">
              <w:rPr>
                <w:sz w:val="18"/>
                <w:szCs w:val="18"/>
              </w:rPr>
              <w:t>-80,7</w:t>
            </w:r>
          </w:p>
        </w:tc>
      </w:tr>
      <w:tr w:rsidR="002D0BF3" w:rsidRPr="00466A1D" w:rsidTr="00694F2C">
        <w:trPr>
          <w:trHeight w:val="270"/>
        </w:trPr>
        <w:tc>
          <w:tcPr>
            <w:tcW w:w="4620" w:type="dxa"/>
            <w:tcBorders>
              <w:top w:val="double" w:sz="6" w:space="0" w:color="auto"/>
              <w:left w:val="double" w:sz="6" w:space="0" w:color="auto"/>
              <w:bottom w:val="double" w:sz="6" w:space="0" w:color="auto"/>
              <w:right w:val="double" w:sz="6" w:space="0" w:color="auto"/>
            </w:tcBorders>
            <w:shd w:val="clear" w:color="auto" w:fill="auto"/>
            <w:vAlign w:val="bottom"/>
            <w:hideMark/>
          </w:tcPr>
          <w:p w:rsidR="008B5442" w:rsidRPr="00466A1D" w:rsidRDefault="008B5442" w:rsidP="00694F2C">
            <w:pPr>
              <w:rPr>
                <w:b/>
                <w:bCs/>
                <w:iCs/>
                <w:sz w:val="18"/>
                <w:szCs w:val="18"/>
              </w:rPr>
            </w:pPr>
            <w:r w:rsidRPr="00466A1D">
              <w:rPr>
                <w:b/>
                <w:bCs/>
                <w:iCs/>
                <w:sz w:val="18"/>
                <w:szCs w:val="18"/>
              </w:rPr>
              <w:t xml:space="preserve">Кредиторская </w:t>
            </w:r>
            <w:r w:rsidR="002D0BF3" w:rsidRPr="00466A1D">
              <w:rPr>
                <w:b/>
                <w:bCs/>
                <w:iCs/>
                <w:sz w:val="18"/>
                <w:szCs w:val="18"/>
              </w:rPr>
              <w:t xml:space="preserve">задолженность </w:t>
            </w:r>
            <w:r w:rsidRPr="00466A1D">
              <w:rPr>
                <w:b/>
                <w:bCs/>
                <w:iCs/>
                <w:sz w:val="18"/>
                <w:szCs w:val="18"/>
              </w:rPr>
              <w:t>итого,</w:t>
            </w:r>
          </w:p>
          <w:p w:rsidR="002D0BF3" w:rsidRPr="00466A1D" w:rsidRDefault="002D0BF3" w:rsidP="00694F2C">
            <w:pPr>
              <w:rPr>
                <w:b/>
                <w:bCs/>
                <w:iCs/>
                <w:sz w:val="18"/>
                <w:szCs w:val="18"/>
              </w:rPr>
            </w:pPr>
            <w:r w:rsidRPr="00466A1D">
              <w:rPr>
                <w:b/>
                <w:bCs/>
                <w:iCs/>
                <w:sz w:val="18"/>
                <w:szCs w:val="18"/>
              </w:rPr>
              <w:t xml:space="preserve"> </w:t>
            </w:r>
            <w:r w:rsidRPr="00466A1D">
              <w:rPr>
                <w:b/>
                <w:bCs/>
                <w:sz w:val="18"/>
                <w:szCs w:val="18"/>
              </w:rPr>
              <w:t>в том числе:</w:t>
            </w:r>
          </w:p>
        </w:tc>
        <w:tc>
          <w:tcPr>
            <w:tcW w:w="1420" w:type="dxa"/>
            <w:tcBorders>
              <w:top w:val="double" w:sz="6" w:space="0" w:color="auto"/>
              <w:left w:val="double" w:sz="6" w:space="0" w:color="auto"/>
              <w:bottom w:val="double" w:sz="6" w:space="0" w:color="auto"/>
              <w:right w:val="single" w:sz="4" w:space="0" w:color="auto"/>
            </w:tcBorders>
            <w:shd w:val="clear" w:color="auto" w:fill="auto"/>
            <w:vAlign w:val="bottom"/>
            <w:hideMark/>
          </w:tcPr>
          <w:p w:rsidR="002D0BF3" w:rsidRPr="00466A1D" w:rsidRDefault="00D752AD" w:rsidP="00D752AD">
            <w:pPr>
              <w:jc w:val="right"/>
              <w:rPr>
                <w:b/>
                <w:bCs/>
                <w:iCs/>
                <w:sz w:val="18"/>
                <w:szCs w:val="18"/>
              </w:rPr>
            </w:pPr>
            <w:r w:rsidRPr="00466A1D">
              <w:rPr>
                <w:b/>
                <w:bCs/>
                <w:iCs/>
                <w:sz w:val="18"/>
                <w:szCs w:val="18"/>
              </w:rPr>
              <w:t>555235,9</w:t>
            </w:r>
          </w:p>
        </w:tc>
        <w:tc>
          <w:tcPr>
            <w:tcW w:w="1420" w:type="dxa"/>
            <w:tcBorders>
              <w:top w:val="double" w:sz="6" w:space="0" w:color="auto"/>
              <w:left w:val="nil"/>
              <w:bottom w:val="double" w:sz="6" w:space="0" w:color="auto"/>
              <w:right w:val="single" w:sz="4" w:space="0" w:color="auto"/>
            </w:tcBorders>
            <w:shd w:val="clear" w:color="auto" w:fill="auto"/>
            <w:vAlign w:val="bottom"/>
            <w:hideMark/>
          </w:tcPr>
          <w:p w:rsidR="002D0BF3" w:rsidRPr="00466A1D" w:rsidRDefault="00D752AD" w:rsidP="00D752AD">
            <w:pPr>
              <w:jc w:val="right"/>
              <w:rPr>
                <w:b/>
                <w:bCs/>
                <w:iCs/>
                <w:sz w:val="18"/>
                <w:szCs w:val="18"/>
              </w:rPr>
            </w:pPr>
            <w:r w:rsidRPr="00466A1D">
              <w:rPr>
                <w:b/>
                <w:bCs/>
                <w:iCs/>
                <w:sz w:val="18"/>
                <w:szCs w:val="18"/>
              </w:rPr>
              <w:t>117345,5</w:t>
            </w:r>
          </w:p>
        </w:tc>
        <w:tc>
          <w:tcPr>
            <w:tcW w:w="1202" w:type="dxa"/>
            <w:tcBorders>
              <w:top w:val="double" w:sz="6" w:space="0" w:color="auto"/>
              <w:left w:val="nil"/>
              <w:bottom w:val="double" w:sz="6" w:space="0" w:color="auto"/>
              <w:right w:val="single" w:sz="4" w:space="0" w:color="auto"/>
            </w:tcBorders>
            <w:shd w:val="clear" w:color="auto" w:fill="auto"/>
            <w:vAlign w:val="bottom"/>
            <w:hideMark/>
          </w:tcPr>
          <w:p w:rsidR="002D0BF3" w:rsidRPr="00466A1D" w:rsidRDefault="00D752AD" w:rsidP="00D752AD">
            <w:pPr>
              <w:jc w:val="right"/>
              <w:rPr>
                <w:b/>
                <w:bCs/>
                <w:iCs/>
                <w:sz w:val="18"/>
                <w:szCs w:val="18"/>
              </w:rPr>
            </w:pPr>
            <w:r w:rsidRPr="00466A1D">
              <w:rPr>
                <w:b/>
                <w:bCs/>
                <w:iCs/>
                <w:sz w:val="18"/>
                <w:szCs w:val="18"/>
              </w:rPr>
              <w:t>-437890,4</w:t>
            </w:r>
          </w:p>
        </w:tc>
        <w:tc>
          <w:tcPr>
            <w:tcW w:w="992" w:type="dxa"/>
            <w:tcBorders>
              <w:top w:val="double" w:sz="6" w:space="0" w:color="auto"/>
              <w:left w:val="nil"/>
              <w:bottom w:val="double" w:sz="6" w:space="0" w:color="auto"/>
              <w:right w:val="double" w:sz="6" w:space="0" w:color="auto"/>
            </w:tcBorders>
            <w:shd w:val="clear" w:color="auto" w:fill="auto"/>
            <w:vAlign w:val="bottom"/>
            <w:hideMark/>
          </w:tcPr>
          <w:p w:rsidR="002D0BF3" w:rsidRPr="00466A1D" w:rsidRDefault="00221D7E" w:rsidP="00D752AD">
            <w:pPr>
              <w:jc w:val="right"/>
              <w:rPr>
                <w:b/>
                <w:bCs/>
                <w:iCs/>
                <w:sz w:val="18"/>
                <w:szCs w:val="18"/>
              </w:rPr>
            </w:pPr>
            <w:r w:rsidRPr="00466A1D">
              <w:rPr>
                <w:b/>
                <w:bCs/>
                <w:iCs/>
                <w:sz w:val="18"/>
                <w:szCs w:val="18"/>
              </w:rPr>
              <w:t>-78,9</w:t>
            </w:r>
          </w:p>
        </w:tc>
      </w:tr>
      <w:tr w:rsidR="002D0BF3" w:rsidRPr="00466A1D" w:rsidTr="00694F2C">
        <w:trPr>
          <w:trHeight w:val="255"/>
        </w:trPr>
        <w:tc>
          <w:tcPr>
            <w:tcW w:w="4620" w:type="dxa"/>
            <w:tcBorders>
              <w:top w:val="double" w:sz="6" w:space="0" w:color="auto"/>
              <w:left w:val="double" w:sz="6" w:space="0" w:color="auto"/>
              <w:bottom w:val="single" w:sz="4" w:space="0" w:color="auto"/>
              <w:right w:val="double" w:sz="6" w:space="0" w:color="auto"/>
            </w:tcBorders>
            <w:shd w:val="clear" w:color="auto" w:fill="auto"/>
            <w:vAlign w:val="bottom"/>
            <w:hideMark/>
          </w:tcPr>
          <w:p w:rsidR="002D0BF3" w:rsidRPr="00466A1D" w:rsidRDefault="002D0BF3" w:rsidP="00694F2C">
            <w:pPr>
              <w:rPr>
                <w:sz w:val="18"/>
                <w:szCs w:val="18"/>
              </w:rPr>
            </w:pPr>
            <w:r w:rsidRPr="00466A1D">
              <w:rPr>
                <w:sz w:val="18"/>
                <w:szCs w:val="18"/>
              </w:rPr>
              <w:t>расчеты по принятым обязательствам</w:t>
            </w:r>
          </w:p>
        </w:tc>
        <w:tc>
          <w:tcPr>
            <w:tcW w:w="1420"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2D0BF3" w:rsidRPr="00466A1D" w:rsidRDefault="00847042" w:rsidP="00694F2C">
            <w:pPr>
              <w:jc w:val="right"/>
              <w:rPr>
                <w:sz w:val="18"/>
                <w:szCs w:val="18"/>
              </w:rPr>
            </w:pPr>
            <w:r w:rsidRPr="00466A1D">
              <w:rPr>
                <w:sz w:val="18"/>
                <w:szCs w:val="18"/>
              </w:rPr>
              <w:t>89531,3</w:t>
            </w:r>
          </w:p>
        </w:tc>
        <w:tc>
          <w:tcPr>
            <w:tcW w:w="1420" w:type="dxa"/>
            <w:tcBorders>
              <w:top w:val="double" w:sz="6" w:space="0" w:color="auto"/>
              <w:left w:val="nil"/>
              <w:bottom w:val="single" w:sz="4" w:space="0" w:color="auto"/>
              <w:right w:val="single" w:sz="4" w:space="0" w:color="auto"/>
            </w:tcBorders>
            <w:shd w:val="clear" w:color="auto" w:fill="auto"/>
            <w:vAlign w:val="bottom"/>
            <w:hideMark/>
          </w:tcPr>
          <w:p w:rsidR="002D0BF3" w:rsidRPr="00466A1D" w:rsidRDefault="00847042" w:rsidP="00694F2C">
            <w:pPr>
              <w:jc w:val="right"/>
              <w:rPr>
                <w:sz w:val="18"/>
                <w:szCs w:val="18"/>
              </w:rPr>
            </w:pPr>
            <w:r w:rsidRPr="00466A1D">
              <w:rPr>
                <w:sz w:val="18"/>
                <w:szCs w:val="18"/>
              </w:rPr>
              <w:t>43320,8</w:t>
            </w:r>
          </w:p>
        </w:tc>
        <w:tc>
          <w:tcPr>
            <w:tcW w:w="1202" w:type="dxa"/>
            <w:tcBorders>
              <w:top w:val="double" w:sz="6" w:space="0" w:color="auto"/>
              <w:left w:val="nil"/>
              <w:bottom w:val="single" w:sz="4" w:space="0" w:color="auto"/>
              <w:right w:val="single" w:sz="4" w:space="0" w:color="auto"/>
            </w:tcBorders>
            <w:shd w:val="clear" w:color="auto" w:fill="auto"/>
            <w:vAlign w:val="bottom"/>
            <w:hideMark/>
          </w:tcPr>
          <w:p w:rsidR="002D0BF3" w:rsidRPr="00466A1D" w:rsidRDefault="00847042" w:rsidP="00694F2C">
            <w:pPr>
              <w:jc w:val="right"/>
              <w:rPr>
                <w:sz w:val="18"/>
                <w:szCs w:val="18"/>
              </w:rPr>
            </w:pPr>
            <w:r w:rsidRPr="00466A1D">
              <w:rPr>
                <w:sz w:val="18"/>
                <w:szCs w:val="18"/>
              </w:rPr>
              <w:t>-46210,5</w:t>
            </w:r>
          </w:p>
        </w:tc>
        <w:tc>
          <w:tcPr>
            <w:tcW w:w="992" w:type="dxa"/>
            <w:tcBorders>
              <w:top w:val="double" w:sz="6" w:space="0" w:color="auto"/>
              <w:left w:val="nil"/>
              <w:bottom w:val="single" w:sz="4" w:space="0" w:color="auto"/>
              <w:right w:val="double" w:sz="6" w:space="0" w:color="auto"/>
            </w:tcBorders>
            <w:shd w:val="clear" w:color="auto" w:fill="auto"/>
            <w:vAlign w:val="bottom"/>
            <w:hideMark/>
          </w:tcPr>
          <w:p w:rsidR="002D0BF3" w:rsidRPr="00466A1D" w:rsidRDefault="00847042" w:rsidP="00694F2C">
            <w:pPr>
              <w:jc w:val="right"/>
              <w:rPr>
                <w:sz w:val="18"/>
                <w:szCs w:val="18"/>
              </w:rPr>
            </w:pPr>
            <w:r w:rsidRPr="00466A1D">
              <w:rPr>
                <w:sz w:val="18"/>
                <w:szCs w:val="18"/>
              </w:rPr>
              <w:t>-</w:t>
            </w:r>
            <w:r w:rsidR="008B43A0" w:rsidRPr="00466A1D">
              <w:rPr>
                <w:sz w:val="18"/>
                <w:szCs w:val="18"/>
              </w:rPr>
              <w:t>51,6</w:t>
            </w:r>
          </w:p>
        </w:tc>
      </w:tr>
      <w:tr w:rsidR="00847042" w:rsidRPr="00466A1D" w:rsidTr="00694F2C">
        <w:trPr>
          <w:trHeight w:val="255"/>
        </w:trPr>
        <w:tc>
          <w:tcPr>
            <w:tcW w:w="4620" w:type="dxa"/>
            <w:tcBorders>
              <w:top w:val="double" w:sz="6" w:space="0" w:color="auto"/>
              <w:left w:val="double" w:sz="6" w:space="0" w:color="auto"/>
              <w:bottom w:val="single" w:sz="4" w:space="0" w:color="auto"/>
              <w:right w:val="double" w:sz="6" w:space="0" w:color="auto"/>
            </w:tcBorders>
            <w:shd w:val="clear" w:color="auto" w:fill="auto"/>
            <w:vAlign w:val="bottom"/>
            <w:hideMark/>
          </w:tcPr>
          <w:p w:rsidR="00847042" w:rsidRPr="00466A1D" w:rsidRDefault="00847042" w:rsidP="00694F2C">
            <w:pPr>
              <w:rPr>
                <w:sz w:val="18"/>
                <w:szCs w:val="18"/>
                <w:highlight w:val="yellow"/>
              </w:rPr>
            </w:pPr>
            <w:r w:rsidRPr="00466A1D">
              <w:rPr>
                <w:sz w:val="18"/>
                <w:szCs w:val="18"/>
              </w:rPr>
              <w:t>расчеты по платежам в бюджеты</w:t>
            </w:r>
          </w:p>
        </w:tc>
        <w:tc>
          <w:tcPr>
            <w:tcW w:w="1420"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847042" w:rsidRPr="00466A1D" w:rsidRDefault="00847042" w:rsidP="00694F2C">
            <w:pPr>
              <w:jc w:val="right"/>
              <w:rPr>
                <w:sz w:val="18"/>
                <w:szCs w:val="18"/>
              </w:rPr>
            </w:pPr>
            <w:r w:rsidRPr="00466A1D">
              <w:rPr>
                <w:sz w:val="18"/>
                <w:szCs w:val="18"/>
              </w:rPr>
              <w:t>1820,9</w:t>
            </w:r>
          </w:p>
        </w:tc>
        <w:tc>
          <w:tcPr>
            <w:tcW w:w="1420" w:type="dxa"/>
            <w:tcBorders>
              <w:top w:val="double" w:sz="6" w:space="0" w:color="auto"/>
              <w:left w:val="nil"/>
              <w:bottom w:val="single" w:sz="4" w:space="0" w:color="auto"/>
              <w:right w:val="single" w:sz="4" w:space="0" w:color="auto"/>
            </w:tcBorders>
            <w:shd w:val="clear" w:color="auto" w:fill="auto"/>
            <w:vAlign w:val="bottom"/>
            <w:hideMark/>
          </w:tcPr>
          <w:p w:rsidR="00847042" w:rsidRPr="00466A1D" w:rsidRDefault="00847042" w:rsidP="00694F2C">
            <w:pPr>
              <w:jc w:val="right"/>
              <w:rPr>
                <w:sz w:val="18"/>
                <w:szCs w:val="18"/>
              </w:rPr>
            </w:pPr>
            <w:r w:rsidRPr="00466A1D">
              <w:rPr>
                <w:sz w:val="18"/>
                <w:szCs w:val="18"/>
              </w:rPr>
              <w:t>9454,8</w:t>
            </w:r>
          </w:p>
        </w:tc>
        <w:tc>
          <w:tcPr>
            <w:tcW w:w="1202" w:type="dxa"/>
            <w:tcBorders>
              <w:top w:val="double" w:sz="6" w:space="0" w:color="auto"/>
              <w:left w:val="nil"/>
              <w:bottom w:val="single" w:sz="4" w:space="0" w:color="auto"/>
              <w:right w:val="single" w:sz="4" w:space="0" w:color="auto"/>
            </w:tcBorders>
            <w:shd w:val="clear" w:color="auto" w:fill="auto"/>
            <w:vAlign w:val="bottom"/>
            <w:hideMark/>
          </w:tcPr>
          <w:p w:rsidR="00847042" w:rsidRPr="00466A1D" w:rsidRDefault="00847042" w:rsidP="00694F2C">
            <w:pPr>
              <w:jc w:val="right"/>
              <w:rPr>
                <w:sz w:val="18"/>
                <w:szCs w:val="18"/>
              </w:rPr>
            </w:pPr>
            <w:r w:rsidRPr="00466A1D">
              <w:rPr>
                <w:sz w:val="18"/>
                <w:szCs w:val="18"/>
              </w:rPr>
              <w:t>+7633,9</w:t>
            </w:r>
          </w:p>
        </w:tc>
        <w:tc>
          <w:tcPr>
            <w:tcW w:w="992" w:type="dxa"/>
            <w:tcBorders>
              <w:top w:val="double" w:sz="6" w:space="0" w:color="auto"/>
              <w:left w:val="nil"/>
              <w:bottom w:val="single" w:sz="4" w:space="0" w:color="auto"/>
              <w:right w:val="double" w:sz="6" w:space="0" w:color="auto"/>
            </w:tcBorders>
            <w:shd w:val="clear" w:color="auto" w:fill="auto"/>
            <w:vAlign w:val="bottom"/>
            <w:hideMark/>
          </w:tcPr>
          <w:p w:rsidR="00847042" w:rsidRPr="00466A1D" w:rsidRDefault="00A753DE" w:rsidP="00694F2C">
            <w:pPr>
              <w:jc w:val="right"/>
              <w:rPr>
                <w:sz w:val="18"/>
                <w:szCs w:val="18"/>
              </w:rPr>
            </w:pPr>
            <w:r w:rsidRPr="00466A1D">
              <w:rPr>
                <w:sz w:val="18"/>
                <w:szCs w:val="18"/>
              </w:rPr>
              <w:t>в 4 раза</w:t>
            </w:r>
          </w:p>
        </w:tc>
      </w:tr>
      <w:tr w:rsidR="00847042" w:rsidRPr="00466A1D" w:rsidTr="00694F2C">
        <w:trPr>
          <w:trHeight w:val="255"/>
        </w:trPr>
        <w:tc>
          <w:tcPr>
            <w:tcW w:w="4620" w:type="dxa"/>
            <w:tcBorders>
              <w:top w:val="double" w:sz="6" w:space="0" w:color="auto"/>
              <w:left w:val="double" w:sz="6" w:space="0" w:color="auto"/>
              <w:bottom w:val="single" w:sz="4" w:space="0" w:color="auto"/>
              <w:right w:val="double" w:sz="6" w:space="0" w:color="auto"/>
            </w:tcBorders>
            <w:shd w:val="clear" w:color="auto" w:fill="auto"/>
            <w:vAlign w:val="bottom"/>
            <w:hideMark/>
          </w:tcPr>
          <w:p w:rsidR="00847042" w:rsidRPr="00466A1D" w:rsidRDefault="00D752AD" w:rsidP="00694F2C">
            <w:pPr>
              <w:rPr>
                <w:sz w:val="18"/>
                <w:szCs w:val="18"/>
              </w:rPr>
            </w:pPr>
            <w:r w:rsidRPr="00466A1D">
              <w:rPr>
                <w:sz w:val="18"/>
                <w:szCs w:val="18"/>
              </w:rPr>
              <w:t>прочие расчеты с кредиторами</w:t>
            </w:r>
          </w:p>
        </w:tc>
        <w:tc>
          <w:tcPr>
            <w:tcW w:w="1420"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847042" w:rsidRPr="00466A1D" w:rsidRDefault="00D752AD" w:rsidP="00694F2C">
            <w:pPr>
              <w:jc w:val="right"/>
              <w:rPr>
                <w:sz w:val="18"/>
                <w:szCs w:val="18"/>
              </w:rPr>
            </w:pPr>
            <w:r w:rsidRPr="00466A1D">
              <w:rPr>
                <w:sz w:val="18"/>
                <w:szCs w:val="18"/>
              </w:rPr>
              <w:t>1,4</w:t>
            </w:r>
          </w:p>
        </w:tc>
        <w:tc>
          <w:tcPr>
            <w:tcW w:w="1420" w:type="dxa"/>
            <w:tcBorders>
              <w:top w:val="double" w:sz="6" w:space="0" w:color="auto"/>
              <w:left w:val="nil"/>
              <w:bottom w:val="single" w:sz="4" w:space="0" w:color="auto"/>
              <w:right w:val="single" w:sz="4" w:space="0" w:color="auto"/>
            </w:tcBorders>
            <w:shd w:val="clear" w:color="auto" w:fill="auto"/>
            <w:vAlign w:val="bottom"/>
            <w:hideMark/>
          </w:tcPr>
          <w:p w:rsidR="00847042" w:rsidRPr="00466A1D" w:rsidRDefault="00D752AD" w:rsidP="00694F2C">
            <w:pPr>
              <w:jc w:val="right"/>
              <w:rPr>
                <w:sz w:val="18"/>
                <w:szCs w:val="18"/>
              </w:rPr>
            </w:pPr>
            <w:r w:rsidRPr="00466A1D">
              <w:rPr>
                <w:sz w:val="18"/>
                <w:szCs w:val="18"/>
              </w:rPr>
              <w:t>0,0</w:t>
            </w:r>
          </w:p>
        </w:tc>
        <w:tc>
          <w:tcPr>
            <w:tcW w:w="1202" w:type="dxa"/>
            <w:tcBorders>
              <w:top w:val="double" w:sz="6" w:space="0" w:color="auto"/>
              <w:left w:val="nil"/>
              <w:bottom w:val="single" w:sz="4" w:space="0" w:color="auto"/>
              <w:right w:val="single" w:sz="4" w:space="0" w:color="auto"/>
            </w:tcBorders>
            <w:shd w:val="clear" w:color="auto" w:fill="auto"/>
            <w:vAlign w:val="bottom"/>
            <w:hideMark/>
          </w:tcPr>
          <w:p w:rsidR="00847042" w:rsidRPr="00466A1D" w:rsidRDefault="00D752AD" w:rsidP="00694F2C">
            <w:pPr>
              <w:jc w:val="right"/>
              <w:rPr>
                <w:sz w:val="18"/>
                <w:szCs w:val="18"/>
              </w:rPr>
            </w:pPr>
            <w:r w:rsidRPr="00466A1D">
              <w:rPr>
                <w:sz w:val="18"/>
                <w:szCs w:val="18"/>
              </w:rPr>
              <w:t>-1,4</w:t>
            </w:r>
          </w:p>
        </w:tc>
        <w:tc>
          <w:tcPr>
            <w:tcW w:w="992" w:type="dxa"/>
            <w:tcBorders>
              <w:top w:val="double" w:sz="6" w:space="0" w:color="auto"/>
              <w:left w:val="nil"/>
              <w:bottom w:val="single" w:sz="4" w:space="0" w:color="auto"/>
              <w:right w:val="double" w:sz="6" w:space="0" w:color="auto"/>
            </w:tcBorders>
            <w:shd w:val="clear" w:color="auto" w:fill="auto"/>
            <w:vAlign w:val="bottom"/>
            <w:hideMark/>
          </w:tcPr>
          <w:p w:rsidR="00847042" w:rsidRPr="00466A1D" w:rsidRDefault="00D752AD" w:rsidP="00694F2C">
            <w:pPr>
              <w:jc w:val="right"/>
              <w:rPr>
                <w:sz w:val="18"/>
                <w:szCs w:val="18"/>
              </w:rPr>
            </w:pPr>
            <w:r w:rsidRPr="00466A1D">
              <w:rPr>
                <w:sz w:val="18"/>
                <w:szCs w:val="18"/>
              </w:rPr>
              <w:t>0,0</w:t>
            </w:r>
          </w:p>
        </w:tc>
      </w:tr>
      <w:tr w:rsidR="002D0BF3" w:rsidRPr="00466A1D" w:rsidTr="00694F2C">
        <w:trPr>
          <w:trHeight w:val="255"/>
        </w:trPr>
        <w:tc>
          <w:tcPr>
            <w:tcW w:w="4620" w:type="dxa"/>
            <w:tcBorders>
              <w:top w:val="double" w:sz="6" w:space="0" w:color="auto"/>
              <w:left w:val="double" w:sz="6" w:space="0" w:color="auto"/>
              <w:bottom w:val="single" w:sz="4" w:space="0" w:color="auto"/>
              <w:right w:val="double" w:sz="6" w:space="0" w:color="auto"/>
            </w:tcBorders>
            <w:shd w:val="clear" w:color="auto" w:fill="auto"/>
            <w:vAlign w:val="bottom"/>
            <w:hideMark/>
          </w:tcPr>
          <w:p w:rsidR="002D0BF3" w:rsidRPr="00466A1D" w:rsidRDefault="002D0BF3" w:rsidP="00694F2C">
            <w:pPr>
              <w:rPr>
                <w:sz w:val="18"/>
                <w:szCs w:val="18"/>
                <w:highlight w:val="yellow"/>
              </w:rPr>
            </w:pPr>
            <w:r w:rsidRPr="00466A1D">
              <w:rPr>
                <w:sz w:val="18"/>
                <w:szCs w:val="18"/>
              </w:rPr>
              <w:t>расчеты с подотчетными лицами</w:t>
            </w:r>
          </w:p>
        </w:tc>
        <w:tc>
          <w:tcPr>
            <w:tcW w:w="1420"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2D0BF3" w:rsidRPr="00466A1D" w:rsidRDefault="00D752AD" w:rsidP="00694F2C">
            <w:pPr>
              <w:jc w:val="right"/>
              <w:rPr>
                <w:sz w:val="18"/>
                <w:szCs w:val="18"/>
              </w:rPr>
            </w:pPr>
            <w:r w:rsidRPr="00466A1D">
              <w:rPr>
                <w:sz w:val="18"/>
                <w:szCs w:val="18"/>
              </w:rPr>
              <w:t>72,7</w:t>
            </w:r>
          </w:p>
        </w:tc>
        <w:tc>
          <w:tcPr>
            <w:tcW w:w="1420" w:type="dxa"/>
            <w:tcBorders>
              <w:top w:val="double" w:sz="6" w:space="0" w:color="auto"/>
              <w:left w:val="nil"/>
              <w:bottom w:val="single" w:sz="4" w:space="0" w:color="auto"/>
              <w:right w:val="single" w:sz="4" w:space="0" w:color="auto"/>
            </w:tcBorders>
            <w:shd w:val="clear" w:color="auto" w:fill="auto"/>
            <w:vAlign w:val="bottom"/>
            <w:hideMark/>
          </w:tcPr>
          <w:p w:rsidR="002D0BF3" w:rsidRPr="00466A1D" w:rsidRDefault="00D752AD" w:rsidP="00694F2C">
            <w:pPr>
              <w:jc w:val="right"/>
              <w:rPr>
                <w:sz w:val="18"/>
                <w:szCs w:val="18"/>
              </w:rPr>
            </w:pPr>
            <w:r w:rsidRPr="00466A1D">
              <w:rPr>
                <w:sz w:val="18"/>
                <w:szCs w:val="18"/>
              </w:rPr>
              <w:t>0,0</w:t>
            </w:r>
          </w:p>
        </w:tc>
        <w:tc>
          <w:tcPr>
            <w:tcW w:w="1202" w:type="dxa"/>
            <w:tcBorders>
              <w:top w:val="double" w:sz="6" w:space="0" w:color="auto"/>
              <w:left w:val="nil"/>
              <w:bottom w:val="single" w:sz="4" w:space="0" w:color="auto"/>
              <w:right w:val="single" w:sz="4" w:space="0" w:color="auto"/>
            </w:tcBorders>
            <w:shd w:val="clear" w:color="auto" w:fill="auto"/>
            <w:vAlign w:val="bottom"/>
            <w:hideMark/>
          </w:tcPr>
          <w:p w:rsidR="002D0BF3" w:rsidRPr="00466A1D" w:rsidRDefault="00D752AD" w:rsidP="00694F2C">
            <w:pPr>
              <w:jc w:val="right"/>
              <w:rPr>
                <w:sz w:val="18"/>
                <w:szCs w:val="18"/>
              </w:rPr>
            </w:pPr>
            <w:r w:rsidRPr="00466A1D">
              <w:rPr>
                <w:sz w:val="18"/>
                <w:szCs w:val="18"/>
              </w:rPr>
              <w:t>-72,7</w:t>
            </w:r>
          </w:p>
        </w:tc>
        <w:tc>
          <w:tcPr>
            <w:tcW w:w="992" w:type="dxa"/>
            <w:tcBorders>
              <w:top w:val="double" w:sz="6" w:space="0" w:color="auto"/>
              <w:left w:val="nil"/>
              <w:bottom w:val="single" w:sz="4" w:space="0" w:color="auto"/>
              <w:right w:val="double" w:sz="6" w:space="0" w:color="auto"/>
            </w:tcBorders>
            <w:shd w:val="clear" w:color="auto" w:fill="auto"/>
            <w:vAlign w:val="bottom"/>
            <w:hideMark/>
          </w:tcPr>
          <w:p w:rsidR="002D0BF3" w:rsidRPr="00466A1D" w:rsidRDefault="00D752AD" w:rsidP="00694F2C">
            <w:pPr>
              <w:jc w:val="right"/>
              <w:rPr>
                <w:sz w:val="18"/>
                <w:szCs w:val="18"/>
              </w:rPr>
            </w:pPr>
            <w:r w:rsidRPr="00466A1D">
              <w:rPr>
                <w:sz w:val="18"/>
                <w:szCs w:val="18"/>
              </w:rPr>
              <w:t>0,0</w:t>
            </w:r>
          </w:p>
        </w:tc>
      </w:tr>
      <w:tr w:rsidR="002D0BF3" w:rsidRPr="00466A1D" w:rsidTr="00694F2C">
        <w:trPr>
          <w:trHeight w:val="255"/>
        </w:trPr>
        <w:tc>
          <w:tcPr>
            <w:tcW w:w="4620" w:type="dxa"/>
            <w:tcBorders>
              <w:top w:val="double" w:sz="6" w:space="0" w:color="auto"/>
              <w:left w:val="double" w:sz="6" w:space="0" w:color="auto"/>
              <w:bottom w:val="single" w:sz="4" w:space="0" w:color="auto"/>
              <w:right w:val="double" w:sz="6" w:space="0" w:color="auto"/>
            </w:tcBorders>
            <w:shd w:val="clear" w:color="auto" w:fill="auto"/>
            <w:vAlign w:val="bottom"/>
            <w:hideMark/>
          </w:tcPr>
          <w:p w:rsidR="002D0BF3" w:rsidRPr="00466A1D" w:rsidRDefault="002D0BF3" w:rsidP="00694F2C">
            <w:pPr>
              <w:rPr>
                <w:sz w:val="18"/>
                <w:szCs w:val="18"/>
              </w:rPr>
            </w:pPr>
            <w:r w:rsidRPr="00466A1D">
              <w:rPr>
                <w:sz w:val="18"/>
                <w:szCs w:val="18"/>
              </w:rPr>
              <w:t>расчеты по доходам</w:t>
            </w:r>
          </w:p>
        </w:tc>
        <w:tc>
          <w:tcPr>
            <w:tcW w:w="1420" w:type="dxa"/>
            <w:tcBorders>
              <w:top w:val="double" w:sz="6" w:space="0" w:color="auto"/>
              <w:left w:val="double" w:sz="6" w:space="0" w:color="auto"/>
              <w:bottom w:val="single" w:sz="4" w:space="0" w:color="auto"/>
              <w:right w:val="single" w:sz="4" w:space="0" w:color="auto"/>
            </w:tcBorders>
            <w:shd w:val="clear" w:color="auto" w:fill="auto"/>
            <w:vAlign w:val="bottom"/>
            <w:hideMark/>
          </w:tcPr>
          <w:p w:rsidR="002D0BF3" w:rsidRPr="00466A1D" w:rsidRDefault="00D752AD" w:rsidP="00694F2C">
            <w:pPr>
              <w:jc w:val="right"/>
              <w:rPr>
                <w:sz w:val="18"/>
                <w:szCs w:val="18"/>
              </w:rPr>
            </w:pPr>
            <w:r w:rsidRPr="00466A1D">
              <w:rPr>
                <w:sz w:val="18"/>
                <w:szCs w:val="18"/>
              </w:rPr>
              <w:t>463809,6</w:t>
            </w:r>
          </w:p>
        </w:tc>
        <w:tc>
          <w:tcPr>
            <w:tcW w:w="1420" w:type="dxa"/>
            <w:tcBorders>
              <w:top w:val="double" w:sz="6" w:space="0" w:color="auto"/>
              <w:left w:val="nil"/>
              <w:bottom w:val="single" w:sz="4" w:space="0" w:color="auto"/>
              <w:right w:val="single" w:sz="4" w:space="0" w:color="auto"/>
            </w:tcBorders>
            <w:shd w:val="clear" w:color="auto" w:fill="auto"/>
            <w:vAlign w:val="bottom"/>
            <w:hideMark/>
          </w:tcPr>
          <w:p w:rsidR="002D0BF3" w:rsidRPr="00466A1D" w:rsidRDefault="00D752AD" w:rsidP="00694F2C">
            <w:pPr>
              <w:jc w:val="right"/>
              <w:rPr>
                <w:sz w:val="18"/>
                <w:szCs w:val="18"/>
              </w:rPr>
            </w:pPr>
            <w:r w:rsidRPr="00466A1D">
              <w:rPr>
                <w:sz w:val="18"/>
                <w:szCs w:val="18"/>
              </w:rPr>
              <w:t>64569,9</w:t>
            </w:r>
          </w:p>
        </w:tc>
        <w:tc>
          <w:tcPr>
            <w:tcW w:w="1202" w:type="dxa"/>
            <w:tcBorders>
              <w:top w:val="double" w:sz="6" w:space="0" w:color="auto"/>
              <w:left w:val="nil"/>
              <w:bottom w:val="single" w:sz="4" w:space="0" w:color="auto"/>
              <w:right w:val="single" w:sz="4" w:space="0" w:color="auto"/>
            </w:tcBorders>
            <w:shd w:val="clear" w:color="auto" w:fill="auto"/>
            <w:vAlign w:val="bottom"/>
            <w:hideMark/>
          </w:tcPr>
          <w:p w:rsidR="002D0BF3" w:rsidRPr="00466A1D" w:rsidRDefault="00D752AD" w:rsidP="00694F2C">
            <w:pPr>
              <w:jc w:val="right"/>
              <w:rPr>
                <w:sz w:val="18"/>
                <w:szCs w:val="18"/>
              </w:rPr>
            </w:pPr>
            <w:r w:rsidRPr="00466A1D">
              <w:rPr>
                <w:sz w:val="18"/>
                <w:szCs w:val="18"/>
              </w:rPr>
              <w:t>-399239,7</w:t>
            </w:r>
          </w:p>
        </w:tc>
        <w:tc>
          <w:tcPr>
            <w:tcW w:w="992" w:type="dxa"/>
            <w:tcBorders>
              <w:top w:val="double" w:sz="6" w:space="0" w:color="auto"/>
              <w:left w:val="nil"/>
              <w:bottom w:val="single" w:sz="4" w:space="0" w:color="auto"/>
              <w:right w:val="double" w:sz="6" w:space="0" w:color="auto"/>
            </w:tcBorders>
            <w:shd w:val="clear" w:color="auto" w:fill="auto"/>
            <w:vAlign w:val="bottom"/>
            <w:hideMark/>
          </w:tcPr>
          <w:p w:rsidR="002D0BF3" w:rsidRPr="00466A1D" w:rsidRDefault="00D752AD" w:rsidP="00694F2C">
            <w:pPr>
              <w:jc w:val="right"/>
              <w:rPr>
                <w:sz w:val="18"/>
                <w:szCs w:val="18"/>
              </w:rPr>
            </w:pPr>
            <w:r w:rsidRPr="00466A1D">
              <w:rPr>
                <w:sz w:val="18"/>
                <w:szCs w:val="18"/>
              </w:rPr>
              <w:t>-86,1</w:t>
            </w:r>
          </w:p>
        </w:tc>
      </w:tr>
    </w:tbl>
    <w:p w:rsidR="00D2137A" w:rsidRPr="00466A1D" w:rsidRDefault="009940A9" w:rsidP="009940A9">
      <w:pPr>
        <w:ind w:firstLine="709"/>
        <w:jc w:val="both"/>
      </w:pPr>
      <w:r w:rsidRPr="00466A1D">
        <w:t xml:space="preserve">В структуре дебиторской задолженности на конец 2015 года наибольшую долю занимает задолженность </w:t>
      </w:r>
      <w:r w:rsidR="004C1691" w:rsidRPr="00466A1D">
        <w:t xml:space="preserve">в расчетах </w:t>
      </w:r>
      <w:r w:rsidRPr="00466A1D">
        <w:t xml:space="preserve">по </w:t>
      </w:r>
      <w:r w:rsidR="00D2137A" w:rsidRPr="00466A1D">
        <w:t xml:space="preserve">выданным авансам (86262,4 тыс. руб.), ущербу </w:t>
      </w:r>
      <w:r w:rsidRPr="00466A1D">
        <w:t xml:space="preserve">и иным доходам </w:t>
      </w:r>
      <w:r w:rsidR="00D2137A" w:rsidRPr="00466A1D">
        <w:t>(75365,1 тыс. руб.)</w:t>
      </w:r>
      <w:r w:rsidRPr="00466A1D">
        <w:t>.</w:t>
      </w:r>
      <w:r w:rsidR="00D2137A" w:rsidRPr="00466A1D">
        <w:t xml:space="preserve"> В 2015 году на финансовый результат списана дебиторская задолженность (</w:t>
      </w:r>
      <w:r w:rsidR="004C1691" w:rsidRPr="00466A1D">
        <w:t>18143,0</w:t>
      </w:r>
      <w:r w:rsidR="00D2137A" w:rsidRPr="00466A1D">
        <w:t xml:space="preserve"> тыс. руб.) с последующим отражением:</w:t>
      </w:r>
    </w:p>
    <w:p w:rsidR="00D2137A" w:rsidRPr="00466A1D" w:rsidRDefault="00D2137A" w:rsidP="00D2137A">
      <w:pPr>
        <w:ind w:firstLine="709"/>
        <w:jc w:val="both"/>
      </w:pPr>
      <w:r w:rsidRPr="00466A1D">
        <w:t>-на забалансовом счете 04 «Задолженность неплатёжеспособных дебиторов» - 3751,8 тыс. руб., из них - 3386,3 тыс. руб. по организациям, прекратившим деятельность с 2010 по 2013 годы; 365,5 тыс. руб. - с истекшим сроком исковой давности;</w:t>
      </w:r>
    </w:p>
    <w:p w:rsidR="00D2137A" w:rsidRPr="003D015B" w:rsidRDefault="00D2137A" w:rsidP="00D2137A">
      <w:pPr>
        <w:ind w:firstLine="709"/>
        <w:jc w:val="both"/>
      </w:pPr>
      <w:r w:rsidRPr="003D015B">
        <w:t>-на счете 1 209 00 000 «Расчеты по ущербу и иным доходам» - задолженность ООО «СевКавПромЖилСтрой» в сумме 14391,2 тыс. рублей.</w:t>
      </w:r>
    </w:p>
    <w:p w:rsidR="00D2137A" w:rsidRPr="003D015B" w:rsidRDefault="00D2137A" w:rsidP="00D2137A">
      <w:pPr>
        <w:ind w:firstLine="709"/>
        <w:jc w:val="both"/>
      </w:pPr>
      <w:r w:rsidRPr="003D015B">
        <w:t xml:space="preserve">По результатам инвентаризации, проведенной перед составлением годовой отчетности, в качестве просроченной дебиторской задолженности (судебные разбирательства) признана задолженность по выданным авансам ООО </w:t>
      </w:r>
      <w:r w:rsidRPr="003D015B">
        <w:lastRenderedPageBreak/>
        <w:t>«СевКавПромЖилСтрой» в сумме 57050,7 тыс. руб. и ОАО ПИИ «Тракторопроект» - 4260,0 тыс. рублей.</w:t>
      </w:r>
    </w:p>
    <w:p w:rsidR="002D0BF3" w:rsidRPr="00A538C4" w:rsidRDefault="002D0BF3" w:rsidP="002D0BF3">
      <w:pPr>
        <w:ind w:firstLine="709"/>
        <w:jc w:val="both"/>
      </w:pPr>
      <w:r w:rsidRPr="00A538C4">
        <w:t xml:space="preserve">Кредиторская задолженность за 2015 год уменьшилась с 555235,9 тыс. руб. до 117345,6 тыс. руб., при этом просроченная задолженность увеличилась с 14710,9 тыс. руб. до 16208,6 тыс. руб., из которой 7862,8 тыс. руб. составляет задолженность ООО «СевКавПромЖилСтрой», образовавшаяся в ввиду судебных разбирательств. </w:t>
      </w:r>
    </w:p>
    <w:p w:rsidR="002D0BF3" w:rsidRPr="00A538C4" w:rsidRDefault="00A538C4" w:rsidP="002D0BF3">
      <w:pPr>
        <w:ind w:firstLine="709"/>
        <w:jc w:val="both"/>
      </w:pPr>
      <w:r w:rsidRPr="00466A1D">
        <w:t xml:space="preserve">Наибольший рост </w:t>
      </w:r>
      <w:r w:rsidR="002D0BF3" w:rsidRPr="00466A1D">
        <w:t xml:space="preserve">кредиторской задолженности </w:t>
      </w:r>
      <w:r w:rsidRPr="00466A1D">
        <w:t xml:space="preserve">(7633,9 </w:t>
      </w:r>
      <w:r w:rsidR="002D0BF3" w:rsidRPr="00466A1D">
        <w:t>тыс. руб.</w:t>
      </w:r>
      <w:r w:rsidRPr="00466A1D">
        <w:t>)</w:t>
      </w:r>
      <w:r w:rsidR="002D0BF3" w:rsidRPr="00466A1D">
        <w:t xml:space="preserve"> </w:t>
      </w:r>
      <w:r w:rsidRPr="00466A1D">
        <w:t>отмечен в расчетах</w:t>
      </w:r>
      <w:r w:rsidR="002D0BF3" w:rsidRPr="00466A1D">
        <w:t xml:space="preserve"> по платежам в бюджеты</w:t>
      </w:r>
      <w:r w:rsidRPr="00466A1D">
        <w:t>, и</w:t>
      </w:r>
      <w:r w:rsidR="002D0BF3" w:rsidRPr="00466A1D">
        <w:t>з них 8650,0 тыс. руб. составляет задолженность перед Федеральной службой судебных</w:t>
      </w:r>
      <w:r w:rsidR="002D0BF3" w:rsidRPr="00A538C4">
        <w:t xml:space="preserve"> приставов Волгоградской области по постановлениям о взыскании исполнительного сбора (6000,0 тыс. руб.) и по постановлениям о наложении административного штрафа в связи с неисполнением по исполнительному документу (2650,0 тыс. рублей). Основанием наложения административных санкций явились судебные разбирательства по обеспечению жилыми помещениями детей-сирот и детей, оставшихся без попечения родителей, лиц из их числа (по договорам найма специализированных помещений).</w:t>
      </w:r>
    </w:p>
    <w:p w:rsidR="003A6F42" w:rsidRDefault="003A6F42" w:rsidP="003A6F42">
      <w:pPr>
        <w:ind w:firstLine="709"/>
        <w:jc w:val="both"/>
        <w:rPr>
          <w:color w:val="000000" w:themeColor="text1"/>
        </w:rPr>
      </w:pPr>
    </w:p>
    <w:p w:rsidR="003A6F42" w:rsidRPr="0086386D" w:rsidRDefault="003A6F42" w:rsidP="003A6F42">
      <w:pPr>
        <w:jc w:val="center"/>
        <w:rPr>
          <w:b/>
          <w:bCs/>
          <w:i/>
        </w:rPr>
      </w:pPr>
      <w:r w:rsidRPr="0086386D">
        <w:rPr>
          <w:b/>
          <w:bCs/>
          <w:i/>
        </w:rPr>
        <w:t>Администрирование доходов</w:t>
      </w:r>
    </w:p>
    <w:p w:rsidR="00D6115E" w:rsidRDefault="003A6F42" w:rsidP="00D6115E">
      <w:pPr>
        <w:ind w:firstLine="709"/>
        <w:jc w:val="both"/>
        <w:rPr>
          <w:color w:val="000000" w:themeColor="text1"/>
        </w:rPr>
      </w:pPr>
      <w:r w:rsidRPr="00D6115E">
        <w:rPr>
          <w:color w:val="000000" w:themeColor="text1"/>
        </w:rPr>
        <w:t xml:space="preserve">Законом Волгоградской области от 20.11.2015 № 151-ОД «Об областном бюджете на 2015 год и на плановый период 2016 и 2017 годов» (далее Закон об областном бюджете на 2015 год) Облстрой определен главным администратором доходов областного бюджета (далее ГАБС). </w:t>
      </w:r>
    </w:p>
    <w:p w:rsidR="003A6F42" w:rsidRPr="00D6115E" w:rsidRDefault="00D6115E" w:rsidP="00D6115E">
      <w:pPr>
        <w:spacing w:line="20" w:lineRule="atLeast"/>
        <w:ind w:firstLine="708"/>
        <w:jc w:val="both"/>
      </w:pPr>
      <w:r>
        <w:t>И</w:t>
      </w:r>
      <w:r w:rsidRPr="006C22C0">
        <w:t>нформация об исполнении плановых назначений по закреплен</w:t>
      </w:r>
      <w:r>
        <w:t xml:space="preserve">ным доходам по данным ф.0503127 </w:t>
      </w:r>
      <w:r>
        <w:rPr>
          <w:color w:val="000000" w:themeColor="text1"/>
        </w:rPr>
        <w:t>представлена</w:t>
      </w:r>
      <w:r w:rsidR="003A6F42" w:rsidRPr="00D6115E">
        <w:rPr>
          <w:color w:val="000000" w:themeColor="text1"/>
        </w:rPr>
        <w:t xml:space="preserve"> в следующей таблице. </w:t>
      </w:r>
    </w:p>
    <w:p w:rsidR="003A6F42" w:rsidRPr="00D6115E" w:rsidRDefault="003A6F42" w:rsidP="003A6F42">
      <w:pPr>
        <w:ind w:left="-1276" w:firstLine="709"/>
        <w:jc w:val="right"/>
        <w:rPr>
          <w:color w:val="000000" w:themeColor="text1"/>
          <w:sz w:val="20"/>
          <w:szCs w:val="20"/>
        </w:rPr>
      </w:pPr>
      <w:r w:rsidRPr="00D6115E">
        <w:rPr>
          <w:color w:val="000000" w:themeColor="text1"/>
          <w:sz w:val="20"/>
          <w:szCs w:val="20"/>
        </w:rPr>
        <w:t xml:space="preserve">(тыс. руб.)                                                                                                                              </w:t>
      </w:r>
    </w:p>
    <w:tbl>
      <w:tblPr>
        <w:tblW w:w="10632" w:type="dxa"/>
        <w:tblInd w:w="-318" w:type="dxa"/>
        <w:tblLayout w:type="fixed"/>
        <w:tblLook w:val="0000"/>
      </w:tblPr>
      <w:tblGrid>
        <w:gridCol w:w="4821"/>
        <w:gridCol w:w="1559"/>
        <w:gridCol w:w="1276"/>
        <w:gridCol w:w="1276"/>
        <w:gridCol w:w="1700"/>
      </w:tblGrid>
      <w:tr w:rsidR="003A6F42" w:rsidRPr="00D6115E" w:rsidTr="00D6115E">
        <w:trPr>
          <w:trHeight w:val="240"/>
        </w:trPr>
        <w:tc>
          <w:tcPr>
            <w:tcW w:w="4821" w:type="dxa"/>
            <w:vMerge w:val="restart"/>
            <w:tcBorders>
              <w:top w:val="single" w:sz="12" w:space="0" w:color="auto"/>
              <w:left w:val="single" w:sz="12" w:space="0" w:color="auto"/>
              <w:bottom w:val="single" w:sz="4" w:space="0" w:color="auto"/>
              <w:right w:val="single" w:sz="4" w:space="0" w:color="auto"/>
            </w:tcBorders>
            <w:vAlign w:val="center"/>
          </w:tcPr>
          <w:p w:rsidR="003A6F42" w:rsidRPr="00D6115E" w:rsidRDefault="003A6F42" w:rsidP="00B42CAD">
            <w:pPr>
              <w:jc w:val="center"/>
              <w:rPr>
                <w:color w:val="000000" w:themeColor="text1"/>
                <w:sz w:val="18"/>
                <w:szCs w:val="18"/>
              </w:rPr>
            </w:pPr>
            <w:r w:rsidRPr="00D6115E">
              <w:rPr>
                <w:color w:val="000000" w:themeColor="text1"/>
                <w:sz w:val="18"/>
                <w:szCs w:val="18"/>
              </w:rPr>
              <w:t>Наименование показателя</w:t>
            </w:r>
          </w:p>
        </w:tc>
        <w:tc>
          <w:tcPr>
            <w:tcW w:w="1559" w:type="dxa"/>
            <w:vMerge w:val="restart"/>
            <w:tcBorders>
              <w:top w:val="single" w:sz="12" w:space="0" w:color="auto"/>
              <w:left w:val="single" w:sz="4" w:space="0" w:color="auto"/>
              <w:bottom w:val="single" w:sz="4" w:space="0" w:color="auto"/>
              <w:right w:val="single" w:sz="4" w:space="0" w:color="auto"/>
            </w:tcBorders>
            <w:vAlign w:val="center"/>
          </w:tcPr>
          <w:p w:rsidR="00857BA7" w:rsidRDefault="003A6F42" w:rsidP="00B42CAD">
            <w:pPr>
              <w:jc w:val="center"/>
              <w:rPr>
                <w:color w:val="000000" w:themeColor="text1"/>
                <w:sz w:val="18"/>
                <w:szCs w:val="18"/>
              </w:rPr>
            </w:pPr>
            <w:r w:rsidRPr="00D6115E">
              <w:rPr>
                <w:color w:val="000000" w:themeColor="text1"/>
                <w:sz w:val="18"/>
                <w:szCs w:val="18"/>
              </w:rPr>
              <w:t xml:space="preserve">Утвержденные бюджетные назначения </w:t>
            </w:r>
          </w:p>
          <w:p w:rsidR="003A6F42" w:rsidRPr="00D6115E" w:rsidRDefault="003A6F42" w:rsidP="00B42CAD">
            <w:pPr>
              <w:jc w:val="center"/>
              <w:rPr>
                <w:color w:val="000000" w:themeColor="text1"/>
                <w:sz w:val="18"/>
                <w:szCs w:val="18"/>
              </w:rPr>
            </w:pPr>
            <w:r w:rsidRPr="00D6115E">
              <w:rPr>
                <w:color w:val="000000" w:themeColor="text1"/>
                <w:sz w:val="18"/>
                <w:szCs w:val="18"/>
              </w:rPr>
              <w:t>по ф. 0503127</w:t>
            </w:r>
          </w:p>
        </w:tc>
        <w:tc>
          <w:tcPr>
            <w:tcW w:w="1276" w:type="dxa"/>
            <w:vMerge w:val="restart"/>
            <w:tcBorders>
              <w:top w:val="single" w:sz="12" w:space="0" w:color="auto"/>
              <w:left w:val="single" w:sz="4" w:space="0" w:color="auto"/>
              <w:bottom w:val="single" w:sz="4" w:space="0" w:color="auto"/>
              <w:right w:val="single" w:sz="4" w:space="0" w:color="auto"/>
            </w:tcBorders>
            <w:vAlign w:val="center"/>
          </w:tcPr>
          <w:p w:rsidR="003A6F42" w:rsidRPr="00D6115E" w:rsidRDefault="003A6F42" w:rsidP="00B42CAD">
            <w:pPr>
              <w:jc w:val="center"/>
              <w:rPr>
                <w:color w:val="000000" w:themeColor="text1"/>
                <w:sz w:val="18"/>
                <w:szCs w:val="18"/>
              </w:rPr>
            </w:pPr>
            <w:r w:rsidRPr="00D6115E">
              <w:rPr>
                <w:color w:val="000000" w:themeColor="text1"/>
                <w:sz w:val="18"/>
                <w:szCs w:val="18"/>
              </w:rPr>
              <w:t>Исполнено</w:t>
            </w:r>
          </w:p>
        </w:tc>
        <w:tc>
          <w:tcPr>
            <w:tcW w:w="1276" w:type="dxa"/>
            <w:vMerge w:val="restart"/>
            <w:tcBorders>
              <w:top w:val="single" w:sz="12" w:space="0" w:color="auto"/>
              <w:left w:val="single" w:sz="4" w:space="0" w:color="auto"/>
              <w:right w:val="single" w:sz="4" w:space="0" w:color="auto"/>
            </w:tcBorders>
          </w:tcPr>
          <w:p w:rsidR="003A6F42" w:rsidRPr="00D6115E" w:rsidRDefault="003A6F42" w:rsidP="00B42CAD">
            <w:pPr>
              <w:jc w:val="center"/>
              <w:rPr>
                <w:color w:val="000000" w:themeColor="text1"/>
                <w:sz w:val="18"/>
                <w:szCs w:val="18"/>
              </w:rPr>
            </w:pPr>
          </w:p>
          <w:p w:rsidR="003A6F42" w:rsidRPr="00D6115E" w:rsidRDefault="003A6F42" w:rsidP="00B42CAD">
            <w:pPr>
              <w:jc w:val="center"/>
              <w:rPr>
                <w:color w:val="000000" w:themeColor="text1"/>
                <w:sz w:val="18"/>
                <w:szCs w:val="18"/>
              </w:rPr>
            </w:pPr>
            <w:r w:rsidRPr="00D6115E">
              <w:rPr>
                <w:color w:val="000000" w:themeColor="text1"/>
                <w:sz w:val="18"/>
                <w:szCs w:val="18"/>
              </w:rPr>
              <w:t>%</w:t>
            </w:r>
          </w:p>
          <w:p w:rsidR="003A6F42" w:rsidRPr="00D6115E" w:rsidRDefault="003A6F42" w:rsidP="00B42CAD">
            <w:pPr>
              <w:jc w:val="center"/>
              <w:rPr>
                <w:color w:val="000000" w:themeColor="text1"/>
                <w:sz w:val="18"/>
                <w:szCs w:val="18"/>
              </w:rPr>
            </w:pPr>
            <w:r w:rsidRPr="00D6115E">
              <w:rPr>
                <w:color w:val="000000" w:themeColor="text1"/>
                <w:sz w:val="18"/>
                <w:szCs w:val="18"/>
              </w:rPr>
              <w:t>исполнения</w:t>
            </w:r>
          </w:p>
        </w:tc>
        <w:tc>
          <w:tcPr>
            <w:tcW w:w="1700" w:type="dxa"/>
            <w:tcBorders>
              <w:top w:val="single" w:sz="12" w:space="0" w:color="auto"/>
              <w:left w:val="single" w:sz="4" w:space="0" w:color="auto"/>
              <w:right w:val="single" w:sz="12" w:space="0" w:color="auto"/>
            </w:tcBorders>
          </w:tcPr>
          <w:p w:rsidR="003A6F42" w:rsidRPr="00D6115E" w:rsidRDefault="003A6F42" w:rsidP="00D6115E">
            <w:pPr>
              <w:jc w:val="center"/>
              <w:rPr>
                <w:color w:val="000000" w:themeColor="text1"/>
                <w:sz w:val="18"/>
                <w:szCs w:val="18"/>
              </w:rPr>
            </w:pPr>
          </w:p>
          <w:p w:rsidR="003A6F42" w:rsidRPr="00D6115E" w:rsidRDefault="007560D0" w:rsidP="00D6115E">
            <w:pPr>
              <w:jc w:val="center"/>
              <w:rPr>
                <w:color w:val="000000" w:themeColor="text1"/>
                <w:sz w:val="18"/>
                <w:szCs w:val="18"/>
              </w:rPr>
            </w:pPr>
            <w:r>
              <w:rPr>
                <w:color w:val="000000" w:themeColor="text1"/>
                <w:sz w:val="18"/>
                <w:szCs w:val="18"/>
              </w:rPr>
              <w:t>Отклонение</w:t>
            </w:r>
          </w:p>
        </w:tc>
      </w:tr>
      <w:tr w:rsidR="003A6F42" w:rsidRPr="00D6115E" w:rsidTr="00D6115E">
        <w:trPr>
          <w:trHeight w:val="222"/>
        </w:trPr>
        <w:tc>
          <w:tcPr>
            <w:tcW w:w="4821" w:type="dxa"/>
            <w:vMerge/>
            <w:tcBorders>
              <w:top w:val="single" w:sz="4" w:space="0" w:color="auto"/>
              <w:left w:val="single" w:sz="12" w:space="0" w:color="auto"/>
              <w:bottom w:val="single" w:sz="12" w:space="0" w:color="auto"/>
              <w:right w:val="single" w:sz="4" w:space="0" w:color="auto"/>
            </w:tcBorders>
            <w:vAlign w:val="center"/>
          </w:tcPr>
          <w:p w:rsidR="003A6F42" w:rsidRPr="00D6115E" w:rsidRDefault="003A6F42" w:rsidP="00B42CAD">
            <w:pPr>
              <w:jc w:val="both"/>
              <w:rPr>
                <w:color w:val="000000" w:themeColor="text1"/>
                <w:sz w:val="18"/>
                <w:szCs w:val="18"/>
              </w:rPr>
            </w:pPr>
          </w:p>
        </w:tc>
        <w:tc>
          <w:tcPr>
            <w:tcW w:w="1559" w:type="dxa"/>
            <w:vMerge/>
            <w:tcBorders>
              <w:top w:val="single" w:sz="4" w:space="0" w:color="auto"/>
              <w:left w:val="single" w:sz="4" w:space="0" w:color="auto"/>
              <w:bottom w:val="single" w:sz="12" w:space="0" w:color="auto"/>
              <w:right w:val="single" w:sz="4" w:space="0" w:color="auto"/>
            </w:tcBorders>
            <w:vAlign w:val="center"/>
          </w:tcPr>
          <w:p w:rsidR="003A6F42" w:rsidRPr="00D6115E" w:rsidRDefault="003A6F42" w:rsidP="00B42CAD">
            <w:pPr>
              <w:jc w:val="both"/>
              <w:rPr>
                <w:color w:val="000000" w:themeColor="text1"/>
                <w:sz w:val="18"/>
                <w:szCs w:val="18"/>
              </w:rPr>
            </w:pPr>
          </w:p>
        </w:tc>
        <w:tc>
          <w:tcPr>
            <w:tcW w:w="1276" w:type="dxa"/>
            <w:vMerge/>
            <w:tcBorders>
              <w:top w:val="single" w:sz="4" w:space="0" w:color="auto"/>
              <w:left w:val="single" w:sz="4" w:space="0" w:color="auto"/>
              <w:bottom w:val="single" w:sz="12" w:space="0" w:color="auto"/>
              <w:right w:val="single" w:sz="4" w:space="0" w:color="auto"/>
            </w:tcBorders>
            <w:vAlign w:val="center"/>
          </w:tcPr>
          <w:p w:rsidR="003A6F42" w:rsidRPr="00D6115E" w:rsidRDefault="003A6F42" w:rsidP="00B42CAD">
            <w:pPr>
              <w:jc w:val="both"/>
              <w:rPr>
                <w:color w:val="000000" w:themeColor="text1"/>
                <w:sz w:val="18"/>
                <w:szCs w:val="18"/>
              </w:rPr>
            </w:pPr>
          </w:p>
        </w:tc>
        <w:tc>
          <w:tcPr>
            <w:tcW w:w="1276" w:type="dxa"/>
            <w:vMerge/>
            <w:tcBorders>
              <w:left w:val="single" w:sz="4" w:space="0" w:color="auto"/>
              <w:bottom w:val="single" w:sz="12" w:space="0" w:color="auto"/>
              <w:right w:val="single" w:sz="4" w:space="0" w:color="auto"/>
            </w:tcBorders>
          </w:tcPr>
          <w:p w:rsidR="003A6F42" w:rsidRPr="00D6115E" w:rsidRDefault="003A6F42" w:rsidP="00B42CAD">
            <w:pPr>
              <w:jc w:val="both"/>
              <w:rPr>
                <w:color w:val="000000" w:themeColor="text1"/>
                <w:sz w:val="18"/>
                <w:szCs w:val="18"/>
              </w:rPr>
            </w:pPr>
          </w:p>
        </w:tc>
        <w:tc>
          <w:tcPr>
            <w:tcW w:w="1700" w:type="dxa"/>
            <w:tcBorders>
              <w:left w:val="single" w:sz="4" w:space="0" w:color="auto"/>
              <w:bottom w:val="single" w:sz="12" w:space="0" w:color="auto"/>
              <w:right w:val="single" w:sz="12" w:space="0" w:color="auto"/>
            </w:tcBorders>
          </w:tcPr>
          <w:p w:rsidR="003A6F42" w:rsidRPr="00D6115E" w:rsidRDefault="007560D0" w:rsidP="00D6115E">
            <w:pPr>
              <w:jc w:val="center"/>
              <w:rPr>
                <w:color w:val="000000" w:themeColor="text1"/>
                <w:sz w:val="18"/>
                <w:szCs w:val="18"/>
              </w:rPr>
            </w:pPr>
            <w:r>
              <w:rPr>
                <w:color w:val="000000" w:themeColor="text1"/>
                <w:sz w:val="18"/>
                <w:szCs w:val="18"/>
              </w:rPr>
              <w:t>(гр.3-гр.2</w:t>
            </w:r>
            <w:r w:rsidR="003A6F42" w:rsidRPr="00D6115E">
              <w:rPr>
                <w:color w:val="000000" w:themeColor="text1"/>
                <w:sz w:val="18"/>
                <w:szCs w:val="18"/>
              </w:rPr>
              <w:t>)</w:t>
            </w:r>
          </w:p>
        </w:tc>
      </w:tr>
      <w:tr w:rsidR="003A6F42" w:rsidRPr="00D6115E" w:rsidTr="00D6115E">
        <w:trPr>
          <w:trHeight w:val="96"/>
        </w:trPr>
        <w:tc>
          <w:tcPr>
            <w:tcW w:w="4821" w:type="dxa"/>
            <w:tcBorders>
              <w:top w:val="single" w:sz="12" w:space="0" w:color="auto"/>
              <w:left w:val="single" w:sz="12" w:space="0" w:color="auto"/>
              <w:bottom w:val="single" w:sz="12" w:space="0" w:color="auto"/>
              <w:right w:val="single" w:sz="4" w:space="0" w:color="auto"/>
            </w:tcBorders>
          </w:tcPr>
          <w:p w:rsidR="003A6F42" w:rsidRPr="00D6115E" w:rsidRDefault="003A6F42" w:rsidP="00B42CAD">
            <w:pPr>
              <w:jc w:val="center"/>
              <w:rPr>
                <w:color w:val="000000" w:themeColor="text1"/>
                <w:sz w:val="18"/>
                <w:szCs w:val="18"/>
              </w:rPr>
            </w:pPr>
            <w:r w:rsidRPr="00D6115E">
              <w:rPr>
                <w:color w:val="000000" w:themeColor="text1"/>
                <w:sz w:val="18"/>
                <w:szCs w:val="18"/>
              </w:rPr>
              <w:t>1</w:t>
            </w:r>
          </w:p>
        </w:tc>
        <w:tc>
          <w:tcPr>
            <w:tcW w:w="1559" w:type="dxa"/>
            <w:tcBorders>
              <w:top w:val="single" w:sz="12" w:space="0" w:color="auto"/>
              <w:left w:val="single" w:sz="4" w:space="0" w:color="auto"/>
              <w:bottom w:val="single" w:sz="12" w:space="0" w:color="auto"/>
              <w:right w:val="single" w:sz="4" w:space="0" w:color="auto"/>
            </w:tcBorders>
          </w:tcPr>
          <w:p w:rsidR="003A6F42" w:rsidRPr="00D6115E" w:rsidRDefault="003A6F42" w:rsidP="00B42CAD">
            <w:pPr>
              <w:jc w:val="center"/>
              <w:rPr>
                <w:color w:val="000000" w:themeColor="text1"/>
                <w:sz w:val="18"/>
                <w:szCs w:val="18"/>
              </w:rPr>
            </w:pPr>
            <w:r w:rsidRPr="00D6115E">
              <w:rPr>
                <w:color w:val="000000" w:themeColor="text1"/>
                <w:sz w:val="18"/>
                <w:szCs w:val="18"/>
              </w:rPr>
              <w:t>2</w:t>
            </w:r>
          </w:p>
        </w:tc>
        <w:tc>
          <w:tcPr>
            <w:tcW w:w="1276" w:type="dxa"/>
            <w:tcBorders>
              <w:top w:val="single" w:sz="12" w:space="0" w:color="auto"/>
              <w:left w:val="single" w:sz="4" w:space="0" w:color="auto"/>
              <w:bottom w:val="single" w:sz="12" w:space="0" w:color="auto"/>
              <w:right w:val="single" w:sz="4" w:space="0" w:color="auto"/>
            </w:tcBorders>
          </w:tcPr>
          <w:p w:rsidR="003A6F42" w:rsidRPr="00D6115E" w:rsidRDefault="003A6F42" w:rsidP="00B42CAD">
            <w:pPr>
              <w:jc w:val="center"/>
              <w:rPr>
                <w:color w:val="000000" w:themeColor="text1"/>
                <w:sz w:val="18"/>
                <w:szCs w:val="18"/>
              </w:rPr>
            </w:pPr>
            <w:r w:rsidRPr="00D6115E">
              <w:rPr>
                <w:color w:val="000000" w:themeColor="text1"/>
                <w:sz w:val="18"/>
                <w:szCs w:val="18"/>
              </w:rPr>
              <w:t>3</w:t>
            </w:r>
          </w:p>
        </w:tc>
        <w:tc>
          <w:tcPr>
            <w:tcW w:w="1276" w:type="dxa"/>
            <w:tcBorders>
              <w:top w:val="single" w:sz="12" w:space="0" w:color="auto"/>
              <w:left w:val="single" w:sz="4" w:space="0" w:color="auto"/>
              <w:bottom w:val="single" w:sz="12" w:space="0" w:color="auto"/>
              <w:right w:val="single" w:sz="4" w:space="0" w:color="auto"/>
            </w:tcBorders>
          </w:tcPr>
          <w:p w:rsidR="003A6F42" w:rsidRPr="00D6115E" w:rsidRDefault="003A6F42" w:rsidP="00B42CAD">
            <w:pPr>
              <w:jc w:val="center"/>
              <w:rPr>
                <w:color w:val="000000" w:themeColor="text1"/>
                <w:sz w:val="18"/>
                <w:szCs w:val="18"/>
              </w:rPr>
            </w:pPr>
            <w:r w:rsidRPr="00D6115E">
              <w:rPr>
                <w:color w:val="000000" w:themeColor="text1"/>
                <w:sz w:val="18"/>
                <w:szCs w:val="18"/>
              </w:rPr>
              <w:t>4</w:t>
            </w:r>
          </w:p>
        </w:tc>
        <w:tc>
          <w:tcPr>
            <w:tcW w:w="1700" w:type="dxa"/>
            <w:tcBorders>
              <w:top w:val="single" w:sz="12" w:space="0" w:color="auto"/>
              <w:left w:val="single" w:sz="4" w:space="0" w:color="auto"/>
              <w:bottom w:val="single" w:sz="12" w:space="0" w:color="auto"/>
              <w:right w:val="single" w:sz="12" w:space="0" w:color="auto"/>
            </w:tcBorders>
          </w:tcPr>
          <w:p w:rsidR="003A6F42" w:rsidRPr="00D6115E" w:rsidRDefault="003A6F42" w:rsidP="00B42CAD">
            <w:pPr>
              <w:jc w:val="center"/>
              <w:rPr>
                <w:color w:val="000000" w:themeColor="text1"/>
                <w:sz w:val="18"/>
                <w:szCs w:val="18"/>
              </w:rPr>
            </w:pPr>
            <w:r w:rsidRPr="00D6115E">
              <w:rPr>
                <w:color w:val="000000" w:themeColor="text1"/>
                <w:sz w:val="18"/>
                <w:szCs w:val="18"/>
              </w:rPr>
              <w:t>5</w:t>
            </w:r>
          </w:p>
        </w:tc>
      </w:tr>
      <w:tr w:rsidR="003A6F42" w:rsidRPr="00D6115E" w:rsidTr="009D4D08">
        <w:trPr>
          <w:trHeight w:val="185"/>
        </w:trPr>
        <w:tc>
          <w:tcPr>
            <w:tcW w:w="4821" w:type="dxa"/>
            <w:tcBorders>
              <w:top w:val="single" w:sz="12" w:space="0" w:color="auto"/>
              <w:left w:val="single" w:sz="12" w:space="0" w:color="auto"/>
              <w:bottom w:val="single" w:sz="12" w:space="0" w:color="auto"/>
              <w:right w:val="single" w:sz="4" w:space="0" w:color="auto"/>
            </w:tcBorders>
          </w:tcPr>
          <w:p w:rsidR="003A6F42" w:rsidRPr="00D6115E" w:rsidRDefault="003A6F42" w:rsidP="00B42CAD">
            <w:pPr>
              <w:jc w:val="both"/>
              <w:rPr>
                <w:color w:val="000000" w:themeColor="text1"/>
                <w:sz w:val="18"/>
                <w:szCs w:val="18"/>
              </w:rPr>
            </w:pPr>
            <w:r w:rsidRPr="00D6115E">
              <w:rPr>
                <w:color w:val="000000" w:themeColor="text1"/>
                <w:sz w:val="18"/>
                <w:szCs w:val="18"/>
              </w:rPr>
              <w:t>Доходы  – итого:</w:t>
            </w:r>
          </w:p>
        </w:tc>
        <w:tc>
          <w:tcPr>
            <w:tcW w:w="1559" w:type="dxa"/>
            <w:tcBorders>
              <w:top w:val="single" w:sz="12" w:space="0" w:color="auto"/>
              <w:left w:val="single" w:sz="4" w:space="0" w:color="auto"/>
              <w:bottom w:val="single" w:sz="12" w:space="0" w:color="auto"/>
              <w:right w:val="single" w:sz="4" w:space="0" w:color="auto"/>
            </w:tcBorders>
            <w:noWrap/>
          </w:tcPr>
          <w:p w:rsidR="003A6F42" w:rsidRPr="00D6115E" w:rsidRDefault="003A6F42" w:rsidP="00E04B81">
            <w:pPr>
              <w:jc w:val="center"/>
              <w:rPr>
                <w:color w:val="000000" w:themeColor="text1"/>
                <w:sz w:val="18"/>
                <w:szCs w:val="18"/>
              </w:rPr>
            </w:pPr>
            <w:r w:rsidRPr="00D6115E">
              <w:rPr>
                <w:color w:val="000000" w:themeColor="text1"/>
                <w:sz w:val="18"/>
                <w:szCs w:val="18"/>
              </w:rPr>
              <w:t>1273110,1</w:t>
            </w:r>
          </w:p>
        </w:tc>
        <w:tc>
          <w:tcPr>
            <w:tcW w:w="1276" w:type="dxa"/>
            <w:tcBorders>
              <w:top w:val="single" w:sz="12" w:space="0" w:color="auto"/>
              <w:left w:val="single" w:sz="4" w:space="0" w:color="auto"/>
              <w:bottom w:val="single" w:sz="12" w:space="0" w:color="auto"/>
              <w:right w:val="single" w:sz="4" w:space="0" w:color="auto"/>
            </w:tcBorders>
            <w:noWrap/>
          </w:tcPr>
          <w:p w:rsidR="003A6F42" w:rsidRPr="00D6115E" w:rsidRDefault="003A6F42" w:rsidP="00E04B81">
            <w:pPr>
              <w:jc w:val="center"/>
              <w:rPr>
                <w:color w:val="000000" w:themeColor="text1"/>
                <w:sz w:val="18"/>
                <w:szCs w:val="18"/>
              </w:rPr>
            </w:pPr>
            <w:r w:rsidRPr="00D6115E">
              <w:rPr>
                <w:color w:val="000000" w:themeColor="text1"/>
                <w:sz w:val="18"/>
                <w:szCs w:val="18"/>
              </w:rPr>
              <w:t>792066,2</w:t>
            </w:r>
          </w:p>
        </w:tc>
        <w:tc>
          <w:tcPr>
            <w:tcW w:w="1276" w:type="dxa"/>
            <w:tcBorders>
              <w:top w:val="single" w:sz="12" w:space="0" w:color="auto"/>
              <w:left w:val="single" w:sz="4" w:space="0" w:color="auto"/>
              <w:bottom w:val="single" w:sz="12" w:space="0" w:color="auto"/>
              <w:right w:val="single" w:sz="4" w:space="0" w:color="auto"/>
            </w:tcBorders>
          </w:tcPr>
          <w:p w:rsidR="003A6F42" w:rsidRPr="00D6115E" w:rsidRDefault="003A6F42" w:rsidP="00E04B81">
            <w:pPr>
              <w:jc w:val="center"/>
              <w:rPr>
                <w:color w:val="000000" w:themeColor="text1"/>
                <w:sz w:val="18"/>
                <w:szCs w:val="18"/>
              </w:rPr>
            </w:pPr>
          </w:p>
        </w:tc>
        <w:tc>
          <w:tcPr>
            <w:tcW w:w="1700" w:type="dxa"/>
            <w:tcBorders>
              <w:top w:val="single" w:sz="12" w:space="0" w:color="auto"/>
              <w:left w:val="single" w:sz="4" w:space="0" w:color="auto"/>
              <w:bottom w:val="single" w:sz="12" w:space="0" w:color="auto"/>
              <w:right w:val="single" w:sz="12" w:space="0" w:color="auto"/>
            </w:tcBorders>
          </w:tcPr>
          <w:p w:rsidR="003A6F42" w:rsidRPr="00D6115E" w:rsidRDefault="007560D0" w:rsidP="007560D0">
            <w:pPr>
              <w:jc w:val="center"/>
              <w:rPr>
                <w:color w:val="000000" w:themeColor="text1"/>
                <w:sz w:val="18"/>
                <w:szCs w:val="18"/>
              </w:rPr>
            </w:pPr>
            <w:r w:rsidRPr="007560D0">
              <w:rPr>
                <w:color w:val="000000" w:themeColor="text1"/>
                <w:sz w:val="18"/>
                <w:szCs w:val="18"/>
              </w:rPr>
              <w:t>-481043</w:t>
            </w:r>
            <w:r>
              <w:rPr>
                <w:color w:val="000000" w:themeColor="text1"/>
                <w:sz w:val="18"/>
                <w:szCs w:val="18"/>
              </w:rPr>
              <w:t>,9</w:t>
            </w:r>
          </w:p>
        </w:tc>
      </w:tr>
      <w:tr w:rsidR="003A6F42" w:rsidRPr="00D6115E" w:rsidTr="00D6115E">
        <w:trPr>
          <w:trHeight w:val="165"/>
        </w:trPr>
        <w:tc>
          <w:tcPr>
            <w:tcW w:w="10632" w:type="dxa"/>
            <w:gridSpan w:val="5"/>
            <w:tcBorders>
              <w:top w:val="single" w:sz="12" w:space="0" w:color="auto"/>
              <w:left w:val="single" w:sz="12" w:space="0" w:color="auto"/>
              <w:bottom w:val="single" w:sz="12" w:space="0" w:color="auto"/>
              <w:right w:val="single" w:sz="12" w:space="0" w:color="auto"/>
            </w:tcBorders>
          </w:tcPr>
          <w:p w:rsidR="003A6F42" w:rsidRPr="003C7E89" w:rsidRDefault="003A6F42" w:rsidP="00E04B81">
            <w:pPr>
              <w:jc w:val="center"/>
              <w:rPr>
                <w:i/>
                <w:color w:val="000000" w:themeColor="text1"/>
                <w:sz w:val="18"/>
                <w:szCs w:val="18"/>
              </w:rPr>
            </w:pPr>
            <w:r w:rsidRPr="003C7E89">
              <w:rPr>
                <w:i/>
                <w:color w:val="000000" w:themeColor="text1"/>
                <w:sz w:val="18"/>
                <w:szCs w:val="18"/>
              </w:rPr>
              <w:t>Доходы, закрепленные за Облстроем Законом об областном бюджете на 2015 год</w:t>
            </w:r>
          </w:p>
        </w:tc>
      </w:tr>
      <w:tr w:rsidR="003A6F42" w:rsidRPr="00D6115E" w:rsidTr="00D6115E">
        <w:trPr>
          <w:trHeight w:val="559"/>
        </w:trPr>
        <w:tc>
          <w:tcPr>
            <w:tcW w:w="4821" w:type="dxa"/>
            <w:tcBorders>
              <w:top w:val="single" w:sz="12" w:space="0" w:color="auto"/>
              <w:left w:val="single" w:sz="12" w:space="0" w:color="auto"/>
              <w:bottom w:val="single" w:sz="4" w:space="0" w:color="auto"/>
              <w:right w:val="single" w:sz="4" w:space="0" w:color="auto"/>
            </w:tcBorders>
          </w:tcPr>
          <w:p w:rsidR="003A6F42" w:rsidRPr="00D6115E" w:rsidRDefault="003A6F42" w:rsidP="007125DA">
            <w:pPr>
              <w:pStyle w:val="ad"/>
              <w:ind w:right="175"/>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Субсидии бюджетам субъектов РФ на обеспечение  предоставления жилых помещений детям-сиротам и детям,</w:t>
            </w:r>
            <w:r w:rsidR="007125DA">
              <w:rPr>
                <w:rFonts w:ascii="Times New Roman" w:hAnsi="Times New Roman" w:cs="Times New Roman"/>
                <w:color w:val="000000" w:themeColor="text1"/>
                <w:sz w:val="18"/>
                <w:szCs w:val="18"/>
              </w:rPr>
              <w:t>….</w:t>
            </w:r>
            <w:r w:rsidRPr="00D6115E">
              <w:rPr>
                <w:rFonts w:ascii="Times New Roman" w:hAnsi="Times New Roman" w:cs="Times New Roman"/>
                <w:color w:val="000000" w:themeColor="text1"/>
                <w:sz w:val="18"/>
                <w:szCs w:val="18"/>
              </w:rPr>
              <w:t>по договорам найма специализированных жилых помещений (КБК 807 2 02 02173 02 0000 151)</w:t>
            </w:r>
          </w:p>
        </w:tc>
        <w:tc>
          <w:tcPr>
            <w:tcW w:w="1559" w:type="dxa"/>
            <w:tcBorders>
              <w:top w:val="single" w:sz="12"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89622,6</w:t>
            </w:r>
          </w:p>
        </w:tc>
        <w:tc>
          <w:tcPr>
            <w:tcW w:w="1276" w:type="dxa"/>
            <w:tcBorders>
              <w:top w:val="single" w:sz="12"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89622,6</w:t>
            </w:r>
          </w:p>
        </w:tc>
        <w:tc>
          <w:tcPr>
            <w:tcW w:w="1276" w:type="dxa"/>
            <w:tcBorders>
              <w:top w:val="single" w:sz="12"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100,0</w:t>
            </w:r>
          </w:p>
        </w:tc>
        <w:tc>
          <w:tcPr>
            <w:tcW w:w="1700" w:type="dxa"/>
            <w:tcBorders>
              <w:top w:val="single" w:sz="12" w:space="0" w:color="auto"/>
              <w:left w:val="single" w:sz="4" w:space="0" w:color="auto"/>
              <w:bottom w:val="single" w:sz="4" w:space="0" w:color="auto"/>
              <w:right w:val="single" w:sz="12"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r>
      <w:tr w:rsidR="003A6F42" w:rsidRPr="00D6115E" w:rsidTr="009D4D08">
        <w:trPr>
          <w:trHeight w:val="154"/>
        </w:trPr>
        <w:tc>
          <w:tcPr>
            <w:tcW w:w="4821" w:type="dxa"/>
            <w:tcBorders>
              <w:top w:val="single" w:sz="4" w:space="0" w:color="auto"/>
              <w:left w:val="single" w:sz="12" w:space="0" w:color="auto"/>
              <w:bottom w:val="single" w:sz="12" w:space="0" w:color="auto"/>
              <w:right w:val="single" w:sz="4" w:space="0" w:color="auto"/>
            </w:tcBorders>
          </w:tcPr>
          <w:p w:rsidR="003A6F42" w:rsidRPr="00D6115E" w:rsidRDefault="003A6F42" w:rsidP="007125DA">
            <w:pPr>
              <w:pStyle w:val="ad"/>
              <w:ind w:right="176"/>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 xml:space="preserve">Субвенции бюджетам субъектов РФ на обеспечение жильем отдельных категорий граждан, установленных </w:t>
            </w:r>
            <w:hyperlink r:id="rId10" w:history="1">
              <w:r w:rsidRPr="00D6115E">
                <w:rPr>
                  <w:rFonts w:ascii="Times New Roman" w:hAnsi="Times New Roman" w:cs="Times New Roman"/>
                  <w:color w:val="000000" w:themeColor="text1"/>
                  <w:sz w:val="18"/>
                  <w:szCs w:val="18"/>
                </w:rPr>
                <w:t>Федеральным законом</w:t>
              </w:r>
            </w:hyperlink>
            <w:r w:rsidRPr="00D6115E">
              <w:rPr>
                <w:rFonts w:ascii="Times New Roman" w:hAnsi="Times New Roman" w:cs="Times New Roman"/>
                <w:color w:val="000000" w:themeColor="text1"/>
                <w:sz w:val="18"/>
                <w:szCs w:val="18"/>
              </w:rPr>
              <w:t xml:space="preserve"> от 12 января 1995 года № 5-ФЗ «О ветеранах</w:t>
            </w:r>
            <w:r w:rsidR="007125DA">
              <w:rPr>
                <w:rFonts w:ascii="Times New Roman" w:hAnsi="Times New Roman" w:cs="Times New Roman"/>
                <w:color w:val="000000" w:themeColor="text1"/>
                <w:sz w:val="18"/>
                <w:szCs w:val="18"/>
              </w:rPr>
              <w:t>»…</w:t>
            </w:r>
            <w:r w:rsidRPr="00D6115E">
              <w:rPr>
                <w:rFonts w:ascii="Times New Roman" w:hAnsi="Times New Roman" w:cs="Times New Roman"/>
                <w:color w:val="000000" w:themeColor="text1"/>
                <w:sz w:val="18"/>
                <w:szCs w:val="18"/>
              </w:rPr>
              <w:t xml:space="preserve"> (КБК 807 2 02 03069 02 0000 151)</w:t>
            </w:r>
          </w:p>
        </w:tc>
        <w:tc>
          <w:tcPr>
            <w:tcW w:w="1559" w:type="dxa"/>
            <w:tcBorders>
              <w:top w:val="single" w:sz="4" w:space="0" w:color="auto"/>
              <w:left w:val="single" w:sz="4" w:space="0" w:color="auto"/>
              <w:bottom w:val="single" w:sz="12"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151619,3</w:t>
            </w:r>
          </w:p>
        </w:tc>
        <w:tc>
          <w:tcPr>
            <w:tcW w:w="1276" w:type="dxa"/>
            <w:tcBorders>
              <w:top w:val="single" w:sz="4" w:space="0" w:color="auto"/>
              <w:left w:val="single" w:sz="4" w:space="0" w:color="auto"/>
              <w:bottom w:val="single" w:sz="12"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151619,3</w:t>
            </w:r>
          </w:p>
        </w:tc>
        <w:tc>
          <w:tcPr>
            <w:tcW w:w="1276" w:type="dxa"/>
            <w:tcBorders>
              <w:top w:val="single" w:sz="4" w:space="0" w:color="auto"/>
              <w:left w:val="single" w:sz="4" w:space="0" w:color="auto"/>
              <w:bottom w:val="single" w:sz="12"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100,0</w:t>
            </w:r>
          </w:p>
        </w:tc>
        <w:tc>
          <w:tcPr>
            <w:tcW w:w="1700" w:type="dxa"/>
            <w:tcBorders>
              <w:top w:val="single" w:sz="4" w:space="0" w:color="auto"/>
              <w:left w:val="single" w:sz="4" w:space="0" w:color="auto"/>
              <w:bottom w:val="single" w:sz="12" w:space="0" w:color="auto"/>
              <w:right w:val="single" w:sz="12"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r>
      <w:tr w:rsidR="003A6F42" w:rsidRPr="00D6115E" w:rsidTr="00D6115E">
        <w:trPr>
          <w:trHeight w:val="539"/>
        </w:trPr>
        <w:tc>
          <w:tcPr>
            <w:tcW w:w="4821" w:type="dxa"/>
            <w:tcBorders>
              <w:top w:val="single" w:sz="12" w:space="0" w:color="auto"/>
              <w:left w:val="single" w:sz="12" w:space="0" w:color="auto"/>
              <w:bottom w:val="single" w:sz="12" w:space="0" w:color="auto"/>
              <w:right w:val="single" w:sz="4" w:space="0" w:color="auto"/>
            </w:tcBorders>
          </w:tcPr>
          <w:p w:rsidR="003A6F42" w:rsidRPr="00D6115E" w:rsidRDefault="003A6F42" w:rsidP="00B42CAD">
            <w:pPr>
              <w:jc w:val="both"/>
              <w:rPr>
                <w:color w:val="000000" w:themeColor="text1"/>
                <w:sz w:val="18"/>
                <w:szCs w:val="18"/>
              </w:rPr>
            </w:pPr>
            <w:r w:rsidRPr="00D6115E">
              <w:rPr>
                <w:color w:val="000000" w:themeColor="text1"/>
                <w:sz w:val="18"/>
                <w:szCs w:val="18"/>
              </w:rPr>
              <w:t xml:space="preserve">Субвенции бюджетам  субъектов РФ на обеспечение жильем отдельных категорий граждан, установленных Федеральными законами </w:t>
            </w:r>
            <w:hyperlink r:id="rId11" w:history="1">
              <w:r w:rsidRPr="00D6115E">
                <w:rPr>
                  <w:color w:val="000000" w:themeColor="text1"/>
                  <w:sz w:val="18"/>
                  <w:szCs w:val="18"/>
                </w:rPr>
                <w:t>от 12 января 1995 года № 5-ФЗ</w:t>
              </w:r>
            </w:hyperlink>
            <w:r w:rsidRPr="00D6115E">
              <w:rPr>
                <w:color w:val="000000" w:themeColor="text1"/>
                <w:sz w:val="18"/>
                <w:szCs w:val="18"/>
              </w:rPr>
              <w:t xml:space="preserve">  «О ветеранах» и </w:t>
            </w:r>
            <w:hyperlink r:id="rId12" w:history="1">
              <w:r w:rsidRPr="00D6115E">
                <w:rPr>
                  <w:color w:val="000000" w:themeColor="text1"/>
                  <w:sz w:val="18"/>
                  <w:szCs w:val="18"/>
                </w:rPr>
                <w:t>от 24 ноября 1995 года № 181-ФЗ</w:t>
              </w:r>
            </w:hyperlink>
            <w:r w:rsidRPr="00D6115E">
              <w:rPr>
                <w:color w:val="000000" w:themeColor="text1"/>
                <w:sz w:val="18"/>
                <w:szCs w:val="18"/>
              </w:rPr>
              <w:t xml:space="preserve"> «О социальной защите инвалидов в Российской Федерации» (КБК 807 2 02 03070 02 0000 151)</w:t>
            </w:r>
          </w:p>
        </w:tc>
        <w:tc>
          <w:tcPr>
            <w:tcW w:w="1559" w:type="dxa"/>
            <w:tcBorders>
              <w:top w:val="single" w:sz="12" w:space="0" w:color="auto"/>
              <w:left w:val="single" w:sz="4" w:space="0" w:color="auto"/>
              <w:bottom w:val="single" w:sz="12"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15703,0</w:t>
            </w:r>
          </w:p>
        </w:tc>
        <w:tc>
          <w:tcPr>
            <w:tcW w:w="1276" w:type="dxa"/>
            <w:tcBorders>
              <w:top w:val="single" w:sz="12" w:space="0" w:color="auto"/>
              <w:left w:val="single" w:sz="4" w:space="0" w:color="auto"/>
              <w:bottom w:val="single" w:sz="12"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15703,0</w:t>
            </w:r>
          </w:p>
        </w:tc>
        <w:tc>
          <w:tcPr>
            <w:tcW w:w="1276" w:type="dxa"/>
            <w:tcBorders>
              <w:top w:val="single" w:sz="12" w:space="0" w:color="auto"/>
              <w:left w:val="single" w:sz="4" w:space="0" w:color="auto"/>
              <w:bottom w:val="single" w:sz="12"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100,0</w:t>
            </w:r>
          </w:p>
        </w:tc>
        <w:tc>
          <w:tcPr>
            <w:tcW w:w="1700" w:type="dxa"/>
            <w:tcBorders>
              <w:top w:val="single" w:sz="12" w:space="0" w:color="auto"/>
              <w:left w:val="single" w:sz="4" w:space="0" w:color="auto"/>
              <w:bottom w:val="single" w:sz="12" w:space="0" w:color="auto"/>
              <w:right w:val="single" w:sz="12"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r>
      <w:tr w:rsidR="003A6F42" w:rsidRPr="00D6115E" w:rsidTr="00D6115E">
        <w:trPr>
          <w:trHeight w:val="187"/>
        </w:trPr>
        <w:tc>
          <w:tcPr>
            <w:tcW w:w="10632" w:type="dxa"/>
            <w:gridSpan w:val="5"/>
            <w:tcBorders>
              <w:top w:val="single" w:sz="12" w:space="0" w:color="auto"/>
              <w:left w:val="single" w:sz="12" w:space="0" w:color="auto"/>
              <w:bottom w:val="single" w:sz="12" w:space="0" w:color="auto"/>
              <w:right w:val="single" w:sz="12" w:space="0" w:color="auto"/>
            </w:tcBorders>
            <w:noWrap/>
          </w:tcPr>
          <w:p w:rsidR="003A6F42" w:rsidRPr="003C7E89" w:rsidRDefault="003A6F42" w:rsidP="00E04B81">
            <w:pPr>
              <w:jc w:val="center"/>
              <w:rPr>
                <w:i/>
                <w:color w:val="000000" w:themeColor="text1"/>
                <w:sz w:val="18"/>
                <w:szCs w:val="18"/>
              </w:rPr>
            </w:pPr>
            <w:r w:rsidRPr="003C7E89">
              <w:rPr>
                <w:i/>
                <w:color w:val="000000" w:themeColor="text1"/>
                <w:sz w:val="18"/>
                <w:szCs w:val="18"/>
              </w:rPr>
              <w:t>Доходы, закрепленные приказом комитета  в пределах своей компетенции в соответствии со ст. 160.1 БК РФ</w:t>
            </w:r>
          </w:p>
        </w:tc>
      </w:tr>
      <w:tr w:rsidR="003A6F42" w:rsidRPr="00D6115E" w:rsidTr="00D6115E">
        <w:trPr>
          <w:trHeight w:val="409"/>
        </w:trPr>
        <w:tc>
          <w:tcPr>
            <w:tcW w:w="4821" w:type="dxa"/>
            <w:tcBorders>
              <w:top w:val="single" w:sz="12" w:space="0" w:color="auto"/>
              <w:left w:val="single" w:sz="12" w:space="0" w:color="auto"/>
              <w:bottom w:val="single" w:sz="4" w:space="0" w:color="auto"/>
              <w:right w:val="single" w:sz="4" w:space="0" w:color="auto"/>
            </w:tcBorders>
            <w:noWrap/>
          </w:tcPr>
          <w:p w:rsidR="003A6F42" w:rsidRPr="00D6115E" w:rsidRDefault="003A6F42" w:rsidP="00B42CAD">
            <w:pPr>
              <w:pStyle w:val="ad"/>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Прочие доходы от компенсации затрат бюджетов субъектов РФ (КБК 807 1 13 02992 02 0000 130)</w:t>
            </w:r>
          </w:p>
        </w:tc>
        <w:tc>
          <w:tcPr>
            <w:tcW w:w="1559" w:type="dxa"/>
            <w:tcBorders>
              <w:top w:val="single" w:sz="12"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0,2</w:t>
            </w:r>
          </w:p>
        </w:tc>
        <w:tc>
          <w:tcPr>
            <w:tcW w:w="1276" w:type="dxa"/>
            <w:tcBorders>
              <w:top w:val="single" w:sz="12"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c>
          <w:tcPr>
            <w:tcW w:w="1276" w:type="dxa"/>
            <w:tcBorders>
              <w:top w:val="single" w:sz="12"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c>
          <w:tcPr>
            <w:tcW w:w="1700" w:type="dxa"/>
            <w:tcBorders>
              <w:top w:val="single" w:sz="12" w:space="0" w:color="auto"/>
              <w:left w:val="single" w:sz="4" w:space="0" w:color="auto"/>
              <w:bottom w:val="single" w:sz="4" w:space="0" w:color="auto"/>
              <w:right w:val="single" w:sz="12" w:space="0" w:color="auto"/>
            </w:tcBorders>
          </w:tcPr>
          <w:p w:rsidR="003A6F42" w:rsidRPr="00D6115E" w:rsidRDefault="007560D0" w:rsidP="00E04B81">
            <w:pPr>
              <w:jc w:val="center"/>
              <w:rPr>
                <w:color w:val="000000" w:themeColor="text1"/>
                <w:sz w:val="18"/>
                <w:szCs w:val="18"/>
              </w:rPr>
            </w:pPr>
            <w:r>
              <w:rPr>
                <w:color w:val="000000" w:themeColor="text1"/>
                <w:sz w:val="18"/>
                <w:szCs w:val="18"/>
              </w:rPr>
              <w:t>-</w:t>
            </w:r>
            <w:r w:rsidR="003A6F42" w:rsidRPr="00D6115E">
              <w:rPr>
                <w:color w:val="000000" w:themeColor="text1"/>
                <w:sz w:val="18"/>
                <w:szCs w:val="18"/>
              </w:rPr>
              <w:t>0,2</w:t>
            </w:r>
          </w:p>
        </w:tc>
      </w:tr>
      <w:tr w:rsidR="003A6F42" w:rsidRPr="00D6115E" w:rsidTr="00D6115E">
        <w:trPr>
          <w:trHeight w:val="556"/>
        </w:trPr>
        <w:tc>
          <w:tcPr>
            <w:tcW w:w="4821" w:type="dxa"/>
            <w:tcBorders>
              <w:top w:val="single" w:sz="4" w:space="0" w:color="auto"/>
              <w:left w:val="single" w:sz="12" w:space="0" w:color="auto"/>
              <w:bottom w:val="single" w:sz="4" w:space="0" w:color="auto"/>
              <w:right w:val="single" w:sz="4" w:space="0" w:color="auto"/>
            </w:tcBorders>
            <w:noWrap/>
          </w:tcPr>
          <w:p w:rsidR="003A6F42" w:rsidRPr="00D6115E" w:rsidRDefault="003A6F42" w:rsidP="007125DA">
            <w:pPr>
              <w:pStyle w:val="ad"/>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 xml:space="preserve">Денежные взыскания (штрафы) за нарушение законодательства РФ о размещении заказов </w:t>
            </w:r>
            <w:r w:rsidR="007125DA">
              <w:rPr>
                <w:rFonts w:ascii="Times New Roman" w:hAnsi="Times New Roman" w:cs="Times New Roman"/>
                <w:color w:val="000000" w:themeColor="text1"/>
                <w:sz w:val="18"/>
                <w:szCs w:val="18"/>
              </w:rPr>
              <w:t xml:space="preserve">….. (КБК 807 1 16 33020 </w:t>
            </w:r>
            <w:r w:rsidRPr="00D6115E">
              <w:rPr>
                <w:rFonts w:ascii="Times New Roman" w:hAnsi="Times New Roman" w:cs="Times New Roman"/>
                <w:color w:val="000000" w:themeColor="text1"/>
                <w:sz w:val="18"/>
                <w:szCs w:val="18"/>
              </w:rPr>
              <w:t>02 0000 140)</w:t>
            </w:r>
          </w:p>
        </w:tc>
        <w:tc>
          <w:tcPr>
            <w:tcW w:w="1559"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33,5</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w:t>
            </w:r>
          </w:p>
        </w:tc>
        <w:tc>
          <w:tcPr>
            <w:tcW w:w="1700" w:type="dxa"/>
            <w:tcBorders>
              <w:top w:val="single" w:sz="4" w:space="0" w:color="auto"/>
              <w:left w:val="single" w:sz="4" w:space="0" w:color="auto"/>
              <w:bottom w:val="single" w:sz="4" w:space="0" w:color="auto"/>
              <w:right w:val="single" w:sz="12" w:space="0" w:color="auto"/>
            </w:tcBorders>
          </w:tcPr>
          <w:p w:rsidR="003A6F42" w:rsidRPr="00D6115E" w:rsidRDefault="007560D0" w:rsidP="00E04B81">
            <w:pPr>
              <w:jc w:val="center"/>
              <w:rPr>
                <w:color w:val="000000" w:themeColor="text1"/>
                <w:sz w:val="18"/>
                <w:szCs w:val="18"/>
              </w:rPr>
            </w:pPr>
            <w:r>
              <w:rPr>
                <w:color w:val="000000" w:themeColor="text1"/>
                <w:sz w:val="18"/>
                <w:szCs w:val="18"/>
              </w:rPr>
              <w:t>+</w:t>
            </w:r>
            <w:r w:rsidRPr="00D6115E">
              <w:rPr>
                <w:color w:val="000000" w:themeColor="text1"/>
                <w:sz w:val="18"/>
                <w:szCs w:val="18"/>
              </w:rPr>
              <w:t>33,5</w:t>
            </w:r>
          </w:p>
        </w:tc>
      </w:tr>
      <w:tr w:rsidR="003A6F42" w:rsidRPr="00D6115E" w:rsidTr="00D6115E">
        <w:trPr>
          <w:trHeight w:val="564"/>
        </w:trPr>
        <w:tc>
          <w:tcPr>
            <w:tcW w:w="4821" w:type="dxa"/>
            <w:tcBorders>
              <w:top w:val="single" w:sz="4" w:space="0" w:color="auto"/>
              <w:left w:val="single" w:sz="12" w:space="0" w:color="auto"/>
              <w:bottom w:val="single" w:sz="4" w:space="0" w:color="auto"/>
              <w:right w:val="single" w:sz="4" w:space="0" w:color="auto"/>
            </w:tcBorders>
            <w:noWrap/>
          </w:tcPr>
          <w:p w:rsidR="003A6F42" w:rsidRPr="00D6115E" w:rsidRDefault="003A6F42" w:rsidP="009D4D08">
            <w:pPr>
              <w:pStyle w:val="ad"/>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Прочие поступления от денежных взысканий (штрафов) и иных сумм в возмещение ущерба, зачисляемые в бюджеты субъектов РФ (КБК 807 1 16 90020  02 0000 140)</w:t>
            </w:r>
          </w:p>
        </w:tc>
        <w:tc>
          <w:tcPr>
            <w:tcW w:w="1559"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107,1</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1194,2</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CB3952" w:rsidP="00E04B81">
            <w:pPr>
              <w:jc w:val="center"/>
              <w:rPr>
                <w:color w:val="000000" w:themeColor="text1"/>
                <w:sz w:val="18"/>
                <w:szCs w:val="18"/>
              </w:rPr>
            </w:pPr>
            <w:r>
              <w:rPr>
                <w:color w:val="000000" w:themeColor="text1"/>
                <w:sz w:val="18"/>
                <w:szCs w:val="18"/>
              </w:rPr>
              <w:t>в 11 раз</w:t>
            </w:r>
          </w:p>
        </w:tc>
        <w:tc>
          <w:tcPr>
            <w:tcW w:w="1700" w:type="dxa"/>
            <w:tcBorders>
              <w:top w:val="single" w:sz="4" w:space="0" w:color="auto"/>
              <w:left w:val="single" w:sz="4" w:space="0" w:color="auto"/>
              <w:bottom w:val="single" w:sz="4" w:space="0" w:color="auto"/>
              <w:right w:val="single" w:sz="12" w:space="0" w:color="auto"/>
            </w:tcBorders>
          </w:tcPr>
          <w:p w:rsidR="003A6F42" w:rsidRPr="00D6115E" w:rsidRDefault="007560D0" w:rsidP="00E04B81">
            <w:pPr>
              <w:jc w:val="center"/>
              <w:rPr>
                <w:color w:val="000000" w:themeColor="text1"/>
                <w:sz w:val="18"/>
                <w:szCs w:val="18"/>
              </w:rPr>
            </w:pPr>
            <w:r>
              <w:rPr>
                <w:color w:val="000000" w:themeColor="text1"/>
                <w:sz w:val="18"/>
                <w:szCs w:val="18"/>
              </w:rPr>
              <w:t>+1087,1</w:t>
            </w:r>
          </w:p>
        </w:tc>
      </w:tr>
      <w:tr w:rsidR="003A6F42" w:rsidRPr="00D6115E" w:rsidTr="00D6115E">
        <w:trPr>
          <w:trHeight w:val="551"/>
        </w:trPr>
        <w:tc>
          <w:tcPr>
            <w:tcW w:w="4821" w:type="dxa"/>
            <w:tcBorders>
              <w:top w:val="single" w:sz="4" w:space="0" w:color="auto"/>
              <w:left w:val="single" w:sz="12" w:space="0" w:color="auto"/>
              <w:bottom w:val="single" w:sz="4" w:space="0" w:color="auto"/>
              <w:right w:val="single" w:sz="4" w:space="0" w:color="auto"/>
            </w:tcBorders>
            <w:noWrap/>
          </w:tcPr>
          <w:p w:rsidR="003A6F42" w:rsidRPr="00D6115E" w:rsidRDefault="003A6F42" w:rsidP="00B42CAD">
            <w:pPr>
              <w:pStyle w:val="ad"/>
              <w:ind w:right="175"/>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Субсидии бюджетам субъектов РФ на софинансирование капитальных вложений в объекты государственной (муниципальной) собственности (КБК 807 2 02 02077 02 0000 151)</w:t>
            </w:r>
          </w:p>
        </w:tc>
        <w:tc>
          <w:tcPr>
            <w:tcW w:w="1559"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50000,0</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50000,0</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100,0</w:t>
            </w:r>
          </w:p>
        </w:tc>
        <w:tc>
          <w:tcPr>
            <w:tcW w:w="1700" w:type="dxa"/>
            <w:tcBorders>
              <w:top w:val="single" w:sz="4" w:space="0" w:color="auto"/>
              <w:left w:val="single" w:sz="4" w:space="0" w:color="auto"/>
              <w:bottom w:val="single" w:sz="4" w:space="0" w:color="auto"/>
              <w:right w:val="single" w:sz="12"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r>
      <w:tr w:rsidR="003A6F42" w:rsidRPr="00D6115E" w:rsidTr="00D6115E">
        <w:trPr>
          <w:trHeight w:val="511"/>
        </w:trPr>
        <w:tc>
          <w:tcPr>
            <w:tcW w:w="4821" w:type="dxa"/>
            <w:tcBorders>
              <w:top w:val="single" w:sz="4" w:space="0" w:color="auto"/>
              <w:left w:val="single" w:sz="12" w:space="0" w:color="auto"/>
              <w:bottom w:val="single" w:sz="4" w:space="0" w:color="auto"/>
              <w:right w:val="single" w:sz="4" w:space="0" w:color="auto"/>
            </w:tcBorders>
          </w:tcPr>
          <w:p w:rsidR="003A6F42" w:rsidRPr="00D6115E" w:rsidRDefault="003A6F42" w:rsidP="00B42CAD">
            <w:pPr>
              <w:jc w:val="both"/>
              <w:rPr>
                <w:color w:val="000000" w:themeColor="text1"/>
                <w:sz w:val="18"/>
                <w:szCs w:val="18"/>
              </w:rPr>
            </w:pPr>
            <w:r w:rsidRPr="00D6115E">
              <w:rPr>
                <w:color w:val="000000" w:themeColor="text1"/>
                <w:sz w:val="18"/>
                <w:szCs w:val="18"/>
              </w:rPr>
              <w:t>Субсидии бюджетам субъектов РФ на модернизацию региональных систем дошкольного образования  (КБК 807 2 02 02204 02 0000 151)</w:t>
            </w:r>
          </w:p>
        </w:tc>
        <w:tc>
          <w:tcPr>
            <w:tcW w:w="1559"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526986,1</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526986,1</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100,0</w:t>
            </w:r>
          </w:p>
        </w:tc>
        <w:tc>
          <w:tcPr>
            <w:tcW w:w="1700" w:type="dxa"/>
            <w:tcBorders>
              <w:top w:val="single" w:sz="4" w:space="0" w:color="auto"/>
              <w:left w:val="single" w:sz="4" w:space="0" w:color="auto"/>
              <w:bottom w:val="single" w:sz="4" w:space="0" w:color="auto"/>
              <w:right w:val="single" w:sz="12"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r>
      <w:tr w:rsidR="003A6F42" w:rsidRPr="00D6115E" w:rsidTr="00D6115E">
        <w:trPr>
          <w:trHeight w:val="950"/>
        </w:trPr>
        <w:tc>
          <w:tcPr>
            <w:tcW w:w="4821" w:type="dxa"/>
            <w:tcBorders>
              <w:top w:val="single" w:sz="4" w:space="0" w:color="auto"/>
              <w:left w:val="single" w:sz="12" w:space="0" w:color="auto"/>
              <w:bottom w:val="single" w:sz="4" w:space="0" w:color="auto"/>
              <w:right w:val="single" w:sz="4" w:space="0" w:color="auto"/>
            </w:tcBorders>
          </w:tcPr>
          <w:p w:rsidR="003A6F42" w:rsidRPr="00D6115E" w:rsidRDefault="003A6F42" w:rsidP="00B42CAD">
            <w:pPr>
              <w:pStyle w:val="ad"/>
              <w:ind w:right="176"/>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lastRenderedPageBreak/>
              <w:t>Безвозмездные поступления в бюджеты субъектов РФ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(КБК 807 2 03 02040 02 0000 180)</w:t>
            </w:r>
          </w:p>
        </w:tc>
        <w:tc>
          <w:tcPr>
            <w:tcW w:w="1559"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360677,6</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310458,9</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86,1</w:t>
            </w:r>
          </w:p>
        </w:tc>
        <w:tc>
          <w:tcPr>
            <w:tcW w:w="1700" w:type="dxa"/>
            <w:tcBorders>
              <w:top w:val="single" w:sz="4" w:space="0" w:color="auto"/>
              <w:left w:val="single" w:sz="4" w:space="0" w:color="auto"/>
              <w:bottom w:val="single" w:sz="4" w:space="0" w:color="auto"/>
              <w:right w:val="single" w:sz="12" w:space="0" w:color="auto"/>
            </w:tcBorders>
          </w:tcPr>
          <w:p w:rsidR="003A6F42" w:rsidRPr="00D6115E" w:rsidRDefault="007560D0" w:rsidP="00E04B81">
            <w:pPr>
              <w:jc w:val="center"/>
              <w:rPr>
                <w:color w:val="000000" w:themeColor="text1"/>
                <w:sz w:val="18"/>
                <w:szCs w:val="18"/>
              </w:rPr>
            </w:pPr>
            <w:r>
              <w:rPr>
                <w:color w:val="000000" w:themeColor="text1"/>
                <w:sz w:val="18"/>
                <w:szCs w:val="18"/>
              </w:rPr>
              <w:t>-</w:t>
            </w:r>
            <w:r w:rsidR="003A6F42" w:rsidRPr="00D6115E">
              <w:rPr>
                <w:color w:val="000000" w:themeColor="text1"/>
                <w:sz w:val="18"/>
                <w:szCs w:val="18"/>
              </w:rPr>
              <w:t>50218,7</w:t>
            </w:r>
          </w:p>
        </w:tc>
      </w:tr>
      <w:tr w:rsidR="003A6F42" w:rsidRPr="00D6115E" w:rsidTr="00D6115E">
        <w:trPr>
          <w:trHeight w:val="818"/>
        </w:trPr>
        <w:tc>
          <w:tcPr>
            <w:tcW w:w="4821" w:type="dxa"/>
            <w:tcBorders>
              <w:top w:val="single" w:sz="4" w:space="0" w:color="auto"/>
              <w:left w:val="single" w:sz="12" w:space="0" w:color="auto"/>
              <w:bottom w:val="single" w:sz="4" w:space="0" w:color="auto"/>
              <w:right w:val="single" w:sz="4" w:space="0" w:color="auto"/>
            </w:tcBorders>
          </w:tcPr>
          <w:p w:rsidR="003A6F42" w:rsidRPr="00D6115E" w:rsidRDefault="003A6F42" w:rsidP="00B42CAD">
            <w:pPr>
              <w:jc w:val="both"/>
              <w:rPr>
                <w:color w:val="000000" w:themeColor="text1"/>
                <w:sz w:val="18"/>
                <w:szCs w:val="18"/>
              </w:rPr>
            </w:pPr>
            <w:r w:rsidRPr="00D6115E">
              <w:rPr>
                <w:color w:val="000000" w:themeColor="text1"/>
                <w:sz w:val="18"/>
                <w:szCs w:val="18"/>
              </w:rPr>
              <w:t>Безвозмездные поступления в бюджеты субъектов РФ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  (КБК 807 2 03 02060 02 0000 180)</w:t>
            </w:r>
          </w:p>
        </w:tc>
        <w:tc>
          <w:tcPr>
            <w:tcW w:w="1559"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78394,2</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78394,2</w:t>
            </w:r>
          </w:p>
        </w:tc>
        <w:tc>
          <w:tcPr>
            <w:tcW w:w="1276" w:type="dxa"/>
            <w:tcBorders>
              <w:top w:val="single" w:sz="4" w:space="0" w:color="auto"/>
              <w:left w:val="single" w:sz="4" w:space="0" w:color="auto"/>
              <w:bottom w:val="single" w:sz="4" w:space="0" w:color="auto"/>
              <w:right w:val="single" w:sz="4"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100,0</w:t>
            </w:r>
          </w:p>
        </w:tc>
        <w:tc>
          <w:tcPr>
            <w:tcW w:w="1700" w:type="dxa"/>
            <w:tcBorders>
              <w:top w:val="single" w:sz="4" w:space="0" w:color="auto"/>
              <w:left w:val="single" w:sz="4" w:space="0" w:color="auto"/>
              <w:bottom w:val="single" w:sz="4" w:space="0" w:color="auto"/>
              <w:right w:val="single" w:sz="12" w:space="0" w:color="auto"/>
            </w:tcBorders>
          </w:tcPr>
          <w:p w:rsidR="003A6F42" w:rsidRPr="00D6115E" w:rsidRDefault="003A6F42" w:rsidP="00E04B81">
            <w:pPr>
              <w:jc w:val="center"/>
              <w:rPr>
                <w:color w:val="000000" w:themeColor="text1"/>
                <w:sz w:val="18"/>
                <w:szCs w:val="18"/>
              </w:rPr>
            </w:pPr>
            <w:r w:rsidRPr="00D6115E">
              <w:rPr>
                <w:color w:val="000000" w:themeColor="text1"/>
                <w:sz w:val="18"/>
                <w:szCs w:val="18"/>
              </w:rPr>
              <w:t>0,0</w:t>
            </w:r>
          </w:p>
        </w:tc>
      </w:tr>
      <w:tr w:rsidR="007560D0" w:rsidRPr="00D6115E" w:rsidTr="00D6115E">
        <w:trPr>
          <w:trHeight w:val="223"/>
        </w:trPr>
        <w:tc>
          <w:tcPr>
            <w:tcW w:w="4821" w:type="dxa"/>
            <w:tcBorders>
              <w:top w:val="single" w:sz="4" w:space="0" w:color="auto"/>
              <w:left w:val="single" w:sz="12" w:space="0" w:color="auto"/>
              <w:bottom w:val="single" w:sz="4" w:space="0" w:color="auto"/>
              <w:right w:val="single" w:sz="4" w:space="0" w:color="auto"/>
            </w:tcBorders>
          </w:tcPr>
          <w:p w:rsidR="007560D0" w:rsidRPr="00D6115E" w:rsidRDefault="007560D0" w:rsidP="00B42CAD">
            <w:pPr>
              <w:pStyle w:val="ad"/>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Доходы бюджетов субъектов РФ от возврата автономными учреждениями остатков субсидий прошлых лет  (КБК 807 2 18 02020 02 0000 180)</w:t>
            </w:r>
          </w:p>
        </w:tc>
        <w:tc>
          <w:tcPr>
            <w:tcW w:w="1559"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3,4</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700" w:type="dxa"/>
            <w:tcBorders>
              <w:top w:val="single" w:sz="4" w:space="0" w:color="auto"/>
              <w:left w:val="single" w:sz="4" w:space="0" w:color="auto"/>
              <w:bottom w:val="single" w:sz="4" w:space="0" w:color="auto"/>
              <w:right w:val="single" w:sz="12" w:space="0" w:color="auto"/>
            </w:tcBorders>
          </w:tcPr>
          <w:p w:rsidR="007560D0" w:rsidRPr="00D6115E" w:rsidRDefault="007560D0" w:rsidP="00694F2C">
            <w:pPr>
              <w:jc w:val="center"/>
              <w:rPr>
                <w:color w:val="000000" w:themeColor="text1"/>
                <w:sz w:val="18"/>
                <w:szCs w:val="18"/>
              </w:rPr>
            </w:pPr>
            <w:r>
              <w:rPr>
                <w:color w:val="000000" w:themeColor="text1"/>
                <w:sz w:val="18"/>
                <w:szCs w:val="18"/>
              </w:rPr>
              <w:t>+</w:t>
            </w:r>
            <w:r w:rsidRPr="00D6115E">
              <w:rPr>
                <w:color w:val="000000" w:themeColor="text1"/>
                <w:sz w:val="18"/>
                <w:szCs w:val="18"/>
              </w:rPr>
              <w:t>3,4</w:t>
            </w:r>
          </w:p>
        </w:tc>
      </w:tr>
      <w:tr w:rsidR="007560D0" w:rsidRPr="00D6115E" w:rsidTr="00D6115E">
        <w:trPr>
          <w:trHeight w:val="223"/>
        </w:trPr>
        <w:tc>
          <w:tcPr>
            <w:tcW w:w="4821" w:type="dxa"/>
            <w:tcBorders>
              <w:top w:val="single" w:sz="4" w:space="0" w:color="auto"/>
              <w:left w:val="single" w:sz="12" w:space="0" w:color="auto"/>
              <w:bottom w:val="single" w:sz="4" w:space="0" w:color="auto"/>
              <w:right w:val="single" w:sz="4" w:space="0" w:color="auto"/>
            </w:tcBorders>
          </w:tcPr>
          <w:p w:rsidR="007560D0" w:rsidRPr="00D6115E" w:rsidRDefault="007560D0" w:rsidP="007125DA">
            <w:pPr>
              <w:pStyle w:val="ad"/>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 xml:space="preserve">Доходы бюджетов субъектов РФ от возврата остатков субсидий, </w:t>
            </w:r>
            <w:r>
              <w:rPr>
                <w:rFonts w:ascii="Times New Roman" w:hAnsi="Times New Roman" w:cs="Times New Roman"/>
                <w:color w:val="000000" w:themeColor="text1"/>
                <w:sz w:val="18"/>
                <w:szCs w:val="18"/>
              </w:rPr>
              <w:t>….</w:t>
            </w:r>
            <w:r w:rsidRPr="00D6115E">
              <w:rPr>
                <w:rFonts w:ascii="Times New Roman" w:hAnsi="Times New Roman" w:cs="Times New Roman"/>
                <w:color w:val="000000" w:themeColor="text1"/>
                <w:sz w:val="18"/>
                <w:szCs w:val="18"/>
              </w:rPr>
              <w:t xml:space="preserve"> из бюджетов городских округов (КБК 807 2 18 02030 02 0000 151)</w:t>
            </w:r>
          </w:p>
        </w:tc>
        <w:tc>
          <w:tcPr>
            <w:tcW w:w="1559"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46355,1</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700" w:type="dxa"/>
            <w:tcBorders>
              <w:top w:val="single" w:sz="4" w:space="0" w:color="auto"/>
              <w:left w:val="single" w:sz="4" w:space="0" w:color="auto"/>
              <w:bottom w:val="single" w:sz="4" w:space="0" w:color="auto"/>
              <w:right w:val="single" w:sz="12" w:space="0" w:color="auto"/>
            </w:tcBorders>
          </w:tcPr>
          <w:p w:rsidR="007560D0" w:rsidRPr="00D6115E" w:rsidRDefault="007560D0" w:rsidP="00694F2C">
            <w:pPr>
              <w:jc w:val="center"/>
              <w:rPr>
                <w:color w:val="000000" w:themeColor="text1"/>
                <w:sz w:val="18"/>
                <w:szCs w:val="18"/>
              </w:rPr>
            </w:pPr>
            <w:r>
              <w:rPr>
                <w:color w:val="000000" w:themeColor="text1"/>
                <w:sz w:val="18"/>
                <w:szCs w:val="18"/>
              </w:rPr>
              <w:t>+</w:t>
            </w:r>
            <w:r w:rsidRPr="00D6115E">
              <w:rPr>
                <w:color w:val="000000" w:themeColor="text1"/>
                <w:sz w:val="18"/>
                <w:szCs w:val="18"/>
              </w:rPr>
              <w:t>46355,1</w:t>
            </w:r>
          </w:p>
        </w:tc>
      </w:tr>
      <w:tr w:rsidR="007560D0" w:rsidRPr="00D6115E" w:rsidTr="00D6115E">
        <w:trPr>
          <w:trHeight w:val="223"/>
        </w:trPr>
        <w:tc>
          <w:tcPr>
            <w:tcW w:w="4821" w:type="dxa"/>
            <w:tcBorders>
              <w:top w:val="single" w:sz="4" w:space="0" w:color="auto"/>
              <w:left w:val="single" w:sz="12" w:space="0" w:color="auto"/>
              <w:bottom w:val="single" w:sz="4" w:space="0" w:color="auto"/>
              <w:right w:val="single" w:sz="4" w:space="0" w:color="auto"/>
            </w:tcBorders>
          </w:tcPr>
          <w:p w:rsidR="007560D0" w:rsidRPr="00D6115E" w:rsidRDefault="007560D0" w:rsidP="00B42CAD">
            <w:pPr>
              <w:jc w:val="both"/>
              <w:rPr>
                <w:color w:val="000000" w:themeColor="text1"/>
                <w:sz w:val="18"/>
                <w:szCs w:val="18"/>
              </w:rPr>
            </w:pPr>
            <w:r w:rsidRPr="00D6115E">
              <w:rPr>
                <w:color w:val="000000" w:themeColor="text1"/>
                <w:sz w:val="18"/>
                <w:szCs w:val="18"/>
              </w:rPr>
              <w:t>Доходы бюджетов субъектов РФ от возврата иными организациями остатков субсидий прошлых лет (КБК 807 2 18 02030 02 0000 180)</w:t>
            </w:r>
          </w:p>
        </w:tc>
        <w:tc>
          <w:tcPr>
            <w:tcW w:w="1559"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58,2</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700" w:type="dxa"/>
            <w:tcBorders>
              <w:top w:val="single" w:sz="4" w:space="0" w:color="auto"/>
              <w:left w:val="single" w:sz="4" w:space="0" w:color="auto"/>
              <w:bottom w:val="single" w:sz="4" w:space="0" w:color="auto"/>
              <w:right w:val="single" w:sz="12" w:space="0" w:color="auto"/>
            </w:tcBorders>
          </w:tcPr>
          <w:p w:rsidR="007560D0" w:rsidRPr="00D6115E" w:rsidRDefault="007560D0" w:rsidP="00694F2C">
            <w:pPr>
              <w:jc w:val="center"/>
              <w:rPr>
                <w:color w:val="000000" w:themeColor="text1"/>
                <w:sz w:val="18"/>
                <w:szCs w:val="18"/>
              </w:rPr>
            </w:pPr>
            <w:r>
              <w:rPr>
                <w:color w:val="000000" w:themeColor="text1"/>
                <w:sz w:val="18"/>
                <w:szCs w:val="18"/>
              </w:rPr>
              <w:t>+</w:t>
            </w:r>
            <w:r w:rsidRPr="00D6115E">
              <w:rPr>
                <w:color w:val="000000" w:themeColor="text1"/>
                <w:sz w:val="18"/>
                <w:szCs w:val="18"/>
              </w:rPr>
              <w:t>58,2</w:t>
            </w:r>
          </w:p>
        </w:tc>
      </w:tr>
      <w:tr w:rsidR="007560D0" w:rsidRPr="00D6115E" w:rsidTr="00D6115E">
        <w:trPr>
          <w:trHeight w:val="223"/>
        </w:trPr>
        <w:tc>
          <w:tcPr>
            <w:tcW w:w="4821" w:type="dxa"/>
            <w:tcBorders>
              <w:top w:val="single" w:sz="4" w:space="0" w:color="auto"/>
              <w:left w:val="single" w:sz="12" w:space="0" w:color="auto"/>
              <w:bottom w:val="single" w:sz="4" w:space="0" w:color="auto"/>
              <w:right w:val="single" w:sz="4" w:space="0" w:color="auto"/>
            </w:tcBorders>
          </w:tcPr>
          <w:p w:rsidR="007560D0" w:rsidRPr="00D6115E" w:rsidRDefault="007560D0" w:rsidP="007125DA">
            <w:pPr>
              <w:pStyle w:val="ad"/>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 xml:space="preserve">Доходы бюджетов субъектов РФ от возврата остатков субсидий, </w:t>
            </w:r>
            <w:r>
              <w:rPr>
                <w:rFonts w:ascii="Times New Roman" w:hAnsi="Times New Roman" w:cs="Times New Roman"/>
                <w:color w:val="000000" w:themeColor="text1"/>
                <w:sz w:val="18"/>
                <w:szCs w:val="18"/>
              </w:rPr>
              <w:t>…..</w:t>
            </w:r>
            <w:r w:rsidRPr="00D6115E">
              <w:rPr>
                <w:rFonts w:ascii="Times New Roman" w:hAnsi="Times New Roman" w:cs="Times New Roman"/>
                <w:color w:val="000000" w:themeColor="text1"/>
                <w:sz w:val="18"/>
                <w:szCs w:val="18"/>
              </w:rPr>
              <w:t xml:space="preserve"> из бюджетов муниципальных районов (КБК 807 2 18 02040 02 0000 151)</w:t>
            </w:r>
          </w:p>
        </w:tc>
        <w:tc>
          <w:tcPr>
            <w:tcW w:w="1559"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94,7</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700" w:type="dxa"/>
            <w:tcBorders>
              <w:top w:val="single" w:sz="4" w:space="0" w:color="auto"/>
              <w:left w:val="single" w:sz="4" w:space="0" w:color="auto"/>
              <w:bottom w:val="single" w:sz="4" w:space="0" w:color="auto"/>
              <w:right w:val="single" w:sz="12" w:space="0" w:color="auto"/>
            </w:tcBorders>
          </w:tcPr>
          <w:p w:rsidR="007560D0" w:rsidRPr="00D6115E" w:rsidRDefault="007560D0" w:rsidP="00694F2C">
            <w:pPr>
              <w:jc w:val="center"/>
              <w:rPr>
                <w:color w:val="000000" w:themeColor="text1"/>
                <w:sz w:val="18"/>
                <w:szCs w:val="18"/>
              </w:rPr>
            </w:pPr>
            <w:r>
              <w:rPr>
                <w:color w:val="000000" w:themeColor="text1"/>
                <w:sz w:val="18"/>
                <w:szCs w:val="18"/>
              </w:rPr>
              <w:t>+</w:t>
            </w:r>
            <w:r w:rsidRPr="00D6115E">
              <w:rPr>
                <w:color w:val="000000" w:themeColor="text1"/>
                <w:sz w:val="18"/>
                <w:szCs w:val="18"/>
              </w:rPr>
              <w:t>94,7</w:t>
            </w:r>
          </w:p>
        </w:tc>
      </w:tr>
      <w:tr w:rsidR="007560D0" w:rsidRPr="00D6115E" w:rsidTr="00D6115E">
        <w:trPr>
          <w:trHeight w:val="223"/>
        </w:trPr>
        <w:tc>
          <w:tcPr>
            <w:tcW w:w="4821" w:type="dxa"/>
            <w:tcBorders>
              <w:top w:val="single" w:sz="4" w:space="0" w:color="auto"/>
              <w:left w:val="single" w:sz="12" w:space="0" w:color="auto"/>
              <w:bottom w:val="single" w:sz="4" w:space="0" w:color="auto"/>
              <w:right w:val="single" w:sz="4" w:space="0" w:color="auto"/>
            </w:tcBorders>
          </w:tcPr>
          <w:p w:rsidR="007560D0" w:rsidRPr="00D6115E" w:rsidRDefault="007560D0" w:rsidP="007125DA">
            <w:pPr>
              <w:pStyle w:val="ad"/>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 xml:space="preserve">Доходы бюджетов субъектов РФ от возврата остатков субсидий, </w:t>
            </w:r>
            <w:r>
              <w:rPr>
                <w:rFonts w:ascii="Times New Roman" w:hAnsi="Times New Roman" w:cs="Times New Roman"/>
                <w:color w:val="000000" w:themeColor="text1"/>
                <w:sz w:val="18"/>
                <w:szCs w:val="18"/>
              </w:rPr>
              <w:t>……</w:t>
            </w:r>
            <w:r w:rsidRPr="00D6115E">
              <w:rPr>
                <w:rFonts w:ascii="Times New Roman" w:hAnsi="Times New Roman" w:cs="Times New Roman"/>
                <w:color w:val="000000" w:themeColor="text1"/>
                <w:sz w:val="18"/>
                <w:szCs w:val="18"/>
              </w:rPr>
              <w:t xml:space="preserve"> из бюджетов поселений (КБК 807 2 18 02050 02 0000 151)</w:t>
            </w:r>
          </w:p>
        </w:tc>
        <w:tc>
          <w:tcPr>
            <w:tcW w:w="1559"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151,2</w:t>
            </w:r>
          </w:p>
        </w:tc>
        <w:tc>
          <w:tcPr>
            <w:tcW w:w="1276" w:type="dxa"/>
            <w:tcBorders>
              <w:top w:val="single" w:sz="4" w:space="0" w:color="auto"/>
              <w:left w:val="single" w:sz="4" w:space="0" w:color="auto"/>
              <w:bottom w:val="single" w:sz="4"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700" w:type="dxa"/>
            <w:tcBorders>
              <w:top w:val="single" w:sz="4" w:space="0" w:color="auto"/>
              <w:left w:val="single" w:sz="4" w:space="0" w:color="auto"/>
              <w:bottom w:val="single" w:sz="4" w:space="0" w:color="auto"/>
              <w:right w:val="single" w:sz="12" w:space="0" w:color="auto"/>
            </w:tcBorders>
          </w:tcPr>
          <w:p w:rsidR="007560D0" w:rsidRPr="00D6115E" w:rsidRDefault="007560D0" w:rsidP="00694F2C">
            <w:pPr>
              <w:jc w:val="center"/>
              <w:rPr>
                <w:color w:val="000000" w:themeColor="text1"/>
                <w:sz w:val="18"/>
                <w:szCs w:val="18"/>
              </w:rPr>
            </w:pPr>
            <w:r>
              <w:rPr>
                <w:color w:val="000000" w:themeColor="text1"/>
                <w:sz w:val="18"/>
                <w:szCs w:val="18"/>
              </w:rPr>
              <w:t>+</w:t>
            </w:r>
            <w:r w:rsidRPr="00D6115E">
              <w:rPr>
                <w:color w:val="000000" w:themeColor="text1"/>
                <w:sz w:val="18"/>
                <w:szCs w:val="18"/>
              </w:rPr>
              <w:t>151,2</w:t>
            </w:r>
          </w:p>
        </w:tc>
      </w:tr>
      <w:tr w:rsidR="007560D0" w:rsidRPr="00D6115E" w:rsidTr="00D6115E">
        <w:trPr>
          <w:trHeight w:val="223"/>
        </w:trPr>
        <w:tc>
          <w:tcPr>
            <w:tcW w:w="4821" w:type="dxa"/>
            <w:tcBorders>
              <w:top w:val="single" w:sz="4" w:space="0" w:color="auto"/>
              <w:left w:val="single" w:sz="12" w:space="0" w:color="auto"/>
              <w:bottom w:val="single" w:sz="12" w:space="0" w:color="auto"/>
              <w:right w:val="single" w:sz="4" w:space="0" w:color="auto"/>
            </w:tcBorders>
          </w:tcPr>
          <w:p w:rsidR="007560D0" w:rsidRPr="00D6115E" w:rsidRDefault="007560D0" w:rsidP="00B42CAD">
            <w:pPr>
              <w:pStyle w:val="ad"/>
              <w:jc w:val="both"/>
              <w:rPr>
                <w:rFonts w:ascii="Times New Roman" w:hAnsi="Times New Roman" w:cs="Times New Roman"/>
                <w:color w:val="000000" w:themeColor="text1"/>
                <w:sz w:val="18"/>
                <w:szCs w:val="18"/>
              </w:rPr>
            </w:pPr>
            <w:r w:rsidRPr="00D6115E">
              <w:rPr>
                <w:rFonts w:ascii="Times New Roman" w:hAnsi="Times New Roman" w:cs="Times New Roman"/>
                <w:color w:val="000000" w:themeColor="text1"/>
                <w:sz w:val="18"/>
                <w:szCs w:val="18"/>
              </w:rPr>
              <w:t>Возврат остатков субсидий, субвенций и иных межбюджетных трансфертов, имеющих целевое назначение, прошлых лет из бюджетов субъектов РФ (КБК 807 2 19 02000 02 0000 151)</w:t>
            </w:r>
          </w:p>
        </w:tc>
        <w:tc>
          <w:tcPr>
            <w:tcW w:w="1559" w:type="dxa"/>
            <w:tcBorders>
              <w:top w:val="single" w:sz="4" w:space="0" w:color="auto"/>
              <w:left w:val="single" w:sz="4" w:space="0" w:color="auto"/>
              <w:bottom w:val="single" w:sz="12"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0,0</w:t>
            </w:r>
          </w:p>
        </w:tc>
        <w:tc>
          <w:tcPr>
            <w:tcW w:w="1276" w:type="dxa"/>
            <w:tcBorders>
              <w:top w:val="single" w:sz="4" w:space="0" w:color="auto"/>
              <w:left w:val="single" w:sz="4" w:space="0" w:color="auto"/>
              <w:bottom w:val="single" w:sz="12" w:space="0" w:color="auto"/>
              <w:right w:val="single" w:sz="4" w:space="0" w:color="auto"/>
            </w:tcBorders>
          </w:tcPr>
          <w:p w:rsidR="007560D0" w:rsidRPr="00D6115E" w:rsidRDefault="007560D0" w:rsidP="00E04B81">
            <w:pPr>
              <w:jc w:val="center"/>
              <w:rPr>
                <w:color w:val="000000" w:themeColor="text1"/>
                <w:sz w:val="18"/>
                <w:szCs w:val="18"/>
              </w:rPr>
            </w:pPr>
            <w:r w:rsidRPr="00D6115E">
              <w:rPr>
                <w:color w:val="000000" w:themeColor="text1"/>
                <w:sz w:val="18"/>
                <w:szCs w:val="18"/>
              </w:rPr>
              <w:t>-478608,2</w:t>
            </w:r>
          </w:p>
        </w:tc>
        <w:tc>
          <w:tcPr>
            <w:tcW w:w="1276" w:type="dxa"/>
            <w:tcBorders>
              <w:top w:val="single" w:sz="4" w:space="0" w:color="auto"/>
              <w:left w:val="single" w:sz="4" w:space="0" w:color="auto"/>
              <w:bottom w:val="single" w:sz="12" w:space="0" w:color="auto"/>
              <w:right w:val="single" w:sz="4" w:space="0" w:color="auto"/>
            </w:tcBorders>
          </w:tcPr>
          <w:p w:rsidR="007560D0" w:rsidRPr="00D6115E" w:rsidRDefault="007560D0" w:rsidP="00E04B81">
            <w:pPr>
              <w:jc w:val="center"/>
              <w:rPr>
                <w:color w:val="000000" w:themeColor="text1"/>
                <w:sz w:val="18"/>
                <w:szCs w:val="18"/>
              </w:rPr>
            </w:pPr>
          </w:p>
        </w:tc>
        <w:tc>
          <w:tcPr>
            <w:tcW w:w="1700" w:type="dxa"/>
            <w:tcBorders>
              <w:top w:val="single" w:sz="4" w:space="0" w:color="auto"/>
              <w:left w:val="single" w:sz="4" w:space="0" w:color="auto"/>
              <w:bottom w:val="single" w:sz="12" w:space="0" w:color="auto"/>
              <w:right w:val="single" w:sz="12" w:space="0" w:color="auto"/>
            </w:tcBorders>
          </w:tcPr>
          <w:p w:rsidR="007560D0" w:rsidRPr="00D6115E" w:rsidRDefault="007560D0" w:rsidP="00694F2C">
            <w:pPr>
              <w:jc w:val="center"/>
              <w:rPr>
                <w:color w:val="000000" w:themeColor="text1"/>
                <w:sz w:val="18"/>
                <w:szCs w:val="18"/>
              </w:rPr>
            </w:pPr>
            <w:r w:rsidRPr="00D6115E">
              <w:rPr>
                <w:color w:val="000000" w:themeColor="text1"/>
                <w:sz w:val="18"/>
                <w:szCs w:val="18"/>
              </w:rPr>
              <w:t>-478608,2</w:t>
            </w:r>
          </w:p>
        </w:tc>
      </w:tr>
    </w:tbl>
    <w:p w:rsidR="003A6F42" w:rsidRPr="00D6115E" w:rsidRDefault="00063207" w:rsidP="00063207">
      <w:pPr>
        <w:ind w:firstLine="709"/>
        <w:jc w:val="both"/>
        <w:rPr>
          <w:color w:val="000000" w:themeColor="text1"/>
        </w:rPr>
      </w:pPr>
      <w:r w:rsidRPr="00063207">
        <w:rPr>
          <w:color w:val="000000" w:themeColor="text1"/>
        </w:rPr>
        <w:t>Как следует из таблицы,</w:t>
      </w:r>
      <w:r w:rsidR="003A6F42" w:rsidRPr="00063207">
        <w:rPr>
          <w:color w:val="000000" w:themeColor="text1"/>
        </w:rPr>
        <w:t xml:space="preserve"> плановые</w:t>
      </w:r>
      <w:r w:rsidR="003A6F42" w:rsidRPr="00D6115E">
        <w:rPr>
          <w:color w:val="000000" w:themeColor="text1"/>
        </w:rPr>
        <w:t xml:space="preserve"> (прогнозные) показатели превышены</w:t>
      </w:r>
      <w:r>
        <w:rPr>
          <w:color w:val="000000" w:themeColor="text1"/>
        </w:rPr>
        <w:t xml:space="preserve"> по</w:t>
      </w:r>
      <w:r w:rsidRPr="00063207">
        <w:rPr>
          <w:color w:val="000000" w:themeColor="text1"/>
        </w:rPr>
        <w:t xml:space="preserve"> источникам доходов</w:t>
      </w:r>
      <w:r w:rsidR="003A6F42" w:rsidRPr="00D6115E">
        <w:rPr>
          <w:color w:val="000000" w:themeColor="text1"/>
        </w:rPr>
        <w:t>:</w:t>
      </w:r>
    </w:p>
    <w:p w:rsidR="003A6F42" w:rsidRPr="00063207" w:rsidRDefault="003A6F42" w:rsidP="00B77C15">
      <w:pPr>
        <w:ind w:firstLine="709"/>
        <w:jc w:val="both"/>
        <w:rPr>
          <w:color w:val="000000" w:themeColor="text1"/>
        </w:rPr>
      </w:pPr>
      <w:r w:rsidRPr="00063207">
        <w:rPr>
          <w:color w:val="000000" w:themeColor="text1"/>
        </w:rPr>
        <w:t>- «Денежные взыскания (штрафы) за нарушение законодательства РФ о размещении заказов на поставки товаров, выполнение работ, оказание услуг для нужд  субъектов РФ»</w:t>
      </w:r>
      <w:r w:rsidR="006B436E">
        <w:rPr>
          <w:color w:val="000000" w:themeColor="text1"/>
        </w:rPr>
        <w:t xml:space="preserve"> (на 33,5 тыс. руб.)</w:t>
      </w:r>
      <w:r w:rsidR="00063207">
        <w:rPr>
          <w:color w:val="000000" w:themeColor="text1"/>
        </w:rPr>
        <w:t xml:space="preserve"> </w:t>
      </w:r>
      <w:r w:rsidRPr="00063207">
        <w:rPr>
          <w:color w:val="000000" w:themeColor="text1"/>
        </w:rPr>
        <w:t>ввиду исправления к</w:t>
      </w:r>
      <w:r w:rsidR="002115F3">
        <w:rPr>
          <w:color w:val="000000" w:themeColor="text1"/>
        </w:rPr>
        <w:t>ода доходов в декабре 2015 года, т</w:t>
      </w:r>
      <w:r w:rsidRPr="00063207">
        <w:rPr>
          <w:color w:val="000000" w:themeColor="text1"/>
        </w:rPr>
        <w:t>ак как средства, поступившие по платежному поручению от 21.05.2015 №993 (штрафы в пользу заказчика в связи с троекратным отклонением за квартал второй части заявок участника), ошибочно были зачислены на код доходов «Прочие поступления от денежных взысканий (штрафов) и иных сумм в возмещение ущерба, зачисляемые в бюджеты субъектов РФ»;</w:t>
      </w:r>
    </w:p>
    <w:p w:rsidR="003A6F42" w:rsidRPr="006B436E" w:rsidRDefault="003A6F42" w:rsidP="006B436E">
      <w:pPr>
        <w:spacing w:line="20" w:lineRule="atLeast"/>
        <w:ind w:firstLine="680"/>
        <w:jc w:val="both"/>
      </w:pPr>
      <w:r w:rsidRPr="00F60B07">
        <w:rPr>
          <w:color w:val="000000" w:themeColor="text1"/>
        </w:rPr>
        <w:t>- «Прочие поступления от денежных взысканий (штрафов) и иных сумм в возмещение ущерба, зачисляемые в бюджеты субъектов РФ»</w:t>
      </w:r>
      <w:r w:rsidR="006B436E" w:rsidRPr="00F60B07">
        <w:rPr>
          <w:color w:val="000000" w:themeColor="text1"/>
        </w:rPr>
        <w:t xml:space="preserve"> (на 1087,1 тыс. руб.)</w:t>
      </w:r>
      <w:r w:rsidR="00063207" w:rsidRPr="00F60B07">
        <w:rPr>
          <w:color w:val="000000" w:themeColor="text1"/>
        </w:rPr>
        <w:t>, что объясняется</w:t>
      </w:r>
      <w:r w:rsidRPr="00F60B07">
        <w:rPr>
          <w:color w:val="000000" w:themeColor="text1"/>
        </w:rPr>
        <w:t xml:space="preserve"> поступлени</w:t>
      </w:r>
      <w:r w:rsidR="00063207" w:rsidRPr="00F60B07">
        <w:rPr>
          <w:color w:val="000000" w:themeColor="text1"/>
        </w:rPr>
        <w:t>ем</w:t>
      </w:r>
      <w:r w:rsidRPr="00F60B07">
        <w:rPr>
          <w:color w:val="000000" w:themeColor="text1"/>
        </w:rPr>
        <w:t xml:space="preserve"> доходов </w:t>
      </w:r>
      <w:r w:rsidR="006B436E" w:rsidRPr="00F60B07">
        <w:rPr>
          <w:color w:val="000000" w:themeColor="text1"/>
        </w:rPr>
        <w:t xml:space="preserve">в 4 квартале 2015 года - в период отсутствия поправок </w:t>
      </w:r>
      <w:r w:rsidR="006B436E" w:rsidRPr="00F60B07">
        <w:t>в Закон о</w:t>
      </w:r>
      <w:r w:rsidR="00502565">
        <w:t>б областном бюджете на 2015 год,</w:t>
      </w:r>
      <w:r w:rsidR="006B436E" w:rsidRPr="00F60B07">
        <w:t xml:space="preserve"> </w:t>
      </w:r>
      <w:r w:rsidR="00502565">
        <w:rPr>
          <w:color w:val="000000" w:themeColor="text1"/>
        </w:rPr>
        <w:t>и</w:t>
      </w:r>
      <w:r w:rsidRPr="00F60B07">
        <w:rPr>
          <w:color w:val="000000" w:themeColor="text1"/>
        </w:rPr>
        <w:t>з них 964,1 тыс. руб.</w:t>
      </w:r>
      <w:r w:rsidR="006B436E" w:rsidRPr="00F60B07">
        <w:rPr>
          <w:color w:val="000000" w:themeColor="text1"/>
        </w:rPr>
        <w:t>, или 88,7%</w:t>
      </w:r>
      <w:r w:rsidRPr="00F60B07">
        <w:rPr>
          <w:color w:val="000000" w:themeColor="text1"/>
        </w:rPr>
        <w:t xml:space="preserve"> поступило</w:t>
      </w:r>
      <w:r w:rsidR="006B436E" w:rsidRPr="00F60B07">
        <w:rPr>
          <w:color w:val="000000" w:themeColor="text1"/>
        </w:rPr>
        <w:t xml:space="preserve"> (декабрь 2015 года) из Минфина России </w:t>
      </w:r>
      <w:r w:rsidR="00502565">
        <w:rPr>
          <w:color w:val="000000" w:themeColor="text1"/>
        </w:rPr>
        <w:t>на возмещение убытков</w:t>
      </w:r>
      <w:r w:rsidRPr="00F60B07">
        <w:rPr>
          <w:color w:val="000000" w:themeColor="text1"/>
        </w:rPr>
        <w:t xml:space="preserve"> в связи с приобретением квартиры для больного туберкулезом;</w:t>
      </w:r>
    </w:p>
    <w:p w:rsidR="003A6F42" w:rsidRPr="00F60B07" w:rsidRDefault="003A6F42" w:rsidP="00B77C15">
      <w:pPr>
        <w:ind w:firstLine="709"/>
        <w:jc w:val="both"/>
        <w:rPr>
          <w:color w:val="000000" w:themeColor="text1"/>
        </w:rPr>
      </w:pPr>
      <w:r w:rsidRPr="00F60B07">
        <w:rPr>
          <w:color w:val="000000" w:themeColor="text1"/>
        </w:rPr>
        <w:t>-</w:t>
      </w:r>
      <w:r w:rsidR="00F60B07" w:rsidRPr="00F60B07">
        <w:rPr>
          <w:color w:val="000000" w:themeColor="text1"/>
        </w:rPr>
        <w:t xml:space="preserve"> </w:t>
      </w:r>
      <w:r w:rsidR="00F60B07">
        <w:rPr>
          <w:color w:val="000000" w:themeColor="text1"/>
        </w:rPr>
        <w:t xml:space="preserve">от </w:t>
      </w:r>
      <w:r w:rsidR="00F60B07" w:rsidRPr="00F60B07">
        <w:rPr>
          <w:color w:val="000000" w:themeColor="text1"/>
        </w:rPr>
        <w:t>возврата остатков субсидий, субвенций и иных межбюджетных трансфертов, имеющих целевое назначение, прошлых лет (на 46662,6 тыс. руб</w:t>
      </w:r>
      <w:r w:rsidR="00857BA7">
        <w:rPr>
          <w:color w:val="000000" w:themeColor="text1"/>
        </w:rPr>
        <w:t>.</w:t>
      </w:r>
      <w:r w:rsidR="00F60B07" w:rsidRPr="00F60B07">
        <w:rPr>
          <w:color w:val="000000" w:themeColor="text1"/>
        </w:rPr>
        <w:t>)</w:t>
      </w:r>
      <w:r w:rsidR="00857BA7">
        <w:rPr>
          <w:color w:val="000000" w:themeColor="text1"/>
        </w:rPr>
        <w:t xml:space="preserve"> ввиду</w:t>
      </w:r>
      <w:r w:rsidR="00857BA7" w:rsidRPr="00857BA7">
        <w:t xml:space="preserve"> </w:t>
      </w:r>
      <w:r w:rsidR="00857BA7" w:rsidRPr="006C22C0">
        <w:t>отсутств</w:t>
      </w:r>
      <w:r w:rsidR="00857BA7">
        <w:t>ия</w:t>
      </w:r>
      <w:r w:rsidR="00857BA7" w:rsidRPr="006C22C0">
        <w:t xml:space="preserve"> прогнозны</w:t>
      </w:r>
      <w:r w:rsidR="00857BA7">
        <w:t>х</w:t>
      </w:r>
      <w:r w:rsidR="00857BA7" w:rsidRPr="006C22C0">
        <w:t xml:space="preserve"> назначени</w:t>
      </w:r>
      <w:r w:rsidR="00857BA7">
        <w:t>й</w:t>
      </w:r>
      <w:r w:rsidRPr="00F60B07">
        <w:rPr>
          <w:color w:val="000000" w:themeColor="text1"/>
        </w:rPr>
        <w:t>.</w:t>
      </w:r>
    </w:p>
    <w:p w:rsidR="003A6F42" w:rsidRPr="00B77C15" w:rsidRDefault="00857BA7" w:rsidP="00BC3E23">
      <w:pPr>
        <w:ind w:firstLine="709"/>
        <w:jc w:val="both"/>
        <w:rPr>
          <w:color w:val="000000" w:themeColor="text1"/>
          <w:highlight w:val="yellow"/>
        </w:rPr>
      </w:pPr>
      <w:r w:rsidRPr="00857BA7">
        <w:rPr>
          <w:color w:val="000000" w:themeColor="text1"/>
        </w:rPr>
        <w:t xml:space="preserve">Доходы в виде безвозмездных поступлений </w:t>
      </w:r>
      <w:r>
        <w:rPr>
          <w:color w:val="000000" w:themeColor="text1"/>
        </w:rPr>
        <w:t>от государственной корпорации -</w:t>
      </w:r>
      <w:r w:rsidRPr="00857BA7">
        <w:rPr>
          <w:color w:val="000000" w:themeColor="text1"/>
        </w:rPr>
        <w:t xml:space="preserve"> Фонда содействия реформированию жилищно-коммунального хозяйства на обеспечение мероприятий по переселению граждан из аварийного жилищного фонда (КБК 807 2 03 02040 02 0000 180) не исполнены на 50218,7 тыс. руб. </w:t>
      </w:r>
      <w:r w:rsidR="00BC3E23">
        <w:rPr>
          <w:color w:val="000000" w:themeColor="text1"/>
        </w:rPr>
        <w:t>-</w:t>
      </w:r>
      <w:r w:rsidRPr="00857BA7">
        <w:rPr>
          <w:color w:val="000000" w:themeColor="text1"/>
        </w:rPr>
        <w:t xml:space="preserve"> в объеме недополученных регионом </w:t>
      </w:r>
      <w:r w:rsidRPr="00BC3E23">
        <w:rPr>
          <w:color w:val="000000" w:themeColor="text1"/>
        </w:rPr>
        <w:t xml:space="preserve">средств фонда </w:t>
      </w:r>
      <w:r w:rsidR="003A6F42" w:rsidRPr="00BC3E23">
        <w:rPr>
          <w:color w:val="000000" w:themeColor="text1"/>
        </w:rPr>
        <w:t>на реализацию этапа 2015</w:t>
      </w:r>
      <w:r w:rsidRPr="00BC3E23">
        <w:rPr>
          <w:color w:val="000000" w:themeColor="text1"/>
        </w:rPr>
        <w:t xml:space="preserve"> года. </w:t>
      </w:r>
      <w:r w:rsidR="003A6F42" w:rsidRPr="00BC3E23">
        <w:rPr>
          <w:color w:val="000000" w:themeColor="text1"/>
        </w:rPr>
        <w:t xml:space="preserve">Данные средства предназначались для софинансирования строительства многоквартирных домов в муниципальных образованиях (Кисловское сельское поселение Быковского района, Приволжское и Райгородское сельские поселения Светлоярского района, Городищенское </w:t>
      </w:r>
      <w:r w:rsidR="00AD6A9B">
        <w:rPr>
          <w:color w:val="000000" w:themeColor="text1"/>
        </w:rPr>
        <w:t>городское</w:t>
      </w:r>
      <w:r w:rsidR="003A6F42" w:rsidRPr="00BC3E23">
        <w:rPr>
          <w:color w:val="000000" w:themeColor="text1"/>
        </w:rPr>
        <w:t xml:space="preserve"> поселение Городищенского района). </w:t>
      </w:r>
      <w:r w:rsidR="00BC3E23" w:rsidRPr="00BC3E23">
        <w:rPr>
          <w:color w:val="000000" w:themeColor="text1"/>
        </w:rPr>
        <w:t xml:space="preserve">Однако </w:t>
      </w:r>
      <w:r w:rsidR="003A6F42" w:rsidRPr="00BC3E23">
        <w:rPr>
          <w:color w:val="000000" w:themeColor="text1"/>
        </w:rPr>
        <w:t xml:space="preserve">органы местного самоуправления не заключили муниципальные контракты </w:t>
      </w:r>
      <w:r w:rsidR="00BC3E23" w:rsidRPr="00BC3E23">
        <w:rPr>
          <w:color w:val="000000" w:themeColor="text1"/>
        </w:rPr>
        <w:t xml:space="preserve">ввиду </w:t>
      </w:r>
      <w:r w:rsidR="003A6F42" w:rsidRPr="00BC3E23">
        <w:rPr>
          <w:color w:val="000000" w:themeColor="text1"/>
        </w:rPr>
        <w:t>приняти</w:t>
      </w:r>
      <w:r w:rsidR="00BC3E23" w:rsidRPr="00BC3E23">
        <w:rPr>
          <w:color w:val="000000" w:themeColor="text1"/>
        </w:rPr>
        <w:t xml:space="preserve">я </w:t>
      </w:r>
      <w:r w:rsidR="003A6F42" w:rsidRPr="00BC3E23">
        <w:rPr>
          <w:color w:val="000000" w:themeColor="text1"/>
        </w:rPr>
        <w:t>решени</w:t>
      </w:r>
      <w:r w:rsidR="00BC3E23" w:rsidRPr="00BC3E23">
        <w:rPr>
          <w:color w:val="000000" w:themeColor="text1"/>
        </w:rPr>
        <w:t>й</w:t>
      </w:r>
      <w:r w:rsidR="003A6F42" w:rsidRPr="00BC3E23">
        <w:rPr>
          <w:color w:val="000000" w:themeColor="text1"/>
        </w:rPr>
        <w:t xml:space="preserve"> о разделении пе</w:t>
      </w:r>
      <w:r w:rsidR="00BC3E23" w:rsidRPr="00BC3E23">
        <w:rPr>
          <w:color w:val="000000" w:themeColor="text1"/>
        </w:rPr>
        <w:t xml:space="preserve">риода строительства на 2 этапа - </w:t>
      </w:r>
      <w:r w:rsidR="003A6F42" w:rsidRPr="00BC3E23">
        <w:rPr>
          <w:color w:val="000000" w:themeColor="text1"/>
        </w:rPr>
        <w:t>проектирование и строительств</w:t>
      </w:r>
      <w:r w:rsidR="00BC3E23" w:rsidRPr="00BC3E23">
        <w:rPr>
          <w:color w:val="000000" w:themeColor="text1"/>
        </w:rPr>
        <w:t>о (</w:t>
      </w:r>
      <w:r w:rsidR="003A6F42" w:rsidRPr="00BC3E23">
        <w:rPr>
          <w:color w:val="000000" w:themeColor="text1"/>
        </w:rPr>
        <w:t>в связи с аннулированием УФАС по Волгоградской области аукционов на строительство «под ключ» в рамках реализации этапа 2014 года</w:t>
      </w:r>
      <w:r w:rsidR="00BC3E23" w:rsidRPr="00BC3E23">
        <w:rPr>
          <w:color w:val="000000" w:themeColor="text1"/>
        </w:rPr>
        <w:t xml:space="preserve">) и </w:t>
      </w:r>
      <w:r w:rsidR="003A6F42" w:rsidRPr="00BC3E23">
        <w:rPr>
          <w:color w:val="000000" w:themeColor="text1"/>
        </w:rPr>
        <w:t xml:space="preserve">необходимостью </w:t>
      </w:r>
      <w:r w:rsidR="003A6F42" w:rsidRPr="00BC3E23">
        <w:rPr>
          <w:color w:val="000000" w:themeColor="text1"/>
        </w:rPr>
        <w:lastRenderedPageBreak/>
        <w:t>проведения дополнительных исследований, корректировки проектной документации и проведения государственной экспертизы.</w:t>
      </w:r>
    </w:p>
    <w:p w:rsidR="003A6F42" w:rsidRPr="00B77C15" w:rsidRDefault="003A6F42" w:rsidP="00B77C15">
      <w:pPr>
        <w:ind w:firstLine="709"/>
        <w:jc w:val="both"/>
        <w:rPr>
          <w:color w:val="000000" w:themeColor="text1"/>
        </w:rPr>
      </w:pPr>
    </w:p>
    <w:p w:rsidR="003A6F42" w:rsidRPr="00F60B07" w:rsidRDefault="003A6F42" w:rsidP="009671F4">
      <w:pPr>
        <w:ind w:firstLine="709"/>
        <w:jc w:val="center"/>
        <w:rPr>
          <w:b/>
          <w:i/>
          <w:color w:val="000000" w:themeColor="text1"/>
        </w:rPr>
      </w:pPr>
      <w:r w:rsidRPr="00F60B07">
        <w:rPr>
          <w:b/>
          <w:i/>
          <w:color w:val="000000" w:themeColor="text1"/>
        </w:rPr>
        <w:t>Финансовая помощь в виде целевых межбюджетных трансфертов</w:t>
      </w:r>
    </w:p>
    <w:p w:rsidR="003A6F42" w:rsidRPr="004E5135" w:rsidRDefault="009671F4" w:rsidP="004E5135">
      <w:pPr>
        <w:ind w:firstLine="709"/>
        <w:jc w:val="both"/>
        <w:rPr>
          <w:color w:val="000000" w:themeColor="text1"/>
        </w:rPr>
      </w:pPr>
      <w:r w:rsidRPr="009671F4">
        <w:t>К</w:t>
      </w:r>
      <w:r w:rsidR="003A6F42" w:rsidRPr="009671F4">
        <w:t>омитету в виде субсидий и иных межбюджетных трансфертов, имеющих целевое н</w:t>
      </w:r>
      <w:r w:rsidRPr="009671F4">
        <w:t xml:space="preserve">азначение (далее – </w:t>
      </w:r>
      <w:r w:rsidRPr="004E5135">
        <w:rPr>
          <w:color w:val="000000" w:themeColor="text1"/>
        </w:rPr>
        <w:t>целевые МБТ)</w:t>
      </w:r>
      <w:r w:rsidR="003F5098">
        <w:rPr>
          <w:color w:val="000000" w:themeColor="text1"/>
        </w:rPr>
        <w:t>,</w:t>
      </w:r>
      <w:r w:rsidRPr="004E5135">
        <w:rPr>
          <w:color w:val="000000" w:themeColor="text1"/>
        </w:rPr>
        <w:t xml:space="preserve"> в отчетном году</w:t>
      </w:r>
      <w:r w:rsidR="003A6F42" w:rsidRPr="004E5135">
        <w:rPr>
          <w:color w:val="000000" w:themeColor="text1"/>
        </w:rPr>
        <w:t xml:space="preserve"> поступило 783931,0 тыс. рублей. </w:t>
      </w:r>
    </w:p>
    <w:p w:rsidR="003A6F42" w:rsidRPr="002918F3" w:rsidRDefault="003A6F42" w:rsidP="004E5135">
      <w:pPr>
        <w:ind w:firstLine="709"/>
        <w:jc w:val="both"/>
        <w:rPr>
          <w:color w:val="000000" w:themeColor="text1"/>
        </w:rPr>
      </w:pPr>
      <w:r w:rsidRPr="002918F3">
        <w:rPr>
          <w:color w:val="000000" w:themeColor="text1"/>
        </w:rPr>
        <w:t xml:space="preserve">Анализ причин образования на 01.01.2016 остатков межбюджетных трансфертов </w:t>
      </w:r>
      <w:r w:rsidR="004E5135">
        <w:rPr>
          <w:color w:val="000000" w:themeColor="text1"/>
        </w:rPr>
        <w:t>(</w:t>
      </w:r>
      <w:r w:rsidR="004E5135" w:rsidRPr="004E5135">
        <w:rPr>
          <w:color w:val="000000" w:themeColor="text1"/>
        </w:rPr>
        <w:t xml:space="preserve">64569,8 тыс. руб.) </w:t>
      </w:r>
      <w:r w:rsidRPr="002918F3">
        <w:rPr>
          <w:color w:val="000000" w:themeColor="text1"/>
        </w:rPr>
        <w:t>показал, что основными причинами, влияющими на эффективность использования бюджетных средств, являются:</w:t>
      </w:r>
    </w:p>
    <w:p w:rsidR="003A6F42" w:rsidRPr="002918F3" w:rsidRDefault="003A6F42" w:rsidP="002918F3">
      <w:pPr>
        <w:ind w:firstLine="709"/>
        <w:jc w:val="both"/>
        <w:rPr>
          <w:color w:val="000000" w:themeColor="text1"/>
        </w:rPr>
      </w:pPr>
      <w:r w:rsidRPr="002918F3">
        <w:rPr>
          <w:color w:val="000000" w:themeColor="text1"/>
        </w:rPr>
        <w:t xml:space="preserve">- недостатки в организации работы органов исполнительной власти Волгоградской области и органов местного самоуправления Волгоградской области, недостаточный текущий контроль за сроками выполнения подрядчиками работ, оказания услуг, что приводит к ненадлежащему исполнению обязательств по контрактам; </w:t>
      </w:r>
    </w:p>
    <w:p w:rsidR="003A6F42" w:rsidRPr="002918F3" w:rsidRDefault="003A6F42" w:rsidP="002918F3">
      <w:pPr>
        <w:ind w:firstLine="709"/>
        <w:jc w:val="both"/>
        <w:rPr>
          <w:color w:val="000000" w:themeColor="text1"/>
        </w:rPr>
      </w:pPr>
      <w:r w:rsidRPr="002918F3">
        <w:rPr>
          <w:color w:val="000000" w:themeColor="text1"/>
        </w:rPr>
        <w:t xml:space="preserve">- позднее поступление средств из федерального бюджета, что </w:t>
      </w:r>
      <w:r w:rsidR="006B1AAD">
        <w:rPr>
          <w:color w:val="000000" w:themeColor="text1"/>
        </w:rPr>
        <w:t>при</w:t>
      </w:r>
      <w:r w:rsidRPr="002918F3">
        <w:rPr>
          <w:color w:val="000000" w:themeColor="text1"/>
        </w:rPr>
        <w:t xml:space="preserve"> длительност</w:t>
      </w:r>
      <w:r w:rsidR="006B1AAD">
        <w:rPr>
          <w:color w:val="000000" w:themeColor="text1"/>
        </w:rPr>
        <w:t xml:space="preserve">и </w:t>
      </w:r>
      <w:r w:rsidRPr="002918F3">
        <w:rPr>
          <w:color w:val="000000" w:themeColor="text1"/>
        </w:rPr>
        <w:t>проведения конкурсных процедур, не позволило своевременно освоить ср</w:t>
      </w:r>
      <w:r w:rsidR="002B691D">
        <w:rPr>
          <w:color w:val="000000" w:themeColor="text1"/>
        </w:rPr>
        <w:t>едства субсидии в полном объеме.</w:t>
      </w:r>
    </w:p>
    <w:p w:rsidR="003A6F42" w:rsidRPr="00C74084" w:rsidRDefault="003A6F42" w:rsidP="003C7E89">
      <w:pPr>
        <w:spacing w:line="20" w:lineRule="atLeast"/>
        <w:ind w:firstLine="680"/>
        <w:jc w:val="both"/>
        <w:rPr>
          <w:color w:val="000000" w:themeColor="text1"/>
        </w:rPr>
      </w:pPr>
      <w:r w:rsidRPr="00C74084">
        <w:rPr>
          <w:color w:val="000000" w:themeColor="text1"/>
        </w:rPr>
        <w:t>Остаток средств федерального бюджета</w:t>
      </w:r>
      <w:r w:rsidR="008C074F">
        <w:rPr>
          <w:color w:val="000000" w:themeColor="text1"/>
        </w:rPr>
        <w:t>,</w:t>
      </w:r>
      <w:r w:rsidRPr="00C74084">
        <w:rPr>
          <w:color w:val="000000" w:themeColor="text1"/>
        </w:rPr>
        <w:t xml:space="preserve"> поступивших на реализацию полномочий по обеспечению жильем ветеранов боевых действий, инвалидов и семей, имеющих детей </w:t>
      </w:r>
      <w:r w:rsidR="008F1682">
        <w:rPr>
          <w:color w:val="000000" w:themeColor="text1"/>
        </w:rPr>
        <w:t>–</w:t>
      </w:r>
      <w:r w:rsidRPr="00C74084">
        <w:rPr>
          <w:color w:val="000000" w:themeColor="text1"/>
        </w:rPr>
        <w:t xml:space="preserve"> инвалидов</w:t>
      </w:r>
      <w:r w:rsidR="008F1682">
        <w:rPr>
          <w:color w:val="000000" w:themeColor="text1"/>
        </w:rPr>
        <w:t>,</w:t>
      </w:r>
      <w:r w:rsidRPr="00C74084">
        <w:rPr>
          <w:color w:val="000000" w:themeColor="text1"/>
        </w:rPr>
        <w:t xml:space="preserve"> в сумме 1708,0 тыс. руб. сложился в связи с недостаточностью средств социальной выплаты для приобретения жилья. Для Волгоградской области установлен показатель средней рыночной стоимости 1</w:t>
      </w:r>
      <w:r w:rsidR="008F1682">
        <w:rPr>
          <w:color w:val="000000" w:themeColor="text1"/>
        </w:rPr>
        <w:t xml:space="preserve"> кв.м. в размере 31,1 тыс. руб.</w:t>
      </w:r>
      <w:r w:rsidRPr="00C74084">
        <w:rPr>
          <w:color w:val="000000" w:themeColor="text1"/>
        </w:rPr>
        <w:t xml:space="preserve"> при средней рыночной стоимости в Волгограде (где проживает основная часть получателей выплат) - 45,5 тыс. рублей. В этой связи 3 гарантийных письма по истечению 7 месячного срока были возвращены получателям, изменения, внесенные </w:t>
      </w:r>
      <w:r w:rsidR="008F1682" w:rsidRPr="00C74084">
        <w:rPr>
          <w:color w:val="000000" w:themeColor="text1"/>
        </w:rPr>
        <w:t xml:space="preserve">в список граждан </w:t>
      </w:r>
      <w:r w:rsidRPr="00C74084">
        <w:rPr>
          <w:color w:val="000000" w:themeColor="text1"/>
        </w:rPr>
        <w:t>в ноябре 2015 года, не позволили другим получателям до окончания года реализовать средства.</w:t>
      </w:r>
    </w:p>
    <w:p w:rsidR="003A6F42" w:rsidRPr="00C74084" w:rsidRDefault="003A6F42" w:rsidP="003C7E89">
      <w:pPr>
        <w:spacing w:line="20" w:lineRule="atLeast"/>
        <w:ind w:firstLine="680"/>
        <w:jc w:val="both"/>
        <w:rPr>
          <w:color w:val="000000" w:themeColor="text1"/>
        </w:rPr>
      </w:pPr>
      <w:r w:rsidRPr="00C74084">
        <w:rPr>
          <w:color w:val="000000" w:themeColor="text1"/>
        </w:rPr>
        <w:t>По аналогичной причине сложился и остаток субвенции (3832,1 тыс. руб.), поступившей на реализацию полномочий для обеспечения жильем ветеранов Великой Отечественной войны 1941-1945 годов, членов семей погибших (умерших) инвалидов и участников Великой Отечественной войны 1941-1945 годов. Ввиду низкой стоимости 1 кв.м. общей площади жилого помещения, неоднократно объявляемые аукционы на приобретение жилья</w:t>
      </w:r>
      <w:r w:rsidR="00794399">
        <w:rPr>
          <w:color w:val="000000" w:themeColor="text1"/>
        </w:rPr>
        <w:t>,</w:t>
      </w:r>
      <w:r w:rsidRPr="00C74084">
        <w:rPr>
          <w:color w:val="000000" w:themeColor="text1"/>
        </w:rPr>
        <w:t xml:space="preserve"> признаны несостоявшимися</w:t>
      </w:r>
      <w:r w:rsidR="004D25A6">
        <w:rPr>
          <w:color w:val="000000" w:themeColor="text1"/>
        </w:rPr>
        <w:t>.</w:t>
      </w:r>
    </w:p>
    <w:p w:rsidR="003A6F42" w:rsidRPr="00C74084" w:rsidRDefault="004D25A6" w:rsidP="003C7E89">
      <w:pPr>
        <w:spacing w:line="20" w:lineRule="atLeast"/>
        <w:ind w:firstLine="680"/>
        <w:jc w:val="both"/>
        <w:rPr>
          <w:color w:val="000000" w:themeColor="text1"/>
        </w:rPr>
      </w:pPr>
      <w:r>
        <w:rPr>
          <w:color w:val="000000" w:themeColor="text1"/>
        </w:rPr>
        <w:t>О</w:t>
      </w:r>
      <w:r w:rsidR="003A6F42" w:rsidRPr="00C74084">
        <w:rPr>
          <w:color w:val="000000" w:themeColor="text1"/>
        </w:rPr>
        <w:t xml:space="preserve">статки средств, поступивших из федерального бюджета на обеспечение жильем </w:t>
      </w:r>
      <w:r w:rsidR="00C74084" w:rsidRPr="00C74084">
        <w:rPr>
          <w:color w:val="000000" w:themeColor="text1"/>
        </w:rPr>
        <w:t xml:space="preserve">детей - </w:t>
      </w:r>
      <w:r w:rsidR="003A6F42" w:rsidRPr="00C74084">
        <w:rPr>
          <w:color w:val="000000" w:themeColor="text1"/>
        </w:rPr>
        <w:t>сирот (25841,3 тыс. руб., 126,9 тыс. руб. (подтвержденный остаток 2014 года)) объясняются экономией, сложившейся по результатам электронных аукционов (4024,1 тыс. руб.), поздним доведением субсидии (соглашение между Минобрнауки РФ и Администрацией Волгоградской области заключено 03.07.2015), длительностью конкурсных процедур (итоги аукционов подведены 04.12.2015), поздним предоставлением документов на право собственности Волгоградской области</w:t>
      </w:r>
      <w:r>
        <w:rPr>
          <w:color w:val="000000" w:themeColor="text1"/>
        </w:rPr>
        <w:t>.</w:t>
      </w:r>
    </w:p>
    <w:p w:rsidR="003A6F42" w:rsidRPr="00C74084" w:rsidRDefault="004D25A6" w:rsidP="003C7E89">
      <w:pPr>
        <w:spacing w:line="20" w:lineRule="atLeast"/>
        <w:ind w:firstLine="680"/>
        <w:jc w:val="both"/>
        <w:rPr>
          <w:color w:val="000000" w:themeColor="text1"/>
        </w:rPr>
      </w:pPr>
      <w:r>
        <w:rPr>
          <w:color w:val="000000" w:themeColor="text1"/>
        </w:rPr>
        <w:t>О</w:t>
      </w:r>
      <w:r w:rsidR="003A6F42" w:rsidRPr="00C74084">
        <w:rPr>
          <w:color w:val="000000" w:themeColor="text1"/>
        </w:rPr>
        <w:t xml:space="preserve">статок (32974,5 тыс. руб.) субсидии на модернизацию региональных систем дошкольного образования объясняется нарушением подрядчиками сроков выполнения работ (2 объекта в Волгограде), поздним представлением документов, подтверждающих выполнение работ в последней декаде декабря 2015 года (3 объекта в </w:t>
      </w:r>
      <w:r>
        <w:rPr>
          <w:color w:val="000000" w:themeColor="text1"/>
        </w:rPr>
        <w:t xml:space="preserve">г. </w:t>
      </w:r>
      <w:r w:rsidR="003A6F42" w:rsidRPr="00C74084">
        <w:rPr>
          <w:color w:val="000000" w:themeColor="text1"/>
        </w:rPr>
        <w:t xml:space="preserve">Волжском), и экономией (4668,3 тыс. руб.), сложившейся по итогам конкурсных процедур. </w:t>
      </w:r>
    </w:p>
    <w:p w:rsidR="003A6F42" w:rsidRPr="00C74084" w:rsidRDefault="003A6F42" w:rsidP="003C7E89">
      <w:pPr>
        <w:spacing w:line="20" w:lineRule="atLeast"/>
        <w:ind w:firstLine="680"/>
        <w:jc w:val="both"/>
        <w:rPr>
          <w:color w:val="000000" w:themeColor="text1"/>
        </w:rPr>
      </w:pPr>
      <w:r w:rsidRPr="00C74084">
        <w:rPr>
          <w:color w:val="000000" w:themeColor="text1"/>
        </w:rPr>
        <w:t>По состоянию на 01.01.2015 основной объём остатков (452520,6 тыс. руб., или 97,6% от общего объёма остатков) сформировался по субсидии, предоставленной из федерального бюджета в рамках соглашения (от 16.12.2011 №384), заключенного между Министерством регионального развития РФ и Администрацией Волгоградской области. Субсидия (1564000,0 тыс. руб.) предназначалась на софинансирование строительства объектов коммунальной инфраструктуры в рамках реализации инвестиционного проекта «Горно-обогатительный комбинат по добыче и обогащению калийных солей мощностью 2,3 млн. тонн в год 95-процентного КСL Гремяченского месторождения Котельниковского района Волгоградской области».</w:t>
      </w:r>
    </w:p>
    <w:p w:rsidR="003A6F42" w:rsidRPr="004E5135" w:rsidRDefault="004D25A6" w:rsidP="004E5135">
      <w:pPr>
        <w:spacing w:line="20" w:lineRule="atLeast"/>
        <w:ind w:firstLine="680"/>
        <w:jc w:val="both"/>
        <w:rPr>
          <w:color w:val="000000" w:themeColor="text1"/>
        </w:rPr>
      </w:pPr>
      <w:r w:rsidRPr="004E5135">
        <w:rPr>
          <w:color w:val="000000" w:themeColor="text1"/>
        </w:rPr>
        <w:t xml:space="preserve">За весь период строительства </w:t>
      </w:r>
      <w:r w:rsidR="003A6F42" w:rsidRPr="004E5135">
        <w:rPr>
          <w:color w:val="000000" w:themeColor="text1"/>
        </w:rPr>
        <w:t xml:space="preserve">из трех объектов завершено строительство только по двум и со значительным </w:t>
      </w:r>
      <w:r w:rsidRPr="004E5135">
        <w:rPr>
          <w:color w:val="000000" w:themeColor="text1"/>
        </w:rPr>
        <w:t>отставанием от</w:t>
      </w:r>
      <w:r w:rsidR="003A6F42" w:rsidRPr="004E5135">
        <w:rPr>
          <w:color w:val="000000" w:themeColor="text1"/>
        </w:rPr>
        <w:t xml:space="preserve"> срок</w:t>
      </w:r>
      <w:r w:rsidR="004F0E21" w:rsidRPr="004E5135">
        <w:rPr>
          <w:color w:val="000000" w:themeColor="text1"/>
        </w:rPr>
        <w:t>а</w:t>
      </w:r>
      <w:r w:rsidR="003A6F42" w:rsidRPr="004E5135">
        <w:rPr>
          <w:color w:val="000000" w:themeColor="text1"/>
        </w:rPr>
        <w:t>, установленн</w:t>
      </w:r>
      <w:r w:rsidR="004F0E21" w:rsidRPr="004E5135">
        <w:rPr>
          <w:color w:val="000000" w:themeColor="text1"/>
        </w:rPr>
        <w:t>ого</w:t>
      </w:r>
      <w:r w:rsidR="003A6F42" w:rsidRPr="004E5135">
        <w:rPr>
          <w:color w:val="000000" w:themeColor="text1"/>
        </w:rPr>
        <w:t xml:space="preserve"> соглашением</w:t>
      </w:r>
      <w:r w:rsidR="004E5135" w:rsidRPr="004E5135">
        <w:rPr>
          <w:color w:val="000000" w:themeColor="text1"/>
        </w:rPr>
        <w:t xml:space="preserve"> (до 01.12.2014)</w:t>
      </w:r>
      <w:r w:rsidR="003A6F42" w:rsidRPr="004E5135">
        <w:rPr>
          <w:color w:val="000000" w:themeColor="text1"/>
        </w:rPr>
        <w:t>:</w:t>
      </w:r>
      <w:r w:rsidR="004E5135" w:rsidRPr="004E5135">
        <w:rPr>
          <w:color w:val="000000" w:themeColor="text1"/>
        </w:rPr>
        <w:t xml:space="preserve"> </w:t>
      </w:r>
      <w:r w:rsidR="003A6F42" w:rsidRPr="004E5135">
        <w:rPr>
          <w:color w:val="000000" w:themeColor="text1"/>
        </w:rPr>
        <w:lastRenderedPageBreak/>
        <w:t>разрешения на ввод по объекту «Строительство сооружений хозяйственно-питьевого водоснабжения в г. Котельниково из Гремяченского месторождения пресны</w:t>
      </w:r>
      <w:r w:rsidR="004E5135" w:rsidRPr="004E5135">
        <w:rPr>
          <w:color w:val="000000" w:themeColor="text1"/>
        </w:rPr>
        <w:t>х вод в Котельниковском районе» выданы</w:t>
      </w:r>
      <w:r w:rsidR="003A6F42" w:rsidRPr="004E5135">
        <w:rPr>
          <w:color w:val="000000" w:themeColor="text1"/>
        </w:rPr>
        <w:t xml:space="preserve"> 22.07.2015 и 24.07.2015; </w:t>
      </w:r>
      <w:r w:rsidR="004E5135" w:rsidRPr="004E5135">
        <w:rPr>
          <w:color w:val="000000" w:themeColor="text1"/>
        </w:rPr>
        <w:t>на ввод</w:t>
      </w:r>
      <w:r w:rsidR="003A6F42" w:rsidRPr="004E5135">
        <w:rPr>
          <w:color w:val="000000" w:themeColor="text1"/>
        </w:rPr>
        <w:t xml:space="preserve"> объект</w:t>
      </w:r>
      <w:r w:rsidR="004E5135" w:rsidRPr="004E5135">
        <w:rPr>
          <w:color w:val="000000" w:themeColor="text1"/>
        </w:rPr>
        <w:t>а</w:t>
      </w:r>
      <w:r w:rsidR="003A6F42" w:rsidRPr="004E5135">
        <w:rPr>
          <w:color w:val="000000" w:themeColor="text1"/>
        </w:rPr>
        <w:t xml:space="preserve"> «Строительство очистных сооружений хозяйственно-бытовых и ливневых стоков с реконструкцией сетей канализации в г. Котельниково» </w:t>
      </w:r>
      <w:r w:rsidR="004E5135" w:rsidRPr="004E5135">
        <w:rPr>
          <w:color w:val="000000" w:themeColor="text1"/>
        </w:rPr>
        <w:t>-</w:t>
      </w:r>
      <w:r w:rsidR="003A6F42" w:rsidRPr="004E5135">
        <w:rPr>
          <w:color w:val="000000" w:themeColor="text1"/>
        </w:rPr>
        <w:t xml:space="preserve"> 31.07.2015. </w:t>
      </w:r>
    </w:p>
    <w:p w:rsidR="003A6F42" w:rsidRPr="00426204" w:rsidRDefault="00B06DE3" w:rsidP="004E5135">
      <w:pPr>
        <w:spacing w:line="20" w:lineRule="atLeast"/>
        <w:ind w:firstLine="680"/>
        <w:jc w:val="both"/>
        <w:rPr>
          <w:color w:val="000000" w:themeColor="text1"/>
        </w:rPr>
      </w:pPr>
      <w:r w:rsidRPr="004E5135">
        <w:rPr>
          <w:color w:val="000000" w:themeColor="text1"/>
        </w:rPr>
        <w:t>По объекту «</w:t>
      </w:r>
      <w:r w:rsidR="003A6F42" w:rsidRPr="004E5135">
        <w:rPr>
          <w:color w:val="000000" w:themeColor="text1"/>
        </w:rPr>
        <w:t>Строительство объекта «Обеспечение п. Дубовая роща в г. Котельниково инженерными коммуникациям</w:t>
      </w:r>
      <w:r w:rsidRPr="004E5135">
        <w:rPr>
          <w:color w:val="000000" w:themeColor="text1"/>
        </w:rPr>
        <w:t>и и сооружениями, 1-я очередь» п</w:t>
      </w:r>
      <w:r w:rsidR="003A6F42" w:rsidRPr="004E5135">
        <w:rPr>
          <w:color w:val="000000" w:themeColor="text1"/>
        </w:rPr>
        <w:t xml:space="preserve">одрядчиком </w:t>
      </w:r>
      <w:r w:rsidRPr="004E5135">
        <w:rPr>
          <w:color w:val="000000" w:themeColor="text1"/>
        </w:rPr>
        <w:t>из предусмотренных</w:t>
      </w:r>
      <w:r w:rsidR="003A6F42" w:rsidRPr="004E5135">
        <w:rPr>
          <w:color w:val="000000" w:themeColor="text1"/>
        </w:rPr>
        <w:t xml:space="preserve"> контракт</w:t>
      </w:r>
      <w:r w:rsidRPr="004E5135">
        <w:rPr>
          <w:color w:val="000000" w:themeColor="text1"/>
        </w:rPr>
        <w:t xml:space="preserve">ом работ (стоимостью 965168,8 тыс. руб.) по </w:t>
      </w:r>
      <w:r w:rsidR="003A6F42" w:rsidRPr="004E5135">
        <w:rPr>
          <w:color w:val="000000" w:themeColor="text1"/>
        </w:rPr>
        <w:t>строительств</w:t>
      </w:r>
      <w:r w:rsidRPr="004E5135">
        <w:rPr>
          <w:color w:val="000000" w:themeColor="text1"/>
        </w:rPr>
        <w:t>у</w:t>
      </w:r>
      <w:r w:rsidR="003A6F42" w:rsidRPr="004E5135">
        <w:rPr>
          <w:color w:val="000000" w:themeColor="text1"/>
        </w:rPr>
        <w:t xml:space="preserve"> инженерны</w:t>
      </w:r>
      <w:r w:rsidR="00D42496">
        <w:rPr>
          <w:color w:val="000000" w:themeColor="text1"/>
        </w:rPr>
        <w:t>х сетей, дорог и благоустройству</w:t>
      </w:r>
      <w:r w:rsidR="003A6F42" w:rsidRPr="004E5135">
        <w:rPr>
          <w:color w:val="000000" w:themeColor="text1"/>
        </w:rPr>
        <w:t xml:space="preserve"> террит</w:t>
      </w:r>
      <w:r w:rsidR="00D42496">
        <w:rPr>
          <w:color w:val="000000" w:themeColor="text1"/>
        </w:rPr>
        <w:t>ории</w:t>
      </w:r>
      <w:r w:rsidR="003A6F42" w:rsidRPr="004E5135">
        <w:rPr>
          <w:color w:val="000000" w:themeColor="text1"/>
        </w:rPr>
        <w:t xml:space="preserve"> завершено строительство только инженерных сетей. </w:t>
      </w:r>
      <w:r w:rsidR="00E6057F" w:rsidRPr="004E5135">
        <w:rPr>
          <w:color w:val="000000" w:themeColor="text1"/>
        </w:rPr>
        <w:t xml:space="preserve">Разрешение на ввод </w:t>
      </w:r>
      <w:r w:rsidR="004E5135" w:rsidRPr="004E5135">
        <w:rPr>
          <w:color w:val="000000" w:themeColor="text1"/>
        </w:rPr>
        <w:t xml:space="preserve"> от </w:t>
      </w:r>
      <w:r w:rsidR="00E6057F" w:rsidRPr="004E5135">
        <w:rPr>
          <w:color w:val="000000" w:themeColor="text1"/>
        </w:rPr>
        <w:t>31.08.</w:t>
      </w:r>
      <w:r w:rsidR="00E6057F" w:rsidRPr="00426204">
        <w:rPr>
          <w:color w:val="000000" w:themeColor="text1"/>
        </w:rPr>
        <w:t>2015.</w:t>
      </w:r>
      <w:r w:rsidR="004E5135" w:rsidRPr="00426204">
        <w:rPr>
          <w:color w:val="000000" w:themeColor="text1"/>
        </w:rPr>
        <w:t xml:space="preserve"> </w:t>
      </w:r>
      <w:r w:rsidR="007E0576" w:rsidRPr="00426204">
        <w:rPr>
          <w:color w:val="000000" w:themeColor="text1"/>
        </w:rPr>
        <w:t>Н</w:t>
      </w:r>
      <w:r w:rsidR="00D42496">
        <w:rPr>
          <w:color w:val="000000" w:themeColor="text1"/>
        </w:rPr>
        <w:t>е</w:t>
      </w:r>
      <w:r w:rsidR="003A6F42" w:rsidRPr="00426204">
        <w:rPr>
          <w:color w:val="000000" w:themeColor="text1"/>
        </w:rPr>
        <w:t>освоение средств по данному объекту объясняет следующим:</w:t>
      </w:r>
    </w:p>
    <w:p w:rsidR="007E0576" w:rsidRPr="00426204" w:rsidRDefault="003A6F42" w:rsidP="003C7E89">
      <w:pPr>
        <w:spacing w:line="20" w:lineRule="atLeast"/>
        <w:ind w:firstLine="680"/>
        <w:jc w:val="both"/>
        <w:rPr>
          <w:color w:val="000000" w:themeColor="text1"/>
        </w:rPr>
      </w:pPr>
      <w:r w:rsidRPr="00B8728F">
        <w:t>- необеспеченностью на 175068,8 тыс. руб. обязательств по контракту (965168,8 тыс. руб.) финансовым обеспечением (790100,0 тыс. руб., из них 742100,0</w:t>
      </w:r>
      <w:r w:rsidR="00E94483" w:rsidRPr="00B8728F">
        <w:t xml:space="preserve"> тыс. руб.</w:t>
      </w:r>
      <w:r w:rsidRPr="00B8728F">
        <w:t xml:space="preserve"> – федеральные средства), предусмотренным </w:t>
      </w:r>
      <w:r w:rsidR="00B8728F">
        <w:t xml:space="preserve">на эти цели </w:t>
      </w:r>
      <w:r w:rsidRPr="00B8728F">
        <w:t xml:space="preserve">соглашением (от 16.12.2011 №384), заключенным между Министерством регионального развития РФ и Администрацией Волгоградской </w:t>
      </w:r>
      <w:r w:rsidRPr="0016785C">
        <w:t>области.</w:t>
      </w:r>
      <w:r w:rsidR="00B8728F" w:rsidRPr="0016785C">
        <w:t xml:space="preserve"> При этом стоимость контракта изначально превышала на 167300,8 тыс. руб. финансовое обеспечение объекта, предусмотренное договором о финансировании из областного фонда софинансирования (от 14.05.2012 №13/12), впоследствии </w:t>
      </w:r>
      <w:r w:rsidR="00FC6B89" w:rsidRPr="0016785C">
        <w:t>(</w:t>
      </w:r>
      <w:r w:rsidR="00B8728F" w:rsidRPr="0016785C">
        <w:t>по соглашению о предоставлении субсидии от 05.06.2014 №26)</w:t>
      </w:r>
      <w:r w:rsidR="00AA54A1" w:rsidRPr="0016785C">
        <w:t>,</w:t>
      </w:r>
      <w:r w:rsidR="00B8728F" w:rsidRPr="0016785C">
        <w:t xml:space="preserve"> превышение составило 218528,4 тыс. рублей.</w:t>
      </w:r>
      <w:r w:rsidRPr="0016785C">
        <w:t xml:space="preserve"> </w:t>
      </w:r>
      <w:r w:rsidR="00B8728F" w:rsidRPr="0016785C">
        <w:t xml:space="preserve">Таким образом, </w:t>
      </w:r>
      <w:r w:rsidRPr="0016785C">
        <w:t xml:space="preserve">Администрацией района </w:t>
      </w:r>
      <w:bookmarkStart w:id="1" w:name="sub_219032"/>
      <w:r w:rsidR="00A10A6F" w:rsidRPr="0016785C">
        <w:t xml:space="preserve">в нарушение </w:t>
      </w:r>
      <w:r w:rsidRPr="0016785C">
        <w:t>положений п.3 ст.219 БК РФ</w:t>
      </w:r>
      <w:r w:rsidR="00A10A6F" w:rsidRPr="0016785C">
        <w:t xml:space="preserve"> </w:t>
      </w:r>
      <w:r w:rsidRPr="0016785C">
        <w:t>прин</w:t>
      </w:r>
      <w:r w:rsidR="00A10A6F" w:rsidRPr="0016785C">
        <w:t xml:space="preserve">яты </w:t>
      </w:r>
      <w:r w:rsidRPr="0016785C">
        <w:t>бюджетные</w:t>
      </w:r>
      <w:r w:rsidRPr="00426204">
        <w:rPr>
          <w:color w:val="000000" w:themeColor="text1"/>
        </w:rPr>
        <w:t xml:space="preserve"> обязательства путем заключения муниципальн</w:t>
      </w:r>
      <w:r w:rsidR="00B8728F">
        <w:rPr>
          <w:color w:val="000000" w:themeColor="text1"/>
        </w:rPr>
        <w:t>ого</w:t>
      </w:r>
      <w:r w:rsidR="00426204">
        <w:rPr>
          <w:color w:val="000000" w:themeColor="text1"/>
        </w:rPr>
        <w:t xml:space="preserve"> </w:t>
      </w:r>
      <w:r w:rsidR="00B8728F">
        <w:rPr>
          <w:color w:val="000000" w:themeColor="text1"/>
        </w:rPr>
        <w:t>контракта</w:t>
      </w:r>
      <w:r w:rsidRPr="00426204">
        <w:rPr>
          <w:color w:val="000000" w:themeColor="text1"/>
        </w:rPr>
        <w:t xml:space="preserve">, </w:t>
      </w:r>
      <w:r w:rsidR="00A10A6F" w:rsidRPr="00426204">
        <w:rPr>
          <w:color w:val="000000" w:themeColor="text1"/>
        </w:rPr>
        <w:t>превышающие финансовое обеспечение по</w:t>
      </w:r>
      <w:r w:rsidRPr="00426204">
        <w:rPr>
          <w:color w:val="000000" w:themeColor="text1"/>
        </w:rPr>
        <w:t xml:space="preserve"> </w:t>
      </w:r>
      <w:r w:rsidR="00A10A6F" w:rsidRPr="00426204">
        <w:rPr>
          <w:color w:val="000000" w:themeColor="text1"/>
        </w:rPr>
        <w:t>соглашениям о субсидировании</w:t>
      </w:r>
      <w:bookmarkEnd w:id="1"/>
      <w:r w:rsidR="00B42CAD" w:rsidRPr="00426204">
        <w:rPr>
          <w:color w:val="000000" w:themeColor="text1"/>
        </w:rPr>
        <w:t>. Неодн</w:t>
      </w:r>
      <w:r w:rsidR="00393BE5" w:rsidRPr="00426204">
        <w:rPr>
          <w:color w:val="000000" w:themeColor="text1"/>
        </w:rPr>
        <w:t>ократные обращения Администрации</w:t>
      </w:r>
      <w:r w:rsidR="00B42CAD" w:rsidRPr="00426204">
        <w:rPr>
          <w:color w:val="000000" w:themeColor="text1"/>
        </w:rPr>
        <w:t xml:space="preserve"> района в адрес комитета о необходимости увеличения финансирования объекта не удовлетворены</w:t>
      </w:r>
      <w:r w:rsidR="007E0576" w:rsidRPr="00426204">
        <w:rPr>
          <w:color w:val="000000" w:themeColor="text1"/>
        </w:rPr>
        <w:t>;</w:t>
      </w:r>
    </w:p>
    <w:p w:rsidR="003A6F42" w:rsidRPr="00426204" w:rsidRDefault="003A6F42" w:rsidP="003C7E89">
      <w:pPr>
        <w:spacing w:line="20" w:lineRule="atLeast"/>
        <w:ind w:firstLine="680"/>
        <w:jc w:val="both"/>
        <w:rPr>
          <w:color w:val="000000" w:themeColor="text1"/>
        </w:rPr>
      </w:pPr>
      <w:r w:rsidRPr="00426204">
        <w:rPr>
          <w:color w:val="000000" w:themeColor="text1"/>
        </w:rPr>
        <w:t>-</w:t>
      </w:r>
      <w:r w:rsidR="0013345C" w:rsidRPr="00426204">
        <w:rPr>
          <w:color w:val="000000" w:themeColor="text1"/>
        </w:rPr>
        <w:t xml:space="preserve">недостатками разработки </w:t>
      </w:r>
      <w:r w:rsidRPr="00426204">
        <w:rPr>
          <w:color w:val="000000" w:themeColor="text1"/>
        </w:rPr>
        <w:t>проектной документации</w:t>
      </w:r>
      <w:r w:rsidR="004D48C7" w:rsidRPr="00426204">
        <w:rPr>
          <w:color w:val="000000" w:themeColor="text1"/>
        </w:rPr>
        <w:t>, требующими</w:t>
      </w:r>
      <w:r w:rsidRPr="00426204">
        <w:rPr>
          <w:color w:val="000000" w:themeColor="text1"/>
        </w:rPr>
        <w:t xml:space="preserve"> </w:t>
      </w:r>
      <w:r w:rsidR="00E94483" w:rsidRPr="00426204">
        <w:rPr>
          <w:color w:val="000000" w:themeColor="text1"/>
        </w:rPr>
        <w:t xml:space="preserve">ее </w:t>
      </w:r>
      <w:r w:rsidRPr="00426204">
        <w:rPr>
          <w:color w:val="000000" w:themeColor="text1"/>
        </w:rPr>
        <w:t xml:space="preserve">корректировки </w:t>
      </w:r>
      <w:r w:rsidR="004D48C7" w:rsidRPr="00426204">
        <w:rPr>
          <w:color w:val="000000" w:themeColor="text1"/>
        </w:rPr>
        <w:t xml:space="preserve">и прохождения повторной государственной экспертизы. </w:t>
      </w:r>
      <w:r w:rsidR="002E0F3B" w:rsidRPr="00426204">
        <w:rPr>
          <w:color w:val="000000" w:themeColor="text1"/>
        </w:rPr>
        <w:t>Комитет принимал участие в рассмотрении вопросов об исполнении муниципальных контрактов на строительство Объекта, однако вопрос остался неразрешенным.</w:t>
      </w:r>
    </w:p>
    <w:p w:rsidR="003A6F42" w:rsidRPr="00426204" w:rsidRDefault="003F7F78" w:rsidP="003F7F78">
      <w:pPr>
        <w:spacing w:line="20" w:lineRule="atLeast"/>
        <w:ind w:firstLine="680"/>
        <w:jc w:val="both"/>
        <w:rPr>
          <w:color w:val="000000" w:themeColor="text1"/>
        </w:rPr>
      </w:pPr>
      <w:r w:rsidRPr="00426204">
        <w:rPr>
          <w:color w:val="000000" w:themeColor="text1"/>
        </w:rPr>
        <w:t xml:space="preserve">В итоге </w:t>
      </w:r>
      <w:r w:rsidR="003A6F42" w:rsidRPr="00426204">
        <w:rPr>
          <w:color w:val="000000" w:themeColor="text1"/>
        </w:rPr>
        <w:t>муниципальный контракт расторгнут в соответствии с мировым соглашением от 26.02.2015, утвержденным решением Арбитражного суда Волгоградской области. Основанием для заключения мирового соглашения стало соглашение о намерениях</w:t>
      </w:r>
      <w:r w:rsidRPr="00426204">
        <w:rPr>
          <w:color w:val="000000" w:themeColor="text1"/>
        </w:rPr>
        <w:t xml:space="preserve">, подписанное с </w:t>
      </w:r>
      <w:r w:rsidR="00426204" w:rsidRPr="00426204">
        <w:rPr>
          <w:color w:val="000000" w:themeColor="text1"/>
        </w:rPr>
        <w:t>ООО «ЕвроХим-ВолгаКалий» - и</w:t>
      </w:r>
      <w:r w:rsidR="003A6F42" w:rsidRPr="00426204">
        <w:rPr>
          <w:color w:val="000000" w:themeColor="text1"/>
        </w:rPr>
        <w:t xml:space="preserve">нвестор принял на себя обязательства за счёт собственных средств осуществить строительство объектов, эквивалентных по номенклатуре и физическим объемам, невыполненным в рамках муниципального контракта от 10.08.2012 № 15/12/048-0406813. </w:t>
      </w:r>
    </w:p>
    <w:p w:rsidR="00D42496" w:rsidRPr="00DC51E7" w:rsidRDefault="00426204" w:rsidP="00D42496">
      <w:pPr>
        <w:spacing w:line="20" w:lineRule="atLeast"/>
        <w:ind w:firstLine="680"/>
        <w:jc w:val="both"/>
        <w:rPr>
          <w:color w:val="0070C0"/>
        </w:rPr>
      </w:pPr>
      <w:r w:rsidRPr="00426204">
        <w:rPr>
          <w:color w:val="000000" w:themeColor="text1"/>
        </w:rPr>
        <w:t xml:space="preserve">Таким образом, </w:t>
      </w:r>
      <w:r w:rsidR="003A6F42" w:rsidRPr="00426204">
        <w:rPr>
          <w:color w:val="000000" w:themeColor="text1"/>
        </w:rPr>
        <w:t>следствие</w:t>
      </w:r>
      <w:r w:rsidRPr="00426204">
        <w:rPr>
          <w:color w:val="000000" w:themeColor="text1"/>
        </w:rPr>
        <w:t>м</w:t>
      </w:r>
      <w:r w:rsidR="003A6F42" w:rsidRPr="00426204">
        <w:rPr>
          <w:color w:val="000000" w:themeColor="text1"/>
        </w:rPr>
        <w:t xml:space="preserve"> недостатков в организации работы </w:t>
      </w:r>
      <w:r w:rsidRPr="00426204">
        <w:rPr>
          <w:color w:val="000000" w:themeColor="text1"/>
        </w:rPr>
        <w:t>комитета</w:t>
      </w:r>
      <w:r w:rsidR="003A6F42" w:rsidRPr="00426204">
        <w:rPr>
          <w:color w:val="000000" w:themeColor="text1"/>
        </w:rPr>
        <w:t xml:space="preserve"> и Администрации района</w:t>
      </w:r>
      <w:r w:rsidRPr="00426204">
        <w:rPr>
          <w:color w:val="000000" w:themeColor="text1"/>
        </w:rPr>
        <w:t>,</w:t>
      </w:r>
      <w:r w:rsidR="003A6F42" w:rsidRPr="00426204">
        <w:rPr>
          <w:color w:val="000000" w:themeColor="text1"/>
        </w:rPr>
        <w:t xml:space="preserve"> </w:t>
      </w:r>
      <w:r w:rsidRPr="00426204">
        <w:rPr>
          <w:color w:val="000000" w:themeColor="text1"/>
        </w:rPr>
        <w:t xml:space="preserve">является возврат </w:t>
      </w:r>
      <w:r w:rsidR="003A6F42" w:rsidRPr="00426204">
        <w:rPr>
          <w:color w:val="000000" w:themeColor="text1"/>
        </w:rPr>
        <w:t xml:space="preserve">средств </w:t>
      </w:r>
      <w:r w:rsidRPr="00426204">
        <w:rPr>
          <w:color w:val="000000" w:themeColor="text1"/>
        </w:rPr>
        <w:t xml:space="preserve">в размере 452520,6 тыс. руб. в </w:t>
      </w:r>
      <w:r w:rsidR="003A6F42" w:rsidRPr="00426204">
        <w:rPr>
          <w:color w:val="000000" w:themeColor="text1"/>
        </w:rPr>
        <w:t>федеральн</w:t>
      </w:r>
      <w:r w:rsidRPr="00426204">
        <w:rPr>
          <w:color w:val="000000" w:themeColor="text1"/>
        </w:rPr>
        <w:t>ый бюджет,</w:t>
      </w:r>
      <w:r w:rsidR="003A6F42" w:rsidRPr="00426204">
        <w:rPr>
          <w:color w:val="000000" w:themeColor="text1"/>
        </w:rPr>
        <w:t xml:space="preserve"> </w:t>
      </w:r>
      <w:r w:rsidR="007816EF">
        <w:rPr>
          <w:color w:val="000000" w:themeColor="text1"/>
        </w:rPr>
        <w:t>и об</w:t>
      </w:r>
      <w:r w:rsidRPr="00426204">
        <w:rPr>
          <w:color w:val="000000" w:themeColor="text1"/>
        </w:rPr>
        <w:t>язательство</w:t>
      </w:r>
      <w:r w:rsidR="003A6F42" w:rsidRPr="00426204">
        <w:rPr>
          <w:color w:val="000000" w:themeColor="text1"/>
        </w:rPr>
        <w:t xml:space="preserve"> администраци</w:t>
      </w:r>
      <w:r w:rsidR="00365F48">
        <w:rPr>
          <w:color w:val="000000" w:themeColor="text1"/>
        </w:rPr>
        <w:t>и</w:t>
      </w:r>
      <w:r w:rsidR="003A6F42" w:rsidRPr="00426204">
        <w:rPr>
          <w:color w:val="000000" w:themeColor="text1"/>
        </w:rPr>
        <w:t xml:space="preserve"> области рассмотреть вопрос о предоставлении государственной </w:t>
      </w:r>
      <w:r w:rsidR="003A6F42" w:rsidRPr="0016785C">
        <w:t xml:space="preserve">поддержки ООО «ЕвроХим-ВолгаКалий», принявшему на себя обязательства достроить объект. </w:t>
      </w:r>
      <w:r w:rsidR="00D42496" w:rsidRPr="0016785C">
        <w:t xml:space="preserve">В частности, </w:t>
      </w:r>
      <w:r w:rsidR="00DC51E7" w:rsidRPr="0016785C">
        <w:t xml:space="preserve">одной из форм государственной поддержки является предоставление налоговых льгот по налогу на имущество </w:t>
      </w:r>
      <w:r w:rsidR="001123EF" w:rsidRPr="0016785C">
        <w:t xml:space="preserve">- </w:t>
      </w:r>
      <w:r w:rsidR="00D42496" w:rsidRPr="0016785C">
        <w:t>в виде освобождения от налогообложения в части, зачисляемой в областной бюджет</w:t>
      </w:r>
      <w:r w:rsidR="00DC51E7" w:rsidRPr="0016785C">
        <w:t xml:space="preserve"> (ст. 2</w:t>
      </w:r>
      <w:r w:rsidR="00D42496" w:rsidRPr="0016785C">
        <w:t xml:space="preserve"> Закон</w:t>
      </w:r>
      <w:r w:rsidR="00DC51E7" w:rsidRPr="0016785C">
        <w:t>а</w:t>
      </w:r>
      <w:r w:rsidR="00D42496" w:rsidRPr="0016785C">
        <w:t xml:space="preserve"> Волгоградской области от 28.11.2003 № 888-ОД</w:t>
      </w:r>
      <w:r w:rsidR="00DC51E7" w:rsidRPr="0016785C">
        <w:t xml:space="preserve"> «</w:t>
      </w:r>
      <w:r w:rsidR="00D42496" w:rsidRPr="0016785C">
        <w:t>О налоге на имущество организаций</w:t>
      </w:r>
      <w:r w:rsidR="00DC51E7" w:rsidRPr="0016785C">
        <w:t>»).</w:t>
      </w:r>
    </w:p>
    <w:p w:rsidR="00D42496" w:rsidRDefault="00D42496" w:rsidP="00D42496"/>
    <w:p w:rsidR="0013345C" w:rsidRPr="0013345C" w:rsidRDefault="0013345C" w:rsidP="0013345C">
      <w:pPr>
        <w:spacing w:line="20" w:lineRule="atLeast"/>
        <w:ind w:firstLine="680"/>
        <w:jc w:val="center"/>
        <w:rPr>
          <w:b/>
          <w:i/>
          <w:color w:val="000000" w:themeColor="text1"/>
        </w:rPr>
      </w:pPr>
      <w:r w:rsidRPr="0013345C">
        <w:rPr>
          <w:b/>
          <w:i/>
          <w:color w:val="000000" w:themeColor="text1"/>
        </w:rPr>
        <w:t>Исполнение расходов</w:t>
      </w:r>
    </w:p>
    <w:p w:rsidR="0013345C" w:rsidRPr="0016785C" w:rsidRDefault="0013345C" w:rsidP="0013345C">
      <w:pPr>
        <w:spacing w:line="20" w:lineRule="atLeast"/>
        <w:ind w:firstLine="680"/>
        <w:jc w:val="both"/>
      </w:pPr>
      <w:r w:rsidRPr="00AD1E0A">
        <w:rPr>
          <w:color w:val="000000" w:themeColor="text1"/>
        </w:rPr>
        <w:t xml:space="preserve">Законом об областном бюджете на 2015 год Облстрою предусмотрены бюджетные ассигнования в размере 2966886,5 тыс. рублей. Утвержденный объем бюджетных ассигнований по бюджетной росписи составил </w:t>
      </w:r>
      <w:r w:rsidR="00AD1E0A" w:rsidRPr="00AD1E0A">
        <w:rPr>
          <w:color w:val="000000" w:themeColor="text1"/>
        </w:rPr>
        <w:t>3090211,7 тыс. руб.</w:t>
      </w:r>
      <w:r w:rsidRPr="00AD1E0A">
        <w:rPr>
          <w:color w:val="000000" w:themeColor="text1"/>
        </w:rPr>
        <w:t xml:space="preserve">, что превышает соответствующий показатель, утвержденный Законом об областном бюджете на 2015 год на </w:t>
      </w:r>
      <w:r w:rsidRPr="00FD44A9">
        <w:rPr>
          <w:color w:val="000000" w:themeColor="text1"/>
        </w:rPr>
        <w:t>123325,2 тыс</w:t>
      </w:r>
      <w:r w:rsidRPr="00AD1E0A">
        <w:rPr>
          <w:color w:val="000000" w:themeColor="text1"/>
        </w:rPr>
        <w:t xml:space="preserve">. руб., из них: средства резервного фонда составляют 6571,2 тыс. руб.; остаток средств Фонда содействия </w:t>
      </w:r>
      <w:r w:rsidRPr="0016785C">
        <w:t>реформирования ЖКХ по состоянию на 01.01.2015, подлежащий испо</w:t>
      </w:r>
      <w:r w:rsidR="00E31C0F" w:rsidRPr="0016785C">
        <w:t>льзованию в 2015 году -116749,6</w:t>
      </w:r>
      <w:r w:rsidR="00FD44A9" w:rsidRPr="0016785C">
        <w:t xml:space="preserve"> тыс. руб., итоговые изменения сводной росписи по ин</w:t>
      </w:r>
      <w:r w:rsidR="0016785C">
        <w:t>ым основаниям - 4,4 тыс. рублей</w:t>
      </w:r>
      <w:r w:rsidRPr="0016785C">
        <w:t xml:space="preserve">. </w:t>
      </w:r>
    </w:p>
    <w:p w:rsidR="0013345C" w:rsidRPr="00AD1E0A" w:rsidRDefault="0013345C" w:rsidP="0013345C">
      <w:pPr>
        <w:spacing w:line="20" w:lineRule="atLeast"/>
        <w:ind w:firstLine="680"/>
        <w:jc w:val="both"/>
        <w:rPr>
          <w:color w:val="000000" w:themeColor="text1"/>
        </w:rPr>
      </w:pPr>
      <w:r w:rsidRPr="00AD1E0A">
        <w:rPr>
          <w:color w:val="000000" w:themeColor="text1"/>
        </w:rPr>
        <w:lastRenderedPageBreak/>
        <w:t xml:space="preserve">Лимиты бюджетных обязательств доведены на 3055784,4 тыс. руб., или 98,9% к утвержденным ассигнованиям по бюджетной росписи.  </w:t>
      </w:r>
    </w:p>
    <w:p w:rsidR="0013345C" w:rsidRPr="00AD1E0A" w:rsidRDefault="0013345C" w:rsidP="0013345C">
      <w:pPr>
        <w:spacing w:line="20" w:lineRule="atLeast"/>
        <w:ind w:firstLine="680"/>
        <w:jc w:val="both"/>
        <w:rPr>
          <w:color w:val="000000" w:themeColor="text1"/>
        </w:rPr>
      </w:pPr>
      <w:r w:rsidRPr="00AD1E0A">
        <w:rPr>
          <w:color w:val="000000" w:themeColor="text1"/>
        </w:rPr>
        <w:t>Информация об исполнении расходов представлена в таблице.</w:t>
      </w:r>
    </w:p>
    <w:p w:rsidR="0013345C" w:rsidRPr="00AB12D7" w:rsidRDefault="0013345C" w:rsidP="00AB12D7">
      <w:pPr>
        <w:spacing w:line="20" w:lineRule="atLeast"/>
        <w:ind w:firstLine="680"/>
        <w:jc w:val="right"/>
        <w:rPr>
          <w:color w:val="000000" w:themeColor="text1"/>
          <w:sz w:val="18"/>
          <w:szCs w:val="18"/>
        </w:rPr>
      </w:pPr>
      <w:r w:rsidRPr="00AB12D7">
        <w:rPr>
          <w:color w:val="000000" w:themeColor="text1"/>
          <w:sz w:val="18"/>
          <w:szCs w:val="18"/>
        </w:rPr>
        <w:t>(тыс. руб.)</w:t>
      </w:r>
    </w:p>
    <w:tbl>
      <w:tblPr>
        <w:tblW w:w="1056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565"/>
        <w:gridCol w:w="1286"/>
        <w:gridCol w:w="1132"/>
        <w:gridCol w:w="984"/>
        <w:gridCol w:w="786"/>
        <w:gridCol w:w="1051"/>
        <w:gridCol w:w="786"/>
      </w:tblGrid>
      <w:tr w:rsidR="0013345C" w:rsidRPr="0013345C" w:rsidTr="0013345C">
        <w:trPr>
          <w:trHeight w:val="315"/>
        </w:trPr>
        <w:tc>
          <w:tcPr>
            <w:tcW w:w="2977" w:type="dxa"/>
            <w:vMerge w:val="restart"/>
            <w:tcBorders>
              <w:top w:val="single" w:sz="12" w:space="0" w:color="auto"/>
              <w:left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Наименование раздела (подраздела) расходов</w:t>
            </w:r>
          </w:p>
        </w:tc>
        <w:tc>
          <w:tcPr>
            <w:tcW w:w="1565" w:type="dxa"/>
            <w:vMerge w:val="restart"/>
            <w:tcBorders>
              <w:top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Утвер</w:t>
            </w:r>
            <w:r w:rsidR="0053330E">
              <w:rPr>
                <w:color w:val="000000" w:themeColor="text1"/>
                <w:sz w:val="18"/>
                <w:szCs w:val="18"/>
              </w:rPr>
              <w:t>ж</w:t>
            </w:r>
            <w:r w:rsidRPr="0013345C">
              <w:rPr>
                <w:color w:val="000000" w:themeColor="text1"/>
                <w:sz w:val="18"/>
                <w:szCs w:val="18"/>
              </w:rPr>
              <w:t>денные</w:t>
            </w:r>
          </w:p>
          <w:p w:rsidR="0013345C" w:rsidRPr="0013345C" w:rsidRDefault="0013345C" w:rsidP="0013345C">
            <w:pPr>
              <w:jc w:val="center"/>
              <w:rPr>
                <w:color w:val="000000" w:themeColor="text1"/>
                <w:sz w:val="18"/>
                <w:szCs w:val="18"/>
              </w:rPr>
            </w:pPr>
            <w:r w:rsidRPr="0013345C">
              <w:rPr>
                <w:color w:val="000000" w:themeColor="text1"/>
                <w:sz w:val="18"/>
                <w:szCs w:val="18"/>
              </w:rPr>
              <w:t>бюджетные ассигнования</w:t>
            </w:r>
          </w:p>
        </w:tc>
        <w:tc>
          <w:tcPr>
            <w:tcW w:w="1286" w:type="dxa"/>
            <w:vMerge w:val="restart"/>
            <w:tcBorders>
              <w:top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Лимиты бюджетных обязательств</w:t>
            </w:r>
          </w:p>
        </w:tc>
        <w:tc>
          <w:tcPr>
            <w:tcW w:w="1132" w:type="dxa"/>
            <w:vMerge w:val="restart"/>
            <w:tcBorders>
              <w:top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Исполнено</w:t>
            </w:r>
          </w:p>
          <w:p w:rsidR="0013345C" w:rsidRPr="0013345C" w:rsidRDefault="0013345C" w:rsidP="0013345C">
            <w:pPr>
              <w:jc w:val="center"/>
              <w:rPr>
                <w:color w:val="000000" w:themeColor="text1"/>
                <w:sz w:val="18"/>
                <w:szCs w:val="18"/>
              </w:rPr>
            </w:pPr>
            <w:r w:rsidRPr="0013345C">
              <w:rPr>
                <w:color w:val="000000" w:themeColor="text1"/>
                <w:sz w:val="18"/>
                <w:szCs w:val="18"/>
              </w:rPr>
              <w:t>расходов</w:t>
            </w:r>
          </w:p>
        </w:tc>
        <w:tc>
          <w:tcPr>
            <w:tcW w:w="3607" w:type="dxa"/>
            <w:gridSpan w:val="4"/>
            <w:tcBorders>
              <w:top w:val="single" w:sz="12" w:space="0" w:color="auto"/>
              <w:right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Отклонение</w:t>
            </w:r>
          </w:p>
        </w:tc>
      </w:tr>
      <w:tr w:rsidR="0013345C" w:rsidRPr="0013345C" w:rsidTr="0013345C">
        <w:trPr>
          <w:trHeight w:val="315"/>
        </w:trPr>
        <w:tc>
          <w:tcPr>
            <w:tcW w:w="2977" w:type="dxa"/>
            <w:vMerge/>
            <w:tcBorders>
              <w:left w:val="single" w:sz="12" w:space="0" w:color="auto"/>
              <w:bottom w:val="single" w:sz="12" w:space="0" w:color="auto"/>
            </w:tcBorders>
            <w:vAlign w:val="center"/>
            <w:hideMark/>
          </w:tcPr>
          <w:p w:rsidR="0013345C" w:rsidRPr="0013345C" w:rsidRDefault="0013345C" w:rsidP="0013345C">
            <w:pPr>
              <w:jc w:val="center"/>
              <w:rPr>
                <w:color w:val="000000" w:themeColor="text1"/>
                <w:sz w:val="18"/>
                <w:szCs w:val="18"/>
              </w:rPr>
            </w:pPr>
          </w:p>
        </w:tc>
        <w:tc>
          <w:tcPr>
            <w:tcW w:w="1565" w:type="dxa"/>
            <w:vMerge/>
            <w:tcBorders>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p>
        </w:tc>
        <w:tc>
          <w:tcPr>
            <w:tcW w:w="1286" w:type="dxa"/>
            <w:vMerge/>
            <w:tcBorders>
              <w:bottom w:val="single" w:sz="12" w:space="0" w:color="auto"/>
            </w:tcBorders>
            <w:vAlign w:val="center"/>
            <w:hideMark/>
          </w:tcPr>
          <w:p w:rsidR="0013345C" w:rsidRPr="0013345C" w:rsidRDefault="0013345C" w:rsidP="0013345C">
            <w:pPr>
              <w:jc w:val="center"/>
              <w:rPr>
                <w:color w:val="000000" w:themeColor="text1"/>
                <w:sz w:val="18"/>
                <w:szCs w:val="18"/>
              </w:rPr>
            </w:pPr>
          </w:p>
        </w:tc>
        <w:tc>
          <w:tcPr>
            <w:tcW w:w="1132" w:type="dxa"/>
            <w:vMerge/>
            <w:tcBorders>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p>
        </w:tc>
        <w:tc>
          <w:tcPr>
            <w:tcW w:w="984" w:type="dxa"/>
            <w:tcBorders>
              <w:bottom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гр.4-гр.2</w:t>
            </w:r>
          </w:p>
        </w:tc>
        <w:tc>
          <w:tcPr>
            <w:tcW w:w="786" w:type="dxa"/>
            <w:tcBorders>
              <w:bottom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w:t>
            </w:r>
          </w:p>
        </w:tc>
        <w:tc>
          <w:tcPr>
            <w:tcW w:w="1051" w:type="dxa"/>
            <w:tcBorders>
              <w:bottom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гр.4-гр.3</w:t>
            </w:r>
          </w:p>
        </w:tc>
        <w:tc>
          <w:tcPr>
            <w:tcW w:w="786" w:type="dxa"/>
            <w:tcBorders>
              <w:bottom w:val="single" w:sz="12" w:space="0" w:color="auto"/>
              <w:right w:val="single" w:sz="12" w:space="0" w:color="auto"/>
            </w:tcBorders>
            <w:shd w:val="clear" w:color="auto" w:fill="auto"/>
            <w:noWrap/>
            <w:vAlign w:val="center"/>
            <w:hideMark/>
          </w:tcPr>
          <w:p w:rsidR="0013345C" w:rsidRPr="0013345C" w:rsidRDefault="0013345C" w:rsidP="0013345C">
            <w:pPr>
              <w:jc w:val="center"/>
              <w:rPr>
                <w:color w:val="000000" w:themeColor="text1"/>
                <w:sz w:val="18"/>
                <w:szCs w:val="18"/>
              </w:rPr>
            </w:pPr>
            <w:r w:rsidRPr="0013345C">
              <w:rPr>
                <w:color w:val="000000" w:themeColor="text1"/>
                <w:sz w:val="18"/>
                <w:szCs w:val="18"/>
              </w:rPr>
              <w:t>%</w:t>
            </w:r>
          </w:p>
        </w:tc>
      </w:tr>
      <w:tr w:rsidR="0013345C" w:rsidRPr="0013345C" w:rsidTr="0013345C">
        <w:trPr>
          <w:trHeight w:val="90"/>
        </w:trPr>
        <w:tc>
          <w:tcPr>
            <w:tcW w:w="2977" w:type="dxa"/>
            <w:tcBorders>
              <w:top w:val="single" w:sz="12" w:space="0" w:color="auto"/>
              <w:left w:val="single" w:sz="12" w:space="0" w:color="auto"/>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r w:rsidRPr="0013345C">
              <w:rPr>
                <w:color w:val="000000" w:themeColor="text1"/>
                <w:sz w:val="18"/>
                <w:szCs w:val="18"/>
              </w:rPr>
              <w:t>1</w:t>
            </w:r>
          </w:p>
        </w:tc>
        <w:tc>
          <w:tcPr>
            <w:tcW w:w="1565" w:type="dxa"/>
            <w:tcBorders>
              <w:top w:val="single" w:sz="12" w:space="0" w:color="auto"/>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r w:rsidRPr="0013345C">
              <w:rPr>
                <w:color w:val="000000" w:themeColor="text1"/>
                <w:sz w:val="18"/>
                <w:szCs w:val="18"/>
              </w:rPr>
              <w:t>2</w:t>
            </w:r>
          </w:p>
        </w:tc>
        <w:tc>
          <w:tcPr>
            <w:tcW w:w="1286" w:type="dxa"/>
            <w:tcBorders>
              <w:top w:val="single" w:sz="12" w:space="0" w:color="auto"/>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r w:rsidRPr="0013345C">
              <w:rPr>
                <w:color w:val="000000" w:themeColor="text1"/>
                <w:sz w:val="18"/>
                <w:szCs w:val="18"/>
              </w:rPr>
              <w:t>3</w:t>
            </w:r>
          </w:p>
        </w:tc>
        <w:tc>
          <w:tcPr>
            <w:tcW w:w="1132" w:type="dxa"/>
            <w:tcBorders>
              <w:top w:val="single" w:sz="12" w:space="0" w:color="auto"/>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r w:rsidRPr="0013345C">
              <w:rPr>
                <w:color w:val="000000" w:themeColor="text1"/>
                <w:sz w:val="18"/>
                <w:szCs w:val="18"/>
              </w:rPr>
              <w:t>4</w:t>
            </w:r>
          </w:p>
        </w:tc>
        <w:tc>
          <w:tcPr>
            <w:tcW w:w="984" w:type="dxa"/>
            <w:tcBorders>
              <w:top w:val="single" w:sz="12" w:space="0" w:color="auto"/>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r w:rsidRPr="0013345C">
              <w:rPr>
                <w:color w:val="000000" w:themeColor="text1"/>
                <w:sz w:val="18"/>
                <w:szCs w:val="18"/>
              </w:rPr>
              <w:t>5</w:t>
            </w:r>
          </w:p>
        </w:tc>
        <w:tc>
          <w:tcPr>
            <w:tcW w:w="786" w:type="dxa"/>
            <w:tcBorders>
              <w:top w:val="single" w:sz="12" w:space="0" w:color="auto"/>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r w:rsidRPr="0013345C">
              <w:rPr>
                <w:color w:val="000000" w:themeColor="text1"/>
                <w:sz w:val="18"/>
                <w:szCs w:val="18"/>
              </w:rPr>
              <w:t>6</w:t>
            </w:r>
          </w:p>
        </w:tc>
        <w:tc>
          <w:tcPr>
            <w:tcW w:w="1051" w:type="dxa"/>
            <w:tcBorders>
              <w:top w:val="single" w:sz="12" w:space="0" w:color="auto"/>
              <w:bottom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r w:rsidRPr="0013345C">
              <w:rPr>
                <w:color w:val="000000" w:themeColor="text1"/>
                <w:sz w:val="18"/>
                <w:szCs w:val="18"/>
              </w:rPr>
              <w:t>7</w:t>
            </w:r>
          </w:p>
        </w:tc>
        <w:tc>
          <w:tcPr>
            <w:tcW w:w="786" w:type="dxa"/>
            <w:tcBorders>
              <w:top w:val="single" w:sz="12" w:space="0" w:color="auto"/>
              <w:bottom w:val="single" w:sz="12" w:space="0" w:color="auto"/>
              <w:right w:val="single" w:sz="12" w:space="0" w:color="auto"/>
            </w:tcBorders>
            <w:shd w:val="clear" w:color="auto" w:fill="auto"/>
            <w:noWrap/>
            <w:vAlign w:val="bottom"/>
            <w:hideMark/>
          </w:tcPr>
          <w:p w:rsidR="0013345C" w:rsidRPr="0013345C" w:rsidRDefault="0013345C" w:rsidP="0013345C">
            <w:pPr>
              <w:jc w:val="center"/>
              <w:rPr>
                <w:color w:val="000000" w:themeColor="text1"/>
                <w:sz w:val="18"/>
                <w:szCs w:val="18"/>
              </w:rPr>
            </w:pPr>
            <w:r w:rsidRPr="0013345C">
              <w:rPr>
                <w:color w:val="000000" w:themeColor="text1"/>
                <w:sz w:val="18"/>
                <w:szCs w:val="18"/>
              </w:rPr>
              <w:t>8</w:t>
            </w:r>
          </w:p>
        </w:tc>
      </w:tr>
      <w:tr w:rsidR="0013345C" w:rsidRPr="0013345C" w:rsidTr="0013345C">
        <w:trPr>
          <w:trHeight w:val="220"/>
        </w:trPr>
        <w:tc>
          <w:tcPr>
            <w:tcW w:w="2977" w:type="dxa"/>
            <w:tcBorders>
              <w:top w:val="single" w:sz="12" w:space="0" w:color="auto"/>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Расходы - всего,  в т.ч.:</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3090211,7</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3055784,4</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2575978,7</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-514233</w:t>
            </w:r>
          </w:p>
        </w:tc>
        <w:tc>
          <w:tcPr>
            <w:tcW w:w="786" w:type="dxa"/>
            <w:tcBorders>
              <w:top w:val="single" w:sz="12" w:space="0" w:color="auto"/>
              <w:bottom w:val="single" w:sz="12" w:space="0" w:color="auto"/>
            </w:tcBorders>
            <w:shd w:val="clear" w:color="auto" w:fill="auto"/>
            <w:noWrap/>
            <w:hideMark/>
          </w:tcPr>
          <w:p w:rsidR="0013345C" w:rsidRPr="00617B44" w:rsidRDefault="00617B44" w:rsidP="0013345C">
            <w:pPr>
              <w:jc w:val="center"/>
              <w:rPr>
                <w:sz w:val="18"/>
                <w:szCs w:val="18"/>
              </w:rPr>
            </w:pPr>
            <w:r w:rsidRPr="00617B44">
              <w:rPr>
                <w:sz w:val="18"/>
                <w:szCs w:val="18"/>
              </w:rPr>
              <w:t>16,6</w:t>
            </w:r>
          </w:p>
        </w:tc>
        <w:tc>
          <w:tcPr>
            <w:tcW w:w="1051" w:type="dxa"/>
            <w:tcBorders>
              <w:top w:val="single" w:sz="12" w:space="0" w:color="auto"/>
              <w:bottom w:val="single" w:sz="12" w:space="0" w:color="auto"/>
            </w:tcBorders>
            <w:shd w:val="clear" w:color="auto" w:fill="auto"/>
            <w:noWrap/>
            <w:hideMark/>
          </w:tcPr>
          <w:p w:rsidR="0013345C" w:rsidRPr="00617B44" w:rsidRDefault="0013345C" w:rsidP="0013345C">
            <w:pPr>
              <w:jc w:val="center"/>
              <w:rPr>
                <w:sz w:val="18"/>
                <w:szCs w:val="18"/>
              </w:rPr>
            </w:pPr>
            <w:r w:rsidRPr="00617B44">
              <w:rPr>
                <w:sz w:val="18"/>
                <w:szCs w:val="18"/>
              </w:rPr>
              <w:t>-479805,7</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617B44" w:rsidRDefault="00617B44" w:rsidP="0013345C">
            <w:pPr>
              <w:jc w:val="center"/>
              <w:rPr>
                <w:sz w:val="18"/>
                <w:szCs w:val="18"/>
              </w:rPr>
            </w:pPr>
            <w:r w:rsidRPr="00617B44">
              <w:rPr>
                <w:sz w:val="18"/>
                <w:szCs w:val="18"/>
              </w:rPr>
              <w:t>15,7</w:t>
            </w:r>
          </w:p>
        </w:tc>
      </w:tr>
      <w:tr w:rsidR="0013345C" w:rsidRPr="0013345C" w:rsidTr="0013345C">
        <w:trPr>
          <w:trHeight w:val="70"/>
        </w:trPr>
        <w:tc>
          <w:tcPr>
            <w:tcW w:w="2977" w:type="dxa"/>
            <w:tcBorders>
              <w:top w:val="single" w:sz="12" w:space="0" w:color="auto"/>
              <w:left w:val="single" w:sz="12" w:space="0" w:color="auto"/>
              <w:bottom w:val="single" w:sz="12" w:space="0" w:color="auto"/>
            </w:tcBorders>
            <w:shd w:val="clear" w:color="auto" w:fill="auto"/>
            <w:noWrap/>
            <w:hideMark/>
          </w:tcPr>
          <w:p w:rsidR="0013345C" w:rsidRPr="0013345C" w:rsidRDefault="0013345C" w:rsidP="00244352">
            <w:pPr>
              <w:jc w:val="both"/>
              <w:rPr>
                <w:color w:val="000000" w:themeColor="text1"/>
                <w:sz w:val="18"/>
                <w:szCs w:val="18"/>
              </w:rPr>
            </w:pPr>
            <w:r w:rsidRPr="00244352">
              <w:rPr>
                <w:i/>
                <w:color w:val="000000" w:themeColor="text1"/>
                <w:sz w:val="18"/>
                <w:szCs w:val="18"/>
              </w:rPr>
              <w:t>0100 Общегосударственные вопросы</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3979,4</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3979,4</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3979,4</w:t>
            </w:r>
          </w:p>
        </w:tc>
        <w:tc>
          <w:tcPr>
            <w:tcW w:w="984"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0</w:t>
            </w:r>
          </w:p>
        </w:tc>
        <w:tc>
          <w:tcPr>
            <w:tcW w:w="786" w:type="dxa"/>
            <w:tcBorders>
              <w:top w:val="single" w:sz="12" w:space="0" w:color="auto"/>
              <w:bottom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0,0</w:t>
            </w:r>
          </w:p>
        </w:tc>
        <w:tc>
          <w:tcPr>
            <w:tcW w:w="1051"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0</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0,0</w:t>
            </w:r>
          </w:p>
        </w:tc>
      </w:tr>
      <w:tr w:rsidR="0013345C" w:rsidRPr="0013345C" w:rsidTr="0013345C">
        <w:trPr>
          <w:trHeight w:val="315"/>
        </w:trPr>
        <w:tc>
          <w:tcPr>
            <w:tcW w:w="2977" w:type="dxa"/>
            <w:tcBorders>
              <w:top w:val="single" w:sz="12" w:space="0" w:color="auto"/>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113 Другие общегосударственные вопросы</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3979,4</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3979,4</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3979,4</w:t>
            </w:r>
          </w:p>
        </w:tc>
        <w:tc>
          <w:tcPr>
            <w:tcW w:w="984"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0</w:t>
            </w:r>
          </w:p>
        </w:tc>
        <w:tc>
          <w:tcPr>
            <w:tcW w:w="786" w:type="dxa"/>
            <w:tcBorders>
              <w:top w:val="single" w:sz="12" w:space="0" w:color="auto"/>
              <w:bottom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0,0</w:t>
            </w:r>
          </w:p>
        </w:tc>
        <w:tc>
          <w:tcPr>
            <w:tcW w:w="1051"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0</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0,0</w:t>
            </w:r>
          </w:p>
        </w:tc>
      </w:tr>
      <w:tr w:rsidR="0013345C" w:rsidRPr="0013345C" w:rsidTr="0013345C">
        <w:trPr>
          <w:trHeight w:val="218"/>
        </w:trPr>
        <w:tc>
          <w:tcPr>
            <w:tcW w:w="2977" w:type="dxa"/>
            <w:tcBorders>
              <w:top w:val="single" w:sz="12" w:space="0" w:color="auto"/>
              <w:left w:val="single" w:sz="12" w:space="0" w:color="auto"/>
              <w:bottom w:val="single" w:sz="12" w:space="0" w:color="auto"/>
            </w:tcBorders>
            <w:shd w:val="clear" w:color="auto" w:fill="auto"/>
            <w:noWrap/>
            <w:hideMark/>
          </w:tcPr>
          <w:p w:rsidR="0013345C" w:rsidRPr="00244352" w:rsidRDefault="0013345C" w:rsidP="0013345C">
            <w:pPr>
              <w:jc w:val="both"/>
              <w:rPr>
                <w:i/>
                <w:color w:val="000000" w:themeColor="text1"/>
                <w:sz w:val="18"/>
                <w:szCs w:val="18"/>
              </w:rPr>
            </w:pPr>
            <w:r w:rsidRPr="00244352">
              <w:rPr>
                <w:i/>
                <w:color w:val="000000" w:themeColor="text1"/>
                <w:sz w:val="18"/>
                <w:szCs w:val="18"/>
              </w:rPr>
              <w:t>0200 Национальная оборона</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30</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30</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30</w:t>
            </w:r>
          </w:p>
        </w:tc>
        <w:tc>
          <w:tcPr>
            <w:tcW w:w="984"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0</w:t>
            </w:r>
          </w:p>
        </w:tc>
        <w:tc>
          <w:tcPr>
            <w:tcW w:w="786" w:type="dxa"/>
            <w:tcBorders>
              <w:top w:val="single" w:sz="12" w:space="0" w:color="auto"/>
              <w:bottom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0,0</w:t>
            </w:r>
          </w:p>
        </w:tc>
        <w:tc>
          <w:tcPr>
            <w:tcW w:w="1051"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0</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0,0</w:t>
            </w:r>
          </w:p>
        </w:tc>
      </w:tr>
      <w:tr w:rsidR="0013345C" w:rsidRPr="0013345C" w:rsidTr="0013345C">
        <w:trPr>
          <w:trHeight w:val="315"/>
        </w:trPr>
        <w:tc>
          <w:tcPr>
            <w:tcW w:w="2977" w:type="dxa"/>
            <w:tcBorders>
              <w:top w:val="single" w:sz="12" w:space="0" w:color="auto"/>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0204 Мобилизационная подготовка экономики</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30</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30</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30</w:t>
            </w:r>
          </w:p>
        </w:tc>
        <w:tc>
          <w:tcPr>
            <w:tcW w:w="984"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0</w:t>
            </w:r>
          </w:p>
        </w:tc>
        <w:tc>
          <w:tcPr>
            <w:tcW w:w="786" w:type="dxa"/>
            <w:tcBorders>
              <w:top w:val="single" w:sz="12" w:space="0" w:color="auto"/>
              <w:bottom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0,0</w:t>
            </w:r>
          </w:p>
        </w:tc>
        <w:tc>
          <w:tcPr>
            <w:tcW w:w="1051"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0</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0,0</w:t>
            </w:r>
          </w:p>
        </w:tc>
      </w:tr>
      <w:tr w:rsidR="0013345C" w:rsidRPr="0013345C" w:rsidTr="0013345C">
        <w:trPr>
          <w:trHeight w:val="240"/>
        </w:trPr>
        <w:tc>
          <w:tcPr>
            <w:tcW w:w="2977" w:type="dxa"/>
            <w:tcBorders>
              <w:top w:val="single" w:sz="12" w:space="0" w:color="auto"/>
              <w:left w:val="single" w:sz="12" w:space="0" w:color="auto"/>
              <w:bottom w:val="single" w:sz="12" w:space="0" w:color="auto"/>
            </w:tcBorders>
            <w:shd w:val="clear" w:color="auto" w:fill="auto"/>
            <w:noWrap/>
            <w:hideMark/>
          </w:tcPr>
          <w:p w:rsidR="0013345C" w:rsidRPr="00244352" w:rsidRDefault="0013345C" w:rsidP="0013345C">
            <w:pPr>
              <w:jc w:val="both"/>
              <w:rPr>
                <w:i/>
                <w:color w:val="000000" w:themeColor="text1"/>
                <w:sz w:val="18"/>
                <w:szCs w:val="18"/>
              </w:rPr>
            </w:pPr>
            <w:r w:rsidRPr="00244352">
              <w:rPr>
                <w:i/>
                <w:color w:val="000000" w:themeColor="text1"/>
                <w:sz w:val="18"/>
                <w:szCs w:val="18"/>
              </w:rPr>
              <w:t>0300 Национальная безопасность и правоохранительная деятельность</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185556,3</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185556,3</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170731,6</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-14824,7</w:t>
            </w:r>
          </w:p>
        </w:tc>
        <w:tc>
          <w:tcPr>
            <w:tcW w:w="786" w:type="dxa"/>
            <w:tcBorders>
              <w:top w:val="single" w:sz="12" w:space="0" w:color="auto"/>
              <w:bottom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8,0</w:t>
            </w:r>
          </w:p>
        </w:tc>
        <w:tc>
          <w:tcPr>
            <w:tcW w:w="1051"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-14824,7</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8,0</w:t>
            </w:r>
          </w:p>
        </w:tc>
      </w:tr>
      <w:tr w:rsidR="0013345C" w:rsidRPr="0013345C" w:rsidTr="0013345C">
        <w:trPr>
          <w:trHeight w:val="231"/>
        </w:trPr>
        <w:tc>
          <w:tcPr>
            <w:tcW w:w="2977" w:type="dxa"/>
            <w:tcBorders>
              <w:top w:val="single" w:sz="12" w:space="0" w:color="auto"/>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0311 Миграционная политика</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185556,3</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185556,3</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170731,6</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-14824,7</w:t>
            </w:r>
          </w:p>
        </w:tc>
        <w:tc>
          <w:tcPr>
            <w:tcW w:w="786" w:type="dxa"/>
            <w:tcBorders>
              <w:top w:val="single" w:sz="12" w:space="0" w:color="auto"/>
              <w:bottom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8,0</w:t>
            </w:r>
          </w:p>
        </w:tc>
        <w:tc>
          <w:tcPr>
            <w:tcW w:w="1051" w:type="dxa"/>
            <w:tcBorders>
              <w:top w:val="single" w:sz="12" w:space="0" w:color="auto"/>
              <w:bottom w:val="single" w:sz="12" w:space="0" w:color="auto"/>
            </w:tcBorders>
            <w:shd w:val="clear" w:color="auto" w:fill="auto"/>
            <w:noWrap/>
            <w:hideMark/>
          </w:tcPr>
          <w:p w:rsidR="0013345C" w:rsidRPr="00244352" w:rsidRDefault="0013345C" w:rsidP="0013345C">
            <w:pPr>
              <w:jc w:val="center"/>
              <w:rPr>
                <w:sz w:val="18"/>
                <w:szCs w:val="18"/>
              </w:rPr>
            </w:pPr>
            <w:r w:rsidRPr="00244352">
              <w:rPr>
                <w:sz w:val="18"/>
                <w:szCs w:val="18"/>
              </w:rPr>
              <w:t>-14824,7</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244352" w:rsidRDefault="00244352" w:rsidP="0013345C">
            <w:pPr>
              <w:jc w:val="center"/>
              <w:rPr>
                <w:sz w:val="18"/>
                <w:szCs w:val="18"/>
              </w:rPr>
            </w:pPr>
            <w:r w:rsidRPr="00244352">
              <w:rPr>
                <w:sz w:val="18"/>
                <w:szCs w:val="18"/>
              </w:rPr>
              <w:t>8,0</w:t>
            </w:r>
          </w:p>
        </w:tc>
      </w:tr>
      <w:tr w:rsidR="0013345C" w:rsidRPr="0013345C" w:rsidTr="0013345C">
        <w:trPr>
          <w:trHeight w:val="131"/>
        </w:trPr>
        <w:tc>
          <w:tcPr>
            <w:tcW w:w="2977" w:type="dxa"/>
            <w:tcBorders>
              <w:top w:val="single" w:sz="12" w:space="0" w:color="auto"/>
              <w:left w:val="single" w:sz="12" w:space="0" w:color="auto"/>
              <w:bottom w:val="single" w:sz="12" w:space="0" w:color="auto"/>
            </w:tcBorders>
            <w:shd w:val="clear" w:color="auto" w:fill="auto"/>
            <w:noWrap/>
            <w:hideMark/>
          </w:tcPr>
          <w:p w:rsidR="0013345C" w:rsidRPr="002C0704" w:rsidRDefault="0013345C" w:rsidP="0013345C">
            <w:pPr>
              <w:jc w:val="both"/>
              <w:rPr>
                <w:i/>
                <w:color w:val="000000" w:themeColor="text1"/>
                <w:sz w:val="18"/>
                <w:szCs w:val="18"/>
              </w:rPr>
            </w:pPr>
            <w:r w:rsidRPr="002C0704">
              <w:rPr>
                <w:i/>
                <w:color w:val="000000" w:themeColor="text1"/>
                <w:sz w:val="18"/>
                <w:szCs w:val="18"/>
              </w:rPr>
              <w:t>0400 Национальная экономика</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269773,7</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256857</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249444,1</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-20329,6</w:t>
            </w:r>
          </w:p>
        </w:tc>
        <w:tc>
          <w:tcPr>
            <w:tcW w:w="786" w:type="dxa"/>
            <w:tcBorders>
              <w:top w:val="single" w:sz="12" w:space="0" w:color="auto"/>
              <w:bottom w:val="single" w:sz="12" w:space="0" w:color="auto"/>
            </w:tcBorders>
            <w:shd w:val="clear" w:color="auto" w:fill="auto"/>
            <w:noWrap/>
            <w:hideMark/>
          </w:tcPr>
          <w:p w:rsidR="0013345C" w:rsidRPr="002C0704" w:rsidRDefault="002C0704" w:rsidP="0013345C">
            <w:pPr>
              <w:jc w:val="center"/>
              <w:rPr>
                <w:sz w:val="18"/>
                <w:szCs w:val="18"/>
              </w:rPr>
            </w:pPr>
            <w:r w:rsidRPr="002C0704">
              <w:rPr>
                <w:sz w:val="18"/>
                <w:szCs w:val="18"/>
              </w:rPr>
              <w:t>7,5</w:t>
            </w:r>
          </w:p>
        </w:tc>
        <w:tc>
          <w:tcPr>
            <w:tcW w:w="1051" w:type="dxa"/>
            <w:tcBorders>
              <w:top w:val="single" w:sz="12" w:space="0" w:color="auto"/>
              <w:bottom w:val="single" w:sz="12" w:space="0" w:color="auto"/>
            </w:tcBorders>
            <w:shd w:val="clear" w:color="auto" w:fill="auto"/>
            <w:noWrap/>
            <w:hideMark/>
          </w:tcPr>
          <w:p w:rsidR="0013345C" w:rsidRPr="002C0704" w:rsidRDefault="0013345C" w:rsidP="0013345C">
            <w:pPr>
              <w:jc w:val="center"/>
              <w:rPr>
                <w:sz w:val="18"/>
                <w:szCs w:val="18"/>
              </w:rPr>
            </w:pPr>
            <w:r w:rsidRPr="002C0704">
              <w:rPr>
                <w:sz w:val="18"/>
                <w:szCs w:val="18"/>
              </w:rPr>
              <w:t>-7412,9</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2C0704" w:rsidRDefault="002C0704" w:rsidP="0013345C">
            <w:pPr>
              <w:jc w:val="center"/>
              <w:rPr>
                <w:sz w:val="18"/>
                <w:szCs w:val="18"/>
              </w:rPr>
            </w:pPr>
            <w:r w:rsidRPr="002C0704">
              <w:rPr>
                <w:sz w:val="18"/>
                <w:szCs w:val="18"/>
              </w:rPr>
              <w:t>2,9</w:t>
            </w:r>
          </w:p>
        </w:tc>
      </w:tr>
      <w:tr w:rsidR="0013345C" w:rsidRPr="0013345C" w:rsidTr="0013345C">
        <w:trPr>
          <w:trHeight w:val="131"/>
        </w:trPr>
        <w:tc>
          <w:tcPr>
            <w:tcW w:w="2977" w:type="dxa"/>
            <w:tcBorders>
              <w:top w:val="single" w:sz="12" w:space="0" w:color="auto"/>
              <w:left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0410 Связь и информатика</w:t>
            </w:r>
          </w:p>
        </w:tc>
        <w:tc>
          <w:tcPr>
            <w:tcW w:w="1565"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w:t>
            </w:r>
          </w:p>
        </w:tc>
        <w:tc>
          <w:tcPr>
            <w:tcW w:w="1286"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w:t>
            </w:r>
          </w:p>
        </w:tc>
        <w:tc>
          <w:tcPr>
            <w:tcW w:w="1132"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0</w:t>
            </w:r>
          </w:p>
        </w:tc>
        <w:tc>
          <w:tcPr>
            <w:tcW w:w="984"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w:t>
            </w:r>
          </w:p>
        </w:tc>
        <w:tc>
          <w:tcPr>
            <w:tcW w:w="786" w:type="dxa"/>
            <w:tcBorders>
              <w:top w:val="single" w:sz="12" w:space="0" w:color="auto"/>
            </w:tcBorders>
            <w:shd w:val="clear" w:color="auto" w:fill="auto"/>
            <w:noWrap/>
            <w:hideMark/>
          </w:tcPr>
          <w:p w:rsidR="0013345C" w:rsidRPr="002C0704" w:rsidRDefault="0013345C" w:rsidP="0013345C">
            <w:pPr>
              <w:jc w:val="center"/>
              <w:rPr>
                <w:sz w:val="18"/>
                <w:szCs w:val="18"/>
              </w:rPr>
            </w:pPr>
            <w:r w:rsidRPr="002C0704">
              <w:rPr>
                <w:sz w:val="18"/>
                <w:szCs w:val="18"/>
              </w:rPr>
              <w:t>0</w:t>
            </w:r>
          </w:p>
        </w:tc>
        <w:tc>
          <w:tcPr>
            <w:tcW w:w="1051" w:type="dxa"/>
            <w:tcBorders>
              <w:top w:val="single" w:sz="12" w:space="0" w:color="auto"/>
            </w:tcBorders>
            <w:shd w:val="clear" w:color="auto" w:fill="auto"/>
            <w:noWrap/>
            <w:hideMark/>
          </w:tcPr>
          <w:p w:rsidR="0013345C" w:rsidRPr="002C0704" w:rsidRDefault="0013345C" w:rsidP="0013345C">
            <w:pPr>
              <w:jc w:val="center"/>
              <w:rPr>
                <w:sz w:val="18"/>
                <w:szCs w:val="18"/>
              </w:rPr>
            </w:pPr>
            <w:r w:rsidRPr="002C0704">
              <w:rPr>
                <w:sz w:val="18"/>
                <w:szCs w:val="18"/>
              </w:rPr>
              <w:t>-6</w:t>
            </w:r>
          </w:p>
        </w:tc>
        <w:tc>
          <w:tcPr>
            <w:tcW w:w="786" w:type="dxa"/>
            <w:tcBorders>
              <w:top w:val="single" w:sz="12" w:space="0" w:color="auto"/>
              <w:right w:val="single" w:sz="12" w:space="0" w:color="auto"/>
            </w:tcBorders>
            <w:shd w:val="clear" w:color="auto" w:fill="auto"/>
            <w:noWrap/>
            <w:hideMark/>
          </w:tcPr>
          <w:p w:rsidR="0013345C" w:rsidRPr="002C0704" w:rsidRDefault="0013345C" w:rsidP="0013345C">
            <w:pPr>
              <w:jc w:val="center"/>
              <w:rPr>
                <w:sz w:val="18"/>
                <w:szCs w:val="18"/>
              </w:rPr>
            </w:pPr>
            <w:r w:rsidRPr="002C0704">
              <w:rPr>
                <w:sz w:val="18"/>
                <w:szCs w:val="18"/>
              </w:rPr>
              <w:t>0</w:t>
            </w:r>
          </w:p>
        </w:tc>
      </w:tr>
      <w:tr w:rsidR="0013345C" w:rsidRPr="0013345C" w:rsidTr="0013345C">
        <w:trPr>
          <w:trHeight w:val="420"/>
        </w:trPr>
        <w:tc>
          <w:tcPr>
            <w:tcW w:w="2977" w:type="dxa"/>
            <w:tcBorders>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0412 Другие вопросы в области национальной экономики</w:t>
            </w:r>
          </w:p>
        </w:tc>
        <w:tc>
          <w:tcPr>
            <w:tcW w:w="1565"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269767,7</w:t>
            </w:r>
          </w:p>
        </w:tc>
        <w:tc>
          <w:tcPr>
            <w:tcW w:w="1286"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256851</w:t>
            </w:r>
          </w:p>
        </w:tc>
        <w:tc>
          <w:tcPr>
            <w:tcW w:w="1132"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249444,1</w:t>
            </w:r>
          </w:p>
        </w:tc>
        <w:tc>
          <w:tcPr>
            <w:tcW w:w="984"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-20323,6</w:t>
            </w:r>
          </w:p>
        </w:tc>
        <w:tc>
          <w:tcPr>
            <w:tcW w:w="786" w:type="dxa"/>
            <w:tcBorders>
              <w:bottom w:val="single" w:sz="12" w:space="0" w:color="auto"/>
            </w:tcBorders>
            <w:shd w:val="clear" w:color="auto" w:fill="auto"/>
            <w:noWrap/>
            <w:hideMark/>
          </w:tcPr>
          <w:p w:rsidR="0013345C" w:rsidRPr="002C0704" w:rsidRDefault="002C0704" w:rsidP="0013345C">
            <w:pPr>
              <w:jc w:val="center"/>
              <w:rPr>
                <w:sz w:val="18"/>
                <w:szCs w:val="18"/>
              </w:rPr>
            </w:pPr>
            <w:r w:rsidRPr="002C0704">
              <w:rPr>
                <w:sz w:val="18"/>
                <w:szCs w:val="18"/>
              </w:rPr>
              <w:t>7,5</w:t>
            </w:r>
          </w:p>
        </w:tc>
        <w:tc>
          <w:tcPr>
            <w:tcW w:w="1051" w:type="dxa"/>
            <w:tcBorders>
              <w:bottom w:val="single" w:sz="12" w:space="0" w:color="auto"/>
            </w:tcBorders>
            <w:shd w:val="clear" w:color="auto" w:fill="auto"/>
            <w:noWrap/>
            <w:hideMark/>
          </w:tcPr>
          <w:p w:rsidR="0013345C" w:rsidRPr="002C0704" w:rsidRDefault="0013345C" w:rsidP="0013345C">
            <w:pPr>
              <w:jc w:val="center"/>
              <w:rPr>
                <w:sz w:val="18"/>
                <w:szCs w:val="18"/>
              </w:rPr>
            </w:pPr>
            <w:r w:rsidRPr="002C0704">
              <w:rPr>
                <w:sz w:val="18"/>
                <w:szCs w:val="18"/>
              </w:rPr>
              <w:t>-7406,9</w:t>
            </w:r>
          </w:p>
        </w:tc>
        <w:tc>
          <w:tcPr>
            <w:tcW w:w="786" w:type="dxa"/>
            <w:tcBorders>
              <w:bottom w:val="single" w:sz="12" w:space="0" w:color="auto"/>
              <w:right w:val="single" w:sz="12" w:space="0" w:color="auto"/>
            </w:tcBorders>
            <w:shd w:val="clear" w:color="auto" w:fill="auto"/>
            <w:noWrap/>
            <w:hideMark/>
          </w:tcPr>
          <w:p w:rsidR="0013345C" w:rsidRPr="002C0704" w:rsidRDefault="002C0704" w:rsidP="0013345C">
            <w:pPr>
              <w:jc w:val="center"/>
              <w:rPr>
                <w:sz w:val="18"/>
                <w:szCs w:val="18"/>
              </w:rPr>
            </w:pPr>
            <w:r w:rsidRPr="002C0704">
              <w:rPr>
                <w:sz w:val="18"/>
                <w:szCs w:val="18"/>
              </w:rPr>
              <w:t>2,9</w:t>
            </w:r>
          </w:p>
        </w:tc>
      </w:tr>
      <w:tr w:rsidR="0013345C" w:rsidRPr="0013345C" w:rsidTr="0013345C">
        <w:trPr>
          <w:trHeight w:val="315"/>
        </w:trPr>
        <w:tc>
          <w:tcPr>
            <w:tcW w:w="2977" w:type="dxa"/>
            <w:tcBorders>
              <w:top w:val="single" w:sz="12" w:space="0" w:color="auto"/>
              <w:left w:val="single" w:sz="12" w:space="0" w:color="auto"/>
              <w:bottom w:val="single" w:sz="12" w:space="0" w:color="auto"/>
            </w:tcBorders>
            <w:shd w:val="clear" w:color="auto" w:fill="auto"/>
            <w:noWrap/>
            <w:hideMark/>
          </w:tcPr>
          <w:p w:rsidR="0013345C" w:rsidRPr="002C0704" w:rsidRDefault="0013345C" w:rsidP="0013345C">
            <w:pPr>
              <w:jc w:val="both"/>
              <w:rPr>
                <w:i/>
                <w:color w:val="000000" w:themeColor="text1"/>
                <w:sz w:val="18"/>
                <w:szCs w:val="18"/>
              </w:rPr>
            </w:pPr>
            <w:r w:rsidRPr="002C0704">
              <w:rPr>
                <w:i/>
                <w:color w:val="000000" w:themeColor="text1"/>
                <w:sz w:val="18"/>
                <w:szCs w:val="18"/>
              </w:rPr>
              <w:t>0500 Жилищно-коммунальное хозяйство</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1029058,7</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1010001,9</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880011,1</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-149047,6</w:t>
            </w:r>
          </w:p>
        </w:tc>
        <w:tc>
          <w:tcPr>
            <w:tcW w:w="786" w:type="dxa"/>
            <w:tcBorders>
              <w:top w:val="single" w:sz="12" w:space="0" w:color="auto"/>
              <w:bottom w:val="single" w:sz="12" w:space="0" w:color="auto"/>
            </w:tcBorders>
            <w:shd w:val="clear" w:color="auto" w:fill="auto"/>
            <w:noWrap/>
            <w:hideMark/>
          </w:tcPr>
          <w:p w:rsidR="0013345C" w:rsidRPr="00FA190A" w:rsidRDefault="00FA190A" w:rsidP="0013345C">
            <w:pPr>
              <w:jc w:val="center"/>
              <w:rPr>
                <w:sz w:val="18"/>
                <w:szCs w:val="18"/>
              </w:rPr>
            </w:pPr>
            <w:r w:rsidRPr="00FA190A">
              <w:rPr>
                <w:sz w:val="18"/>
                <w:szCs w:val="18"/>
              </w:rPr>
              <w:t>14,5</w:t>
            </w:r>
          </w:p>
        </w:tc>
        <w:tc>
          <w:tcPr>
            <w:tcW w:w="1051" w:type="dxa"/>
            <w:tcBorders>
              <w:top w:val="single" w:sz="12" w:space="0" w:color="auto"/>
              <w:bottom w:val="single" w:sz="12" w:space="0" w:color="auto"/>
            </w:tcBorders>
            <w:shd w:val="clear" w:color="auto" w:fill="auto"/>
            <w:noWrap/>
            <w:hideMark/>
          </w:tcPr>
          <w:p w:rsidR="0013345C" w:rsidRPr="00FA190A" w:rsidRDefault="0013345C" w:rsidP="0013345C">
            <w:pPr>
              <w:jc w:val="center"/>
              <w:rPr>
                <w:sz w:val="18"/>
                <w:szCs w:val="18"/>
              </w:rPr>
            </w:pPr>
            <w:r w:rsidRPr="00FA190A">
              <w:rPr>
                <w:sz w:val="18"/>
                <w:szCs w:val="18"/>
              </w:rPr>
              <w:t>-129990,8</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FA190A" w:rsidRDefault="00FA190A" w:rsidP="0013345C">
            <w:pPr>
              <w:jc w:val="center"/>
              <w:rPr>
                <w:sz w:val="18"/>
                <w:szCs w:val="18"/>
              </w:rPr>
            </w:pPr>
            <w:r w:rsidRPr="00FA190A">
              <w:rPr>
                <w:sz w:val="18"/>
                <w:szCs w:val="18"/>
              </w:rPr>
              <w:t>12,9</w:t>
            </w:r>
          </w:p>
        </w:tc>
      </w:tr>
      <w:tr w:rsidR="0013345C" w:rsidRPr="0013345C" w:rsidTr="0013345C">
        <w:trPr>
          <w:trHeight w:val="130"/>
        </w:trPr>
        <w:tc>
          <w:tcPr>
            <w:tcW w:w="2977" w:type="dxa"/>
            <w:tcBorders>
              <w:top w:val="single" w:sz="12" w:space="0" w:color="auto"/>
              <w:left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 xml:space="preserve">0501 Жилищное хозяйство </w:t>
            </w:r>
          </w:p>
        </w:tc>
        <w:tc>
          <w:tcPr>
            <w:tcW w:w="1565"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945382,1</w:t>
            </w:r>
          </w:p>
        </w:tc>
        <w:tc>
          <w:tcPr>
            <w:tcW w:w="1286"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927454,6</w:t>
            </w:r>
          </w:p>
        </w:tc>
        <w:tc>
          <w:tcPr>
            <w:tcW w:w="1132"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820797,3</w:t>
            </w:r>
          </w:p>
        </w:tc>
        <w:tc>
          <w:tcPr>
            <w:tcW w:w="984"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-124584,8</w:t>
            </w:r>
          </w:p>
        </w:tc>
        <w:tc>
          <w:tcPr>
            <w:tcW w:w="786" w:type="dxa"/>
            <w:tcBorders>
              <w:top w:val="single" w:sz="12" w:space="0" w:color="auto"/>
            </w:tcBorders>
            <w:shd w:val="clear" w:color="auto" w:fill="auto"/>
            <w:noWrap/>
            <w:hideMark/>
          </w:tcPr>
          <w:p w:rsidR="0013345C" w:rsidRPr="003970FF" w:rsidRDefault="003970FF" w:rsidP="0013345C">
            <w:pPr>
              <w:jc w:val="center"/>
              <w:rPr>
                <w:sz w:val="18"/>
                <w:szCs w:val="18"/>
              </w:rPr>
            </w:pPr>
            <w:r w:rsidRPr="003970FF">
              <w:rPr>
                <w:sz w:val="18"/>
                <w:szCs w:val="18"/>
              </w:rPr>
              <w:t>13,2</w:t>
            </w:r>
          </w:p>
        </w:tc>
        <w:tc>
          <w:tcPr>
            <w:tcW w:w="1051" w:type="dxa"/>
            <w:tcBorders>
              <w:top w:val="single" w:sz="12" w:space="0" w:color="auto"/>
            </w:tcBorders>
            <w:shd w:val="clear" w:color="auto" w:fill="auto"/>
            <w:noWrap/>
            <w:hideMark/>
          </w:tcPr>
          <w:p w:rsidR="0013345C" w:rsidRPr="003970FF" w:rsidRDefault="0013345C" w:rsidP="0013345C">
            <w:pPr>
              <w:jc w:val="center"/>
              <w:rPr>
                <w:sz w:val="18"/>
                <w:szCs w:val="18"/>
              </w:rPr>
            </w:pPr>
            <w:r w:rsidRPr="003970FF">
              <w:rPr>
                <w:sz w:val="18"/>
                <w:szCs w:val="18"/>
              </w:rPr>
              <w:t>-106657,3</w:t>
            </w:r>
          </w:p>
        </w:tc>
        <w:tc>
          <w:tcPr>
            <w:tcW w:w="786" w:type="dxa"/>
            <w:tcBorders>
              <w:top w:val="single" w:sz="12" w:space="0" w:color="auto"/>
              <w:right w:val="single" w:sz="12" w:space="0" w:color="auto"/>
            </w:tcBorders>
            <w:shd w:val="clear" w:color="auto" w:fill="auto"/>
            <w:noWrap/>
            <w:hideMark/>
          </w:tcPr>
          <w:p w:rsidR="0013345C" w:rsidRPr="003970FF" w:rsidRDefault="003970FF" w:rsidP="0013345C">
            <w:pPr>
              <w:jc w:val="center"/>
              <w:rPr>
                <w:sz w:val="18"/>
                <w:szCs w:val="18"/>
              </w:rPr>
            </w:pPr>
            <w:r w:rsidRPr="003970FF">
              <w:rPr>
                <w:sz w:val="18"/>
                <w:szCs w:val="18"/>
              </w:rPr>
              <w:t>11,5</w:t>
            </w:r>
          </w:p>
        </w:tc>
      </w:tr>
      <w:tr w:rsidR="0013345C" w:rsidRPr="0013345C" w:rsidTr="0013345C">
        <w:trPr>
          <w:trHeight w:val="218"/>
        </w:trPr>
        <w:tc>
          <w:tcPr>
            <w:tcW w:w="2977" w:type="dxa"/>
            <w:tcBorders>
              <w:left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0502 Коммунальное хозяйство</w:t>
            </w:r>
          </w:p>
        </w:tc>
        <w:tc>
          <w:tcPr>
            <w:tcW w:w="1565"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23776,2</w:t>
            </w:r>
          </w:p>
        </w:tc>
        <w:tc>
          <w:tcPr>
            <w:tcW w:w="1286"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23583,9</w:t>
            </w:r>
          </w:p>
        </w:tc>
        <w:tc>
          <w:tcPr>
            <w:tcW w:w="1132"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2582,9</w:t>
            </w:r>
          </w:p>
        </w:tc>
        <w:tc>
          <w:tcPr>
            <w:tcW w:w="984"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-21193,3</w:t>
            </w:r>
          </w:p>
        </w:tc>
        <w:tc>
          <w:tcPr>
            <w:tcW w:w="786" w:type="dxa"/>
            <w:shd w:val="clear" w:color="auto" w:fill="auto"/>
            <w:noWrap/>
            <w:hideMark/>
          </w:tcPr>
          <w:p w:rsidR="0013345C" w:rsidRPr="003970FF" w:rsidRDefault="003970FF" w:rsidP="0013345C">
            <w:pPr>
              <w:jc w:val="center"/>
              <w:rPr>
                <w:sz w:val="18"/>
                <w:szCs w:val="18"/>
              </w:rPr>
            </w:pPr>
            <w:r w:rsidRPr="003970FF">
              <w:rPr>
                <w:sz w:val="18"/>
                <w:szCs w:val="18"/>
              </w:rPr>
              <w:t>89,1</w:t>
            </w:r>
          </w:p>
        </w:tc>
        <w:tc>
          <w:tcPr>
            <w:tcW w:w="1051" w:type="dxa"/>
            <w:shd w:val="clear" w:color="auto" w:fill="auto"/>
            <w:noWrap/>
            <w:hideMark/>
          </w:tcPr>
          <w:p w:rsidR="0013345C" w:rsidRPr="003970FF" w:rsidRDefault="0013345C" w:rsidP="0013345C">
            <w:pPr>
              <w:jc w:val="center"/>
              <w:rPr>
                <w:sz w:val="18"/>
                <w:szCs w:val="18"/>
              </w:rPr>
            </w:pPr>
            <w:r w:rsidRPr="003970FF">
              <w:rPr>
                <w:sz w:val="18"/>
                <w:szCs w:val="18"/>
              </w:rPr>
              <w:t>-21001,0</w:t>
            </w:r>
          </w:p>
        </w:tc>
        <w:tc>
          <w:tcPr>
            <w:tcW w:w="786" w:type="dxa"/>
            <w:tcBorders>
              <w:right w:val="single" w:sz="12" w:space="0" w:color="auto"/>
            </w:tcBorders>
            <w:shd w:val="clear" w:color="auto" w:fill="auto"/>
            <w:noWrap/>
            <w:hideMark/>
          </w:tcPr>
          <w:p w:rsidR="0013345C" w:rsidRPr="003970FF" w:rsidRDefault="003970FF" w:rsidP="0013345C">
            <w:pPr>
              <w:jc w:val="center"/>
              <w:rPr>
                <w:sz w:val="18"/>
                <w:szCs w:val="18"/>
              </w:rPr>
            </w:pPr>
            <w:r w:rsidRPr="003970FF">
              <w:rPr>
                <w:sz w:val="18"/>
                <w:szCs w:val="18"/>
              </w:rPr>
              <w:t>89,1</w:t>
            </w:r>
          </w:p>
        </w:tc>
      </w:tr>
      <w:tr w:rsidR="0013345C" w:rsidRPr="0013345C" w:rsidTr="0013345C">
        <w:trPr>
          <w:trHeight w:val="315"/>
        </w:trPr>
        <w:tc>
          <w:tcPr>
            <w:tcW w:w="2977" w:type="dxa"/>
            <w:tcBorders>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0505 Другие вопросы в области жилищно-коммунального хозяйства</w:t>
            </w:r>
          </w:p>
        </w:tc>
        <w:tc>
          <w:tcPr>
            <w:tcW w:w="1565"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59900,4</w:t>
            </w:r>
          </w:p>
        </w:tc>
        <w:tc>
          <w:tcPr>
            <w:tcW w:w="1286"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58963,4</w:t>
            </w:r>
          </w:p>
        </w:tc>
        <w:tc>
          <w:tcPr>
            <w:tcW w:w="1132"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56630,9</w:t>
            </w:r>
          </w:p>
        </w:tc>
        <w:tc>
          <w:tcPr>
            <w:tcW w:w="984"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-3269,5</w:t>
            </w:r>
          </w:p>
        </w:tc>
        <w:tc>
          <w:tcPr>
            <w:tcW w:w="786" w:type="dxa"/>
            <w:tcBorders>
              <w:bottom w:val="single" w:sz="12" w:space="0" w:color="auto"/>
            </w:tcBorders>
            <w:shd w:val="clear" w:color="auto" w:fill="auto"/>
            <w:noWrap/>
            <w:hideMark/>
          </w:tcPr>
          <w:p w:rsidR="0013345C" w:rsidRPr="00EF3F26" w:rsidRDefault="00EF3F26" w:rsidP="0013345C">
            <w:pPr>
              <w:jc w:val="center"/>
              <w:rPr>
                <w:sz w:val="18"/>
                <w:szCs w:val="18"/>
              </w:rPr>
            </w:pPr>
            <w:r w:rsidRPr="00EF3F26">
              <w:rPr>
                <w:sz w:val="18"/>
                <w:szCs w:val="18"/>
              </w:rPr>
              <w:t>5,5</w:t>
            </w:r>
          </w:p>
        </w:tc>
        <w:tc>
          <w:tcPr>
            <w:tcW w:w="1051" w:type="dxa"/>
            <w:tcBorders>
              <w:bottom w:val="single" w:sz="12" w:space="0" w:color="auto"/>
            </w:tcBorders>
            <w:shd w:val="clear" w:color="auto" w:fill="auto"/>
            <w:noWrap/>
            <w:hideMark/>
          </w:tcPr>
          <w:p w:rsidR="0013345C" w:rsidRPr="00EF3F26" w:rsidRDefault="0013345C" w:rsidP="0013345C">
            <w:pPr>
              <w:jc w:val="center"/>
              <w:rPr>
                <w:sz w:val="18"/>
                <w:szCs w:val="18"/>
              </w:rPr>
            </w:pPr>
            <w:r w:rsidRPr="00EF3F26">
              <w:rPr>
                <w:sz w:val="18"/>
                <w:szCs w:val="18"/>
              </w:rPr>
              <w:t>-2332,5</w:t>
            </w:r>
          </w:p>
        </w:tc>
        <w:tc>
          <w:tcPr>
            <w:tcW w:w="786" w:type="dxa"/>
            <w:tcBorders>
              <w:bottom w:val="single" w:sz="12" w:space="0" w:color="auto"/>
              <w:right w:val="single" w:sz="12" w:space="0" w:color="auto"/>
            </w:tcBorders>
            <w:shd w:val="clear" w:color="auto" w:fill="auto"/>
            <w:noWrap/>
            <w:hideMark/>
          </w:tcPr>
          <w:p w:rsidR="0013345C" w:rsidRPr="00EF3F26" w:rsidRDefault="00EF3F26" w:rsidP="0013345C">
            <w:pPr>
              <w:jc w:val="center"/>
              <w:rPr>
                <w:sz w:val="18"/>
                <w:szCs w:val="18"/>
              </w:rPr>
            </w:pPr>
            <w:r w:rsidRPr="00EF3F26">
              <w:rPr>
                <w:sz w:val="18"/>
                <w:szCs w:val="18"/>
              </w:rPr>
              <w:t>4,0</w:t>
            </w:r>
          </w:p>
        </w:tc>
      </w:tr>
      <w:tr w:rsidR="0013345C" w:rsidRPr="0013345C" w:rsidTr="0013345C">
        <w:trPr>
          <w:trHeight w:val="170"/>
        </w:trPr>
        <w:tc>
          <w:tcPr>
            <w:tcW w:w="2977" w:type="dxa"/>
            <w:tcBorders>
              <w:top w:val="single" w:sz="12" w:space="0" w:color="auto"/>
              <w:left w:val="single" w:sz="12" w:space="0" w:color="auto"/>
              <w:bottom w:val="single" w:sz="12" w:space="0" w:color="auto"/>
            </w:tcBorders>
            <w:shd w:val="clear" w:color="auto" w:fill="auto"/>
            <w:noWrap/>
            <w:hideMark/>
          </w:tcPr>
          <w:p w:rsidR="0013345C" w:rsidRPr="00BB4674" w:rsidRDefault="0013345C" w:rsidP="0013345C">
            <w:pPr>
              <w:jc w:val="both"/>
              <w:rPr>
                <w:i/>
                <w:color w:val="000000" w:themeColor="text1"/>
                <w:sz w:val="18"/>
                <w:szCs w:val="18"/>
              </w:rPr>
            </w:pPr>
            <w:r w:rsidRPr="00BB4674">
              <w:rPr>
                <w:i/>
                <w:color w:val="000000" w:themeColor="text1"/>
                <w:sz w:val="18"/>
                <w:szCs w:val="18"/>
              </w:rPr>
              <w:t>0700 Образование</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768453</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767185,2</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651054,6</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-117398,4</w:t>
            </w:r>
          </w:p>
        </w:tc>
        <w:tc>
          <w:tcPr>
            <w:tcW w:w="786" w:type="dxa"/>
            <w:tcBorders>
              <w:top w:val="single" w:sz="12" w:space="0" w:color="auto"/>
              <w:bottom w:val="single" w:sz="12" w:space="0" w:color="auto"/>
            </w:tcBorders>
            <w:shd w:val="clear" w:color="auto" w:fill="auto"/>
            <w:noWrap/>
            <w:hideMark/>
          </w:tcPr>
          <w:p w:rsidR="0013345C" w:rsidRPr="00BB4674" w:rsidRDefault="00BB4674" w:rsidP="0013345C">
            <w:pPr>
              <w:jc w:val="center"/>
              <w:rPr>
                <w:sz w:val="18"/>
                <w:szCs w:val="18"/>
              </w:rPr>
            </w:pPr>
            <w:r w:rsidRPr="00BB4674">
              <w:rPr>
                <w:sz w:val="18"/>
                <w:szCs w:val="18"/>
              </w:rPr>
              <w:t>15,3</w:t>
            </w:r>
          </w:p>
        </w:tc>
        <w:tc>
          <w:tcPr>
            <w:tcW w:w="1051" w:type="dxa"/>
            <w:tcBorders>
              <w:top w:val="single" w:sz="12" w:space="0" w:color="auto"/>
              <w:bottom w:val="single" w:sz="12" w:space="0" w:color="auto"/>
            </w:tcBorders>
            <w:shd w:val="clear" w:color="auto" w:fill="auto"/>
            <w:noWrap/>
            <w:hideMark/>
          </w:tcPr>
          <w:p w:rsidR="0013345C" w:rsidRPr="00BB4674" w:rsidRDefault="0013345C" w:rsidP="0013345C">
            <w:pPr>
              <w:jc w:val="center"/>
              <w:rPr>
                <w:sz w:val="18"/>
                <w:szCs w:val="18"/>
              </w:rPr>
            </w:pPr>
            <w:r w:rsidRPr="00BB4674">
              <w:rPr>
                <w:sz w:val="18"/>
                <w:szCs w:val="18"/>
              </w:rPr>
              <w:t>-116130,6</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BB4674" w:rsidRDefault="00BB4674" w:rsidP="0013345C">
            <w:pPr>
              <w:jc w:val="center"/>
              <w:rPr>
                <w:sz w:val="18"/>
                <w:szCs w:val="18"/>
              </w:rPr>
            </w:pPr>
            <w:r w:rsidRPr="00BB4674">
              <w:rPr>
                <w:sz w:val="18"/>
                <w:szCs w:val="18"/>
              </w:rPr>
              <w:t>15,1</w:t>
            </w:r>
          </w:p>
        </w:tc>
      </w:tr>
      <w:tr w:rsidR="0013345C" w:rsidRPr="0013345C" w:rsidTr="0013345C">
        <w:trPr>
          <w:trHeight w:val="116"/>
        </w:trPr>
        <w:tc>
          <w:tcPr>
            <w:tcW w:w="2977" w:type="dxa"/>
            <w:tcBorders>
              <w:top w:val="single" w:sz="12" w:space="0" w:color="auto"/>
              <w:left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0701 Дошкольное образование</w:t>
            </w:r>
          </w:p>
        </w:tc>
        <w:tc>
          <w:tcPr>
            <w:tcW w:w="1565"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763412,9</w:t>
            </w:r>
          </w:p>
        </w:tc>
        <w:tc>
          <w:tcPr>
            <w:tcW w:w="1286"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762145,1</w:t>
            </w:r>
          </w:p>
        </w:tc>
        <w:tc>
          <w:tcPr>
            <w:tcW w:w="1132"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650955,6</w:t>
            </w:r>
          </w:p>
        </w:tc>
        <w:tc>
          <w:tcPr>
            <w:tcW w:w="984"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-112457,3</w:t>
            </w:r>
          </w:p>
        </w:tc>
        <w:tc>
          <w:tcPr>
            <w:tcW w:w="786" w:type="dxa"/>
            <w:tcBorders>
              <w:top w:val="single" w:sz="12" w:space="0" w:color="auto"/>
            </w:tcBorders>
            <w:shd w:val="clear" w:color="auto" w:fill="auto"/>
            <w:noWrap/>
            <w:hideMark/>
          </w:tcPr>
          <w:p w:rsidR="0013345C" w:rsidRPr="00BB4674" w:rsidRDefault="00BB4674" w:rsidP="0013345C">
            <w:pPr>
              <w:jc w:val="center"/>
              <w:rPr>
                <w:sz w:val="18"/>
                <w:szCs w:val="18"/>
              </w:rPr>
            </w:pPr>
            <w:r w:rsidRPr="00BB4674">
              <w:rPr>
                <w:sz w:val="18"/>
                <w:szCs w:val="18"/>
              </w:rPr>
              <w:t>14,7</w:t>
            </w:r>
          </w:p>
        </w:tc>
        <w:tc>
          <w:tcPr>
            <w:tcW w:w="1051" w:type="dxa"/>
            <w:tcBorders>
              <w:top w:val="single" w:sz="12" w:space="0" w:color="auto"/>
            </w:tcBorders>
            <w:shd w:val="clear" w:color="auto" w:fill="auto"/>
            <w:noWrap/>
            <w:hideMark/>
          </w:tcPr>
          <w:p w:rsidR="0013345C" w:rsidRPr="00BB4674" w:rsidRDefault="0013345C" w:rsidP="0013345C">
            <w:pPr>
              <w:jc w:val="center"/>
              <w:rPr>
                <w:sz w:val="18"/>
                <w:szCs w:val="18"/>
              </w:rPr>
            </w:pPr>
            <w:r w:rsidRPr="00BB4674">
              <w:rPr>
                <w:sz w:val="18"/>
                <w:szCs w:val="18"/>
              </w:rPr>
              <w:t>-111189,5</w:t>
            </w:r>
          </w:p>
        </w:tc>
        <w:tc>
          <w:tcPr>
            <w:tcW w:w="786" w:type="dxa"/>
            <w:tcBorders>
              <w:top w:val="single" w:sz="12" w:space="0" w:color="auto"/>
              <w:right w:val="single" w:sz="12" w:space="0" w:color="auto"/>
            </w:tcBorders>
            <w:shd w:val="clear" w:color="auto" w:fill="auto"/>
            <w:noWrap/>
            <w:hideMark/>
          </w:tcPr>
          <w:p w:rsidR="0013345C" w:rsidRPr="00BB4674" w:rsidRDefault="00BB4674" w:rsidP="0013345C">
            <w:pPr>
              <w:jc w:val="center"/>
              <w:rPr>
                <w:sz w:val="18"/>
                <w:szCs w:val="18"/>
              </w:rPr>
            </w:pPr>
            <w:r w:rsidRPr="00BB4674">
              <w:rPr>
                <w:sz w:val="18"/>
                <w:szCs w:val="18"/>
              </w:rPr>
              <w:t>14,6</w:t>
            </w:r>
          </w:p>
        </w:tc>
      </w:tr>
      <w:tr w:rsidR="0013345C" w:rsidRPr="0013345C" w:rsidTr="0013345C">
        <w:trPr>
          <w:trHeight w:val="203"/>
        </w:trPr>
        <w:tc>
          <w:tcPr>
            <w:tcW w:w="2977" w:type="dxa"/>
            <w:tcBorders>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0702 Общее образование</w:t>
            </w:r>
          </w:p>
        </w:tc>
        <w:tc>
          <w:tcPr>
            <w:tcW w:w="1565"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5040,1</w:t>
            </w:r>
          </w:p>
        </w:tc>
        <w:tc>
          <w:tcPr>
            <w:tcW w:w="1286"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5040,1</w:t>
            </w:r>
          </w:p>
        </w:tc>
        <w:tc>
          <w:tcPr>
            <w:tcW w:w="1132"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99</w:t>
            </w:r>
          </w:p>
        </w:tc>
        <w:tc>
          <w:tcPr>
            <w:tcW w:w="984"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-4941,1</w:t>
            </w:r>
          </w:p>
        </w:tc>
        <w:tc>
          <w:tcPr>
            <w:tcW w:w="786" w:type="dxa"/>
            <w:tcBorders>
              <w:bottom w:val="single" w:sz="12" w:space="0" w:color="auto"/>
            </w:tcBorders>
            <w:shd w:val="clear" w:color="auto" w:fill="auto"/>
            <w:noWrap/>
            <w:hideMark/>
          </w:tcPr>
          <w:p w:rsidR="0013345C" w:rsidRPr="00BB4674" w:rsidRDefault="00BB4674" w:rsidP="0013345C">
            <w:pPr>
              <w:jc w:val="center"/>
              <w:rPr>
                <w:sz w:val="18"/>
                <w:szCs w:val="18"/>
              </w:rPr>
            </w:pPr>
            <w:r w:rsidRPr="00BB4674">
              <w:rPr>
                <w:sz w:val="18"/>
                <w:szCs w:val="18"/>
              </w:rPr>
              <w:t>98,0</w:t>
            </w:r>
          </w:p>
        </w:tc>
        <w:tc>
          <w:tcPr>
            <w:tcW w:w="1051" w:type="dxa"/>
            <w:tcBorders>
              <w:bottom w:val="single" w:sz="12" w:space="0" w:color="auto"/>
            </w:tcBorders>
            <w:shd w:val="clear" w:color="auto" w:fill="auto"/>
            <w:noWrap/>
            <w:hideMark/>
          </w:tcPr>
          <w:p w:rsidR="0013345C" w:rsidRPr="00BB4674" w:rsidRDefault="0013345C" w:rsidP="0013345C">
            <w:pPr>
              <w:jc w:val="center"/>
              <w:rPr>
                <w:sz w:val="18"/>
                <w:szCs w:val="18"/>
              </w:rPr>
            </w:pPr>
            <w:r w:rsidRPr="00BB4674">
              <w:rPr>
                <w:sz w:val="18"/>
                <w:szCs w:val="18"/>
              </w:rPr>
              <w:t>-4941,1</w:t>
            </w:r>
          </w:p>
        </w:tc>
        <w:tc>
          <w:tcPr>
            <w:tcW w:w="786" w:type="dxa"/>
            <w:tcBorders>
              <w:bottom w:val="single" w:sz="12" w:space="0" w:color="auto"/>
              <w:right w:val="single" w:sz="12" w:space="0" w:color="auto"/>
            </w:tcBorders>
            <w:shd w:val="clear" w:color="auto" w:fill="auto"/>
            <w:noWrap/>
            <w:hideMark/>
          </w:tcPr>
          <w:p w:rsidR="0013345C" w:rsidRPr="00BB4674" w:rsidRDefault="00BB4674" w:rsidP="0013345C">
            <w:pPr>
              <w:jc w:val="center"/>
              <w:rPr>
                <w:sz w:val="18"/>
                <w:szCs w:val="18"/>
              </w:rPr>
            </w:pPr>
            <w:r w:rsidRPr="00BB4674">
              <w:rPr>
                <w:sz w:val="18"/>
                <w:szCs w:val="18"/>
              </w:rPr>
              <w:t>98,0</w:t>
            </w:r>
          </w:p>
        </w:tc>
      </w:tr>
      <w:tr w:rsidR="0013345C" w:rsidRPr="0013345C" w:rsidTr="0013345C">
        <w:trPr>
          <w:trHeight w:val="136"/>
        </w:trPr>
        <w:tc>
          <w:tcPr>
            <w:tcW w:w="2977" w:type="dxa"/>
            <w:tcBorders>
              <w:top w:val="single" w:sz="12" w:space="0" w:color="auto"/>
              <w:left w:val="single" w:sz="12" w:space="0" w:color="auto"/>
              <w:bottom w:val="single" w:sz="12" w:space="0" w:color="auto"/>
            </w:tcBorders>
            <w:shd w:val="clear" w:color="auto" w:fill="auto"/>
            <w:noWrap/>
            <w:hideMark/>
          </w:tcPr>
          <w:p w:rsidR="0013345C" w:rsidRPr="00F37745" w:rsidRDefault="0013345C" w:rsidP="0013345C">
            <w:pPr>
              <w:jc w:val="both"/>
              <w:rPr>
                <w:i/>
                <w:color w:val="000000" w:themeColor="text1"/>
                <w:sz w:val="18"/>
                <w:szCs w:val="18"/>
              </w:rPr>
            </w:pPr>
            <w:r w:rsidRPr="00F37745">
              <w:rPr>
                <w:i/>
                <w:color w:val="000000" w:themeColor="text1"/>
                <w:sz w:val="18"/>
                <w:szCs w:val="18"/>
              </w:rPr>
              <w:t>0900 Здравоохранение</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7832</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7832</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7400,6</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-431,4</w:t>
            </w:r>
          </w:p>
        </w:tc>
        <w:tc>
          <w:tcPr>
            <w:tcW w:w="786" w:type="dxa"/>
            <w:tcBorders>
              <w:top w:val="single" w:sz="12" w:space="0" w:color="auto"/>
              <w:bottom w:val="single" w:sz="12" w:space="0" w:color="auto"/>
            </w:tcBorders>
            <w:shd w:val="clear" w:color="auto" w:fill="auto"/>
            <w:noWrap/>
            <w:hideMark/>
          </w:tcPr>
          <w:p w:rsidR="0013345C" w:rsidRPr="00FE6721" w:rsidRDefault="00FE6721" w:rsidP="0013345C">
            <w:pPr>
              <w:jc w:val="center"/>
              <w:rPr>
                <w:sz w:val="18"/>
                <w:szCs w:val="18"/>
              </w:rPr>
            </w:pPr>
            <w:r w:rsidRPr="00FE6721">
              <w:rPr>
                <w:sz w:val="18"/>
                <w:szCs w:val="18"/>
              </w:rPr>
              <w:t>5,5</w:t>
            </w:r>
          </w:p>
        </w:tc>
        <w:tc>
          <w:tcPr>
            <w:tcW w:w="1051" w:type="dxa"/>
            <w:tcBorders>
              <w:top w:val="single" w:sz="12" w:space="0" w:color="auto"/>
              <w:bottom w:val="single" w:sz="12" w:space="0" w:color="auto"/>
            </w:tcBorders>
            <w:shd w:val="clear" w:color="auto" w:fill="auto"/>
            <w:noWrap/>
            <w:hideMark/>
          </w:tcPr>
          <w:p w:rsidR="0013345C" w:rsidRPr="00FE6721" w:rsidRDefault="0013345C" w:rsidP="0013345C">
            <w:pPr>
              <w:jc w:val="center"/>
              <w:rPr>
                <w:sz w:val="18"/>
                <w:szCs w:val="18"/>
              </w:rPr>
            </w:pPr>
            <w:r w:rsidRPr="00FE6721">
              <w:rPr>
                <w:sz w:val="18"/>
                <w:szCs w:val="18"/>
              </w:rPr>
              <w:t>-431,4</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FE6721" w:rsidRDefault="00FE6721" w:rsidP="0013345C">
            <w:pPr>
              <w:jc w:val="center"/>
              <w:rPr>
                <w:sz w:val="18"/>
                <w:szCs w:val="18"/>
              </w:rPr>
            </w:pPr>
            <w:r w:rsidRPr="00FE6721">
              <w:rPr>
                <w:sz w:val="18"/>
                <w:szCs w:val="18"/>
              </w:rPr>
              <w:t>5,5</w:t>
            </w:r>
          </w:p>
        </w:tc>
      </w:tr>
      <w:tr w:rsidR="0013345C" w:rsidRPr="0013345C" w:rsidTr="0013345C">
        <w:trPr>
          <w:trHeight w:val="315"/>
        </w:trPr>
        <w:tc>
          <w:tcPr>
            <w:tcW w:w="2977" w:type="dxa"/>
            <w:tcBorders>
              <w:top w:val="single" w:sz="12" w:space="0" w:color="auto"/>
              <w:left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0901 Стационарная медицинская помощь</w:t>
            </w:r>
          </w:p>
        </w:tc>
        <w:tc>
          <w:tcPr>
            <w:tcW w:w="1565"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6431,4</w:t>
            </w:r>
          </w:p>
        </w:tc>
        <w:tc>
          <w:tcPr>
            <w:tcW w:w="1286"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6431,4</w:t>
            </w:r>
          </w:p>
        </w:tc>
        <w:tc>
          <w:tcPr>
            <w:tcW w:w="1132"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6000</w:t>
            </w:r>
          </w:p>
        </w:tc>
        <w:tc>
          <w:tcPr>
            <w:tcW w:w="984"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-431,4</w:t>
            </w:r>
          </w:p>
        </w:tc>
        <w:tc>
          <w:tcPr>
            <w:tcW w:w="786" w:type="dxa"/>
            <w:tcBorders>
              <w:top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6,7</w:t>
            </w:r>
          </w:p>
        </w:tc>
        <w:tc>
          <w:tcPr>
            <w:tcW w:w="1051" w:type="dxa"/>
            <w:tcBorders>
              <w:top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-431,4</w:t>
            </w:r>
          </w:p>
        </w:tc>
        <w:tc>
          <w:tcPr>
            <w:tcW w:w="786" w:type="dxa"/>
            <w:tcBorders>
              <w:top w:val="single" w:sz="12" w:space="0" w:color="auto"/>
              <w:right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6,7</w:t>
            </w:r>
          </w:p>
        </w:tc>
      </w:tr>
      <w:tr w:rsidR="0013345C" w:rsidRPr="0013345C" w:rsidTr="0013345C">
        <w:trPr>
          <w:trHeight w:val="130"/>
        </w:trPr>
        <w:tc>
          <w:tcPr>
            <w:tcW w:w="2977" w:type="dxa"/>
            <w:tcBorders>
              <w:left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0902 Амбулаторная помощь</w:t>
            </w:r>
          </w:p>
        </w:tc>
        <w:tc>
          <w:tcPr>
            <w:tcW w:w="1565"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0,6</w:t>
            </w:r>
          </w:p>
        </w:tc>
        <w:tc>
          <w:tcPr>
            <w:tcW w:w="1286"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0,6</w:t>
            </w:r>
          </w:p>
        </w:tc>
        <w:tc>
          <w:tcPr>
            <w:tcW w:w="1132"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0,6</w:t>
            </w:r>
          </w:p>
        </w:tc>
        <w:tc>
          <w:tcPr>
            <w:tcW w:w="984"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0</w:t>
            </w:r>
          </w:p>
        </w:tc>
        <w:tc>
          <w:tcPr>
            <w:tcW w:w="786" w:type="dxa"/>
            <w:shd w:val="clear" w:color="auto" w:fill="auto"/>
            <w:noWrap/>
            <w:hideMark/>
          </w:tcPr>
          <w:p w:rsidR="0013345C" w:rsidRPr="00F37745" w:rsidRDefault="00F37745" w:rsidP="0013345C">
            <w:pPr>
              <w:jc w:val="center"/>
              <w:rPr>
                <w:sz w:val="18"/>
                <w:szCs w:val="18"/>
              </w:rPr>
            </w:pPr>
            <w:r>
              <w:rPr>
                <w:sz w:val="18"/>
                <w:szCs w:val="18"/>
              </w:rPr>
              <w:t>0,0</w:t>
            </w:r>
          </w:p>
        </w:tc>
        <w:tc>
          <w:tcPr>
            <w:tcW w:w="1051" w:type="dxa"/>
            <w:shd w:val="clear" w:color="auto" w:fill="auto"/>
            <w:noWrap/>
            <w:hideMark/>
          </w:tcPr>
          <w:p w:rsidR="0013345C" w:rsidRPr="00F37745" w:rsidRDefault="0013345C" w:rsidP="0013345C">
            <w:pPr>
              <w:jc w:val="center"/>
              <w:rPr>
                <w:sz w:val="18"/>
                <w:szCs w:val="18"/>
              </w:rPr>
            </w:pPr>
            <w:r w:rsidRPr="00F37745">
              <w:rPr>
                <w:sz w:val="18"/>
                <w:szCs w:val="18"/>
              </w:rPr>
              <w:t>0,0</w:t>
            </w:r>
          </w:p>
        </w:tc>
        <w:tc>
          <w:tcPr>
            <w:tcW w:w="786" w:type="dxa"/>
            <w:tcBorders>
              <w:right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0,0</w:t>
            </w:r>
          </w:p>
        </w:tc>
      </w:tr>
      <w:tr w:rsidR="0013345C" w:rsidRPr="0013345C" w:rsidTr="0013345C">
        <w:trPr>
          <w:trHeight w:val="218"/>
        </w:trPr>
        <w:tc>
          <w:tcPr>
            <w:tcW w:w="2977" w:type="dxa"/>
            <w:tcBorders>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0904 Скорая медицинская помощь</w:t>
            </w:r>
          </w:p>
        </w:tc>
        <w:tc>
          <w:tcPr>
            <w:tcW w:w="1565"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1400</w:t>
            </w:r>
          </w:p>
        </w:tc>
        <w:tc>
          <w:tcPr>
            <w:tcW w:w="1286"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1400</w:t>
            </w:r>
          </w:p>
        </w:tc>
        <w:tc>
          <w:tcPr>
            <w:tcW w:w="1132"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1400</w:t>
            </w:r>
          </w:p>
        </w:tc>
        <w:tc>
          <w:tcPr>
            <w:tcW w:w="984"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0</w:t>
            </w:r>
          </w:p>
        </w:tc>
        <w:tc>
          <w:tcPr>
            <w:tcW w:w="786" w:type="dxa"/>
            <w:tcBorders>
              <w:bottom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0,0</w:t>
            </w:r>
          </w:p>
        </w:tc>
        <w:tc>
          <w:tcPr>
            <w:tcW w:w="1051" w:type="dxa"/>
            <w:tcBorders>
              <w:bottom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0,0</w:t>
            </w:r>
          </w:p>
        </w:tc>
        <w:tc>
          <w:tcPr>
            <w:tcW w:w="786" w:type="dxa"/>
            <w:tcBorders>
              <w:bottom w:val="single" w:sz="12" w:space="0" w:color="auto"/>
              <w:right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0,0</w:t>
            </w:r>
          </w:p>
        </w:tc>
      </w:tr>
      <w:tr w:rsidR="0013345C" w:rsidRPr="0013345C" w:rsidTr="0013345C">
        <w:trPr>
          <w:trHeight w:val="135"/>
        </w:trPr>
        <w:tc>
          <w:tcPr>
            <w:tcW w:w="2977" w:type="dxa"/>
            <w:tcBorders>
              <w:top w:val="single" w:sz="12" w:space="0" w:color="auto"/>
              <w:left w:val="single" w:sz="12" w:space="0" w:color="auto"/>
              <w:bottom w:val="single" w:sz="12" w:space="0" w:color="auto"/>
            </w:tcBorders>
            <w:shd w:val="clear" w:color="auto" w:fill="auto"/>
            <w:noWrap/>
            <w:hideMark/>
          </w:tcPr>
          <w:p w:rsidR="0013345C" w:rsidRPr="00F37745" w:rsidRDefault="0013345C" w:rsidP="0013345C">
            <w:pPr>
              <w:jc w:val="both"/>
              <w:rPr>
                <w:i/>
                <w:color w:val="000000" w:themeColor="text1"/>
                <w:sz w:val="18"/>
                <w:szCs w:val="18"/>
              </w:rPr>
            </w:pPr>
            <w:r w:rsidRPr="00F37745">
              <w:rPr>
                <w:i/>
                <w:color w:val="000000" w:themeColor="text1"/>
                <w:sz w:val="18"/>
                <w:szCs w:val="18"/>
              </w:rPr>
              <w:t>1000 Социальная политика</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687609,4</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686423,4</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475618</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-211991,4</w:t>
            </w:r>
          </w:p>
        </w:tc>
        <w:tc>
          <w:tcPr>
            <w:tcW w:w="786" w:type="dxa"/>
            <w:tcBorders>
              <w:top w:val="single" w:sz="12" w:space="0" w:color="auto"/>
              <w:bottom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30,8</w:t>
            </w:r>
          </w:p>
        </w:tc>
        <w:tc>
          <w:tcPr>
            <w:tcW w:w="1051" w:type="dxa"/>
            <w:tcBorders>
              <w:top w:val="single" w:sz="12" w:space="0" w:color="auto"/>
              <w:bottom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-210805,4</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30,7</w:t>
            </w:r>
          </w:p>
        </w:tc>
      </w:tr>
      <w:tr w:rsidR="0013345C" w:rsidRPr="0013345C" w:rsidTr="0013345C">
        <w:trPr>
          <w:trHeight w:val="315"/>
        </w:trPr>
        <w:tc>
          <w:tcPr>
            <w:tcW w:w="2977" w:type="dxa"/>
            <w:tcBorders>
              <w:top w:val="single" w:sz="12" w:space="0" w:color="auto"/>
              <w:left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1002 Социальное обслуживание населения</w:t>
            </w:r>
          </w:p>
        </w:tc>
        <w:tc>
          <w:tcPr>
            <w:tcW w:w="1565"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180729,9</w:t>
            </w:r>
          </w:p>
        </w:tc>
        <w:tc>
          <w:tcPr>
            <w:tcW w:w="1286"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179675,9</w:t>
            </w:r>
          </w:p>
        </w:tc>
        <w:tc>
          <w:tcPr>
            <w:tcW w:w="1132"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104841,9</w:t>
            </w:r>
          </w:p>
        </w:tc>
        <w:tc>
          <w:tcPr>
            <w:tcW w:w="984" w:type="dxa"/>
            <w:tcBorders>
              <w:top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-75888</w:t>
            </w:r>
          </w:p>
        </w:tc>
        <w:tc>
          <w:tcPr>
            <w:tcW w:w="786" w:type="dxa"/>
            <w:tcBorders>
              <w:top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42,0</w:t>
            </w:r>
          </w:p>
        </w:tc>
        <w:tc>
          <w:tcPr>
            <w:tcW w:w="1051" w:type="dxa"/>
            <w:tcBorders>
              <w:top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-74834,0</w:t>
            </w:r>
          </w:p>
        </w:tc>
        <w:tc>
          <w:tcPr>
            <w:tcW w:w="786" w:type="dxa"/>
            <w:tcBorders>
              <w:top w:val="single" w:sz="12" w:space="0" w:color="auto"/>
              <w:right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41,7</w:t>
            </w:r>
          </w:p>
        </w:tc>
      </w:tr>
      <w:tr w:rsidR="0013345C" w:rsidRPr="0013345C" w:rsidTr="0013345C">
        <w:trPr>
          <w:trHeight w:val="315"/>
        </w:trPr>
        <w:tc>
          <w:tcPr>
            <w:tcW w:w="2977" w:type="dxa"/>
            <w:tcBorders>
              <w:left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1003 Социальное обеспечение населения</w:t>
            </w:r>
          </w:p>
        </w:tc>
        <w:tc>
          <w:tcPr>
            <w:tcW w:w="1565"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167951,2</w:t>
            </w:r>
          </w:p>
        </w:tc>
        <w:tc>
          <w:tcPr>
            <w:tcW w:w="1286"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167819,2</w:t>
            </w:r>
          </w:p>
        </w:tc>
        <w:tc>
          <w:tcPr>
            <w:tcW w:w="1132"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162227,4</w:t>
            </w:r>
          </w:p>
        </w:tc>
        <w:tc>
          <w:tcPr>
            <w:tcW w:w="984" w:type="dxa"/>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-5723,8</w:t>
            </w:r>
          </w:p>
        </w:tc>
        <w:tc>
          <w:tcPr>
            <w:tcW w:w="786" w:type="dxa"/>
            <w:shd w:val="clear" w:color="auto" w:fill="auto"/>
            <w:noWrap/>
            <w:hideMark/>
          </w:tcPr>
          <w:p w:rsidR="0013345C" w:rsidRPr="00F37745" w:rsidRDefault="00F37745" w:rsidP="0013345C">
            <w:pPr>
              <w:jc w:val="center"/>
              <w:rPr>
                <w:sz w:val="18"/>
                <w:szCs w:val="18"/>
              </w:rPr>
            </w:pPr>
            <w:r w:rsidRPr="00F37745">
              <w:rPr>
                <w:sz w:val="18"/>
                <w:szCs w:val="18"/>
              </w:rPr>
              <w:t>3,4</w:t>
            </w:r>
          </w:p>
        </w:tc>
        <w:tc>
          <w:tcPr>
            <w:tcW w:w="1051" w:type="dxa"/>
            <w:shd w:val="clear" w:color="auto" w:fill="auto"/>
            <w:noWrap/>
            <w:hideMark/>
          </w:tcPr>
          <w:p w:rsidR="0013345C" w:rsidRPr="00F37745" w:rsidRDefault="0013345C" w:rsidP="0013345C">
            <w:pPr>
              <w:jc w:val="center"/>
              <w:rPr>
                <w:sz w:val="18"/>
                <w:szCs w:val="18"/>
              </w:rPr>
            </w:pPr>
            <w:r w:rsidRPr="00F37745">
              <w:rPr>
                <w:sz w:val="18"/>
                <w:szCs w:val="18"/>
              </w:rPr>
              <w:t>-5591,8</w:t>
            </w:r>
          </w:p>
        </w:tc>
        <w:tc>
          <w:tcPr>
            <w:tcW w:w="786" w:type="dxa"/>
            <w:tcBorders>
              <w:right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3,3</w:t>
            </w:r>
          </w:p>
        </w:tc>
      </w:tr>
      <w:tr w:rsidR="0013345C" w:rsidRPr="0013345C" w:rsidTr="0013345C">
        <w:trPr>
          <w:trHeight w:val="191"/>
        </w:trPr>
        <w:tc>
          <w:tcPr>
            <w:tcW w:w="2977" w:type="dxa"/>
            <w:tcBorders>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1004 Охрана семьи и детства</w:t>
            </w:r>
          </w:p>
        </w:tc>
        <w:tc>
          <w:tcPr>
            <w:tcW w:w="1565"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338928,3</w:t>
            </w:r>
          </w:p>
        </w:tc>
        <w:tc>
          <w:tcPr>
            <w:tcW w:w="1286"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338928,3</w:t>
            </w:r>
          </w:p>
        </w:tc>
        <w:tc>
          <w:tcPr>
            <w:tcW w:w="1132"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208548,7</w:t>
            </w:r>
          </w:p>
        </w:tc>
        <w:tc>
          <w:tcPr>
            <w:tcW w:w="984" w:type="dxa"/>
            <w:tcBorders>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-130379,6</w:t>
            </w:r>
          </w:p>
        </w:tc>
        <w:tc>
          <w:tcPr>
            <w:tcW w:w="786" w:type="dxa"/>
            <w:tcBorders>
              <w:bottom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38,5</w:t>
            </w:r>
          </w:p>
        </w:tc>
        <w:tc>
          <w:tcPr>
            <w:tcW w:w="1051" w:type="dxa"/>
            <w:tcBorders>
              <w:bottom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-130379,6</w:t>
            </w:r>
          </w:p>
        </w:tc>
        <w:tc>
          <w:tcPr>
            <w:tcW w:w="786" w:type="dxa"/>
            <w:tcBorders>
              <w:bottom w:val="single" w:sz="12" w:space="0" w:color="auto"/>
              <w:right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38,5</w:t>
            </w:r>
          </w:p>
        </w:tc>
      </w:tr>
      <w:tr w:rsidR="0013345C" w:rsidRPr="0013345C" w:rsidTr="0013345C">
        <w:trPr>
          <w:trHeight w:val="110"/>
        </w:trPr>
        <w:tc>
          <w:tcPr>
            <w:tcW w:w="2977" w:type="dxa"/>
            <w:tcBorders>
              <w:top w:val="single" w:sz="12" w:space="0" w:color="auto"/>
              <w:left w:val="single" w:sz="12" w:space="0" w:color="auto"/>
              <w:bottom w:val="single" w:sz="12" w:space="0" w:color="auto"/>
            </w:tcBorders>
            <w:shd w:val="clear" w:color="auto" w:fill="auto"/>
            <w:noWrap/>
            <w:hideMark/>
          </w:tcPr>
          <w:p w:rsidR="0013345C" w:rsidRPr="00F37745" w:rsidRDefault="0013345C" w:rsidP="0013345C">
            <w:pPr>
              <w:jc w:val="both"/>
              <w:rPr>
                <w:i/>
                <w:color w:val="000000" w:themeColor="text1"/>
                <w:sz w:val="18"/>
                <w:szCs w:val="18"/>
              </w:rPr>
            </w:pPr>
            <w:r w:rsidRPr="00F37745">
              <w:rPr>
                <w:i/>
                <w:color w:val="000000" w:themeColor="text1"/>
                <w:sz w:val="18"/>
                <w:szCs w:val="18"/>
              </w:rPr>
              <w:t>1100 Физическая культура и спорт</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137919,2</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137919,2</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137709,3</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-209,9</w:t>
            </w:r>
          </w:p>
        </w:tc>
        <w:tc>
          <w:tcPr>
            <w:tcW w:w="786" w:type="dxa"/>
            <w:tcBorders>
              <w:top w:val="single" w:sz="12" w:space="0" w:color="auto"/>
              <w:bottom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0,2</w:t>
            </w:r>
          </w:p>
        </w:tc>
        <w:tc>
          <w:tcPr>
            <w:tcW w:w="1051" w:type="dxa"/>
            <w:tcBorders>
              <w:top w:val="single" w:sz="12" w:space="0" w:color="auto"/>
              <w:bottom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-209,9</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0,2</w:t>
            </w:r>
          </w:p>
        </w:tc>
      </w:tr>
      <w:tr w:rsidR="0013345C" w:rsidRPr="0013345C" w:rsidTr="0013345C">
        <w:trPr>
          <w:trHeight w:val="212"/>
        </w:trPr>
        <w:tc>
          <w:tcPr>
            <w:tcW w:w="2977" w:type="dxa"/>
            <w:tcBorders>
              <w:top w:val="single" w:sz="12" w:space="0" w:color="auto"/>
              <w:left w:val="single" w:sz="12" w:space="0" w:color="auto"/>
              <w:bottom w:val="single" w:sz="12" w:space="0" w:color="auto"/>
            </w:tcBorders>
            <w:shd w:val="clear" w:color="auto" w:fill="auto"/>
            <w:noWrap/>
            <w:hideMark/>
          </w:tcPr>
          <w:p w:rsidR="0013345C" w:rsidRPr="0013345C" w:rsidRDefault="0013345C" w:rsidP="0013345C">
            <w:pPr>
              <w:jc w:val="both"/>
              <w:rPr>
                <w:color w:val="000000" w:themeColor="text1"/>
                <w:sz w:val="18"/>
                <w:szCs w:val="18"/>
              </w:rPr>
            </w:pPr>
            <w:r w:rsidRPr="0013345C">
              <w:rPr>
                <w:color w:val="000000" w:themeColor="text1"/>
                <w:sz w:val="18"/>
                <w:szCs w:val="18"/>
              </w:rPr>
              <w:t>1102 Массовый спорт</w:t>
            </w:r>
          </w:p>
        </w:tc>
        <w:tc>
          <w:tcPr>
            <w:tcW w:w="1565"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137919,2</w:t>
            </w:r>
          </w:p>
        </w:tc>
        <w:tc>
          <w:tcPr>
            <w:tcW w:w="1286"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137919,2</w:t>
            </w:r>
          </w:p>
        </w:tc>
        <w:tc>
          <w:tcPr>
            <w:tcW w:w="1132"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137709,3</w:t>
            </w:r>
          </w:p>
        </w:tc>
        <w:tc>
          <w:tcPr>
            <w:tcW w:w="984" w:type="dxa"/>
            <w:tcBorders>
              <w:top w:val="single" w:sz="12" w:space="0" w:color="auto"/>
              <w:bottom w:val="single" w:sz="12" w:space="0" w:color="auto"/>
            </w:tcBorders>
            <w:shd w:val="clear" w:color="auto" w:fill="auto"/>
            <w:noWrap/>
            <w:hideMark/>
          </w:tcPr>
          <w:p w:rsidR="0013345C" w:rsidRPr="0013345C" w:rsidRDefault="0013345C" w:rsidP="0013345C">
            <w:pPr>
              <w:jc w:val="center"/>
              <w:rPr>
                <w:color w:val="000000" w:themeColor="text1"/>
                <w:sz w:val="18"/>
                <w:szCs w:val="18"/>
              </w:rPr>
            </w:pPr>
            <w:r w:rsidRPr="0013345C">
              <w:rPr>
                <w:color w:val="000000" w:themeColor="text1"/>
                <w:sz w:val="18"/>
                <w:szCs w:val="18"/>
              </w:rPr>
              <w:t>-209,9</w:t>
            </w:r>
          </w:p>
        </w:tc>
        <w:tc>
          <w:tcPr>
            <w:tcW w:w="786" w:type="dxa"/>
            <w:tcBorders>
              <w:top w:val="single" w:sz="12" w:space="0" w:color="auto"/>
              <w:bottom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0,2</w:t>
            </w:r>
          </w:p>
        </w:tc>
        <w:tc>
          <w:tcPr>
            <w:tcW w:w="1051" w:type="dxa"/>
            <w:tcBorders>
              <w:top w:val="single" w:sz="12" w:space="0" w:color="auto"/>
              <w:bottom w:val="single" w:sz="12" w:space="0" w:color="auto"/>
            </w:tcBorders>
            <w:shd w:val="clear" w:color="auto" w:fill="auto"/>
            <w:noWrap/>
            <w:hideMark/>
          </w:tcPr>
          <w:p w:rsidR="0013345C" w:rsidRPr="00F37745" w:rsidRDefault="0013345C" w:rsidP="0013345C">
            <w:pPr>
              <w:jc w:val="center"/>
              <w:rPr>
                <w:sz w:val="18"/>
                <w:szCs w:val="18"/>
              </w:rPr>
            </w:pPr>
            <w:r w:rsidRPr="00F37745">
              <w:rPr>
                <w:sz w:val="18"/>
                <w:szCs w:val="18"/>
              </w:rPr>
              <w:t>-209,9</w:t>
            </w:r>
          </w:p>
        </w:tc>
        <w:tc>
          <w:tcPr>
            <w:tcW w:w="786" w:type="dxa"/>
            <w:tcBorders>
              <w:top w:val="single" w:sz="12" w:space="0" w:color="auto"/>
              <w:bottom w:val="single" w:sz="12" w:space="0" w:color="auto"/>
              <w:right w:val="single" w:sz="12" w:space="0" w:color="auto"/>
            </w:tcBorders>
            <w:shd w:val="clear" w:color="auto" w:fill="auto"/>
            <w:noWrap/>
            <w:hideMark/>
          </w:tcPr>
          <w:p w:rsidR="0013345C" w:rsidRPr="00F37745" w:rsidRDefault="00F37745" w:rsidP="0013345C">
            <w:pPr>
              <w:jc w:val="center"/>
              <w:rPr>
                <w:sz w:val="18"/>
                <w:szCs w:val="18"/>
              </w:rPr>
            </w:pPr>
            <w:r w:rsidRPr="00F37745">
              <w:rPr>
                <w:sz w:val="18"/>
                <w:szCs w:val="18"/>
              </w:rPr>
              <w:t>0,2</w:t>
            </w:r>
          </w:p>
        </w:tc>
      </w:tr>
    </w:tbl>
    <w:p w:rsidR="0013345C" w:rsidRPr="00AD1E0A" w:rsidRDefault="0013345C" w:rsidP="0013345C">
      <w:pPr>
        <w:spacing w:line="20" w:lineRule="atLeast"/>
        <w:ind w:firstLine="680"/>
        <w:jc w:val="both"/>
        <w:rPr>
          <w:color w:val="000000" w:themeColor="text1"/>
        </w:rPr>
      </w:pPr>
      <w:r w:rsidRPr="00AD1E0A">
        <w:rPr>
          <w:color w:val="000000" w:themeColor="text1"/>
        </w:rPr>
        <w:t xml:space="preserve">В 2015 году комитетом исполнены расходы на 2575978,7 тыс. руб., или на 83,4% к назначениям, утвержденным бюджетной росписью, и 84,3% к доведенным лимитам бюджетных обязательств. </w:t>
      </w:r>
    </w:p>
    <w:p w:rsidR="0013345C" w:rsidRPr="00AD1E0A" w:rsidRDefault="0013345C" w:rsidP="0013345C">
      <w:pPr>
        <w:spacing w:line="20" w:lineRule="atLeast"/>
        <w:ind w:firstLine="680"/>
        <w:jc w:val="both"/>
        <w:rPr>
          <w:color w:val="000000" w:themeColor="text1"/>
        </w:rPr>
      </w:pPr>
      <w:r w:rsidRPr="00AD1E0A">
        <w:rPr>
          <w:color w:val="000000" w:themeColor="text1"/>
        </w:rPr>
        <w:t>Неисполнение бюджетных ассигнований на 514233,0 тыс. руб. (на 16,6% от утвержденного бюджетной росписью объема ассигнований) в основном объясняется нарушением контрагентами сроков выполнения работ; поздним представлением документов муниципальными образованиями на субсидирование и подрядными организациями за выполненные работы; длительностью проведения конкурсных процедур и несостоя</w:t>
      </w:r>
      <w:r w:rsidR="00AD1E0A" w:rsidRPr="00AD1E0A">
        <w:rPr>
          <w:color w:val="000000" w:themeColor="text1"/>
        </w:rPr>
        <w:t>вшимися аукционами; отсутствием</w:t>
      </w:r>
      <w:r w:rsidRPr="00AD1E0A">
        <w:rPr>
          <w:color w:val="000000" w:themeColor="text1"/>
        </w:rPr>
        <w:t xml:space="preserve"> финансирования кассовых заявок на оплату в декабре 2015 года.</w:t>
      </w:r>
    </w:p>
    <w:p w:rsidR="00FC4167" w:rsidRPr="00AD1E0A" w:rsidRDefault="00FC4167" w:rsidP="00FC4167">
      <w:pPr>
        <w:spacing w:line="20" w:lineRule="atLeast"/>
        <w:ind w:firstLine="680"/>
        <w:jc w:val="both"/>
        <w:rPr>
          <w:color w:val="000000" w:themeColor="text1"/>
        </w:rPr>
      </w:pPr>
      <w:r w:rsidRPr="00AD1E0A">
        <w:rPr>
          <w:color w:val="000000" w:themeColor="text1"/>
        </w:rPr>
        <w:t>В 2015 году по отношению к 2014 году наблюдается снижение расходов на 65638,0 тыс. руб., или на 2,5%, в основном за счет сокращения расходов на:</w:t>
      </w:r>
    </w:p>
    <w:p w:rsidR="00FC4167" w:rsidRPr="00AD1E0A" w:rsidRDefault="00FC4167" w:rsidP="00FC4167">
      <w:pPr>
        <w:spacing w:line="20" w:lineRule="atLeast"/>
        <w:ind w:firstLine="680"/>
        <w:jc w:val="both"/>
        <w:rPr>
          <w:color w:val="000000" w:themeColor="text1"/>
        </w:rPr>
      </w:pPr>
      <w:r w:rsidRPr="00AD1E0A">
        <w:rPr>
          <w:color w:val="000000" w:themeColor="text1"/>
        </w:rPr>
        <w:t xml:space="preserve">- модернизацию региональных систем дошкольного образования (на 471979,8 тыс. руб., или 42,0%), что объясняется завершением мероприятий по исполнению поручения, сформулированного в Указе Президента РФ от 07.05.2012 №599 «О мерах по реализации государственной политики в области образования и науки»; </w:t>
      </w:r>
    </w:p>
    <w:p w:rsidR="00FC4167" w:rsidRPr="00AD1E0A" w:rsidRDefault="00FC4167" w:rsidP="00FC4167">
      <w:pPr>
        <w:spacing w:line="20" w:lineRule="atLeast"/>
        <w:ind w:firstLine="680"/>
        <w:jc w:val="both"/>
        <w:rPr>
          <w:color w:val="000000" w:themeColor="text1"/>
        </w:rPr>
      </w:pPr>
      <w:r w:rsidRPr="00AD1E0A">
        <w:rPr>
          <w:color w:val="000000" w:themeColor="text1"/>
        </w:rPr>
        <w:t>- софинансирование капитальных вложений в объекты муниципальной собственности – коммунальная инфраструктура (на 146767,9 тыс. руб., или на</w:t>
      </w:r>
      <w:r w:rsidR="00FF28FF">
        <w:rPr>
          <w:color w:val="000000" w:themeColor="text1"/>
        </w:rPr>
        <w:t xml:space="preserve"> </w:t>
      </w:r>
      <w:r w:rsidRPr="00AD1E0A">
        <w:rPr>
          <w:color w:val="000000" w:themeColor="text1"/>
        </w:rPr>
        <w:t>14,3%), что связано с перераспределением полномочий межд</w:t>
      </w:r>
      <w:r w:rsidR="00FF28FF">
        <w:rPr>
          <w:color w:val="000000" w:themeColor="text1"/>
        </w:rPr>
        <w:t xml:space="preserve">у Облстроем и комитетом жилищно - </w:t>
      </w:r>
      <w:r w:rsidRPr="00AD1E0A">
        <w:rPr>
          <w:color w:val="000000" w:themeColor="text1"/>
        </w:rPr>
        <w:t>коммунального хозяйства Волгоградской области.</w:t>
      </w:r>
    </w:p>
    <w:p w:rsidR="003E31FE" w:rsidRPr="00A80ADE" w:rsidRDefault="00FC4167" w:rsidP="003E31FE">
      <w:pPr>
        <w:spacing w:line="20" w:lineRule="atLeast"/>
        <w:ind w:firstLine="680"/>
        <w:jc w:val="both"/>
      </w:pPr>
      <w:r w:rsidRPr="003E31FE">
        <w:rPr>
          <w:color w:val="000000" w:themeColor="text1"/>
        </w:rPr>
        <w:t xml:space="preserve">Наибольший рост расходов отчетного </w:t>
      </w:r>
      <w:r w:rsidRPr="00A80ADE">
        <w:t>года</w:t>
      </w:r>
      <w:r w:rsidR="003E31FE" w:rsidRPr="00A80ADE">
        <w:t xml:space="preserve"> </w:t>
      </w:r>
      <w:r w:rsidR="00694F2C" w:rsidRPr="00A80ADE">
        <w:t xml:space="preserve">относительно 2014 года </w:t>
      </w:r>
      <w:r w:rsidR="00B21274" w:rsidRPr="00A80ADE">
        <w:t xml:space="preserve">отмечен </w:t>
      </w:r>
      <w:r w:rsidR="003E31FE" w:rsidRPr="00A80ADE">
        <w:t>по подразделам:</w:t>
      </w:r>
      <w:r w:rsidR="00694F2C" w:rsidRPr="00A80ADE">
        <w:t xml:space="preserve"> 0311 «Миграционная политика» - </w:t>
      </w:r>
      <w:r w:rsidR="00746F89" w:rsidRPr="00A80ADE">
        <w:t xml:space="preserve">на </w:t>
      </w:r>
      <w:r w:rsidR="00694F2C" w:rsidRPr="00A80ADE">
        <w:t>164710,3 тыс. руб.;</w:t>
      </w:r>
      <w:r w:rsidR="003E31FE" w:rsidRPr="00A80ADE">
        <w:t xml:space="preserve"> </w:t>
      </w:r>
      <w:r w:rsidR="00694F2C" w:rsidRPr="00A80ADE">
        <w:t xml:space="preserve">0412 «Другие вопросы в области национальной экономики» - на 121397,0 тыс. руб.; </w:t>
      </w:r>
      <w:r w:rsidR="003E31FE" w:rsidRPr="00A80ADE">
        <w:t xml:space="preserve">1002 «Социальное обслуживание населения» </w:t>
      </w:r>
      <w:r w:rsidR="00694F2C" w:rsidRPr="00A80ADE">
        <w:t xml:space="preserve">- </w:t>
      </w:r>
      <w:r w:rsidR="00746F89" w:rsidRPr="00A80ADE">
        <w:t xml:space="preserve">на </w:t>
      </w:r>
      <w:r w:rsidR="00694F2C" w:rsidRPr="00A80ADE">
        <w:t>103733,1 тыс. руб.;</w:t>
      </w:r>
      <w:r w:rsidR="003E31FE" w:rsidRPr="00A80ADE">
        <w:t xml:space="preserve"> 1003 «Социальное обеспечение населения» </w:t>
      </w:r>
      <w:r w:rsidR="00694F2C" w:rsidRPr="00A80ADE">
        <w:t xml:space="preserve">- </w:t>
      </w:r>
      <w:r w:rsidR="00746F89" w:rsidRPr="00A80ADE">
        <w:t xml:space="preserve">на </w:t>
      </w:r>
      <w:r w:rsidR="003E31FE" w:rsidRPr="00A80ADE">
        <w:t>63711,8 тыс. руб.</w:t>
      </w:r>
      <w:r w:rsidR="00694F2C" w:rsidRPr="00A80ADE">
        <w:t>;</w:t>
      </w:r>
      <w:r w:rsidR="003E31FE" w:rsidRPr="00A80ADE">
        <w:t xml:space="preserve"> 1102 «Массовый спорт» </w:t>
      </w:r>
      <w:r w:rsidR="00694F2C" w:rsidRPr="00A80ADE">
        <w:t xml:space="preserve">- </w:t>
      </w:r>
      <w:r w:rsidR="00746F89" w:rsidRPr="00A80ADE">
        <w:t xml:space="preserve">на </w:t>
      </w:r>
      <w:r w:rsidR="00B21274" w:rsidRPr="00A80ADE">
        <w:t xml:space="preserve">129062,6 тыс. рублей. </w:t>
      </w:r>
    </w:p>
    <w:p w:rsidR="00FC4167" w:rsidRPr="00A80ADE" w:rsidRDefault="00105695" w:rsidP="00B21274">
      <w:pPr>
        <w:spacing w:line="20" w:lineRule="atLeast"/>
        <w:ind w:firstLine="680"/>
        <w:jc w:val="both"/>
      </w:pPr>
      <w:r w:rsidRPr="00A80ADE">
        <w:t xml:space="preserve">Расходы областного бюджета на оплату </w:t>
      </w:r>
      <w:r w:rsidR="00C37930" w:rsidRPr="00A80ADE">
        <w:t>неустойки, судебных расходов (</w:t>
      </w:r>
      <w:r w:rsidR="000078A6" w:rsidRPr="00A80ADE">
        <w:t>судебной экспертизы</w:t>
      </w:r>
      <w:r w:rsidR="00C37930" w:rsidRPr="00A80ADE">
        <w:t>, услуг представителя,</w:t>
      </w:r>
      <w:r w:rsidR="000078A6" w:rsidRPr="00A80ADE">
        <w:t xml:space="preserve"> </w:t>
      </w:r>
      <w:r w:rsidRPr="00A80ADE">
        <w:t>госпошлины</w:t>
      </w:r>
      <w:r w:rsidR="004A09D2" w:rsidRPr="00A80ADE">
        <w:t>)</w:t>
      </w:r>
      <w:r w:rsidRPr="00A80ADE">
        <w:t xml:space="preserve">, составившие 1480,4 тыс. руб., </w:t>
      </w:r>
      <w:r w:rsidR="004A09D2" w:rsidRPr="00A80ADE">
        <w:t>классифицированы как неэффективные расходы (ст. 34 БК РФ)</w:t>
      </w:r>
      <w:r w:rsidR="00A82250" w:rsidRPr="00A80ADE">
        <w:t>, т</w:t>
      </w:r>
      <w:r w:rsidR="004A09D2" w:rsidRPr="00A80ADE">
        <w:t xml:space="preserve">ак как </w:t>
      </w:r>
      <w:r w:rsidRPr="00A80ADE">
        <w:t xml:space="preserve">по решению судов являются следствием: </w:t>
      </w:r>
      <w:r w:rsidR="00B9374F" w:rsidRPr="00A80ADE">
        <w:t xml:space="preserve">нарушения </w:t>
      </w:r>
      <w:r w:rsidR="00A82250" w:rsidRPr="00A80ADE">
        <w:t>Облстроем</w:t>
      </w:r>
      <w:r w:rsidR="00B9374F" w:rsidRPr="00A80ADE">
        <w:t xml:space="preserve"> </w:t>
      </w:r>
      <w:r w:rsidRPr="00A80ADE">
        <w:t xml:space="preserve">обязательств по </w:t>
      </w:r>
      <w:r w:rsidR="00B9374F" w:rsidRPr="00A80ADE">
        <w:t xml:space="preserve">оплате </w:t>
      </w:r>
      <w:r w:rsidRPr="00A80ADE">
        <w:t>государственны</w:t>
      </w:r>
      <w:r w:rsidR="00B9374F" w:rsidRPr="00A80ADE">
        <w:t>х</w:t>
      </w:r>
      <w:r w:rsidRPr="00A80ADE">
        <w:t xml:space="preserve"> контракт</w:t>
      </w:r>
      <w:r w:rsidR="00B9374F" w:rsidRPr="00A80ADE">
        <w:t>ов</w:t>
      </w:r>
      <w:r w:rsidR="00082E2D" w:rsidRPr="00A80ADE">
        <w:t xml:space="preserve"> - 1364,1 тыс. руб. (из них </w:t>
      </w:r>
      <w:r w:rsidR="001A1363" w:rsidRPr="00A80ADE">
        <w:t xml:space="preserve">по причине </w:t>
      </w:r>
      <w:r w:rsidR="00B9374F" w:rsidRPr="00A80ADE">
        <w:t xml:space="preserve">отсутствия финансирования </w:t>
      </w:r>
      <w:r w:rsidR="00082E2D" w:rsidRPr="00A80ADE">
        <w:t xml:space="preserve">- </w:t>
      </w:r>
      <w:r w:rsidR="00B9374F" w:rsidRPr="00A80ADE">
        <w:t>167,4</w:t>
      </w:r>
      <w:r w:rsidR="002B481F" w:rsidRPr="00A80ADE">
        <w:t xml:space="preserve"> тыс. руб.), </w:t>
      </w:r>
      <w:r w:rsidRPr="00A80ADE">
        <w:t>и неправомерных решений об отказе в предоставлении жилья</w:t>
      </w:r>
      <w:r w:rsidR="002B481F" w:rsidRPr="00A80ADE">
        <w:t xml:space="preserve"> (13,5 тыс. руб</w:t>
      </w:r>
      <w:r w:rsidR="00E429C2" w:rsidRPr="00A80ADE">
        <w:t>лей</w:t>
      </w:r>
      <w:r w:rsidR="002B481F" w:rsidRPr="00A80ADE">
        <w:t>.)</w:t>
      </w:r>
      <w:r w:rsidR="004A09D2" w:rsidRPr="00A80ADE">
        <w:t>.</w:t>
      </w:r>
    </w:p>
    <w:p w:rsidR="00105695" w:rsidRPr="003E31FE" w:rsidRDefault="00105695" w:rsidP="00B21274">
      <w:pPr>
        <w:spacing w:line="20" w:lineRule="atLeast"/>
        <w:ind w:firstLine="680"/>
        <w:jc w:val="both"/>
        <w:rPr>
          <w:color w:val="000000" w:themeColor="text1"/>
        </w:rPr>
      </w:pPr>
    </w:p>
    <w:p w:rsidR="007E0576" w:rsidRPr="00E6325D" w:rsidRDefault="007E0576" w:rsidP="007E0576">
      <w:pPr>
        <w:ind w:firstLine="709"/>
        <w:jc w:val="center"/>
        <w:rPr>
          <w:b/>
          <w:i/>
        </w:rPr>
      </w:pPr>
      <w:r w:rsidRPr="00E6325D">
        <w:rPr>
          <w:b/>
          <w:i/>
        </w:rPr>
        <w:t>Реализация мероприятий по модернизации дошкольного образования на территории Волгоградской области</w:t>
      </w:r>
    </w:p>
    <w:p w:rsidR="007E0576" w:rsidRPr="00E6325D" w:rsidRDefault="007E0576" w:rsidP="007E0576">
      <w:pPr>
        <w:ind w:firstLine="709"/>
        <w:jc w:val="center"/>
        <w:rPr>
          <w:i/>
          <w:u w:val="single"/>
        </w:rPr>
      </w:pPr>
      <w:r w:rsidRPr="00E6325D">
        <w:rPr>
          <w:i/>
          <w:u w:val="single"/>
        </w:rPr>
        <w:t>Законодательная база и нормативно-правовое регулирование</w:t>
      </w:r>
    </w:p>
    <w:p w:rsidR="00D83237" w:rsidRDefault="007E0576" w:rsidP="00061432">
      <w:pPr>
        <w:spacing w:line="20" w:lineRule="atLeast"/>
        <w:ind w:firstLine="680"/>
        <w:jc w:val="both"/>
        <w:rPr>
          <w:color w:val="000000" w:themeColor="text1"/>
        </w:rPr>
      </w:pPr>
      <w:r w:rsidRPr="00E6325D">
        <w:t>В целях реализации основных направлений государственной</w:t>
      </w:r>
      <w:r w:rsidRPr="005A5471">
        <w:t xml:space="preserve"> образовательной политики в нашем регионе постановлением Правительства Волгоградской области от 25.11.2013 №668-п утверждена </w:t>
      </w:r>
      <w:hyperlink w:anchor="sub_1000" w:history="1">
        <w:r w:rsidRPr="005A5471">
          <w:t>государственная программ</w:t>
        </w:r>
      </w:hyperlink>
      <w:r w:rsidRPr="005A5471">
        <w:t xml:space="preserve">а Волгоградской области «Развитие </w:t>
      </w:r>
      <w:r w:rsidRPr="00737AEA">
        <w:rPr>
          <w:color w:val="000000" w:themeColor="text1"/>
        </w:rPr>
        <w:t>образования» на 2014-2020 годы» (далее Госпрограмма ВО №668-п).</w:t>
      </w:r>
      <w:r w:rsidR="00061432">
        <w:rPr>
          <w:color w:val="000000" w:themeColor="text1"/>
        </w:rPr>
        <w:t xml:space="preserve"> </w:t>
      </w:r>
      <w:r w:rsidR="00737AEA" w:rsidRPr="00737AEA">
        <w:rPr>
          <w:color w:val="000000" w:themeColor="text1"/>
        </w:rPr>
        <w:t>Облстрой является соисполнителем мероприятия по развитию дошкольного образования детей в части модернизации региональных систем дошкольного образования (источником финансового обеспечения котор</w:t>
      </w:r>
      <w:r w:rsidR="00737AEA">
        <w:rPr>
          <w:color w:val="000000" w:themeColor="text1"/>
        </w:rPr>
        <w:t>ого</w:t>
      </w:r>
      <w:r w:rsidR="00737AEA" w:rsidRPr="00737AEA">
        <w:rPr>
          <w:color w:val="000000" w:themeColor="text1"/>
        </w:rPr>
        <w:t xml:space="preserve"> является субсидия из федерального бюджета), путем строительства (реконструкции) зданий дошкольных образовательных организаций, в которых непосредственно планируется открытие групп дошкольного образования. </w:t>
      </w:r>
    </w:p>
    <w:p w:rsidR="00737AEA" w:rsidRDefault="00D83237" w:rsidP="00061432">
      <w:pPr>
        <w:spacing w:line="20" w:lineRule="atLeast"/>
        <w:ind w:firstLine="680"/>
        <w:jc w:val="both"/>
      </w:pPr>
      <w:r w:rsidRPr="008A1DED">
        <w:t xml:space="preserve">Порядок расходования средств </w:t>
      </w:r>
      <w:r w:rsidR="003702E8">
        <w:t xml:space="preserve">федерального и </w:t>
      </w:r>
      <w:r w:rsidRPr="008A1DED">
        <w:t xml:space="preserve">областного бюджета установлен постановлениями </w:t>
      </w:r>
      <w:r>
        <w:t xml:space="preserve">Администрации </w:t>
      </w:r>
      <w:r w:rsidRPr="008A1DED">
        <w:t>Волгоградской области</w:t>
      </w:r>
      <w:r>
        <w:t>:</w:t>
      </w:r>
    </w:p>
    <w:p w:rsidR="00D83237" w:rsidRDefault="00D83237" w:rsidP="00061432">
      <w:pPr>
        <w:spacing w:line="20" w:lineRule="atLeast"/>
        <w:ind w:firstLine="680"/>
        <w:jc w:val="both"/>
      </w:pPr>
      <w:r>
        <w:t>-</w:t>
      </w:r>
      <w:hyperlink r:id="rId13" w:history="1">
        <w:r w:rsidRPr="00505A6C">
          <w:t>от 28.05.2008 №1-п</w:t>
        </w:r>
      </w:hyperlink>
      <w:r w:rsidRPr="00505A6C">
        <w:t xml:space="preserve"> «Об утверждении Порядка предоставления бюджетам муниципальных образований Волгоградской области из областного фонда софинансирования расходов субсидий, предусмотренных на развитие общественной инфраструктуры муниципального значения» (далее Постановление №1-п)</w:t>
      </w:r>
      <w:r>
        <w:t>;</w:t>
      </w:r>
    </w:p>
    <w:p w:rsidR="00D83237" w:rsidRDefault="00D83237" w:rsidP="00D83237">
      <w:pPr>
        <w:spacing w:line="20" w:lineRule="atLeast"/>
        <w:ind w:firstLine="680"/>
        <w:jc w:val="both"/>
      </w:pPr>
      <w:r>
        <w:t>-</w:t>
      </w:r>
      <w:r w:rsidRPr="00D83237">
        <w:t xml:space="preserve"> </w:t>
      </w:r>
      <w:r>
        <w:t xml:space="preserve">от </w:t>
      </w:r>
      <w:r w:rsidRPr="00061432">
        <w:rPr>
          <w:color w:val="000000" w:themeColor="text1"/>
        </w:rPr>
        <w:t xml:space="preserve">26.05.2015 №269-п </w:t>
      </w:r>
      <w:r>
        <w:rPr>
          <w:color w:val="000000" w:themeColor="text1"/>
        </w:rPr>
        <w:t>«</w:t>
      </w:r>
      <w:r>
        <w:t>О порядке предоставления и распределения в 2015 году субсидий из областного бюджета бюджетам муниципальных районов (городских округов) Волгоградской области на модернизацию региональных систем дошкольного образования, источником финансового обеспечения которых является субсидия из федерального бюджета бюджетам субъектов Российской Федерации на модернизацию региональных систем дошкольного образования 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2013-2020 годы»</w:t>
      </w:r>
      <w:r w:rsidR="003702E8" w:rsidRPr="003702E8">
        <w:rPr>
          <w:color w:val="000000" w:themeColor="text1"/>
        </w:rPr>
        <w:t xml:space="preserve"> </w:t>
      </w:r>
      <w:r w:rsidR="003702E8" w:rsidRPr="00061432">
        <w:rPr>
          <w:color w:val="000000" w:themeColor="text1"/>
        </w:rPr>
        <w:t>(далее Порядок №269-п)</w:t>
      </w:r>
      <w:r>
        <w:t>.</w:t>
      </w:r>
    </w:p>
    <w:p w:rsidR="00730036" w:rsidRDefault="00730036" w:rsidP="00730036">
      <w:pPr>
        <w:spacing w:line="20" w:lineRule="atLeast"/>
        <w:ind w:firstLine="680"/>
        <w:jc w:val="both"/>
      </w:pPr>
      <w:r w:rsidRPr="00903FD8">
        <w:rPr>
          <w:color w:val="000000" w:themeColor="text1"/>
        </w:rPr>
        <w:t xml:space="preserve">Исходя из совокупности норм действующего законодательства - ст. 139 БК РФ, закона Волгоградской области от 11.04.2008 № 1661-ОД «О предоставлении бюджетам муниципальных образований Волгоградской области субсидий на развитие общественной инфраструктуры муниципального значения» (далее Закон № 1661-ОД) и п. 2.5. </w:t>
      </w:r>
      <w:r w:rsidRPr="00730036">
        <w:t xml:space="preserve">Постановления №1-п условия предоставления субсидии должны содержаться в соглашении об их предоставлении. </w:t>
      </w:r>
    </w:p>
    <w:p w:rsidR="00510FFB" w:rsidRPr="00A80ADE" w:rsidRDefault="00510FFB" w:rsidP="00510FFB">
      <w:pPr>
        <w:spacing w:line="20" w:lineRule="atLeast"/>
        <w:ind w:firstLine="680"/>
        <w:jc w:val="both"/>
      </w:pPr>
      <w:r w:rsidRPr="00903FD8">
        <w:t xml:space="preserve">Анализ соглашений, заключенных с муниципальными образованиями показал, что перечень документов, приведенный в </w:t>
      </w:r>
      <w:r w:rsidRPr="00A80ADE">
        <w:t xml:space="preserve">соглашении, не </w:t>
      </w:r>
      <w:r w:rsidR="00004E36" w:rsidRPr="00A80ADE">
        <w:t xml:space="preserve">определяет </w:t>
      </w:r>
      <w:r w:rsidRPr="00A80ADE">
        <w:t xml:space="preserve">условия предоставления субсидии, а </w:t>
      </w:r>
      <w:r w:rsidR="00004E36" w:rsidRPr="00A80ADE">
        <w:t xml:space="preserve">является </w:t>
      </w:r>
      <w:r w:rsidRPr="00A80ADE">
        <w:t>пакетом документов</w:t>
      </w:r>
      <w:r w:rsidR="00004E36" w:rsidRPr="00A80ADE">
        <w:t>,</w:t>
      </w:r>
      <w:r w:rsidRPr="00A80ADE">
        <w:t xml:space="preserve"> необходимым для совершения платежных операций по перечислению субсидии муниципалитетам. </w:t>
      </w:r>
    </w:p>
    <w:p w:rsidR="00730036" w:rsidRPr="00730036" w:rsidRDefault="00121208" w:rsidP="00730036">
      <w:pPr>
        <w:spacing w:line="20" w:lineRule="atLeast"/>
        <w:ind w:firstLine="680"/>
        <w:jc w:val="both"/>
      </w:pPr>
      <w:r>
        <w:t>В этой связи следует отметить, что</w:t>
      </w:r>
      <w:r w:rsidR="00730036" w:rsidRPr="00730036">
        <w:t xml:space="preserve"> региональные нормативные правовые акты, затрагивающие порядок предоставления и распределения муниципал</w:t>
      </w:r>
      <w:r>
        <w:t xml:space="preserve">итетам </w:t>
      </w:r>
      <w:r w:rsidR="00730036" w:rsidRPr="00730036">
        <w:t>субсидий на реализацию мероприятий по развитию дошкольного образования, содержат различные условия предоставления субсидии, что создает сложности их правоприменени</w:t>
      </w:r>
      <w:r w:rsidR="00510FFB">
        <w:t>я</w:t>
      </w:r>
      <w:r w:rsidR="00730036" w:rsidRPr="00730036">
        <w:t>.</w:t>
      </w:r>
    </w:p>
    <w:p w:rsidR="00730036" w:rsidRPr="00510FFB" w:rsidRDefault="00730036" w:rsidP="00730036">
      <w:pPr>
        <w:spacing w:line="20" w:lineRule="atLeast"/>
        <w:ind w:firstLine="680"/>
        <w:jc w:val="both"/>
      </w:pPr>
      <w:r w:rsidRPr="00510FFB">
        <w:t>Так, например, условия предоставления субсидии, установленные Порядком №269-п, предусматривают: письменное обязательство муниципалитета по достижению значения показателя результативности предоставления субсидий; наличие в местном бюджете бюджетных ассигнований на исполнение расходных обязательств;</w:t>
      </w:r>
      <w:bookmarkStart w:id="2" w:name="sub_10065"/>
      <w:bookmarkStart w:id="3" w:name="sub_10064"/>
      <w:r w:rsidRPr="00510FFB">
        <w:t xml:space="preserve"> планируемое увеличение количества мест в дошкольных образовательных организациях не менее чем на 15 дополнительных мест в результате реконструкции и строительства зданий дошкольных образовательных организаций и не менее чем на 200 дополнительных мест в результате проведения капитального ремонта и т.д.</w:t>
      </w:r>
    </w:p>
    <w:bookmarkEnd w:id="2"/>
    <w:bookmarkEnd w:id="3"/>
    <w:p w:rsidR="00730036" w:rsidRPr="00730036" w:rsidRDefault="00730036" w:rsidP="00730036">
      <w:pPr>
        <w:spacing w:line="20" w:lineRule="atLeast"/>
        <w:ind w:firstLine="680"/>
        <w:jc w:val="both"/>
      </w:pPr>
      <w:r w:rsidRPr="00510FFB">
        <w:t>В тоже время раздел 2 «Порядок и условия предоставлен</w:t>
      </w:r>
      <w:r w:rsidR="00BA7239">
        <w:t>ия субсидий» Постановления №1-п</w:t>
      </w:r>
      <w:r w:rsidRPr="00510FFB">
        <w:t xml:space="preserve"> определяет порядок подготовки заявки на предоставление субсидии, расчета размера субсидии, ее перечисления.</w:t>
      </w:r>
    </w:p>
    <w:p w:rsidR="00121208" w:rsidRDefault="00121208" w:rsidP="00121208">
      <w:pPr>
        <w:spacing w:line="20" w:lineRule="atLeast"/>
        <w:ind w:firstLine="680"/>
        <w:jc w:val="both"/>
      </w:pPr>
      <w:r>
        <w:rPr>
          <w:color w:val="000000" w:themeColor="text1"/>
        </w:rPr>
        <w:t>В соответствии с п.</w:t>
      </w:r>
      <w:r w:rsidRPr="00061432">
        <w:rPr>
          <w:color w:val="000000" w:themeColor="text1"/>
        </w:rPr>
        <w:t>8 Порядка №269-п</w:t>
      </w:r>
      <w:r>
        <w:rPr>
          <w:color w:val="000000" w:themeColor="text1"/>
        </w:rPr>
        <w:t xml:space="preserve"> </w:t>
      </w:r>
      <w:r w:rsidRPr="00061432">
        <w:rPr>
          <w:color w:val="000000" w:themeColor="text1"/>
        </w:rPr>
        <w:t>перечисление субсидий осуществляется</w:t>
      </w:r>
      <w:r w:rsidRPr="00135D36">
        <w:t xml:space="preserve"> в установленном для исполнения областного бюджета порядке на основании договора (соглашения) между Облстроем и муниципальным районом (городским округом) Волгоградской области о предоставлении субсидии по форме, установленной комитетом строительства Волгоградской области. Однако, форма соглашений, применяемая комитетом в работе с муниципалитетами, каким либо распорядительным документом не утверждалась. </w:t>
      </w:r>
    </w:p>
    <w:p w:rsidR="00FE056D" w:rsidRPr="00FE056D" w:rsidRDefault="00121208" w:rsidP="00FE056D">
      <w:pPr>
        <w:spacing w:line="20" w:lineRule="atLeast"/>
        <w:ind w:firstLine="680"/>
        <w:jc w:val="both"/>
      </w:pPr>
      <w:r>
        <w:t>Н</w:t>
      </w:r>
      <w:r w:rsidRPr="00135D36">
        <w:t xml:space="preserve">а федеральном уровне типовая форма соглашений </w:t>
      </w:r>
      <w:r w:rsidRPr="00FE056D">
        <w:t>утверждена Правилами предоставления и распределения в 2015 году субсидий из федерального бюджета бюджетам субъектов Российской Федерации на модернизацию региональных систем дошкольного образования в рамках подпрограммы «Развитие дошкольного, общего и дополнительного образования детей» государственной программы Российской Федерации «Развитие об</w:t>
      </w:r>
      <w:r w:rsidR="00BA7239">
        <w:t>разования» на 2013 - 2020 годы</w:t>
      </w:r>
      <w:r w:rsidRPr="00FE056D">
        <w:t xml:space="preserve"> (утв. постановлением Правительства РФ от 29.01.2015 №</w:t>
      </w:r>
      <w:r w:rsidRPr="00510FFB">
        <w:t xml:space="preserve">71). </w:t>
      </w:r>
      <w:r w:rsidR="00D76F3E">
        <w:t>В частности соглашения предусматривают, что у</w:t>
      </w:r>
      <w:r w:rsidRPr="00FE056D">
        <w:t>словиями предоставления и расходования субсидии являются</w:t>
      </w:r>
      <w:r w:rsidR="00D76F3E" w:rsidRPr="00FE056D">
        <w:t>, в том числе</w:t>
      </w:r>
      <w:r w:rsidR="00FE056D" w:rsidRPr="00FE056D">
        <w:t xml:space="preserve"> письменное обязательство получателя средств по</w:t>
      </w:r>
      <w:r w:rsidR="00FE056D">
        <w:t xml:space="preserve"> </w:t>
      </w:r>
      <w:r w:rsidR="00FE056D" w:rsidRPr="00FE056D">
        <w:t>выполнению показателей, предусмотренных комплексом мероприятий.</w:t>
      </w:r>
      <w:bookmarkStart w:id="4" w:name="sub_58"/>
    </w:p>
    <w:p w:rsidR="00FE056D" w:rsidRDefault="00FE056D" w:rsidP="00FE056D">
      <w:pPr>
        <w:autoSpaceDE w:val="0"/>
        <w:autoSpaceDN w:val="0"/>
        <w:adjustRightInd w:val="0"/>
        <w:rPr>
          <w:sz w:val="22"/>
          <w:szCs w:val="22"/>
        </w:rPr>
      </w:pPr>
    </w:p>
    <w:bookmarkEnd w:id="4"/>
    <w:p w:rsidR="007E0576" w:rsidRPr="00C67FDB" w:rsidRDefault="007E0576" w:rsidP="007E0576">
      <w:pPr>
        <w:ind w:firstLine="709"/>
        <w:jc w:val="center"/>
        <w:rPr>
          <w:u w:val="single"/>
        </w:rPr>
      </w:pPr>
      <w:r w:rsidRPr="00C67FDB">
        <w:rPr>
          <w:u w:val="single"/>
        </w:rPr>
        <w:t>Исполнение порядка предоставления субсидии и условий соглашения о ее предоставлении бюджету Волгоградской области</w:t>
      </w:r>
    </w:p>
    <w:p w:rsidR="007E0576" w:rsidRPr="00A0498F" w:rsidRDefault="007E0576" w:rsidP="007E0576">
      <w:pPr>
        <w:ind w:firstLine="709"/>
        <w:jc w:val="both"/>
      </w:pPr>
      <w:r w:rsidRPr="00C67FDB">
        <w:t>В 2015 году по распоряжению Правительства Российской Федерации от 30.01.2015 №143-р бюджету Волгоградской области из федерального бюджета выделены субсидии на модернизацию региональных систем дошк</w:t>
      </w:r>
      <w:r w:rsidR="00A0498F" w:rsidRPr="00C67FDB">
        <w:t>ольного образования в сумме 526</w:t>
      </w:r>
      <w:r w:rsidRPr="00C67FDB">
        <w:t>986,1 тыс. рублей. В связи с этим между Минобразования РФ и</w:t>
      </w:r>
      <w:r w:rsidRPr="00A0498F">
        <w:t xml:space="preserve"> Администрацией Волгоградской области было заключено соглашение от 06.05.2015 №08.Т07.24.0809 о её предоставлении (далее Соглашение с Минобразования РФ от 06.05.2015)</w:t>
      </w:r>
      <w:r w:rsidR="00A0498F">
        <w:t>.</w:t>
      </w:r>
      <w:r w:rsidRPr="00A0498F">
        <w:t xml:space="preserve"> </w:t>
      </w:r>
      <w:r w:rsidR="00A0498F" w:rsidRPr="00A0498F">
        <w:t xml:space="preserve">Средства субсидии поступили в бюджет Волгоградской области платежными поручениями: от 15.05.2015 №147 на сумму 175073,5 тыс. руб. и от 26.06.2015 №763 – 351912,6 тыс. руб.,  получателем средств является Облстрой. </w:t>
      </w:r>
      <w:r w:rsidRPr="00A0498F">
        <w:t xml:space="preserve"> На обеспечение софинансирования по средствам областного бюджета выделено 225851,2 тыс. руб., или 30% от общей суммы бюджетных средств, предусмотренных в 2015 году на модернизацию дошкольного образования в Волгоградской области. </w:t>
      </w:r>
    </w:p>
    <w:p w:rsidR="007E0576" w:rsidRPr="00A0498F" w:rsidRDefault="007E0576" w:rsidP="007E0576">
      <w:pPr>
        <w:ind w:firstLine="709"/>
        <w:jc w:val="both"/>
      </w:pPr>
      <w:r w:rsidRPr="00A0498F">
        <w:t>По условиям Соглашения с Минобразования РФ от 06.05.2015 (в редакции от 24.12.2015) Волгоградская область в лице получателя средств – Облстроя (п. 2.3. и пп. 2.3.3) приняла на себя обязательства по достижению показателя результативности: «Количество мест для реализации программ дошкольного образования, созданных в ходе реализации утвержденного комплекса мероприятий, в том числе с возможностью использования для реализации программ общего образования» со значениями:</w:t>
      </w:r>
    </w:p>
    <w:p w:rsidR="007E0576" w:rsidRPr="00A0498F" w:rsidRDefault="007E0576" w:rsidP="007E0576">
      <w:pPr>
        <w:ind w:firstLine="709"/>
        <w:jc w:val="both"/>
      </w:pPr>
      <w:r w:rsidRPr="00A0498F">
        <w:t>- 4500 мест, созданных в рамках реализации комплекса мероприятий («дорожная карта»);</w:t>
      </w:r>
    </w:p>
    <w:p w:rsidR="007E0576" w:rsidRPr="00A0498F" w:rsidRDefault="007E0576" w:rsidP="007E0576">
      <w:pPr>
        <w:ind w:firstLine="709"/>
        <w:jc w:val="both"/>
      </w:pPr>
      <w:r w:rsidRPr="00A0498F">
        <w:t>- 2638 мест, созданных в рамках реализации мероприятий по модернизации региональных систем дошкольного образования, в том числе за счет строительства зданий дошкольных образовательных организаций – 1681 место; реконструкции - 315 мест; капитального и текущего ремонта - 642 места.</w:t>
      </w:r>
    </w:p>
    <w:p w:rsidR="007E0576" w:rsidRPr="00A0498F" w:rsidRDefault="007E0576" w:rsidP="00A0498F">
      <w:pPr>
        <w:ind w:firstLine="709"/>
        <w:jc w:val="both"/>
      </w:pPr>
      <w:r w:rsidRPr="00A0498F">
        <w:t xml:space="preserve">Согласно отчету, направленному Облстроем в Минобразования РФ письмом от 15.01.2016 №36-07-06/215, </w:t>
      </w:r>
      <w:r w:rsidR="00A0498F" w:rsidRPr="00A0498F">
        <w:t xml:space="preserve">в 2015 году </w:t>
      </w:r>
      <w:r w:rsidRPr="00A0498F">
        <w:t xml:space="preserve">обязательства по достижению установленного значения показателей результативности регионом не </w:t>
      </w:r>
      <w:r w:rsidR="00A0498F" w:rsidRPr="00A0498F">
        <w:t>выполнены</w:t>
      </w:r>
      <w:r w:rsidRPr="00A0498F">
        <w:t>.</w:t>
      </w:r>
      <w:r w:rsidR="00A0498F">
        <w:t xml:space="preserve"> </w:t>
      </w:r>
      <w:r w:rsidR="00A0498F" w:rsidRPr="00A0498F">
        <w:t>И</w:t>
      </w:r>
      <w:r w:rsidRPr="00A0498F">
        <w:t>з 4500 мест, предусмотренных «дорожной картой»</w:t>
      </w:r>
      <w:r w:rsidR="00E67B79">
        <w:t xml:space="preserve">, </w:t>
      </w:r>
      <w:r w:rsidRPr="00A0498F">
        <w:t>создано 4065 места, или 90,3%; из 2638 мест, запланированных в рамках модернизации дошкольного образования</w:t>
      </w:r>
      <w:r w:rsidR="00E67B79">
        <w:t>,</w:t>
      </w:r>
      <w:r w:rsidRPr="00A0498F">
        <w:t xml:space="preserve"> создано 1828 мест, или 69,3%, в том числе за счет: строительства - 971 место, или 57,8% от плана, реконструкции - 215 мест, или 68,3%, капитального ремонта - 642 места, или 100 процентов. </w:t>
      </w:r>
    </w:p>
    <w:p w:rsidR="00E6425D" w:rsidRDefault="007E0576" w:rsidP="00E6425D">
      <w:pPr>
        <w:ind w:firstLine="709"/>
        <w:jc w:val="both"/>
      </w:pPr>
      <w:r w:rsidRPr="00A0498F">
        <w:t xml:space="preserve">Исходя из совокупности условий п. 2.3.18, п. 2.3.11 и п. 2.3.3 Соглашения с Минобразования от 06.05.2015 получателю субсидии из федерального бюджета предусмотрена возможность устранения нарушения обязательств по достижению показателей результативности в срок до 15.02.2016. В этой связи комитет </w:t>
      </w:r>
      <w:r w:rsidR="00E6425D">
        <w:t xml:space="preserve">(исх. </w:t>
      </w:r>
      <w:r w:rsidRPr="00A0498F">
        <w:t>от 15.02.2016 №36-07-06/1062</w:t>
      </w:r>
      <w:r w:rsidR="00E6425D">
        <w:t>)</w:t>
      </w:r>
      <w:r w:rsidRPr="00A0498F">
        <w:t xml:space="preserve"> направил в Минобразования РФ уточненный отчет об </w:t>
      </w:r>
      <w:r w:rsidRPr="00E6425D">
        <w:t>использовании субсидии и достигнутых показателях результативности.</w:t>
      </w:r>
      <w:r w:rsidR="00E6425D" w:rsidRPr="00E6425D">
        <w:t xml:space="preserve"> </w:t>
      </w:r>
    </w:p>
    <w:p w:rsidR="00CF0D87" w:rsidRDefault="00CF0D87" w:rsidP="00CF0D87">
      <w:pPr>
        <w:ind w:firstLine="709"/>
        <w:jc w:val="both"/>
      </w:pPr>
      <w:r w:rsidRPr="00BA1344">
        <w:t>В нижеследующей таблице приведены данные показателей результативности по 2-м отчетам в сравнении.</w:t>
      </w:r>
    </w:p>
    <w:tbl>
      <w:tblPr>
        <w:tblW w:w="10065" w:type="dxa"/>
        <w:tblInd w:w="-318" w:type="dxa"/>
        <w:tblLook w:val="04A0"/>
      </w:tblPr>
      <w:tblGrid>
        <w:gridCol w:w="1881"/>
        <w:gridCol w:w="3669"/>
        <w:gridCol w:w="1666"/>
        <w:gridCol w:w="936"/>
        <w:gridCol w:w="779"/>
        <w:gridCol w:w="1134"/>
      </w:tblGrid>
      <w:tr w:rsidR="008E57F0" w:rsidRPr="00336993" w:rsidTr="008E57F0">
        <w:trPr>
          <w:trHeight w:val="594"/>
        </w:trPr>
        <w:tc>
          <w:tcPr>
            <w:tcW w:w="5550" w:type="dxa"/>
            <w:gridSpan w:val="2"/>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8E57F0" w:rsidRPr="00336993" w:rsidRDefault="008E57F0" w:rsidP="00740589">
            <w:pPr>
              <w:jc w:val="center"/>
              <w:rPr>
                <w:b/>
                <w:sz w:val="16"/>
                <w:szCs w:val="16"/>
              </w:rPr>
            </w:pPr>
            <w:r w:rsidRPr="00336993">
              <w:rPr>
                <w:b/>
                <w:sz w:val="16"/>
                <w:szCs w:val="16"/>
              </w:rPr>
              <w:t>Наименование показателя результативности использования субсидии</w:t>
            </w:r>
          </w:p>
        </w:tc>
        <w:tc>
          <w:tcPr>
            <w:tcW w:w="1666" w:type="dxa"/>
            <w:vMerge w:val="restart"/>
            <w:tcBorders>
              <w:top w:val="single" w:sz="12" w:space="0" w:color="auto"/>
              <w:left w:val="single" w:sz="8" w:space="0" w:color="auto"/>
              <w:bottom w:val="single" w:sz="8" w:space="0" w:color="000000"/>
              <w:right w:val="single" w:sz="4" w:space="0" w:color="auto"/>
            </w:tcBorders>
            <w:shd w:val="clear" w:color="auto" w:fill="auto"/>
            <w:vAlign w:val="center"/>
            <w:hideMark/>
          </w:tcPr>
          <w:p w:rsidR="008E57F0" w:rsidRPr="00336993" w:rsidRDefault="008E57F0" w:rsidP="00740589">
            <w:pPr>
              <w:jc w:val="center"/>
              <w:rPr>
                <w:b/>
                <w:sz w:val="16"/>
                <w:szCs w:val="16"/>
              </w:rPr>
            </w:pPr>
            <w:r w:rsidRPr="00336993">
              <w:rPr>
                <w:b/>
                <w:sz w:val="16"/>
                <w:szCs w:val="16"/>
              </w:rPr>
              <w:t>Плановое значение показателя результативности использования субсидии в 2015 году</w:t>
            </w:r>
          </w:p>
        </w:tc>
        <w:tc>
          <w:tcPr>
            <w:tcW w:w="2849" w:type="dxa"/>
            <w:gridSpan w:val="3"/>
            <w:tcBorders>
              <w:top w:val="single" w:sz="12" w:space="0" w:color="auto"/>
              <w:left w:val="nil"/>
              <w:bottom w:val="single" w:sz="4" w:space="0" w:color="auto"/>
              <w:right w:val="single" w:sz="12" w:space="0" w:color="auto"/>
            </w:tcBorders>
            <w:shd w:val="clear" w:color="auto" w:fill="auto"/>
            <w:vAlign w:val="center"/>
            <w:hideMark/>
          </w:tcPr>
          <w:p w:rsidR="008E57F0" w:rsidRPr="00336993" w:rsidRDefault="008E57F0" w:rsidP="00740589">
            <w:pPr>
              <w:jc w:val="center"/>
              <w:rPr>
                <w:b/>
                <w:sz w:val="16"/>
                <w:szCs w:val="16"/>
              </w:rPr>
            </w:pPr>
            <w:r w:rsidRPr="00336993">
              <w:rPr>
                <w:b/>
                <w:sz w:val="16"/>
                <w:szCs w:val="16"/>
              </w:rPr>
              <w:t>Достигнутое значение показателя результативности использования субсидии в 2015 году</w:t>
            </w:r>
          </w:p>
        </w:tc>
      </w:tr>
      <w:tr w:rsidR="008E57F0" w:rsidRPr="00EF12F1" w:rsidTr="008E57F0">
        <w:trPr>
          <w:trHeight w:val="240"/>
        </w:trPr>
        <w:tc>
          <w:tcPr>
            <w:tcW w:w="5550" w:type="dxa"/>
            <w:gridSpan w:val="2"/>
            <w:vMerge/>
            <w:tcBorders>
              <w:top w:val="single" w:sz="8" w:space="0" w:color="auto"/>
              <w:left w:val="single" w:sz="12" w:space="0" w:color="auto"/>
              <w:bottom w:val="single" w:sz="8" w:space="0" w:color="000000"/>
              <w:right w:val="single" w:sz="4" w:space="0" w:color="auto"/>
            </w:tcBorders>
            <w:vAlign w:val="center"/>
            <w:hideMark/>
          </w:tcPr>
          <w:p w:rsidR="008E57F0" w:rsidRPr="00BA1344" w:rsidRDefault="008E57F0" w:rsidP="00740589">
            <w:pPr>
              <w:jc w:val="both"/>
              <w:rPr>
                <w:sz w:val="16"/>
                <w:szCs w:val="16"/>
              </w:rPr>
            </w:pPr>
          </w:p>
        </w:tc>
        <w:tc>
          <w:tcPr>
            <w:tcW w:w="1666" w:type="dxa"/>
            <w:vMerge/>
            <w:tcBorders>
              <w:top w:val="single" w:sz="8" w:space="0" w:color="auto"/>
              <w:left w:val="single" w:sz="8" w:space="0" w:color="auto"/>
              <w:bottom w:val="single" w:sz="8" w:space="0" w:color="000000"/>
              <w:right w:val="single" w:sz="4" w:space="0" w:color="auto"/>
            </w:tcBorders>
            <w:vAlign w:val="center"/>
            <w:hideMark/>
          </w:tcPr>
          <w:p w:rsidR="008E57F0" w:rsidRPr="00BA1344" w:rsidRDefault="008E57F0" w:rsidP="00740589">
            <w:pPr>
              <w:jc w:val="both"/>
              <w:rPr>
                <w:sz w:val="16"/>
                <w:szCs w:val="16"/>
              </w:rPr>
            </w:pPr>
          </w:p>
        </w:tc>
        <w:tc>
          <w:tcPr>
            <w:tcW w:w="2849" w:type="dxa"/>
            <w:gridSpan w:val="3"/>
            <w:tcBorders>
              <w:top w:val="single" w:sz="4" w:space="0" w:color="auto"/>
              <w:left w:val="nil"/>
              <w:bottom w:val="single" w:sz="4" w:space="0" w:color="auto"/>
              <w:right w:val="single" w:sz="12" w:space="0" w:color="auto"/>
            </w:tcBorders>
            <w:shd w:val="clear" w:color="auto" w:fill="auto"/>
            <w:vAlign w:val="center"/>
            <w:hideMark/>
          </w:tcPr>
          <w:p w:rsidR="008E57F0" w:rsidRPr="00336993" w:rsidRDefault="008E57F0" w:rsidP="00740589">
            <w:pPr>
              <w:jc w:val="center"/>
              <w:rPr>
                <w:b/>
                <w:sz w:val="16"/>
                <w:szCs w:val="16"/>
              </w:rPr>
            </w:pPr>
            <w:r w:rsidRPr="00336993">
              <w:rPr>
                <w:b/>
                <w:sz w:val="16"/>
                <w:szCs w:val="16"/>
              </w:rPr>
              <w:t>по данным отчета</w:t>
            </w:r>
          </w:p>
        </w:tc>
      </w:tr>
      <w:tr w:rsidR="008E57F0" w:rsidRPr="00EF12F1" w:rsidTr="008E57F0">
        <w:trPr>
          <w:trHeight w:val="168"/>
        </w:trPr>
        <w:tc>
          <w:tcPr>
            <w:tcW w:w="5550" w:type="dxa"/>
            <w:gridSpan w:val="2"/>
            <w:vMerge/>
            <w:tcBorders>
              <w:top w:val="single" w:sz="8" w:space="0" w:color="auto"/>
              <w:left w:val="single" w:sz="12" w:space="0" w:color="auto"/>
              <w:bottom w:val="single" w:sz="12" w:space="0" w:color="auto"/>
              <w:right w:val="single" w:sz="4" w:space="0" w:color="auto"/>
            </w:tcBorders>
            <w:vAlign w:val="center"/>
            <w:hideMark/>
          </w:tcPr>
          <w:p w:rsidR="008E57F0" w:rsidRPr="00BA1344" w:rsidRDefault="008E57F0" w:rsidP="00740589">
            <w:pPr>
              <w:jc w:val="both"/>
              <w:rPr>
                <w:sz w:val="16"/>
                <w:szCs w:val="16"/>
              </w:rPr>
            </w:pPr>
          </w:p>
        </w:tc>
        <w:tc>
          <w:tcPr>
            <w:tcW w:w="1666" w:type="dxa"/>
            <w:vMerge/>
            <w:tcBorders>
              <w:top w:val="single" w:sz="8" w:space="0" w:color="auto"/>
              <w:left w:val="single" w:sz="8" w:space="0" w:color="auto"/>
              <w:bottom w:val="single" w:sz="12" w:space="0" w:color="auto"/>
              <w:right w:val="single" w:sz="4" w:space="0" w:color="auto"/>
            </w:tcBorders>
            <w:vAlign w:val="center"/>
            <w:hideMark/>
          </w:tcPr>
          <w:p w:rsidR="008E57F0" w:rsidRPr="00BA1344" w:rsidRDefault="008E57F0" w:rsidP="00740589">
            <w:pPr>
              <w:jc w:val="both"/>
              <w:rPr>
                <w:sz w:val="16"/>
                <w:szCs w:val="16"/>
              </w:rPr>
            </w:pPr>
          </w:p>
        </w:tc>
        <w:tc>
          <w:tcPr>
            <w:tcW w:w="936" w:type="dxa"/>
            <w:tcBorders>
              <w:top w:val="nil"/>
              <w:left w:val="nil"/>
              <w:bottom w:val="single" w:sz="12" w:space="0" w:color="auto"/>
              <w:right w:val="single" w:sz="4" w:space="0" w:color="auto"/>
            </w:tcBorders>
            <w:shd w:val="clear" w:color="auto" w:fill="auto"/>
            <w:vAlign w:val="center"/>
            <w:hideMark/>
          </w:tcPr>
          <w:p w:rsidR="008E57F0" w:rsidRPr="00336993" w:rsidRDefault="008E57F0" w:rsidP="00740589">
            <w:pPr>
              <w:jc w:val="center"/>
              <w:rPr>
                <w:b/>
                <w:sz w:val="16"/>
                <w:szCs w:val="16"/>
              </w:rPr>
            </w:pPr>
            <w:r w:rsidRPr="00336993">
              <w:rPr>
                <w:b/>
                <w:sz w:val="16"/>
                <w:szCs w:val="16"/>
              </w:rPr>
              <w:t>от 15.01.2016</w:t>
            </w:r>
          </w:p>
        </w:tc>
        <w:tc>
          <w:tcPr>
            <w:tcW w:w="1913" w:type="dxa"/>
            <w:gridSpan w:val="2"/>
            <w:tcBorders>
              <w:top w:val="nil"/>
              <w:left w:val="nil"/>
              <w:bottom w:val="single" w:sz="12" w:space="0" w:color="auto"/>
              <w:right w:val="single" w:sz="12" w:space="0" w:color="auto"/>
            </w:tcBorders>
            <w:shd w:val="clear" w:color="auto" w:fill="auto"/>
            <w:vAlign w:val="center"/>
            <w:hideMark/>
          </w:tcPr>
          <w:p w:rsidR="008E57F0" w:rsidRPr="00336993" w:rsidRDefault="008E57F0" w:rsidP="00740589">
            <w:pPr>
              <w:jc w:val="center"/>
              <w:rPr>
                <w:b/>
                <w:sz w:val="16"/>
                <w:szCs w:val="16"/>
              </w:rPr>
            </w:pPr>
            <w:r>
              <w:rPr>
                <w:b/>
                <w:sz w:val="16"/>
                <w:szCs w:val="16"/>
              </w:rPr>
              <w:t>о</w:t>
            </w:r>
            <w:r w:rsidRPr="00336993">
              <w:rPr>
                <w:b/>
                <w:sz w:val="16"/>
                <w:szCs w:val="16"/>
              </w:rPr>
              <w:t>т</w:t>
            </w:r>
            <w:r>
              <w:rPr>
                <w:b/>
                <w:sz w:val="16"/>
                <w:szCs w:val="16"/>
              </w:rPr>
              <w:t xml:space="preserve"> </w:t>
            </w:r>
            <w:r w:rsidRPr="00336993">
              <w:rPr>
                <w:b/>
                <w:sz w:val="16"/>
                <w:szCs w:val="16"/>
              </w:rPr>
              <w:t>15.02.2016*</w:t>
            </w:r>
          </w:p>
        </w:tc>
      </w:tr>
      <w:tr w:rsidR="008E57F0" w:rsidRPr="00EF12F1" w:rsidTr="008E57F0">
        <w:trPr>
          <w:trHeight w:val="227"/>
        </w:trPr>
        <w:tc>
          <w:tcPr>
            <w:tcW w:w="1881" w:type="dxa"/>
            <w:vMerge w:val="restart"/>
            <w:tcBorders>
              <w:top w:val="single" w:sz="12" w:space="0" w:color="auto"/>
              <w:left w:val="single" w:sz="12" w:space="0" w:color="auto"/>
              <w:bottom w:val="single" w:sz="8" w:space="0" w:color="000000"/>
              <w:right w:val="single" w:sz="4" w:space="0" w:color="auto"/>
            </w:tcBorders>
            <w:shd w:val="clear" w:color="auto" w:fill="auto"/>
            <w:hideMark/>
          </w:tcPr>
          <w:p w:rsidR="008E57F0" w:rsidRPr="00336993" w:rsidRDefault="008E57F0" w:rsidP="00740589">
            <w:pPr>
              <w:jc w:val="center"/>
              <w:rPr>
                <w:b/>
                <w:sz w:val="16"/>
                <w:szCs w:val="16"/>
              </w:rPr>
            </w:pPr>
            <w:r w:rsidRPr="00336993">
              <w:rPr>
                <w:b/>
                <w:sz w:val="16"/>
                <w:szCs w:val="16"/>
              </w:rPr>
              <w:t>Количество мест для реализации программ дошкольного образования, созданных в ходе реализации утвержденного комплекса мероприятий, в том числе с возможностью использования для реализации программ общего образования</w:t>
            </w:r>
          </w:p>
        </w:tc>
        <w:tc>
          <w:tcPr>
            <w:tcW w:w="3669" w:type="dxa"/>
            <w:vMerge w:val="restart"/>
            <w:tcBorders>
              <w:top w:val="single" w:sz="12" w:space="0" w:color="auto"/>
              <w:left w:val="single" w:sz="4" w:space="0" w:color="auto"/>
              <w:bottom w:val="single" w:sz="4" w:space="0" w:color="auto"/>
              <w:right w:val="nil"/>
            </w:tcBorders>
            <w:shd w:val="clear" w:color="auto" w:fill="auto"/>
            <w:vAlign w:val="center"/>
            <w:hideMark/>
          </w:tcPr>
          <w:p w:rsidR="008E57F0" w:rsidRPr="008E57F0" w:rsidRDefault="008E57F0" w:rsidP="008E57F0">
            <w:pPr>
              <w:jc w:val="both"/>
              <w:rPr>
                <w:sz w:val="16"/>
                <w:szCs w:val="16"/>
              </w:rPr>
            </w:pPr>
            <w:r w:rsidRPr="008E57F0">
              <w:rPr>
                <w:sz w:val="16"/>
                <w:szCs w:val="16"/>
              </w:rPr>
              <w:t>Количество мест, созданных в рамках реализации комплекса мероприятий ("дорожная карта")</w:t>
            </w:r>
            <w:r w:rsidR="00993468">
              <w:rPr>
                <w:sz w:val="16"/>
                <w:szCs w:val="16"/>
              </w:rPr>
              <w:t xml:space="preserve"> всего</w:t>
            </w:r>
            <w:r w:rsidRPr="008E57F0">
              <w:rPr>
                <w:sz w:val="16"/>
                <w:szCs w:val="16"/>
              </w:rPr>
              <w:t>, из них:</w:t>
            </w:r>
          </w:p>
        </w:tc>
        <w:tc>
          <w:tcPr>
            <w:tcW w:w="1666" w:type="dxa"/>
            <w:vMerge w:val="restart"/>
            <w:tcBorders>
              <w:top w:val="single" w:sz="12" w:space="0" w:color="auto"/>
              <w:left w:val="single" w:sz="8" w:space="0" w:color="auto"/>
              <w:bottom w:val="single" w:sz="4" w:space="0" w:color="auto"/>
              <w:right w:val="single" w:sz="4" w:space="0" w:color="auto"/>
            </w:tcBorders>
            <w:shd w:val="clear" w:color="auto" w:fill="auto"/>
            <w:noWrap/>
            <w:vAlign w:val="center"/>
            <w:hideMark/>
          </w:tcPr>
          <w:p w:rsidR="008E57F0" w:rsidRPr="008E57F0" w:rsidRDefault="008E57F0" w:rsidP="00740589">
            <w:pPr>
              <w:jc w:val="both"/>
              <w:rPr>
                <w:sz w:val="16"/>
                <w:szCs w:val="16"/>
              </w:rPr>
            </w:pPr>
            <w:r w:rsidRPr="008E57F0">
              <w:rPr>
                <w:sz w:val="16"/>
                <w:szCs w:val="16"/>
              </w:rPr>
              <w:t>4500</w:t>
            </w:r>
          </w:p>
        </w:tc>
        <w:tc>
          <w:tcPr>
            <w:tcW w:w="936" w:type="dxa"/>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8E57F0" w:rsidRPr="008E57F0" w:rsidRDefault="008E57F0" w:rsidP="00740589">
            <w:pPr>
              <w:jc w:val="both"/>
              <w:rPr>
                <w:sz w:val="16"/>
                <w:szCs w:val="16"/>
              </w:rPr>
            </w:pPr>
            <w:r w:rsidRPr="008E57F0">
              <w:rPr>
                <w:sz w:val="16"/>
                <w:szCs w:val="16"/>
              </w:rPr>
              <w:t>4065</w:t>
            </w:r>
          </w:p>
        </w:tc>
        <w:tc>
          <w:tcPr>
            <w:tcW w:w="779" w:type="dxa"/>
            <w:vMerge w:val="restart"/>
            <w:tcBorders>
              <w:top w:val="single" w:sz="12" w:space="0" w:color="auto"/>
              <w:left w:val="nil"/>
              <w:right w:val="single" w:sz="12" w:space="0" w:color="auto"/>
            </w:tcBorders>
            <w:shd w:val="clear" w:color="auto" w:fill="auto"/>
            <w:noWrap/>
            <w:vAlign w:val="center"/>
            <w:hideMark/>
          </w:tcPr>
          <w:p w:rsidR="008E57F0" w:rsidRPr="008E57F0" w:rsidRDefault="008E57F0" w:rsidP="00740589">
            <w:pPr>
              <w:jc w:val="both"/>
              <w:rPr>
                <w:sz w:val="16"/>
                <w:szCs w:val="16"/>
              </w:rPr>
            </w:pPr>
            <w:r>
              <w:rPr>
                <w:sz w:val="16"/>
                <w:szCs w:val="16"/>
              </w:rPr>
              <w:t>4687</w:t>
            </w:r>
          </w:p>
        </w:tc>
        <w:tc>
          <w:tcPr>
            <w:tcW w:w="1134" w:type="dxa"/>
            <w:tcBorders>
              <w:top w:val="single" w:sz="12" w:space="0" w:color="auto"/>
              <w:left w:val="nil"/>
              <w:bottom w:val="single" w:sz="4" w:space="0" w:color="auto"/>
              <w:right w:val="single" w:sz="12" w:space="0" w:color="auto"/>
            </w:tcBorders>
            <w:vAlign w:val="center"/>
          </w:tcPr>
          <w:p w:rsidR="008E57F0" w:rsidRPr="008E57F0" w:rsidRDefault="008E57F0" w:rsidP="00740589">
            <w:pPr>
              <w:jc w:val="both"/>
              <w:rPr>
                <w:sz w:val="16"/>
                <w:szCs w:val="16"/>
              </w:rPr>
            </w:pPr>
            <w:r w:rsidRPr="008E57F0">
              <w:rPr>
                <w:sz w:val="16"/>
                <w:szCs w:val="16"/>
              </w:rPr>
              <w:t>2015 - 4065</w:t>
            </w:r>
          </w:p>
        </w:tc>
      </w:tr>
      <w:tr w:rsidR="008E57F0" w:rsidRPr="00EF12F1" w:rsidTr="008E57F0">
        <w:trPr>
          <w:trHeight w:val="72"/>
        </w:trPr>
        <w:tc>
          <w:tcPr>
            <w:tcW w:w="1881" w:type="dxa"/>
            <w:vMerge/>
            <w:tcBorders>
              <w:top w:val="nil"/>
              <w:left w:val="single" w:sz="12" w:space="0" w:color="auto"/>
              <w:bottom w:val="single" w:sz="8" w:space="0" w:color="000000"/>
              <w:right w:val="single" w:sz="4" w:space="0" w:color="auto"/>
            </w:tcBorders>
            <w:vAlign w:val="center"/>
            <w:hideMark/>
          </w:tcPr>
          <w:p w:rsidR="008E57F0" w:rsidRPr="00BA1344" w:rsidRDefault="008E57F0" w:rsidP="00740589">
            <w:pPr>
              <w:jc w:val="both"/>
              <w:rPr>
                <w:sz w:val="16"/>
                <w:szCs w:val="16"/>
              </w:rPr>
            </w:pPr>
          </w:p>
        </w:tc>
        <w:tc>
          <w:tcPr>
            <w:tcW w:w="3669" w:type="dxa"/>
            <w:vMerge/>
            <w:tcBorders>
              <w:top w:val="nil"/>
              <w:left w:val="single" w:sz="4" w:space="0" w:color="auto"/>
              <w:bottom w:val="single" w:sz="4" w:space="0" w:color="auto"/>
              <w:right w:val="nil"/>
            </w:tcBorders>
            <w:vAlign w:val="center"/>
            <w:hideMark/>
          </w:tcPr>
          <w:p w:rsidR="008E57F0" w:rsidRPr="008E57F0" w:rsidRDefault="008E57F0" w:rsidP="00740589">
            <w:pPr>
              <w:jc w:val="both"/>
              <w:rPr>
                <w:sz w:val="16"/>
                <w:szCs w:val="16"/>
              </w:rPr>
            </w:pPr>
          </w:p>
        </w:tc>
        <w:tc>
          <w:tcPr>
            <w:tcW w:w="1666" w:type="dxa"/>
            <w:vMerge/>
            <w:tcBorders>
              <w:top w:val="nil"/>
              <w:left w:val="single" w:sz="8" w:space="0" w:color="auto"/>
              <w:bottom w:val="single" w:sz="4" w:space="0" w:color="auto"/>
              <w:right w:val="single" w:sz="4" w:space="0" w:color="auto"/>
            </w:tcBorders>
            <w:vAlign w:val="center"/>
            <w:hideMark/>
          </w:tcPr>
          <w:p w:rsidR="008E57F0" w:rsidRPr="008E57F0" w:rsidRDefault="008E57F0" w:rsidP="00740589">
            <w:pPr>
              <w:jc w:val="both"/>
              <w:rPr>
                <w:sz w:val="16"/>
                <w:szCs w:val="16"/>
              </w:rPr>
            </w:pPr>
          </w:p>
        </w:tc>
        <w:tc>
          <w:tcPr>
            <w:tcW w:w="936" w:type="dxa"/>
            <w:vMerge/>
            <w:tcBorders>
              <w:top w:val="nil"/>
              <w:left w:val="single" w:sz="4" w:space="0" w:color="auto"/>
              <w:bottom w:val="single" w:sz="4" w:space="0" w:color="auto"/>
              <w:right w:val="single" w:sz="4" w:space="0" w:color="auto"/>
            </w:tcBorders>
            <w:vAlign w:val="center"/>
            <w:hideMark/>
          </w:tcPr>
          <w:p w:rsidR="008E57F0" w:rsidRPr="008E57F0" w:rsidRDefault="008E57F0" w:rsidP="00740589">
            <w:pPr>
              <w:jc w:val="both"/>
              <w:rPr>
                <w:sz w:val="16"/>
                <w:szCs w:val="16"/>
              </w:rPr>
            </w:pPr>
          </w:p>
        </w:tc>
        <w:tc>
          <w:tcPr>
            <w:tcW w:w="779" w:type="dxa"/>
            <w:vMerge/>
            <w:tcBorders>
              <w:left w:val="nil"/>
              <w:bottom w:val="single" w:sz="4" w:space="0" w:color="auto"/>
              <w:right w:val="single" w:sz="12" w:space="0" w:color="auto"/>
            </w:tcBorders>
            <w:shd w:val="clear" w:color="auto" w:fill="auto"/>
            <w:noWrap/>
            <w:vAlign w:val="center"/>
            <w:hideMark/>
          </w:tcPr>
          <w:p w:rsidR="008E57F0" w:rsidRPr="008E57F0" w:rsidRDefault="008E57F0" w:rsidP="00740589">
            <w:pPr>
              <w:jc w:val="both"/>
              <w:rPr>
                <w:sz w:val="16"/>
                <w:szCs w:val="16"/>
              </w:rPr>
            </w:pPr>
          </w:p>
        </w:tc>
        <w:tc>
          <w:tcPr>
            <w:tcW w:w="1134" w:type="dxa"/>
            <w:tcBorders>
              <w:top w:val="nil"/>
              <w:left w:val="nil"/>
              <w:bottom w:val="single" w:sz="4" w:space="0" w:color="auto"/>
              <w:right w:val="single" w:sz="12" w:space="0" w:color="auto"/>
            </w:tcBorders>
            <w:vAlign w:val="center"/>
          </w:tcPr>
          <w:p w:rsidR="008E57F0" w:rsidRPr="008E57F0" w:rsidRDefault="008E57F0" w:rsidP="00740589">
            <w:pPr>
              <w:jc w:val="both"/>
              <w:rPr>
                <w:sz w:val="16"/>
                <w:szCs w:val="16"/>
              </w:rPr>
            </w:pPr>
            <w:r w:rsidRPr="008E57F0">
              <w:rPr>
                <w:sz w:val="16"/>
                <w:szCs w:val="16"/>
              </w:rPr>
              <w:t>2016 - 622</w:t>
            </w:r>
          </w:p>
        </w:tc>
      </w:tr>
      <w:tr w:rsidR="008E57F0" w:rsidRPr="00EF12F1" w:rsidTr="00740589">
        <w:trPr>
          <w:trHeight w:val="421"/>
        </w:trPr>
        <w:tc>
          <w:tcPr>
            <w:tcW w:w="1881" w:type="dxa"/>
            <w:vMerge/>
            <w:tcBorders>
              <w:top w:val="nil"/>
              <w:left w:val="single" w:sz="12" w:space="0" w:color="auto"/>
              <w:bottom w:val="single" w:sz="8" w:space="0" w:color="000000"/>
              <w:right w:val="single" w:sz="4" w:space="0" w:color="auto"/>
            </w:tcBorders>
            <w:vAlign w:val="center"/>
            <w:hideMark/>
          </w:tcPr>
          <w:p w:rsidR="008E57F0" w:rsidRPr="00BA1344" w:rsidRDefault="008E57F0" w:rsidP="00740589">
            <w:pPr>
              <w:jc w:val="both"/>
              <w:rPr>
                <w:sz w:val="16"/>
                <w:szCs w:val="16"/>
              </w:rPr>
            </w:pPr>
          </w:p>
        </w:tc>
        <w:tc>
          <w:tcPr>
            <w:tcW w:w="3669" w:type="dxa"/>
            <w:vMerge w:val="restart"/>
            <w:tcBorders>
              <w:top w:val="nil"/>
              <w:left w:val="single" w:sz="4" w:space="0" w:color="auto"/>
              <w:bottom w:val="single" w:sz="4" w:space="0" w:color="auto"/>
              <w:right w:val="nil"/>
            </w:tcBorders>
            <w:shd w:val="clear" w:color="auto" w:fill="auto"/>
            <w:vAlign w:val="center"/>
            <w:hideMark/>
          </w:tcPr>
          <w:p w:rsidR="008E57F0" w:rsidRPr="00BA1344" w:rsidRDefault="008E57F0" w:rsidP="00740589">
            <w:pPr>
              <w:jc w:val="both"/>
              <w:rPr>
                <w:sz w:val="16"/>
                <w:szCs w:val="16"/>
              </w:rPr>
            </w:pPr>
            <w:r>
              <w:rPr>
                <w:sz w:val="16"/>
                <w:szCs w:val="16"/>
              </w:rPr>
              <w:t>о</w:t>
            </w:r>
            <w:r w:rsidRPr="00BA1344">
              <w:rPr>
                <w:sz w:val="16"/>
                <w:szCs w:val="16"/>
              </w:rPr>
              <w:t>бщее количество мест, созданных в рамках реализации комплекса мероприятий по модернизации региональных систем дошкольного образования</w:t>
            </w:r>
            <w:r>
              <w:rPr>
                <w:sz w:val="16"/>
                <w:szCs w:val="16"/>
              </w:rPr>
              <w:t>, всего, в том числе</w:t>
            </w:r>
            <w:r w:rsidRPr="00BA1344">
              <w:rPr>
                <w:sz w:val="16"/>
                <w:szCs w:val="16"/>
              </w:rPr>
              <w:t>:</w:t>
            </w:r>
          </w:p>
        </w:tc>
        <w:tc>
          <w:tcPr>
            <w:tcW w:w="1666"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E57F0" w:rsidRPr="00BA1344" w:rsidRDefault="008E57F0" w:rsidP="00740589">
            <w:pPr>
              <w:jc w:val="both"/>
              <w:rPr>
                <w:sz w:val="16"/>
                <w:szCs w:val="16"/>
              </w:rPr>
            </w:pPr>
            <w:r w:rsidRPr="00BA1344">
              <w:rPr>
                <w:sz w:val="16"/>
                <w:szCs w:val="16"/>
              </w:rPr>
              <w:t>2638</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57F0" w:rsidRPr="00BA1344" w:rsidRDefault="008E57F0" w:rsidP="00740589">
            <w:pPr>
              <w:jc w:val="both"/>
              <w:rPr>
                <w:sz w:val="16"/>
                <w:szCs w:val="16"/>
              </w:rPr>
            </w:pPr>
            <w:r w:rsidRPr="00BA1344">
              <w:rPr>
                <w:sz w:val="16"/>
                <w:szCs w:val="16"/>
              </w:rPr>
              <w:t>1828</w:t>
            </w:r>
          </w:p>
        </w:tc>
        <w:tc>
          <w:tcPr>
            <w:tcW w:w="779" w:type="dxa"/>
            <w:vMerge w:val="restart"/>
            <w:tcBorders>
              <w:top w:val="nil"/>
              <w:left w:val="nil"/>
              <w:right w:val="single" w:sz="12" w:space="0" w:color="auto"/>
            </w:tcBorders>
            <w:shd w:val="clear" w:color="auto" w:fill="auto"/>
            <w:noWrap/>
            <w:vAlign w:val="center"/>
            <w:hideMark/>
          </w:tcPr>
          <w:p w:rsidR="008E57F0" w:rsidRPr="00BA1344" w:rsidRDefault="00993468" w:rsidP="00740589">
            <w:pPr>
              <w:jc w:val="both"/>
              <w:rPr>
                <w:sz w:val="16"/>
                <w:szCs w:val="16"/>
              </w:rPr>
            </w:pPr>
            <w:r>
              <w:rPr>
                <w:sz w:val="16"/>
                <w:szCs w:val="16"/>
              </w:rPr>
              <w:t>2208</w:t>
            </w:r>
          </w:p>
        </w:tc>
        <w:tc>
          <w:tcPr>
            <w:tcW w:w="1134" w:type="dxa"/>
            <w:tcBorders>
              <w:top w:val="nil"/>
              <w:left w:val="nil"/>
              <w:bottom w:val="single" w:sz="4" w:space="0" w:color="auto"/>
              <w:right w:val="single" w:sz="12" w:space="0" w:color="auto"/>
            </w:tcBorders>
            <w:vAlign w:val="center"/>
          </w:tcPr>
          <w:p w:rsidR="008E57F0" w:rsidRPr="00BA1344" w:rsidRDefault="008E57F0" w:rsidP="00740589">
            <w:pPr>
              <w:jc w:val="both"/>
              <w:rPr>
                <w:sz w:val="16"/>
                <w:szCs w:val="16"/>
              </w:rPr>
            </w:pPr>
            <w:r w:rsidRPr="00BA1344">
              <w:rPr>
                <w:sz w:val="16"/>
                <w:szCs w:val="16"/>
              </w:rPr>
              <w:t>2015 - 1828</w:t>
            </w:r>
          </w:p>
        </w:tc>
      </w:tr>
      <w:tr w:rsidR="008E57F0" w:rsidRPr="00EF12F1" w:rsidTr="00740589">
        <w:trPr>
          <w:trHeight w:val="279"/>
        </w:trPr>
        <w:tc>
          <w:tcPr>
            <w:tcW w:w="1881" w:type="dxa"/>
            <w:vMerge/>
            <w:tcBorders>
              <w:top w:val="nil"/>
              <w:left w:val="single" w:sz="12" w:space="0" w:color="auto"/>
              <w:bottom w:val="single" w:sz="8" w:space="0" w:color="000000"/>
              <w:right w:val="single" w:sz="4" w:space="0" w:color="auto"/>
            </w:tcBorders>
            <w:vAlign w:val="center"/>
            <w:hideMark/>
          </w:tcPr>
          <w:p w:rsidR="008E57F0" w:rsidRPr="00BA1344" w:rsidRDefault="008E57F0" w:rsidP="00740589">
            <w:pPr>
              <w:jc w:val="both"/>
              <w:rPr>
                <w:sz w:val="16"/>
                <w:szCs w:val="16"/>
              </w:rPr>
            </w:pPr>
          </w:p>
        </w:tc>
        <w:tc>
          <w:tcPr>
            <w:tcW w:w="3669" w:type="dxa"/>
            <w:vMerge/>
            <w:tcBorders>
              <w:top w:val="nil"/>
              <w:left w:val="single" w:sz="4" w:space="0" w:color="auto"/>
              <w:bottom w:val="single" w:sz="4" w:space="0" w:color="auto"/>
              <w:right w:val="nil"/>
            </w:tcBorders>
            <w:vAlign w:val="center"/>
            <w:hideMark/>
          </w:tcPr>
          <w:p w:rsidR="008E57F0" w:rsidRPr="00BA1344" w:rsidRDefault="008E57F0" w:rsidP="00740589">
            <w:pPr>
              <w:jc w:val="both"/>
              <w:rPr>
                <w:sz w:val="16"/>
                <w:szCs w:val="16"/>
              </w:rPr>
            </w:pPr>
          </w:p>
        </w:tc>
        <w:tc>
          <w:tcPr>
            <w:tcW w:w="1666" w:type="dxa"/>
            <w:vMerge/>
            <w:tcBorders>
              <w:top w:val="nil"/>
              <w:left w:val="single" w:sz="8" w:space="0" w:color="auto"/>
              <w:bottom w:val="single" w:sz="4" w:space="0" w:color="auto"/>
              <w:right w:val="single" w:sz="4" w:space="0" w:color="auto"/>
            </w:tcBorders>
            <w:vAlign w:val="center"/>
            <w:hideMark/>
          </w:tcPr>
          <w:p w:rsidR="008E57F0" w:rsidRPr="00BA1344" w:rsidRDefault="008E57F0" w:rsidP="00740589">
            <w:pPr>
              <w:jc w:val="both"/>
              <w:rPr>
                <w:sz w:val="16"/>
                <w:szCs w:val="16"/>
              </w:rPr>
            </w:pPr>
          </w:p>
        </w:tc>
        <w:tc>
          <w:tcPr>
            <w:tcW w:w="936" w:type="dxa"/>
            <w:vMerge/>
            <w:tcBorders>
              <w:top w:val="nil"/>
              <w:left w:val="single" w:sz="4" w:space="0" w:color="auto"/>
              <w:bottom w:val="single" w:sz="4" w:space="0" w:color="auto"/>
              <w:right w:val="single" w:sz="4" w:space="0" w:color="auto"/>
            </w:tcBorders>
            <w:vAlign w:val="center"/>
            <w:hideMark/>
          </w:tcPr>
          <w:p w:rsidR="008E57F0" w:rsidRPr="00BA1344" w:rsidRDefault="008E57F0" w:rsidP="00740589">
            <w:pPr>
              <w:jc w:val="both"/>
              <w:rPr>
                <w:sz w:val="16"/>
                <w:szCs w:val="16"/>
              </w:rPr>
            </w:pPr>
          </w:p>
        </w:tc>
        <w:tc>
          <w:tcPr>
            <w:tcW w:w="779" w:type="dxa"/>
            <w:vMerge/>
            <w:tcBorders>
              <w:left w:val="nil"/>
              <w:bottom w:val="single" w:sz="4" w:space="0" w:color="auto"/>
              <w:right w:val="single" w:sz="12" w:space="0" w:color="auto"/>
            </w:tcBorders>
            <w:shd w:val="clear" w:color="auto" w:fill="auto"/>
            <w:noWrap/>
            <w:vAlign w:val="center"/>
            <w:hideMark/>
          </w:tcPr>
          <w:p w:rsidR="008E57F0" w:rsidRPr="00BA1344" w:rsidRDefault="008E57F0" w:rsidP="00740589">
            <w:pPr>
              <w:jc w:val="both"/>
              <w:rPr>
                <w:sz w:val="16"/>
                <w:szCs w:val="16"/>
              </w:rPr>
            </w:pPr>
          </w:p>
        </w:tc>
        <w:tc>
          <w:tcPr>
            <w:tcW w:w="1134" w:type="dxa"/>
            <w:tcBorders>
              <w:top w:val="nil"/>
              <w:left w:val="nil"/>
              <w:bottom w:val="single" w:sz="4" w:space="0" w:color="auto"/>
              <w:right w:val="single" w:sz="12" w:space="0" w:color="auto"/>
            </w:tcBorders>
            <w:vAlign w:val="center"/>
          </w:tcPr>
          <w:p w:rsidR="008E57F0" w:rsidRPr="00BA1344" w:rsidRDefault="008E57F0" w:rsidP="00740589">
            <w:pPr>
              <w:jc w:val="both"/>
              <w:rPr>
                <w:sz w:val="16"/>
                <w:szCs w:val="16"/>
              </w:rPr>
            </w:pPr>
            <w:r w:rsidRPr="00BA1344">
              <w:rPr>
                <w:sz w:val="16"/>
                <w:szCs w:val="16"/>
              </w:rPr>
              <w:t>2016 - 380</w:t>
            </w:r>
          </w:p>
        </w:tc>
      </w:tr>
      <w:tr w:rsidR="008E57F0" w:rsidRPr="00EF12F1" w:rsidTr="00740589">
        <w:trPr>
          <w:trHeight w:val="420"/>
        </w:trPr>
        <w:tc>
          <w:tcPr>
            <w:tcW w:w="1881" w:type="dxa"/>
            <w:vMerge/>
            <w:tcBorders>
              <w:top w:val="nil"/>
              <w:left w:val="single" w:sz="12" w:space="0" w:color="auto"/>
              <w:bottom w:val="single" w:sz="8" w:space="0" w:color="000000"/>
              <w:right w:val="single" w:sz="4" w:space="0" w:color="auto"/>
            </w:tcBorders>
            <w:vAlign w:val="center"/>
            <w:hideMark/>
          </w:tcPr>
          <w:p w:rsidR="008E57F0" w:rsidRPr="00BA1344" w:rsidRDefault="008E57F0" w:rsidP="00740589">
            <w:pPr>
              <w:jc w:val="both"/>
              <w:rPr>
                <w:sz w:val="16"/>
                <w:szCs w:val="16"/>
              </w:rPr>
            </w:pPr>
          </w:p>
        </w:tc>
        <w:tc>
          <w:tcPr>
            <w:tcW w:w="3669" w:type="dxa"/>
            <w:vMerge w:val="restart"/>
            <w:tcBorders>
              <w:top w:val="nil"/>
              <w:left w:val="single" w:sz="4" w:space="0" w:color="auto"/>
              <w:bottom w:val="single" w:sz="4" w:space="0" w:color="auto"/>
              <w:right w:val="nil"/>
            </w:tcBorders>
            <w:shd w:val="clear" w:color="auto" w:fill="auto"/>
            <w:hideMark/>
          </w:tcPr>
          <w:p w:rsidR="008E57F0" w:rsidRPr="00BA1344" w:rsidRDefault="008E57F0" w:rsidP="00A80ADE">
            <w:pPr>
              <w:jc w:val="both"/>
              <w:rPr>
                <w:sz w:val="16"/>
                <w:szCs w:val="16"/>
              </w:rPr>
            </w:pPr>
            <w:r>
              <w:rPr>
                <w:sz w:val="16"/>
                <w:szCs w:val="16"/>
              </w:rPr>
              <w:t xml:space="preserve">за счет </w:t>
            </w:r>
            <w:r w:rsidRPr="00BA1344">
              <w:rPr>
                <w:sz w:val="16"/>
                <w:szCs w:val="16"/>
              </w:rPr>
              <w:t>строительств</w:t>
            </w:r>
            <w:r>
              <w:rPr>
                <w:sz w:val="16"/>
                <w:szCs w:val="16"/>
              </w:rPr>
              <w:t>а</w:t>
            </w:r>
            <w:r w:rsidRPr="00BA1344">
              <w:rPr>
                <w:sz w:val="16"/>
                <w:szCs w:val="16"/>
              </w:rPr>
              <w:t xml:space="preserve"> зданий дошкольных образовательных организаций, в том числе с возможностью использования для реализации программ общего образования</w:t>
            </w:r>
          </w:p>
        </w:tc>
        <w:tc>
          <w:tcPr>
            <w:tcW w:w="1666"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8E57F0" w:rsidRPr="00BA1344" w:rsidRDefault="008E57F0" w:rsidP="00740589">
            <w:pPr>
              <w:jc w:val="both"/>
              <w:rPr>
                <w:sz w:val="16"/>
                <w:szCs w:val="16"/>
              </w:rPr>
            </w:pPr>
            <w:r w:rsidRPr="00BA1344">
              <w:rPr>
                <w:sz w:val="16"/>
                <w:szCs w:val="16"/>
              </w:rPr>
              <w:t>1681</w:t>
            </w:r>
          </w:p>
        </w:tc>
        <w:tc>
          <w:tcPr>
            <w:tcW w:w="9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E57F0" w:rsidRPr="00BA1344" w:rsidRDefault="008E57F0" w:rsidP="00740589">
            <w:pPr>
              <w:jc w:val="both"/>
              <w:rPr>
                <w:sz w:val="16"/>
                <w:szCs w:val="16"/>
              </w:rPr>
            </w:pPr>
            <w:r w:rsidRPr="00BA1344">
              <w:rPr>
                <w:sz w:val="16"/>
                <w:szCs w:val="16"/>
              </w:rPr>
              <w:t>971</w:t>
            </w:r>
          </w:p>
        </w:tc>
        <w:tc>
          <w:tcPr>
            <w:tcW w:w="779" w:type="dxa"/>
            <w:vMerge w:val="restart"/>
            <w:tcBorders>
              <w:top w:val="nil"/>
              <w:left w:val="nil"/>
              <w:right w:val="single" w:sz="12" w:space="0" w:color="auto"/>
            </w:tcBorders>
            <w:shd w:val="clear" w:color="auto" w:fill="auto"/>
            <w:noWrap/>
            <w:vAlign w:val="center"/>
            <w:hideMark/>
          </w:tcPr>
          <w:p w:rsidR="008E57F0" w:rsidRPr="00BA1344" w:rsidRDefault="00993468" w:rsidP="00740589">
            <w:pPr>
              <w:jc w:val="both"/>
              <w:rPr>
                <w:sz w:val="16"/>
                <w:szCs w:val="16"/>
              </w:rPr>
            </w:pPr>
            <w:r>
              <w:rPr>
                <w:sz w:val="16"/>
                <w:szCs w:val="16"/>
              </w:rPr>
              <w:t>1351</w:t>
            </w:r>
          </w:p>
        </w:tc>
        <w:tc>
          <w:tcPr>
            <w:tcW w:w="1134" w:type="dxa"/>
            <w:tcBorders>
              <w:top w:val="nil"/>
              <w:left w:val="nil"/>
              <w:bottom w:val="single" w:sz="4" w:space="0" w:color="auto"/>
              <w:right w:val="single" w:sz="12" w:space="0" w:color="auto"/>
            </w:tcBorders>
            <w:vAlign w:val="center"/>
          </w:tcPr>
          <w:p w:rsidR="008E57F0" w:rsidRPr="00BA1344" w:rsidRDefault="008E57F0" w:rsidP="00740589">
            <w:pPr>
              <w:jc w:val="both"/>
              <w:rPr>
                <w:sz w:val="16"/>
                <w:szCs w:val="16"/>
              </w:rPr>
            </w:pPr>
            <w:r w:rsidRPr="00BA1344">
              <w:rPr>
                <w:sz w:val="16"/>
                <w:szCs w:val="16"/>
              </w:rPr>
              <w:t>2015 - 971</w:t>
            </w:r>
          </w:p>
        </w:tc>
      </w:tr>
      <w:tr w:rsidR="008E57F0" w:rsidRPr="00EF12F1" w:rsidTr="00740589">
        <w:trPr>
          <w:trHeight w:val="219"/>
        </w:trPr>
        <w:tc>
          <w:tcPr>
            <w:tcW w:w="1881" w:type="dxa"/>
            <w:vMerge/>
            <w:tcBorders>
              <w:top w:val="nil"/>
              <w:left w:val="single" w:sz="12" w:space="0" w:color="auto"/>
              <w:bottom w:val="single" w:sz="8" w:space="0" w:color="000000"/>
              <w:right w:val="single" w:sz="4" w:space="0" w:color="auto"/>
            </w:tcBorders>
            <w:vAlign w:val="center"/>
            <w:hideMark/>
          </w:tcPr>
          <w:p w:rsidR="008E57F0" w:rsidRPr="00BA1344" w:rsidRDefault="008E57F0" w:rsidP="00740589">
            <w:pPr>
              <w:jc w:val="both"/>
              <w:rPr>
                <w:sz w:val="16"/>
                <w:szCs w:val="16"/>
              </w:rPr>
            </w:pPr>
          </w:p>
        </w:tc>
        <w:tc>
          <w:tcPr>
            <w:tcW w:w="3669" w:type="dxa"/>
            <w:vMerge/>
            <w:tcBorders>
              <w:top w:val="nil"/>
              <w:left w:val="single" w:sz="4" w:space="0" w:color="auto"/>
              <w:bottom w:val="single" w:sz="4" w:space="0" w:color="auto"/>
              <w:right w:val="nil"/>
            </w:tcBorders>
            <w:vAlign w:val="center"/>
            <w:hideMark/>
          </w:tcPr>
          <w:p w:rsidR="008E57F0" w:rsidRPr="00BA1344" w:rsidRDefault="008E57F0" w:rsidP="00740589">
            <w:pPr>
              <w:jc w:val="both"/>
              <w:rPr>
                <w:sz w:val="16"/>
                <w:szCs w:val="16"/>
              </w:rPr>
            </w:pPr>
          </w:p>
        </w:tc>
        <w:tc>
          <w:tcPr>
            <w:tcW w:w="1666" w:type="dxa"/>
            <w:vMerge/>
            <w:tcBorders>
              <w:top w:val="nil"/>
              <w:left w:val="single" w:sz="8" w:space="0" w:color="auto"/>
              <w:bottom w:val="single" w:sz="4" w:space="0" w:color="auto"/>
              <w:right w:val="single" w:sz="4" w:space="0" w:color="auto"/>
            </w:tcBorders>
            <w:vAlign w:val="center"/>
            <w:hideMark/>
          </w:tcPr>
          <w:p w:rsidR="008E57F0" w:rsidRPr="00BA1344" w:rsidRDefault="008E57F0" w:rsidP="00740589">
            <w:pPr>
              <w:jc w:val="both"/>
              <w:rPr>
                <w:sz w:val="16"/>
                <w:szCs w:val="16"/>
              </w:rPr>
            </w:pPr>
          </w:p>
        </w:tc>
        <w:tc>
          <w:tcPr>
            <w:tcW w:w="936" w:type="dxa"/>
            <w:vMerge/>
            <w:tcBorders>
              <w:top w:val="nil"/>
              <w:left w:val="single" w:sz="4" w:space="0" w:color="auto"/>
              <w:bottom w:val="single" w:sz="4" w:space="0" w:color="auto"/>
              <w:right w:val="single" w:sz="4" w:space="0" w:color="auto"/>
            </w:tcBorders>
            <w:vAlign w:val="center"/>
            <w:hideMark/>
          </w:tcPr>
          <w:p w:rsidR="008E57F0" w:rsidRPr="00BA1344" w:rsidRDefault="008E57F0" w:rsidP="00740589">
            <w:pPr>
              <w:jc w:val="both"/>
              <w:rPr>
                <w:sz w:val="16"/>
                <w:szCs w:val="16"/>
              </w:rPr>
            </w:pPr>
          </w:p>
        </w:tc>
        <w:tc>
          <w:tcPr>
            <w:tcW w:w="779" w:type="dxa"/>
            <w:vMerge/>
            <w:tcBorders>
              <w:left w:val="nil"/>
              <w:bottom w:val="single" w:sz="4" w:space="0" w:color="auto"/>
              <w:right w:val="single" w:sz="12" w:space="0" w:color="auto"/>
            </w:tcBorders>
            <w:shd w:val="clear" w:color="auto" w:fill="auto"/>
            <w:noWrap/>
            <w:vAlign w:val="center"/>
            <w:hideMark/>
          </w:tcPr>
          <w:p w:rsidR="008E57F0" w:rsidRPr="00BA1344" w:rsidRDefault="008E57F0" w:rsidP="00740589">
            <w:pPr>
              <w:jc w:val="both"/>
              <w:rPr>
                <w:sz w:val="16"/>
                <w:szCs w:val="16"/>
              </w:rPr>
            </w:pPr>
          </w:p>
        </w:tc>
        <w:tc>
          <w:tcPr>
            <w:tcW w:w="1134" w:type="dxa"/>
            <w:tcBorders>
              <w:top w:val="nil"/>
              <w:left w:val="nil"/>
              <w:bottom w:val="single" w:sz="4" w:space="0" w:color="auto"/>
              <w:right w:val="single" w:sz="12" w:space="0" w:color="auto"/>
            </w:tcBorders>
            <w:vAlign w:val="center"/>
          </w:tcPr>
          <w:p w:rsidR="008E57F0" w:rsidRPr="00BA1344" w:rsidRDefault="008E57F0" w:rsidP="00740589">
            <w:pPr>
              <w:jc w:val="both"/>
              <w:rPr>
                <w:sz w:val="16"/>
                <w:szCs w:val="16"/>
              </w:rPr>
            </w:pPr>
            <w:r w:rsidRPr="00BA1344">
              <w:rPr>
                <w:sz w:val="16"/>
                <w:szCs w:val="16"/>
              </w:rPr>
              <w:t>2016 - 380</w:t>
            </w:r>
          </w:p>
        </w:tc>
      </w:tr>
      <w:tr w:rsidR="008E57F0" w:rsidRPr="00EF12F1" w:rsidTr="00740589">
        <w:trPr>
          <w:trHeight w:val="389"/>
        </w:trPr>
        <w:tc>
          <w:tcPr>
            <w:tcW w:w="1881" w:type="dxa"/>
            <w:vMerge/>
            <w:tcBorders>
              <w:top w:val="nil"/>
              <w:left w:val="single" w:sz="12" w:space="0" w:color="auto"/>
              <w:bottom w:val="single" w:sz="8" w:space="0" w:color="000000"/>
              <w:right w:val="single" w:sz="4" w:space="0" w:color="auto"/>
            </w:tcBorders>
            <w:vAlign w:val="center"/>
            <w:hideMark/>
          </w:tcPr>
          <w:p w:rsidR="008E57F0" w:rsidRPr="00BA1344" w:rsidRDefault="008E57F0" w:rsidP="00740589">
            <w:pPr>
              <w:jc w:val="both"/>
              <w:rPr>
                <w:sz w:val="16"/>
                <w:szCs w:val="16"/>
              </w:rPr>
            </w:pPr>
          </w:p>
        </w:tc>
        <w:tc>
          <w:tcPr>
            <w:tcW w:w="3669" w:type="dxa"/>
            <w:tcBorders>
              <w:top w:val="nil"/>
              <w:left w:val="nil"/>
              <w:bottom w:val="single" w:sz="4" w:space="0" w:color="auto"/>
              <w:right w:val="nil"/>
            </w:tcBorders>
            <w:shd w:val="clear" w:color="auto" w:fill="auto"/>
            <w:vAlign w:val="center"/>
            <w:hideMark/>
          </w:tcPr>
          <w:p w:rsidR="008E57F0" w:rsidRPr="00BA1344" w:rsidRDefault="008E57F0" w:rsidP="00A80ADE">
            <w:pPr>
              <w:jc w:val="both"/>
              <w:rPr>
                <w:sz w:val="16"/>
                <w:szCs w:val="16"/>
              </w:rPr>
            </w:pPr>
            <w:r>
              <w:rPr>
                <w:sz w:val="16"/>
                <w:szCs w:val="16"/>
              </w:rPr>
              <w:t xml:space="preserve">за счет </w:t>
            </w:r>
            <w:r w:rsidRPr="00BA1344">
              <w:rPr>
                <w:sz w:val="16"/>
                <w:szCs w:val="16"/>
              </w:rPr>
              <w:t>реконструкци</w:t>
            </w:r>
            <w:r>
              <w:rPr>
                <w:sz w:val="16"/>
                <w:szCs w:val="16"/>
              </w:rPr>
              <w:t>и</w:t>
            </w:r>
            <w:r w:rsidRPr="00BA1344">
              <w:rPr>
                <w:sz w:val="16"/>
                <w:szCs w:val="16"/>
              </w:rPr>
              <w:t xml:space="preserve"> зданий дошкольных образовательных организаций</w:t>
            </w:r>
          </w:p>
        </w:tc>
        <w:tc>
          <w:tcPr>
            <w:tcW w:w="1666" w:type="dxa"/>
            <w:tcBorders>
              <w:top w:val="nil"/>
              <w:left w:val="single" w:sz="8" w:space="0" w:color="auto"/>
              <w:bottom w:val="single" w:sz="4" w:space="0" w:color="auto"/>
              <w:right w:val="single" w:sz="4" w:space="0" w:color="auto"/>
            </w:tcBorders>
            <w:shd w:val="clear" w:color="auto" w:fill="auto"/>
            <w:noWrap/>
            <w:vAlign w:val="center"/>
            <w:hideMark/>
          </w:tcPr>
          <w:p w:rsidR="008E57F0" w:rsidRPr="00BA1344" w:rsidRDefault="008E57F0" w:rsidP="00740589">
            <w:pPr>
              <w:jc w:val="both"/>
              <w:rPr>
                <w:sz w:val="16"/>
                <w:szCs w:val="16"/>
              </w:rPr>
            </w:pPr>
            <w:r w:rsidRPr="00BA1344">
              <w:rPr>
                <w:sz w:val="16"/>
                <w:szCs w:val="16"/>
              </w:rPr>
              <w:t>315</w:t>
            </w:r>
          </w:p>
        </w:tc>
        <w:tc>
          <w:tcPr>
            <w:tcW w:w="936" w:type="dxa"/>
            <w:tcBorders>
              <w:top w:val="nil"/>
              <w:left w:val="nil"/>
              <w:bottom w:val="single" w:sz="4" w:space="0" w:color="auto"/>
              <w:right w:val="single" w:sz="4" w:space="0" w:color="auto"/>
            </w:tcBorders>
            <w:shd w:val="clear" w:color="auto" w:fill="auto"/>
            <w:noWrap/>
            <w:vAlign w:val="center"/>
            <w:hideMark/>
          </w:tcPr>
          <w:p w:rsidR="008E57F0" w:rsidRPr="00BA1344" w:rsidRDefault="008E57F0" w:rsidP="00740589">
            <w:pPr>
              <w:jc w:val="both"/>
              <w:rPr>
                <w:sz w:val="16"/>
                <w:szCs w:val="16"/>
              </w:rPr>
            </w:pPr>
            <w:r w:rsidRPr="00BA1344">
              <w:rPr>
                <w:sz w:val="16"/>
                <w:szCs w:val="16"/>
              </w:rPr>
              <w:t>215</w:t>
            </w:r>
          </w:p>
        </w:tc>
        <w:tc>
          <w:tcPr>
            <w:tcW w:w="779" w:type="dxa"/>
            <w:tcBorders>
              <w:top w:val="nil"/>
              <w:left w:val="nil"/>
              <w:bottom w:val="single" w:sz="4" w:space="0" w:color="auto"/>
              <w:right w:val="single" w:sz="12" w:space="0" w:color="auto"/>
            </w:tcBorders>
            <w:shd w:val="clear" w:color="auto" w:fill="auto"/>
            <w:noWrap/>
            <w:vAlign w:val="center"/>
            <w:hideMark/>
          </w:tcPr>
          <w:p w:rsidR="008E57F0" w:rsidRPr="00BA1344" w:rsidRDefault="00993468" w:rsidP="00740589">
            <w:pPr>
              <w:jc w:val="both"/>
              <w:rPr>
                <w:sz w:val="16"/>
                <w:szCs w:val="16"/>
              </w:rPr>
            </w:pPr>
            <w:r>
              <w:rPr>
                <w:sz w:val="16"/>
                <w:szCs w:val="16"/>
              </w:rPr>
              <w:t>215</w:t>
            </w:r>
          </w:p>
        </w:tc>
        <w:tc>
          <w:tcPr>
            <w:tcW w:w="1134" w:type="dxa"/>
            <w:tcBorders>
              <w:top w:val="nil"/>
              <w:left w:val="nil"/>
              <w:bottom w:val="single" w:sz="4" w:space="0" w:color="auto"/>
              <w:right w:val="single" w:sz="12" w:space="0" w:color="auto"/>
            </w:tcBorders>
            <w:vAlign w:val="center"/>
          </w:tcPr>
          <w:p w:rsidR="008E57F0" w:rsidRPr="00BA1344" w:rsidRDefault="008E57F0" w:rsidP="00740589">
            <w:pPr>
              <w:jc w:val="both"/>
              <w:rPr>
                <w:sz w:val="16"/>
                <w:szCs w:val="16"/>
              </w:rPr>
            </w:pPr>
            <w:r w:rsidRPr="00BA1344">
              <w:rPr>
                <w:sz w:val="16"/>
                <w:szCs w:val="16"/>
              </w:rPr>
              <w:t>215</w:t>
            </w:r>
          </w:p>
        </w:tc>
      </w:tr>
      <w:tr w:rsidR="008E57F0" w:rsidRPr="00EF12F1" w:rsidTr="00740589">
        <w:trPr>
          <w:trHeight w:val="381"/>
        </w:trPr>
        <w:tc>
          <w:tcPr>
            <w:tcW w:w="1881" w:type="dxa"/>
            <w:vMerge/>
            <w:tcBorders>
              <w:top w:val="nil"/>
              <w:left w:val="single" w:sz="12" w:space="0" w:color="auto"/>
              <w:bottom w:val="single" w:sz="12" w:space="0" w:color="auto"/>
              <w:right w:val="single" w:sz="4" w:space="0" w:color="auto"/>
            </w:tcBorders>
            <w:vAlign w:val="center"/>
            <w:hideMark/>
          </w:tcPr>
          <w:p w:rsidR="008E57F0" w:rsidRPr="00BA1344" w:rsidRDefault="008E57F0" w:rsidP="00740589">
            <w:pPr>
              <w:jc w:val="both"/>
              <w:rPr>
                <w:sz w:val="16"/>
                <w:szCs w:val="16"/>
              </w:rPr>
            </w:pPr>
          </w:p>
        </w:tc>
        <w:tc>
          <w:tcPr>
            <w:tcW w:w="3669" w:type="dxa"/>
            <w:tcBorders>
              <w:top w:val="nil"/>
              <w:left w:val="nil"/>
              <w:bottom w:val="single" w:sz="12" w:space="0" w:color="auto"/>
              <w:right w:val="nil"/>
            </w:tcBorders>
            <w:shd w:val="clear" w:color="auto" w:fill="auto"/>
            <w:vAlign w:val="center"/>
            <w:hideMark/>
          </w:tcPr>
          <w:p w:rsidR="008E57F0" w:rsidRPr="00BA1344" w:rsidRDefault="008E57F0" w:rsidP="00740589">
            <w:pPr>
              <w:jc w:val="both"/>
              <w:rPr>
                <w:sz w:val="16"/>
                <w:szCs w:val="16"/>
              </w:rPr>
            </w:pPr>
            <w:r>
              <w:rPr>
                <w:sz w:val="16"/>
                <w:szCs w:val="16"/>
              </w:rPr>
              <w:t>за счет капитального и текущего</w:t>
            </w:r>
            <w:r w:rsidRPr="00BA1344">
              <w:rPr>
                <w:sz w:val="16"/>
                <w:szCs w:val="16"/>
              </w:rPr>
              <w:t xml:space="preserve"> ремонт</w:t>
            </w:r>
            <w:r>
              <w:rPr>
                <w:sz w:val="16"/>
                <w:szCs w:val="16"/>
              </w:rPr>
              <w:t>а</w:t>
            </w:r>
            <w:r w:rsidRPr="00BA1344">
              <w:rPr>
                <w:sz w:val="16"/>
                <w:szCs w:val="16"/>
              </w:rPr>
              <w:t xml:space="preserve"> зданий дошкольных образовательных организаций</w:t>
            </w:r>
          </w:p>
        </w:tc>
        <w:tc>
          <w:tcPr>
            <w:tcW w:w="1666" w:type="dxa"/>
            <w:tcBorders>
              <w:top w:val="nil"/>
              <w:left w:val="single" w:sz="8" w:space="0" w:color="auto"/>
              <w:bottom w:val="single" w:sz="12" w:space="0" w:color="auto"/>
              <w:right w:val="single" w:sz="4" w:space="0" w:color="auto"/>
            </w:tcBorders>
            <w:shd w:val="clear" w:color="auto" w:fill="auto"/>
            <w:noWrap/>
            <w:vAlign w:val="center"/>
            <w:hideMark/>
          </w:tcPr>
          <w:p w:rsidR="008E57F0" w:rsidRPr="00BA1344" w:rsidRDefault="008E57F0" w:rsidP="00740589">
            <w:pPr>
              <w:jc w:val="both"/>
              <w:rPr>
                <w:sz w:val="16"/>
                <w:szCs w:val="16"/>
              </w:rPr>
            </w:pPr>
            <w:r w:rsidRPr="00BA1344">
              <w:rPr>
                <w:sz w:val="16"/>
                <w:szCs w:val="16"/>
              </w:rPr>
              <w:t>642</w:t>
            </w:r>
          </w:p>
        </w:tc>
        <w:tc>
          <w:tcPr>
            <w:tcW w:w="936" w:type="dxa"/>
            <w:tcBorders>
              <w:top w:val="nil"/>
              <w:left w:val="nil"/>
              <w:bottom w:val="single" w:sz="12" w:space="0" w:color="auto"/>
              <w:right w:val="single" w:sz="4" w:space="0" w:color="auto"/>
            </w:tcBorders>
            <w:shd w:val="clear" w:color="auto" w:fill="auto"/>
            <w:noWrap/>
            <w:vAlign w:val="center"/>
            <w:hideMark/>
          </w:tcPr>
          <w:p w:rsidR="008E57F0" w:rsidRPr="00BA1344" w:rsidRDefault="008E57F0" w:rsidP="00740589">
            <w:pPr>
              <w:jc w:val="both"/>
              <w:rPr>
                <w:sz w:val="16"/>
                <w:szCs w:val="16"/>
              </w:rPr>
            </w:pPr>
            <w:r w:rsidRPr="00BA1344">
              <w:rPr>
                <w:sz w:val="16"/>
                <w:szCs w:val="16"/>
              </w:rPr>
              <w:t>642</w:t>
            </w:r>
          </w:p>
        </w:tc>
        <w:tc>
          <w:tcPr>
            <w:tcW w:w="779" w:type="dxa"/>
            <w:tcBorders>
              <w:top w:val="nil"/>
              <w:left w:val="nil"/>
              <w:bottom w:val="single" w:sz="12" w:space="0" w:color="auto"/>
              <w:right w:val="single" w:sz="12" w:space="0" w:color="auto"/>
            </w:tcBorders>
            <w:shd w:val="clear" w:color="auto" w:fill="auto"/>
            <w:noWrap/>
            <w:vAlign w:val="center"/>
            <w:hideMark/>
          </w:tcPr>
          <w:p w:rsidR="008E57F0" w:rsidRPr="00BA1344" w:rsidRDefault="00993468" w:rsidP="00740589">
            <w:pPr>
              <w:jc w:val="both"/>
              <w:rPr>
                <w:sz w:val="16"/>
                <w:szCs w:val="16"/>
              </w:rPr>
            </w:pPr>
            <w:r>
              <w:rPr>
                <w:sz w:val="16"/>
                <w:szCs w:val="16"/>
              </w:rPr>
              <w:t>642</w:t>
            </w:r>
          </w:p>
        </w:tc>
        <w:tc>
          <w:tcPr>
            <w:tcW w:w="1134" w:type="dxa"/>
            <w:tcBorders>
              <w:top w:val="nil"/>
              <w:left w:val="nil"/>
              <w:bottom w:val="single" w:sz="12" w:space="0" w:color="auto"/>
              <w:right w:val="single" w:sz="12" w:space="0" w:color="auto"/>
            </w:tcBorders>
            <w:vAlign w:val="center"/>
          </w:tcPr>
          <w:p w:rsidR="008E57F0" w:rsidRPr="00BA1344" w:rsidRDefault="008E57F0" w:rsidP="00740589">
            <w:pPr>
              <w:jc w:val="both"/>
              <w:rPr>
                <w:sz w:val="16"/>
                <w:szCs w:val="16"/>
              </w:rPr>
            </w:pPr>
            <w:r w:rsidRPr="00BA1344">
              <w:rPr>
                <w:sz w:val="16"/>
                <w:szCs w:val="16"/>
              </w:rPr>
              <w:t>642</w:t>
            </w:r>
          </w:p>
        </w:tc>
      </w:tr>
    </w:tbl>
    <w:p w:rsidR="00E6425D" w:rsidRDefault="007E0576" w:rsidP="00E6425D">
      <w:pPr>
        <w:ind w:firstLine="709"/>
        <w:jc w:val="both"/>
      </w:pPr>
      <w:r w:rsidRPr="00E6425D">
        <w:t xml:space="preserve">Согласно </w:t>
      </w:r>
      <w:r w:rsidR="00E6425D">
        <w:t xml:space="preserve">уточненному отчету </w:t>
      </w:r>
      <w:r w:rsidRPr="00E6425D">
        <w:t>показатель «Количество мест, созданных в рамках реализации комплекса мероприятий («дорожная карта») увеличен на количество мест, созданных в 2016 году путем ввода в эксплуатацию 3 объектов капитального стро</w:t>
      </w:r>
      <w:r w:rsidR="00E6425D" w:rsidRPr="00E6425D">
        <w:t>ительства, проектной мощностью -</w:t>
      </w:r>
      <w:r w:rsidRPr="00E6425D">
        <w:t xml:space="preserve"> 622 места, из них</w:t>
      </w:r>
      <w:r w:rsidR="00E6425D">
        <w:t>:</w:t>
      </w:r>
    </w:p>
    <w:p w:rsidR="00E6425D" w:rsidRDefault="00E6425D" w:rsidP="00E6425D">
      <w:pPr>
        <w:ind w:firstLine="709"/>
        <w:jc w:val="both"/>
      </w:pPr>
      <w:r>
        <w:t>-</w:t>
      </w:r>
      <w:r w:rsidR="00E67B79">
        <w:t xml:space="preserve"> 380 мест</w:t>
      </w:r>
      <w:r w:rsidR="007E0576" w:rsidRPr="00E6425D">
        <w:t xml:space="preserve"> создан</w:t>
      </w:r>
      <w:r>
        <w:t>о</w:t>
      </w:r>
      <w:r w:rsidR="007E0576" w:rsidRPr="00E6425D">
        <w:t xml:space="preserve"> в рамках Соглашения с Минобразования РФ от 06.05.2015 (140 мест </w:t>
      </w:r>
      <w:r w:rsidRPr="00E6425D">
        <w:t>-</w:t>
      </w:r>
      <w:r w:rsidR="007E0576" w:rsidRPr="00E6425D">
        <w:t xml:space="preserve"> «Детский сад на 140 мест в п. Новостройка Палласовского района Волгоградской области» и 240 мест </w:t>
      </w:r>
      <w:r w:rsidRPr="00E6425D">
        <w:t>-</w:t>
      </w:r>
      <w:r w:rsidR="007E0576" w:rsidRPr="00E6425D">
        <w:t xml:space="preserve"> «Дошкольное образовательное учреждение по ул. Шекснинской в Дзержинском районе г. Волгограда»)</w:t>
      </w:r>
      <w:r>
        <w:t>;</w:t>
      </w:r>
    </w:p>
    <w:p w:rsidR="007E0576" w:rsidRPr="00E6425D" w:rsidRDefault="00E6425D" w:rsidP="00E6425D">
      <w:pPr>
        <w:ind w:firstLine="709"/>
        <w:jc w:val="both"/>
      </w:pPr>
      <w:r>
        <w:t>-</w:t>
      </w:r>
      <w:r w:rsidR="007E0576" w:rsidRPr="00E6425D">
        <w:t xml:space="preserve"> 242 места </w:t>
      </w:r>
      <w:r>
        <w:t>создано в рамках исполнения соглашения</w:t>
      </w:r>
      <w:r w:rsidR="007E0576" w:rsidRPr="00E6425D">
        <w:t xml:space="preserve"> 2014 года с Минобразования РФ от 14.07.2014 №08.Т07.24.0645 («Дошкольное образовательное учреждение по ул. им. Маршала Воронова, 16 в жилой застройке «Янтарный город» в Советском районе Волгограда»). </w:t>
      </w:r>
    </w:p>
    <w:p w:rsidR="00E6325D" w:rsidRDefault="007E0576" w:rsidP="007E0576">
      <w:pPr>
        <w:ind w:firstLine="709"/>
        <w:jc w:val="both"/>
      </w:pPr>
      <w:r w:rsidRPr="009C38D1">
        <w:t>Следует отметить, что в марте 2015 года в ходе проведения внешней проверки бюджетной отчетности и отдельных вопросов исполнения областного бюджета за 2014 год министерства строительства Волгоградской области (ныне действующий Облстрой) сотрудники КСП выезжали с обследованием на объект, расположенный по ул. Маршала Воронова в жилой застройке «Янтарный город». По состоянию на 31.03.2015 он не был завершен строительством. Работы по строительству объекта в полн</w:t>
      </w:r>
      <w:r w:rsidR="00E67B79">
        <w:t xml:space="preserve">ом объеме заказчиком не </w:t>
      </w:r>
      <w:r w:rsidR="0048573D">
        <w:t xml:space="preserve">были </w:t>
      </w:r>
      <w:r w:rsidR="00E67B79" w:rsidRPr="00751AD3">
        <w:t>приняты</w:t>
      </w:r>
      <w:r w:rsidRPr="00751AD3">
        <w:t xml:space="preserve"> и оплачены</w:t>
      </w:r>
      <w:r w:rsidRPr="00E67B79">
        <w:t>.</w:t>
      </w:r>
      <w:r w:rsidRPr="009C38D1">
        <w:t xml:space="preserve"> При этом администрацией Волгограда в декабре 2014 года выдано разрешение на ввод объекта в эксплуатацию от 31.12.2014 №RU 34301000-161/06/14, подписанное заместителем главы администрации Волгограда В.П.Сидоренко. </w:t>
      </w:r>
      <w:r w:rsidR="00270D3B">
        <w:t xml:space="preserve"> Впоследствии, </w:t>
      </w:r>
      <w:r w:rsidRPr="00270D3B">
        <w:t>постановлением администрации Волгограда от 16.01.2015 № 19 разрешение на ввод объекта в эксплуатацию было отменено</w:t>
      </w:r>
      <w:r w:rsidR="00D774C8">
        <w:t>,</w:t>
      </w:r>
      <w:r w:rsidRPr="00270D3B">
        <w:t xml:space="preserve"> </w:t>
      </w:r>
      <w:r w:rsidR="00D774C8">
        <w:t>в связи с чем</w:t>
      </w:r>
      <w:r w:rsidRPr="00270D3B">
        <w:t xml:space="preserve"> объект был исключен из </w:t>
      </w:r>
      <w:r w:rsidR="00270D3B" w:rsidRPr="00270D3B">
        <w:t>отчета об осуществлении расходов бюджета Волгоградской области и о достигнутых значениях показателей результативности предоставления субсидии из федерального бюджета за 2014 год</w:t>
      </w:r>
      <w:r w:rsidR="00E6325D">
        <w:t xml:space="preserve">, направленного в </w:t>
      </w:r>
      <w:r w:rsidR="00E6325D" w:rsidRPr="00E6425D">
        <w:t>Минобразования РФ</w:t>
      </w:r>
      <w:r w:rsidR="00E6325D">
        <w:t>.</w:t>
      </w:r>
    </w:p>
    <w:p w:rsidR="007E0576" w:rsidRPr="00270D3B" w:rsidRDefault="00E6325D" w:rsidP="007E0576">
      <w:pPr>
        <w:ind w:firstLine="709"/>
        <w:jc w:val="both"/>
      </w:pPr>
      <w:r w:rsidRPr="00E6425D">
        <w:t xml:space="preserve"> </w:t>
      </w:r>
      <w:r w:rsidR="007E0576" w:rsidRPr="00270D3B">
        <w:t>В 2015 году объект достраивался только за счет средств бюджета г. Волгограда, а места, созданные по окончани</w:t>
      </w:r>
      <w:r w:rsidR="00D774C8">
        <w:t xml:space="preserve">и </w:t>
      </w:r>
      <w:r w:rsidR="007E0576" w:rsidRPr="00270D3B">
        <w:t>его строительства (242 ед.), учтены</w:t>
      </w:r>
      <w:r w:rsidR="00D774C8">
        <w:t xml:space="preserve"> в показателях «дорожной карты»</w:t>
      </w:r>
      <w:r w:rsidR="007E0576" w:rsidRPr="00270D3B">
        <w:t xml:space="preserve"> с целью проведения объективной оценки по достижению показателей результативности 2015 года, установленных Соглашением с Минобразования РФ от 06.05.2015. В связи с </w:t>
      </w:r>
      <w:r w:rsidR="00D774C8">
        <w:t xml:space="preserve">этим </w:t>
      </w:r>
      <w:r w:rsidR="007E0576" w:rsidRPr="00270D3B">
        <w:t xml:space="preserve">они не нашли своего отражения по строке «строительство зданий дошкольных образовательных организаций, в том числе с возможностью использования для реализации программ общего образования». Как следует из </w:t>
      </w:r>
      <w:r>
        <w:t xml:space="preserve">уточненной </w:t>
      </w:r>
      <w:r w:rsidR="007E0576" w:rsidRPr="00270D3B">
        <w:t>отчетности, показатель результативности «количество мест, созданных в рамках реализации комплекса мероприятий («дорожная карта</w:t>
      </w:r>
      <w:r w:rsidR="007E0576" w:rsidRPr="00AF0309">
        <w:t xml:space="preserve">»)» - 4500 мест перевыполнен на 187 мест, или </w:t>
      </w:r>
      <w:r w:rsidR="00D774C8" w:rsidRPr="00AF0309">
        <w:t xml:space="preserve">на </w:t>
      </w:r>
      <w:r w:rsidR="007E0576" w:rsidRPr="00AF0309">
        <w:t>4,2%, поскольку общее количество мест составляет 4687 единиц.</w:t>
      </w:r>
      <w:r w:rsidR="007E0576" w:rsidRPr="00270D3B">
        <w:t xml:space="preserve"> </w:t>
      </w:r>
    </w:p>
    <w:p w:rsidR="007E0576" w:rsidRPr="00270D3B" w:rsidRDefault="00D774C8" w:rsidP="007E0576">
      <w:pPr>
        <w:ind w:firstLine="709"/>
        <w:jc w:val="both"/>
      </w:pPr>
      <w:r>
        <w:t>Вместе с тем</w:t>
      </w:r>
      <w:r w:rsidR="007E0576" w:rsidRPr="00270D3B">
        <w:t xml:space="preserve"> показатели результативности по соглашению 2015 года за счет осуществления строительства и реконструкции не достигнуты </w:t>
      </w:r>
      <w:r w:rsidR="007E0576" w:rsidRPr="00D774C8">
        <w:t xml:space="preserve">на </w:t>
      </w:r>
      <w:r w:rsidR="00AF0309">
        <w:t xml:space="preserve">330 мест (или на </w:t>
      </w:r>
      <w:r w:rsidR="00D10302" w:rsidRPr="00D774C8">
        <w:t>19,6</w:t>
      </w:r>
      <w:r w:rsidR="007E0576" w:rsidRPr="00D774C8">
        <w:t>%</w:t>
      </w:r>
      <w:r w:rsidR="00AF0309">
        <w:t>)</w:t>
      </w:r>
      <w:r w:rsidR="007E0576" w:rsidRPr="00D774C8">
        <w:t xml:space="preserve"> и</w:t>
      </w:r>
      <w:r w:rsidR="007E0576" w:rsidRPr="00270D3B">
        <w:t xml:space="preserve"> </w:t>
      </w:r>
      <w:r w:rsidR="00D10302">
        <w:t xml:space="preserve">на </w:t>
      </w:r>
      <w:r w:rsidR="00AF0309">
        <w:t xml:space="preserve">100 мест (или на </w:t>
      </w:r>
      <w:r w:rsidR="007E0576" w:rsidRPr="00270D3B">
        <w:t>31,7%</w:t>
      </w:r>
      <w:r w:rsidR="00AF0309">
        <w:t>)</w:t>
      </w:r>
      <w:r w:rsidR="007E0576" w:rsidRPr="00270D3B">
        <w:t xml:space="preserve"> соответственно. Следовательно, по состоянию на 01.01.2016 субсидия из федерального бюджета (526986,1 тыс. руб.) Волгоградской областью освоена не полностью, а на 93,8%,</w:t>
      </w:r>
      <w:r>
        <w:t xml:space="preserve"> или в сумме 494108,0 тыс. рублей. К</w:t>
      </w:r>
      <w:r w:rsidR="007E0576" w:rsidRPr="00270D3B">
        <w:t>роме этого</w:t>
      </w:r>
      <w:r>
        <w:t>,</w:t>
      </w:r>
      <w:r w:rsidR="007E0576" w:rsidRPr="00270D3B">
        <w:t xml:space="preserve"> муниципалитетами в январе 2016 года возвращены остатки неиспользованной субсидии 2015 года на 30990,6 тыс. рублей. В итоге неиспользованный остаток средств федерального бюджета составил 63868,7 тыс. руб., и был возвращен в вышестоящий бюджет платежным поручением в январе 2016 года. </w:t>
      </w:r>
    </w:p>
    <w:p w:rsidR="00376855" w:rsidRDefault="007E0576" w:rsidP="00376855">
      <w:pPr>
        <w:ind w:firstLine="709"/>
        <w:jc w:val="both"/>
      </w:pPr>
      <w:r w:rsidRPr="00270D3B">
        <w:t xml:space="preserve">Основными причинами неисполнения Соглашения </w:t>
      </w:r>
      <w:r w:rsidR="00270D3B" w:rsidRPr="00270D3B">
        <w:t>с Минобразования РФ от 06.05.2015</w:t>
      </w:r>
      <w:r w:rsidR="00270D3B">
        <w:t xml:space="preserve"> </w:t>
      </w:r>
      <w:r w:rsidRPr="00270D3B">
        <w:t xml:space="preserve">в части освоения субсидии и достижения показателей результативности являются: </w:t>
      </w:r>
      <w:r w:rsidR="00270D3B" w:rsidRPr="00270D3B">
        <w:t xml:space="preserve">экономия бюджетных средств, сложившаяся по итогам конкурсных процедур; </w:t>
      </w:r>
      <w:r w:rsidR="00270D3B">
        <w:t>нарушение подрядчиками сроков выполнения работ</w:t>
      </w:r>
      <w:r w:rsidR="00270D3B" w:rsidRPr="004E4B56">
        <w:t xml:space="preserve">; </w:t>
      </w:r>
      <w:r w:rsidR="00376855" w:rsidRPr="004E4B56">
        <w:t>поздн</w:t>
      </w:r>
      <w:r w:rsidR="00376855">
        <w:t>ее</w:t>
      </w:r>
      <w:r w:rsidR="00376855" w:rsidRPr="004E4B56">
        <w:t xml:space="preserve"> представление документов муниципальными образованиями на субсидирование и подрядными организациями за выполненные работы</w:t>
      </w:r>
      <w:r w:rsidR="00376855">
        <w:t>.</w:t>
      </w:r>
    </w:p>
    <w:p w:rsidR="00A703FD" w:rsidRDefault="00175429" w:rsidP="00376855">
      <w:pPr>
        <w:ind w:firstLine="709"/>
        <w:jc w:val="both"/>
      </w:pPr>
      <w:r>
        <w:t>П</w:t>
      </w:r>
      <w:r w:rsidR="007E0576" w:rsidRPr="00376855">
        <w:t>осле ввода объектов дошкольных образовательных организаций в эксплуатацию в учреждениях созданы группы по присмотру и уходу за детьми</w:t>
      </w:r>
      <w:r w:rsidR="00A703FD">
        <w:t xml:space="preserve">. </w:t>
      </w:r>
    </w:p>
    <w:p w:rsidR="007E0576" w:rsidRDefault="00A703FD" w:rsidP="00376855">
      <w:pPr>
        <w:ind w:firstLine="709"/>
        <w:jc w:val="both"/>
      </w:pPr>
      <w:r>
        <w:t>С</w:t>
      </w:r>
      <w:r w:rsidR="007E0576" w:rsidRPr="00376855">
        <w:t xml:space="preserve">огласно положениям Федерального закона от 29.12.2012 №273-ФЗ «Об образовании в Российской Федерации» </w:t>
      </w:r>
      <w:r w:rsidR="00E6325D">
        <w:t xml:space="preserve">в </w:t>
      </w:r>
      <w:r w:rsidR="00E6325D" w:rsidRPr="00376855">
        <w:t>групп</w:t>
      </w:r>
      <w:r w:rsidR="00E6325D">
        <w:t>ах</w:t>
      </w:r>
      <w:r w:rsidR="00E6325D" w:rsidRPr="00376855">
        <w:t xml:space="preserve"> по присмотру и уходу за детьми </w:t>
      </w:r>
      <w:r w:rsidR="007E0576" w:rsidRPr="00376855">
        <w:t>осуществляется комплекс мер по организации питания и хозяйственно-бытового обслуживания детей, обеспечению соблюдения ими личной гигиены и режима дня</w:t>
      </w:r>
      <w:r>
        <w:t xml:space="preserve">, не включающих в себя </w:t>
      </w:r>
      <w:r w:rsidRPr="00A703FD">
        <w:t>образовательную деятельность.</w:t>
      </w:r>
    </w:p>
    <w:p w:rsidR="00A703FD" w:rsidRDefault="00A703FD" w:rsidP="00A703FD">
      <w:pPr>
        <w:ind w:firstLine="709"/>
        <w:jc w:val="both"/>
      </w:pPr>
      <w:r>
        <w:t>При этом федеральным государственным образовательным стандартом дошкольного образования</w:t>
      </w:r>
      <w:r w:rsidRPr="00A703FD">
        <w:t xml:space="preserve"> </w:t>
      </w:r>
      <w:r>
        <w:t xml:space="preserve">(утв. приказом Министерства образования и науки РФ от 17.10.2013 № 1155) </w:t>
      </w:r>
      <w:bookmarkStart w:id="5" w:name="sub_1403"/>
      <w:r>
        <w:t>определено, что о</w:t>
      </w:r>
      <w:r w:rsidRPr="00A703FD">
        <w:t>дним из основных принципов дошкольного образования является построение образовательной деятельности</w:t>
      </w:r>
      <w:r w:rsidR="003A6E00">
        <w:t xml:space="preserve"> (т.е. деятельности по реализации образовательных программ),</w:t>
      </w:r>
      <w:r w:rsidRPr="00A703FD">
        <w:t xml:space="preserve">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r>
        <w:t>.</w:t>
      </w:r>
    </w:p>
    <w:bookmarkEnd w:id="5"/>
    <w:p w:rsidR="00175429" w:rsidRPr="00D774C8" w:rsidRDefault="007E0576" w:rsidP="00175429">
      <w:pPr>
        <w:ind w:firstLine="709"/>
        <w:jc w:val="both"/>
        <w:rPr>
          <w:highlight w:val="yellow"/>
        </w:rPr>
      </w:pPr>
      <w:r w:rsidRPr="00175429">
        <w:t xml:space="preserve">Таким образом, </w:t>
      </w:r>
      <w:r w:rsidR="00175429" w:rsidRPr="00175429">
        <w:t xml:space="preserve">на 01.01.2016 цель, с которой выделялась субсидия региону, </w:t>
      </w:r>
      <w:r w:rsidR="00D774C8">
        <w:t xml:space="preserve">в полной мере </w:t>
      </w:r>
      <w:r w:rsidR="00175429" w:rsidRPr="00175429">
        <w:t>не достигнута, т</w:t>
      </w:r>
      <w:r w:rsidRPr="00175429">
        <w:t xml:space="preserve">ак как </w:t>
      </w:r>
      <w:r w:rsidR="00175429" w:rsidRPr="00175429">
        <w:t xml:space="preserve">не обеспечено выполнение показателя </w:t>
      </w:r>
      <w:r w:rsidRPr="00175429">
        <w:t>100 процентной доступности дошкольного образования для детей в возрасте от трех до семи лет</w:t>
      </w:r>
      <w:r w:rsidR="00175429" w:rsidRPr="00175429">
        <w:t>,</w:t>
      </w:r>
      <w:r w:rsidRPr="00175429">
        <w:t xml:space="preserve"> как это предусмотрено в Указе </w:t>
      </w:r>
      <w:r w:rsidRPr="004C19AA">
        <w:t>Президента №599</w:t>
      </w:r>
      <w:r w:rsidR="00175429" w:rsidRPr="004C19AA">
        <w:t xml:space="preserve"> «О мерах по реализации государственной политики в области образования и науки».</w:t>
      </w:r>
    </w:p>
    <w:p w:rsidR="007E0576" w:rsidRPr="00B72A53" w:rsidRDefault="004C19AA" w:rsidP="007E0576">
      <w:pPr>
        <w:ind w:firstLine="709"/>
        <w:jc w:val="both"/>
      </w:pPr>
      <w:r w:rsidRPr="00B72A53">
        <w:t>По информации комитета образования и науки Волгоградской области сроки получения лицензии по всем введенным в эксплуатацию объектам дошкольного образования истекают во второй половине 2016 года.</w:t>
      </w:r>
    </w:p>
    <w:p w:rsidR="004C19AA" w:rsidRDefault="004C19AA" w:rsidP="007E0576">
      <w:pPr>
        <w:ind w:firstLine="709"/>
        <w:jc w:val="both"/>
      </w:pPr>
    </w:p>
    <w:p w:rsidR="007574C8" w:rsidRPr="007574C8" w:rsidRDefault="007574C8" w:rsidP="007574C8">
      <w:pPr>
        <w:ind w:firstLine="709"/>
        <w:jc w:val="center"/>
        <w:rPr>
          <w:u w:val="single"/>
        </w:rPr>
      </w:pPr>
      <w:r w:rsidRPr="007574C8">
        <w:rPr>
          <w:u w:val="single"/>
        </w:rPr>
        <w:t>Исполнение соглашений о предоставлении субсидии муниципальными образованиями Волгоградской области</w:t>
      </w:r>
    </w:p>
    <w:p w:rsidR="00AE4F9F" w:rsidRDefault="007E0576" w:rsidP="00AE4F9F">
      <w:pPr>
        <w:ind w:firstLine="709"/>
        <w:jc w:val="both"/>
      </w:pPr>
      <w:r w:rsidRPr="00A60114">
        <w:t xml:space="preserve">В 2015 году Облстроем заключено 8 соглашений о предоставлении субсидии муниципальным образованиям на строительство, реконструкцию и 2 соглашения на проведение капитального ремонта дошкольных образовательных организаций. </w:t>
      </w:r>
    </w:p>
    <w:p w:rsidR="007E0576" w:rsidRPr="00AE4F9F" w:rsidRDefault="00AE4F9F" w:rsidP="00AE4F9F">
      <w:pPr>
        <w:ind w:firstLine="709"/>
        <w:jc w:val="both"/>
      </w:pPr>
      <w:r w:rsidRPr="00AE4F9F">
        <w:t>По</w:t>
      </w:r>
      <w:r w:rsidR="007E0576" w:rsidRPr="00AE4F9F">
        <w:t xml:space="preserve"> состоянию на 01.01.2015 по средствам субсидии за счет средств областного бюджета, выделенной на модернизацию системы дошкольного образования, по 6 муниципальным образованиям числилась </w:t>
      </w:r>
      <w:r w:rsidRPr="00AE4F9F">
        <w:t>кредиторская задолженность на 6</w:t>
      </w:r>
      <w:r w:rsidR="007E0576" w:rsidRPr="00AE4F9F">
        <w:t xml:space="preserve">879,3 тыс. руб., в том числе: 3128,7 тыс. руб. - г. Волгоград; 439,4 тыс. руб. - г. Михайловка; 52,8 </w:t>
      </w:r>
      <w:r w:rsidR="00DA760A">
        <w:t>тыс. руб.</w:t>
      </w:r>
      <w:r w:rsidR="007E0576" w:rsidRPr="00AE4F9F">
        <w:t>- Городищенский муниципальный район; 146,6 тыс. руб. - Дубовский муниципальный район; 3030,1 тыс. руб. - Октябрьский муниципальный район; 81,7 тыс. руб. - Среднеахтубинский муниципальный район. Вся сумма кредиторской задолженности предусмотрена соглашениями 2015 года и полностью погашена.</w:t>
      </w:r>
    </w:p>
    <w:p w:rsidR="007E0576" w:rsidRPr="00AE4F9F" w:rsidRDefault="007E0576" w:rsidP="007E0576">
      <w:pPr>
        <w:ind w:firstLine="709"/>
        <w:jc w:val="both"/>
      </w:pPr>
      <w:r w:rsidRPr="00AE4F9F">
        <w:t xml:space="preserve">Кассовые расходы Облстроя на 01.01.2016 </w:t>
      </w:r>
      <w:r w:rsidR="00AE4F9F" w:rsidRPr="00AE4F9F">
        <w:t xml:space="preserve">по исполнению </w:t>
      </w:r>
      <w:r w:rsidRPr="00AE4F9F">
        <w:t xml:space="preserve">заключенных с муниципальными образованиями </w:t>
      </w:r>
      <w:r w:rsidR="00AE4F9F" w:rsidRPr="00AE4F9F">
        <w:t xml:space="preserve">соглашений </w:t>
      </w:r>
      <w:r w:rsidRPr="00AE4F9F">
        <w:t>о предоставлении субсидии составили 650955,6 тыс. руб., или 84,7% от плана (768331,3 тыс. руб.), в том числе:</w:t>
      </w:r>
    </w:p>
    <w:p w:rsidR="007E0576" w:rsidRPr="00AE4F9F" w:rsidRDefault="007E0576" w:rsidP="007E0576">
      <w:pPr>
        <w:ind w:firstLine="709"/>
        <w:jc w:val="both"/>
      </w:pPr>
      <w:r w:rsidRPr="00AE4F9F">
        <w:t>-по средствам федерального бюджета - 494108,0 тыс. руб., или 93,8% от плана;</w:t>
      </w:r>
    </w:p>
    <w:p w:rsidR="007E0576" w:rsidRPr="00AE4F9F" w:rsidRDefault="007E0576" w:rsidP="007E0576">
      <w:pPr>
        <w:ind w:firstLine="709"/>
        <w:jc w:val="both"/>
      </w:pPr>
      <w:r w:rsidRPr="00AE4F9F">
        <w:t xml:space="preserve">-по средствам областного бюджета - 156847,6 тыс. руб., или 64,9% от плана. </w:t>
      </w:r>
    </w:p>
    <w:p w:rsidR="007E0576" w:rsidRDefault="00AE4F9F" w:rsidP="007E0576">
      <w:pPr>
        <w:ind w:firstLine="709"/>
        <w:jc w:val="both"/>
      </w:pPr>
      <w:r>
        <w:t>Н</w:t>
      </w:r>
      <w:r w:rsidR="007E0576" w:rsidRPr="00AE4F9F">
        <w:t xml:space="preserve">а 01.01.2016 по средствам областного бюджета </w:t>
      </w:r>
      <w:r>
        <w:t xml:space="preserve">образовалась </w:t>
      </w:r>
      <w:r w:rsidR="007E0576" w:rsidRPr="00AE4F9F">
        <w:t xml:space="preserve">кредиторская задолженность </w:t>
      </w:r>
      <w:r>
        <w:t xml:space="preserve">на </w:t>
      </w:r>
      <w:r w:rsidR="007E0576" w:rsidRPr="00AE4F9F">
        <w:t xml:space="preserve">12222,2 тыс. руб., </w:t>
      </w:r>
      <w:r>
        <w:t>из них</w:t>
      </w:r>
      <w:r w:rsidR="007E0576" w:rsidRPr="00AE4F9F">
        <w:t>: 5373,4 тыс. руб. - г. Волгоград, 1811,9 тыс. руб. - г. Волжский, 762,0 тыс. руб. - г. Фролово, 3415,6 тыс. руб. - Октябрьский муниципальный район, 859,3 тыс. руб. - Палласовский муниципальный район.</w:t>
      </w:r>
    </w:p>
    <w:p w:rsidR="007E0576" w:rsidRPr="007574C8" w:rsidRDefault="007E0576" w:rsidP="007E0576">
      <w:pPr>
        <w:ind w:firstLine="709"/>
        <w:jc w:val="both"/>
      </w:pPr>
      <w:r w:rsidRPr="007574C8">
        <w:t>В ходе в</w:t>
      </w:r>
      <w:r w:rsidR="00F12F46">
        <w:t>стречных</w:t>
      </w:r>
      <w:r w:rsidRPr="007574C8">
        <w:t xml:space="preserve"> проверок в муниципальны</w:t>
      </w:r>
      <w:r w:rsidR="00F12F46">
        <w:t>х</w:t>
      </w:r>
      <w:r w:rsidRPr="007574C8">
        <w:t xml:space="preserve"> образования</w:t>
      </w:r>
      <w:r w:rsidR="00F12F46">
        <w:t>х</w:t>
      </w:r>
      <w:r w:rsidRPr="007574C8">
        <w:t xml:space="preserve"> Волгоградской области, проведенных сотрудниками КСП, выявлены следующие нарушения.</w:t>
      </w:r>
    </w:p>
    <w:p w:rsidR="0086716C" w:rsidRPr="00B72A53" w:rsidRDefault="007E0576" w:rsidP="00821416">
      <w:pPr>
        <w:ind w:firstLine="709"/>
        <w:jc w:val="both"/>
      </w:pPr>
      <w:r w:rsidRPr="007574C8">
        <w:t xml:space="preserve">1. В г. Волжский выполнение комплекса работ по строительству и вводу в эксплуатацию ДОУ «Матрешка» (объект «Детский сад в 37-м микрорайоне по ул.Волжской военной </w:t>
      </w:r>
      <w:r w:rsidRPr="002B2D29">
        <w:t>флотилии, 78 в г.Волжский Волгоградской области») осуществлялось в рамках муниципального контракта от 22.10.2014 №0329300279214000040, заключенного по итогам проведения открытого конкурса между муниципальным казенным учреждением «Городское строительство» городского округа - город Волжский (далее МКУ «Горстрой») и ООО «Волгоградское строительное управление - 77». Стоимость контракта составила 132024,9 тыс. руб. (на 2014 год - 39131,0 тыс. руб., на 2015 год - 92893,9 тыс.</w:t>
      </w:r>
      <w:r w:rsidR="005A72C8">
        <w:t xml:space="preserve"> </w:t>
      </w:r>
      <w:r w:rsidRPr="002B2D29">
        <w:t xml:space="preserve">руб.), срок окончания работ - 10.12.2015. Определение начальной максимальной цены контракта (в рамках подготовки конкурсной документации) произведено МКУ «Горстрой» с применением индексов дефляторов к сметной стоимости </w:t>
      </w:r>
      <w:r w:rsidR="0086716C" w:rsidRPr="002B2D29">
        <w:t>(индексы изменения сметной стоимости строительно-монтажных работ, индексы изменения сметной стоимости прочих работ и затрат, индексы изменения сметной стоимости оборудования)</w:t>
      </w:r>
      <w:r w:rsidR="00F12F46">
        <w:t>,</w:t>
      </w:r>
      <w:r w:rsidR="0086716C" w:rsidRPr="002B2D29">
        <w:t xml:space="preserve"> уже прошедшей проверку ГАУ ВО «Управление государственной экспертизы проектов»</w:t>
      </w:r>
      <w:r w:rsidR="00F12F46">
        <w:t>.</w:t>
      </w:r>
      <w:r w:rsidR="0086716C" w:rsidRPr="002B2D29">
        <w:t xml:space="preserve"> В результате применения МКУ «Горстрой» указанных индексов сметная стоимость приведена к текущим ценам 1 кв. 2014 г</w:t>
      </w:r>
      <w:r w:rsidR="005E1EEE" w:rsidRPr="002B2D29">
        <w:t>ода</w:t>
      </w:r>
      <w:r w:rsidR="0086716C" w:rsidRPr="002B2D29">
        <w:t>.</w:t>
      </w:r>
      <w:r w:rsidR="005E1EEE" w:rsidRPr="002B2D29">
        <w:t xml:space="preserve"> </w:t>
      </w:r>
      <w:r w:rsidR="003A6E00">
        <w:t>При этом</w:t>
      </w:r>
      <w:r w:rsidR="0086716C" w:rsidRPr="002B2D29">
        <w:t xml:space="preserve"> проверка достоверности определения МКУ «Горстрой» сметной стоимости в текущих ценах 1 кв. 2014 г., на основании которой определе</w:t>
      </w:r>
      <w:r w:rsidR="003A6E00">
        <w:t>на начальная максимальная цена контракта</w:t>
      </w:r>
      <w:r w:rsidR="0086716C" w:rsidRPr="002B2D29">
        <w:t>, не проводилась</w:t>
      </w:r>
      <w:r w:rsidR="0086716C" w:rsidRPr="00B72A53">
        <w:t>.</w:t>
      </w:r>
      <w:r w:rsidR="00821416" w:rsidRPr="00B72A53">
        <w:t xml:space="preserve"> </w:t>
      </w:r>
      <w:r w:rsidR="005A72C8" w:rsidRPr="00B72A53">
        <w:t xml:space="preserve">Кроме </w:t>
      </w:r>
      <w:r w:rsidR="00821416" w:rsidRPr="00B72A53">
        <w:t>того</w:t>
      </w:r>
      <w:r w:rsidR="005A72C8" w:rsidRPr="00B72A53">
        <w:t xml:space="preserve"> порядок применения указанных индексов Администрацией Волгоградской области нормативно не определен</w:t>
      </w:r>
      <w:r w:rsidR="0086716C" w:rsidRPr="00B72A53">
        <w:t>.</w:t>
      </w:r>
    </w:p>
    <w:p w:rsidR="00F64EA4" w:rsidRDefault="007E0576" w:rsidP="00F64EA4">
      <w:pPr>
        <w:ind w:firstLine="709"/>
        <w:jc w:val="both"/>
      </w:pPr>
      <w:r w:rsidRPr="00F64EA4">
        <w:t xml:space="preserve">2. </w:t>
      </w:r>
      <w:r w:rsidR="00F64EA4" w:rsidRPr="00F64EA4">
        <w:t xml:space="preserve">Согласно ст.763 Гражданского кодекса РФ (далее ГК РФ) </w:t>
      </w:r>
      <w:bookmarkStart w:id="6" w:name="sub_7631"/>
      <w:r w:rsidR="00F64EA4" w:rsidRPr="00F64EA4">
        <w:t>подрядные строительные работы,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F64EA4" w:rsidRPr="00121CD6" w:rsidRDefault="00121CD6" w:rsidP="00121CD6">
      <w:pPr>
        <w:ind w:firstLine="709"/>
        <w:jc w:val="both"/>
      </w:pPr>
      <w:bookmarkStart w:id="7" w:name="sub_7661"/>
      <w:r>
        <w:t>В силу законодательных норм (ст.766 ГК РФ) г</w:t>
      </w:r>
      <w:r w:rsidRPr="00121CD6">
        <w:t>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r w:rsidR="00BB0F6A">
        <w:t>.</w:t>
      </w:r>
      <w:r w:rsidRPr="00121CD6">
        <w:t xml:space="preserve"> </w:t>
      </w:r>
      <w:bookmarkEnd w:id="6"/>
      <w:bookmarkEnd w:id="7"/>
      <w:r w:rsidRPr="00121CD6">
        <w:t xml:space="preserve">При этом </w:t>
      </w:r>
      <w:r w:rsidR="00F64EA4" w:rsidRPr="00121CD6">
        <w:t>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со сметой, определяющей цену работ</w:t>
      </w:r>
      <w:r w:rsidRPr="00121CD6">
        <w:t xml:space="preserve"> (ст.743 ГК РФ)</w:t>
      </w:r>
      <w:r w:rsidR="00F64EA4" w:rsidRPr="00121CD6">
        <w:t>.</w:t>
      </w:r>
    </w:p>
    <w:p w:rsidR="00927431" w:rsidRDefault="00927431" w:rsidP="00927431">
      <w:pPr>
        <w:ind w:firstLine="709"/>
        <w:jc w:val="both"/>
      </w:pPr>
      <w:r w:rsidRPr="00243C12">
        <w:t>Вместе с тем установлено, что по ряду объектов в ходе исполнения муниципальных контрактов заказчиками по согласованию с подрядчиками производилась замена</w:t>
      </w:r>
      <w:r>
        <w:t xml:space="preserve"> значительных объемов</w:t>
      </w:r>
      <w:r w:rsidRPr="00243C12">
        <w:t xml:space="preserve"> работ</w:t>
      </w:r>
      <w:r>
        <w:t>,</w:t>
      </w:r>
      <w:r w:rsidRPr="00243C12">
        <w:t xml:space="preserve"> </w:t>
      </w:r>
      <w:r>
        <w:t xml:space="preserve">предусмотренных проектной, </w:t>
      </w:r>
      <w:r w:rsidR="00241173">
        <w:t xml:space="preserve">конкурсной </w:t>
      </w:r>
      <w:r w:rsidRPr="00243C12">
        <w:t>документаци</w:t>
      </w:r>
      <w:r>
        <w:t>ей</w:t>
      </w:r>
      <w:r w:rsidRPr="00243C12">
        <w:t xml:space="preserve">, </w:t>
      </w:r>
      <w:r>
        <w:t>муниципальными контрактами</w:t>
      </w:r>
      <w:r w:rsidRPr="00243C12">
        <w:t>.</w:t>
      </w:r>
    </w:p>
    <w:p w:rsidR="00927431" w:rsidRPr="00E9134F" w:rsidRDefault="00927431" w:rsidP="00927431">
      <w:pPr>
        <w:ind w:firstLine="709"/>
        <w:jc w:val="both"/>
      </w:pPr>
      <w:r w:rsidRPr="00E9134F">
        <w:t>Согласно пояснениям муниципальных заказчиков основной причиной необходимости вышеназванной замены работ является некачественное выполнение проектно-сметной документации</w:t>
      </w:r>
      <w:r w:rsidR="00E9134F" w:rsidRPr="00E9134F">
        <w:t>, при</w:t>
      </w:r>
      <w:r w:rsidRPr="00E9134F">
        <w:t xml:space="preserve"> </w:t>
      </w:r>
      <w:r w:rsidR="00602A91">
        <w:t xml:space="preserve">этом </w:t>
      </w:r>
      <w:r w:rsidRPr="00E9134F">
        <w:t>указанная проектная документация прошла государственную экспертизу и проверку достоверности сметной стоимости в ГАУ ВО «Облэкспертиза».</w:t>
      </w:r>
    </w:p>
    <w:p w:rsidR="00927431" w:rsidRPr="00E9134F" w:rsidRDefault="00927431" w:rsidP="00927431">
      <w:pPr>
        <w:ind w:firstLine="709"/>
        <w:jc w:val="both"/>
      </w:pPr>
      <w:r w:rsidRPr="00E9134F">
        <w:t>Необходимо отметить, что Федеральный закон от 05.04.2013 №44-ФЗ  предусматривает возможность увеличения по предложению заказчика предусмотренных контрактом количества товара, объем работы или услуги не более чем на 10 процентов.</w:t>
      </w:r>
    </w:p>
    <w:p w:rsidR="00927431" w:rsidRDefault="005057AA" w:rsidP="00927431">
      <w:pPr>
        <w:ind w:firstLine="709"/>
        <w:jc w:val="both"/>
      </w:pPr>
      <w:r>
        <w:t>Однако</w:t>
      </w:r>
      <w:r w:rsidR="00927431" w:rsidRPr="00E9134F">
        <w:t xml:space="preserve"> на практике замены работ часто </w:t>
      </w:r>
      <w:r w:rsidR="0061214B">
        <w:t>рассматриваются заказчиками не</w:t>
      </w:r>
      <w:r w:rsidR="00927431" w:rsidRPr="00E9134F">
        <w:t xml:space="preserve"> как дополнительные работы</w:t>
      </w:r>
      <w:r w:rsidR="0061214B">
        <w:t>,</w:t>
      </w:r>
      <w:r w:rsidR="00927431" w:rsidRPr="00E9134F">
        <w:t xml:space="preserve"> </w:t>
      </w:r>
      <w:r w:rsidR="0061214B">
        <w:t>а</w:t>
      </w:r>
      <w:r w:rsidR="00927431" w:rsidRPr="00E9134F">
        <w:t xml:space="preserve"> осуществляются </w:t>
      </w:r>
      <w:r w:rsidR="00E9134F" w:rsidRPr="00E9134F">
        <w:t xml:space="preserve">путем составления актов замены </w:t>
      </w:r>
      <w:r w:rsidR="00927431" w:rsidRPr="00E9134F">
        <w:t xml:space="preserve">параллельно с увеличением </w:t>
      </w:r>
      <w:r w:rsidR="00E9134F" w:rsidRPr="00E9134F">
        <w:t xml:space="preserve">(в рамках заключаемых дополнительных соглашений) </w:t>
      </w:r>
      <w:r w:rsidR="00927431" w:rsidRPr="00E9134F">
        <w:t>объемов, предусмотренных Федеральным законом от 05.04.2013 №44-Ф, в т.ч. в объемах</w:t>
      </w:r>
      <w:r w:rsidR="00602A91">
        <w:t>, значительно</w:t>
      </w:r>
      <w:r w:rsidR="00927431" w:rsidRPr="00E9134F">
        <w:t xml:space="preserve"> превышающих 10 процентов.</w:t>
      </w:r>
    </w:p>
    <w:p w:rsidR="00E9134F" w:rsidRPr="00E9134F" w:rsidRDefault="008F6740" w:rsidP="00927431">
      <w:pPr>
        <w:ind w:firstLine="709"/>
        <w:jc w:val="both"/>
      </w:pPr>
      <w:r w:rsidRPr="003F780D">
        <w:t>При этом</w:t>
      </w:r>
      <w:r w:rsidR="00E9134F" w:rsidRPr="003F780D">
        <w:t xml:space="preserve"> меры к проектировщику за некачественно подготовленную проектную документацию и учреждению, выдавшему положительное заключение государственной экспертизы, не применялись.</w:t>
      </w:r>
    </w:p>
    <w:p w:rsidR="00927431" w:rsidRPr="00E6044E" w:rsidRDefault="00927431" w:rsidP="00927431">
      <w:pPr>
        <w:ind w:firstLine="709"/>
        <w:jc w:val="both"/>
      </w:pPr>
      <w:r w:rsidRPr="00E6044E">
        <w:t xml:space="preserve">Объем замены работ </w:t>
      </w:r>
      <w:r w:rsidR="003F780D">
        <w:t xml:space="preserve">и их видов </w:t>
      </w:r>
      <w:r w:rsidRPr="00E6044E">
        <w:t>в отдельных случаях составляет до 27% от стоимости соответствующих муниципальных контрактов, что превышает предельно допустимое значение, составляющ</w:t>
      </w:r>
      <w:r w:rsidR="00F7400A">
        <w:t>ее</w:t>
      </w:r>
      <w:r w:rsidRPr="00E6044E">
        <w:t xml:space="preserve"> 10 %, на 17%, и влечет нарушение требований п. б. ч. 1 ст. 95 Федерального закона от 05.04.2013 №44-Ф.</w:t>
      </w:r>
    </w:p>
    <w:p w:rsidR="00927431" w:rsidRPr="00E6044E" w:rsidRDefault="00927431" w:rsidP="00927431">
      <w:pPr>
        <w:ind w:firstLine="709"/>
        <w:jc w:val="both"/>
      </w:pPr>
      <w:r w:rsidRPr="00E6044E">
        <w:t>Следствием данного нарушения является изменение предметов муниципальных контрактов. При этом проверка достоверности определения сметной стоимости дополнительных объемов работ, изначально не предусмотренных контрактами и конкурсными документациями</w:t>
      </w:r>
      <w:r w:rsidR="00602A91">
        <w:t>,</w:t>
      </w:r>
      <w:r w:rsidRPr="00E6044E">
        <w:t xml:space="preserve"> муниципальными заказчиками не проводилась, что несет в себе риски оплаты дополнительных объемов работ по завышенной стоимости.</w:t>
      </w:r>
    </w:p>
    <w:p w:rsidR="00927431" w:rsidRPr="00AB1CD8" w:rsidRDefault="00927431" w:rsidP="00927431">
      <w:pPr>
        <w:ind w:firstLine="709"/>
        <w:jc w:val="both"/>
      </w:pPr>
      <w:r w:rsidRPr="00AB1CD8">
        <w:t>В частности настоящей</w:t>
      </w:r>
      <w:r w:rsidR="008F7F13" w:rsidRPr="00AB1CD8">
        <w:t xml:space="preserve"> проверкой установлены следующие</w:t>
      </w:r>
      <w:r w:rsidRPr="00AB1CD8">
        <w:t xml:space="preserve"> замены работ:</w:t>
      </w:r>
    </w:p>
    <w:p w:rsidR="00927431" w:rsidRPr="006D3399" w:rsidRDefault="00927431" w:rsidP="00927431">
      <w:pPr>
        <w:ind w:firstLine="709"/>
        <w:jc w:val="both"/>
      </w:pPr>
      <w:r w:rsidRPr="00AB1CD8">
        <w:t>-в Городищенском муниципальном районе на объекте «Дюймовочка» в п. Вертячий по муниципальному контракту от 20.08.2015 №105, заключенному муниципальным казенным учреждением «Управление капитальным строительством и техническим обеспечением деятельности органов местного самоуправления Городищенского муниципального района» с ООО «Волгоградское строительное управление-77» (завершение строительства)</w:t>
      </w:r>
      <w:r w:rsidR="00602A91" w:rsidRPr="00AB1CD8">
        <w:t>,</w:t>
      </w:r>
      <w:r w:rsidRPr="00AB1CD8">
        <w:t xml:space="preserve"> замена </w:t>
      </w:r>
      <w:r w:rsidRPr="006D3399">
        <w:t xml:space="preserve">работ </w:t>
      </w:r>
      <w:r w:rsidR="00C82AD7" w:rsidRPr="006D3399">
        <w:t xml:space="preserve">путем </w:t>
      </w:r>
      <w:r w:rsidR="00AB1CD8" w:rsidRPr="006D3399">
        <w:t>увеличени</w:t>
      </w:r>
      <w:r w:rsidR="00C82AD7" w:rsidRPr="006D3399">
        <w:t>я</w:t>
      </w:r>
      <w:r w:rsidR="00AB1CD8" w:rsidRPr="006D3399">
        <w:t xml:space="preserve"> или уменьшени</w:t>
      </w:r>
      <w:r w:rsidR="00C82AD7" w:rsidRPr="006D3399">
        <w:t xml:space="preserve">я </w:t>
      </w:r>
      <w:r w:rsidR="00AB1CD8" w:rsidRPr="006D3399">
        <w:t>уже учтенных контрактом видов работ</w:t>
      </w:r>
      <w:r w:rsidR="00C82AD7" w:rsidRPr="006D3399">
        <w:t>, а</w:t>
      </w:r>
      <w:r w:rsidR="00AB1CD8" w:rsidRPr="006D3399">
        <w:t xml:space="preserve"> также </w:t>
      </w:r>
      <w:r w:rsidR="00C82AD7" w:rsidRPr="006D3399">
        <w:t xml:space="preserve">ввода новых видов работ, </w:t>
      </w:r>
      <w:r w:rsidRPr="006D3399">
        <w:t xml:space="preserve">составила </w:t>
      </w:r>
      <w:r w:rsidR="00AB1CD8" w:rsidRPr="006D3399">
        <w:t>3713,4 тыс. руб., или 13,5</w:t>
      </w:r>
      <w:r w:rsidRPr="006D3399">
        <w:t>% от стоимости контракта</w:t>
      </w:r>
      <w:r w:rsidR="00AB1CD8" w:rsidRPr="006D3399">
        <w:t xml:space="preserve">, </w:t>
      </w:r>
      <w:r w:rsidR="007E4E9C" w:rsidRPr="006D3399">
        <w:t xml:space="preserve">т.е. </w:t>
      </w:r>
      <w:r w:rsidR="00AB1CD8" w:rsidRPr="006D3399">
        <w:t>превысив на 3,3% предельную норму. При этом цена контракта не изменилась</w:t>
      </w:r>
      <w:r w:rsidRPr="006D3399">
        <w:t>;</w:t>
      </w:r>
    </w:p>
    <w:p w:rsidR="0004636A" w:rsidRPr="006D3399" w:rsidRDefault="00927431" w:rsidP="0004636A">
      <w:pPr>
        <w:ind w:firstLine="709"/>
        <w:jc w:val="both"/>
      </w:pPr>
      <w:r w:rsidRPr="006D3399">
        <w:t>-в Быковском муниципальном районе на объекте «Реконструкция детского сада «Колокольчик» с. Новоникольское» по муниципальным контрактам, заключенным администраций района с ООО «Ремон</w:t>
      </w:r>
      <w:r w:rsidR="00602A91" w:rsidRPr="006D3399">
        <w:t>тстройсервис» (от 26.09.2014) и с</w:t>
      </w:r>
      <w:r w:rsidRPr="006D3399">
        <w:t xml:space="preserve"> ООО «Альфа» (от 23.12.2014)</w:t>
      </w:r>
      <w:r w:rsidR="00602A91" w:rsidRPr="006D3399">
        <w:t xml:space="preserve">, замена работ </w:t>
      </w:r>
      <w:r w:rsidR="0004636A" w:rsidRPr="006D3399">
        <w:t xml:space="preserve">путем увеличения или уменьшения уже учтенных контрактом видов работ, а также ввода новых видов работ, </w:t>
      </w:r>
      <w:r w:rsidR="00602A91" w:rsidRPr="006D3399">
        <w:t xml:space="preserve">составила </w:t>
      </w:r>
      <w:r w:rsidR="00AB1CD8" w:rsidRPr="006D3399">
        <w:t xml:space="preserve">2091,0 тыс. руб., или </w:t>
      </w:r>
      <w:r w:rsidR="00602A91" w:rsidRPr="006D3399">
        <w:t>26,85%</w:t>
      </w:r>
      <w:r w:rsidRPr="006D3399">
        <w:t xml:space="preserve"> и </w:t>
      </w:r>
      <w:r w:rsidR="00AB1CD8" w:rsidRPr="006D3399">
        <w:t xml:space="preserve"> 7248,2 тыс. руб., или </w:t>
      </w:r>
      <w:r w:rsidRPr="006D3399">
        <w:t>22,8% (соответственно) от стоимости контракта</w:t>
      </w:r>
      <w:r w:rsidR="0004636A" w:rsidRPr="006D3399">
        <w:t>. Превышение предельной нормы составляет 16,</w:t>
      </w:r>
      <w:r w:rsidR="00F2322D" w:rsidRPr="006D3399">
        <w:t>9</w:t>
      </w:r>
      <w:r w:rsidR="0004636A" w:rsidRPr="006D3399">
        <w:t xml:space="preserve">% и 12,8% соответственно, </w:t>
      </w:r>
      <w:r w:rsidR="000966F5" w:rsidRPr="006D3399">
        <w:t>без изменения стоимости</w:t>
      </w:r>
      <w:r w:rsidR="0004636A" w:rsidRPr="006D3399">
        <w:t xml:space="preserve"> контракта;</w:t>
      </w:r>
    </w:p>
    <w:p w:rsidR="000966F5" w:rsidRPr="006D3399" w:rsidRDefault="000966F5" w:rsidP="000966F5">
      <w:pPr>
        <w:ind w:firstLine="709"/>
        <w:jc w:val="both"/>
      </w:pPr>
      <w:r w:rsidRPr="006D3399">
        <w:t xml:space="preserve">- </w:t>
      </w:r>
      <w:r w:rsidR="00F2322D" w:rsidRPr="006D3399">
        <w:t xml:space="preserve">аналогично, </w:t>
      </w:r>
      <w:r w:rsidRPr="006D3399">
        <w:t>в г. Волжский по муниципальным контрактам, заключенным МКУ «Горстрой»:</w:t>
      </w:r>
    </w:p>
    <w:p w:rsidR="000966F5" w:rsidRPr="006D3399" w:rsidRDefault="000966F5" w:rsidP="000966F5">
      <w:pPr>
        <w:ind w:firstLine="709"/>
        <w:jc w:val="both"/>
      </w:pPr>
      <w:r w:rsidRPr="006D3399">
        <w:t>с ООО «Волгоградское строительное управление - 77» (от 22.10.2014 №0329300279214000040) на выполнение работ по строительству и воду в эксплуатацию ДОУ «Матрешка» замена объемов работ составила 19,0</w:t>
      </w:r>
      <w:r w:rsidR="007E4E9C" w:rsidRPr="006D3399">
        <w:t xml:space="preserve">%, </w:t>
      </w:r>
      <w:r w:rsidRPr="006D3399">
        <w:t>или 24641,6 тыс. руб.</w:t>
      </w:r>
      <w:r w:rsidR="007E4E9C" w:rsidRPr="006D3399">
        <w:t>,</w:t>
      </w:r>
      <w:r w:rsidRPr="006D3399">
        <w:t xml:space="preserve"> без увеличения стоимости контракта;</w:t>
      </w:r>
    </w:p>
    <w:p w:rsidR="000966F5" w:rsidRPr="006D3399" w:rsidRDefault="000966F5" w:rsidP="000966F5">
      <w:pPr>
        <w:ind w:firstLine="709"/>
        <w:jc w:val="both"/>
      </w:pPr>
      <w:r w:rsidRPr="006D3399">
        <w:t xml:space="preserve"> с ООО «КОМСТРОЙ» (от 31.08.2015 №3343590194415000012) на выполнение работ по капитальному ремонту здания детского сада №54 «Березка» замена объемов работ составила 27%, или 15081,1 тыс.</w:t>
      </w:r>
      <w:r w:rsidR="00F2322D" w:rsidRPr="006D3399">
        <w:t xml:space="preserve"> </w:t>
      </w:r>
      <w:r w:rsidRPr="006D3399">
        <w:t>руб. без увеличения стоимости контракта;</w:t>
      </w:r>
    </w:p>
    <w:p w:rsidR="000966F5" w:rsidRPr="006D3399" w:rsidRDefault="000966F5" w:rsidP="000966F5">
      <w:pPr>
        <w:ind w:firstLine="709"/>
        <w:jc w:val="both"/>
      </w:pPr>
      <w:r w:rsidRPr="006D3399">
        <w:t xml:space="preserve"> с ООО «Контракт-Строй» (от 07.09.2015 №3343590194415000013) на выполнение работ по капитальному ремонту здания детского сада №48 «Ягодка» </w:t>
      </w:r>
      <w:r w:rsidR="007E4E9C" w:rsidRPr="006D3399">
        <w:t xml:space="preserve">замена работ составляет </w:t>
      </w:r>
      <w:r w:rsidRPr="006D3399">
        <w:t>19% (9718,6 тыс.руб.) без увеличения стоимости контракта;</w:t>
      </w:r>
    </w:p>
    <w:p w:rsidR="000966F5" w:rsidRPr="006D3399" w:rsidRDefault="000966F5" w:rsidP="000966F5">
      <w:pPr>
        <w:ind w:firstLine="709"/>
        <w:jc w:val="both"/>
      </w:pPr>
      <w:r w:rsidRPr="006D3399">
        <w:t>-в г. Волгограде на объекте «Дошкольное образовательное учреждение в квартале 08_06_010 в Красноармейском районе Волгограда» в рамках муниципального контракта (от 22.10.2014 №2014.303508), заключенного МКУ «Служба единого заказчика - застройщика администрации Волгограда» с ООО «Идеал-К», замена и увеличение объемов работ составили 18,7% (30059,0 тыс.руб.), при этом стоимость выполняемых работ увеличилась на 9956,4 тыс.рублей.</w:t>
      </w:r>
    </w:p>
    <w:p w:rsidR="00927431" w:rsidRPr="006D3399" w:rsidRDefault="00927431" w:rsidP="00927431">
      <w:pPr>
        <w:ind w:firstLine="709"/>
        <w:jc w:val="both"/>
      </w:pPr>
      <w:r w:rsidRPr="006D3399">
        <w:t>Учитывая выявленные КСП факты массовой замены подрядчиками существенных объемов работ, не предусмотренн</w:t>
      </w:r>
      <w:r w:rsidR="00602A91" w:rsidRPr="006D3399">
        <w:t>ых</w:t>
      </w:r>
      <w:r w:rsidRPr="006D3399">
        <w:t xml:space="preserve"> проектными и конкурсными документациями, контрактами и действующим законодательством</w:t>
      </w:r>
      <w:r w:rsidR="00B9041C" w:rsidRPr="006D3399">
        <w:t>,</w:t>
      </w:r>
      <w:r w:rsidRPr="006D3399">
        <w:t xml:space="preserve"> считаем необходимым акцентир</w:t>
      </w:r>
      <w:r w:rsidR="00602A91" w:rsidRPr="006D3399">
        <w:t>овать внимание на недопустимость</w:t>
      </w:r>
      <w:r w:rsidRPr="006D3399">
        <w:t xml:space="preserve"> подобной практики</w:t>
      </w:r>
      <w:r w:rsidR="00B9041C" w:rsidRPr="006D3399">
        <w:t>.</w:t>
      </w:r>
      <w:r w:rsidRPr="006D3399">
        <w:t xml:space="preserve"> </w:t>
      </w:r>
    </w:p>
    <w:p w:rsidR="007E0576" w:rsidRPr="006D3399" w:rsidRDefault="007E0576" w:rsidP="007E0576">
      <w:pPr>
        <w:ind w:firstLine="709"/>
        <w:jc w:val="both"/>
      </w:pPr>
      <w:r w:rsidRPr="006D3399">
        <w:t>3. В нарушение ст. 309, п. 1 ст. 711, п.1 ст. 720, п.1 ст.746 Г</w:t>
      </w:r>
      <w:r w:rsidR="007E2B24" w:rsidRPr="006D3399">
        <w:t xml:space="preserve">К </w:t>
      </w:r>
      <w:r w:rsidRPr="006D3399">
        <w:t>Р</w:t>
      </w:r>
      <w:r w:rsidR="007E2B24" w:rsidRPr="006D3399">
        <w:t xml:space="preserve">Ф </w:t>
      </w:r>
      <w:r w:rsidRPr="006D3399">
        <w:t>муниципальным заказчиком - администрацией Быковского муниципального района приняты и оплачены фактически не выполненные работы на объекте «Реконструкция детского сада «Колокольчик» в с. Новоникольское» в сумме 754,4 тыс. рублей.</w:t>
      </w:r>
      <w:r w:rsidR="00F916F1" w:rsidRPr="006D3399">
        <w:t xml:space="preserve"> На момент подготовки отчета по информации Администрации Быковского муниципального района нарушение устранено – подрядчиком выполнены работы по озеленению территории в полном объеме.</w:t>
      </w:r>
    </w:p>
    <w:p w:rsidR="007E0576" w:rsidRPr="006D3399" w:rsidRDefault="007E0576" w:rsidP="007E0576">
      <w:pPr>
        <w:ind w:firstLine="709"/>
        <w:jc w:val="both"/>
        <w:rPr>
          <w:highlight w:val="green"/>
        </w:rPr>
      </w:pPr>
      <w:r w:rsidRPr="006D3399">
        <w:t>4. В нарушение п. 1 ст. 9 Федерального закона от 06.12.2011 №402-ФЗ «О бухгалтерском учете» администрацией Быковского муниципального района принят к оплате акт ф. КС-2 от 07.07.2015 №01/07 на сумму 780,8 тыс. руб. (установка малых архитектурных форм). При этом проверкой документов установлено, что фактическая поставка данных форм в ООО «Ремонтстройсервис» осуществл</w:t>
      </w:r>
      <w:r w:rsidR="00DC68C6" w:rsidRPr="006D3399">
        <w:t xml:space="preserve">ена </w:t>
      </w:r>
      <w:r w:rsidRPr="006D3399">
        <w:t>в последн</w:t>
      </w:r>
      <w:r w:rsidR="00DC68C6" w:rsidRPr="006D3399">
        <w:t>юю</w:t>
      </w:r>
      <w:r w:rsidRPr="006D3399">
        <w:t xml:space="preserve"> декад</w:t>
      </w:r>
      <w:r w:rsidR="00DC68C6" w:rsidRPr="006D3399">
        <w:t xml:space="preserve">у </w:t>
      </w:r>
      <w:r w:rsidRPr="006D3399">
        <w:t xml:space="preserve">октября 2015 года, что подтверждается товарной накладной 23.10.2015 №333, то есть на 3,5 месяца позже даты подписания акта выполненных работ. Следовательно, работы по монтажу малых архитектурных форм в июле 2015 года не могли быть выполнены из-за отсутствия в наличии у подрядчика самих архитектурных форм. Таким образом, заказчиком с целью «скрытого» авансирования подрядных работ был подготовлен «фиктивный» акт по ф. КС-2 на сумму 780,8 тыс. рублей. Указанный акт размещен на сайте госзакупок. </w:t>
      </w:r>
    </w:p>
    <w:p w:rsidR="007E0576" w:rsidRPr="00E838AD" w:rsidRDefault="007E0576" w:rsidP="007E0576">
      <w:pPr>
        <w:ind w:firstLine="709"/>
        <w:jc w:val="both"/>
        <w:rPr>
          <w:color w:val="FF0000"/>
          <w:highlight w:val="green"/>
        </w:rPr>
      </w:pPr>
      <w:r w:rsidRPr="00F64EA4">
        <w:t>В ходе обследования объекта установлено, что количество малых архитектурных форм</w:t>
      </w:r>
      <w:r w:rsidR="00602A91">
        <w:t>,</w:t>
      </w:r>
      <w:r w:rsidRPr="00F64EA4">
        <w:t xml:space="preserve"> фактически установленных на объекте</w:t>
      </w:r>
      <w:r w:rsidR="00602A91">
        <w:t>,</w:t>
      </w:r>
      <w:r w:rsidRPr="00F64EA4">
        <w:t xml:space="preserve"> не соответствует количеству, отраженному в «фиктивном» акте выполненных работ от 07.07.2015 №01/07. После выявленных КСП несоответствий администрацией района был представлен другой акт ф. КС-2, идентичный вышеназванному акту в части общей стоимости и реквизитов документа (от 07.07.2015 №01/07), но уже учитывающий фактическое наличие малых архитектурных форм на объекте и выполненные работы по их </w:t>
      </w:r>
      <w:r w:rsidRPr="007E2B24">
        <w:t>монтажу.</w:t>
      </w:r>
      <w:r w:rsidRPr="007E2B24">
        <w:rPr>
          <w:color w:val="FF0000"/>
        </w:rPr>
        <w:t xml:space="preserve"> </w:t>
      </w:r>
    </w:p>
    <w:p w:rsidR="007E0576" w:rsidRPr="00F64EA4" w:rsidRDefault="007E0576" w:rsidP="007E0576">
      <w:pPr>
        <w:ind w:firstLine="709"/>
        <w:jc w:val="both"/>
        <w:rPr>
          <w:color w:val="FF0000"/>
        </w:rPr>
      </w:pPr>
      <w:r w:rsidRPr="00F64EA4">
        <w:t xml:space="preserve">Проверкой документов, представленных Облстроем, установлено, что «фиктивный» акт явился одним из документов, послуживших основанием для оплаты работ за счет субсидии, предоставляемой из областного бюджета, </w:t>
      </w:r>
      <w:r w:rsidR="008F7F13">
        <w:t xml:space="preserve">в том числе и по </w:t>
      </w:r>
      <w:r w:rsidRPr="00F64EA4">
        <w:t>средства</w:t>
      </w:r>
      <w:r w:rsidR="008F7F13">
        <w:t>м</w:t>
      </w:r>
      <w:r w:rsidRPr="00F64EA4">
        <w:t xml:space="preserve"> фед</w:t>
      </w:r>
      <w:r w:rsidR="008F7F13">
        <w:t xml:space="preserve">ерального бюджета. Так, </w:t>
      </w:r>
      <w:r w:rsidR="008C4382">
        <w:t xml:space="preserve">акты </w:t>
      </w:r>
      <w:r w:rsidR="008F7F13">
        <w:t xml:space="preserve">ф. КС- 2 </w:t>
      </w:r>
      <w:r w:rsidRPr="00F64EA4">
        <w:t>от 07.07.2015 №</w:t>
      </w:r>
      <w:r w:rsidR="008F7F13" w:rsidRPr="00F64EA4">
        <w:t>01/07</w:t>
      </w:r>
      <w:r w:rsidR="008F7F13">
        <w:t xml:space="preserve"> </w:t>
      </w:r>
      <w:r w:rsidR="008F7F13" w:rsidRPr="00F64EA4">
        <w:t>на сумму 780,8 тыс. руб</w:t>
      </w:r>
      <w:r w:rsidR="008F7F13">
        <w:t>. вошел в состав</w:t>
      </w:r>
      <w:r w:rsidRPr="00F64EA4">
        <w:t xml:space="preserve"> </w:t>
      </w:r>
      <w:r w:rsidR="008F7F13">
        <w:t>ф. КС - 3</w:t>
      </w:r>
      <w:r w:rsidRPr="00F64EA4">
        <w:t xml:space="preserve"> от 07.07.2015 №</w:t>
      </w:r>
      <w:r w:rsidR="008F7F13">
        <w:t xml:space="preserve">5, которая включена </w:t>
      </w:r>
      <w:r w:rsidRPr="00F64EA4">
        <w:t xml:space="preserve">Облстроем в реестр </w:t>
      </w:r>
      <w:r w:rsidR="008F7F13">
        <w:t xml:space="preserve">финансирования </w:t>
      </w:r>
      <w:r w:rsidRPr="00F64EA4">
        <w:t xml:space="preserve">от 19.08.2015 №24-ф, </w:t>
      </w:r>
      <w:r w:rsidR="008F7F13">
        <w:t>н</w:t>
      </w:r>
      <w:r w:rsidR="008C4382">
        <w:t>а общую сумму 1528,8 тыс. руб</w:t>
      </w:r>
      <w:r w:rsidR="008F7F13">
        <w:t>.</w:t>
      </w:r>
      <w:r w:rsidR="008C4382">
        <w:t>, с</w:t>
      </w:r>
      <w:r w:rsidRPr="00F64EA4">
        <w:t>огласно которому ГРБС счел возможным произвести платеж по объекту, включая работы по малым архитектурным форм</w:t>
      </w:r>
      <w:r w:rsidR="008F7F13">
        <w:t>ам</w:t>
      </w:r>
      <w:r w:rsidRPr="00F64EA4">
        <w:t>. В этой связи комитетом издан приказ от 19.08.2015 №500-ОД «О финансировании объектов для муниципальных нужд», подписанный председателем комитета Н.Н. Кундрюковым. На основании данного приказа администрации Быковского района перечислены средства федерального бюджета в сумме 1528,8 тыс. руб. по заявке о расходовании средств от 20.08.2015 №о764.</w:t>
      </w:r>
    </w:p>
    <w:p w:rsidR="007E0576" w:rsidRPr="00F64EA4" w:rsidRDefault="007E0576" w:rsidP="007E0576">
      <w:pPr>
        <w:ind w:firstLine="709"/>
        <w:jc w:val="both"/>
      </w:pPr>
      <w:r w:rsidRPr="00F64EA4">
        <w:t>5. В нарушение п. 2.1.10 Соглашения №12 о предоставлении субсидий на развитие общественной инфраструктуры муниципального значения, заключенного Облстроем с администрацией Быковского муниципального района, администрацией района не обеспечено «стопроцентное освоение субсидии», поскольку объект «Реконструкция  детского сада «Колокольчик» с. Новоникольское» введен в эксплуатацию при отсутствии выполнения полного комплекса работ по реконструкции, как предусмотрено п. 1.8 СНиП 3.01.04-87 «Приемка в эксплуатацию законченных строительством объектов. Основные положения».</w:t>
      </w:r>
    </w:p>
    <w:p w:rsidR="005B5734" w:rsidRDefault="007E0576" w:rsidP="007E0576">
      <w:pPr>
        <w:ind w:firstLine="709"/>
        <w:jc w:val="both"/>
      </w:pPr>
      <w:r w:rsidRPr="00F64EA4">
        <w:t>Так, на указанном объекте не выполнены работы по озеленению территории, предусмотренные проектной документацией.</w:t>
      </w:r>
      <w:r w:rsidRPr="00F64EA4">
        <w:rPr>
          <w:color w:val="FF0000"/>
        </w:rPr>
        <w:t xml:space="preserve"> </w:t>
      </w:r>
      <w:r w:rsidRPr="00F64EA4">
        <w:t>Перенос сроков проведения работ по озеленению зафиксирован в ф. КС-14 «Акта приемки законченного строительством объекта приемочной комиссии» от 25.11.2015 №1 на 4 кв. 2015 года, то есть до 31.12.2015. Поскольку зимние месяцы неблагоприятны для проведения таких работ</w:t>
      </w:r>
      <w:r w:rsidR="008C4382">
        <w:t>,</w:t>
      </w:r>
      <w:r w:rsidRPr="00F64EA4">
        <w:t xml:space="preserve"> к проверке было представлено гарантийное письмо (от 30.11.2015 №36) ООО «Ремонтстройсервис» о выполнении работ по озеленению до 15.04.2016. </w:t>
      </w:r>
    </w:p>
    <w:p w:rsidR="007E0576" w:rsidRPr="00F64EA4" w:rsidRDefault="007E0576" w:rsidP="007E0576">
      <w:pPr>
        <w:ind w:firstLine="709"/>
        <w:jc w:val="both"/>
      </w:pPr>
      <w:r w:rsidRPr="00F64EA4">
        <w:t xml:space="preserve">Кроме этого, на </w:t>
      </w:r>
      <w:r w:rsidR="004123B5">
        <w:t>о</w:t>
      </w:r>
      <w:r w:rsidRPr="00F64EA4">
        <w:t>бъект поставлено оборудование, наименование производителей и модификация которого фактически отличается от предусмотренных наименований производителей, учтенных в проектно-сметной документации, что также является нарушением требований п. 1.8 «СНиП 3.01.04-87 «Приемка в эксплуатацию законченных строительством объектов. Основные положения».</w:t>
      </w:r>
    </w:p>
    <w:p w:rsidR="007E0576" w:rsidRPr="00F64EA4" w:rsidRDefault="007E0576" w:rsidP="007E0576">
      <w:pPr>
        <w:ind w:firstLine="709"/>
        <w:jc w:val="both"/>
      </w:pPr>
      <w:r w:rsidRPr="00F64EA4">
        <w:t>6. В нарушение п. 1.6 СанПин 2.4.1.3049-13 «Санитарно-эпидемиологические требования к устройству, содержанию и организации режима работы дошкольных образовательных организаций» в г. Волгограде, г. Волжский, Городищенском и Быковском муниципальных районах в зданиях детских садов находятся дети, за которыми</w:t>
      </w:r>
      <w:r w:rsidR="008C4382">
        <w:t xml:space="preserve"> осуществляется присмотр и уход. П</w:t>
      </w:r>
      <w:r w:rsidRPr="00F64EA4">
        <w:t>ри этом заключения, подтверждающие соответствие объектов дошкольных учреждений санитарному законодательству и названным санитарным правилам</w:t>
      </w:r>
      <w:r w:rsidR="008C4382">
        <w:t>,</w:t>
      </w:r>
      <w:r w:rsidRPr="00F64EA4">
        <w:t xml:space="preserve"> отсутствуют.</w:t>
      </w:r>
      <w:r w:rsidR="00604E88">
        <w:t xml:space="preserve"> Кроме этого, в учреждениях отсут</w:t>
      </w:r>
      <w:r w:rsidR="0096227F">
        <w:t>ствуют заключения о соответстви</w:t>
      </w:r>
      <w:r w:rsidR="00604E88">
        <w:t>и зданий требованиям пожарной безопасности.</w:t>
      </w:r>
    </w:p>
    <w:p w:rsidR="00C04192" w:rsidRPr="00C04192" w:rsidRDefault="007E0576" w:rsidP="00C04192">
      <w:pPr>
        <w:ind w:firstLine="709"/>
        <w:jc w:val="both"/>
      </w:pPr>
      <w:r w:rsidRPr="00C04192">
        <w:t xml:space="preserve">7. </w:t>
      </w:r>
      <w:r w:rsidR="00C04192" w:rsidRPr="00C04192">
        <w:t>А</w:t>
      </w:r>
      <w:r w:rsidRPr="00C04192">
        <w:t>дминистраци</w:t>
      </w:r>
      <w:r w:rsidR="00C04192" w:rsidRPr="00C04192">
        <w:t>ями г.</w:t>
      </w:r>
      <w:r w:rsidRPr="00C04192">
        <w:t xml:space="preserve"> Волгограда </w:t>
      </w:r>
      <w:r w:rsidR="008C4382">
        <w:t xml:space="preserve">и </w:t>
      </w:r>
      <w:r w:rsidRPr="00C04192">
        <w:t>Ленинского муниципального района</w:t>
      </w:r>
      <w:r w:rsidR="00C04192" w:rsidRPr="00C04192">
        <w:t xml:space="preserve"> нарушены условия предоставления межбюджетных трансфертов, что является бюджетным нарушением, предусмотренным главой 30 «Виды бюджетных нарушений и бюджетные меры принуждения, применяемые за их совершение», подпадающ</w:t>
      </w:r>
      <w:r w:rsidR="00C04192">
        <w:t>им</w:t>
      </w:r>
      <w:r w:rsidR="00C04192" w:rsidRPr="00C04192">
        <w:t xml:space="preserve"> под административную ответственность, предусмотренную ст. 15.15.</w:t>
      </w:r>
      <w:r w:rsidR="006D42E6">
        <w:t>3</w:t>
      </w:r>
      <w:r w:rsidR="00C04192" w:rsidRPr="00C04192">
        <w:t xml:space="preserve"> «Нарушение условий предоставления </w:t>
      </w:r>
      <w:r w:rsidR="006D42E6">
        <w:t>межбюджетных трансфертов</w:t>
      </w:r>
      <w:r w:rsidR="00C04192" w:rsidRPr="00C04192">
        <w:t>» Кодекса Российской Федерации об административных правонарушениях от 30.12.2001 № 195-ФЗ.</w:t>
      </w:r>
    </w:p>
    <w:p w:rsidR="007E0576" w:rsidRPr="001F4D2D" w:rsidRDefault="007E0576" w:rsidP="001F4D2D">
      <w:pPr>
        <w:ind w:firstLine="709"/>
        <w:jc w:val="both"/>
      </w:pPr>
      <w:r w:rsidRPr="001F4D2D">
        <w:t xml:space="preserve">Так, в 2015 году Облстроем с </w:t>
      </w:r>
      <w:r w:rsidRPr="008F4638">
        <w:t>администрацией Волгограда</w:t>
      </w:r>
      <w:r w:rsidRPr="001F4D2D">
        <w:t xml:space="preserve"> заключено соглашение о предоставлении субсидии на развитие общественной инфраструктуры муниципального значения от 09.06.2015 №8 (далее Соглашение №8). В соглашение неоднократно вносились изменения, как в части сроков выполнения обязательств, так и в части изменения объемов финансирования</w:t>
      </w:r>
      <w:r w:rsidRPr="00382698">
        <w:t>.</w:t>
      </w:r>
      <w:r w:rsidR="001F4D2D" w:rsidRPr="00382698">
        <w:t xml:space="preserve"> В результате </w:t>
      </w:r>
      <w:r w:rsidRPr="00382698">
        <w:t xml:space="preserve">объем субсидии, предусмотренной на финансирование работ по строительству и реконструкции 7 дошкольных образовательных учреждений, увеличился почти в 2 раза и составил 307818,3 тыс. руб. (185914,5 тыс. руб. + 121903,8 тыс. руб.), из них: 185914,5 тыс. руб. </w:t>
      </w:r>
      <w:r w:rsidR="001F4D2D" w:rsidRPr="00382698">
        <w:t>-</w:t>
      </w:r>
      <w:r w:rsidRPr="00382698">
        <w:t xml:space="preserve"> средства федерального бюджета и 121903,8 тыс. руб. </w:t>
      </w:r>
      <w:r w:rsidR="001F4D2D" w:rsidRPr="00382698">
        <w:t>-</w:t>
      </w:r>
      <w:r w:rsidRPr="00382698">
        <w:t xml:space="preserve"> средства областного бюджета.</w:t>
      </w:r>
    </w:p>
    <w:p w:rsidR="00382698" w:rsidRPr="00C777D8" w:rsidRDefault="007E0576" w:rsidP="00382698">
      <w:pPr>
        <w:ind w:firstLine="709"/>
        <w:jc w:val="both"/>
      </w:pPr>
      <w:r w:rsidRPr="001F4D2D">
        <w:t xml:space="preserve">В рамках </w:t>
      </w:r>
      <w:r w:rsidR="001F4D2D" w:rsidRPr="001F4D2D">
        <w:t xml:space="preserve">исполнения соглашения </w:t>
      </w:r>
      <w:r w:rsidRPr="001F4D2D">
        <w:t>Облстроем в 2015 году г. Волгограду направлено 198283,0 тыс. руб., или 64,4% от плана, из них: 174253,7</w:t>
      </w:r>
      <w:r w:rsidR="001F4D2D" w:rsidRPr="001F4D2D">
        <w:t xml:space="preserve"> тыс. руб., или 93,7% от плана -</w:t>
      </w:r>
      <w:r w:rsidRPr="001F4D2D">
        <w:t xml:space="preserve"> средства федерального бюджета и </w:t>
      </w:r>
      <w:r w:rsidRPr="00382698">
        <w:t>24029,3 тыс. руб., или 31,5% от</w:t>
      </w:r>
      <w:r w:rsidRPr="001F4D2D">
        <w:t xml:space="preserve"> плана </w:t>
      </w:r>
      <w:r w:rsidR="001F4D2D" w:rsidRPr="001F4D2D">
        <w:t>-</w:t>
      </w:r>
      <w:r w:rsidRPr="001F4D2D">
        <w:t xml:space="preserve"> средства областного </w:t>
      </w:r>
      <w:r w:rsidRPr="00382698">
        <w:t xml:space="preserve">бюджета. </w:t>
      </w:r>
      <w:r w:rsidR="00382698" w:rsidRPr="00382698">
        <w:t>По данным</w:t>
      </w:r>
      <w:r w:rsidR="00382698" w:rsidRPr="009E4D8A">
        <w:t xml:space="preserve"> комитета на 01.01.2016 по средствам областного бюджета числится кредиторская задолженность </w:t>
      </w:r>
      <w:r w:rsidR="00382698">
        <w:t>г. Волгограду в сумме 5</w:t>
      </w:r>
      <w:r w:rsidR="00382698" w:rsidRPr="009E4D8A">
        <w:t>37</w:t>
      </w:r>
      <w:r w:rsidR="00382698">
        <w:t>3,4 тыс. руб., образовавшаяся ввиду позднего представления документов для субсидирования.</w:t>
      </w:r>
    </w:p>
    <w:p w:rsidR="001F4D2D" w:rsidRDefault="007E0576" w:rsidP="007E0576">
      <w:pPr>
        <w:ind w:firstLine="709"/>
        <w:jc w:val="both"/>
      </w:pPr>
      <w:r w:rsidRPr="001F4D2D">
        <w:t>Условиями п. 2.1.9. Соглашения №8 предусмотрено обязательство муниципального заказчика по обеспечению завершения строительства объектов и их ввод в эксплуатацию в срок до 01.12.2015. Однако дополнительным соглашением от 12.11.2015 №2 к Соглашению №8 срок перенесен на 30.12.2015.</w:t>
      </w:r>
      <w:r w:rsidRPr="001F4D2D">
        <w:rPr>
          <w:color w:val="FF0000"/>
        </w:rPr>
        <w:t xml:space="preserve"> </w:t>
      </w:r>
      <w:r w:rsidRPr="001F4D2D">
        <w:t>За нарушение данного обязательства администрация Волгограда обязуется возвратить в областной бюджет</w:t>
      </w:r>
      <w:r w:rsidR="001F4D2D">
        <w:t>:</w:t>
      </w:r>
    </w:p>
    <w:p w:rsidR="001F4D2D" w:rsidRDefault="001F4D2D" w:rsidP="007E0576">
      <w:pPr>
        <w:ind w:firstLine="709"/>
        <w:jc w:val="both"/>
      </w:pPr>
      <w:r>
        <w:t>-</w:t>
      </w:r>
      <w:r w:rsidR="007E0576" w:rsidRPr="001F4D2D">
        <w:t xml:space="preserve"> в срок до 01.03.2016 субсидию, полученную из обл</w:t>
      </w:r>
      <w:r>
        <w:t>астного бюджета в полном объеме;</w:t>
      </w:r>
    </w:p>
    <w:p w:rsidR="007E0576" w:rsidRPr="001F4D2D" w:rsidRDefault="001F4D2D" w:rsidP="007E0576">
      <w:pPr>
        <w:ind w:firstLine="709"/>
        <w:jc w:val="both"/>
        <w:rPr>
          <w:color w:val="FF0000"/>
        </w:rPr>
      </w:pPr>
      <w:r>
        <w:t>-</w:t>
      </w:r>
      <w:r w:rsidR="007E0576" w:rsidRPr="001F4D2D">
        <w:t xml:space="preserve"> в срок до 15.05.2016 субсидию федерального бюджета, предусмотренную на модернизацию системы дошкольного образования в объеме, исходя из расчета, утвержденного постановлением Правительства РФ от 30.09.2014 №999 «О формировании, предоставлении и распределении субсидий из федерального бюджета бюджетам субъектов Российской Федерации».</w:t>
      </w:r>
    </w:p>
    <w:p w:rsidR="007E0576" w:rsidRPr="001F4D2D" w:rsidRDefault="007E0576" w:rsidP="007E0576">
      <w:pPr>
        <w:ind w:firstLine="709"/>
        <w:jc w:val="both"/>
      </w:pPr>
      <w:r w:rsidRPr="001F4D2D">
        <w:t xml:space="preserve">Проверкой установлено, что обязательство, установленное п. 2.1.9. Соглашения №8 </w:t>
      </w:r>
      <w:r w:rsidR="001F4D2D" w:rsidRPr="001F4D2D">
        <w:t>(</w:t>
      </w:r>
      <w:r w:rsidRPr="001F4D2D">
        <w:t>в редакции</w:t>
      </w:r>
      <w:r w:rsidR="001F4D2D">
        <w:t xml:space="preserve"> от </w:t>
      </w:r>
      <w:r w:rsidR="001F4D2D" w:rsidRPr="001F4D2D">
        <w:t>12.11.2015</w:t>
      </w:r>
      <w:r w:rsidR="001F4D2D">
        <w:t>)</w:t>
      </w:r>
      <w:r w:rsidRPr="001F4D2D">
        <w:t>, администрацией г. Волгограда не выполнено, так как:</w:t>
      </w:r>
    </w:p>
    <w:p w:rsidR="007E0576" w:rsidRPr="00C04192" w:rsidRDefault="007E0576" w:rsidP="007E0576">
      <w:pPr>
        <w:ind w:firstLine="709"/>
        <w:jc w:val="both"/>
      </w:pPr>
      <w:r w:rsidRPr="00C04192">
        <w:t>- объект «Дошкольное образовательное учреждение в квартале 03_03_030 микрорайон 131 в Дзержинском районе В</w:t>
      </w:r>
      <w:r w:rsidR="00C04192" w:rsidRPr="00C04192">
        <w:t>олгограда» по состоянию на 25.03</w:t>
      </w:r>
      <w:r w:rsidRPr="00C04192">
        <w:t xml:space="preserve">.2016 </w:t>
      </w:r>
      <w:r w:rsidR="00C04192" w:rsidRPr="00C04192">
        <w:t xml:space="preserve">(момент окончания проверки) </w:t>
      </w:r>
      <w:r w:rsidRPr="00C04192">
        <w:t>не введен в эксплуатацию</w:t>
      </w:r>
      <w:r w:rsidR="00C04192" w:rsidRPr="00C04192">
        <w:t>;</w:t>
      </w:r>
      <w:r w:rsidRPr="00C04192">
        <w:t xml:space="preserve"> </w:t>
      </w:r>
    </w:p>
    <w:p w:rsidR="007E0576" w:rsidRPr="001F4D2D" w:rsidRDefault="007E0576" w:rsidP="007E0576">
      <w:pPr>
        <w:ind w:firstLine="709"/>
        <w:jc w:val="both"/>
      </w:pPr>
      <w:r w:rsidRPr="001F4D2D">
        <w:t>-объект «Дошкольное образовательное учреждение в квартале 08_06_010 в Красноармейском районе г. Волгограда» введен в эксплуатацию на один день позже установленного срока (30.12.2015), а именно 31.12.2015 №34-RU 34301000-439/Ка/13-2013;</w:t>
      </w:r>
    </w:p>
    <w:p w:rsidR="007E0576" w:rsidRPr="001F4D2D" w:rsidRDefault="007E0576" w:rsidP="007E0576">
      <w:pPr>
        <w:ind w:firstLine="709"/>
        <w:jc w:val="both"/>
      </w:pPr>
      <w:r w:rsidRPr="001F4D2D">
        <w:t>-объект «Дошкольное образовательное учреждение по ул. Шекснинской в Дзержинском районе Волгограда» введен в эксплуатацию 15.02.2016 (разрешение на ввод в эксплуатацию №34-Ru 34301000-38/Д/14-2014).</w:t>
      </w:r>
    </w:p>
    <w:p w:rsidR="007E0576" w:rsidRPr="001F4D2D" w:rsidRDefault="007E0576" w:rsidP="00C04192">
      <w:pPr>
        <w:ind w:firstLine="709"/>
        <w:jc w:val="both"/>
      </w:pPr>
      <w:r w:rsidRPr="001F4D2D">
        <w:t>Облстроем в феврале 2016 года в адрес администрации г. Волгограда направлялось письменное уведомление о нарушении условий п. 2.1.9. Соглашения №8</w:t>
      </w:r>
      <w:r w:rsidR="001F4D2D">
        <w:t>.</w:t>
      </w:r>
      <w:r w:rsidRPr="001F4D2D">
        <w:t xml:space="preserve"> </w:t>
      </w:r>
      <w:r w:rsidR="001F4D2D">
        <w:t xml:space="preserve">Однако получив ответ </w:t>
      </w:r>
      <w:r w:rsidRPr="001F4D2D">
        <w:t>администраци</w:t>
      </w:r>
      <w:r w:rsidR="001F4D2D">
        <w:t xml:space="preserve">и </w:t>
      </w:r>
      <w:r w:rsidRPr="001F4D2D">
        <w:t>г. Волгограда</w:t>
      </w:r>
      <w:r w:rsidR="008C4382">
        <w:t>,</w:t>
      </w:r>
      <w:r w:rsidR="00C04192">
        <w:t xml:space="preserve"> </w:t>
      </w:r>
      <w:r w:rsidR="00DC68C6">
        <w:t xml:space="preserve">о том, </w:t>
      </w:r>
      <w:r w:rsidR="00C04192">
        <w:t xml:space="preserve">что </w:t>
      </w:r>
      <w:r w:rsidRPr="001F4D2D">
        <w:t>средства</w:t>
      </w:r>
      <w:r w:rsidR="00C04192">
        <w:t xml:space="preserve"> </w:t>
      </w:r>
      <w:r w:rsidRPr="001F4D2D">
        <w:t>субсидии из фед</w:t>
      </w:r>
      <w:r w:rsidR="008C4382">
        <w:t>ерального и областного бюджетов</w:t>
      </w:r>
      <w:r w:rsidRPr="001F4D2D">
        <w:t xml:space="preserve"> использованы исключительно на строительство дошколь</w:t>
      </w:r>
      <w:r w:rsidR="008C4382">
        <w:t xml:space="preserve">ных образовательных учреждений </w:t>
      </w:r>
      <w:r w:rsidRPr="001F4D2D">
        <w:t>в порядке и на условиях, установленных с</w:t>
      </w:r>
      <w:r w:rsidR="00C04192">
        <w:t xml:space="preserve">оглашением о </w:t>
      </w:r>
      <w:r w:rsidR="00C04192" w:rsidRPr="00B94536">
        <w:t>софинансировании, Облстроем</w:t>
      </w:r>
      <w:r w:rsidR="00C04192" w:rsidRPr="006F7370">
        <w:t xml:space="preserve"> не применены меры по побуждению администрации Волгограда к возврату в областной бюджет в срок до 01.03.2016 субсидии, полученной из областного бюджета в полном объеме.</w:t>
      </w:r>
      <w:r w:rsidR="00BD10A6">
        <w:t xml:space="preserve"> </w:t>
      </w:r>
    </w:p>
    <w:p w:rsidR="007E0576" w:rsidRPr="006D3399" w:rsidRDefault="00C04192" w:rsidP="008811D6">
      <w:pPr>
        <w:ind w:firstLine="709"/>
        <w:jc w:val="both"/>
      </w:pPr>
      <w:r>
        <w:t xml:space="preserve">Между </w:t>
      </w:r>
      <w:r w:rsidRPr="00C04192">
        <w:t xml:space="preserve">Облстроем </w:t>
      </w:r>
      <w:r>
        <w:t xml:space="preserve">и </w:t>
      </w:r>
      <w:r w:rsidR="007E0576" w:rsidRPr="00C04192">
        <w:t>Администрацией Ленинского муниципального района заключено соглашение о предоставлении субсидии из областного бюджета от 03.04.2015 №4 (далее Соглашение №4)</w:t>
      </w:r>
      <w:r w:rsidRPr="00C04192">
        <w:t xml:space="preserve"> на выполнение </w:t>
      </w:r>
      <w:r w:rsidRPr="00BD10A6">
        <w:t xml:space="preserve">работ по реконструкции </w:t>
      </w:r>
      <w:r w:rsidRPr="006D3399">
        <w:t>здания</w:t>
      </w:r>
      <w:r w:rsidR="00BD10A6" w:rsidRPr="006D3399">
        <w:t xml:space="preserve"> для нужд дошкольного образования</w:t>
      </w:r>
      <w:r w:rsidRPr="006D3399">
        <w:t>, расположенного по ул. им. Ленина, №51 в г. Ленинске Волгоградской области</w:t>
      </w:r>
      <w:r w:rsidR="007E0576" w:rsidRPr="006D3399">
        <w:t xml:space="preserve">. </w:t>
      </w:r>
      <w:r w:rsidR="00300B2B" w:rsidRPr="006D3399">
        <w:t>В</w:t>
      </w:r>
      <w:r w:rsidRPr="006D3399">
        <w:t xml:space="preserve"> установленный соглашением срок (</w:t>
      </w:r>
      <w:r w:rsidR="007E0576" w:rsidRPr="006D3399">
        <w:t>до 01.10.2015</w:t>
      </w:r>
      <w:r w:rsidRPr="006D3399">
        <w:t>) объект в эксплуатацию не введен.</w:t>
      </w:r>
      <w:r w:rsidR="007E0576" w:rsidRPr="006D3399">
        <w:t xml:space="preserve"> </w:t>
      </w:r>
      <w:r w:rsidR="008811D6" w:rsidRPr="006D3399">
        <w:t xml:space="preserve">Более того, </w:t>
      </w:r>
      <w:r w:rsidR="007E0576" w:rsidRPr="006D3399">
        <w:t>муниципальн</w:t>
      </w:r>
      <w:r w:rsidR="008811D6" w:rsidRPr="006D3399">
        <w:t>ый</w:t>
      </w:r>
      <w:r w:rsidR="007E0576" w:rsidRPr="006D3399">
        <w:t xml:space="preserve"> контракт</w:t>
      </w:r>
      <w:r w:rsidR="008811D6" w:rsidRPr="006D3399">
        <w:t xml:space="preserve"> (</w:t>
      </w:r>
      <w:r w:rsidR="007E0576" w:rsidRPr="006D3399">
        <w:t>от 20.10.2014 №0329300007014000064-0078478-02</w:t>
      </w:r>
      <w:r w:rsidR="008811D6" w:rsidRPr="006D3399">
        <w:t>),</w:t>
      </w:r>
      <w:r w:rsidR="007E0576" w:rsidRPr="006D3399">
        <w:t xml:space="preserve"> </w:t>
      </w:r>
      <w:r w:rsidR="008811D6" w:rsidRPr="006D3399">
        <w:t xml:space="preserve">заключенный с ООО «СК «НИКА» </w:t>
      </w:r>
      <w:r w:rsidR="007E0576" w:rsidRPr="006D3399">
        <w:t>на выполнение</w:t>
      </w:r>
      <w:r w:rsidR="008811D6" w:rsidRPr="006D3399">
        <w:t xml:space="preserve"> работ по реконструкции здания (</w:t>
      </w:r>
      <w:r w:rsidR="007E0576" w:rsidRPr="006D3399">
        <w:t>5-ти групп дошкольного образования</w:t>
      </w:r>
      <w:r w:rsidR="008811D6" w:rsidRPr="006D3399">
        <w:t>)</w:t>
      </w:r>
      <w:r w:rsidR="007E0576" w:rsidRPr="006D3399">
        <w:t xml:space="preserve"> стоимостью 27362,6 тыс. руб.</w:t>
      </w:r>
      <w:r w:rsidR="008C4382" w:rsidRPr="006D3399">
        <w:t>,</w:t>
      </w:r>
      <w:r w:rsidR="008811D6" w:rsidRPr="006D3399">
        <w:t xml:space="preserve"> расторгнут.</w:t>
      </w:r>
    </w:p>
    <w:p w:rsidR="00E7027A" w:rsidRDefault="008811D6" w:rsidP="00E7027A">
      <w:pPr>
        <w:ind w:firstLine="709"/>
        <w:jc w:val="both"/>
      </w:pPr>
      <w:r w:rsidRPr="008811D6">
        <w:t>В рамках исполнения контракта подрядчиком выполнены работы только на 5899,6 тыс. руб., или на 21,6% от стоимости контракта, из них</w:t>
      </w:r>
      <w:r w:rsidR="007E0576" w:rsidRPr="008811D6">
        <w:t xml:space="preserve"> в 2014 году </w:t>
      </w:r>
      <w:r w:rsidRPr="008811D6">
        <w:t>-</w:t>
      </w:r>
      <w:r w:rsidR="007E0576" w:rsidRPr="008811D6">
        <w:t xml:space="preserve"> на 3029,0 тыс. руб., в 2015 году</w:t>
      </w:r>
      <w:r w:rsidRPr="008811D6">
        <w:t xml:space="preserve"> -</w:t>
      </w:r>
      <w:r w:rsidR="007E0576" w:rsidRPr="008811D6">
        <w:t xml:space="preserve"> на 2870,6 тыс. рублей. Администрацией Ленинского муниципального района из местного бюджета оплачено в 2014 году - 3029,0 тыс. руб., в 2015 году - 3576,6 тыс. рублей. Таким образом, по расчетам с подрядчиком в 2015 году по средствам местного бюджета сложилась дебиторская задолженность в сумме 706,0 тыс. руб. (3576,6 тыс. руб. - 2870,6 тыс. руб.), которая по информации </w:t>
      </w:r>
      <w:r w:rsidRPr="008811D6">
        <w:t>а</w:t>
      </w:r>
      <w:r w:rsidR="007E0576" w:rsidRPr="008811D6">
        <w:t>дминистрации полностью не погашена.</w:t>
      </w:r>
      <w:r w:rsidR="006277D9">
        <w:t xml:space="preserve"> Судебное заседание назначено на 19.04.2016.</w:t>
      </w:r>
      <w:r w:rsidR="007E0576" w:rsidRPr="008811D6">
        <w:t xml:space="preserve"> </w:t>
      </w:r>
    </w:p>
    <w:p w:rsidR="00300B2B" w:rsidRDefault="00E7027A" w:rsidP="00300B2B">
      <w:pPr>
        <w:ind w:firstLine="709"/>
        <w:jc w:val="both"/>
      </w:pPr>
      <w:r>
        <w:t xml:space="preserve">Следует отметить, что </w:t>
      </w:r>
      <w:r w:rsidRPr="00300B2B">
        <w:t>решение о расторжении муниципального контракта с ООО «СК «НИКА» администрацией было принято в одностороннем порядке на основании рас</w:t>
      </w:r>
      <w:r w:rsidR="008C4382">
        <w:t>поряжения от 26.10.2015 №121-р №</w:t>
      </w:r>
      <w:r w:rsidRPr="00300B2B">
        <w:t xml:space="preserve"> 1 «О расторжении контракта», подписанного и.о. главы администрации Ленинского муниципального района О.Ф. Шалаевой</w:t>
      </w:r>
      <w:r w:rsidR="00300B2B">
        <w:t>.</w:t>
      </w:r>
      <w:r w:rsidRPr="00300B2B">
        <w:t xml:space="preserve"> </w:t>
      </w:r>
      <w:r w:rsidR="00300B2B" w:rsidRPr="0094209C">
        <w:t xml:space="preserve">В настоящее время с целью завершения строительства администрацией Ленинского муниципального района проводится конкурс по выбору нового подрядчика.  </w:t>
      </w:r>
    </w:p>
    <w:p w:rsidR="00300B2B" w:rsidRPr="00300B2B" w:rsidRDefault="0043085B" w:rsidP="00300B2B">
      <w:pPr>
        <w:ind w:firstLine="709"/>
        <w:jc w:val="both"/>
      </w:pPr>
      <w:r w:rsidRPr="00300B2B">
        <w:t>Ввиду того, что ООО «СК «НИКА» находится в стадии банкротства</w:t>
      </w:r>
      <w:r w:rsidR="00300B2B" w:rsidRPr="00300B2B">
        <w:t xml:space="preserve">, в настоящее время имеются риски нанесения ущерба </w:t>
      </w:r>
      <w:r w:rsidR="00300B2B">
        <w:t>бюджету района в сумме 706 тыс.</w:t>
      </w:r>
      <w:r w:rsidR="008C4382">
        <w:t xml:space="preserve"> рублей. </w:t>
      </w:r>
      <w:r w:rsidR="00300B2B" w:rsidRPr="00300B2B">
        <w:t xml:space="preserve"> </w:t>
      </w:r>
    </w:p>
    <w:p w:rsidR="007E0576" w:rsidRPr="00300B2B" w:rsidRDefault="007E0576" w:rsidP="007E0576">
      <w:pPr>
        <w:ind w:firstLine="709"/>
        <w:jc w:val="both"/>
      </w:pPr>
      <w:r w:rsidRPr="00300B2B">
        <w:t xml:space="preserve">Необходимо отметить, что при проведении конкурсных процедур в соответствии с требованиями ст. 45 Федерального закона №44-ФЗ заказчики в качестве обеспечения заявок и исполнения контрактов принимают банковские гарантии. Как показывает практика </w:t>
      </w:r>
      <w:r w:rsidR="00C64B00">
        <w:t xml:space="preserve">проверок </w:t>
      </w:r>
      <w:r w:rsidRPr="00300B2B">
        <w:t xml:space="preserve">КСП, этот вид гарантии оправдан, поскольку суды при рассмотрении дел по возмещению ущерба за ненадлежащее исполнение обязательств по контрактам выносят положительные решения в пользу заказчиков. </w:t>
      </w:r>
    </w:p>
    <w:p w:rsidR="007E0576" w:rsidRPr="00300B2B" w:rsidRDefault="007E0576" w:rsidP="00300B2B">
      <w:pPr>
        <w:ind w:firstLine="709"/>
        <w:jc w:val="both"/>
      </w:pPr>
      <w:r w:rsidRPr="00300B2B">
        <w:t>Так, по резул</w:t>
      </w:r>
      <w:r w:rsidR="008C4382">
        <w:t>ьтатам проверки КСП в 2014 году</w:t>
      </w:r>
      <w:r w:rsidRPr="00300B2B">
        <w:t xml:space="preserve"> в г. Волгограде были установлены факты </w:t>
      </w:r>
      <w:r w:rsidR="00300B2B">
        <w:t>наличия неотработанных авансов -</w:t>
      </w:r>
      <w:r w:rsidRPr="00300B2B">
        <w:t xml:space="preserve"> дебиторской задолженности подрядных организаций перед заказчиком МКУ «Служба единого заказчика-застройщика администрации Волгограда» в сумме 82297,4 тыс. руб., в связи с </w:t>
      </w:r>
      <w:r w:rsidR="00300B2B">
        <w:t>этим</w:t>
      </w:r>
      <w:r w:rsidRPr="00300B2B">
        <w:t xml:space="preserve"> имелись риски нанесения ущерба бюджету Волгоградской области.</w:t>
      </w:r>
    </w:p>
    <w:p w:rsidR="007E0576" w:rsidRPr="00300B2B" w:rsidRDefault="008C4382" w:rsidP="007E0576">
      <w:pPr>
        <w:ind w:firstLine="720"/>
        <w:jc w:val="both"/>
      </w:pPr>
      <w:r>
        <w:t>В постановлении к</w:t>
      </w:r>
      <w:r w:rsidR="007E0576" w:rsidRPr="00300B2B">
        <w:t>оллегии КСП от 30.12.2014  №41/1 предлагалось обратить вн</w:t>
      </w:r>
      <w:r w:rsidR="00300B2B" w:rsidRPr="00300B2B">
        <w:t>имание Губернатора области на о</w:t>
      </w:r>
      <w:r w:rsidR="007E0576" w:rsidRPr="00300B2B">
        <w:t>тсутствие надлежащего контроля со стороны администрации городского округа город-герой Волгоград за деятельностью МКУ «Служба единого заказчика-застройщика администрации Волгограда»</w:t>
      </w:r>
      <w:r w:rsidR="00300B2B" w:rsidRPr="00300B2B">
        <w:t>.</w:t>
      </w:r>
      <w:r w:rsidR="007E0576" w:rsidRPr="00300B2B">
        <w:t xml:space="preserve"> </w:t>
      </w:r>
      <w:r w:rsidR="00300B2B" w:rsidRPr="00300B2B">
        <w:t xml:space="preserve">По результатам </w:t>
      </w:r>
      <w:r w:rsidR="007E0576" w:rsidRPr="00300B2B">
        <w:t xml:space="preserve">вынесения </w:t>
      </w:r>
      <w:r w:rsidR="007E0576" w:rsidRPr="006D3399">
        <w:t>постан</w:t>
      </w:r>
      <w:r w:rsidRPr="006D3399">
        <w:t xml:space="preserve">овления коллегии </w:t>
      </w:r>
      <w:r w:rsidR="007E0576" w:rsidRPr="006D3399">
        <w:t>КСП администрацией Волгограда и её подведомственным учреждением МКУ «Служба единого заказчика</w:t>
      </w:r>
      <w:r w:rsidR="007E0576" w:rsidRPr="00300B2B">
        <w:t>-застройщика администрации Волгограда» предприняты действия по возврату неотработанных подрядными организациями авансов</w:t>
      </w:r>
      <w:r w:rsidR="00720F39">
        <w:t>, профинансированных за счет средств федерального бюджета</w:t>
      </w:r>
      <w:r w:rsidR="007E0576" w:rsidRPr="00300B2B">
        <w:t>. Итогом проведенной работы по взысканию бюджетных средств является возврат в бюджет области субсидии федера</w:t>
      </w:r>
      <w:r w:rsidR="00300B2B" w:rsidRPr="00300B2B">
        <w:t>льного бюджета в общей сумме 66</w:t>
      </w:r>
      <w:r w:rsidR="007E0576" w:rsidRPr="00300B2B">
        <w:t>009,8 тыс. руб., из них:</w:t>
      </w:r>
    </w:p>
    <w:p w:rsidR="007E0576" w:rsidRPr="00300B2B" w:rsidRDefault="007E0576" w:rsidP="007E0576">
      <w:pPr>
        <w:ind w:firstLine="720"/>
        <w:jc w:val="both"/>
      </w:pPr>
      <w:r w:rsidRPr="00300B2B">
        <w:t xml:space="preserve">-19 993,3 тыс. руб. </w:t>
      </w:r>
      <w:r w:rsidR="005D4B56">
        <w:t>-</w:t>
      </w:r>
      <w:r w:rsidRPr="00300B2B">
        <w:t xml:space="preserve"> возврат в сентябре 2015 года неотработанного аванса по муниципальному контракту на строительство дошкольного образовательного учреждения </w:t>
      </w:r>
      <w:r w:rsidRPr="00300B2B">
        <w:rPr>
          <w:bCs/>
          <w:iCs/>
          <w:color w:val="000000"/>
        </w:rPr>
        <w:t>по ул. Восточно-Казахстанская в Дзержинском районе Волгограда</w:t>
      </w:r>
      <w:r w:rsidRPr="00300B2B">
        <w:t xml:space="preserve"> (дело №А12-42411/2014);</w:t>
      </w:r>
    </w:p>
    <w:p w:rsidR="007E0576" w:rsidRPr="00300B2B" w:rsidRDefault="00300B2B" w:rsidP="007E0576">
      <w:pPr>
        <w:ind w:firstLine="720"/>
        <w:jc w:val="both"/>
      </w:pPr>
      <w:r w:rsidRPr="00300B2B">
        <w:t>-46</w:t>
      </w:r>
      <w:r w:rsidR="007E0576" w:rsidRPr="00300B2B">
        <w:t xml:space="preserve">016,5 тыс. руб. </w:t>
      </w:r>
      <w:r w:rsidR="005D4B56">
        <w:t>-</w:t>
      </w:r>
      <w:r w:rsidR="007E0576" w:rsidRPr="00300B2B">
        <w:t xml:space="preserve"> возврат в марте 2016 года по банковской гарантии ОАО «Морской акционерный банк» г. Москвы неотработанного аванса по муниципальному контракту на строительство дошкольного образовательного учреждения</w:t>
      </w:r>
      <w:r w:rsidR="007E0576" w:rsidRPr="00300B2B">
        <w:rPr>
          <w:rFonts w:eastAsia="MS Mincho"/>
          <w:bCs/>
          <w:iCs/>
          <w:color w:val="000000"/>
          <w:lang w:eastAsia="ja-JP"/>
        </w:rPr>
        <w:t xml:space="preserve"> в квартале 08_06_010 по пр. Героев Сталинграда в Красноармейском районе Волгограда</w:t>
      </w:r>
      <w:r w:rsidR="007E0576" w:rsidRPr="00300B2B">
        <w:rPr>
          <w:rFonts w:eastAsia="MS Mincho"/>
          <w:b/>
          <w:bCs/>
          <w:i/>
          <w:iCs/>
          <w:color w:val="000000"/>
          <w:lang w:eastAsia="ja-JP"/>
        </w:rPr>
        <w:t xml:space="preserve"> </w:t>
      </w:r>
      <w:r w:rsidR="007E0576" w:rsidRPr="00300B2B">
        <w:rPr>
          <w:rFonts w:eastAsia="MS Mincho"/>
          <w:bCs/>
          <w:iCs/>
          <w:color w:val="000000"/>
          <w:lang w:eastAsia="ja-JP"/>
        </w:rPr>
        <w:t>(дело №А40-195176/14).</w:t>
      </w:r>
      <w:r w:rsidR="007E0576" w:rsidRPr="00300B2B">
        <w:t xml:space="preserve"> </w:t>
      </w:r>
    </w:p>
    <w:p w:rsidR="001F4D2D" w:rsidRDefault="001F4D2D" w:rsidP="007E0576">
      <w:pPr>
        <w:ind w:firstLine="720"/>
        <w:jc w:val="both"/>
      </w:pPr>
    </w:p>
    <w:p w:rsidR="000E574C" w:rsidRPr="005B5D0B" w:rsidRDefault="000E574C" w:rsidP="005B5D0B">
      <w:pPr>
        <w:ind w:firstLine="720"/>
        <w:jc w:val="center"/>
        <w:rPr>
          <w:b/>
          <w:i/>
        </w:rPr>
      </w:pPr>
      <w:r w:rsidRPr="005B5D0B">
        <w:rPr>
          <w:b/>
          <w:i/>
        </w:rPr>
        <w:t>Реализация мероприятий государственной программы Волгоградской области «Развитие физической культуры и спорта в Волгоградской области» на 2014-2018 годы»</w:t>
      </w:r>
    </w:p>
    <w:p w:rsidR="005057AA" w:rsidRDefault="000E574C" w:rsidP="004D48C7">
      <w:pPr>
        <w:ind w:firstLine="720"/>
        <w:jc w:val="both"/>
      </w:pPr>
      <w:r w:rsidRPr="005B5D0B">
        <w:t xml:space="preserve">Облстрой является соисполнителем </w:t>
      </w:r>
      <w:r w:rsidR="005B5D0B" w:rsidRPr="005B5D0B">
        <w:t>государственной</w:t>
      </w:r>
      <w:r w:rsidR="005B5D0B" w:rsidRPr="005B5D0B">
        <w:tab/>
        <w:t xml:space="preserve">программы Волгоградской области «Развитие физической культуры и спорта в Волгоградской области» на 2014-2018 годы», утвержденной постановлением Правительства Волгоградской области от 16.12.2013 №746-п (далее Госпрограмма по развитию физкультуры и спорта) </w:t>
      </w:r>
      <w:r w:rsidRPr="005B5D0B">
        <w:t>в части строительства и реконструкции спортивных объектов</w:t>
      </w:r>
      <w:r w:rsidR="005B5D0B" w:rsidRPr="005B5D0B">
        <w:t xml:space="preserve">. </w:t>
      </w:r>
    </w:p>
    <w:p w:rsidR="005057AA" w:rsidRPr="005057AA" w:rsidRDefault="005057AA" w:rsidP="005057AA">
      <w:pPr>
        <w:ind w:firstLine="720"/>
        <w:jc w:val="both"/>
      </w:pPr>
      <w:r w:rsidRPr="005057AA">
        <w:t>В 2015 году на строительство объектов спорта за счет средств федерального и областного бюджетов выделено 137919,2 тыс. руб., в том числе: 5061,78 тыс. руб. - средства федерально</w:t>
      </w:r>
      <w:r>
        <w:t>го бюджета, 132857,4 тыс. руб. -</w:t>
      </w:r>
      <w:r w:rsidRPr="005057AA">
        <w:t xml:space="preserve"> средства областного бюджета. Исполнение составило 137709,3 тыс. руб., или 99,8% от плана.</w:t>
      </w:r>
    </w:p>
    <w:p w:rsidR="005057AA" w:rsidRDefault="005057AA" w:rsidP="005057AA">
      <w:pPr>
        <w:ind w:firstLine="720"/>
        <w:jc w:val="both"/>
      </w:pPr>
      <w:r w:rsidRPr="005057AA">
        <w:t xml:space="preserve">По итогам 2015 года введено в эксплуатацию 2 объекта проектной мощностью 208 человек в смену, расположенных в Кировском районе г. Волгограда и р.п. Новониколаевском Новониколаевского муниципального района Волгоградской области. </w:t>
      </w:r>
      <w:r>
        <w:t>Кроме этого</w:t>
      </w:r>
      <w:r w:rsidR="008C4382">
        <w:t>,</w:t>
      </w:r>
      <w:r>
        <w:t xml:space="preserve"> в </w:t>
      </w:r>
      <w:r w:rsidRPr="005057AA">
        <w:t xml:space="preserve">отчетном </w:t>
      </w:r>
      <w:r>
        <w:t>периоде</w:t>
      </w:r>
      <w:r w:rsidRPr="005057AA">
        <w:t xml:space="preserve"> продолжалось строительство </w:t>
      </w:r>
      <w:r>
        <w:t>п</w:t>
      </w:r>
      <w:r w:rsidRPr="005057AA">
        <w:t>лавательн</w:t>
      </w:r>
      <w:r>
        <w:t>ого</w:t>
      </w:r>
      <w:r w:rsidRPr="005057AA">
        <w:t xml:space="preserve"> бассейн</w:t>
      </w:r>
      <w:r>
        <w:t>а</w:t>
      </w:r>
      <w:r w:rsidRPr="005057AA">
        <w:t xml:space="preserve"> в с. Старая Полтавка Волгоградской области, на 01.01.2016 общая степень строительной готовности объекта составляет 29 процентов. Следует отметить, что финансирование данного объекта в 2016 году Законом об областном бюджете на 2016 год не предусмотрено. По информации Облстроя строительство будет возобновлено при условии выделения средств областного бюджета на софинансирование строительства объекта.</w:t>
      </w:r>
    </w:p>
    <w:p w:rsidR="005057AA" w:rsidRPr="00EB5DF8" w:rsidRDefault="005057AA" w:rsidP="005057AA">
      <w:pPr>
        <w:ind w:firstLine="720"/>
        <w:jc w:val="both"/>
      </w:pPr>
      <w:r w:rsidRPr="007574C8">
        <w:t xml:space="preserve">В ходе выездных проверок в муниципальные образования Волгоградской области, </w:t>
      </w:r>
      <w:r w:rsidRPr="005057AA">
        <w:t>проведены контрольные обмеры объемов работ, фактически выполненных при строительстве объекта</w:t>
      </w:r>
      <w:r w:rsidR="008C4382">
        <w:t>,</w:t>
      </w:r>
      <w:r w:rsidRPr="005057AA">
        <w:t xml:space="preserve"> и сверка поставленного оборудования </w:t>
      </w:r>
      <w:r>
        <w:t xml:space="preserve"> на </w:t>
      </w:r>
      <w:r w:rsidRPr="005057AA">
        <w:t>«ФОК с универсальным спортивным залом и плавательным бассейном по ул.</w:t>
      </w:r>
      <w:r w:rsidR="002B2D29">
        <w:t xml:space="preserve"> </w:t>
      </w:r>
      <w:r w:rsidRPr="005057AA">
        <w:t>Молодежная в Кировском районе г.Волгограда» и «ФОК в г.</w:t>
      </w:r>
      <w:r w:rsidRPr="00EB5DF8">
        <w:t>Фролово Волгоградской области».</w:t>
      </w:r>
    </w:p>
    <w:p w:rsidR="005057AA" w:rsidRPr="00EB5DF8" w:rsidRDefault="005057AA" w:rsidP="005057AA">
      <w:pPr>
        <w:ind w:firstLine="720"/>
        <w:jc w:val="both"/>
      </w:pPr>
      <w:r w:rsidRPr="00EB5DF8">
        <w:t>Проверк</w:t>
      </w:r>
      <w:r w:rsidR="002B2D29" w:rsidRPr="00EB5DF8">
        <w:t xml:space="preserve">ами </w:t>
      </w:r>
      <w:r w:rsidRPr="00EB5DF8">
        <w:t>установлено</w:t>
      </w:r>
      <w:r w:rsidR="002B2D29" w:rsidRPr="00EB5DF8">
        <w:t xml:space="preserve"> следующее.</w:t>
      </w:r>
      <w:r w:rsidRPr="00EB5DF8">
        <w:t xml:space="preserve"> </w:t>
      </w:r>
    </w:p>
    <w:p w:rsidR="002B2D29" w:rsidRPr="002B2D29" w:rsidRDefault="002B2D29" w:rsidP="005057AA">
      <w:pPr>
        <w:ind w:firstLine="720"/>
        <w:jc w:val="both"/>
      </w:pPr>
      <w:r w:rsidRPr="00EB5DF8">
        <w:t xml:space="preserve">1. </w:t>
      </w:r>
      <w:r w:rsidR="005057AA" w:rsidRPr="00EB5DF8">
        <w:t xml:space="preserve">Строительно-монтажные работы </w:t>
      </w:r>
      <w:r w:rsidRPr="00EB5DF8">
        <w:t>на выполнение работ по завершению строительства «ФОК</w:t>
      </w:r>
      <w:r w:rsidRPr="002B2D29">
        <w:t xml:space="preserve"> в г.Фролово Волгоградской области» </w:t>
      </w:r>
      <w:r w:rsidR="005057AA" w:rsidRPr="002B2D29">
        <w:t xml:space="preserve">выполнялись в рамках муниципального контракта </w:t>
      </w:r>
      <w:r w:rsidRPr="002B2D29">
        <w:t>(</w:t>
      </w:r>
      <w:r w:rsidR="005057AA" w:rsidRPr="002B2D29">
        <w:t>от 14.10.2013 № 0129300019113000065</w:t>
      </w:r>
      <w:r w:rsidRPr="002B2D29">
        <w:t>) стоимостью 27851,3 тыс. руб.</w:t>
      </w:r>
      <w:r w:rsidR="005057AA" w:rsidRPr="002B2D29">
        <w:t>, заключенного Администрацией г. Фролово с ООО «Монолит-2»</w:t>
      </w:r>
      <w:r w:rsidRPr="002B2D29">
        <w:t xml:space="preserve">. </w:t>
      </w:r>
      <w:r w:rsidR="00960EE8" w:rsidRPr="00960EE8">
        <w:t>Объект завершен строительством 10.12.2014, что подтверждается актом приемки завершенного строительством объекта, введен в эксплуатацию разрешение</w:t>
      </w:r>
      <w:r w:rsidR="007A39E4">
        <w:t>м</w:t>
      </w:r>
      <w:r w:rsidR="00960EE8" w:rsidRPr="00960EE8">
        <w:t xml:space="preserve"> </w:t>
      </w:r>
      <w:r w:rsidR="00960EE8">
        <w:t xml:space="preserve">на ввод от </w:t>
      </w:r>
      <w:r w:rsidR="00960EE8" w:rsidRPr="00960EE8">
        <w:t>20.02.2015.</w:t>
      </w:r>
    </w:p>
    <w:p w:rsidR="005057AA" w:rsidRPr="006D3399" w:rsidRDefault="005057AA" w:rsidP="005057AA">
      <w:pPr>
        <w:ind w:firstLine="720"/>
        <w:jc w:val="both"/>
      </w:pPr>
      <w:r w:rsidRPr="002B2D29">
        <w:t xml:space="preserve">Начальная максимальная цена контракта, рассчитанная в ценах 2 квартала 2013 года, в рамках подготовки рассматриваемой аукционной документации произведена Администрацией с применением индексов дефляторов к </w:t>
      </w:r>
      <w:r w:rsidRPr="006D3399">
        <w:t>сметной стоимости</w:t>
      </w:r>
      <w:r w:rsidR="008C4382" w:rsidRPr="006D3399">
        <w:t>,</w:t>
      </w:r>
      <w:r w:rsidRPr="006D3399">
        <w:t xml:space="preserve"> уже прошедшей проверку достоверности определения сметной стоимости работ. При этом </w:t>
      </w:r>
      <w:r w:rsidR="00EB5DF8" w:rsidRPr="006D3399">
        <w:t xml:space="preserve">порядок </w:t>
      </w:r>
      <w:r w:rsidRPr="006D3399">
        <w:t xml:space="preserve">применения указанных индексов </w:t>
      </w:r>
      <w:r w:rsidR="00EB5DF8" w:rsidRPr="006D3399">
        <w:t>Администрацией Волгоградской области нормативно не определен</w:t>
      </w:r>
      <w:r w:rsidRPr="006D3399">
        <w:t>.</w:t>
      </w:r>
    </w:p>
    <w:p w:rsidR="005057AA" w:rsidRPr="002B2D29" w:rsidRDefault="005057AA" w:rsidP="005057AA">
      <w:pPr>
        <w:ind w:firstLine="720"/>
        <w:jc w:val="both"/>
      </w:pPr>
      <w:r w:rsidRPr="00EB5DF8">
        <w:t>В нарушение раздела 1 постановления администрации Волгоградской</w:t>
      </w:r>
      <w:r w:rsidRPr="002B2D29">
        <w:t xml:space="preserve"> области от 13.09.2010 №429-п «О порядке проведения проверки достоверности определения сметной стоимости объектов капитального строительства, финансирование строительства, реконструкции, капитального ремонта которых планируется осуществлять полностью или частично за счет средств областного бюджета» Администрацией не проведена проверка достоверности определения сметной стоимости работ на объекте.</w:t>
      </w:r>
    </w:p>
    <w:p w:rsidR="005057AA" w:rsidRPr="006D3399" w:rsidRDefault="002B2D29" w:rsidP="00A76E5B">
      <w:pPr>
        <w:ind w:firstLine="720"/>
        <w:jc w:val="both"/>
      </w:pPr>
      <w:r w:rsidRPr="00A76E5B">
        <w:t xml:space="preserve">2. </w:t>
      </w:r>
      <w:r w:rsidR="005057AA" w:rsidRPr="00A76E5B">
        <w:t xml:space="preserve">В ходе выборочного осмотра </w:t>
      </w:r>
      <w:r w:rsidRPr="00A76E5B">
        <w:t xml:space="preserve">«ФОК в г.Фролово Волгоградской области» </w:t>
      </w:r>
      <w:r w:rsidR="005057AA" w:rsidRPr="00A76E5B">
        <w:t xml:space="preserve"> отклонений между принятыми и фактически выполненными объемами работ (в части элементов озеленения, устройства покрытия из тротуарной плитки и асфальтобетона, внутренних сетей водоснабжения и канализации, внутреннего и наружного освещения, установки дверей, противопожарных дверей, окон и тамбур-шлюзов) не установлено. </w:t>
      </w:r>
      <w:r w:rsidR="005057AA" w:rsidRPr="007219A6">
        <w:t>Однако визуальным осмотром устройства покрытий крылец установлено их частичное разрушение</w:t>
      </w:r>
      <w:r w:rsidR="005057AA" w:rsidRPr="007219A6">
        <w:rPr>
          <w:color w:val="0070C0"/>
        </w:rPr>
        <w:t>.</w:t>
      </w:r>
      <w:r w:rsidR="00A76E5B" w:rsidRPr="007219A6">
        <w:rPr>
          <w:color w:val="0070C0"/>
        </w:rPr>
        <w:t xml:space="preserve"> </w:t>
      </w:r>
      <w:r w:rsidR="005057AA" w:rsidRPr="00A76E5B">
        <w:t>Администраци</w:t>
      </w:r>
      <w:r w:rsidR="007219A6">
        <w:t>ей</w:t>
      </w:r>
      <w:r w:rsidR="007219A6" w:rsidRPr="007219A6">
        <w:t xml:space="preserve"> </w:t>
      </w:r>
      <w:r w:rsidR="007219A6" w:rsidRPr="00A76E5B">
        <w:t>в адрес подрядчика</w:t>
      </w:r>
      <w:r w:rsidR="007219A6">
        <w:t xml:space="preserve"> письмом (от 22.05.2015)</w:t>
      </w:r>
      <w:r w:rsidR="005057AA" w:rsidRPr="00A76E5B">
        <w:t xml:space="preserve"> направлен</w:t>
      </w:r>
      <w:r w:rsidR="007219A6">
        <w:t>а претензия</w:t>
      </w:r>
      <w:r w:rsidR="005057AA" w:rsidRPr="00A76E5B">
        <w:t xml:space="preserve"> с требованием устранить недостатки</w:t>
      </w:r>
      <w:r w:rsidR="007219A6">
        <w:t xml:space="preserve"> в рамках гарантийных </w:t>
      </w:r>
      <w:r w:rsidR="007219A6" w:rsidRPr="006D3399">
        <w:t xml:space="preserve">обязательств. Согласно муниципальному контракту гарантийный срок на выполненные работы составляет 5 лет с даты утверждения акта приемки законченного строительством объекта - 10.12.2014. </w:t>
      </w:r>
      <w:r w:rsidR="005057AA" w:rsidRPr="006D3399">
        <w:t xml:space="preserve"> Однако на момент проверки - ООО «Монолит-2» не устранил указанный недостаток</w:t>
      </w:r>
      <w:r w:rsidR="00A76E5B" w:rsidRPr="006D3399">
        <w:t>, в тоже время Администрация не воспользовалась правом понуждения подрядчика (в судебном порядке) к исполнению гарантийных обязательств, предусмотренных условиями муниципального контракта.</w:t>
      </w:r>
    </w:p>
    <w:p w:rsidR="005057AA" w:rsidRPr="008B4A7B" w:rsidRDefault="008B4A7B" w:rsidP="005057AA">
      <w:pPr>
        <w:ind w:firstLine="720"/>
        <w:jc w:val="both"/>
      </w:pPr>
      <w:r w:rsidRPr="008B4A7B">
        <w:t xml:space="preserve">3. </w:t>
      </w:r>
      <w:r w:rsidR="005057AA" w:rsidRPr="008B4A7B">
        <w:t xml:space="preserve">Поставка спортивно-технологического оборудования для </w:t>
      </w:r>
      <w:r w:rsidRPr="008B4A7B">
        <w:t xml:space="preserve">«ФОК в г.Фролово Волгоградской области» </w:t>
      </w:r>
      <w:r w:rsidR="005057AA" w:rsidRPr="008B4A7B">
        <w:t xml:space="preserve"> осуществлена в рамках исполнения государственного контракта </w:t>
      </w:r>
      <w:r w:rsidRPr="008B4A7B">
        <w:t>(</w:t>
      </w:r>
      <w:r w:rsidR="005057AA" w:rsidRPr="008B4A7B">
        <w:t>от 26.09.2011 №1</w:t>
      </w:r>
      <w:r w:rsidRPr="008B4A7B">
        <w:t>)</w:t>
      </w:r>
      <w:r w:rsidR="005057AA" w:rsidRPr="008B4A7B">
        <w:t xml:space="preserve">, заключенного между комитетом по физической культуре и спорту Волгоградской области и ФГУП «Спорт-Инжиниринг». </w:t>
      </w:r>
      <w:r w:rsidRPr="008B4A7B">
        <w:t xml:space="preserve">В ходе проверки установлено, </w:t>
      </w:r>
      <w:r w:rsidR="005057AA" w:rsidRPr="008B4A7B">
        <w:t>что часть оборудования общей стоимостью 928,0 тыс. руб. хранится и эксплуатируется за пределами объекта</w:t>
      </w:r>
      <w:r w:rsidRPr="008B4A7B">
        <w:t>, а именно</w:t>
      </w:r>
      <w:r w:rsidR="005057AA" w:rsidRPr="008B4A7B">
        <w:t>:</w:t>
      </w:r>
    </w:p>
    <w:p w:rsidR="005057AA" w:rsidRPr="008B4A7B" w:rsidRDefault="005057AA" w:rsidP="005057AA">
      <w:pPr>
        <w:ind w:firstLine="720"/>
        <w:jc w:val="both"/>
      </w:pPr>
      <w:r w:rsidRPr="008B4A7B">
        <w:t>-ринг боксерский на помосте 7*7 м, высотой 1 м (стоимостью 391,8 тыс.руб.), татами 12*12 (стоимостью 299,9 тыс.руб.), тренажер</w:t>
      </w:r>
      <w:r w:rsidR="008C4382">
        <w:t xml:space="preserve"> силовой «Скамья универсальная»</w:t>
      </w:r>
      <w:r w:rsidRPr="008B4A7B">
        <w:t xml:space="preserve"> с изменяемым углом 0-90 град. (стоимостью 20,8 тыс.руб.) находятся в МУ «Районный дом культуры»;</w:t>
      </w:r>
    </w:p>
    <w:p w:rsidR="005057AA" w:rsidRPr="008B4A7B" w:rsidRDefault="005057AA" w:rsidP="005057AA">
      <w:pPr>
        <w:ind w:firstLine="720"/>
        <w:jc w:val="both"/>
      </w:pPr>
      <w:r w:rsidRPr="008B4A7B">
        <w:t>-тренажер силовой «Машина Смита» наклонная (стоимостью 105,9 тыс.руб.), тренажер силовой «Тяга сверху», нагружаемый дисками (стоимостью 54,8 тыс.руб.), тренажер силовой «Гребная тяга с упором на грудь», нагружаемый дисками (стоимостью 54,8 тыс.руб.) находятся на многофункциональной площадке смешанных единоборств в Железнодорожном парке.</w:t>
      </w:r>
    </w:p>
    <w:p w:rsidR="005057AA" w:rsidRPr="00960EE8" w:rsidRDefault="005057AA" w:rsidP="00960EE8">
      <w:pPr>
        <w:ind w:firstLine="720"/>
        <w:jc w:val="both"/>
      </w:pPr>
      <w:r w:rsidRPr="00960EE8">
        <w:t xml:space="preserve">Согласно пояснениям </w:t>
      </w:r>
      <w:r w:rsidR="008B4A7B" w:rsidRPr="00960EE8">
        <w:t xml:space="preserve">заместителя главы Администрации И.И.Пичугиным </w:t>
      </w:r>
      <w:r w:rsidRPr="00960EE8">
        <w:t>размещени</w:t>
      </w:r>
      <w:r w:rsidR="00960EE8" w:rsidRPr="00960EE8">
        <w:t>е</w:t>
      </w:r>
      <w:r w:rsidRPr="00960EE8">
        <w:t xml:space="preserve"> всего поставленного в рамках контракта от 26.09.2011 оборудования на территории объекта нецелесообразно в связи с дос</w:t>
      </w:r>
      <w:r w:rsidR="00960EE8">
        <w:t xml:space="preserve">таточной оснащенностью объекта. </w:t>
      </w:r>
      <w:r w:rsidRPr="00960EE8">
        <w:t>Кроме того</w:t>
      </w:r>
      <w:r w:rsidR="008C4382">
        <w:t>,</w:t>
      </w:r>
      <w:r w:rsidRPr="00960EE8">
        <w:t xml:space="preserve"> в ходе сверки оборудования установлено, что универсальный комплекс для силовых тренировок и функционального тренинга (стоимостью147,2 тыс. руб.) не смонтирован и не эксплуатируется </w:t>
      </w:r>
      <w:r w:rsidR="00960EE8">
        <w:t>-</w:t>
      </w:r>
      <w:r w:rsidRPr="00960EE8">
        <w:t xml:space="preserve"> хранится на объекте в разобранном виде, поскольку вопрос размещения данного комплекса на момент проверки не решен.</w:t>
      </w:r>
    </w:p>
    <w:p w:rsidR="006F05FA" w:rsidRPr="006D3399" w:rsidRDefault="006F05FA" w:rsidP="005057AA">
      <w:pPr>
        <w:ind w:firstLine="720"/>
        <w:jc w:val="both"/>
      </w:pPr>
      <w:r w:rsidRPr="006F05FA">
        <w:t xml:space="preserve">Направление средств в размере 1075,2 тыс.руб. на покупку оборудования для оснащения объекта, которое не смонтировано, а также используется за </w:t>
      </w:r>
      <w:r w:rsidRPr="006D3399">
        <w:t>его пределами (что фактически является его нецелевым использованием), нарушает принцип эффективности расходования бюджетных средств, установленного ст.34 БК РФ.</w:t>
      </w:r>
    </w:p>
    <w:p w:rsidR="00C0684F" w:rsidRPr="00C0684F" w:rsidRDefault="00C0684F" w:rsidP="00C0684F">
      <w:pPr>
        <w:ind w:firstLine="720"/>
        <w:jc w:val="both"/>
      </w:pPr>
      <w:r w:rsidRPr="006D3399">
        <w:t>4. Муниципальный контракт (от 10.06.2015 №3344419283915000010) на выполнение</w:t>
      </w:r>
      <w:r w:rsidRPr="00C0684F">
        <w:t xml:space="preserve"> комплекса работ по завершению строительства «ФОК с универсальным спортивным залом и плавательным бассейном по ул.Молодежная в Кировском районе г.Волгограда» заключен между МКУ «Служба заказчика- застройщика» и ООО «ЭнергоСтройИнжиниринг» по итогам проведения открытого конкурса. Стоимость контракта составила 118900,0 тыс. руб., срок окончания работ </w:t>
      </w:r>
      <w:r w:rsidR="007A39E4">
        <w:t>-</w:t>
      </w:r>
      <w:r w:rsidRPr="00C0684F">
        <w:t xml:space="preserve"> 20.12.2015.</w:t>
      </w:r>
      <w:r>
        <w:t xml:space="preserve"> </w:t>
      </w:r>
      <w:r w:rsidRPr="00C0684F">
        <w:t>Авансирование условиями контракта не было предусмотрено, однако дополнительным соглашением от 09.09.2015 контракт дополнен пунктом 6.1.1</w:t>
      </w:r>
      <w:r w:rsidR="008C4382">
        <w:t>,</w:t>
      </w:r>
      <w:r w:rsidRPr="00C0684F">
        <w:t xml:space="preserve"> согласно которому учреждение оплачивает ООО «ЭнергоСтройИнжиниринг» аванс в размере 10 % от цены настоящего контракта </w:t>
      </w:r>
      <w:r w:rsidR="007A39E4">
        <w:t>-</w:t>
      </w:r>
      <w:r w:rsidRPr="00C0684F">
        <w:t xml:space="preserve"> 11822,5 тыс. </w:t>
      </w:r>
      <w:r w:rsidRPr="005C092B">
        <w:t xml:space="preserve">рублей. Таким образом, в нарушение п.1. ст.95 </w:t>
      </w:r>
      <w:r w:rsidR="005A6C07" w:rsidRPr="005C092B">
        <w:t xml:space="preserve">Федерального закона от 05.04.2013 №44-ФЗ </w:t>
      </w:r>
      <w:r w:rsidRPr="005C092B">
        <w:t>изменено существенное условие контракта при его исполнении.</w:t>
      </w:r>
    </w:p>
    <w:p w:rsidR="00C0684F" w:rsidRPr="005A6C07" w:rsidRDefault="005A6C07" w:rsidP="005A6C07">
      <w:pPr>
        <w:ind w:firstLine="720"/>
        <w:jc w:val="both"/>
      </w:pPr>
      <w:r w:rsidRPr="005A6C07">
        <w:t>5. Д</w:t>
      </w:r>
      <w:r w:rsidR="00C0684F" w:rsidRPr="005A6C07">
        <w:t xml:space="preserve">ополнительным соглашением от 24.12.2015 б/н стоимость контракта </w:t>
      </w:r>
      <w:r>
        <w:t xml:space="preserve">на завершение строительства </w:t>
      </w:r>
      <w:r w:rsidRPr="00C0684F">
        <w:t>«ФОК с универсальным спортивным залом и плавательным бассейном по ул.</w:t>
      </w:r>
      <w:r>
        <w:t xml:space="preserve"> </w:t>
      </w:r>
      <w:r w:rsidRPr="00C0684F">
        <w:t>Молодежная в Кировском районе г.</w:t>
      </w:r>
      <w:r>
        <w:t xml:space="preserve"> </w:t>
      </w:r>
      <w:r w:rsidRPr="00C0684F">
        <w:t xml:space="preserve">Волгограда» </w:t>
      </w:r>
      <w:r w:rsidR="00C0684F" w:rsidRPr="005A6C07">
        <w:t>увеличена до 130047,6 тыс. руб. (</w:t>
      </w:r>
      <w:r w:rsidRPr="005A6C07">
        <w:t xml:space="preserve">в том числе: </w:t>
      </w:r>
      <w:r w:rsidR="00C0684F" w:rsidRPr="005A6C07">
        <w:t>бюджет Волгограда</w:t>
      </w:r>
      <w:r w:rsidRPr="005A6C07">
        <w:t xml:space="preserve"> -</w:t>
      </w:r>
      <w:r w:rsidR="00C0684F" w:rsidRPr="005A6C07">
        <w:t xml:space="preserve"> 44467,7 тыс. руб., областно</w:t>
      </w:r>
      <w:r w:rsidRPr="005A6C07">
        <w:t>й бюджет -</w:t>
      </w:r>
      <w:r w:rsidR="00C0684F" w:rsidRPr="005A6C07">
        <w:t xml:space="preserve"> 80518,1 тыс. руб., федеральн</w:t>
      </w:r>
      <w:r w:rsidRPr="005A6C07">
        <w:t>ый бюджет -</w:t>
      </w:r>
      <w:r w:rsidR="00C0684F" w:rsidRPr="005A6C07">
        <w:t xml:space="preserve"> 5061,8 тыс. рублей). Увеличение стоимости контракта составило 11147,6 тыс. руб., или 9,3%, что не противоречит положениям п.1. ч.1 ст.95 Федерального закона №44-</w:t>
      </w:r>
      <w:r w:rsidR="00C0684F" w:rsidRPr="005C092B">
        <w:t>ФЗ.</w:t>
      </w:r>
      <w:r w:rsidRPr="005C092B">
        <w:t xml:space="preserve"> При этом </w:t>
      </w:r>
      <w:r w:rsidR="00C0684F" w:rsidRPr="005C092B">
        <w:t>проверка достоверности определения сметной стоимости работ на объекте в части работ, не предусмотренных проектной и конкурсной документацией</w:t>
      </w:r>
      <w:r w:rsidR="005C092B">
        <w:t>,</w:t>
      </w:r>
      <w:r w:rsidR="005C092B" w:rsidRPr="005C092B">
        <w:t xml:space="preserve"> не проводилась</w:t>
      </w:r>
      <w:r w:rsidR="0006192F" w:rsidRPr="005C092B">
        <w:t>.</w:t>
      </w:r>
      <w:r w:rsidR="00C0684F" w:rsidRPr="005A6C07">
        <w:t xml:space="preserve"> </w:t>
      </w:r>
    </w:p>
    <w:p w:rsidR="00C0684F" w:rsidRDefault="007553AE" w:rsidP="00B95D44">
      <w:pPr>
        <w:ind w:firstLine="709"/>
        <w:jc w:val="both"/>
      </w:pPr>
      <w:r>
        <w:t>6</w:t>
      </w:r>
      <w:r w:rsidR="005A6C07" w:rsidRPr="00E6044E">
        <w:t xml:space="preserve">. </w:t>
      </w:r>
      <w:r w:rsidR="00E6044E">
        <w:t>В</w:t>
      </w:r>
      <w:r w:rsidR="00E6044E" w:rsidRPr="00243C12">
        <w:t xml:space="preserve"> ходе исполнения муниципальн</w:t>
      </w:r>
      <w:r w:rsidR="00E6044E">
        <w:t>ого</w:t>
      </w:r>
      <w:r w:rsidR="00E6044E" w:rsidRPr="00243C12">
        <w:t xml:space="preserve"> контракт</w:t>
      </w:r>
      <w:r w:rsidR="00E6044E">
        <w:t>а по объекту</w:t>
      </w:r>
      <w:r w:rsidR="00E6044E" w:rsidRPr="00243C12">
        <w:t xml:space="preserve"> </w:t>
      </w:r>
      <w:r w:rsidR="00E6044E" w:rsidRPr="00C0684F">
        <w:t>«ФОК с универсальным спортивным залом и плавательным бассейном по ул.</w:t>
      </w:r>
      <w:r w:rsidR="00E6044E">
        <w:t xml:space="preserve"> </w:t>
      </w:r>
      <w:r w:rsidR="00E6044E" w:rsidRPr="00C0684F">
        <w:t>Молодежная в Кировском районе г.</w:t>
      </w:r>
      <w:r w:rsidR="00E6044E">
        <w:t xml:space="preserve"> </w:t>
      </w:r>
      <w:r w:rsidR="00E6044E" w:rsidRPr="00C0684F">
        <w:t xml:space="preserve">Волгограда» </w:t>
      </w:r>
      <w:r w:rsidR="00E6044E" w:rsidRPr="00243C12">
        <w:t>произв</w:t>
      </w:r>
      <w:r w:rsidR="00E6044E">
        <w:t>едена</w:t>
      </w:r>
      <w:r w:rsidR="00E6044E" w:rsidRPr="00243C12">
        <w:t xml:space="preserve"> замена</w:t>
      </w:r>
      <w:r w:rsidR="00E6044E">
        <w:t xml:space="preserve"> объемов</w:t>
      </w:r>
      <w:r w:rsidR="00E6044E" w:rsidRPr="00243C12">
        <w:t xml:space="preserve"> работ</w:t>
      </w:r>
      <w:r w:rsidR="00E6044E">
        <w:t>.</w:t>
      </w:r>
      <w:r w:rsidR="00E6044E" w:rsidRPr="00243C12">
        <w:t xml:space="preserve"> </w:t>
      </w:r>
      <w:r w:rsidR="00E6044E">
        <w:t xml:space="preserve">Согласно </w:t>
      </w:r>
      <w:r w:rsidR="00C0684F" w:rsidRPr="00E6044E">
        <w:t>акт</w:t>
      </w:r>
      <w:r w:rsidR="00E6044E" w:rsidRPr="00E6044E">
        <w:t xml:space="preserve">ам </w:t>
      </w:r>
      <w:r w:rsidR="00C0684F" w:rsidRPr="00E6044E">
        <w:t>замены работ</w:t>
      </w:r>
      <w:r w:rsidR="00E6044E" w:rsidRPr="00E6044E">
        <w:t xml:space="preserve"> о</w:t>
      </w:r>
      <w:r w:rsidR="00C0684F" w:rsidRPr="00E6044E">
        <w:t>бщая стоимость дополнительных работ составила 17296,1 тыс.</w:t>
      </w:r>
      <w:r w:rsidR="00B95D44">
        <w:t xml:space="preserve"> </w:t>
      </w:r>
      <w:r w:rsidR="00C0684F" w:rsidRPr="00E6044E">
        <w:t xml:space="preserve">руб., или 14,5% от стоимости контракта, оформление указанной замены в виде соответствующего дополнительного соглашения к </w:t>
      </w:r>
      <w:r w:rsidR="00E6044E" w:rsidRPr="00E6044E">
        <w:t>к</w:t>
      </w:r>
      <w:r w:rsidR="00C0684F" w:rsidRPr="00E6044E">
        <w:t>онтракту сторонами не производилось. В результате вышеназванных замен из выполняемых работ исключены работы, предусмотренные проектной документацией, прошедшей государственную экспертизу, конкурс</w:t>
      </w:r>
      <w:r w:rsidR="00B95D44">
        <w:t xml:space="preserve">ной документацией и контрактом, </w:t>
      </w:r>
      <w:r w:rsidR="00C0684F" w:rsidRPr="00B95D44">
        <w:t xml:space="preserve">проверка достоверности определения сметной стоимости работ в части вышеназванных работ, не предусмотренных проектной и конкурсной документацией, </w:t>
      </w:r>
      <w:r w:rsidR="00B95D44" w:rsidRPr="00B95D44">
        <w:t>не проводилась</w:t>
      </w:r>
      <w:r w:rsidR="00C0684F" w:rsidRPr="00B95D44">
        <w:t>.</w:t>
      </w:r>
    </w:p>
    <w:p w:rsidR="00B95D44" w:rsidRPr="00B95D44" w:rsidRDefault="00B95D44" w:rsidP="00B95D44">
      <w:pPr>
        <w:ind w:firstLine="709"/>
        <w:jc w:val="both"/>
      </w:pPr>
    </w:p>
    <w:p w:rsidR="000E574C" w:rsidRPr="002779F1" w:rsidRDefault="000E574C" w:rsidP="002779F1">
      <w:pPr>
        <w:ind w:firstLine="720"/>
        <w:jc w:val="center"/>
        <w:rPr>
          <w:b/>
          <w:i/>
        </w:rPr>
      </w:pPr>
      <w:r w:rsidRPr="002779F1">
        <w:rPr>
          <w:b/>
          <w:i/>
        </w:rPr>
        <w:t>Доведение государственных заданий</w:t>
      </w:r>
    </w:p>
    <w:p w:rsidR="000E574C" w:rsidRPr="002779F1" w:rsidRDefault="000E574C" w:rsidP="002779F1">
      <w:pPr>
        <w:ind w:firstLine="720"/>
        <w:jc w:val="center"/>
        <w:rPr>
          <w:b/>
          <w:i/>
        </w:rPr>
      </w:pPr>
      <w:r w:rsidRPr="002779F1">
        <w:rPr>
          <w:b/>
          <w:i/>
        </w:rPr>
        <w:t>на оказание государственных услуг (выполнение работ) подведомственным учреждениям</w:t>
      </w:r>
    </w:p>
    <w:p w:rsidR="000E574C" w:rsidRPr="002779F1" w:rsidRDefault="000E574C" w:rsidP="004D48C7">
      <w:pPr>
        <w:ind w:firstLine="720"/>
        <w:jc w:val="both"/>
      </w:pPr>
      <w:r w:rsidRPr="002779F1">
        <w:t>Как указано выше, в подведомственности комитета находится 4 учреждения: ГКУ ВО «УКС», ГАУ ВО «Облгосэкспертиза</w:t>
      </w:r>
      <w:r w:rsidR="003C2541">
        <w:t>»</w:t>
      </w:r>
      <w:r w:rsidRPr="002779F1">
        <w:t>, ГАУ ВО «РЦЦС ВО» и ГБУ ВО «ВОАПБ».</w:t>
      </w:r>
    </w:p>
    <w:p w:rsidR="000E574C" w:rsidRPr="002779F1" w:rsidRDefault="000E574C" w:rsidP="004D48C7">
      <w:pPr>
        <w:ind w:firstLine="720"/>
        <w:jc w:val="both"/>
      </w:pPr>
      <w:r w:rsidRPr="002779F1">
        <w:t>В 2015 году</w:t>
      </w:r>
      <w:r w:rsidR="007553AE">
        <w:t>,</w:t>
      </w:r>
      <w:r w:rsidRPr="002779F1">
        <w:t xml:space="preserve"> руководствуясь п. 9 ст. 158 БК РФ</w:t>
      </w:r>
      <w:r w:rsidR="007553AE">
        <w:t>, Облстрой</w:t>
      </w:r>
      <w:r w:rsidRPr="002779F1">
        <w:t xml:space="preserve"> в рамках исполнения бюджетных полномочий главного </w:t>
      </w:r>
      <w:r w:rsidR="007553AE">
        <w:t>распорядителя бюджетных средств</w:t>
      </w:r>
      <w:r w:rsidRPr="002779F1">
        <w:t xml:space="preserve"> сформировал и утвердил государственное задание (далее госзадание) ГБУ ВО «ВОАПБ», ГАУ ВО «Облгосэкспертиза», ГАУ ВО «РЦЦС ВО».</w:t>
      </w:r>
    </w:p>
    <w:p w:rsidR="000E574C" w:rsidRPr="00440A61" w:rsidRDefault="00812C65" w:rsidP="00812C65">
      <w:pPr>
        <w:ind w:firstLine="720"/>
        <w:jc w:val="both"/>
      </w:pPr>
      <w:r w:rsidRPr="00C2712C">
        <w:t xml:space="preserve">Госзадание </w:t>
      </w:r>
      <w:r w:rsidR="000E574C" w:rsidRPr="00C2712C">
        <w:t>ГБУ ВО «ВОАПБ»</w:t>
      </w:r>
      <w:r w:rsidRPr="00C2712C">
        <w:t>, утвержденное</w:t>
      </w:r>
      <w:r w:rsidRPr="00440A61">
        <w:t xml:space="preserve"> п</w:t>
      </w:r>
      <w:r w:rsidR="000E574C" w:rsidRPr="00440A61">
        <w:t>риказом комитета от 24.06.2015 №342-ОД</w:t>
      </w:r>
      <w:r w:rsidR="007553AE">
        <w:t>,</w:t>
      </w:r>
      <w:r w:rsidR="000E574C" w:rsidRPr="00440A61">
        <w:t xml:space="preserve"> </w:t>
      </w:r>
      <w:r w:rsidR="00440A61" w:rsidRPr="00440A61">
        <w:t>содержало</w:t>
      </w:r>
      <w:r w:rsidR="000E574C" w:rsidRPr="00440A61">
        <w:t xml:space="preserve"> 2 этапа выполнения государственной работы</w:t>
      </w:r>
      <w:r w:rsidR="00440A61" w:rsidRPr="00440A61">
        <w:t xml:space="preserve"> на 2015 год</w:t>
      </w:r>
      <w:r w:rsidR="000E574C" w:rsidRPr="00440A61">
        <w:t>:</w:t>
      </w:r>
    </w:p>
    <w:p w:rsidR="000E574C" w:rsidRPr="00440A61" w:rsidRDefault="000E574C" w:rsidP="004D48C7">
      <w:pPr>
        <w:ind w:firstLine="720"/>
        <w:jc w:val="both"/>
      </w:pPr>
      <w:r w:rsidRPr="00440A61">
        <w:t xml:space="preserve">- разработка проектов региональных документов территориального планирования, планируемый результат </w:t>
      </w:r>
      <w:r w:rsidR="000C6EC1">
        <w:t>-</w:t>
      </w:r>
      <w:r w:rsidRPr="00440A61">
        <w:t xml:space="preserve"> (1</w:t>
      </w:r>
      <w:r w:rsidR="003C2541">
        <w:t xml:space="preserve"> комплект</w:t>
      </w:r>
      <w:r w:rsidRPr="00440A61">
        <w:t xml:space="preserve"> стоимостью 11150,0 тыс. руб.) - разработанные материалы: по обоснованию Схемы территориального планирования, по внесению изменений в схему, содержащие предложения по установлению зон затопления, подтопления, проектные предложения по установлению границ зон затопления, подтопления и карты объектов землеустройства;</w:t>
      </w:r>
    </w:p>
    <w:p w:rsidR="000E574C" w:rsidRPr="00440A61" w:rsidRDefault="000E574C" w:rsidP="004D48C7">
      <w:pPr>
        <w:ind w:firstLine="720"/>
        <w:jc w:val="both"/>
      </w:pPr>
      <w:r w:rsidRPr="00440A61">
        <w:t xml:space="preserve">-разработка проектов документации по планировке территории для размещения объектов регионального значения, планируемый результат </w:t>
      </w:r>
      <w:r w:rsidR="000C6EC1">
        <w:t>-</w:t>
      </w:r>
      <w:r w:rsidRPr="00440A61">
        <w:t xml:space="preserve"> документация по планировке территории по 22 объектам стоимостью 5350,0 тыс. рублей. </w:t>
      </w:r>
    </w:p>
    <w:p w:rsidR="00440A61" w:rsidRPr="00440A61" w:rsidRDefault="000E574C" w:rsidP="00440A61">
      <w:pPr>
        <w:ind w:firstLine="720"/>
        <w:jc w:val="both"/>
      </w:pPr>
      <w:r w:rsidRPr="00440A61">
        <w:t xml:space="preserve">Законом об областном бюджете на 2015 год по КБК 807 0412 02 Б 000 «Предоставление субсидий бюджетным, автономным учреждениям и иным некоммерческим организациям» предусмотрено16500,0 тыс. руб., </w:t>
      </w:r>
      <w:r w:rsidR="00440A61" w:rsidRPr="00440A61">
        <w:t>б</w:t>
      </w:r>
      <w:r w:rsidRPr="00440A61">
        <w:t xml:space="preserve">юджетные средства выделялись в соответствии с соглашением о порядке и условиях предоставления субсидии на финансовое обеспечение выполнения госзадания на выполнение государственных работ от 30.06.2015 №7 (далее Соглашение №7), заключенным между Облстроем и ГБУ ВО «ВОАПБ». </w:t>
      </w:r>
      <w:r w:rsidR="00440A61" w:rsidRPr="00440A61">
        <w:t>Исполнение составило 100,0 процентов.</w:t>
      </w:r>
    </w:p>
    <w:p w:rsidR="000E574C" w:rsidRDefault="00440A61" w:rsidP="004D48C7">
      <w:pPr>
        <w:ind w:firstLine="720"/>
        <w:jc w:val="both"/>
      </w:pPr>
      <w:r w:rsidRPr="00440A61">
        <w:t xml:space="preserve">Дополнительным </w:t>
      </w:r>
      <w:r w:rsidR="000E574C" w:rsidRPr="00A765F0">
        <w:t>соглашением от 29.12.2015 в</w:t>
      </w:r>
      <w:r w:rsidR="000E574C" w:rsidRPr="00440A61">
        <w:t xml:space="preserve"> Соглашение №7 внесены изменения количественного показателя выполнения работы по разработке проектов документации по планировке территории для размещения объектов регионального значения: планируемый результат </w:t>
      </w:r>
      <w:r w:rsidR="0021592E">
        <w:t>-</w:t>
      </w:r>
      <w:r w:rsidR="000E574C" w:rsidRPr="00440A61">
        <w:t xml:space="preserve"> документация по планировке территории по 22 объектам уменьшен до 17 объектов, при этом стоимость работ (5350,0 тыс. р</w:t>
      </w:r>
      <w:r w:rsidR="007553AE">
        <w:t>уб.) не изменилась. В частности</w:t>
      </w:r>
      <w:r w:rsidR="000E574C" w:rsidRPr="00440A61">
        <w:t xml:space="preserve"> из перечня объектов были исключены 7 объектов строительства автомобильных дорог </w:t>
      </w:r>
      <w:r>
        <w:t>(</w:t>
      </w:r>
      <w:r w:rsidR="000E574C" w:rsidRPr="00440A61">
        <w:t>общей стоимостью работ 2289,81 тыс. руб.</w:t>
      </w:r>
      <w:r>
        <w:t>)</w:t>
      </w:r>
      <w:r w:rsidR="000E574C" w:rsidRPr="00440A61">
        <w:t>, включены два объекта («Размещение объекта капитального строительства федерального значения «Строительство стадиона….» - 459,85 тыс. руб. и «Размещение объектов и сооружений инфраструктуры чемпионата мира по футболу 2018 года» - 1933,61 тыс. руб.), а также изменена стоимость работ по 4 автомобильным дорогам.</w:t>
      </w:r>
    </w:p>
    <w:p w:rsidR="0021592E" w:rsidRPr="00440A61" w:rsidRDefault="0021592E" w:rsidP="0021592E">
      <w:pPr>
        <w:ind w:firstLine="720"/>
        <w:jc w:val="both"/>
      </w:pPr>
      <w:r>
        <w:t>Следует отметить, что заключение дополнительного соглашения 29.12.2015 носит формальный характер, так как плановые показатели госзадания прив</w:t>
      </w:r>
      <w:r w:rsidR="00C2712C">
        <w:t>едены</w:t>
      </w:r>
      <w:r>
        <w:t xml:space="preserve"> в соответствие с фактически выполненными работами, о чем свидетельствует отчет (от 30.12.2015), согласно которо</w:t>
      </w:r>
      <w:r w:rsidR="002C2DF9">
        <w:t>му</w:t>
      </w:r>
      <w:r>
        <w:t xml:space="preserve"> </w:t>
      </w:r>
      <w:r w:rsidRPr="00440A61">
        <w:t xml:space="preserve">запланированные госзаданием показатели достигнуты, материалы переданы Облстрою. </w:t>
      </w:r>
    </w:p>
    <w:p w:rsidR="000E574C" w:rsidRPr="00C2712C" w:rsidRDefault="000E574C" w:rsidP="004D48C7">
      <w:pPr>
        <w:ind w:firstLine="720"/>
        <w:jc w:val="both"/>
      </w:pPr>
      <w:r w:rsidRPr="00320020">
        <w:t xml:space="preserve">В 2015 году </w:t>
      </w:r>
      <w:r w:rsidRPr="00C2712C">
        <w:t>госзадания ГАУ ВО «РЦЦС ВО» и ГАУ ВО «Облгосэкспертиза» утверждены приказами комитета от 27.10.2015 №718-ОД, от 29.09.2015 №620-ОД соответственно.</w:t>
      </w:r>
    </w:p>
    <w:p w:rsidR="000E574C" w:rsidRPr="00320020" w:rsidRDefault="000E574C" w:rsidP="00320020">
      <w:pPr>
        <w:ind w:firstLine="720"/>
        <w:jc w:val="both"/>
      </w:pPr>
      <w:r w:rsidRPr="00320020">
        <w:t>Госзадание ГАУ ВО «РЦЦС ВО» на 2015 год содержало выполнение государственной работы «Приведение (разработка) территориальных сметных нормативов Волгоградской области в соответствие с государственными сметными нормативами», планируемый результат – сформированные территориальные сметные нормативы в электронном виде на оптическом диске (CD) в формате*. pdf.</w:t>
      </w:r>
      <w:r w:rsidR="00320020">
        <w:t xml:space="preserve"> </w:t>
      </w:r>
      <w:r w:rsidRPr="00320020">
        <w:t xml:space="preserve">Согласно отчету </w:t>
      </w:r>
      <w:r w:rsidR="00320020" w:rsidRPr="00320020">
        <w:t>о выполнении госзадания и акту -</w:t>
      </w:r>
      <w:r w:rsidRPr="00320020">
        <w:t xml:space="preserve"> приемки выполненных государственных работ (от 11.12.2015) государственная работа выполнена в полном объеме (99 сборников (частей) сформированных территориальных сметных нормативов) и передана Облстрою в электронном виде на оптическом</w:t>
      </w:r>
      <w:r w:rsidR="00CB7CD3">
        <w:t xml:space="preserve"> диске (CD) в формате*.</w:t>
      </w:r>
      <w:r w:rsidR="00CB7CD3" w:rsidRPr="00CB7CD3">
        <w:t xml:space="preserve"> </w:t>
      </w:r>
      <w:r w:rsidR="00CB7CD3" w:rsidRPr="00320020">
        <w:t>pdf.</w:t>
      </w:r>
      <w:r w:rsidRPr="00320020">
        <w:t>, что подтверждено в ходе проверки.</w:t>
      </w:r>
    </w:p>
    <w:p w:rsidR="000E574C" w:rsidRPr="006D3399" w:rsidRDefault="000E574C" w:rsidP="00320020">
      <w:pPr>
        <w:ind w:firstLine="720"/>
        <w:jc w:val="both"/>
      </w:pPr>
      <w:r w:rsidRPr="00320020">
        <w:t>В областном бюджете на 2015 год субсидия на финансовое обеспечение выполнения ГАУ ВО «РЦЦС ВО» госзадания не предусматривалась, госзадание (п.6) финансовое обеспечение не содержало. Таким образом, положения ст. 78.1. БК РФ, ст. 4 Федерального закона от 03.11.2006 № 174-ФЗ «Об автономных учреждениях» не соблюдены.</w:t>
      </w:r>
      <w:r w:rsidR="00320020" w:rsidRPr="00320020">
        <w:t xml:space="preserve"> </w:t>
      </w:r>
      <w:r w:rsidRPr="00320020">
        <w:t>Как следует из пояснений заместителя председателя комитета Р.Ю. Абляева</w:t>
      </w:r>
      <w:r w:rsidR="007553AE">
        <w:t>,</w:t>
      </w:r>
      <w:r w:rsidRPr="00320020">
        <w:t xml:space="preserve"> согласно расчетам нормативных затрат на выполнение государственной работы и на содержание имущества за период выполнения государственной работы (с 02.11.2015 по 30.11.2015) общая сумма финансового обеспечения составила 16,5 тыс. руб. и была погашена за счет иной приносящей доход деятельности. Согласно отчету о финансовых результатах учреждения за 2015 год доходы от приносящей дохо</w:t>
      </w:r>
      <w:r w:rsidR="009E2E89">
        <w:t xml:space="preserve">д деятельности </w:t>
      </w:r>
      <w:r w:rsidR="009E2E89" w:rsidRPr="006D3399">
        <w:t>составили 139</w:t>
      </w:r>
      <w:r w:rsidRPr="006D3399">
        <w:t>33,8 тыс. рублей.</w:t>
      </w:r>
    </w:p>
    <w:p w:rsidR="000E574C" w:rsidRPr="006D3399" w:rsidRDefault="000E574C" w:rsidP="004D48C7">
      <w:pPr>
        <w:ind w:firstLine="720"/>
        <w:jc w:val="both"/>
      </w:pPr>
      <w:r w:rsidRPr="006D3399">
        <w:t>Госзадание ГАУ ВО «Облгосэкспертиза» на 2015 год содержало выполнение государственн</w:t>
      </w:r>
      <w:r w:rsidR="000C6EC1" w:rsidRPr="006D3399">
        <w:t>ых</w:t>
      </w:r>
      <w:r w:rsidRPr="006D3399">
        <w:t xml:space="preserve"> </w:t>
      </w:r>
      <w:r w:rsidR="000C6EC1" w:rsidRPr="006D3399">
        <w:t>услуг</w:t>
      </w:r>
      <w:r w:rsidRPr="006D3399">
        <w:t>: «Государственная экспертиза проектной документации и результатов инженерных изысканий» и «Проверка достоверности определения сметной стоимости объектов капитального строительства», планируемый результат - по три заключения по каждому виду работ.</w:t>
      </w:r>
      <w:bookmarkStart w:id="8" w:name="sub_4"/>
      <w:r w:rsidRPr="006D3399">
        <w:t xml:space="preserve"> Согласно отчету о выполнении госзадания за отчетный период планируемый результат достигнут.</w:t>
      </w:r>
    </w:p>
    <w:p w:rsidR="000E574C" w:rsidRPr="006D3399" w:rsidRDefault="000E574C" w:rsidP="004D48C7">
      <w:pPr>
        <w:ind w:firstLine="720"/>
        <w:jc w:val="both"/>
      </w:pPr>
      <w:r w:rsidRPr="006D3399">
        <w:t xml:space="preserve">В областном бюджете на 2015 год субсидия на финансовое обеспечение выполнения ГАУ ВО «Облгосэкспертиза» госзадания также не предусматривалась, госзадание (п.6) определяло, что финансирование </w:t>
      </w:r>
      <w:r w:rsidR="00DC4D3B" w:rsidRPr="006D3399">
        <w:t xml:space="preserve">государственных услуг </w:t>
      </w:r>
      <w:r w:rsidRPr="006D3399">
        <w:t xml:space="preserve">осуществляется за счет средств застройщика или технического заказчика (ч.5 ст.6.1 Градостроительного кодекса РФ). </w:t>
      </w:r>
      <w:bookmarkEnd w:id="8"/>
    </w:p>
    <w:p w:rsidR="000E574C" w:rsidRPr="006D3399" w:rsidRDefault="000E574C" w:rsidP="004D48C7">
      <w:pPr>
        <w:ind w:firstLine="720"/>
        <w:jc w:val="both"/>
      </w:pPr>
      <w:r w:rsidRPr="006D3399">
        <w:t xml:space="preserve">Целью создания автономных учреждений является выполнение работ, оказание услуг в целях осуществления предусмотренных законодательством Российской Федерации полномочий органов государственной власти, виды деятельности учреждений должны соответствовать целям, для достижения которых они созданы. </w:t>
      </w:r>
    </w:p>
    <w:p w:rsidR="000E574C" w:rsidRPr="006D3399" w:rsidRDefault="000E574C" w:rsidP="004D48C7">
      <w:pPr>
        <w:ind w:firstLine="720"/>
        <w:jc w:val="both"/>
      </w:pPr>
      <w:r w:rsidRPr="006D3399">
        <w:t>По данным ГАУ ВО «Облгосэкспертиза» за отчетный год подготовлено 187 заключений государственной экспертизы, 140 заключений по проверке</w:t>
      </w:r>
      <w:r w:rsidR="00943C20" w:rsidRPr="006D3399">
        <w:t xml:space="preserve"> определения сметной стоимости.</w:t>
      </w:r>
      <w:r w:rsidRPr="006D3399">
        <w:t xml:space="preserve"> Сметная стоимость строительства после проведения проверки достоверности определения сметной стоимости за </w:t>
      </w:r>
      <w:r w:rsidR="000530A5" w:rsidRPr="006D3399">
        <w:t>счет консолидированного бюджета</w:t>
      </w:r>
      <w:r w:rsidRPr="006D3399">
        <w:t xml:space="preserve"> в текущем уровне цен составила </w:t>
      </w:r>
      <w:r w:rsidR="00A54C11" w:rsidRPr="006D3399">
        <w:t xml:space="preserve">19318,7 </w:t>
      </w:r>
      <w:r w:rsidRPr="006D3399">
        <w:t>млн. ру</w:t>
      </w:r>
      <w:r w:rsidR="00943C20" w:rsidRPr="006D3399">
        <w:t xml:space="preserve">б., </w:t>
      </w:r>
      <w:r w:rsidR="00A54C11" w:rsidRPr="006D3399">
        <w:t xml:space="preserve">из них за </w:t>
      </w:r>
      <w:r w:rsidR="00943C20" w:rsidRPr="006D3399">
        <w:t>счет областного бюджета -</w:t>
      </w:r>
      <w:r w:rsidRPr="006D3399">
        <w:t xml:space="preserve"> 13177,8 млн. рублей.</w:t>
      </w:r>
    </w:p>
    <w:p w:rsidR="000E574C" w:rsidRPr="00343C16" w:rsidRDefault="000E574C" w:rsidP="004D48C7">
      <w:pPr>
        <w:ind w:firstLine="720"/>
        <w:jc w:val="both"/>
      </w:pPr>
      <w:r w:rsidRPr="006D3399">
        <w:t>Согласно п.1 Положения о формировании и финансовом обеспечении выполнения государственного задания государственными учреждениями Волгоградской области</w:t>
      </w:r>
      <w:r w:rsidRPr="00343C16">
        <w:t xml:space="preserve"> (утв. </w:t>
      </w:r>
      <w:hyperlink w:anchor="sub_0" w:history="1">
        <w:r w:rsidRPr="00343C16">
          <w:t>постановлением</w:t>
        </w:r>
      </w:hyperlink>
      <w:r w:rsidRPr="00343C16">
        <w:t xml:space="preserve"> Администрации Волгоградской области от 25.04.2011 № 171-п) госзадание формируется в соответствии с основными видами деятельност</w:t>
      </w:r>
      <w:r w:rsidR="00CB7CD3">
        <w:t>и, предусмотренными учреждению</w:t>
      </w:r>
      <w:r w:rsidR="00343C16">
        <w:t>. П</w:t>
      </w:r>
      <w:r w:rsidRPr="00343C16">
        <w:t>ри этом доведенные госзад</w:t>
      </w:r>
      <w:r w:rsidR="00937CA4">
        <w:t>анием ГАУ ВО «Облгосэкспертиза»</w:t>
      </w:r>
      <w:r w:rsidRPr="00343C16">
        <w:t xml:space="preserve"> показатели, характеризующи</w:t>
      </w:r>
      <w:r w:rsidR="00343C16" w:rsidRPr="00343C16">
        <w:t>е объем государственн</w:t>
      </w:r>
      <w:r w:rsidR="00DC4D3B">
        <w:t>ых услуг</w:t>
      </w:r>
      <w:r w:rsidR="00343C16">
        <w:t>,</w:t>
      </w:r>
      <w:r w:rsidRPr="00343C16">
        <w:t xml:space="preserve"> более чем в 50 раз меньше фактически выполненной учреждением работы. </w:t>
      </w:r>
    </w:p>
    <w:p w:rsidR="00640DB9" w:rsidRDefault="000E574C" w:rsidP="00640DB9">
      <w:pPr>
        <w:ind w:firstLine="720"/>
        <w:jc w:val="both"/>
      </w:pPr>
      <w:r w:rsidRPr="00C422E4">
        <w:t xml:space="preserve">Кроме этого, </w:t>
      </w:r>
      <w:r w:rsidR="00937CA4">
        <w:t>в нарушение п.2 вышеуказанного П</w:t>
      </w:r>
      <w:r w:rsidRPr="00C422E4">
        <w:t xml:space="preserve">оложения госзаданием не предусмотрены показатели качества </w:t>
      </w:r>
      <w:r w:rsidR="00DC4D3B">
        <w:t>государственных услуг</w:t>
      </w:r>
      <w:r w:rsidRPr="00C422E4">
        <w:t>.</w:t>
      </w:r>
      <w:r w:rsidR="00640DB9">
        <w:t xml:space="preserve"> </w:t>
      </w:r>
      <w:r w:rsidR="00B85DFF">
        <w:t>Госзадание в данном разделе содержит только формулировку «отсутствие нарушений нормативных сроков оказания услуги».</w:t>
      </w:r>
    </w:p>
    <w:p w:rsidR="00640DB9" w:rsidRDefault="00C422E4" w:rsidP="00640DB9">
      <w:pPr>
        <w:ind w:firstLine="720"/>
        <w:jc w:val="both"/>
      </w:pPr>
      <w:r w:rsidRPr="00C422E4">
        <w:t>К</w:t>
      </w:r>
      <w:r w:rsidR="000E574C" w:rsidRPr="00C422E4">
        <w:t>онтрольными мероприятиями КСП неоднократно устанавливались факты некачественной разработки проектной документации</w:t>
      </w:r>
      <w:r w:rsidR="00B15505">
        <w:t xml:space="preserve"> и </w:t>
      </w:r>
      <w:r w:rsidR="000E574C" w:rsidRPr="00C422E4">
        <w:t>определения сметной стоимости объектов, получивших положительное заключение госэкспертизы, что привело к срыву сроков строительства объектов (жилые дома под переселение, детские сады и т.д.) и</w:t>
      </w:r>
      <w:r w:rsidR="00937CA4">
        <w:t>,</w:t>
      </w:r>
      <w:r w:rsidR="000E574C" w:rsidRPr="00C422E4">
        <w:t xml:space="preserve"> как следствие</w:t>
      </w:r>
      <w:r w:rsidR="00CB7CD3">
        <w:t>,</w:t>
      </w:r>
      <w:r w:rsidR="000E574C" w:rsidRPr="00C422E4">
        <w:t xml:space="preserve"> несвоевременному освоению бюджетных средств.</w:t>
      </w:r>
      <w:r w:rsidR="001267ED">
        <w:t xml:space="preserve"> </w:t>
      </w:r>
    </w:p>
    <w:p w:rsidR="001267ED" w:rsidRDefault="008C5CCE" w:rsidP="00370EC6">
      <w:pPr>
        <w:ind w:firstLine="720"/>
        <w:jc w:val="both"/>
      </w:pPr>
      <w:r>
        <w:t>Также</w:t>
      </w:r>
      <w:r w:rsidR="001267ED">
        <w:t xml:space="preserve"> отмечались факты корректировки сметной документации</w:t>
      </w:r>
      <w:r w:rsidR="001267ED" w:rsidRPr="001267ED">
        <w:t xml:space="preserve"> </w:t>
      </w:r>
      <w:r w:rsidR="001267ED">
        <w:t>(п</w:t>
      </w:r>
      <w:r w:rsidR="001267ED" w:rsidRPr="001267ED">
        <w:t>ри наличии положитель</w:t>
      </w:r>
      <w:r w:rsidR="001267ED">
        <w:t>ного заключения гос</w:t>
      </w:r>
      <w:r w:rsidR="001267ED" w:rsidRPr="001267ED">
        <w:t>экспертизы</w:t>
      </w:r>
      <w:r w:rsidR="001267ED">
        <w:t xml:space="preserve">), повлекшей увеличение </w:t>
      </w:r>
      <w:r w:rsidR="001267ED" w:rsidRPr="009D7A4A">
        <w:t>сметн</w:t>
      </w:r>
      <w:r w:rsidR="001267ED">
        <w:t>ой</w:t>
      </w:r>
      <w:r w:rsidR="001267ED" w:rsidRPr="009D7A4A">
        <w:t xml:space="preserve"> стоимост</w:t>
      </w:r>
      <w:r w:rsidR="001267ED">
        <w:t>и. Например,</w:t>
      </w:r>
      <w:r w:rsidR="001267ED" w:rsidRPr="00370EC6">
        <w:t xml:space="preserve"> </w:t>
      </w:r>
      <w:r w:rsidR="00370EC6">
        <w:t>п</w:t>
      </w:r>
      <w:r w:rsidR="001267ED" w:rsidRPr="00370EC6">
        <w:t xml:space="preserve">ри </w:t>
      </w:r>
      <w:r w:rsidR="001267ED">
        <w:t>строительств</w:t>
      </w:r>
      <w:r w:rsidR="00370EC6">
        <w:t>е</w:t>
      </w:r>
      <w:r w:rsidR="001267ED">
        <w:t xml:space="preserve"> </w:t>
      </w:r>
      <w:r>
        <w:t>объекта</w:t>
      </w:r>
      <w:r w:rsidRPr="00F246A1">
        <w:t xml:space="preserve"> «Муниципальный жилой дом № 2 по ул. Нестерова в Краснооктябрьском районе для переселения граждан</w:t>
      </w:r>
      <w:r>
        <w:t xml:space="preserve"> из аварийного и ветхого жилья» </w:t>
      </w:r>
      <w:r w:rsidR="001267ED">
        <w:t>внесен</w:t>
      </w:r>
      <w:r>
        <w:t>ные</w:t>
      </w:r>
      <w:r w:rsidR="00937CA4">
        <w:t xml:space="preserve"> изменения</w:t>
      </w:r>
      <w:r w:rsidR="001267ED" w:rsidRPr="009D7A4A">
        <w:t xml:space="preserve"> </w:t>
      </w:r>
      <w:r>
        <w:t>в</w:t>
      </w:r>
      <w:r w:rsidR="001267ED">
        <w:t xml:space="preserve"> проектно-сметную документацию </w:t>
      </w:r>
      <w:r>
        <w:t>привели к увеличению</w:t>
      </w:r>
      <w:r w:rsidR="00370EC6">
        <w:t xml:space="preserve"> сметн</w:t>
      </w:r>
      <w:r>
        <w:t>ой</w:t>
      </w:r>
      <w:r w:rsidR="00370EC6">
        <w:t xml:space="preserve"> стоимост</w:t>
      </w:r>
      <w:r>
        <w:t>и</w:t>
      </w:r>
      <w:r w:rsidR="00370EC6">
        <w:t xml:space="preserve"> объекта </w:t>
      </w:r>
      <w:r w:rsidR="001267ED" w:rsidRPr="009D7A4A">
        <w:t>на 5540,7 тыс. руб</w:t>
      </w:r>
      <w:r w:rsidR="00370EC6">
        <w:t xml:space="preserve">лей. Данная информация отражена в </w:t>
      </w:r>
      <w:r w:rsidR="001267ED">
        <w:t>о</w:t>
      </w:r>
      <w:r w:rsidR="001267ED" w:rsidRPr="00C422E4">
        <w:t>тчет</w:t>
      </w:r>
      <w:r w:rsidR="001267ED">
        <w:t>е</w:t>
      </w:r>
      <w:r w:rsidR="001267ED" w:rsidRPr="00C422E4">
        <w:t xml:space="preserve"> </w:t>
      </w:r>
      <w:r>
        <w:t xml:space="preserve">КСП </w:t>
      </w:r>
      <w:r w:rsidR="001267ED" w:rsidRPr="00C422E4">
        <w:t>о результатах проверки соблюдения Федерального закона от 21.07.2007 №185-ФЗ «О Фонде содействия реформированию жилищно-коммунального хозяйства» при использовании средств финансовой поддержки на долевое финансирование переселения граждан из аварийного жилого фонда за 2 полугодие 2014 года и 2015 год»</w:t>
      </w:r>
      <w:r w:rsidR="00370EC6">
        <w:t>.</w:t>
      </w:r>
    </w:p>
    <w:p w:rsidR="00C422E4" w:rsidRPr="00C56D78" w:rsidRDefault="008C5CCE" w:rsidP="00CB502D">
      <w:pPr>
        <w:ind w:firstLine="720"/>
        <w:jc w:val="both"/>
      </w:pPr>
      <w:r w:rsidRPr="00C56D78">
        <w:t>В этой связи показательна практика других регионов (</w:t>
      </w:r>
      <w:r>
        <w:t xml:space="preserve">например: Москва, </w:t>
      </w:r>
      <w:r w:rsidRPr="00C56D78">
        <w:t>Республика Алтай, Тверская область</w:t>
      </w:r>
      <w:r>
        <w:t>)</w:t>
      </w:r>
      <w:r w:rsidR="00937CA4">
        <w:t>,</w:t>
      </w:r>
      <w:r>
        <w:t xml:space="preserve"> предусмотревших в го</w:t>
      </w:r>
      <w:r w:rsidRPr="00C56D78">
        <w:t xml:space="preserve">сзаданиях для подведомственных автономных </w:t>
      </w:r>
      <w:r>
        <w:t>учреждений гос</w:t>
      </w:r>
      <w:r w:rsidRPr="00C56D78">
        <w:t>экспертизы</w:t>
      </w:r>
      <w:r w:rsidR="00937CA4">
        <w:t>,</w:t>
      </w:r>
      <w:r w:rsidRPr="00C56D78">
        <w:t xml:space="preserve"> показатели, характеризующие качество выполнения </w:t>
      </w:r>
      <w:r w:rsidRPr="000C6EC1">
        <w:t xml:space="preserve">государственных </w:t>
      </w:r>
      <w:r w:rsidR="00937CA4">
        <w:t>услуг, такие как</w:t>
      </w:r>
      <w:r w:rsidR="00CB502D">
        <w:t xml:space="preserve"> </w:t>
      </w:r>
      <w:r w:rsidR="00C422E4" w:rsidRPr="00C56D78">
        <w:t>количество рассмотренной документации из общего количества обратившихся за проведением госэкспертизы;</w:t>
      </w:r>
      <w:r w:rsidR="00CB502D">
        <w:t xml:space="preserve"> </w:t>
      </w:r>
      <w:r w:rsidR="00C422E4" w:rsidRPr="00C56D78">
        <w:t>количество случаев превышения сроков для проведения государственной работы (услуги);</w:t>
      </w:r>
      <w:r w:rsidR="00CB502D">
        <w:t xml:space="preserve"> количество случаев оспаривания в судебном порядке от</w:t>
      </w:r>
      <w:r w:rsidR="001D0FE8">
        <w:t>рицательного заключения госэксп</w:t>
      </w:r>
      <w:r w:rsidR="00CB502D">
        <w:t xml:space="preserve">ертизы; </w:t>
      </w:r>
      <w:r w:rsidR="001D0FE8">
        <w:t xml:space="preserve">удовлетворенность заявителей качеством оказанной услуги; </w:t>
      </w:r>
      <w:r w:rsidR="00C422E4" w:rsidRPr="00C56D78">
        <w:t>количество жалоб, претензии и замечан</w:t>
      </w:r>
      <w:r w:rsidR="00937CA4">
        <w:t>ия</w:t>
      </w:r>
      <w:r w:rsidR="00C422E4" w:rsidRPr="00C56D78">
        <w:t xml:space="preserve"> на работу учреждения и т.д.</w:t>
      </w:r>
    </w:p>
    <w:p w:rsidR="00655CE3" w:rsidRDefault="001D0FE8" w:rsidP="00070045">
      <w:pPr>
        <w:pStyle w:val="af5"/>
        <w:ind w:left="0" w:firstLine="709"/>
        <w:jc w:val="both"/>
      </w:pPr>
      <w:r>
        <w:t xml:space="preserve">Считаем целесообразным распространение данного опыта на формирование госзадания для </w:t>
      </w:r>
      <w:r w:rsidRPr="0030014E">
        <w:t>ГАУ ВО «Облгосэкспертиза»</w:t>
      </w:r>
      <w:r w:rsidR="00655CE3">
        <w:t xml:space="preserve">, а также, в целях повышения мотивации сотрудников, рассмотреть вопрос о включении показателя качества выполненного </w:t>
      </w:r>
      <w:r w:rsidR="00937CA4">
        <w:t>госзадания в П</w:t>
      </w:r>
      <w:r w:rsidR="00655CE3">
        <w:t xml:space="preserve">оложение о премировании сотрудников учреждения. </w:t>
      </w:r>
    </w:p>
    <w:p w:rsidR="00070045" w:rsidRPr="0030014E" w:rsidRDefault="00655CE3" w:rsidP="00070045">
      <w:pPr>
        <w:pStyle w:val="af5"/>
        <w:ind w:left="0" w:firstLine="709"/>
        <w:jc w:val="both"/>
      </w:pPr>
      <w:r w:rsidRPr="002C2DF9">
        <w:t>Таким образом, в</w:t>
      </w:r>
      <w:r w:rsidR="008C5CCE" w:rsidRPr="002C2DF9">
        <w:t xml:space="preserve"> целях эффективного использования бюджетных средств, осваиваемых при строительстве, реконструкции и капитальном ремонте</w:t>
      </w:r>
      <w:r w:rsidR="00937CA4" w:rsidRPr="002C2DF9">
        <w:t>,</w:t>
      </w:r>
      <w:r w:rsidR="008C5CCE" w:rsidRPr="002C2DF9">
        <w:t xml:space="preserve"> счита</w:t>
      </w:r>
      <w:r w:rsidR="00070045" w:rsidRPr="002C2DF9">
        <w:t>е</w:t>
      </w:r>
      <w:r w:rsidR="008C5CCE" w:rsidRPr="002C2DF9">
        <w:t>м необходимым госзадание</w:t>
      </w:r>
      <w:r w:rsidR="008C5CCE" w:rsidRPr="002C2DF9">
        <w:rPr>
          <w:color w:val="000000" w:themeColor="text1"/>
          <w:lang w:eastAsia="en-US"/>
        </w:rPr>
        <w:t xml:space="preserve"> </w:t>
      </w:r>
      <w:r w:rsidR="008C5CCE" w:rsidRPr="002C2DF9">
        <w:t>ГАУ ВО «Облгосэкспертиза»</w:t>
      </w:r>
      <w:r w:rsidR="00070045" w:rsidRPr="002C2DF9">
        <w:t xml:space="preserve"> доводить по всем объектам, финансируемым из областного бюджета, предусмотрев при этом показатели качества выполненной государственной услуги.</w:t>
      </w:r>
    </w:p>
    <w:p w:rsidR="007F2B61" w:rsidRDefault="0022731C" w:rsidP="00AA51DF">
      <w:pPr>
        <w:ind w:firstLine="709"/>
        <w:jc w:val="center"/>
        <w:rPr>
          <w:b/>
        </w:rPr>
      </w:pPr>
      <w:r w:rsidRPr="00AA51DF">
        <w:rPr>
          <w:b/>
        </w:rPr>
        <w:t>Выводы</w:t>
      </w:r>
    </w:p>
    <w:p w:rsidR="0030014E" w:rsidRDefault="000F2852" w:rsidP="000F2852">
      <w:pPr>
        <w:ind w:firstLine="709"/>
        <w:jc w:val="both"/>
      </w:pPr>
      <w:r w:rsidRPr="0030014E">
        <w:t>1. Из поступивших в 2015 году доходов</w:t>
      </w:r>
      <w:r w:rsidR="0030014E" w:rsidRPr="0030014E">
        <w:t xml:space="preserve"> Облстроя</w:t>
      </w:r>
      <w:r w:rsidRPr="0030014E">
        <w:t xml:space="preserve"> </w:t>
      </w:r>
      <w:r w:rsidR="0030014E" w:rsidRPr="0030014E">
        <w:t>(</w:t>
      </w:r>
      <w:r w:rsidRPr="0030014E">
        <w:t>1270674,4 тыс. руб.</w:t>
      </w:r>
      <w:r w:rsidR="0030014E" w:rsidRPr="0030014E">
        <w:t>)</w:t>
      </w:r>
      <w:r w:rsidRPr="0030014E">
        <w:t xml:space="preserve"> средства федерального бюджета составляют 783931,0 тыс. руб., или 61,7%; поступления из Фонда содействия реформированию жилищно-коммунального хозяйства - 388853,1 тыс. руб., или 30,6</w:t>
      </w:r>
      <w:r w:rsidR="0030014E">
        <w:t xml:space="preserve"> процента.</w:t>
      </w:r>
    </w:p>
    <w:p w:rsidR="0007278C" w:rsidRPr="00744425" w:rsidRDefault="0007278C" w:rsidP="0007278C">
      <w:pPr>
        <w:ind w:firstLine="709"/>
        <w:jc w:val="both"/>
        <w:rPr>
          <w:color w:val="000000" w:themeColor="text1"/>
        </w:rPr>
      </w:pPr>
      <w:r w:rsidRPr="00857BA7">
        <w:rPr>
          <w:color w:val="000000" w:themeColor="text1"/>
        </w:rPr>
        <w:t xml:space="preserve">Доходы в виде безвозмездных поступлений </w:t>
      </w:r>
      <w:r>
        <w:rPr>
          <w:color w:val="000000" w:themeColor="text1"/>
        </w:rPr>
        <w:t>от государственной корпорации -</w:t>
      </w:r>
      <w:r w:rsidRPr="00857BA7">
        <w:rPr>
          <w:color w:val="000000" w:themeColor="text1"/>
        </w:rPr>
        <w:t xml:space="preserve"> Фонда содействия реформированию жилищно-коммунального хозяйства на обеспечение мероприятий по переселению гражда</w:t>
      </w:r>
      <w:r>
        <w:rPr>
          <w:color w:val="000000" w:themeColor="text1"/>
        </w:rPr>
        <w:t>н из аварийного жилищного фонда</w:t>
      </w:r>
      <w:r w:rsidRPr="00857BA7">
        <w:rPr>
          <w:color w:val="000000" w:themeColor="text1"/>
        </w:rPr>
        <w:t xml:space="preserve"> не исполнены на 50218,7 тыс. руб. </w:t>
      </w:r>
      <w:r>
        <w:rPr>
          <w:color w:val="000000" w:themeColor="text1"/>
        </w:rPr>
        <w:t>-</w:t>
      </w:r>
      <w:r w:rsidRPr="00857BA7">
        <w:rPr>
          <w:color w:val="000000" w:themeColor="text1"/>
        </w:rPr>
        <w:t xml:space="preserve"> в объеме недополученных регионом </w:t>
      </w:r>
      <w:r w:rsidRPr="00BC3E23">
        <w:rPr>
          <w:color w:val="000000" w:themeColor="text1"/>
        </w:rPr>
        <w:t>средств фонда на реализацию этапа 2015 года. Данные средства предназначались для софинансирования строительства многоквартирных домо</w:t>
      </w:r>
      <w:r>
        <w:rPr>
          <w:color w:val="000000" w:themeColor="text1"/>
        </w:rPr>
        <w:t xml:space="preserve">в в муниципальных образованиях </w:t>
      </w:r>
      <w:r w:rsidRPr="00BC3E23">
        <w:rPr>
          <w:color w:val="000000" w:themeColor="text1"/>
        </w:rPr>
        <w:t>Быковского</w:t>
      </w:r>
      <w:r>
        <w:rPr>
          <w:color w:val="000000" w:themeColor="text1"/>
        </w:rPr>
        <w:t>,</w:t>
      </w:r>
      <w:r w:rsidRPr="00BC3E23">
        <w:rPr>
          <w:color w:val="000000" w:themeColor="text1"/>
        </w:rPr>
        <w:t xml:space="preserve"> Светлоярского</w:t>
      </w:r>
      <w:r>
        <w:rPr>
          <w:color w:val="000000" w:themeColor="text1"/>
        </w:rPr>
        <w:t xml:space="preserve"> и </w:t>
      </w:r>
      <w:r w:rsidRPr="00BC3E23">
        <w:rPr>
          <w:color w:val="000000" w:themeColor="text1"/>
        </w:rPr>
        <w:t>Городищенского район</w:t>
      </w:r>
      <w:r w:rsidR="00CB5645">
        <w:rPr>
          <w:color w:val="000000" w:themeColor="text1"/>
        </w:rPr>
        <w:t>ов.</w:t>
      </w:r>
      <w:r w:rsidRPr="00BC3E23">
        <w:rPr>
          <w:color w:val="000000" w:themeColor="text1"/>
        </w:rPr>
        <w:t xml:space="preserve"> </w:t>
      </w:r>
      <w:r w:rsidR="00CB5645">
        <w:rPr>
          <w:color w:val="000000" w:themeColor="text1"/>
        </w:rPr>
        <w:t>О</w:t>
      </w:r>
      <w:r w:rsidRPr="00BC3E23">
        <w:rPr>
          <w:color w:val="000000" w:themeColor="text1"/>
        </w:rPr>
        <w:t>днако органы местного самоуправления не заключили муниципальные контракты</w:t>
      </w:r>
      <w:r w:rsidRPr="00744425">
        <w:rPr>
          <w:color w:val="000000" w:themeColor="text1"/>
        </w:rPr>
        <w:t xml:space="preserve"> ввиду принятия решений о разделении периода строительства на 2 этапа (проектирование и строительство) и необходимости проведения дополнительных исследований, корректировки проектной документации и проведения государственной экспертизы.</w:t>
      </w:r>
    </w:p>
    <w:p w:rsidR="003066BD" w:rsidRPr="00595B82" w:rsidRDefault="008A0F62" w:rsidP="003066BD">
      <w:pPr>
        <w:spacing w:line="20" w:lineRule="atLeast"/>
        <w:ind w:firstLine="680"/>
        <w:jc w:val="both"/>
      </w:pPr>
      <w:r w:rsidRPr="00B00B78">
        <w:t xml:space="preserve">Вследствие недостатков в организации работы органов исполнительной власти Волгоградской области и </w:t>
      </w:r>
      <w:r w:rsidR="00B00B78" w:rsidRPr="00B00B78">
        <w:t>а</w:t>
      </w:r>
      <w:r w:rsidRPr="00B00B78">
        <w:t xml:space="preserve">дминистрации </w:t>
      </w:r>
      <w:r w:rsidR="00B00B78" w:rsidRPr="00B00B78">
        <w:t xml:space="preserve">Котельниковского муниципального </w:t>
      </w:r>
      <w:r w:rsidRPr="00B00B78">
        <w:t>района средства федерального бюджета</w:t>
      </w:r>
      <w:r w:rsidR="00B00B78" w:rsidRPr="00B00B78">
        <w:t>, поступившие на софинансирование строительства объектов коммунальной инфраструктуры в г. Котельниково</w:t>
      </w:r>
      <w:r w:rsidR="003066BD">
        <w:t>,</w:t>
      </w:r>
      <w:r w:rsidR="00B00B78" w:rsidRPr="00B00B78">
        <w:t xml:space="preserve"> за </w:t>
      </w:r>
      <w:r w:rsidRPr="00B00B78">
        <w:t xml:space="preserve">три года регионом </w:t>
      </w:r>
      <w:r w:rsidR="00B00B78" w:rsidRPr="00B00B78">
        <w:t xml:space="preserve">в полном объеме </w:t>
      </w:r>
      <w:r w:rsidRPr="00B00B78">
        <w:t>не освоены</w:t>
      </w:r>
      <w:r w:rsidR="00B00B78" w:rsidRPr="00B00B78">
        <w:t>. О</w:t>
      </w:r>
      <w:r w:rsidRPr="00B00B78">
        <w:t xml:space="preserve">статок неиспользованных средств субсидии </w:t>
      </w:r>
      <w:r w:rsidR="00B00B78" w:rsidRPr="00B00B78">
        <w:t xml:space="preserve">в размере 452520,6 тыс. руб. </w:t>
      </w:r>
      <w:r w:rsidRPr="00B00B78">
        <w:t xml:space="preserve">в январе 2015 года возвращён </w:t>
      </w:r>
      <w:r w:rsidR="003066BD">
        <w:t>в федеральный бюджет, при этом А</w:t>
      </w:r>
      <w:r w:rsidRPr="00B00B78">
        <w:t xml:space="preserve">дминистрация </w:t>
      </w:r>
      <w:r w:rsidR="003066BD">
        <w:t xml:space="preserve">Волгоградской </w:t>
      </w:r>
      <w:r w:rsidRPr="00B00B78">
        <w:t xml:space="preserve">области обязуется </w:t>
      </w:r>
      <w:r w:rsidRPr="003066BD">
        <w:t xml:space="preserve">рассмотреть вопрос о предоставлении </w:t>
      </w:r>
      <w:r w:rsidRPr="00595B82">
        <w:t xml:space="preserve">государственной поддержки ООО «ЕвроХим-ВолгаКалий», принявшему на себя обязательства достроить объект. </w:t>
      </w:r>
      <w:r w:rsidR="003066BD" w:rsidRPr="00595B82">
        <w:t xml:space="preserve">В частности, одной из форм государственной поддержки является предоставление налоговых льгот по налогу на имущество - в виде освобождения от налогообложения в части, зачисляемой в областной бюджет. </w:t>
      </w:r>
    </w:p>
    <w:p w:rsidR="002A30CF" w:rsidRPr="0060748B" w:rsidRDefault="000F2852" w:rsidP="0060748B">
      <w:pPr>
        <w:ind w:firstLine="709"/>
        <w:jc w:val="both"/>
      </w:pPr>
      <w:r w:rsidRPr="0002260D">
        <w:t>2.</w:t>
      </w:r>
      <w:r w:rsidR="0060748B" w:rsidRPr="0002260D">
        <w:t xml:space="preserve"> </w:t>
      </w:r>
      <w:r w:rsidR="002A30CF" w:rsidRPr="0002260D">
        <w:rPr>
          <w:color w:val="000000" w:themeColor="text1"/>
        </w:rPr>
        <w:t>В 2015 году расходы исполнены на 2575978,7 тыс. руб., или на 83,4% к назначениям, утвержденным бюджетной росписью, и на 84,3% к доведенным лимитам бюджетных обязательств. Неисполнение бюджетных ассигнований</w:t>
      </w:r>
      <w:r w:rsidR="002A30CF" w:rsidRPr="00AD1E0A">
        <w:rPr>
          <w:color w:val="000000" w:themeColor="text1"/>
        </w:rPr>
        <w:t xml:space="preserve"> на 514233,0 тыс. руб. (на 16,6% от утвержденного бюджетной росписью объема ассигнований) в основном объясняется нарушением контрагентами сроков выполнения работ; поздним представлением документов муниципальными образованиями на субсидирование и подрядными организациями за выполненные работы; длительностью проведения конкурсных процедур и несостоявшимися аукционами; отсутствием финансирования кассовых заявок на оплату в декабре 2015 года.</w:t>
      </w:r>
    </w:p>
    <w:p w:rsidR="00D83D62" w:rsidRPr="00D83D62" w:rsidRDefault="0060748B" w:rsidP="00D83D62">
      <w:pPr>
        <w:ind w:firstLine="709"/>
        <w:jc w:val="both"/>
      </w:pPr>
      <w:r>
        <w:t>3.</w:t>
      </w:r>
      <w:r w:rsidR="00D83D62" w:rsidRPr="00D83D62">
        <w:t xml:space="preserve"> Кредиторская задолженность за 2015 год уменьшилась с 555235,9 тыс. руб. до 117345,6 тыс. руб., при этом просроченная задолженность увеличилась с 14710,9 тыс. руб. до 16208,6 тыс. руб., из которой 7862,8 тыс. руб. составляет задолженность ООО «СевКавПромЖилСтрой», образовавшаяся в ввиду судебных разбирательств. </w:t>
      </w:r>
    </w:p>
    <w:p w:rsidR="0002260D" w:rsidRPr="00595B82" w:rsidRDefault="0002260D" w:rsidP="0002260D">
      <w:pPr>
        <w:ind w:firstLine="709"/>
        <w:jc w:val="both"/>
      </w:pPr>
      <w:r>
        <w:t>Дебиторская задолженность</w:t>
      </w:r>
      <w:r w:rsidR="00D83D62" w:rsidRPr="00DA2436">
        <w:t xml:space="preserve"> увеличилась с 106329,9 до 161750,0 тыс.</w:t>
      </w:r>
      <w:r w:rsidR="00D83D62" w:rsidRPr="00DA2436">
        <w:rPr>
          <w:color w:val="000000" w:themeColor="text1"/>
        </w:rPr>
        <w:t xml:space="preserve"> руб., </w:t>
      </w:r>
      <w:r>
        <w:rPr>
          <w:color w:val="000000" w:themeColor="text1"/>
        </w:rPr>
        <w:t>в том числе</w:t>
      </w:r>
      <w:r w:rsidR="00D83D62" w:rsidRPr="00DA2436">
        <w:rPr>
          <w:color w:val="000000" w:themeColor="text1"/>
        </w:rPr>
        <w:t xml:space="preserve"> задолженность в расчетах по ущербу и иным доходам до 75365,1</w:t>
      </w:r>
      <w:r w:rsidR="00334575">
        <w:rPr>
          <w:color w:val="000000" w:themeColor="text1"/>
        </w:rPr>
        <w:t xml:space="preserve"> </w:t>
      </w:r>
      <w:r w:rsidR="00D83D62" w:rsidRPr="00DA2436">
        <w:rPr>
          <w:color w:val="000000" w:themeColor="text1"/>
        </w:rPr>
        <w:t xml:space="preserve">тыс. рублей. </w:t>
      </w:r>
      <w:r w:rsidR="00D83D62" w:rsidRPr="00DA2436">
        <w:t xml:space="preserve">Безрезультативность </w:t>
      </w:r>
      <w:r>
        <w:t>исполнительного производства</w:t>
      </w:r>
      <w:r w:rsidR="00D83D62" w:rsidRPr="0002260D">
        <w:t xml:space="preserve"> </w:t>
      </w:r>
      <w:r w:rsidR="00D83D62" w:rsidRPr="00595B82">
        <w:t xml:space="preserve">свидетельствует </w:t>
      </w:r>
      <w:r w:rsidRPr="00595B82">
        <w:t xml:space="preserve">о рисках взыскания в областной бюджет более 70000,0 тыс. рублей. </w:t>
      </w:r>
    </w:p>
    <w:p w:rsidR="00300CE3" w:rsidRPr="00595B82" w:rsidRDefault="00DA2436" w:rsidP="00300CE3">
      <w:pPr>
        <w:ind w:firstLine="709"/>
        <w:jc w:val="both"/>
      </w:pPr>
      <w:r w:rsidRPr="00595B82">
        <w:t>4.</w:t>
      </w:r>
      <w:r w:rsidR="00E47B43" w:rsidRPr="00595B82">
        <w:t xml:space="preserve"> </w:t>
      </w:r>
      <w:r w:rsidR="00300CE3" w:rsidRPr="00595B82">
        <w:t>Расходы областного бюджета на оплату неустойки, судебных расходов (судебной экспертизы, услуг представителя, госпошлины), составившие 1480,4 тыс. руб., классифицированы как неэффективные расходы (ст. 34 БК РФ), так как по решению судов являются следствием: нарушения Облстроем обязательств по оплате государственных контрактов - 1364,1 тыс. руб. (из них по причине отсутствия финансирования - 167,4 тыс. руб.), и неправомерных решений об отказе в предоставлении жилья (13,5 тыс. руб.).</w:t>
      </w:r>
    </w:p>
    <w:p w:rsidR="00D83D62" w:rsidRPr="007C5D6E" w:rsidRDefault="00724976" w:rsidP="00D83D62">
      <w:pPr>
        <w:ind w:firstLine="709"/>
        <w:jc w:val="both"/>
        <w:rPr>
          <w:color w:val="000000" w:themeColor="text1"/>
        </w:rPr>
      </w:pPr>
      <w:r w:rsidRPr="00595B82">
        <w:t>Кроме этого</w:t>
      </w:r>
      <w:r w:rsidR="00300CE3" w:rsidRPr="00595B82">
        <w:t>,</w:t>
      </w:r>
      <w:r w:rsidRPr="00595B82">
        <w:t xml:space="preserve"> комитетом </w:t>
      </w:r>
      <w:r w:rsidR="00CC3FB2" w:rsidRPr="00595B82">
        <w:t xml:space="preserve">учтена </w:t>
      </w:r>
      <w:r w:rsidR="00D83D62" w:rsidRPr="00595B82">
        <w:t>задолженность перед Федеральной службой судебных</w:t>
      </w:r>
      <w:r w:rsidR="00D83D62" w:rsidRPr="00724976">
        <w:t xml:space="preserve"> приставов Волгоградской области по постановлениям о взыскании испол</w:t>
      </w:r>
      <w:r w:rsidRPr="00724976">
        <w:t xml:space="preserve">нительного сбора </w:t>
      </w:r>
      <w:r w:rsidR="00334575">
        <w:t>-</w:t>
      </w:r>
      <w:r w:rsidRPr="00724976">
        <w:t>6000,0 тыс. руб.</w:t>
      </w:r>
      <w:r w:rsidR="00D83D62" w:rsidRPr="00724976">
        <w:t xml:space="preserve"> и по постановлениям о наложении административного штрафа в связи с неисполнение</w:t>
      </w:r>
      <w:r w:rsidRPr="00724976">
        <w:t>м по исполнительному документу - 2650,0 тыс. рублей</w:t>
      </w:r>
      <w:r w:rsidR="00D83D62" w:rsidRPr="00724976">
        <w:t xml:space="preserve">. </w:t>
      </w:r>
      <w:r w:rsidRPr="003A6F42">
        <w:rPr>
          <w:color w:val="000000" w:themeColor="text1"/>
        </w:rPr>
        <w:t>Основанием наложения административных санкций явились судебные разбирательства по обеспечению жилыми помещениями детей-сирот и детей, оставшихся без попечения родителей, лиц из их числа (по договорам найма специализированных помещений</w:t>
      </w:r>
      <w:r>
        <w:rPr>
          <w:color w:val="000000" w:themeColor="text1"/>
        </w:rPr>
        <w:t>).</w:t>
      </w:r>
    </w:p>
    <w:p w:rsidR="007916B1" w:rsidRPr="00595B82" w:rsidRDefault="00724976" w:rsidP="007916B1">
      <w:pPr>
        <w:spacing w:line="20" w:lineRule="atLeast"/>
        <w:ind w:firstLine="680"/>
        <w:jc w:val="both"/>
      </w:pPr>
      <w:r w:rsidRPr="00595B82">
        <w:t>5.</w:t>
      </w:r>
      <w:r w:rsidR="005C4F0A" w:rsidRPr="00595B82">
        <w:t xml:space="preserve"> </w:t>
      </w:r>
      <w:r w:rsidR="007916B1" w:rsidRPr="00595B82">
        <w:t xml:space="preserve">Анализ соглашений, заключенных с муниципальными образованиями показал, что перечень документов, приведенный в соглашении, не определяет условия предоставления субсидии, а является пакетом документов, необходимым для совершения платежных операций по перечислению субсидии муниципалитетам. </w:t>
      </w:r>
    </w:p>
    <w:p w:rsidR="0097749F" w:rsidRPr="00BB5D6D" w:rsidRDefault="007C5D6E" w:rsidP="00BB5D6D">
      <w:pPr>
        <w:ind w:firstLine="709"/>
        <w:jc w:val="both"/>
        <w:rPr>
          <w:color w:val="000000" w:themeColor="text1"/>
        </w:rPr>
      </w:pPr>
      <w:r w:rsidRPr="007C5D6E">
        <w:t>Р</w:t>
      </w:r>
      <w:r w:rsidR="0097749F" w:rsidRPr="007C5D6E">
        <w:t xml:space="preserve">егиональные нормативные правовые акты, затрагивающие порядок предоставления и распределения муниципалитетам субсидий на реализацию мероприятий по </w:t>
      </w:r>
      <w:r w:rsidR="00334575">
        <w:t xml:space="preserve">модернизации </w:t>
      </w:r>
      <w:r w:rsidR="0097749F" w:rsidRPr="007C5D6E">
        <w:t>дошкольного образования</w:t>
      </w:r>
      <w:r w:rsidRPr="007C5D6E">
        <w:t xml:space="preserve"> (Постановление №1-п, Порядок №269-п)</w:t>
      </w:r>
      <w:r w:rsidR="0097749F" w:rsidRPr="007C5D6E">
        <w:t>, содержат различные условия предоставления субсидии, что создает сложности их правоприменения.</w:t>
      </w:r>
    </w:p>
    <w:p w:rsidR="00F40165" w:rsidRPr="00595B82" w:rsidRDefault="00B15505" w:rsidP="00BB5D6D">
      <w:pPr>
        <w:ind w:firstLine="709"/>
        <w:jc w:val="both"/>
      </w:pPr>
      <w:r>
        <w:t>Согласно отчету п</w:t>
      </w:r>
      <w:r w:rsidR="00C67FDB" w:rsidRPr="002308E1">
        <w:t>оказатель результативности</w:t>
      </w:r>
      <w:r w:rsidR="004F6414" w:rsidRPr="002308E1">
        <w:t>, установленный Минобразования РФ для Волгоградской области в соглашении на 2015 год, -</w:t>
      </w:r>
      <w:r w:rsidR="00C67FDB" w:rsidRPr="002308E1">
        <w:t xml:space="preserve"> «количество мест, созданных в рамках реализации комплекса мероприятий («дорожная карта»)» - 4500 мест достигнут, и пер</w:t>
      </w:r>
      <w:r w:rsidR="004F6414" w:rsidRPr="002308E1">
        <w:t>евыполнен на 187 мест, или на 4,2 процента</w:t>
      </w:r>
      <w:r w:rsidR="00C67FDB" w:rsidRPr="002308E1">
        <w:t>. Вместе с тем, показатели результативности</w:t>
      </w:r>
      <w:r w:rsidR="004F6414" w:rsidRPr="002308E1">
        <w:t>, за счет строительства и реконструкции зданий</w:t>
      </w:r>
      <w:r w:rsidR="00C67FDB" w:rsidRPr="002308E1">
        <w:t xml:space="preserve"> не достигнуты на </w:t>
      </w:r>
      <w:r w:rsidR="00905CD7" w:rsidRPr="002308E1">
        <w:t>19,6</w:t>
      </w:r>
      <w:r w:rsidR="00C67FDB" w:rsidRPr="002308E1">
        <w:t xml:space="preserve">% и 31,7% соответственно. </w:t>
      </w:r>
      <w:r w:rsidR="00F40165" w:rsidRPr="002308E1">
        <w:t>С</w:t>
      </w:r>
      <w:r w:rsidR="00C67FDB" w:rsidRPr="002308E1">
        <w:t xml:space="preserve">убсидия из федерального бюджета (526986,1 тыс. руб.) Волгоградской областью </w:t>
      </w:r>
      <w:r w:rsidR="00F40165" w:rsidRPr="002308E1">
        <w:t>в 2015 освоена</w:t>
      </w:r>
      <w:r w:rsidR="00C67FDB" w:rsidRPr="002308E1">
        <w:t xml:space="preserve"> на 93,8%, или в сумме 494108,0 тыс. руб., кроме этого</w:t>
      </w:r>
      <w:r w:rsidR="002308E1" w:rsidRPr="002308E1">
        <w:t>,</w:t>
      </w:r>
      <w:r w:rsidR="00C67FDB" w:rsidRPr="002308E1">
        <w:t xml:space="preserve"> муниципалитетами в январе 2016 года возвращены остатки неиспользованной субсидии 2015 года на 30990,6 </w:t>
      </w:r>
      <w:r w:rsidR="00C67FDB" w:rsidRPr="00595B82">
        <w:t xml:space="preserve">тыс. рублей. В итоге неиспользованный остаток средств федерального бюджета </w:t>
      </w:r>
      <w:r w:rsidR="002308E1" w:rsidRPr="00595B82">
        <w:t xml:space="preserve">- </w:t>
      </w:r>
      <w:r w:rsidR="00F40165" w:rsidRPr="00595B82">
        <w:t>63868,7 тыс. руб.</w:t>
      </w:r>
      <w:r w:rsidR="002308E1" w:rsidRPr="00595B82">
        <w:t xml:space="preserve"> (32878,1 тыс. руб. + 30990,6 тыс. руб.</w:t>
      </w:r>
      <w:r w:rsidR="00F40165" w:rsidRPr="00595B82">
        <w:t>)</w:t>
      </w:r>
      <w:r w:rsidR="00C67FDB" w:rsidRPr="00595B82">
        <w:t xml:space="preserve"> был возвращен в вышестоящий бюджет. </w:t>
      </w:r>
    </w:p>
    <w:p w:rsidR="002308E1" w:rsidRPr="00595B82" w:rsidRDefault="00BB5D6D" w:rsidP="00D8581A">
      <w:pPr>
        <w:ind w:firstLine="709"/>
        <w:jc w:val="both"/>
      </w:pPr>
      <w:r w:rsidRPr="00595B82">
        <w:t xml:space="preserve">Согласно положениям Федерального закона от 29.12.2012 №273-ФЗ «Об образовании в Российской Федерации» в группах по присмотру и уходу за детьми осуществляется комплекс мер по организации питания и хозяйственно-бытового обслуживания детей, обеспечению соблюдения ими личной гигиены и режима дня, не включающих в себя образовательную деятельность. </w:t>
      </w:r>
      <w:r w:rsidR="002308E1" w:rsidRPr="00595B82">
        <w:t>Таким образом, на 01.01.2016 цель, с которой выделялась субсидия региону, в полной мере не достигнута, так как не обеспечено выполнение показателя 100 процентной доступности дошкольного образования для детей в возрасте от трех до семи лет, как это предусмотрено в Указе Президента №599 «О мерах по реализации государственной политики в области образования и науки».</w:t>
      </w:r>
    </w:p>
    <w:p w:rsidR="000C0BA2" w:rsidRPr="00595B82" w:rsidRDefault="000C0BA2" w:rsidP="00D56A10">
      <w:pPr>
        <w:ind w:firstLine="709"/>
        <w:jc w:val="both"/>
      </w:pPr>
      <w:r w:rsidRPr="00595B82">
        <w:t>В нарушение п. 1.6 СанПин 2.4.1.3049-13 «Санитарно-эпидемиологические требования к устройству, содержанию и организации режима работы дошкольных образовательных организаций» в г. Волгограде, г. Волжский, Городищенском и Быковском муниципальных районах в зданиях детских садов находятся дети, за которыми</w:t>
      </w:r>
      <w:r w:rsidR="00D8581A" w:rsidRPr="00595B82">
        <w:t xml:space="preserve"> осуществляется присмотр и уход. П</w:t>
      </w:r>
      <w:r w:rsidRPr="00595B82">
        <w:t>ри этом заключения, подтверждающие соответствие объектов дошкольных учреждений санитарному законодательству и названным санитарным правилам</w:t>
      </w:r>
      <w:r w:rsidR="00D8581A" w:rsidRPr="00595B82">
        <w:t>,</w:t>
      </w:r>
      <w:r w:rsidRPr="00595B82">
        <w:t xml:space="preserve"> отсутствуют. </w:t>
      </w:r>
      <w:r w:rsidR="00D8581A" w:rsidRPr="00595B82">
        <w:t>По информации комитета образования и науки Волгоградской области сроки получения лицензии по всем введенным в эксплуатацию объектам дошкольного образования истекают во второй половине 2016 года.</w:t>
      </w:r>
      <w:r w:rsidR="00D56A10" w:rsidRPr="00595B82">
        <w:t xml:space="preserve"> </w:t>
      </w:r>
      <w:r w:rsidRPr="00595B82">
        <w:t>Кроме этого, в учреждениях отсут</w:t>
      </w:r>
      <w:r w:rsidR="00334575" w:rsidRPr="00595B82">
        <w:t>ствуют заключения о соответстви</w:t>
      </w:r>
      <w:r w:rsidRPr="00595B82">
        <w:t>и зданий требованиям пожарной безопасности.</w:t>
      </w:r>
    </w:p>
    <w:p w:rsidR="00300F1A" w:rsidRPr="00595B82" w:rsidRDefault="00BB5D6D" w:rsidP="00300F1A">
      <w:pPr>
        <w:ind w:firstLine="709"/>
        <w:jc w:val="both"/>
      </w:pPr>
      <w:r>
        <w:t>6.</w:t>
      </w:r>
      <w:r w:rsidR="00300F1A">
        <w:t xml:space="preserve"> </w:t>
      </w:r>
      <w:r w:rsidR="00300F1A" w:rsidRPr="00300F1A">
        <w:t>Определение начальной максимальной цены контракта на выполнение работ по строительству ДОУ «Матрешка» (г.</w:t>
      </w:r>
      <w:r w:rsidR="000218F2">
        <w:t xml:space="preserve"> </w:t>
      </w:r>
      <w:r w:rsidR="00300F1A" w:rsidRPr="00300F1A">
        <w:t xml:space="preserve">Волжский) и </w:t>
      </w:r>
      <w:r w:rsidR="00300F1A" w:rsidRPr="002B2D29">
        <w:t>«ФОК в г.</w:t>
      </w:r>
      <w:r w:rsidR="000218F2">
        <w:t xml:space="preserve"> </w:t>
      </w:r>
      <w:r w:rsidR="00300F1A" w:rsidRPr="002B2D29">
        <w:t xml:space="preserve">Фролово Волгоградской области» </w:t>
      </w:r>
      <w:r w:rsidR="00300F1A" w:rsidRPr="00300F1A">
        <w:t xml:space="preserve">произведено с применением индексов дефляторов (индексы изменения сметной стоимости строительно-монтажных работ, индексы изменения сметной стоимости прочих работ и затрат, индексы изменения сметной стоимости оборудования) </w:t>
      </w:r>
      <w:r w:rsidR="00334575" w:rsidRPr="00300F1A">
        <w:t>к сметной стоимости</w:t>
      </w:r>
      <w:r w:rsidR="00334575">
        <w:t>,</w:t>
      </w:r>
      <w:r w:rsidR="00334575" w:rsidRPr="00300F1A">
        <w:t xml:space="preserve"> </w:t>
      </w:r>
      <w:r w:rsidR="00300F1A" w:rsidRPr="00300F1A">
        <w:t xml:space="preserve">прошедшей проверку </w:t>
      </w:r>
      <w:r w:rsidR="00334575" w:rsidRPr="00300F1A">
        <w:t>достоверности опред</w:t>
      </w:r>
      <w:r w:rsidR="00334575">
        <w:t xml:space="preserve">еления сметной стоимости работ </w:t>
      </w:r>
      <w:r w:rsidR="00300F1A" w:rsidRPr="00300F1A">
        <w:t xml:space="preserve">ГАУ ВО </w:t>
      </w:r>
      <w:r w:rsidR="00334575" w:rsidRPr="0030014E">
        <w:t>«Облгосэкспертиза»</w:t>
      </w:r>
      <w:r w:rsidR="00334575">
        <w:t>.</w:t>
      </w:r>
      <w:r w:rsidR="00300F1A" w:rsidRPr="00300F1A">
        <w:t xml:space="preserve"> </w:t>
      </w:r>
      <w:r w:rsidR="00300F1A" w:rsidRPr="00595B82">
        <w:t xml:space="preserve">При этом </w:t>
      </w:r>
      <w:r w:rsidR="00F16100" w:rsidRPr="00595B82">
        <w:t xml:space="preserve">порядок </w:t>
      </w:r>
      <w:r w:rsidR="00300F1A" w:rsidRPr="00595B82">
        <w:t xml:space="preserve">применения заказчиками указанных индексов </w:t>
      </w:r>
      <w:r w:rsidR="00737B04" w:rsidRPr="00595B82">
        <w:t xml:space="preserve">Администрацией Волгоградской области </w:t>
      </w:r>
      <w:r w:rsidR="00300F1A" w:rsidRPr="00595B82">
        <w:t>нормативно не определен, проверка достоверности определения сметной стоимости, на основании которой определена начальная максимальная цена контракта, не проводилась.</w:t>
      </w:r>
    </w:p>
    <w:p w:rsidR="00945F31" w:rsidRPr="00595B82" w:rsidRDefault="001303AC" w:rsidP="00945F31">
      <w:pPr>
        <w:ind w:firstLine="709"/>
        <w:jc w:val="both"/>
      </w:pPr>
      <w:r w:rsidRPr="00595B82">
        <w:t>7.</w:t>
      </w:r>
      <w:r w:rsidR="00945F31" w:rsidRPr="00595B82">
        <w:t xml:space="preserve"> В</w:t>
      </w:r>
      <w:r w:rsidR="00367CEA" w:rsidRPr="00595B82">
        <w:t xml:space="preserve"> ходе исполнения муниципальных</w:t>
      </w:r>
      <w:r w:rsidR="00367CEA" w:rsidRPr="00B322EF">
        <w:t xml:space="preserve"> контрактов </w:t>
      </w:r>
      <w:r w:rsidR="00945F31" w:rsidRPr="00B322EF">
        <w:t xml:space="preserve">(г. Волгоград, г. Волжский, Городищенский и Быковский муниципальный районы) </w:t>
      </w:r>
      <w:r w:rsidR="00367CEA" w:rsidRPr="00B322EF">
        <w:t>заказчиками</w:t>
      </w:r>
      <w:r w:rsidR="00B07967" w:rsidRPr="00B322EF">
        <w:t>,</w:t>
      </w:r>
      <w:r w:rsidR="00367CEA" w:rsidRPr="00B322EF">
        <w:t xml:space="preserve"> по согласованию с подрядчиками</w:t>
      </w:r>
      <w:r w:rsidR="00B07967" w:rsidRPr="00B322EF">
        <w:t>,</w:t>
      </w:r>
      <w:r w:rsidR="00367CEA" w:rsidRPr="00B322EF">
        <w:t xml:space="preserve"> производилась замена значительных (до 27%) </w:t>
      </w:r>
      <w:r w:rsidR="00B07967" w:rsidRPr="00B322EF">
        <w:t xml:space="preserve">объемов работ, предусмотренных </w:t>
      </w:r>
      <w:r w:rsidR="00367CEA" w:rsidRPr="00B322EF">
        <w:t>проектной документацией, получившей положител</w:t>
      </w:r>
      <w:r w:rsidR="00B07967" w:rsidRPr="00B322EF">
        <w:t>ьное заключение гос</w:t>
      </w:r>
      <w:r w:rsidR="00367CEA" w:rsidRPr="00B322EF">
        <w:t>экспертизы,</w:t>
      </w:r>
      <w:r w:rsidR="00B15505">
        <w:t xml:space="preserve"> а также </w:t>
      </w:r>
      <w:r w:rsidR="00367CEA" w:rsidRPr="00B322EF">
        <w:t xml:space="preserve"> конкурсной документацией</w:t>
      </w:r>
      <w:r w:rsidR="00B15505">
        <w:t xml:space="preserve"> и </w:t>
      </w:r>
      <w:r w:rsidR="00367CEA" w:rsidRPr="00B322EF">
        <w:t xml:space="preserve">муниципальными контрактами. </w:t>
      </w:r>
      <w:r w:rsidR="00945F31" w:rsidRPr="00B322EF">
        <w:t>Замены работ часто не рассматриваются заказчиками, как дополнительные работы</w:t>
      </w:r>
      <w:r w:rsidR="00B322EF">
        <w:t>,</w:t>
      </w:r>
      <w:r w:rsidR="00945F31" w:rsidRPr="00B322EF">
        <w:t xml:space="preserve"> и осуществляются путем составления актов замены параллельно с увеличением (в рамках заключаемых дополнительных соглашений) объемов, </w:t>
      </w:r>
      <w:r w:rsidR="00945F31" w:rsidRPr="00595B82">
        <w:t>предусмотренных Федеральным законом от 05.04.2013 №44-Ф, в т.ч. в объемах</w:t>
      </w:r>
      <w:r w:rsidR="00B322EF" w:rsidRPr="00595B82">
        <w:t>,</w:t>
      </w:r>
      <w:r w:rsidR="00945F31" w:rsidRPr="00595B82">
        <w:t xml:space="preserve"> значительно превышающих 10 процентов. </w:t>
      </w:r>
      <w:r w:rsidR="005D6030" w:rsidRPr="00595B82">
        <w:t xml:space="preserve">Общая сумма выявленных нарушений составила 82596,5 тыс. рублей. </w:t>
      </w:r>
      <w:r w:rsidR="00945F31" w:rsidRPr="00595B82">
        <w:t>При этом меры к проектировщику за некачественно подготовленную проектную документацию и учреждению, выдавшему положител</w:t>
      </w:r>
      <w:r w:rsidR="00B07967" w:rsidRPr="00595B82">
        <w:t>ьное заключение гос</w:t>
      </w:r>
      <w:r w:rsidR="00945F31" w:rsidRPr="00595B82">
        <w:t>экспертизы, не применялись.</w:t>
      </w:r>
    </w:p>
    <w:p w:rsidR="00945F31" w:rsidRPr="00894EEB" w:rsidRDefault="00945F31" w:rsidP="00945F31">
      <w:pPr>
        <w:ind w:firstLine="709"/>
        <w:jc w:val="both"/>
      </w:pPr>
      <w:r w:rsidRPr="00894EEB">
        <w:t>Учитывая выявленные КСП факты массовой замены подрядчиками существенных объемов работ, не предусмотренной проектными</w:t>
      </w:r>
      <w:r w:rsidR="00C81E1C" w:rsidRPr="00894EEB">
        <w:t>,</w:t>
      </w:r>
      <w:r w:rsidRPr="00894EEB">
        <w:t xml:space="preserve"> конкурсными документациями, контрактами и действующим законодательством</w:t>
      </w:r>
      <w:r w:rsidR="00525E9E" w:rsidRPr="00894EEB">
        <w:t>,</w:t>
      </w:r>
      <w:r w:rsidRPr="00894EEB">
        <w:t xml:space="preserve"> считаем необходимым акцентировать внимание на недопустимост</w:t>
      </w:r>
      <w:r w:rsidR="00894EEB" w:rsidRPr="00894EEB">
        <w:t>ь</w:t>
      </w:r>
      <w:r w:rsidRPr="00894EEB">
        <w:t xml:space="preserve"> подобной практики</w:t>
      </w:r>
      <w:r w:rsidR="00B322EF" w:rsidRPr="00894EEB">
        <w:t>.</w:t>
      </w:r>
    </w:p>
    <w:p w:rsidR="007143BA" w:rsidRPr="00E6044E" w:rsidRDefault="007143BA" w:rsidP="007143BA">
      <w:pPr>
        <w:ind w:firstLine="709"/>
        <w:jc w:val="both"/>
      </w:pPr>
      <w:r w:rsidRPr="00894EEB">
        <w:t>В нарушение п.1. ст.95 Федерального закона от 05.04.2013 №44-ФЗ изменено существенное условие муниципального контракта на выполнение комплекса работ по завершению строительства «ФОК с универсальным спортивным залом и плавательным бассейном по ул.</w:t>
      </w:r>
      <w:r w:rsidR="00525E9E" w:rsidRPr="00894EEB">
        <w:t xml:space="preserve"> </w:t>
      </w:r>
      <w:r w:rsidRPr="00894EEB">
        <w:t>Молодежная в Кировском районе г.</w:t>
      </w:r>
      <w:r w:rsidR="00525E9E" w:rsidRPr="00894EEB">
        <w:t xml:space="preserve"> </w:t>
      </w:r>
      <w:r w:rsidRPr="00894EEB">
        <w:t xml:space="preserve">Волгограда» </w:t>
      </w:r>
      <w:r w:rsidR="00525E9E" w:rsidRPr="00894EEB">
        <w:t xml:space="preserve">- </w:t>
      </w:r>
      <w:r w:rsidRPr="00894EEB">
        <w:t>при его испо</w:t>
      </w:r>
      <w:r w:rsidR="00894EEB" w:rsidRPr="00894EEB">
        <w:t>лнении изменен порядок расчетов</w:t>
      </w:r>
      <w:r w:rsidRPr="00894EEB">
        <w:t xml:space="preserve"> и предусмотрено авансирование работ.</w:t>
      </w:r>
    </w:p>
    <w:p w:rsidR="00093232" w:rsidRPr="00093232" w:rsidRDefault="006F7BA8" w:rsidP="006F7BA8">
      <w:pPr>
        <w:ind w:firstLine="709"/>
        <w:jc w:val="both"/>
      </w:pPr>
      <w:r>
        <w:t>8.</w:t>
      </w:r>
      <w:r w:rsidRPr="00E6044E">
        <w:t xml:space="preserve"> В нарушение ст. 309, п. 1 ст. 711, п.1 ст. 720, п.1 ст.746 ГК РФ муниципальным заказчиком - администрацией Быковского муниципального района приняты и оплачены фактически не выполненные работы в сумме 754,4 тыс. рублей.</w:t>
      </w:r>
      <w:r w:rsidR="00B15505">
        <w:t xml:space="preserve"> </w:t>
      </w:r>
      <w:r w:rsidRPr="00093232">
        <w:t xml:space="preserve">В нарушение п. 1 ст. 9 Федерального закона от 06.12.2011 №402-ФЗ «О бухгалтерском учете» администрацией Быковского муниципального района принят к оплате </w:t>
      </w:r>
      <w:r w:rsidR="00093232" w:rsidRPr="00093232">
        <w:t xml:space="preserve">«фиктивный» акт по ф. КС-2 на сумму 780,8 тыс. руб., подготовленный </w:t>
      </w:r>
      <w:r w:rsidRPr="00093232">
        <w:t xml:space="preserve">заказчиком с целью «скрытого» авансирования </w:t>
      </w:r>
      <w:r w:rsidR="00093232">
        <w:t xml:space="preserve">фактически не выполненных </w:t>
      </w:r>
      <w:r w:rsidRPr="00093232">
        <w:t>подрядных работ</w:t>
      </w:r>
      <w:r w:rsidR="00093232" w:rsidRPr="00093232">
        <w:t xml:space="preserve">. </w:t>
      </w:r>
      <w:r w:rsidR="00B15505">
        <w:t xml:space="preserve"> В ходе проверки нарушени</w:t>
      </w:r>
      <w:r w:rsidR="00CF1A92">
        <w:t>я</w:t>
      </w:r>
      <w:r w:rsidR="00B15505">
        <w:t xml:space="preserve"> ус</w:t>
      </w:r>
      <w:r w:rsidR="00CF1A92">
        <w:t>т</w:t>
      </w:r>
      <w:r w:rsidR="00B15505">
        <w:t>ранен</w:t>
      </w:r>
      <w:r w:rsidR="00CF1A92">
        <w:t>ы</w:t>
      </w:r>
      <w:r w:rsidR="00B15505">
        <w:t>.</w:t>
      </w:r>
      <w:r w:rsidRPr="00093232">
        <w:t xml:space="preserve"> </w:t>
      </w:r>
    </w:p>
    <w:p w:rsidR="006F7BA8" w:rsidRPr="00A359B5" w:rsidRDefault="00B15505" w:rsidP="006F7BA8">
      <w:pPr>
        <w:ind w:firstLine="709"/>
        <w:jc w:val="both"/>
      </w:pPr>
      <w:r>
        <w:t>О</w:t>
      </w:r>
      <w:r w:rsidR="006F7BA8" w:rsidRPr="00A359B5">
        <w:t xml:space="preserve">бъект «Реконструкция  детского сада «Колокольчик» с. Новоникольское» введен в эксплуатацию при отсутствии выполнения полного комплекса работ по реконструкции, как предусмотрено п. 1.8 СНиП 3.01.04-87 «Приемка в эксплуатацию законченных строительством объектов. Основные </w:t>
      </w:r>
      <w:r w:rsidR="006F7BA8" w:rsidRPr="00AD3B7E">
        <w:t>положения».</w:t>
      </w:r>
      <w:r w:rsidR="00AD3B7E" w:rsidRPr="00AD3B7E">
        <w:t xml:space="preserve"> На указанном объекте </w:t>
      </w:r>
      <w:r w:rsidR="00AD3B7E">
        <w:t xml:space="preserve">оплачены, но </w:t>
      </w:r>
      <w:r w:rsidR="00AD3B7E" w:rsidRPr="00AD3B7E">
        <w:t>не выполнены работы по озеленению территории</w:t>
      </w:r>
      <w:r>
        <w:t>. В ходе проверки нарушения устранены.</w:t>
      </w:r>
    </w:p>
    <w:p w:rsidR="00BB5D6D" w:rsidRPr="000C0BA2" w:rsidRDefault="000C0BA2" w:rsidP="000C0BA2">
      <w:pPr>
        <w:ind w:firstLine="709"/>
        <w:jc w:val="both"/>
      </w:pPr>
      <w:r>
        <w:t>9</w:t>
      </w:r>
      <w:r w:rsidR="006F7BA8" w:rsidRPr="000C0BA2">
        <w:t xml:space="preserve">. </w:t>
      </w:r>
      <w:r w:rsidR="00BB5D6D" w:rsidRPr="000C0BA2">
        <w:t xml:space="preserve">Администрациями г. Волгограда </w:t>
      </w:r>
      <w:r w:rsidRPr="000C0BA2">
        <w:t xml:space="preserve">и </w:t>
      </w:r>
      <w:r w:rsidR="00BB5D6D" w:rsidRPr="000C0BA2">
        <w:t>Ленинского муниципального района нарушены условия предоставления межбюджетных трансфертов</w:t>
      </w:r>
      <w:r>
        <w:t xml:space="preserve"> </w:t>
      </w:r>
      <w:r w:rsidRPr="000C0BA2">
        <w:t>- в установленный соглашением срок объекты в эксплуатацию не введены</w:t>
      </w:r>
      <w:r w:rsidR="00BB5D6D" w:rsidRPr="000C0BA2">
        <w:t>, что является бюджетным нарушением, предусмотренным главой 30 «Виды бюджетных нарушений и бюджетные меры принуждения, применяемые за их совершение», подпадающим под административную ответственность, предусмотренную с</w:t>
      </w:r>
      <w:r w:rsidR="00E20A75">
        <w:t>т. 15.15.3</w:t>
      </w:r>
      <w:r w:rsidR="00BB5D6D" w:rsidRPr="000C0BA2">
        <w:t xml:space="preserve"> «Нарушение условий предоставления </w:t>
      </w:r>
      <w:r w:rsidR="00E20A75">
        <w:t>межбюджетных трансфертов</w:t>
      </w:r>
      <w:r w:rsidR="00BB5D6D" w:rsidRPr="000C0BA2">
        <w:t>» Кодекса Российской Федерации об административных правонарушениях от 30.12.2001 № 195-ФЗ.</w:t>
      </w:r>
    </w:p>
    <w:p w:rsidR="00BB5D6D" w:rsidRPr="000C0BA2" w:rsidRDefault="000C0BA2" w:rsidP="00BB5D6D">
      <w:pPr>
        <w:ind w:firstLine="709"/>
        <w:jc w:val="both"/>
      </w:pPr>
      <w:r w:rsidRPr="000C0BA2">
        <w:t>За</w:t>
      </w:r>
      <w:r w:rsidR="00BB5D6D" w:rsidRPr="000C0BA2">
        <w:t xml:space="preserve"> нарушени</w:t>
      </w:r>
      <w:r w:rsidRPr="000C0BA2">
        <w:t>е</w:t>
      </w:r>
      <w:r w:rsidR="00BB5D6D" w:rsidRPr="000C0BA2">
        <w:t xml:space="preserve"> условий п. 2.1.9. Соглашения №8</w:t>
      </w:r>
      <w:r w:rsidRPr="000C0BA2">
        <w:t xml:space="preserve"> </w:t>
      </w:r>
      <w:r w:rsidR="00BB5D6D" w:rsidRPr="000C0BA2">
        <w:t xml:space="preserve">Облстроем не применены меры по побуждению администрации Волгограда к возврату в областной бюджет в срок до 01.03.2016 субсидии, полученной из областного бюджета в полном объеме.  </w:t>
      </w:r>
    </w:p>
    <w:p w:rsidR="00BC505E" w:rsidRDefault="00BC505E" w:rsidP="00BB5D6D">
      <w:pPr>
        <w:ind w:firstLine="709"/>
        <w:jc w:val="both"/>
      </w:pPr>
      <w:r w:rsidRPr="00BC505E">
        <w:t>Р</w:t>
      </w:r>
      <w:r w:rsidR="00BB5D6D" w:rsidRPr="00BC505E">
        <w:t>ешение о расторжении муниципального контракта с ООО «СК «НИКА» администрацией</w:t>
      </w:r>
      <w:r w:rsidRPr="00BC505E">
        <w:t xml:space="preserve"> Ленинского муниципального района</w:t>
      </w:r>
      <w:r w:rsidR="00BB5D6D" w:rsidRPr="00BC505E">
        <w:t xml:space="preserve"> </w:t>
      </w:r>
      <w:r w:rsidRPr="00BC505E">
        <w:t xml:space="preserve">принято </w:t>
      </w:r>
      <w:r w:rsidR="00BB5D6D" w:rsidRPr="00BC505E">
        <w:t>в одностороннем порядке</w:t>
      </w:r>
      <w:r w:rsidR="009F5F72">
        <w:t xml:space="preserve"> </w:t>
      </w:r>
      <w:r w:rsidRPr="00BC505E">
        <w:t xml:space="preserve"> в</w:t>
      </w:r>
      <w:r w:rsidR="00BB5D6D" w:rsidRPr="00BC505E">
        <w:t>виду того, что ООО «СК «НИКА» находится в стадии банкротства, имеются риски нанесения ущерба бюджету района в сумме 706 тыс. р</w:t>
      </w:r>
      <w:r>
        <w:t>ублей.</w:t>
      </w:r>
      <w:r w:rsidR="00BB5D6D" w:rsidRPr="00BC505E">
        <w:t xml:space="preserve"> </w:t>
      </w:r>
    </w:p>
    <w:p w:rsidR="000218F2" w:rsidRDefault="00BC505E" w:rsidP="00977E76">
      <w:pPr>
        <w:ind w:firstLine="709"/>
        <w:jc w:val="both"/>
      </w:pPr>
      <w:r w:rsidRPr="00BC505E">
        <w:t>10</w:t>
      </w:r>
      <w:r w:rsidR="000218F2" w:rsidRPr="000218F2">
        <w:t xml:space="preserve"> Администрация г.</w:t>
      </w:r>
      <w:r w:rsidR="000218F2">
        <w:t xml:space="preserve"> </w:t>
      </w:r>
      <w:r w:rsidR="000218F2" w:rsidRPr="000218F2">
        <w:t>Фролово не воспользовалась правом понуждения подрядчика (в судебном порядке) к исполнению гарантийных обязательств, предусмотренных условиями муниципального контракта на строительство «ФОК в г.</w:t>
      </w:r>
      <w:r w:rsidR="000218F2">
        <w:t xml:space="preserve"> </w:t>
      </w:r>
      <w:r w:rsidR="000218F2" w:rsidRPr="000218F2">
        <w:t>Фролово Волгоградской области».</w:t>
      </w:r>
    </w:p>
    <w:p w:rsidR="00D14A44" w:rsidRPr="000218F2" w:rsidRDefault="000218F2" w:rsidP="000218F2">
      <w:pPr>
        <w:ind w:firstLine="709"/>
        <w:jc w:val="both"/>
      </w:pPr>
      <w:r>
        <w:t>Н</w:t>
      </w:r>
      <w:r w:rsidRPr="000218F2">
        <w:t>аправление средств в размере 1075,2 тыс. руб. на покупку оборудования для оснащения «ФОК в г.</w:t>
      </w:r>
      <w:r>
        <w:t xml:space="preserve"> </w:t>
      </w:r>
      <w:r w:rsidRPr="000218F2">
        <w:t xml:space="preserve">Фролово </w:t>
      </w:r>
      <w:r w:rsidRPr="00D14A44">
        <w:t xml:space="preserve">Волгоградской области», которое не смонтировано, </w:t>
      </w:r>
      <w:r w:rsidR="00D14A44" w:rsidRPr="006F05FA">
        <w:t xml:space="preserve">а также используется за его </w:t>
      </w:r>
      <w:r w:rsidR="00D14A44" w:rsidRPr="00D14A44">
        <w:t>пределами</w:t>
      </w:r>
      <w:r w:rsidR="00B15505">
        <w:t xml:space="preserve">, </w:t>
      </w:r>
      <w:r w:rsidR="00D14A44" w:rsidRPr="00D14A44">
        <w:t xml:space="preserve"> фактически является нецелевым использованием</w:t>
      </w:r>
      <w:r w:rsidR="00B15505">
        <w:t xml:space="preserve"> имущества</w:t>
      </w:r>
      <w:r w:rsidR="00CF1A92">
        <w:t xml:space="preserve"> и</w:t>
      </w:r>
      <w:r w:rsidR="00D14A44" w:rsidRPr="00D14A44">
        <w:t xml:space="preserve"> </w:t>
      </w:r>
      <w:r w:rsidR="00D14A44" w:rsidRPr="006F05FA">
        <w:t>нарушает принцип эффективности расходования бюджетных средств, установленного ст.34 БК РФ</w:t>
      </w:r>
      <w:r w:rsidR="00D14A44">
        <w:t>.</w:t>
      </w:r>
    </w:p>
    <w:p w:rsidR="00BB5D6D" w:rsidRPr="000218F2" w:rsidRDefault="00977E76" w:rsidP="000218F2">
      <w:pPr>
        <w:ind w:firstLine="709"/>
        <w:jc w:val="both"/>
      </w:pPr>
      <w:r>
        <w:t>11</w:t>
      </w:r>
      <w:r w:rsidR="00C2712C">
        <w:t>.</w:t>
      </w:r>
      <w:r w:rsidR="0037017F" w:rsidRPr="0037017F">
        <w:t xml:space="preserve"> </w:t>
      </w:r>
      <w:r w:rsidR="0037017F" w:rsidRPr="00320020">
        <w:t>В областном бюджете на 2015 год субсидия на финансовое обеспечение выполнения ГАУ ВО «РЦЦС ВО» госзадания не предусматривалась, госзадание (п.6) финансовое обеспечение не содержало. Таким образом, положения ст. 78.1. БК РФ, ст. 4 Федерального закона от 03.11.2006 № 174-ФЗ «Об автономных учреждениях» не соблюдены</w:t>
      </w:r>
      <w:r w:rsidR="0037017F">
        <w:t>.</w:t>
      </w:r>
    </w:p>
    <w:p w:rsidR="0037017F" w:rsidRPr="00343C16" w:rsidRDefault="00E915B5" w:rsidP="0037017F">
      <w:pPr>
        <w:ind w:firstLine="720"/>
        <w:jc w:val="both"/>
      </w:pPr>
      <w:r>
        <w:t xml:space="preserve">Доведенные </w:t>
      </w:r>
      <w:r w:rsidR="0037017F" w:rsidRPr="00343C16">
        <w:t>госзада</w:t>
      </w:r>
      <w:r w:rsidR="00263DD1">
        <w:t xml:space="preserve">нием ГАУ ВО «Облгосэкспертиза» </w:t>
      </w:r>
      <w:r w:rsidR="0037017F" w:rsidRPr="00343C16">
        <w:t>показатели, характеризующие объем государственн</w:t>
      </w:r>
      <w:r w:rsidR="0037017F">
        <w:t>ых услуг,</w:t>
      </w:r>
      <w:r w:rsidR="0037017F" w:rsidRPr="00343C16">
        <w:t xml:space="preserve"> более чем в 50 раз меньше фактически выполненной учреждением работы. </w:t>
      </w:r>
    </w:p>
    <w:p w:rsidR="0037017F" w:rsidRPr="00595B82" w:rsidRDefault="00E915B5" w:rsidP="00E915B5">
      <w:pPr>
        <w:ind w:firstLine="720"/>
        <w:jc w:val="both"/>
      </w:pPr>
      <w:r>
        <w:t>В</w:t>
      </w:r>
      <w:r w:rsidR="0037017F" w:rsidRPr="00C422E4">
        <w:t xml:space="preserve"> нарушение п.2 </w:t>
      </w:r>
      <w:r w:rsidRPr="00343C16">
        <w:t xml:space="preserve">Положения о формировании и финансовом обеспечении выполнения государственного задания </w:t>
      </w:r>
      <w:r w:rsidR="0037017F" w:rsidRPr="00C422E4">
        <w:t xml:space="preserve">госзаданием </w:t>
      </w:r>
      <w:r w:rsidR="00263DD1">
        <w:t>ГАУ ВО «Облгосэкспертиза»</w:t>
      </w:r>
      <w:r>
        <w:t xml:space="preserve"> </w:t>
      </w:r>
      <w:r w:rsidR="0037017F" w:rsidRPr="00C422E4">
        <w:t xml:space="preserve">не предусмотрены показатели качества </w:t>
      </w:r>
      <w:r w:rsidR="0037017F">
        <w:t>государственных услуг</w:t>
      </w:r>
      <w:r w:rsidR="0037017F" w:rsidRPr="00C422E4">
        <w:t>.</w:t>
      </w:r>
      <w:r w:rsidR="0037017F">
        <w:t xml:space="preserve"> </w:t>
      </w:r>
      <w:r>
        <w:t xml:space="preserve">При этом </w:t>
      </w:r>
      <w:r w:rsidR="0037017F" w:rsidRPr="00C422E4">
        <w:t xml:space="preserve">КСП неоднократно устанавливались факты некачественной разработки проектной документации, определения сметной стоимости объектов, получивших положительное заключение госэкспертизы, что привело к срыву сроков строительства объектов (жилые дома </w:t>
      </w:r>
      <w:r w:rsidR="0037017F" w:rsidRPr="00595B82">
        <w:t>под переселение, детские сады и т.д.)</w:t>
      </w:r>
      <w:r w:rsidR="006073F2" w:rsidRPr="00595B82">
        <w:t xml:space="preserve"> и как следствие, к</w:t>
      </w:r>
      <w:r w:rsidR="0037017F" w:rsidRPr="00595B82">
        <w:t xml:space="preserve"> несвоевремен</w:t>
      </w:r>
      <w:r w:rsidR="006073F2" w:rsidRPr="00595B82">
        <w:t>ному освоению бюджетных средств, а также к удорожанию строительства.</w:t>
      </w:r>
      <w:r w:rsidR="0037017F" w:rsidRPr="00595B82">
        <w:t xml:space="preserve"> </w:t>
      </w:r>
    </w:p>
    <w:p w:rsidR="00A54337" w:rsidRPr="00595B82" w:rsidRDefault="00263DD1" w:rsidP="00263DD1">
      <w:pPr>
        <w:ind w:firstLine="720"/>
        <w:jc w:val="both"/>
      </w:pPr>
      <w:r w:rsidRPr="00595B82">
        <w:t>12</w:t>
      </w:r>
      <w:r w:rsidR="0037017F" w:rsidRPr="00595B82">
        <w:t>.</w:t>
      </w:r>
      <w:r w:rsidR="00977C61" w:rsidRPr="00595B82">
        <w:t>Сводная бюджетная отчетность Облстроя не отвечает требованию п.1 ст.13 Федерального закона от 06.12.2011 № 402-ФЗ «О бухгалтерском учете</w:t>
      </w:r>
      <w:r w:rsidR="00383BC8" w:rsidRPr="00595B82">
        <w:t xml:space="preserve">», так как содержит </w:t>
      </w:r>
      <w:r w:rsidRPr="00595B82">
        <w:t xml:space="preserve"> </w:t>
      </w:r>
      <w:r w:rsidR="00A54337" w:rsidRPr="00595B82">
        <w:t xml:space="preserve">недостоверные показатели бюджетной (бухгалтерской) отчетности комитета и ГКУ ВО «УКС». </w:t>
      </w:r>
    </w:p>
    <w:p w:rsidR="00A54337" w:rsidRPr="00595B82" w:rsidRDefault="00A54337" w:rsidP="00A54337">
      <w:pPr>
        <w:ind w:firstLine="709"/>
        <w:jc w:val="both"/>
      </w:pPr>
      <w:r w:rsidRPr="00595B82">
        <w:t xml:space="preserve">Искажение бюджетной отчётности является следствием неправомерного отражения в регистрах бухгалтерского учета ГКУ ВО «УКС» увеличения стоимости земельных участков, полученных в пользование, что указывает на нарушение </w:t>
      </w:r>
      <w:hyperlink r:id="rId14" w:history="1">
        <w:r w:rsidRPr="00595B82">
          <w:t>п. п. 32</w:t>
        </w:r>
      </w:hyperlink>
      <w:r w:rsidRPr="00595B82">
        <w:t xml:space="preserve">, </w:t>
      </w:r>
      <w:hyperlink r:id="rId15" w:history="1">
        <w:r w:rsidRPr="00595B82">
          <w:t>333</w:t>
        </w:r>
      </w:hyperlink>
      <w:r w:rsidRPr="00595B82">
        <w:t xml:space="preserve">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 приказом Минфина РФ от 01.02.2010 № 157н). </w:t>
      </w:r>
    </w:p>
    <w:p w:rsidR="00977C61" w:rsidRPr="00595B82" w:rsidRDefault="00977C61" w:rsidP="00977C61">
      <w:pPr>
        <w:autoSpaceDE w:val="0"/>
        <w:autoSpaceDN w:val="0"/>
        <w:adjustRightInd w:val="0"/>
        <w:jc w:val="both"/>
        <w:rPr>
          <w:highlight w:val="yellow"/>
        </w:rPr>
      </w:pPr>
    </w:p>
    <w:p w:rsidR="00977C61" w:rsidRDefault="00977C61" w:rsidP="00977C61">
      <w:pPr>
        <w:ind w:firstLine="709"/>
        <w:jc w:val="both"/>
        <w:rPr>
          <w:color w:val="0070C0"/>
        </w:rPr>
      </w:pPr>
    </w:p>
    <w:p w:rsidR="00B8578B" w:rsidRPr="004A3F1B" w:rsidRDefault="00B8578B" w:rsidP="00440784">
      <w:pPr>
        <w:pStyle w:val="af5"/>
        <w:ind w:left="0" w:firstLine="709"/>
        <w:jc w:val="both"/>
        <w:rPr>
          <w:color w:val="000000" w:themeColor="text1"/>
        </w:rPr>
      </w:pPr>
      <w:r w:rsidRPr="006B7324">
        <w:rPr>
          <w:b/>
          <w:bCs/>
          <w:color w:val="000000" w:themeColor="text1"/>
        </w:rPr>
        <w:t xml:space="preserve">Аудитор                </w:t>
      </w:r>
      <w:r w:rsidRPr="006B7324">
        <w:rPr>
          <w:color w:val="000000" w:themeColor="text1"/>
        </w:rPr>
        <w:t xml:space="preserve">                                                       </w:t>
      </w:r>
      <w:r w:rsidRPr="006B7324">
        <w:rPr>
          <w:b/>
          <w:bCs/>
          <w:color w:val="000000" w:themeColor="text1"/>
        </w:rPr>
        <w:t xml:space="preserve">   </w:t>
      </w:r>
      <w:r w:rsidR="00CA4995" w:rsidRPr="006B7324">
        <w:rPr>
          <w:b/>
          <w:bCs/>
          <w:color w:val="000000" w:themeColor="text1"/>
        </w:rPr>
        <w:t xml:space="preserve">                               </w:t>
      </w:r>
      <w:r w:rsidRPr="006B7324">
        <w:rPr>
          <w:b/>
          <w:bCs/>
          <w:color w:val="000000" w:themeColor="text1"/>
        </w:rPr>
        <w:t>В.В.</w:t>
      </w:r>
      <w:r w:rsidR="00CA4995" w:rsidRPr="006B7324">
        <w:rPr>
          <w:b/>
          <w:bCs/>
          <w:color w:val="000000" w:themeColor="text1"/>
        </w:rPr>
        <w:t xml:space="preserve"> </w:t>
      </w:r>
      <w:r w:rsidRPr="006B7324">
        <w:rPr>
          <w:b/>
          <w:bCs/>
          <w:color w:val="000000" w:themeColor="text1"/>
        </w:rPr>
        <w:t>Подгайнов</w:t>
      </w:r>
    </w:p>
    <w:sectPr w:rsidR="00B8578B" w:rsidRPr="004A3F1B" w:rsidSect="00E143E3">
      <w:headerReference w:type="default" r:id="rId16"/>
      <w:pgSz w:w="11906" w:h="16838"/>
      <w:pgMar w:top="851" w:right="851" w:bottom="45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589" w:rsidRDefault="00740589">
      <w:r>
        <w:separator/>
      </w:r>
    </w:p>
  </w:endnote>
  <w:endnote w:type="continuationSeparator" w:id="0">
    <w:p w:rsidR="00740589" w:rsidRDefault="007405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589" w:rsidRDefault="00740589">
      <w:r>
        <w:separator/>
      </w:r>
    </w:p>
  </w:footnote>
  <w:footnote w:type="continuationSeparator" w:id="0">
    <w:p w:rsidR="00740589" w:rsidRDefault="00740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0589" w:rsidRDefault="009A77F7">
    <w:pPr>
      <w:pStyle w:val="ae"/>
      <w:jc w:val="center"/>
    </w:pPr>
    <w:fldSimple w:instr=" PAGE   \* MERGEFORMAT ">
      <w:r w:rsidR="00E8152A">
        <w:rPr>
          <w:noProof/>
        </w:rPr>
        <w:t>1</w:t>
      </w:r>
    </w:fldSimple>
  </w:p>
  <w:p w:rsidR="00740589" w:rsidRDefault="0074058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04D46"/>
    <w:multiLevelType w:val="hybridMultilevel"/>
    <w:tmpl w:val="3CD04234"/>
    <w:lvl w:ilvl="0" w:tplc="04190001">
      <w:start w:val="1"/>
      <w:numFmt w:val="bullet"/>
      <w:lvlText w:val=""/>
      <w:lvlJc w:val="left"/>
      <w:pPr>
        <w:ind w:left="1481" w:hanging="360"/>
      </w:pPr>
      <w:rPr>
        <w:rFonts w:ascii="Symbol" w:hAnsi="Symbol" w:hint="default"/>
      </w:rPr>
    </w:lvl>
    <w:lvl w:ilvl="1" w:tplc="04190003" w:tentative="1">
      <w:start w:val="1"/>
      <w:numFmt w:val="bullet"/>
      <w:lvlText w:val="o"/>
      <w:lvlJc w:val="left"/>
      <w:pPr>
        <w:ind w:left="2201" w:hanging="360"/>
      </w:pPr>
      <w:rPr>
        <w:rFonts w:ascii="Courier New" w:hAnsi="Courier New" w:cs="Courier New" w:hint="default"/>
      </w:rPr>
    </w:lvl>
    <w:lvl w:ilvl="2" w:tplc="04190005" w:tentative="1">
      <w:start w:val="1"/>
      <w:numFmt w:val="bullet"/>
      <w:lvlText w:val=""/>
      <w:lvlJc w:val="left"/>
      <w:pPr>
        <w:ind w:left="2921" w:hanging="360"/>
      </w:pPr>
      <w:rPr>
        <w:rFonts w:ascii="Wingdings" w:hAnsi="Wingdings" w:hint="default"/>
      </w:rPr>
    </w:lvl>
    <w:lvl w:ilvl="3" w:tplc="04190001" w:tentative="1">
      <w:start w:val="1"/>
      <w:numFmt w:val="bullet"/>
      <w:lvlText w:val=""/>
      <w:lvlJc w:val="left"/>
      <w:pPr>
        <w:ind w:left="3641" w:hanging="360"/>
      </w:pPr>
      <w:rPr>
        <w:rFonts w:ascii="Symbol" w:hAnsi="Symbol" w:hint="default"/>
      </w:rPr>
    </w:lvl>
    <w:lvl w:ilvl="4" w:tplc="04190003" w:tentative="1">
      <w:start w:val="1"/>
      <w:numFmt w:val="bullet"/>
      <w:lvlText w:val="o"/>
      <w:lvlJc w:val="left"/>
      <w:pPr>
        <w:ind w:left="4361" w:hanging="360"/>
      </w:pPr>
      <w:rPr>
        <w:rFonts w:ascii="Courier New" w:hAnsi="Courier New" w:cs="Courier New" w:hint="default"/>
      </w:rPr>
    </w:lvl>
    <w:lvl w:ilvl="5" w:tplc="04190005" w:tentative="1">
      <w:start w:val="1"/>
      <w:numFmt w:val="bullet"/>
      <w:lvlText w:val=""/>
      <w:lvlJc w:val="left"/>
      <w:pPr>
        <w:ind w:left="5081" w:hanging="360"/>
      </w:pPr>
      <w:rPr>
        <w:rFonts w:ascii="Wingdings" w:hAnsi="Wingdings" w:hint="default"/>
      </w:rPr>
    </w:lvl>
    <w:lvl w:ilvl="6" w:tplc="04190001" w:tentative="1">
      <w:start w:val="1"/>
      <w:numFmt w:val="bullet"/>
      <w:lvlText w:val=""/>
      <w:lvlJc w:val="left"/>
      <w:pPr>
        <w:ind w:left="5801" w:hanging="360"/>
      </w:pPr>
      <w:rPr>
        <w:rFonts w:ascii="Symbol" w:hAnsi="Symbol" w:hint="default"/>
      </w:rPr>
    </w:lvl>
    <w:lvl w:ilvl="7" w:tplc="04190003" w:tentative="1">
      <w:start w:val="1"/>
      <w:numFmt w:val="bullet"/>
      <w:lvlText w:val="o"/>
      <w:lvlJc w:val="left"/>
      <w:pPr>
        <w:ind w:left="6521" w:hanging="360"/>
      </w:pPr>
      <w:rPr>
        <w:rFonts w:ascii="Courier New" w:hAnsi="Courier New" w:cs="Courier New" w:hint="default"/>
      </w:rPr>
    </w:lvl>
    <w:lvl w:ilvl="8" w:tplc="04190005" w:tentative="1">
      <w:start w:val="1"/>
      <w:numFmt w:val="bullet"/>
      <w:lvlText w:val=""/>
      <w:lvlJc w:val="left"/>
      <w:pPr>
        <w:ind w:left="7241" w:hanging="360"/>
      </w:pPr>
      <w:rPr>
        <w:rFonts w:ascii="Wingdings" w:hAnsi="Wingdings" w:hint="default"/>
      </w:rPr>
    </w:lvl>
  </w:abstractNum>
  <w:abstractNum w:abstractNumId="1">
    <w:nsid w:val="03AC0D43"/>
    <w:multiLevelType w:val="hybridMultilevel"/>
    <w:tmpl w:val="A7807BEC"/>
    <w:lvl w:ilvl="0" w:tplc="FF3A0F56">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2">
    <w:nsid w:val="06BE55A1"/>
    <w:multiLevelType w:val="hybridMultilevel"/>
    <w:tmpl w:val="D7E88D1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E9355AD"/>
    <w:multiLevelType w:val="hybridMultilevel"/>
    <w:tmpl w:val="95DA4D3E"/>
    <w:lvl w:ilvl="0" w:tplc="1D72EB3A">
      <w:start w:val="1"/>
      <w:numFmt w:val="decimal"/>
      <w:lvlText w:val="%1)"/>
      <w:lvlJc w:val="left"/>
      <w:pPr>
        <w:ind w:left="1968" w:hanging="9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12AB6177"/>
    <w:multiLevelType w:val="hybridMultilevel"/>
    <w:tmpl w:val="A0B6D3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4995966"/>
    <w:multiLevelType w:val="hybridMultilevel"/>
    <w:tmpl w:val="EBD4E2D8"/>
    <w:lvl w:ilvl="0" w:tplc="581C8DF8">
      <w:start w:val="1"/>
      <w:numFmt w:val="decimal"/>
      <w:lvlText w:val="%1."/>
      <w:lvlJc w:val="left"/>
      <w:pPr>
        <w:ind w:left="1065" w:hanging="106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6F32C41"/>
    <w:multiLevelType w:val="hybridMultilevel"/>
    <w:tmpl w:val="09A0AF3A"/>
    <w:lvl w:ilvl="0" w:tplc="0419000F">
      <w:start w:val="1"/>
      <w:numFmt w:val="decimal"/>
      <w:lvlText w:val="%1."/>
      <w:lvlJc w:val="left"/>
      <w:pPr>
        <w:ind w:left="360" w:hanging="360"/>
      </w:pPr>
      <w:rPr>
        <w:rFonts w:cs="Times New Roman"/>
      </w:rPr>
    </w:lvl>
    <w:lvl w:ilvl="1" w:tplc="04190019">
      <w:start w:val="1"/>
      <w:numFmt w:val="lowerLetter"/>
      <w:lvlText w:val="%2."/>
      <w:lvlJc w:val="left"/>
      <w:pPr>
        <w:ind w:left="1156" w:hanging="360"/>
      </w:pPr>
      <w:rPr>
        <w:rFonts w:cs="Times New Roman"/>
      </w:rPr>
    </w:lvl>
    <w:lvl w:ilvl="2" w:tplc="0419001B">
      <w:start w:val="1"/>
      <w:numFmt w:val="lowerRoman"/>
      <w:lvlText w:val="%3."/>
      <w:lvlJc w:val="right"/>
      <w:pPr>
        <w:ind w:left="1876" w:hanging="180"/>
      </w:pPr>
      <w:rPr>
        <w:rFonts w:cs="Times New Roman"/>
      </w:rPr>
    </w:lvl>
    <w:lvl w:ilvl="3" w:tplc="0419000F">
      <w:start w:val="1"/>
      <w:numFmt w:val="decimal"/>
      <w:lvlText w:val="%4."/>
      <w:lvlJc w:val="left"/>
      <w:pPr>
        <w:ind w:left="2596" w:hanging="360"/>
      </w:pPr>
      <w:rPr>
        <w:rFonts w:cs="Times New Roman"/>
      </w:rPr>
    </w:lvl>
    <w:lvl w:ilvl="4" w:tplc="04190019">
      <w:start w:val="1"/>
      <w:numFmt w:val="lowerLetter"/>
      <w:lvlText w:val="%5."/>
      <w:lvlJc w:val="left"/>
      <w:pPr>
        <w:ind w:left="3316" w:hanging="360"/>
      </w:pPr>
      <w:rPr>
        <w:rFonts w:cs="Times New Roman"/>
      </w:rPr>
    </w:lvl>
    <w:lvl w:ilvl="5" w:tplc="0419001B">
      <w:start w:val="1"/>
      <w:numFmt w:val="lowerRoman"/>
      <w:lvlText w:val="%6."/>
      <w:lvlJc w:val="right"/>
      <w:pPr>
        <w:ind w:left="4036" w:hanging="180"/>
      </w:pPr>
      <w:rPr>
        <w:rFonts w:cs="Times New Roman"/>
      </w:rPr>
    </w:lvl>
    <w:lvl w:ilvl="6" w:tplc="0419000F">
      <w:start w:val="1"/>
      <w:numFmt w:val="decimal"/>
      <w:lvlText w:val="%7."/>
      <w:lvlJc w:val="left"/>
      <w:pPr>
        <w:ind w:left="4756" w:hanging="360"/>
      </w:pPr>
      <w:rPr>
        <w:rFonts w:cs="Times New Roman"/>
      </w:rPr>
    </w:lvl>
    <w:lvl w:ilvl="7" w:tplc="04190019">
      <w:start w:val="1"/>
      <w:numFmt w:val="lowerLetter"/>
      <w:lvlText w:val="%8."/>
      <w:lvlJc w:val="left"/>
      <w:pPr>
        <w:ind w:left="5476" w:hanging="360"/>
      </w:pPr>
      <w:rPr>
        <w:rFonts w:cs="Times New Roman"/>
      </w:rPr>
    </w:lvl>
    <w:lvl w:ilvl="8" w:tplc="0419001B">
      <w:start w:val="1"/>
      <w:numFmt w:val="lowerRoman"/>
      <w:lvlText w:val="%9."/>
      <w:lvlJc w:val="right"/>
      <w:pPr>
        <w:ind w:left="6196" w:hanging="180"/>
      </w:pPr>
      <w:rPr>
        <w:rFonts w:cs="Times New Roman"/>
      </w:rPr>
    </w:lvl>
  </w:abstractNum>
  <w:abstractNum w:abstractNumId="7">
    <w:nsid w:val="2B7E47E2"/>
    <w:multiLevelType w:val="hybridMultilevel"/>
    <w:tmpl w:val="BBE010D0"/>
    <w:lvl w:ilvl="0" w:tplc="B1B624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2EB1BB9"/>
    <w:multiLevelType w:val="hybridMultilevel"/>
    <w:tmpl w:val="94AE734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EB0306F"/>
    <w:multiLevelType w:val="hybridMultilevel"/>
    <w:tmpl w:val="926E1F80"/>
    <w:lvl w:ilvl="0" w:tplc="360A7DE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43904043"/>
    <w:multiLevelType w:val="hybridMultilevel"/>
    <w:tmpl w:val="5D68BB32"/>
    <w:lvl w:ilvl="0" w:tplc="1748A0DA">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1">
    <w:nsid w:val="4C3D7D33"/>
    <w:multiLevelType w:val="hybridMultilevel"/>
    <w:tmpl w:val="CC9AD240"/>
    <w:lvl w:ilvl="0" w:tplc="BBC89182">
      <w:numFmt w:val="bullet"/>
      <w:lvlText w:val="-"/>
      <w:lvlJc w:val="left"/>
      <w:pPr>
        <w:ind w:left="1065" w:hanging="360"/>
      </w:pPr>
      <w:rPr>
        <w:rFonts w:ascii="Times New Roman" w:eastAsia="Times New Roman" w:hAnsi="Times New Roman" w:hint="default"/>
      </w:rPr>
    </w:lvl>
    <w:lvl w:ilvl="1" w:tplc="04190003">
      <w:start w:val="1"/>
      <w:numFmt w:val="bullet"/>
      <w:lvlText w:val="o"/>
      <w:lvlJc w:val="left"/>
      <w:pPr>
        <w:ind w:left="1785" w:hanging="360"/>
      </w:pPr>
      <w:rPr>
        <w:rFonts w:ascii="Courier New" w:hAnsi="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hint="default"/>
      </w:rPr>
    </w:lvl>
    <w:lvl w:ilvl="8" w:tplc="04190005">
      <w:start w:val="1"/>
      <w:numFmt w:val="bullet"/>
      <w:lvlText w:val=""/>
      <w:lvlJc w:val="left"/>
      <w:pPr>
        <w:ind w:left="6825" w:hanging="360"/>
      </w:pPr>
      <w:rPr>
        <w:rFonts w:ascii="Wingdings" w:hAnsi="Wingdings" w:hint="default"/>
      </w:rPr>
    </w:lvl>
  </w:abstractNum>
  <w:abstractNum w:abstractNumId="12">
    <w:nsid w:val="5C3C455D"/>
    <w:multiLevelType w:val="hybridMultilevel"/>
    <w:tmpl w:val="29B2F4B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5FB57418"/>
    <w:multiLevelType w:val="hybridMultilevel"/>
    <w:tmpl w:val="EAD8153A"/>
    <w:lvl w:ilvl="0" w:tplc="98EADAD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4">
    <w:nsid w:val="725F08B4"/>
    <w:multiLevelType w:val="hybridMultilevel"/>
    <w:tmpl w:val="0916F4F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4"/>
  </w:num>
  <w:num w:numId="5">
    <w:abstractNumId w:val="13"/>
  </w:num>
  <w:num w:numId="6">
    <w:abstractNumId w:val="2"/>
  </w:num>
  <w:num w:numId="7">
    <w:abstractNumId w:val="12"/>
  </w:num>
  <w:num w:numId="8">
    <w:abstractNumId w:val="8"/>
  </w:num>
  <w:num w:numId="9">
    <w:abstractNumId w:val="6"/>
  </w:num>
  <w:num w:numId="10">
    <w:abstractNumId w:val="3"/>
  </w:num>
  <w:num w:numId="11">
    <w:abstractNumId w:val="10"/>
  </w:num>
  <w:num w:numId="12">
    <w:abstractNumId w:val="14"/>
  </w:num>
  <w:num w:numId="13">
    <w:abstractNumId w:val="7"/>
  </w:num>
  <w:num w:numId="14">
    <w:abstractNumId w:val="5"/>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120"/>
  <w:displayHorizontalDrawingGridEvery w:val="2"/>
  <w:characterSpacingControl w:val="doNotCompress"/>
  <w:doNotValidateAgainstSchema/>
  <w:doNotDemarcateInvalidXml/>
  <w:hdrShapeDefaults>
    <o:shapedefaults v:ext="edit" spidmax="18227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7CA7"/>
    <w:rsid w:val="00001ABB"/>
    <w:rsid w:val="00001FC5"/>
    <w:rsid w:val="000020F3"/>
    <w:rsid w:val="000020FC"/>
    <w:rsid w:val="000023EB"/>
    <w:rsid w:val="000033CC"/>
    <w:rsid w:val="00003869"/>
    <w:rsid w:val="00003D38"/>
    <w:rsid w:val="00004259"/>
    <w:rsid w:val="0000440B"/>
    <w:rsid w:val="000047FB"/>
    <w:rsid w:val="00004E36"/>
    <w:rsid w:val="000051F5"/>
    <w:rsid w:val="000057A4"/>
    <w:rsid w:val="000057A6"/>
    <w:rsid w:val="000067A4"/>
    <w:rsid w:val="00006A36"/>
    <w:rsid w:val="00006D4E"/>
    <w:rsid w:val="00006F46"/>
    <w:rsid w:val="00007149"/>
    <w:rsid w:val="00007654"/>
    <w:rsid w:val="000078A6"/>
    <w:rsid w:val="00007BFA"/>
    <w:rsid w:val="0001090C"/>
    <w:rsid w:val="00010CE1"/>
    <w:rsid w:val="00010CE9"/>
    <w:rsid w:val="00010F43"/>
    <w:rsid w:val="000111CA"/>
    <w:rsid w:val="000117E0"/>
    <w:rsid w:val="0001265C"/>
    <w:rsid w:val="000126CC"/>
    <w:rsid w:val="00012CDA"/>
    <w:rsid w:val="0001313F"/>
    <w:rsid w:val="0001347C"/>
    <w:rsid w:val="000138A1"/>
    <w:rsid w:val="00013AFA"/>
    <w:rsid w:val="00014F88"/>
    <w:rsid w:val="000156EB"/>
    <w:rsid w:val="00015B7E"/>
    <w:rsid w:val="000163FA"/>
    <w:rsid w:val="00016C32"/>
    <w:rsid w:val="00020307"/>
    <w:rsid w:val="00020335"/>
    <w:rsid w:val="00020A7F"/>
    <w:rsid w:val="00020A95"/>
    <w:rsid w:val="000218F2"/>
    <w:rsid w:val="00021BA1"/>
    <w:rsid w:val="000221A5"/>
    <w:rsid w:val="0002232F"/>
    <w:rsid w:val="0002235B"/>
    <w:rsid w:val="0002260D"/>
    <w:rsid w:val="0002356E"/>
    <w:rsid w:val="000248B1"/>
    <w:rsid w:val="00024B0F"/>
    <w:rsid w:val="00025382"/>
    <w:rsid w:val="00025A8C"/>
    <w:rsid w:val="00026738"/>
    <w:rsid w:val="00027336"/>
    <w:rsid w:val="00027726"/>
    <w:rsid w:val="00027A4F"/>
    <w:rsid w:val="00027B98"/>
    <w:rsid w:val="00027EA1"/>
    <w:rsid w:val="00027F71"/>
    <w:rsid w:val="00030586"/>
    <w:rsid w:val="00030CC2"/>
    <w:rsid w:val="00031033"/>
    <w:rsid w:val="000324FD"/>
    <w:rsid w:val="00032A20"/>
    <w:rsid w:val="00032D7A"/>
    <w:rsid w:val="0003341A"/>
    <w:rsid w:val="00033B04"/>
    <w:rsid w:val="00033C60"/>
    <w:rsid w:val="00033D71"/>
    <w:rsid w:val="000356AB"/>
    <w:rsid w:val="00036507"/>
    <w:rsid w:val="000379C1"/>
    <w:rsid w:val="00037B4B"/>
    <w:rsid w:val="000409F7"/>
    <w:rsid w:val="00040D95"/>
    <w:rsid w:val="000413DB"/>
    <w:rsid w:val="000414B9"/>
    <w:rsid w:val="0004165B"/>
    <w:rsid w:val="00041669"/>
    <w:rsid w:val="00041FDC"/>
    <w:rsid w:val="00042080"/>
    <w:rsid w:val="00042A3C"/>
    <w:rsid w:val="00042D11"/>
    <w:rsid w:val="0004322F"/>
    <w:rsid w:val="0004331B"/>
    <w:rsid w:val="000438D1"/>
    <w:rsid w:val="000439B4"/>
    <w:rsid w:val="00043D7E"/>
    <w:rsid w:val="0004473F"/>
    <w:rsid w:val="000447D0"/>
    <w:rsid w:val="00044850"/>
    <w:rsid w:val="00045998"/>
    <w:rsid w:val="00045A24"/>
    <w:rsid w:val="00045B63"/>
    <w:rsid w:val="000462E5"/>
    <w:rsid w:val="0004636A"/>
    <w:rsid w:val="0004673E"/>
    <w:rsid w:val="00046B3B"/>
    <w:rsid w:val="00046C9E"/>
    <w:rsid w:val="00046FFA"/>
    <w:rsid w:val="00050534"/>
    <w:rsid w:val="00050EC9"/>
    <w:rsid w:val="00050F89"/>
    <w:rsid w:val="00051D51"/>
    <w:rsid w:val="00052173"/>
    <w:rsid w:val="000526B7"/>
    <w:rsid w:val="00053011"/>
    <w:rsid w:val="000530A5"/>
    <w:rsid w:val="00056CFF"/>
    <w:rsid w:val="000571BD"/>
    <w:rsid w:val="00057376"/>
    <w:rsid w:val="0005754F"/>
    <w:rsid w:val="000575CB"/>
    <w:rsid w:val="000579F1"/>
    <w:rsid w:val="000607DF"/>
    <w:rsid w:val="00060A35"/>
    <w:rsid w:val="00060FE2"/>
    <w:rsid w:val="00061432"/>
    <w:rsid w:val="00061433"/>
    <w:rsid w:val="0006192F"/>
    <w:rsid w:val="00061A92"/>
    <w:rsid w:val="00061BE4"/>
    <w:rsid w:val="00062B0B"/>
    <w:rsid w:val="00063207"/>
    <w:rsid w:val="0006331F"/>
    <w:rsid w:val="000638F8"/>
    <w:rsid w:val="0006437C"/>
    <w:rsid w:val="00065320"/>
    <w:rsid w:val="00065BAF"/>
    <w:rsid w:val="00065E1D"/>
    <w:rsid w:val="000671B3"/>
    <w:rsid w:val="00067669"/>
    <w:rsid w:val="00070045"/>
    <w:rsid w:val="00070357"/>
    <w:rsid w:val="0007132D"/>
    <w:rsid w:val="0007175A"/>
    <w:rsid w:val="000718FD"/>
    <w:rsid w:val="00071977"/>
    <w:rsid w:val="000722EA"/>
    <w:rsid w:val="0007278C"/>
    <w:rsid w:val="00072925"/>
    <w:rsid w:val="00072C1E"/>
    <w:rsid w:val="00073AE7"/>
    <w:rsid w:val="00074A78"/>
    <w:rsid w:val="000767D6"/>
    <w:rsid w:val="00077105"/>
    <w:rsid w:val="00077A1A"/>
    <w:rsid w:val="00080411"/>
    <w:rsid w:val="000804EA"/>
    <w:rsid w:val="00080D65"/>
    <w:rsid w:val="000814FD"/>
    <w:rsid w:val="00081CDE"/>
    <w:rsid w:val="00082E2D"/>
    <w:rsid w:val="00082EAA"/>
    <w:rsid w:val="0008347D"/>
    <w:rsid w:val="00083849"/>
    <w:rsid w:val="00084A34"/>
    <w:rsid w:val="000850C2"/>
    <w:rsid w:val="00085DC9"/>
    <w:rsid w:val="00086161"/>
    <w:rsid w:val="00087540"/>
    <w:rsid w:val="00087554"/>
    <w:rsid w:val="000927E8"/>
    <w:rsid w:val="00093232"/>
    <w:rsid w:val="00093918"/>
    <w:rsid w:val="00093B43"/>
    <w:rsid w:val="000941C8"/>
    <w:rsid w:val="000947F4"/>
    <w:rsid w:val="000966F5"/>
    <w:rsid w:val="00096F94"/>
    <w:rsid w:val="00097228"/>
    <w:rsid w:val="00097B4B"/>
    <w:rsid w:val="000A1E13"/>
    <w:rsid w:val="000A2288"/>
    <w:rsid w:val="000A22CB"/>
    <w:rsid w:val="000A26E4"/>
    <w:rsid w:val="000A27C0"/>
    <w:rsid w:val="000A27CA"/>
    <w:rsid w:val="000A2D7F"/>
    <w:rsid w:val="000A33D3"/>
    <w:rsid w:val="000A3641"/>
    <w:rsid w:val="000A38C0"/>
    <w:rsid w:val="000A3B15"/>
    <w:rsid w:val="000A47E5"/>
    <w:rsid w:val="000A4848"/>
    <w:rsid w:val="000A49AA"/>
    <w:rsid w:val="000A4FE7"/>
    <w:rsid w:val="000A527B"/>
    <w:rsid w:val="000A5587"/>
    <w:rsid w:val="000A645B"/>
    <w:rsid w:val="000A654B"/>
    <w:rsid w:val="000A7CB8"/>
    <w:rsid w:val="000A7CC8"/>
    <w:rsid w:val="000B0619"/>
    <w:rsid w:val="000B06C3"/>
    <w:rsid w:val="000B089E"/>
    <w:rsid w:val="000B1C4E"/>
    <w:rsid w:val="000B1F39"/>
    <w:rsid w:val="000B2125"/>
    <w:rsid w:val="000B2273"/>
    <w:rsid w:val="000B2993"/>
    <w:rsid w:val="000B2F36"/>
    <w:rsid w:val="000B33FC"/>
    <w:rsid w:val="000B3CF1"/>
    <w:rsid w:val="000B41B0"/>
    <w:rsid w:val="000B49BB"/>
    <w:rsid w:val="000B49F1"/>
    <w:rsid w:val="000B51AC"/>
    <w:rsid w:val="000B5957"/>
    <w:rsid w:val="000B5984"/>
    <w:rsid w:val="000B5C5C"/>
    <w:rsid w:val="000B6062"/>
    <w:rsid w:val="000B6AB5"/>
    <w:rsid w:val="000B798D"/>
    <w:rsid w:val="000C0BA2"/>
    <w:rsid w:val="000C0BBB"/>
    <w:rsid w:val="000C1BB1"/>
    <w:rsid w:val="000C1E55"/>
    <w:rsid w:val="000C24D9"/>
    <w:rsid w:val="000C27C4"/>
    <w:rsid w:val="000C29F8"/>
    <w:rsid w:val="000C2E48"/>
    <w:rsid w:val="000C430C"/>
    <w:rsid w:val="000C4F79"/>
    <w:rsid w:val="000C59D3"/>
    <w:rsid w:val="000C6EC1"/>
    <w:rsid w:val="000C7E7B"/>
    <w:rsid w:val="000D04D3"/>
    <w:rsid w:val="000D061E"/>
    <w:rsid w:val="000D0938"/>
    <w:rsid w:val="000D0A8F"/>
    <w:rsid w:val="000D10CB"/>
    <w:rsid w:val="000D155A"/>
    <w:rsid w:val="000D1D98"/>
    <w:rsid w:val="000D2AF4"/>
    <w:rsid w:val="000D2E7D"/>
    <w:rsid w:val="000D3641"/>
    <w:rsid w:val="000D415A"/>
    <w:rsid w:val="000D42BF"/>
    <w:rsid w:val="000D432F"/>
    <w:rsid w:val="000D537E"/>
    <w:rsid w:val="000D54E2"/>
    <w:rsid w:val="000D5C10"/>
    <w:rsid w:val="000D60A2"/>
    <w:rsid w:val="000D62DB"/>
    <w:rsid w:val="000D782E"/>
    <w:rsid w:val="000D7B0A"/>
    <w:rsid w:val="000D7CD5"/>
    <w:rsid w:val="000E04AF"/>
    <w:rsid w:val="000E05DD"/>
    <w:rsid w:val="000E094E"/>
    <w:rsid w:val="000E09D5"/>
    <w:rsid w:val="000E14D4"/>
    <w:rsid w:val="000E3181"/>
    <w:rsid w:val="000E3C1E"/>
    <w:rsid w:val="000E3CB6"/>
    <w:rsid w:val="000E46DE"/>
    <w:rsid w:val="000E495A"/>
    <w:rsid w:val="000E55E2"/>
    <w:rsid w:val="000E574C"/>
    <w:rsid w:val="000E62E7"/>
    <w:rsid w:val="000E665F"/>
    <w:rsid w:val="000E766D"/>
    <w:rsid w:val="000E7F9E"/>
    <w:rsid w:val="000F0A49"/>
    <w:rsid w:val="000F0F15"/>
    <w:rsid w:val="000F14A4"/>
    <w:rsid w:val="000F18B8"/>
    <w:rsid w:val="000F1C6F"/>
    <w:rsid w:val="000F2852"/>
    <w:rsid w:val="000F2C0A"/>
    <w:rsid w:val="000F3147"/>
    <w:rsid w:val="000F327A"/>
    <w:rsid w:val="000F3559"/>
    <w:rsid w:val="000F474A"/>
    <w:rsid w:val="000F4F71"/>
    <w:rsid w:val="000F524B"/>
    <w:rsid w:val="000F5B30"/>
    <w:rsid w:val="000F5BB5"/>
    <w:rsid w:val="000F5F09"/>
    <w:rsid w:val="000F5F6C"/>
    <w:rsid w:val="000F618E"/>
    <w:rsid w:val="000F6511"/>
    <w:rsid w:val="000F65B6"/>
    <w:rsid w:val="000F75C7"/>
    <w:rsid w:val="000F77D2"/>
    <w:rsid w:val="000F7E77"/>
    <w:rsid w:val="001007E8"/>
    <w:rsid w:val="00101130"/>
    <w:rsid w:val="0010154F"/>
    <w:rsid w:val="00102751"/>
    <w:rsid w:val="00102FBA"/>
    <w:rsid w:val="00103845"/>
    <w:rsid w:val="00104022"/>
    <w:rsid w:val="00104373"/>
    <w:rsid w:val="00104FAB"/>
    <w:rsid w:val="0010553F"/>
    <w:rsid w:val="00105695"/>
    <w:rsid w:val="001066E0"/>
    <w:rsid w:val="0010716A"/>
    <w:rsid w:val="0010730E"/>
    <w:rsid w:val="001073E6"/>
    <w:rsid w:val="00107437"/>
    <w:rsid w:val="001075DE"/>
    <w:rsid w:val="001101A4"/>
    <w:rsid w:val="00111916"/>
    <w:rsid w:val="001123EF"/>
    <w:rsid w:val="0011351B"/>
    <w:rsid w:val="001137DF"/>
    <w:rsid w:val="00113D4A"/>
    <w:rsid w:val="00115803"/>
    <w:rsid w:val="001167B2"/>
    <w:rsid w:val="001177B6"/>
    <w:rsid w:val="00120325"/>
    <w:rsid w:val="001210EF"/>
    <w:rsid w:val="00121208"/>
    <w:rsid w:val="00121CD6"/>
    <w:rsid w:val="00121D60"/>
    <w:rsid w:val="00121D96"/>
    <w:rsid w:val="001221F8"/>
    <w:rsid w:val="00122354"/>
    <w:rsid w:val="001229B7"/>
    <w:rsid w:val="00122B13"/>
    <w:rsid w:val="00122C07"/>
    <w:rsid w:val="00122F9F"/>
    <w:rsid w:val="001235C3"/>
    <w:rsid w:val="00123B00"/>
    <w:rsid w:val="00124498"/>
    <w:rsid w:val="00124942"/>
    <w:rsid w:val="00124A7B"/>
    <w:rsid w:val="00124BAB"/>
    <w:rsid w:val="00124C10"/>
    <w:rsid w:val="001253CE"/>
    <w:rsid w:val="0012560E"/>
    <w:rsid w:val="00125826"/>
    <w:rsid w:val="00126044"/>
    <w:rsid w:val="001262C5"/>
    <w:rsid w:val="001267ED"/>
    <w:rsid w:val="00126C9E"/>
    <w:rsid w:val="00126CEC"/>
    <w:rsid w:val="00126D27"/>
    <w:rsid w:val="00127493"/>
    <w:rsid w:val="001303AC"/>
    <w:rsid w:val="0013184B"/>
    <w:rsid w:val="00131B86"/>
    <w:rsid w:val="00131D88"/>
    <w:rsid w:val="00131F83"/>
    <w:rsid w:val="0013331D"/>
    <w:rsid w:val="0013345C"/>
    <w:rsid w:val="001335B9"/>
    <w:rsid w:val="00134E3E"/>
    <w:rsid w:val="00134F15"/>
    <w:rsid w:val="00134FD9"/>
    <w:rsid w:val="0013564C"/>
    <w:rsid w:val="00135A8C"/>
    <w:rsid w:val="00135CBA"/>
    <w:rsid w:val="00135D5B"/>
    <w:rsid w:val="0013741B"/>
    <w:rsid w:val="00137770"/>
    <w:rsid w:val="00137CA6"/>
    <w:rsid w:val="00140A94"/>
    <w:rsid w:val="00141437"/>
    <w:rsid w:val="00141970"/>
    <w:rsid w:val="00141D15"/>
    <w:rsid w:val="00141F3E"/>
    <w:rsid w:val="00142174"/>
    <w:rsid w:val="001428A4"/>
    <w:rsid w:val="00142CE7"/>
    <w:rsid w:val="00142DD9"/>
    <w:rsid w:val="00144005"/>
    <w:rsid w:val="0014472C"/>
    <w:rsid w:val="0014508F"/>
    <w:rsid w:val="00145A48"/>
    <w:rsid w:val="00145BAD"/>
    <w:rsid w:val="00146C1C"/>
    <w:rsid w:val="00146E4F"/>
    <w:rsid w:val="0014707F"/>
    <w:rsid w:val="001472D3"/>
    <w:rsid w:val="00147C30"/>
    <w:rsid w:val="00147CCB"/>
    <w:rsid w:val="00147EB8"/>
    <w:rsid w:val="00150641"/>
    <w:rsid w:val="00150B73"/>
    <w:rsid w:val="00150FE9"/>
    <w:rsid w:val="001510A4"/>
    <w:rsid w:val="00151D46"/>
    <w:rsid w:val="00152093"/>
    <w:rsid w:val="001521FA"/>
    <w:rsid w:val="00153310"/>
    <w:rsid w:val="001533C9"/>
    <w:rsid w:val="00154261"/>
    <w:rsid w:val="00154B5C"/>
    <w:rsid w:val="001557F4"/>
    <w:rsid w:val="00155BC2"/>
    <w:rsid w:val="00156BD1"/>
    <w:rsid w:val="00157505"/>
    <w:rsid w:val="00160ACF"/>
    <w:rsid w:val="001612DA"/>
    <w:rsid w:val="001613F0"/>
    <w:rsid w:val="001617E5"/>
    <w:rsid w:val="00161EB2"/>
    <w:rsid w:val="0016305A"/>
    <w:rsid w:val="001632FA"/>
    <w:rsid w:val="00163C99"/>
    <w:rsid w:val="00164037"/>
    <w:rsid w:val="00164C1A"/>
    <w:rsid w:val="00164D66"/>
    <w:rsid w:val="00165247"/>
    <w:rsid w:val="0016535B"/>
    <w:rsid w:val="00165420"/>
    <w:rsid w:val="00165584"/>
    <w:rsid w:val="00166CCA"/>
    <w:rsid w:val="00166F77"/>
    <w:rsid w:val="0016785C"/>
    <w:rsid w:val="00171937"/>
    <w:rsid w:val="00171C37"/>
    <w:rsid w:val="00171EEB"/>
    <w:rsid w:val="00171F3E"/>
    <w:rsid w:val="00172997"/>
    <w:rsid w:val="00172E90"/>
    <w:rsid w:val="001735B8"/>
    <w:rsid w:val="00173ED8"/>
    <w:rsid w:val="00175429"/>
    <w:rsid w:val="00175EF0"/>
    <w:rsid w:val="0017674B"/>
    <w:rsid w:val="00177BD0"/>
    <w:rsid w:val="0018036C"/>
    <w:rsid w:val="00180DCC"/>
    <w:rsid w:val="0018143B"/>
    <w:rsid w:val="0018200F"/>
    <w:rsid w:val="001821AD"/>
    <w:rsid w:val="00183995"/>
    <w:rsid w:val="001844FB"/>
    <w:rsid w:val="00184905"/>
    <w:rsid w:val="00184B31"/>
    <w:rsid w:val="00184DBC"/>
    <w:rsid w:val="0018551B"/>
    <w:rsid w:val="00185916"/>
    <w:rsid w:val="00185D22"/>
    <w:rsid w:val="00187295"/>
    <w:rsid w:val="00187345"/>
    <w:rsid w:val="001909BF"/>
    <w:rsid w:val="00190D22"/>
    <w:rsid w:val="00191386"/>
    <w:rsid w:val="001916C9"/>
    <w:rsid w:val="00191781"/>
    <w:rsid w:val="00191CF6"/>
    <w:rsid w:val="00192334"/>
    <w:rsid w:val="00192964"/>
    <w:rsid w:val="00192DCB"/>
    <w:rsid w:val="00192E34"/>
    <w:rsid w:val="00193030"/>
    <w:rsid w:val="001934E7"/>
    <w:rsid w:val="00193969"/>
    <w:rsid w:val="0019434F"/>
    <w:rsid w:val="001956D3"/>
    <w:rsid w:val="0019637F"/>
    <w:rsid w:val="00196508"/>
    <w:rsid w:val="0019653E"/>
    <w:rsid w:val="001968FA"/>
    <w:rsid w:val="001A0314"/>
    <w:rsid w:val="001A0338"/>
    <w:rsid w:val="001A0437"/>
    <w:rsid w:val="001A1363"/>
    <w:rsid w:val="001A1B09"/>
    <w:rsid w:val="001A1F3B"/>
    <w:rsid w:val="001A39F7"/>
    <w:rsid w:val="001A43F1"/>
    <w:rsid w:val="001A49F7"/>
    <w:rsid w:val="001A4B46"/>
    <w:rsid w:val="001A4D94"/>
    <w:rsid w:val="001A6A18"/>
    <w:rsid w:val="001A7B96"/>
    <w:rsid w:val="001B1643"/>
    <w:rsid w:val="001B16A9"/>
    <w:rsid w:val="001B1A90"/>
    <w:rsid w:val="001B28FD"/>
    <w:rsid w:val="001B414F"/>
    <w:rsid w:val="001B4189"/>
    <w:rsid w:val="001B41BB"/>
    <w:rsid w:val="001B4ED5"/>
    <w:rsid w:val="001B554A"/>
    <w:rsid w:val="001B56F3"/>
    <w:rsid w:val="001B5FD2"/>
    <w:rsid w:val="001B635B"/>
    <w:rsid w:val="001B6A5D"/>
    <w:rsid w:val="001B75D8"/>
    <w:rsid w:val="001B799C"/>
    <w:rsid w:val="001B7BB3"/>
    <w:rsid w:val="001B7D97"/>
    <w:rsid w:val="001C043A"/>
    <w:rsid w:val="001C1AF4"/>
    <w:rsid w:val="001C20A5"/>
    <w:rsid w:val="001C2B8B"/>
    <w:rsid w:val="001C2BB1"/>
    <w:rsid w:val="001C4053"/>
    <w:rsid w:val="001C41F9"/>
    <w:rsid w:val="001C4659"/>
    <w:rsid w:val="001C48E4"/>
    <w:rsid w:val="001C4E8E"/>
    <w:rsid w:val="001C5AD9"/>
    <w:rsid w:val="001C5EA4"/>
    <w:rsid w:val="001C64C0"/>
    <w:rsid w:val="001C6DF5"/>
    <w:rsid w:val="001C7E38"/>
    <w:rsid w:val="001D018B"/>
    <w:rsid w:val="001D0514"/>
    <w:rsid w:val="001D0D0D"/>
    <w:rsid w:val="001D0FB9"/>
    <w:rsid w:val="001D0FE8"/>
    <w:rsid w:val="001D120F"/>
    <w:rsid w:val="001D18D2"/>
    <w:rsid w:val="001D1EE2"/>
    <w:rsid w:val="001D23ED"/>
    <w:rsid w:val="001D299C"/>
    <w:rsid w:val="001D2EFA"/>
    <w:rsid w:val="001D31B1"/>
    <w:rsid w:val="001D4874"/>
    <w:rsid w:val="001D4D95"/>
    <w:rsid w:val="001D51C8"/>
    <w:rsid w:val="001D5593"/>
    <w:rsid w:val="001D5A7E"/>
    <w:rsid w:val="001D5D5F"/>
    <w:rsid w:val="001D5E19"/>
    <w:rsid w:val="001D642C"/>
    <w:rsid w:val="001D643A"/>
    <w:rsid w:val="001D64FD"/>
    <w:rsid w:val="001D675B"/>
    <w:rsid w:val="001D6A80"/>
    <w:rsid w:val="001D6C18"/>
    <w:rsid w:val="001D73C0"/>
    <w:rsid w:val="001E01B2"/>
    <w:rsid w:val="001E09F0"/>
    <w:rsid w:val="001E0F8C"/>
    <w:rsid w:val="001E1661"/>
    <w:rsid w:val="001E1685"/>
    <w:rsid w:val="001E3748"/>
    <w:rsid w:val="001E376A"/>
    <w:rsid w:val="001E3838"/>
    <w:rsid w:val="001E407D"/>
    <w:rsid w:val="001E42CD"/>
    <w:rsid w:val="001E4E38"/>
    <w:rsid w:val="001E5F2C"/>
    <w:rsid w:val="001E6147"/>
    <w:rsid w:val="001E6273"/>
    <w:rsid w:val="001E63E4"/>
    <w:rsid w:val="001E6569"/>
    <w:rsid w:val="001E7CA7"/>
    <w:rsid w:val="001E7CD0"/>
    <w:rsid w:val="001E7CD7"/>
    <w:rsid w:val="001F02DF"/>
    <w:rsid w:val="001F081F"/>
    <w:rsid w:val="001F10CE"/>
    <w:rsid w:val="001F13E1"/>
    <w:rsid w:val="001F16FF"/>
    <w:rsid w:val="001F1890"/>
    <w:rsid w:val="001F201B"/>
    <w:rsid w:val="001F22F4"/>
    <w:rsid w:val="001F2B6D"/>
    <w:rsid w:val="001F2C0F"/>
    <w:rsid w:val="001F348B"/>
    <w:rsid w:val="001F358F"/>
    <w:rsid w:val="001F3BE6"/>
    <w:rsid w:val="001F423A"/>
    <w:rsid w:val="001F4A69"/>
    <w:rsid w:val="001F4D2D"/>
    <w:rsid w:val="001F585F"/>
    <w:rsid w:val="001F58BE"/>
    <w:rsid w:val="001F68C3"/>
    <w:rsid w:val="001F736A"/>
    <w:rsid w:val="002012F2"/>
    <w:rsid w:val="00201345"/>
    <w:rsid w:val="0020160F"/>
    <w:rsid w:val="00201AD9"/>
    <w:rsid w:val="00204A74"/>
    <w:rsid w:val="0020513A"/>
    <w:rsid w:val="002055A6"/>
    <w:rsid w:val="00205A37"/>
    <w:rsid w:val="0020606C"/>
    <w:rsid w:val="00206B7F"/>
    <w:rsid w:val="00207227"/>
    <w:rsid w:val="00207662"/>
    <w:rsid w:val="00207AEA"/>
    <w:rsid w:val="0021042F"/>
    <w:rsid w:val="0021062E"/>
    <w:rsid w:val="002115F3"/>
    <w:rsid w:val="00211CBA"/>
    <w:rsid w:val="00211F34"/>
    <w:rsid w:val="00213738"/>
    <w:rsid w:val="00214AB8"/>
    <w:rsid w:val="00214C07"/>
    <w:rsid w:val="00214DED"/>
    <w:rsid w:val="002155B3"/>
    <w:rsid w:val="0021592E"/>
    <w:rsid w:val="0021609F"/>
    <w:rsid w:val="00216A81"/>
    <w:rsid w:val="00216AE9"/>
    <w:rsid w:val="00216C96"/>
    <w:rsid w:val="00217128"/>
    <w:rsid w:val="002173E1"/>
    <w:rsid w:val="002176E9"/>
    <w:rsid w:val="0022100C"/>
    <w:rsid w:val="0022111C"/>
    <w:rsid w:val="00221D7E"/>
    <w:rsid w:val="0022266C"/>
    <w:rsid w:val="002229BF"/>
    <w:rsid w:val="00222CBB"/>
    <w:rsid w:val="002234CB"/>
    <w:rsid w:val="00223B22"/>
    <w:rsid w:val="00224757"/>
    <w:rsid w:val="00224929"/>
    <w:rsid w:val="00224B3C"/>
    <w:rsid w:val="00225746"/>
    <w:rsid w:val="00225C69"/>
    <w:rsid w:val="002260E4"/>
    <w:rsid w:val="00226119"/>
    <w:rsid w:val="002261FF"/>
    <w:rsid w:val="0022731C"/>
    <w:rsid w:val="00227350"/>
    <w:rsid w:val="00227D26"/>
    <w:rsid w:val="00227F56"/>
    <w:rsid w:val="002308E1"/>
    <w:rsid w:val="0023112D"/>
    <w:rsid w:val="00231B77"/>
    <w:rsid w:val="00232000"/>
    <w:rsid w:val="002321E8"/>
    <w:rsid w:val="00232CE9"/>
    <w:rsid w:val="00232D4D"/>
    <w:rsid w:val="002330FA"/>
    <w:rsid w:val="002332DC"/>
    <w:rsid w:val="00233A40"/>
    <w:rsid w:val="002340E3"/>
    <w:rsid w:val="002358C6"/>
    <w:rsid w:val="00235F6D"/>
    <w:rsid w:val="00237B8D"/>
    <w:rsid w:val="00237BCE"/>
    <w:rsid w:val="00241173"/>
    <w:rsid w:val="00242444"/>
    <w:rsid w:val="00242C90"/>
    <w:rsid w:val="00243031"/>
    <w:rsid w:val="0024306E"/>
    <w:rsid w:val="002431A6"/>
    <w:rsid w:val="002434BC"/>
    <w:rsid w:val="00244352"/>
    <w:rsid w:val="00245578"/>
    <w:rsid w:val="00245982"/>
    <w:rsid w:val="00245E76"/>
    <w:rsid w:val="0024611E"/>
    <w:rsid w:val="00246644"/>
    <w:rsid w:val="00246866"/>
    <w:rsid w:val="00246987"/>
    <w:rsid w:val="00246CD4"/>
    <w:rsid w:val="00246DD7"/>
    <w:rsid w:val="00247349"/>
    <w:rsid w:val="00247A01"/>
    <w:rsid w:val="00247A04"/>
    <w:rsid w:val="00247AA5"/>
    <w:rsid w:val="002503EE"/>
    <w:rsid w:val="0025096F"/>
    <w:rsid w:val="0025155E"/>
    <w:rsid w:val="00251724"/>
    <w:rsid w:val="00251850"/>
    <w:rsid w:val="0025295C"/>
    <w:rsid w:val="002537EA"/>
    <w:rsid w:val="002537F1"/>
    <w:rsid w:val="00253A2F"/>
    <w:rsid w:val="00253CB6"/>
    <w:rsid w:val="00254339"/>
    <w:rsid w:val="002552FA"/>
    <w:rsid w:val="00255A11"/>
    <w:rsid w:val="00255A6E"/>
    <w:rsid w:val="00255C13"/>
    <w:rsid w:val="00255E20"/>
    <w:rsid w:val="0025767C"/>
    <w:rsid w:val="00257A69"/>
    <w:rsid w:val="00261D83"/>
    <w:rsid w:val="00262DA7"/>
    <w:rsid w:val="00262E52"/>
    <w:rsid w:val="002633A1"/>
    <w:rsid w:val="00263558"/>
    <w:rsid w:val="00263B83"/>
    <w:rsid w:val="00263CD6"/>
    <w:rsid w:val="00263DD1"/>
    <w:rsid w:val="002640CA"/>
    <w:rsid w:val="002645A9"/>
    <w:rsid w:val="00266E56"/>
    <w:rsid w:val="002674D2"/>
    <w:rsid w:val="0026759C"/>
    <w:rsid w:val="00267DE6"/>
    <w:rsid w:val="00267FD1"/>
    <w:rsid w:val="00270A5D"/>
    <w:rsid w:val="00270D3B"/>
    <w:rsid w:val="0027167D"/>
    <w:rsid w:val="00271D3C"/>
    <w:rsid w:val="0027276A"/>
    <w:rsid w:val="00272C09"/>
    <w:rsid w:val="0027303B"/>
    <w:rsid w:val="00273E2C"/>
    <w:rsid w:val="002745E2"/>
    <w:rsid w:val="0027474F"/>
    <w:rsid w:val="00274C68"/>
    <w:rsid w:val="00274D41"/>
    <w:rsid w:val="002758FF"/>
    <w:rsid w:val="00275DE8"/>
    <w:rsid w:val="0027698A"/>
    <w:rsid w:val="00276C63"/>
    <w:rsid w:val="0027707F"/>
    <w:rsid w:val="002779F1"/>
    <w:rsid w:val="00277F8E"/>
    <w:rsid w:val="00280601"/>
    <w:rsid w:val="002806A4"/>
    <w:rsid w:val="00280850"/>
    <w:rsid w:val="00281DDB"/>
    <w:rsid w:val="00282397"/>
    <w:rsid w:val="00283BE8"/>
    <w:rsid w:val="00283E93"/>
    <w:rsid w:val="002844D0"/>
    <w:rsid w:val="00284DEA"/>
    <w:rsid w:val="00287344"/>
    <w:rsid w:val="00287A7C"/>
    <w:rsid w:val="00287DEB"/>
    <w:rsid w:val="002918F3"/>
    <w:rsid w:val="00291B37"/>
    <w:rsid w:val="0029211D"/>
    <w:rsid w:val="00292173"/>
    <w:rsid w:val="002925CC"/>
    <w:rsid w:val="0029260A"/>
    <w:rsid w:val="00292DC9"/>
    <w:rsid w:val="00293019"/>
    <w:rsid w:val="002933CE"/>
    <w:rsid w:val="00293830"/>
    <w:rsid w:val="00293C61"/>
    <w:rsid w:val="00293D9D"/>
    <w:rsid w:val="00294B32"/>
    <w:rsid w:val="0029583C"/>
    <w:rsid w:val="00295D6A"/>
    <w:rsid w:val="002961B4"/>
    <w:rsid w:val="002971E7"/>
    <w:rsid w:val="00297555"/>
    <w:rsid w:val="00297B42"/>
    <w:rsid w:val="00297E95"/>
    <w:rsid w:val="002A085C"/>
    <w:rsid w:val="002A10D6"/>
    <w:rsid w:val="002A20D1"/>
    <w:rsid w:val="002A26B4"/>
    <w:rsid w:val="002A2764"/>
    <w:rsid w:val="002A30CF"/>
    <w:rsid w:val="002A4660"/>
    <w:rsid w:val="002A5555"/>
    <w:rsid w:val="002A5857"/>
    <w:rsid w:val="002A61FE"/>
    <w:rsid w:val="002A6638"/>
    <w:rsid w:val="002A66BB"/>
    <w:rsid w:val="002A6D93"/>
    <w:rsid w:val="002A7837"/>
    <w:rsid w:val="002B04C3"/>
    <w:rsid w:val="002B1269"/>
    <w:rsid w:val="002B14B6"/>
    <w:rsid w:val="002B2AD6"/>
    <w:rsid w:val="002B2D29"/>
    <w:rsid w:val="002B3363"/>
    <w:rsid w:val="002B3771"/>
    <w:rsid w:val="002B3D0E"/>
    <w:rsid w:val="002B481F"/>
    <w:rsid w:val="002B5104"/>
    <w:rsid w:val="002B5914"/>
    <w:rsid w:val="002B691D"/>
    <w:rsid w:val="002B6C33"/>
    <w:rsid w:val="002B6E8F"/>
    <w:rsid w:val="002B7101"/>
    <w:rsid w:val="002B7500"/>
    <w:rsid w:val="002B75EE"/>
    <w:rsid w:val="002B76B4"/>
    <w:rsid w:val="002C010B"/>
    <w:rsid w:val="002C013C"/>
    <w:rsid w:val="002C0704"/>
    <w:rsid w:val="002C0C7F"/>
    <w:rsid w:val="002C14F9"/>
    <w:rsid w:val="002C2552"/>
    <w:rsid w:val="002C2A70"/>
    <w:rsid w:val="002C2DDC"/>
    <w:rsid w:val="002C2DF9"/>
    <w:rsid w:val="002C3A5F"/>
    <w:rsid w:val="002C3D21"/>
    <w:rsid w:val="002C43A6"/>
    <w:rsid w:val="002C4633"/>
    <w:rsid w:val="002C463B"/>
    <w:rsid w:val="002C513F"/>
    <w:rsid w:val="002C568C"/>
    <w:rsid w:val="002C5807"/>
    <w:rsid w:val="002C599D"/>
    <w:rsid w:val="002C5D43"/>
    <w:rsid w:val="002C601F"/>
    <w:rsid w:val="002C6C29"/>
    <w:rsid w:val="002C77FD"/>
    <w:rsid w:val="002C7898"/>
    <w:rsid w:val="002D0BF3"/>
    <w:rsid w:val="002D157D"/>
    <w:rsid w:val="002D1642"/>
    <w:rsid w:val="002D1794"/>
    <w:rsid w:val="002D181F"/>
    <w:rsid w:val="002D268C"/>
    <w:rsid w:val="002D2A69"/>
    <w:rsid w:val="002D2B0D"/>
    <w:rsid w:val="002D2F4A"/>
    <w:rsid w:val="002D33A4"/>
    <w:rsid w:val="002D3AAC"/>
    <w:rsid w:val="002D3D30"/>
    <w:rsid w:val="002D3E86"/>
    <w:rsid w:val="002D42FF"/>
    <w:rsid w:val="002D45D0"/>
    <w:rsid w:val="002D4761"/>
    <w:rsid w:val="002D50B0"/>
    <w:rsid w:val="002D5123"/>
    <w:rsid w:val="002D5AC3"/>
    <w:rsid w:val="002D5B38"/>
    <w:rsid w:val="002D6891"/>
    <w:rsid w:val="002D6DAE"/>
    <w:rsid w:val="002D7C1A"/>
    <w:rsid w:val="002E0495"/>
    <w:rsid w:val="002E07C9"/>
    <w:rsid w:val="002E0802"/>
    <w:rsid w:val="002E09F0"/>
    <w:rsid w:val="002E0B09"/>
    <w:rsid w:val="002E0B4A"/>
    <w:rsid w:val="002E0EF6"/>
    <w:rsid w:val="002E0F3B"/>
    <w:rsid w:val="002E1DF0"/>
    <w:rsid w:val="002E2202"/>
    <w:rsid w:val="002E28BA"/>
    <w:rsid w:val="002E29FF"/>
    <w:rsid w:val="002E336B"/>
    <w:rsid w:val="002E3880"/>
    <w:rsid w:val="002E4506"/>
    <w:rsid w:val="002E54EA"/>
    <w:rsid w:val="002E55E9"/>
    <w:rsid w:val="002E5FDA"/>
    <w:rsid w:val="002E6140"/>
    <w:rsid w:val="002E636B"/>
    <w:rsid w:val="002E69FC"/>
    <w:rsid w:val="002E7557"/>
    <w:rsid w:val="002E795B"/>
    <w:rsid w:val="002F03F1"/>
    <w:rsid w:val="002F0597"/>
    <w:rsid w:val="002F0987"/>
    <w:rsid w:val="002F12CC"/>
    <w:rsid w:val="002F16C2"/>
    <w:rsid w:val="002F171D"/>
    <w:rsid w:val="002F294E"/>
    <w:rsid w:val="002F39E6"/>
    <w:rsid w:val="002F401C"/>
    <w:rsid w:val="002F4350"/>
    <w:rsid w:val="002F4B34"/>
    <w:rsid w:val="002F4C3D"/>
    <w:rsid w:val="002F54CF"/>
    <w:rsid w:val="002F6A2B"/>
    <w:rsid w:val="002F6D37"/>
    <w:rsid w:val="002F725B"/>
    <w:rsid w:val="002F745D"/>
    <w:rsid w:val="002F7CC4"/>
    <w:rsid w:val="0030014E"/>
    <w:rsid w:val="003002AD"/>
    <w:rsid w:val="003004AB"/>
    <w:rsid w:val="00300AE9"/>
    <w:rsid w:val="00300B2B"/>
    <w:rsid w:val="00300CE3"/>
    <w:rsid w:val="00300F1A"/>
    <w:rsid w:val="003027C0"/>
    <w:rsid w:val="003037F5"/>
    <w:rsid w:val="0030447D"/>
    <w:rsid w:val="00304579"/>
    <w:rsid w:val="00304AD9"/>
    <w:rsid w:val="00305174"/>
    <w:rsid w:val="00305564"/>
    <w:rsid w:val="003066BD"/>
    <w:rsid w:val="00306B1F"/>
    <w:rsid w:val="00307812"/>
    <w:rsid w:val="00307832"/>
    <w:rsid w:val="00310111"/>
    <w:rsid w:val="0031017A"/>
    <w:rsid w:val="003104A3"/>
    <w:rsid w:val="0031060A"/>
    <w:rsid w:val="0031064E"/>
    <w:rsid w:val="00310E5D"/>
    <w:rsid w:val="00311BBD"/>
    <w:rsid w:val="00312013"/>
    <w:rsid w:val="00312C76"/>
    <w:rsid w:val="00313614"/>
    <w:rsid w:val="00313D24"/>
    <w:rsid w:val="00313F38"/>
    <w:rsid w:val="00314C97"/>
    <w:rsid w:val="003157B6"/>
    <w:rsid w:val="00315884"/>
    <w:rsid w:val="00316148"/>
    <w:rsid w:val="00316D73"/>
    <w:rsid w:val="00317443"/>
    <w:rsid w:val="00317EBE"/>
    <w:rsid w:val="00320020"/>
    <w:rsid w:val="00320476"/>
    <w:rsid w:val="00320989"/>
    <w:rsid w:val="00321FFE"/>
    <w:rsid w:val="00322242"/>
    <w:rsid w:val="003223B3"/>
    <w:rsid w:val="00322D87"/>
    <w:rsid w:val="003243F2"/>
    <w:rsid w:val="00324B07"/>
    <w:rsid w:val="003250E5"/>
    <w:rsid w:val="00325219"/>
    <w:rsid w:val="00325924"/>
    <w:rsid w:val="00325CD8"/>
    <w:rsid w:val="00327BC3"/>
    <w:rsid w:val="003301EE"/>
    <w:rsid w:val="00330AEB"/>
    <w:rsid w:val="00331C34"/>
    <w:rsid w:val="00332013"/>
    <w:rsid w:val="00332677"/>
    <w:rsid w:val="00332B4A"/>
    <w:rsid w:val="00332D69"/>
    <w:rsid w:val="00332DEB"/>
    <w:rsid w:val="00333E11"/>
    <w:rsid w:val="00334376"/>
    <w:rsid w:val="003343C3"/>
    <w:rsid w:val="00334555"/>
    <w:rsid w:val="00334575"/>
    <w:rsid w:val="00335362"/>
    <w:rsid w:val="0033593D"/>
    <w:rsid w:val="00336239"/>
    <w:rsid w:val="00337FD3"/>
    <w:rsid w:val="0034005A"/>
    <w:rsid w:val="0034028B"/>
    <w:rsid w:val="00340DAE"/>
    <w:rsid w:val="00341160"/>
    <w:rsid w:val="003416C2"/>
    <w:rsid w:val="00342743"/>
    <w:rsid w:val="003427E6"/>
    <w:rsid w:val="003433EA"/>
    <w:rsid w:val="003434EF"/>
    <w:rsid w:val="0034357F"/>
    <w:rsid w:val="00343C16"/>
    <w:rsid w:val="003445FF"/>
    <w:rsid w:val="003448B5"/>
    <w:rsid w:val="00344FFF"/>
    <w:rsid w:val="003456F3"/>
    <w:rsid w:val="00345A7C"/>
    <w:rsid w:val="00346718"/>
    <w:rsid w:val="00346F7F"/>
    <w:rsid w:val="003473F0"/>
    <w:rsid w:val="00347524"/>
    <w:rsid w:val="003505A4"/>
    <w:rsid w:val="003506F6"/>
    <w:rsid w:val="003508F6"/>
    <w:rsid w:val="00350B89"/>
    <w:rsid w:val="0035100D"/>
    <w:rsid w:val="003515CC"/>
    <w:rsid w:val="00353DC2"/>
    <w:rsid w:val="0035420B"/>
    <w:rsid w:val="0035437A"/>
    <w:rsid w:val="003543F8"/>
    <w:rsid w:val="00354688"/>
    <w:rsid w:val="003557BF"/>
    <w:rsid w:val="00356C4A"/>
    <w:rsid w:val="00356DF1"/>
    <w:rsid w:val="003571D5"/>
    <w:rsid w:val="00357E00"/>
    <w:rsid w:val="00357F77"/>
    <w:rsid w:val="00360386"/>
    <w:rsid w:val="0036060B"/>
    <w:rsid w:val="00360FCA"/>
    <w:rsid w:val="003611B7"/>
    <w:rsid w:val="00362407"/>
    <w:rsid w:val="00364131"/>
    <w:rsid w:val="00365B2E"/>
    <w:rsid w:val="00365D12"/>
    <w:rsid w:val="00365F48"/>
    <w:rsid w:val="00366970"/>
    <w:rsid w:val="00367C65"/>
    <w:rsid w:val="00367CEA"/>
    <w:rsid w:val="00367D6F"/>
    <w:rsid w:val="0037017F"/>
    <w:rsid w:val="003702E8"/>
    <w:rsid w:val="00370EC6"/>
    <w:rsid w:val="003710BF"/>
    <w:rsid w:val="003726E2"/>
    <w:rsid w:val="00373413"/>
    <w:rsid w:val="00373DD6"/>
    <w:rsid w:val="00374189"/>
    <w:rsid w:val="00374C8C"/>
    <w:rsid w:val="00374CF6"/>
    <w:rsid w:val="00374CFD"/>
    <w:rsid w:val="00375451"/>
    <w:rsid w:val="00375BDB"/>
    <w:rsid w:val="00375D6D"/>
    <w:rsid w:val="00376855"/>
    <w:rsid w:val="00376B77"/>
    <w:rsid w:val="00376DF1"/>
    <w:rsid w:val="0037765C"/>
    <w:rsid w:val="0038069D"/>
    <w:rsid w:val="00380F2B"/>
    <w:rsid w:val="00381574"/>
    <w:rsid w:val="00382698"/>
    <w:rsid w:val="00382C0F"/>
    <w:rsid w:val="00382C97"/>
    <w:rsid w:val="0038322C"/>
    <w:rsid w:val="00383704"/>
    <w:rsid w:val="003838C8"/>
    <w:rsid w:val="003839B7"/>
    <w:rsid w:val="00383BC8"/>
    <w:rsid w:val="00385000"/>
    <w:rsid w:val="00386485"/>
    <w:rsid w:val="00386558"/>
    <w:rsid w:val="003869A1"/>
    <w:rsid w:val="00386B31"/>
    <w:rsid w:val="00386B77"/>
    <w:rsid w:val="00386EB7"/>
    <w:rsid w:val="0039006C"/>
    <w:rsid w:val="0039037E"/>
    <w:rsid w:val="00390DDA"/>
    <w:rsid w:val="00391203"/>
    <w:rsid w:val="0039135B"/>
    <w:rsid w:val="00391DE9"/>
    <w:rsid w:val="00391ED5"/>
    <w:rsid w:val="00392256"/>
    <w:rsid w:val="00393BE5"/>
    <w:rsid w:val="00393C64"/>
    <w:rsid w:val="00394F49"/>
    <w:rsid w:val="00394F50"/>
    <w:rsid w:val="00395094"/>
    <w:rsid w:val="00395C30"/>
    <w:rsid w:val="00395D7B"/>
    <w:rsid w:val="0039694F"/>
    <w:rsid w:val="00396A9C"/>
    <w:rsid w:val="003970FF"/>
    <w:rsid w:val="003974B8"/>
    <w:rsid w:val="003A015F"/>
    <w:rsid w:val="003A0570"/>
    <w:rsid w:val="003A17ED"/>
    <w:rsid w:val="003A1BEA"/>
    <w:rsid w:val="003A1D52"/>
    <w:rsid w:val="003A2CCE"/>
    <w:rsid w:val="003A3B95"/>
    <w:rsid w:val="003A3CCE"/>
    <w:rsid w:val="003A49FF"/>
    <w:rsid w:val="003A6E00"/>
    <w:rsid w:val="003A6F42"/>
    <w:rsid w:val="003B0E45"/>
    <w:rsid w:val="003B19BF"/>
    <w:rsid w:val="003B1B8E"/>
    <w:rsid w:val="003B1F74"/>
    <w:rsid w:val="003B2045"/>
    <w:rsid w:val="003B231E"/>
    <w:rsid w:val="003B30D8"/>
    <w:rsid w:val="003B3426"/>
    <w:rsid w:val="003B427B"/>
    <w:rsid w:val="003B6C51"/>
    <w:rsid w:val="003B6EE1"/>
    <w:rsid w:val="003B708F"/>
    <w:rsid w:val="003B70DF"/>
    <w:rsid w:val="003B7B44"/>
    <w:rsid w:val="003B7D25"/>
    <w:rsid w:val="003C01B5"/>
    <w:rsid w:val="003C03AE"/>
    <w:rsid w:val="003C04B4"/>
    <w:rsid w:val="003C0581"/>
    <w:rsid w:val="003C081B"/>
    <w:rsid w:val="003C0C5E"/>
    <w:rsid w:val="003C0EE2"/>
    <w:rsid w:val="003C19CF"/>
    <w:rsid w:val="003C2541"/>
    <w:rsid w:val="003C30A8"/>
    <w:rsid w:val="003C3524"/>
    <w:rsid w:val="003C3C35"/>
    <w:rsid w:val="003C44DA"/>
    <w:rsid w:val="003C4A56"/>
    <w:rsid w:val="003C4CD4"/>
    <w:rsid w:val="003C557B"/>
    <w:rsid w:val="003C5778"/>
    <w:rsid w:val="003C665E"/>
    <w:rsid w:val="003C6E32"/>
    <w:rsid w:val="003C73E2"/>
    <w:rsid w:val="003C746D"/>
    <w:rsid w:val="003C77E9"/>
    <w:rsid w:val="003C7D17"/>
    <w:rsid w:val="003C7E89"/>
    <w:rsid w:val="003D015B"/>
    <w:rsid w:val="003D016A"/>
    <w:rsid w:val="003D04CF"/>
    <w:rsid w:val="003D2DBC"/>
    <w:rsid w:val="003D2F74"/>
    <w:rsid w:val="003D3242"/>
    <w:rsid w:val="003D36AB"/>
    <w:rsid w:val="003D4060"/>
    <w:rsid w:val="003D41C3"/>
    <w:rsid w:val="003D4A27"/>
    <w:rsid w:val="003D4A96"/>
    <w:rsid w:val="003D4AE0"/>
    <w:rsid w:val="003D4B1B"/>
    <w:rsid w:val="003D5242"/>
    <w:rsid w:val="003D6246"/>
    <w:rsid w:val="003D681F"/>
    <w:rsid w:val="003D6E17"/>
    <w:rsid w:val="003D7113"/>
    <w:rsid w:val="003D7730"/>
    <w:rsid w:val="003E0098"/>
    <w:rsid w:val="003E0988"/>
    <w:rsid w:val="003E09E3"/>
    <w:rsid w:val="003E0D5A"/>
    <w:rsid w:val="003E0DB0"/>
    <w:rsid w:val="003E1F26"/>
    <w:rsid w:val="003E1F57"/>
    <w:rsid w:val="003E21AB"/>
    <w:rsid w:val="003E31FE"/>
    <w:rsid w:val="003E348E"/>
    <w:rsid w:val="003E37B0"/>
    <w:rsid w:val="003E53B1"/>
    <w:rsid w:val="003E58ED"/>
    <w:rsid w:val="003E616C"/>
    <w:rsid w:val="003E69F4"/>
    <w:rsid w:val="003E6BA6"/>
    <w:rsid w:val="003E6E89"/>
    <w:rsid w:val="003E77A6"/>
    <w:rsid w:val="003E7CEE"/>
    <w:rsid w:val="003F0047"/>
    <w:rsid w:val="003F08FE"/>
    <w:rsid w:val="003F0E7B"/>
    <w:rsid w:val="003F1645"/>
    <w:rsid w:val="003F2278"/>
    <w:rsid w:val="003F30AC"/>
    <w:rsid w:val="003F313A"/>
    <w:rsid w:val="003F3F1C"/>
    <w:rsid w:val="003F43AA"/>
    <w:rsid w:val="003F4C1E"/>
    <w:rsid w:val="003F4FC6"/>
    <w:rsid w:val="003F5098"/>
    <w:rsid w:val="003F528C"/>
    <w:rsid w:val="003F5399"/>
    <w:rsid w:val="003F548B"/>
    <w:rsid w:val="003F5B1B"/>
    <w:rsid w:val="003F67CF"/>
    <w:rsid w:val="003F69BB"/>
    <w:rsid w:val="003F6D9F"/>
    <w:rsid w:val="003F7067"/>
    <w:rsid w:val="003F780D"/>
    <w:rsid w:val="003F7AFC"/>
    <w:rsid w:val="003F7DD8"/>
    <w:rsid w:val="003F7F78"/>
    <w:rsid w:val="004001D2"/>
    <w:rsid w:val="0040023D"/>
    <w:rsid w:val="004010B4"/>
    <w:rsid w:val="00401412"/>
    <w:rsid w:val="00401DDD"/>
    <w:rsid w:val="00402939"/>
    <w:rsid w:val="00402B8B"/>
    <w:rsid w:val="0040387F"/>
    <w:rsid w:val="00404AF9"/>
    <w:rsid w:val="00404F58"/>
    <w:rsid w:val="00405708"/>
    <w:rsid w:val="004064D4"/>
    <w:rsid w:val="00406597"/>
    <w:rsid w:val="00406741"/>
    <w:rsid w:val="00407253"/>
    <w:rsid w:val="00410A09"/>
    <w:rsid w:val="00410D92"/>
    <w:rsid w:val="00411266"/>
    <w:rsid w:val="0041131D"/>
    <w:rsid w:val="004123B5"/>
    <w:rsid w:val="004128E7"/>
    <w:rsid w:val="00412F30"/>
    <w:rsid w:val="004130C1"/>
    <w:rsid w:val="0041316C"/>
    <w:rsid w:val="004142E1"/>
    <w:rsid w:val="004151FA"/>
    <w:rsid w:val="00415D53"/>
    <w:rsid w:val="00416DFC"/>
    <w:rsid w:val="004179E4"/>
    <w:rsid w:val="00420384"/>
    <w:rsid w:val="004207ED"/>
    <w:rsid w:val="00420CB3"/>
    <w:rsid w:val="00421755"/>
    <w:rsid w:val="00422163"/>
    <w:rsid w:val="00424955"/>
    <w:rsid w:val="00424C36"/>
    <w:rsid w:val="00424E4E"/>
    <w:rsid w:val="00425029"/>
    <w:rsid w:val="0042515F"/>
    <w:rsid w:val="00425325"/>
    <w:rsid w:val="004254C9"/>
    <w:rsid w:val="00425720"/>
    <w:rsid w:val="00425ECA"/>
    <w:rsid w:val="00426136"/>
    <w:rsid w:val="00426204"/>
    <w:rsid w:val="004275CB"/>
    <w:rsid w:val="0043081B"/>
    <w:rsid w:val="0043085B"/>
    <w:rsid w:val="00430C05"/>
    <w:rsid w:val="004311CA"/>
    <w:rsid w:val="004324D4"/>
    <w:rsid w:val="00432888"/>
    <w:rsid w:val="0043344A"/>
    <w:rsid w:val="004345F4"/>
    <w:rsid w:val="004348E4"/>
    <w:rsid w:val="00436353"/>
    <w:rsid w:val="004369DA"/>
    <w:rsid w:val="00436DED"/>
    <w:rsid w:val="00437071"/>
    <w:rsid w:val="00437B8E"/>
    <w:rsid w:val="004405F8"/>
    <w:rsid w:val="00440784"/>
    <w:rsid w:val="00440A61"/>
    <w:rsid w:val="004416BF"/>
    <w:rsid w:val="00442044"/>
    <w:rsid w:val="00442535"/>
    <w:rsid w:val="004425B7"/>
    <w:rsid w:val="00442C8B"/>
    <w:rsid w:val="004431CE"/>
    <w:rsid w:val="00443484"/>
    <w:rsid w:val="00444EF3"/>
    <w:rsid w:val="00445551"/>
    <w:rsid w:val="00446B48"/>
    <w:rsid w:val="00446F0F"/>
    <w:rsid w:val="00447061"/>
    <w:rsid w:val="0044732F"/>
    <w:rsid w:val="00447A7F"/>
    <w:rsid w:val="00447F5F"/>
    <w:rsid w:val="0045147C"/>
    <w:rsid w:val="00451BB9"/>
    <w:rsid w:val="00452828"/>
    <w:rsid w:val="00452C98"/>
    <w:rsid w:val="00453F0E"/>
    <w:rsid w:val="004541BC"/>
    <w:rsid w:val="00454888"/>
    <w:rsid w:val="0045526A"/>
    <w:rsid w:val="00455917"/>
    <w:rsid w:val="004559E3"/>
    <w:rsid w:val="00455C8B"/>
    <w:rsid w:val="00455C94"/>
    <w:rsid w:val="00455EE0"/>
    <w:rsid w:val="00456656"/>
    <w:rsid w:val="00456A7E"/>
    <w:rsid w:val="00456B7B"/>
    <w:rsid w:val="00457073"/>
    <w:rsid w:val="004573C2"/>
    <w:rsid w:val="00457EAE"/>
    <w:rsid w:val="00460235"/>
    <w:rsid w:val="00461B13"/>
    <w:rsid w:val="00461EEE"/>
    <w:rsid w:val="004621C6"/>
    <w:rsid w:val="004623DF"/>
    <w:rsid w:val="004625DB"/>
    <w:rsid w:val="00466227"/>
    <w:rsid w:val="004668A7"/>
    <w:rsid w:val="00466A1D"/>
    <w:rsid w:val="00467771"/>
    <w:rsid w:val="004679E8"/>
    <w:rsid w:val="00467C7B"/>
    <w:rsid w:val="00467DC3"/>
    <w:rsid w:val="004715EE"/>
    <w:rsid w:val="0047271D"/>
    <w:rsid w:val="004729DC"/>
    <w:rsid w:val="00474D5A"/>
    <w:rsid w:val="00475C60"/>
    <w:rsid w:val="00475F8A"/>
    <w:rsid w:val="00476BA4"/>
    <w:rsid w:val="0047795A"/>
    <w:rsid w:val="00480226"/>
    <w:rsid w:val="00480F3A"/>
    <w:rsid w:val="004817C4"/>
    <w:rsid w:val="00482E97"/>
    <w:rsid w:val="004834BD"/>
    <w:rsid w:val="00483C1A"/>
    <w:rsid w:val="00484101"/>
    <w:rsid w:val="00484212"/>
    <w:rsid w:val="004850BF"/>
    <w:rsid w:val="004852C9"/>
    <w:rsid w:val="0048573D"/>
    <w:rsid w:val="00486711"/>
    <w:rsid w:val="004873E5"/>
    <w:rsid w:val="004900BD"/>
    <w:rsid w:val="00490BA2"/>
    <w:rsid w:val="00490E1E"/>
    <w:rsid w:val="00491144"/>
    <w:rsid w:val="004915F1"/>
    <w:rsid w:val="0049166E"/>
    <w:rsid w:val="00491858"/>
    <w:rsid w:val="004918EC"/>
    <w:rsid w:val="00491F04"/>
    <w:rsid w:val="00492049"/>
    <w:rsid w:val="00492106"/>
    <w:rsid w:val="004921BD"/>
    <w:rsid w:val="00492412"/>
    <w:rsid w:val="004933C2"/>
    <w:rsid w:val="0049427C"/>
    <w:rsid w:val="00494A60"/>
    <w:rsid w:val="00495E8C"/>
    <w:rsid w:val="0049623A"/>
    <w:rsid w:val="0049659D"/>
    <w:rsid w:val="004967F9"/>
    <w:rsid w:val="00496C22"/>
    <w:rsid w:val="00496C30"/>
    <w:rsid w:val="00496DD6"/>
    <w:rsid w:val="00497A92"/>
    <w:rsid w:val="004A058F"/>
    <w:rsid w:val="004A09D2"/>
    <w:rsid w:val="004A11B2"/>
    <w:rsid w:val="004A186A"/>
    <w:rsid w:val="004A3B5A"/>
    <w:rsid w:val="004A3F1B"/>
    <w:rsid w:val="004A43C1"/>
    <w:rsid w:val="004A44DC"/>
    <w:rsid w:val="004A4B49"/>
    <w:rsid w:val="004A4CFB"/>
    <w:rsid w:val="004A4FD4"/>
    <w:rsid w:val="004A5689"/>
    <w:rsid w:val="004A65F5"/>
    <w:rsid w:val="004A7281"/>
    <w:rsid w:val="004A7742"/>
    <w:rsid w:val="004B05A7"/>
    <w:rsid w:val="004B069D"/>
    <w:rsid w:val="004B0ED3"/>
    <w:rsid w:val="004B12AB"/>
    <w:rsid w:val="004B15F2"/>
    <w:rsid w:val="004B2168"/>
    <w:rsid w:val="004B3395"/>
    <w:rsid w:val="004B4087"/>
    <w:rsid w:val="004B4200"/>
    <w:rsid w:val="004B4595"/>
    <w:rsid w:val="004B4F2C"/>
    <w:rsid w:val="004B4FB5"/>
    <w:rsid w:val="004B5269"/>
    <w:rsid w:val="004B5797"/>
    <w:rsid w:val="004B5BDD"/>
    <w:rsid w:val="004B673F"/>
    <w:rsid w:val="004B7179"/>
    <w:rsid w:val="004C048E"/>
    <w:rsid w:val="004C09F1"/>
    <w:rsid w:val="004C1691"/>
    <w:rsid w:val="004C1940"/>
    <w:rsid w:val="004C19AA"/>
    <w:rsid w:val="004C1CB1"/>
    <w:rsid w:val="004C2ACA"/>
    <w:rsid w:val="004C2C6D"/>
    <w:rsid w:val="004C3A82"/>
    <w:rsid w:val="004C5D94"/>
    <w:rsid w:val="004C63DE"/>
    <w:rsid w:val="004C66F1"/>
    <w:rsid w:val="004C6B22"/>
    <w:rsid w:val="004C7481"/>
    <w:rsid w:val="004C7D28"/>
    <w:rsid w:val="004C7E44"/>
    <w:rsid w:val="004D04D5"/>
    <w:rsid w:val="004D14BC"/>
    <w:rsid w:val="004D2402"/>
    <w:rsid w:val="004D25A6"/>
    <w:rsid w:val="004D3829"/>
    <w:rsid w:val="004D39D6"/>
    <w:rsid w:val="004D48C7"/>
    <w:rsid w:val="004D523E"/>
    <w:rsid w:val="004D5FDA"/>
    <w:rsid w:val="004D6445"/>
    <w:rsid w:val="004D6667"/>
    <w:rsid w:val="004D699D"/>
    <w:rsid w:val="004D6EA0"/>
    <w:rsid w:val="004D73D5"/>
    <w:rsid w:val="004D7E04"/>
    <w:rsid w:val="004E0E8C"/>
    <w:rsid w:val="004E14AF"/>
    <w:rsid w:val="004E1C0E"/>
    <w:rsid w:val="004E1EE1"/>
    <w:rsid w:val="004E213D"/>
    <w:rsid w:val="004E24C4"/>
    <w:rsid w:val="004E3535"/>
    <w:rsid w:val="004E382C"/>
    <w:rsid w:val="004E4B73"/>
    <w:rsid w:val="004E4E64"/>
    <w:rsid w:val="004E4E77"/>
    <w:rsid w:val="004E5037"/>
    <w:rsid w:val="004E5135"/>
    <w:rsid w:val="004E60FB"/>
    <w:rsid w:val="004E62DA"/>
    <w:rsid w:val="004E634A"/>
    <w:rsid w:val="004E67C3"/>
    <w:rsid w:val="004E7708"/>
    <w:rsid w:val="004F0380"/>
    <w:rsid w:val="004F0945"/>
    <w:rsid w:val="004F0975"/>
    <w:rsid w:val="004F0E21"/>
    <w:rsid w:val="004F14BF"/>
    <w:rsid w:val="004F1FEC"/>
    <w:rsid w:val="004F2214"/>
    <w:rsid w:val="004F276F"/>
    <w:rsid w:val="004F3772"/>
    <w:rsid w:val="004F3CAF"/>
    <w:rsid w:val="004F3FB7"/>
    <w:rsid w:val="004F4189"/>
    <w:rsid w:val="004F43C3"/>
    <w:rsid w:val="004F5473"/>
    <w:rsid w:val="004F5A32"/>
    <w:rsid w:val="004F5F06"/>
    <w:rsid w:val="004F6348"/>
    <w:rsid w:val="004F6414"/>
    <w:rsid w:val="004F66CC"/>
    <w:rsid w:val="004F67FE"/>
    <w:rsid w:val="004F69E7"/>
    <w:rsid w:val="004F70E2"/>
    <w:rsid w:val="004F718A"/>
    <w:rsid w:val="004F7200"/>
    <w:rsid w:val="004F729D"/>
    <w:rsid w:val="004F7F48"/>
    <w:rsid w:val="00500305"/>
    <w:rsid w:val="00500630"/>
    <w:rsid w:val="00500B0C"/>
    <w:rsid w:val="0050134E"/>
    <w:rsid w:val="005016CD"/>
    <w:rsid w:val="005019BB"/>
    <w:rsid w:val="00501A91"/>
    <w:rsid w:val="005021B4"/>
    <w:rsid w:val="0050248E"/>
    <w:rsid w:val="00502565"/>
    <w:rsid w:val="00502A6F"/>
    <w:rsid w:val="00502F5C"/>
    <w:rsid w:val="00502FDA"/>
    <w:rsid w:val="00503D7B"/>
    <w:rsid w:val="00503DF7"/>
    <w:rsid w:val="0050451E"/>
    <w:rsid w:val="00504A0F"/>
    <w:rsid w:val="005057AA"/>
    <w:rsid w:val="00505C04"/>
    <w:rsid w:val="00505D94"/>
    <w:rsid w:val="00507AAB"/>
    <w:rsid w:val="005104BD"/>
    <w:rsid w:val="005106D5"/>
    <w:rsid w:val="00510934"/>
    <w:rsid w:val="00510D31"/>
    <w:rsid w:val="00510FFB"/>
    <w:rsid w:val="0051127F"/>
    <w:rsid w:val="005117B9"/>
    <w:rsid w:val="0051224B"/>
    <w:rsid w:val="005125C4"/>
    <w:rsid w:val="005132B2"/>
    <w:rsid w:val="00513722"/>
    <w:rsid w:val="00513996"/>
    <w:rsid w:val="00513CF7"/>
    <w:rsid w:val="00517442"/>
    <w:rsid w:val="00517D3C"/>
    <w:rsid w:val="00517FAA"/>
    <w:rsid w:val="005201CD"/>
    <w:rsid w:val="00520202"/>
    <w:rsid w:val="00520816"/>
    <w:rsid w:val="005216BB"/>
    <w:rsid w:val="005218F7"/>
    <w:rsid w:val="00522095"/>
    <w:rsid w:val="005222CC"/>
    <w:rsid w:val="005224BE"/>
    <w:rsid w:val="00522C30"/>
    <w:rsid w:val="00523243"/>
    <w:rsid w:val="0052336F"/>
    <w:rsid w:val="0052350E"/>
    <w:rsid w:val="005236AF"/>
    <w:rsid w:val="00525E9E"/>
    <w:rsid w:val="00526420"/>
    <w:rsid w:val="00526DB9"/>
    <w:rsid w:val="00530869"/>
    <w:rsid w:val="00531D2B"/>
    <w:rsid w:val="0053214A"/>
    <w:rsid w:val="00532968"/>
    <w:rsid w:val="00532D91"/>
    <w:rsid w:val="0053330E"/>
    <w:rsid w:val="005334C8"/>
    <w:rsid w:val="00533994"/>
    <w:rsid w:val="00533FAC"/>
    <w:rsid w:val="0053442C"/>
    <w:rsid w:val="005350EC"/>
    <w:rsid w:val="00536063"/>
    <w:rsid w:val="0053618B"/>
    <w:rsid w:val="00536B3E"/>
    <w:rsid w:val="00536D21"/>
    <w:rsid w:val="00536EC9"/>
    <w:rsid w:val="0053725D"/>
    <w:rsid w:val="0053743F"/>
    <w:rsid w:val="0053762B"/>
    <w:rsid w:val="005401F8"/>
    <w:rsid w:val="0054074D"/>
    <w:rsid w:val="00540963"/>
    <w:rsid w:val="00540F9F"/>
    <w:rsid w:val="005413EC"/>
    <w:rsid w:val="00541E26"/>
    <w:rsid w:val="00542A07"/>
    <w:rsid w:val="005431CC"/>
    <w:rsid w:val="00543281"/>
    <w:rsid w:val="00543A76"/>
    <w:rsid w:val="005442EE"/>
    <w:rsid w:val="005461A5"/>
    <w:rsid w:val="00546676"/>
    <w:rsid w:val="005468CE"/>
    <w:rsid w:val="0054727D"/>
    <w:rsid w:val="005474F0"/>
    <w:rsid w:val="00547C5E"/>
    <w:rsid w:val="00547D23"/>
    <w:rsid w:val="00551C55"/>
    <w:rsid w:val="00551FDC"/>
    <w:rsid w:val="0055217F"/>
    <w:rsid w:val="005544F2"/>
    <w:rsid w:val="00554D63"/>
    <w:rsid w:val="005555B6"/>
    <w:rsid w:val="00556570"/>
    <w:rsid w:val="00557120"/>
    <w:rsid w:val="00557704"/>
    <w:rsid w:val="00560100"/>
    <w:rsid w:val="0056036E"/>
    <w:rsid w:val="005603FD"/>
    <w:rsid w:val="00560445"/>
    <w:rsid w:val="0056072E"/>
    <w:rsid w:val="00560EAA"/>
    <w:rsid w:val="0056123F"/>
    <w:rsid w:val="00561AA5"/>
    <w:rsid w:val="005622F0"/>
    <w:rsid w:val="005625E9"/>
    <w:rsid w:val="0056301D"/>
    <w:rsid w:val="00563E90"/>
    <w:rsid w:val="00565901"/>
    <w:rsid w:val="005662AD"/>
    <w:rsid w:val="00567486"/>
    <w:rsid w:val="00567C13"/>
    <w:rsid w:val="00567C45"/>
    <w:rsid w:val="00567C6C"/>
    <w:rsid w:val="00571561"/>
    <w:rsid w:val="0057177D"/>
    <w:rsid w:val="00571D9C"/>
    <w:rsid w:val="00572142"/>
    <w:rsid w:val="00572C2F"/>
    <w:rsid w:val="00572D79"/>
    <w:rsid w:val="0057306D"/>
    <w:rsid w:val="005734F8"/>
    <w:rsid w:val="00573B0E"/>
    <w:rsid w:val="005746D4"/>
    <w:rsid w:val="00575003"/>
    <w:rsid w:val="00575090"/>
    <w:rsid w:val="00575D09"/>
    <w:rsid w:val="005762ED"/>
    <w:rsid w:val="0057762F"/>
    <w:rsid w:val="005776B9"/>
    <w:rsid w:val="00580926"/>
    <w:rsid w:val="00580DE0"/>
    <w:rsid w:val="00580FD0"/>
    <w:rsid w:val="00581A09"/>
    <w:rsid w:val="00582117"/>
    <w:rsid w:val="00582CE1"/>
    <w:rsid w:val="00583DE0"/>
    <w:rsid w:val="00584992"/>
    <w:rsid w:val="005849B9"/>
    <w:rsid w:val="00584B01"/>
    <w:rsid w:val="00584D3C"/>
    <w:rsid w:val="0058509A"/>
    <w:rsid w:val="005868C2"/>
    <w:rsid w:val="005868F6"/>
    <w:rsid w:val="00586A35"/>
    <w:rsid w:val="00586DB0"/>
    <w:rsid w:val="00587EAB"/>
    <w:rsid w:val="005903D7"/>
    <w:rsid w:val="00590899"/>
    <w:rsid w:val="00590C49"/>
    <w:rsid w:val="00591B6F"/>
    <w:rsid w:val="00591EAE"/>
    <w:rsid w:val="0059223D"/>
    <w:rsid w:val="005927B9"/>
    <w:rsid w:val="00593A51"/>
    <w:rsid w:val="00594D42"/>
    <w:rsid w:val="00595B82"/>
    <w:rsid w:val="0059641A"/>
    <w:rsid w:val="00596AC6"/>
    <w:rsid w:val="00596E60"/>
    <w:rsid w:val="005970D0"/>
    <w:rsid w:val="00597998"/>
    <w:rsid w:val="00597A56"/>
    <w:rsid w:val="00597D30"/>
    <w:rsid w:val="005A04A4"/>
    <w:rsid w:val="005A1883"/>
    <w:rsid w:val="005A1A83"/>
    <w:rsid w:val="005A2167"/>
    <w:rsid w:val="005A23E8"/>
    <w:rsid w:val="005A2753"/>
    <w:rsid w:val="005A31DB"/>
    <w:rsid w:val="005A326F"/>
    <w:rsid w:val="005A33B6"/>
    <w:rsid w:val="005A3499"/>
    <w:rsid w:val="005A528F"/>
    <w:rsid w:val="005A52A1"/>
    <w:rsid w:val="005A5471"/>
    <w:rsid w:val="005A552B"/>
    <w:rsid w:val="005A5CB2"/>
    <w:rsid w:val="005A5ECE"/>
    <w:rsid w:val="005A67E4"/>
    <w:rsid w:val="005A6BE8"/>
    <w:rsid w:val="005A6C07"/>
    <w:rsid w:val="005A720F"/>
    <w:rsid w:val="005A72C8"/>
    <w:rsid w:val="005A7CD2"/>
    <w:rsid w:val="005B0663"/>
    <w:rsid w:val="005B0ED0"/>
    <w:rsid w:val="005B1BBD"/>
    <w:rsid w:val="005B1DC1"/>
    <w:rsid w:val="005B2E86"/>
    <w:rsid w:val="005B3286"/>
    <w:rsid w:val="005B3A87"/>
    <w:rsid w:val="005B4075"/>
    <w:rsid w:val="005B4632"/>
    <w:rsid w:val="005B5213"/>
    <w:rsid w:val="005B5734"/>
    <w:rsid w:val="005B5D07"/>
    <w:rsid w:val="005B5D0B"/>
    <w:rsid w:val="005B5E23"/>
    <w:rsid w:val="005B6131"/>
    <w:rsid w:val="005B626B"/>
    <w:rsid w:val="005B66FB"/>
    <w:rsid w:val="005B6B53"/>
    <w:rsid w:val="005B6D20"/>
    <w:rsid w:val="005B6ED6"/>
    <w:rsid w:val="005B79C3"/>
    <w:rsid w:val="005C03DA"/>
    <w:rsid w:val="005C092B"/>
    <w:rsid w:val="005C0A2E"/>
    <w:rsid w:val="005C0AF3"/>
    <w:rsid w:val="005C0DD3"/>
    <w:rsid w:val="005C0EB6"/>
    <w:rsid w:val="005C2C94"/>
    <w:rsid w:val="005C38B5"/>
    <w:rsid w:val="005C4F0A"/>
    <w:rsid w:val="005C5B63"/>
    <w:rsid w:val="005C5C4E"/>
    <w:rsid w:val="005C6033"/>
    <w:rsid w:val="005C670F"/>
    <w:rsid w:val="005C67E0"/>
    <w:rsid w:val="005C7560"/>
    <w:rsid w:val="005D01FA"/>
    <w:rsid w:val="005D02B6"/>
    <w:rsid w:val="005D0CA5"/>
    <w:rsid w:val="005D0FDC"/>
    <w:rsid w:val="005D1D64"/>
    <w:rsid w:val="005D3D92"/>
    <w:rsid w:val="005D47E9"/>
    <w:rsid w:val="005D4B56"/>
    <w:rsid w:val="005D6030"/>
    <w:rsid w:val="005D6385"/>
    <w:rsid w:val="005D6646"/>
    <w:rsid w:val="005D66FA"/>
    <w:rsid w:val="005D6989"/>
    <w:rsid w:val="005D6BF3"/>
    <w:rsid w:val="005D71C1"/>
    <w:rsid w:val="005D7F58"/>
    <w:rsid w:val="005E06C6"/>
    <w:rsid w:val="005E08F9"/>
    <w:rsid w:val="005E0B30"/>
    <w:rsid w:val="005E1EEE"/>
    <w:rsid w:val="005E1F02"/>
    <w:rsid w:val="005E26E8"/>
    <w:rsid w:val="005E468C"/>
    <w:rsid w:val="005E58C6"/>
    <w:rsid w:val="005E5E94"/>
    <w:rsid w:val="005E6138"/>
    <w:rsid w:val="005E68B2"/>
    <w:rsid w:val="005E796A"/>
    <w:rsid w:val="005F0A01"/>
    <w:rsid w:val="005F28B5"/>
    <w:rsid w:val="005F39BD"/>
    <w:rsid w:val="005F43A0"/>
    <w:rsid w:val="005F477B"/>
    <w:rsid w:val="005F532E"/>
    <w:rsid w:val="005F60F4"/>
    <w:rsid w:val="005F6CC8"/>
    <w:rsid w:val="005F700A"/>
    <w:rsid w:val="005F76A5"/>
    <w:rsid w:val="005F79A1"/>
    <w:rsid w:val="005F7DF8"/>
    <w:rsid w:val="0060009F"/>
    <w:rsid w:val="00600306"/>
    <w:rsid w:val="00600951"/>
    <w:rsid w:val="00600AEA"/>
    <w:rsid w:val="006014F4"/>
    <w:rsid w:val="006022A9"/>
    <w:rsid w:val="006027B8"/>
    <w:rsid w:val="00602A91"/>
    <w:rsid w:val="0060374A"/>
    <w:rsid w:val="006041D3"/>
    <w:rsid w:val="00604667"/>
    <w:rsid w:val="0060472B"/>
    <w:rsid w:val="00604E88"/>
    <w:rsid w:val="0060542D"/>
    <w:rsid w:val="006067DD"/>
    <w:rsid w:val="00606EFC"/>
    <w:rsid w:val="006071D3"/>
    <w:rsid w:val="006071FD"/>
    <w:rsid w:val="006073F2"/>
    <w:rsid w:val="0060748B"/>
    <w:rsid w:val="006078BB"/>
    <w:rsid w:val="00607F37"/>
    <w:rsid w:val="0061096E"/>
    <w:rsid w:val="00610CDA"/>
    <w:rsid w:val="0061214B"/>
    <w:rsid w:val="0061236F"/>
    <w:rsid w:val="006125A7"/>
    <w:rsid w:val="00613C28"/>
    <w:rsid w:val="00615580"/>
    <w:rsid w:val="00615E80"/>
    <w:rsid w:val="006162BA"/>
    <w:rsid w:val="006166BD"/>
    <w:rsid w:val="00616BAE"/>
    <w:rsid w:val="006172A9"/>
    <w:rsid w:val="0061743E"/>
    <w:rsid w:val="006175D6"/>
    <w:rsid w:val="00617B44"/>
    <w:rsid w:val="00617F0B"/>
    <w:rsid w:val="00620334"/>
    <w:rsid w:val="00620992"/>
    <w:rsid w:val="00620B8F"/>
    <w:rsid w:val="00620DD9"/>
    <w:rsid w:val="00620DFF"/>
    <w:rsid w:val="00620FE6"/>
    <w:rsid w:val="00621A96"/>
    <w:rsid w:val="00621CFC"/>
    <w:rsid w:val="00622377"/>
    <w:rsid w:val="00622381"/>
    <w:rsid w:val="00622D95"/>
    <w:rsid w:val="00623143"/>
    <w:rsid w:val="006237A7"/>
    <w:rsid w:val="00623C1A"/>
    <w:rsid w:val="00625979"/>
    <w:rsid w:val="00625DA7"/>
    <w:rsid w:val="0062689E"/>
    <w:rsid w:val="00626F54"/>
    <w:rsid w:val="0062735B"/>
    <w:rsid w:val="006277B0"/>
    <w:rsid w:val="006277D9"/>
    <w:rsid w:val="00627957"/>
    <w:rsid w:val="00630743"/>
    <w:rsid w:val="00630ABF"/>
    <w:rsid w:val="006311DE"/>
    <w:rsid w:val="00631324"/>
    <w:rsid w:val="00631B79"/>
    <w:rsid w:val="0063273D"/>
    <w:rsid w:val="00632EBD"/>
    <w:rsid w:val="006334A3"/>
    <w:rsid w:val="00633A7C"/>
    <w:rsid w:val="0063412F"/>
    <w:rsid w:val="00634AAF"/>
    <w:rsid w:val="00634D1C"/>
    <w:rsid w:val="0063551E"/>
    <w:rsid w:val="00635898"/>
    <w:rsid w:val="00636707"/>
    <w:rsid w:val="00637383"/>
    <w:rsid w:val="006379CB"/>
    <w:rsid w:val="0064059D"/>
    <w:rsid w:val="00640DB9"/>
    <w:rsid w:val="00641108"/>
    <w:rsid w:val="006414CD"/>
    <w:rsid w:val="00642CA7"/>
    <w:rsid w:val="0064359C"/>
    <w:rsid w:val="006436E1"/>
    <w:rsid w:val="00644217"/>
    <w:rsid w:val="00644E41"/>
    <w:rsid w:val="00644EDF"/>
    <w:rsid w:val="00644F88"/>
    <w:rsid w:val="00645827"/>
    <w:rsid w:val="0064684E"/>
    <w:rsid w:val="00646A1E"/>
    <w:rsid w:val="00646CA5"/>
    <w:rsid w:val="0064768B"/>
    <w:rsid w:val="0065248D"/>
    <w:rsid w:val="006524BC"/>
    <w:rsid w:val="00652907"/>
    <w:rsid w:val="00652EA7"/>
    <w:rsid w:val="00652EAE"/>
    <w:rsid w:val="00653A1A"/>
    <w:rsid w:val="0065439F"/>
    <w:rsid w:val="006545E7"/>
    <w:rsid w:val="0065487A"/>
    <w:rsid w:val="0065489E"/>
    <w:rsid w:val="00654A9E"/>
    <w:rsid w:val="0065516A"/>
    <w:rsid w:val="006556A9"/>
    <w:rsid w:val="00655805"/>
    <w:rsid w:val="00655CE3"/>
    <w:rsid w:val="00655DD5"/>
    <w:rsid w:val="00656531"/>
    <w:rsid w:val="006565A5"/>
    <w:rsid w:val="00656999"/>
    <w:rsid w:val="006608F3"/>
    <w:rsid w:val="00662342"/>
    <w:rsid w:val="0066369B"/>
    <w:rsid w:val="00663A0C"/>
    <w:rsid w:val="006643FF"/>
    <w:rsid w:val="0066497E"/>
    <w:rsid w:val="006649D1"/>
    <w:rsid w:val="00664C72"/>
    <w:rsid w:val="00664C94"/>
    <w:rsid w:val="00665615"/>
    <w:rsid w:val="00666D7E"/>
    <w:rsid w:val="00666F27"/>
    <w:rsid w:val="0066741E"/>
    <w:rsid w:val="006706A7"/>
    <w:rsid w:val="00670B10"/>
    <w:rsid w:val="00671010"/>
    <w:rsid w:val="00671E24"/>
    <w:rsid w:val="00671F82"/>
    <w:rsid w:val="00672474"/>
    <w:rsid w:val="00672614"/>
    <w:rsid w:val="00672A88"/>
    <w:rsid w:val="00672BDD"/>
    <w:rsid w:val="00672D12"/>
    <w:rsid w:val="00673EA3"/>
    <w:rsid w:val="006740DD"/>
    <w:rsid w:val="00674531"/>
    <w:rsid w:val="00674E6C"/>
    <w:rsid w:val="006756B9"/>
    <w:rsid w:val="0067577B"/>
    <w:rsid w:val="00675D5F"/>
    <w:rsid w:val="00675E14"/>
    <w:rsid w:val="00675E47"/>
    <w:rsid w:val="00676E5A"/>
    <w:rsid w:val="00676E6F"/>
    <w:rsid w:val="0067748A"/>
    <w:rsid w:val="00677493"/>
    <w:rsid w:val="00677E2C"/>
    <w:rsid w:val="00680661"/>
    <w:rsid w:val="006806F5"/>
    <w:rsid w:val="0068079C"/>
    <w:rsid w:val="00680D13"/>
    <w:rsid w:val="00681A40"/>
    <w:rsid w:val="0068236D"/>
    <w:rsid w:val="006825FB"/>
    <w:rsid w:val="006833A8"/>
    <w:rsid w:val="00683759"/>
    <w:rsid w:val="006838EC"/>
    <w:rsid w:val="006838F1"/>
    <w:rsid w:val="0068641C"/>
    <w:rsid w:val="00686899"/>
    <w:rsid w:val="00686BE3"/>
    <w:rsid w:val="00686C08"/>
    <w:rsid w:val="00686C0E"/>
    <w:rsid w:val="006871D2"/>
    <w:rsid w:val="00687434"/>
    <w:rsid w:val="0068756C"/>
    <w:rsid w:val="00687B17"/>
    <w:rsid w:val="00687C69"/>
    <w:rsid w:val="00687ED4"/>
    <w:rsid w:val="006906BD"/>
    <w:rsid w:val="00690994"/>
    <w:rsid w:val="00690CD4"/>
    <w:rsid w:val="00691073"/>
    <w:rsid w:val="00691A99"/>
    <w:rsid w:val="00691D0E"/>
    <w:rsid w:val="00693941"/>
    <w:rsid w:val="00694F2C"/>
    <w:rsid w:val="006955E2"/>
    <w:rsid w:val="006958F4"/>
    <w:rsid w:val="006961A3"/>
    <w:rsid w:val="00697259"/>
    <w:rsid w:val="00697ACB"/>
    <w:rsid w:val="006A0338"/>
    <w:rsid w:val="006A064E"/>
    <w:rsid w:val="006A079F"/>
    <w:rsid w:val="006A0AF7"/>
    <w:rsid w:val="006A0E7B"/>
    <w:rsid w:val="006A0F4D"/>
    <w:rsid w:val="006A1037"/>
    <w:rsid w:val="006A18D0"/>
    <w:rsid w:val="006A191B"/>
    <w:rsid w:val="006A2D75"/>
    <w:rsid w:val="006A367C"/>
    <w:rsid w:val="006A3761"/>
    <w:rsid w:val="006A3D8D"/>
    <w:rsid w:val="006A449C"/>
    <w:rsid w:val="006A4D97"/>
    <w:rsid w:val="006A5729"/>
    <w:rsid w:val="006A5753"/>
    <w:rsid w:val="006A5D46"/>
    <w:rsid w:val="006A6D97"/>
    <w:rsid w:val="006A6F88"/>
    <w:rsid w:val="006A7170"/>
    <w:rsid w:val="006B0A09"/>
    <w:rsid w:val="006B0B0E"/>
    <w:rsid w:val="006B1246"/>
    <w:rsid w:val="006B1945"/>
    <w:rsid w:val="006B1AAD"/>
    <w:rsid w:val="006B268A"/>
    <w:rsid w:val="006B26A0"/>
    <w:rsid w:val="006B27E2"/>
    <w:rsid w:val="006B3D8E"/>
    <w:rsid w:val="006B436E"/>
    <w:rsid w:val="006B4DBC"/>
    <w:rsid w:val="006B523E"/>
    <w:rsid w:val="006B569B"/>
    <w:rsid w:val="006B5D63"/>
    <w:rsid w:val="006B64D3"/>
    <w:rsid w:val="006B653E"/>
    <w:rsid w:val="006B6AC7"/>
    <w:rsid w:val="006B7324"/>
    <w:rsid w:val="006C0A24"/>
    <w:rsid w:val="006C11F9"/>
    <w:rsid w:val="006C18BE"/>
    <w:rsid w:val="006C2F24"/>
    <w:rsid w:val="006C30FF"/>
    <w:rsid w:val="006C5052"/>
    <w:rsid w:val="006C575F"/>
    <w:rsid w:val="006C57CB"/>
    <w:rsid w:val="006C5EF3"/>
    <w:rsid w:val="006C62F8"/>
    <w:rsid w:val="006C691A"/>
    <w:rsid w:val="006C72E1"/>
    <w:rsid w:val="006C7429"/>
    <w:rsid w:val="006C774F"/>
    <w:rsid w:val="006C7CA7"/>
    <w:rsid w:val="006C7D58"/>
    <w:rsid w:val="006C7F5E"/>
    <w:rsid w:val="006D043E"/>
    <w:rsid w:val="006D0456"/>
    <w:rsid w:val="006D0C29"/>
    <w:rsid w:val="006D0F6B"/>
    <w:rsid w:val="006D108C"/>
    <w:rsid w:val="006D1333"/>
    <w:rsid w:val="006D1481"/>
    <w:rsid w:val="006D14A8"/>
    <w:rsid w:val="006D195B"/>
    <w:rsid w:val="006D1CDC"/>
    <w:rsid w:val="006D1CF5"/>
    <w:rsid w:val="006D1CFF"/>
    <w:rsid w:val="006D1EEE"/>
    <w:rsid w:val="006D21C3"/>
    <w:rsid w:val="006D3399"/>
    <w:rsid w:val="006D40D1"/>
    <w:rsid w:val="006D42E6"/>
    <w:rsid w:val="006D4686"/>
    <w:rsid w:val="006D4972"/>
    <w:rsid w:val="006D4BA2"/>
    <w:rsid w:val="006D4C2A"/>
    <w:rsid w:val="006D4F49"/>
    <w:rsid w:val="006D568F"/>
    <w:rsid w:val="006D6434"/>
    <w:rsid w:val="006D7158"/>
    <w:rsid w:val="006E0802"/>
    <w:rsid w:val="006E080A"/>
    <w:rsid w:val="006E1968"/>
    <w:rsid w:val="006E281A"/>
    <w:rsid w:val="006E2CB5"/>
    <w:rsid w:val="006E2CDA"/>
    <w:rsid w:val="006E38FF"/>
    <w:rsid w:val="006E60A2"/>
    <w:rsid w:val="006E66B2"/>
    <w:rsid w:val="006E6BB1"/>
    <w:rsid w:val="006F05FA"/>
    <w:rsid w:val="006F064B"/>
    <w:rsid w:val="006F0FDC"/>
    <w:rsid w:val="006F113A"/>
    <w:rsid w:val="006F1923"/>
    <w:rsid w:val="006F1F29"/>
    <w:rsid w:val="006F248D"/>
    <w:rsid w:val="006F260C"/>
    <w:rsid w:val="006F2819"/>
    <w:rsid w:val="006F2821"/>
    <w:rsid w:val="006F2B0E"/>
    <w:rsid w:val="006F3577"/>
    <w:rsid w:val="006F4F77"/>
    <w:rsid w:val="006F56A9"/>
    <w:rsid w:val="006F5776"/>
    <w:rsid w:val="006F673F"/>
    <w:rsid w:val="006F7112"/>
    <w:rsid w:val="006F7370"/>
    <w:rsid w:val="006F7BA8"/>
    <w:rsid w:val="006F7E97"/>
    <w:rsid w:val="00700687"/>
    <w:rsid w:val="00700BA9"/>
    <w:rsid w:val="0070197E"/>
    <w:rsid w:val="007025A3"/>
    <w:rsid w:val="007039CC"/>
    <w:rsid w:val="00704417"/>
    <w:rsid w:val="0070447B"/>
    <w:rsid w:val="00704D52"/>
    <w:rsid w:val="0070500A"/>
    <w:rsid w:val="00705E65"/>
    <w:rsid w:val="00706895"/>
    <w:rsid w:val="00706D17"/>
    <w:rsid w:val="00707563"/>
    <w:rsid w:val="007076F3"/>
    <w:rsid w:val="0071004A"/>
    <w:rsid w:val="00710585"/>
    <w:rsid w:val="0071095B"/>
    <w:rsid w:val="00710CE2"/>
    <w:rsid w:val="007112CD"/>
    <w:rsid w:val="007113B7"/>
    <w:rsid w:val="00711895"/>
    <w:rsid w:val="00711B47"/>
    <w:rsid w:val="0071207D"/>
    <w:rsid w:val="0071244E"/>
    <w:rsid w:val="007125DA"/>
    <w:rsid w:val="00714185"/>
    <w:rsid w:val="007143BA"/>
    <w:rsid w:val="007144DC"/>
    <w:rsid w:val="00714CB0"/>
    <w:rsid w:val="00715322"/>
    <w:rsid w:val="00716450"/>
    <w:rsid w:val="0071683E"/>
    <w:rsid w:val="00716D97"/>
    <w:rsid w:val="00717BA4"/>
    <w:rsid w:val="00720B55"/>
    <w:rsid w:val="00720F39"/>
    <w:rsid w:val="007213D1"/>
    <w:rsid w:val="007216BC"/>
    <w:rsid w:val="007219A6"/>
    <w:rsid w:val="00721AFA"/>
    <w:rsid w:val="00721DD2"/>
    <w:rsid w:val="007232AB"/>
    <w:rsid w:val="00723BA8"/>
    <w:rsid w:val="00723BC6"/>
    <w:rsid w:val="00724976"/>
    <w:rsid w:val="00725518"/>
    <w:rsid w:val="00725B91"/>
    <w:rsid w:val="00725D62"/>
    <w:rsid w:val="00726669"/>
    <w:rsid w:val="00726CFC"/>
    <w:rsid w:val="00726D50"/>
    <w:rsid w:val="0072702A"/>
    <w:rsid w:val="00727472"/>
    <w:rsid w:val="007278E1"/>
    <w:rsid w:val="00727BBF"/>
    <w:rsid w:val="00727EDF"/>
    <w:rsid w:val="00730036"/>
    <w:rsid w:val="007311E6"/>
    <w:rsid w:val="0073141F"/>
    <w:rsid w:val="00731457"/>
    <w:rsid w:val="00731501"/>
    <w:rsid w:val="007317B7"/>
    <w:rsid w:val="00732330"/>
    <w:rsid w:val="00732644"/>
    <w:rsid w:val="0073295D"/>
    <w:rsid w:val="00732B1A"/>
    <w:rsid w:val="00733223"/>
    <w:rsid w:val="0073356D"/>
    <w:rsid w:val="0073392A"/>
    <w:rsid w:val="00733959"/>
    <w:rsid w:val="00733CDB"/>
    <w:rsid w:val="00733CE5"/>
    <w:rsid w:val="00733E85"/>
    <w:rsid w:val="00734500"/>
    <w:rsid w:val="00734A40"/>
    <w:rsid w:val="00734FF8"/>
    <w:rsid w:val="0073578D"/>
    <w:rsid w:val="007365CC"/>
    <w:rsid w:val="007369F3"/>
    <w:rsid w:val="00736EB4"/>
    <w:rsid w:val="00736EF4"/>
    <w:rsid w:val="00737723"/>
    <w:rsid w:val="0073776B"/>
    <w:rsid w:val="007378A4"/>
    <w:rsid w:val="00737AEA"/>
    <w:rsid w:val="00737B04"/>
    <w:rsid w:val="00737DCB"/>
    <w:rsid w:val="00740401"/>
    <w:rsid w:val="00740589"/>
    <w:rsid w:val="00740740"/>
    <w:rsid w:val="00740AA4"/>
    <w:rsid w:val="007410D3"/>
    <w:rsid w:val="0074156C"/>
    <w:rsid w:val="00742035"/>
    <w:rsid w:val="0074339D"/>
    <w:rsid w:val="00743D03"/>
    <w:rsid w:val="0074426F"/>
    <w:rsid w:val="00744425"/>
    <w:rsid w:val="00744494"/>
    <w:rsid w:val="007444AF"/>
    <w:rsid w:val="00744B7D"/>
    <w:rsid w:val="007458C2"/>
    <w:rsid w:val="00745CCB"/>
    <w:rsid w:val="00745ECC"/>
    <w:rsid w:val="00746F89"/>
    <w:rsid w:val="00750034"/>
    <w:rsid w:val="0075047C"/>
    <w:rsid w:val="00750496"/>
    <w:rsid w:val="00750C49"/>
    <w:rsid w:val="00750E25"/>
    <w:rsid w:val="00751097"/>
    <w:rsid w:val="00751248"/>
    <w:rsid w:val="007513F2"/>
    <w:rsid w:val="007519A0"/>
    <w:rsid w:val="00751AD3"/>
    <w:rsid w:val="00751B82"/>
    <w:rsid w:val="00751BCA"/>
    <w:rsid w:val="00752AE4"/>
    <w:rsid w:val="00753366"/>
    <w:rsid w:val="00753BAB"/>
    <w:rsid w:val="007540F9"/>
    <w:rsid w:val="007549EF"/>
    <w:rsid w:val="007553AE"/>
    <w:rsid w:val="00755771"/>
    <w:rsid w:val="007560D0"/>
    <w:rsid w:val="007562DF"/>
    <w:rsid w:val="00756B81"/>
    <w:rsid w:val="0075708B"/>
    <w:rsid w:val="007574C8"/>
    <w:rsid w:val="007621F3"/>
    <w:rsid w:val="007625AD"/>
    <w:rsid w:val="00762EF7"/>
    <w:rsid w:val="00763394"/>
    <w:rsid w:val="00764294"/>
    <w:rsid w:val="0076439C"/>
    <w:rsid w:val="00764C9F"/>
    <w:rsid w:val="00764EF8"/>
    <w:rsid w:val="007659D5"/>
    <w:rsid w:val="00765B11"/>
    <w:rsid w:val="00765BFF"/>
    <w:rsid w:val="00766347"/>
    <w:rsid w:val="00767A06"/>
    <w:rsid w:val="00767A90"/>
    <w:rsid w:val="00767E74"/>
    <w:rsid w:val="00767EDB"/>
    <w:rsid w:val="0077048A"/>
    <w:rsid w:val="00770C35"/>
    <w:rsid w:val="00770CBB"/>
    <w:rsid w:val="007712F6"/>
    <w:rsid w:val="007713BA"/>
    <w:rsid w:val="00771F26"/>
    <w:rsid w:val="0077296E"/>
    <w:rsid w:val="00772A0E"/>
    <w:rsid w:val="00773596"/>
    <w:rsid w:val="00774E8F"/>
    <w:rsid w:val="00774F44"/>
    <w:rsid w:val="0077540F"/>
    <w:rsid w:val="00775427"/>
    <w:rsid w:val="00776594"/>
    <w:rsid w:val="007775CF"/>
    <w:rsid w:val="00777E6C"/>
    <w:rsid w:val="0078071B"/>
    <w:rsid w:val="00780B17"/>
    <w:rsid w:val="00781156"/>
    <w:rsid w:val="007816EF"/>
    <w:rsid w:val="007823F9"/>
    <w:rsid w:val="007829C5"/>
    <w:rsid w:val="00783922"/>
    <w:rsid w:val="00784C04"/>
    <w:rsid w:val="0078561D"/>
    <w:rsid w:val="007867B0"/>
    <w:rsid w:val="0078692C"/>
    <w:rsid w:val="00786A7C"/>
    <w:rsid w:val="00787773"/>
    <w:rsid w:val="00787842"/>
    <w:rsid w:val="00790794"/>
    <w:rsid w:val="007907F9"/>
    <w:rsid w:val="00790B69"/>
    <w:rsid w:val="00791096"/>
    <w:rsid w:val="007912F2"/>
    <w:rsid w:val="00791499"/>
    <w:rsid w:val="007916B1"/>
    <w:rsid w:val="00791DCC"/>
    <w:rsid w:val="00792117"/>
    <w:rsid w:val="00792519"/>
    <w:rsid w:val="00792B75"/>
    <w:rsid w:val="00793862"/>
    <w:rsid w:val="0079433A"/>
    <w:rsid w:val="00794399"/>
    <w:rsid w:val="00794819"/>
    <w:rsid w:val="00794C6B"/>
    <w:rsid w:val="0079580B"/>
    <w:rsid w:val="00796F54"/>
    <w:rsid w:val="00797C58"/>
    <w:rsid w:val="00797DCF"/>
    <w:rsid w:val="007A1308"/>
    <w:rsid w:val="007A131D"/>
    <w:rsid w:val="007A13BB"/>
    <w:rsid w:val="007A2C29"/>
    <w:rsid w:val="007A3079"/>
    <w:rsid w:val="007A34A0"/>
    <w:rsid w:val="007A39E4"/>
    <w:rsid w:val="007A3FB2"/>
    <w:rsid w:val="007A4B45"/>
    <w:rsid w:val="007A542D"/>
    <w:rsid w:val="007A5B50"/>
    <w:rsid w:val="007A648F"/>
    <w:rsid w:val="007A6599"/>
    <w:rsid w:val="007A6DEB"/>
    <w:rsid w:val="007B025E"/>
    <w:rsid w:val="007B0A2E"/>
    <w:rsid w:val="007B0B01"/>
    <w:rsid w:val="007B0BE6"/>
    <w:rsid w:val="007B1543"/>
    <w:rsid w:val="007B1546"/>
    <w:rsid w:val="007B2224"/>
    <w:rsid w:val="007B2A11"/>
    <w:rsid w:val="007B33F5"/>
    <w:rsid w:val="007B3780"/>
    <w:rsid w:val="007B3D08"/>
    <w:rsid w:val="007B4590"/>
    <w:rsid w:val="007B6D28"/>
    <w:rsid w:val="007B6D7B"/>
    <w:rsid w:val="007B6E2B"/>
    <w:rsid w:val="007B73C4"/>
    <w:rsid w:val="007B7999"/>
    <w:rsid w:val="007C12D8"/>
    <w:rsid w:val="007C18D9"/>
    <w:rsid w:val="007C1D39"/>
    <w:rsid w:val="007C228C"/>
    <w:rsid w:val="007C2BB6"/>
    <w:rsid w:val="007C3863"/>
    <w:rsid w:val="007C4394"/>
    <w:rsid w:val="007C4678"/>
    <w:rsid w:val="007C477D"/>
    <w:rsid w:val="007C565D"/>
    <w:rsid w:val="007C5D6E"/>
    <w:rsid w:val="007C76C9"/>
    <w:rsid w:val="007C78C0"/>
    <w:rsid w:val="007C7F0D"/>
    <w:rsid w:val="007D0044"/>
    <w:rsid w:val="007D0964"/>
    <w:rsid w:val="007D141C"/>
    <w:rsid w:val="007D1782"/>
    <w:rsid w:val="007D219F"/>
    <w:rsid w:val="007D2EAB"/>
    <w:rsid w:val="007D3220"/>
    <w:rsid w:val="007D3A61"/>
    <w:rsid w:val="007D5740"/>
    <w:rsid w:val="007D6E74"/>
    <w:rsid w:val="007D726E"/>
    <w:rsid w:val="007D77E9"/>
    <w:rsid w:val="007E0469"/>
    <w:rsid w:val="007E0576"/>
    <w:rsid w:val="007E0CD3"/>
    <w:rsid w:val="007E0FD5"/>
    <w:rsid w:val="007E142A"/>
    <w:rsid w:val="007E22E8"/>
    <w:rsid w:val="007E24B7"/>
    <w:rsid w:val="007E2B24"/>
    <w:rsid w:val="007E2F79"/>
    <w:rsid w:val="007E3881"/>
    <w:rsid w:val="007E38DC"/>
    <w:rsid w:val="007E471F"/>
    <w:rsid w:val="007E4C7B"/>
    <w:rsid w:val="007E4E9C"/>
    <w:rsid w:val="007E5074"/>
    <w:rsid w:val="007E5F8B"/>
    <w:rsid w:val="007E6040"/>
    <w:rsid w:val="007F1027"/>
    <w:rsid w:val="007F1C49"/>
    <w:rsid w:val="007F2497"/>
    <w:rsid w:val="007F27E7"/>
    <w:rsid w:val="007F2B04"/>
    <w:rsid w:val="007F2B61"/>
    <w:rsid w:val="007F32AA"/>
    <w:rsid w:val="007F3329"/>
    <w:rsid w:val="007F50FA"/>
    <w:rsid w:val="007F5FBB"/>
    <w:rsid w:val="007F7D64"/>
    <w:rsid w:val="008007F7"/>
    <w:rsid w:val="00800BCB"/>
    <w:rsid w:val="00803514"/>
    <w:rsid w:val="00803680"/>
    <w:rsid w:val="008036B5"/>
    <w:rsid w:val="00803BF3"/>
    <w:rsid w:val="008043C6"/>
    <w:rsid w:val="0080469C"/>
    <w:rsid w:val="008054C6"/>
    <w:rsid w:val="00806188"/>
    <w:rsid w:val="00807B7D"/>
    <w:rsid w:val="00811E29"/>
    <w:rsid w:val="00812AF4"/>
    <w:rsid w:val="00812B3C"/>
    <w:rsid w:val="00812C65"/>
    <w:rsid w:val="00812D20"/>
    <w:rsid w:val="00813784"/>
    <w:rsid w:val="00813B52"/>
    <w:rsid w:val="008151AF"/>
    <w:rsid w:val="008154F3"/>
    <w:rsid w:val="00815F50"/>
    <w:rsid w:val="0081601B"/>
    <w:rsid w:val="00816053"/>
    <w:rsid w:val="008166ED"/>
    <w:rsid w:val="008172CD"/>
    <w:rsid w:val="00817614"/>
    <w:rsid w:val="00820820"/>
    <w:rsid w:val="00820C33"/>
    <w:rsid w:val="00820C52"/>
    <w:rsid w:val="00820CFA"/>
    <w:rsid w:val="0082135C"/>
    <w:rsid w:val="00821416"/>
    <w:rsid w:val="00821B1E"/>
    <w:rsid w:val="00821D0D"/>
    <w:rsid w:val="008225F9"/>
    <w:rsid w:val="00823E71"/>
    <w:rsid w:val="00825208"/>
    <w:rsid w:val="00825269"/>
    <w:rsid w:val="0082558E"/>
    <w:rsid w:val="008271C2"/>
    <w:rsid w:val="008274F5"/>
    <w:rsid w:val="00827879"/>
    <w:rsid w:val="008300B1"/>
    <w:rsid w:val="00831D49"/>
    <w:rsid w:val="0083222A"/>
    <w:rsid w:val="00832F99"/>
    <w:rsid w:val="00833B72"/>
    <w:rsid w:val="00833D3D"/>
    <w:rsid w:val="0083415B"/>
    <w:rsid w:val="00834C43"/>
    <w:rsid w:val="00834C45"/>
    <w:rsid w:val="008369B1"/>
    <w:rsid w:val="00836DEA"/>
    <w:rsid w:val="00837E7B"/>
    <w:rsid w:val="00837F98"/>
    <w:rsid w:val="00840884"/>
    <w:rsid w:val="008408BA"/>
    <w:rsid w:val="00840AB4"/>
    <w:rsid w:val="00841CE0"/>
    <w:rsid w:val="0084330F"/>
    <w:rsid w:val="00843679"/>
    <w:rsid w:val="00843CEF"/>
    <w:rsid w:val="00844617"/>
    <w:rsid w:val="00844A2E"/>
    <w:rsid w:val="00844CB4"/>
    <w:rsid w:val="008457E6"/>
    <w:rsid w:val="008461F9"/>
    <w:rsid w:val="00846FE6"/>
    <w:rsid w:val="00847042"/>
    <w:rsid w:val="0084774C"/>
    <w:rsid w:val="00847877"/>
    <w:rsid w:val="00847A87"/>
    <w:rsid w:val="00850314"/>
    <w:rsid w:val="00851380"/>
    <w:rsid w:val="008519CD"/>
    <w:rsid w:val="008523CE"/>
    <w:rsid w:val="00854311"/>
    <w:rsid w:val="00854BD3"/>
    <w:rsid w:val="00855CDF"/>
    <w:rsid w:val="00856535"/>
    <w:rsid w:val="0085689E"/>
    <w:rsid w:val="00856981"/>
    <w:rsid w:val="008569D3"/>
    <w:rsid w:val="00856ADE"/>
    <w:rsid w:val="00856AF7"/>
    <w:rsid w:val="00856CA1"/>
    <w:rsid w:val="008574E0"/>
    <w:rsid w:val="0085769B"/>
    <w:rsid w:val="008577E0"/>
    <w:rsid w:val="00857A39"/>
    <w:rsid w:val="00857BA7"/>
    <w:rsid w:val="008603C5"/>
    <w:rsid w:val="00861EC2"/>
    <w:rsid w:val="00862414"/>
    <w:rsid w:val="008627DF"/>
    <w:rsid w:val="00863208"/>
    <w:rsid w:val="00863C1D"/>
    <w:rsid w:val="0086408C"/>
    <w:rsid w:val="008648F1"/>
    <w:rsid w:val="00864F26"/>
    <w:rsid w:val="008660B3"/>
    <w:rsid w:val="008666D3"/>
    <w:rsid w:val="008668EA"/>
    <w:rsid w:val="00866FCF"/>
    <w:rsid w:val="0086716C"/>
    <w:rsid w:val="008673C6"/>
    <w:rsid w:val="00867FDD"/>
    <w:rsid w:val="00870875"/>
    <w:rsid w:val="00871AF7"/>
    <w:rsid w:val="00872721"/>
    <w:rsid w:val="00873476"/>
    <w:rsid w:val="00873C35"/>
    <w:rsid w:val="00873F5B"/>
    <w:rsid w:val="008740E2"/>
    <w:rsid w:val="00874AB9"/>
    <w:rsid w:val="00874D49"/>
    <w:rsid w:val="00874EBD"/>
    <w:rsid w:val="00874FC8"/>
    <w:rsid w:val="00875342"/>
    <w:rsid w:val="008759C8"/>
    <w:rsid w:val="0087701A"/>
    <w:rsid w:val="00877956"/>
    <w:rsid w:val="0088046A"/>
    <w:rsid w:val="008811D6"/>
    <w:rsid w:val="00881C18"/>
    <w:rsid w:val="00881DC4"/>
    <w:rsid w:val="00882C23"/>
    <w:rsid w:val="00882F1F"/>
    <w:rsid w:val="0088482A"/>
    <w:rsid w:val="00884E74"/>
    <w:rsid w:val="00885573"/>
    <w:rsid w:val="00885FA8"/>
    <w:rsid w:val="00886B46"/>
    <w:rsid w:val="00886E92"/>
    <w:rsid w:val="00886EC0"/>
    <w:rsid w:val="00887082"/>
    <w:rsid w:val="0088722C"/>
    <w:rsid w:val="0088799B"/>
    <w:rsid w:val="00887E88"/>
    <w:rsid w:val="0089113E"/>
    <w:rsid w:val="0089178C"/>
    <w:rsid w:val="00892B0B"/>
    <w:rsid w:val="00892B77"/>
    <w:rsid w:val="00892D0B"/>
    <w:rsid w:val="008931CC"/>
    <w:rsid w:val="0089375C"/>
    <w:rsid w:val="008939E8"/>
    <w:rsid w:val="00893E18"/>
    <w:rsid w:val="00894D0C"/>
    <w:rsid w:val="00894EEB"/>
    <w:rsid w:val="00895873"/>
    <w:rsid w:val="0089591A"/>
    <w:rsid w:val="00895C0F"/>
    <w:rsid w:val="00895EC1"/>
    <w:rsid w:val="0089636E"/>
    <w:rsid w:val="0089764C"/>
    <w:rsid w:val="00897C41"/>
    <w:rsid w:val="008A0C07"/>
    <w:rsid w:val="008A0F62"/>
    <w:rsid w:val="008A10A4"/>
    <w:rsid w:val="008A124A"/>
    <w:rsid w:val="008A19BD"/>
    <w:rsid w:val="008A2058"/>
    <w:rsid w:val="008A2390"/>
    <w:rsid w:val="008A26D0"/>
    <w:rsid w:val="008A277E"/>
    <w:rsid w:val="008A27DB"/>
    <w:rsid w:val="008A3131"/>
    <w:rsid w:val="008A34FB"/>
    <w:rsid w:val="008A36E9"/>
    <w:rsid w:val="008A473F"/>
    <w:rsid w:val="008A48D3"/>
    <w:rsid w:val="008A4B39"/>
    <w:rsid w:val="008A575A"/>
    <w:rsid w:val="008A583F"/>
    <w:rsid w:val="008A5A13"/>
    <w:rsid w:val="008A72DB"/>
    <w:rsid w:val="008A78E8"/>
    <w:rsid w:val="008B01DC"/>
    <w:rsid w:val="008B09AE"/>
    <w:rsid w:val="008B0C13"/>
    <w:rsid w:val="008B0EBC"/>
    <w:rsid w:val="008B1B7F"/>
    <w:rsid w:val="008B1F32"/>
    <w:rsid w:val="008B20DD"/>
    <w:rsid w:val="008B2462"/>
    <w:rsid w:val="008B3287"/>
    <w:rsid w:val="008B395F"/>
    <w:rsid w:val="008B43A0"/>
    <w:rsid w:val="008B4711"/>
    <w:rsid w:val="008B4A7B"/>
    <w:rsid w:val="008B4E17"/>
    <w:rsid w:val="008B53AB"/>
    <w:rsid w:val="008B5442"/>
    <w:rsid w:val="008B595B"/>
    <w:rsid w:val="008B6026"/>
    <w:rsid w:val="008B6ACE"/>
    <w:rsid w:val="008C00FD"/>
    <w:rsid w:val="008C0165"/>
    <w:rsid w:val="008C0622"/>
    <w:rsid w:val="008C074F"/>
    <w:rsid w:val="008C0C80"/>
    <w:rsid w:val="008C0CC3"/>
    <w:rsid w:val="008C11E9"/>
    <w:rsid w:val="008C12F2"/>
    <w:rsid w:val="008C21CA"/>
    <w:rsid w:val="008C2A55"/>
    <w:rsid w:val="008C2AEE"/>
    <w:rsid w:val="008C2F29"/>
    <w:rsid w:val="008C3158"/>
    <w:rsid w:val="008C3AC6"/>
    <w:rsid w:val="008C3CCC"/>
    <w:rsid w:val="008C4382"/>
    <w:rsid w:val="008C45BC"/>
    <w:rsid w:val="008C5CCE"/>
    <w:rsid w:val="008C5FE2"/>
    <w:rsid w:val="008C6239"/>
    <w:rsid w:val="008C64E8"/>
    <w:rsid w:val="008C7825"/>
    <w:rsid w:val="008D0E15"/>
    <w:rsid w:val="008D10AA"/>
    <w:rsid w:val="008D168A"/>
    <w:rsid w:val="008D2225"/>
    <w:rsid w:val="008D2EDA"/>
    <w:rsid w:val="008D3008"/>
    <w:rsid w:val="008D36CB"/>
    <w:rsid w:val="008D3AED"/>
    <w:rsid w:val="008D3F21"/>
    <w:rsid w:val="008D45B5"/>
    <w:rsid w:val="008D4A88"/>
    <w:rsid w:val="008D5037"/>
    <w:rsid w:val="008D5540"/>
    <w:rsid w:val="008D663C"/>
    <w:rsid w:val="008D67C1"/>
    <w:rsid w:val="008D6FF2"/>
    <w:rsid w:val="008D73A9"/>
    <w:rsid w:val="008E0831"/>
    <w:rsid w:val="008E0CCB"/>
    <w:rsid w:val="008E2524"/>
    <w:rsid w:val="008E2A29"/>
    <w:rsid w:val="008E31BF"/>
    <w:rsid w:val="008E36D3"/>
    <w:rsid w:val="008E41B8"/>
    <w:rsid w:val="008E4D3A"/>
    <w:rsid w:val="008E4DC4"/>
    <w:rsid w:val="008E54D9"/>
    <w:rsid w:val="008E57F0"/>
    <w:rsid w:val="008E612B"/>
    <w:rsid w:val="008E677F"/>
    <w:rsid w:val="008F0B4F"/>
    <w:rsid w:val="008F0CA0"/>
    <w:rsid w:val="008F0D12"/>
    <w:rsid w:val="008F1682"/>
    <w:rsid w:val="008F21E9"/>
    <w:rsid w:val="008F2BD9"/>
    <w:rsid w:val="008F3936"/>
    <w:rsid w:val="008F3A24"/>
    <w:rsid w:val="008F3B82"/>
    <w:rsid w:val="008F4638"/>
    <w:rsid w:val="008F4B52"/>
    <w:rsid w:val="008F53F0"/>
    <w:rsid w:val="008F5DF4"/>
    <w:rsid w:val="008F60D2"/>
    <w:rsid w:val="008F644D"/>
    <w:rsid w:val="008F6740"/>
    <w:rsid w:val="008F6E72"/>
    <w:rsid w:val="008F7085"/>
    <w:rsid w:val="008F7F13"/>
    <w:rsid w:val="009000F0"/>
    <w:rsid w:val="00901C7B"/>
    <w:rsid w:val="00901D3C"/>
    <w:rsid w:val="00901E31"/>
    <w:rsid w:val="00902E50"/>
    <w:rsid w:val="00902EB1"/>
    <w:rsid w:val="00903046"/>
    <w:rsid w:val="00903B7F"/>
    <w:rsid w:val="00903FD8"/>
    <w:rsid w:val="00904459"/>
    <w:rsid w:val="009049F8"/>
    <w:rsid w:val="00904D59"/>
    <w:rsid w:val="00904DC4"/>
    <w:rsid w:val="00905683"/>
    <w:rsid w:val="009058F1"/>
    <w:rsid w:val="00905C21"/>
    <w:rsid w:val="00905CD7"/>
    <w:rsid w:val="00905D82"/>
    <w:rsid w:val="009068CD"/>
    <w:rsid w:val="009075ED"/>
    <w:rsid w:val="009103BD"/>
    <w:rsid w:val="00910C13"/>
    <w:rsid w:val="009122E4"/>
    <w:rsid w:val="009126C3"/>
    <w:rsid w:val="00912BF6"/>
    <w:rsid w:val="009141D5"/>
    <w:rsid w:val="00914494"/>
    <w:rsid w:val="009148EC"/>
    <w:rsid w:val="00914B99"/>
    <w:rsid w:val="00914CE8"/>
    <w:rsid w:val="009150B8"/>
    <w:rsid w:val="00915654"/>
    <w:rsid w:val="00915BB3"/>
    <w:rsid w:val="00915E41"/>
    <w:rsid w:val="00916089"/>
    <w:rsid w:val="00916356"/>
    <w:rsid w:val="009163EA"/>
    <w:rsid w:val="00916D15"/>
    <w:rsid w:val="00917D73"/>
    <w:rsid w:val="00917F06"/>
    <w:rsid w:val="0092126A"/>
    <w:rsid w:val="0092129D"/>
    <w:rsid w:val="009212A2"/>
    <w:rsid w:val="009212EE"/>
    <w:rsid w:val="00921F5C"/>
    <w:rsid w:val="0092218A"/>
    <w:rsid w:val="009224FB"/>
    <w:rsid w:val="00922C24"/>
    <w:rsid w:val="009234D3"/>
    <w:rsid w:val="00923681"/>
    <w:rsid w:val="00923BD7"/>
    <w:rsid w:val="0092451C"/>
    <w:rsid w:val="00925084"/>
    <w:rsid w:val="00925DF6"/>
    <w:rsid w:val="00925F39"/>
    <w:rsid w:val="009261E7"/>
    <w:rsid w:val="00926384"/>
    <w:rsid w:val="00926948"/>
    <w:rsid w:val="00926BFA"/>
    <w:rsid w:val="00926D50"/>
    <w:rsid w:val="00927235"/>
    <w:rsid w:val="00927431"/>
    <w:rsid w:val="009278AC"/>
    <w:rsid w:val="009300B0"/>
    <w:rsid w:val="0093035B"/>
    <w:rsid w:val="00930841"/>
    <w:rsid w:val="00931873"/>
    <w:rsid w:val="0093288D"/>
    <w:rsid w:val="00932DED"/>
    <w:rsid w:val="00933C33"/>
    <w:rsid w:val="00934EA8"/>
    <w:rsid w:val="00935B7A"/>
    <w:rsid w:val="00937350"/>
    <w:rsid w:val="009373CE"/>
    <w:rsid w:val="00937B2C"/>
    <w:rsid w:val="00937CA4"/>
    <w:rsid w:val="009409BD"/>
    <w:rsid w:val="0094184E"/>
    <w:rsid w:val="00941940"/>
    <w:rsid w:val="009420DE"/>
    <w:rsid w:val="009427B2"/>
    <w:rsid w:val="0094349C"/>
    <w:rsid w:val="00943C20"/>
    <w:rsid w:val="00945502"/>
    <w:rsid w:val="00945F31"/>
    <w:rsid w:val="00946468"/>
    <w:rsid w:val="00946C2D"/>
    <w:rsid w:val="00946DE9"/>
    <w:rsid w:val="00946FA5"/>
    <w:rsid w:val="009471AC"/>
    <w:rsid w:val="00947DE2"/>
    <w:rsid w:val="00950B77"/>
    <w:rsid w:val="009534C1"/>
    <w:rsid w:val="00953D8F"/>
    <w:rsid w:val="00954115"/>
    <w:rsid w:val="0095446E"/>
    <w:rsid w:val="00955833"/>
    <w:rsid w:val="009558A6"/>
    <w:rsid w:val="0095630C"/>
    <w:rsid w:val="009563FB"/>
    <w:rsid w:val="009564A3"/>
    <w:rsid w:val="009564A5"/>
    <w:rsid w:val="00956B99"/>
    <w:rsid w:val="009575F7"/>
    <w:rsid w:val="0096034D"/>
    <w:rsid w:val="00960DA0"/>
    <w:rsid w:val="00960EE8"/>
    <w:rsid w:val="00961160"/>
    <w:rsid w:val="009612C1"/>
    <w:rsid w:val="00961305"/>
    <w:rsid w:val="0096227F"/>
    <w:rsid w:val="0096366A"/>
    <w:rsid w:val="00963AE3"/>
    <w:rsid w:val="009646D1"/>
    <w:rsid w:val="00964B09"/>
    <w:rsid w:val="009650F0"/>
    <w:rsid w:val="00965CC9"/>
    <w:rsid w:val="0096647B"/>
    <w:rsid w:val="00966EBD"/>
    <w:rsid w:val="009671F4"/>
    <w:rsid w:val="00970293"/>
    <w:rsid w:val="009714E2"/>
    <w:rsid w:val="009729A9"/>
    <w:rsid w:val="00972C9A"/>
    <w:rsid w:val="00972E05"/>
    <w:rsid w:val="00973CC3"/>
    <w:rsid w:val="00974294"/>
    <w:rsid w:val="0097498F"/>
    <w:rsid w:val="00975462"/>
    <w:rsid w:val="00975F11"/>
    <w:rsid w:val="009765B5"/>
    <w:rsid w:val="0097749F"/>
    <w:rsid w:val="009774A3"/>
    <w:rsid w:val="0097789F"/>
    <w:rsid w:val="00977C61"/>
    <w:rsid w:val="00977E76"/>
    <w:rsid w:val="009810F4"/>
    <w:rsid w:val="0098123A"/>
    <w:rsid w:val="00981ADE"/>
    <w:rsid w:val="00981E9B"/>
    <w:rsid w:val="0098213D"/>
    <w:rsid w:val="00982A02"/>
    <w:rsid w:val="00982F5C"/>
    <w:rsid w:val="00983DA8"/>
    <w:rsid w:val="00984004"/>
    <w:rsid w:val="00984319"/>
    <w:rsid w:val="00984CCF"/>
    <w:rsid w:val="00985705"/>
    <w:rsid w:val="00985D67"/>
    <w:rsid w:val="00986073"/>
    <w:rsid w:val="009864B3"/>
    <w:rsid w:val="00986FAC"/>
    <w:rsid w:val="0098763A"/>
    <w:rsid w:val="009878A3"/>
    <w:rsid w:val="00987BD2"/>
    <w:rsid w:val="0099055F"/>
    <w:rsid w:val="00993468"/>
    <w:rsid w:val="0099393A"/>
    <w:rsid w:val="009940A9"/>
    <w:rsid w:val="009940D0"/>
    <w:rsid w:val="009946FB"/>
    <w:rsid w:val="009963F3"/>
    <w:rsid w:val="0099649B"/>
    <w:rsid w:val="0099681F"/>
    <w:rsid w:val="00996873"/>
    <w:rsid w:val="00996D71"/>
    <w:rsid w:val="00997AA8"/>
    <w:rsid w:val="009A0A73"/>
    <w:rsid w:val="009A0D62"/>
    <w:rsid w:val="009A0E7A"/>
    <w:rsid w:val="009A0E87"/>
    <w:rsid w:val="009A19BE"/>
    <w:rsid w:val="009A1A04"/>
    <w:rsid w:val="009A2392"/>
    <w:rsid w:val="009A340A"/>
    <w:rsid w:val="009A3E26"/>
    <w:rsid w:val="009A47F8"/>
    <w:rsid w:val="009A4C7C"/>
    <w:rsid w:val="009A4CB7"/>
    <w:rsid w:val="009A4F32"/>
    <w:rsid w:val="009A5118"/>
    <w:rsid w:val="009A5A4D"/>
    <w:rsid w:val="009A5BE7"/>
    <w:rsid w:val="009A6B46"/>
    <w:rsid w:val="009A6CB8"/>
    <w:rsid w:val="009A71F8"/>
    <w:rsid w:val="009A7443"/>
    <w:rsid w:val="009A77F7"/>
    <w:rsid w:val="009B038E"/>
    <w:rsid w:val="009B045E"/>
    <w:rsid w:val="009B0878"/>
    <w:rsid w:val="009B0AD2"/>
    <w:rsid w:val="009B12AE"/>
    <w:rsid w:val="009B231D"/>
    <w:rsid w:val="009B2340"/>
    <w:rsid w:val="009B2BC6"/>
    <w:rsid w:val="009B4379"/>
    <w:rsid w:val="009B4418"/>
    <w:rsid w:val="009B4B8C"/>
    <w:rsid w:val="009B5386"/>
    <w:rsid w:val="009B58B9"/>
    <w:rsid w:val="009B61FA"/>
    <w:rsid w:val="009B71DA"/>
    <w:rsid w:val="009C0724"/>
    <w:rsid w:val="009C0A6F"/>
    <w:rsid w:val="009C0FC6"/>
    <w:rsid w:val="009C157E"/>
    <w:rsid w:val="009C2061"/>
    <w:rsid w:val="009C2289"/>
    <w:rsid w:val="009C2ED9"/>
    <w:rsid w:val="009C38D1"/>
    <w:rsid w:val="009C46FD"/>
    <w:rsid w:val="009C5B13"/>
    <w:rsid w:val="009C5F5F"/>
    <w:rsid w:val="009C663C"/>
    <w:rsid w:val="009C767A"/>
    <w:rsid w:val="009C7889"/>
    <w:rsid w:val="009C7992"/>
    <w:rsid w:val="009C79B2"/>
    <w:rsid w:val="009C7BB7"/>
    <w:rsid w:val="009D0114"/>
    <w:rsid w:val="009D0EC1"/>
    <w:rsid w:val="009D19CC"/>
    <w:rsid w:val="009D2B0A"/>
    <w:rsid w:val="009D3469"/>
    <w:rsid w:val="009D3CD1"/>
    <w:rsid w:val="009D4BE9"/>
    <w:rsid w:val="009D4D08"/>
    <w:rsid w:val="009D56F8"/>
    <w:rsid w:val="009D571D"/>
    <w:rsid w:val="009D59C2"/>
    <w:rsid w:val="009E0C88"/>
    <w:rsid w:val="009E1766"/>
    <w:rsid w:val="009E1EC5"/>
    <w:rsid w:val="009E1F3E"/>
    <w:rsid w:val="009E2442"/>
    <w:rsid w:val="009E2552"/>
    <w:rsid w:val="009E2610"/>
    <w:rsid w:val="009E2E89"/>
    <w:rsid w:val="009E337B"/>
    <w:rsid w:val="009E3C25"/>
    <w:rsid w:val="009E4C2D"/>
    <w:rsid w:val="009E4E55"/>
    <w:rsid w:val="009E4E6F"/>
    <w:rsid w:val="009E54F4"/>
    <w:rsid w:val="009E60FF"/>
    <w:rsid w:val="009E63F7"/>
    <w:rsid w:val="009E7940"/>
    <w:rsid w:val="009F009F"/>
    <w:rsid w:val="009F0B85"/>
    <w:rsid w:val="009F1881"/>
    <w:rsid w:val="009F18E8"/>
    <w:rsid w:val="009F1B72"/>
    <w:rsid w:val="009F23D5"/>
    <w:rsid w:val="009F2AA2"/>
    <w:rsid w:val="009F2AF4"/>
    <w:rsid w:val="009F34F4"/>
    <w:rsid w:val="009F3CD7"/>
    <w:rsid w:val="009F424E"/>
    <w:rsid w:val="009F476A"/>
    <w:rsid w:val="009F49DA"/>
    <w:rsid w:val="009F52FA"/>
    <w:rsid w:val="009F5F72"/>
    <w:rsid w:val="009F67B2"/>
    <w:rsid w:val="009F6C8A"/>
    <w:rsid w:val="00A00747"/>
    <w:rsid w:val="00A009E8"/>
    <w:rsid w:val="00A01311"/>
    <w:rsid w:val="00A01A6E"/>
    <w:rsid w:val="00A029CD"/>
    <w:rsid w:val="00A03589"/>
    <w:rsid w:val="00A0391E"/>
    <w:rsid w:val="00A0498F"/>
    <w:rsid w:val="00A04B93"/>
    <w:rsid w:val="00A063BD"/>
    <w:rsid w:val="00A06789"/>
    <w:rsid w:val="00A07C77"/>
    <w:rsid w:val="00A10A6F"/>
    <w:rsid w:val="00A10F63"/>
    <w:rsid w:val="00A11D9B"/>
    <w:rsid w:val="00A129A0"/>
    <w:rsid w:val="00A12C49"/>
    <w:rsid w:val="00A13328"/>
    <w:rsid w:val="00A1359B"/>
    <w:rsid w:val="00A13788"/>
    <w:rsid w:val="00A13CB9"/>
    <w:rsid w:val="00A13E83"/>
    <w:rsid w:val="00A14C98"/>
    <w:rsid w:val="00A14E9F"/>
    <w:rsid w:val="00A1504C"/>
    <w:rsid w:val="00A15090"/>
    <w:rsid w:val="00A15C7F"/>
    <w:rsid w:val="00A15C8E"/>
    <w:rsid w:val="00A16090"/>
    <w:rsid w:val="00A16378"/>
    <w:rsid w:val="00A17A23"/>
    <w:rsid w:val="00A206AE"/>
    <w:rsid w:val="00A206D7"/>
    <w:rsid w:val="00A20BB7"/>
    <w:rsid w:val="00A21048"/>
    <w:rsid w:val="00A2182C"/>
    <w:rsid w:val="00A22056"/>
    <w:rsid w:val="00A221E7"/>
    <w:rsid w:val="00A22397"/>
    <w:rsid w:val="00A22DDC"/>
    <w:rsid w:val="00A233E5"/>
    <w:rsid w:val="00A23730"/>
    <w:rsid w:val="00A2376C"/>
    <w:rsid w:val="00A23819"/>
    <w:rsid w:val="00A23CF7"/>
    <w:rsid w:val="00A241F5"/>
    <w:rsid w:val="00A24EC4"/>
    <w:rsid w:val="00A25F36"/>
    <w:rsid w:val="00A26691"/>
    <w:rsid w:val="00A269BE"/>
    <w:rsid w:val="00A26A6D"/>
    <w:rsid w:val="00A26C91"/>
    <w:rsid w:val="00A26D38"/>
    <w:rsid w:val="00A26DD5"/>
    <w:rsid w:val="00A26E09"/>
    <w:rsid w:val="00A27E0E"/>
    <w:rsid w:val="00A3111F"/>
    <w:rsid w:val="00A321AF"/>
    <w:rsid w:val="00A32F52"/>
    <w:rsid w:val="00A33993"/>
    <w:rsid w:val="00A339EC"/>
    <w:rsid w:val="00A33A4A"/>
    <w:rsid w:val="00A33B6B"/>
    <w:rsid w:val="00A3425E"/>
    <w:rsid w:val="00A3451F"/>
    <w:rsid w:val="00A34A46"/>
    <w:rsid w:val="00A34B6B"/>
    <w:rsid w:val="00A34C59"/>
    <w:rsid w:val="00A359B5"/>
    <w:rsid w:val="00A35F09"/>
    <w:rsid w:val="00A362A2"/>
    <w:rsid w:val="00A36D0D"/>
    <w:rsid w:val="00A3708E"/>
    <w:rsid w:val="00A3721E"/>
    <w:rsid w:val="00A379A6"/>
    <w:rsid w:val="00A404D4"/>
    <w:rsid w:val="00A40993"/>
    <w:rsid w:val="00A40E84"/>
    <w:rsid w:val="00A41289"/>
    <w:rsid w:val="00A42D0E"/>
    <w:rsid w:val="00A42E5E"/>
    <w:rsid w:val="00A42E61"/>
    <w:rsid w:val="00A444AB"/>
    <w:rsid w:val="00A448B9"/>
    <w:rsid w:val="00A448FC"/>
    <w:rsid w:val="00A44C2D"/>
    <w:rsid w:val="00A44E03"/>
    <w:rsid w:val="00A44E1D"/>
    <w:rsid w:val="00A44EFD"/>
    <w:rsid w:val="00A45EAC"/>
    <w:rsid w:val="00A4628B"/>
    <w:rsid w:val="00A50DEC"/>
    <w:rsid w:val="00A5181F"/>
    <w:rsid w:val="00A524F0"/>
    <w:rsid w:val="00A52B30"/>
    <w:rsid w:val="00A52D18"/>
    <w:rsid w:val="00A538C4"/>
    <w:rsid w:val="00A53F1E"/>
    <w:rsid w:val="00A54177"/>
    <w:rsid w:val="00A54337"/>
    <w:rsid w:val="00A549FD"/>
    <w:rsid w:val="00A54A10"/>
    <w:rsid w:val="00A54C11"/>
    <w:rsid w:val="00A56BAA"/>
    <w:rsid w:val="00A57604"/>
    <w:rsid w:val="00A57E51"/>
    <w:rsid w:val="00A60114"/>
    <w:rsid w:val="00A60B93"/>
    <w:rsid w:val="00A610C9"/>
    <w:rsid w:val="00A62637"/>
    <w:rsid w:val="00A62EA7"/>
    <w:rsid w:val="00A633CE"/>
    <w:rsid w:val="00A63641"/>
    <w:rsid w:val="00A63D9D"/>
    <w:rsid w:val="00A6428C"/>
    <w:rsid w:val="00A64399"/>
    <w:rsid w:val="00A643A1"/>
    <w:rsid w:val="00A64F06"/>
    <w:rsid w:val="00A650C0"/>
    <w:rsid w:val="00A651E8"/>
    <w:rsid w:val="00A65251"/>
    <w:rsid w:val="00A6527D"/>
    <w:rsid w:val="00A654F9"/>
    <w:rsid w:val="00A65D97"/>
    <w:rsid w:val="00A6623D"/>
    <w:rsid w:val="00A67011"/>
    <w:rsid w:val="00A67040"/>
    <w:rsid w:val="00A67348"/>
    <w:rsid w:val="00A67376"/>
    <w:rsid w:val="00A676AA"/>
    <w:rsid w:val="00A7006D"/>
    <w:rsid w:val="00A703FD"/>
    <w:rsid w:val="00A716E9"/>
    <w:rsid w:val="00A71C37"/>
    <w:rsid w:val="00A727F0"/>
    <w:rsid w:val="00A73577"/>
    <w:rsid w:val="00A7481F"/>
    <w:rsid w:val="00A74F88"/>
    <w:rsid w:val="00A753DE"/>
    <w:rsid w:val="00A75788"/>
    <w:rsid w:val="00A75F88"/>
    <w:rsid w:val="00A764A2"/>
    <w:rsid w:val="00A765F0"/>
    <w:rsid w:val="00A76E5B"/>
    <w:rsid w:val="00A77D08"/>
    <w:rsid w:val="00A80ADE"/>
    <w:rsid w:val="00A8106C"/>
    <w:rsid w:val="00A813F9"/>
    <w:rsid w:val="00A81937"/>
    <w:rsid w:val="00A81ABA"/>
    <w:rsid w:val="00A81B9A"/>
    <w:rsid w:val="00A81D58"/>
    <w:rsid w:val="00A82250"/>
    <w:rsid w:val="00A83512"/>
    <w:rsid w:val="00A83FF4"/>
    <w:rsid w:val="00A846EE"/>
    <w:rsid w:val="00A84893"/>
    <w:rsid w:val="00A8512A"/>
    <w:rsid w:val="00A8532D"/>
    <w:rsid w:val="00A85400"/>
    <w:rsid w:val="00A854A4"/>
    <w:rsid w:val="00A85A87"/>
    <w:rsid w:val="00A872B0"/>
    <w:rsid w:val="00A87766"/>
    <w:rsid w:val="00A87C8F"/>
    <w:rsid w:val="00A90356"/>
    <w:rsid w:val="00A909A2"/>
    <w:rsid w:val="00A910CE"/>
    <w:rsid w:val="00A9111F"/>
    <w:rsid w:val="00A92D3F"/>
    <w:rsid w:val="00A92E02"/>
    <w:rsid w:val="00A9330B"/>
    <w:rsid w:val="00A936E5"/>
    <w:rsid w:val="00A938EA"/>
    <w:rsid w:val="00A93B0A"/>
    <w:rsid w:val="00A9437E"/>
    <w:rsid w:val="00A94CC4"/>
    <w:rsid w:val="00A94D0B"/>
    <w:rsid w:val="00A95363"/>
    <w:rsid w:val="00A957D9"/>
    <w:rsid w:val="00A9590E"/>
    <w:rsid w:val="00A95EF8"/>
    <w:rsid w:val="00A966EA"/>
    <w:rsid w:val="00A96C6E"/>
    <w:rsid w:val="00A97DFC"/>
    <w:rsid w:val="00AA0023"/>
    <w:rsid w:val="00AA06CB"/>
    <w:rsid w:val="00AA1981"/>
    <w:rsid w:val="00AA2F7E"/>
    <w:rsid w:val="00AA33FF"/>
    <w:rsid w:val="00AA4F0D"/>
    <w:rsid w:val="00AA51DF"/>
    <w:rsid w:val="00AA54A1"/>
    <w:rsid w:val="00AA75B9"/>
    <w:rsid w:val="00AB10F2"/>
    <w:rsid w:val="00AB12D7"/>
    <w:rsid w:val="00AB1502"/>
    <w:rsid w:val="00AB1823"/>
    <w:rsid w:val="00AB1CD8"/>
    <w:rsid w:val="00AB1E6F"/>
    <w:rsid w:val="00AB1F83"/>
    <w:rsid w:val="00AB3954"/>
    <w:rsid w:val="00AB3A42"/>
    <w:rsid w:val="00AB4FFB"/>
    <w:rsid w:val="00AB5D85"/>
    <w:rsid w:val="00AB64AA"/>
    <w:rsid w:val="00AB64B2"/>
    <w:rsid w:val="00AB79A6"/>
    <w:rsid w:val="00AB7B4E"/>
    <w:rsid w:val="00AB7FCE"/>
    <w:rsid w:val="00AB7FF1"/>
    <w:rsid w:val="00AC0E80"/>
    <w:rsid w:val="00AC0EC4"/>
    <w:rsid w:val="00AC17FE"/>
    <w:rsid w:val="00AC1CB8"/>
    <w:rsid w:val="00AC1CC6"/>
    <w:rsid w:val="00AC1DD5"/>
    <w:rsid w:val="00AC2182"/>
    <w:rsid w:val="00AC2BD1"/>
    <w:rsid w:val="00AC2C90"/>
    <w:rsid w:val="00AC321A"/>
    <w:rsid w:val="00AC3527"/>
    <w:rsid w:val="00AC3A16"/>
    <w:rsid w:val="00AC47C9"/>
    <w:rsid w:val="00AC4B99"/>
    <w:rsid w:val="00AC54D8"/>
    <w:rsid w:val="00AC6AD6"/>
    <w:rsid w:val="00AC75CA"/>
    <w:rsid w:val="00AD00DF"/>
    <w:rsid w:val="00AD04C7"/>
    <w:rsid w:val="00AD0ECE"/>
    <w:rsid w:val="00AD1437"/>
    <w:rsid w:val="00AD1E0A"/>
    <w:rsid w:val="00AD2353"/>
    <w:rsid w:val="00AD2829"/>
    <w:rsid w:val="00AD2C69"/>
    <w:rsid w:val="00AD3402"/>
    <w:rsid w:val="00AD3632"/>
    <w:rsid w:val="00AD3960"/>
    <w:rsid w:val="00AD3B7E"/>
    <w:rsid w:val="00AD4286"/>
    <w:rsid w:val="00AD470C"/>
    <w:rsid w:val="00AD5139"/>
    <w:rsid w:val="00AD51FB"/>
    <w:rsid w:val="00AD5CFD"/>
    <w:rsid w:val="00AD65B8"/>
    <w:rsid w:val="00AD675E"/>
    <w:rsid w:val="00AD6A9B"/>
    <w:rsid w:val="00AD6DE2"/>
    <w:rsid w:val="00AE1BC1"/>
    <w:rsid w:val="00AE2425"/>
    <w:rsid w:val="00AE2BC5"/>
    <w:rsid w:val="00AE35E2"/>
    <w:rsid w:val="00AE35F7"/>
    <w:rsid w:val="00AE3E53"/>
    <w:rsid w:val="00AE438C"/>
    <w:rsid w:val="00AE4F9F"/>
    <w:rsid w:val="00AE4FAE"/>
    <w:rsid w:val="00AE57B5"/>
    <w:rsid w:val="00AE5858"/>
    <w:rsid w:val="00AE5DFB"/>
    <w:rsid w:val="00AE5F27"/>
    <w:rsid w:val="00AE7ABE"/>
    <w:rsid w:val="00AF0309"/>
    <w:rsid w:val="00AF118F"/>
    <w:rsid w:val="00AF1860"/>
    <w:rsid w:val="00AF1AF7"/>
    <w:rsid w:val="00AF1D86"/>
    <w:rsid w:val="00AF2F56"/>
    <w:rsid w:val="00AF45D5"/>
    <w:rsid w:val="00AF46BB"/>
    <w:rsid w:val="00AF616B"/>
    <w:rsid w:val="00AF6826"/>
    <w:rsid w:val="00AF6B3A"/>
    <w:rsid w:val="00AF6D9F"/>
    <w:rsid w:val="00AF6EE2"/>
    <w:rsid w:val="00AF748C"/>
    <w:rsid w:val="00B00B78"/>
    <w:rsid w:val="00B01471"/>
    <w:rsid w:val="00B01C8A"/>
    <w:rsid w:val="00B02513"/>
    <w:rsid w:val="00B02CE4"/>
    <w:rsid w:val="00B0320A"/>
    <w:rsid w:val="00B04CCD"/>
    <w:rsid w:val="00B0526B"/>
    <w:rsid w:val="00B055A6"/>
    <w:rsid w:val="00B058B4"/>
    <w:rsid w:val="00B0669B"/>
    <w:rsid w:val="00B067CB"/>
    <w:rsid w:val="00B06DE3"/>
    <w:rsid w:val="00B07967"/>
    <w:rsid w:val="00B101DE"/>
    <w:rsid w:val="00B109AF"/>
    <w:rsid w:val="00B11796"/>
    <w:rsid w:val="00B121AD"/>
    <w:rsid w:val="00B12638"/>
    <w:rsid w:val="00B12960"/>
    <w:rsid w:val="00B12B53"/>
    <w:rsid w:val="00B12D2E"/>
    <w:rsid w:val="00B14362"/>
    <w:rsid w:val="00B1454A"/>
    <w:rsid w:val="00B15505"/>
    <w:rsid w:val="00B15742"/>
    <w:rsid w:val="00B15AE9"/>
    <w:rsid w:val="00B16E5D"/>
    <w:rsid w:val="00B1759C"/>
    <w:rsid w:val="00B17865"/>
    <w:rsid w:val="00B178D6"/>
    <w:rsid w:val="00B21274"/>
    <w:rsid w:val="00B21736"/>
    <w:rsid w:val="00B2192D"/>
    <w:rsid w:val="00B22ACB"/>
    <w:rsid w:val="00B240B7"/>
    <w:rsid w:val="00B24227"/>
    <w:rsid w:val="00B265B0"/>
    <w:rsid w:val="00B26620"/>
    <w:rsid w:val="00B26708"/>
    <w:rsid w:val="00B2796E"/>
    <w:rsid w:val="00B27DDC"/>
    <w:rsid w:val="00B3019B"/>
    <w:rsid w:val="00B30442"/>
    <w:rsid w:val="00B3058C"/>
    <w:rsid w:val="00B30709"/>
    <w:rsid w:val="00B30E35"/>
    <w:rsid w:val="00B31546"/>
    <w:rsid w:val="00B322EF"/>
    <w:rsid w:val="00B32865"/>
    <w:rsid w:val="00B32B04"/>
    <w:rsid w:val="00B32C13"/>
    <w:rsid w:val="00B32EC9"/>
    <w:rsid w:val="00B33035"/>
    <w:rsid w:val="00B33074"/>
    <w:rsid w:val="00B3427B"/>
    <w:rsid w:val="00B34612"/>
    <w:rsid w:val="00B34A83"/>
    <w:rsid w:val="00B35137"/>
    <w:rsid w:val="00B35321"/>
    <w:rsid w:val="00B35688"/>
    <w:rsid w:val="00B379AE"/>
    <w:rsid w:val="00B37C69"/>
    <w:rsid w:val="00B42075"/>
    <w:rsid w:val="00B424C8"/>
    <w:rsid w:val="00B42CAD"/>
    <w:rsid w:val="00B43669"/>
    <w:rsid w:val="00B4394E"/>
    <w:rsid w:val="00B44393"/>
    <w:rsid w:val="00B4465F"/>
    <w:rsid w:val="00B44D2F"/>
    <w:rsid w:val="00B44E30"/>
    <w:rsid w:val="00B45188"/>
    <w:rsid w:val="00B451E1"/>
    <w:rsid w:val="00B457F8"/>
    <w:rsid w:val="00B458EC"/>
    <w:rsid w:val="00B45E17"/>
    <w:rsid w:val="00B45FEF"/>
    <w:rsid w:val="00B47192"/>
    <w:rsid w:val="00B4786C"/>
    <w:rsid w:val="00B5066A"/>
    <w:rsid w:val="00B50842"/>
    <w:rsid w:val="00B51055"/>
    <w:rsid w:val="00B518FC"/>
    <w:rsid w:val="00B51964"/>
    <w:rsid w:val="00B52A2A"/>
    <w:rsid w:val="00B532BE"/>
    <w:rsid w:val="00B541B6"/>
    <w:rsid w:val="00B5436D"/>
    <w:rsid w:val="00B543BA"/>
    <w:rsid w:val="00B5462B"/>
    <w:rsid w:val="00B553C1"/>
    <w:rsid w:val="00B566EA"/>
    <w:rsid w:val="00B56C19"/>
    <w:rsid w:val="00B56F03"/>
    <w:rsid w:val="00B57318"/>
    <w:rsid w:val="00B57F92"/>
    <w:rsid w:val="00B607DA"/>
    <w:rsid w:val="00B61608"/>
    <w:rsid w:val="00B61DED"/>
    <w:rsid w:val="00B626BE"/>
    <w:rsid w:val="00B628D1"/>
    <w:rsid w:val="00B62A92"/>
    <w:rsid w:val="00B630FF"/>
    <w:rsid w:val="00B63162"/>
    <w:rsid w:val="00B63AEB"/>
    <w:rsid w:val="00B64AD8"/>
    <w:rsid w:val="00B64BF4"/>
    <w:rsid w:val="00B654E3"/>
    <w:rsid w:val="00B65580"/>
    <w:rsid w:val="00B655B6"/>
    <w:rsid w:val="00B659AF"/>
    <w:rsid w:val="00B66F40"/>
    <w:rsid w:val="00B670B4"/>
    <w:rsid w:val="00B670E4"/>
    <w:rsid w:val="00B6756D"/>
    <w:rsid w:val="00B67A8D"/>
    <w:rsid w:val="00B711A4"/>
    <w:rsid w:val="00B719E8"/>
    <w:rsid w:val="00B72A53"/>
    <w:rsid w:val="00B72CB2"/>
    <w:rsid w:val="00B7423D"/>
    <w:rsid w:val="00B744F7"/>
    <w:rsid w:val="00B74FA5"/>
    <w:rsid w:val="00B7637D"/>
    <w:rsid w:val="00B76781"/>
    <w:rsid w:val="00B76784"/>
    <w:rsid w:val="00B775D6"/>
    <w:rsid w:val="00B77C15"/>
    <w:rsid w:val="00B8046A"/>
    <w:rsid w:val="00B80D22"/>
    <w:rsid w:val="00B80E29"/>
    <w:rsid w:val="00B8109D"/>
    <w:rsid w:val="00B81532"/>
    <w:rsid w:val="00B81642"/>
    <w:rsid w:val="00B82DDC"/>
    <w:rsid w:val="00B83CEB"/>
    <w:rsid w:val="00B8578B"/>
    <w:rsid w:val="00B85DFF"/>
    <w:rsid w:val="00B8728F"/>
    <w:rsid w:val="00B87955"/>
    <w:rsid w:val="00B9041C"/>
    <w:rsid w:val="00B9122D"/>
    <w:rsid w:val="00B91A25"/>
    <w:rsid w:val="00B92863"/>
    <w:rsid w:val="00B9374F"/>
    <w:rsid w:val="00B939DB"/>
    <w:rsid w:val="00B93A79"/>
    <w:rsid w:val="00B94536"/>
    <w:rsid w:val="00B94B97"/>
    <w:rsid w:val="00B95278"/>
    <w:rsid w:val="00B95D44"/>
    <w:rsid w:val="00B95D58"/>
    <w:rsid w:val="00B95DEC"/>
    <w:rsid w:val="00B95EE0"/>
    <w:rsid w:val="00B9712D"/>
    <w:rsid w:val="00B9771C"/>
    <w:rsid w:val="00B9784B"/>
    <w:rsid w:val="00B9792F"/>
    <w:rsid w:val="00BA0512"/>
    <w:rsid w:val="00BA0A56"/>
    <w:rsid w:val="00BA1744"/>
    <w:rsid w:val="00BA2E7C"/>
    <w:rsid w:val="00BA3EE7"/>
    <w:rsid w:val="00BA409C"/>
    <w:rsid w:val="00BA5948"/>
    <w:rsid w:val="00BA6BDF"/>
    <w:rsid w:val="00BA6C5C"/>
    <w:rsid w:val="00BA7239"/>
    <w:rsid w:val="00BA7377"/>
    <w:rsid w:val="00BA7C3B"/>
    <w:rsid w:val="00BB0815"/>
    <w:rsid w:val="00BB0F6A"/>
    <w:rsid w:val="00BB1C56"/>
    <w:rsid w:val="00BB2013"/>
    <w:rsid w:val="00BB2061"/>
    <w:rsid w:val="00BB2897"/>
    <w:rsid w:val="00BB2D54"/>
    <w:rsid w:val="00BB3176"/>
    <w:rsid w:val="00BB3647"/>
    <w:rsid w:val="00BB3940"/>
    <w:rsid w:val="00BB3A4C"/>
    <w:rsid w:val="00BB3C38"/>
    <w:rsid w:val="00BB4674"/>
    <w:rsid w:val="00BB493E"/>
    <w:rsid w:val="00BB4BE0"/>
    <w:rsid w:val="00BB55EB"/>
    <w:rsid w:val="00BB56B1"/>
    <w:rsid w:val="00BB5A86"/>
    <w:rsid w:val="00BB5D6D"/>
    <w:rsid w:val="00BB6037"/>
    <w:rsid w:val="00BB6323"/>
    <w:rsid w:val="00BB6562"/>
    <w:rsid w:val="00BB665C"/>
    <w:rsid w:val="00BB6EC5"/>
    <w:rsid w:val="00BB7AC0"/>
    <w:rsid w:val="00BC07AB"/>
    <w:rsid w:val="00BC0DB6"/>
    <w:rsid w:val="00BC191E"/>
    <w:rsid w:val="00BC1F4C"/>
    <w:rsid w:val="00BC26CD"/>
    <w:rsid w:val="00BC3E23"/>
    <w:rsid w:val="00BC48B5"/>
    <w:rsid w:val="00BC49DE"/>
    <w:rsid w:val="00BC505E"/>
    <w:rsid w:val="00BC5509"/>
    <w:rsid w:val="00BC5577"/>
    <w:rsid w:val="00BC5A6C"/>
    <w:rsid w:val="00BC5E63"/>
    <w:rsid w:val="00BC5FF3"/>
    <w:rsid w:val="00BC6164"/>
    <w:rsid w:val="00BC648F"/>
    <w:rsid w:val="00BC6557"/>
    <w:rsid w:val="00BC6B92"/>
    <w:rsid w:val="00BD0655"/>
    <w:rsid w:val="00BD10A6"/>
    <w:rsid w:val="00BD1585"/>
    <w:rsid w:val="00BD177F"/>
    <w:rsid w:val="00BD197A"/>
    <w:rsid w:val="00BD1D7B"/>
    <w:rsid w:val="00BD1FB4"/>
    <w:rsid w:val="00BD274C"/>
    <w:rsid w:val="00BD321D"/>
    <w:rsid w:val="00BD3C76"/>
    <w:rsid w:val="00BD3D83"/>
    <w:rsid w:val="00BD3E95"/>
    <w:rsid w:val="00BD418D"/>
    <w:rsid w:val="00BD43F0"/>
    <w:rsid w:val="00BD47F1"/>
    <w:rsid w:val="00BD5275"/>
    <w:rsid w:val="00BD5935"/>
    <w:rsid w:val="00BD6091"/>
    <w:rsid w:val="00BD6524"/>
    <w:rsid w:val="00BD688E"/>
    <w:rsid w:val="00BD6BF6"/>
    <w:rsid w:val="00BD6DD0"/>
    <w:rsid w:val="00BD7BA0"/>
    <w:rsid w:val="00BD7D67"/>
    <w:rsid w:val="00BD7E6B"/>
    <w:rsid w:val="00BD7F22"/>
    <w:rsid w:val="00BE155D"/>
    <w:rsid w:val="00BE1697"/>
    <w:rsid w:val="00BE1A9B"/>
    <w:rsid w:val="00BE1BB0"/>
    <w:rsid w:val="00BE1F7D"/>
    <w:rsid w:val="00BE274D"/>
    <w:rsid w:val="00BE285E"/>
    <w:rsid w:val="00BE31A5"/>
    <w:rsid w:val="00BE3862"/>
    <w:rsid w:val="00BE44A0"/>
    <w:rsid w:val="00BE46F6"/>
    <w:rsid w:val="00BE4D17"/>
    <w:rsid w:val="00BE55C3"/>
    <w:rsid w:val="00BE60FE"/>
    <w:rsid w:val="00BE6192"/>
    <w:rsid w:val="00BE7376"/>
    <w:rsid w:val="00BE743B"/>
    <w:rsid w:val="00BE7DF1"/>
    <w:rsid w:val="00BF006B"/>
    <w:rsid w:val="00BF0B3A"/>
    <w:rsid w:val="00BF112B"/>
    <w:rsid w:val="00BF20B3"/>
    <w:rsid w:val="00BF2898"/>
    <w:rsid w:val="00BF2D5B"/>
    <w:rsid w:val="00BF38A5"/>
    <w:rsid w:val="00BF3ED8"/>
    <w:rsid w:val="00BF46CC"/>
    <w:rsid w:val="00BF492D"/>
    <w:rsid w:val="00BF4BE3"/>
    <w:rsid w:val="00BF4EBE"/>
    <w:rsid w:val="00BF5AD7"/>
    <w:rsid w:val="00BF6067"/>
    <w:rsid w:val="00BF6A5F"/>
    <w:rsid w:val="00BF73CA"/>
    <w:rsid w:val="00BF7A13"/>
    <w:rsid w:val="00BF7CC9"/>
    <w:rsid w:val="00BF7F6F"/>
    <w:rsid w:val="00C0185B"/>
    <w:rsid w:val="00C01A80"/>
    <w:rsid w:val="00C01FD4"/>
    <w:rsid w:val="00C031CA"/>
    <w:rsid w:val="00C03367"/>
    <w:rsid w:val="00C0380A"/>
    <w:rsid w:val="00C03873"/>
    <w:rsid w:val="00C04192"/>
    <w:rsid w:val="00C05D6A"/>
    <w:rsid w:val="00C05F42"/>
    <w:rsid w:val="00C05F44"/>
    <w:rsid w:val="00C0684F"/>
    <w:rsid w:val="00C06F88"/>
    <w:rsid w:val="00C077FE"/>
    <w:rsid w:val="00C104E2"/>
    <w:rsid w:val="00C10EA4"/>
    <w:rsid w:val="00C116EA"/>
    <w:rsid w:val="00C13A9D"/>
    <w:rsid w:val="00C146E0"/>
    <w:rsid w:val="00C15618"/>
    <w:rsid w:val="00C15B49"/>
    <w:rsid w:val="00C15E04"/>
    <w:rsid w:val="00C15EDA"/>
    <w:rsid w:val="00C16151"/>
    <w:rsid w:val="00C16B5B"/>
    <w:rsid w:val="00C17264"/>
    <w:rsid w:val="00C17268"/>
    <w:rsid w:val="00C17E6C"/>
    <w:rsid w:val="00C17F63"/>
    <w:rsid w:val="00C2012D"/>
    <w:rsid w:val="00C20D17"/>
    <w:rsid w:val="00C230DA"/>
    <w:rsid w:val="00C234BE"/>
    <w:rsid w:val="00C239FA"/>
    <w:rsid w:val="00C24622"/>
    <w:rsid w:val="00C24A09"/>
    <w:rsid w:val="00C25754"/>
    <w:rsid w:val="00C25C72"/>
    <w:rsid w:val="00C25D06"/>
    <w:rsid w:val="00C26057"/>
    <w:rsid w:val="00C2611C"/>
    <w:rsid w:val="00C26369"/>
    <w:rsid w:val="00C26555"/>
    <w:rsid w:val="00C26E6B"/>
    <w:rsid w:val="00C2712C"/>
    <w:rsid w:val="00C274F4"/>
    <w:rsid w:val="00C27584"/>
    <w:rsid w:val="00C27C07"/>
    <w:rsid w:val="00C306A0"/>
    <w:rsid w:val="00C31ADB"/>
    <w:rsid w:val="00C32358"/>
    <w:rsid w:val="00C32857"/>
    <w:rsid w:val="00C3385D"/>
    <w:rsid w:val="00C33C3B"/>
    <w:rsid w:val="00C34515"/>
    <w:rsid w:val="00C345EA"/>
    <w:rsid w:val="00C34C5C"/>
    <w:rsid w:val="00C35445"/>
    <w:rsid w:val="00C354AF"/>
    <w:rsid w:val="00C365FF"/>
    <w:rsid w:val="00C36C15"/>
    <w:rsid w:val="00C373B5"/>
    <w:rsid w:val="00C37930"/>
    <w:rsid w:val="00C37B79"/>
    <w:rsid w:val="00C41265"/>
    <w:rsid w:val="00C413F9"/>
    <w:rsid w:val="00C422E4"/>
    <w:rsid w:val="00C42720"/>
    <w:rsid w:val="00C430F3"/>
    <w:rsid w:val="00C437E6"/>
    <w:rsid w:val="00C44C50"/>
    <w:rsid w:val="00C44C9F"/>
    <w:rsid w:val="00C44D93"/>
    <w:rsid w:val="00C454C1"/>
    <w:rsid w:val="00C46105"/>
    <w:rsid w:val="00C479CF"/>
    <w:rsid w:val="00C47AA6"/>
    <w:rsid w:val="00C47C8D"/>
    <w:rsid w:val="00C50399"/>
    <w:rsid w:val="00C51718"/>
    <w:rsid w:val="00C52F6A"/>
    <w:rsid w:val="00C53DC4"/>
    <w:rsid w:val="00C54FB9"/>
    <w:rsid w:val="00C55A49"/>
    <w:rsid w:val="00C5603F"/>
    <w:rsid w:val="00C5648C"/>
    <w:rsid w:val="00C56AB8"/>
    <w:rsid w:val="00C56D78"/>
    <w:rsid w:val="00C578F3"/>
    <w:rsid w:val="00C60575"/>
    <w:rsid w:val="00C607D6"/>
    <w:rsid w:val="00C6294E"/>
    <w:rsid w:val="00C631D3"/>
    <w:rsid w:val="00C6412C"/>
    <w:rsid w:val="00C64B00"/>
    <w:rsid w:val="00C64ECC"/>
    <w:rsid w:val="00C6584F"/>
    <w:rsid w:val="00C6620C"/>
    <w:rsid w:val="00C66937"/>
    <w:rsid w:val="00C67571"/>
    <w:rsid w:val="00C678BA"/>
    <w:rsid w:val="00C67A1A"/>
    <w:rsid w:val="00C67B57"/>
    <w:rsid w:val="00C67FDB"/>
    <w:rsid w:val="00C70017"/>
    <w:rsid w:val="00C709C6"/>
    <w:rsid w:val="00C72617"/>
    <w:rsid w:val="00C72CD4"/>
    <w:rsid w:val="00C7360A"/>
    <w:rsid w:val="00C73A0D"/>
    <w:rsid w:val="00C73D1B"/>
    <w:rsid w:val="00C73D42"/>
    <w:rsid w:val="00C74084"/>
    <w:rsid w:val="00C7762D"/>
    <w:rsid w:val="00C77684"/>
    <w:rsid w:val="00C77CE2"/>
    <w:rsid w:val="00C81E0D"/>
    <w:rsid w:val="00C81E1C"/>
    <w:rsid w:val="00C823E0"/>
    <w:rsid w:val="00C8279E"/>
    <w:rsid w:val="00C82966"/>
    <w:rsid w:val="00C82AD7"/>
    <w:rsid w:val="00C8343A"/>
    <w:rsid w:val="00C84576"/>
    <w:rsid w:val="00C85FA6"/>
    <w:rsid w:val="00C86C7E"/>
    <w:rsid w:val="00C87020"/>
    <w:rsid w:val="00C873ED"/>
    <w:rsid w:val="00C904E7"/>
    <w:rsid w:val="00C904F2"/>
    <w:rsid w:val="00C907EF"/>
    <w:rsid w:val="00C90DD9"/>
    <w:rsid w:val="00C91247"/>
    <w:rsid w:val="00C91675"/>
    <w:rsid w:val="00C91679"/>
    <w:rsid w:val="00C9175E"/>
    <w:rsid w:val="00C9224D"/>
    <w:rsid w:val="00C92E55"/>
    <w:rsid w:val="00C9340B"/>
    <w:rsid w:val="00C9350A"/>
    <w:rsid w:val="00C93C08"/>
    <w:rsid w:val="00C958AA"/>
    <w:rsid w:val="00C95E67"/>
    <w:rsid w:val="00C961E0"/>
    <w:rsid w:val="00C9631A"/>
    <w:rsid w:val="00C97564"/>
    <w:rsid w:val="00C97AE7"/>
    <w:rsid w:val="00CA1D87"/>
    <w:rsid w:val="00CA24A4"/>
    <w:rsid w:val="00CA2CCC"/>
    <w:rsid w:val="00CA2EAF"/>
    <w:rsid w:val="00CA3883"/>
    <w:rsid w:val="00CA432B"/>
    <w:rsid w:val="00CA45A1"/>
    <w:rsid w:val="00CA4995"/>
    <w:rsid w:val="00CA4DDD"/>
    <w:rsid w:val="00CA4F95"/>
    <w:rsid w:val="00CA51CD"/>
    <w:rsid w:val="00CA55C1"/>
    <w:rsid w:val="00CA603E"/>
    <w:rsid w:val="00CA6299"/>
    <w:rsid w:val="00CA6C1D"/>
    <w:rsid w:val="00CA7A06"/>
    <w:rsid w:val="00CB05FC"/>
    <w:rsid w:val="00CB0A81"/>
    <w:rsid w:val="00CB1563"/>
    <w:rsid w:val="00CB17F3"/>
    <w:rsid w:val="00CB1808"/>
    <w:rsid w:val="00CB29E2"/>
    <w:rsid w:val="00CB2A25"/>
    <w:rsid w:val="00CB321F"/>
    <w:rsid w:val="00CB3952"/>
    <w:rsid w:val="00CB3CEF"/>
    <w:rsid w:val="00CB3F6E"/>
    <w:rsid w:val="00CB502D"/>
    <w:rsid w:val="00CB5069"/>
    <w:rsid w:val="00CB563C"/>
    <w:rsid w:val="00CB5645"/>
    <w:rsid w:val="00CB59C2"/>
    <w:rsid w:val="00CB5B89"/>
    <w:rsid w:val="00CB5C5B"/>
    <w:rsid w:val="00CB5EDA"/>
    <w:rsid w:val="00CB63A6"/>
    <w:rsid w:val="00CB6406"/>
    <w:rsid w:val="00CB7204"/>
    <w:rsid w:val="00CB746B"/>
    <w:rsid w:val="00CB7836"/>
    <w:rsid w:val="00CB7CD3"/>
    <w:rsid w:val="00CC0357"/>
    <w:rsid w:val="00CC151B"/>
    <w:rsid w:val="00CC24D3"/>
    <w:rsid w:val="00CC2738"/>
    <w:rsid w:val="00CC3223"/>
    <w:rsid w:val="00CC32B4"/>
    <w:rsid w:val="00CC36E5"/>
    <w:rsid w:val="00CC3C5A"/>
    <w:rsid w:val="00CC3E1C"/>
    <w:rsid w:val="00CC3EDF"/>
    <w:rsid w:val="00CC3F75"/>
    <w:rsid w:val="00CC3FB2"/>
    <w:rsid w:val="00CC461C"/>
    <w:rsid w:val="00CC4C64"/>
    <w:rsid w:val="00CC4C6A"/>
    <w:rsid w:val="00CC4EF0"/>
    <w:rsid w:val="00CC4F23"/>
    <w:rsid w:val="00CC51E1"/>
    <w:rsid w:val="00CC5B6E"/>
    <w:rsid w:val="00CC65FE"/>
    <w:rsid w:val="00CC722A"/>
    <w:rsid w:val="00CC73C9"/>
    <w:rsid w:val="00CD0BE2"/>
    <w:rsid w:val="00CD20A2"/>
    <w:rsid w:val="00CD386D"/>
    <w:rsid w:val="00CD4457"/>
    <w:rsid w:val="00CD4543"/>
    <w:rsid w:val="00CD487F"/>
    <w:rsid w:val="00CD4C31"/>
    <w:rsid w:val="00CD5BA1"/>
    <w:rsid w:val="00CD6A94"/>
    <w:rsid w:val="00CD7013"/>
    <w:rsid w:val="00CE159B"/>
    <w:rsid w:val="00CE15FA"/>
    <w:rsid w:val="00CE1BC4"/>
    <w:rsid w:val="00CE2A64"/>
    <w:rsid w:val="00CE2FFA"/>
    <w:rsid w:val="00CE39CD"/>
    <w:rsid w:val="00CE4430"/>
    <w:rsid w:val="00CE46B3"/>
    <w:rsid w:val="00CE46DB"/>
    <w:rsid w:val="00CE5247"/>
    <w:rsid w:val="00CE57F4"/>
    <w:rsid w:val="00CE58BB"/>
    <w:rsid w:val="00CE5A07"/>
    <w:rsid w:val="00CE5C5D"/>
    <w:rsid w:val="00CE7CC6"/>
    <w:rsid w:val="00CE7E9E"/>
    <w:rsid w:val="00CF0D87"/>
    <w:rsid w:val="00CF0E0C"/>
    <w:rsid w:val="00CF17E1"/>
    <w:rsid w:val="00CF1A92"/>
    <w:rsid w:val="00CF1B9F"/>
    <w:rsid w:val="00CF2202"/>
    <w:rsid w:val="00CF3576"/>
    <w:rsid w:val="00CF3681"/>
    <w:rsid w:val="00CF4FA9"/>
    <w:rsid w:val="00CF58B8"/>
    <w:rsid w:val="00CF692F"/>
    <w:rsid w:val="00CF6AA3"/>
    <w:rsid w:val="00CF6C2B"/>
    <w:rsid w:val="00CF6C3E"/>
    <w:rsid w:val="00CF6F32"/>
    <w:rsid w:val="00CF7A77"/>
    <w:rsid w:val="00D00DF5"/>
    <w:rsid w:val="00D01899"/>
    <w:rsid w:val="00D01DCF"/>
    <w:rsid w:val="00D02B6E"/>
    <w:rsid w:val="00D03A23"/>
    <w:rsid w:val="00D045A2"/>
    <w:rsid w:val="00D04693"/>
    <w:rsid w:val="00D054CD"/>
    <w:rsid w:val="00D0561A"/>
    <w:rsid w:val="00D05EC8"/>
    <w:rsid w:val="00D06442"/>
    <w:rsid w:val="00D0667C"/>
    <w:rsid w:val="00D0704C"/>
    <w:rsid w:val="00D071D7"/>
    <w:rsid w:val="00D07BB4"/>
    <w:rsid w:val="00D07C1E"/>
    <w:rsid w:val="00D10302"/>
    <w:rsid w:val="00D10381"/>
    <w:rsid w:val="00D1057A"/>
    <w:rsid w:val="00D10B3A"/>
    <w:rsid w:val="00D1137C"/>
    <w:rsid w:val="00D116AF"/>
    <w:rsid w:val="00D117F8"/>
    <w:rsid w:val="00D11E00"/>
    <w:rsid w:val="00D138A8"/>
    <w:rsid w:val="00D1498F"/>
    <w:rsid w:val="00D14A44"/>
    <w:rsid w:val="00D15322"/>
    <w:rsid w:val="00D15782"/>
    <w:rsid w:val="00D1621C"/>
    <w:rsid w:val="00D16688"/>
    <w:rsid w:val="00D16EBF"/>
    <w:rsid w:val="00D172DD"/>
    <w:rsid w:val="00D1780E"/>
    <w:rsid w:val="00D1785D"/>
    <w:rsid w:val="00D205AB"/>
    <w:rsid w:val="00D2072A"/>
    <w:rsid w:val="00D20CD0"/>
    <w:rsid w:val="00D2137A"/>
    <w:rsid w:val="00D21EEF"/>
    <w:rsid w:val="00D227F6"/>
    <w:rsid w:val="00D236BF"/>
    <w:rsid w:val="00D24686"/>
    <w:rsid w:val="00D24868"/>
    <w:rsid w:val="00D24A8A"/>
    <w:rsid w:val="00D256A4"/>
    <w:rsid w:val="00D2575A"/>
    <w:rsid w:val="00D259FC"/>
    <w:rsid w:val="00D25C92"/>
    <w:rsid w:val="00D264F6"/>
    <w:rsid w:val="00D26EB5"/>
    <w:rsid w:val="00D26FA5"/>
    <w:rsid w:val="00D27001"/>
    <w:rsid w:val="00D279EB"/>
    <w:rsid w:val="00D30E8D"/>
    <w:rsid w:val="00D31076"/>
    <w:rsid w:val="00D326D9"/>
    <w:rsid w:val="00D32A5D"/>
    <w:rsid w:val="00D32C73"/>
    <w:rsid w:val="00D33325"/>
    <w:rsid w:val="00D33595"/>
    <w:rsid w:val="00D33C5A"/>
    <w:rsid w:val="00D34417"/>
    <w:rsid w:val="00D351D4"/>
    <w:rsid w:val="00D35C15"/>
    <w:rsid w:val="00D36005"/>
    <w:rsid w:val="00D368B6"/>
    <w:rsid w:val="00D3701B"/>
    <w:rsid w:val="00D376D5"/>
    <w:rsid w:val="00D37871"/>
    <w:rsid w:val="00D4004C"/>
    <w:rsid w:val="00D40B56"/>
    <w:rsid w:val="00D412F7"/>
    <w:rsid w:val="00D42496"/>
    <w:rsid w:val="00D43653"/>
    <w:rsid w:val="00D43C81"/>
    <w:rsid w:val="00D440EF"/>
    <w:rsid w:val="00D444C9"/>
    <w:rsid w:val="00D44BF4"/>
    <w:rsid w:val="00D44D94"/>
    <w:rsid w:val="00D4555F"/>
    <w:rsid w:val="00D46B8D"/>
    <w:rsid w:val="00D5014B"/>
    <w:rsid w:val="00D504F0"/>
    <w:rsid w:val="00D5054D"/>
    <w:rsid w:val="00D50E49"/>
    <w:rsid w:val="00D5100F"/>
    <w:rsid w:val="00D525F7"/>
    <w:rsid w:val="00D53362"/>
    <w:rsid w:val="00D53E5E"/>
    <w:rsid w:val="00D53E76"/>
    <w:rsid w:val="00D542D6"/>
    <w:rsid w:val="00D54A73"/>
    <w:rsid w:val="00D54B72"/>
    <w:rsid w:val="00D54F12"/>
    <w:rsid w:val="00D554CA"/>
    <w:rsid w:val="00D55A68"/>
    <w:rsid w:val="00D55AA9"/>
    <w:rsid w:val="00D55F0F"/>
    <w:rsid w:val="00D56A10"/>
    <w:rsid w:val="00D5788E"/>
    <w:rsid w:val="00D60BEE"/>
    <w:rsid w:val="00D6115E"/>
    <w:rsid w:val="00D612A6"/>
    <w:rsid w:val="00D62220"/>
    <w:rsid w:val="00D62DCD"/>
    <w:rsid w:val="00D62E37"/>
    <w:rsid w:val="00D62F44"/>
    <w:rsid w:val="00D632A4"/>
    <w:rsid w:val="00D635B1"/>
    <w:rsid w:val="00D6366E"/>
    <w:rsid w:val="00D63692"/>
    <w:rsid w:val="00D636A3"/>
    <w:rsid w:val="00D636AF"/>
    <w:rsid w:val="00D63C47"/>
    <w:rsid w:val="00D63D62"/>
    <w:rsid w:val="00D63E39"/>
    <w:rsid w:val="00D64D73"/>
    <w:rsid w:val="00D65870"/>
    <w:rsid w:val="00D66C5E"/>
    <w:rsid w:val="00D66CCF"/>
    <w:rsid w:val="00D66F31"/>
    <w:rsid w:val="00D674A4"/>
    <w:rsid w:val="00D67DBB"/>
    <w:rsid w:val="00D701B3"/>
    <w:rsid w:val="00D708C1"/>
    <w:rsid w:val="00D70DCC"/>
    <w:rsid w:val="00D72D26"/>
    <w:rsid w:val="00D72DF0"/>
    <w:rsid w:val="00D7300B"/>
    <w:rsid w:val="00D7351C"/>
    <w:rsid w:val="00D7362F"/>
    <w:rsid w:val="00D736D0"/>
    <w:rsid w:val="00D73F9C"/>
    <w:rsid w:val="00D73FE6"/>
    <w:rsid w:val="00D74775"/>
    <w:rsid w:val="00D74C59"/>
    <w:rsid w:val="00D752AD"/>
    <w:rsid w:val="00D759DA"/>
    <w:rsid w:val="00D75E0F"/>
    <w:rsid w:val="00D76DAA"/>
    <w:rsid w:val="00D76F3E"/>
    <w:rsid w:val="00D77350"/>
    <w:rsid w:val="00D774C8"/>
    <w:rsid w:val="00D775C9"/>
    <w:rsid w:val="00D80A90"/>
    <w:rsid w:val="00D8102E"/>
    <w:rsid w:val="00D8111D"/>
    <w:rsid w:val="00D81A50"/>
    <w:rsid w:val="00D82629"/>
    <w:rsid w:val="00D82B48"/>
    <w:rsid w:val="00D83237"/>
    <w:rsid w:val="00D83275"/>
    <w:rsid w:val="00D83D62"/>
    <w:rsid w:val="00D83EF1"/>
    <w:rsid w:val="00D84317"/>
    <w:rsid w:val="00D84482"/>
    <w:rsid w:val="00D84AF9"/>
    <w:rsid w:val="00D8581A"/>
    <w:rsid w:val="00D85F52"/>
    <w:rsid w:val="00D86268"/>
    <w:rsid w:val="00D8668A"/>
    <w:rsid w:val="00D8749A"/>
    <w:rsid w:val="00D875AA"/>
    <w:rsid w:val="00D876AF"/>
    <w:rsid w:val="00D878D2"/>
    <w:rsid w:val="00D87B45"/>
    <w:rsid w:val="00D87DE8"/>
    <w:rsid w:val="00D90A11"/>
    <w:rsid w:val="00D90D01"/>
    <w:rsid w:val="00D910B4"/>
    <w:rsid w:val="00D91A40"/>
    <w:rsid w:val="00D91A79"/>
    <w:rsid w:val="00D92553"/>
    <w:rsid w:val="00D9345B"/>
    <w:rsid w:val="00D936DE"/>
    <w:rsid w:val="00D93917"/>
    <w:rsid w:val="00D94034"/>
    <w:rsid w:val="00D9432B"/>
    <w:rsid w:val="00D94BB7"/>
    <w:rsid w:val="00D954C4"/>
    <w:rsid w:val="00D95616"/>
    <w:rsid w:val="00D96CFC"/>
    <w:rsid w:val="00D97692"/>
    <w:rsid w:val="00D97C50"/>
    <w:rsid w:val="00DA0EE8"/>
    <w:rsid w:val="00DA10DB"/>
    <w:rsid w:val="00DA170E"/>
    <w:rsid w:val="00DA221B"/>
    <w:rsid w:val="00DA2436"/>
    <w:rsid w:val="00DA256E"/>
    <w:rsid w:val="00DA292E"/>
    <w:rsid w:val="00DA2CE1"/>
    <w:rsid w:val="00DA3E42"/>
    <w:rsid w:val="00DA493B"/>
    <w:rsid w:val="00DA4AF8"/>
    <w:rsid w:val="00DA50AA"/>
    <w:rsid w:val="00DA545F"/>
    <w:rsid w:val="00DA5867"/>
    <w:rsid w:val="00DA5D5E"/>
    <w:rsid w:val="00DA610A"/>
    <w:rsid w:val="00DA63B5"/>
    <w:rsid w:val="00DA6731"/>
    <w:rsid w:val="00DA6772"/>
    <w:rsid w:val="00DA6782"/>
    <w:rsid w:val="00DA6929"/>
    <w:rsid w:val="00DA760A"/>
    <w:rsid w:val="00DB0252"/>
    <w:rsid w:val="00DB197C"/>
    <w:rsid w:val="00DB1DD5"/>
    <w:rsid w:val="00DB3461"/>
    <w:rsid w:val="00DB3D67"/>
    <w:rsid w:val="00DB4C58"/>
    <w:rsid w:val="00DB4CF7"/>
    <w:rsid w:val="00DB5652"/>
    <w:rsid w:val="00DB580D"/>
    <w:rsid w:val="00DB5F06"/>
    <w:rsid w:val="00DB5F5A"/>
    <w:rsid w:val="00DB743B"/>
    <w:rsid w:val="00DC0372"/>
    <w:rsid w:val="00DC0B78"/>
    <w:rsid w:val="00DC0CB1"/>
    <w:rsid w:val="00DC1939"/>
    <w:rsid w:val="00DC1B78"/>
    <w:rsid w:val="00DC1D31"/>
    <w:rsid w:val="00DC286A"/>
    <w:rsid w:val="00DC2A79"/>
    <w:rsid w:val="00DC3B7E"/>
    <w:rsid w:val="00DC46A4"/>
    <w:rsid w:val="00DC4D3B"/>
    <w:rsid w:val="00DC51E7"/>
    <w:rsid w:val="00DC5F7C"/>
    <w:rsid w:val="00DC60CE"/>
    <w:rsid w:val="00DC61F6"/>
    <w:rsid w:val="00DC68C6"/>
    <w:rsid w:val="00DC70E3"/>
    <w:rsid w:val="00DC775E"/>
    <w:rsid w:val="00DC7888"/>
    <w:rsid w:val="00DC7B9F"/>
    <w:rsid w:val="00DC7C92"/>
    <w:rsid w:val="00DC7FC2"/>
    <w:rsid w:val="00DD03F5"/>
    <w:rsid w:val="00DD0470"/>
    <w:rsid w:val="00DD0782"/>
    <w:rsid w:val="00DD136C"/>
    <w:rsid w:val="00DD13C0"/>
    <w:rsid w:val="00DD18A0"/>
    <w:rsid w:val="00DD2559"/>
    <w:rsid w:val="00DD311A"/>
    <w:rsid w:val="00DD3429"/>
    <w:rsid w:val="00DD39FA"/>
    <w:rsid w:val="00DD48C5"/>
    <w:rsid w:val="00DD4F5D"/>
    <w:rsid w:val="00DD5684"/>
    <w:rsid w:val="00DD5870"/>
    <w:rsid w:val="00DD653D"/>
    <w:rsid w:val="00DD65CB"/>
    <w:rsid w:val="00DD66B1"/>
    <w:rsid w:val="00DD6B3D"/>
    <w:rsid w:val="00DD76DF"/>
    <w:rsid w:val="00DD771C"/>
    <w:rsid w:val="00DD77A2"/>
    <w:rsid w:val="00DD7C6D"/>
    <w:rsid w:val="00DE088B"/>
    <w:rsid w:val="00DE0B8F"/>
    <w:rsid w:val="00DE0D52"/>
    <w:rsid w:val="00DE1A03"/>
    <w:rsid w:val="00DE1F95"/>
    <w:rsid w:val="00DE1FB5"/>
    <w:rsid w:val="00DE2A80"/>
    <w:rsid w:val="00DE35ED"/>
    <w:rsid w:val="00DE46C8"/>
    <w:rsid w:val="00DE538F"/>
    <w:rsid w:val="00DE5FF0"/>
    <w:rsid w:val="00DE639B"/>
    <w:rsid w:val="00DE653A"/>
    <w:rsid w:val="00DE6799"/>
    <w:rsid w:val="00DE6AD9"/>
    <w:rsid w:val="00DE6BA4"/>
    <w:rsid w:val="00DE7262"/>
    <w:rsid w:val="00DE766E"/>
    <w:rsid w:val="00DE77E5"/>
    <w:rsid w:val="00DE7B1E"/>
    <w:rsid w:val="00DE7D81"/>
    <w:rsid w:val="00DF02AA"/>
    <w:rsid w:val="00DF11A3"/>
    <w:rsid w:val="00DF13DE"/>
    <w:rsid w:val="00DF16D5"/>
    <w:rsid w:val="00DF188A"/>
    <w:rsid w:val="00DF1A19"/>
    <w:rsid w:val="00DF28D0"/>
    <w:rsid w:val="00DF2BB9"/>
    <w:rsid w:val="00DF3B4C"/>
    <w:rsid w:val="00DF4E24"/>
    <w:rsid w:val="00DF561E"/>
    <w:rsid w:val="00DF7B60"/>
    <w:rsid w:val="00E004AE"/>
    <w:rsid w:val="00E006DA"/>
    <w:rsid w:val="00E014C2"/>
    <w:rsid w:val="00E02023"/>
    <w:rsid w:val="00E027D5"/>
    <w:rsid w:val="00E02905"/>
    <w:rsid w:val="00E02A19"/>
    <w:rsid w:val="00E02FFD"/>
    <w:rsid w:val="00E03294"/>
    <w:rsid w:val="00E034A3"/>
    <w:rsid w:val="00E03860"/>
    <w:rsid w:val="00E03A66"/>
    <w:rsid w:val="00E03BAF"/>
    <w:rsid w:val="00E040F4"/>
    <w:rsid w:val="00E04886"/>
    <w:rsid w:val="00E04B16"/>
    <w:rsid w:val="00E04B81"/>
    <w:rsid w:val="00E04FE1"/>
    <w:rsid w:val="00E071CF"/>
    <w:rsid w:val="00E101E6"/>
    <w:rsid w:val="00E119ED"/>
    <w:rsid w:val="00E12486"/>
    <w:rsid w:val="00E12772"/>
    <w:rsid w:val="00E12DEB"/>
    <w:rsid w:val="00E13011"/>
    <w:rsid w:val="00E13A1F"/>
    <w:rsid w:val="00E143E3"/>
    <w:rsid w:val="00E14E95"/>
    <w:rsid w:val="00E15648"/>
    <w:rsid w:val="00E159F4"/>
    <w:rsid w:val="00E15BD8"/>
    <w:rsid w:val="00E16D3F"/>
    <w:rsid w:val="00E1795A"/>
    <w:rsid w:val="00E17DC6"/>
    <w:rsid w:val="00E2007B"/>
    <w:rsid w:val="00E20367"/>
    <w:rsid w:val="00E205F9"/>
    <w:rsid w:val="00E20927"/>
    <w:rsid w:val="00E20A75"/>
    <w:rsid w:val="00E21080"/>
    <w:rsid w:val="00E21C9F"/>
    <w:rsid w:val="00E21FB2"/>
    <w:rsid w:val="00E22562"/>
    <w:rsid w:val="00E2277D"/>
    <w:rsid w:val="00E22AAC"/>
    <w:rsid w:val="00E22B40"/>
    <w:rsid w:val="00E2383F"/>
    <w:rsid w:val="00E23963"/>
    <w:rsid w:val="00E23EB2"/>
    <w:rsid w:val="00E24A74"/>
    <w:rsid w:val="00E25779"/>
    <w:rsid w:val="00E25AD9"/>
    <w:rsid w:val="00E267C5"/>
    <w:rsid w:val="00E2799D"/>
    <w:rsid w:val="00E27A5A"/>
    <w:rsid w:val="00E27D00"/>
    <w:rsid w:val="00E27E4C"/>
    <w:rsid w:val="00E30200"/>
    <w:rsid w:val="00E30512"/>
    <w:rsid w:val="00E3079F"/>
    <w:rsid w:val="00E31A92"/>
    <w:rsid w:val="00E31C0F"/>
    <w:rsid w:val="00E31D5D"/>
    <w:rsid w:val="00E322A2"/>
    <w:rsid w:val="00E334FD"/>
    <w:rsid w:val="00E337D8"/>
    <w:rsid w:val="00E33D1B"/>
    <w:rsid w:val="00E35861"/>
    <w:rsid w:val="00E358BD"/>
    <w:rsid w:val="00E35F55"/>
    <w:rsid w:val="00E36AC0"/>
    <w:rsid w:val="00E37B70"/>
    <w:rsid w:val="00E4006C"/>
    <w:rsid w:val="00E411BD"/>
    <w:rsid w:val="00E413D0"/>
    <w:rsid w:val="00E416C8"/>
    <w:rsid w:val="00E41748"/>
    <w:rsid w:val="00E42004"/>
    <w:rsid w:val="00E4200B"/>
    <w:rsid w:val="00E4230A"/>
    <w:rsid w:val="00E429C2"/>
    <w:rsid w:val="00E44C63"/>
    <w:rsid w:val="00E44E45"/>
    <w:rsid w:val="00E4512F"/>
    <w:rsid w:val="00E459BD"/>
    <w:rsid w:val="00E459D9"/>
    <w:rsid w:val="00E46397"/>
    <w:rsid w:val="00E46CC7"/>
    <w:rsid w:val="00E47681"/>
    <w:rsid w:val="00E47B43"/>
    <w:rsid w:val="00E5080E"/>
    <w:rsid w:val="00E514C0"/>
    <w:rsid w:val="00E5204D"/>
    <w:rsid w:val="00E521C6"/>
    <w:rsid w:val="00E52C1F"/>
    <w:rsid w:val="00E5336C"/>
    <w:rsid w:val="00E53BBF"/>
    <w:rsid w:val="00E53BC4"/>
    <w:rsid w:val="00E54C5E"/>
    <w:rsid w:val="00E565E7"/>
    <w:rsid w:val="00E56AEF"/>
    <w:rsid w:val="00E574A9"/>
    <w:rsid w:val="00E6001D"/>
    <w:rsid w:val="00E6044E"/>
    <w:rsid w:val="00E6057F"/>
    <w:rsid w:val="00E60C64"/>
    <w:rsid w:val="00E611E3"/>
    <w:rsid w:val="00E618D1"/>
    <w:rsid w:val="00E61EA9"/>
    <w:rsid w:val="00E628DB"/>
    <w:rsid w:val="00E6325D"/>
    <w:rsid w:val="00E63867"/>
    <w:rsid w:val="00E63E58"/>
    <w:rsid w:val="00E6409E"/>
    <w:rsid w:val="00E6425D"/>
    <w:rsid w:val="00E65614"/>
    <w:rsid w:val="00E656C4"/>
    <w:rsid w:val="00E67620"/>
    <w:rsid w:val="00E67B79"/>
    <w:rsid w:val="00E7027A"/>
    <w:rsid w:val="00E70454"/>
    <w:rsid w:val="00E70608"/>
    <w:rsid w:val="00E709B8"/>
    <w:rsid w:val="00E70C32"/>
    <w:rsid w:val="00E714A2"/>
    <w:rsid w:val="00E718F6"/>
    <w:rsid w:val="00E72158"/>
    <w:rsid w:val="00E7249D"/>
    <w:rsid w:val="00E7306A"/>
    <w:rsid w:val="00E73C96"/>
    <w:rsid w:val="00E74F7D"/>
    <w:rsid w:val="00E758D3"/>
    <w:rsid w:val="00E75B2D"/>
    <w:rsid w:val="00E762EA"/>
    <w:rsid w:val="00E76A39"/>
    <w:rsid w:val="00E76F0E"/>
    <w:rsid w:val="00E772FA"/>
    <w:rsid w:val="00E778F4"/>
    <w:rsid w:val="00E8081F"/>
    <w:rsid w:val="00E81331"/>
    <w:rsid w:val="00E81403"/>
    <w:rsid w:val="00E81455"/>
    <w:rsid w:val="00E8152A"/>
    <w:rsid w:val="00E81E3E"/>
    <w:rsid w:val="00E81E76"/>
    <w:rsid w:val="00E8237A"/>
    <w:rsid w:val="00E8303C"/>
    <w:rsid w:val="00E832A6"/>
    <w:rsid w:val="00E838AD"/>
    <w:rsid w:val="00E83C1A"/>
    <w:rsid w:val="00E83EBC"/>
    <w:rsid w:val="00E84187"/>
    <w:rsid w:val="00E851D4"/>
    <w:rsid w:val="00E85686"/>
    <w:rsid w:val="00E85E02"/>
    <w:rsid w:val="00E85F80"/>
    <w:rsid w:val="00E8668C"/>
    <w:rsid w:val="00E876A5"/>
    <w:rsid w:val="00E87815"/>
    <w:rsid w:val="00E87EF0"/>
    <w:rsid w:val="00E87F81"/>
    <w:rsid w:val="00E87FA2"/>
    <w:rsid w:val="00E9083A"/>
    <w:rsid w:val="00E90CA1"/>
    <w:rsid w:val="00E90F10"/>
    <w:rsid w:val="00E9134F"/>
    <w:rsid w:val="00E915B5"/>
    <w:rsid w:val="00E915F8"/>
    <w:rsid w:val="00E9249A"/>
    <w:rsid w:val="00E92E23"/>
    <w:rsid w:val="00E92FCE"/>
    <w:rsid w:val="00E93352"/>
    <w:rsid w:val="00E9350C"/>
    <w:rsid w:val="00E94483"/>
    <w:rsid w:val="00E946AA"/>
    <w:rsid w:val="00E94AA3"/>
    <w:rsid w:val="00E96164"/>
    <w:rsid w:val="00E979E9"/>
    <w:rsid w:val="00EA02FB"/>
    <w:rsid w:val="00EA0E53"/>
    <w:rsid w:val="00EA11FC"/>
    <w:rsid w:val="00EA2E54"/>
    <w:rsid w:val="00EA4AF7"/>
    <w:rsid w:val="00EA5ABE"/>
    <w:rsid w:val="00EA63D2"/>
    <w:rsid w:val="00EA67C2"/>
    <w:rsid w:val="00EA7360"/>
    <w:rsid w:val="00EA7456"/>
    <w:rsid w:val="00EA7977"/>
    <w:rsid w:val="00EA7A13"/>
    <w:rsid w:val="00EB2289"/>
    <w:rsid w:val="00EB22E2"/>
    <w:rsid w:val="00EB28EC"/>
    <w:rsid w:val="00EB2C8F"/>
    <w:rsid w:val="00EB2D4C"/>
    <w:rsid w:val="00EB3099"/>
    <w:rsid w:val="00EB30B9"/>
    <w:rsid w:val="00EB32DA"/>
    <w:rsid w:val="00EB3ACD"/>
    <w:rsid w:val="00EB4800"/>
    <w:rsid w:val="00EB4ACC"/>
    <w:rsid w:val="00EB4E4B"/>
    <w:rsid w:val="00EB5153"/>
    <w:rsid w:val="00EB5C8C"/>
    <w:rsid w:val="00EB5DF8"/>
    <w:rsid w:val="00EB5F46"/>
    <w:rsid w:val="00EB6516"/>
    <w:rsid w:val="00EB6BFB"/>
    <w:rsid w:val="00EB7B63"/>
    <w:rsid w:val="00EB7F8C"/>
    <w:rsid w:val="00EB7FB2"/>
    <w:rsid w:val="00EC02BB"/>
    <w:rsid w:val="00EC05FC"/>
    <w:rsid w:val="00EC0F5B"/>
    <w:rsid w:val="00EC118B"/>
    <w:rsid w:val="00EC1400"/>
    <w:rsid w:val="00EC1C70"/>
    <w:rsid w:val="00EC1D23"/>
    <w:rsid w:val="00EC2A08"/>
    <w:rsid w:val="00EC2D52"/>
    <w:rsid w:val="00EC3228"/>
    <w:rsid w:val="00EC450A"/>
    <w:rsid w:val="00EC5846"/>
    <w:rsid w:val="00EC5E1A"/>
    <w:rsid w:val="00EC6167"/>
    <w:rsid w:val="00EC6526"/>
    <w:rsid w:val="00EC6D17"/>
    <w:rsid w:val="00ED1878"/>
    <w:rsid w:val="00ED1E4E"/>
    <w:rsid w:val="00ED234B"/>
    <w:rsid w:val="00ED29E6"/>
    <w:rsid w:val="00ED379D"/>
    <w:rsid w:val="00ED3ACA"/>
    <w:rsid w:val="00ED3C9E"/>
    <w:rsid w:val="00ED3F09"/>
    <w:rsid w:val="00ED42D9"/>
    <w:rsid w:val="00ED4622"/>
    <w:rsid w:val="00ED4942"/>
    <w:rsid w:val="00ED498B"/>
    <w:rsid w:val="00ED4FA9"/>
    <w:rsid w:val="00ED5484"/>
    <w:rsid w:val="00ED55BD"/>
    <w:rsid w:val="00ED56FD"/>
    <w:rsid w:val="00ED58FC"/>
    <w:rsid w:val="00ED5923"/>
    <w:rsid w:val="00ED5A02"/>
    <w:rsid w:val="00ED5FE4"/>
    <w:rsid w:val="00ED617B"/>
    <w:rsid w:val="00ED632C"/>
    <w:rsid w:val="00ED637E"/>
    <w:rsid w:val="00ED6CB5"/>
    <w:rsid w:val="00ED6E9D"/>
    <w:rsid w:val="00ED7651"/>
    <w:rsid w:val="00EE02D2"/>
    <w:rsid w:val="00EE0472"/>
    <w:rsid w:val="00EE1B62"/>
    <w:rsid w:val="00EE1BCC"/>
    <w:rsid w:val="00EE1E84"/>
    <w:rsid w:val="00EE23F8"/>
    <w:rsid w:val="00EE33DC"/>
    <w:rsid w:val="00EE3C76"/>
    <w:rsid w:val="00EE3D99"/>
    <w:rsid w:val="00EE449C"/>
    <w:rsid w:val="00EE4515"/>
    <w:rsid w:val="00EE4692"/>
    <w:rsid w:val="00EE4F1C"/>
    <w:rsid w:val="00EE543B"/>
    <w:rsid w:val="00EE5669"/>
    <w:rsid w:val="00EE74E1"/>
    <w:rsid w:val="00EE7508"/>
    <w:rsid w:val="00EF00BD"/>
    <w:rsid w:val="00EF018C"/>
    <w:rsid w:val="00EF01CF"/>
    <w:rsid w:val="00EF195E"/>
    <w:rsid w:val="00EF1D05"/>
    <w:rsid w:val="00EF2169"/>
    <w:rsid w:val="00EF2397"/>
    <w:rsid w:val="00EF3288"/>
    <w:rsid w:val="00EF3516"/>
    <w:rsid w:val="00EF37D6"/>
    <w:rsid w:val="00EF3F26"/>
    <w:rsid w:val="00EF47F0"/>
    <w:rsid w:val="00EF49F4"/>
    <w:rsid w:val="00EF4AA3"/>
    <w:rsid w:val="00EF4B7F"/>
    <w:rsid w:val="00EF51B6"/>
    <w:rsid w:val="00EF5F20"/>
    <w:rsid w:val="00EF7C54"/>
    <w:rsid w:val="00EF7D12"/>
    <w:rsid w:val="00F00213"/>
    <w:rsid w:val="00F0098C"/>
    <w:rsid w:val="00F00D80"/>
    <w:rsid w:val="00F01226"/>
    <w:rsid w:val="00F01758"/>
    <w:rsid w:val="00F02031"/>
    <w:rsid w:val="00F026D4"/>
    <w:rsid w:val="00F02784"/>
    <w:rsid w:val="00F0305F"/>
    <w:rsid w:val="00F03927"/>
    <w:rsid w:val="00F03A28"/>
    <w:rsid w:val="00F04462"/>
    <w:rsid w:val="00F04616"/>
    <w:rsid w:val="00F055BD"/>
    <w:rsid w:val="00F05850"/>
    <w:rsid w:val="00F059AF"/>
    <w:rsid w:val="00F06318"/>
    <w:rsid w:val="00F07744"/>
    <w:rsid w:val="00F07D3C"/>
    <w:rsid w:val="00F10B91"/>
    <w:rsid w:val="00F10C9B"/>
    <w:rsid w:val="00F12150"/>
    <w:rsid w:val="00F12CE1"/>
    <w:rsid w:val="00F12F46"/>
    <w:rsid w:val="00F14596"/>
    <w:rsid w:val="00F14944"/>
    <w:rsid w:val="00F1502A"/>
    <w:rsid w:val="00F15412"/>
    <w:rsid w:val="00F15540"/>
    <w:rsid w:val="00F1562C"/>
    <w:rsid w:val="00F15AFD"/>
    <w:rsid w:val="00F16100"/>
    <w:rsid w:val="00F167D3"/>
    <w:rsid w:val="00F17255"/>
    <w:rsid w:val="00F179B6"/>
    <w:rsid w:val="00F179DB"/>
    <w:rsid w:val="00F203D6"/>
    <w:rsid w:val="00F20CC7"/>
    <w:rsid w:val="00F210F0"/>
    <w:rsid w:val="00F21EFC"/>
    <w:rsid w:val="00F2217B"/>
    <w:rsid w:val="00F226A3"/>
    <w:rsid w:val="00F228D4"/>
    <w:rsid w:val="00F22D94"/>
    <w:rsid w:val="00F2322D"/>
    <w:rsid w:val="00F232A9"/>
    <w:rsid w:val="00F2394F"/>
    <w:rsid w:val="00F2457B"/>
    <w:rsid w:val="00F24BEE"/>
    <w:rsid w:val="00F2625B"/>
    <w:rsid w:val="00F267AB"/>
    <w:rsid w:val="00F26EDB"/>
    <w:rsid w:val="00F275B9"/>
    <w:rsid w:val="00F27704"/>
    <w:rsid w:val="00F303A4"/>
    <w:rsid w:val="00F30AA3"/>
    <w:rsid w:val="00F30BC0"/>
    <w:rsid w:val="00F30E73"/>
    <w:rsid w:val="00F30FD4"/>
    <w:rsid w:val="00F31095"/>
    <w:rsid w:val="00F31BA2"/>
    <w:rsid w:val="00F31F8C"/>
    <w:rsid w:val="00F31FCB"/>
    <w:rsid w:val="00F32B52"/>
    <w:rsid w:val="00F32B77"/>
    <w:rsid w:val="00F33287"/>
    <w:rsid w:val="00F33378"/>
    <w:rsid w:val="00F33762"/>
    <w:rsid w:val="00F342CC"/>
    <w:rsid w:val="00F349DE"/>
    <w:rsid w:val="00F3501F"/>
    <w:rsid w:val="00F35E5D"/>
    <w:rsid w:val="00F374DB"/>
    <w:rsid w:val="00F37745"/>
    <w:rsid w:val="00F40165"/>
    <w:rsid w:val="00F411AA"/>
    <w:rsid w:val="00F41852"/>
    <w:rsid w:val="00F41B62"/>
    <w:rsid w:val="00F41C76"/>
    <w:rsid w:val="00F420F5"/>
    <w:rsid w:val="00F421C8"/>
    <w:rsid w:val="00F43628"/>
    <w:rsid w:val="00F43788"/>
    <w:rsid w:val="00F43E17"/>
    <w:rsid w:val="00F43EA4"/>
    <w:rsid w:val="00F445F2"/>
    <w:rsid w:val="00F44AF0"/>
    <w:rsid w:val="00F44CF4"/>
    <w:rsid w:val="00F44EE5"/>
    <w:rsid w:val="00F45606"/>
    <w:rsid w:val="00F46BEB"/>
    <w:rsid w:val="00F47C94"/>
    <w:rsid w:val="00F47D14"/>
    <w:rsid w:val="00F509F6"/>
    <w:rsid w:val="00F51CB7"/>
    <w:rsid w:val="00F53522"/>
    <w:rsid w:val="00F53610"/>
    <w:rsid w:val="00F53EC6"/>
    <w:rsid w:val="00F540E2"/>
    <w:rsid w:val="00F555E7"/>
    <w:rsid w:val="00F5610D"/>
    <w:rsid w:val="00F57497"/>
    <w:rsid w:val="00F60B07"/>
    <w:rsid w:val="00F61285"/>
    <w:rsid w:val="00F612CE"/>
    <w:rsid w:val="00F619B7"/>
    <w:rsid w:val="00F61BB3"/>
    <w:rsid w:val="00F62219"/>
    <w:rsid w:val="00F6243A"/>
    <w:rsid w:val="00F62D54"/>
    <w:rsid w:val="00F6311E"/>
    <w:rsid w:val="00F6335C"/>
    <w:rsid w:val="00F63B75"/>
    <w:rsid w:val="00F64EA4"/>
    <w:rsid w:val="00F6604A"/>
    <w:rsid w:val="00F66606"/>
    <w:rsid w:val="00F66FF9"/>
    <w:rsid w:val="00F67830"/>
    <w:rsid w:val="00F67FE8"/>
    <w:rsid w:val="00F70371"/>
    <w:rsid w:val="00F70710"/>
    <w:rsid w:val="00F7087C"/>
    <w:rsid w:val="00F70D77"/>
    <w:rsid w:val="00F70DCD"/>
    <w:rsid w:val="00F7191C"/>
    <w:rsid w:val="00F72D89"/>
    <w:rsid w:val="00F73120"/>
    <w:rsid w:val="00F731D4"/>
    <w:rsid w:val="00F73375"/>
    <w:rsid w:val="00F73F27"/>
    <w:rsid w:val="00F7400A"/>
    <w:rsid w:val="00F74279"/>
    <w:rsid w:val="00F744F3"/>
    <w:rsid w:val="00F74C56"/>
    <w:rsid w:val="00F75B31"/>
    <w:rsid w:val="00F7682C"/>
    <w:rsid w:val="00F76CC3"/>
    <w:rsid w:val="00F7703D"/>
    <w:rsid w:val="00F77B03"/>
    <w:rsid w:val="00F77BF6"/>
    <w:rsid w:val="00F8150A"/>
    <w:rsid w:val="00F81CA2"/>
    <w:rsid w:val="00F81E7B"/>
    <w:rsid w:val="00F82840"/>
    <w:rsid w:val="00F82C62"/>
    <w:rsid w:val="00F83327"/>
    <w:rsid w:val="00F83757"/>
    <w:rsid w:val="00F84EF4"/>
    <w:rsid w:val="00F8522F"/>
    <w:rsid w:val="00F85265"/>
    <w:rsid w:val="00F853AF"/>
    <w:rsid w:val="00F85949"/>
    <w:rsid w:val="00F85AAC"/>
    <w:rsid w:val="00F85FDB"/>
    <w:rsid w:val="00F8612E"/>
    <w:rsid w:val="00F865DC"/>
    <w:rsid w:val="00F8670F"/>
    <w:rsid w:val="00F8679A"/>
    <w:rsid w:val="00F87711"/>
    <w:rsid w:val="00F902EB"/>
    <w:rsid w:val="00F9111D"/>
    <w:rsid w:val="00F916F1"/>
    <w:rsid w:val="00F92BC0"/>
    <w:rsid w:val="00F93B6C"/>
    <w:rsid w:val="00F9655C"/>
    <w:rsid w:val="00F9662D"/>
    <w:rsid w:val="00F96C48"/>
    <w:rsid w:val="00F971A8"/>
    <w:rsid w:val="00FA0EDA"/>
    <w:rsid w:val="00FA190A"/>
    <w:rsid w:val="00FA1FBE"/>
    <w:rsid w:val="00FA33AC"/>
    <w:rsid w:val="00FA45DC"/>
    <w:rsid w:val="00FA4F32"/>
    <w:rsid w:val="00FA55BA"/>
    <w:rsid w:val="00FA598E"/>
    <w:rsid w:val="00FA5A05"/>
    <w:rsid w:val="00FA5CD6"/>
    <w:rsid w:val="00FA5D66"/>
    <w:rsid w:val="00FA6314"/>
    <w:rsid w:val="00FA6A2C"/>
    <w:rsid w:val="00FA786D"/>
    <w:rsid w:val="00FA7CEA"/>
    <w:rsid w:val="00FB1748"/>
    <w:rsid w:val="00FB21C6"/>
    <w:rsid w:val="00FB2943"/>
    <w:rsid w:val="00FB3F7B"/>
    <w:rsid w:val="00FB3F86"/>
    <w:rsid w:val="00FB4266"/>
    <w:rsid w:val="00FB662B"/>
    <w:rsid w:val="00FB7438"/>
    <w:rsid w:val="00FB7D6A"/>
    <w:rsid w:val="00FC09C7"/>
    <w:rsid w:val="00FC118E"/>
    <w:rsid w:val="00FC1886"/>
    <w:rsid w:val="00FC31CC"/>
    <w:rsid w:val="00FC32E9"/>
    <w:rsid w:val="00FC3C3C"/>
    <w:rsid w:val="00FC40DF"/>
    <w:rsid w:val="00FC4167"/>
    <w:rsid w:val="00FC4B4C"/>
    <w:rsid w:val="00FC500C"/>
    <w:rsid w:val="00FC63BC"/>
    <w:rsid w:val="00FC668B"/>
    <w:rsid w:val="00FC66C5"/>
    <w:rsid w:val="00FC6B89"/>
    <w:rsid w:val="00FC6E7F"/>
    <w:rsid w:val="00FC742A"/>
    <w:rsid w:val="00FC7587"/>
    <w:rsid w:val="00FC7615"/>
    <w:rsid w:val="00FC7B54"/>
    <w:rsid w:val="00FC7E63"/>
    <w:rsid w:val="00FC7FA9"/>
    <w:rsid w:val="00FD048B"/>
    <w:rsid w:val="00FD0E2A"/>
    <w:rsid w:val="00FD1423"/>
    <w:rsid w:val="00FD1D06"/>
    <w:rsid w:val="00FD2378"/>
    <w:rsid w:val="00FD2978"/>
    <w:rsid w:val="00FD2C39"/>
    <w:rsid w:val="00FD2E0C"/>
    <w:rsid w:val="00FD44A9"/>
    <w:rsid w:val="00FD57FA"/>
    <w:rsid w:val="00FD5DD5"/>
    <w:rsid w:val="00FD635E"/>
    <w:rsid w:val="00FD68FD"/>
    <w:rsid w:val="00FD6CBF"/>
    <w:rsid w:val="00FD7C7F"/>
    <w:rsid w:val="00FD7CA2"/>
    <w:rsid w:val="00FE03FA"/>
    <w:rsid w:val="00FE056D"/>
    <w:rsid w:val="00FE0655"/>
    <w:rsid w:val="00FE0685"/>
    <w:rsid w:val="00FE09EC"/>
    <w:rsid w:val="00FE0B78"/>
    <w:rsid w:val="00FE1A36"/>
    <w:rsid w:val="00FE1EF2"/>
    <w:rsid w:val="00FE2069"/>
    <w:rsid w:val="00FE23F0"/>
    <w:rsid w:val="00FE24BB"/>
    <w:rsid w:val="00FE27F3"/>
    <w:rsid w:val="00FE35D9"/>
    <w:rsid w:val="00FE3998"/>
    <w:rsid w:val="00FE3A95"/>
    <w:rsid w:val="00FE4395"/>
    <w:rsid w:val="00FE47FB"/>
    <w:rsid w:val="00FE4CA3"/>
    <w:rsid w:val="00FE4DE9"/>
    <w:rsid w:val="00FE5576"/>
    <w:rsid w:val="00FE6721"/>
    <w:rsid w:val="00FE7568"/>
    <w:rsid w:val="00FE7BA2"/>
    <w:rsid w:val="00FF0452"/>
    <w:rsid w:val="00FF1873"/>
    <w:rsid w:val="00FF1C4A"/>
    <w:rsid w:val="00FF1D03"/>
    <w:rsid w:val="00FF28FF"/>
    <w:rsid w:val="00FF2E7A"/>
    <w:rsid w:val="00FF3C44"/>
    <w:rsid w:val="00FF4437"/>
    <w:rsid w:val="00FF44A4"/>
    <w:rsid w:val="00FF490A"/>
    <w:rsid w:val="00FF4939"/>
    <w:rsid w:val="00FF5A33"/>
    <w:rsid w:val="00FF6B60"/>
    <w:rsid w:val="00FF73A8"/>
    <w:rsid w:val="00FF76E7"/>
    <w:rsid w:val="00FF7C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22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6CC"/>
    <w:rPr>
      <w:sz w:val="24"/>
      <w:szCs w:val="24"/>
    </w:rPr>
  </w:style>
  <w:style w:type="paragraph" w:styleId="1">
    <w:name w:val="heading 1"/>
    <w:basedOn w:val="a"/>
    <w:next w:val="a"/>
    <w:link w:val="10"/>
    <w:uiPriority w:val="99"/>
    <w:qFormat/>
    <w:rsid w:val="00B80E29"/>
    <w:pPr>
      <w:autoSpaceDE w:val="0"/>
      <w:autoSpaceDN w:val="0"/>
      <w:adjustRightInd w:val="0"/>
      <w:spacing w:before="108" w:after="108"/>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12D20"/>
    <w:rPr>
      <w:rFonts w:ascii="Cambria" w:hAnsi="Cambria" w:cs="Cambria"/>
      <w:b/>
      <w:bCs/>
      <w:kern w:val="32"/>
      <w:sz w:val="32"/>
      <w:szCs w:val="32"/>
    </w:rPr>
  </w:style>
  <w:style w:type="paragraph" w:styleId="2">
    <w:name w:val="Body Text 2"/>
    <w:basedOn w:val="a"/>
    <w:link w:val="20"/>
    <w:uiPriority w:val="99"/>
    <w:rsid w:val="001E7CA7"/>
    <w:pPr>
      <w:spacing w:after="120" w:line="480" w:lineRule="auto"/>
    </w:pPr>
  </w:style>
  <w:style w:type="character" w:customStyle="1" w:styleId="20">
    <w:name w:val="Основной текст 2 Знак"/>
    <w:basedOn w:val="a0"/>
    <w:link w:val="2"/>
    <w:uiPriority w:val="99"/>
    <w:locked/>
    <w:rsid w:val="00812D20"/>
    <w:rPr>
      <w:rFonts w:cs="Times New Roman"/>
      <w:sz w:val="24"/>
      <w:szCs w:val="24"/>
    </w:rPr>
  </w:style>
  <w:style w:type="paragraph" w:styleId="a3">
    <w:name w:val="Normal (Web)"/>
    <w:basedOn w:val="a"/>
    <w:uiPriority w:val="99"/>
    <w:rsid w:val="007F27E7"/>
    <w:pPr>
      <w:spacing w:before="100" w:beforeAutospacing="1" w:after="100" w:afterAutospacing="1"/>
    </w:pPr>
  </w:style>
  <w:style w:type="character" w:styleId="a4">
    <w:name w:val="Strong"/>
    <w:basedOn w:val="a0"/>
    <w:uiPriority w:val="99"/>
    <w:qFormat/>
    <w:rsid w:val="007F27E7"/>
    <w:rPr>
      <w:rFonts w:cs="Times New Roman"/>
      <w:b/>
      <w:bCs/>
    </w:rPr>
  </w:style>
  <w:style w:type="paragraph" w:styleId="a5">
    <w:name w:val="Body Text Indent"/>
    <w:basedOn w:val="a"/>
    <w:link w:val="a6"/>
    <w:uiPriority w:val="99"/>
    <w:rsid w:val="00043D7E"/>
    <w:pPr>
      <w:spacing w:after="120"/>
      <w:ind w:left="283"/>
    </w:pPr>
  </w:style>
  <w:style w:type="character" w:customStyle="1" w:styleId="a6">
    <w:name w:val="Основной текст с отступом Знак"/>
    <w:basedOn w:val="a0"/>
    <w:link w:val="a5"/>
    <w:uiPriority w:val="99"/>
    <w:semiHidden/>
    <w:locked/>
    <w:rsid w:val="00812D20"/>
    <w:rPr>
      <w:rFonts w:cs="Times New Roman"/>
      <w:sz w:val="24"/>
      <w:szCs w:val="24"/>
    </w:rPr>
  </w:style>
  <w:style w:type="character" w:styleId="a7">
    <w:name w:val="Hyperlink"/>
    <w:basedOn w:val="a0"/>
    <w:uiPriority w:val="99"/>
    <w:rsid w:val="00567C6C"/>
    <w:rPr>
      <w:rFonts w:cs="Times New Roman"/>
      <w:color w:val="0000FF"/>
      <w:u w:val="single"/>
    </w:rPr>
  </w:style>
  <w:style w:type="paragraph" w:customStyle="1" w:styleId="ConsPlusCell">
    <w:name w:val="ConsPlusCell"/>
    <w:uiPriority w:val="99"/>
    <w:rsid w:val="008C45BC"/>
    <w:pPr>
      <w:autoSpaceDE w:val="0"/>
      <w:autoSpaceDN w:val="0"/>
      <w:adjustRightInd w:val="0"/>
    </w:pPr>
    <w:rPr>
      <w:sz w:val="24"/>
      <w:szCs w:val="24"/>
    </w:rPr>
  </w:style>
  <w:style w:type="character" w:customStyle="1" w:styleId="a8">
    <w:name w:val="Гипертекстовая ссылка"/>
    <w:uiPriority w:val="99"/>
    <w:rsid w:val="000B06C3"/>
    <w:rPr>
      <w:color w:val="auto"/>
    </w:rPr>
  </w:style>
  <w:style w:type="character" w:customStyle="1" w:styleId="a9">
    <w:name w:val="Цветовое выделение"/>
    <w:uiPriority w:val="99"/>
    <w:rsid w:val="00A7481F"/>
    <w:rPr>
      <w:b/>
      <w:color w:val="auto"/>
      <w:sz w:val="26"/>
    </w:rPr>
  </w:style>
  <w:style w:type="paragraph" w:customStyle="1" w:styleId="aa">
    <w:name w:val="Заголовок статьи"/>
    <w:basedOn w:val="a"/>
    <w:next w:val="a"/>
    <w:uiPriority w:val="99"/>
    <w:rsid w:val="00A7481F"/>
    <w:pPr>
      <w:autoSpaceDE w:val="0"/>
      <w:autoSpaceDN w:val="0"/>
      <w:adjustRightInd w:val="0"/>
      <w:ind w:left="1612" w:hanging="892"/>
      <w:jc w:val="both"/>
    </w:pPr>
    <w:rPr>
      <w:rFonts w:ascii="Arial" w:hAnsi="Arial" w:cs="Arial"/>
    </w:rPr>
  </w:style>
  <w:style w:type="paragraph" w:customStyle="1" w:styleId="ab">
    <w:name w:val="Комментарий"/>
    <w:basedOn w:val="a"/>
    <w:next w:val="a"/>
    <w:uiPriority w:val="99"/>
    <w:rsid w:val="00A7481F"/>
    <w:pPr>
      <w:autoSpaceDE w:val="0"/>
      <w:autoSpaceDN w:val="0"/>
      <w:adjustRightInd w:val="0"/>
      <w:spacing w:before="75"/>
      <w:jc w:val="both"/>
    </w:pPr>
    <w:rPr>
      <w:rFonts w:ascii="Arial" w:hAnsi="Arial" w:cs="Arial"/>
      <w:color w:val="353842"/>
      <w:shd w:val="clear" w:color="auto" w:fill="F0F0F0"/>
    </w:rPr>
  </w:style>
  <w:style w:type="paragraph" w:customStyle="1" w:styleId="ac">
    <w:name w:val="Информация об изменениях документа"/>
    <w:basedOn w:val="ab"/>
    <w:next w:val="a"/>
    <w:uiPriority w:val="99"/>
    <w:rsid w:val="00A7481F"/>
    <w:pPr>
      <w:spacing w:before="0"/>
    </w:pPr>
    <w:rPr>
      <w:i/>
      <w:iCs/>
    </w:rPr>
  </w:style>
  <w:style w:type="paragraph" w:customStyle="1" w:styleId="ad">
    <w:name w:val="Прижатый влево"/>
    <w:basedOn w:val="a"/>
    <w:next w:val="a"/>
    <w:rsid w:val="00A16378"/>
    <w:pPr>
      <w:widowControl w:val="0"/>
      <w:autoSpaceDE w:val="0"/>
      <w:autoSpaceDN w:val="0"/>
      <w:adjustRightInd w:val="0"/>
    </w:pPr>
    <w:rPr>
      <w:rFonts w:ascii="Arial" w:hAnsi="Arial" w:cs="Arial"/>
    </w:rPr>
  </w:style>
  <w:style w:type="paragraph" w:customStyle="1" w:styleId="ConsPlusTitle">
    <w:name w:val="ConsPlusTitle"/>
    <w:rsid w:val="00F6243A"/>
    <w:pPr>
      <w:widowControl w:val="0"/>
      <w:autoSpaceDE w:val="0"/>
      <w:autoSpaceDN w:val="0"/>
      <w:adjustRightInd w:val="0"/>
    </w:pPr>
    <w:rPr>
      <w:b/>
      <w:bCs/>
      <w:sz w:val="24"/>
      <w:szCs w:val="24"/>
    </w:rPr>
  </w:style>
  <w:style w:type="paragraph" w:styleId="ae">
    <w:name w:val="header"/>
    <w:basedOn w:val="a"/>
    <w:link w:val="af"/>
    <w:uiPriority w:val="99"/>
    <w:rsid w:val="006022A9"/>
    <w:pPr>
      <w:tabs>
        <w:tab w:val="center" w:pos="4677"/>
        <w:tab w:val="right" w:pos="9355"/>
      </w:tabs>
    </w:pPr>
  </w:style>
  <w:style w:type="character" w:customStyle="1" w:styleId="af">
    <w:name w:val="Верхний колонтитул Знак"/>
    <w:basedOn w:val="a0"/>
    <w:link w:val="ae"/>
    <w:uiPriority w:val="99"/>
    <w:locked/>
    <w:rsid w:val="00A129A0"/>
    <w:rPr>
      <w:rFonts w:eastAsia="Times New Roman" w:cs="Times New Roman"/>
      <w:sz w:val="24"/>
      <w:szCs w:val="24"/>
    </w:rPr>
  </w:style>
  <w:style w:type="character" w:styleId="af0">
    <w:name w:val="page number"/>
    <w:basedOn w:val="a0"/>
    <w:uiPriority w:val="99"/>
    <w:rsid w:val="006022A9"/>
    <w:rPr>
      <w:rFonts w:cs="Times New Roman"/>
    </w:rPr>
  </w:style>
  <w:style w:type="paragraph" w:styleId="af1">
    <w:name w:val="Title"/>
    <w:basedOn w:val="a"/>
    <w:link w:val="af2"/>
    <w:uiPriority w:val="99"/>
    <w:qFormat/>
    <w:rsid w:val="00D117F8"/>
    <w:pPr>
      <w:jc w:val="center"/>
    </w:pPr>
    <w:rPr>
      <w:b/>
      <w:bCs/>
    </w:rPr>
  </w:style>
  <w:style w:type="character" w:customStyle="1" w:styleId="af2">
    <w:name w:val="Название Знак"/>
    <w:basedOn w:val="a0"/>
    <w:link w:val="af1"/>
    <w:uiPriority w:val="99"/>
    <w:locked/>
    <w:rsid w:val="00D117F8"/>
    <w:rPr>
      <w:rFonts w:cs="Times New Roman"/>
      <w:b/>
      <w:bCs/>
      <w:sz w:val="24"/>
      <w:szCs w:val="24"/>
    </w:rPr>
  </w:style>
  <w:style w:type="paragraph" w:styleId="af3">
    <w:name w:val="footer"/>
    <w:basedOn w:val="a"/>
    <w:link w:val="af4"/>
    <w:uiPriority w:val="99"/>
    <w:rsid w:val="005B0ED0"/>
    <w:pPr>
      <w:tabs>
        <w:tab w:val="center" w:pos="4677"/>
        <w:tab w:val="right" w:pos="9355"/>
      </w:tabs>
    </w:pPr>
  </w:style>
  <w:style w:type="character" w:customStyle="1" w:styleId="af4">
    <w:name w:val="Нижний колонтитул Знак"/>
    <w:basedOn w:val="a0"/>
    <w:link w:val="af3"/>
    <w:uiPriority w:val="99"/>
    <w:locked/>
    <w:rsid w:val="005B0ED0"/>
    <w:rPr>
      <w:rFonts w:eastAsia="Times New Roman" w:cs="Times New Roman"/>
      <w:sz w:val="24"/>
      <w:szCs w:val="24"/>
    </w:rPr>
  </w:style>
  <w:style w:type="paragraph" w:styleId="af5">
    <w:name w:val="List Paragraph"/>
    <w:basedOn w:val="a"/>
    <w:uiPriority w:val="34"/>
    <w:qFormat/>
    <w:rsid w:val="009B4379"/>
    <w:pPr>
      <w:ind w:left="720"/>
    </w:pPr>
  </w:style>
  <w:style w:type="paragraph" w:styleId="af6">
    <w:name w:val="Balloon Text"/>
    <w:basedOn w:val="a"/>
    <w:link w:val="af7"/>
    <w:uiPriority w:val="99"/>
    <w:semiHidden/>
    <w:rsid w:val="00E25779"/>
    <w:rPr>
      <w:rFonts w:ascii="Tahoma" w:hAnsi="Tahoma" w:cs="Tahoma"/>
      <w:sz w:val="16"/>
      <w:szCs w:val="16"/>
    </w:rPr>
  </w:style>
  <w:style w:type="character" w:customStyle="1" w:styleId="af7">
    <w:name w:val="Текст выноски Знак"/>
    <w:basedOn w:val="a0"/>
    <w:link w:val="af6"/>
    <w:uiPriority w:val="99"/>
    <w:locked/>
    <w:rsid w:val="00E25779"/>
    <w:rPr>
      <w:rFonts w:ascii="Tahoma" w:hAnsi="Tahoma" w:cs="Tahoma"/>
      <w:sz w:val="16"/>
      <w:szCs w:val="16"/>
    </w:rPr>
  </w:style>
  <w:style w:type="paragraph" w:customStyle="1" w:styleId="ConsPlusNormal">
    <w:name w:val="ConsPlusNormal"/>
    <w:uiPriority w:val="99"/>
    <w:rsid w:val="006311DE"/>
    <w:pPr>
      <w:widowControl w:val="0"/>
      <w:autoSpaceDE w:val="0"/>
      <w:autoSpaceDN w:val="0"/>
      <w:adjustRightInd w:val="0"/>
    </w:pPr>
    <w:rPr>
      <w:rFonts w:ascii="Arial" w:hAnsi="Arial" w:cs="Arial"/>
    </w:rPr>
  </w:style>
  <w:style w:type="paragraph" w:customStyle="1" w:styleId="af8">
    <w:name w:val="Нормальный (таблица)"/>
    <w:basedOn w:val="a"/>
    <w:next w:val="a"/>
    <w:uiPriority w:val="99"/>
    <w:rsid w:val="002B75EE"/>
    <w:pPr>
      <w:autoSpaceDE w:val="0"/>
      <w:autoSpaceDN w:val="0"/>
      <w:adjustRightInd w:val="0"/>
      <w:jc w:val="both"/>
    </w:pPr>
    <w:rPr>
      <w:rFonts w:ascii="Arial" w:hAnsi="Arial" w:cs="Arial"/>
    </w:rPr>
  </w:style>
  <w:style w:type="paragraph" w:styleId="af9">
    <w:name w:val="Body Text"/>
    <w:basedOn w:val="a"/>
    <w:link w:val="afa"/>
    <w:uiPriority w:val="99"/>
    <w:rsid w:val="002B75EE"/>
    <w:pPr>
      <w:spacing w:after="120"/>
    </w:pPr>
  </w:style>
  <w:style w:type="character" w:customStyle="1" w:styleId="afa">
    <w:name w:val="Основной текст Знак"/>
    <w:basedOn w:val="a0"/>
    <w:link w:val="af9"/>
    <w:uiPriority w:val="99"/>
    <w:locked/>
    <w:rsid w:val="002B75EE"/>
    <w:rPr>
      <w:rFonts w:cs="Times New Roman"/>
      <w:sz w:val="24"/>
      <w:szCs w:val="24"/>
    </w:rPr>
  </w:style>
  <w:style w:type="paragraph" w:customStyle="1" w:styleId="Style10">
    <w:name w:val="Style10"/>
    <w:basedOn w:val="a"/>
    <w:uiPriority w:val="99"/>
    <w:rsid w:val="00623C1A"/>
    <w:pPr>
      <w:widowControl w:val="0"/>
      <w:autoSpaceDE w:val="0"/>
      <w:autoSpaceDN w:val="0"/>
      <w:adjustRightInd w:val="0"/>
      <w:jc w:val="both"/>
    </w:pPr>
  </w:style>
  <w:style w:type="paragraph" w:styleId="3">
    <w:name w:val="Body Text Indent 3"/>
    <w:basedOn w:val="a"/>
    <w:link w:val="30"/>
    <w:rsid w:val="004D14BC"/>
    <w:pPr>
      <w:spacing w:after="120"/>
      <w:ind w:left="283"/>
    </w:pPr>
    <w:rPr>
      <w:rFonts w:ascii="Calibri" w:hAnsi="Calibri"/>
      <w:sz w:val="16"/>
      <w:szCs w:val="16"/>
      <w:lang w:val="en-US" w:eastAsia="en-US" w:bidi="en-US"/>
    </w:rPr>
  </w:style>
  <w:style w:type="character" w:customStyle="1" w:styleId="30">
    <w:name w:val="Основной текст с отступом 3 Знак"/>
    <w:basedOn w:val="a0"/>
    <w:link w:val="3"/>
    <w:rsid w:val="004D14BC"/>
    <w:rPr>
      <w:rFonts w:ascii="Calibri" w:hAnsi="Calibri"/>
      <w:sz w:val="16"/>
      <w:szCs w:val="16"/>
      <w:lang w:val="en-US" w:eastAsia="en-US" w:bidi="en-US"/>
    </w:rPr>
  </w:style>
  <w:style w:type="paragraph" w:customStyle="1" w:styleId="11">
    <w:name w:val="Абзац списка1"/>
    <w:basedOn w:val="a"/>
    <w:rsid w:val="00010F43"/>
    <w:pPr>
      <w:ind w:left="720"/>
    </w:pPr>
    <w:rPr>
      <w:rFonts w:eastAsia="Calibri"/>
    </w:rPr>
  </w:style>
  <w:style w:type="paragraph" w:customStyle="1" w:styleId="twpcp">
    <w:name w:val="t_wpc_p"/>
    <w:basedOn w:val="a"/>
    <w:rsid w:val="00F47D14"/>
    <w:pPr>
      <w:spacing w:before="100" w:beforeAutospacing="1" w:after="100" w:afterAutospacing="1"/>
    </w:pPr>
    <w:rPr>
      <w:rFonts w:ascii="Calibri" w:eastAsia="Calibri" w:hAnsi="Calibri"/>
      <w:lang w:val="en-US" w:eastAsia="en-US" w:bidi="en-US"/>
    </w:rPr>
  </w:style>
  <w:style w:type="paragraph" w:customStyle="1" w:styleId="21">
    <w:name w:val="Абзац списка2"/>
    <w:basedOn w:val="a"/>
    <w:rsid w:val="005222CC"/>
    <w:pPr>
      <w:ind w:left="720"/>
    </w:pPr>
  </w:style>
  <w:style w:type="paragraph" w:customStyle="1" w:styleId="31">
    <w:name w:val="Абзац списка3"/>
    <w:basedOn w:val="a"/>
    <w:rsid w:val="004F5A32"/>
    <w:pPr>
      <w:ind w:left="720"/>
    </w:pPr>
  </w:style>
  <w:style w:type="paragraph" w:customStyle="1" w:styleId="12">
    <w:name w:val="1"/>
    <w:rsid w:val="00977C61"/>
    <w:rPr>
      <w:sz w:val="24"/>
      <w:szCs w:val="24"/>
    </w:rPr>
  </w:style>
  <w:style w:type="paragraph" w:customStyle="1" w:styleId="afb">
    <w:name w:val="Таблицы (моноширинный)"/>
    <w:basedOn w:val="a"/>
    <w:next w:val="a"/>
    <w:uiPriority w:val="99"/>
    <w:rsid w:val="00121208"/>
    <w:pPr>
      <w:autoSpaceDE w:val="0"/>
      <w:autoSpaceDN w:val="0"/>
      <w:adjustRightInd w:val="0"/>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157651573">
      <w:bodyDiv w:val="1"/>
      <w:marLeft w:val="0"/>
      <w:marRight w:val="0"/>
      <w:marTop w:val="0"/>
      <w:marBottom w:val="0"/>
      <w:divBdr>
        <w:top w:val="none" w:sz="0" w:space="0" w:color="auto"/>
        <w:left w:val="none" w:sz="0" w:space="0" w:color="auto"/>
        <w:bottom w:val="none" w:sz="0" w:space="0" w:color="auto"/>
        <w:right w:val="none" w:sz="0" w:space="0" w:color="auto"/>
      </w:divBdr>
    </w:div>
    <w:div w:id="1527718976">
      <w:marLeft w:val="0"/>
      <w:marRight w:val="0"/>
      <w:marTop w:val="0"/>
      <w:marBottom w:val="0"/>
      <w:divBdr>
        <w:top w:val="none" w:sz="0" w:space="0" w:color="auto"/>
        <w:left w:val="none" w:sz="0" w:space="0" w:color="auto"/>
        <w:bottom w:val="none" w:sz="0" w:space="0" w:color="auto"/>
        <w:right w:val="none" w:sz="0" w:space="0" w:color="auto"/>
      </w:divBdr>
    </w:div>
    <w:div w:id="1527718978">
      <w:marLeft w:val="0"/>
      <w:marRight w:val="0"/>
      <w:marTop w:val="0"/>
      <w:marBottom w:val="0"/>
      <w:divBdr>
        <w:top w:val="none" w:sz="0" w:space="0" w:color="auto"/>
        <w:left w:val="none" w:sz="0" w:space="0" w:color="auto"/>
        <w:bottom w:val="none" w:sz="0" w:space="0" w:color="auto"/>
        <w:right w:val="none" w:sz="0" w:space="0" w:color="auto"/>
      </w:divBdr>
    </w:div>
    <w:div w:id="1527718979">
      <w:marLeft w:val="0"/>
      <w:marRight w:val="0"/>
      <w:marTop w:val="0"/>
      <w:marBottom w:val="0"/>
      <w:divBdr>
        <w:top w:val="none" w:sz="0" w:space="0" w:color="auto"/>
        <w:left w:val="none" w:sz="0" w:space="0" w:color="auto"/>
        <w:bottom w:val="none" w:sz="0" w:space="0" w:color="auto"/>
        <w:right w:val="none" w:sz="0" w:space="0" w:color="auto"/>
      </w:divBdr>
    </w:div>
    <w:div w:id="1527718980">
      <w:marLeft w:val="0"/>
      <w:marRight w:val="0"/>
      <w:marTop w:val="0"/>
      <w:marBottom w:val="0"/>
      <w:divBdr>
        <w:top w:val="none" w:sz="0" w:space="0" w:color="auto"/>
        <w:left w:val="none" w:sz="0" w:space="0" w:color="auto"/>
        <w:bottom w:val="none" w:sz="0" w:space="0" w:color="auto"/>
        <w:right w:val="none" w:sz="0" w:space="0" w:color="auto"/>
      </w:divBdr>
    </w:div>
    <w:div w:id="1527718981">
      <w:marLeft w:val="0"/>
      <w:marRight w:val="0"/>
      <w:marTop w:val="0"/>
      <w:marBottom w:val="0"/>
      <w:divBdr>
        <w:top w:val="none" w:sz="0" w:space="0" w:color="auto"/>
        <w:left w:val="none" w:sz="0" w:space="0" w:color="auto"/>
        <w:bottom w:val="none" w:sz="0" w:space="0" w:color="auto"/>
        <w:right w:val="none" w:sz="0" w:space="0" w:color="auto"/>
      </w:divBdr>
    </w:div>
    <w:div w:id="1527718982">
      <w:marLeft w:val="0"/>
      <w:marRight w:val="0"/>
      <w:marTop w:val="0"/>
      <w:marBottom w:val="0"/>
      <w:divBdr>
        <w:top w:val="none" w:sz="0" w:space="0" w:color="auto"/>
        <w:left w:val="none" w:sz="0" w:space="0" w:color="auto"/>
        <w:bottom w:val="none" w:sz="0" w:space="0" w:color="auto"/>
        <w:right w:val="none" w:sz="0" w:space="0" w:color="auto"/>
      </w:divBdr>
      <w:divsChild>
        <w:div w:id="1527718977">
          <w:marLeft w:val="0"/>
          <w:marRight w:val="0"/>
          <w:marTop w:val="0"/>
          <w:marBottom w:val="0"/>
          <w:divBdr>
            <w:top w:val="none" w:sz="0" w:space="0" w:color="auto"/>
            <w:left w:val="none" w:sz="0" w:space="0" w:color="auto"/>
            <w:bottom w:val="none" w:sz="0" w:space="0" w:color="auto"/>
            <w:right w:val="none" w:sz="0" w:space="0" w:color="auto"/>
          </w:divBdr>
        </w:div>
      </w:divsChild>
    </w:div>
    <w:div w:id="1527718983">
      <w:marLeft w:val="0"/>
      <w:marRight w:val="0"/>
      <w:marTop w:val="0"/>
      <w:marBottom w:val="0"/>
      <w:divBdr>
        <w:top w:val="none" w:sz="0" w:space="0" w:color="auto"/>
        <w:left w:val="none" w:sz="0" w:space="0" w:color="auto"/>
        <w:bottom w:val="none" w:sz="0" w:space="0" w:color="auto"/>
        <w:right w:val="none" w:sz="0" w:space="0" w:color="auto"/>
      </w:divBdr>
    </w:div>
    <w:div w:id="1527718984">
      <w:marLeft w:val="0"/>
      <w:marRight w:val="0"/>
      <w:marTop w:val="0"/>
      <w:marBottom w:val="0"/>
      <w:divBdr>
        <w:top w:val="none" w:sz="0" w:space="0" w:color="auto"/>
        <w:left w:val="none" w:sz="0" w:space="0" w:color="auto"/>
        <w:bottom w:val="none" w:sz="0" w:space="0" w:color="auto"/>
        <w:right w:val="none" w:sz="0" w:space="0" w:color="auto"/>
      </w:divBdr>
    </w:div>
    <w:div w:id="1527718985">
      <w:marLeft w:val="0"/>
      <w:marRight w:val="0"/>
      <w:marTop w:val="0"/>
      <w:marBottom w:val="0"/>
      <w:divBdr>
        <w:top w:val="none" w:sz="0" w:space="0" w:color="auto"/>
        <w:left w:val="none" w:sz="0" w:space="0" w:color="auto"/>
        <w:bottom w:val="none" w:sz="0" w:space="0" w:color="auto"/>
        <w:right w:val="none" w:sz="0" w:space="0" w:color="auto"/>
      </w:divBdr>
    </w:div>
    <w:div w:id="1527718986">
      <w:marLeft w:val="0"/>
      <w:marRight w:val="0"/>
      <w:marTop w:val="0"/>
      <w:marBottom w:val="0"/>
      <w:divBdr>
        <w:top w:val="none" w:sz="0" w:space="0" w:color="auto"/>
        <w:left w:val="none" w:sz="0" w:space="0" w:color="auto"/>
        <w:bottom w:val="none" w:sz="0" w:space="0" w:color="auto"/>
        <w:right w:val="none" w:sz="0" w:space="0" w:color="auto"/>
      </w:divBdr>
    </w:div>
    <w:div w:id="1527718987">
      <w:marLeft w:val="0"/>
      <w:marRight w:val="0"/>
      <w:marTop w:val="0"/>
      <w:marBottom w:val="0"/>
      <w:divBdr>
        <w:top w:val="none" w:sz="0" w:space="0" w:color="auto"/>
        <w:left w:val="none" w:sz="0" w:space="0" w:color="auto"/>
        <w:bottom w:val="none" w:sz="0" w:space="0" w:color="auto"/>
        <w:right w:val="none" w:sz="0" w:space="0" w:color="auto"/>
      </w:divBdr>
    </w:div>
    <w:div w:id="1527718988">
      <w:marLeft w:val="0"/>
      <w:marRight w:val="0"/>
      <w:marTop w:val="0"/>
      <w:marBottom w:val="0"/>
      <w:divBdr>
        <w:top w:val="none" w:sz="0" w:space="0" w:color="auto"/>
        <w:left w:val="none" w:sz="0" w:space="0" w:color="auto"/>
        <w:bottom w:val="none" w:sz="0" w:space="0" w:color="auto"/>
        <w:right w:val="none" w:sz="0" w:space="0" w:color="auto"/>
      </w:divBdr>
    </w:div>
    <w:div w:id="1527718989">
      <w:marLeft w:val="0"/>
      <w:marRight w:val="0"/>
      <w:marTop w:val="0"/>
      <w:marBottom w:val="0"/>
      <w:divBdr>
        <w:top w:val="none" w:sz="0" w:space="0" w:color="auto"/>
        <w:left w:val="none" w:sz="0" w:space="0" w:color="auto"/>
        <w:bottom w:val="none" w:sz="0" w:space="0" w:color="auto"/>
        <w:right w:val="none" w:sz="0" w:space="0" w:color="auto"/>
      </w:divBdr>
    </w:div>
    <w:div w:id="1527718990">
      <w:marLeft w:val="0"/>
      <w:marRight w:val="0"/>
      <w:marTop w:val="0"/>
      <w:marBottom w:val="0"/>
      <w:divBdr>
        <w:top w:val="none" w:sz="0" w:space="0" w:color="auto"/>
        <w:left w:val="none" w:sz="0" w:space="0" w:color="auto"/>
        <w:bottom w:val="none" w:sz="0" w:space="0" w:color="auto"/>
        <w:right w:val="none" w:sz="0" w:space="0" w:color="auto"/>
      </w:divBdr>
    </w:div>
    <w:div w:id="1527718991">
      <w:marLeft w:val="0"/>
      <w:marRight w:val="0"/>
      <w:marTop w:val="0"/>
      <w:marBottom w:val="0"/>
      <w:divBdr>
        <w:top w:val="none" w:sz="0" w:space="0" w:color="auto"/>
        <w:left w:val="none" w:sz="0" w:space="0" w:color="auto"/>
        <w:bottom w:val="none" w:sz="0" w:space="0" w:color="auto"/>
        <w:right w:val="none" w:sz="0" w:space="0" w:color="auto"/>
      </w:divBdr>
    </w:div>
    <w:div w:id="1527718992">
      <w:marLeft w:val="0"/>
      <w:marRight w:val="0"/>
      <w:marTop w:val="0"/>
      <w:marBottom w:val="0"/>
      <w:divBdr>
        <w:top w:val="none" w:sz="0" w:space="0" w:color="auto"/>
        <w:left w:val="none" w:sz="0" w:space="0" w:color="auto"/>
        <w:bottom w:val="none" w:sz="0" w:space="0" w:color="auto"/>
        <w:right w:val="none" w:sz="0" w:space="0" w:color="auto"/>
      </w:divBdr>
    </w:div>
    <w:div w:id="1527718993">
      <w:marLeft w:val="0"/>
      <w:marRight w:val="0"/>
      <w:marTop w:val="0"/>
      <w:marBottom w:val="0"/>
      <w:divBdr>
        <w:top w:val="none" w:sz="0" w:space="0" w:color="auto"/>
        <w:left w:val="none" w:sz="0" w:space="0" w:color="auto"/>
        <w:bottom w:val="none" w:sz="0" w:space="0" w:color="auto"/>
        <w:right w:val="none" w:sz="0" w:space="0" w:color="auto"/>
      </w:divBdr>
    </w:div>
    <w:div w:id="1527718994">
      <w:marLeft w:val="0"/>
      <w:marRight w:val="0"/>
      <w:marTop w:val="0"/>
      <w:marBottom w:val="0"/>
      <w:divBdr>
        <w:top w:val="none" w:sz="0" w:space="0" w:color="auto"/>
        <w:left w:val="none" w:sz="0" w:space="0" w:color="auto"/>
        <w:bottom w:val="none" w:sz="0" w:space="0" w:color="auto"/>
        <w:right w:val="none" w:sz="0" w:space="0" w:color="auto"/>
      </w:divBdr>
    </w:div>
    <w:div w:id="1527718995">
      <w:marLeft w:val="0"/>
      <w:marRight w:val="0"/>
      <w:marTop w:val="0"/>
      <w:marBottom w:val="0"/>
      <w:divBdr>
        <w:top w:val="none" w:sz="0" w:space="0" w:color="auto"/>
        <w:left w:val="none" w:sz="0" w:space="0" w:color="auto"/>
        <w:bottom w:val="none" w:sz="0" w:space="0" w:color="auto"/>
        <w:right w:val="none" w:sz="0" w:space="0" w:color="auto"/>
      </w:divBdr>
    </w:div>
    <w:div w:id="1527718996">
      <w:marLeft w:val="0"/>
      <w:marRight w:val="0"/>
      <w:marTop w:val="0"/>
      <w:marBottom w:val="0"/>
      <w:divBdr>
        <w:top w:val="none" w:sz="0" w:space="0" w:color="auto"/>
        <w:left w:val="none" w:sz="0" w:space="0" w:color="auto"/>
        <w:bottom w:val="none" w:sz="0" w:space="0" w:color="auto"/>
        <w:right w:val="none" w:sz="0" w:space="0" w:color="auto"/>
      </w:divBdr>
    </w:div>
    <w:div w:id="1527718997">
      <w:marLeft w:val="0"/>
      <w:marRight w:val="0"/>
      <w:marTop w:val="0"/>
      <w:marBottom w:val="0"/>
      <w:divBdr>
        <w:top w:val="none" w:sz="0" w:space="0" w:color="auto"/>
        <w:left w:val="none" w:sz="0" w:space="0" w:color="auto"/>
        <w:bottom w:val="none" w:sz="0" w:space="0" w:color="auto"/>
        <w:right w:val="none" w:sz="0" w:space="0" w:color="auto"/>
      </w:divBdr>
    </w:div>
    <w:div w:id="1527718998">
      <w:marLeft w:val="0"/>
      <w:marRight w:val="0"/>
      <w:marTop w:val="0"/>
      <w:marBottom w:val="0"/>
      <w:divBdr>
        <w:top w:val="none" w:sz="0" w:space="0" w:color="auto"/>
        <w:left w:val="none" w:sz="0" w:space="0" w:color="auto"/>
        <w:bottom w:val="none" w:sz="0" w:space="0" w:color="auto"/>
        <w:right w:val="none" w:sz="0" w:space="0" w:color="auto"/>
      </w:divBdr>
    </w:div>
    <w:div w:id="1527718999">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
    <w:div w:id="1527719001">
      <w:marLeft w:val="0"/>
      <w:marRight w:val="0"/>
      <w:marTop w:val="0"/>
      <w:marBottom w:val="0"/>
      <w:divBdr>
        <w:top w:val="none" w:sz="0" w:space="0" w:color="auto"/>
        <w:left w:val="none" w:sz="0" w:space="0" w:color="auto"/>
        <w:bottom w:val="none" w:sz="0" w:space="0" w:color="auto"/>
        <w:right w:val="none" w:sz="0" w:space="0" w:color="auto"/>
      </w:divBdr>
    </w:div>
    <w:div w:id="15277190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0849.2032" TargetMode="External"/><Relationship Id="rId13" Type="http://schemas.openxmlformats.org/officeDocument/2006/relationships/hyperlink" Target="garantF1://20036395.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0064504.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3548.0" TargetMode="External"/><Relationship Id="rId5" Type="http://schemas.openxmlformats.org/officeDocument/2006/relationships/webSettings" Target="webSettings.xml"/><Relationship Id="rId15" Type="http://schemas.openxmlformats.org/officeDocument/2006/relationships/hyperlink" Target="garantF1://12080849.2333" TargetMode="External"/><Relationship Id="rId10" Type="http://schemas.openxmlformats.org/officeDocument/2006/relationships/hyperlink" Target="garantF1://10003548.0" TargetMode="External"/><Relationship Id="rId4" Type="http://schemas.openxmlformats.org/officeDocument/2006/relationships/settings" Target="settings.xml"/><Relationship Id="rId9" Type="http://schemas.openxmlformats.org/officeDocument/2006/relationships/hyperlink" Target="garantF1://12080849.2333" TargetMode="External"/><Relationship Id="rId14" Type="http://schemas.openxmlformats.org/officeDocument/2006/relationships/hyperlink" Target="garantF1://12080849.2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EC31D-281D-4C54-8A34-F1FB85642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5271</TotalTime>
  <Pages>8</Pages>
  <Words>14790</Words>
  <Characters>84309</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АКТ</vt:lpstr>
    </vt:vector>
  </TitlesOfParts>
  <Company>КСП ВО</Company>
  <LinksUpToDate>false</LinksUpToDate>
  <CharactersWithSpaces>98902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dc:title>
  <dc:subject/>
  <dc:creator>Тафинцева</dc:creator>
  <cp:keywords/>
  <dc:description/>
  <cp:lastModifiedBy>Melnikov</cp:lastModifiedBy>
  <cp:revision>976</cp:revision>
  <cp:lastPrinted>2016-04-25T13:49:00Z</cp:lastPrinted>
  <dcterms:created xsi:type="dcterms:W3CDTF">2014-05-06T06:15:00Z</dcterms:created>
  <dcterms:modified xsi:type="dcterms:W3CDTF">2016-04-27T07:26:00Z</dcterms:modified>
</cp:coreProperties>
</file>