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4B" w:rsidRPr="00DE4780" w:rsidRDefault="000C484B" w:rsidP="000C484B">
      <w:pPr>
        <w:pStyle w:val="a3"/>
        <w:tabs>
          <w:tab w:val="left" w:pos="709"/>
        </w:tabs>
        <w:jc w:val="right"/>
      </w:pPr>
      <w:r w:rsidRPr="00DE4780">
        <w:t>УТВЕРЖДЕН</w:t>
      </w:r>
    </w:p>
    <w:p w:rsidR="000C484B" w:rsidRPr="00DE4780" w:rsidRDefault="00FE5E42" w:rsidP="00FE5E42">
      <w:pPr>
        <w:pStyle w:val="a3"/>
        <w:tabs>
          <w:tab w:val="left" w:pos="709"/>
        </w:tabs>
        <w:rPr>
          <w:b w:val="0"/>
        </w:rPr>
      </w:pPr>
      <w:r w:rsidRPr="00DE4780">
        <w:rPr>
          <w:b w:val="0"/>
        </w:rPr>
        <w:t xml:space="preserve">                                                                                    </w:t>
      </w:r>
      <w:r w:rsidR="000C484B" w:rsidRPr="00DE4780">
        <w:rPr>
          <w:b w:val="0"/>
        </w:rPr>
        <w:t>постановлением коллегии контрольно-</w:t>
      </w:r>
    </w:p>
    <w:p w:rsidR="000C484B" w:rsidRPr="00DE4780" w:rsidRDefault="00FE5E42" w:rsidP="00FE5E42">
      <w:pPr>
        <w:pStyle w:val="a3"/>
        <w:tabs>
          <w:tab w:val="left" w:pos="709"/>
        </w:tabs>
        <w:rPr>
          <w:b w:val="0"/>
        </w:rPr>
      </w:pPr>
      <w:r w:rsidRPr="00DE4780">
        <w:rPr>
          <w:b w:val="0"/>
        </w:rPr>
        <w:t xml:space="preserve">                                                                                      </w:t>
      </w:r>
      <w:r w:rsidR="000C484B" w:rsidRPr="00DE4780">
        <w:rPr>
          <w:b w:val="0"/>
        </w:rPr>
        <w:t xml:space="preserve">счетной палаты Волгоградской области </w:t>
      </w:r>
    </w:p>
    <w:p w:rsidR="000C484B" w:rsidRPr="00DE4780" w:rsidRDefault="000C484B" w:rsidP="000C484B">
      <w:pPr>
        <w:pStyle w:val="a3"/>
        <w:tabs>
          <w:tab w:val="left" w:pos="709"/>
        </w:tabs>
        <w:rPr>
          <w:b w:val="0"/>
        </w:rPr>
      </w:pPr>
      <w:r w:rsidRPr="00DE4780">
        <w:rPr>
          <w:b w:val="0"/>
        </w:rPr>
        <w:tab/>
      </w:r>
      <w:r w:rsidRPr="00DE4780">
        <w:rPr>
          <w:b w:val="0"/>
        </w:rPr>
        <w:tab/>
      </w:r>
      <w:r w:rsidRPr="00DE4780">
        <w:rPr>
          <w:b w:val="0"/>
        </w:rPr>
        <w:tab/>
      </w:r>
      <w:r w:rsidRPr="00DE4780">
        <w:rPr>
          <w:b w:val="0"/>
        </w:rPr>
        <w:tab/>
      </w:r>
      <w:r w:rsidRPr="00DE4780">
        <w:rPr>
          <w:b w:val="0"/>
        </w:rPr>
        <w:tab/>
      </w:r>
      <w:r w:rsidRPr="00DE4780">
        <w:rPr>
          <w:b w:val="0"/>
        </w:rPr>
        <w:tab/>
      </w:r>
      <w:r w:rsidRPr="00DE4780">
        <w:rPr>
          <w:b w:val="0"/>
        </w:rPr>
        <w:tab/>
      </w:r>
      <w:r w:rsidRPr="00DE4780">
        <w:rPr>
          <w:b w:val="0"/>
        </w:rPr>
        <w:tab/>
        <w:t>от</w:t>
      </w:r>
      <w:r w:rsidR="00DE4780">
        <w:rPr>
          <w:b w:val="0"/>
        </w:rPr>
        <w:t xml:space="preserve"> 3</w:t>
      </w:r>
      <w:r w:rsidRPr="00DE4780">
        <w:rPr>
          <w:b w:val="0"/>
        </w:rPr>
        <w:t xml:space="preserve"> </w:t>
      </w:r>
      <w:r w:rsidR="00C6459B" w:rsidRPr="00DE4780">
        <w:rPr>
          <w:b w:val="0"/>
        </w:rPr>
        <w:t>но</w:t>
      </w:r>
      <w:r w:rsidR="005161A8" w:rsidRPr="00DE4780">
        <w:rPr>
          <w:b w:val="0"/>
        </w:rPr>
        <w:t xml:space="preserve">ября </w:t>
      </w:r>
      <w:r w:rsidRPr="00DE4780">
        <w:rPr>
          <w:b w:val="0"/>
        </w:rPr>
        <w:t xml:space="preserve">2017 года № </w:t>
      </w:r>
      <w:r w:rsidR="00DE4780">
        <w:rPr>
          <w:b w:val="0"/>
        </w:rPr>
        <w:t>15/1</w:t>
      </w:r>
    </w:p>
    <w:p w:rsidR="000C484B" w:rsidRPr="00DE4780" w:rsidRDefault="000C484B" w:rsidP="000C484B">
      <w:pPr>
        <w:pStyle w:val="a3"/>
        <w:tabs>
          <w:tab w:val="left" w:pos="709"/>
        </w:tabs>
        <w:rPr>
          <w:b w:val="0"/>
        </w:rPr>
      </w:pPr>
    </w:p>
    <w:p w:rsidR="000C484B" w:rsidRPr="00DE4780" w:rsidRDefault="000C484B" w:rsidP="000C484B">
      <w:pPr>
        <w:pStyle w:val="a3"/>
        <w:tabs>
          <w:tab w:val="left" w:pos="709"/>
        </w:tabs>
      </w:pPr>
      <w:r w:rsidRPr="00DE4780">
        <w:t>Отчет</w:t>
      </w:r>
    </w:p>
    <w:p w:rsidR="000C484B" w:rsidRPr="00DE4780" w:rsidRDefault="000C484B" w:rsidP="000C484B">
      <w:pPr>
        <w:pStyle w:val="a3"/>
        <w:tabs>
          <w:tab w:val="left" w:pos="709"/>
        </w:tabs>
      </w:pPr>
      <w:r w:rsidRPr="00DE4780">
        <w:t>о результатах проверки финанс</w:t>
      </w:r>
      <w:r w:rsidR="00B21671" w:rsidRPr="00DE4780">
        <w:t>ово-хозяйственной деятельности г</w:t>
      </w:r>
      <w:r w:rsidRPr="00DE4780">
        <w:t xml:space="preserve">осударственного бюджетного учреждения культуры «Волгоградский театр юного зрителя» за 2016 год </w:t>
      </w:r>
    </w:p>
    <w:p w:rsidR="000C484B" w:rsidRPr="00DE4780" w:rsidRDefault="000C484B" w:rsidP="000C484B">
      <w:pPr>
        <w:pStyle w:val="a3"/>
        <w:tabs>
          <w:tab w:val="left" w:pos="709"/>
        </w:tabs>
      </w:pPr>
    </w:p>
    <w:p w:rsidR="00C4554F" w:rsidRPr="00DE4780" w:rsidRDefault="000C484B" w:rsidP="00C4554F">
      <w:pPr>
        <w:pStyle w:val="21"/>
        <w:spacing w:after="0" w:line="240" w:lineRule="auto"/>
        <w:ind w:left="0" w:firstLine="708"/>
        <w:jc w:val="both"/>
      </w:pPr>
      <w:r w:rsidRPr="00DE4780">
        <w:t xml:space="preserve">Основание для проведения проверки: план работы на 2017 год, утвержденный постановлением коллегии контрольно-счетной палаты Волгоградской области (далее КСП) </w:t>
      </w:r>
      <w:r w:rsidR="00C4554F" w:rsidRPr="00DE4780">
        <w:t>от 09.12.2016 №</w:t>
      </w:r>
      <w:r w:rsidR="00E0143E" w:rsidRPr="00DE4780">
        <w:t> </w:t>
      </w:r>
      <w:r w:rsidR="00C4554F" w:rsidRPr="00DE4780">
        <w:t>29/3.</w:t>
      </w:r>
    </w:p>
    <w:p w:rsidR="000C484B" w:rsidRPr="00DE4780" w:rsidRDefault="000C484B" w:rsidP="000C484B">
      <w:pPr>
        <w:pStyle w:val="21"/>
        <w:spacing w:after="0" w:line="240" w:lineRule="auto"/>
        <w:ind w:left="0" w:firstLine="708"/>
        <w:jc w:val="both"/>
      </w:pPr>
      <w:r w:rsidRPr="00DE4780">
        <w:t>Цель проверки: оценка результатов финансово-хозяйственной деятельности учреждения.</w:t>
      </w:r>
    </w:p>
    <w:p w:rsidR="000C484B" w:rsidRPr="00DE4780" w:rsidRDefault="000C484B" w:rsidP="000C484B">
      <w:pPr>
        <w:ind w:firstLine="709"/>
      </w:pPr>
      <w:r w:rsidRPr="00DE4780">
        <w:t>Срок проведения проверки: с 02.08.2017 по 25.08.2017 года.</w:t>
      </w:r>
    </w:p>
    <w:p w:rsidR="000C484B" w:rsidRPr="00DE4780" w:rsidRDefault="000C484B" w:rsidP="000C484B">
      <w:pPr>
        <w:ind w:firstLine="720"/>
        <w:jc w:val="both"/>
      </w:pPr>
      <w:r w:rsidRPr="00DE4780">
        <w:t>Проверяемый период: 2016 год.</w:t>
      </w:r>
    </w:p>
    <w:p w:rsidR="000C484B" w:rsidRPr="00DE4780" w:rsidRDefault="000C484B" w:rsidP="000C484B">
      <w:pPr>
        <w:ind w:firstLine="720"/>
        <w:jc w:val="both"/>
      </w:pPr>
      <w:r w:rsidRPr="00DE4780">
        <w:t>Объект проверки: государственное бюджетное учреждение культуры «Волгоградский театр юного зрителя».</w:t>
      </w:r>
    </w:p>
    <w:p w:rsidR="000C484B" w:rsidRPr="00DE4780" w:rsidRDefault="000C484B" w:rsidP="000C484B">
      <w:pPr>
        <w:ind w:firstLine="720"/>
        <w:jc w:val="both"/>
        <w:rPr>
          <w:spacing w:val="-2"/>
        </w:rPr>
      </w:pPr>
      <w:r w:rsidRPr="00DE4780">
        <w:t xml:space="preserve">По результатам проверки оформлен </w:t>
      </w:r>
      <w:r w:rsidR="00544B29" w:rsidRPr="00DE4780">
        <w:t>1 акт, который учреждением</w:t>
      </w:r>
      <w:r w:rsidRPr="00DE4780">
        <w:t xml:space="preserve"> подписан </w:t>
      </w:r>
      <w:r w:rsidR="00E96EDD" w:rsidRPr="00DE4780">
        <w:t>с</w:t>
      </w:r>
      <w:r w:rsidRPr="00DE4780">
        <w:t xml:space="preserve"> разногласиями</w:t>
      </w:r>
      <w:r w:rsidR="00544B29" w:rsidRPr="00DE4780">
        <w:t>. На них</w:t>
      </w:r>
      <w:r w:rsidRPr="00DE4780">
        <w:rPr>
          <w:spacing w:val="-2"/>
        </w:rPr>
        <w:t xml:space="preserve"> КСП подготовлен</w:t>
      </w:r>
      <w:r w:rsidR="00773AAC" w:rsidRPr="00DE4780">
        <w:rPr>
          <w:spacing w:val="-2"/>
        </w:rPr>
        <w:t>о</w:t>
      </w:r>
      <w:r w:rsidRPr="00DE4780">
        <w:rPr>
          <w:spacing w:val="-2"/>
        </w:rPr>
        <w:t xml:space="preserve"> соответствующ</w:t>
      </w:r>
      <w:r w:rsidR="005161A8" w:rsidRPr="00DE4780">
        <w:rPr>
          <w:spacing w:val="-2"/>
        </w:rPr>
        <w:t>е</w:t>
      </w:r>
      <w:r w:rsidRPr="00DE4780">
        <w:rPr>
          <w:spacing w:val="-2"/>
        </w:rPr>
        <w:t>е заключени</w:t>
      </w:r>
      <w:r w:rsidR="00773AAC" w:rsidRPr="00DE4780">
        <w:rPr>
          <w:spacing w:val="-2"/>
        </w:rPr>
        <w:t>е</w:t>
      </w:r>
      <w:r w:rsidRPr="00DE4780">
        <w:rPr>
          <w:spacing w:val="-2"/>
        </w:rPr>
        <w:t xml:space="preserve"> (приложения №№1-2).</w:t>
      </w:r>
    </w:p>
    <w:p w:rsidR="000C484B" w:rsidRPr="00DE4780" w:rsidRDefault="004A72AB" w:rsidP="000C484B">
      <w:pPr>
        <w:numPr>
          <w:ilvl w:val="0"/>
          <w:numId w:val="9"/>
        </w:numPr>
        <w:spacing w:before="120" w:after="120"/>
        <w:ind w:left="1066" w:hanging="357"/>
        <w:jc w:val="center"/>
        <w:rPr>
          <w:b/>
        </w:rPr>
      </w:pPr>
      <w:r w:rsidRPr="00DE4780">
        <w:rPr>
          <w:b/>
        </w:rPr>
        <w:t>Общие сведения</w:t>
      </w:r>
    </w:p>
    <w:p w:rsidR="005F3B9B" w:rsidRPr="00DE4780" w:rsidRDefault="00021C93" w:rsidP="005F3B9B">
      <w:pPr>
        <w:ind w:firstLine="720"/>
        <w:jc w:val="both"/>
      </w:pPr>
      <w:r w:rsidRPr="00DE4780">
        <w:t>Государственное бюджетное учреждение культуры «Волгоградский театр юного зрителя» (далее учреждение, Театр, ТЮЗ)</w:t>
      </w:r>
      <w:r w:rsidR="005F3B9B" w:rsidRPr="00DE4780">
        <w:t xml:space="preserve"> является юридическим лицом, находящимся в ведении комитета культуры Волгоградской области (далее Комитет, </w:t>
      </w:r>
      <w:proofErr w:type="spellStart"/>
      <w:r w:rsidR="005F3B9B" w:rsidRPr="00DE4780">
        <w:t>Облкомкультуры</w:t>
      </w:r>
      <w:proofErr w:type="spellEnd"/>
      <w:r w:rsidR="005F3B9B" w:rsidRPr="00DE4780">
        <w:t>).</w:t>
      </w:r>
    </w:p>
    <w:p w:rsidR="005F3B9B" w:rsidRPr="00DE4780" w:rsidRDefault="005F3B9B" w:rsidP="005F3B9B">
      <w:pPr>
        <w:ind w:firstLine="720"/>
        <w:jc w:val="both"/>
      </w:pPr>
      <w:r w:rsidRPr="00DE4780">
        <w:t xml:space="preserve">Устав </w:t>
      </w:r>
      <w:r w:rsidR="00021C93" w:rsidRPr="00DE4780">
        <w:t>Театра</w:t>
      </w:r>
      <w:r w:rsidRPr="00DE4780">
        <w:t xml:space="preserve"> утвержден приказом Комитета от </w:t>
      </w:r>
      <w:r w:rsidR="00021C93" w:rsidRPr="00DE4780">
        <w:t>16</w:t>
      </w:r>
      <w:r w:rsidRPr="00DE4780">
        <w:t>.</w:t>
      </w:r>
      <w:r w:rsidR="00021C93" w:rsidRPr="00DE4780">
        <w:t>08</w:t>
      </w:r>
      <w:r w:rsidRPr="00DE4780">
        <w:t>.2011 №01-20/</w:t>
      </w:r>
      <w:r w:rsidR="00021C93" w:rsidRPr="00DE4780">
        <w:t>225</w:t>
      </w:r>
      <w:r w:rsidRPr="00DE4780">
        <w:t xml:space="preserve"> и согласован с комитетом по управлению государственным имуществом администрации Волгоградской области </w:t>
      </w:r>
      <w:r w:rsidR="0053723D" w:rsidRPr="00DE4780">
        <w:t>(</w:t>
      </w:r>
      <w:r w:rsidRPr="00DE4780">
        <w:t xml:space="preserve">распоряжение от </w:t>
      </w:r>
      <w:r w:rsidR="00021C93" w:rsidRPr="00DE4780">
        <w:t>09</w:t>
      </w:r>
      <w:r w:rsidRPr="00DE4780">
        <w:t>.</w:t>
      </w:r>
      <w:r w:rsidR="00021C93" w:rsidRPr="00DE4780">
        <w:t>08</w:t>
      </w:r>
      <w:r w:rsidRPr="00DE4780">
        <w:t xml:space="preserve">.2011 № </w:t>
      </w:r>
      <w:r w:rsidR="00021C93" w:rsidRPr="00DE4780">
        <w:t>1581</w:t>
      </w:r>
      <w:r w:rsidRPr="00DE4780">
        <w:t>-р</w:t>
      </w:r>
      <w:r w:rsidR="0053723D" w:rsidRPr="00DE4780">
        <w:t>).</w:t>
      </w:r>
    </w:p>
    <w:p w:rsidR="005F3B9B" w:rsidRPr="00DE4780" w:rsidRDefault="005F3B9B" w:rsidP="005F3B9B">
      <w:pPr>
        <w:ind w:firstLine="720"/>
        <w:jc w:val="both"/>
      </w:pPr>
      <w:r w:rsidRPr="00DE4780">
        <w:t xml:space="preserve">Целью создания </w:t>
      </w:r>
      <w:r w:rsidR="00021C93" w:rsidRPr="00DE4780">
        <w:t>Театра</w:t>
      </w:r>
      <w:r w:rsidRPr="00DE4780">
        <w:t xml:space="preserve"> является обеспечение удовлетворения потребностей граждан в театральном искусстве, в рамках реализации полномочий органа исполнительной власти Волгоградской области, уполномоченного в сфере культуры, искусства и историко-культурного наследия (п.2.1 Устава).</w:t>
      </w:r>
      <w:r w:rsidR="00E96EDD" w:rsidRPr="00DE4780">
        <w:t xml:space="preserve"> </w:t>
      </w:r>
      <w:r w:rsidRPr="00DE4780">
        <w:t xml:space="preserve">Пунктом 2.2 Устава определено, что </w:t>
      </w:r>
      <w:r w:rsidR="00021C93" w:rsidRPr="00DE4780">
        <w:t>Театр</w:t>
      </w:r>
      <w:r w:rsidRPr="00DE4780">
        <w:t xml:space="preserve"> осуществляет следующую </w:t>
      </w:r>
      <w:r w:rsidR="006221C9" w:rsidRPr="00DE4780">
        <w:t xml:space="preserve">основную </w:t>
      </w:r>
      <w:r w:rsidRPr="00DE4780">
        <w:t>деятельность:</w:t>
      </w:r>
    </w:p>
    <w:p w:rsidR="00021C93" w:rsidRPr="00DE4780" w:rsidRDefault="00021C93" w:rsidP="005F3B9B">
      <w:pPr>
        <w:ind w:firstLine="720"/>
        <w:jc w:val="both"/>
      </w:pPr>
      <w:r w:rsidRPr="00DE4780">
        <w:t xml:space="preserve">- создание и прокат спектаклей для детей, юношества, </w:t>
      </w:r>
      <w:r w:rsidR="00243437" w:rsidRPr="00DE4780">
        <w:t>взрослого населения, организация и проведение фестивалей, гастролей, творческих встреч, конкурсов, выставок и реализации билетов;</w:t>
      </w:r>
    </w:p>
    <w:p w:rsidR="00243437" w:rsidRPr="00DE4780" w:rsidRDefault="00243437" w:rsidP="005F3B9B">
      <w:pPr>
        <w:ind w:firstLine="720"/>
        <w:jc w:val="both"/>
      </w:pPr>
      <w:r w:rsidRPr="00DE4780">
        <w:t>-подготовка спектаклей, представлений по договорам с другими юридическими и физическими лицами для показа их на собственных или арендованных сценических площадках, по телевидению, для трансляции по радио, для съемок на кино-, видео-, и ины</w:t>
      </w:r>
      <w:r w:rsidR="00544B29" w:rsidRPr="00DE4780">
        <w:t>х</w:t>
      </w:r>
      <w:r w:rsidRPr="00DE4780">
        <w:t xml:space="preserve"> материальны</w:t>
      </w:r>
      <w:r w:rsidR="00544B29" w:rsidRPr="00DE4780">
        <w:t>х</w:t>
      </w:r>
      <w:r w:rsidRPr="00DE4780">
        <w:t xml:space="preserve"> носител</w:t>
      </w:r>
      <w:r w:rsidR="00544B29" w:rsidRPr="00DE4780">
        <w:t>ях</w:t>
      </w:r>
      <w:r w:rsidRPr="00DE4780">
        <w:t>;</w:t>
      </w:r>
    </w:p>
    <w:p w:rsidR="00243437" w:rsidRPr="00DE4780" w:rsidRDefault="00243437" w:rsidP="005F3B9B">
      <w:pPr>
        <w:ind w:firstLine="720"/>
        <w:jc w:val="both"/>
      </w:pPr>
      <w:r w:rsidRPr="00DE4780">
        <w:t>-проведение стажировок ведущими мастерами и деятелями Театра;</w:t>
      </w:r>
    </w:p>
    <w:p w:rsidR="00243437" w:rsidRPr="00DE4780" w:rsidRDefault="00243437" w:rsidP="005F3B9B">
      <w:pPr>
        <w:ind w:firstLine="720"/>
        <w:jc w:val="both"/>
      </w:pPr>
      <w:r w:rsidRPr="00DE4780">
        <w:t>-создание творческих лабораторий, экспериментальных творческих групп;</w:t>
      </w:r>
    </w:p>
    <w:p w:rsidR="00243437" w:rsidRPr="00DE4780" w:rsidRDefault="00243437" w:rsidP="005F3B9B">
      <w:pPr>
        <w:ind w:firstLine="720"/>
        <w:jc w:val="both"/>
      </w:pPr>
      <w:r w:rsidRPr="00DE4780">
        <w:t xml:space="preserve">-создание платных и бесплатных студий, в том числе детско-юношеских, целью деятельности которых является формирование и </w:t>
      </w:r>
      <w:r w:rsidR="00424542" w:rsidRPr="00DE4780">
        <w:t>развитие актерского мастерства;</w:t>
      </w:r>
    </w:p>
    <w:p w:rsidR="00424542" w:rsidRPr="00DE4780" w:rsidRDefault="00424542" w:rsidP="005F3B9B">
      <w:pPr>
        <w:ind w:firstLine="720"/>
        <w:jc w:val="both"/>
      </w:pPr>
      <w:r w:rsidRPr="00DE4780">
        <w:t>-постановка спектаклей;</w:t>
      </w:r>
    </w:p>
    <w:p w:rsidR="00424542" w:rsidRPr="00DE4780" w:rsidRDefault="00424542" w:rsidP="005F3B9B">
      <w:pPr>
        <w:ind w:firstLine="720"/>
        <w:jc w:val="both"/>
      </w:pPr>
      <w:r w:rsidRPr="00DE4780">
        <w:t>-оказание всевозможных творческих услуг на договорной основе, юридическим и физическим лицам;</w:t>
      </w:r>
    </w:p>
    <w:p w:rsidR="00424542" w:rsidRPr="00DE4780" w:rsidRDefault="00424542" w:rsidP="005F3B9B">
      <w:pPr>
        <w:ind w:firstLine="720"/>
        <w:jc w:val="both"/>
      </w:pPr>
      <w:r w:rsidRPr="00DE4780">
        <w:t>-предоставление другим организациям по договорам с ними постановочных услуг, сценических постановочных средств для произведения спектаклей;</w:t>
      </w:r>
    </w:p>
    <w:p w:rsidR="003942A8" w:rsidRPr="00DE4780" w:rsidRDefault="00424542" w:rsidP="005F3B9B">
      <w:pPr>
        <w:ind w:firstLine="720"/>
        <w:jc w:val="both"/>
      </w:pPr>
      <w:r w:rsidRPr="00DE4780">
        <w:t>- предоставление сцен-площадок для проведения гастрольных и выездных мероприятий других театров, для осуществления совместных проектов и программ в соответ</w:t>
      </w:r>
      <w:r w:rsidR="003942A8" w:rsidRPr="00DE4780">
        <w:t>ствии с заключенными договорами</w:t>
      </w:r>
      <w:r w:rsidR="00544B29" w:rsidRPr="00DE4780">
        <w:t xml:space="preserve"> и другие;</w:t>
      </w:r>
    </w:p>
    <w:p w:rsidR="00F30545" w:rsidRPr="00DE4780" w:rsidRDefault="003942A8" w:rsidP="005F3B9B">
      <w:pPr>
        <w:ind w:firstLine="720"/>
        <w:jc w:val="both"/>
      </w:pPr>
      <w:r w:rsidRPr="00DE4780">
        <w:t>-изготовление, прокат</w:t>
      </w:r>
      <w:r w:rsidR="00424542" w:rsidRPr="00DE4780">
        <w:t xml:space="preserve"> </w:t>
      </w:r>
      <w:r w:rsidRPr="00DE4780">
        <w:t>и реализация декораций, костюмов, обуви, оборудования, реквизита, бутафории, гримерных, постижерных и иных принадлежносте</w:t>
      </w:r>
      <w:r w:rsidR="00F30545" w:rsidRPr="00DE4780">
        <w:t>й.</w:t>
      </w:r>
    </w:p>
    <w:p w:rsidR="005F3B9B" w:rsidRPr="00DE4780" w:rsidRDefault="003942A8" w:rsidP="005F3B9B">
      <w:pPr>
        <w:ind w:firstLine="720"/>
        <w:jc w:val="both"/>
      </w:pPr>
      <w:r w:rsidRPr="00DE4780">
        <w:lastRenderedPageBreak/>
        <w:t>Театр</w:t>
      </w:r>
      <w:r w:rsidR="005F3B9B" w:rsidRPr="00DE4780">
        <w:t xml:space="preserve"> вправе осуществлять предпринимательскую и иную приносящую доход  деятельность</w:t>
      </w:r>
      <w:r w:rsidR="005F3B9B" w:rsidRPr="00DE4780">
        <w:rPr>
          <w:i/>
        </w:rPr>
        <w:t xml:space="preserve"> </w:t>
      </w:r>
      <w:r w:rsidR="005F3B9B" w:rsidRPr="00DE4780">
        <w:t>лишь постольку, поскольку это служит достижению целей, ради которых он создан, и соответствует этим целям.</w:t>
      </w:r>
    </w:p>
    <w:p w:rsidR="005F3B9B" w:rsidRPr="00DE4780" w:rsidRDefault="005F3B9B" w:rsidP="005F3B9B">
      <w:pPr>
        <w:ind w:firstLine="720"/>
        <w:jc w:val="both"/>
      </w:pPr>
      <w:bookmarkStart w:id="0" w:name="sub_33013"/>
      <w:r w:rsidRPr="00DE4780">
        <w:t xml:space="preserve">В соответствии с п.2.3 Устава государственные задания для </w:t>
      </w:r>
      <w:r w:rsidR="00E34D64" w:rsidRPr="00DE4780">
        <w:t>Театра</w:t>
      </w:r>
      <w:r w:rsidRPr="00DE4780">
        <w:t xml:space="preserve"> формирует и утверждает Комитет.</w:t>
      </w:r>
    </w:p>
    <w:p w:rsidR="000C484B" w:rsidRPr="00DE4780" w:rsidRDefault="00732360" w:rsidP="00732360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DE4780">
        <w:rPr>
          <w:b/>
        </w:rPr>
        <w:t>2. </w:t>
      </w:r>
      <w:r w:rsidR="000C484B" w:rsidRPr="00DE4780">
        <w:rPr>
          <w:b/>
        </w:rPr>
        <w:t>Анализ формирования и выполнения государственного задания, нормативных затрат на оказание государственных услуг и выполнение государственных работ</w:t>
      </w:r>
    </w:p>
    <w:p w:rsidR="000C484B" w:rsidRPr="00DE4780" w:rsidRDefault="000C484B" w:rsidP="000C484B">
      <w:pPr>
        <w:ind w:firstLine="720"/>
        <w:jc w:val="center"/>
        <w:rPr>
          <w:i/>
        </w:rPr>
      </w:pPr>
      <w:r w:rsidRPr="00DE4780">
        <w:rPr>
          <w:i/>
        </w:rPr>
        <w:t>2.1 Формирование государственного задания</w:t>
      </w:r>
    </w:p>
    <w:p w:rsidR="00A34C62" w:rsidRPr="00DE4780" w:rsidRDefault="00A34C62" w:rsidP="00A34C62">
      <w:pPr>
        <w:pStyle w:val="af4"/>
        <w:spacing w:after="0"/>
        <w:ind w:left="0" w:firstLine="720"/>
        <w:jc w:val="both"/>
      </w:pPr>
      <w:r w:rsidRPr="00DE4780">
        <w:t>Проверка формирования «Ведомственного перечня государственных услуг и работ, оказываемых и выполняемых государственными учреждениями, находящимися в ведении Комитета культуры Волгоградской области, в качестве основных видов деятельности», утвержденного приказом Комитета от 30.11.2015 № 01-20/477 (далее Ведомственный перечен</w:t>
      </w:r>
      <w:r w:rsidR="0053723D" w:rsidRPr="00DE4780">
        <w:t>ь</w:t>
      </w:r>
      <w:r w:rsidRPr="00DE4780">
        <w:t>), выявила его несоответствие «Базовому (отраслевому) перечню услуг и работ в сфере «Культура, кинематография, архивное дело, туризм», утвержденному приказом Министерства культуры РФ от 30.05.2016 № 1197, что противоречит п.3.1. ст. 69.2 Бюджетного кодекса РФ.</w:t>
      </w:r>
    </w:p>
    <w:p w:rsidR="00A34C62" w:rsidRPr="00DE4780" w:rsidRDefault="00A34C62" w:rsidP="00A34C62">
      <w:pPr>
        <w:pStyle w:val="af4"/>
        <w:spacing w:after="0"/>
        <w:ind w:left="0" w:firstLine="720"/>
        <w:jc w:val="both"/>
      </w:pPr>
      <w:r w:rsidRPr="00DE4780">
        <w:t xml:space="preserve">В 2016 году в Ведомственном перечне по государственной услуге «Показ спектаклей (театральных постановок)» </w:t>
      </w:r>
      <w:r w:rsidRPr="00DE4780">
        <w:rPr>
          <w:i/>
        </w:rPr>
        <w:t>не установлена возможность ее оказания на бесплатной основе,</w:t>
      </w:r>
      <w:r w:rsidRPr="00DE4780">
        <w:t xml:space="preserve"> не был предусмотрен объемный показатель </w:t>
      </w:r>
      <w:r w:rsidRPr="00DE4780">
        <w:rPr>
          <w:i/>
        </w:rPr>
        <w:t>«количество публичных выступлений (единиц)»,</w:t>
      </w:r>
      <w:r w:rsidRPr="00DE4780">
        <w:t xml:space="preserve"> </w:t>
      </w:r>
      <w:r w:rsidR="00544B29" w:rsidRPr="00DE4780">
        <w:t>а также</w:t>
      </w:r>
      <w:r w:rsidRPr="00DE4780">
        <w:t xml:space="preserve"> категория получателей услуги </w:t>
      </w:r>
      <w:r w:rsidRPr="00DE4780">
        <w:rPr>
          <w:i/>
        </w:rPr>
        <w:t>«юридические лица».</w:t>
      </w:r>
    </w:p>
    <w:p w:rsidR="00A34C62" w:rsidRPr="00DE4780" w:rsidRDefault="00A34C62" w:rsidP="00A34C62">
      <w:pPr>
        <w:pStyle w:val="af4"/>
        <w:spacing w:after="0"/>
        <w:ind w:left="0" w:firstLine="720"/>
        <w:jc w:val="both"/>
      </w:pPr>
      <w:r w:rsidRPr="00DE4780">
        <w:t>Объемный показатель «количество публичных выступлений (единиц)» и категория «юридические лица» в Ведомственном перечне предусмотрены приказом Комитета от 30.12.2016 № 01-20/510 только с 01.01.2017.</w:t>
      </w:r>
    </w:p>
    <w:p w:rsidR="00722B74" w:rsidRPr="00DE4780" w:rsidRDefault="00F30545" w:rsidP="00722B74">
      <w:pPr>
        <w:pStyle w:val="af4"/>
        <w:spacing w:after="0"/>
        <w:ind w:left="0" w:firstLine="720"/>
        <w:jc w:val="both"/>
      </w:pPr>
      <w:r w:rsidRPr="00DE4780">
        <w:t>Театру</w:t>
      </w:r>
      <w:r w:rsidR="00722B74" w:rsidRPr="00DE4780">
        <w:t xml:space="preserve"> Комитетом на 2016 год доведено государственное задание на оказание государственной </w:t>
      </w:r>
      <w:r w:rsidR="00722B74" w:rsidRPr="00DE4780">
        <w:rPr>
          <w:b/>
        </w:rPr>
        <w:t>услуги</w:t>
      </w:r>
      <w:r w:rsidR="00722B74" w:rsidRPr="00DE4780">
        <w:t xml:space="preserve"> «Показ спектаклей (театральных постановок)» и на выполнение государственной </w:t>
      </w:r>
      <w:r w:rsidR="00722B74" w:rsidRPr="00DE4780">
        <w:rPr>
          <w:b/>
        </w:rPr>
        <w:t>работы</w:t>
      </w:r>
      <w:r w:rsidR="00722B74" w:rsidRPr="00DE4780">
        <w:t xml:space="preserve"> «Создание спектаклей» большая форма (многонаселенная пьеса, из двух и более актов). </w:t>
      </w:r>
      <w:r w:rsidR="00F17F6F" w:rsidRPr="00DE4780">
        <w:t>Согласно предоставленному в Комитет отчету о выполнении государственного задания все доведенные как объемные (52080 зрителей) для физических лиц на стационаре и выезде на платной основе, так и качественные показатели Театром выполнены</w:t>
      </w:r>
      <w:r w:rsidR="0055260E" w:rsidRPr="00DE4780">
        <w:t xml:space="preserve">, </w:t>
      </w:r>
      <w:r w:rsidR="006D69E6" w:rsidRPr="00DE4780">
        <w:t>Информация о выполнении учреждением государственного задания по государственной услуге приведена</w:t>
      </w:r>
      <w:r w:rsidR="0055260E" w:rsidRPr="00DE4780">
        <w:t xml:space="preserve"> в </w:t>
      </w:r>
      <w:r w:rsidR="00722B74" w:rsidRPr="00DE4780">
        <w:rPr>
          <w:color w:val="0000CC"/>
        </w:rPr>
        <w:t>таблице №</w:t>
      </w:r>
      <w:r w:rsidR="006D69E6" w:rsidRPr="00DE4780">
        <w:rPr>
          <w:color w:val="0000CC"/>
        </w:rPr>
        <w:t> </w:t>
      </w:r>
      <w:r w:rsidR="00722B74" w:rsidRPr="00DE4780">
        <w:rPr>
          <w:color w:val="0000CC"/>
        </w:rPr>
        <w:t>1</w:t>
      </w:r>
      <w:r w:rsidR="00722B74" w:rsidRPr="00DE4780">
        <w:t>.</w:t>
      </w:r>
    </w:p>
    <w:p w:rsidR="00722B74" w:rsidRPr="00DE4780" w:rsidRDefault="00722B74" w:rsidP="00722B74">
      <w:pPr>
        <w:pStyle w:val="af4"/>
        <w:spacing w:after="0"/>
        <w:ind w:left="0" w:firstLine="720"/>
        <w:jc w:val="right"/>
        <w:rPr>
          <w:color w:val="0000CC"/>
        </w:rPr>
      </w:pPr>
      <w:r w:rsidRPr="00DE4780">
        <w:rPr>
          <w:color w:val="0000CC"/>
        </w:rPr>
        <w:t>Таблица №</w:t>
      </w:r>
      <w:r w:rsidR="006D69E6" w:rsidRPr="00DE4780">
        <w:rPr>
          <w:color w:val="0000CC"/>
        </w:rPr>
        <w:t> 1</w:t>
      </w:r>
    </w:p>
    <w:tbl>
      <w:tblPr>
        <w:tblW w:w="9796" w:type="dxa"/>
        <w:tblInd w:w="93" w:type="dxa"/>
        <w:tblLayout w:type="fixed"/>
        <w:tblLook w:val="04A0"/>
      </w:tblPr>
      <w:tblGrid>
        <w:gridCol w:w="385"/>
        <w:gridCol w:w="906"/>
        <w:gridCol w:w="852"/>
        <w:gridCol w:w="709"/>
        <w:gridCol w:w="709"/>
        <w:gridCol w:w="143"/>
        <w:gridCol w:w="1414"/>
        <w:gridCol w:w="2224"/>
        <w:gridCol w:w="771"/>
        <w:gridCol w:w="771"/>
        <w:gridCol w:w="912"/>
      </w:tblGrid>
      <w:tr w:rsidR="00201F3D" w:rsidRPr="00DE4780" w:rsidTr="00732360">
        <w:trPr>
          <w:trHeight w:val="480"/>
          <w:tblHeader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жанр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место проведения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 xml:space="preserve">объем </w:t>
            </w:r>
            <w:proofErr w:type="spellStart"/>
            <w:r w:rsidRPr="00DE4780">
              <w:rPr>
                <w:color w:val="000000"/>
                <w:sz w:val="18"/>
                <w:szCs w:val="18"/>
              </w:rPr>
              <w:t>госуслуги</w:t>
            </w:r>
            <w:proofErr w:type="spellEnd"/>
            <w:r w:rsidRPr="00DE4780">
              <w:rPr>
                <w:color w:val="000000"/>
                <w:sz w:val="18"/>
                <w:szCs w:val="18"/>
              </w:rPr>
              <w:t>, число зрителей (чел.)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показатель качества</w:t>
            </w:r>
          </w:p>
        </w:tc>
      </w:tr>
      <w:tr w:rsidR="00D50759" w:rsidRPr="00DE4780" w:rsidTr="00732360">
        <w:trPr>
          <w:trHeight w:val="71"/>
          <w:tblHeader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D50759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отчет</w:t>
            </w:r>
            <w:r w:rsidR="00D50759" w:rsidRPr="00DE478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факт**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 xml:space="preserve">план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отчет*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факт**</w:t>
            </w:r>
          </w:p>
        </w:tc>
      </w:tr>
      <w:tr w:rsidR="00201F3D" w:rsidRPr="00DE4780" w:rsidTr="00732360">
        <w:trPr>
          <w:trHeight w:val="206"/>
        </w:trPr>
        <w:tc>
          <w:tcPr>
            <w:tcW w:w="9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услуга «Показ спектаклей (театральных постановок)», число зрителей (большая, многонаселенная пьеса из 2-х и более актов)</w:t>
            </w:r>
          </w:p>
        </w:tc>
      </w:tr>
      <w:tr w:rsidR="00D50759" w:rsidRPr="00DE4780" w:rsidTr="00732360">
        <w:trPr>
          <w:trHeight w:val="562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Драма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Стационар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16330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16330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27050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динамика числа зрителей к предыдущему отчетному периоду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55 %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55 %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55%</w:t>
            </w:r>
          </w:p>
        </w:tc>
      </w:tr>
      <w:tr w:rsidR="00D50759" w:rsidRPr="00DE4780" w:rsidTr="00732360">
        <w:trPr>
          <w:trHeight w:val="217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 xml:space="preserve">средняя </w:t>
            </w:r>
            <w:proofErr w:type="spellStart"/>
            <w:r w:rsidRPr="00DE4780">
              <w:rPr>
                <w:color w:val="000000"/>
                <w:sz w:val="18"/>
                <w:szCs w:val="18"/>
              </w:rPr>
              <w:t>заполняемость</w:t>
            </w:r>
            <w:proofErr w:type="spellEnd"/>
            <w:r w:rsidRPr="00DE4780">
              <w:rPr>
                <w:color w:val="000000"/>
                <w:sz w:val="18"/>
                <w:szCs w:val="18"/>
              </w:rPr>
              <w:t xml:space="preserve"> зала на стационаре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84,1%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84,1%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01F3D" w:rsidRPr="00DE4780" w:rsidRDefault="00C63F3D" w:rsidP="00C63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70,1</w:t>
            </w:r>
            <w:r w:rsidR="00201F3D" w:rsidRPr="00DE4780">
              <w:rPr>
                <w:color w:val="000000"/>
                <w:sz w:val="18"/>
                <w:szCs w:val="18"/>
              </w:rPr>
              <w:t>%</w:t>
            </w:r>
          </w:p>
        </w:tc>
      </w:tr>
      <w:tr w:rsidR="00D50759" w:rsidRPr="00DE4780" w:rsidTr="00732360">
        <w:trPr>
          <w:trHeight w:val="558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Драма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На выезде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1150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3B7427" w:rsidRPr="00DE4780" w:rsidRDefault="003B7427" w:rsidP="003B7427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0 на выезде</w:t>
            </w:r>
          </w:p>
          <w:p w:rsidR="00201F3D" w:rsidRPr="00DE4780" w:rsidRDefault="00201F3D" w:rsidP="003B7427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1658</w:t>
            </w:r>
            <w:r w:rsidR="003B7427" w:rsidRPr="00DE4780">
              <w:rPr>
                <w:color w:val="000000"/>
                <w:sz w:val="18"/>
                <w:szCs w:val="18"/>
              </w:rPr>
              <w:t xml:space="preserve"> региональные гастроли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динамика числа зрителей к предыдущему отчетному периоду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33,8%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33,8%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33,80%</w:t>
            </w:r>
          </w:p>
        </w:tc>
      </w:tr>
      <w:tr w:rsidR="00D50759" w:rsidRPr="00DE4780" w:rsidTr="00732360">
        <w:trPr>
          <w:trHeight w:val="289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 xml:space="preserve">средняя </w:t>
            </w:r>
            <w:proofErr w:type="spellStart"/>
            <w:r w:rsidRPr="00DE4780">
              <w:rPr>
                <w:color w:val="000000"/>
                <w:sz w:val="18"/>
                <w:szCs w:val="18"/>
              </w:rPr>
              <w:t>заполняемость</w:t>
            </w:r>
            <w:proofErr w:type="spellEnd"/>
            <w:r w:rsidRPr="00DE4780">
              <w:rPr>
                <w:color w:val="000000"/>
                <w:sz w:val="18"/>
                <w:szCs w:val="18"/>
              </w:rPr>
              <w:t xml:space="preserve"> зала на выезде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92 %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92 %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92 %</w:t>
            </w:r>
          </w:p>
        </w:tc>
      </w:tr>
      <w:tr w:rsidR="00D50759" w:rsidRPr="00DE4780" w:rsidTr="00732360">
        <w:trPr>
          <w:trHeight w:val="579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Музыкальная комедия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Стационар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28400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28400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33839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динамика числа зрителей к предыдущему отчетному периоду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125,1%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125,1%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73236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125,1%</w:t>
            </w:r>
          </w:p>
        </w:tc>
      </w:tr>
      <w:tr w:rsidR="00D50759" w:rsidRPr="00DE4780" w:rsidTr="00732360">
        <w:trPr>
          <w:trHeight w:val="233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 xml:space="preserve">средняя </w:t>
            </w:r>
            <w:proofErr w:type="spellStart"/>
            <w:r w:rsidRPr="00DE4780">
              <w:rPr>
                <w:color w:val="000000"/>
                <w:sz w:val="18"/>
                <w:szCs w:val="18"/>
              </w:rPr>
              <w:t>заполняемость</w:t>
            </w:r>
            <w:proofErr w:type="spellEnd"/>
            <w:r w:rsidRPr="00DE4780">
              <w:rPr>
                <w:color w:val="000000"/>
                <w:sz w:val="18"/>
                <w:szCs w:val="18"/>
              </w:rPr>
              <w:t xml:space="preserve"> зала на стационаре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84,1%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84,1%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01F3D" w:rsidRPr="00DE4780" w:rsidRDefault="00C63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70,1%</w:t>
            </w:r>
          </w:p>
        </w:tc>
      </w:tr>
      <w:tr w:rsidR="00D50759" w:rsidRPr="00DE4780" w:rsidTr="00732360">
        <w:trPr>
          <w:trHeight w:val="559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Музыкальная комедия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На выезде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6200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6200</w:t>
            </w:r>
          </w:p>
        </w:tc>
        <w:tc>
          <w:tcPr>
            <w:tcW w:w="15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3B7427" w:rsidRPr="00DE4780" w:rsidRDefault="003B7427" w:rsidP="003B7427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2769 на выезде</w:t>
            </w:r>
          </w:p>
          <w:p w:rsidR="00201F3D" w:rsidRPr="00DE4780" w:rsidRDefault="003B7427" w:rsidP="003B7427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4274 региональные гастроли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динамика числа зрителей к предыдущему отчетному периоду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55,4%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55,4%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73236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55,4%</w:t>
            </w:r>
          </w:p>
        </w:tc>
      </w:tr>
      <w:tr w:rsidR="00D50759" w:rsidRPr="00DE4780" w:rsidTr="00732360">
        <w:trPr>
          <w:trHeight w:val="305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 xml:space="preserve">средняя </w:t>
            </w:r>
            <w:proofErr w:type="spellStart"/>
            <w:r w:rsidRPr="00DE4780">
              <w:rPr>
                <w:color w:val="000000"/>
                <w:sz w:val="18"/>
                <w:szCs w:val="18"/>
              </w:rPr>
              <w:t>заполняемость</w:t>
            </w:r>
            <w:proofErr w:type="spellEnd"/>
            <w:r w:rsidRPr="00DE4780">
              <w:rPr>
                <w:color w:val="000000"/>
                <w:sz w:val="18"/>
                <w:szCs w:val="18"/>
              </w:rPr>
              <w:t xml:space="preserve"> зала на выезде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92%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92%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F3D" w:rsidRPr="00DE4780" w:rsidRDefault="00201F3D" w:rsidP="00201F3D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92%</w:t>
            </w:r>
          </w:p>
        </w:tc>
      </w:tr>
      <w:tr w:rsidR="00544B29" w:rsidRPr="00DE4780" w:rsidTr="00732360">
        <w:trPr>
          <w:trHeight w:val="169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29" w:rsidRPr="00DE4780" w:rsidRDefault="00544B29" w:rsidP="00201F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Итого,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29" w:rsidRPr="00DE4780" w:rsidRDefault="00544B29" w:rsidP="00201F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52080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29" w:rsidRPr="00DE4780" w:rsidRDefault="00544B29" w:rsidP="00201F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52080</w:t>
            </w:r>
          </w:p>
        </w:tc>
        <w:tc>
          <w:tcPr>
            <w:tcW w:w="62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4B29" w:rsidRPr="00DE4780" w:rsidRDefault="00544B29" w:rsidP="00544B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 xml:space="preserve">           69590,</w:t>
            </w:r>
            <w:r w:rsidR="0009505B" w:rsidRPr="00DE4780">
              <w:rPr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  <w:r w:rsidRPr="00DE4780">
              <w:rPr>
                <w:b/>
                <w:bCs/>
                <w:color w:val="000000"/>
                <w:sz w:val="18"/>
                <w:szCs w:val="18"/>
              </w:rPr>
              <w:t xml:space="preserve"> в т.ч. 17510 зрителей сверх </w:t>
            </w:r>
            <w:proofErr w:type="spellStart"/>
            <w:r w:rsidRPr="00DE4780">
              <w:rPr>
                <w:b/>
                <w:bCs/>
                <w:color w:val="000000"/>
                <w:sz w:val="18"/>
                <w:szCs w:val="18"/>
              </w:rPr>
              <w:t>гос.задания</w:t>
            </w:r>
            <w:proofErr w:type="spellEnd"/>
          </w:p>
        </w:tc>
      </w:tr>
      <w:tr w:rsidR="00544B29" w:rsidRPr="00DE4780" w:rsidTr="00732360">
        <w:trPr>
          <w:trHeight w:val="173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29" w:rsidRPr="00DE4780" w:rsidRDefault="00544B29" w:rsidP="00201F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на стационаре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29" w:rsidRPr="00DE4780" w:rsidRDefault="00544B29" w:rsidP="00201F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44730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29" w:rsidRPr="00DE4780" w:rsidRDefault="00544B29" w:rsidP="00201F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44730</w:t>
            </w:r>
          </w:p>
        </w:tc>
        <w:tc>
          <w:tcPr>
            <w:tcW w:w="62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4B29" w:rsidRPr="00DE4780" w:rsidRDefault="00544B29" w:rsidP="00544B29">
            <w:pPr>
              <w:rPr>
                <w:rFonts w:ascii="Calibri" w:hAnsi="Calibri" w:cs="Calibri"/>
                <w:color w:val="000000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 xml:space="preserve">           60889, </w:t>
            </w:r>
            <w:r w:rsidR="0009505B" w:rsidRPr="00DE4780">
              <w:rPr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  <w:r w:rsidRPr="00DE4780">
              <w:rPr>
                <w:b/>
                <w:bCs/>
                <w:color w:val="000000"/>
                <w:sz w:val="18"/>
                <w:szCs w:val="18"/>
              </w:rPr>
              <w:t xml:space="preserve">в т.ч. 16159 зрителей сверх </w:t>
            </w:r>
            <w:proofErr w:type="spellStart"/>
            <w:r w:rsidRPr="00DE4780">
              <w:rPr>
                <w:b/>
                <w:bCs/>
                <w:color w:val="000000"/>
                <w:sz w:val="18"/>
                <w:szCs w:val="18"/>
              </w:rPr>
              <w:t>гос.задания</w:t>
            </w:r>
            <w:proofErr w:type="spellEnd"/>
          </w:p>
        </w:tc>
      </w:tr>
    </w:tbl>
    <w:p w:rsidR="00536992" w:rsidRPr="00DE4780" w:rsidRDefault="00443D3E" w:rsidP="002219E0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DE4780">
        <w:rPr>
          <w:rFonts w:eastAsia="Calibri"/>
          <w:i/>
          <w:sz w:val="20"/>
          <w:szCs w:val="20"/>
          <w:lang w:eastAsia="en-US"/>
        </w:rPr>
        <w:t>*- данные отчета Театра, представленные в Комитет, ** - фактические данные, устан</w:t>
      </w:r>
      <w:r w:rsidR="00536992" w:rsidRPr="00DE4780">
        <w:rPr>
          <w:rFonts w:eastAsia="Calibri"/>
          <w:i/>
          <w:sz w:val="20"/>
          <w:szCs w:val="20"/>
          <w:lang w:eastAsia="en-US"/>
        </w:rPr>
        <w:t>овленные в ходе проверки Театра</w:t>
      </w:r>
    </w:p>
    <w:p w:rsidR="0055260E" w:rsidRPr="00DE4780" w:rsidRDefault="003B7427" w:rsidP="003B7427">
      <w:pPr>
        <w:spacing w:before="120"/>
        <w:ind w:firstLine="709"/>
        <w:jc w:val="both"/>
        <w:rPr>
          <w:rFonts w:eastAsia="Calibri"/>
          <w:lang w:eastAsia="en-US"/>
        </w:rPr>
      </w:pPr>
      <w:r w:rsidRPr="00DE4780">
        <w:rPr>
          <w:rFonts w:eastAsia="Calibri"/>
          <w:lang w:eastAsia="en-US"/>
        </w:rPr>
        <w:lastRenderedPageBreak/>
        <w:t>П</w:t>
      </w:r>
      <w:r w:rsidR="0055260E" w:rsidRPr="00DE4780">
        <w:rPr>
          <w:rFonts w:eastAsia="Calibri"/>
          <w:lang w:eastAsia="en-US"/>
        </w:rPr>
        <w:t>ри проверке фактического выполнения государственного задания установлено, что Театром в 2016 году не выполнены:</w:t>
      </w:r>
    </w:p>
    <w:p w:rsidR="0055260E" w:rsidRPr="00DE4780" w:rsidRDefault="0055260E" w:rsidP="002219E0">
      <w:pPr>
        <w:ind w:firstLine="709"/>
        <w:jc w:val="both"/>
        <w:rPr>
          <w:rFonts w:eastAsia="Calibri"/>
          <w:lang w:eastAsia="en-US"/>
        </w:rPr>
      </w:pPr>
      <w:r w:rsidRPr="00DE4780">
        <w:rPr>
          <w:rFonts w:eastAsia="Calibri"/>
          <w:lang w:eastAsia="en-US"/>
        </w:rPr>
        <w:t xml:space="preserve">-качественный показатель оказания государственной услуги «Показ спектаклей (театральных постановок)» </w:t>
      </w:r>
      <w:r w:rsidR="0054171C" w:rsidRPr="00DE4780">
        <w:rPr>
          <w:rFonts w:eastAsia="Calibri"/>
          <w:lang w:eastAsia="en-US"/>
        </w:rPr>
        <w:t>«</w:t>
      </w:r>
      <w:r w:rsidR="00544B29" w:rsidRPr="00DE4780">
        <w:rPr>
          <w:rFonts w:eastAsia="Calibri"/>
          <w:lang w:eastAsia="en-US"/>
        </w:rPr>
        <w:t xml:space="preserve">средняя </w:t>
      </w:r>
      <w:proofErr w:type="spellStart"/>
      <w:r w:rsidR="00544B29" w:rsidRPr="00DE4780">
        <w:rPr>
          <w:rFonts w:eastAsia="Calibri"/>
          <w:lang w:eastAsia="en-US"/>
        </w:rPr>
        <w:t>заполняемость</w:t>
      </w:r>
      <w:proofErr w:type="spellEnd"/>
      <w:r w:rsidR="00544B29" w:rsidRPr="00DE4780">
        <w:rPr>
          <w:rFonts w:eastAsia="Calibri"/>
          <w:lang w:eastAsia="en-US"/>
        </w:rPr>
        <w:t xml:space="preserve"> зала </w:t>
      </w:r>
      <w:r w:rsidRPr="00DE4780">
        <w:rPr>
          <w:rFonts w:eastAsia="Calibri"/>
          <w:lang w:eastAsia="en-US"/>
        </w:rPr>
        <w:t>на стационаре</w:t>
      </w:r>
      <w:r w:rsidR="0054171C" w:rsidRPr="00DE4780">
        <w:rPr>
          <w:rFonts w:eastAsia="Calibri"/>
          <w:lang w:eastAsia="en-US"/>
        </w:rPr>
        <w:t>» (план 84,1 %, факт 70,1 %)</w:t>
      </w:r>
      <w:r w:rsidRPr="00DE4780">
        <w:rPr>
          <w:rFonts w:eastAsia="Calibri"/>
          <w:lang w:eastAsia="en-US"/>
        </w:rPr>
        <w:t>;</w:t>
      </w:r>
    </w:p>
    <w:p w:rsidR="0055260E" w:rsidRPr="00DE4780" w:rsidRDefault="0055260E" w:rsidP="002219E0">
      <w:pPr>
        <w:ind w:firstLine="709"/>
        <w:jc w:val="both"/>
        <w:rPr>
          <w:rFonts w:eastAsia="Calibri"/>
          <w:lang w:eastAsia="en-US"/>
        </w:rPr>
      </w:pPr>
      <w:r w:rsidRPr="00DE4780">
        <w:rPr>
          <w:rFonts w:eastAsia="Calibri"/>
          <w:lang w:eastAsia="en-US"/>
        </w:rPr>
        <w:t xml:space="preserve">-количественный показатель оказания государственной услуги «Показ спектаклей (театральных постановок)» </w:t>
      </w:r>
      <w:r w:rsidR="0054171C" w:rsidRPr="00DE4780">
        <w:rPr>
          <w:rFonts w:eastAsia="Calibri"/>
          <w:lang w:eastAsia="en-US"/>
        </w:rPr>
        <w:t xml:space="preserve">«число зрителей </w:t>
      </w:r>
      <w:r w:rsidRPr="00DE4780">
        <w:rPr>
          <w:rFonts w:eastAsia="Calibri"/>
          <w:lang w:eastAsia="en-US"/>
        </w:rPr>
        <w:t>на выезде</w:t>
      </w:r>
      <w:r w:rsidR="0054171C" w:rsidRPr="00DE4780">
        <w:rPr>
          <w:rFonts w:eastAsia="Calibri"/>
          <w:lang w:eastAsia="en-US"/>
        </w:rPr>
        <w:t>» (план 7 350 зрителей, факт 2 769 зрителей)</w:t>
      </w:r>
      <w:r w:rsidRPr="00DE4780">
        <w:rPr>
          <w:rFonts w:eastAsia="Calibri"/>
          <w:lang w:eastAsia="en-US"/>
        </w:rPr>
        <w:t>;</w:t>
      </w:r>
    </w:p>
    <w:p w:rsidR="0055260E" w:rsidRPr="00DE4780" w:rsidRDefault="0055260E" w:rsidP="0055260E">
      <w:pPr>
        <w:ind w:firstLine="709"/>
        <w:jc w:val="both"/>
      </w:pPr>
      <w:r w:rsidRPr="00DE4780">
        <w:rPr>
          <w:rFonts w:eastAsia="Calibri"/>
          <w:lang w:eastAsia="en-US"/>
        </w:rPr>
        <w:t xml:space="preserve">-качественный показатель </w:t>
      </w:r>
      <w:r w:rsidRPr="00DE4780">
        <w:t>выполнения государственной работы «Создание спектаклей» большая форма (многонаселенная пьеса, из двух и более актов)</w:t>
      </w:r>
      <w:r w:rsidR="006D69E6" w:rsidRPr="00DE4780">
        <w:t xml:space="preserve"> (Таблица № </w:t>
      </w:r>
      <w:r w:rsidR="0054171C" w:rsidRPr="00DE4780">
        <w:t>3</w:t>
      </w:r>
      <w:r w:rsidR="006D69E6" w:rsidRPr="00DE4780">
        <w:t>)</w:t>
      </w:r>
      <w:r w:rsidRPr="00DE4780">
        <w:t>.</w:t>
      </w:r>
    </w:p>
    <w:p w:rsidR="00EE65E7" w:rsidRPr="00DE4780" w:rsidRDefault="00EE65E7" w:rsidP="0055260E">
      <w:pPr>
        <w:ind w:firstLine="709"/>
        <w:jc w:val="both"/>
        <w:rPr>
          <w:rFonts w:eastAsia="Calibri"/>
          <w:lang w:eastAsia="en-US"/>
        </w:rPr>
      </w:pPr>
      <w:r w:rsidRPr="00DE4780">
        <w:t>Из 32 наименований спектаклей (с учетом спектакля, поставленного за счет субсидии на иные цели (грант губернатора) «Упоенный, счастливый падаю перед тобой на колени»</w:t>
      </w:r>
      <w:r w:rsidR="00C61B53" w:rsidRPr="00DE4780">
        <w:t>)</w:t>
      </w:r>
      <w:r w:rsidRPr="00DE4780">
        <w:t xml:space="preserve"> 12 спектаклей (37,5 %</w:t>
      </w:r>
      <w:r w:rsidR="00C61B53" w:rsidRPr="00DE4780">
        <w:t>)</w:t>
      </w:r>
      <w:r w:rsidRPr="00DE4780">
        <w:t xml:space="preserve"> являются взрослыми, а 20 спектаклей (62,5 %) - детскими.</w:t>
      </w:r>
    </w:p>
    <w:p w:rsidR="0055260E" w:rsidRPr="00DE4780" w:rsidRDefault="0055260E" w:rsidP="00732360">
      <w:pPr>
        <w:spacing w:before="120"/>
        <w:jc w:val="center"/>
        <w:rPr>
          <w:i/>
        </w:rPr>
      </w:pPr>
      <w:r w:rsidRPr="00DE4780">
        <w:rPr>
          <w:i/>
        </w:rPr>
        <w:t>Государственная услуга «Показ спектаклей (театральных постановок)» на стационаре</w:t>
      </w:r>
    </w:p>
    <w:p w:rsidR="002219E0" w:rsidRPr="00DE4780" w:rsidRDefault="002219E0" w:rsidP="002219E0">
      <w:pPr>
        <w:ind w:firstLine="709"/>
        <w:jc w:val="both"/>
      </w:pPr>
      <w:r w:rsidRPr="00DE4780">
        <w:rPr>
          <w:rFonts w:eastAsia="Calibri"/>
          <w:lang w:eastAsia="en-US"/>
        </w:rPr>
        <w:t>В</w:t>
      </w:r>
      <w:r w:rsidRPr="00DE4780">
        <w:t xml:space="preserve"> соответствии с установленными </w:t>
      </w:r>
      <w:r w:rsidR="0055260E" w:rsidRPr="00DE4780">
        <w:t xml:space="preserve">в государственном задании по государственной услуге «Показ спектаклей (театральных постановок)» на стационаре </w:t>
      </w:r>
      <w:r w:rsidRPr="00DE4780">
        <w:t xml:space="preserve">количественными </w:t>
      </w:r>
      <w:r w:rsidR="0055260E" w:rsidRPr="00DE4780">
        <w:t xml:space="preserve">(44730 зрителей) </w:t>
      </w:r>
      <w:r w:rsidRPr="00DE4780">
        <w:t xml:space="preserve">и качественными показателями </w:t>
      </w:r>
      <w:r w:rsidR="0055260E" w:rsidRPr="00DE4780">
        <w:t>(</w:t>
      </w:r>
      <w:r w:rsidRPr="00DE4780">
        <w:t>средн</w:t>
      </w:r>
      <w:r w:rsidR="0055260E" w:rsidRPr="00DE4780">
        <w:t>яя</w:t>
      </w:r>
      <w:r w:rsidRPr="00DE4780">
        <w:t xml:space="preserve"> </w:t>
      </w:r>
      <w:proofErr w:type="spellStart"/>
      <w:r w:rsidRPr="00DE4780">
        <w:t>заполняемост</w:t>
      </w:r>
      <w:r w:rsidR="0055260E" w:rsidRPr="00DE4780">
        <w:t>ь</w:t>
      </w:r>
      <w:proofErr w:type="spellEnd"/>
      <w:r w:rsidRPr="00DE4780">
        <w:t xml:space="preserve"> зала</w:t>
      </w:r>
      <w:r w:rsidR="00F17F6F" w:rsidRPr="00DE4780">
        <w:t xml:space="preserve"> </w:t>
      </w:r>
      <w:r w:rsidRPr="00DE4780">
        <w:t>84,1 %</w:t>
      </w:r>
      <w:r w:rsidR="0055260E" w:rsidRPr="00DE4780">
        <w:t>)</w:t>
      </w:r>
      <w:r w:rsidRPr="00DE4780">
        <w:t xml:space="preserve"> </w:t>
      </w:r>
      <w:r w:rsidR="0055260E" w:rsidRPr="00DE4780">
        <w:t>их выполнение возможно</w:t>
      </w:r>
      <w:r w:rsidR="00760CB8" w:rsidRPr="00DE4780">
        <w:t xml:space="preserve"> при проведении</w:t>
      </w:r>
      <w:r w:rsidR="00646EDB" w:rsidRPr="00DE4780">
        <w:t xml:space="preserve"> от </w:t>
      </w:r>
      <w:r w:rsidR="0081086D" w:rsidRPr="00DE4780">
        <w:rPr>
          <w:b/>
        </w:rPr>
        <w:t>9</w:t>
      </w:r>
      <w:r w:rsidR="00C93BA6" w:rsidRPr="00DE4780">
        <w:rPr>
          <w:b/>
        </w:rPr>
        <w:t>5</w:t>
      </w:r>
      <w:r w:rsidRPr="00DE4780">
        <w:rPr>
          <w:b/>
        </w:rPr>
        <w:t xml:space="preserve"> спектакл</w:t>
      </w:r>
      <w:r w:rsidR="00646EDB" w:rsidRPr="00DE4780">
        <w:rPr>
          <w:b/>
        </w:rPr>
        <w:t>ей</w:t>
      </w:r>
      <w:r w:rsidRPr="00DE4780">
        <w:t xml:space="preserve"> </w:t>
      </w:r>
      <w:r w:rsidR="00760CB8" w:rsidRPr="00DE4780">
        <w:t xml:space="preserve">только в большом зале Театра с учетом его вместимости на 563 места </w:t>
      </w:r>
      <w:r w:rsidRPr="00DE4780">
        <w:t>(</w:t>
      </w:r>
      <w:r w:rsidR="00F17F6F" w:rsidRPr="00DE4780">
        <w:t>44730</w:t>
      </w:r>
      <w:r w:rsidRPr="00DE4780">
        <w:t>/563*84,1%)</w:t>
      </w:r>
      <w:r w:rsidR="009D636C" w:rsidRPr="00DE4780">
        <w:t xml:space="preserve"> </w:t>
      </w:r>
      <w:r w:rsidR="00646EDB" w:rsidRPr="00DE4780">
        <w:t>до</w:t>
      </w:r>
      <w:r w:rsidR="009D636C" w:rsidRPr="00DE4780">
        <w:rPr>
          <w:b/>
        </w:rPr>
        <w:t xml:space="preserve"> </w:t>
      </w:r>
      <w:r w:rsidR="00E15A98" w:rsidRPr="00DE4780">
        <w:rPr>
          <w:b/>
        </w:rPr>
        <w:t>118</w:t>
      </w:r>
      <w:r w:rsidR="00760CB8" w:rsidRPr="00DE4780">
        <w:rPr>
          <w:b/>
        </w:rPr>
        <w:t xml:space="preserve"> спектакл</w:t>
      </w:r>
      <w:r w:rsidR="00646EDB" w:rsidRPr="00DE4780">
        <w:rPr>
          <w:b/>
        </w:rPr>
        <w:t>ей</w:t>
      </w:r>
      <w:r w:rsidR="00760CB8" w:rsidRPr="00DE4780">
        <w:t xml:space="preserve"> в трех залах Театра (большой зал на 563 места, камерная сцена на 80 мест, малая сцена на 99 мест) с учетом общей их вместимости (</w:t>
      </w:r>
      <w:r w:rsidR="002225E0" w:rsidRPr="00DE4780">
        <w:t>(</w:t>
      </w:r>
      <w:r w:rsidR="00760CB8" w:rsidRPr="00DE4780">
        <w:t>44730</w:t>
      </w:r>
      <w:r w:rsidR="002225E0" w:rsidRPr="00DE4780">
        <w:t>/84 %)</w:t>
      </w:r>
      <w:r w:rsidR="00760CB8" w:rsidRPr="00DE4780">
        <w:t>/(563</w:t>
      </w:r>
      <w:r w:rsidR="00646EDB" w:rsidRPr="00DE4780">
        <w:t>*</w:t>
      </w:r>
      <w:r w:rsidR="002225E0" w:rsidRPr="00DE4780">
        <w:t>76</w:t>
      </w:r>
      <w:r w:rsidR="00646EDB" w:rsidRPr="00DE4780">
        <w:t>,</w:t>
      </w:r>
      <w:r w:rsidR="002225E0" w:rsidRPr="00DE4780">
        <w:t>8 </w:t>
      </w:r>
      <w:r w:rsidR="00646EDB" w:rsidRPr="00DE4780">
        <w:t>%</w:t>
      </w:r>
      <w:r w:rsidR="00760CB8" w:rsidRPr="00DE4780">
        <w:t>+80</w:t>
      </w:r>
      <w:r w:rsidR="00646EDB" w:rsidRPr="00DE4780">
        <w:t>*</w:t>
      </w:r>
      <w:r w:rsidR="002225E0" w:rsidRPr="00DE4780">
        <w:t>10,9 </w:t>
      </w:r>
      <w:r w:rsidR="00646EDB" w:rsidRPr="00DE4780">
        <w:t>%+</w:t>
      </w:r>
      <w:r w:rsidR="00760CB8" w:rsidRPr="00DE4780">
        <w:t>99</w:t>
      </w:r>
      <w:r w:rsidR="00646EDB" w:rsidRPr="00DE4780">
        <w:t>*</w:t>
      </w:r>
      <w:r w:rsidR="002225E0" w:rsidRPr="00DE4780">
        <w:t>12</w:t>
      </w:r>
      <w:r w:rsidR="00646EDB" w:rsidRPr="00DE4780">
        <w:t>,</w:t>
      </w:r>
      <w:r w:rsidR="002225E0" w:rsidRPr="00DE4780">
        <w:t>3 </w:t>
      </w:r>
      <w:r w:rsidR="00646EDB" w:rsidRPr="00DE4780">
        <w:t xml:space="preserve">%) по </w:t>
      </w:r>
      <w:r w:rsidR="002225E0" w:rsidRPr="00DE4780">
        <w:t>39</w:t>
      </w:r>
      <w:r w:rsidR="00646EDB" w:rsidRPr="00DE4780">
        <w:t xml:space="preserve"> спектакл</w:t>
      </w:r>
      <w:r w:rsidR="002225E0" w:rsidRPr="00DE4780">
        <w:t>ей</w:t>
      </w:r>
      <w:r w:rsidR="00646EDB" w:rsidRPr="00DE4780">
        <w:t xml:space="preserve"> в каждом зале</w:t>
      </w:r>
      <w:r w:rsidRPr="00DE4780">
        <w:t>.</w:t>
      </w:r>
    </w:p>
    <w:p w:rsidR="000829D3" w:rsidRPr="00DE4780" w:rsidRDefault="000829D3" w:rsidP="00B413A8">
      <w:pPr>
        <w:pStyle w:val="af4"/>
        <w:tabs>
          <w:tab w:val="left" w:pos="4536"/>
        </w:tabs>
        <w:spacing w:after="0"/>
        <w:ind w:left="0" w:firstLine="720"/>
        <w:jc w:val="both"/>
      </w:pPr>
      <w:r w:rsidRPr="00DE4780">
        <w:t>Объем финансового обеспечения на оказание государственной услуги «Показ спектаклей (театральных постановок)» на стационаре предусмотрен в размере 20</w:t>
      </w:r>
      <w:r w:rsidR="0024013B" w:rsidRPr="00DE4780">
        <w:t> 212,1 тыс. </w:t>
      </w:r>
      <w:r w:rsidRPr="00DE4780">
        <w:t>руб</w:t>
      </w:r>
      <w:r w:rsidR="009D636C" w:rsidRPr="00DE4780">
        <w:t>лей. С</w:t>
      </w:r>
      <w:r w:rsidRPr="00DE4780">
        <w:t xml:space="preserve">оответственно средняя стоимость </w:t>
      </w:r>
      <w:r w:rsidR="000243BA" w:rsidRPr="00DE4780">
        <w:t xml:space="preserve">показа </w:t>
      </w:r>
      <w:r w:rsidRPr="00DE4780">
        <w:t xml:space="preserve">1 спектакля </w:t>
      </w:r>
      <w:r w:rsidR="009D636C" w:rsidRPr="00DE4780">
        <w:t xml:space="preserve">при планируемых показателях </w:t>
      </w:r>
      <w:r w:rsidR="00536992" w:rsidRPr="00DE4780">
        <w:t xml:space="preserve">качества </w:t>
      </w:r>
      <w:r w:rsidR="009D636C" w:rsidRPr="00DE4780">
        <w:t xml:space="preserve">в государственном задании составляет </w:t>
      </w:r>
      <w:r w:rsidR="00284F35" w:rsidRPr="00DE4780">
        <w:t xml:space="preserve">от </w:t>
      </w:r>
      <w:r w:rsidR="0081086D" w:rsidRPr="00DE4780">
        <w:rPr>
          <w:b/>
        </w:rPr>
        <w:t>21</w:t>
      </w:r>
      <w:r w:rsidR="0024013B" w:rsidRPr="00DE4780">
        <w:rPr>
          <w:b/>
        </w:rPr>
        <w:t>2</w:t>
      </w:r>
      <w:r w:rsidR="0081086D" w:rsidRPr="00DE4780">
        <w:rPr>
          <w:b/>
        </w:rPr>
        <w:t>,</w:t>
      </w:r>
      <w:r w:rsidR="0024013B" w:rsidRPr="00DE4780">
        <w:rPr>
          <w:b/>
        </w:rPr>
        <w:t>7</w:t>
      </w:r>
      <w:r w:rsidR="00A237A4" w:rsidRPr="00DE4780">
        <w:rPr>
          <w:b/>
        </w:rPr>
        <w:t> </w:t>
      </w:r>
      <w:r w:rsidR="009D636C" w:rsidRPr="00DE4780">
        <w:rPr>
          <w:b/>
        </w:rPr>
        <w:t>тыс.</w:t>
      </w:r>
      <w:r w:rsidR="00A237A4" w:rsidRPr="00DE4780">
        <w:rPr>
          <w:b/>
        </w:rPr>
        <w:t> </w:t>
      </w:r>
      <w:r w:rsidR="009D636C" w:rsidRPr="00DE4780">
        <w:rPr>
          <w:b/>
        </w:rPr>
        <w:t>руб</w:t>
      </w:r>
      <w:r w:rsidR="009D636C" w:rsidRPr="00DE4780">
        <w:t>. п</w:t>
      </w:r>
      <w:r w:rsidRPr="00DE4780">
        <w:t>ри проведении</w:t>
      </w:r>
      <w:r w:rsidR="009D636C" w:rsidRPr="00DE4780">
        <w:t xml:space="preserve"> </w:t>
      </w:r>
      <w:r w:rsidR="00C07A46" w:rsidRPr="00DE4780">
        <w:t xml:space="preserve">всех </w:t>
      </w:r>
      <w:r w:rsidR="009D636C" w:rsidRPr="00DE4780">
        <w:t>спектаклей только в большом зале (20</w:t>
      </w:r>
      <w:r w:rsidR="00C07A46" w:rsidRPr="00DE4780">
        <w:t> </w:t>
      </w:r>
      <w:r w:rsidR="009D636C" w:rsidRPr="00DE4780">
        <w:t>212,1 тыс. руб./</w:t>
      </w:r>
      <w:r w:rsidR="0081086D" w:rsidRPr="00DE4780">
        <w:t>9</w:t>
      </w:r>
      <w:r w:rsidR="0024013B" w:rsidRPr="00DE4780">
        <w:t>5</w:t>
      </w:r>
      <w:r w:rsidR="002167B0" w:rsidRPr="00DE4780">
        <w:t xml:space="preserve"> спектакл</w:t>
      </w:r>
      <w:r w:rsidR="0024013B" w:rsidRPr="00DE4780">
        <w:t>ей</w:t>
      </w:r>
      <w:r w:rsidR="009D636C" w:rsidRPr="00DE4780">
        <w:t>)</w:t>
      </w:r>
      <w:r w:rsidR="00284F35" w:rsidRPr="00DE4780">
        <w:t xml:space="preserve"> до</w:t>
      </w:r>
      <w:r w:rsidR="00A237A4" w:rsidRPr="00DE4780">
        <w:t xml:space="preserve"> </w:t>
      </w:r>
      <w:r w:rsidR="0068386E" w:rsidRPr="00DE4780">
        <w:rPr>
          <w:b/>
        </w:rPr>
        <w:t>171</w:t>
      </w:r>
      <w:r w:rsidR="009D636C" w:rsidRPr="00DE4780">
        <w:rPr>
          <w:b/>
        </w:rPr>
        <w:t> тыс. руб.</w:t>
      </w:r>
      <w:r w:rsidR="009D636C" w:rsidRPr="00DE4780">
        <w:t xml:space="preserve"> при проведении спектаклей </w:t>
      </w:r>
      <w:r w:rsidRPr="00DE4780">
        <w:t>в трех</w:t>
      </w:r>
      <w:r w:rsidR="009D636C" w:rsidRPr="00DE4780">
        <w:t xml:space="preserve"> залах Театра</w:t>
      </w:r>
      <w:r w:rsidRPr="00DE4780">
        <w:t xml:space="preserve"> (20</w:t>
      </w:r>
      <w:r w:rsidR="00C07A46" w:rsidRPr="00DE4780">
        <w:t> </w:t>
      </w:r>
      <w:r w:rsidRPr="00DE4780">
        <w:t>212,1 тыс. руб./</w:t>
      </w:r>
      <w:r w:rsidR="0068386E" w:rsidRPr="00DE4780">
        <w:t>118</w:t>
      </w:r>
      <w:r w:rsidRPr="00DE4780">
        <w:t xml:space="preserve"> спектакл</w:t>
      </w:r>
      <w:r w:rsidR="00B413A8" w:rsidRPr="00DE4780">
        <w:t>ей</w:t>
      </w:r>
      <w:r w:rsidRPr="00DE4780">
        <w:t>).</w:t>
      </w:r>
    </w:p>
    <w:p w:rsidR="00A02D0D" w:rsidRPr="00DE4780" w:rsidRDefault="001D1F33" w:rsidP="002219E0">
      <w:pPr>
        <w:pStyle w:val="af4"/>
        <w:spacing w:after="0"/>
        <w:ind w:left="0" w:firstLine="720"/>
        <w:jc w:val="both"/>
      </w:pPr>
      <w:r w:rsidRPr="00DE4780">
        <w:t xml:space="preserve">В </w:t>
      </w:r>
      <w:r w:rsidR="002219E0" w:rsidRPr="00DE4780">
        <w:t xml:space="preserve">2016 году </w:t>
      </w:r>
      <w:r w:rsidR="00760CB8" w:rsidRPr="00DE4780">
        <w:t>Театром</w:t>
      </w:r>
      <w:r w:rsidR="008B0738" w:rsidRPr="00DE4780">
        <w:t xml:space="preserve"> </w:t>
      </w:r>
      <w:r w:rsidR="00A02D0D" w:rsidRPr="00DE4780">
        <w:t>осуществл</w:t>
      </w:r>
      <w:r w:rsidR="0055260E" w:rsidRPr="00DE4780">
        <w:t xml:space="preserve">ялся </w:t>
      </w:r>
      <w:r w:rsidR="00A02D0D" w:rsidRPr="00DE4780">
        <w:t xml:space="preserve">показ </w:t>
      </w:r>
      <w:r w:rsidR="0055260E" w:rsidRPr="00DE4780">
        <w:t xml:space="preserve">в трех </w:t>
      </w:r>
      <w:r w:rsidRPr="00DE4780">
        <w:t>выше</w:t>
      </w:r>
      <w:r w:rsidR="0055260E" w:rsidRPr="00DE4780">
        <w:t>указанных залах</w:t>
      </w:r>
      <w:r w:rsidR="0053723D" w:rsidRPr="00DE4780">
        <w:t xml:space="preserve"> </w:t>
      </w:r>
      <w:r w:rsidR="0053723D" w:rsidRPr="00DE4780">
        <w:rPr>
          <w:b/>
        </w:rPr>
        <w:t>209</w:t>
      </w:r>
      <w:r w:rsidR="0053723D" w:rsidRPr="00DE4780">
        <w:t xml:space="preserve"> спектаклей с общим количеством зрителей 60 889 чел.</w:t>
      </w:r>
      <w:r w:rsidR="0055260E" w:rsidRPr="00DE4780">
        <w:t xml:space="preserve">, </w:t>
      </w:r>
      <w:r w:rsidR="000E2B83" w:rsidRPr="00DE4780">
        <w:t>в том числе:</w:t>
      </w:r>
    </w:p>
    <w:p w:rsidR="00A02D0D" w:rsidRPr="00DE4780" w:rsidRDefault="00A02D0D" w:rsidP="002219E0">
      <w:pPr>
        <w:pStyle w:val="af4"/>
        <w:spacing w:after="0"/>
        <w:ind w:left="0" w:firstLine="720"/>
        <w:jc w:val="both"/>
      </w:pPr>
      <w:r w:rsidRPr="00DE4780">
        <w:t xml:space="preserve">-144 спектакля - </w:t>
      </w:r>
      <w:r w:rsidR="002219E0" w:rsidRPr="00DE4780">
        <w:t xml:space="preserve">на большой сцене с общим количеством </w:t>
      </w:r>
      <w:r w:rsidR="00A20A81" w:rsidRPr="00DE4780">
        <w:t>55</w:t>
      </w:r>
      <w:r w:rsidR="000E2B83" w:rsidRPr="00DE4780">
        <w:t> </w:t>
      </w:r>
      <w:r w:rsidR="00A20A81" w:rsidRPr="00DE4780">
        <w:t>280</w:t>
      </w:r>
      <w:r w:rsidR="002219E0" w:rsidRPr="00DE4780">
        <w:t> зрител</w:t>
      </w:r>
      <w:r w:rsidR="00752263" w:rsidRPr="00DE4780">
        <w:t>ей</w:t>
      </w:r>
      <w:r w:rsidRPr="00DE4780">
        <w:t>, средн</w:t>
      </w:r>
      <w:r w:rsidR="003420C5" w:rsidRPr="00DE4780">
        <w:t xml:space="preserve">ее количество зрителей </w:t>
      </w:r>
      <w:r w:rsidRPr="00DE4780">
        <w:t>составил</w:t>
      </w:r>
      <w:r w:rsidR="003420C5" w:rsidRPr="00DE4780">
        <w:t>о</w:t>
      </w:r>
      <w:r w:rsidRPr="00DE4780">
        <w:t xml:space="preserve"> 383 чел.</w:t>
      </w:r>
      <w:r w:rsidR="00CF18A6" w:rsidRPr="00DE4780">
        <w:t xml:space="preserve"> </w:t>
      </w:r>
      <w:r w:rsidRPr="00DE4780">
        <w:t>(55280/144)</w:t>
      </w:r>
      <w:r w:rsidR="00DF713C" w:rsidRPr="00DE4780">
        <w:t xml:space="preserve">, средняя </w:t>
      </w:r>
      <w:proofErr w:type="spellStart"/>
      <w:r w:rsidR="00DF713C" w:rsidRPr="00DE4780">
        <w:t>заполняемость</w:t>
      </w:r>
      <w:proofErr w:type="spellEnd"/>
      <w:r w:rsidR="00DF713C" w:rsidRPr="00DE4780">
        <w:t xml:space="preserve"> зала </w:t>
      </w:r>
      <w:r w:rsidR="003420C5" w:rsidRPr="00DE4780">
        <w:t xml:space="preserve">– </w:t>
      </w:r>
      <w:r w:rsidR="00DF713C" w:rsidRPr="00DE4780">
        <w:t>68</w:t>
      </w:r>
      <w:r w:rsidR="003420C5" w:rsidRPr="00DE4780">
        <w:t> </w:t>
      </w:r>
      <w:r w:rsidR="00DF713C" w:rsidRPr="00DE4780">
        <w:t>% (383/563)</w:t>
      </w:r>
      <w:r w:rsidRPr="00DE4780">
        <w:t>;</w:t>
      </w:r>
    </w:p>
    <w:p w:rsidR="00A02D0D" w:rsidRPr="00DE4780" w:rsidRDefault="00A02D0D" w:rsidP="002219E0">
      <w:pPr>
        <w:pStyle w:val="af4"/>
        <w:spacing w:after="0"/>
        <w:ind w:left="0" w:firstLine="720"/>
        <w:jc w:val="both"/>
      </w:pPr>
      <w:r w:rsidRPr="00DE4780">
        <w:t xml:space="preserve">-11 спектаклей - </w:t>
      </w:r>
      <w:r w:rsidR="002219E0" w:rsidRPr="00DE4780">
        <w:t>на камерной сцене с общим количеством 791 зритель</w:t>
      </w:r>
      <w:r w:rsidRPr="00DE4780">
        <w:t xml:space="preserve">, </w:t>
      </w:r>
      <w:r w:rsidR="003420C5" w:rsidRPr="00DE4780">
        <w:t>среднее количество зрителей составило</w:t>
      </w:r>
      <w:r w:rsidRPr="00DE4780">
        <w:t xml:space="preserve"> 72 чел.</w:t>
      </w:r>
      <w:r w:rsidR="000E2B83" w:rsidRPr="00DE4780">
        <w:t xml:space="preserve"> </w:t>
      </w:r>
      <w:r w:rsidRPr="00DE4780">
        <w:t>(791/11)</w:t>
      </w:r>
      <w:r w:rsidR="00DF713C" w:rsidRPr="00DE4780">
        <w:t xml:space="preserve">, средняя </w:t>
      </w:r>
      <w:proofErr w:type="spellStart"/>
      <w:r w:rsidR="00DF713C" w:rsidRPr="00DE4780">
        <w:t>заполняемость</w:t>
      </w:r>
      <w:proofErr w:type="spellEnd"/>
      <w:r w:rsidR="00DF713C" w:rsidRPr="00DE4780">
        <w:t xml:space="preserve"> зала </w:t>
      </w:r>
      <w:r w:rsidR="003420C5" w:rsidRPr="00DE4780">
        <w:t xml:space="preserve">– </w:t>
      </w:r>
      <w:r w:rsidR="00DF713C" w:rsidRPr="00DE4780">
        <w:t>90</w:t>
      </w:r>
      <w:r w:rsidR="003420C5" w:rsidRPr="00DE4780">
        <w:t> </w:t>
      </w:r>
      <w:r w:rsidR="00DF713C" w:rsidRPr="00DE4780">
        <w:t>% (72/80);</w:t>
      </w:r>
    </w:p>
    <w:p w:rsidR="002219E0" w:rsidRPr="00DE4780" w:rsidRDefault="00A02D0D" w:rsidP="002219E0">
      <w:pPr>
        <w:pStyle w:val="af4"/>
        <w:spacing w:after="0"/>
        <w:ind w:left="0" w:firstLine="720"/>
        <w:jc w:val="both"/>
      </w:pPr>
      <w:r w:rsidRPr="00DE4780">
        <w:t>-54 спектакля -</w:t>
      </w:r>
      <w:r w:rsidR="002219E0" w:rsidRPr="00DE4780">
        <w:t xml:space="preserve"> на малой сцене с общим количеством </w:t>
      </w:r>
      <w:r w:rsidR="00A20A81" w:rsidRPr="00DE4780">
        <w:t>4818</w:t>
      </w:r>
      <w:r w:rsidR="002219E0" w:rsidRPr="00DE4780">
        <w:t xml:space="preserve"> зрителей</w:t>
      </w:r>
      <w:r w:rsidRPr="00DE4780">
        <w:t xml:space="preserve">, </w:t>
      </w:r>
      <w:r w:rsidR="003420C5" w:rsidRPr="00DE4780">
        <w:t>среднее количество зрителей составило</w:t>
      </w:r>
      <w:r w:rsidRPr="00DE4780">
        <w:t xml:space="preserve"> 89 чел.</w:t>
      </w:r>
      <w:r w:rsidR="000E2B83" w:rsidRPr="00DE4780">
        <w:t xml:space="preserve"> </w:t>
      </w:r>
      <w:r w:rsidRPr="00DE4780">
        <w:t>(4818/54)</w:t>
      </w:r>
      <w:r w:rsidR="00DF713C" w:rsidRPr="00DE4780">
        <w:t xml:space="preserve">, средняя </w:t>
      </w:r>
      <w:proofErr w:type="spellStart"/>
      <w:r w:rsidR="00DF713C" w:rsidRPr="00DE4780">
        <w:t>заполняемость</w:t>
      </w:r>
      <w:proofErr w:type="spellEnd"/>
      <w:r w:rsidR="00DF713C" w:rsidRPr="00DE4780">
        <w:t xml:space="preserve"> зала </w:t>
      </w:r>
      <w:r w:rsidR="003420C5" w:rsidRPr="00DE4780">
        <w:t xml:space="preserve">– </w:t>
      </w:r>
      <w:r w:rsidR="00DF713C" w:rsidRPr="00DE4780">
        <w:t>90</w:t>
      </w:r>
      <w:r w:rsidR="003420C5" w:rsidRPr="00DE4780">
        <w:t> </w:t>
      </w:r>
      <w:r w:rsidR="00DF713C" w:rsidRPr="00DE4780">
        <w:t>% (89/99).</w:t>
      </w:r>
    </w:p>
    <w:p w:rsidR="00284F35" w:rsidRPr="00DE4780" w:rsidRDefault="00284F35" w:rsidP="008C66BD">
      <w:pPr>
        <w:pStyle w:val="af4"/>
        <w:spacing w:after="0"/>
        <w:ind w:left="0" w:firstLine="720"/>
        <w:jc w:val="both"/>
      </w:pPr>
      <w:r w:rsidRPr="00DE4780">
        <w:t xml:space="preserve">Средняя стоимость показа 1 спектакля фактически составила </w:t>
      </w:r>
      <w:r w:rsidRPr="00DE4780">
        <w:rPr>
          <w:b/>
        </w:rPr>
        <w:t>96,7</w:t>
      </w:r>
      <w:r w:rsidRPr="00DE4780">
        <w:t> тыс. руб. (20 </w:t>
      </w:r>
      <w:r w:rsidR="00C07A46" w:rsidRPr="00DE4780">
        <w:t>212,1 тыс. руб./209 спектаклей)</w:t>
      </w:r>
      <w:r w:rsidR="00C63F3D" w:rsidRPr="00DE4780">
        <w:t>, что ниже расчетного значения, установленного государственным заданием практически в 2 раза.</w:t>
      </w:r>
    </w:p>
    <w:p w:rsidR="00AE64C9" w:rsidRPr="00DE4780" w:rsidRDefault="00D43DDB" w:rsidP="00D43DDB">
      <w:pPr>
        <w:ind w:firstLine="709"/>
        <w:jc w:val="both"/>
      </w:pPr>
      <w:r w:rsidRPr="00DE4780">
        <w:t>Принят</w:t>
      </w:r>
      <w:r w:rsidR="0009505B" w:rsidRPr="00DE4780">
        <w:t>ая</w:t>
      </w:r>
      <w:r w:rsidRPr="00DE4780">
        <w:t xml:space="preserve"> Комитетом отчет</w:t>
      </w:r>
      <w:r w:rsidR="0009505B" w:rsidRPr="00DE4780">
        <w:t>ность</w:t>
      </w:r>
      <w:r w:rsidR="00406B13" w:rsidRPr="00DE4780">
        <w:t xml:space="preserve"> о выполнении государственного задания за 2016год</w:t>
      </w:r>
      <w:r w:rsidRPr="00DE4780">
        <w:t xml:space="preserve"> с показателем качества 84,1 % не </w:t>
      </w:r>
      <w:r w:rsidR="00D65F45" w:rsidRPr="00DE4780">
        <w:t>объективн</w:t>
      </w:r>
      <w:r w:rsidR="0009505B" w:rsidRPr="00DE4780">
        <w:t xml:space="preserve">а, так как не соответствует никакому способу расчета. Для анализа исполнения показателя качества, по мнению КСП, необходимо использовать механизм расчета </w:t>
      </w:r>
      <w:r w:rsidRPr="00DE4780">
        <w:t xml:space="preserve">среднего значения </w:t>
      </w:r>
      <w:proofErr w:type="spellStart"/>
      <w:r w:rsidR="001A50D1" w:rsidRPr="00DE4780">
        <w:t>заполняемости</w:t>
      </w:r>
      <w:proofErr w:type="spellEnd"/>
      <w:r w:rsidR="001A50D1" w:rsidRPr="00DE4780">
        <w:t xml:space="preserve"> зала </w:t>
      </w:r>
      <w:r w:rsidR="00405DB4" w:rsidRPr="00DE4780">
        <w:t xml:space="preserve">по средневзвешенному </w:t>
      </w:r>
      <w:r w:rsidR="0009505B" w:rsidRPr="00DE4780">
        <w:t>значению</w:t>
      </w:r>
      <w:r w:rsidR="00AE64C9" w:rsidRPr="00DE4780">
        <w:t>, который</w:t>
      </w:r>
      <w:r w:rsidR="00405DB4" w:rsidRPr="00DE4780">
        <w:t xml:space="preserve"> </w:t>
      </w:r>
      <w:r w:rsidR="001A50D1" w:rsidRPr="00DE4780">
        <w:t xml:space="preserve">отражает </w:t>
      </w:r>
      <w:r w:rsidR="0009505B" w:rsidRPr="00DE4780">
        <w:t xml:space="preserve">долю </w:t>
      </w:r>
      <w:r w:rsidR="001A50D1" w:rsidRPr="00DE4780">
        <w:t>зрителей при показ</w:t>
      </w:r>
      <w:r w:rsidR="0009505B" w:rsidRPr="00DE4780">
        <w:t xml:space="preserve">ах </w:t>
      </w:r>
      <w:r w:rsidR="001A50D1" w:rsidRPr="00DE4780">
        <w:t>спектаклей на каждой сцене</w:t>
      </w:r>
      <w:r w:rsidR="0009505B" w:rsidRPr="00DE4780">
        <w:t xml:space="preserve"> в общем </w:t>
      </w:r>
      <w:r w:rsidR="00D65F45" w:rsidRPr="00DE4780">
        <w:t>количестве зрителей</w:t>
      </w:r>
      <w:r w:rsidR="001A50D1" w:rsidRPr="00DE4780">
        <w:t>, что является более объективным при расчете среднего значения</w:t>
      </w:r>
      <w:r w:rsidR="00406B13" w:rsidRPr="00DE4780">
        <w:t>.</w:t>
      </w:r>
    </w:p>
    <w:p w:rsidR="00AE64C9" w:rsidRPr="00DE4780" w:rsidRDefault="00406B13" w:rsidP="00AE64C9">
      <w:pPr>
        <w:pStyle w:val="af4"/>
        <w:spacing w:after="0"/>
        <w:ind w:left="0" w:firstLine="709"/>
        <w:jc w:val="both"/>
      </w:pPr>
      <w:r w:rsidRPr="00DE4780">
        <w:t>Исходя из средневзвешенного расчета</w:t>
      </w:r>
      <w:r w:rsidRPr="00DE4780">
        <w:rPr>
          <w:b/>
        </w:rPr>
        <w:t xml:space="preserve"> </w:t>
      </w:r>
      <w:r w:rsidRPr="00DE4780">
        <w:t>количества зрителей</w:t>
      </w:r>
      <w:r w:rsidRPr="00DE4780">
        <w:rPr>
          <w:b/>
        </w:rPr>
        <w:t xml:space="preserve"> </w:t>
      </w:r>
      <w:r w:rsidRPr="00DE4780">
        <w:t>при показе спектаклей на каждой сцене</w:t>
      </w:r>
      <w:r w:rsidRPr="00DE4780">
        <w:rPr>
          <w:b/>
        </w:rPr>
        <w:t xml:space="preserve"> </w:t>
      </w:r>
      <w:r w:rsidRPr="00DE4780">
        <w:t>фактическое значение</w:t>
      </w:r>
      <w:r w:rsidRPr="00DE4780">
        <w:rPr>
          <w:b/>
        </w:rPr>
        <w:t xml:space="preserve"> </w:t>
      </w:r>
      <w:proofErr w:type="spellStart"/>
      <w:r w:rsidRPr="00DE4780">
        <w:t>заполняемости</w:t>
      </w:r>
      <w:proofErr w:type="spellEnd"/>
      <w:r w:rsidRPr="00DE4780">
        <w:t xml:space="preserve"> зала</w:t>
      </w:r>
      <w:r w:rsidRPr="00DE4780">
        <w:rPr>
          <w:b/>
        </w:rPr>
        <w:t xml:space="preserve"> </w:t>
      </w:r>
      <w:r w:rsidRPr="00DE4780">
        <w:t>с учетом доли зрителей на стационаре в каждом зале в общей численности зрителей составило</w:t>
      </w:r>
      <w:r w:rsidRPr="00DE4780">
        <w:rPr>
          <w:b/>
        </w:rPr>
        <w:t xml:space="preserve"> 70,1 %</w:t>
      </w:r>
      <w:r w:rsidRPr="00DE4780">
        <w:t xml:space="preserve"> (средневзвешенное значение) (большой зал 61,8% (68%*(55280/60889)*100), камерная сцена 1,2 % (90%*(791/60889)*100), малая сцена 7,1 % (90%*(4818/60889)*100).</w:t>
      </w:r>
    </w:p>
    <w:p w:rsidR="00AE64C9" w:rsidRPr="00DE4780" w:rsidRDefault="00AE64C9" w:rsidP="00AE64C9">
      <w:pPr>
        <w:pStyle w:val="af4"/>
        <w:spacing w:after="0"/>
        <w:ind w:left="0" w:firstLine="709"/>
        <w:jc w:val="both"/>
      </w:pPr>
      <w:r w:rsidRPr="00DE4780">
        <w:t xml:space="preserve">Таким образом, принятие Комитетом в отчете о выполнении государственного задания </w:t>
      </w:r>
      <w:r w:rsidR="00406B13" w:rsidRPr="00DE4780">
        <w:t xml:space="preserve">за 2016 год </w:t>
      </w:r>
      <w:r w:rsidRPr="00DE4780">
        <w:rPr>
          <w:rFonts w:eastAsia="Calibri"/>
          <w:lang w:eastAsia="en-US"/>
        </w:rPr>
        <w:t xml:space="preserve">качественного показателя оказания государственной услуги «Показ спектаклей </w:t>
      </w:r>
      <w:r w:rsidRPr="00DE4780">
        <w:rPr>
          <w:rFonts w:eastAsia="Calibri"/>
          <w:lang w:eastAsia="en-US"/>
        </w:rPr>
        <w:lastRenderedPageBreak/>
        <w:t xml:space="preserve">(театральных постановок)» «средняя </w:t>
      </w:r>
      <w:proofErr w:type="spellStart"/>
      <w:r w:rsidRPr="00DE4780">
        <w:rPr>
          <w:rFonts w:eastAsia="Calibri"/>
          <w:lang w:eastAsia="en-US"/>
        </w:rPr>
        <w:t>заполняемость</w:t>
      </w:r>
      <w:proofErr w:type="spellEnd"/>
      <w:r w:rsidRPr="00DE4780">
        <w:rPr>
          <w:rFonts w:eastAsia="Calibri"/>
          <w:lang w:eastAsia="en-US"/>
        </w:rPr>
        <w:t xml:space="preserve"> зала на стационаре» в значении 84,1 % при факте 70,1 %</w:t>
      </w:r>
      <w:r w:rsidRPr="00DE4780">
        <w:t xml:space="preserve"> свидетельствует о формальном подходе Комитета к формированию государственного задания Театра и контролю за его исполнением.</w:t>
      </w:r>
    </w:p>
    <w:p w:rsidR="00405DB4" w:rsidRPr="00DE4780" w:rsidRDefault="00D43DDB" w:rsidP="00131B96">
      <w:pPr>
        <w:ind w:firstLine="709"/>
        <w:jc w:val="both"/>
      </w:pPr>
      <w:r w:rsidRPr="00DE4780">
        <w:t>М</w:t>
      </w:r>
      <w:r w:rsidR="00C63F3D" w:rsidRPr="00DE4780">
        <w:t>етодика</w:t>
      </w:r>
      <w:r w:rsidR="00405DB4" w:rsidRPr="00DE4780">
        <w:t xml:space="preserve"> планирования Комитетом показателей государственного задания Театра с учетом нагрузки его артистов</w:t>
      </w:r>
      <w:r w:rsidRPr="00DE4780">
        <w:t xml:space="preserve"> имеет существенные недостатки</w:t>
      </w:r>
      <w:r w:rsidR="00405DB4" w:rsidRPr="00DE4780">
        <w:t>.</w:t>
      </w:r>
    </w:p>
    <w:p w:rsidR="00131B96" w:rsidRPr="00DE4780" w:rsidRDefault="00405DB4" w:rsidP="00131B96">
      <w:pPr>
        <w:ind w:firstLine="709"/>
        <w:jc w:val="both"/>
      </w:pPr>
      <w:r w:rsidRPr="00DE4780">
        <w:t>Так, в</w:t>
      </w:r>
      <w:r w:rsidR="00131B96" w:rsidRPr="00DE4780">
        <w:t xml:space="preserve"> соответствии с нормами выступлений артистов в спектаклях и нормами постановок художественного персонала театров, утвержденными приказом Министерства культуры СССР от 21.07.1983 № 414, месячные охранные нормы выступлений артистов высшей категории в спектаклях установлены в количестве «не выше 16» для артистов драмы и «не выше 15» в месяц для артистов музыкальной комедии.</w:t>
      </w:r>
    </w:p>
    <w:p w:rsidR="00C63F3D" w:rsidRPr="00DE4780" w:rsidRDefault="00131B96" w:rsidP="00131B96">
      <w:pPr>
        <w:ind w:firstLine="709"/>
        <w:jc w:val="both"/>
      </w:pPr>
      <w:r w:rsidRPr="00DE4780">
        <w:t>С учетом длительности театрального сезона (</w:t>
      </w:r>
      <w:r w:rsidR="00DE4780" w:rsidRPr="00DE4780">
        <w:t>10</w:t>
      </w:r>
      <w:r w:rsidRPr="00DE4780">
        <w:t xml:space="preserve"> месяцев в году) проведение в 2016 году </w:t>
      </w:r>
      <w:r w:rsidRPr="00DE4780">
        <w:rPr>
          <w:b/>
        </w:rPr>
        <w:t>95 спектаклей</w:t>
      </w:r>
      <w:r w:rsidRPr="00DE4780">
        <w:t xml:space="preserve"> только в большом зале Театра приведет к загруженности его актеров в объеме 12 спектаклей в </w:t>
      </w:r>
      <w:r w:rsidR="00176FC4" w:rsidRPr="00DE4780">
        <w:t>месяц</w:t>
      </w:r>
      <w:r w:rsidR="00C63F3D" w:rsidRPr="00DE4780">
        <w:t xml:space="preserve"> (</w:t>
      </w:r>
      <w:r w:rsidR="00176FC4" w:rsidRPr="00DE4780">
        <w:t>63</w:t>
      </w:r>
      <w:r w:rsidR="00C63F3D" w:rsidRPr="00DE4780">
        <w:t xml:space="preserve"> % от предельной нагрузки), </w:t>
      </w:r>
      <w:r w:rsidR="00C63F3D" w:rsidRPr="00DE4780">
        <w:rPr>
          <w:b/>
        </w:rPr>
        <w:t>118</w:t>
      </w:r>
      <w:r w:rsidR="00C63F3D" w:rsidRPr="00DE4780">
        <w:t xml:space="preserve"> спектаклей </w:t>
      </w:r>
      <w:r w:rsidR="000410EF" w:rsidRPr="00DE4780">
        <w:t xml:space="preserve">в трех залах Театра </w:t>
      </w:r>
      <w:r w:rsidR="00C63F3D" w:rsidRPr="00DE4780">
        <w:t xml:space="preserve">– 15 спектаклей в </w:t>
      </w:r>
      <w:r w:rsidR="00707ABA" w:rsidRPr="00DE4780">
        <w:t>месяц</w:t>
      </w:r>
      <w:r w:rsidR="00C63F3D" w:rsidRPr="00DE4780">
        <w:t xml:space="preserve"> (</w:t>
      </w:r>
      <w:r w:rsidR="00176FC4" w:rsidRPr="00DE4780">
        <w:t>79</w:t>
      </w:r>
      <w:r w:rsidR="00C63F3D" w:rsidRPr="00DE4780">
        <w:t> % от предельной нагрузки).</w:t>
      </w:r>
    </w:p>
    <w:p w:rsidR="00131B96" w:rsidRPr="00DE4780" w:rsidRDefault="00B86559" w:rsidP="00131B96">
      <w:pPr>
        <w:ind w:firstLine="709"/>
        <w:jc w:val="both"/>
      </w:pPr>
      <w:r w:rsidRPr="00DE4780">
        <w:t xml:space="preserve">Фактическая загруженность актеров Театра при </w:t>
      </w:r>
      <w:r w:rsidR="00131B96" w:rsidRPr="00DE4780">
        <w:t xml:space="preserve">проведении </w:t>
      </w:r>
      <w:r w:rsidR="00131B96" w:rsidRPr="00DE4780">
        <w:rPr>
          <w:b/>
        </w:rPr>
        <w:t>209 спектаклей</w:t>
      </w:r>
      <w:r w:rsidR="00131B96" w:rsidRPr="00DE4780">
        <w:t xml:space="preserve"> в трех залах Театра состави</w:t>
      </w:r>
      <w:r w:rsidRPr="00DE4780">
        <w:t>ла</w:t>
      </w:r>
      <w:r w:rsidR="00131B96" w:rsidRPr="00DE4780">
        <w:t xml:space="preserve"> 26</w:t>
      </w:r>
      <w:r w:rsidR="00707ABA" w:rsidRPr="00DE4780">
        <w:t xml:space="preserve"> спектаклей в месяц</w:t>
      </w:r>
      <w:r w:rsidR="00131B96" w:rsidRPr="00DE4780">
        <w:t xml:space="preserve"> (13</w:t>
      </w:r>
      <w:r w:rsidR="00176FC4" w:rsidRPr="00DE4780">
        <w:t>9</w:t>
      </w:r>
      <w:r w:rsidR="00131B96" w:rsidRPr="00DE4780">
        <w:t> % от предельной нагрузки).</w:t>
      </w:r>
    </w:p>
    <w:p w:rsidR="001A50D1" w:rsidRPr="00DE4780" w:rsidRDefault="00131B96" w:rsidP="00131B96">
      <w:pPr>
        <w:ind w:firstLine="709"/>
        <w:jc w:val="both"/>
      </w:pPr>
      <w:r w:rsidRPr="00DE4780">
        <w:t xml:space="preserve">То есть, проведение </w:t>
      </w:r>
      <w:r w:rsidRPr="00DE4780">
        <w:rPr>
          <w:b/>
        </w:rPr>
        <w:t>209 спектаклей</w:t>
      </w:r>
      <w:r w:rsidRPr="00DE4780">
        <w:t xml:space="preserve"> в трех залах Театра при </w:t>
      </w:r>
      <w:proofErr w:type="spellStart"/>
      <w:r w:rsidRPr="00DE4780">
        <w:t>недостижении</w:t>
      </w:r>
      <w:proofErr w:type="spellEnd"/>
      <w:r w:rsidRPr="00DE4780">
        <w:t xml:space="preserve"> запланированного показателя </w:t>
      </w:r>
      <w:proofErr w:type="spellStart"/>
      <w:r w:rsidRPr="00DE4780">
        <w:t>заполняемости</w:t>
      </w:r>
      <w:proofErr w:type="spellEnd"/>
      <w:r w:rsidRPr="00DE4780">
        <w:t xml:space="preserve"> залов приводит к увеличению нагрузки на артистов, в т.ч. превышению охранных норм, соответственно </w:t>
      </w:r>
      <w:r w:rsidR="005D1B69" w:rsidRPr="00DE4780">
        <w:t xml:space="preserve">не только к </w:t>
      </w:r>
      <w:r w:rsidRPr="00DE4780">
        <w:t>дополнительным расходам на оплату их труда</w:t>
      </w:r>
      <w:r w:rsidR="005D1B69" w:rsidRPr="00DE4780">
        <w:t xml:space="preserve"> (оплата их труда в повышенном размере), но и </w:t>
      </w:r>
      <w:r w:rsidR="001A50D1" w:rsidRPr="00DE4780">
        <w:t xml:space="preserve">ставит под сомнение качество оказания данных услуг </w:t>
      </w:r>
      <w:r w:rsidR="005D1B69" w:rsidRPr="00DE4780">
        <w:t>работниками Театра.</w:t>
      </w:r>
    </w:p>
    <w:p w:rsidR="00CE2DDD" w:rsidRPr="00DE4780" w:rsidRDefault="00CE2DDD" w:rsidP="00961623">
      <w:pPr>
        <w:pStyle w:val="af4"/>
        <w:spacing w:after="0"/>
        <w:ind w:left="0" w:firstLine="720"/>
        <w:jc w:val="both"/>
      </w:pPr>
      <w:r w:rsidRPr="00DE4780">
        <w:t xml:space="preserve">Информация </w:t>
      </w:r>
      <w:r w:rsidR="00A36211" w:rsidRPr="00DE4780">
        <w:t>о фактическом выполнении Театром государственного задания за 2014-2016 годы представлена в таблице № 2.</w:t>
      </w:r>
    </w:p>
    <w:p w:rsidR="00CE2DDD" w:rsidRPr="00DE4780" w:rsidRDefault="00A36211" w:rsidP="00A36211">
      <w:pPr>
        <w:pStyle w:val="af4"/>
        <w:spacing w:after="0"/>
        <w:ind w:left="0" w:firstLine="720"/>
        <w:jc w:val="right"/>
      </w:pPr>
      <w:r w:rsidRPr="00DE4780">
        <w:t>Таблица № 2</w:t>
      </w:r>
    </w:p>
    <w:tbl>
      <w:tblPr>
        <w:tblW w:w="10315" w:type="dxa"/>
        <w:tblLayout w:type="fixed"/>
        <w:tblLook w:val="04A0"/>
      </w:tblPr>
      <w:tblGrid>
        <w:gridCol w:w="1242"/>
        <w:gridCol w:w="709"/>
        <w:gridCol w:w="589"/>
        <w:gridCol w:w="828"/>
        <w:gridCol w:w="774"/>
        <w:gridCol w:w="739"/>
        <w:gridCol w:w="823"/>
        <w:gridCol w:w="736"/>
        <w:gridCol w:w="678"/>
        <w:gridCol w:w="645"/>
        <w:gridCol w:w="823"/>
        <w:gridCol w:w="953"/>
        <w:gridCol w:w="776"/>
      </w:tblGrid>
      <w:tr w:rsidR="00A36211" w:rsidRPr="00DE4780" w:rsidTr="00537A4E">
        <w:trPr>
          <w:trHeight w:val="3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4780">
              <w:rPr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4780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4780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</w:tr>
      <w:tr w:rsidR="00CE2DDD" w:rsidRPr="00DE4780" w:rsidTr="00537A4E">
        <w:trPr>
          <w:trHeight w:val="138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DD" w:rsidRPr="00DE4780" w:rsidRDefault="00CE2DDD" w:rsidP="00CE2D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A36211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 xml:space="preserve">Число </w:t>
            </w:r>
            <w:proofErr w:type="spellStart"/>
            <w:r w:rsidRPr="00DE4780">
              <w:rPr>
                <w:color w:val="000000"/>
                <w:sz w:val="16"/>
                <w:szCs w:val="16"/>
              </w:rPr>
              <w:t>мероп-риятий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Кол-во зрителей</w:t>
            </w:r>
            <w:r w:rsidR="00A5090E" w:rsidRPr="00DE4780">
              <w:rPr>
                <w:color w:val="000000"/>
                <w:sz w:val="16"/>
                <w:szCs w:val="16"/>
              </w:rPr>
              <w:t>, тыс. чел.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Поступления от мероприятий, тыс.руб.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E4780">
              <w:rPr>
                <w:color w:val="000000"/>
                <w:sz w:val="16"/>
                <w:szCs w:val="16"/>
              </w:rPr>
              <w:t>Сред</w:t>
            </w:r>
            <w:r w:rsidR="00537A4E" w:rsidRPr="00DE4780">
              <w:rPr>
                <w:color w:val="000000"/>
                <w:sz w:val="16"/>
                <w:szCs w:val="16"/>
              </w:rPr>
              <w:t>-</w:t>
            </w:r>
            <w:r w:rsidRPr="00DE4780">
              <w:rPr>
                <w:color w:val="000000"/>
                <w:sz w:val="16"/>
                <w:szCs w:val="16"/>
              </w:rPr>
              <w:t>няя</w:t>
            </w:r>
            <w:proofErr w:type="spellEnd"/>
            <w:r w:rsidRPr="00DE478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780">
              <w:rPr>
                <w:color w:val="000000"/>
                <w:sz w:val="16"/>
                <w:szCs w:val="16"/>
              </w:rPr>
              <w:t>заполняемость</w:t>
            </w:r>
            <w:proofErr w:type="spellEnd"/>
            <w:r w:rsidRPr="00DE4780">
              <w:rPr>
                <w:color w:val="000000"/>
                <w:sz w:val="16"/>
                <w:szCs w:val="16"/>
              </w:rPr>
              <w:t xml:space="preserve"> зала,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A36211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 xml:space="preserve">Число </w:t>
            </w:r>
            <w:proofErr w:type="spellStart"/>
            <w:r w:rsidRPr="00DE4780">
              <w:rPr>
                <w:color w:val="000000"/>
                <w:sz w:val="16"/>
                <w:szCs w:val="16"/>
              </w:rPr>
              <w:t>мероп-риятий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Кол-во зрителей</w:t>
            </w:r>
            <w:r w:rsidR="00A5090E" w:rsidRPr="00DE4780">
              <w:rPr>
                <w:color w:val="000000"/>
                <w:sz w:val="16"/>
                <w:szCs w:val="16"/>
              </w:rPr>
              <w:t xml:space="preserve"> тыс. чел.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 xml:space="preserve">Поступления от мероприятий, тыс.руб.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 xml:space="preserve">Средняя </w:t>
            </w:r>
            <w:proofErr w:type="spellStart"/>
            <w:r w:rsidRPr="00DE4780">
              <w:rPr>
                <w:color w:val="000000"/>
                <w:sz w:val="16"/>
                <w:szCs w:val="16"/>
              </w:rPr>
              <w:t>заполняемость</w:t>
            </w:r>
            <w:proofErr w:type="spellEnd"/>
            <w:r w:rsidRPr="00DE4780">
              <w:rPr>
                <w:color w:val="000000"/>
                <w:sz w:val="16"/>
                <w:szCs w:val="16"/>
              </w:rPr>
              <w:t xml:space="preserve"> зала, %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A36211" w:rsidP="00537A4E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Число мероприятий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 xml:space="preserve">Кол-во </w:t>
            </w:r>
            <w:proofErr w:type="spellStart"/>
            <w:r w:rsidRPr="00DE4780">
              <w:rPr>
                <w:color w:val="000000"/>
                <w:sz w:val="16"/>
                <w:szCs w:val="16"/>
              </w:rPr>
              <w:t>зрителей</w:t>
            </w:r>
            <w:r w:rsidR="00A5090E" w:rsidRPr="00DE4780">
              <w:rPr>
                <w:color w:val="000000"/>
                <w:sz w:val="16"/>
                <w:szCs w:val="16"/>
              </w:rPr>
              <w:t>тыс</w:t>
            </w:r>
            <w:proofErr w:type="spellEnd"/>
            <w:r w:rsidR="00A5090E" w:rsidRPr="00DE4780">
              <w:rPr>
                <w:color w:val="000000"/>
                <w:sz w:val="16"/>
                <w:szCs w:val="16"/>
              </w:rPr>
              <w:t>. чел.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Поступления от мероприятий, тыс.руб.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E4780">
              <w:rPr>
                <w:color w:val="000000"/>
                <w:sz w:val="16"/>
                <w:szCs w:val="16"/>
              </w:rPr>
              <w:t>Сред</w:t>
            </w:r>
            <w:r w:rsidR="00537A4E" w:rsidRPr="00DE4780">
              <w:rPr>
                <w:color w:val="000000"/>
                <w:sz w:val="16"/>
                <w:szCs w:val="16"/>
              </w:rPr>
              <w:t>-</w:t>
            </w:r>
            <w:r w:rsidRPr="00DE4780">
              <w:rPr>
                <w:color w:val="000000"/>
                <w:sz w:val="16"/>
                <w:szCs w:val="16"/>
              </w:rPr>
              <w:t>няя</w:t>
            </w:r>
            <w:proofErr w:type="spellEnd"/>
            <w:r w:rsidRPr="00DE478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780">
              <w:rPr>
                <w:color w:val="000000"/>
                <w:sz w:val="16"/>
                <w:szCs w:val="16"/>
              </w:rPr>
              <w:t>заполняемость</w:t>
            </w:r>
            <w:proofErr w:type="spellEnd"/>
            <w:r w:rsidRPr="00DE4780">
              <w:rPr>
                <w:color w:val="000000"/>
                <w:sz w:val="16"/>
                <w:szCs w:val="16"/>
              </w:rPr>
              <w:t xml:space="preserve"> зала, %</w:t>
            </w:r>
          </w:p>
        </w:tc>
      </w:tr>
      <w:tr w:rsidR="00CE2DDD" w:rsidRPr="00DE4780" w:rsidTr="00537A4E">
        <w:trPr>
          <w:trHeight w:val="5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Число мероприятий, всего,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4780">
              <w:rPr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4780">
              <w:rPr>
                <w:b/>
                <w:bCs/>
                <w:color w:val="000000"/>
                <w:sz w:val="16"/>
                <w:szCs w:val="16"/>
              </w:rPr>
              <w:t>74,8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4780">
              <w:rPr>
                <w:b/>
                <w:bCs/>
                <w:color w:val="000000"/>
                <w:sz w:val="16"/>
                <w:szCs w:val="16"/>
              </w:rPr>
              <w:t>13413,4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47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4780">
              <w:rPr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4780">
              <w:rPr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4780">
              <w:rPr>
                <w:b/>
                <w:bCs/>
                <w:color w:val="000000"/>
                <w:sz w:val="16"/>
                <w:szCs w:val="16"/>
              </w:rPr>
              <w:t>15123,3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47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4780">
              <w:rPr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4780">
              <w:rPr>
                <w:b/>
                <w:bCs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4780">
              <w:rPr>
                <w:b/>
                <w:bCs/>
                <w:color w:val="000000"/>
                <w:sz w:val="16"/>
                <w:szCs w:val="16"/>
              </w:rPr>
              <w:t>17160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2DDD" w:rsidRPr="00DE4780" w:rsidTr="00537A4E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E4780">
              <w:rPr>
                <w:b/>
                <w:bCs/>
                <w:i/>
                <w:iCs/>
                <w:sz w:val="16"/>
                <w:szCs w:val="16"/>
              </w:rPr>
              <w:t>На стационаре, в т.ч.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4780">
              <w:rPr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4780">
              <w:rPr>
                <w:b/>
                <w:bCs/>
                <w:i/>
                <w:iCs/>
                <w:sz w:val="16"/>
                <w:szCs w:val="16"/>
              </w:rPr>
              <w:t>61,1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4780">
              <w:rPr>
                <w:b/>
                <w:bCs/>
                <w:i/>
                <w:iCs/>
                <w:sz w:val="16"/>
                <w:szCs w:val="16"/>
              </w:rPr>
              <w:t>12509,8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4780">
              <w:rPr>
                <w:b/>
                <w:bCs/>
                <w:i/>
                <w:iCs/>
                <w:sz w:val="16"/>
                <w:szCs w:val="16"/>
              </w:rPr>
              <w:t>51,2</w:t>
            </w:r>
            <w:r w:rsidR="00537A4E" w:rsidRPr="00DE4780">
              <w:rPr>
                <w:b/>
                <w:bCs/>
                <w:i/>
                <w:iCs/>
                <w:sz w:val="16"/>
                <w:szCs w:val="16"/>
              </w:rPr>
              <w:t>*</w:t>
            </w:r>
          </w:p>
          <w:p w:rsidR="00537A4E" w:rsidRPr="00DE4780" w:rsidRDefault="00537A4E" w:rsidP="00CE2D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4780">
              <w:rPr>
                <w:b/>
                <w:bCs/>
                <w:i/>
                <w:iCs/>
                <w:sz w:val="16"/>
                <w:szCs w:val="16"/>
              </w:rPr>
              <w:t>51,2**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4780">
              <w:rPr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4780">
              <w:rPr>
                <w:b/>
                <w:bCs/>
                <w:i/>
                <w:iCs/>
                <w:sz w:val="16"/>
                <w:szCs w:val="16"/>
              </w:rPr>
              <w:t>52,4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4780">
              <w:rPr>
                <w:b/>
                <w:bCs/>
                <w:i/>
                <w:iCs/>
                <w:sz w:val="16"/>
                <w:szCs w:val="16"/>
              </w:rPr>
              <w:t>12547,9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4780">
              <w:rPr>
                <w:b/>
                <w:bCs/>
                <w:i/>
                <w:iCs/>
                <w:sz w:val="16"/>
                <w:szCs w:val="16"/>
              </w:rPr>
              <w:t>74,0</w:t>
            </w:r>
            <w:r w:rsidR="00537A4E" w:rsidRPr="00DE4780">
              <w:rPr>
                <w:b/>
                <w:bCs/>
                <w:i/>
                <w:iCs/>
                <w:sz w:val="16"/>
                <w:szCs w:val="16"/>
              </w:rPr>
              <w:t>*</w:t>
            </w:r>
          </w:p>
          <w:p w:rsidR="00537A4E" w:rsidRPr="00DE4780" w:rsidRDefault="00537A4E" w:rsidP="00CE2D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4780">
              <w:rPr>
                <w:b/>
                <w:bCs/>
                <w:i/>
                <w:iCs/>
                <w:sz w:val="16"/>
                <w:szCs w:val="16"/>
              </w:rPr>
              <w:t>72,4**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4780">
              <w:rPr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4780">
              <w:rPr>
                <w:b/>
                <w:bCs/>
                <w:i/>
                <w:iCs/>
                <w:sz w:val="16"/>
                <w:szCs w:val="16"/>
              </w:rPr>
              <w:t>60,9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4780">
              <w:rPr>
                <w:b/>
                <w:bCs/>
                <w:i/>
                <w:iCs/>
                <w:sz w:val="16"/>
                <w:szCs w:val="16"/>
              </w:rPr>
              <w:t>15199,6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4E" w:rsidRPr="00DE4780" w:rsidRDefault="00537A4E" w:rsidP="00CE2D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4780">
              <w:rPr>
                <w:b/>
                <w:bCs/>
                <w:i/>
                <w:iCs/>
                <w:sz w:val="16"/>
                <w:szCs w:val="16"/>
              </w:rPr>
              <w:t>84,1*</w:t>
            </w:r>
          </w:p>
          <w:p w:rsidR="00CE2DDD" w:rsidRPr="00DE4780" w:rsidRDefault="00296395" w:rsidP="00CE2D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4780">
              <w:rPr>
                <w:b/>
                <w:bCs/>
                <w:i/>
                <w:iCs/>
                <w:sz w:val="16"/>
                <w:szCs w:val="16"/>
              </w:rPr>
              <w:t>70,1</w:t>
            </w:r>
            <w:r w:rsidR="00537A4E" w:rsidRPr="00DE4780">
              <w:rPr>
                <w:b/>
                <w:bCs/>
                <w:i/>
                <w:iCs/>
                <w:sz w:val="16"/>
                <w:szCs w:val="16"/>
              </w:rPr>
              <w:t>**</w:t>
            </w:r>
          </w:p>
        </w:tc>
      </w:tr>
      <w:tr w:rsidR="00CE2DDD" w:rsidRPr="00DE4780" w:rsidTr="00537A4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основной зал (563 мест)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61,1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10719,6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70,1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55,3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13529,7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68,2</w:t>
            </w:r>
          </w:p>
        </w:tc>
      </w:tr>
      <w:tr w:rsidR="00CE2DDD" w:rsidRPr="00DE4780" w:rsidTr="00537A4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в 1 доп.зала (99 мест)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1827,8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1447,7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89,8</w:t>
            </w:r>
          </w:p>
        </w:tc>
      </w:tr>
      <w:tr w:rsidR="00CE2DDD" w:rsidRPr="00DE4780" w:rsidTr="00537A4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во 2 доп.зале (80 мест)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222,2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90,9</w:t>
            </w:r>
          </w:p>
        </w:tc>
      </w:tr>
      <w:tr w:rsidR="00CE2DDD" w:rsidRPr="00DE4780" w:rsidTr="00537A4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rPr>
                <w:sz w:val="16"/>
                <w:szCs w:val="16"/>
              </w:rPr>
            </w:pPr>
            <w:r w:rsidRPr="00DE4780">
              <w:rPr>
                <w:sz w:val="16"/>
                <w:szCs w:val="16"/>
              </w:rPr>
              <w:t>Выездные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sz w:val="16"/>
                <w:szCs w:val="16"/>
              </w:rPr>
            </w:pPr>
            <w:r w:rsidRPr="00DE4780">
              <w:rPr>
                <w:sz w:val="16"/>
                <w:szCs w:val="16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sz w:val="16"/>
                <w:szCs w:val="16"/>
              </w:rPr>
            </w:pPr>
            <w:r w:rsidRPr="00DE4780">
              <w:rPr>
                <w:sz w:val="16"/>
                <w:szCs w:val="16"/>
              </w:rPr>
              <w:t>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sz w:val="16"/>
                <w:szCs w:val="16"/>
              </w:rPr>
            </w:pPr>
            <w:r w:rsidRPr="00DE4780">
              <w:rPr>
                <w:sz w:val="16"/>
                <w:szCs w:val="16"/>
              </w:rPr>
              <w:t>474,1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rPr>
                <w:sz w:val="16"/>
                <w:szCs w:val="16"/>
              </w:rPr>
            </w:pPr>
            <w:r w:rsidRPr="00DE4780">
              <w:rPr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sz w:val="16"/>
                <w:szCs w:val="16"/>
              </w:rPr>
            </w:pPr>
            <w:r w:rsidRPr="00DE4780">
              <w:rPr>
                <w:sz w:val="16"/>
                <w:szCs w:val="16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sz w:val="16"/>
                <w:szCs w:val="16"/>
              </w:rPr>
            </w:pPr>
            <w:r w:rsidRPr="00DE4780">
              <w:rPr>
                <w:sz w:val="16"/>
                <w:szCs w:val="16"/>
              </w:rPr>
              <w:t>3,8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sz w:val="16"/>
                <w:szCs w:val="16"/>
              </w:rPr>
            </w:pPr>
            <w:r w:rsidRPr="00DE4780">
              <w:rPr>
                <w:sz w:val="16"/>
                <w:szCs w:val="16"/>
              </w:rPr>
              <w:t>677,1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sz w:val="16"/>
                <w:szCs w:val="16"/>
              </w:rPr>
            </w:pPr>
            <w:r w:rsidRPr="00DE4780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sz w:val="16"/>
                <w:szCs w:val="16"/>
              </w:rPr>
            </w:pPr>
            <w:r w:rsidRPr="00DE4780">
              <w:rPr>
                <w:sz w:val="16"/>
                <w:szCs w:val="16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sz w:val="16"/>
                <w:szCs w:val="16"/>
              </w:rPr>
            </w:pPr>
            <w:r w:rsidRPr="00DE4780">
              <w:rPr>
                <w:sz w:val="16"/>
                <w:szCs w:val="16"/>
              </w:rPr>
              <w:t>2,8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sz w:val="16"/>
                <w:szCs w:val="16"/>
              </w:rPr>
            </w:pPr>
            <w:r w:rsidRPr="00DE4780">
              <w:rPr>
                <w:sz w:val="16"/>
                <w:szCs w:val="16"/>
              </w:rPr>
              <w:t>614,9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sz w:val="16"/>
                <w:szCs w:val="16"/>
              </w:rPr>
            </w:pPr>
            <w:r w:rsidRPr="00DE4780">
              <w:rPr>
                <w:sz w:val="16"/>
                <w:szCs w:val="16"/>
              </w:rPr>
              <w:t> </w:t>
            </w:r>
          </w:p>
        </w:tc>
      </w:tr>
      <w:tr w:rsidR="00CE2DDD" w:rsidRPr="00DE4780" w:rsidTr="00537A4E">
        <w:trPr>
          <w:trHeight w:val="51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Гастроли в пределах своей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sz w:val="16"/>
                <w:szCs w:val="16"/>
              </w:rPr>
            </w:pPr>
            <w:r w:rsidRPr="00DE4780">
              <w:rPr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sz w:val="16"/>
                <w:szCs w:val="16"/>
              </w:rPr>
            </w:pPr>
            <w:r w:rsidRPr="00DE4780">
              <w:rPr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sz w:val="16"/>
                <w:szCs w:val="16"/>
              </w:rPr>
            </w:pPr>
            <w:r w:rsidRPr="00DE4780">
              <w:rPr>
                <w:sz w:val="16"/>
                <w:szCs w:val="16"/>
              </w:rPr>
              <w:t>429,5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sz w:val="16"/>
                <w:szCs w:val="16"/>
              </w:rPr>
            </w:pPr>
            <w:r w:rsidRPr="00DE4780">
              <w:rPr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sz w:val="16"/>
                <w:szCs w:val="16"/>
              </w:rPr>
            </w:pPr>
            <w:r w:rsidRPr="00DE4780">
              <w:rPr>
                <w:sz w:val="16"/>
                <w:szCs w:val="16"/>
              </w:rPr>
              <w:t>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1245,1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1345,5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2DDD" w:rsidRPr="00DE4780" w:rsidTr="00537A4E">
        <w:trPr>
          <w:trHeight w:val="52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Гастроли за пределами своей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653,2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2DDD" w:rsidRPr="00DE4780" w:rsidTr="00537A4E">
        <w:trPr>
          <w:trHeight w:val="106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E4780">
              <w:rPr>
                <w:i/>
                <w:iCs/>
                <w:color w:val="000000"/>
                <w:sz w:val="16"/>
                <w:szCs w:val="16"/>
              </w:rPr>
              <w:t>Кроме того, проведенные сторонними организациями на площадках театра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E4780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E4780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E4780">
              <w:rPr>
                <w:i/>
                <w:iCs/>
                <w:color w:val="000000"/>
                <w:sz w:val="16"/>
                <w:szCs w:val="16"/>
              </w:rPr>
              <w:t>2906,4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DE478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E4780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E4780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E478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E478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E4780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E4780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E4780">
              <w:rPr>
                <w:i/>
                <w:iCs/>
                <w:color w:val="000000"/>
                <w:sz w:val="16"/>
                <w:szCs w:val="16"/>
              </w:rPr>
              <w:t>1067,8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E478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CE2DDD" w:rsidRPr="00DE4780" w:rsidTr="00537A4E">
        <w:trPr>
          <w:trHeight w:val="4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Кол-во спектаклей в репертуаре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2DDD" w:rsidRPr="00DE4780" w:rsidTr="00537A4E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Кол-во новых постановок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DD" w:rsidRPr="00DE4780" w:rsidRDefault="00CE2DDD" w:rsidP="00CE2DDD">
            <w:pPr>
              <w:jc w:val="center"/>
              <w:rPr>
                <w:color w:val="000000"/>
                <w:sz w:val="16"/>
                <w:szCs w:val="16"/>
              </w:rPr>
            </w:pPr>
            <w:r w:rsidRPr="00DE4780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CE2DDD" w:rsidRPr="00DE4780" w:rsidRDefault="000410EF" w:rsidP="00961623">
      <w:pPr>
        <w:pStyle w:val="af4"/>
        <w:spacing w:after="0"/>
        <w:ind w:left="0" w:firstLine="720"/>
        <w:jc w:val="both"/>
      </w:pPr>
      <w:r w:rsidRPr="00DE4780">
        <w:t>*-отчет учреждения, принятый Комитетом;</w:t>
      </w:r>
    </w:p>
    <w:p w:rsidR="000410EF" w:rsidRPr="00DE4780" w:rsidRDefault="000410EF" w:rsidP="00961623">
      <w:pPr>
        <w:pStyle w:val="af4"/>
        <w:spacing w:after="0"/>
        <w:ind w:left="0" w:firstLine="720"/>
        <w:jc w:val="both"/>
      </w:pPr>
      <w:r w:rsidRPr="00DE4780">
        <w:t>**-расчет КСП по средневзвешенному значению.</w:t>
      </w:r>
    </w:p>
    <w:p w:rsidR="002748BE" w:rsidRPr="00DE4780" w:rsidRDefault="00A36211" w:rsidP="005C7C81">
      <w:pPr>
        <w:ind w:firstLine="851"/>
        <w:jc w:val="both"/>
      </w:pPr>
      <w:r w:rsidRPr="00DE4780">
        <w:lastRenderedPageBreak/>
        <w:t>Как видно из таблицы № 2</w:t>
      </w:r>
      <w:r w:rsidR="00537A4E" w:rsidRPr="00DE4780">
        <w:t>,</w:t>
      </w:r>
      <w:r w:rsidR="00562868" w:rsidRPr="00DE4780">
        <w:t xml:space="preserve"> </w:t>
      </w:r>
      <w:r w:rsidRPr="00DE4780">
        <w:t>«</w:t>
      </w:r>
      <w:r w:rsidR="00562868" w:rsidRPr="00DE4780">
        <w:t xml:space="preserve">средняя </w:t>
      </w:r>
      <w:proofErr w:type="spellStart"/>
      <w:r w:rsidR="00562868" w:rsidRPr="00DE4780">
        <w:t>заполняемость</w:t>
      </w:r>
      <w:proofErr w:type="spellEnd"/>
      <w:r w:rsidR="00562868" w:rsidRPr="00DE4780">
        <w:t xml:space="preserve"> зала на стационаре</w:t>
      </w:r>
      <w:r w:rsidRPr="00DE4780">
        <w:t>»</w:t>
      </w:r>
      <w:r w:rsidR="00562868" w:rsidRPr="00DE4780">
        <w:t xml:space="preserve"> </w:t>
      </w:r>
      <w:r w:rsidR="007112EF" w:rsidRPr="00DE4780">
        <w:t xml:space="preserve">Театра </w:t>
      </w:r>
      <w:r w:rsidR="00A670A0" w:rsidRPr="00DE4780">
        <w:t>составила</w:t>
      </w:r>
      <w:r w:rsidR="00562868" w:rsidRPr="00DE4780">
        <w:t xml:space="preserve"> 51,2 % </w:t>
      </w:r>
      <w:r w:rsidR="00A670A0" w:rsidRPr="00DE4780">
        <w:t xml:space="preserve">при показе спектаклей только в большом зале </w:t>
      </w:r>
      <w:r w:rsidR="00562868" w:rsidRPr="00DE4780">
        <w:t>в 201</w:t>
      </w:r>
      <w:r w:rsidR="007112EF" w:rsidRPr="00DE4780">
        <w:t>4</w:t>
      </w:r>
      <w:r w:rsidR="00562868" w:rsidRPr="00DE4780">
        <w:t xml:space="preserve"> году </w:t>
      </w:r>
      <w:r w:rsidR="00A670A0" w:rsidRPr="00DE4780">
        <w:t>и</w:t>
      </w:r>
      <w:r w:rsidR="00C63F3D" w:rsidRPr="00DE4780">
        <w:t xml:space="preserve"> </w:t>
      </w:r>
      <w:r w:rsidR="00B86559" w:rsidRPr="00DE4780">
        <w:t>74</w:t>
      </w:r>
      <w:r w:rsidR="00562868" w:rsidRPr="00DE4780">
        <w:t> %</w:t>
      </w:r>
      <w:r w:rsidR="00A670A0" w:rsidRPr="00DE4780">
        <w:t xml:space="preserve"> </w:t>
      </w:r>
      <w:r w:rsidR="00B86559" w:rsidRPr="00DE4780">
        <w:t xml:space="preserve">в 2015 году </w:t>
      </w:r>
      <w:r w:rsidR="00A670A0" w:rsidRPr="00DE4780">
        <w:t>при показе в 3-х залах Театра</w:t>
      </w:r>
      <w:r w:rsidR="00562868" w:rsidRPr="00DE4780">
        <w:t xml:space="preserve">. То есть, </w:t>
      </w:r>
      <w:r w:rsidRPr="00DE4780">
        <w:t>достижени</w:t>
      </w:r>
      <w:r w:rsidR="00A5090E" w:rsidRPr="00DE4780">
        <w:t>е</w:t>
      </w:r>
      <w:r w:rsidRPr="00DE4780">
        <w:t xml:space="preserve"> Театром </w:t>
      </w:r>
      <w:r w:rsidR="00A5090E" w:rsidRPr="00DE4780">
        <w:t xml:space="preserve">запланированного </w:t>
      </w:r>
      <w:r w:rsidRPr="00DE4780">
        <w:t xml:space="preserve">показателя качества «средняя </w:t>
      </w:r>
      <w:proofErr w:type="spellStart"/>
      <w:r w:rsidRPr="00DE4780">
        <w:t>заполняемость</w:t>
      </w:r>
      <w:proofErr w:type="spellEnd"/>
      <w:r w:rsidRPr="00DE4780">
        <w:t xml:space="preserve"> зала на стационаре»</w:t>
      </w:r>
      <w:r w:rsidR="001E2110" w:rsidRPr="00DE4780">
        <w:t xml:space="preserve"> в размере 84,1 % </w:t>
      </w:r>
      <w:r w:rsidR="00A5090E" w:rsidRPr="00DE4780">
        <w:t xml:space="preserve">по итогам 2016 года </w:t>
      </w:r>
      <w:r w:rsidR="001E2110" w:rsidRPr="00DE4780">
        <w:t>было маловероятно</w:t>
      </w:r>
      <w:r w:rsidR="00A670A0" w:rsidRPr="00DE4780">
        <w:t xml:space="preserve"> и, по мнению КСП, могло быть стимулирующим показателем, а не показателем качества выполнения государственного задания</w:t>
      </w:r>
      <w:r w:rsidR="002748BE" w:rsidRPr="00DE4780">
        <w:t>.</w:t>
      </w:r>
    </w:p>
    <w:p w:rsidR="002748BE" w:rsidRPr="00DE4780" w:rsidRDefault="00B86559" w:rsidP="002748BE">
      <w:pPr>
        <w:pStyle w:val="af4"/>
        <w:spacing w:after="0"/>
        <w:ind w:left="0" w:firstLine="720"/>
        <w:jc w:val="both"/>
      </w:pPr>
      <w:r w:rsidRPr="00DE4780">
        <w:t>Таким образом, п</w:t>
      </w:r>
      <w:r w:rsidR="002748BE" w:rsidRPr="00DE4780">
        <w:t xml:space="preserve">оказ большего количества спектаклей от запланированного </w:t>
      </w:r>
      <w:r w:rsidRPr="00DE4780">
        <w:t>при невыполнении качественного показателя (</w:t>
      </w:r>
      <w:proofErr w:type="spellStart"/>
      <w:r w:rsidRPr="00DE4780">
        <w:t>заполняемость</w:t>
      </w:r>
      <w:proofErr w:type="spellEnd"/>
      <w:r w:rsidRPr="00DE4780">
        <w:t xml:space="preserve"> зала) </w:t>
      </w:r>
      <w:r w:rsidR="002748BE" w:rsidRPr="00DE4780">
        <w:t>вызывает сомнения в правильности выбора Комитетом показателя объема государственной услуги – «количество зрителей»</w:t>
      </w:r>
      <w:r w:rsidR="00537A4E" w:rsidRPr="00DE4780">
        <w:t xml:space="preserve">. </w:t>
      </w:r>
      <w:r w:rsidR="00D65F45" w:rsidRPr="00DE4780">
        <w:t>При этом как</w:t>
      </w:r>
      <w:r w:rsidR="00B92FD5" w:rsidRPr="00DE4780">
        <w:t xml:space="preserve"> базовым (отраслевым) перечнем услуг и работ в сфере «Культура, кинематография, архивное дело, туризм»</w:t>
      </w:r>
      <w:r w:rsidR="00D65F45" w:rsidRPr="00DE4780">
        <w:t xml:space="preserve"> (утверждается федеральным органом государственной власти), так и Ведомственным перечнем</w:t>
      </w:r>
      <w:r w:rsidR="00B92FD5" w:rsidRPr="00DE4780">
        <w:t xml:space="preserve">, показателя объема государственной услуги по показу спектаклей в стационаре предусмотрены в виде «количество зрителей» и </w:t>
      </w:r>
      <w:r w:rsidR="002748BE" w:rsidRPr="00DE4780">
        <w:t>«количество спектаклей».</w:t>
      </w:r>
    </w:p>
    <w:p w:rsidR="005C7C81" w:rsidRPr="00DE4780" w:rsidRDefault="002748BE" w:rsidP="00C07A46">
      <w:pPr>
        <w:ind w:firstLine="709"/>
        <w:jc w:val="both"/>
      </w:pPr>
      <w:r w:rsidRPr="00DE4780">
        <w:t xml:space="preserve">Вышеизложенное </w:t>
      </w:r>
      <w:r w:rsidR="00A670A0" w:rsidRPr="00DE4780">
        <w:t>необходимо учесть Комитету при формировании государственного задания на 2018 год</w:t>
      </w:r>
      <w:r w:rsidR="005C7C81" w:rsidRPr="00DE4780">
        <w:t xml:space="preserve"> с учетом внесения </w:t>
      </w:r>
      <w:r w:rsidRPr="00DE4780">
        <w:rPr>
          <w:rFonts w:eastAsiaTheme="minorHAnsi"/>
          <w:lang w:eastAsia="en-US"/>
        </w:rPr>
        <w:t xml:space="preserve">постановлением Администрации Волгоградской области от 25 сентября 2017 № 513-п </w:t>
      </w:r>
      <w:r w:rsidR="005C7C81" w:rsidRPr="00DE4780">
        <w:t>изменений в порядок формирования государственного задания в отношении государственных учреждений Волгоградской области и финансового обеспечения выполнения этого задания</w:t>
      </w:r>
      <w:r w:rsidR="00B92FD5" w:rsidRPr="00DE4780">
        <w:t>,</w:t>
      </w:r>
      <w:r w:rsidR="005C7C81" w:rsidRPr="00DE4780">
        <w:t xml:space="preserve"> утверждён</w:t>
      </w:r>
      <w:r w:rsidR="00B92FD5" w:rsidRPr="00DE4780">
        <w:t>ный</w:t>
      </w:r>
      <w:r w:rsidR="005C7C81" w:rsidRPr="00DE4780">
        <w:t xml:space="preserve"> постановлением Администрации Волгоградской области от 30.12.2015 № 818-п (далее Положение № 818-п).</w:t>
      </w:r>
    </w:p>
    <w:p w:rsidR="005C7C81" w:rsidRPr="00DE4780" w:rsidRDefault="005C7C81" w:rsidP="001F3179">
      <w:pPr>
        <w:pStyle w:val="af4"/>
        <w:spacing w:after="0"/>
        <w:ind w:left="0" w:firstLine="720"/>
        <w:jc w:val="both"/>
        <w:rPr>
          <w:rFonts w:eastAsiaTheme="minorHAnsi"/>
          <w:lang w:eastAsia="en-US"/>
        </w:rPr>
      </w:pPr>
      <w:r w:rsidRPr="00DE4780">
        <w:t>Так, согласно п. 3 Положения № 818-п в</w:t>
      </w:r>
      <w:r w:rsidRPr="00DE4780">
        <w:rPr>
          <w:rFonts w:eastAsiaTheme="minorHAnsi"/>
          <w:lang w:eastAsia="en-US"/>
        </w:rPr>
        <w:t xml:space="preserve"> государственном задании могут быть установлены допустимые (возможные) отклонения в процентах от установленных показателей </w:t>
      </w:r>
      <w:r w:rsidRPr="00DE4780">
        <w:rPr>
          <w:rFonts w:eastAsiaTheme="minorHAnsi"/>
          <w:u w:val="single"/>
          <w:lang w:eastAsia="en-US"/>
        </w:rPr>
        <w:t xml:space="preserve">качества </w:t>
      </w:r>
      <w:r w:rsidRPr="00DE4780">
        <w:rPr>
          <w:rFonts w:eastAsiaTheme="minorHAnsi"/>
          <w:lang w:eastAsia="en-US"/>
        </w:rPr>
        <w:t>и (или) объема, но не более 5</w:t>
      </w:r>
      <w:r w:rsidR="00B30229" w:rsidRPr="00DE4780">
        <w:rPr>
          <w:rFonts w:eastAsiaTheme="minorHAnsi"/>
          <w:lang w:eastAsia="en-US"/>
        </w:rPr>
        <w:t> %</w:t>
      </w:r>
      <w:r w:rsidRPr="00DE4780">
        <w:rPr>
          <w:rFonts w:eastAsiaTheme="minorHAnsi"/>
          <w:lang w:eastAsia="en-US"/>
        </w:rPr>
        <w:t xml:space="preserve"> в отношении отдельной государственной услуги (работы)</w:t>
      </w:r>
      <w:r w:rsidR="004C3F1F" w:rsidRPr="00DE4780">
        <w:rPr>
          <w:rFonts w:eastAsiaTheme="minorHAnsi"/>
          <w:lang w:eastAsia="en-US"/>
        </w:rPr>
        <w:t>,</w:t>
      </w:r>
      <w:r w:rsidRPr="00DE4780">
        <w:rPr>
          <w:rFonts w:eastAsiaTheme="minorHAnsi"/>
          <w:lang w:eastAsia="en-US"/>
        </w:rPr>
        <w:t xml:space="preserve"> либо общее допустимое (возможное) отклонение - в отношении государственного задания или его части. </w:t>
      </w:r>
    </w:p>
    <w:p w:rsidR="005C7C81" w:rsidRPr="00DE4780" w:rsidRDefault="001F3179" w:rsidP="001F3179">
      <w:pPr>
        <w:pStyle w:val="af4"/>
        <w:spacing w:after="0"/>
        <w:ind w:left="0" w:firstLine="720"/>
        <w:jc w:val="both"/>
      </w:pPr>
      <w:r w:rsidRPr="00DE4780">
        <w:t xml:space="preserve">Из таблицы № 2 также видно, что </w:t>
      </w:r>
      <w:r w:rsidR="001D4B76" w:rsidRPr="00DE4780">
        <w:t>фактическое</w:t>
      </w:r>
      <w:r w:rsidR="00DE3DBD" w:rsidRPr="00DE4780">
        <w:t xml:space="preserve"> количество зрителей </w:t>
      </w:r>
      <w:r w:rsidR="001D4B76" w:rsidRPr="00DE4780">
        <w:t xml:space="preserve">Театра </w:t>
      </w:r>
      <w:r w:rsidR="00DE3DBD" w:rsidRPr="00DE4780">
        <w:t>в 2014-2015 годах составило соответственно 74,8 и 67 тыс. зрителей, а</w:t>
      </w:r>
      <w:r w:rsidR="004C3F1F" w:rsidRPr="00DE4780">
        <w:t>,</w:t>
      </w:r>
      <w:r w:rsidR="00DE3DBD" w:rsidRPr="00DE4780">
        <w:t xml:space="preserve"> </w:t>
      </w:r>
      <w:r w:rsidRPr="00DE4780">
        <w:t>как видно из таблицы № 1</w:t>
      </w:r>
      <w:r w:rsidR="004C3F1F" w:rsidRPr="00DE4780">
        <w:t>,</w:t>
      </w:r>
      <w:r w:rsidRPr="00DE4780">
        <w:t xml:space="preserve"> в 2016 году государственное задание Театру на оказание государственной услуги по показу спектаклей </w:t>
      </w:r>
      <w:r w:rsidR="00DE3DBD" w:rsidRPr="00DE4780">
        <w:t xml:space="preserve">установлено в количестве </w:t>
      </w:r>
      <w:r w:rsidRPr="00DE4780">
        <w:t>52 080 зрител</w:t>
      </w:r>
      <w:r w:rsidR="00DE3DBD" w:rsidRPr="00DE4780">
        <w:t>ей</w:t>
      </w:r>
      <w:r w:rsidRPr="00DE4780">
        <w:t xml:space="preserve">, что </w:t>
      </w:r>
      <w:r w:rsidR="00DE3DBD" w:rsidRPr="00DE4780">
        <w:t xml:space="preserve">не </w:t>
      </w:r>
      <w:r w:rsidRPr="00DE4780">
        <w:t>сопоставимо с предыдущими годами</w:t>
      </w:r>
      <w:r w:rsidR="001D4B76" w:rsidRPr="00DE4780">
        <w:t xml:space="preserve"> и свидетельствует о формальном подходе Комитета к утверждению государственного задания</w:t>
      </w:r>
      <w:r w:rsidRPr="00DE4780">
        <w:t>.</w:t>
      </w:r>
    </w:p>
    <w:p w:rsidR="001D4B76" w:rsidRPr="00DE4780" w:rsidRDefault="001D4B76" w:rsidP="001D4B76">
      <w:pPr>
        <w:ind w:firstLine="709"/>
        <w:jc w:val="both"/>
      </w:pPr>
      <w:r w:rsidRPr="00DE4780">
        <w:t>Также обращае</w:t>
      </w:r>
      <w:r w:rsidR="00B86559" w:rsidRPr="00DE4780">
        <w:t>т</w:t>
      </w:r>
      <w:r w:rsidRPr="00DE4780">
        <w:t xml:space="preserve"> внимание принятие Комитетом недостоверного отчета о выполнении государственного задания учреждения.</w:t>
      </w:r>
    </w:p>
    <w:p w:rsidR="001D4B76" w:rsidRPr="00DE4780" w:rsidRDefault="001D4B76" w:rsidP="001D4B76">
      <w:pPr>
        <w:pStyle w:val="af4"/>
        <w:spacing w:after="0"/>
        <w:ind w:left="0" w:firstLine="720"/>
        <w:jc w:val="both"/>
      </w:pPr>
      <w:r w:rsidRPr="00DE4780">
        <w:t>Так, в отчете о выполнении государственного задания Театра отражены 44730 зрителей, 16159 зрителей Театром в отчете не отражались, а учитывались как оказанные услуги сверх государственного задания (60</w:t>
      </w:r>
      <w:r w:rsidR="004C0935" w:rsidRPr="00DE4780">
        <w:t> </w:t>
      </w:r>
      <w:r w:rsidRPr="00DE4780">
        <w:t>889 общее фактическое значение зрителей на стационаре – 44</w:t>
      </w:r>
      <w:r w:rsidR="004C0935" w:rsidRPr="00DE4780">
        <w:t> </w:t>
      </w:r>
      <w:r w:rsidRPr="00DE4780">
        <w:t>730 фактическое значение зрителей на стационаре в рамках государственного задания).</w:t>
      </w:r>
    </w:p>
    <w:p w:rsidR="001F3179" w:rsidRPr="00DE4780" w:rsidRDefault="001D4B76" w:rsidP="001F3179">
      <w:pPr>
        <w:ind w:firstLine="709"/>
        <w:jc w:val="both"/>
      </w:pPr>
      <w:r w:rsidRPr="00DE4780">
        <w:t>Однако, в</w:t>
      </w:r>
      <w:r w:rsidR="001F3179" w:rsidRPr="00DE4780">
        <w:t xml:space="preserve"> соответствии с п. 4 ст. 9.2 Федерального закона от 12.01.1996 № 7-ФЗ «О некоммерческих организациях» (далее Федеральный закон № 7-ФЗ) б</w:t>
      </w:r>
      <w:r w:rsidR="001F3179" w:rsidRPr="00DE4780">
        <w:rPr>
          <w:rFonts w:eastAsiaTheme="minorHAnsi"/>
          <w:lang w:eastAsia="en-US"/>
        </w:rPr>
        <w:t xml:space="preserve">юджетное учреждение вправе сверх установленного государственного задания выполнять работы, оказывать услуги, относящиеся к его основным видам деятельности, предусмотренным его учредительным документом, для граждан и юридических лиц за плату и </w:t>
      </w:r>
      <w:r w:rsidR="001F3179" w:rsidRPr="00DE4780">
        <w:rPr>
          <w:rFonts w:eastAsiaTheme="minorHAnsi"/>
          <w:u w:val="single"/>
          <w:lang w:eastAsia="en-US"/>
        </w:rPr>
        <w:t>на одинаковых при оказании одних и тех же услуг условиях</w:t>
      </w:r>
      <w:r w:rsidR="001F3179" w:rsidRPr="00DE4780">
        <w:rPr>
          <w:rFonts w:eastAsiaTheme="minorHAnsi"/>
          <w:lang w:eastAsia="en-US"/>
        </w:rPr>
        <w:t>.</w:t>
      </w:r>
    </w:p>
    <w:p w:rsidR="003A4C22" w:rsidRPr="00DE4780" w:rsidRDefault="00B86559" w:rsidP="003A4C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u w:val="single"/>
          <w:lang w:eastAsia="en-US"/>
        </w:rPr>
      </w:pPr>
      <w:r w:rsidRPr="00DE4780">
        <w:rPr>
          <w:rFonts w:eastAsiaTheme="minorHAnsi"/>
          <w:lang w:eastAsia="en-US"/>
        </w:rPr>
        <w:t>Например, п</w:t>
      </w:r>
      <w:r w:rsidR="003A4C22" w:rsidRPr="00DE4780">
        <w:rPr>
          <w:rFonts w:eastAsiaTheme="minorHAnsi"/>
          <w:lang w:eastAsia="en-US"/>
        </w:rPr>
        <w:t>риказом Минкульт</w:t>
      </w:r>
      <w:r w:rsidR="004E15AE" w:rsidRPr="00DE4780">
        <w:rPr>
          <w:rFonts w:eastAsiaTheme="minorHAnsi"/>
          <w:lang w:eastAsia="en-US"/>
        </w:rPr>
        <w:t>уры России от 22.06.2011 № 737 для федеральных учреждений установлено, что</w:t>
      </w:r>
      <w:r w:rsidR="003A4C22" w:rsidRPr="00DE4780">
        <w:rPr>
          <w:rFonts w:eastAsiaTheme="minorHAnsi"/>
          <w:lang w:eastAsia="en-US"/>
        </w:rPr>
        <w:t xml:space="preserve"> </w:t>
      </w:r>
      <w:r w:rsidR="003A4C22" w:rsidRPr="00DE4780">
        <w:rPr>
          <w:rFonts w:eastAsiaTheme="minorHAnsi"/>
          <w:u w:val="single"/>
          <w:lang w:eastAsia="en-US"/>
        </w:rPr>
        <w:t>плата за услуги, оказываемые учреждением, обеспечивает полное возмещение обоснованных и документально подтвержденных затрат (расходов) на оказание услуги.</w:t>
      </w:r>
    </w:p>
    <w:p w:rsidR="001F3179" w:rsidRPr="00DE4780" w:rsidRDefault="003A4C22" w:rsidP="001F3179">
      <w:pPr>
        <w:pStyle w:val="af4"/>
        <w:spacing w:after="0"/>
        <w:ind w:left="0" w:firstLine="720"/>
        <w:jc w:val="both"/>
      </w:pPr>
      <w:r w:rsidRPr="00DE4780">
        <w:t>Вместе с тем все расходы на оплату коммунальных услуг</w:t>
      </w:r>
      <w:r w:rsidR="00C76AE2" w:rsidRPr="00DE4780">
        <w:t>, используемых для показа спектаклей зрителям, в т.ч.</w:t>
      </w:r>
      <w:r w:rsidRPr="00DE4780">
        <w:t xml:space="preserve"> </w:t>
      </w:r>
      <w:r w:rsidR="00C76AE2" w:rsidRPr="00DE4780">
        <w:t xml:space="preserve">сверх государственного задания, </w:t>
      </w:r>
      <w:r w:rsidRPr="00DE4780">
        <w:t>учреждением осуществлены исключительно за счет бюджетных средств.</w:t>
      </w:r>
    </w:p>
    <w:p w:rsidR="00CF195E" w:rsidRPr="00DE4780" w:rsidRDefault="003A4C22" w:rsidP="00B37500">
      <w:pPr>
        <w:pStyle w:val="af4"/>
        <w:spacing w:after="0"/>
        <w:ind w:left="0" w:firstLine="709"/>
        <w:jc w:val="both"/>
      </w:pPr>
      <w:r w:rsidRPr="00DE4780">
        <w:t xml:space="preserve">Таким образом, </w:t>
      </w:r>
      <w:r w:rsidR="00B37500" w:rsidRPr="00DE4780">
        <w:t xml:space="preserve">принятие Комитетом в отчете о выполнении государственного задания </w:t>
      </w:r>
      <w:r w:rsidR="000308DA" w:rsidRPr="00DE4780">
        <w:t xml:space="preserve">информации о </w:t>
      </w:r>
      <w:r w:rsidR="00B37500" w:rsidRPr="00DE4780">
        <w:t>количеств</w:t>
      </w:r>
      <w:r w:rsidR="000308DA" w:rsidRPr="00DE4780">
        <w:t>е</w:t>
      </w:r>
      <w:r w:rsidR="00B37500" w:rsidRPr="00DE4780">
        <w:t xml:space="preserve"> зрителей, </w:t>
      </w:r>
      <w:r w:rsidR="00CF195E" w:rsidRPr="00DE4780">
        <w:t xml:space="preserve">соответствующему государственному заданию учреждения, при имеющейся в распоряжении Комитета </w:t>
      </w:r>
      <w:r w:rsidR="00CF195E" w:rsidRPr="00DE4780">
        <w:rPr>
          <w:rFonts w:eastAsiaTheme="minorHAnsi"/>
          <w:bCs/>
          <w:lang w:eastAsia="en-US"/>
        </w:rPr>
        <w:t xml:space="preserve">форме статистической отчетности </w:t>
      </w:r>
      <w:hyperlink r:id="rId8" w:history="1">
        <w:r w:rsidR="00CF195E" w:rsidRPr="00DE4780">
          <w:rPr>
            <w:rFonts w:eastAsiaTheme="minorHAnsi"/>
            <w:bCs/>
            <w:lang w:eastAsia="en-US"/>
          </w:rPr>
          <w:t>№ 9-НК</w:t>
        </w:r>
      </w:hyperlink>
      <w:r w:rsidR="00CF195E" w:rsidRPr="00DE4780">
        <w:rPr>
          <w:rFonts w:eastAsiaTheme="minorHAnsi"/>
          <w:bCs/>
          <w:lang w:eastAsia="en-US"/>
        </w:rPr>
        <w:t xml:space="preserve"> «Сведения о деятельности театра» с информацией об общем количестве зрителей Театра в 2016 году,</w:t>
      </w:r>
      <w:r w:rsidR="00B37500" w:rsidRPr="00DE4780">
        <w:t xml:space="preserve"> не </w:t>
      </w:r>
      <w:r w:rsidR="001D4B76" w:rsidRPr="00DE4780">
        <w:t xml:space="preserve">соответствует Положению № 818-п и также свидетельствует о </w:t>
      </w:r>
      <w:r w:rsidR="001D4B76" w:rsidRPr="00DE4780">
        <w:lastRenderedPageBreak/>
        <w:t>формальном подходе Комитета к формированию государственного задания Театра и контролю за его исполнением</w:t>
      </w:r>
      <w:r w:rsidR="00B37500" w:rsidRPr="00DE4780">
        <w:t>.</w:t>
      </w:r>
    </w:p>
    <w:p w:rsidR="000D5E00" w:rsidRPr="00DE4780" w:rsidRDefault="00F229B6" w:rsidP="00F229B6">
      <w:pPr>
        <w:spacing w:before="120" w:after="120"/>
        <w:ind w:firstLine="709"/>
        <w:jc w:val="center"/>
        <w:rPr>
          <w:i/>
        </w:rPr>
      </w:pPr>
      <w:r w:rsidRPr="00DE4780">
        <w:rPr>
          <w:i/>
        </w:rPr>
        <w:t>Государственная услуга «Показ спектаклей (театральных постановок)» на выезде</w:t>
      </w:r>
    </w:p>
    <w:p w:rsidR="00395114" w:rsidRPr="00DE4780" w:rsidRDefault="00F229B6" w:rsidP="00F229B6">
      <w:pPr>
        <w:pStyle w:val="af4"/>
        <w:spacing w:after="0"/>
        <w:ind w:left="0" w:firstLine="540"/>
        <w:jc w:val="both"/>
      </w:pPr>
      <w:r w:rsidRPr="00DE4780">
        <w:t xml:space="preserve">Театру </w:t>
      </w:r>
      <w:r w:rsidR="00395114" w:rsidRPr="00DE4780">
        <w:t>государственн</w:t>
      </w:r>
      <w:r w:rsidRPr="00DE4780">
        <w:t>ым</w:t>
      </w:r>
      <w:r w:rsidR="00395114" w:rsidRPr="00DE4780">
        <w:t xml:space="preserve"> задани</w:t>
      </w:r>
      <w:r w:rsidRPr="00DE4780">
        <w:t>ем</w:t>
      </w:r>
      <w:r w:rsidR="00395114" w:rsidRPr="00DE4780">
        <w:t xml:space="preserve"> по государственной услуге </w:t>
      </w:r>
      <w:r w:rsidR="00395114" w:rsidRPr="00DE4780">
        <w:rPr>
          <w:b/>
        </w:rPr>
        <w:t>«</w:t>
      </w:r>
      <w:r w:rsidR="00395114" w:rsidRPr="00DE4780">
        <w:t xml:space="preserve">Показ спектаклей (театральных постановок)» на </w:t>
      </w:r>
      <w:r w:rsidR="00395114" w:rsidRPr="00DE4780">
        <w:rPr>
          <w:b/>
        </w:rPr>
        <w:t>выезде</w:t>
      </w:r>
      <w:r w:rsidR="00AD3F4F" w:rsidRPr="00DE4780">
        <w:rPr>
          <w:b/>
        </w:rPr>
        <w:t xml:space="preserve"> </w:t>
      </w:r>
      <w:r w:rsidRPr="00DE4780">
        <w:t>установлен</w:t>
      </w:r>
      <w:r w:rsidRPr="00DE4780">
        <w:rPr>
          <w:b/>
        </w:rPr>
        <w:t xml:space="preserve"> </w:t>
      </w:r>
      <w:r w:rsidR="00AD3F4F" w:rsidRPr="00DE4780">
        <w:t>объемны</w:t>
      </w:r>
      <w:r w:rsidRPr="00DE4780">
        <w:t>й</w:t>
      </w:r>
      <w:r w:rsidR="00AD3F4F" w:rsidRPr="00DE4780">
        <w:t xml:space="preserve"> показател</w:t>
      </w:r>
      <w:r w:rsidRPr="00DE4780">
        <w:t>ь</w:t>
      </w:r>
      <w:r w:rsidR="00AD3F4F" w:rsidRPr="00DE4780">
        <w:t xml:space="preserve"> </w:t>
      </w:r>
      <w:r w:rsidR="00AD3F4F" w:rsidRPr="00DE4780">
        <w:rPr>
          <w:b/>
        </w:rPr>
        <w:t>7</w:t>
      </w:r>
      <w:r w:rsidR="000E2B83" w:rsidRPr="00DE4780">
        <w:rPr>
          <w:b/>
        </w:rPr>
        <w:t> </w:t>
      </w:r>
      <w:r w:rsidR="00AD3F4F" w:rsidRPr="00DE4780">
        <w:rPr>
          <w:b/>
        </w:rPr>
        <w:t>350 зрителей</w:t>
      </w:r>
      <w:r w:rsidR="000E2B83" w:rsidRPr="00DE4780">
        <w:t>.</w:t>
      </w:r>
    </w:p>
    <w:p w:rsidR="00AD3F4F" w:rsidRPr="00DE4780" w:rsidRDefault="00AD3F4F" w:rsidP="00AD3F4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lang w:eastAsia="en-US"/>
        </w:rPr>
      </w:pPr>
      <w:r w:rsidRPr="00DE4780">
        <w:rPr>
          <w:rFonts w:eastAsiaTheme="minorHAnsi"/>
          <w:bCs/>
          <w:lang w:eastAsia="en-US"/>
        </w:rPr>
        <w:t xml:space="preserve">В соответствии с </w:t>
      </w:r>
      <w:r w:rsidR="00CF195E" w:rsidRPr="00DE4780">
        <w:rPr>
          <w:rFonts w:eastAsiaTheme="minorHAnsi"/>
          <w:bCs/>
          <w:lang w:eastAsia="en-US"/>
        </w:rPr>
        <w:t>п</w:t>
      </w:r>
      <w:r w:rsidRPr="00DE4780">
        <w:rPr>
          <w:rFonts w:eastAsiaTheme="minorHAnsi"/>
          <w:bCs/>
          <w:lang w:eastAsia="en-US"/>
        </w:rPr>
        <w:t>риказом Федеральной службы государственной статистики от 07.12.2016 №</w:t>
      </w:r>
      <w:r w:rsidR="000E2B83" w:rsidRPr="00DE4780">
        <w:rPr>
          <w:rFonts w:eastAsiaTheme="minorHAnsi"/>
          <w:bCs/>
          <w:lang w:eastAsia="en-US"/>
        </w:rPr>
        <w:t> </w:t>
      </w:r>
      <w:r w:rsidRPr="00DE4780">
        <w:rPr>
          <w:rFonts w:eastAsiaTheme="minorHAnsi"/>
          <w:bCs/>
          <w:lang w:eastAsia="en-US"/>
        </w:rPr>
        <w:t xml:space="preserve">764 «Об утверждении статистического инструментария для организации министерством культуры РФ федерального статистического наблюдения за деятельностью организаций культуры» при заполнении формы статистической отчетности </w:t>
      </w:r>
      <w:hyperlink r:id="rId9" w:history="1">
        <w:r w:rsidRPr="00DE4780">
          <w:rPr>
            <w:rFonts w:eastAsiaTheme="minorHAnsi"/>
            <w:bCs/>
            <w:lang w:eastAsia="en-US"/>
          </w:rPr>
          <w:t>№ 9-НК</w:t>
        </w:r>
      </w:hyperlink>
      <w:r w:rsidRPr="00DE4780">
        <w:rPr>
          <w:rFonts w:eastAsiaTheme="minorHAnsi"/>
          <w:bCs/>
          <w:lang w:eastAsia="en-US"/>
        </w:rPr>
        <w:t xml:space="preserve"> «Сведения о деятельности театра»:</w:t>
      </w:r>
    </w:p>
    <w:p w:rsidR="00AD3F4F" w:rsidRPr="00DE4780" w:rsidRDefault="00AD3F4F" w:rsidP="00AD3F4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lang w:eastAsia="en-US"/>
        </w:rPr>
      </w:pPr>
      <w:r w:rsidRPr="00DE4780">
        <w:rPr>
          <w:rFonts w:eastAsiaTheme="minorHAnsi"/>
          <w:b/>
          <w:bCs/>
          <w:lang w:eastAsia="en-US"/>
        </w:rPr>
        <w:t>-к выездным мероприятиям</w:t>
      </w:r>
      <w:r w:rsidR="00CF195E" w:rsidRPr="00DE4780">
        <w:rPr>
          <w:rFonts w:eastAsiaTheme="minorHAnsi"/>
          <w:bCs/>
          <w:lang w:eastAsia="en-US"/>
        </w:rPr>
        <w:t xml:space="preserve"> </w:t>
      </w:r>
      <w:r w:rsidRPr="00DE4780">
        <w:rPr>
          <w:rFonts w:eastAsiaTheme="minorHAnsi"/>
          <w:bCs/>
          <w:lang w:eastAsia="en-US"/>
        </w:rPr>
        <w:t>относятся разовые мероприятия (выезды), проведенные в пределах своего региона в течение одного дня;</w:t>
      </w:r>
    </w:p>
    <w:p w:rsidR="00AD3F4F" w:rsidRPr="00DE4780" w:rsidRDefault="00AD3F4F" w:rsidP="00AD3F4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lang w:eastAsia="en-US"/>
        </w:rPr>
      </w:pPr>
      <w:r w:rsidRPr="00DE4780">
        <w:rPr>
          <w:rFonts w:eastAsiaTheme="minorHAnsi"/>
          <w:b/>
          <w:bCs/>
          <w:lang w:eastAsia="en-US"/>
        </w:rPr>
        <w:t>-к мероприятиям на региональных гастролях</w:t>
      </w:r>
      <w:r w:rsidRPr="00DE4780">
        <w:rPr>
          <w:rFonts w:eastAsiaTheme="minorHAnsi"/>
          <w:bCs/>
          <w:lang w:eastAsia="en-US"/>
        </w:rPr>
        <w:t xml:space="preserve"> относятся мероприятия, проведенные в пределах своего региона, проводимые на выезде, с проживанием в гостинице, планируемые по договору на определенный срок.</w:t>
      </w:r>
    </w:p>
    <w:p w:rsidR="00CF1674" w:rsidRPr="00DE4780" w:rsidRDefault="00395114" w:rsidP="002B2718">
      <w:pPr>
        <w:pStyle w:val="af4"/>
        <w:spacing w:after="0"/>
        <w:ind w:left="0" w:firstLine="720"/>
        <w:jc w:val="both"/>
      </w:pPr>
      <w:r w:rsidRPr="00DE4780">
        <w:t xml:space="preserve">В 2016 году ТЮЗ </w:t>
      </w:r>
      <w:r w:rsidR="00CF1674" w:rsidRPr="00DE4780">
        <w:t xml:space="preserve">за пределами стационара </w:t>
      </w:r>
      <w:r w:rsidRPr="00DE4780">
        <w:t>показывал</w:t>
      </w:r>
      <w:r w:rsidR="00CF1674" w:rsidRPr="00DE4780">
        <w:t xml:space="preserve"> 25</w:t>
      </w:r>
      <w:r w:rsidRPr="00DE4780">
        <w:t xml:space="preserve"> спектаклей по 9 пьесам</w:t>
      </w:r>
      <w:r w:rsidR="000D43AF" w:rsidRPr="00DE4780">
        <w:t xml:space="preserve"> с общим количеством зрителей </w:t>
      </w:r>
      <w:r w:rsidR="000D43AF" w:rsidRPr="00DE4780">
        <w:rPr>
          <w:b/>
        </w:rPr>
        <w:t>8701 чел</w:t>
      </w:r>
      <w:r w:rsidR="000E2B83" w:rsidRPr="00DE4780">
        <w:rPr>
          <w:b/>
        </w:rPr>
        <w:t>овек</w:t>
      </w:r>
      <w:r w:rsidR="00CF1674" w:rsidRPr="00DE4780">
        <w:rPr>
          <w:b/>
        </w:rPr>
        <w:t>,</w:t>
      </w:r>
      <w:r w:rsidR="00CF1674" w:rsidRPr="00DE4780">
        <w:t xml:space="preserve"> в том числе:</w:t>
      </w:r>
    </w:p>
    <w:p w:rsidR="00FC03ED" w:rsidRPr="00DE4780" w:rsidRDefault="00CF1674" w:rsidP="00121597">
      <w:pPr>
        <w:pStyle w:val="ConsPlusNormal"/>
        <w:ind w:firstLine="708"/>
        <w:jc w:val="both"/>
        <w:outlineLvl w:val="0"/>
        <w:rPr>
          <w:rFonts w:eastAsiaTheme="minorHAnsi"/>
          <w:lang w:eastAsia="en-US"/>
        </w:rPr>
      </w:pPr>
      <w:r w:rsidRPr="00DE4780">
        <w:rPr>
          <w:b/>
        </w:rPr>
        <w:t>-</w:t>
      </w:r>
      <w:r w:rsidRPr="00DE4780">
        <w:rPr>
          <w:rFonts w:ascii="Times New Roman" w:hAnsi="Times New Roman" w:cs="Times New Roman"/>
          <w:sz w:val="24"/>
          <w:szCs w:val="24"/>
        </w:rPr>
        <w:t xml:space="preserve">18 спектаклей </w:t>
      </w:r>
      <w:r w:rsidR="000D43AF" w:rsidRPr="00DE4780">
        <w:rPr>
          <w:rFonts w:ascii="Times New Roman" w:hAnsi="Times New Roman" w:cs="Times New Roman"/>
          <w:sz w:val="24"/>
          <w:szCs w:val="24"/>
        </w:rPr>
        <w:t>(</w:t>
      </w:r>
      <w:r w:rsidR="00FC03ED" w:rsidRPr="00DE4780">
        <w:rPr>
          <w:rFonts w:ascii="Times New Roman" w:hAnsi="Times New Roman" w:cs="Times New Roman"/>
          <w:sz w:val="24"/>
          <w:szCs w:val="24"/>
        </w:rPr>
        <w:t xml:space="preserve">5932 зрителя) </w:t>
      </w:r>
      <w:r w:rsidRPr="00DE4780">
        <w:rPr>
          <w:rFonts w:ascii="Times New Roman" w:hAnsi="Times New Roman" w:cs="Times New Roman"/>
          <w:sz w:val="24"/>
          <w:szCs w:val="24"/>
        </w:rPr>
        <w:t xml:space="preserve">- </w:t>
      </w:r>
      <w:r w:rsidR="00395114" w:rsidRPr="00DE4780">
        <w:rPr>
          <w:rFonts w:ascii="Times New Roman" w:hAnsi="Times New Roman" w:cs="Times New Roman"/>
          <w:sz w:val="24"/>
          <w:szCs w:val="24"/>
        </w:rPr>
        <w:t xml:space="preserve">в населенных пунктах Волгоградской области (г. Урюпинск, Михайловка, </w:t>
      </w:r>
      <w:proofErr w:type="spellStart"/>
      <w:r w:rsidR="00395114" w:rsidRPr="00DE4780">
        <w:rPr>
          <w:rFonts w:ascii="Times New Roman" w:hAnsi="Times New Roman" w:cs="Times New Roman"/>
          <w:sz w:val="24"/>
          <w:szCs w:val="24"/>
        </w:rPr>
        <w:t>Новониколаевск</w:t>
      </w:r>
      <w:proofErr w:type="spellEnd"/>
      <w:r w:rsidR="00395114" w:rsidRPr="00DE47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5114" w:rsidRPr="00DE4780">
        <w:rPr>
          <w:rFonts w:ascii="Times New Roman" w:hAnsi="Times New Roman" w:cs="Times New Roman"/>
          <w:sz w:val="24"/>
          <w:szCs w:val="24"/>
        </w:rPr>
        <w:t>Новоаннинск</w:t>
      </w:r>
      <w:proofErr w:type="spellEnd"/>
      <w:r w:rsidR="00395114" w:rsidRPr="00DE4780">
        <w:rPr>
          <w:rFonts w:ascii="Times New Roman" w:hAnsi="Times New Roman" w:cs="Times New Roman"/>
          <w:sz w:val="24"/>
          <w:szCs w:val="24"/>
        </w:rPr>
        <w:t xml:space="preserve">, Котово), </w:t>
      </w:r>
      <w:r w:rsidR="000D43AF" w:rsidRPr="00DE4780">
        <w:rPr>
          <w:rFonts w:ascii="Times New Roman" w:hAnsi="Times New Roman" w:cs="Times New Roman"/>
          <w:sz w:val="24"/>
          <w:szCs w:val="24"/>
        </w:rPr>
        <w:t>которые</w:t>
      </w:r>
      <w:r w:rsidRPr="00DE4780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0D43AF" w:rsidRPr="00DE478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D43AF" w:rsidRPr="00DE4780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="000D43AF" w:rsidRPr="00DE4780">
        <w:rPr>
          <w:rFonts w:ascii="Times New Roman" w:hAnsi="Times New Roman" w:cs="Times New Roman"/>
          <w:sz w:val="24"/>
          <w:szCs w:val="24"/>
        </w:rPr>
        <w:t xml:space="preserve"> долгосрочного развития театрального дела в РФ на период до 2020 года, утвержденной </w:t>
      </w:r>
      <w:r w:rsidR="00CF195E" w:rsidRPr="00DE4780">
        <w:rPr>
          <w:rFonts w:ascii="Times New Roman" w:hAnsi="Times New Roman" w:cs="Times New Roman"/>
          <w:sz w:val="24"/>
          <w:szCs w:val="24"/>
        </w:rPr>
        <w:t>р</w:t>
      </w:r>
      <w:r w:rsidR="000D43AF" w:rsidRPr="00DE4780">
        <w:rPr>
          <w:rFonts w:ascii="Times New Roman" w:hAnsi="Times New Roman" w:cs="Times New Roman"/>
          <w:sz w:val="24"/>
          <w:szCs w:val="24"/>
        </w:rPr>
        <w:t>аспоряжением Правительства РФ от 10.06.2011 №</w:t>
      </w:r>
      <w:r w:rsidR="000E2B83" w:rsidRPr="00DE4780">
        <w:rPr>
          <w:rFonts w:ascii="Times New Roman" w:hAnsi="Times New Roman" w:cs="Times New Roman"/>
          <w:sz w:val="24"/>
          <w:szCs w:val="24"/>
        </w:rPr>
        <w:t> </w:t>
      </w:r>
      <w:r w:rsidR="000D43AF" w:rsidRPr="00DE4780">
        <w:rPr>
          <w:rFonts w:ascii="Times New Roman" w:hAnsi="Times New Roman" w:cs="Times New Roman"/>
          <w:sz w:val="24"/>
          <w:szCs w:val="24"/>
        </w:rPr>
        <w:t>1019-</w:t>
      </w:r>
      <w:r w:rsidR="00AD3F4F" w:rsidRPr="00DE4780">
        <w:rPr>
          <w:rFonts w:ascii="Times New Roman" w:hAnsi="Times New Roman" w:cs="Times New Roman"/>
          <w:sz w:val="24"/>
          <w:szCs w:val="24"/>
        </w:rPr>
        <w:t>р и вышеуказанного приказа</w:t>
      </w:r>
      <w:r w:rsidR="000D43AF" w:rsidRPr="00DE4780">
        <w:rPr>
          <w:rFonts w:ascii="Times New Roman" w:hAnsi="Times New Roman" w:cs="Times New Roman"/>
          <w:sz w:val="24"/>
          <w:szCs w:val="24"/>
        </w:rPr>
        <w:t xml:space="preserve"> </w:t>
      </w:r>
      <w:r w:rsidR="00AD3F4F" w:rsidRPr="00DE4780">
        <w:rPr>
          <w:rFonts w:ascii="Times New Roman" w:hAnsi="Times New Roman" w:cs="Times New Roman"/>
          <w:sz w:val="24"/>
          <w:szCs w:val="24"/>
        </w:rPr>
        <w:t>Федеральной службы государственной статистики</w:t>
      </w:r>
      <w:r w:rsidR="00CF195E" w:rsidRPr="00DE4780">
        <w:rPr>
          <w:rFonts w:ascii="Times New Roman" w:hAnsi="Times New Roman" w:cs="Times New Roman"/>
          <w:sz w:val="24"/>
          <w:szCs w:val="24"/>
        </w:rPr>
        <w:t>,</w:t>
      </w:r>
      <w:r w:rsidR="00AD3F4F" w:rsidRPr="00DE4780">
        <w:rPr>
          <w:rFonts w:ascii="Times New Roman" w:hAnsi="Times New Roman" w:cs="Times New Roman"/>
          <w:sz w:val="24"/>
          <w:szCs w:val="24"/>
        </w:rPr>
        <w:t xml:space="preserve"> относятся к региональным гастролям. Театром указанные спектакли в форме статистической отчетности </w:t>
      </w:r>
      <w:hyperlink r:id="rId11" w:history="1">
        <w:r w:rsidR="00AD3F4F" w:rsidRPr="00DE4780">
          <w:rPr>
            <w:rFonts w:ascii="Times New Roman" w:hAnsi="Times New Roman" w:cs="Times New Roman"/>
            <w:sz w:val="24"/>
            <w:szCs w:val="24"/>
          </w:rPr>
          <w:t>№9-НК</w:t>
        </w:r>
      </w:hyperlink>
      <w:r w:rsidR="00AD3F4F" w:rsidRPr="00DE4780">
        <w:rPr>
          <w:rFonts w:ascii="Times New Roman" w:hAnsi="Times New Roman" w:cs="Times New Roman"/>
          <w:sz w:val="24"/>
          <w:szCs w:val="24"/>
        </w:rPr>
        <w:t xml:space="preserve"> «Сведения о деятельности театра» за 2016 года также отражены как мероприятия, проведенные </w:t>
      </w:r>
      <w:r w:rsidR="00AD3F4F" w:rsidRPr="00DE4780">
        <w:rPr>
          <w:rFonts w:ascii="Times New Roman" w:hAnsi="Times New Roman" w:cs="Times New Roman"/>
          <w:b/>
          <w:sz w:val="24"/>
          <w:szCs w:val="24"/>
        </w:rPr>
        <w:t>на региональных гастролях</w:t>
      </w:r>
      <w:r w:rsidR="00121597" w:rsidRPr="00DE4780">
        <w:rPr>
          <w:rFonts w:ascii="Times New Roman" w:hAnsi="Times New Roman" w:cs="Times New Roman"/>
          <w:sz w:val="24"/>
          <w:szCs w:val="24"/>
        </w:rPr>
        <w:t>.</w:t>
      </w:r>
    </w:p>
    <w:p w:rsidR="000D43AF" w:rsidRPr="00DE4780" w:rsidRDefault="00FC03ED" w:rsidP="002B271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lang w:eastAsia="en-US"/>
        </w:rPr>
      </w:pPr>
      <w:r w:rsidRPr="00DE4780">
        <w:rPr>
          <w:rFonts w:eastAsiaTheme="minorHAnsi"/>
          <w:lang w:eastAsia="en-US"/>
        </w:rPr>
        <w:t xml:space="preserve">-7 спектаклей (2769 зрителей) – в городе Волгограде на сцене </w:t>
      </w:r>
      <w:r w:rsidR="00B21671" w:rsidRPr="00DE4780">
        <w:rPr>
          <w:rFonts w:eastAsiaTheme="minorHAnsi"/>
          <w:lang w:eastAsia="en-US"/>
        </w:rPr>
        <w:t>г</w:t>
      </w:r>
      <w:r w:rsidR="00367B21" w:rsidRPr="00DE4780">
        <w:rPr>
          <w:rFonts w:eastAsiaTheme="minorHAnsi"/>
          <w:bCs/>
          <w:lang w:eastAsia="en-US"/>
        </w:rPr>
        <w:t>осударственного бюджетного учреждения культуры «Волгоградский областной центр народного творчества»</w:t>
      </w:r>
      <w:r w:rsidR="00AD3F4F" w:rsidRPr="00DE4780">
        <w:rPr>
          <w:rFonts w:eastAsiaTheme="minorHAnsi"/>
          <w:bCs/>
          <w:lang w:eastAsia="en-US"/>
        </w:rPr>
        <w:t xml:space="preserve"> </w:t>
      </w:r>
      <w:r w:rsidR="00AD3F4F" w:rsidRPr="00DE4780">
        <w:rPr>
          <w:rFonts w:eastAsiaTheme="minorHAnsi"/>
          <w:b/>
          <w:bCs/>
          <w:lang w:eastAsia="en-US"/>
        </w:rPr>
        <w:t>(выездные спектакли)</w:t>
      </w:r>
      <w:r w:rsidR="000D43AF" w:rsidRPr="00DE4780">
        <w:rPr>
          <w:rFonts w:eastAsiaTheme="minorHAnsi"/>
          <w:b/>
          <w:lang w:eastAsia="en-US"/>
        </w:rPr>
        <w:t>.</w:t>
      </w:r>
    </w:p>
    <w:p w:rsidR="00AD3F4F" w:rsidRPr="00DE4780" w:rsidRDefault="00367B21" w:rsidP="00AD3F4F">
      <w:pPr>
        <w:autoSpaceDE w:val="0"/>
        <w:autoSpaceDN w:val="0"/>
        <w:adjustRightInd w:val="0"/>
        <w:ind w:firstLine="540"/>
        <w:jc w:val="both"/>
      </w:pPr>
      <w:r w:rsidRPr="00DE4780">
        <w:rPr>
          <w:rFonts w:eastAsiaTheme="minorHAnsi"/>
          <w:lang w:eastAsia="en-US"/>
        </w:rPr>
        <w:t xml:space="preserve">В отчете о выполнении государственного задания </w:t>
      </w:r>
      <w:r w:rsidRPr="00DE4780">
        <w:t>по государственной услуге «Показ спектаклей (театральных постановок)»</w:t>
      </w:r>
      <w:r w:rsidRPr="00DE4780">
        <w:rPr>
          <w:b/>
        </w:rPr>
        <w:t xml:space="preserve"> </w:t>
      </w:r>
      <w:r w:rsidRPr="00DE4780">
        <w:t>в объемном показателе 7350 зрителей</w:t>
      </w:r>
      <w:r w:rsidRPr="00DE4780">
        <w:rPr>
          <w:b/>
        </w:rPr>
        <w:t xml:space="preserve"> на выезде </w:t>
      </w:r>
      <w:r w:rsidRPr="00DE4780">
        <w:t>фактически были также учтены зрители 4581 чел. по спектаклям, проведенным в рамках</w:t>
      </w:r>
      <w:r w:rsidRPr="00DE4780">
        <w:rPr>
          <w:b/>
        </w:rPr>
        <w:t xml:space="preserve"> региональных гастролей</w:t>
      </w:r>
      <w:r w:rsidR="00F229B6" w:rsidRPr="00DE4780">
        <w:t>, которые являются более затратной формой проведения спектаклей и не были предусмотрены государственным заданием Театра.</w:t>
      </w:r>
    </w:p>
    <w:p w:rsidR="00E21C63" w:rsidRPr="00DE4780" w:rsidRDefault="00E21C63" w:rsidP="00AD3F4F">
      <w:pPr>
        <w:autoSpaceDE w:val="0"/>
        <w:autoSpaceDN w:val="0"/>
        <w:adjustRightInd w:val="0"/>
        <w:ind w:firstLine="540"/>
        <w:jc w:val="both"/>
      </w:pPr>
      <w:r w:rsidRPr="00DE4780">
        <w:t>Оставши</w:t>
      </w:r>
      <w:r w:rsidR="0053723D" w:rsidRPr="00DE4780">
        <w:t>й</w:t>
      </w:r>
      <w:r w:rsidRPr="00DE4780">
        <w:t xml:space="preserve">ся </w:t>
      </w:r>
      <w:r w:rsidR="0053723D" w:rsidRPr="00DE4780">
        <w:t xml:space="preserve">1351 зритель </w:t>
      </w:r>
      <w:r w:rsidRPr="00DE4780">
        <w:t>в соответствии с отчетом о выполнении государственного задания Театром учитывал</w:t>
      </w:r>
      <w:r w:rsidR="0053723D" w:rsidRPr="00DE4780">
        <w:t>ся</w:t>
      </w:r>
      <w:r w:rsidRPr="00DE4780">
        <w:t xml:space="preserve"> как оказание услуги сверх государственного задания (8701 – 7350).</w:t>
      </w:r>
    </w:p>
    <w:p w:rsidR="00121597" w:rsidRPr="00DE4780" w:rsidRDefault="00E21C63" w:rsidP="0012159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>Следует отметить, что Ведомственным перечнем для Театра предусмотрено содержание государственной услуги - место проведения спектаклей (театральных постановок) как на гастролях, так и на выезде.</w:t>
      </w:r>
      <w:r w:rsidR="00F229B6" w:rsidRPr="00DE4780">
        <w:rPr>
          <w:rFonts w:ascii="Times New Roman" w:hAnsi="Times New Roman" w:cs="Times New Roman"/>
          <w:sz w:val="24"/>
          <w:szCs w:val="24"/>
        </w:rPr>
        <w:t xml:space="preserve"> Однако</w:t>
      </w:r>
      <w:r w:rsidR="003215D4" w:rsidRPr="00DE4780">
        <w:rPr>
          <w:rFonts w:ascii="Times New Roman" w:hAnsi="Times New Roman" w:cs="Times New Roman"/>
          <w:sz w:val="24"/>
          <w:szCs w:val="24"/>
        </w:rPr>
        <w:t>,</w:t>
      </w:r>
      <w:r w:rsidR="00121597" w:rsidRPr="00DE4780">
        <w:rPr>
          <w:rFonts w:ascii="Times New Roman" w:hAnsi="Times New Roman" w:cs="Times New Roman"/>
          <w:sz w:val="24"/>
          <w:szCs w:val="24"/>
        </w:rPr>
        <w:t xml:space="preserve"> </w:t>
      </w:r>
      <w:r w:rsidR="003215D4" w:rsidRPr="00DE4780">
        <w:rPr>
          <w:rFonts w:ascii="Times New Roman" w:hAnsi="Times New Roman" w:cs="Times New Roman"/>
          <w:sz w:val="24"/>
          <w:szCs w:val="24"/>
        </w:rPr>
        <w:t xml:space="preserve">как уже указывалось выше, </w:t>
      </w:r>
      <w:r w:rsidR="00121597" w:rsidRPr="00DE4780">
        <w:rPr>
          <w:rFonts w:ascii="Times New Roman" w:hAnsi="Times New Roman" w:cs="Times New Roman"/>
          <w:sz w:val="24"/>
          <w:szCs w:val="24"/>
        </w:rPr>
        <w:t>государственным заданием Театру место проведения спектаклей (театральных постановок) на гастролях не было установлено. Объем финансового обеспечени</w:t>
      </w:r>
      <w:r w:rsidR="005E0408" w:rsidRPr="00DE4780">
        <w:rPr>
          <w:rFonts w:ascii="Times New Roman" w:hAnsi="Times New Roman" w:cs="Times New Roman"/>
          <w:sz w:val="24"/>
          <w:szCs w:val="24"/>
        </w:rPr>
        <w:t>я</w:t>
      </w:r>
      <w:r w:rsidR="00121597" w:rsidRPr="00DE4780">
        <w:rPr>
          <w:rFonts w:ascii="Times New Roman" w:hAnsi="Times New Roman" w:cs="Times New Roman"/>
          <w:sz w:val="24"/>
          <w:szCs w:val="24"/>
        </w:rPr>
        <w:t xml:space="preserve"> государственного задания </w:t>
      </w:r>
      <w:r w:rsidR="005C7C81" w:rsidRPr="00DE4780">
        <w:rPr>
          <w:rFonts w:ascii="Times New Roman" w:hAnsi="Times New Roman" w:cs="Times New Roman"/>
          <w:sz w:val="24"/>
          <w:szCs w:val="24"/>
        </w:rPr>
        <w:t>в размере 1703,4 тыс. </w:t>
      </w:r>
      <w:r w:rsidR="00543978" w:rsidRPr="00DE4780">
        <w:rPr>
          <w:rFonts w:ascii="Times New Roman" w:hAnsi="Times New Roman" w:cs="Times New Roman"/>
          <w:sz w:val="24"/>
          <w:szCs w:val="24"/>
        </w:rPr>
        <w:t xml:space="preserve">руб. </w:t>
      </w:r>
      <w:r w:rsidR="00121597" w:rsidRPr="00DE4780">
        <w:rPr>
          <w:rFonts w:ascii="Times New Roman" w:hAnsi="Times New Roman" w:cs="Times New Roman"/>
          <w:sz w:val="24"/>
          <w:szCs w:val="24"/>
        </w:rPr>
        <w:t xml:space="preserve">Театру также был определен с учетом базовых нормативов на проведение спектаклей на выезде из расчета 110 руб. на 1 зрителя «для драмы» и </w:t>
      </w:r>
      <w:r w:rsidR="003215D4" w:rsidRPr="00DE4780">
        <w:rPr>
          <w:rFonts w:ascii="Times New Roman" w:hAnsi="Times New Roman" w:cs="Times New Roman"/>
          <w:sz w:val="24"/>
          <w:szCs w:val="24"/>
        </w:rPr>
        <w:t>254</w:t>
      </w:r>
      <w:r w:rsidR="00121597" w:rsidRPr="00DE4780">
        <w:rPr>
          <w:rFonts w:ascii="Times New Roman" w:hAnsi="Times New Roman" w:cs="Times New Roman"/>
          <w:sz w:val="24"/>
          <w:szCs w:val="24"/>
        </w:rPr>
        <w:t xml:space="preserve"> руб. «для музыкальной комедии».</w:t>
      </w:r>
    </w:p>
    <w:p w:rsidR="006B559F" w:rsidRPr="00DE4780" w:rsidRDefault="005E0408" w:rsidP="006B559F">
      <w:pPr>
        <w:pStyle w:val="af4"/>
        <w:spacing w:after="0"/>
        <w:ind w:left="0" w:firstLine="720"/>
        <w:jc w:val="both"/>
      </w:pPr>
      <w:r w:rsidRPr="00DE4780">
        <w:t>Вместе с тем ф</w:t>
      </w:r>
      <w:r w:rsidR="006B559F" w:rsidRPr="00DE4780">
        <w:t xml:space="preserve">актические расходы Театра на показ отдельных гастрольных спектаклей в расчете на 1 зрителя в 2016 году различаются с затратами на выездные спектакли более чем в </w:t>
      </w:r>
      <w:r w:rsidR="00AF1CAD" w:rsidRPr="00DE4780">
        <w:t>4</w:t>
      </w:r>
      <w:r w:rsidR="006B559F" w:rsidRPr="00DE4780">
        <w:t xml:space="preserve"> раза</w:t>
      </w:r>
      <w:r w:rsidR="004805F5" w:rsidRPr="00DE4780">
        <w:t xml:space="preserve"> и несопоставимы с утвержденными базовыми нормативами</w:t>
      </w:r>
      <w:r w:rsidR="006B559F" w:rsidRPr="00DE4780">
        <w:t>. Например, это</w:t>
      </w:r>
      <w:r w:rsidR="00543978" w:rsidRPr="00DE4780">
        <w:t>т</w:t>
      </w:r>
      <w:r w:rsidR="006B559F" w:rsidRPr="00DE4780">
        <w:t xml:space="preserve"> показатель при гастролях в </w:t>
      </w:r>
      <w:r w:rsidR="00F229B6" w:rsidRPr="00DE4780">
        <w:t>г. Михайловка сложился на уровне 142,8 руб. на 1 зрителя, в Новониколаевском районе 270 руб.</w:t>
      </w:r>
      <w:r w:rsidR="006B559F" w:rsidRPr="00DE4780">
        <w:t xml:space="preserve">, </w:t>
      </w:r>
      <w:r w:rsidR="00F229B6" w:rsidRPr="00DE4780">
        <w:t xml:space="preserve">тогда как </w:t>
      </w:r>
      <w:r w:rsidR="006B559F" w:rsidRPr="00DE4780">
        <w:t>затрат</w:t>
      </w:r>
      <w:r w:rsidR="00F229B6" w:rsidRPr="00DE4780">
        <w:t>ы</w:t>
      </w:r>
      <w:r w:rsidR="006B559F" w:rsidRPr="00DE4780">
        <w:t xml:space="preserve"> на проведение выездных спектаклей в г. Волгограде </w:t>
      </w:r>
      <w:r w:rsidR="00F229B6" w:rsidRPr="00DE4780">
        <w:t>на 1 зрителя составили 65-68 рублей.</w:t>
      </w:r>
    </w:p>
    <w:p w:rsidR="006A0B0B" w:rsidRPr="00DE4780" w:rsidRDefault="00121597" w:rsidP="006A0B0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>П</w:t>
      </w:r>
      <w:r w:rsidR="00AF1CAD" w:rsidRPr="00DE4780">
        <w:rPr>
          <w:rFonts w:ascii="Times New Roman" w:hAnsi="Times New Roman" w:cs="Times New Roman"/>
          <w:sz w:val="24"/>
          <w:szCs w:val="24"/>
        </w:rPr>
        <w:t>роведен</w:t>
      </w:r>
      <w:r w:rsidRPr="00DE4780">
        <w:rPr>
          <w:rFonts w:ascii="Times New Roman" w:hAnsi="Times New Roman" w:cs="Times New Roman"/>
          <w:sz w:val="24"/>
          <w:szCs w:val="24"/>
        </w:rPr>
        <w:t>ие</w:t>
      </w:r>
      <w:r w:rsidR="00AF1CAD" w:rsidRPr="00DE4780">
        <w:rPr>
          <w:rFonts w:ascii="Times New Roman" w:hAnsi="Times New Roman" w:cs="Times New Roman"/>
          <w:sz w:val="24"/>
          <w:szCs w:val="24"/>
        </w:rPr>
        <w:t xml:space="preserve"> более затратны</w:t>
      </w:r>
      <w:r w:rsidRPr="00DE4780">
        <w:rPr>
          <w:rFonts w:ascii="Times New Roman" w:hAnsi="Times New Roman" w:cs="Times New Roman"/>
          <w:sz w:val="24"/>
          <w:szCs w:val="24"/>
        </w:rPr>
        <w:t>х</w:t>
      </w:r>
      <w:r w:rsidR="00AF1CAD" w:rsidRPr="00DE4780">
        <w:rPr>
          <w:rFonts w:ascii="Times New Roman" w:hAnsi="Times New Roman" w:cs="Times New Roman"/>
          <w:sz w:val="24"/>
          <w:szCs w:val="24"/>
        </w:rPr>
        <w:t xml:space="preserve"> форм показов спектаклей (региональные гастроли)</w:t>
      </w:r>
      <w:r w:rsidRPr="00DE4780">
        <w:rPr>
          <w:rFonts w:ascii="Times New Roman" w:hAnsi="Times New Roman" w:cs="Times New Roman"/>
          <w:sz w:val="24"/>
          <w:szCs w:val="24"/>
        </w:rPr>
        <w:t xml:space="preserve"> в пределах объема субсидии из расчета показа спектаклей на выезде свидетельствует о</w:t>
      </w:r>
      <w:r w:rsidR="00AF1CAD" w:rsidRPr="00DE4780">
        <w:rPr>
          <w:rFonts w:ascii="Times New Roman" w:hAnsi="Times New Roman" w:cs="Times New Roman"/>
          <w:sz w:val="24"/>
          <w:szCs w:val="24"/>
        </w:rPr>
        <w:t xml:space="preserve"> завышени</w:t>
      </w:r>
      <w:r w:rsidR="00543978" w:rsidRPr="00DE4780">
        <w:rPr>
          <w:rFonts w:ascii="Times New Roman" w:hAnsi="Times New Roman" w:cs="Times New Roman"/>
          <w:sz w:val="24"/>
          <w:szCs w:val="24"/>
        </w:rPr>
        <w:t>и</w:t>
      </w:r>
      <w:r w:rsidR="00AF1CAD" w:rsidRPr="00DE4780">
        <w:rPr>
          <w:rFonts w:ascii="Times New Roman" w:hAnsi="Times New Roman" w:cs="Times New Roman"/>
          <w:sz w:val="24"/>
          <w:szCs w:val="24"/>
        </w:rPr>
        <w:t xml:space="preserve"> размера субсидии на выполнение государственной услуги «Показ спектаклей (театральных постановок)» </w:t>
      </w:r>
      <w:r w:rsidRPr="00DE4780">
        <w:rPr>
          <w:rFonts w:ascii="Times New Roman" w:hAnsi="Times New Roman" w:cs="Times New Roman"/>
          <w:sz w:val="24"/>
          <w:szCs w:val="24"/>
        </w:rPr>
        <w:t xml:space="preserve">как </w:t>
      </w:r>
      <w:r w:rsidR="00AF1CAD" w:rsidRPr="00DE4780">
        <w:rPr>
          <w:rFonts w:ascii="Times New Roman" w:hAnsi="Times New Roman" w:cs="Times New Roman"/>
          <w:sz w:val="24"/>
          <w:szCs w:val="24"/>
        </w:rPr>
        <w:t>на стационаре</w:t>
      </w:r>
      <w:r w:rsidRPr="00DE4780">
        <w:rPr>
          <w:rFonts w:ascii="Times New Roman" w:hAnsi="Times New Roman" w:cs="Times New Roman"/>
          <w:sz w:val="24"/>
          <w:szCs w:val="24"/>
        </w:rPr>
        <w:t>, так и на выезде</w:t>
      </w:r>
      <w:r w:rsidR="00AF1CAD" w:rsidRPr="00DE47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51D" w:rsidRPr="00DE4780" w:rsidRDefault="00370763" w:rsidP="00A2151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 xml:space="preserve">Кроме того, следует отметить, что </w:t>
      </w:r>
      <w:r w:rsidR="00EA3364" w:rsidRPr="00DE4780">
        <w:rPr>
          <w:rFonts w:ascii="Times New Roman" w:hAnsi="Times New Roman" w:cs="Times New Roman"/>
          <w:sz w:val="24"/>
          <w:szCs w:val="24"/>
        </w:rPr>
        <w:t xml:space="preserve">выполнение государственных заданий </w:t>
      </w:r>
      <w:r w:rsidR="00EA3364" w:rsidRPr="00DE4780">
        <w:rPr>
          <w:rFonts w:ascii="Times New Roman" w:hAnsi="Times New Roman" w:cs="Times New Roman"/>
          <w:sz w:val="24"/>
          <w:szCs w:val="24"/>
        </w:rPr>
        <w:lastRenderedPageBreak/>
        <w:t>учреждениями культуры, подведомственными Комитету</w:t>
      </w:r>
      <w:r w:rsidR="00CF195E" w:rsidRPr="00DE4780">
        <w:rPr>
          <w:rFonts w:ascii="Times New Roman" w:hAnsi="Times New Roman" w:cs="Times New Roman"/>
          <w:sz w:val="24"/>
          <w:szCs w:val="24"/>
        </w:rPr>
        <w:t>,</w:t>
      </w:r>
      <w:r w:rsidR="00EA3364" w:rsidRPr="00DE4780">
        <w:rPr>
          <w:rFonts w:ascii="Times New Roman" w:hAnsi="Times New Roman" w:cs="Times New Roman"/>
          <w:sz w:val="24"/>
          <w:szCs w:val="24"/>
        </w:rPr>
        <w:t xml:space="preserve"> осуществляется в рамках реализации мероприятий государственной программы Волгоградской области «Развитие культуры и туризма в Волгоградской области» на 2015 - 2020 год</w:t>
      </w:r>
      <w:r w:rsidR="00CF195E" w:rsidRPr="00DE4780">
        <w:rPr>
          <w:rFonts w:ascii="Times New Roman" w:hAnsi="Times New Roman" w:cs="Times New Roman"/>
          <w:sz w:val="24"/>
          <w:szCs w:val="24"/>
        </w:rPr>
        <w:t>ы, утвержденной постановлением А</w:t>
      </w:r>
      <w:r w:rsidR="00EA3364" w:rsidRPr="00DE4780">
        <w:rPr>
          <w:rFonts w:ascii="Times New Roman" w:hAnsi="Times New Roman" w:cs="Times New Roman"/>
          <w:sz w:val="24"/>
          <w:szCs w:val="24"/>
        </w:rPr>
        <w:t xml:space="preserve">дминистрации Волгоградской области от 08.05.2015 № 217-п (далее </w:t>
      </w:r>
      <w:r w:rsidR="00A2151D" w:rsidRPr="00DE4780">
        <w:rPr>
          <w:rFonts w:ascii="Times New Roman" w:hAnsi="Times New Roman" w:cs="Times New Roman"/>
          <w:sz w:val="24"/>
          <w:szCs w:val="24"/>
        </w:rPr>
        <w:t>Программа</w:t>
      </w:r>
      <w:r w:rsidR="00EA3364" w:rsidRPr="00DE4780">
        <w:rPr>
          <w:rFonts w:ascii="Times New Roman" w:hAnsi="Times New Roman" w:cs="Times New Roman"/>
          <w:sz w:val="24"/>
          <w:szCs w:val="24"/>
        </w:rPr>
        <w:t>).</w:t>
      </w:r>
      <w:r w:rsidR="00A2151D" w:rsidRPr="00DE4780">
        <w:rPr>
          <w:rFonts w:ascii="Times New Roman" w:hAnsi="Times New Roman" w:cs="Times New Roman"/>
          <w:sz w:val="24"/>
          <w:szCs w:val="24"/>
        </w:rPr>
        <w:t xml:space="preserve"> В соответствии с разделом 3 Программы целевые показатели формируются на основании данных форм федерального статистического наблюдения, в том числе №</w:t>
      </w:r>
      <w:r w:rsidR="004805F5" w:rsidRPr="00DE4780">
        <w:rPr>
          <w:rFonts w:ascii="Times New Roman" w:hAnsi="Times New Roman" w:cs="Times New Roman"/>
          <w:sz w:val="24"/>
          <w:szCs w:val="24"/>
        </w:rPr>
        <w:t> </w:t>
      </w:r>
      <w:hyperlink r:id="rId12" w:history="1">
        <w:r w:rsidR="00A2151D" w:rsidRPr="00DE4780">
          <w:rPr>
            <w:rFonts w:ascii="Times New Roman" w:hAnsi="Times New Roman" w:cs="Times New Roman"/>
            <w:sz w:val="24"/>
            <w:szCs w:val="24"/>
          </w:rPr>
          <w:t>9-НК</w:t>
        </w:r>
      </w:hyperlink>
      <w:r w:rsidR="00A2151D" w:rsidRPr="00DE4780">
        <w:rPr>
          <w:rFonts w:ascii="Times New Roman" w:hAnsi="Times New Roman" w:cs="Times New Roman"/>
          <w:sz w:val="24"/>
          <w:szCs w:val="24"/>
        </w:rPr>
        <w:t xml:space="preserve"> «Сведения о деятельности театра»</w:t>
      </w:r>
      <w:r w:rsidR="00CF195E" w:rsidRPr="00DE4780">
        <w:rPr>
          <w:rFonts w:ascii="Times New Roman" w:hAnsi="Times New Roman" w:cs="Times New Roman"/>
          <w:sz w:val="24"/>
          <w:szCs w:val="24"/>
        </w:rPr>
        <w:t>.</w:t>
      </w:r>
      <w:r w:rsidR="00A2151D" w:rsidRPr="00DE4780">
        <w:rPr>
          <w:rFonts w:ascii="Times New Roman" w:hAnsi="Times New Roman" w:cs="Times New Roman"/>
          <w:sz w:val="24"/>
          <w:szCs w:val="24"/>
        </w:rPr>
        <w:t xml:space="preserve"> </w:t>
      </w:r>
      <w:r w:rsidR="00CF195E" w:rsidRPr="00DE4780">
        <w:rPr>
          <w:rFonts w:ascii="Times New Roman" w:hAnsi="Times New Roman" w:cs="Times New Roman"/>
          <w:sz w:val="24"/>
          <w:szCs w:val="24"/>
        </w:rPr>
        <w:t>С</w:t>
      </w:r>
      <w:r w:rsidR="00A2151D" w:rsidRPr="00DE4780">
        <w:rPr>
          <w:rFonts w:ascii="Times New Roman" w:hAnsi="Times New Roman" w:cs="Times New Roman"/>
          <w:sz w:val="24"/>
          <w:szCs w:val="24"/>
        </w:rPr>
        <w:t>ледовательно, отчет о выполнении государственного задания театра также должен формироваться на основании указанной формы.</w:t>
      </w:r>
    </w:p>
    <w:p w:rsidR="00A2151D" w:rsidRPr="00DE4780" w:rsidRDefault="00A2151D" w:rsidP="00A2151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>Как уже указывалось</w:t>
      </w:r>
      <w:r w:rsidR="00CF195E" w:rsidRPr="00DE4780">
        <w:rPr>
          <w:rFonts w:ascii="Times New Roman" w:hAnsi="Times New Roman" w:cs="Times New Roman"/>
          <w:sz w:val="24"/>
          <w:szCs w:val="24"/>
        </w:rPr>
        <w:t>,</w:t>
      </w:r>
      <w:r w:rsidRPr="00DE4780">
        <w:rPr>
          <w:rFonts w:ascii="Times New Roman" w:hAnsi="Times New Roman" w:cs="Times New Roman"/>
          <w:sz w:val="24"/>
          <w:szCs w:val="24"/>
        </w:rPr>
        <w:t xml:space="preserve"> в форме федерального статистического наблюдения №</w:t>
      </w:r>
      <w:hyperlink r:id="rId13" w:history="1">
        <w:r w:rsidRPr="00DE4780">
          <w:rPr>
            <w:rFonts w:ascii="Times New Roman" w:hAnsi="Times New Roman" w:cs="Times New Roman"/>
            <w:sz w:val="24"/>
            <w:szCs w:val="24"/>
          </w:rPr>
          <w:t>9-НК</w:t>
        </w:r>
      </w:hyperlink>
      <w:r w:rsidRPr="00DE4780">
        <w:rPr>
          <w:rFonts w:ascii="Times New Roman" w:hAnsi="Times New Roman" w:cs="Times New Roman"/>
          <w:sz w:val="24"/>
          <w:szCs w:val="24"/>
        </w:rPr>
        <w:t xml:space="preserve"> «Сведения о деятельности театра» ТЮЗ отражены спектакли, как на выезде, так и на гастролях, однако Комитет при приемке отчета о выполнении государственного задания не учитывал данные статистики, что свидетельствует о формальном приеме отчета и формировании целевых показателей </w:t>
      </w:r>
      <w:r w:rsidR="00E10475" w:rsidRPr="00DE4780">
        <w:rPr>
          <w:rFonts w:ascii="Times New Roman" w:hAnsi="Times New Roman" w:cs="Times New Roman"/>
          <w:sz w:val="24"/>
          <w:szCs w:val="24"/>
        </w:rPr>
        <w:t>Комитетом.</w:t>
      </w:r>
    </w:p>
    <w:p w:rsidR="00370763" w:rsidRPr="00DE4780" w:rsidRDefault="00370763" w:rsidP="00D65F45">
      <w:pPr>
        <w:pStyle w:val="af4"/>
        <w:spacing w:before="120" w:after="0"/>
        <w:ind w:left="0" w:firstLine="720"/>
        <w:jc w:val="center"/>
        <w:rPr>
          <w:i/>
        </w:rPr>
      </w:pPr>
      <w:r w:rsidRPr="00DE4780">
        <w:rPr>
          <w:i/>
        </w:rPr>
        <w:t xml:space="preserve">Государственная работа </w:t>
      </w:r>
      <w:r w:rsidRPr="00DE4780">
        <w:rPr>
          <w:b/>
          <w:i/>
        </w:rPr>
        <w:t>«</w:t>
      </w:r>
      <w:r w:rsidRPr="00DE4780">
        <w:rPr>
          <w:i/>
        </w:rPr>
        <w:t>Создание спектаклей» большая форма (многонаселенная пьеса, из двух и более актов).</w:t>
      </w:r>
    </w:p>
    <w:p w:rsidR="006D69E6" w:rsidRPr="00DE4780" w:rsidRDefault="006D69E6" w:rsidP="00D65F45">
      <w:pPr>
        <w:pStyle w:val="af4"/>
        <w:spacing w:after="0"/>
        <w:ind w:left="0" w:firstLine="720"/>
        <w:jc w:val="both"/>
      </w:pPr>
      <w:r w:rsidRPr="00DE4780">
        <w:t xml:space="preserve">Информация о выполнении учреждением государственного задания по государственной </w:t>
      </w:r>
      <w:r w:rsidR="00CF195E" w:rsidRPr="00DE4780">
        <w:t>работ</w:t>
      </w:r>
      <w:r w:rsidRPr="00DE4780">
        <w:t xml:space="preserve">е приведена в </w:t>
      </w:r>
      <w:r w:rsidRPr="00DE4780">
        <w:rPr>
          <w:color w:val="0000CC"/>
        </w:rPr>
        <w:t>таблице № </w:t>
      </w:r>
      <w:r w:rsidR="00A36211" w:rsidRPr="00DE4780">
        <w:rPr>
          <w:color w:val="0000CC"/>
        </w:rPr>
        <w:t>3</w:t>
      </w:r>
      <w:r w:rsidRPr="00DE4780">
        <w:t>.</w:t>
      </w:r>
    </w:p>
    <w:p w:rsidR="006D69E6" w:rsidRPr="00DE4780" w:rsidRDefault="00A36211" w:rsidP="006D69E6">
      <w:pPr>
        <w:pStyle w:val="af4"/>
        <w:spacing w:after="0"/>
        <w:ind w:left="0" w:firstLine="720"/>
        <w:jc w:val="right"/>
        <w:rPr>
          <w:color w:val="0000CC"/>
        </w:rPr>
      </w:pPr>
      <w:r w:rsidRPr="00DE4780">
        <w:rPr>
          <w:color w:val="0000CC"/>
        </w:rPr>
        <w:t>Таблица № 3</w:t>
      </w:r>
    </w:p>
    <w:tbl>
      <w:tblPr>
        <w:tblW w:w="10155" w:type="dxa"/>
        <w:tblInd w:w="93" w:type="dxa"/>
        <w:tblLayout w:type="fixed"/>
        <w:tblLook w:val="04A0"/>
      </w:tblPr>
      <w:tblGrid>
        <w:gridCol w:w="384"/>
        <w:gridCol w:w="1894"/>
        <w:gridCol w:w="693"/>
        <w:gridCol w:w="16"/>
        <w:gridCol w:w="852"/>
        <w:gridCol w:w="1682"/>
        <w:gridCol w:w="2223"/>
        <w:gridCol w:w="63"/>
        <w:gridCol w:w="708"/>
        <w:gridCol w:w="851"/>
        <w:gridCol w:w="789"/>
      </w:tblGrid>
      <w:tr w:rsidR="00B621E1" w:rsidRPr="00DE4780" w:rsidTr="001A1A47">
        <w:trPr>
          <w:trHeight w:val="480"/>
          <w:tblHeader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1E1" w:rsidRPr="00DE4780" w:rsidRDefault="00B621E1" w:rsidP="00DF6E95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1E1" w:rsidRPr="00DE4780" w:rsidRDefault="00B621E1" w:rsidP="00DF6E95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жанр</w:t>
            </w: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1E1" w:rsidRPr="00DE4780" w:rsidRDefault="00B621E1" w:rsidP="001A1A47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 xml:space="preserve">объем </w:t>
            </w:r>
            <w:proofErr w:type="spellStart"/>
            <w:r w:rsidRPr="00DE4780">
              <w:rPr>
                <w:color w:val="000000"/>
                <w:sz w:val="18"/>
                <w:szCs w:val="18"/>
              </w:rPr>
              <w:t>гос</w:t>
            </w:r>
            <w:r w:rsidR="001A1A47" w:rsidRPr="00DE4780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="001A1A47" w:rsidRPr="00DE4780">
              <w:rPr>
                <w:color w:val="000000"/>
                <w:sz w:val="18"/>
                <w:szCs w:val="18"/>
              </w:rPr>
              <w:t>, число спектаклей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1E1" w:rsidRPr="00DE4780" w:rsidRDefault="00B621E1" w:rsidP="00DF6E95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показатель качества</w:t>
            </w:r>
          </w:p>
        </w:tc>
      </w:tr>
      <w:tr w:rsidR="00B621E1" w:rsidRPr="00DE4780" w:rsidTr="001A1A47">
        <w:trPr>
          <w:trHeight w:val="71"/>
          <w:tblHeader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1E1" w:rsidRPr="00DE4780" w:rsidRDefault="00B621E1" w:rsidP="00DF6E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E1" w:rsidRPr="00DE4780" w:rsidRDefault="00B621E1" w:rsidP="00DF6E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1E1" w:rsidRPr="00DE4780" w:rsidRDefault="00B621E1" w:rsidP="00DF6E95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1E1" w:rsidRPr="00DE4780" w:rsidRDefault="00B621E1" w:rsidP="00DF6E95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отчет*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1E1" w:rsidRPr="00DE4780" w:rsidRDefault="00B621E1" w:rsidP="00DF6E95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факт**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1E1" w:rsidRPr="00DE4780" w:rsidRDefault="00B621E1" w:rsidP="00DF6E95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1E1" w:rsidRPr="00DE4780" w:rsidRDefault="00B621E1" w:rsidP="00DF6E95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 xml:space="preserve">план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1E1" w:rsidRPr="00DE4780" w:rsidRDefault="00B621E1" w:rsidP="00DF6E95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отчет*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1E1" w:rsidRPr="00DE4780" w:rsidRDefault="00B621E1" w:rsidP="00DF6E95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факт**</w:t>
            </w:r>
          </w:p>
        </w:tc>
      </w:tr>
      <w:tr w:rsidR="00543A8C" w:rsidRPr="00DE4780" w:rsidTr="00543A8C">
        <w:trPr>
          <w:trHeight w:val="276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A8C" w:rsidRPr="00DE4780" w:rsidRDefault="00543A8C" w:rsidP="00543A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3A8C" w:rsidRPr="00DE4780" w:rsidRDefault="00543A8C" w:rsidP="006D69E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E4780">
              <w:rPr>
                <w:color w:val="000000"/>
                <w:sz w:val="18"/>
                <w:szCs w:val="18"/>
              </w:rPr>
              <w:t>Госработа</w:t>
            </w:r>
            <w:proofErr w:type="spellEnd"/>
            <w:r w:rsidRPr="00DE4780">
              <w:rPr>
                <w:color w:val="000000"/>
                <w:sz w:val="18"/>
                <w:szCs w:val="18"/>
              </w:rPr>
              <w:t xml:space="preserve"> «Создание спектаклей», количество спектаклей (большая, многонаселенная пьеса из 2-х и более актов)</w:t>
            </w:r>
          </w:p>
        </w:tc>
      </w:tr>
      <w:tr w:rsidR="006D69E6" w:rsidRPr="00DE4780" w:rsidTr="00CC203D">
        <w:trPr>
          <w:trHeight w:val="126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E6" w:rsidRPr="00DE4780" w:rsidRDefault="006D69E6" w:rsidP="006D69E6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E6" w:rsidRPr="00DE4780" w:rsidRDefault="006D69E6" w:rsidP="006D69E6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Драма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E6" w:rsidRPr="00DE4780" w:rsidRDefault="006D69E6" w:rsidP="006D69E6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E6" w:rsidRPr="00DE4780" w:rsidRDefault="006D69E6" w:rsidP="006D69E6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E6" w:rsidRPr="00DE4780" w:rsidRDefault="006D69E6" w:rsidP="006D69E6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E6" w:rsidRPr="00DE4780" w:rsidRDefault="006D69E6" w:rsidP="00131B96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доля новых (капитально возобновленных) постановок художественных продуктов (1) в текущем репертуаре (</w:t>
            </w:r>
            <w:r w:rsidR="00131B96" w:rsidRPr="00DE4780">
              <w:rPr>
                <w:color w:val="000000"/>
                <w:sz w:val="18"/>
                <w:szCs w:val="18"/>
              </w:rPr>
              <w:t xml:space="preserve">план 9 </w:t>
            </w:r>
            <w:r w:rsidRPr="00DE4780">
              <w:rPr>
                <w:color w:val="000000"/>
                <w:sz w:val="18"/>
                <w:szCs w:val="18"/>
              </w:rPr>
              <w:t>/ факт 13</w:t>
            </w:r>
            <w:r w:rsidR="00131B96" w:rsidRPr="00DE478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E6" w:rsidRPr="00DE4780" w:rsidRDefault="006D69E6" w:rsidP="006D69E6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E6" w:rsidRPr="00DE4780" w:rsidRDefault="006D69E6" w:rsidP="006D69E6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11,1%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E6" w:rsidRPr="00DE4780" w:rsidRDefault="006D69E6" w:rsidP="006D69E6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7,7%</w:t>
            </w:r>
          </w:p>
        </w:tc>
      </w:tr>
      <w:tr w:rsidR="006D69E6" w:rsidRPr="00DE4780" w:rsidTr="00543A8C">
        <w:trPr>
          <w:trHeight w:val="83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E6" w:rsidRPr="00DE4780" w:rsidRDefault="006D69E6" w:rsidP="006D69E6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E6" w:rsidRPr="00DE4780" w:rsidRDefault="006D69E6" w:rsidP="006D69E6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Музыкальная комедия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E6" w:rsidRPr="00DE4780" w:rsidRDefault="006D69E6" w:rsidP="006D69E6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E6" w:rsidRPr="00DE4780" w:rsidRDefault="006D69E6" w:rsidP="006D69E6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E6" w:rsidRPr="00DE4780" w:rsidRDefault="006D69E6" w:rsidP="006D69E6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E6" w:rsidRPr="00DE4780" w:rsidRDefault="006D69E6" w:rsidP="006D69E6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доля новых и возобновляемых программ и представлений (1) в текущем репертуаре (</w:t>
            </w:r>
            <w:r w:rsidR="00131B96" w:rsidRPr="00DE4780">
              <w:rPr>
                <w:color w:val="000000"/>
                <w:sz w:val="18"/>
                <w:szCs w:val="18"/>
              </w:rPr>
              <w:t>план 20/факт</w:t>
            </w:r>
            <w:r w:rsidRPr="00DE4780">
              <w:rPr>
                <w:color w:val="000000"/>
                <w:sz w:val="18"/>
                <w:szCs w:val="18"/>
              </w:rPr>
              <w:t>18)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E6" w:rsidRPr="00DE4780" w:rsidRDefault="006D69E6" w:rsidP="006D69E6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E6" w:rsidRPr="00DE4780" w:rsidRDefault="006D69E6" w:rsidP="006D69E6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5,6%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E6" w:rsidRPr="00DE4780" w:rsidRDefault="006D69E6" w:rsidP="006D69E6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5,6%</w:t>
            </w:r>
          </w:p>
        </w:tc>
      </w:tr>
    </w:tbl>
    <w:p w:rsidR="006D69E6" w:rsidRPr="00DE4780" w:rsidRDefault="006D69E6" w:rsidP="00B37500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DE4780">
        <w:rPr>
          <w:rFonts w:eastAsia="Calibri"/>
          <w:i/>
          <w:sz w:val="20"/>
          <w:szCs w:val="20"/>
          <w:lang w:eastAsia="en-US"/>
        </w:rPr>
        <w:t>*- данные отчета Театра, представленные в Комитет, ** - фактические данные, установленные в ходе проверки Театра.</w:t>
      </w:r>
    </w:p>
    <w:p w:rsidR="000E7E2B" w:rsidRPr="00DE4780" w:rsidRDefault="00722B74" w:rsidP="00B37500">
      <w:pPr>
        <w:ind w:firstLine="709"/>
        <w:jc w:val="both"/>
      </w:pPr>
      <w:r w:rsidRPr="00DE4780">
        <w:rPr>
          <w:rFonts w:eastAsia="Calibri"/>
          <w:lang w:eastAsia="en-US"/>
        </w:rPr>
        <w:t xml:space="preserve">В рамках выполнения государственного задания </w:t>
      </w:r>
      <w:r w:rsidRPr="00DE4780">
        <w:t>ТЮЗ в 2016 году создано два спектакля: «Как выдать маму замуж» и «В поисках волшебства», спектакли поставлены в марте и декабре 2016 года соответственно.</w:t>
      </w:r>
      <w:r w:rsidR="003F0ED1" w:rsidRPr="00DE4780">
        <w:t xml:space="preserve"> </w:t>
      </w:r>
      <w:r w:rsidR="00B16329" w:rsidRPr="00DE4780">
        <w:t>С</w:t>
      </w:r>
      <w:r w:rsidRPr="00DE4780">
        <w:t xml:space="preserve">верх государственного задания </w:t>
      </w:r>
      <w:r w:rsidR="00D17240" w:rsidRPr="00DE4780">
        <w:t xml:space="preserve">учреждением в октябре 2016 года поставлен </w:t>
      </w:r>
      <w:r w:rsidRPr="00DE4780">
        <w:t>спектакль: «Упоенный, счастливый, падаю перед нею на колени!» за счет гранта Губернатора Волгоградской о</w:t>
      </w:r>
      <w:r w:rsidR="00D17240" w:rsidRPr="00DE4780">
        <w:t>бласти (отражено далее)</w:t>
      </w:r>
      <w:r w:rsidRPr="00DE4780">
        <w:t>.</w:t>
      </w:r>
    </w:p>
    <w:p w:rsidR="00B16D5A" w:rsidRPr="00DE4780" w:rsidRDefault="00370763" w:rsidP="000E7E2B">
      <w:pPr>
        <w:ind w:firstLine="709"/>
        <w:jc w:val="both"/>
      </w:pPr>
      <w:r w:rsidRPr="00DE4780">
        <w:t xml:space="preserve">С учетом </w:t>
      </w:r>
      <w:r w:rsidR="00D65F45" w:rsidRPr="00DE4780">
        <w:t xml:space="preserve">фактического </w:t>
      </w:r>
      <w:r w:rsidRPr="00DE4780">
        <w:t>репертуара Театра з</w:t>
      </w:r>
      <w:r w:rsidR="00EB600D" w:rsidRPr="00DE4780">
        <w:t>начение показателя качества «доля новых (капитально возобновленных) постановок</w:t>
      </w:r>
      <w:r w:rsidRPr="00DE4780">
        <w:t>»</w:t>
      </w:r>
      <w:r w:rsidR="00EB600D" w:rsidRPr="00DE4780">
        <w:t xml:space="preserve"> </w:t>
      </w:r>
      <w:r w:rsidRPr="00DE4780">
        <w:t xml:space="preserve">по жанру «драма» </w:t>
      </w:r>
      <w:r w:rsidR="00EB600D" w:rsidRPr="00DE4780">
        <w:t xml:space="preserve">художественных продуктов в текущем репертуаре» </w:t>
      </w:r>
      <w:r w:rsidRPr="00DE4780">
        <w:t>Театром не достигнуто, составило всего 7</w:t>
      </w:r>
      <w:r w:rsidR="005B0298" w:rsidRPr="00DE4780">
        <w:t>,7 </w:t>
      </w:r>
      <w:r w:rsidRPr="00DE4780">
        <w:t>% (</w:t>
      </w:r>
      <w:r w:rsidR="00D65F45" w:rsidRPr="00DE4780">
        <w:t xml:space="preserve">1 новый спектакль от 13 в репертуаре </w:t>
      </w:r>
      <w:r w:rsidRPr="00DE4780">
        <w:t>при плане</w:t>
      </w:r>
      <w:r w:rsidR="00EB600D" w:rsidRPr="00DE4780">
        <w:t xml:space="preserve"> </w:t>
      </w:r>
      <w:r w:rsidR="00176889" w:rsidRPr="00DE4780">
        <w:t>9</w:t>
      </w:r>
      <w:r w:rsidR="00D65F45" w:rsidRPr="00DE4780">
        <w:t xml:space="preserve"> спектаклей</w:t>
      </w:r>
      <w:r w:rsidRPr="00DE4780">
        <w:t>).</w:t>
      </w:r>
      <w:r w:rsidR="007F5D7F" w:rsidRPr="00DE4780">
        <w:t xml:space="preserve"> </w:t>
      </w:r>
      <w:r w:rsidR="00E10475" w:rsidRPr="00DE4780">
        <w:t>В приложении к форме федерального статистического наблюдения №</w:t>
      </w:r>
      <w:hyperlink r:id="rId14" w:history="1">
        <w:r w:rsidR="00E10475" w:rsidRPr="00DE4780">
          <w:t>9-НК</w:t>
        </w:r>
      </w:hyperlink>
      <w:r w:rsidR="00E10475" w:rsidRPr="00DE4780">
        <w:t xml:space="preserve"> «Сведе</w:t>
      </w:r>
      <w:r w:rsidR="00CF195E" w:rsidRPr="00DE4780">
        <w:t>ния о деятельности театра» ТЮЗ</w:t>
      </w:r>
      <w:r w:rsidR="00E10475" w:rsidRPr="00DE4780">
        <w:t xml:space="preserve"> указ</w:t>
      </w:r>
      <w:r w:rsidR="007F5D7F" w:rsidRPr="00DE4780">
        <w:t>ан</w:t>
      </w:r>
      <w:r w:rsidR="00E10475" w:rsidRPr="00DE4780">
        <w:t xml:space="preserve"> весь репертуар Театра</w:t>
      </w:r>
      <w:r w:rsidR="00CF195E" w:rsidRPr="00DE4780">
        <w:t>. С</w:t>
      </w:r>
      <w:r w:rsidR="00E10475" w:rsidRPr="00DE4780">
        <w:t>оответственно Комитет имел возможность проверить выполнени</w:t>
      </w:r>
      <w:r w:rsidR="00562868" w:rsidRPr="00DE4780">
        <w:t xml:space="preserve">е </w:t>
      </w:r>
      <w:r w:rsidR="00E10475" w:rsidRPr="00DE4780">
        <w:t>показателя к</w:t>
      </w:r>
      <w:r w:rsidR="00021C0B" w:rsidRPr="00DE4780">
        <w:t>ачества, что также свидетельствует о формальном подходе Комитета к утверждению государственного задания учреждения и контролю за его исполнением.</w:t>
      </w:r>
    </w:p>
    <w:p w:rsidR="00B16D5A" w:rsidRPr="00DE4780" w:rsidRDefault="00B16D5A" w:rsidP="00B16D5A">
      <w:pPr>
        <w:ind w:firstLine="709"/>
        <w:jc w:val="both"/>
      </w:pPr>
      <w:r w:rsidRPr="00DE4780">
        <w:t xml:space="preserve">Кроме того, </w:t>
      </w:r>
      <w:r w:rsidR="00C07B75" w:rsidRPr="00DE4780">
        <w:t xml:space="preserve">прокат большего количества спектаклей в репертуаре Театра напрямую влияет </w:t>
      </w:r>
      <w:r w:rsidRPr="00DE4780">
        <w:t>на</w:t>
      </w:r>
      <w:r w:rsidR="00C07B75" w:rsidRPr="00DE4780">
        <w:t xml:space="preserve"> количество </w:t>
      </w:r>
      <w:r w:rsidRPr="00DE4780">
        <w:t xml:space="preserve">привлекаемых </w:t>
      </w:r>
      <w:r w:rsidR="00C07B75" w:rsidRPr="00DE4780">
        <w:t>зрителей</w:t>
      </w:r>
      <w:r w:rsidRPr="00DE4780">
        <w:t>, что должно привести к увеличению</w:t>
      </w:r>
      <w:r w:rsidR="00C07B75" w:rsidRPr="00DE4780">
        <w:t xml:space="preserve"> </w:t>
      </w:r>
      <w:proofErr w:type="spellStart"/>
      <w:r w:rsidR="00C07B75" w:rsidRPr="00DE4780">
        <w:t>заполняемост</w:t>
      </w:r>
      <w:r w:rsidRPr="00DE4780">
        <w:t>и</w:t>
      </w:r>
      <w:proofErr w:type="spellEnd"/>
      <w:r w:rsidRPr="00DE4780">
        <w:t xml:space="preserve"> зала и формировани</w:t>
      </w:r>
      <w:r w:rsidR="00192F5E" w:rsidRPr="00DE4780">
        <w:t>ю</w:t>
      </w:r>
      <w:r w:rsidRPr="00DE4780">
        <w:t xml:space="preserve"> качественных показателей государственного задания. Однако отчет о выполнении государственного задания был</w:t>
      </w:r>
      <w:r w:rsidR="00CF195E" w:rsidRPr="00DE4780">
        <w:t xml:space="preserve"> принят с недостоверным данными.</w:t>
      </w:r>
    </w:p>
    <w:p w:rsidR="009A450B" w:rsidRPr="00DE4780" w:rsidRDefault="004E15AE" w:rsidP="00D65F45">
      <w:pPr>
        <w:spacing w:before="120"/>
        <w:ind w:firstLine="709"/>
        <w:jc w:val="center"/>
        <w:rPr>
          <w:i/>
        </w:rPr>
      </w:pPr>
      <w:r w:rsidRPr="00DE4780">
        <w:rPr>
          <w:i/>
        </w:rPr>
        <w:t xml:space="preserve">2.2 </w:t>
      </w:r>
      <w:r w:rsidR="009A450B" w:rsidRPr="00DE4780">
        <w:rPr>
          <w:i/>
        </w:rPr>
        <w:t>Нормативные затраты</w:t>
      </w:r>
    </w:p>
    <w:p w:rsidR="009A450B" w:rsidRPr="00DE4780" w:rsidRDefault="009A450B" w:rsidP="009A450B">
      <w:pPr>
        <w:ind w:firstLine="709"/>
        <w:jc w:val="both"/>
        <w:rPr>
          <w:rFonts w:eastAsia="Calibri"/>
        </w:rPr>
      </w:pPr>
      <w:r w:rsidRPr="00DE4780">
        <w:rPr>
          <w:rFonts w:eastAsia="Calibri"/>
        </w:rPr>
        <w:t xml:space="preserve">Анализ базовых нормативов, утвержденных Комитетом на выполнение государственной услуги «Показ спектаклей (театральных постановок)» в виде драматической многонаселенной пьесы, из двух и более актов (большая форма) </w:t>
      </w:r>
      <w:r w:rsidRPr="00DE4780">
        <w:rPr>
          <w:rFonts w:eastAsia="Calibri"/>
          <w:u w:val="single"/>
        </w:rPr>
        <w:t>на стационаре</w:t>
      </w:r>
      <w:r w:rsidRPr="00DE4780">
        <w:rPr>
          <w:rFonts w:eastAsia="Calibri"/>
        </w:rPr>
        <w:t xml:space="preserve"> и </w:t>
      </w:r>
      <w:r w:rsidRPr="00DE4780">
        <w:rPr>
          <w:rFonts w:eastAsia="Calibri"/>
        </w:rPr>
        <w:lastRenderedPageBreak/>
        <w:t>аналогичных базовых нормативов, применяемых в Самарской области, Краснодарском крае, Республике Татарстан, показал, что в Волгоградской области нормативы финансового обеспечения установлены в размере, превышающем</w:t>
      </w:r>
      <w:r w:rsidR="00CF195E" w:rsidRPr="00DE4780">
        <w:rPr>
          <w:rFonts w:eastAsia="Calibri"/>
        </w:rPr>
        <w:t xml:space="preserve"> нормативы упомянутых регионов (</w:t>
      </w:r>
      <w:r w:rsidRPr="00DE4780">
        <w:rPr>
          <w:rFonts w:eastAsia="Calibri"/>
          <w:color w:val="0000CC"/>
        </w:rPr>
        <w:t>таблиц</w:t>
      </w:r>
      <w:r w:rsidR="00CF195E" w:rsidRPr="00DE4780">
        <w:rPr>
          <w:rFonts w:eastAsia="Calibri"/>
          <w:color w:val="0000CC"/>
        </w:rPr>
        <w:t>а</w:t>
      </w:r>
      <w:r w:rsidRPr="00DE4780">
        <w:rPr>
          <w:rFonts w:eastAsia="Calibri"/>
        </w:rPr>
        <w:t xml:space="preserve"> №</w:t>
      </w:r>
      <w:r w:rsidR="006D69E6" w:rsidRPr="00DE4780">
        <w:rPr>
          <w:rFonts w:eastAsia="Calibri"/>
        </w:rPr>
        <w:t> </w:t>
      </w:r>
      <w:r w:rsidR="00A36211" w:rsidRPr="00DE4780">
        <w:rPr>
          <w:rFonts w:eastAsia="Calibri"/>
        </w:rPr>
        <w:t>4</w:t>
      </w:r>
      <w:r w:rsidR="00CF195E" w:rsidRPr="00DE4780">
        <w:rPr>
          <w:rFonts w:eastAsia="Calibri"/>
        </w:rPr>
        <w:t>)</w:t>
      </w:r>
      <w:r w:rsidRPr="00DE4780">
        <w:rPr>
          <w:rFonts w:eastAsia="Calibri"/>
        </w:rPr>
        <w:t>. При условии применения базового норматива, установленного, например, Самарской областью, объем субсидии ТЮЗ с учетом количественного показателя (16 330 зрителей) только по жанру «драма» (стационар) был бы меньше на 2 202,4 тыс. руб. (16 330*(666,4-465,1)*0,67), что примерно соответствует выявленн</w:t>
      </w:r>
      <w:r w:rsidR="00543978" w:rsidRPr="00DE4780">
        <w:rPr>
          <w:rFonts w:eastAsia="Calibri"/>
        </w:rPr>
        <w:t>ому</w:t>
      </w:r>
      <w:r w:rsidRPr="00DE4780">
        <w:rPr>
          <w:rFonts w:eastAsia="Calibri"/>
        </w:rPr>
        <w:t xml:space="preserve"> </w:t>
      </w:r>
      <w:r w:rsidR="00543978" w:rsidRPr="00DE4780">
        <w:rPr>
          <w:rFonts w:eastAsia="Calibri"/>
        </w:rPr>
        <w:t>КСП размеру завышения объема финансового обеспечения Театра по показу спектаклей в стационаре</w:t>
      </w:r>
      <w:r w:rsidRPr="00DE4780">
        <w:rPr>
          <w:rFonts w:eastAsia="Calibri"/>
        </w:rPr>
        <w:t>.</w:t>
      </w:r>
    </w:p>
    <w:p w:rsidR="009A450B" w:rsidRPr="00DE4780" w:rsidRDefault="009A450B" w:rsidP="009A450B">
      <w:pPr>
        <w:ind w:firstLine="709"/>
        <w:jc w:val="right"/>
        <w:rPr>
          <w:rFonts w:eastAsia="Calibri"/>
          <w:color w:val="0000CC"/>
        </w:rPr>
      </w:pPr>
      <w:r w:rsidRPr="00DE4780">
        <w:rPr>
          <w:rFonts w:eastAsia="Calibri"/>
          <w:color w:val="0000CC"/>
        </w:rPr>
        <w:t>Таблица №</w:t>
      </w:r>
      <w:r w:rsidR="00543978" w:rsidRPr="00DE4780">
        <w:rPr>
          <w:rFonts w:eastAsia="Calibri"/>
          <w:color w:val="0000CC"/>
        </w:rPr>
        <w:t> </w:t>
      </w:r>
      <w:r w:rsidR="00A36211" w:rsidRPr="00DE4780">
        <w:rPr>
          <w:rFonts w:eastAsia="Calibri"/>
          <w:color w:val="0000CC"/>
        </w:rPr>
        <w:t>4</w:t>
      </w:r>
    </w:p>
    <w:tbl>
      <w:tblPr>
        <w:tblW w:w="10075" w:type="dxa"/>
        <w:tblInd w:w="98" w:type="dxa"/>
        <w:tblLook w:val="04A0"/>
      </w:tblPr>
      <w:tblGrid>
        <w:gridCol w:w="486"/>
        <w:gridCol w:w="3919"/>
        <w:gridCol w:w="1417"/>
        <w:gridCol w:w="1418"/>
        <w:gridCol w:w="1559"/>
        <w:gridCol w:w="1276"/>
      </w:tblGrid>
      <w:tr w:rsidR="009A450B" w:rsidRPr="00DE4780" w:rsidTr="00BE22EE">
        <w:trPr>
          <w:trHeight w:val="269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0B" w:rsidRPr="00DE4780" w:rsidRDefault="009A450B" w:rsidP="00BE22EE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DE4780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E4780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DE4780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0B" w:rsidRPr="00DE4780" w:rsidRDefault="009A450B" w:rsidP="00BE22EE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Наименование государственной услуги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450B" w:rsidRPr="00DE4780" w:rsidRDefault="009A450B" w:rsidP="00BE22EE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Базовый норматив затрат на оказание единицы услуги, руб. на 1 зрителя</w:t>
            </w:r>
          </w:p>
        </w:tc>
      </w:tr>
      <w:tr w:rsidR="009A450B" w:rsidRPr="00DE4780" w:rsidTr="00BE22EE">
        <w:trPr>
          <w:trHeight w:val="30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DE4780" w:rsidRDefault="009A450B" w:rsidP="00BE22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DE4780" w:rsidRDefault="009A450B" w:rsidP="00BE22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0B" w:rsidRPr="00DE4780" w:rsidRDefault="009A450B" w:rsidP="00BE22EE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Волгоградская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0B" w:rsidRPr="00DE4780" w:rsidRDefault="009A450B" w:rsidP="00BE22EE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0B" w:rsidRPr="00DE4780" w:rsidRDefault="009A450B" w:rsidP="00BE22EE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0B" w:rsidRPr="00DE4780" w:rsidRDefault="009A450B" w:rsidP="00BE22EE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</w:tr>
      <w:tr w:rsidR="009A450B" w:rsidRPr="00DE4780" w:rsidTr="00BE22EE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0B" w:rsidRPr="00DE4780" w:rsidRDefault="009A450B" w:rsidP="00BE22EE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0B" w:rsidRPr="00DE4780" w:rsidRDefault="009A450B" w:rsidP="00BE22E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E4780">
              <w:rPr>
                <w:i/>
                <w:iCs/>
                <w:color w:val="000000"/>
                <w:sz w:val="18"/>
                <w:szCs w:val="18"/>
              </w:rPr>
              <w:t>«</w:t>
            </w:r>
            <w:r w:rsidRPr="00DE4780">
              <w:rPr>
                <w:color w:val="000000"/>
                <w:sz w:val="18"/>
                <w:szCs w:val="18"/>
              </w:rPr>
              <w:t>Показ спектаклей (театральных постановок)» в виде драматической многонаселенной пьесы, из двух и более актов (большая форма) на стационаре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0B" w:rsidRPr="00DE4780" w:rsidRDefault="009A450B" w:rsidP="00BE22EE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666,4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0B" w:rsidRPr="00DE4780" w:rsidRDefault="009A450B" w:rsidP="00BE22EE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502,41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0B" w:rsidRPr="00DE4780" w:rsidRDefault="009A450B" w:rsidP="00BE22EE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465,1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0B" w:rsidRPr="00DE4780" w:rsidRDefault="009A450B" w:rsidP="00BE22EE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643,8</w:t>
            </w:r>
          </w:p>
        </w:tc>
      </w:tr>
    </w:tbl>
    <w:p w:rsidR="003F0ED1" w:rsidRPr="00DE4780" w:rsidRDefault="0034743B" w:rsidP="009A450B">
      <w:pPr>
        <w:pStyle w:val="af4"/>
        <w:spacing w:after="0"/>
        <w:ind w:left="0" w:firstLine="720"/>
        <w:jc w:val="both"/>
      </w:pPr>
      <w:r w:rsidRPr="00DE4780">
        <w:t>В П</w:t>
      </w:r>
      <w:r w:rsidR="00722B74" w:rsidRPr="00DE4780">
        <w:t>оложени</w:t>
      </w:r>
      <w:r w:rsidRPr="00DE4780">
        <w:t>и</w:t>
      </w:r>
      <w:r w:rsidR="00722B74" w:rsidRPr="00DE4780">
        <w:t xml:space="preserve"> о предоставлении льгот отдельным категориям зрителей при посещении спектаклей ТЮЗ</w:t>
      </w:r>
      <w:r w:rsidRPr="00DE4780">
        <w:t>, утвержденном приказом директора</w:t>
      </w:r>
      <w:r w:rsidR="00722B74" w:rsidRPr="00DE4780">
        <w:t xml:space="preserve"> от 10.01.2015 (далее </w:t>
      </w:r>
      <w:r w:rsidR="00722B74" w:rsidRPr="00DE4780">
        <w:rPr>
          <w:i/>
        </w:rPr>
        <w:t>положение о предоставлении льгот</w:t>
      </w:r>
      <w:r w:rsidR="00722B74" w:rsidRPr="00DE4780">
        <w:t>)</w:t>
      </w:r>
      <w:r w:rsidR="00440B72" w:rsidRPr="00DE4780">
        <w:t>,</w:t>
      </w:r>
      <w:r w:rsidRPr="00DE4780">
        <w:t xml:space="preserve"> включены 5</w:t>
      </w:r>
      <w:r w:rsidR="00722B74" w:rsidRPr="00DE4780">
        <w:t xml:space="preserve"> категорий граждан, которым предоставляется возможность посещения спектаклей на льготных условиях,</w:t>
      </w:r>
      <w:r w:rsidRPr="00DE4780">
        <w:t xml:space="preserve"> не предусмотренных постановлением Главы Администрации Волгоградской области от 13.05.2011 № 473 «Об утверждении порядка установления государственными учреждениями культуры, подведомственными Комитету культуры Волгоградской области, льгот на посещение проводимых ими платных мероприятий отдельным категориям граждан» (далее Постановление № 473)</w:t>
      </w:r>
      <w:r w:rsidR="003F0ED1" w:rsidRPr="00DE4780">
        <w:t>.</w:t>
      </w:r>
    </w:p>
    <w:p w:rsidR="00722B74" w:rsidRPr="00DE4780" w:rsidRDefault="003F0ED1" w:rsidP="009A450B">
      <w:pPr>
        <w:pStyle w:val="af4"/>
        <w:spacing w:after="0"/>
        <w:ind w:left="0" w:firstLine="720"/>
        <w:jc w:val="both"/>
      </w:pPr>
      <w:r w:rsidRPr="00DE4780">
        <w:t>Кроме того, в</w:t>
      </w:r>
      <w:r w:rsidR="00722B74" w:rsidRPr="00DE4780">
        <w:t xml:space="preserve"> нарушение п. 4 </w:t>
      </w:r>
      <w:r w:rsidR="0034743B" w:rsidRPr="00DE4780">
        <w:t>Постановлени</w:t>
      </w:r>
      <w:r w:rsidRPr="00DE4780">
        <w:t>я</w:t>
      </w:r>
      <w:r w:rsidR="0034743B" w:rsidRPr="00DE4780">
        <w:t xml:space="preserve"> № 473</w:t>
      </w:r>
      <w:r w:rsidRPr="00DE4780">
        <w:t xml:space="preserve"> в</w:t>
      </w:r>
      <w:r w:rsidR="0034743B" w:rsidRPr="00DE4780">
        <w:t xml:space="preserve"> </w:t>
      </w:r>
      <w:r w:rsidR="00722B74" w:rsidRPr="00DE4780">
        <w:t>положени</w:t>
      </w:r>
      <w:r w:rsidRPr="00DE4780">
        <w:t>и</w:t>
      </w:r>
      <w:r w:rsidR="00722B74" w:rsidRPr="00DE4780">
        <w:t xml:space="preserve"> предоставлении льгот предусмотрено, что ответственность за принадлежность членов группы к льготным категориям граждан лежит на социальной организации, получающей право на льготу.</w:t>
      </w:r>
    </w:p>
    <w:p w:rsidR="00722B74" w:rsidRPr="00DE4780" w:rsidRDefault="00722B74" w:rsidP="009A450B">
      <w:pPr>
        <w:pStyle w:val="af4"/>
        <w:spacing w:after="0"/>
        <w:ind w:left="0" w:firstLine="720"/>
        <w:jc w:val="both"/>
      </w:pPr>
      <w:r w:rsidRPr="00DE4780">
        <w:t>С учетом вышеизложенного проверить соблюдение Постановления №</w:t>
      </w:r>
      <w:r w:rsidR="008E3298" w:rsidRPr="00DE4780">
        <w:t> </w:t>
      </w:r>
      <w:r w:rsidRPr="00DE4780">
        <w:t>473 в части предоставления билетов льготным категориям не предоставляется возможным, копии документов, подтверждающих статус отдельных категорий граждан, в учреждении отсутствуют.</w:t>
      </w:r>
    </w:p>
    <w:p w:rsidR="007F5D7F" w:rsidRPr="00DE4780" w:rsidRDefault="003F0ED1" w:rsidP="009A450B">
      <w:pPr>
        <w:pStyle w:val="af4"/>
        <w:spacing w:after="0"/>
        <w:ind w:left="0" w:firstLine="720"/>
        <w:jc w:val="both"/>
      </w:pPr>
      <w:r w:rsidRPr="00DE4780">
        <w:t xml:space="preserve">В 2016 году </w:t>
      </w:r>
      <w:r w:rsidR="00722B74" w:rsidRPr="00DE4780">
        <w:t>льготные билеты на спектакли ТЮЗ предоставлены</w:t>
      </w:r>
      <w:r w:rsidRPr="00DE4780">
        <w:t xml:space="preserve"> </w:t>
      </w:r>
      <w:r w:rsidR="00722B74" w:rsidRPr="00DE4780">
        <w:t xml:space="preserve">лицам, не предусмотренным ни Постановлением № 473, ни </w:t>
      </w:r>
      <w:r w:rsidR="00722B74" w:rsidRPr="00DE4780">
        <w:rPr>
          <w:i/>
        </w:rPr>
        <w:t>положением о предоставлении льгот</w:t>
      </w:r>
      <w:r w:rsidR="00722B74" w:rsidRPr="00DE4780">
        <w:t xml:space="preserve"> (профсоюз сотрудников МВД РФ по Волгоградской области, ВРОД «Многодетный Волгоград», преподаватели </w:t>
      </w:r>
      <w:proofErr w:type="spellStart"/>
      <w:r w:rsidR="00722B74" w:rsidRPr="00DE4780">
        <w:t>ВолГУ</w:t>
      </w:r>
      <w:proofErr w:type="spellEnd"/>
      <w:r w:rsidR="00722B74" w:rsidRPr="00DE4780">
        <w:t xml:space="preserve"> и </w:t>
      </w:r>
      <w:proofErr w:type="spellStart"/>
      <w:r w:rsidR="00722B74" w:rsidRPr="00DE4780">
        <w:t>ВолГМУ</w:t>
      </w:r>
      <w:proofErr w:type="spellEnd"/>
      <w:r w:rsidR="00722B74" w:rsidRPr="00DE4780">
        <w:t>, участники историко-патриотического культурно-просветительского молодежного форума, студенты железнодорожного техникума, малоимущая категория населения, многодетные семьи)</w:t>
      </w:r>
      <w:r w:rsidR="007F5D7F" w:rsidRPr="00DE4780">
        <w:t>.</w:t>
      </w:r>
    </w:p>
    <w:p w:rsidR="00722B74" w:rsidRPr="00DE4780" w:rsidRDefault="007F5D7F" w:rsidP="009A450B">
      <w:pPr>
        <w:pStyle w:val="af4"/>
        <w:spacing w:after="0"/>
        <w:ind w:left="0" w:firstLine="720"/>
        <w:jc w:val="both"/>
      </w:pPr>
      <w:r w:rsidRPr="00DE4780">
        <w:t>Всего с нарушением требований Постановления № 473 были представлены билеты в количестве 1924 ед., в том числе: 1384 билета с частичной</w:t>
      </w:r>
      <w:r w:rsidR="00722B74" w:rsidRPr="00DE4780">
        <w:t xml:space="preserve"> скидкой </w:t>
      </w:r>
      <w:r w:rsidRPr="00DE4780">
        <w:t xml:space="preserve">и 540 билетов со 100 % скидкой. Общая сумма упущенного учреждением дохода </w:t>
      </w:r>
      <w:r w:rsidR="00657AA9" w:rsidRPr="00DE4780">
        <w:t xml:space="preserve">при </w:t>
      </w:r>
      <w:r w:rsidRPr="00DE4780">
        <w:t>предоставлени</w:t>
      </w:r>
      <w:r w:rsidR="00657AA9" w:rsidRPr="00DE4780">
        <w:t>и</w:t>
      </w:r>
      <w:r w:rsidRPr="00DE4780">
        <w:t xml:space="preserve"> льготных билетов составила минимум </w:t>
      </w:r>
      <w:r w:rsidRPr="00DE4780">
        <w:rPr>
          <w:b/>
        </w:rPr>
        <w:t>333,7 тыс. руб.</w:t>
      </w:r>
      <w:r w:rsidR="00C46CC7" w:rsidRPr="00DE4780">
        <w:t xml:space="preserve"> (206 тыс. руб. - </w:t>
      </w:r>
      <w:r w:rsidRPr="00DE4780">
        <w:t>скидка по билетам, 127,7 тыс. руб. – стоимость билетов со 100% скидкой из расчета среднегодового размера платы (цены билета) в рамках государственного задания (540*236,5)</w:t>
      </w:r>
      <w:r w:rsidR="00657AA9" w:rsidRPr="00DE4780">
        <w:t>)</w:t>
      </w:r>
      <w:r w:rsidRPr="00DE4780">
        <w:t>.</w:t>
      </w:r>
    </w:p>
    <w:p w:rsidR="00E92D4B" w:rsidRPr="00DE4780" w:rsidRDefault="00E92D4B" w:rsidP="00E92D4B">
      <w:pPr>
        <w:pStyle w:val="af4"/>
        <w:spacing w:after="0"/>
        <w:ind w:left="0" w:firstLine="708"/>
        <w:jc w:val="both"/>
      </w:pPr>
      <w:r w:rsidRPr="00DE4780">
        <w:t xml:space="preserve">Таким образом, выполнение государственного задания в части достижения количественного показателя при невыполненном показателе качества путем проведения большего количества спектаклей свидетельствует о завышении </w:t>
      </w:r>
      <w:r w:rsidR="00181ED2" w:rsidRPr="00DE4780">
        <w:t xml:space="preserve">существующего </w:t>
      </w:r>
      <w:r w:rsidRPr="00DE4780">
        <w:t>базового норматива оказания государственной услуги</w:t>
      </w:r>
      <w:r w:rsidR="00021C0B" w:rsidRPr="00DE4780">
        <w:t xml:space="preserve"> (при количественном показателе – количество зрителей)</w:t>
      </w:r>
      <w:r w:rsidRPr="00DE4780">
        <w:t xml:space="preserve"> и соответственно объема финансового обеспечения учреждения на 2016 год, что подтверждается следующими фактами:</w:t>
      </w:r>
    </w:p>
    <w:p w:rsidR="00E92D4B" w:rsidRPr="00DE4780" w:rsidRDefault="00E92D4B" w:rsidP="00E92D4B">
      <w:pPr>
        <w:ind w:firstLine="709"/>
        <w:jc w:val="both"/>
      </w:pPr>
      <w:r w:rsidRPr="00DE4780">
        <w:t>-</w:t>
      </w:r>
      <w:r w:rsidR="00284F35" w:rsidRPr="00DE4780">
        <w:t xml:space="preserve">возможностью учреждения </w:t>
      </w:r>
      <w:r w:rsidRPr="00DE4780">
        <w:t>осуществл</w:t>
      </w:r>
      <w:r w:rsidR="00284F35" w:rsidRPr="00DE4780">
        <w:t>ять</w:t>
      </w:r>
      <w:r w:rsidRPr="00DE4780">
        <w:t xml:space="preserve"> более затратны</w:t>
      </w:r>
      <w:r w:rsidR="00284F35" w:rsidRPr="00DE4780">
        <w:t>е</w:t>
      </w:r>
      <w:r w:rsidRPr="00DE4780">
        <w:t xml:space="preserve"> </w:t>
      </w:r>
      <w:r w:rsidR="00BA0272" w:rsidRPr="00DE4780">
        <w:t xml:space="preserve">формы </w:t>
      </w:r>
      <w:r w:rsidRPr="00DE4780">
        <w:t>показ</w:t>
      </w:r>
      <w:r w:rsidR="00BA0272" w:rsidRPr="00DE4780">
        <w:t>ов</w:t>
      </w:r>
      <w:r w:rsidRPr="00DE4780">
        <w:t xml:space="preserve"> спектаклей, а именно проведение региональных гастролей в пределах объема финансового обеспечения, выделенного на проведен</w:t>
      </w:r>
      <w:r w:rsidR="00284F35" w:rsidRPr="00DE4780">
        <w:t>ие спектаклей на выезде</w:t>
      </w:r>
      <w:r w:rsidR="00BA0272" w:rsidRPr="00DE4780">
        <w:t xml:space="preserve"> (базовый норматив затрат на проведение гастрольных мероприятий в 2,5 раза больше, чем по выездным мероприятиям)</w:t>
      </w:r>
      <w:r w:rsidR="00284F35" w:rsidRPr="00DE4780">
        <w:t>;</w:t>
      </w:r>
    </w:p>
    <w:p w:rsidR="00E92D4B" w:rsidRPr="00DE4780" w:rsidRDefault="00E92D4B" w:rsidP="00E92D4B">
      <w:pPr>
        <w:ind w:firstLine="709"/>
        <w:jc w:val="both"/>
      </w:pPr>
      <w:r w:rsidRPr="00DE4780">
        <w:t>-упущенным доходом от предоставления льготных и бесплатных билетов 333,7 тыс. руб.</w:t>
      </w:r>
      <w:r w:rsidR="00284F35" w:rsidRPr="00DE4780">
        <w:t>;</w:t>
      </w:r>
    </w:p>
    <w:p w:rsidR="00E92D4B" w:rsidRPr="00DE4780" w:rsidRDefault="00E92D4B" w:rsidP="00E92D4B">
      <w:pPr>
        <w:ind w:firstLine="709"/>
        <w:jc w:val="both"/>
      </w:pPr>
      <w:r w:rsidRPr="00DE4780">
        <w:lastRenderedPageBreak/>
        <w:t>-осуществлением необоснованных компенсационных</w:t>
      </w:r>
      <w:r w:rsidR="00284F35" w:rsidRPr="00DE4780">
        <w:t xml:space="preserve"> и</w:t>
      </w:r>
      <w:r w:rsidRPr="00DE4780">
        <w:t xml:space="preserve"> стимулирующих выплат работникам (2393,8 тыс. руб.), в т.ч. доплат артистам за превышение охранных норм выступлений в месяц, которые напрямую зависят от количества показанных спектаклей;</w:t>
      </w:r>
    </w:p>
    <w:p w:rsidR="00E92D4B" w:rsidRPr="00DE4780" w:rsidRDefault="00E92D4B" w:rsidP="00E92D4B">
      <w:pPr>
        <w:ind w:firstLine="709"/>
        <w:jc w:val="both"/>
      </w:pPr>
      <w:r w:rsidRPr="00DE4780">
        <w:t>-заключением договоров гражданско-правового характера с физическими лицами на выполнение работ (на 68,7 тыс. руб.) и договоров с Волгоградской коллегией адвокатов на оказание услуг (на 190,0 тыс. руб.), входящих в круг должностных обязанностей штатных сотрудников Театра.</w:t>
      </w:r>
    </w:p>
    <w:p w:rsidR="00440B72" w:rsidRPr="00DE4780" w:rsidRDefault="00440B72" w:rsidP="00E92D4B">
      <w:pPr>
        <w:ind w:firstLine="709"/>
        <w:jc w:val="both"/>
      </w:pPr>
    </w:p>
    <w:p w:rsidR="00722B74" w:rsidRPr="00DE4780" w:rsidRDefault="004E15AE" w:rsidP="003C47A0">
      <w:pPr>
        <w:pStyle w:val="af4"/>
        <w:spacing w:after="0"/>
        <w:ind w:left="0" w:firstLine="709"/>
        <w:jc w:val="center"/>
        <w:rPr>
          <w:b/>
          <w:i/>
        </w:rPr>
      </w:pPr>
      <w:r w:rsidRPr="00DE4780">
        <w:rPr>
          <w:b/>
          <w:i/>
        </w:rPr>
        <w:t>3. </w:t>
      </w:r>
      <w:r w:rsidR="00722B74" w:rsidRPr="00DE4780">
        <w:rPr>
          <w:b/>
          <w:i/>
        </w:rPr>
        <w:t xml:space="preserve">Анализ формирования и выполнения плана финансово-хозяйственной </w:t>
      </w:r>
      <w:r w:rsidR="00211EFC" w:rsidRPr="00DE4780">
        <w:rPr>
          <w:b/>
          <w:i/>
        </w:rPr>
        <w:t>деятельности (далее ФХД) Т</w:t>
      </w:r>
      <w:r w:rsidR="00440B72" w:rsidRPr="00DE4780">
        <w:rPr>
          <w:b/>
          <w:i/>
        </w:rPr>
        <w:t>еатра</w:t>
      </w:r>
    </w:p>
    <w:p w:rsidR="00722B74" w:rsidRPr="00DE4780" w:rsidRDefault="00722B74" w:rsidP="003C47A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E4780">
        <w:rPr>
          <w:rFonts w:ascii="Times New Roman" w:hAnsi="Times New Roman"/>
          <w:b w:val="0"/>
          <w:color w:val="auto"/>
          <w:sz w:val="24"/>
          <w:szCs w:val="24"/>
        </w:rPr>
        <w:t>Финан</w:t>
      </w:r>
      <w:r w:rsidR="008E3298" w:rsidRPr="00DE4780">
        <w:rPr>
          <w:rFonts w:ascii="Times New Roman" w:hAnsi="Times New Roman"/>
          <w:b w:val="0"/>
          <w:color w:val="auto"/>
          <w:sz w:val="24"/>
          <w:szCs w:val="24"/>
        </w:rPr>
        <w:t xml:space="preserve">совое обеспечение деятельности </w:t>
      </w:r>
      <w:proofErr w:type="spellStart"/>
      <w:r w:rsidRPr="00DE4780">
        <w:rPr>
          <w:rFonts w:ascii="Times New Roman" w:hAnsi="Times New Roman"/>
          <w:b w:val="0"/>
          <w:color w:val="auto"/>
          <w:sz w:val="24"/>
          <w:szCs w:val="24"/>
        </w:rPr>
        <w:t>ТЮЗ</w:t>
      </w:r>
      <w:r w:rsidR="00440B72" w:rsidRPr="00DE4780">
        <w:rPr>
          <w:rFonts w:ascii="Times New Roman" w:hAnsi="Times New Roman"/>
          <w:b w:val="0"/>
          <w:color w:val="auto"/>
          <w:sz w:val="24"/>
          <w:szCs w:val="24"/>
        </w:rPr>
        <w:t>а</w:t>
      </w:r>
      <w:proofErr w:type="spellEnd"/>
      <w:r w:rsidRPr="00DE4780">
        <w:rPr>
          <w:rFonts w:ascii="Times New Roman" w:hAnsi="Times New Roman"/>
          <w:b w:val="0"/>
          <w:color w:val="auto"/>
          <w:sz w:val="24"/>
          <w:szCs w:val="24"/>
        </w:rPr>
        <w:t xml:space="preserve"> осуществлялось за счет средств областного бюджета в виде субсидии на оказание государственных услуг (выполнение работ), в виде субсидий на иные цели, а также </w:t>
      </w:r>
      <w:r w:rsidR="008E3298" w:rsidRPr="00DE4780">
        <w:rPr>
          <w:rFonts w:ascii="Times New Roman" w:hAnsi="Times New Roman"/>
          <w:b w:val="0"/>
          <w:color w:val="auto"/>
          <w:sz w:val="24"/>
          <w:szCs w:val="24"/>
        </w:rPr>
        <w:t>приносящей доход деятельности</w:t>
      </w:r>
      <w:r w:rsidRPr="00DE4780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722B74" w:rsidRPr="00DE4780" w:rsidRDefault="00722B74" w:rsidP="00722B7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99"/>
          <w:sz w:val="24"/>
          <w:szCs w:val="24"/>
        </w:rPr>
      </w:pPr>
      <w:r w:rsidRPr="00DE4780">
        <w:rPr>
          <w:rFonts w:ascii="Times New Roman" w:hAnsi="Times New Roman"/>
          <w:b w:val="0"/>
          <w:color w:val="auto"/>
          <w:sz w:val="24"/>
          <w:szCs w:val="24"/>
        </w:rPr>
        <w:t xml:space="preserve">Информация о выполнении </w:t>
      </w:r>
      <w:proofErr w:type="spellStart"/>
      <w:r w:rsidRPr="00DE4780">
        <w:rPr>
          <w:rFonts w:ascii="Times New Roman" w:hAnsi="Times New Roman"/>
          <w:b w:val="0"/>
          <w:color w:val="auto"/>
          <w:sz w:val="24"/>
          <w:szCs w:val="24"/>
        </w:rPr>
        <w:t>ТЮЗ</w:t>
      </w:r>
      <w:r w:rsidR="00440B72" w:rsidRPr="00DE4780">
        <w:rPr>
          <w:rFonts w:ascii="Times New Roman" w:hAnsi="Times New Roman"/>
          <w:b w:val="0"/>
          <w:color w:val="auto"/>
          <w:sz w:val="24"/>
          <w:szCs w:val="24"/>
        </w:rPr>
        <w:t>ом</w:t>
      </w:r>
      <w:proofErr w:type="spellEnd"/>
      <w:r w:rsidR="006355C0" w:rsidRPr="00DE4780">
        <w:rPr>
          <w:rFonts w:ascii="Times New Roman" w:hAnsi="Times New Roman"/>
          <w:b w:val="0"/>
          <w:color w:val="auto"/>
          <w:sz w:val="24"/>
          <w:szCs w:val="24"/>
        </w:rPr>
        <w:t xml:space="preserve"> основных показателей</w:t>
      </w:r>
      <w:r w:rsidRPr="00DE4780">
        <w:rPr>
          <w:rFonts w:ascii="Times New Roman" w:hAnsi="Times New Roman"/>
          <w:b w:val="0"/>
          <w:color w:val="auto"/>
          <w:sz w:val="24"/>
          <w:szCs w:val="24"/>
        </w:rPr>
        <w:t xml:space="preserve"> плана ФХД в 2016 году за счет субсидии на выполнение государственного задания </w:t>
      </w:r>
      <w:r w:rsidR="006355C0" w:rsidRPr="00DE4780">
        <w:rPr>
          <w:rFonts w:ascii="Times New Roman" w:hAnsi="Times New Roman"/>
          <w:b w:val="0"/>
          <w:color w:val="auto"/>
          <w:sz w:val="24"/>
          <w:szCs w:val="24"/>
        </w:rPr>
        <w:t xml:space="preserve">и приносящей доход деятельности </w:t>
      </w:r>
      <w:r w:rsidRPr="00DE4780">
        <w:rPr>
          <w:rFonts w:ascii="Times New Roman" w:hAnsi="Times New Roman"/>
          <w:b w:val="0"/>
          <w:color w:val="auto"/>
          <w:sz w:val="24"/>
          <w:szCs w:val="24"/>
        </w:rPr>
        <w:t xml:space="preserve">отражена </w:t>
      </w:r>
      <w:r w:rsidRPr="00DE4780">
        <w:rPr>
          <w:rFonts w:ascii="Times New Roman" w:hAnsi="Times New Roman"/>
          <w:b w:val="0"/>
          <w:color w:val="000099"/>
          <w:sz w:val="24"/>
          <w:szCs w:val="24"/>
        </w:rPr>
        <w:t>в таблице №</w:t>
      </w:r>
      <w:r w:rsidR="00A36211" w:rsidRPr="00DE4780">
        <w:rPr>
          <w:rFonts w:ascii="Times New Roman" w:hAnsi="Times New Roman"/>
          <w:b w:val="0"/>
          <w:color w:val="000099"/>
          <w:sz w:val="24"/>
          <w:szCs w:val="24"/>
        </w:rPr>
        <w:t> 5</w:t>
      </w:r>
      <w:r w:rsidRPr="00DE4780">
        <w:rPr>
          <w:rFonts w:ascii="Times New Roman" w:hAnsi="Times New Roman"/>
          <w:b w:val="0"/>
          <w:color w:val="000099"/>
          <w:sz w:val="24"/>
          <w:szCs w:val="24"/>
        </w:rPr>
        <w:t>.</w:t>
      </w:r>
    </w:p>
    <w:p w:rsidR="00722B74" w:rsidRPr="00DE4780" w:rsidRDefault="00722B74" w:rsidP="00722B74">
      <w:pPr>
        <w:jc w:val="right"/>
      </w:pPr>
      <w:r w:rsidRPr="00DE4780">
        <w:rPr>
          <w:color w:val="0000CC"/>
        </w:rPr>
        <w:t xml:space="preserve">Таблица № </w:t>
      </w:r>
      <w:r w:rsidR="00A36211" w:rsidRPr="00DE4780">
        <w:rPr>
          <w:color w:val="0000CC"/>
        </w:rPr>
        <w:t>5</w:t>
      </w:r>
      <w:r w:rsidRPr="00DE4780">
        <w:t>, тыс. руб.</w:t>
      </w:r>
    </w:p>
    <w:tbl>
      <w:tblPr>
        <w:tblW w:w="9937" w:type="dxa"/>
        <w:tblInd w:w="94" w:type="dxa"/>
        <w:tblLayout w:type="fixed"/>
        <w:tblLook w:val="04A0"/>
      </w:tblPr>
      <w:tblGrid>
        <w:gridCol w:w="2566"/>
        <w:gridCol w:w="851"/>
        <w:gridCol w:w="1276"/>
        <w:gridCol w:w="1275"/>
        <w:gridCol w:w="851"/>
        <w:gridCol w:w="1276"/>
        <w:gridCol w:w="850"/>
        <w:gridCol w:w="992"/>
      </w:tblGrid>
      <w:tr w:rsidR="006355C0" w:rsidRPr="00DE4780" w:rsidTr="002568C6">
        <w:trPr>
          <w:trHeight w:val="37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Принято обязательств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Принято денежных обязательств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Касса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 xml:space="preserve">Отклонение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68C6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E4780">
              <w:rPr>
                <w:color w:val="000000"/>
                <w:sz w:val="18"/>
                <w:szCs w:val="18"/>
              </w:rPr>
              <w:t>Задол</w:t>
            </w:r>
            <w:proofErr w:type="spellEnd"/>
            <w:r w:rsidR="002568C6" w:rsidRPr="00DE4780">
              <w:rPr>
                <w:color w:val="000000"/>
                <w:sz w:val="18"/>
                <w:szCs w:val="18"/>
              </w:rPr>
              <w:t>-</w:t>
            </w:r>
          </w:p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E4780">
              <w:rPr>
                <w:color w:val="000000"/>
                <w:sz w:val="18"/>
                <w:szCs w:val="18"/>
              </w:rPr>
              <w:t>женность</w:t>
            </w:r>
            <w:proofErr w:type="spellEnd"/>
          </w:p>
        </w:tc>
      </w:tr>
      <w:tr w:rsidR="006355C0" w:rsidRPr="00DE4780" w:rsidTr="002568C6">
        <w:trPr>
          <w:trHeight w:val="590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5C0" w:rsidRPr="00DE4780" w:rsidRDefault="006355C0" w:rsidP="006355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5C0" w:rsidRPr="00DE4780" w:rsidRDefault="006355C0" w:rsidP="006355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5C0" w:rsidRPr="00DE4780" w:rsidRDefault="006355C0" w:rsidP="006355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5C0" w:rsidRPr="00DE4780" w:rsidRDefault="006355C0" w:rsidP="006355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5C0" w:rsidRPr="00DE4780" w:rsidRDefault="006355C0" w:rsidP="006355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принятых обязательств от плана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касса от плана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5C0" w:rsidRPr="00DE4780" w:rsidRDefault="006355C0" w:rsidP="006355C0">
            <w:pPr>
              <w:rPr>
                <w:color w:val="000000"/>
                <w:sz w:val="18"/>
                <w:szCs w:val="18"/>
              </w:rPr>
            </w:pPr>
          </w:p>
        </w:tc>
      </w:tr>
      <w:tr w:rsidR="006355C0" w:rsidRPr="00DE4780" w:rsidTr="002568C6">
        <w:trPr>
          <w:trHeight w:val="24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355C0" w:rsidRPr="00DE4780" w:rsidRDefault="006355C0" w:rsidP="006355C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355C0" w:rsidRPr="00DE4780" w:rsidRDefault="006355C0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53831,1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355C0" w:rsidRPr="00DE4780" w:rsidRDefault="006355C0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355C0" w:rsidRPr="00DE4780" w:rsidRDefault="006355C0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355C0" w:rsidRPr="00DE4780" w:rsidRDefault="006355C0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48373,0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355C0" w:rsidRPr="00DE4780" w:rsidRDefault="006355C0" w:rsidP="006355C0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355C0" w:rsidRPr="00DE4780" w:rsidRDefault="006355C0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355C0" w:rsidRPr="00DE4780" w:rsidTr="002568C6">
        <w:trPr>
          <w:trHeight w:val="54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 xml:space="preserve">субсидия на выполнение </w:t>
            </w:r>
            <w:proofErr w:type="spellStart"/>
            <w:r w:rsidRPr="00DE4780">
              <w:rPr>
                <w:color w:val="000000"/>
                <w:sz w:val="18"/>
                <w:szCs w:val="18"/>
              </w:rPr>
              <w:t>гос.задания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30468,7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28945,7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-1523,0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55C0" w:rsidRPr="00DE4780" w:rsidTr="002568C6">
        <w:trPr>
          <w:trHeight w:val="21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платные слуги, в т.ч.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22491,7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18556,6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C0" w:rsidRPr="00DE4780" w:rsidRDefault="006355C0" w:rsidP="006355C0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-3935,1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5C0" w:rsidRPr="00DE4780" w:rsidRDefault="006355C0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6559" w:rsidRPr="00DE4780" w:rsidTr="002568C6">
        <w:trPr>
          <w:trHeight w:val="25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544B29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выручка от реализации билетов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544B29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22164,5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17 160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440B72" w:rsidP="006355C0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</w:t>
            </w:r>
            <w:r w:rsidR="00B86559" w:rsidRPr="00DE4780">
              <w:rPr>
                <w:color w:val="000000"/>
                <w:sz w:val="18"/>
                <w:szCs w:val="18"/>
              </w:rPr>
              <w:t>5 004,5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6559" w:rsidRPr="00DE4780" w:rsidTr="002568C6">
        <w:trPr>
          <w:trHeight w:val="25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аренда зала Театра другими театрами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1 069,4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1 069,4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6559" w:rsidRPr="00DE4780" w:rsidTr="002568C6">
        <w:trPr>
          <w:trHeight w:val="33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РАСХОДЫ (</w:t>
            </w:r>
            <w:proofErr w:type="spellStart"/>
            <w:r w:rsidRPr="00DE4780">
              <w:rPr>
                <w:b/>
                <w:bCs/>
                <w:color w:val="000000"/>
                <w:sz w:val="18"/>
                <w:szCs w:val="18"/>
              </w:rPr>
              <w:t>гос.задание</w:t>
            </w:r>
            <w:proofErr w:type="spellEnd"/>
            <w:r w:rsidRPr="00DE4780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30491,3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29869,3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29790,1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28963,7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-622,0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-1527,6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1070,1</w:t>
            </w:r>
          </w:p>
        </w:tc>
      </w:tr>
      <w:tr w:rsidR="00B86559" w:rsidRPr="00DE4780" w:rsidTr="002568C6">
        <w:trPr>
          <w:trHeight w:val="24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РАСХОДЫ (платные)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23064,9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22946,9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22937,5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18999,7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-118,0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-4065,2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3949,1</w:t>
            </w:r>
          </w:p>
        </w:tc>
      </w:tr>
      <w:tr w:rsidR="00B86559" w:rsidRPr="00DE4780" w:rsidTr="002568C6">
        <w:trPr>
          <w:trHeight w:val="24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оплата труда с начислениями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14795,1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14774,2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14774,2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12671,3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-2123,8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2266,3</w:t>
            </w:r>
          </w:p>
        </w:tc>
      </w:tr>
      <w:tr w:rsidR="00B86559" w:rsidRPr="00DE4780" w:rsidTr="002568C6">
        <w:trPr>
          <w:trHeight w:val="24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6559" w:rsidRPr="00DE4780" w:rsidTr="002568C6">
        <w:trPr>
          <w:trHeight w:val="24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оплата услуг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B86559" w:rsidRPr="00DE4780" w:rsidTr="002568C6">
        <w:trPr>
          <w:trHeight w:val="24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оплата транспортных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359,6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359,6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326,5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32,2</w:t>
            </w:r>
          </w:p>
        </w:tc>
      </w:tr>
      <w:tr w:rsidR="00B86559" w:rsidRPr="00DE4780" w:rsidTr="002568C6">
        <w:trPr>
          <w:trHeight w:val="24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оплата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6559" w:rsidRPr="00DE4780" w:rsidTr="002568C6">
        <w:trPr>
          <w:trHeight w:val="24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арендная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6559" w:rsidRPr="00DE4780" w:rsidTr="002568C6">
        <w:trPr>
          <w:trHeight w:val="48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оплата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42,2</w:t>
            </w:r>
          </w:p>
        </w:tc>
      </w:tr>
      <w:tr w:rsidR="00B86559" w:rsidRPr="00DE4780" w:rsidTr="002568C6">
        <w:trPr>
          <w:trHeight w:val="24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прочие работы и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5724,7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5653,7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5648,8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4410,1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-1314,6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1044,8</w:t>
            </w:r>
          </w:p>
        </w:tc>
      </w:tr>
      <w:tr w:rsidR="00B86559" w:rsidRPr="00DE4780" w:rsidTr="002568C6">
        <w:trPr>
          <w:trHeight w:val="240"/>
        </w:trPr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274,2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274,0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274,0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4,2</w:t>
            </w:r>
          </w:p>
        </w:tc>
      </w:tr>
      <w:tr w:rsidR="00B86559" w:rsidRPr="00DE4780" w:rsidTr="002568C6">
        <w:trPr>
          <w:trHeight w:val="48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391,2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389,6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389,6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-101,7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100,6</w:t>
            </w:r>
          </w:p>
        </w:tc>
      </w:tr>
      <w:tr w:rsidR="00B86559" w:rsidRPr="00DE4780" w:rsidTr="002568C6">
        <w:trPr>
          <w:trHeight w:val="48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1214,8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1212,9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1211,0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761,6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-453,2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458,5</w:t>
            </w:r>
          </w:p>
        </w:tc>
      </w:tr>
      <w:tr w:rsidR="00B86559" w:rsidRPr="00DE4780" w:rsidTr="002568C6">
        <w:trPr>
          <w:trHeight w:val="24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% банка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right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559" w:rsidRPr="00DE4780" w:rsidRDefault="00B86559" w:rsidP="006355C0">
            <w:pPr>
              <w:jc w:val="center"/>
              <w:rPr>
                <w:color w:val="000000"/>
                <w:sz w:val="18"/>
                <w:szCs w:val="18"/>
              </w:rPr>
            </w:pPr>
            <w:r w:rsidRPr="00DE47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6559" w:rsidRPr="00DE4780" w:rsidTr="002568C6">
        <w:trPr>
          <w:trHeight w:val="22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55244,3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54495,9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54407,3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49652,6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-748,4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-5591,7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86559" w:rsidRPr="00DE4780" w:rsidRDefault="00B86559" w:rsidP="00635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4780">
              <w:rPr>
                <w:b/>
                <w:bCs/>
                <w:color w:val="000000"/>
                <w:sz w:val="18"/>
                <w:szCs w:val="18"/>
              </w:rPr>
              <w:t>5019,2</w:t>
            </w:r>
          </w:p>
        </w:tc>
      </w:tr>
    </w:tbl>
    <w:p w:rsidR="00722B74" w:rsidRPr="00DE4780" w:rsidRDefault="00722B74" w:rsidP="006355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 xml:space="preserve">Согласно данным отчета об исполнении учреждением плана его финансово-хозяйственной деятельности на 01.01.2017 (форма 0503737) кассовое исполнение по доходам </w:t>
      </w:r>
      <w:r w:rsidR="00E50F20" w:rsidRPr="00DE4780">
        <w:rPr>
          <w:rFonts w:ascii="Times New Roman" w:hAnsi="Times New Roman" w:cs="Times New Roman"/>
          <w:sz w:val="24"/>
          <w:szCs w:val="24"/>
        </w:rPr>
        <w:t xml:space="preserve">от приносящей доход деятельности </w:t>
      </w:r>
      <w:r w:rsidRPr="00DE4780">
        <w:rPr>
          <w:rFonts w:ascii="Times New Roman" w:hAnsi="Times New Roman" w:cs="Times New Roman"/>
          <w:sz w:val="24"/>
          <w:szCs w:val="24"/>
        </w:rPr>
        <w:t>составило за 2016 год 18556,6 тыс. руб.</w:t>
      </w:r>
      <w:r w:rsidR="00440B72" w:rsidRPr="00DE4780">
        <w:rPr>
          <w:rFonts w:ascii="Times New Roman" w:hAnsi="Times New Roman" w:cs="Times New Roman"/>
          <w:sz w:val="24"/>
          <w:szCs w:val="24"/>
        </w:rPr>
        <w:t>,</w:t>
      </w:r>
      <w:r w:rsidRPr="00DE4780">
        <w:rPr>
          <w:rFonts w:ascii="Times New Roman" w:hAnsi="Times New Roman" w:cs="Times New Roman"/>
          <w:sz w:val="24"/>
          <w:szCs w:val="24"/>
        </w:rPr>
        <w:t xml:space="preserve"> или 82,5 % от утвержденных плановых назначений (22 491,7 тыс. руб.), в том числе:</w:t>
      </w:r>
      <w:r w:rsidR="000E7E2B" w:rsidRPr="00DE4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B74" w:rsidRPr="00DE4780" w:rsidRDefault="00722B74" w:rsidP="00722B7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>-доходы от собственности (аренда) – 122,8 тыс. руб.</w:t>
      </w:r>
      <w:r w:rsidR="00440B72" w:rsidRPr="00DE4780">
        <w:rPr>
          <w:rFonts w:ascii="Times New Roman" w:hAnsi="Times New Roman" w:cs="Times New Roman"/>
          <w:sz w:val="24"/>
          <w:szCs w:val="24"/>
        </w:rPr>
        <w:t>,</w:t>
      </w:r>
      <w:r w:rsidRPr="00DE4780">
        <w:rPr>
          <w:rFonts w:ascii="Times New Roman" w:hAnsi="Times New Roman" w:cs="Times New Roman"/>
          <w:sz w:val="24"/>
          <w:szCs w:val="24"/>
        </w:rPr>
        <w:t xml:space="preserve"> или 97,9 % утвержденных плановых назначений;</w:t>
      </w:r>
    </w:p>
    <w:p w:rsidR="00722B74" w:rsidRPr="00DE4780" w:rsidRDefault="00722B74" w:rsidP="00EC14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>-доходы от оказания платных услуг (работ) – 18 391 тыс. руб.</w:t>
      </w:r>
      <w:r w:rsidR="00440B72" w:rsidRPr="00DE4780">
        <w:rPr>
          <w:rFonts w:ascii="Times New Roman" w:hAnsi="Times New Roman" w:cs="Times New Roman"/>
          <w:sz w:val="24"/>
          <w:szCs w:val="24"/>
        </w:rPr>
        <w:t>,</w:t>
      </w:r>
      <w:r w:rsidRPr="00DE4780">
        <w:rPr>
          <w:rFonts w:ascii="Times New Roman" w:hAnsi="Times New Roman" w:cs="Times New Roman"/>
          <w:sz w:val="24"/>
          <w:szCs w:val="24"/>
        </w:rPr>
        <w:t xml:space="preserve"> или 82,4 % (продажа билетов, буклетов и программ).</w:t>
      </w:r>
    </w:p>
    <w:p w:rsidR="007B1CFB" w:rsidRPr="00DE4780" w:rsidRDefault="00B16D5A" w:rsidP="00EC14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>В отношении запланированных доходов Театра от приносящей доход деятельности с</w:t>
      </w:r>
      <w:r w:rsidR="007B1CFB" w:rsidRPr="00DE4780">
        <w:rPr>
          <w:rFonts w:ascii="Times New Roman" w:hAnsi="Times New Roman" w:cs="Times New Roman"/>
          <w:sz w:val="24"/>
          <w:szCs w:val="24"/>
        </w:rPr>
        <w:t>ледует отметить, что их размер 22</w:t>
      </w:r>
      <w:r w:rsidRPr="00DE4780">
        <w:rPr>
          <w:rFonts w:ascii="Times New Roman" w:hAnsi="Times New Roman" w:cs="Times New Roman"/>
          <w:sz w:val="24"/>
          <w:szCs w:val="24"/>
        </w:rPr>
        <w:t> </w:t>
      </w:r>
      <w:r w:rsidR="007B1CFB" w:rsidRPr="00DE4780">
        <w:rPr>
          <w:rFonts w:ascii="Times New Roman" w:hAnsi="Times New Roman" w:cs="Times New Roman"/>
          <w:sz w:val="24"/>
          <w:szCs w:val="24"/>
        </w:rPr>
        <w:t>491</w:t>
      </w:r>
      <w:r w:rsidRPr="00DE4780">
        <w:rPr>
          <w:rFonts w:ascii="Times New Roman" w:hAnsi="Times New Roman" w:cs="Times New Roman"/>
          <w:sz w:val="24"/>
          <w:szCs w:val="24"/>
        </w:rPr>
        <w:t>,</w:t>
      </w:r>
      <w:r w:rsidR="007B1CFB" w:rsidRPr="00DE4780">
        <w:rPr>
          <w:rFonts w:ascii="Times New Roman" w:hAnsi="Times New Roman" w:cs="Times New Roman"/>
          <w:sz w:val="24"/>
          <w:szCs w:val="24"/>
        </w:rPr>
        <w:t>7</w:t>
      </w:r>
      <w:r w:rsidRPr="00DE4780">
        <w:rPr>
          <w:rFonts w:ascii="Times New Roman" w:hAnsi="Times New Roman" w:cs="Times New Roman"/>
          <w:sz w:val="24"/>
          <w:szCs w:val="24"/>
        </w:rPr>
        <w:t xml:space="preserve"> тыс. руб. определен необъективно, так как </w:t>
      </w:r>
      <w:r w:rsidR="007B1CFB" w:rsidRPr="00DE4780">
        <w:rPr>
          <w:rFonts w:ascii="Times New Roman" w:hAnsi="Times New Roman" w:cs="Times New Roman"/>
          <w:sz w:val="24"/>
          <w:szCs w:val="24"/>
        </w:rPr>
        <w:t>не исполнен на 3 935,1 тыс. руб. (17,5 %).</w:t>
      </w:r>
      <w:r w:rsidR="00310424" w:rsidRPr="00DE4780">
        <w:rPr>
          <w:rFonts w:ascii="Times New Roman" w:hAnsi="Times New Roman" w:cs="Times New Roman"/>
          <w:sz w:val="24"/>
          <w:szCs w:val="24"/>
        </w:rPr>
        <w:t xml:space="preserve"> Основной причиной </w:t>
      </w:r>
      <w:r w:rsidR="00B86559" w:rsidRPr="00DE4780">
        <w:rPr>
          <w:rFonts w:ascii="Times New Roman" w:hAnsi="Times New Roman" w:cs="Times New Roman"/>
          <w:sz w:val="24"/>
          <w:szCs w:val="24"/>
        </w:rPr>
        <w:t xml:space="preserve">невыполнения плана по доходам от приносящей доход деятельности </w:t>
      </w:r>
      <w:r w:rsidR="00310424" w:rsidRPr="00DE4780">
        <w:rPr>
          <w:rFonts w:ascii="Times New Roman" w:hAnsi="Times New Roman" w:cs="Times New Roman"/>
          <w:sz w:val="24"/>
          <w:szCs w:val="24"/>
        </w:rPr>
        <w:t xml:space="preserve">является неисполнение доходов от реализации билетов на </w:t>
      </w:r>
      <w:r w:rsidR="00310424" w:rsidRPr="00DE4780">
        <w:rPr>
          <w:rFonts w:ascii="Times New Roman" w:hAnsi="Times New Roman" w:cs="Times New Roman"/>
          <w:sz w:val="24"/>
          <w:szCs w:val="24"/>
        </w:rPr>
        <w:lastRenderedPageBreak/>
        <w:t>спектакли Театра</w:t>
      </w:r>
      <w:r w:rsidR="00B86559" w:rsidRPr="00DE4780">
        <w:rPr>
          <w:rFonts w:ascii="Times New Roman" w:hAnsi="Times New Roman" w:cs="Times New Roman"/>
          <w:sz w:val="24"/>
          <w:szCs w:val="24"/>
        </w:rPr>
        <w:t xml:space="preserve"> (т.е. без учета доходов от буклетов, программ, аренды имущества</w:t>
      </w:r>
      <w:r w:rsidR="00707ABA" w:rsidRPr="00DE4780">
        <w:rPr>
          <w:rFonts w:ascii="Times New Roman" w:hAnsi="Times New Roman" w:cs="Times New Roman"/>
          <w:sz w:val="24"/>
          <w:szCs w:val="24"/>
        </w:rPr>
        <w:t xml:space="preserve"> и прочих доходов</w:t>
      </w:r>
      <w:r w:rsidR="00B86559" w:rsidRPr="00DE4780">
        <w:rPr>
          <w:rFonts w:ascii="Times New Roman" w:hAnsi="Times New Roman" w:cs="Times New Roman"/>
          <w:sz w:val="24"/>
          <w:szCs w:val="24"/>
        </w:rPr>
        <w:t>)</w:t>
      </w:r>
      <w:r w:rsidR="00310424" w:rsidRPr="00DE4780">
        <w:rPr>
          <w:rFonts w:ascii="Times New Roman" w:hAnsi="Times New Roman" w:cs="Times New Roman"/>
          <w:sz w:val="24"/>
          <w:szCs w:val="24"/>
        </w:rPr>
        <w:t xml:space="preserve"> на 5 004,5 тыс. руб. (22 164,5 тыс. руб. – план, 17 160 тыс. руб. - факт).</w:t>
      </w:r>
    </w:p>
    <w:p w:rsidR="00440B72" w:rsidRPr="00DE4780" w:rsidRDefault="00693684" w:rsidP="00EC14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>Исходя из среднегодового размера платы</w:t>
      </w:r>
      <w:r w:rsidR="00203228" w:rsidRPr="00DE4780">
        <w:rPr>
          <w:rFonts w:ascii="Times New Roman" w:hAnsi="Times New Roman" w:cs="Times New Roman"/>
          <w:sz w:val="24"/>
          <w:szCs w:val="24"/>
        </w:rPr>
        <w:t>, установленного Комитетом учреждению в государственном задании (по жанру «</w:t>
      </w:r>
      <w:r w:rsidR="007B1CFB" w:rsidRPr="00DE4780">
        <w:rPr>
          <w:rFonts w:ascii="Times New Roman" w:hAnsi="Times New Roman" w:cs="Times New Roman"/>
          <w:sz w:val="24"/>
          <w:szCs w:val="24"/>
        </w:rPr>
        <w:t>драма</w:t>
      </w:r>
      <w:r w:rsidR="00203228" w:rsidRPr="00DE4780">
        <w:rPr>
          <w:rFonts w:ascii="Times New Roman" w:hAnsi="Times New Roman" w:cs="Times New Roman"/>
          <w:sz w:val="24"/>
          <w:szCs w:val="24"/>
        </w:rPr>
        <w:t xml:space="preserve">» </w:t>
      </w:r>
      <w:r w:rsidR="007B1CFB" w:rsidRPr="00DE4780">
        <w:rPr>
          <w:rFonts w:ascii="Times New Roman" w:hAnsi="Times New Roman" w:cs="Times New Roman"/>
          <w:sz w:val="24"/>
          <w:szCs w:val="24"/>
        </w:rPr>
        <w:t>266</w:t>
      </w:r>
      <w:r w:rsidR="00203228" w:rsidRPr="00DE4780">
        <w:rPr>
          <w:rFonts w:ascii="Times New Roman" w:hAnsi="Times New Roman" w:cs="Times New Roman"/>
          <w:sz w:val="24"/>
          <w:szCs w:val="24"/>
        </w:rPr>
        <w:t xml:space="preserve"> руб.)</w:t>
      </w:r>
      <w:r w:rsidR="00440B72" w:rsidRPr="00DE4780">
        <w:rPr>
          <w:rFonts w:ascii="Times New Roman" w:hAnsi="Times New Roman" w:cs="Times New Roman"/>
          <w:sz w:val="24"/>
          <w:szCs w:val="24"/>
        </w:rPr>
        <w:t xml:space="preserve"> </w:t>
      </w:r>
      <w:r w:rsidR="00D65F45" w:rsidRPr="00DE4780">
        <w:rPr>
          <w:rFonts w:ascii="Times New Roman" w:hAnsi="Times New Roman" w:cs="Times New Roman"/>
          <w:sz w:val="24"/>
          <w:szCs w:val="24"/>
        </w:rPr>
        <w:t xml:space="preserve">и установленного государственным заданием количества зрителей в стационаре (44 730 зрителей) </w:t>
      </w:r>
      <w:r w:rsidR="00440B72" w:rsidRPr="00DE4780">
        <w:rPr>
          <w:rFonts w:ascii="Times New Roman" w:hAnsi="Times New Roman" w:cs="Times New Roman"/>
          <w:sz w:val="24"/>
          <w:szCs w:val="24"/>
        </w:rPr>
        <w:t>плановое значение доходов от при</w:t>
      </w:r>
      <w:r w:rsidR="0012282B" w:rsidRPr="00DE4780">
        <w:rPr>
          <w:rFonts w:ascii="Times New Roman" w:hAnsi="Times New Roman" w:cs="Times New Roman"/>
          <w:sz w:val="24"/>
          <w:szCs w:val="24"/>
        </w:rPr>
        <w:t>носящей доход деятельности в части выручки от реализации билетов должно</w:t>
      </w:r>
      <w:r w:rsidR="002D731A" w:rsidRPr="00DE4780">
        <w:rPr>
          <w:rFonts w:ascii="Times New Roman" w:hAnsi="Times New Roman" w:cs="Times New Roman"/>
          <w:sz w:val="24"/>
          <w:szCs w:val="24"/>
        </w:rPr>
        <w:t xml:space="preserve"> было бы</w:t>
      </w:r>
      <w:r w:rsidR="0012282B" w:rsidRPr="00DE4780">
        <w:rPr>
          <w:rFonts w:ascii="Times New Roman" w:hAnsi="Times New Roman" w:cs="Times New Roman"/>
          <w:sz w:val="24"/>
          <w:szCs w:val="24"/>
        </w:rPr>
        <w:t xml:space="preserve"> составить 11 898,2 тыс. руб., что меньше предусмотренного планом ФХД </w:t>
      </w:r>
      <w:r w:rsidR="005F7038" w:rsidRPr="00DE4780">
        <w:rPr>
          <w:rFonts w:ascii="Times New Roman" w:hAnsi="Times New Roman" w:cs="Times New Roman"/>
          <w:sz w:val="24"/>
          <w:szCs w:val="24"/>
        </w:rPr>
        <w:t xml:space="preserve">на 2016 год </w:t>
      </w:r>
      <w:r w:rsidR="0012282B" w:rsidRPr="00DE4780">
        <w:rPr>
          <w:rFonts w:ascii="Times New Roman" w:hAnsi="Times New Roman" w:cs="Times New Roman"/>
          <w:sz w:val="24"/>
          <w:szCs w:val="24"/>
        </w:rPr>
        <w:t>в 1,9 раза.</w:t>
      </w:r>
    </w:p>
    <w:p w:rsidR="00D65F45" w:rsidRPr="00DE4780" w:rsidRDefault="00D65F45" w:rsidP="00EC14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>Фактическое количество зрителей за предыдущие годы также не дает оснований для планирования доходов от приносящей доход деятельности в части выручки от реализации билетов в установленном размере.</w:t>
      </w:r>
    </w:p>
    <w:p w:rsidR="0012282B" w:rsidRPr="00DE4780" w:rsidRDefault="004A7816" w:rsidP="00EC14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 xml:space="preserve">Так, 61 100 зрителей за 2014 (лучший показатель) соответствуют </w:t>
      </w:r>
      <w:r w:rsidR="0012282B" w:rsidRPr="00DE4780">
        <w:rPr>
          <w:rFonts w:ascii="Times New Roman" w:hAnsi="Times New Roman" w:cs="Times New Roman"/>
          <w:sz w:val="24"/>
          <w:szCs w:val="24"/>
        </w:rPr>
        <w:t>выручк</w:t>
      </w:r>
      <w:r w:rsidRPr="00DE4780">
        <w:rPr>
          <w:rFonts w:ascii="Times New Roman" w:hAnsi="Times New Roman" w:cs="Times New Roman"/>
          <w:sz w:val="24"/>
          <w:szCs w:val="24"/>
        </w:rPr>
        <w:t>е</w:t>
      </w:r>
      <w:r w:rsidR="0012282B" w:rsidRPr="00DE4780">
        <w:rPr>
          <w:rFonts w:ascii="Times New Roman" w:hAnsi="Times New Roman" w:cs="Times New Roman"/>
          <w:sz w:val="24"/>
          <w:szCs w:val="24"/>
        </w:rPr>
        <w:t xml:space="preserve"> от реализации билетов </w:t>
      </w:r>
      <w:r w:rsidRPr="00DE4780">
        <w:rPr>
          <w:rFonts w:ascii="Times New Roman" w:hAnsi="Times New Roman" w:cs="Times New Roman"/>
          <w:sz w:val="24"/>
          <w:szCs w:val="24"/>
        </w:rPr>
        <w:t>в размере</w:t>
      </w:r>
      <w:r w:rsidR="0012282B" w:rsidRPr="00DE4780">
        <w:rPr>
          <w:rFonts w:ascii="Times New Roman" w:hAnsi="Times New Roman" w:cs="Times New Roman"/>
          <w:sz w:val="24"/>
          <w:szCs w:val="24"/>
        </w:rPr>
        <w:t xml:space="preserve"> 16 252,6 тыс. руб., что меньше на 5 911,9 тыс. руб., чем предусмотрено планом ФХД на 2016 год.</w:t>
      </w:r>
    </w:p>
    <w:p w:rsidR="00D056A8" w:rsidRPr="00DE4780" w:rsidRDefault="00D056A8" w:rsidP="00EC14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>Планирование доходов от приносящей доход деятельности в части выручки от реализации билетов в размере 22 164,5 тыс. руб. соответствует количественному показателю 83 325 зрителей (22 164,5 тыс. руб./266 руб.), что в 1,9 раз больше количества зрителей на стационаре, предусмотренного государственным заданием (44 730 зрителей)</w:t>
      </w:r>
      <w:r w:rsidR="002D731A" w:rsidRPr="00DE4780">
        <w:rPr>
          <w:rFonts w:ascii="Times New Roman" w:hAnsi="Times New Roman" w:cs="Times New Roman"/>
          <w:sz w:val="24"/>
          <w:szCs w:val="24"/>
        </w:rPr>
        <w:t xml:space="preserve"> и на 22 436 зрителей (27 %) больше количества зрителей, фактически посетивших спектакли Театра на стационаре в 2016 году (60 889 зрителей)</w:t>
      </w:r>
      <w:r w:rsidRPr="00DE4780">
        <w:rPr>
          <w:rFonts w:ascii="Times New Roman" w:hAnsi="Times New Roman" w:cs="Times New Roman"/>
          <w:sz w:val="24"/>
          <w:szCs w:val="24"/>
        </w:rPr>
        <w:t>.</w:t>
      </w:r>
    </w:p>
    <w:p w:rsidR="00291D94" w:rsidRPr="00DE4780" w:rsidRDefault="00291D94" w:rsidP="00EC14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 xml:space="preserve">С учетом запланированной </w:t>
      </w:r>
      <w:proofErr w:type="spellStart"/>
      <w:r w:rsidRPr="00DE4780">
        <w:rPr>
          <w:rFonts w:ascii="Times New Roman" w:hAnsi="Times New Roman" w:cs="Times New Roman"/>
          <w:sz w:val="24"/>
          <w:szCs w:val="24"/>
        </w:rPr>
        <w:t>заполняемости</w:t>
      </w:r>
      <w:proofErr w:type="spellEnd"/>
      <w:r w:rsidRPr="00DE4780">
        <w:rPr>
          <w:rFonts w:ascii="Times New Roman" w:hAnsi="Times New Roman" w:cs="Times New Roman"/>
          <w:sz w:val="24"/>
          <w:szCs w:val="24"/>
        </w:rPr>
        <w:t xml:space="preserve"> зала 84,1 % для </w:t>
      </w:r>
      <w:r w:rsidR="002D731A" w:rsidRPr="00DE4780">
        <w:rPr>
          <w:rFonts w:ascii="Times New Roman" w:hAnsi="Times New Roman" w:cs="Times New Roman"/>
          <w:sz w:val="24"/>
          <w:szCs w:val="24"/>
        </w:rPr>
        <w:t>посещения</w:t>
      </w:r>
      <w:r w:rsidRPr="00DE4780">
        <w:rPr>
          <w:rFonts w:ascii="Times New Roman" w:hAnsi="Times New Roman" w:cs="Times New Roman"/>
          <w:sz w:val="24"/>
          <w:szCs w:val="24"/>
        </w:rPr>
        <w:t xml:space="preserve"> спектаклей </w:t>
      </w:r>
      <w:r w:rsidR="002D731A" w:rsidRPr="00DE4780">
        <w:rPr>
          <w:rFonts w:ascii="Times New Roman" w:hAnsi="Times New Roman" w:cs="Times New Roman"/>
          <w:sz w:val="24"/>
          <w:szCs w:val="24"/>
        </w:rPr>
        <w:t>22 436 зрителей</w:t>
      </w:r>
      <w:r w:rsidR="005F7038" w:rsidRPr="00DE4780">
        <w:rPr>
          <w:rFonts w:ascii="Times New Roman" w:hAnsi="Times New Roman" w:cs="Times New Roman"/>
          <w:sz w:val="24"/>
          <w:szCs w:val="24"/>
        </w:rPr>
        <w:t xml:space="preserve"> </w:t>
      </w:r>
      <w:r w:rsidRPr="00DE4780">
        <w:rPr>
          <w:rFonts w:ascii="Times New Roman" w:hAnsi="Times New Roman" w:cs="Times New Roman"/>
          <w:sz w:val="24"/>
          <w:szCs w:val="24"/>
        </w:rPr>
        <w:t xml:space="preserve">Театру следовало показать дополнительно </w:t>
      </w:r>
      <w:r w:rsidR="00310424" w:rsidRPr="00DE4780">
        <w:rPr>
          <w:rFonts w:ascii="Times New Roman" w:hAnsi="Times New Roman" w:cs="Times New Roman"/>
          <w:sz w:val="24"/>
          <w:szCs w:val="24"/>
        </w:rPr>
        <w:t>4</w:t>
      </w:r>
      <w:r w:rsidR="005F7038" w:rsidRPr="00DE4780">
        <w:rPr>
          <w:rFonts w:ascii="Times New Roman" w:hAnsi="Times New Roman" w:cs="Times New Roman"/>
          <w:sz w:val="24"/>
          <w:szCs w:val="24"/>
        </w:rPr>
        <w:t>7</w:t>
      </w:r>
      <w:r w:rsidR="00C44951" w:rsidRPr="00DE4780">
        <w:rPr>
          <w:rFonts w:ascii="Times New Roman" w:hAnsi="Times New Roman" w:cs="Times New Roman"/>
          <w:sz w:val="24"/>
          <w:szCs w:val="24"/>
        </w:rPr>
        <w:t xml:space="preserve"> спектакл</w:t>
      </w:r>
      <w:r w:rsidR="00310424" w:rsidRPr="00DE4780">
        <w:rPr>
          <w:rFonts w:ascii="Times New Roman" w:hAnsi="Times New Roman" w:cs="Times New Roman"/>
          <w:sz w:val="24"/>
          <w:szCs w:val="24"/>
        </w:rPr>
        <w:t>ей</w:t>
      </w:r>
      <w:r w:rsidRPr="00DE4780">
        <w:rPr>
          <w:rFonts w:ascii="Times New Roman" w:hAnsi="Times New Roman" w:cs="Times New Roman"/>
          <w:sz w:val="24"/>
          <w:szCs w:val="24"/>
        </w:rPr>
        <w:t xml:space="preserve"> в большом зале</w:t>
      </w:r>
      <w:r w:rsidR="00C44951" w:rsidRPr="00DE4780">
        <w:rPr>
          <w:rFonts w:ascii="Times New Roman" w:hAnsi="Times New Roman" w:cs="Times New Roman"/>
          <w:sz w:val="24"/>
          <w:szCs w:val="24"/>
        </w:rPr>
        <w:t>, что еще больше увеличило бы предельную нагрузку на артистов Театра</w:t>
      </w:r>
      <w:r w:rsidR="005F7038" w:rsidRPr="00DE4780">
        <w:rPr>
          <w:rFonts w:ascii="Times New Roman" w:hAnsi="Times New Roman" w:cs="Times New Roman"/>
          <w:sz w:val="24"/>
          <w:szCs w:val="24"/>
        </w:rPr>
        <w:t xml:space="preserve"> и </w:t>
      </w:r>
      <w:r w:rsidR="004A7816" w:rsidRPr="00DE478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F7038" w:rsidRPr="00DE4780">
        <w:rPr>
          <w:rFonts w:ascii="Times New Roman" w:hAnsi="Times New Roman" w:cs="Times New Roman"/>
          <w:sz w:val="24"/>
          <w:szCs w:val="24"/>
        </w:rPr>
        <w:t>свидетельствует о формальном подходе Комитета к формированию плана ФХД Театра</w:t>
      </w:r>
      <w:r w:rsidR="00C44951" w:rsidRPr="00DE4780">
        <w:rPr>
          <w:rFonts w:ascii="Times New Roman" w:hAnsi="Times New Roman" w:cs="Times New Roman"/>
          <w:sz w:val="24"/>
          <w:szCs w:val="24"/>
        </w:rPr>
        <w:t>.</w:t>
      </w:r>
    </w:p>
    <w:p w:rsidR="007178B5" w:rsidRPr="00DE4780" w:rsidRDefault="007178B5" w:rsidP="007178B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>Каких-либо управленческих решений Комитетом по получению Театром запланированных учреждению доходов от приносящей доход деятельности не принято.</w:t>
      </w:r>
    </w:p>
    <w:p w:rsidR="00722B74" w:rsidRPr="00DE4780" w:rsidRDefault="00CB7891" w:rsidP="002B2718">
      <w:pPr>
        <w:ind w:firstLine="709"/>
        <w:jc w:val="both"/>
        <w:rPr>
          <w:color w:val="000099"/>
        </w:rPr>
      </w:pPr>
      <w:r w:rsidRPr="00DE4780">
        <w:t xml:space="preserve">Расходы </w:t>
      </w:r>
      <w:proofErr w:type="spellStart"/>
      <w:r w:rsidRPr="00DE4780">
        <w:t>ТЮЗ</w:t>
      </w:r>
      <w:r w:rsidR="0012282B" w:rsidRPr="00DE4780">
        <w:t>а</w:t>
      </w:r>
      <w:proofErr w:type="spellEnd"/>
      <w:r w:rsidRPr="00DE4780">
        <w:t xml:space="preserve"> за счет средств, полученных от приносящей доход деятельности, в 2016 году составили 18 999,7 тыс. руб., или 82,4 % от утвержденного значения (23 064,9 тыс. руб.). </w:t>
      </w:r>
    </w:p>
    <w:p w:rsidR="006355C0" w:rsidRPr="00DE4780" w:rsidRDefault="00181ED2" w:rsidP="006355C0">
      <w:pPr>
        <w:ind w:firstLine="709"/>
        <w:jc w:val="both"/>
      </w:pPr>
      <w:r w:rsidRPr="00DE4780">
        <w:t>В результате завышения планируемых поступлений от продажи билетов (</w:t>
      </w:r>
      <w:r w:rsidR="000E7E2B" w:rsidRPr="00DE4780">
        <w:t>таблиц</w:t>
      </w:r>
      <w:r w:rsidRPr="00DE4780">
        <w:t>а</w:t>
      </w:r>
      <w:r w:rsidR="006355C0" w:rsidRPr="00DE4780">
        <w:t xml:space="preserve"> № </w:t>
      </w:r>
      <w:r w:rsidR="00A36211" w:rsidRPr="00DE4780">
        <w:t>5</w:t>
      </w:r>
      <w:r w:rsidRPr="00DE4780">
        <w:t>)</w:t>
      </w:r>
      <w:r w:rsidR="006355C0" w:rsidRPr="00DE4780">
        <w:t xml:space="preserve"> в 2016 году приняты</w:t>
      </w:r>
      <w:r w:rsidR="00250125" w:rsidRPr="00DE4780">
        <w:t>е</w:t>
      </w:r>
      <w:r w:rsidR="006355C0" w:rsidRPr="00DE4780">
        <w:t xml:space="preserve"> </w:t>
      </w:r>
      <w:r w:rsidR="00250125" w:rsidRPr="00DE4780">
        <w:t xml:space="preserve">Театром </w:t>
      </w:r>
      <w:r w:rsidR="006355C0" w:rsidRPr="00DE4780">
        <w:t>обязательства (</w:t>
      </w:r>
      <w:r w:rsidR="00250125" w:rsidRPr="00DE4780">
        <w:t>22 946,9 тыс. руб.</w:t>
      </w:r>
      <w:r w:rsidR="006355C0" w:rsidRPr="00DE4780">
        <w:t>)</w:t>
      </w:r>
      <w:r w:rsidR="00250125" w:rsidRPr="00DE4780">
        <w:t xml:space="preserve"> на 455,2 тыс. руб. превышают утвержденные плановые назначения по доходам (22 491,7 тыс. руб.) и на 4 390,3 тыс. руб. фактически поступившие доходы </w:t>
      </w:r>
      <w:r w:rsidR="002568C6" w:rsidRPr="00DE4780">
        <w:t>по</w:t>
      </w:r>
      <w:r w:rsidR="00250125" w:rsidRPr="00DE4780">
        <w:t xml:space="preserve"> приносящей доход деятельности (18 556,6 тыс. руб.), что способствовало образованию кредиторской задолженности по приносящей доход деятельности на конец 2016 года в размере 3 949,1 тыс. рублей.</w:t>
      </w:r>
    </w:p>
    <w:p w:rsidR="00250125" w:rsidRPr="00DE4780" w:rsidRDefault="00250125" w:rsidP="006355C0">
      <w:pPr>
        <w:ind w:firstLine="709"/>
        <w:jc w:val="both"/>
      </w:pPr>
      <w:r w:rsidRPr="00DE4780">
        <w:t>Основная часть вышеуказанной кредиторской задолженности приходится на оплату труда с начислениями (2 266,3 тыс. руб.)</w:t>
      </w:r>
      <w:r w:rsidR="002568C6" w:rsidRPr="00DE4780">
        <w:t>, которая сформирована учреждением в результате необоснованных выплат, о чем подробнее далее в отчете.</w:t>
      </w:r>
    </w:p>
    <w:p w:rsidR="002568C6" w:rsidRPr="00DE4780" w:rsidRDefault="002568C6" w:rsidP="006355C0">
      <w:pPr>
        <w:ind w:firstLine="709"/>
        <w:jc w:val="both"/>
      </w:pPr>
      <w:r w:rsidRPr="00DE4780">
        <w:t>Одной из главных причин формирования кредиторской задолженности по приносящей доход деятельности является несбалансированность запланированной деятельност</w:t>
      </w:r>
      <w:r w:rsidR="00C61B53" w:rsidRPr="00DE4780">
        <w:t>и</w:t>
      </w:r>
      <w:r w:rsidRPr="00DE4780">
        <w:t xml:space="preserve"> учреждения в рамках выполнения государственного задания и по приносящей доход деятельности.</w:t>
      </w:r>
    </w:p>
    <w:p w:rsidR="00722B74" w:rsidRPr="00DE4780" w:rsidRDefault="004E15AE" w:rsidP="003C47A0">
      <w:pPr>
        <w:spacing w:before="120"/>
        <w:ind w:firstLine="709"/>
        <w:jc w:val="center"/>
        <w:rPr>
          <w:b/>
        </w:rPr>
      </w:pPr>
      <w:r w:rsidRPr="00DE4780">
        <w:rPr>
          <w:b/>
        </w:rPr>
        <w:t>4</w:t>
      </w:r>
      <w:r w:rsidR="007112EF" w:rsidRPr="00DE4780">
        <w:rPr>
          <w:b/>
        </w:rPr>
        <w:t>. </w:t>
      </w:r>
      <w:r w:rsidR="00B962F7" w:rsidRPr="00DE4780">
        <w:rPr>
          <w:b/>
        </w:rPr>
        <w:t>Нарушения и недоставки, установленные выборочной проверк</w:t>
      </w:r>
      <w:r w:rsidR="00E92D4B" w:rsidRPr="00DE4780">
        <w:rPr>
          <w:b/>
        </w:rPr>
        <w:t>ой</w:t>
      </w:r>
      <w:r w:rsidR="00B962F7" w:rsidRPr="00DE4780">
        <w:rPr>
          <w:b/>
        </w:rPr>
        <w:t xml:space="preserve"> </w:t>
      </w:r>
      <w:r w:rsidR="00CB7891" w:rsidRPr="00DE4780">
        <w:rPr>
          <w:b/>
        </w:rPr>
        <w:t>расходов</w:t>
      </w:r>
      <w:r w:rsidR="003A3E15" w:rsidRPr="00DE4780">
        <w:rPr>
          <w:b/>
        </w:rPr>
        <w:t xml:space="preserve"> учреждения</w:t>
      </w:r>
    </w:p>
    <w:p w:rsidR="00F30545" w:rsidRPr="00DE4780" w:rsidRDefault="00F30545" w:rsidP="006355C0">
      <w:pPr>
        <w:autoSpaceDE w:val="0"/>
        <w:autoSpaceDN w:val="0"/>
        <w:adjustRightInd w:val="0"/>
        <w:ind w:firstLine="708"/>
        <w:jc w:val="both"/>
        <w:outlineLvl w:val="0"/>
        <w:rPr>
          <w:b/>
        </w:rPr>
      </w:pPr>
      <w:r w:rsidRPr="00DE4780">
        <w:t>При осуществлении расходов на оплату труда установлены нарушения при установлении и выплате стимулирующих и компенсационных надбавок,</w:t>
      </w:r>
      <w:r w:rsidRPr="00DE4780">
        <w:rPr>
          <w:b/>
        </w:rPr>
        <w:t xml:space="preserve"> </w:t>
      </w:r>
      <w:r w:rsidRPr="00DE4780">
        <w:t xml:space="preserve">материальной помощи, заключении договоров </w:t>
      </w:r>
      <w:r w:rsidR="00B54EA0" w:rsidRPr="00DE4780">
        <w:t xml:space="preserve">со сторонними лицами </w:t>
      </w:r>
      <w:r w:rsidRPr="00DE4780">
        <w:t>на выполнение обязанностей идентичных должностным обязанностям сотрудников Театра, при согласовании сделок с заинтересованностью лица.</w:t>
      </w:r>
    </w:p>
    <w:p w:rsidR="00B962F7" w:rsidRPr="00DE4780" w:rsidRDefault="004E15AE" w:rsidP="00B962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b/>
          <w:sz w:val="24"/>
          <w:szCs w:val="24"/>
        </w:rPr>
        <w:t>4</w:t>
      </w:r>
      <w:r w:rsidR="00A872FA" w:rsidRPr="00DE4780">
        <w:rPr>
          <w:rFonts w:ascii="Times New Roman" w:hAnsi="Times New Roman" w:cs="Times New Roman"/>
          <w:b/>
          <w:sz w:val="24"/>
          <w:szCs w:val="24"/>
        </w:rPr>
        <w:t>.</w:t>
      </w:r>
      <w:r w:rsidR="00B962F7" w:rsidRPr="00DE4780">
        <w:rPr>
          <w:rFonts w:ascii="Times New Roman" w:hAnsi="Times New Roman" w:cs="Times New Roman"/>
          <w:b/>
          <w:sz w:val="24"/>
          <w:szCs w:val="24"/>
        </w:rPr>
        <w:t>1.</w:t>
      </w:r>
      <w:r w:rsidR="00B962F7" w:rsidRPr="00DE4780">
        <w:rPr>
          <w:rFonts w:ascii="Times New Roman" w:hAnsi="Times New Roman" w:cs="Times New Roman"/>
          <w:sz w:val="24"/>
          <w:szCs w:val="24"/>
        </w:rPr>
        <w:t xml:space="preserve"> В нарушение п. 3.1 постановления Администрации Волгоградской области от 23 мая 2011 г. № 228-п «Об оплате труда работников государственных учреждений, подведомственных министерству культуры Волгоградской области» (далее Постановление №228-п), устанавливающего исчерпывающий перечень компенсационных выплат, </w:t>
      </w:r>
      <w:r w:rsidR="00B962F7" w:rsidRPr="00DE4780">
        <w:rPr>
          <w:rFonts w:ascii="Times New Roman" w:hAnsi="Times New Roman" w:cs="Times New Roman"/>
          <w:i/>
          <w:sz w:val="24"/>
          <w:szCs w:val="24"/>
        </w:rPr>
        <w:t>Положени</w:t>
      </w:r>
      <w:r w:rsidR="00CA3D51" w:rsidRPr="00DE4780">
        <w:rPr>
          <w:rFonts w:ascii="Times New Roman" w:hAnsi="Times New Roman" w:cs="Times New Roman"/>
          <w:i/>
          <w:sz w:val="24"/>
          <w:szCs w:val="24"/>
        </w:rPr>
        <w:t>ем</w:t>
      </w:r>
      <w:r w:rsidR="00B962F7" w:rsidRPr="00DE47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527A" w:rsidRPr="00DE4780">
        <w:rPr>
          <w:rFonts w:ascii="Times New Roman" w:hAnsi="Times New Roman" w:cs="Times New Roman"/>
          <w:i/>
          <w:sz w:val="24"/>
          <w:szCs w:val="24"/>
        </w:rPr>
        <w:t>об оплате труда и премировании работников Театра, премированию и оказанию материальной помощи</w:t>
      </w:r>
      <w:r w:rsidR="00FE527A" w:rsidRPr="00DE4780">
        <w:rPr>
          <w:rFonts w:ascii="Times New Roman" w:hAnsi="Times New Roman" w:cs="Times New Roman"/>
          <w:sz w:val="24"/>
          <w:szCs w:val="24"/>
        </w:rPr>
        <w:t xml:space="preserve"> (далее Положение</w:t>
      </w:r>
      <w:r w:rsidR="00C80EEC" w:rsidRPr="00DE4780">
        <w:rPr>
          <w:rFonts w:ascii="Times New Roman" w:hAnsi="Times New Roman" w:cs="Times New Roman"/>
          <w:sz w:val="24"/>
          <w:szCs w:val="24"/>
        </w:rPr>
        <w:t xml:space="preserve"> об оплате труда</w:t>
      </w:r>
      <w:r w:rsidR="00FE527A" w:rsidRPr="00DE4780">
        <w:rPr>
          <w:rFonts w:ascii="Times New Roman" w:hAnsi="Times New Roman" w:cs="Times New Roman"/>
          <w:sz w:val="24"/>
          <w:szCs w:val="24"/>
        </w:rPr>
        <w:t>), утвержденн</w:t>
      </w:r>
      <w:r w:rsidR="00CA3D51" w:rsidRPr="00DE4780">
        <w:rPr>
          <w:rFonts w:ascii="Times New Roman" w:hAnsi="Times New Roman" w:cs="Times New Roman"/>
          <w:sz w:val="24"/>
          <w:szCs w:val="24"/>
        </w:rPr>
        <w:t xml:space="preserve">ым </w:t>
      </w:r>
      <w:r w:rsidR="00FE527A" w:rsidRPr="00DE4780">
        <w:rPr>
          <w:rFonts w:ascii="Times New Roman" w:hAnsi="Times New Roman" w:cs="Times New Roman"/>
          <w:sz w:val="24"/>
          <w:szCs w:val="24"/>
        </w:rPr>
        <w:lastRenderedPageBreak/>
        <w:t xml:space="preserve">директором </w:t>
      </w:r>
      <w:proofErr w:type="spellStart"/>
      <w:r w:rsidR="00FE527A" w:rsidRPr="00DE4780">
        <w:rPr>
          <w:rFonts w:ascii="Times New Roman" w:hAnsi="Times New Roman" w:cs="Times New Roman"/>
          <w:sz w:val="24"/>
          <w:szCs w:val="24"/>
        </w:rPr>
        <w:t>Т</w:t>
      </w:r>
      <w:r w:rsidR="00CA3D51" w:rsidRPr="00DE4780">
        <w:rPr>
          <w:rFonts w:ascii="Times New Roman" w:hAnsi="Times New Roman" w:cs="Times New Roman"/>
          <w:sz w:val="24"/>
          <w:szCs w:val="24"/>
        </w:rPr>
        <w:t>ЮЗ</w:t>
      </w:r>
      <w:r w:rsidR="00B54EA0" w:rsidRPr="00DE478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E527A" w:rsidRPr="00DE4780">
        <w:rPr>
          <w:rFonts w:ascii="Times New Roman" w:hAnsi="Times New Roman" w:cs="Times New Roman"/>
          <w:sz w:val="24"/>
          <w:szCs w:val="24"/>
        </w:rPr>
        <w:t xml:space="preserve"> 10.05.2012, </w:t>
      </w:r>
      <w:r w:rsidR="00B962F7" w:rsidRPr="00DE4780">
        <w:rPr>
          <w:rFonts w:ascii="Times New Roman" w:hAnsi="Times New Roman" w:cs="Times New Roman"/>
          <w:sz w:val="24"/>
          <w:szCs w:val="24"/>
        </w:rPr>
        <w:t>предусмотрены иные компенсационные выплаты (за работу с разделением рабочего дня на части в размере 5% должностного оклада; доплата за третий вызов артистов</w:t>
      </w:r>
      <w:r w:rsidR="002B2718" w:rsidRPr="00DE4780">
        <w:rPr>
          <w:rFonts w:ascii="Times New Roman" w:hAnsi="Times New Roman" w:cs="Times New Roman"/>
          <w:sz w:val="24"/>
          <w:szCs w:val="24"/>
        </w:rPr>
        <w:t xml:space="preserve"> при норме выступлений 2 спектакля в день</w:t>
      </w:r>
      <w:r w:rsidR="00B962F7" w:rsidRPr="00DE4780">
        <w:rPr>
          <w:rFonts w:ascii="Times New Roman" w:hAnsi="Times New Roman" w:cs="Times New Roman"/>
          <w:sz w:val="24"/>
          <w:szCs w:val="24"/>
        </w:rPr>
        <w:t xml:space="preserve">, помощников режиссера, а также переработку ими месячных охранных норм выступлений в спектаклях). </w:t>
      </w:r>
      <w:r w:rsidR="002B2718" w:rsidRPr="00DE4780">
        <w:rPr>
          <w:rFonts w:ascii="Times New Roman" w:hAnsi="Times New Roman" w:cs="Times New Roman"/>
          <w:sz w:val="24"/>
          <w:szCs w:val="24"/>
        </w:rPr>
        <w:t xml:space="preserve">В 2016 году начислено таких выплат на сумму </w:t>
      </w:r>
      <w:r w:rsidR="002B2718" w:rsidRPr="00DE4780">
        <w:rPr>
          <w:rFonts w:ascii="Times New Roman" w:hAnsi="Times New Roman" w:cs="Times New Roman"/>
          <w:b/>
          <w:sz w:val="24"/>
          <w:szCs w:val="24"/>
        </w:rPr>
        <w:t>202,7</w:t>
      </w:r>
      <w:r w:rsidR="002B2718" w:rsidRPr="00DE4780">
        <w:rPr>
          <w:rFonts w:ascii="Times New Roman" w:hAnsi="Times New Roman" w:cs="Times New Roman"/>
          <w:sz w:val="24"/>
          <w:szCs w:val="24"/>
        </w:rPr>
        <w:t xml:space="preserve"> тыс. рублей. Следует отметить, что доплата за третий вызов артистов при норме выступлений 2 </w:t>
      </w:r>
      <w:r w:rsidR="008E3298" w:rsidRPr="00DE4780">
        <w:rPr>
          <w:rFonts w:ascii="Times New Roman" w:hAnsi="Times New Roman" w:cs="Times New Roman"/>
          <w:sz w:val="24"/>
          <w:szCs w:val="24"/>
        </w:rPr>
        <w:t>вызова</w:t>
      </w:r>
      <w:r w:rsidR="002B2718" w:rsidRPr="00DE4780">
        <w:rPr>
          <w:rFonts w:ascii="Times New Roman" w:hAnsi="Times New Roman" w:cs="Times New Roman"/>
          <w:sz w:val="24"/>
          <w:szCs w:val="24"/>
        </w:rPr>
        <w:t xml:space="preserve"> в день, а также за переработку ими месячных охранных норм выступлений в спектаклях напрямую зависит от количества спектаклей, проводимых в Театре. Соответственно выполнение </w:t>
      </w:r>
      <w:r w:rsidR="00B16D5A" w:rsidRPr="00DE4780">
        <w:rPr>
          <w:rFonts w:ascii="Times New Roman" w:hAnsi="Times New Roman" w:cs="Times New Roman"/>
          <w:sz w:val="24"/>
          <w:szCs w:val="24"/>
        </w:rPr>
        <w:t xml:space="preserve">количественных показателей </w:t>
      </w:r>
      <w:r w:rsidR="002B2718" w:rsidRPr="00DE4780">
        <w:rPr>
          <w:rFonts w:ascii="Times New Roman" w:hAnsi="Times New Roman" w:cs="Times New Roman"/>
          <w:sz w:val="24"/>
          <w:szCs w:val="24"/>
        </w:rPr>
        <w:t>государственного задания без учета показателей качества путем увеличения количества спектаклей приводит к дополнительным расходам учреждения и не соотносится с принципом эффе</w:t>
      </w:r>
      <w:r w:rsidR="00B54EA0" w:rsidRPr="00DE4780">
        <w:rPr>
          <w:rFonts w:ascii="Times New Roman" w:hAnsi="Times New Roman" w:cs="Times New Roman"/>
          <w:sz w:val="24"/>
          <w:szCs w:val="24"/>
        </w:rPr>
        <w:t>ктивного использования средств.</w:t>
      </w:r>
    </w:p>
    <w:p w:rsidR="00B962F7" w:rsidRPr="00DE4780" w:rsidRDefault="004E15AE" w:rsidP="006321B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780">
        <w:rPr>
          <w:rFonts w:ascii="Times New Roman" w:hAnsi="Times New Roman" w:cs="Times New Roman"/>
          <w:b/>
          <w:sz w:val="24"/>
          <w:szCs w:val="24"/>
        </w:rPr>
        <w:t>4</w:t>
      </w:r>
      <w:r w:rsidR="00A872FA" w:rsidRPr="00DE4780">
        <w:rPr>
          <w:rFonts w:ascii="Times New Roman" w:hAnsi="Times New Roman" w:cs="Times New Roman"/>
          <w:b/>
          <w:sz w:val="24"/>
          <w:szCs w:val="24"/>
        </w:rPr>
        <w:t>.</w:t>
      </w:r>
      <w:r w:rsidR="006321B0" w:rsidRPr="00DE4780">
        <w:rPr>
          <w:rFonts w:ascii="Times New Roman" w:hAnsi="Times New Roman" w:cs="Times New Roman"/>
          <w:b/>
          <w:sz w:val="24"/>
          <w:szCs w:val="24"/>
        </w:rPr>
        <w:t>2.</w:t>
      </w:r>
      <w:r w:rsidR="006321B0" w:rsidRPr="00DE4780">
        <w:rPr>
          <w:rFonts w:ascii="Times New Roman" w:hAnsi="Times New Roman" w:cs="Times New Roman"/>
          <w:sz w:val="24"/>
          <w:szCs w:val="24"/>
        </w:rPr>
        <w:t xml:space="preserve"> </w:t>
      </w:r>
      <w:r w:rsidR="00B962F7" w:rsidRPr="00DE4780">
        <w:rPr>
          <w:rFonts w:ascii="Times New Roman" w:hAnsi="Times New Roman" w:cs="Times New Roman"/>
          <w:sz w:val="24"/>
          <w:szCs w:val="24"/>
        </w:rPr>
        <w:t>В нарушение п. 4.11 Постановления №</w:t>
      </w:r>
      <w:r w:rsidR="008E3298" w:rsidRPr="00DE4780">
        <w:rPr>
          <w:rFonts w:ascii="Times New Roman" w:hAnsi="Times New Roman" w:cs="Times New Roman"/>
          <w:sz w:val="24"/>
          <w:szCs w:val="24"/>
        </w:rPr>
        <w:t> </w:t>
      </w:r>
      <w:r w:rsidR="00B962F7" w:rsidRPr="00DE4780">
        <w:rPr>
          <w:rFonts w:ascii="Times New Roman" w:hAnsi="Times New Roman" w:cs="Times New Roman"/>
          <w:sz w:val="24"/>
          <w:szCs w:val="24"/>
        </w:rPr>
        <w:t>228-п и п. 4.10 Положения</w:t>
      </w:r>
      <w:r w:rsidR="00C80EEC" w:rsidRPr="00DE4780">
        <w:rPr>
          <w:rFonts w:ascii="Times New Roman" w:hAnsi="Times New Roman" w:cs="Times New Roman"/>
          <w:sz w:val="24"/>
          <w:szCs w:val="24"/>
        </w:rPr>
        <w:t xml:space="preserve"> об оплате труда</w:t>
      </w:r>
      <w:r w:rsidR="00B962F7" w:rsidRPr="00DE4780">
        <w:rPr>
          <w:rFonts w:ascii="Times New Roman" w:hAnsi="Times New Roman" w:cs="Times New Roman"/>
          <w:sz w:val="24"/>
          <w:szCs w:val="24"/>
        </w:rPr>
        <w:t xml:space="preserve">, в соответствии с которыми выплата за интенсивность и высокие результаты работы должна быть установлена в абсолютном размере или процентном отношении </w:t>
      </w:r>
      <w:r w:rsidR="00B962F7" w:rsidRPr="00DE4780">
        <w:rPr>
          <w:rFonts w:ascii="Times New Roman" w:hAnsi="Times New Roman" w:cs="Times New Roman"/>
          <w:sz w:val="24"/>
          <w:szCs w:val="24"/>
          <w:u w:val="single"/>
        </w:rPr>
        <w:t>к окладу</w:t>
      </w:r>
      <w:r w:rsidR="00B962F7" w:rsidRPr="00DE4780">
        <w:rPr>
          <w:rFonts w:ascii="Times New Roman" w:hAnsi="Times New Roman" w:cs="Times New Roman"/>
          <w:sz w:val="24"/>
          <w:szCs w:val="24"/>
        </w:rPr>
        <w:t xml:space="preserve">, п.п. 4.11-4.13 Положения </w:t>
      </w:r>
      <w:r w:rsidR="008E3298" w:rsidRPr="00DE4780">
        <w:rPr>
          <w:rFonts w:ascii="Times New Roman" w:hAnsi="Times New Roman" w:cs="Times New Roman"/>
          <w:sz w:val="24"/>
          <w:szCs w:val="24"/>
        </w:rPr>
        <w:t xml:space="preserve">об оплате труда </w:t>
      </w:r>
      <w:r w:rsidR="00B962F7" w:rsidRPr="00DE4780">
        <w:rPr>
          <w:rFonts w:ascii="Times New Roman" w:hAnsi="Times New Roman" w:cs="Times New Roman"/>
          <w:sz w:val="24"/>
          <w:szCs w:val="24"/>
        </w:rPr>
        <w:t xml:space="preserve">работникам Театра </w:t>
      </w:r>
      <w:r w:rsidR="00B56E3C" w:rsidRPr="00DE4780">
        <w:rPr>
          <w:rFonts w:ascii="Times New Roman" w:hAnsi="Times New Roman" w:cs="Times New Roman"/>
          <w:sz w:val="24"/>
          <w:szCs w:val="24"/>
        </w:rPr>
        <w:t xml:space="preserve">(администраторам, кассирам, работникам, реализующим программки) </w:t>
      </w:r>
      <w:r w:rsidR="00B962F7" w:rsidRPr="00DE4780">
        <w:rPr>
          <w:rFonts w:ascii="Times New Roman" w:hAnsi="Times New Roman" w:cs="Times New Roman"/>
          <w:sz w:val="24"/>
          <w:szCs w:val="24"/>
        </w:rPr>
        <w:t xml:space="preserve">установлены доплаты в процентах </w:t>
      </w:r>
      <w:r w:rsidR="00B962F7" w:rsidRPr="00DE4780">
        <w:rPr>
          <w:rFonts w:ascii="Times New Roman" w:hAnsi="Times New Roman" w:cs="Times New Roman"/>
          <w:sz w:val="24"/>
          <w:szCs w:val="24"/>
          <w:u w:val="single"/>
        </w:rPr>
        <w:t>от выручки</w:t>
      </w:r>
      <w:r w:rsidR="00B56E3C" w:rsidRPr="00DE4780">
        <w:rPr>
          <w:rFonts w:ascii="Times New Roman" w:hAnsi="Times New Roman" w:cs="Times New Roman"/>
          <w:sz w:val="24"/>
          <w:szCs w:val="24"/>
        </w:rPr>
        <w:t xml:space="preserve">. </w:t>
      </w:r>
      <w:r w:rsidR="00B962F7" w:rsidRPr="00DE4780">
        <w:rPr>
          <w:rFonts w:ascii="Times New Roman" w:hAnsi="Times New Roman" w:cs="Times New Roman"/>
          <w:sz w:val="24"/>
          <w:szCs w:val="24"/>
        </w:rPr>
        <w:t xml:space="preserve">Общая сумма доплат, установленных в процентах от выручки, составила в 2016 году </w:t>
      </w:r>
      <w:r w:rsidR="00B962F7" w:rsidRPr="00DE4780">
        <w:rPr>
          <w:rFonts w:ascii="Times New Roman" w:hAnsi="Times New Roman" w:cs="Times New Roman"/>
          <w:b/>
          <w:sz w:val="24"/>
          <w:szCs w:val="24"/>
        </w:rPr>
        <w:t>2154,3 тыс. рублей.</w:t>
      </w:r>
    </w:p>
    <w:p w:rsidR="00B962F7" w:rsidRPr="00DE4780" w:rsidRDefault="004E15AE" w:rsidP="008B4A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b/>
          <w:sz w:val="24"/>
          <w:szCs w:val="24"/>
        </w:rPr>
        <w:t>4</w:t>
      </w:r>
      <w:r w:rsidR="00A872FA" w:rsidRPr="00DE4780">
        <w:rPr>
          <w:rFonts w:ascii="Times New Roman" w:hAnsi="Times New Roman" w:cs="Times New Roman"/>
          <w:b/>
          <w:sz w:val="24"/>
          <w:szCs w:val="24"/>
        </w:rPr>
        <w:t>.</w:t>
      </w:r>
      <w:r w:rsidR="006321B0" w:rsidRPr="00DE4780">
        <w:rPr>
          <w:rFonts w:ascii="Times New Roman" w:hAnsi="Times New Roman" w:cs="Times New Roman"/>
          <w:b/>
          <w:sz w:val="24"/>
          <w:szCs w:val="24"/>
        </w:rPr>
        <w:t>3.</w:t>
      </w:r>
      <w:r w:rsidR="006321B0" w:rsidRPr="00DE4780">
        <w:rPr>
          <w:rFonts w:ascii="Times New Roman" w:hAnsi="Times New Roman" w:cs="Times New Roman"/>
          <w:sz w:val="24"/>
          <w:szCs w:val="24"/>
        </w:rPr>
        <w:t xml:space="preserve"> </w:t>
      </w:r>
      <w:r w:rsidR="00B962F7" w:rsidRPr="00DE4780">
        <w:rPr>
          <w:rFonts w:ascii="Times New Roman" w:hAnsi="Times New Roman" w:cs="Times New Roman"/>
          <w:sz w:val="24"/>
          <w:szCs w:val="24"/>
        </w:rPr>
        <w:t xml:space="preserve">Разделом 7 Положения Театра «Условия и порядок осуществления прочих выплат» установлена стимулирующая </w:t>
      </w:r>
      <w:r w:rsidR="00FE4153" w:rsidRPr="00DE4780">
        <w:rPr>
          <w:rFonts w:ascii="Times New Roman" w:hAnsi="Times New Roman" w:cs="Times New Roman"/>
          <w:sz w:val="24"/>
          <w:szCs w:val="24"/>
        </w:rPr>
        <w:t xml:space="preserve">ежемесячная </w:t>
      </w:r>
      <w:r w:rsidR="00B962F7" w:rsidRPr="00DE4780">
        <w:rPr>
          <w:rFonts w:ascii="Times New Roman" w:hAnsi="Times New Roman" w:cs="Times New Roman"/>
          <w:sz w:val="24"/>
          <w:szCs w:val="24"/>
        </w:rPr>
        <w:t>выплата в размере от 4 до 6 тыс. руб. лицам, принятым на работу после окончания высшего или среднего учебного заведения по специальности, при этом Постановлением №</w:t>
      </w:r>
      <w:r w:rsidR="008B4A54" w:rsidRPr="00DE4780">
        <w:rPr>
          <w:rFonts w:ascii="Times New Roman" w:hAnsi="Times New Roman" w:cs="Times New Roman"/>
          <w:sz w:val="24"/>
          <w:szCs w:val="24"/>
        </w:rPr>
        <w:t> </w:t>
      </w:r>
      <w:r w:rsidR="00B962F7" w:rsidRPr="00DE4780">
        <w:rPr>
          <w:rFonts w:ascii="Times New Roman" w:hAnsi="Times New Roman" w:cs="Times New Roman"/>
          <w:sz w:val="24"/>
          <w:szCs w:val="24"/>
        </w:rPr>
        <w:t xml:space="preserve">228-п такой вид выплат не предусмотрен. В 2016 году начислено стимулирующей выплаты молодым специалистам на сумму </w:t>
      </w:r>
      <w:r w:rsidR="00B962F7" w:rsidRPr="00DE4780">
        <w:rPr>
          <w:rFonts w:ascii="Times New Roman" w:hAnsi="Times New Roman" w:cs="Times New Roman"/>
          <w:b/>
          <w:sz w:val="24"/>
          <w:szCs w:val="24"/>
        </w:rPr>
        <w:t>21,8</w:t>
      </w:r>
      <w:r w:rsidR="00B962F7" w:rsidRPr="00DE478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962F7" w:rsidRPr="00DE4780" w:rsidRDefault="004E15AE" w:rsidP="008B4A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b/>
          <w:sz w:val="24"/>
          <w:szCs w:val="24"/>
        </w:rPr>
        <w:t>4</w:t>
      </w:r>
      <w:r w:rsidR="00A872FA" w:rsidRPr="00DE4780">
        <w:rPr>
          <w:rFonts w:ascii="Times New Roman" w:hAnsi="Times New Roman" w:cs="Times New Roman"/>
          <w:b/>
          <w:sz w:val="24"/>
          <w:szCs w:val="24"/>
        </w:rPr>
        <w:t>.</w:t>
      </w:r>
      <w:r w:rsidR="006321B0" w:rsidRPr="00DE4780">
        <w:rPr>
          <w:rFonts w:ascii="Times New Roman" w:hAnsi="Times New Roman" w:cs="Times New Roman"/>
          <w:b/>
          <w:sz w:val="24"/>
          <w:szCs w:val="24"/>
        </w:rPr>
        <w:t>4.</w:t>
      </w:r>
      <w:r w:rsidR="006321B0" w:rsidRPr="00DE4780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="00B962F7" w:rsidRPr="00DE4780">
        <w:rPr>
          <w:rFonts w:ascii="Times New Roman" w:hAnsi="Times New Roman" w:cs="Times New Roman"/>
          <w:sz w:val="24"/>
          <w:szCs w:val="24"/>
        </w:rPr>
        <w:t xml:space="preserve"> </w:t>
      </w:r>
      <w:r w:rsidR="009A450B" w:rsidRPr="00DE4780">
        <w:rPr>
          <w:rFonts w:ascii="Times New Roman" w:hAnsi="Times New Roman" w:cs="Times New Roman"/>
          <w:sz w:val="24"/>
          <w:szCs w:val="24"/>
        </w:rPr>
        <w:t>6</w:t>
      </w:r>
      <w:r w:rsidR="00B962F7" w:rsidRPr="00DE4780">
        <w:rPr>
          <w:rFonts w:ascii="Times New Roman" w:hAnsi="Times New Roman" w:cs="Times New Roman"/>
          <w:sz w:val="24"/>
          <w:szCs w:val="24"/>
        </w:rPr>
        <w:t xml:space="preserve">.1 Положения предусмотрена возможность предоставления материальной помощи бывшим работникам Театра, что не соответствует положениям раздела </w:t>
      </w:r>
      <w:r w:rsidR="009A450B" w:rsidRPr="00DE4780">
        <w:rPr>
          <w:rFonts w:ascii="Times New Roman" w:hAnsi="Times New Roman" w:cs="Times New Roman"/>
          <w:sz w:val="24"/>
          <w:szCs w:val="24"/>
        </w:rPr>
        <w:t>6</w:t>
      </w:r>
      <w:r w:rsidR="00B962F7" w:rsidRPr="00DE4780">
        <w:rPr>
          <w:rFonts w:ascii="Times New Roman" w:hAnsi="Times New Roman" w:cs="Times New Roman"/>
          <w:sz w:val="24"/>
          <w:szCs w:val="24"/>
        </w:rPr>
        <w:t xml:space="preserve"> Постановления №228-п</w:t>
      </w:r>
      <w:r w:rsidR="00614DE0" w:rsidRPr="00DE4780">
        <w:rPr>
          <w:rFonts w:ascii="Times New Roman" w:hAnsi="Times New Roman" w:cs="Times New Roman"/>
          <w:sz w:val="24"/>
          <w:szCs w:val="24"/>
        </w:rPr>
        <w:t>, которым предусматривается выплата материальной помощи только сотрудникам учреждений</w:t>
      </w:r>
      <w:r w:rsidR="00B962F7" w:rsidRPr="00DE4780">
        <w:rPr>
          <w:rFonts w:ascii="Times New Roman" w:hAnsi="Times New Roman" w:cs="Times New Roman"/>
          <w:sz w:val="24"/>
          <w:szCs w:val="24"/>
        </w:rPr>
        <w:t xml:space="preserve">. В 2016 году в нарушение Постановления №228-п </w:t>
      </w:r>
      <w:r w:rsidR="00FE4153" w:rsidRPr="00DE4780">
        <w:rPr>
          <w:rFonts w:ascii="Times New Roman" w:hAnsi="Times New Roman" w:cs="Times New Roman"/>
          <w:sz w:val="24"/>
          <w:szCs w:val="24"/>
        </w:rPr>
        <w:t xml:space="preserve">двум </w:t>
      </w:r>
      <w:r w:rsidR="00B962F7" w:rsidRPr="00DE4780">
        <w:rPr>
          <w:rFonts w:ascii="Times New Roman" w:hAnsi="Times New Roman" w:cs="Times New Roman"/>
          <w:sz w:val="24"/>
          <w:szCs w:val="24"/>
        </w:rPr>
        <w:t xml:space="preserve">родственникам </w:t>
      </w:r>
      <w:r w:rsidR="00FE4153" w:rsidRPr="00DE4780">
        <w:rPr>
          <w:rFonts w:ascii="Times New Roman" w:hAnsi="Times New Roman" w:cs="Times New Roman"/>
          <w:sz w:val="24"/>
          <w:szCs w:val="24"/>
        </w:rPr>
        <w:t xml:space="preserve">двух </w:t>
      </w:r>
      <w:r w:rsidR="00B962F7" w:rsidRPr="00DE4780">
        <w:rPr>
          <w:rFonts w:ascii="Times New Roman" w:hAnsi="Times New Roman" w:cs="Times New Roman"/>
          <w:sz w:val="24"/>
          <w:szCs w:val="24"/>
        </w:rPr>
        <w:t xml:space="preserve">бывших работников Театра </w:t>
      </w:r>
      <w:r w:rsidR="00FE4153" w:rsidRPr="00DE4780">
        <w:rPr>
          <w:rFonts w:ascii="Times New Roman" w:hAnsi="Times New Roman" w:cs="Times New Roman"/>
          <w:sz w:val="24"/>
          <w:szCs w:val="24"/>
        </w:rPr>
        <w:t xml:space="preserve">в связи с их смертью </w:t>
      </w:r>
      <w:r w:rsidR="008B4A54" w:rsidRPr="00DE4780">
        <w:rPr>
          <w:rFonts w:ascii="Times New Roman" w:hAnsi="Times New Roman" w:cs="Times New Roman"/>
          <w:sz w:val="24"/>
          <w:szCs w:val="24"/>
        </w:rPr>
        <w:t xml:space="preserve">за счет приносящей доход деятельности </w:t>
      </w:r>
      <w:r w:rsidR="00B962F7" w:rsidRPr="00DE4780">
        <w:rPr>
          <w:rFonts w:ascii="Times New Roman" w:hAnsi="Times New Roman" w:cs="Times New Roman"/>
          <w:sz w:val="24"/>
          <w:szCs w:val="24"/>
        </w:rPr>
        <w:t xml:space="preserve">была предоставлена материальная помощь в размере </w:t>
      </w:r>
      <w:r w:rsidR="00B962F7" w:rsidRPr="00DE4780">
        <w:rPr>
          <w:rFonts w:ascii="Times New Roman" w:hAnsi="Times New Roman" w:cs="Times New Roman"/>
          <w:b/>
          <w:sz w:val="24"/>
          <w:szCs w:val="24"/>
        </w:rPr>
        <w:t>15,0</w:t>
      </w:r>
      <w:r w:rsidR="008B4A54" w:rsidRPr="00DE4780">
        <w:rPr>
          <w:rFonts w:ascii="Times New Roman" w:hAnsi="Times New Roman" w:cs="Times New Roman"/>
          <w:sz w:val="24"/>
          <w:szCs w:val="24"/>
        </w:rPr>
        <w:t> </w:t>
      </w:r>
      <w:r w:rsidR="00B962F7" w:rsidRPr="00DE4780">
        <w:rPr>
          <w:rFonts w:ascii="Times New Roman" w:hAnsi="Times New Roman" w:cs="Times New Roman"/>
          <w:sz w:val="24"/>
          <w:szCs w:val="24"/>
        </w:rPr>
        <w:t>тыс.</w:t>
      </w:r>
      <w:r w:rsidR="008B4A54" w:rsidRPr="00DE4780">
        <w:rPr>
          <w:rFonts w:ascii="Times New Roman" w:hAnsi="Times New Roman" w:cs="Times New Roman"/>
          <w:sz w:val="24"/>
          <w:szCs w:val="24"/>
        </w:rPr>
        <w:t> </w:t>
      </w:r>
      <w:r w:rsidR="00B962F7" w:rsidRPr="00DE4780">
        <w:rPr>
          <w:rFonts w:ascii="Times New Roman" w:hAnsi="Times New Roman" w:cs="Times New Roman"/>
          <w:sz w:val="24"/>
          <w:szCs w:val="24"/>
        </w:rPr>
        <w:t>руб</w:t>
      </w:r>
      <w:r w:rsidR="006321B0" w:rsidRPr="00DE4780">
        <w:rPr>
          <w:rFonts w:ascii="Times New Roman" w:hAnsi="Times New Roman" w:cs="Times New Roman"/>
          <w:sz w:val="24"/>
          <w:szCs w:val="24"/>
        </w:rPr>
        <w:t>лей.</w:t>
      </w:r>
      <w:r w:rsidR="00B56E3C" w:rsidRPr="00DE4780">
        <w:rPr>
          <w:rFonts w:ascii="Times New Roman" w:hAnsi="Times New Roman" w:cs="Times New Roman"/>
          <w:sz w:val="24"/>
          <w:szCs w:val="24"/>
        </w:rPr>
        <w:t xml:space="preserve"> </w:t>
      </w:r>
      <w:r w:rsidR="006321B0" w:rsidRPr="00DE4780">
        <w:rPr>
          <w:rFonts w:ascii="Times New Roman" w:hAnsi="Times New Roman" w:cs="Times New Roman"/>
          <w:sz w:val="24"/>
          <w:szCs w:val="24"/>
        </w:rPr>
        <w:t>В</w:t>
      </w:r>
      <w:r w:rsidR="00B962F7" w:rsidRPr="00DE4780">
        <w:rPr>
          <w:rFonts w:ascii="Times New Roman" w:hAnsi="Times New Roman" w:cs="Times New Roman"/>
          <w:sz w:val="24"/>
          <w:szCs w:val="24"/>
        </w:rPr>
        <w:t>озможность предоставления учреждением</w:t>
      </w:r>
      <w:r w:rsidR="00DB0FF2" w:rsidRPr="00DE4780">
        <w:rPr>
          <w:rFonts w:ascii="Times New Roman" w:hAnsi="Times New Roman" w:cs="Times New Roman"/>
          <w:sz w:val="24"/>
          <w:szCs w:val="24"/>
        </w:rPr>
        <w:t xml:space="preserve"> указанной </w:t>
      </w:r>
      <w:r w:rsidR="00B962F7" w:rsidRPr="00DE4780">
        <w:rPr>
          <w:rFonts w:ascii="Times New Roman" w:hAnsi="Times New Roman" w:cs="Times New Roman"/>
          <w:sz w:val="24"/>
          <w:szCs w:val="24"/>
        </w:rPr>
        <w:t>материальной помощи предусмотрен</w:t>
      </w:r>
      <w:r w:rsidR="00C80EEC" w:rsidRPr="00DE4780">
        <w:rPr>
          <w:rFonts w:ascii="Times New Roman" w:hAnsi="Times New Roman" w:cs="Times New Roman"/>
          <w:sz w:val="24"/>
          <w:szCs w:val="24"/>
        </w:rPr>
        <w:t xml:space="preserve">а </w:t>
      </w:r>
      <w:r w:rsidR="00B54EA0" w:rsidRPr="00DE4780">
        <w:rPr>
          <w:rFonts w:ascii="Times New Roman" w:hAnsi="Times New Roman" w:cs="Times New Roman"/>
          <w:sz w:val="24"/>
          <w:szCs w:val="24"/>
        </w:rPr>
        <w:t>также и в П</w:t>
      </w:r>
      <w:r w:rsidR="00B962F7" w:rsidRPr="00DE4780">
        <w:rPr>
          <w:rFonts w:ascii="Times New Roman" w:hAnsi="Times New Roman" w:cs="Times New Roman"/>
          <w:sz w:val="24"/>
          <w:szCs w:val="24"/>
        </w:rPr>
        <w:t>оложении об оплате труда</w:t>
      </w:r>
      <w:r w:rsidR="00DB0FF2" w:rsidRPr="00DE4780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B962F7" w:rsidRPr="00DE4780">
        <w:rPr>
          <w:rFonts w:ascii="Times New Roman" w:hAnsi="Times New Roman" w:cs="Times New Roman"/>
          <w:sz w:val="24"/>
          <w:szCs w:val="24"/>
        </w:rPr>
        <w:t xml:space="preserve">, </w:t>
      </w:r>
      <w:r w:rsidR="008B4A54" w:rsidRPr="00DE4780">
        <w:rPr>
          <w:rFonts w:ascii="Times New Roman" w:hAnsi="Times New Roman" w:cs="Times New Roman"/>
          <w:sz w:val="24"/>
          <w:szCs w:val="24"/>
        </w:rPr>
        <w:t>действующем с 01.01.2017, что противоречит не только Постановлени</w:t>
      </w:r>
      <w:r w:rsidR="007112EF" w:rsidRPr="00DE4780">
        <w:rPr>
          <w:rFonts w:ascii="Times New Roman" w:hAnsi="Times New Roman" w:cs="Times New Roman"/>
          <w:sz w:val="24"/>
          <w:szCs w:val="24"/>
        </w:rPr>
        <w:t>ю</w:t>
      </w:r>
      <w:r w:rsidR="008B4A54" w:rsidRPr="00DE4780">
        <w:rPr>
          <w:rFonts w:ascii="Times New Roman" w:hAnsi="Times New Roman" w:cs="Times New Roman"/>
          <w:sz w:val="24"/>
          <w:szCs w:val="24"/>
        </w:rPr>
        <w:t xml:space="preserve"> № 228-п, но и законодательству Волгоградской области.</w:t>
      </w:r>
    </w:p>
    <w:p w:rsidR="00FE6156" w:rsidRPr="00DE4780" w:rsidRDefault="008B4A54" w:rsidP="008B4A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E4780">
        <w:rPr>
          <w:rFonts w:eastAsiaTheme="minorHAnsi"/>
          <w:lang w:eastAsia="en-US"/>
        </w:rPr>
        <w:t>Так, у</w:t>
      </w:r>
      <w:r w:rsidR="00FE6156" w:rsidRPr="00DE4780">
        <w:rPr>
          <w:rFonts w:eastAsiaTheme="minorHAnsi"/>
          <w:lang w:eastAsia="en-US"/>
        </w:rPr>
        <w:t xml:space="preserve">казанная выплата является выплатой социального характера, так как не предусмотрена трудовым договором, выплачивается после увольнения и прямо не относится к периоду работы бывшего работника. В соответствии с п.3 разд. V Указаний о порядке применения бюджетной классификации РФ, утвержденных </w:t>
      </w:r>
      <w:r w:rsidR="00B54EA0" w:rsidRPr="00DE4780">
        <w:rPr>
          <w:rFonts w:eastAsiaTheme="minorHAnsi"/>
          <w:lang w:eastAsia="en-US"/>
        </w:rPr>
        <w:t>п</w:t>
      </w:r>
      <w:r w:rsidR="00FE6156" w:rsidRPr="00DE4780">
        <w:rPr>
          <w:rFonts w:eastAsiaTheme="minorHAnsi"/>
          <w:lang w:eastAsia="en-US"/>
        </w:rPr>
        <w:t>риказом Минфина России от 01.07.2013 № 65н (далее Приказ № 65н)</w:t>
      </w:r>
      <w:r w:rsidR="00B54EA0" w:rsidRPr="00DE4780">
        <w:rPr>
          <w:rFonts w:eastAsiaTheme="minorHAnsi"/>
          <w:lang w:eastAsia="en-US"/>
        </w:rPr>
        <w:t>,</w:t>
      </w:r>
      <w:r w:rsidR="00FE6156" w:rsidRPr="00DE4780">
        <w:rPr>
          <w:rFonts w:eastAsiaTheme="minorHAnsi"/>
          <w:lang w:eastAsia="en-US"/>
        </w:rPr>
        <w:t xml:space="preserve"> расходы на выплату бывшим работникам государственных (муниципальных) учреждений к памятным датам, профессиональным праздникам и др. относятся на </w:t>
      </w:r>
      <w:hyperlink r:id="rId15" w:history="1">
        <w:r w:rsidR="00FE6156" w:rsidRPr="00DE4780">
          <w:rPr>
            <w:rFonts w:eastAsiaTheme="minorHAnsi"/>
            <w:lang w:eastAsia="en-US"/>
          </w:rPr>
          <w:t>подстатью 263</w:t>
        </w:r>
      </w:hyperlink>
      <w:r w:rsidR="00FE6156" w:rsidRPr="00DE4780">
        <w:rPr>
          <w:rFonts w:eastAsiaTheme="minorHAnsi"/>
          <w:lang w:eastAsia="en-US"/>
        </w:rPr>
        <w:t xml:space="preserve"> «Пенсии, пособия, выплачиваемые организациями сектора государственного управления» (далее КОСГУ). В ПФХД Театру по КОСГУ 263 расходы не были предусмотрены, материальная помощь выплачивалась по КОСГУ 211</w:t>
      </w:r>
      <w:r w:rsidR="00CD6271" w:rsidRPr="00DE4780">
        <w:rPr>
          <w:rFonts w:eastAsiaTheme="minorHAnsi"/>
          <w:lang w:eastAsia="en-US"/>
        </w:rPr>
        <w:t xml:space="preserve"> «Заработная плата»</w:t>
      </w:r>
      <w:r w:rsidR="00FE6156" w:rsidRPr="00DE4780">
        <w:rPr>
          <w:rFonts w:eastAsiaTheme="minorHAnsi"/>
          <w:lang w:eastAsia="en-US"/>
        </w:rPr>
        <w:t>, что противоречит требованиям Приказа №65-н.</w:t>
      </w:r>
    </w:p>
    <w:p w:rsidR="00DB0FF2" w:rsidRPr="00DE4780" w:rsidRDefault="004E15AE" w:rsidP="008B4A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b/>
          <w:sz w:val="24"/>
          <w:szCs w:val="24"/>
        </w:rPr>
        <w:t>4</w:t>
      </w:r>
      <w:r w:rsidR="00A872FA" w:rsidRPr="00DE4780">
        <w:rPr>
          <w:rFonts w:ascii="Times New Roman" w:hAnsi="Times New Roman" w:cs="Times New Roman"/>
          <w:b/>
          <w:sz w:val="24"/>
          <w:szCs w:val="24"/>
        </w:rPr>
        <w:t>.</w:t>
      </w:r>
      <w:r w:rsidR="006321B0" w:rsidRPr="00DE4780">
        <w:rPr>
          <w:rFonts w:ascii="Times New Roman" w:hAnsi="Times New Roman" w:cs="Times New Roman"/>
          <w:b/>
          <w:sz w:val="24"/>
          <w:szCs w:val="24"/>
        </w:rPr>
        <w:t>5.</w:t>
      </w:r>
      <w:r w:rsidR="006321B0" w:rsidRPr="00DE4780">
        <w:rPr>
          <w:rFonts w:ascii="Times New Roman" w:hAnsi="Times New Roman" w:cs="Times New Roman"/>
          <w:sz w:val="24"/>
          <w:szCs w:val="24"/>
        </w:rPr>
        <w:t xml:space="preserve"> </w:t>
      </w:r>
      <w:r w:rsidR="00DB0FF2" w:rsidRPr="00DE4780">
        <w:rPr>
          <w:rFonts w:ascii="Times New Roman" w:hAnsi="Times New Roman" w:cs="Times New Roman"/>
          <w:sz w:val="24"/>
          <w:szCs w:val="24"/>
        </w:rPr>
        <w:t xml:space="preserve">Директору Театра выплаты за постановку спектаклей были предусмотрены в трудовых договорах на период с 2004 по 2013 год включительно, поспектакльные отчисления – только с августа 2008 года по январь 2011 включительно. Должностной инструкцией директора Театра исполнение обязанностей режиссера-постановщика не предусмотрено. При этом в 2016 году с директором Театра </w:t>
      </w:r>
      <w:r w:rsidR="00FE4153" w:rsidRPr="00DE4780">
        <w:rPr>
          <w:rFonts w:ascii="Times New Roman" w:hAnsi="Times New Roman" w:cs="Times New Roman"/>
          <w:sz w:val="24"/>
          <w:szCs w:val="24"/>
        </w:rPr>
        <w:t xml:space="preserve">его заместителем по общим вопросам </w:t>
      </w:r>
      <w:r w:rsidR="00DB0FF2" w:rsidRPr="00DE4780">
        <w:rPr>
          <w:rFonts w:ascii="Times New Roman" w:hAnsi="Times New Roman" w:cs="Times New Roman"/>
          <w:sz w:val="24"/>
          <w:szCs w:val="24"/>
        </w:rPr>
        <w:t xml:space="preserve">были заключены 3 договора гражданско-правового характера </w:t>
      </w:r>
      <w:r w:rsidR="00A02937" w:rsidRPr="00DE4780">
        <w:rPr>
          <w:rFonts w:ascii="Times New Roman" w:hAnsi="Times New Roman" w:cs="Times New Roman"/>
          <w:sz w:val="24"/>
          <w:szCs w:val="24"/>
        </w:rPr>
        <w:t xml:space="preserve">на </w:t>
      </w:r>
      <w:r w:rsidR="00A02937" w:rsidRPr="00DE4780">
        <w:rPr>
          <w:rFonts w:ascii="Times New Roman" w:hAnsi="Times New Roman" w:cs="Times New Roman"/>
          <w:b/>
          <w:sz w:val="24"/>
          <w:szCs w:val="24"/>
        </w:rPr>
        <w:t>455</w:t>
      </w:r>
      <w:r w:rsidR="00A02937" w:rsidRPr="00DE4780">
        <w:rPr>
          <w:rFonts w:ascii="Times New Roman" w:hAnsi="Times New Roman" w:cs="Times New Roman"/>
          <w:sz w:val="24"/>
          <w:szCs w:val="24"/>
        </w:rPr>
        <w:t xml:space="preserve"> тыс. руб. </w:t>
      </w:r>
      <w:r w:rsidR="00DB0FF2" w:rsidRPr="00DE4780">
        <w:rPr>
          <w:rFonts w:ascii="Times New Roman" w:hAnsi="Times New Roman" w:cs="Times New Roman"/>
          <w:sz w:val="24"/>
          <w:szCs w:val="24"/>
        </w:rPr>
        <w:t>на выполнение работ по постановке спектаклей:</w:t>
      </w:r>
    </w:p>
    <w:p w:rsidR="00DB0FF2" w:rsidRPr="00DE4780" w:rsidRDefault="00DB0FF2" w:rsidP="00DB0FF2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 xml:space="preserve">- от 19.01.2016 №10 на постановку спектакля «Как выдать маму замуж» по пьесе братьев </w:t>
      </w:r>
      <w:proofErr w:type="spellStart"/>
      <w:r w:rsidRPr="00DE4780">
        <w:rPr>
          <w:rFonts w:ascii="Times New Roman" w:hAnsi="Times New Roman" w:cs="Times New Roman"/>
          <w:sz w:val="24"/>
          <w:szCs w:val="24"/>
        </w:rPr>
        <w:t>Пресняковых</w:t>
      </w:r>
      <w:proofErr w:type="spellEnd"/>
      <w:r w:rsidRPr="00DE4780">
        <w:rPr>
          <w:rFonts w:ascii="Times New Roman" w:hAnsi="Times New Roman" w:cs="Times New Roman"/>
          <w:sz w:val="24"/>
          <w:szCs w:val="24"/>
        </w:rPr>
        <w:t>, стоимость работ с учетом страховых взносов составляет 221,2 тыс. руб.;</w:t>
      </w:r>
    </w:p>
    <w:p w:rsidR="00DB0FF2" w:rsidRPr="00DE4780" w:rsidRDefault="00DB0FF2" w:rsidP="00DB0FF2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>- от 14.06.2016 №33 на постановку спектакля по произведениям А.П. Чехова «Упоенный, счастливый, падаю перед ней на колени…» («Лебединая песня»), стоимость работ с учетом страховых взносов составляет 116,9 тыс. руб.;</w:t>
      </w:r>
    </w:p>
    <w:p w:rsidR="00B56E3C" w:rsidRPr="00DE4780" w:rsidRDefault="00DB0FF2" w:rsidP="00DB0FF2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 xml:space="preserve">-от 03.10.2016 №96 на постановку спектакля по пьесе М. </w:t>
      </w:r>
      <w:proofErr w:type="spellStart"/>
      <w:r w:rsidRPr="00DE4780">
        <w:rPr>
          <w:rFonts w:ascii="Times New Roman" w:hAnsi="Times New Roman" w:cs="Times New Roman"/>
          <w:sz w:val="24"/>
          <w:szCs w:val="24"/>
        </w:rPr>
        <w:t>Хейфица</w:t>
      </w:r>
      <w:proofErr w:type="spellEnd"/>
      <w:r w:rsidRPr="00DE4780">
        <w:rPr>
          <w:rFonts w:ascii="Times New Roman" w:hAnsi="Times New Roman" w:cs="Times New Roman"/>
          <w:sz w:val="24"/>
          <w:szCs w:val="24"/>
        </w:rPr>
        <w:t xml:space="preserve"> «В поисках </w:t>
      </w:r>
      <w:r w:rsidRPr="00DE4780">
        <w:rPr>
          <w:rFonts w:ascii="Times New Roman" w:hAnsi="Times New Roman" w:cs="Times New Roman"/>
          <w:sz w:val="24"/>
          <w:szCs w:val="24"/>
        </w:rPr>
        <w:lastRenderedPageBreak/>
        <w:t xml:space="preserve">волшебства», стоимость работ с учетом страховых взносов составляет 116,9 тыс. рублей. </w:t>
      </w:r>
    </w:p>
    <w:p w:rsidR="00DB0FF2" w:rsidRPr="00DE4780" w:rsidRDefault="00DB0FF2" w:rsidP="00DB0FF2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>Согласно п. 2.2 договоров по окончании работ и подписании акта сдачи-приемки спектакли явля</w:t>
      </w:r>
      <w:r w:rsidR="00B56E3C" w:rsidRPr="00DE4780">
        <w:rPr>
          <w:rFonts w:ascii="Times New Roman" w:hAnsi="Times New Roman" w:cs="Times New Roman"/>
          <w:sz w:val="24"/>
          <w:szCs w:val="24"/>
        </w:rPr>
        <w:t>ю</w:t>
      </w:r>
      <w:r w:rsidRPr="00DE4780">
        <w:rPr>
          <w:rFonts w:ascii="Times New Roman" w:hAnsi="Times New Roman" w:cs="Times New Roman"/>
          <w:sz w:val="24"/>
          <w:szCs w:val="24"/>
        </w:rPr>
        <w:t xml:space="preserve">тся собственностью Театра. </w:t>
      </w:r>
    </w:p>
    <w:p w:rsidR="00F06752" w:rsidRPr="00DE4780" w:rsidRDefault="00F06752" w:rsidP="008E27D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>В</w:t>
      </w:r>
      <w:r w:rsidR="008E27DD" w:rsidRPr="00DE4780">
        <w:rPr>
          <w:rFonts w:ascii="Times New Roman" w:hAnsi="Times New Roman" w:cs="Times New Roman"/>
          <w:sz w:val="24"/>
          <w:szCs w:val="24"/>
        </w:rPr>
        <w:t xml:space="preserve"> </w:t>
      </w:r>
      <w:r w:rsidRPr="00DE4780">
        <w:rPr>
          <w:rFonts w:ascii="Times New Roman" w:hAnsi="Times New Roman" w:cs="Times New Roman"/>
          <w:sz w:val="24"/>
          <w:szCs w:val="24"/>
        </w:rPr>
        <w:t xml:space="preserve">нарушение п. 3 ст. 27 Федерального закона № 7-ФЗ, п. 2 ст. 11 Федерального закона </w:t>
      </w:r>
      <w:r w:rsidR="00FE527A" w:rsidRPr="00DE4780">
        <w:rPr>
          <w:rFonts w:ascii="Times New Roman" w:hAnsi="Times New Roman" w:cs="Times New Roman"/>
          <w:sz w:val="24"/>
          <w:szCs w:val="24"/>
        </w:rPr>
        <w:t xml:space="preserve">от 25.12.2008 </w:t>
      </w:r>
      <w:r w:rsidRPr="00DE4780">
        <w:rPr>
          <w:rFonts w:ascii="Times New Roman" w:hAnsi="Times New Roman" w:cs="Times New Roman"/>
          <w:sz w:val="24"/>
          <w:szCs w:val="24"/>
        </w:rPr>
        <w:t>№ 273-ФЗ</w:t>
      </w:r>
      <w:r w:rsidR="00FE527A" w:rsidRPr="00DE4780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</w:t>
      </w:r>
      <w:r w:rsidRPr="00DE4780">
        <w:rPr>
          <w:rFonts w:ascii="Times New Roman" w:hAnsi="Times New Roman" w:cs="Times New Roman"/>
          <w:sz w:val="24"/>
          <w:szCs w:val="24"/>
        </w:rPr>
        <w:t xml:space="preserve">п. 6.1. Порядка принятия решения об одобрении действий, в том числе сделок с участием государственного бюджетного учреждения, подведомственного комитету культуры Волгоградской области, в совершении которых имеется заинтересованность, определяемая в соответствии с критериями, установленными </w:t>
      </w:r>
      <w:hyperlink r:id="rId16" w:history="1">
        <w:r w:rsidRPr="00DE4780">
          <w:rPr>
            <w:rFonts w:ascii="Times New Roman" w:hAnsi="Times New Roman" w:cs="Times New Roman"/>
            <w:sz w:val="24"/>
            <w:szCs w:val="24"/>
          </w:rPr>
          <w:t>статьей 27</w:t>
        </w:r>
      </w:hyperlink>
      <w:r w:rsidRPr="00DE4780">
        <w:rPr>
          <w:rFonts w:ascii="Times New Roman" w:hAnsi="Times New Roman" w:cs="Times New Roman"/>
          <w:sz w:val="24"/>
          <w:szCs w:val="24"/>
        </w:rPr>
        <w:t xml:space="preserve"> Федерального закона № 7-ФЗ, утвержденного </w:t>
      </w:r>
      <w:hyperlink w:anchor="sub_0" w:history="1">
        <w:r w:rsidRPr="00DE4780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DE4780">
        <w:rPr>
          <w:rFonts w:ascii="Times New Roman" w:hAnsi="Times New Roman" w:cs="Times New Roman"/>
          <w:sz w:val="24"/>
          <w:szCs w:val="24"/>
        </w:rPr>
        <w:t xml:space="preserve"> Комитета от 31.12.2010 № 01-20/340</w:t>
      </w:r>
      <w:r w:rsidR="00B54EA0" w:rsidRPr="00DE4780">
        <w:rPr>
          <w:rFonts w:ascii="Times New Roman" w:hAnsi="Times New Roman" w:cs="Times New Roman"/>
          <w:sz w:val="24"/>
          <w:szCs w:val="24"/>
        </w:rPr>
        <w:t>,</w:t>
      </w:r>
      <w:r w:rsidRPr="00DE4780">
        <w:rPr>
          <w:rFonts w:ascii="Times New Roman" w:hAnsi="Times New Roman" w:cs="Times New Roman"/>
          <w:sz w:val="24"/>
          <w:szCs w:val="24"/>
        </w:rPr>
        <w:t xml:space="preserve"> директор Театра А.А.А. (лицо, заинтересованное в сделке) при заключении договоров гражданско-правового характера на выполнение работ по созданию спектаклей</w:t>
      </w:r>
      <w:r w:rsidR="00F30545" w:rsidRPr="00DE4780">
        <w:rPr>
          <w:rFonts w:ascii="Times New Roman" w:hAnsi="Times New Roman" w:cs="Times New Roman"/>
          <w:sz w:val="24"/>
          <w:szCs w:val="24"/>
        </w:rPr>
        <w:t>,</w:t>
      </w:r>
      <w:r w:rsidRPr="00DE4780">
        <w:rPr>
          <w:rFonts w:ascii="Times New Roman" w:hAnsi="Times New Roman" w:cs="Times New Roman"/>
          <w:sz w:val="24"/>
          <w:szCs w:val="24"/>
        </w:rPr>
        <w:t xml:space="preserve"> с просьбой об одобрении заключения сделки </w:t>
      </w:r>
      <w:r w:rsidRPr="00DE4780">
        <w:rPr>
          <w:rFonts w:ascii="Times New Roman" w:hAnsi="Times New Roman" w:cs="Times New Roman"/>
          <w:b/>
          <w:sz w:val="24"/>
          <w:szCs w:val="24"/>
        </w:rPr>
        <w:t>в Комитет не обращался</w:t>
      </w:r>
      <w:r w:rsidR="00732360" w:rsidRPr="00DE4780">
        <w:rPr>
          <w:rFonts w:ascii="Times New Roman" w:hAnsi="Times New Roman" w:cs="Times New Roman"/>
          <w:sz w:val="24"/>
          <w:szCs w:val="24"/>
        </w:rPr>
        <w:t>.</w:t>
      </w:r>
    </w:p>
    <w:p w:rsidR="00E92DD3" w:rsidRPr="00DE4780" w:rsidRDefault="004E15AE" w:rsidP="005D1B6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E4780">
        <w:rPr>
          <w:rFonts w:ascii="Times New Roman" w:hAnsi="Times New Roman" w:cs="Times New Roman"/>
          <w:b/>
          <w:sz w:val="24"/>
          <w:szCs w:val="24"/>
        </w:rPr>
        <w:t>4</w:t>
      </w:r>
      <w:r w:rsidR="00A872FA" w:rsidRPr="00DE4780">
        <w:rPr>
          <w:rFonts w:ascii="Times New Roman" w:hAnsi="Times New Roman" w:cs="Times New Roman"/>
          <w:b/>
          <w:sz w:val="24"/>
          <w:szCs w:val="24"/>
        </w:rPr>
        <w:t>.</w:t>
      </w:r>
      <w:r w:rsidR="00F2309A" w:rsidRPr="00DE478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92DD3" w:rsidRPr="00DE4780">
        <w:rPr>
          <w:rFonts w:ascii="Times New Roman" w:hAnsi="Times New Roman" w:cs="Times New Roman"/>
          <w:sz w:val="24"/>
          <w:szCs w:val="24"/>
        </w:rPr>
        <w:t>Часть расходов Театра по приносящей доход деятельности</w:t>
      </w:r>
      <w:r w:rsidR="005D1B69" w:rsidRPr="00DE4780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5D1B69" w:rsidRPr="00DE4780">
        <w:rPr>
          <w:rFonts w:ascii="Times New Roman" w:hAnsi="Times New Roman" w:cs="Times New Roman"/>
          <w:b/>
          <w:sz w:val="24"/>
          <w:szCs w:val="24"/>
        </w:rPr>
        <w:t>68,7 тыс. руб.</w:t>
      </w:r>
      <w:r w:rsidR="00E92DD3" w:rsidRPr="00DE4780">
        <w:rPr>
          <w:rFonts w:ascii="Times New Roman" w:hAnsi="Times New Roman" w:cs="Times New Roman"/>
          <w:sz w:val="24"/>
          <w:szCs w:val="24"/>
        </w:rPr>
        <w:t xml:space="preserve"> </w:t>
      </w:r>
      <w:r w:rsidR="005D1B69" w:rsidRPr="00DE4780">
        <w:rPr>
          <w:rFonts w:ascii="Times New Roman" w:hAnsi="Times New Roman" w:cs="Times New Roman"/>
          <w:sz w:val="24"/>
          <w:szCs w:val="24"/>
        </w:rPr>
        <w:t xml:space="preserve">(звукорежиссеру за проведение новогодних интермедий у елки в фойе Театра в качестве звукорежиссера, артистам за исполнение ролей в новогодней интермедии у елки в фойе Театра, начальнику </w:t>
      </w:r>
      <w:proofErr w:type="spellStart"/>
      <w:r w:rsidR="005D1B69" w:rsidRPr="00DE4780">
        <w:rPr>
          <w:rFonts w:ascii="Times New Roman" w:hAnsi="Times New Roman" w:cs="Times New Roman"/>
          <w:sz w:val="24"/>
          <w:szCs w:val="24"/>
        </w:rPr>
        <w:t>радиоцеха</w:t>
      </w:r>
      <w:proofErr w:type="spellEnd"/>
      <w:r w:rsidR="005D1B69" w:rsidRPr="00DE4780">
        <w:rPr>
          <w:rFonts w:ascii="Times New Roman" w:hAnsi="Times New Roman" w:cs="Times New Roman"/>
          <w:sz w:val="24"/>
          <w:szCs w:val="24"/>
        </w:rPr>
        <w:t xml:space="preserve"> за выполнение работ по записи и обработке звукового материала) </w:t>
      </w:r>
      <w:r w:rsidR="00E92DD3" w:rsidRPr="00DE4780">
        <w:rPr>
          <w:rFonts w:ascii="Times New Roman" w:hAnsi="Times New Roman" w:cs="Times New Roman"/>
          <w:sz w:val="24"/>
          <w:szCs w:val="24"/>
        </w:rPr>
        <w:t xml:space="preserve">осуществлена на основе гражданско-правовых договоров возмездного оказания услуг, заключенных со своими штатными работниками как с физическими лицам (исполнителями). При этом работы и услуги по заключенным </w:t>
      </w:r>
      <w:r w:rsidR="005D1B69" w:rsidRPr="00DE4780">
        <w:rPr>
          <w:rFonts w:ascii="Times New Roman" w:hAnsi="Times New Roman" w:cs="Times New Roman"/>
          <w:sz w:val="24"/>
          <w:szCs w:val="24"/>
        </w:rPr>
        <w:t>учреждением</w:t>
      </w:r>
      <w:r w:rsidR="00E92DD3" w:rsidRPr="00DE4780">
        <w:rPr>
          <w:rFonts w:ascii="Times New Roman" w:hAnsi="Times New Roman" w:cs="Times New Roman"/>
          <w:sz w:val="24"/>
          <w:szCs w:val="24"/>
        </w:rPr>
        <w:t xml:space="preserve"> со своими работниками договор</w:t>
      </w:r>
      <w:r w:rsidR="00B54EA0" w:rsidRPr="00DE4780">
        <w:rPr>
          <w:rFonts w:ascii="Times New Roman" w:hAnsi="Times New Roman" w:cs="Times New Roman"/>
          <w:sz w:val="24"/>
          <w:szCs w:val="24"/>
        </w:rPr>
        <w:t>ам</w:t>
      </w:r>
      <w:r w:rsidR="00E92DD3" w:rsidRPr="00DE4780">
        <w:rPr>
          <w:rFonts w:ascii="Times New Roman" w:hAnsi="Times New Roman" w:cs="Times New Roman"/>
          <w:sz w:val="24"/>
          <w:szCs w:val="24"/>
        </w:rPr>
        <w:t xml:space="preserve"> возмездного оказания услуг соответствовали уставной деятельностью </w:t>
      </w:r>
      <w:r w:rsidR="005D1B69" w:rsidRPr="00DE4780">
        <w:rPr>
          <w:rFonts w:ascii="Times New Roman" w:hAnsi="Times New Roman" w:cs="Times New Roman"/>
          <w:sz w:val="24"/>
          <w:szCs w:val="24"/>
        </w:rPr>
        <w:t>Театра</w:t>
      </w:r>
      <w:r w:rsidR="00E92DD3" w:rsidRPr="00DE4780">
        <w:rPr>
          <w:rFonts w:ascii="Times New Roman" w:hAnsi="Times New Roman" w:cs="Times New Roman"/>
          <w:sz w:val="24"/>
          <w:szCs w:val="24"/>
        </w:rPr>
        <w:t xml:space="preserve">, компетенции </w:t>
      </w:r>
      <w:r w:rsidR="005D1B69" w:rsidRPr="00DE4780">
        <w:rPr>
          <w:rFonts w:ascii="Times New Roman" w:hAnsi="Times New Roman" w:cs="Times New Roman"/>
          <w:sz w:val="24"/>
          <w:szCs w:val="24"/>
        </w:rPr>
        <w:t xml:space="preserve">его </w:t>
      </w:r>
      <w:r w:rsidR="00E92DD3" w:rsidRPr="00DE4780">
        <w:rPr>
          <w:rFonts w:ascii="Times New Roman" w:hAnsi="Times New Roman" w:cs="Times New Roman"/>
          <w:sz w:val="24"/>
          <w:szCs w:val="24"/>
        </w:rPr>
        <w:t>штатных работников</w:t>
      </w:r>
      <w:r w:rsidR="005D1B69" w:rsidRPr="00DE4780">
        <w:rPr>
          <w:rFonts w:ascii="Times New Roman" w:hAnsi="Times New Roman" w:cs="Times New Roman"/>
          <w:sz w:val="24"/>
          <w:szCs w:val="24"/>
        </w:rPr>
        <w:t xml:space="preserve"> и</w:t>
      </w:r>
      <w:r w:rsidR="00E92DD3" w:rsidRPr="00DE4780">
        <w:rPr>
          <w:rFonts w:ascii="Times New Roman" w:hAnsi="Times New Roman" w:cs="Times New Roman"/>
          <w:sz w:val="24"/>
          <w:szCs w:val="24"/>
        </w:rPr>
        <w:t xml:space="preserve">, по мнению КСП, должны быть выполнены </w:t>
      </w:r>
      <w:r w:rsidR="005D1B69" w:rsidRPr="00DE4780">
        <w:rPr>
          <w:rFonts w:ascii="Times New Roman" w:hAnsi="Times New Roman" w:cs="Times New Roman"/>
          <w:sz w:val="24"/>
          <w:szCs w:val="24"/>
        </w:rPr>
        <w:t xml:space="preserve">ими </w:t>
      </w:r>
      <w:r w:rsidR="00E92DD3" w:rsidRPr="00DE4780">
        <w:rPr>
          <w:rFonts w:ascii="Times New Roman" w:hAnsi="Times New Roman" w:cs="Times New Roman"/>
          <w:sz w:val="24"/>
          <w:szCs w:val="24"/>
        </w:rPr>
        <w:t xml:space="preserve">в рамках обычных трудовых отношений с </w:t>
      </w:r>
      <w:r w:rsidR="005D1B69" w:rsidRPr="00DE4780">
        <w:rPr>
          <w:rFonts w:ascii="Times New Roman" w:hAnsi="Times New Roman" w:cs="Times New Roman"/>
          <w:sz w:val="24"/>
          <w:szCs w:val="24"/>
        </w:rPr>
        <w:t>Театром</w:t>
      </w:r>
      <w:r w:rsidR="00E92DD3" w:rsidRPr="00DE4780">
        <w:rPr>
          <w:rFonts w:ascii="Times New Roman" w:hAnsi="Times New Roman" w:cs="Times New Roman"/>
          <w:sz w:val="24"/>
          <w:szCs w:val="24"/>
        </w:rPr>
        <w:t xml:space="preserve">. Однако, выбранный </w:t>
      </w:r>
      <w:r w:rsidR="005D1B69" w:rsidRPr="00DE4780">
        <w:rPr>
          <w:rFonts w:ascii="Times New Roman" w:hAnsi="Times New Roman" w:cs="Times New Roman"/>
          <w:sz w:val="24"/>
          <w:szCs w:val="24"/>
        </w:rPr>
        <w:t>Театром</w:t>
      </w:r>
      <w:r w:rsidR="00E92DD3" w:rsidRPr="00DE4780">
        <w:rPr>
          <w:rFonts w:ascii="Times New Roman" w:hAnsi="Times New Roman" w:cs="Times New Roman"/>
          <w:sz w:val="24"/>
          <w:szCs w:val="24"/>
        </w:rPr>
        <w:t xml:space="preserve"> способ осуществления уставной деятельности учреждения позволял выплачивать дополнительное вознаграждение </w:t>
      </w:r>
      <w:r w:rsidR="005D1B69" w:rsidRPr="00DE4780">
        <w:rPr>
          <w:rFonts w:ascii="Times New Roman" w:hAnsi="Times New Roman" w:cs="Times New Roman"/>
          <w:sz w:val="24"/>
          <w:szCs w:val="24"/>
        </w:rPr>
        <w:t xml:space="preserve">работникам учреждения </w:t>
      </w:r>
      <w:r w:rsidR="00E92DD3" w:rsidRPr="00DE4780">
        <w:rPr>
          <w:rFonts w:ascii="Times New Roman" w:hAnsi="Times New Roman" w:cs="Times New Roman"/>
          <w:sz w:val="24"/>
          <w:szCs w:val="24"/>
        </w:rPr>
        <w:t>помимо заключенных с ними трудовых договоров, что не соответствует п. 2 ст. 15 ТК РФ, согласно которо</w:t>
      </w:r>
      <w:r w:rsidR="00B54EA0" w:rsidRPr="00DE4780">
        <w:rPr>
          <w:rFonts w:ascii="Times New Roman" w:hAnsi="Times New Roman" w:cs="Times New Roman"/>
          <w:sz w:val="24"/>
          <w:szCs w:val="24"/>
        </w:rPr>
        <w:t>му</w:t>
      </w:r>
      <w:r w:rsidR="00E92DD3" w:rsidRPr="00DE4780">
        <w:rPr>
          <w:rFonts w:ascii="Times New Roman" w:hAnsi="Times New Roman" w:cs="Times New Roman"/>
          <w:sz w:val="24"/>
          <w:szCs w:val="24"/>
        </w:rPr>
        <w:t xml:space="preserve"> </w:t>
      </w:r>
      <w:r w:rsidR="00E92DD3" w:rsidRPr="00DE4780">
        <w:rPr>
          <w:rFonts w:ascii="Times New Roman" w:hAnsi="Times New Roman" w:cs="Times New Roman"/>
          <w:i/>
          <w:sz w:val="24"/>
          <w:szCs w:val="24"/>
        </w:rPr>
        <w:t>«заключение гражданско-правовых договоров, фактически регулирующих трудовые отношения между работником и работодателем, не допускается».</w:t>
      </w:r>
    </w:p>
    <w:p w:rsidR="005D1B69" w:rsidRPr="00DE4780" w:rsidRDefault="005D1B69" w:rsidP="005D1B6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>Кроме того, на основании писем Минфина России от 26.01.2007 № 03-04-06-02/11 и от 19.01.2007 № 03-04-06-02/3, основанных в т.ч. на ст. 252 Налогового кодекса РФ, выплаты по гражданско-правовым договорам можно считать экономически оправданными исключительно по таким договорам гражданско-правового характера, которые не предусматривают оплату работ, идентичных выполняемым штатными сотрудниками в рамках трудовых отношений.</w:t>
      </w:r>
    </w:p>
    <w:p w:rsidR="00722B74" w:rsidRPr="00DE4780" w:rsidRDefault="004E15AE" w:rsidP="00F2309A">
      <w:pPr>
        <w:autoSpaceDE w:val="0"/>
        <w:autoSpaceDN w:val="0"/>
        <w:adjustRightInd w:val="0"/>
        <w:ind w:firstLine="720"/>
        <w:jc w:val="both"/>
      </w:pPr>
      <w:r w:rsidRPr="00DE4780">
        <w:rPr>
          <w:b/>
        </w:rPr>
        <w:t>4</w:t>
      </w:r>
      <w:r w:rsidR="00A872FA" w:rsidRPr="00DE4780">
        <w:rPr>
          <w:b/>
        </w:rPr>
        <w:t>.</w:t>
      </w:r>
      <w:r w:rsidR="00F2309A" w:rsidRPr="00DE4780">
        <w:rPr>
          <w:b/>
        </w:rPr>
        <w:t xml:space="preserve">7. </w:t>
      </w:r>
      <w:r w:rsidR="00722B74" w:rsidRPr="00DE4780">
        <w:t xml:space="preserve">В 2016 году Театром за счет внебюджетных средств оплачено </w:t>
      </w:r>
      <w:r w:rsidR="00722B74" w:rsidRPr="00DE4780">
        <w:rPr>
          <w:b/>
        </w:rPr>
        <w:t>190 тыс. руб.</w:t>
      </w:r>
      <w:r w:rsidR="00722B74" w:rsidRPr="00DE4780">
        <w:t xml:space="preserve"> Волгоградской коллегии адвокатов </w:t>
      </w:r>
      <w:r w:rsidR="00F2309A" w:rsidRPr="00DE4780">
        <w:t xml:space="preserve">за оказание </w:t>
      </w:r>
      <w:r w:rsidR="00722B74" w:rsidRPr="00DE4780">
        <w:t>учреждению следующи</w:t>
      </w:r>
      <w:r w:rsidR="00F2309A" w:rsidRPr="00DE4780">
        <w:t>х</w:t>
      </w:r>
      <w:r w:rsidR="00722B74" w:rsidRPr="00DE4780">
        <w:t xml:space="preserve"> услуг:</w:t>
      </w:r>
      <w:r w:rsidR="00F2309A" w:rsidRPr="00DE4780">
        <w:t xml:space="preserve"> </w:t>
      </w:r>
      <w:r w:rsidR="00722B74" w:rsidRPr="00DE4780">
        <w:t>консультирование учреждения по нормативным правовым вопросам;</w:t>
      </w:r>
      <w:r w:rsidR="00F2309A" w:rsidRPr="00DE4780">
        <w:t xml:space="preserve"> </w:t>
      </w:r>
      <w:r w:rsidR="00722B74" w:rsidRPr="00DE4780">
        <w:t> юридические консультации по трудовому законодательству;</w:t>
      </w:r>
      <w:r w:rsidR="00F2309A" w:rsidRPr="00DE4780">
        <w:t xml:space="preserve"> </w:t>
      </w:r>
      <w:r w:rsidR="00722B74" w:rsidRPr="00DE4780">
        <w:t> консультирование по вопросам отдела кадров;</w:t>
      </w:r>
      <w:r w:rsidR="00F2309A" w:rsidRPr="00DE4780">
        <w:t xml:space="preserve"> </w:t>
      </w:r>
      <w:r w:rsidR="00722B74" w:rsidRPr="00DE4780">
        <w:t> юридический анализ правовых ситуаций, документов, представленных учреждением и разработка на их основе правовой позиции.</w:t>
      </w:r>
      <w:r w:rsidR="00F2309A" w:rsidRPr="00DE4780">
        <w:t xml:space="preserve"> При этом </w:t>
      </w:r>
      <w:r w:rsidR="00722B74" w:rsidRPr="00DE4780">
        <w:t>штатным расписанием Театра предусмотрена 1 должность инспектора по кадрам и 1 должность юрисконсульта по закупкам</w:t>
      </w:r>
      <w:r w:rsidR="00F2309A" w:rsidRPr="00DE4780">
        <w:t xml:space="preserve"> </w:t>
      </w:r>
      <w:r w:rsidR="00586293" w:rsidRPr="00DE4780">
        <w:t xml:space="preserve">(конкурентные процедуры в проверяемом периоде Театром не осуществлялись) </w:t>
      </w:r>
      <w:r w:rsidR="00F2309A" w:rsidRPr="00DE4780">
        <w:t>с общим годовым фондом оплаты труда 155,4</w:t>
      </w:r>
      <w:r w:rsidR="001C579B" w:rsidRPr="00DE4780">
        <w:t> </w:t>
      </w:r>
      <w:r w:rsidR="00F2309A" w:rsidRPr="00DE4780">
        <w:t>тыс.</w:t>
      </w:r>
      <w:r w:rsidR="001C579B" w:rsidRPr="00DE4780">
        <w:t> </w:t>
      </w:r>
      <w:r w:rsidR="00F2309A" w:rsidRPr="00DE4780">
        <w:t>рублей. Заключение договоров со сторонними организациями при наличии в штатном расписании сотрудников с аналогичными должностными обязанностями противоречит принципу эффективности использования средств.</w:t>
      </w:r>
    </w:p>
    <w:p w:rsidR="00E01372" w:rsidRPr="00DE4780" w:rsidRDefault="004E15AE" w:rsidP="003C47A0">
      <w:pPr>
        <w:spacing w:before="120"/>
        <w:jc w:val="center"/>
        <w:rPr>
          <w:b/>
        </w:rPr>
      </w:pPr>
      <w:r w:rsidRPr="00DE4780">
        <w:rPr>
          <w:b/>
        </w:rPr>
        <w:t>5</w:t>
      </w:r>
      <w:r w:rsidR="00F2309A" w:rsidRPr="00DE4780">
        <w:rPr>
          <w:b/>
        </w:rPr>
        <w:t xml:space="preserve">. </w:t>
      </w:r>
      <w:r w:rsidR="00E01372" w:rsidRPr="00DE4780">
        <w:rPr>
          <w:b/>
        </w:rPr>
        <w:t xml:space="preserve">Проверка соблюдения порядка управления и распоряжения собственностью Волгоградской области, а также земельного участка, предоставленного в постоянное (бессрочное) пользование </w:t>
      </w:r>
    </w:p>
    <w:p w:rsidR="00E01372" w:rsidRPr="00DE4780" w:rsidRDefault="00E01372" w:rsidP="00E01372">
      <w:pPr>
        <w:ind w:firstLine="708"/>
        <w:jc w:val="both"/>
      </w:pPr>
      <w:r w:rsidRPr="00DE4780">
        <w:t>В ходе обследования недвижимого имущества и земельного участка установлены нарушения при их распоряжении, выявлены не используемые площади, нарушени</w:t>
      </w:r>
      <w:r w:rsidR="00F01BC9" w:rsidRPr="00DE4780">
        <w:t>я учета особо ценного имущества:</w:t>
      </w:r>
    </w:p>
    <w:p w:rsidR="005F3B9B" w:rsidRPr="00DE4780" w:rsidRDefault="004E15AE" w:rsidP="00E01372">
      <w:pPr>
        <w:ind w:firstLine="708"/>
        <w:jc w:val="both"/>
      </w:pPr>
      <w:r w:rsidRPr="00DE4780">
        <w:rPr>
          <w:b/>
        </w:rPr>
        <w:t>5</w:t>
      </w:r>
      <w:r w:rsidR="00A872FA" w:rsidRPr="00DE4780">
        <w:rPr>
          <w:b/>
        </w:rPr>
        <w:t>.</w:t>
      </w:r>
      <w:r w:rsidR="00E01372" w:rsidRPr="00DE4780">
        <w:rPr>
          <w:b/>
        </w:rPr>
        <w:t>1.</w:t>
      </w:r>
      <w:r w:rsidR="00E01372" w:rsidRPr="00DE4780">
        <w:t xml:space="preserve"> </w:t>
      </w:r>
      <w:r w:rsidR="005F3B9B" w:rsidRPr="00DE4780">
        <w:t xml:space="preserve">В ходе осмотра помещений </w:t>
      </w:r>
      <w:r w:rsidR="00E16990" w:rsidRPr="00DE4780">
        <w:t xml:space="preserve">здания </w:t>
      </w:r>
      <w:r w:rsidR="005F3B9B" w:rsidRPr="00DE4780">
        <w:t xml:space="preserve">Театра установлено, что </w:t>
      </w:r>
      <w:r w:rsidR="00E16990" w:rsidRPr="00DE4780">
        <w:t>1</w:t>
      </w:r>
      <w:r w:rsidR="005F3B9B" w:rsidRPr="00DE4780">
        <w:t xml:space="preserve"> помещени</w:t>
      </w:r>
      <w:r w:rsidR="00E16990" w:rsidRPr="00DE4780">
        <w:t>е</w:t>
      </w:r>
      <w:r w:rsidR="005F3B9B" w:rsidRPr="00DE4780">
        <w:t xml:space="preserve"> общей площадью </w:t>
      </w:r>
      <w:r w:rsidR="00E16990" w:rsidRPr="00DE4780">
        <w:t xml:space="preserve">180,9 </w:t>
      </w:r>
      <w:r w:rsidR="005F3B9B" w:rsidRPr="00DE4780">
        <w:t xml:space="preserve">м2 </w:t>
      </w:r>
      <w:r w:rsidR="00E16990" w:rsidRPr="00DE4780">
        <w:t xml:space="preserve">не </w:t>
      </w:r>
      <w:r w:rsidR="00F01BC9" w:rsidRPr="00DE4780">
        <w:t xml:space="preserve">пригодно для эксплуатации </w:t>
      </w:r>
      <w:r w:rsidR="00E16990" w:rsidRPr="00DE4780">
        <w:t xml:space="preserve">(отсутствует напольное покрытие, </w:t>
      </w:r>
      <w:r w:rsidR="00E16990" w:rsidRPr="00DE4780">
        <w:lastRenderedPageBreak/>
        <w:t xml:space="preserve">покрытие стен и др.) и </w:t>
      </w:r>
      <w:r w:rsidR="005F3B9B" w:rsidRPr="00DE4780">
        <w:t>Театром не использу</w:t>
      </w:r>
      <w:r w:rsidR="00E16990" w:rsidRPr="00DE4780">
        <w:t>е</w:t>
      </w:r>
      <w:r w:rsidR="005F3B9B" w:rsidRPr="00DE4780">
        <w:t>тся</w:t>
      </w:r>
      <w:r w:rsidR="00211EFC" w:rsidRPr="00DE4780">
        <w:t xml:space="preserve">, </w:t>
      </w:r>
      <w:r w:rsidR="0076267A" w:rsidRPr="00DE4780">
        <w:t xml:space="preserve">сумма налога за неиспользуемое помещение </w:t>
      </w:r>
      <w:r w:rsidR="00211EFC" w:rsidRPr="00DE4780">
        <w:t xml:space="preserve">в 2016 году </w:t>
      </w:r>
      <w:r w:rsidR="0076267A" w:rsidRPr="00DE4780">
        <w:t>состав</w:t>
      </w:r>
      <w:r w:rsidR="00211EFC" w:rsidRPr="00DE4780">
        <w:t>ила</w:t>
      </w:r>
      <w:r w:rsidR="0076267A" w:rsidRPr="00DE4780">
        <w:t xml:space="preserve"> </w:t>
      </w:r>
      <w:r w:rsidR="0076267A" w:rsidRPr="00DE4780">
        <w:rPr>
          <w:b/>
        </w:rPr>
        <w:t>17,9 тыс. руб</w:t>
      </w:r>
      <w:r w:rsidR="00E01372" w:rsidRPr="00DE4780">
        <w:rPr>
          <w:b/>
        </w:rPr>
        <w:t>лей</w:t>
      </w:r>
      <w:r w:rsidR="0076267A" w:rsidRPr="00DE4780">
        <w:t>.</w:t>
      </w:r>
    </w:p>
    <w:p w:rsidR="00E16990" w:rsidRPr="00DE4780" w:rsidRDefault="004E15AE" w:rsidP="005F3B9B">
      <w:pPr>
        <w:ind w:firstLine="708"/>
        <w:jc w:val="both"/>
        <w:rPr>
          <w:b/>
        </w:rPr>
      </w:pPr>
      <w:r w:rsidRPr="00DE4780">
        <w:rPr>
          <w:b/>
        </w:rPr>
        <w:t>5</w:t>
      </w:r>
      <w:r w:rsidR="00A872FA" w:rsidRPr="00DE4780">
        <w:rPr>
          <w:b/>
        </w:rPr>
        <w:t>.</w:t>
      </w:r>
      <w:r w:rsidR="00E01372" w:rsidRPr="00DE4780">
        <w:rPr>
          <w:b/>
        </w:rPr>
        <w:t xml:space="preserve">2. </w:t>
      </w:r>
      <w:r w:rsidR="00E16990" w:rsidRPr="00DE4780">
        <w:t xml:space="preserve">При осмотре вспомогательного корпуса Театра установлено, что в 3 помещениях </w:t>
      </w:r>
      <w:r w:rsidR="00950302" w:rsidRPr="00DE4780">
        <w:t xml:space="preserve">трансформаторных подстанций </w:t>
      </w:r>
      <w:r w:rsidR="00E16990" w:rsidRPr="00DE4780">
        <w:t xml:space="preserve">общей площадью </w:t>
      </w:r>
      <w:r w:rsidR="00A00805" w:rsidRPr="00DE4780">
        <w:t>37,2</w:t>
      </w:r>
      <w:r w:rsidR="00E16990" w:rsidRPr="00DE4780">
        <w:t xml:space="preserve"> м2 </w:t>
      </w:r>
      <w:r w:rsidR="00D41A7B" w:rsidRPr="00DE4780">
        <w:t>находится оборудование муниципального унитарного производственного предприятия «Волгоградские межрайонные электрические сети» (далее ВМЭС). Договор аренды с Театром не заключен</w:t>
      </w:r>
      <w:r w:rsidR="00EE201A" w:rsidRPr="00DE4780">
        <w:t xml:space="preserve">, что не позволило получить Театру дополнительный доход. </w:t>
      </w:r>
      <w:r w:rsidR="00F918E4" w:rsidRPr="00DE4780">
        <w:t>С</w:t>
      </w:r>
      <w:r w:rsidR="00E00CD0" w:rsidRPr="00DE4780">
        <w:t xml:space="preserve"> учетом оценки</w:t>
      </w:r>
      <w:r w:rsidR="00F918E4" w:rsidRPr="00DE4780">
        <w:t>,</w:t>
      </w:r>
      <w:r w:rsidR="00E00CD0" w:rsidRPr="00DE4780">
        <w:t xml:space="preserve"> </w:t>
      </w:r>
      <w:r w:rsidR="00F918E4" w:rsidRPr="00DE4780">
        <w:t xml:space="preserve">проведенной ООО «Ирбис» в августе 2012 года, </w:t>
      </w:r>
      <w:r w:rsidR="00EE201A" w:rsidRPr="00DE4780">
        <w:t xml:space="preserve">рыночная стоимость арендной платы </w:t>
      </w:r>
      <w:r w:rsidR="00F918E4" w:rsidRPr="00DE4780">
        <w:t xml:space="preserve">за 1 кв.м. Театра </w:t>
      </w:r>
      <w:r w:rsidR="00EE201A" w:rsidRPr="00DE4780">
        <w:t>составляет 452 руб</w:t>
      </w:r>
      <w:r w:rsidR="00B54EA0" w:rsidRPr="00DE4780">
        <w:t>ля</w:t>
      </w:r>
      <w:r w:rsidR="00EE201A" w:rsidRPr="00DE4780">
        <w:t>.</w:t>
      </w:r>
      <w:r w:rsidR="00F918E4" w:rsidRPr="00DE4780">
        <w:t xml:space="preserve"> Соответственно при заключении договора аренды на размещение трансформаторных подстанций по аналогичной рыночной цене Театром мог быть получен дополнительны</w:t>
      </w:r>
      <w:r w:rsidR="00C07647" w:rsidRPr="00DE4780">
        <w:t>й</w:t>
      </w:r>
      <w:r w:rsidR="00F918E4" w:rsidRPr="00DE4780">
        <w:t xml:space="preserve"> доход </w:t>
      </w:r>
      <w:r w:rsidR="00E00CD0" w:rsidRPr="00DE4780">
        <w:t>за период 2012-2016 год</w:t>
      </w:r>
      <w:r w:rsidR="00B54EA0" w:rsidRPr="00DE4780">
        <w:t>ов</w:t>
      </w:r>
      <w:r w:rsidR="00E00CD0" w:rsidRPr="00DE4780">
        <w:t xml:space="preserve"> </w:t>
      </w:r>
      <w:r w:rsidR="00F918E4" w:rsidRPr="00DE4780">
        <w:t>не менее</w:t>
      </w:r>
      <w:r w:rsidR="00E00CD0" w:rsidRPr="00DE4780">
        <w:t xml:space="preserve"> </w:t>
      </w:r>
      <w:r w:rsidR="00E00CD0" w:rsidRPr="00DE4780">
        <w:rPr>
          <w:b/>
        </w:rPr>
        <w:t>807</w:t>
      </w:r>
      <w:r w:rsidR="00E00CD0" w:rsidRPr="00DE4780">
        <w:t xml:space="preserve"> тыс. руб. (452 руб. за кв. м. * 37,2 кв.м. * 12 месяцев * 4 года). </w:t>
      </w:r>
      <w:r w:rsidR="00211EFC" w:rsidRPr="00DE4780">
        <w:t>С</w:t>
      </w:r>
      <w:r w:rsidR="00ED2847" w:rsidRPr="00DE4780">
        <w:t xml:space="preserve">умма </w:t>
      </w:r>
      <w:r w:rsidR="00805096" w:rsidRPr="00DE4780">
        <w:t xml:space="preserve">земельного налога </w:t>
      </w:r>
      <w:r w:rsidR="00ED2847" w:rsidRPr="00DE4780">
        <w:t xml:space="preserve">и </w:t>
      </w:r>
      <w:r w:rsidR="00805096" w:rsidRPr="00DE4780">
        <w:t xml:space="preserve">налога на </w:t>
      </w:r>
      <w:r w:rsidR="00ED2847" w:rsidRPr="00DE4780">
        <w:t>имущество Театра за 2016 год, приходящ</w:t>
      </w:r>
      <w:r w:rsidR="00683D15" w:rsidRPr="00DE4780">
        <w:t>и</w:t>
      </w:r>
      <w:r w:rsidR="00211EFC" w:rsidRPr="00DE4780">
        <w:t>еся на вышеуказанные помещения</w:t>
      </w:r>
      <w:r w:rsidR="00ED2847" w:rsidRPr="00DE4780">
        <w:t>, состав</w:t>
      </w:r>
      <w:r w:rsidR="00B54EA0" w:rsidRPr="00DE4780">
        <w:t>ила</w:t>
      </w:r>
      <w:r w:rsidR="00ED2847" w:rsidRPr="00DE4780">
        <w:t xml:space="preserve"> </w:t>
      </w:r>
      <w:r w:rsidR="00ED2847" w:rsidRPr="00DE4780">
        <w:rPr>
          <w:b/>
        </w:rPr>
        <w:t>7,9</w:t>
      </w:r>
      <w:r w:rsidR="00E00CD0" w:rsidRPr="00DE4780">
        <w:rPr>
          <w:b/>
        </w:rPr>
        <w:t> тыс. </w:t>
      </w:r>
      <w:r w:rsidR="00ED2847" w:rsidRPr="00DE4780">
        <w:rPr>
          <w:b/>
        </w:rPr>
        <w:t>рублей.</w:t>
      </w:r>
    </w:p>
    <w:p w:rsidR="00B0080E" w:rsidRPr="00DE4780" w:rsidRDefault="00ED2847" w:rsidP="005F3B9B">
      <w:pPr>
        <w:ind w:firstLine="708"/>
        <w:jc w:val="both"/>
      </w:pPr>
      <w:r w:rsidRPr="00DE4780">
        <w:t>В</w:t>
      </w:r>
      <w:r w:rsidR="00D41A7B" w:rsidRPr="00DE4780">
        <w:t xml:space="preserve"> 2013 году руководством Театра в адрес ВМЭС направлено письмо на предмет оформления договора аренды. В ответе от 12.09.2013 №ВМЭС/5015/13 ВМЭС указал на то, что электрооборудование, находящееся в помещениях </w:t>
      </w:r>
      <w:proofErr w:type="spellStart"/>
      <w:r w:rsidR="00D41A7B" w:rsidRPr="00DE4780">
        <w:t>ТЮЗа</w:t>
      </w:r>
      <w:proofErr w:type="spellEnd"/>
      <w:r w:rsidR="00D41A7B" w:rsidRPr="00DE4780">
        <w:t>, обеспечивает электроснабжением исключительно Театр</w:t>
      </w:r>
      <w:r w:rsidR="00B54EA0" w:rsidRPr="00DE4780">
        <w:t>. Поэтому ВМЭС</w:t>
      </w:r>
      <w:r w:rsidR="00D41A7B" w:rsidRPr="00DE4780">
        <w:t xml:space="preserve"> не вправе заключать договоры аренды и готово демонтировать указанное оборудование. </w:t>
      </w:r>
      <w:r w:rsidR="00D92140" w:rsidRPr="00DE4780">
        <w:t>В случае демонтажа электрооборудования трансформаторной подстанции, необходимо будет вести линии электропередач к друг</w:t>
      </w:r>
      <w:r w:rsidR="00293735" w:rsidRPr="00DE4780">
        <w:t>ой подстанции самостоятельно</w:t>
      </w:r>
      <w:r w:rsidR="00B54EA0" w:rsidRPr="00DE4780">
        <w:t>. В</w:t>
      </w:r>
      <w:r w:rsidR="00D92140" w:rsidRPr="00DE4780">
        <w:t>виду отсутствия у Театра средств вопрос остался открытым</w:t>
      </w:r>
      <w:r w:rsidR="00E01372" w:rsidRPr="00DE4780">
        <w:t>.</w:t>
      </w:r>
      <w:r w:rsidR="00D92140" w:rsidRPr="00DE4780">
        <w:t xml:space="preserve"> </w:t>
      </w:r>
    </w:p>
    <w:p w:rsidR="00ED2847" w:rsidRPr="00DE4780" w:rsidRDefault="00ED2847" w:rsidP="005F3B9B">
      <w:pPr>
        <w:ind w:firstLine="708"/>
        <w:jc w:val="both"/>
      </w:pPr>
      <w:r w:rsidRPr="00DE4780">
        <w:t>В ходе проверки КСП в адрес ВМЭС направлен запрос от 17.08.2017 №</w:t>
      </w:r>
      <w:r w:rsidR="008E3298" w:rsidRPr="00DE4780">
        <w:t> </w:t>
      </w:r>
      <w:r w:rsidRPr="00DE4780">
        <w:t xml:space="preserve">01КСП-02-04/1185 </w:t>
      </w:r>
      <w:r w:rsidR="00ED4275" w:rsidRPr="00DE4780">
        <w:t xml:space="preserve">о предоставлении информации о правовых основаниях размещения оборудования ВМЭС в помещениях трансформаторных подстанций, закрепленных на праве оперативного управления за Театром. </w:t>
      </w:r>
      <w:r w:rsidR="00AD4AE0" w:rsidRPr="00DE4780">
        <w:t>Из полученного ответа от ВМЭС от 23.08.2017 №</w:t>
      </w:r>
      <w:r w:rsidR="008E3298" w:rsidRPr="00DE4780">
        <w:t> </w:t>
      </w:r>
      <w:r w:rsidR="00AD4AE0" w:rsidRPr="00DE4780">
        <w:t>ВМЭС/6749-17 следует:</w:t>
      </w:r>
    </w:p>
    <w:p w:rsidR="00AD4AE0" w:rsidRPr="00DE4780" w:rsidRDefault="00AD4AE0" w:rsidP="005F3B9B">
      <w:pPr>
        <w:ind w:firstLine="708"/>
        <w:jc w:val="both"/>
      </w:pPr>
      <w:r w:rsidRPr="00DE4780">
        <w:t>-в состав оборудования трансформаторной подстанции вход</w:t>
      </w:r>
      <w:r w:rsidR="00B54EA0" w:rsidRPr="00DE4780">
        <w:t>я</w:t>
      </w:r>
      <w:r w:rsidRPr="00DE4780">
        <w:t xml:space="preserve">т: силовые трансформаторы Т1 400 </w:t>
      </w:r>
      <w:proofErr w:type="spellStart"/>
      <w:r w:rsidRPr="00DE4780">
        <w:t>кВА</w:t>
      </w:r>
      <w:proofErr w:type="spellEnd"/>
      <w:r w:rsidRPr="00DE4780">
        <w:t>; РУ-6 кВ, состоящ</w:t>
      </w:r>
      <w:r w:rsidR="00B54EA0" w:rsidRPr="00DE4780">
        <w:t>и</w:t>
      </w:r>
      <w:r w:rsidRPr="00DE4780">
        <w:t>е из двух ячеек КСО с выключателями нагрузки; РУ-0,4 кВ, состоящее из четырех панелей ЩО-70, двух вводных панелей и одной секционной;</w:t>
      </w:r>
    </w:p>
    <w:p w:rsidR="00AD4AE0" w:rsidRPr="00DE4780" w:rsidRDefault="00AD4AE0" w:rsidP="005F3B9B">
      <w:pPr>
        <w:ind w:firstLine="708"/>
        <w:jc w:val="both"/>
      </w:pPr>
      <w:r w:rsidRPr="00DE4780">
        <w:t>-оплата за использование помещений Театра, в которых располагается оборудование трансформаторной подстанции, ВМЭС не производится</w:t>
      </w:r>
      <w:r w:rsidR="002B5190" w:rsidRPr="00DE4780">
        <w:t xml:space="preserve"> (договор аренды отсутствует)</w:t>
      </w:r>
      <w:r w:rsidRPr="00DE4780">
        <w:t>;</w:t>
      </w:r>
    </w:p>
    <w:p w:rsidR="00AD4AE0" w:rsidRPr="00DE4780" w:rsidRDefault="00AD4AE0" w:rsidP="005F3B9B">
      <w:pPr>
        <w:ind w:firstLine="708"/>
        <w:jc w:val="both"/>
      </w:pPr>
      <w:r w:rsidRPr="00DE4780">
        <w:t xml:space="preserve">-от данной трансформаторной подстанции осуществляется электроснабжение следующих потребителей: Театр; ИП </w:t>
      </w:r>
      <w:proofErr w:type="spellStart"/>
      <w:r w:rsidRPr="00DE4780">
        <w:t>Заикин</w:t>
      </w:r>
      <w:proofErr w:type="spellEnd"/>
      <w:r w:rsidRPr="00DE4780">
        <w:t xml:space="preserve"> Д.К.; ИП Королев А.А.; ИП Круглова Е.Н.; МУК «Детский городской парк»; ООО «Лидер-В»; ф.л. Гусаров Г.В.; ГБУ «Центр информационных технологий Волгоградской области»; </w:t>
      </w:r>
      <w:r w:rsidR="0049319D" w:rsidRPr="00DE4780">
        <w:t>жилой дом №37 по ул.Козловской.</w:t>
      </w:r>
    </w:p>
    <w:p w:rsidR="002B5190" w:rsidRPr="00DE4780" w:rsidRDefault="002B5190" w:rsidP="002B5190">
      <w:pPr>
        <w:ind w:firstLine="708"/>
        <w:jc w:val="both"/>
        <w:rPr>
          <w:i/>
        </w:rPr>
      </w:pPr>
      <w:r w:rsidRPr="00DE4780">
        <w:t xml:space="preserve">Таким образом, </w:t>
      </w:r>
      <w:r w:rsidRPr="00DE4780">
        <w:rPr>
          <w:rFonts w:eastAsia="Calibri"/>
        </w:rPr>
        <w:t xml:space="preserve">ответ ВМЭС </w:t>
      </w:r>
      <w:r w:rsidRPr="00DE4780">
        <w:t xml:space="preserve">от 23.08.2017 №ВМЭС/6749-17 </w:t>
      </w:r>
      <w:r w:rsidRPr="00DE4780">
        <w:rPr>
          <w:rFonts w:eastAsia="Calibri"/>
        </w:rPr>
        <w:t xml:space="preserve">подтверждает </w:t>
      </w:r>
      <w:r w:rsidRPr="00DE4780">
        <w:t>использование находящегося в собственности Волгоградской области объекта нежилого фонда без надлежаще оформленных документов</w:t>
      </w:r>
      <w:r w:rsidRPr="00DE4780">
        <w:rPr>
          <w:color w:val="0000CC"/>
        </w:rPr>
        <w:t>.</w:t>
      </w:r>
      <w:r w:rsidR="006221C9" w:rsidRPr="00DE4780">
        <w:rPr>
          <w:color w:val="0000CC"/>
        </w:rPr>
        <w:t xml:space="preserve"> </w:t>
      </w:r>
      <w:r w:rsidRPr="00DE4780">
        <w:rPr>
          <w:i/>
        </w:rPr>
        <w:t>За данное правонарушение предусмотрена ответственность</w:t>
      </w:r>
      <w:r w:rsidR="00F01BC9" w:rsidRPr="00DE4780">
        <w:rPr>
          <w:i/>
        </w:rPr>
        <w:t xml:space="preserve"> пользователя помещения</w:t>
      </w:r>
      <w:r w:rsidRPr="00DE4780">
        <w:rPr>
          <w:i/>
        </w:rPr>
        <w:t>, установленная ч. 2 ст. 5.3 Кодекса Волгоградской области об административной ответственности от 11.06.2008 №1693-ОД.</w:t>
      </w:r>
    </w:p>
    <w:p w:rsidR="00944A40" w:rsidRPr="00DE4780" w:rsidRDefault="004E15AE" w:rsidP="00E01372">
      <w:pPr>
        <w:ind w:firstLine="708"/>
        <w:jc w:val="both"/>
        <w:rPr>
          <w:bCs/>
          <w:lang w:eastAsia="en-US"/>
        </w:rPr>
      </w:pPr>
      <w:r w:rsidRPr="00DE4780">
        <w:rPr>
          <w:b/>
        </w:rPr>
        <w:t>5</w:t>
      </w:r>
      <w:r w:rsidR="00A872FA" w:rsidRPr="00DE4780">
        <w:rPr>
          <w:b/>
        </w:rPr>
        <w:t>.</w:t>
      </w:r>
      <w:r w:rsidR="00E01372" w:rsidRPr="00DE4780">
        <w:rPr>
          <w:b/>
        </w:rPr>
        <w:t xml:space="preserve">3. </w:t>
      </w:r>
      <w:r w:rsidR="00EC68C6" w:rsidRPr="00DE4780">
        <w:rPr>
          <w:bCs/>
          <w:lang w:eastAsia="en-US"/>
        </w:rPr>
        <w:t xml:space="preserve">На основании постановления Администрации г.Волгограда от 14.10.1998 №1299 за Театром на праве бессрочного пользования закреплен земельный участок общей площадью 8208 м2 по адресу </w:t>
      </w:r>
      <w:r w:rsidR="00EC68C6" w:rsidRPr="00DE4780">
        <w:rPr>
          <w:sz w:val="16"/>
          <w:szCs w:val="16"/>
        </w:rPr>
        <w:t xml:space="preserve">г. </w:t>
      </w:r>
      <w:r w:rsidR="00EC68C6" w:rsidRPr="00DE4780">
        <w:rPr>
          <w:bCs/>
          <w:lang w:eastAsia="en-US"/>
        </w:rPr>
        <w:t xml:space="preserve">Волгоград, ул. </w:t>
      </w:r>
      <w:proofErr w:type="spellStart"/>
      <w:r w:rsidR="00B54EA0" w:rsidRPr="00DE4780">
        <w:rPr>
          <w:bCs/>
          <w:lang w:eastAsia="en-US"/>
        </w:rPr>
        <w:t>Рабоче-К</w:t>
      </w:r>
      <w:r w:rsidR="00861EEE" w:rsidRPr="00DE4780">
        <w:rPr>
          <w:bCs/>
          <w:lang w:eastAsia="en-US"/>
        </w:rPr>
        <w:t>рестьянская</w:t>
      </w:r>
      <w:proofErr w:type="spellEnd"/>
      <w:r w:rsidR="00EC68C6" w:rsidRPr="00DE4780">
        <w:rPr>
          <w:bCs/>
          <w:lang w:eastAsia="en-US"/>
        </w:rPr>
        <w:t>, д.42.</w:t>
      </w:r>
      <w:r w:rsidR="005F3B9B" w:rsidRPr="00DE4780">
        <w:rPr>
          <w:bCs/>
          <w:lang w:eastAsia="en-US"/>
        </w:rPr>
        <w:t xml:space="preserve"> </w:t>
      </w:r>
      <w:r w:rsidR="004B101D" w:rsidRPr="00DE4780">
        <w:rPr>
          <w:bCs/>
          <w:lang w:eastAsia="en-US"/>
        </w:rPr>
        <w:t xml:space="preserve">В ходе осмотра земельного участка установлено, что </w:t>
      </w:r>
      <w:r w:rsidR="00861EEE" w:rsidRPr="00DE4780">
        <w:rPr>
          <w:bCs/>
          <w:lang w:eastAsia="en-US"/>
        </w:rPr>
        <w:t xml:space="preserve">участок площадью </w:t>
      </w:r>
      <w:r w:rsidR="00806ED5" w:rsidRPr="00DE4780">
        <w:rPr>
          <w:bCs/>
          <w:lang w:eastAsia="en-US"/>
        </w:rPr>
        <w:t>1239,09</w:t>
      </w:r>
      <w:r w:rsidR="004B101D" w:rsidRPr="00DE4780">
        <w:rPr>
          <w:bCs/>
          <w:lang w:eastAsia="en-US"/>
        </w:rPr>
        <w:t xml:space="preserve"> м2, а также бассейн </w:t>
      </w:r>
      <w:r w:rsidR="00441D0E" w:rsidRPr="00DE4780">
        <w:rPr>
          <w:bCs/>
          <w:lang w:eastAsia="en-US"/>
        </w:rPr>
        <w:t xml:space="preserve">на данном участке находятся в заброшенном состоянии и Театром </w:t>
      </w:r>
      <w:r w:rsidR="002023A0" w:rsidRPr="00DE4780">
        <w:rPr>
          <w:bCs/>
          <w:lang w:eastAsia="en-US"/>
        </w:rPr>
        <w:t>для выполнения своих уставных целей</w:t>
      </w:r>
      <w:r w:rsidR="00562A8B" w:rsidRPr="00DE4780">
        <w:rPr>
          <w:bCs/>
          <w:lang w:eastAsia="en-US"/>
        </w:rPr>
        <w:t xml:space="preserve"> </w:t>
      </w:r>
      <w:r w:rsidR="00441D0E" w:rsidRPr="00DE4780">
        <w:rPr>
          <w:bCs/>
          <w:lang w:eastAsia="en-US"/>
        </w:rPr>
        <w:t>не используются</w:t>
      </w:r>
      <w:r w:rsidR="00E01372" w:rsidRPr="00DE4780">
        <w:rPr>
          <w:bCs/>
          <w:lang w:eastAsia="en-US"/>
        </w:rPr>
        <w:t>, р</w:t>
      </w:r>
      <w:r w:rsidR="0011609B" w:rsidRPr="00DE4780">
        <w:rPr>
          <w:bCs/>
          <w:lang w:eastAsia="en-US"/>
        </w:rPr>
        <w:t xml:space="preserve">асходы на уплату </w:t>
      </w:r>
      <w:r w:rsidR="00805096" w:rsidRPr="00DE4780">
        <w:rPr>
          <w:bCs/>
          <w:lang w:eastAsia="en-US"/>
        </w:rPr>
        <w:t xml:space="preserve">земельного </w:t>
      </w:r>
      <w:r w:rsidR="0011609B" w:rsidRPr="00DE4780">
        <w:rPr>
          <w:bCs/>
          <w:lang w:eastAsia="en-US"/>
        </w:rPr>
        <w:t xml:space="preserve">налога </w:t>
      </w:r>
      <w:r w:rsidR="00861EEE" w:rsidRPr="00DE4780">
        <w:rPr>
          <w:bCs/>
          <w:lang w:eastAsia="en-US"/>
        </w:rPr>
        <w:t>за не</w:t>
      </w:r>
      <w:r w:rsidR="0011609B" w:rsidRPr="00DE4780">
        <w:rPr>
          <w:bCs/>
          <w:lang w:eastAsia="en-US"/>
        </w:rPr>
        <w:t>используем</w:t>
      </w:r>
      <w:r w:rsidR="00861EEE" w:rsidRPr="00DE4780">
        <w:rPr>
          <w:bCs/>
          <w:lang w:eastAsia="en-US"/>
        </w:rPr>
        <w:t>ый</w:t>
      </w:r>
      <w:r w:rsidR="0011609B" w:rsidRPr="00DE4780">
        <w:rPr>
          <w:bCs/>
          <w:lang w:eastAsia="en-US"/>
        </w:rPr>
        <w:t xml:space="preserve"> участ</w:t>
      </w:r>
      <w:r w:rsidR="00861EEE" w:rsidRPr="00DE4780">
        <w:rPr>
          <w:bCs/>
          <w:lang w:eastAsia="en-US"/>
        </w:rPr>
        <w:t>ок</w:t>
      </w:r>
      <w:r w:rsidR="0011609B" w:rsidRPr="00DE4780">
        <w:rPr>
          <w:bCs/>
          <w:lang w:eastAsia="en-US"/>
        </w:rPr>
        <w:t xml:space="preserve"> </w:t>
      </w:r>
      <w:r w:rsidR="00E01372" w:rsidRPr="00DE4780">
        <w:rPr>
          <w:bCs/>
          <w:lang w:eastAsia="en-US"/>
        </w:rPr>
        <w:t>в 2016 году</w:t>
      </w:r>
      <w:r w:rsidR="00861EEE" w:rsidRPr="00DE4780">
        <w:rPr>
          <w:bCs/>
          <w:lang w:eastAsia="en-US"/>
        </w:rPr>
        <w:t xml:space="preserve"> состав</w:t>
      </w:r>
      <w:r w:rsidR="00E01372" w:rsidRPr="00DE4780">
        <w:rPr>
          <w:bCs/>
          <w:lang w:eastAsia="en-US"/>
        </w:rPr>
        <w:t>или</w:t>
      </w:r>
      <w:r w:rsidR="00861EEE" w:rsidRPr="00DE4780">
        <w:rPr>
          <w:bCs/>
          <w:lang w:eastAsia="en-US"/>
        </w:rPr>
        <w:t xml:space="preserve"> </w:t>
      </w:r>
      <w:r w:rsidR="0076267A" w:rsidRPr="00DE4780">
        <w:rPr>
          <w:b/>
          <w:bCs/>
          <w:lang w:eastAsia="en-US"/>
        </w:rPr>
        <w:t>187,5</w:t>
      </w:r>
      <w:r w:rsidR="00861EEE" w:rsidRPr="00DE4780">
        <w:rPr>
          <w:b/>
          <w:bCs/>
          <w:lang w:eastAsia="en-US"/>
        </w:rPr>
        <w:t xml:space="preserve"> тыс. руб</w:t>
      </w:r>
      <w:r w:rsidR="00E01372" w:rsidRPr="00DE4780">
        <w:rPr>
          <w:b/>
          <w:bCs/>
          <w:lang w:eastAsia="en-US"/>
        </w:rPr>
        <w:t>лей</w:t>
      </w:r>
      <w:r w:rsidR="00861EEE" w:rsidRPr="00DE4780">
        <w:rPr>
          <w:b/>
          <w:bCs/>
          <w:lang w:eastAsia="en-US"/>
        </w:rPr>
        <w:t>.</w:t>
      </w:r>
      <w:r w:rsidR="00562A8B" w:rsidRPr="00DE4780">
        <w:rPr>
          <w:bCs/>
          <w:lang w:eastAsia="en-US"/>
        </w:rPr>
        <w:t xml:space="preserve"> </w:t>
      </w:r>
      <w:r w:rsidR="00944A40" w:rsidRPr="00DE4780">
        <w:rPr>
          <w:bCs/>
          <w:lang w:eastAsia="en-US"/>
        </w:rPr>
        <w:t>Согласно пояснениям главного бухгалтера Театра указанный земельный участок и бассейн требуют капиталь</w:t>
      </w:r>
      <w:r w:rsidR="00E00CD0" w:rsidRPr="00DE4780">
        <w:rPr>
          <w:bCs/>
          <w:lang w:eastAsia="en-US"/>
        </w:rPr>
        <w:t>ного ремонта. К</w:t>
      </w:r>
      <w:r w:rsidR="00944A40" w:rsidRPr="00DE4780">
        <w:rPr>
          <w:bCs/>
          <w:lang w:eastAsia="en-US"/>
        </w:rPr>
        <w:t xml:space="preserve">апитальный ремонт </w:t>
      </w:r>
      <w:proofErr w:type="spellStart"/>
      <w:r w:rsidR="00944A40" w:rsidRPr="00DE4780">
        <w:rPr>
          <w:bCs/>
          <w:lang w:eastAsia="en-US"/>
        </w:rPr>
        <w:t>ТЮЗа</w:t>
      </w:r>
      <w:proofErr w:type="spellEnd"/>
      <w:r w:rsidR="00944A40" w:rsidRPr="00DE4780">
        <w:rPr>
          <w:bCs/>
          <w:lang w:eastAsia="en-US"/>
        </w:rPr>
        <w:t xml:space="preserve"> был </w:t>
      </w:r>
      <w:r w:rsidR="00E00CD0" w:rsidRPr="00DE4780">
        <w:rPr>
          <w:bCs/>
          <w:lang w:eastAsia="en-US"/>
        </w:rPr>
        <w:t>частично проведен</w:t>
      </w:r>
      <w:r w:rsidR="00B54EA0" w:rsidRPr="00DE4780">
        <w:rPr>
          <w:bCs/>
          <w:lang w:eastAsia="en-US"/>
        </w:rPr>
        <w:t xml:space="preserve"> в 2006 году. Общая стоимость</w:t>
      </w:r>
      <w:r w:rsidR="00944A40" w:rsidRPr="00DE4780">
        <w:rPr>
          <w:bCs/>
          <w:lang w:eastAsia="en-US"/>
        </w:rPr>
        <w:t xml:space="preserve"> необходимых для проведения капитального ремонта данного земельного участка по существующему проек</w:t>
      </w:r>
      <w:r w:rsidR="00B54EA0" w:rsidRPr="00DE4780">
        <w:rPr>
          <w:bCs/>
          <w:lang w:eastAsia="en-US"/>
        </w:rPr>
        <w:t>ту работ составляет 1398,6 тыс. </w:t>
      </w:r>
      <w:r w:rsidR="00944A40" w:rsidRPr="00DE4780">
        <w:rPr>
          <w:bCs/>
          <w:lang w:eastAsia="en-US"/>
        </w:rPr>
        <w:t>руб. (в ценах 2008 года). В плане работ: замена тротуарных плит на «брусчатку», земляные работы, устройство газона, озеленение, благоустройство, ограждение участка. Руководством Театра рассматривается вопрос устройства открытой сцены.</w:t>
      </w:r>
    </w:p>
    <w:p w:rsidR="00112E91" w:rsidRPr="00DE4780" w:rsidRDefault="004E15AE" w:rsidP="00D17368">
      <w:pPr>
        <w:ind w:firstLine="708"/>
        <w:jc w:val="both"/>
        <w:rPr>
          <w:i/>
        </w:rPr>
      </w:pPr>
      <w:r w:rsidRPr="00DE4780">
        <w:rPr>
          <w:b/>
        </w:rPr>
        <w:t>5</w:t>
      </w:r>
      <w:r w:rsidR="00A872FA" w:rsidRPr="00DE4780">
        <w:rPr>
          <w:b/>
        </w:rPr>
        <w:t>.</w:t>
      </w:r>
      <w:r w:rsidR="00A20A81" w:rsidRPr="00DE4780">
        <w:rPr>
          <w:b/>
        </w:rPr>
        <w:t>4</w:t>
      </w:r>
      <w:r w:rsidR="00E01372" w:rsidRPr="00DE4780">
        <w:rPr>
          <w:b/>
        </w:rPr>
        <w:t>.</w:t>
      </w:r>
      <w:r w:rsidR="00D17368" w:rsidRPr="00DE4780">
        <w:rPr>
          <w:b/>
        </w:rPr>
        <w:t xml:space="preserve"> </w:t>
      </w:r>
      <w:r w:rsidR="00D17368" w:rsidRPr="00DE4780">
        <w:t xml:space="preserve">В нарушение п.21 </w:t>
      </w:r>
      <w:r w:rsidR="00FE527A" w:rsidRPr="00DE4780">
        <w:t xml:space="preserve">Инструкции о порядке составления, представления годовой, квартальной бухгалтерской отчетности государственных (муниципальных) бюджетных и </w:t>
      </w:r>
      <w:r w:rsidR="00FE527A" w:rsidRPr="00DE4780">
        <w:lastRenderedPageBreak/>
        <w:t>автономных учр</w:t>
      </w:r>
      <w:r w:rsidR="00B54EA0" w:rsidRPr="00DE4780">
        <w:t>еждений, утвержденной приказом М</w:t>
      </w:r>
      <w:r w:rsidR="00FE527A" w:rsidRPr="00DE4780">
        <w:t>инистерства финансов РФ от 25.03.2011 №33н (далее Инструкция №33н)</w:t>
      </w:r>
      <w:r w:rsidR="00B54EA0" w:rsidRPr="00DE4780">
        <w:t>,</w:t>
      </w:r>
      <w:r w:rsidR="00FE527A" w:rsidRPr="00DE4780">
        <w:t xml:space="preserve"> </w:t>
      </w:r>
      <w:r w:rsidR="00112E91" w:rsidRPr="00DE4780">
        <w:t>сведения об имуществе</w:t>
      </w:r>
      <w:r w:rsidR="00E0143E" w:rsidRPr="00DE4780">
        <w:t xml:space="preserve"> остаточной стоимостью 12 313,7 тыс. руб.</w:t>
      </w:r>
      <w:r w:rsidR="00112E91" w:rsidRPr="00DE4780">
        <w:t xml:space="preserve">, переданном </w:t>
      </w:r>
      <w:r w:rsidR="00E0143E" w:rsidRPr="00DE4780">
        <w:t xml:space="preserve">Театром </w:t>
      </w:r>
      <w:r w:rsidR="00112E91" w:rsidRPr="00DE4780">
        <w:t xml:space="preserve">в аренду </w:t>
      </w:r>
      <w:r w:rsidR="00D17368" w:rsidRPr="00DE4780">
        <w:t xml:space="preserve">ИП </w:t>
      </w:r>
      <w:proofErr w:type="spellStart"/>
      <w:r w:rsidR="00D17368" w:rsidRPr="00DE4780">
        <w:t>Ма</w:t>
      </w:r>
      <w:r w:rsidR="00E0143E" w:rsidRPr="00DE4780">
        <w:t>ц</w:t>
      </w:r>
      <w:r w:rsidR="00D17368" w:rsidRPr="00DE4780">
        <w:t>акян</w:t>
      </w:r>
      <w:proofErr w:type="spellEnd"/>
      <w:r w:rsidR="00D17368" w:rsidRPr="00DE4780">
        <w:t xml:space="preserve"> А</w:t>
      </w:r>
      <w:r w:rsidR="00E0143E" w:rsidRPr="00DE4780">
        <w:t>.</w:t>
      </w:r>
      <w:r w:rsidR="00D17368" w:rsidRPr="00DE4780">
        <w:t>Р</w:t>
      </w:r>
      <w:r w:rsidR="00E0143E" w:rsidRPr="00DE4780">
        <w:t>.</w:t>
      </w:r>
      <w:r w:rsidR="00112E91" w:rsidRPr="00DE4780">
        <w:t xml:space="preserve"> </w:t>
      </w:r>
      <w:r w:rsidR="00D458B8" w:rsidRPr="00DE4780">
        <w:t xml:space="preserve">и </w:t>
      </w:r>
      <w:r w:rsidR="00112E91" w:rsidRPr="00DE4780">
        <w:t>безвозмездное пользование</w:t>
      </w:r>
      <w:r w:rsidR="00D17368" w:rsidRPr="00DE4780">
        <w:t xml:space="preserve"> ГБУК «Волгоградский государственный институт искусств и культуры»</w:t>
      </w:r>
      <w:r w:rsidR="00B54EA0" w:rsidRPr="00DE4780">
        <w:t>,</w:t>
      </w:r>
      <w:r w:rsidR="00112E91" w:rsidRPr="00DE4780">
        <w:t xml:space="preserve"> в Справке в составе Баланса (</w:t>
      </w:r>
      <w:hyperlink w:anchor="sub_3730" w:history="1">
        <w:r w:rsidR="00112E91" w:rsidRPr="00DE4780">
          <w:t>ф. 0503730</w:t>
        </w:r>
      </w:hyperlink>
      <w:r w:rsidR="00112E91" w:rsidRPr="00DE4780">
        <w:t>) отсутствуют. Объем искажений в форме отчетности Театра в составе Баланса (</w:t>
      </w:r>
      <w:hyperlink w:anchor="sub_3730" w:history="1">
        <w:r w:rsidR="00112E91" w:rsidRPr="00DE4780">
          <w:t>ф. 0503730</w:t>
        </w:r>
      </w:hyperlink>
      <w:r w:rsidR="00112E91" w:rsidRPr="00DE4780">
        <w:t xml:space="preserve">) в графе «на начало года» и «на конец года» по строке 250 «Имущество, переданное в возмездное пользование (аренду)» и по строке 260 «Имущество, переданное в безвозмездное пользование» составил 100 процентов. </w:t>
      </w:r>
      <w:r w:rsidR="00112E91" w:rsidRPr="00DE4780">
        <w:rPr>
          <w:i/>
        </w:rPr>
        <w:t xml:space="preserve">Согласно примечанию к  ст.15.11 </w:t>
      </w:r>
      <w:proofErr w:type="spellStart"/>
      <w:r w:rsidR="00112E91" w:rsidRPr="00DE4780">
        <w:rPr>
          <w:i/>
        </w:rPr>
        <w:t>КоАП</w:t>
      </w:r>
      <w:proofErr w:type="spellEnd"/>
      <w:r w:rsidR="00112E91" w:rsidRPr="00DE4780">
        <w:rPr>
          <w:i/>
        </w:rPr>
        <w:t xml:space="preserve"> РФ искажение любого показателя бухгалтерской (финансовой) отчетности, выраженного в денежном измерении, не менее чем на 10 </w:t>
      </w:r>
      <w:r w:rsidR="002A0FAF" w:rsidRPr="00DE4780">
        <w:rPr>
          <w:i/>
        </w:rPr>
        <w:t>%</w:t>
      </w:r>
      <w:r w:rsidR="00B54EA0" w:rsidRPr="00DE4780">
        <w:rPr>
          <w:i/>
        </w:rPr>
        <w:t>,</w:t>
      </w:r>
      <w:r w:rsidR="00112E91" w:rsidRPr="00DE4780">
        <w:rPr>
          <w:i/>
        </w:rPr>
        <w:t xml:space="preserve"> является грубым нарушением бухгалтерского учёта, за что предусмотрена административная ответственность. </w:t>
      </w:r>
    </w:p>
    <w:p w:rsidR="00D17368" w:rsidRPr="00DE4780" w:rsidRDefault="004E15AE" w:rsidP="00D17368">
      <w:pPr>
        <w:ind w:firstLine="709"/>
        <w:jc w:val="both"/>
      </w:pPr>
      <w:r w:rsidRPr="00DE4780">
        <w:rPr>
          <w:b/>
        </w:rPr>
        <w:t>5</w:t>
      </w:r>
      <w:r w:rsidR="00A872FA" w:rsidRPr="00DE4780">
        <w:rPr>
          <w:b/>
        </w:rPr>
        <w:t>.</w:t>
      </w:r>
      <w:r w:rsidR="00A20A81" w:rsidRPr="00DE4780">
        <w:rPr>
          <w:b/>
        </w:rPr>
        <w:t>5</w:t>
      </w:r>
      <w:r w:rsidR="00E01372" w:rsidRPr="00DE4780">
        <w:rPr>
          <w:b/>
        </w:rPr>
        <w:t>.</w:t>
      </w:r>
      <w:r w:rsidR="00E01372" w:rsidRPr="00DE4780">
        <w:t xml:space="preserve"> </w:t>
      </w:r>
      <w:r w:rsidR="00D17368" w:rsidRPr="00DE4780">
        <w:t>В нарушение п.5 постановления Администрации Волгоградской области от 20.12.2010 №692-п «О порядке определения видов и перечней особо ценного движимого имущества автономных и бюджетных учреждений</w:t>
      </w:r>
      <w:r w:rsidR="001C579B" w:rsidRPr="00DE4780">
        <w:t xml:space="preserve"> Волгоградской области» (далее</w:t>
      </w:r>
      <w:r w:rsidR="00D17368" w:rsidRPr="00DE4780">
        <w:t xml:space="preserve"> Постановление №692-п) и приказа </w:t>
      </w:r>
      <w:proofErr w:type="spellStart"/>
      <w:r w:rsidR="00D17368" w:rsidRPr="00DE4780">
        <w:t>Облкомкультуры</w:t>
      </w:r>
      <w:proofErr w:type="spellEnd"/>
      <w:r w:rsidR="00D17368" w:rsidRPr="00DE4780">
        <w:t xml:space="preserve"> от 20.09.2011 №01-20/264 (д</w:t>
      </w:r>
      <w:r w:rsidR="001C579B" w:rsidRPr="00DE4780">
        <w:t xml:space="preserve">алее </w:t>
      </w:r>
      <w:r w:rsidR="00D17368" w:rsidRPr="00DE4780">
        <w:t xml:space="preserve">Приказ </w:t>
      </w:r>
      <w:r w:rsidR="00B21671" w:rsidRPr="00DE4780">
        <w:t xml:space="preserve">Комитета </w:t>
      </w:r>
      <w:r w:rsidR="00D17368" w:rsidRPr="00DE4780">
        <w:t>№</w:t>
      </w:r>
      <w:r w:rsidR="00B21671" w:rsidRPr="00DE4780">
        <w:t> </w:t>
      </w:r>
      <w:r w:rsidR="00D17368" w:rsidRPr="00DE4780">
        <w:t>264) система пожаротушения балансовой стоимостью 749,8 тыс. руб. не включена в перечень особо ценного движимого имущества, что может привести к распоряжению указанным имуществом без согласования с учредителем.</w:t>
      </w:r>
    </w:p>
    <w:p w:rsidR="00097B2D" w:rsidRPr="00DE4780" w:rsidRDefault="00097B2D" w:rsidP="00732360">
      <w:pPr>
        <w:spacing w:before="120"/>
        <w:ind w:firstLine="709"/>
        <w:jc w:val="center"/>
        <w:rPr>
          <w:b/>
        </w:rPr>
      </w:pPr>
      <w:r w:rsidRPr="00DE4780">
        <w:rPr>
          <w:b/>
        </w:rPr>
        <w:t>Выводы</w:t>
      </w:r>
      <w:r w:rsidR="007178B5" w:rsidRPr="00DE4780">
        <w:rPr>
          <w:b/>
        </w:rPr>
        <w:t>:</w:t>
      </w:r>
    </w:p>
    <w:p w:rsidR="00B91E40" w:rsidRPr="00DE4780" w:rsidRDefault="00B91E40" w:rsidP="005F7038">
      <w:pPr>
        <w:ind w:firstLine="708"/>
        <w:jc w:val="both"/>
        <w:rPr>
          <w:b/>
        </w:rPr>
      </w:pPr>
      <w:r w:rsidRPr="00DE4780">
        <w:rPr>
          <w:b/>
        </w:rPr>
        <w:t>1.</w:t>
      </w:r>
      <w:r w:rsidR="00020EB6" w:rsidRPr="00DE4780">
        <w:rPr>
          <w:b/>
        </w:rPr>
        <w:t> </w:t>
      </w:r>
      <w:r w:rsidR="00B54EA0" w:rsidRPr="00DE4780">
        <w:rPr>
          <w:b/>
        </w:rPr>
        <w:t>Проверкой установлены следующие н</w:t>
      </w:r>
      <w:r w:rsidRPr="00DE4780">
        <w:rPr>
          <w:b/>
        </w:rPr>
        <w:t xml:space="preserve">арушения </w:t>
      </w:r>
      <w:r w:rsidR="00C22B5A" w:rsidRPr="00DE4780">
        <w:rPr>
          <w:b/>
        </w:rPr>
        <w:t xml:space="preserve">и недостатки </w:t>
      </w:r>
      <w:r w:rsidR="00B37500" w:rsidRPr="00DE4780">
        <w:rPr>
          <w:b/>
        </w:rPr>
        <w:t>формирования ПФХД, а также порядка формирования и</w:t>
      </w:r>
      <w:r w:rsidRPr="00DE4780">
        <w:rPr>
          <w:b/>
        </w:rPr>
        <w:t xml:space="preserve"> дов</w:t>
      </w:r>
      <w:r w:rsidR="00B37500" w:rsidRPr="00DE4780">
        <w:rPr>
          <w:b/>
        </w:rPr>
        <w:t>едения государственного задания</w:t>
      </w:r>
      <w:r w:rsidRPr="00DE4780">
        <w:rPr>
          <w:b/>
        </w:rPr>
        <w:t>:</w:t>
      </w:r>
    </w:p>
    <w:p w:rsidR="007178B5" w:rsidRPr="00DE4780" w:rsidRDefault="007178B5" w:rsidP="007178B5">
      <w:pPr>
        <w:pStyle w:val="af4"/>
        <w:spacing w:after="0"/>
        <w:ind w:left="0" w:firstLine="720"/>
        <w:jc w:val="both"/>
      </w:pPr>
      <w:r w:rsidRPr="00DE4780">
        <w:t xml:space="preserve">- качественный показатель </w:t>
      </w:r>
      <w:r w:rsidR="00B54EA0" w:rsidRPr="00DE4780">
        <w:t>«</w:t>
      </w:r>
      <w:r w:rsidRPr="00DE4780">
        <w:t xml:space="preserve">средняя </w:t>
      </w:r>
      <w:proofErr w:type="spellStart"/>
      <w:r w:rsidRPr="00DE4780">
        <w:t>заполняемость</w:t>
      </w:r>
      <w:proofErr w:type="spellEnd"/>
      <w:r w:rsidRPr="00DE4780">
        <w:t xml:space="preserve"> зала на стационаре</w:t>
      </w:r>
      <w:r w:rsidR="00B54EA0" w:rsidRPr="00DE4780">
        <w:t>»</w:t>
      </w:r>
      <w:r w:rsidRPr="00DE4780">
        <w:t xml:space="preserve"> по государственной услуге «Показ спектаклей (театральных постановок)» не достигнут и составил 7</w:t>
      </w:r>
      <w:r w:rsidR="00C63F3D" w:rsidRPr="00DE4780">
        <w:t>0</w:t>
      </w:r>
      <w:r w:rsidRPr="00DE4780">
        <w:t>,</w:t>
      </w:r>
      <w:r w:rsidR="00C63F3D" w:rsidRPr="00DE4780">
        <w:t>1</w:t>
      </w:r>
      <w:r w:rsidRPr="00DE4780">
        <w:t> % при плане 84,1 %;</w:t>
      </w:r>
    </w:p>
    <w:p w:rsidR="007178B5" w:rsidRPr="00DE4780" w:rsidRDefault="007178B5" w:rsidP="007178B5">
      <w:pPr>
        <w:pStyle w:val="af4"/>
        <w:spacing w:after="0"/>
        <w:ind w:left="0" w:firstLine="720"/>
        <w:jc w:val="both"/>
      </w:pPr>
      <w:r w:rsidRPr="00DE4780">
        <w:t xml:space="preserve">- у Комитета отсутствовали основания планировать Театру качественный показатель «средняя </w:t>
      </w:r>
      <w:proofErr w:type="spellStart"/>
      <w:r w:rsidRPr="00DE4780">
        <w:t>заполняемость</w:t>
      </w:r>
      <w:proofErr w:type="spellEnd"/>
      <w:r w:rsidRPr="00DE4780">
        <w:t xml:space="preserve"> зала на стационаре» на 2016 год в размере 84,1 %, так как вышеуказанный показатель изменялся от 51,2 % в 201</w:t>
      </w:r>
      <w:r w:rsidR="00C63F3D" w:rsidRPr="00DE4780">
        <w:t>4 году до 70</w:t>
      </w:r>
      <w:r w:rsidRPr="00DE4780">
        <w:t>,</w:t>
      </w:r>
      <w:r w:rsidR="00C63F3D" w:rsidRPr="00DE4780">
        <w:t>1</w:t>
      </w:r>
      <w:r w:rsidRPr="00DE4780">
        <w:t> % в 2016 году;</w:t>
      </w:r>
    </w:p>
    <w:p w:rsidR="007178B5" w:rsidRPr="00DE4780" w:rsidRDefault="007178B5" w:rsidP="007178B5">
      <w:pPr>
        <w:ind w:firstLine="851"/>
        <w:jc w:val="both"/>
      </w:pPr>
      <w:r w:rsidRPr="00DE4780">
        <w:t xml:space="preserve">- достижение Театром запланированного показателя качества «средняя </w:t>
      </w:r>
      <w:proofErr w:type="spellStart"/>
      <w:r w:rsidRPr="00DE4780">
        <w:t>заполняемость</w:t>
      </w:r>
      <w:proofErr w:type="spellEnd"/>
      <w:r w:rsidRPr="00DE4780">
        <w:t xml:space="preserve"> зала на стационаре» в размере 84,1 % по итогам 2016 года было маловероятно и, по мнению КСП, могло быть стимулирующим показателем, а не показателем качества выполнения государственного задания. Показ большего количества спектаклей от запланированного вызывает сомнения в правильности выбора Комитетом показателя объема государственной услуги – «количество зрителей», а не «количество спектаклей»;</w:t>
      </w:r>
    </w:p>
    <w:p w:rsidR="00020EB6" w:rsidRPr="00DE4780" w:rsidRDefault="00E42BE2" w:rsidP="00E42BE2">
      <w:pPr>
        <w:pStyle w:val="af4"/>
        <w:spacing w:after="0"/>
        <w:ind w:left="0" w:firstLine="708"/>
        <w:jc w:val="both"/>
      </w:pPr>
      <w:r w:rsidRPr="00DE4780">
        <w:t xml:space="preserve">-выполнение государственного задания в части достижения количественного показателя при невыполненном показателе качества путем проведения большего количества спектаклей свидетельствует о завышении существующего базового норматива оказания государственной услуги (при количественном показателе – количество зрителей) и соответственно объема финансового обеспечения учреждения на 2016 год и </w:t>
      </w:r>
      <w:r w:rsidR="00020EB6" w:rsidRPr="00DE4780">
        <w:t xml:space="preserve">приводит </w:t>
      </w:r>
      <w:r w:rsidR="00B222EB" w:rsidRPr="00DE4780">
        <w:t xml:space="preserve">не только </w:t>
      </w:r>
      <w:r w:rsidR="00020EB6" w:rsidRPr="00DE4780">
        <w:t>к увеличению нагрузки на артистов, в т.ч. превышению охранных норм, соответственно дополнительным расходам на оплату их труда</w:t>
      </w:r>
      <w:r w:rsidR="00B222EB" w:rsidRPr="00DE4780">
        <w:t>, но и ставит под сомнение качество оказания данных услуг работниками Театра;</w:t>
      </w:r>
    </w:p>
    <w:p w:rsidR="00537A4E" w:rsidRPr="00DE4780" w:rsidRDefault="00020EB6" w:rsidP="00537A4E">
      <w:pPr>
        <w:ind w:firstLine="709"/>
        <w:jc w:val="both"/>
      </w:pPr>
      <w:r w:rsidRPr="00DE4780">
        <w:t xml:space="preserve">- проведение в 2016 году </w:t>
      </w:r>
      <w:r w:rsidRPr="00DE4780">
        <w:rPr>
          <w:b/>
        </w:rPr>
        <w:t>95 спектаклей</w:t>
      </w:r>
      <w:r w:rsidRPr="00DE4780">
        <w:t xml:space="preserve"> только в большом зале Театра приведет к загруженности его актеров в объеме 12 спектаклей в </w:t>
      </w:r>
      <w:r w:rsidR="00176FC4" w:rsidRPr="00DE4780">
        <w:t>месяц</w:t>
      </w:r>
      <w:r w:rsidRPr="00DE4780">
        <w:t xml:space="preserve"> (</w:t>
      </w:r>
      <w:r w:rsidR="00176FC4" w:rsidRPr="00DE4780">
        <w:t>63</w:t>
      </w:r>
      <w:r w:rsidRPr="00DE4780">
        <w:t> % от предельной нагрузки)</w:t>
      </w:r>
      <w:r w:rsidR="00707ABA" w:rsidRPr="00DE4780">
        <w:t>,</w:t>
      </w:r>
      <w:r w:rsidR="00707ABA" w:rsidRPr="00DE4780">
        <w:rPr>
          <w:b/>
        </w:rPr>
        <w:t xml:space="preserve"> 118</w:t>
      </w:r>
      <w:r w:rsidR="00707ABA" w:rsidRPr="00DE4780">
        <w:t xml:space="preserve"> спектаклей</w:t>
      </w:r>
      <w:r w:rsidR="000410EF" w:rsidRPr="00DE4780">
        <w:t xml:space="preserve"> в трех залах Театра</w:t>
      </w:r>
      <w:r w:rsidR="00707ABA" w:rsidRPr="00DE4780">
        <w:t xml:space="preserve"> – 15 спектаклей в месяц (</w:t>
      </w:r>
      <w:r w:rsidR="00176FC4" w:rsidRPr="00DE4780">
        <w:t>79</w:t>
      </w:r>
      <w:r w:rsidR="00707ABA" w:rsidRPr="00DE4780">
        <w:t> % от предельной нагрузки).</w:t>
      </w:r>
      <w:r w:rsidR="00537A4E" w:rsidRPr="00DE4780">
        <w:t xml:space="preserve"> Фактическая загруженность актеров Театра при проведении </w:t>
      </w:r>
      <w:r w:rsidR="00537A4E" w:rsidRPr="00DE4780">
        <w:rPr>
          <w:b/>
        </w:rPr>
        <w:t>209 спектаклей</w:t>
      </w:r>
      <w:r w:rsidR="00537A4E" w:rsidRPr="00DE4780">
        <w:t xml:space="preserve"> в трех залах Театра составила 26 спектаклей в месяц</w:t>
      </w:r>
      <w:r w:rsidR="00176FC4" w:rsidRPr="00DE4780">
        <w:t xml:space="preserve"> (139 % от предельной нагрузки);</w:t>
      </w:r>
    </w:p>
    <w:p w:rsidR="009E6DBE" w:rsidRPr="00DE4780" w:rsidRDefault="009E6DBE" w:rsidP="00E42BE2">
      <w:pPr>
        <w:pStyle w:val="af4"/>
        <w:tabs>
          <w:tab w:val="left" w:pos="4536"/>
        </w:tabs>
        <w:spacing w:after="0"/>
        <w:ind w:left="0" w:firstLine="720"/>
        <w:jc w:val="both"/>
      </w:pPr>
      <w:r w:rsidRPr="00DE4780">
        <w:t>- </w:t>
      </w:r>
      <w:r w:rsidR="00E42BE2" w:rsidRPr="00DE4780">
        <w:t xml:space="preserve">средняя стоимость показа 1 спектакля при планируемых показателях качества в государственном задании составляет от </w:t>
      </w:r>
      <w:r w:rsidR="00E42BE2" w:rsidRPr="00DE4780">
        <w:rPr>
          <w:b/>
        </w:rPr>
        <w:t>212,7 тыс. руб</w:t>
      </w:r>
      <w:r w:rsidR="00E42BE2" w:rsidRPr="00DE4780">
        <w:t xml:space="preserve">. при проведении всех спектаклей только в большом зале (20 212,1 тыс. руб./95 спектаклей) до </w:t>
      </w:r>
      <w:r w:rsidR="00E42BE2" w:rsidRPr="00DE4780">
        <w:rPr>
          <w:b/>
        </w:rPr>
        <w:t>171 тыс. руб.</w:t>
      </w:r>
      <w:r w:rsidR="00E42BE2" w:rsidRPr="00DE4780">
        <w:t xml:space="preserve"> при проведении спектаклей в трех залах Театра (20 212,1 тыс. руб./118 спектаклей</w:t>
      </w:r>
      <w:r w:rsidRPr="00DE4780">
        <w:t xml:space="preserve">) при фактической средней стоимости показа 1 спектакля </w:t>
      </w:r>
      <w:r w:rsidRPr="00DE4780">
        <w:rPr>
          <w:b/>
        </w:rPr>
        <w:t>96,7</w:t>
      </w:r>
      <w:r w:rsidRPr="00DE4780">
        <w:t> тыс. руб.;</w:t>
      </w:r>
    </w:p>
    <w:p w:rsidR="00126EBA" w:rsidRPr="00DE4780" w:rsidRDefault="00126EBA" w:rsidP="00126EBA">
      <w:pPr>
        <w:pStyle w:val="af4"/>
        <w:spacing w:after="0"/>
        <w:ind w:left="0" w:firstLine="720"/>
        <w:jc w:val="both"/>
      </w:pPr>
      <w:r w:rsidRPr="00DE4780">
        <w:t>-количественны</w:t>
      </w:r>
      <w:r w:rsidR="0081127B" w:rsidRPr="00DE4780">
        <w:t>й</w:t>
      </w:r>
      <w:r w:rsidRPr="00DE4780">
        <w:t xml:space="preserve"> показател</w:t>
      </w:r>
      <w:r w:rsidR="0081127B" w:rsidRPr="00DE4780">
        <w:t>ь</w:t>
      </w:r>
      <w:r w:rsidRPr="00DE4780">
        <w:t xml:space="preserve"> «число зрителей» </w:t>
      </w:r>
      <w:r w:rsidR="00657AA9" w:rsidRPr="00DE4780">
        <w:t xml:space="preserve">на выезде по государственной услуге «Показ спектаклей (театральных постановок)» </w:t>
      </w:r>
      <w:r w:rsidR="00732360" w:rsidRPr="00DE4780">
        <w:t xml:space="preserve">учреждением выполнен с учетом </w:t>
      </w:r>
      <w:r w:rsidRPr="00DE4780">
        <w:t xml:space="preserve">числа </w:t>
      </w:r>
      <w:r w:rsidRPr="00DE4780">
        <w:lastRenderedPageBreak/>
        <w:t xml:space="preserve">зрителей </w:t>
      </w:r>
      <w:r w:rsidR="0081127B" w:rsidRPr="00DE4780">
        <w:t>4</w:t>
      </w:r>
      <w:r w:rsidR="00935A20" w:rsidRPr="00DE4780">
        <w:t> </w:t>
      </w:r>
      <w:r w:rsidR="0081127B" w:rsidRPr="00DE4780">
        <w:t>581</w:t>
      </w:r>
      <w:r w:rsidRPr="00DE4780">
        <w:t xml:space="preserve"> чел. при проведении региональных гастролей, </w:t>
      </w:r>
      <w:r w:rsidR="0081127B" w:rsidRPr="00DE4780">
        <w:t xml:space="preserve">которые являются более затратной формой показа и </w:t>
      </w:r>
      <w:r w:rsidRPr="00DE4780">
        <w:t>не был</w:t>
      </w:r>
      <w:r w:rsidR="0081127B" w:rsidRPr="00DE4780">
        <w:t>и</w:t>
      </w:r>
      <w:r w:rsidRPr="00DE4780">
        <w:t xml:space="preserve"> предусмотрен</w:t>
      </w:r>
      <w:r w:rsidR="0081127B" w:rsidRPr="00DE4780">
        <w:t>ы</w:t>
      </w:r>
      <w:r w:rsidRPr="00DE4780">
        <w:t xml:space="preserve"> государственным заданием учреждения;</w:t>
      </w:r>
    </w:p>
    <w:p w:rsidR="000243BA" w:rsidRPr="00DE4780" w:rsidRDefault="00935224" w:rsidP="00935224">
      <w:pPr>
        <w:pStyle w:val="af4"/>
        <w:spacing w:after="0"/>
        <w:ind w:left="0" w:firstLine="708"/>
        <w:jc w:val="both"/>
      </w:pPr>
      <w:r w:rsidRPr="00DE4780">
        <w:t>-</w:t>
      </w:r>
      <w:r w:rsidR="00C07B75" w:rsidRPr="00DE4780">
        <w:t>в связи с показом в репертуаре Театра 1</w:t>
      </w:r>
      <w:r w:rsidR="00935A20" w:rsidRPr="00DE4780">
        <w:t>3</w:t>
      </w:r>
      <w:r w:rsidR="00C07B75" w:rsidRPr="00DE4780">
        <w:t xml:space="preserve"> спектаклей (при запланированном значении </w:t>
      </w:r>
      <w:r w:rsidR="00935A20" w:rsidRPr="00DE4780">
        <w:t>в</w:t>
      </w:r>
      <w:r w:rsidR="00C07B75" w:rsidRPr="00DE4780">
        <w:t xml:space="preserve"> государственно</w:t>
      </w:r>
      <w:r w:rsidR="00935A20" w:rsidRPr="00DE4780">
        <w:t>м</w:t>
      </w:r>
      <w:r w:rsidR="00C07B75" w:rsidRPr="00DE4780">
        <w:t xml:space="preserve"> задани</w:t>
      </w:r>
      <w:r w:rsidR="00935A20" w:rsidRPr="00DE4780">
        <w:t>и</w:t>
      </w:r>
      <w:r w:rsidR="00C07B75" w:rsidRPr="00DE4780">
        <w:t xml:space="preserve"> 9 спектаклей) </w:t>
      </w:r>
      <w:r w:rsidRPr="00DE4780">
        <w:t>значение показателя качества выполнения работы</w:t>
      </w:r>
      <w:r w:rsidR="00657AA9" w:rsidRPr="00DE4780">
        <w:t xml:space="preserve"> «Создание спектаклей (театральных постановок)» </w:t>
      </w:r>
      <w:r w:rsidRPr="00DE4780">
        <w:t xml:space="preserve">«доля новых (капитально возобновленных) постановок художественных продуктов в текущем репертуаре» по жанру </w:t>
      </w:r>
      <w:r w:rsidR="00E0143E" w:rsidRPr="00DE4780">
        <w:t>«</w:t>
      </w:r>
      <w:r w:rsidRPr="00DE4780">
        <w:t>драма</w:t>
      </w:r>
      <w:r w:rsidR="00E0143E" w:rsidRPr="00DE4780">
        <w:t>» при плане 11 %</w:t>
      </w:r>
      <w:r w:rsidRPr="00DE4780">
        <w:t xml:space="preserve"> составило всего 7</w:t>
      </w:r>
      <w:r w:rsidR="00E0143E" w:rsidRPr="00DE4780">
        <w:t>,7</w:t>
      </w:r>
      <w:r w:rsidR="00935A20" w:rsidRPr="00DE4780">
        <w:t> </w:t>
      </w:r>
      <w:r w:rsidR="00B222EB" w:rsidRPr="00DE4780">
        <w:t xml:space="preserve">процента. По мнению КСП, </w:t>
      </w:r>
      <w:proofErr w:type="spellStart"/>
      <w:r w:rsidR="00B222EB" w:rsidRPr="00DE4780">
        <w:t>недостижение</w:t>
      </w:r>
      <w:proofErr w:type="spellEnd"/>
      <w:r w:rsidR="00B222EB" w:rsidRPr="00DE4780">
        <w:t xml:space="preserve"> запланированного показателя качества по созданию новых спектаклей напрямую влияет на количество привлекаемых зрителей и </w:t>
      </w:r>
      <w:proofErr w:type="spellStart"/>
      <w:r w:rsidR="00B222EB" w:rsidRPr="00DE4780">
        <w:t>заполняемость</w:t>
      </w:r>
      <w:proofErr w:type="spellEnd"/>
      <w:r w:rsidR="00B222EB" w:rsidRPr="00DE4780">
        <w:t xml:space="preserve"> зала;</w:t>
      </w:r>
    </w:p>
    <w:p w:rsidR="00192F5E" w:rsidRPr="00DE4780" w:rsidRDefault="00192F5E" w:rsidP="00192F5E">
      <w:pPr>
        <w:pStyle w:val="af4"/>
        <w:spacing w:after="0"/>
        <w:ind w:left="0" w:firstLine="720"/>
        <w:jc w:val="both"/>
      </w:pPr>
      <w:r w:rsidRPr="00DE4780">
        <w:t xml:space="preserve">-осуществлена продажа льготных билетов на спектакли </w:t>
      </w:r>
      <w:proofErr w:type="spellStart"/>
      <w:r w:rsidRPr="00DE4780">
        <w:t>ТЮЗ</w:t>
      </w:r>
      <w:r w:rsidR="00B54EA0" w:rsidRPr="00DE4780">
        <w:t>а</w:t>
      </w:r>
      <w:proofErr w:type="spellEnd"/>
      <w:r w:rsidRPr="00DE4780">
        <w:t xml:space="preserve"> лицам, не предусмотренным ни Постановлением № 473, ни положением о предоставлении льгот, общая сумма упущенного учреждением дохода из-за предоставления скидки составила </w:t>
      </w:r>
      <w:r w:rsidRPr="00DE4780">
        <w:rPr>
          <w:b/>
        </w:rPr>
        <w:t>333,7</w:t>
      </w:r>
      <w:r w:rsidRPr="00DE4780">
        <w:t> тыс. руб.;</w:t>
      </w:r>
    </w:p>
    <w:p w:rsidR="000E2D2B" w:rsidRPr="00DE4780" w:rsidRDefault="000243BA" w:rsidP="000243BA">
      <w:pPr>
        <w:pStyle w:val="af4"/>
        <w:spacing w:after="0"/>
        <w:ind w:left="0" w:firstLine="708"/>
        <w:jc w:val="both"/>
        <w:rPr>
          <w:b/>
          <w:i/>
        </w:rPr>
      </w:pPr>
      <w:r w:rsidRPr="00DE4780">
        <w:rPr>
          <w:b/>
          <w:i/>
        </w:rPr>
        <w:t xml:space="preserve">-формальный подход Комитета </w:t>
      </w:r>
      <w:r w:rsidR="00B54D95" w:rsidRPr="00DE4780">
        <w:rPr>
          <w:b/>
          <w:i/>
        </w:rPr>
        <w:t xml:space="preserve">к механизму финансирования учреждения и контролю за выполнением государственного задания </w:t>
      </w:r>
      <w:r w:rsidRPr="00DE4780">
        <w:rPr>
          <w:b/>
          <w:i/>
        </w:rPr>
        <w:t>отражается в следующем:</w:t>
      </w:r>
    </w:p>
    <w:p w:rsidR="001F5786" w:rsidRPr="00DE4780" w:rsidRDefault="001F5786" w:rsidP="001F5786">
      <w:pPr>
        <w:pStyle w:val="af4"/>
        <w:numPr>
          <w:ilvl w:val="0"/>
          <w:numId w:val="10"/>
        </w:numPr>
        <w:spacing w:after="0"/>
        <w:ind w:left="0" w:firstLine="709"/>
        <w:jc w:val="both"/>
      </w:pPr>
      <w:r w:rsidRPr="00DE4780">
        <w:t xml:space="preserve">утверждение Театру завышенных нормативов затрат </w:t>
      </w:r>
      <w:r w:rsidR="002D731A" w:rsidRPr="00DE4780">
        <w:t>при выбранном количественном показателе «количество зрителей»</w:t>
      </w:r>
      <w:r w:rsidRPr="00DE4780">
        <w:t>;</w:t>
      </w:r>
    </w:p>
    <w:p w:rsidR="00580C88" w:rsidRPr="00DE4780" w:rsidRDefault="00580C88" w:rsidP="001F5786">
      <w:pPr>
        <w:pStyle w:val="af4"/>
        <w:numPr>
          <w:ilvl w:val="0"/>
          <w:numId w:val="10"/>
        </w:numPr>
        <w:spacing w:after="0"/>
        <w:ind w:left="0" w:firstLine="709"/>
        <w:jc w:val="both"/>
      </w:pPr>
      <w:r w:rsidRPr="00DE4780">
        <w:t xml:space="preserve">принятие Комитетом в отчете о выполнении государственного задания за 2016 год </w:t>
      </w:r>
      <w:r w:rsidRPr="00DE4780">
        <w:rPr>
          <w:rFonts w:eastAsia="Calibri"/>
          <w:lang w:eastAsia="en-US"/>
        </w:rPr>
        <w:t xml:space="preserve">качественного показателя оказания государственной услуги «Показ спектаклей (театральных постановок)» «средняя </w:t>
      </w:r>
      <w:proofErr w:type="spellStart"/>
      <w:r w:rsidRPr="00DE4780">
        <w:rPr>
          <w:rFonts w:eastAsia="Calibri"/>
          <w:lang w:eastAsia="en-US"/>
        </w:rPr>
        <w:t>заполняемость</w:t>
      </w:r>
      <w:proofErr w:type="spellEnd"/>
      <w:r w:rsidRPr="00DE4780">
        <w:rPr>
          <w:rFonts w:eastAsia="Calibri"/>
          <w:lang w:eastAsia="en-US"/>
        </w:rPr>
        <w:t xml:space="preserve"> зала на стационаре» в значении 84,1 % при факте 70,1 %;</w:t>
      </w:r>
    </w:p>
    <w:p w:rsidR="00580C88" w:rsidRPr="00DE4780" w:rsidRDefault="00580C88" w:rsidP="001F5786">
      <w:pPr>
        <w:pStyle w:val="af4"/>
        <w:numPr>
          <w:ilvl w:val="0"/>
          <w:numId w:val="10"/>
        </w:numPr>
        <w:spacing w:after="0"/>
        <w:ind w:left="0" w:firstLine="709"/>
        <w:jc w:val="both"/>
      </w:pPr>
      <w:r w:rsidRPr="00DE4780">
        <w:t>фактическое количество зрителей Театра в 2014-2015 годах составило соответственно 74 800 и 67 000 зрителей, а в 2016 году государственное задание Театру на оказание государственной услуги по показу спектаклей установлено в количестве 52 080 зрителей;</w:t>
      </w:r>
    </w:p>
    <w:p w:rsidR="003C47A0" w:rsidRPr="00DE4780" w:rsidRDefault="003C47A0" w:rsidP="003C47A0">
      <w:pPr>
        <w:pStyle w:val="ConsPlusNormal"/>
        <w:numPr>
          <w:ilvl w:val="0"/>
          <w:numId w:val="10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4780">
        <w:rPr>
          <w:rFonts w:ascii="Times New Roman" w:hAnsi="Times New Roman" w:cs="Times New Roman"/>
          <w:sz w:val="24"/>
          <w:szCs w:val="24"/>
        </w:rPr>
        <w:t xml:space="preserve">предусмотренный планом ФХД объем доходов от приносящей доход деятельности в части реализации билетов на спектакли Театра Комитетом в 1,9 раза превышает запланированный объем выручки от реализации билетов исходя из запланированного государственным заданием количества зрителей и средней цены билета. С учетом запланированной </w:t>
      </w:r>
      <w:proofErr w:type="spellStart"/>
      <w:r w:rsidRPr="00DE4780">
        <w:rPr>
          <w:rFonts w:ascii="Times New Roman" w:hAnsi="Times New Roman" w:cs="Times New Roman"/>
          <w:sz w:val="24"/>
          <w:szCs w:val="24"/>
        </w:rPr>
        <w:t>заполняемости</w:t>
      </w:r>
      <w:proofErr w:type="spellEnd"/>
      <w:r w:rsidRPr="00DE4780">
        <w:rPr>
          <w:rFonts w:ascii="Times New Roman" w:hAnsi="Times New Roman" w:cs="Times New Roman"/>
          <w:sz w:val="24"/>
          <w:szCs w:val="24"/>
        </w:rPr>
        <w:t xml:space="preserve"> зала 84,1 % для показа спектаклей 22 436 зрителям Театру следовало показать дополнительно 47 спектаклей в большом зале, что еще больше увеличило бы предельную нагрузку на артистов Театра;</w:t>
      </w:r>
    </w:p>
    <w:p w:rsidR="001F5786" w:rsidRPr="00DE4780" w:rsidRDefault="001F5786" w:rsidP="000243BA">
      <w:pPr>
        <w:pStyle w:val="af4"/>
        <w:numPr>
          <w:ilvl w:val="0"/>
          <w:numId w:val="10"/>
        </w:numPr>
        <w:spacing w:after="0"/>
        <w:ind w:left="0" w:firstLine="708"/>
        <w:jc w:val="both"/>
      </w:pPr>
      <w:r w:rsidRPr="00DE4780">
        <w:t xml:space="preserve">достижение </w:t>
      </w:r>
      <w:r w:rsidR="000243BA" w:rsidRPr="00DE4780">
        <w:t>показателя качества</w:t>
      </w:r>
      <w:r w:rsidRPr="00DE4780">
        <w:t xml:space="preserve"> (</w:t>
      </w:r>
      <w:r w:rsidRPr="00DE4780">
        <w:rPr>
          <w:color w:val="000000"/>
        </w:rPr>
        <w:t>доля новых (капитально возобновленных) постановок художественных продуктов в текущем репертуаре</w:t>
      </w:r>
      <w:r w:rsidRPr="00DE4780">
        <w:t>)</w:t>
      </w:r>
      <w:r w:rsidR="000243BA" w:rsidRPr="00DE4780">
        <w:t xml:space="preserve"> </w:t>
      </w:r>
      <w:r w:rsidR="000E2D2B" w:rsidRPr="00DE4780">
        <w:t xml:space="preserve">по государственной работе, возможно только при </w:t>
      </w:r>
      <w:r w:rsidRPr="00DE4780">
        <w:t>прокате</w:t>
      </w:r>
      <w:r w:rsidR="000E2D2B" w:rsidRPr="00DE4780">
        <w:t xml:space="preserve"> меньшего репертуар</w:t>
      </w:r>
      <w:r w:rsidRPr="00DE4780">
        <w:t>а</w:t>
      </w:r>
      <w:r w:rsidR="00DB389B" w:rsidRPr="00DE4780">
        <w:t xml:space="preserve"> Театр</w:t>
      </w:r>
      <w:r w:rsidRPr="00DE4780">
        <w:t>ом</w:t>
      </w:r>
      <w:r w:rsidR="000E2D2B" w:rsidRPr="00DE4780">
        <w:t>,</w:t>
      </w:r>
      <w:r w:rsidRPr="00DE4780">
        <w:t xml:space="preserve"> что, по мнению КСП, приведет к </w:t>
      </w:r>
      <w:proofErr w:type="spellStart"/>
      <w:r w:rsidRPr="00DE4780">
        <w:t>недостижению</w:t>
      </w:r>
      <w:proofErr w:type="spellEnd"/>
      <w:r w:rsidRPr="00DE4780">
        <w:t xml:space="preserve"> объемного показателя государственного задания «количество зрителей», так как при ограниченном контингенте зрителей снижение количества новых постановок приведет к уменьшению количества зрителей на спектак</w:t>
      </w:r>
      <w:r w:rsidR="003C47A0" w:rsidRPr="00DE4780">
        <w:t xml:space="preserve">лях Театра и </w:t>
      </w:r>
      <w:proofErr w:type="spellStart"/>
      <w:r w:rsidR="003C47A0" w:rsidRPr="00DE4780">
        <w:t>заполняемости</w:t>
      </w:r>
      <w:proofErr w:type="spellEnd"/>
      <w:r w:rsidR="003C47A0" w:rsidRPr="00DE4780">
        <w:t xml:space="preserve"> зала;</w:t>
      </w:r>
    </w:p>
    <w:p w:rsidR="000243BA" w:rsidRPr="00DE4780" w:rsidRDefault="00DB389B" w:rsidP="000243BA">
      <w:pPr>
        <w:pStyle w:val="af4"/>
        <w:numPr>
          <w:ilvl w:val="0"/>
          <w:numId w:val="10"/>
        </w:numPr>
        <w:spacing w:after="0"/>
        <w:ind w:left="0" w:firstLine="708"/>
        <w:jc w:val="both"/>
      </w:pPr>
      <w:r w:rsidRPr="00DE4780">
        <w:t>п</w:t>
      </w:r>
      <w:r w:rsidRPr="00DE4780">
        <w:rPr>
          <w:rFonts w:eastAsia="Calibri"/>
          <w:color w:val="000000"/>
        </w:rPr>
        <w:t xml:space="preserve">ри невыполнении качественных и количественных показателей государственного задания </w:t>
      </w:r>
      <w:proofErr w:type="spellStart"/>
      <w:r w:rsidRPr="00DE4780">
        <w:rPr>
          <w:rFonts w:eastAsia="Calibri"/>
          <w:color w:val="000000"/>
        </w:rPr>
        <w:t>ТЮЗ</w:t>
      </w:r>
      <w:r w:rsidR="001F5786" w:rsidRPr="00DE4780">
        <w:rPr>
          <w:rFonts w:eastAsia="Calibri"/>
          <w:color w:val="000000"/>
        </w:rPr>
        <w:t>ом</w:t>
      </w:r>
      <w:proofErr w:type="spellEnd"/>
      <w:r w:rsidRPr="00DE4780">
        <w:rPr>
          <w:rFonts w:eastAsia="Calibri"/>
          <w:color w:val="000000"/>
        </w:rPr>
        <w:t xml:space="preserve"> Комитетом отчет о его выполнении был принят с недостоверными данными</w:t>
      </w:r>
      <w:r w:rsidR="00ED5461" w:rsidRPr="00DE4780">
        <w:rPr>
          <w:rFonts w:eastAsia="Calibri"/>
          <w:color w:val="000000"/>
        </w:rPr>
        <w:t xml:space="preserve"> (фактически не выполнены </w:t>
      </w:r>
      <w:r w:rsidR="00ED5461" w:rsidRPr="00DE4780">
        <w:rPr>
          <w:rFonts w:eastAsia="Calibri"/>
          <w:lang w:eastAsia="en-US"/>
        </w:rPr>
        <w:t xml:space="preserve">качественные показатели оказания государственной услуги «Показ спектаклей (театральных постановок)» на стационаре и </w:t>
      </w:r>
      <w:r w:rsidR="00ED5461" w:rsidRPr="00DE4780">
        <w:t xml:space="preserve">выполнения государственной работы «Создание спектаклей» большая форма (многонаселенная пьеса, из двух и более актов), а также </w:t>
      </w:r>
      <w:r w:rsidR="00ED5461" w:rsidRPr="00DE4780">
        <w:rPr>
          <w:rFonts w:eastAsia="Calibri"/>
          <w:lang w:eastAsia="en-US"/>
        </w:rPr>
        <w:t>количественный показатель оказания государственной услуги «Показ спектаклей (театральных постановок)» на выезде</w:t>
      </w:r>
      <w:r w:rsidR="00ED5461" w:rsidRPr="00DE4780">
        <w:rPr>
          <w:rFonts w:eastAsia="Calibri"/>
          <w:color w:val="000000"/>
        </w:rPr>
        <w:t>)</w:t>
      </w:r>
      <w:r w:rsidRPr="00DE4780">
        <w:rPr>
          <w:rFonts w:eastAsia="Calibri"/>
          <w:color w:val="000000"/>
        </w:rPr>
        <w:t>;</w:t>
      </w:r>
    </w:p>
    <w:p w:rsidR="00291D94" w:rsidRPr="00DE4780" w:rsidRDefault="00C44951" w:rsidP="000243BA">
      <w:pPr>
        <w:pStyle w:val="af4"/>
        <w:numPr>
          <w:ilvl w:val="0"/>
          <w:numId w:val="10"/>
        </w:numPr>
        <w:spacing w:after="0"/>
        <w:ind w:left="0" w:firstLine="708"/>
        <w:jc w:val="both"/>
      </w:pPr>
      <w:r w:rsidRPr="00DE4780">
        <w:rPr>
          <w:rFonts w:eastAsia="Calibri"/>
          <w:color w:val="000000"/>
        </w:rPr>
        <w:t>выполнение учреждением количественного показателя государственного задания при установленном показателе качества приводит к превышению предельных охранных норм (нагрузки) на артистов;</w:t>
      </w:r>
    </w:p>
    <w:p w:rsidR="001F5786" w:rsidRPr="00DE4780" w:rsidRDefault="001F5786" w:rsidP="001F5786">
      <w:pPr>
        <w:pStyle w:val="af4"/>
        <w:numPr>
          <w:ilvl w:val="0"/>
          <w:numId w:val="10"/>
        </w:numPr>
        <w:spacing w:after="0"/>
        <w:ind w:left="0" w:firstLine="709"/>
        <w:jc w:val="both"/>
      </w:pPr>
      <w:r w:rsidRPr="00DE4780">
        <w:t xml:space="preserve">принятие Комитетом в отчете о выполнении государственного задания информации о количестве зрителей, соответствующем государственному заданию учреждения, при имеющейся в распоряжении Комитета </w:t>
      </w:r>
      <w:r w:rsidRPr="00DE4780">
        <w:rPr>
          <w:rFonts w:eastAsiaTheme="minorHAnsi"/>
          <w:bCs/>
          <w:lang w:eastAsia="en-US"/>
        </w:rPr>
        <w:t xml:space="preserve">форме статистической отчетности </w:t>
      </w:r>
      <w:hyperlink r:id="rId17" w:history="1">
        <w:r w:rsidRPr="00DE4780">
          <w:rPr>
            <w:rFonts w:eastAsiaTheme="minorHAnsi"/>
            <w:bCs/>
            <w:lang w:eastAsia="en-US"/>
          </w:rPr>
          <w:t>№ 9-НК</w:t>
        </w:r>
      </w:hyperlink>
      <w:r w:rsidRPr="00DE4780">
        <w:rPr>
          <w:rFonts w:eastAsiaTheme="minorHAnsi"/>
          <w:bCs/>
          <w:lang w:eastAsia="en-US"/>
        </w:rPr>
        <w:t xml:space="preserve"> «Сведения о деятельности театра» с информацией об общем количестве зрителей Театра в 2016 году,</w:t>
      </w:r>
      <w:r w:rsidRPr="00DE4780">
        <w:t xml:space="preserve"> не соответствует Положению № 818-п;</w:t>
      </w:r>
    </w:p>
    <w:p w:rsidR="00941120" w:rsidRPr="00DE4780" w:rsidRDefault="00941120" w:rsidP="00192F5E">
      <w:pPr>
        <w:pStyle w:val="af4"/>
        <w:numPr>
          <w:ilvl w:val="0"/>
          <w:numId w:val="10"/>
        </w:numPr>
        <w:spacing w:after="0"/>
        <w:ind w:left="0" w:firstLine="709"/>
        <w:jc w:val="both"/>
      </w:pPr>
      <w:r w:rsidRPr="00DE4780">
        <w:t>Комитет не предусматривает в государственном задании учреждения и не осуществляет расчет нормативных затрат на проведение</w:t>
      </w:r>
      <w:r w:rsidR="001F5786" w:rsidRPr="00DE4780">
        <w:t xml:space="preserve"> Театром региональных гастролей.</w:t>
      </w:r>
    </w:p>
    <w:p w:rsidR="00B91E40" w:rsidRPr="00DE4780" w:rsidRDefault="007112EF" w:rsidP="00B91E40">
      <w:pPr>
        <w:autoSpaceDE w:val="0"/>
        <w:autoSpaceDN w:val="0"/>
        <w:adjustRightInd w:val="0"/>
        <w:ind w:firstLine="708"/>
        <w:jc w:val="both"/>
        <w:outlineLvl w:val="0"/>
        <w:rPr>
          <w:b/>
        </w:rPr>
      </w:pPr>
      <w:r w:rsidRPr="00DE4780">
        <w:rPr>
          <w:b/>
        </w:rPr>
        <w:lastRenderedPageBreak/>
        <w:t>2. </w:t>
      </w:r>
      <w:r w:rsidR="00B91E40" w:rsidRPr="00DE4780">
        <w:rPr>
          <w:b/>
        </w:rPr>
        <w:t>Нарушения при осуществлении расходов на оплату труда:</w:t>
      </w:r>
    </w:p>
    <w:p w:rsidR="00B91E40" w:rsidRPr="00DE4780" w:rsidRDefault="00B91E40" w:rsidP="00AE5724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DE4780">
        <w:t xml:space="preserve">-объем необоснованных </w:t>
      </w:r>
      <w:r w:rsidR="00AE5724" w:rsidRPr="00DE4780">
        <w:t xml:space="preserve">компенсационных, стимулирующих </w:t>
      </w:r>
      <w:r w:rsidRPr="00DE4780">
        <w:rPr>
          <w:bCs/>
        </w:rPr>
        <w:t>выплат</w:t>
      </w:r>
      <w:r w:rsidR="00AE5724" w:rsidRPr="00DE4780">
        <w:rPr>
          <w:bCs/>
        </w:rPr>
        <w:t xml:space="preserve"> и материальной помощи </w:t>
      </w:r>
      <w:r w:rsidRPr="00DE4780">
        <w:rPr>
          <w:bCs/>
        </w:rPr>
        <w:t xml:space="preserve">без соблюдения требований </w:t>
      </w:r>
      <w:r w:rsidR="00AE5724" w:rsidRPr="00DE4780">
        <w:rPr>
          <w:bCs/>
        </w:rPr>
        <w:t>Постановления №</w:t>
      </w:r>
      <w:r w:rsidR="001F5786" w:rsidRPr="00DE4780">
        <w:rPr>
          <w:bCs/>
        </w:rPr>
        <w:t> </w:t>
      </w:r>
      <w:r w:rsidR="00AE5724" w:rsidRPr="00DE4780">
        <w:rPr>
          <w:bCs/>
        </w:rPr>
        <w:t xml:space="preserve">228-п и </w:t>
      </w:r>
      <w:r w:rsidRPr="00DE4780">
        <w:rPr>
          <w:bCs/>
        </w:rPr>
        <w:t xml:space="preserve">Положения составил </w:t>
      </w:r>
      <w:r w:rsidR="00AE5724" w:rsidRPr="00DE4780">
        <w:rPr>
          <w:b/>
          <w:bCs/>
        </w:rPr>
        <w:t>2</w:t>
      </w:r>
      <w:r w:rsidR="001F5786" w:rsidRPr="00DE4780">
        <w:rPr>
          <w:b/>
          <w:bCs/>
        </w:rPr>
        <w:t> </w:t>
      </w:r>
      <w:r w:rsidR="00AE5724" w:rsidRPr="00DE4780">
        <w:rPr>
          <w:b/>
          <w:bCs/>
        </w:rPr>
        <w:t>393,8</w:t>
      </w:r>
      <w:r w:rsidR="00935A20" w:rsidRPr="00DE4780">
        <w:rPr>
          <w:b/>
          <w:bCs/>
        </w:rPr>
        <w:t> тыс. </w:t>
      </w:r>
      <w:r w:rsidRPr="00DE4780">
        <w:rPr>
          <w:b/>
          <w:bCs/>
        </w:rPr>
        <w:t>руб.;</w:t>
      </w:r>
    </w:p>
    <w:p w:rsidR="00AE5724" w:rsidRPr="00DE4780" w:rsidRDefault="00B91E40" w:rsidP="00B91E40">
      <w:pPr>
        <w:autoSpaceDE w:val="0"/>
        <w:autoSpaceDN w:val="0"/>
        <w:adjustRightInd w:val="0"/>
        <w:ind w:firstLine="708"/>
        <w:jc w:val="both"/>
        <w:outlineLvl w:val="0"/>
      </w:pPr>
      <w:r w:rsidRPr="00DE4780">
        <w:rPr>
          <w:b/>
          <w:bCs/>
        </w:rPr>
        <w:t>-</w:t>
      </w:r>
      <w:r w:rsidR="00C6459B" w:rsidRPr="00DE4780">
        <w:rPr>
          <w:bCs/>
        </w:rPr>
        <w:t>оплачены расходы</w:t>
      </w:r>
      <w:r w:rsidR="00C6459B" w:rsidRPr="00DE4780">
        <w:rPr>
          <w:b/>
          <w:bCs/>
        </w:rPr>
        <w:t xml:space="preserve"> </w:t>
      </w:r>
      <w:r w:rsidR="00C6459B" w:rsidRPr="00DE4780">
        <w:t xml:space="preserve">на </w:t>
      </w:r>
      <w:r w:rsidR="00C6459B" w:rsidRPr="00DE4780">
        <w:rPr>
          <w:b/>
        </w:rPr>
        <w:t>258,7</w:t>
      </w:r>
      <w:r w:rsidR="00C6459B" w:rsidRPr="00DE4780">
        <w:t> тыс. руб.</w:t>
      </w:r>
      <w:r w:rsidR="00C6459B" w:rsidRPr="00DE4780">
        <w:rPr>
          <w:b/>
          <w:bCs/>
        </w:rPr>
        <w:t xml:space="preserve"> </w:t>
      </w:r>
      <w:r w:rsidR="00C6459B" w:rsidRPr="00DE4780">
        <w:rPr>
          <w:bCs/>
        </w:rPr>
        <w:t xml:space="preserve">по </w:t>
      </w:r>
      <w:r w:rsidRPr="00DE4780">
        <w:t>заключен</w:t>
      </w:r>
      <w:r w:rsidR="00C6459B" w:rsidRPr="00DE4780">
        <w:t>н</w:t>
      </w:r>
      <w:r w:rsidRPr="00DE4780">
        <w:t>ы</w:t>
      </w:r>
      <w:r w:rsidR="00C6459B" w:rsidRPr="00DE4780">
        <w:t>м</w:t>
      </w:r>
      <w:r w:rsidRPr="00DE4780">
        <w:t xml:space="preserve"> договор</w:t>
      </w:r>
      <w:r w:rsidR="00C6459B" w:rsidRPr="00DE4780">
        <w:t>ам</w:t>
      </w:r>
      <w:r w:rsidRPr="00DE4780">
        <w:t xml:space="preserve"> гражданско-правового характера на выполнение работ, входящих в круг должностных обязанностей штатных сотрудников Театра</w:t>
      </w:r>
      <w:r w:rsidR="00AE5724" w:rsidRPr="00DE4780">
        <w:t>;</w:t>
      </w:r>
    </w:p>
    <w:p w:rsidR="006221C9" w:rsidRPr="00DE4780" w:rsidRDefault="006221C9" w:rsidP="00B91E40">
      <w:pPr>
        <w:autoSpaceDE w:val="0"/>
        <w:autoSpaceDN w:val="0"/>
        <w:adjustRightInd w:val="0"/>
        <w:ind w:firstLine="708"/>
        <w:jc w:val="both"/>
        <w:outlineLvl w:val="0"/>
      </w:pPr>
      <w:r w:rsidRPr="00DE4780">
        <w:t>-с директором Театра заключены три договора гражданско-правового характера на постановку спектаклей на общую сумм</w:t>
      </w:r>
      <w:r w:rsidR="00AB65A7" w:rsidRPr="00DE4780">
        <w:t>у</w:t>
      </w:r>
      <w:r w:rsidRPr="00DE4780">
        <w:t xml:space="preserve"> </w:t>
      </w:r>
      <w:r w:rsidRPr="00DE4780">
        <w:rPr>
          <w:b/>
        </w:rPr>
        <w:t>455,</w:t>
      </w:r>
      <w:r w:rsidRPr="00DE4780">
        <w:t>0</w:t>
      </w:r>
      <w:r w:rsidR="00935A20" w:rsidRPr="00DE4780">
        <w:t> </w:t>
      </w:r>
      <w:r w:rsidRPr="00DE4780">
        <w:t>тыс.</w:t>
      </w:r>
      <w:r w:rsidR="00935A20" w:rsidRPr="00DE4780">
        <w:t> </w:t>
      </w:r>
      <w:r w:rsidRPr="00DE4780">
        <w:t>руб. без одобрения сделки с Комитетом. Указанные договоры в соответствии с Федеральным законом №7-ФЗ являются сделкой с заинтересованностью.</w:t>
      </w:r>
    </w:p>
    <w:p w:rsidR="00B91E40" w:rsidRPr="00DE4780" w:rsidRDefault="007112EF" w:rsidP="00B91E40">
      <w:pPr>
        <w:pStyle w:val="af1"/>
        <w:ind w:left="0" w:firstLine="708"/>
        <w:jc w:val="both"/>
        <w:rPr>
          <w:b/>
        </w:rPr>
      </w:pPr>
      <w:r w:rsidRPr="00DE4780">
        <w:rPr>
          <w:b/>
        </w:rPr>
        <w:t>3. </w:t>
      </w:r>
      <w:r w:rsidR="00B91E40" w:rsidRPr="00DE4780">
        <w:rPr>
          <w:b/>
        </w:rPr>
        <w:t>Нарушения при распоряжении недвижимым и</w:t>
      </w:r>
      <w:r w:rsidRPr="00DE4780">
        <w:rPr>
          <w:b/>
        </w:rPr>
        <w:t>муществом и земельным участком:</w:t>
      </w:r>
    </w:p>
    <w:p w:rsidR="00E96EDD" w:rsidRPr="00DE4780" w:rsidRDefault="00E96EDD" w:rsidP="00E96EDD">
      <w:pPr>
        <w:ind w:firstLine="708"/>
        <w:jc w:val="both"/>
      </w:pPr>
      <w:r w:rsidRPr="00DE4780">
        <w:t xml:space="preserve">-без заключения договора аренды в 3 помещениях трансформаторных подстанций общей площадью 37,2 м2 находится оборудование ВМЭС, что привело к </w:t>
      </w:r>
      <w:proofErr w:type="spellStart"/>
      <w:r w:rsidRPr="00DE4780">
        <w:t>недополучению</w:t>
      </w:r>
      <w:proofErr w:type="spellEnd"/>
      <w:r w:rsidRPr="00DE4780">
        <w:t xml:space="preserve"> дохода Театром</w:t>
      </w:r>
      <w:r w:rsidR="00156F7B" w:rsidRPr="00DE4780">
        <w:t xml:space="preserve"> </w:t>
      </w:r>
      <w:r w:rsidR="00E83CE0" w:rsidRPr="00DE4780">
        <w:t xml:space="preserve">как минимум </w:t>
      </w:r>
      <w:r w:rsidR="00156F7B" w:rsidRPr="00DE4780">
        <w:t xml:space="preserve">с 2013 года в сумме </w:t>
      </w:r>
      <w:r w:rsidR="00156F7B" w:rsidRPr="00DE4780">
        <w:rPr>
          <w:b/>
        </w:rPr>
        <w:t>807</w:t>
      </w:r>
      <w:r w:rsidR="00156F7B" w:rsidRPr="00DE4780">
        <w:t> тыс. рублей</w:t>
      </w:r>
      <w:r w:rsidRPr="00DE4780">
        <w:t xml:space="preserve">. </w:t>
      </w:r>
      <w:r w:rsidR="00A02937" w:rsidRPr="00DE4780">
        <w:t>КСП составлен протокол по привлечению к административной ответственности ВМЭС (ч. 1 ст. 5.3. Кодекса Волгоградской области об административной ответственности), который направлен в суд для рассмотрения</w:t>
      </w:r>
      <w:r w:rsidRPr="00DE4780">
        <w:t>;</w:t>
      </w:r>
    </w:p>
    <w:p w:rsidR="002D3883" w:rsidRPr="00DE4780" w:rsidRDefault="00B91E40" w:rsidP="00B91E40">
      <w:pPr>
        <w:ind w:firstLine="709"/>
        <w:jc w:val="both"/>
      </w:pPr>
      <w:r w:rsidRPr="00DE4780">
        <w:t>-</w:t>
      </w:r>
      <w:r w:rsidR="002D3883" w:rsidRPr="00DE4780">
        <w:t xml:space="preserve"> в уставной деятельности Театра не используются 1 помещение площадью 180,9 кв.м., часть земельного участка площадью 1239,09 кв.м. и бассейн, затраты по оплате налога на имущество и земельного налога из расчета неиспользуемой площади составили 205,4 тыс.</w:t>
      </w:r>
      <w:r w:rsidR="00A20A81" w:rsidRPr="00DE4780">
        <w:t xml:space="preserve"> </w:t>
      </w:r>
      <w:r w:rsidR="002D3883" w:rsidRPr="00DE4780">
        <w:t>руб.;</w:t>
      </w:r>
    </w:p>
    <w:p w:rsidR="002D3883" w:rsidRPr="00DE4780" w:rsidRDefault="002D3883" w:rsidP="002D3883">
      <w:pPr>
        <w:ind w:firstLine="708"/>
        <w:jc w:val="both"/>
      </w:pPr>
      <w:r w:rsidRPr="00DE4780">
        <w:t>-в нарушение п.21 Инструкции №33н в Справке в составе Баланса (</w:t>
      </w:r>
      <w:hyperlink w:anchor="sub_3730" w:history="1">
        <w:r w:rsidRPr="00DE4780">
          <w:t>ф. 0503730</w:t>
        </w:r>
      </w:hyperlink>
      <w:r w:rsidRPr="00DE4780">
        <w:t>) не отражены сведения об имуществе Театра</w:t>
      </w:r>
      <w:r w:rsidR="00E0143E" w:rsidRPr="00DE4780">
        <w:t xml:space="preserve"> остаточной стоимостью 12 313,7 тыс. руб.</w:t>
      </w:r>
      <w:r w:rsidRPr="00DE4780">
        <w:t>, переданном в безвозмездное пользование и в аренду, что привело к искажению формы бюджетной отчетности на 100 %, за которое в соответствии со ст.15.11 Ко</w:t>
      </w:r>
      <w:r w:rsidR="00A02937" w:rsidRPr="00DE4780">
        <w:t>декса РФ об административных правонарушениях</w:t>
      </w:r>
      <w:r w:rsidRPr="00DE4780">
        <w:t xml:space="preserve"> предусмотрена адми</w:t>
      </w:r>
      <w:r w:rsidR="00A02937" w:rsidRPr="00DE4780">
        <w:t>нистративная ответственность.</w:t>
      </w:r>
      <w:r w:rsidRPr="00DE4780">
        <w:rPr>
          <w:i/>
        </w:rPr>
        <w:t xml:space="preserve"> </w:t>
      </w:r>
      <w:r w:rsidR="00A02937" w:rsidRPr="00DE4780">
        <w:t>КСП составлен протокол по</w:t>
      </w:r>
      <w:r w:rsidRPr="00DE4780">
        <w:t xml:space="preserve"> </w:t>
      </w:r>
      <w:r w:rsidR="00A02937" w:rsidRPr="00DE4780">
        <w:t xml:space="preserve">привлечению к </w:t>
      </w:r>
      <w:r w:rsidRPr="00DE4780">
        <w:t>административной ответственности</w:t>
      </w:r>
      <w:r w:rsidR="00A02937" w:rsidRPr="00DE4780">
        <w:t xml:space="preserve"> главного бухгалтера Театра, который направлен в суд для рассмотрения</w:t>
      </w:r>
      <w:r w:rsidR="003C47A0" w:rsidRPr="00DE4780">
        <w:t>;</w:t>
      </w:r>
    </w:p>
    <w:p w:rsidR="00EB44F1" w:rsidRPr="00DE4780" w:rsidRDefault="00EB44F1" w:rsidP="002D3883">
      <w:pPr>
        <w:ind w:firstLine="709"/>
        <w:jc w:val="both"/>
      </w:pPr>
      <w:r w:rsidRPr="00DE4780">
        <w:t>-</w:t>
      </w:r>
      <w:r w:rsidR="00B21671" w:rsidRPr="00DE4780">
        <w:t xml:space="preserve">в нарушение п. 5 Постановления №692-п и Приказа Комитета № 264 </w:t>
      </w:r>
      <w:r w:rsidR="002D3883" w:rsidRPr="00DE4780">
        <w:t>система пожаротушения балансовой стоимостью 749,8 тыс. руб. не включена в перечень особо ценного движимого имущества, что может привести к распоряжению указанным имуществом без согласования с учредителем</w:t>
      </w:r>
      <w:r w:rsidR="00E96EDD" w:rsidRPr="00DE4780">
        <w:t>.</w:t>
      </w:r>
      <w:bookmarkEnd w:id="0"/>
    </w:p>
    <w:p w:rsidR="009E6DBE" w:rsidRPr="00DE4780" w:rsidRDefault="009E6DBE" w:rsidP="002D3883">
      <w:pPr>
        <w:ind w:firstLine="709"/>
        <w:jc w:val="both"/>
      </w:pPr>
    </w:p>
    <w:p w:rsidR="00732360" w:rsidRPr="00DE4780" w:rsidRDefault="00732360" w:rsidP="002D3883">
      <w:pPr>
        <w:ind w:firstLine="709"/>
        <w:jc w:val="both"/>
      </w:pPr>
    </w:p>
    <w:p w:rsidR="005161A8" w:rsidRPr="005161A8" w:rsidRDefault="005161A8" w:rsidP="005161A8">
      <w:pPr>
        <w:jc w:val="both"/>
        <w:rPr>
          <w:b/>
        </w:rPr>
      </w:pPr>
      <w:r w:rsidRPr="00DE4780">
        <w:rPr>
          <w:b/>
        </w:rPr>
        <w:t xml:space="preserve">Аудитор                                                                         </w:t>
      </w:r>
      <w:r w:rsidR="00732360" w:rsidRPr="00DE4780">
        <w:rPr>
          <w:b/>
        </w:rPr>
        <w:t xml:space="preserve">           </w:t>
      </w:r>
      <w:r w:rsidR="002225E0" w:rsidRPr="00DE4780">
        <w:rPr>
          <w:b/>
        </w:rPr>
        <w:t xml:space="preserve">      </w:t>
      </w:r>
      <w:r w:rsidRPr="00DE4780">
        <w:rPr>
          <w:b/>
        </w:rPr>
        <w:t xml:space="preserve">                        М.Е. Татаринцев</w:t>
      </w:r>
    </w:p>
    <w:sectPr w:rsidR="005161A8" w:rsidRPr="005161A8" w:rsidSect="0073236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680" w:right="737" w:bottom="680" w:left="1474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511" w:rsidRDefault="00E12511" w:rsidP="007D3635">
      <w:r>
        <w:separator/>
      </w:r>
    </w:p>
  </w:endnote>
  <w:endnote w:type="continuationSeparator" w:id="0">
    <w:p w:rsidR="00E12511" w:rsidRDefault="00E12511" w:rsidP="007D3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47" w:rsidRDefault="001A1A47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47" w:rsidRDefault="001A1A47">
    <w:pPr>
      <w:pStyle w:val="a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47" w:rsidRDefault="001A1A47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511" w:rsidRDefault="00E12511" w:rsidP="007D3635">
      <w:r>
        <w:separator/>
      </w:r>
    </w:p>
  </w:footnote>
  <w:footnote w:type="continuationSeparator" w:id="0">
    <w:p w:rsidR="00E12511" w:rsidRDefault="00E12511" w:rsidP="007D3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47" w:rsidRDefault="00A722CE" w:rsidP="00722B7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A1A4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1A47" w:rsidRDefault="001A1A4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47" w:rsidRDefault="00A722CE" w:rsidP="00722B7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A1A4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4780">
      <w:rPr>
        <w:rStyle w:val="aa"/>
        <w:noProof/>
      </w:rPr>
      <w:t>16</w:t>
    </w:r>
    <w:r>
      <w:rPr>
        <w:rStyle w:val="aa"/>
      </w:rPr>
      <w:fldChar w:fldCharType="end"/>
    </w:r>
  </w:p>
  <w:p w:rsidR="001A1A47" w:rsidRDefault="001A1A47" w:rsidP="00E15F48">
    <w:pPr>
      <w:pStyle w:val="a8"/>
    </w:pPr>
    <w:r>
      <w:ptab w:relativeTo="margin" w:alignment="center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47" w:rsidRDefault="001A1A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0AD"/>
    <w:multiLevelType w:val="hybridMultilevel"/>
    <w:tmpl w:val="5D842198"/>
    <w:lvl w:ilvl="0" w:tplc="16B47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769FE"/>
    <w:multiLevelType w:val="hybridMultilevel"/>
    <w:tmpl w:val="213AF4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5157F8"/>
    <w:multiLevelType w:val="multilevel"/>
    <w:tmpl w:val="FB64BA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C50A13"/>
    <w:multiLevelType w:val="hybridMultilevel"/>
    <w:tmpl w:val="5B6CC780"/>
    <w:lvl w:ilvl="0" w:tplc="25DCE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6A4149"/>
    <w:multiLevelType w:val="hybridMultilevel"/>
    <w:tmpl w:val="7610CACC"/>
    <w:lvl w:ilvl="0" w:tplc="9D3C838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E1F7000"/>
    <w:multiLevelType w:val="hybridMultilevel"/>
    <w:tmpl w:val="8448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A7751"/>
    <w:multiLevelType w:val="hybridMultilevel"/>
    <w:tmpl w:val="202CB69C"/>
    <w:lvl w:ilvl="0" w:tplc="C51E9A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F5E2CAA"/>
    <w:multiLevelType w:val="multilevel"/>
    <w:tmpl w:val="76C4B5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B65FF"/>
    <w:multiLevelType w:val="hybridMultilevel"/>
    <w:tmpl w:val="0FC8C2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D83638"/>
    <w:multiLevelType w:val="hybridMultilevel"/>
    <w:tmpl w:val="D4660E5E"/>
    <w:lvl w:ilvl="0" w:tplc="0868D81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D576EC"/>
    <w:multiLevelType w:val="hybridMultilevel"/>
    <w:tmpl w:val="11E4CD56"/>
    <w:lvl w:ilvl="0" w:tplc="9174888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5F3B9B"/>
    <w:rsid w:val="00001C5D"/>
    <w:rsid w:val="00007010"/>
    <w:rsid w:val="00013D73"/>
    <w:rsid w:val="00020EB6"/>
    <w:rsid w:val="00021C0B"/>
    <w:rsid w:val="00021C93"/>
    <w:rsid w:val="000243BA"/>
    <w:rsid w:val="000308DA"/>
    <w:rsid w:val="00040B57"/>
    <w:rsid w:val="000410EF"/>
    <w:rsid w:val="000577C0"/>
    <w:rsid w:val="000631CA"/>
    <w:rsid w:val="00065BE4"/>
    <w:rsid w:val="0007457C"/>
    <w:rsid w:val="00074DD9"/>
    <w:rsid w:val="00080E9A"/>
    <w:rsid w:val="000829D3"/>
    <w:rsid w:val="00091D88"/>
    <w:rsid w:val="00092E8C"/>
    <w:rsid w:val="0009505B"/>
    <w:rsid w:val="0009534A"/>
    <w:rsid w:val="000974F5"/>
    <w:rsid w:val="00097B2D"/>
    <w:rsid w:val="000A0C99"/>
    <w:rsid w:val="000A7987"/>
    <w:rsid w:val="000B292F"/>
    <w:rsid w:val="000B5FF9"/>
    <w:rsid w:val="000C15FC"/>
    <w:rsid w:val="000C484B"/>
    <w:rsid w:val="000C4FB5"/>
    <w:rsid w:val="000D43AF"/>
    <w:rsid w:val="000D5E00"/>
    <w:rsid w:val="000E2B83"/>
    <w:rsid w:val="000E2D2B"/>
    <w:rsid w:val="000E7E2B"/>
    <w:rsid w:val="000F04B4"/>
    <w:rsid w:val="000F1215"/>
    <w:rsid w:val="00112E91"/>
    <w:rsid w:val="0011301A"/>
    <w:rsid w:val="00114083"/>
    <w:rsid w:val="0011518E"/>
    <w:rsid w:val="0011609B"/>
    <w:rsid w:val="00120527"/>
    <w:rsid w:val="00121597"/>
    <w:rsid w:val="001215DB"/>
    <w:rsid w:val="0012282B"/>
    <w:rsid w:val="00126EBA"/>
    <w:rsid w:val="00127251"/>
    <w:rsid w:val="00131B96"/>
    <w:rsid w:val="001343EC"/>
    <w:rsid w:val="001429E6"/>
    <w:rsid w:val="001543E0"/>
    <w:rsid w:val="0015454A"/>
    <w:rsid w:val="00156F7B"/>
    <w:rsid w:val="00163384"/>
    <w:rsid w:val="00167E24"/>
    <w:rsid w:val="00175DC4"/>
    <w:rsid w:val="00176889"/>
    <w:rsid w:val="00176FC4"/>
    <w:rsid w:val="00177D7F"/>
    <w:rsid w:val="001807DC"/>
    <w:rsid w:val="00181ED2"/>
    <w:rsid w:val="00185E3A"/>
    <w:rsid w:val="00190B31"/>
    <w:rsid w:val="00192F5E"/>
    <w:rsid w:val="001A1A47"/>
    <w:rsid w:val="001A50D1"/>
    <w:rsid w:val="001A5B8C"/>
    <w:rsid w:val="001A69D4"/>
    <w:rsid w:val="001B37CA"/>
    <w:rsid w:val="001B56B7"/>
    <w:rsid w:val="001C2F3A"/>
    <w:rsid w:val="001C579B"/>
    <w:rsid w:val="001D1F33"/>
    <w:rsid w:val="001D4B76"/>
    <w:rsid w:val="001D617E"/>
    <w:rsid w:val="001D7841"/>
    <w:rsid w:val="001E06EC"/>
    <w:rsid w:val="001E2110"/>
    <w:rsid w:val="001E4305"/>
    <w:rsid w:val="001E7F10"/>
    <w:rsid w:val="001F3179"/>
    <w:rsid w:val="001F5786"/>
    <w:rsid w:val="001F690B"/>
    <w:rsid w:val="00201F3D"/>
    <w:rsid w:val="002023A0"/>
    <w:rsid w:val="00203228"/>
    <w:rsid w:val="002046FA"/>
    <w:rsid w:val="002065CF"/>
    <w:rsid w:val="00211135"/>
    <w:rsid w:val="00211EFC"/>
    <w:rsid w:val="002167B0"/>
    <w:rsid w:val="002177CB"/>
    <w:rsid w:val="002219E0"/>
    <w:rsid w:val="002225E0"/>
    <w:rsid w:val="002233A1"/>
    <w:rsid w:val="00226C2C"/>
    <w:rsid w:val="0023146D"/>
    <w:rsid w:val="002315F1"/>
    <w:rsid w:val="0024013B"/>
    <w:rsid w:val="002413F5"/>
    <w:rsid w:val="00242629"/>
    <w:rsid w:val="00243437"/>
    <w:rsid w:val="002455EC"/>
    <w:rsid w:val="00250125"/>
    <w:rsid w:val="002516D5"/>
    <w:rsid w:val="002538C3"/>
    <w:rsid w:val="002568C6"/>
    <w:rsid w:val="0025764F"/>
    <w:rsid w:val="00264150"/>
    <w:rsid w:val="00272760"/>
    <w:rsid w:val="002748BE"/>
    <w:rsid w:val="00280512"/>
    <w:rsid w:val="00284F35"/>
    <w:rsid w:val="0028673B"/>
    <w:rsid w:val="00291D94"/>
    <w:rsid w:val="00293735"/>
    <w:rsid w:val="00296395"/>
    <w:rsid w:val="00296ECD"/>
    <w:rsid w:val="002A0FAF"/>
    <w:rsid w:val="002A1CD9"/>
    <w:rsid w:val="002A52BF"/>
    <w:rsid w:val="002A7669"/>
    <w:rsid w:val="002B16B3"/>
    <w:rsid w:val="002B2718"/>
    <w:rsid w:val="002B5190"/>
    <w:rsid w:val="002C7C2A"/>
    <w:rsid w:val="002D3883"/>
    <w:rsid w:val="002D56DF"/>
    <w:rsid w:val="002D731A"/>
    <w:rsid w:val="002E3F87"/>
    <w:rsid w:val="002E57A5"/>
    <w:rsid w:val="002F52C7"/>
    <w:rsid w:val="002F7967"/>
    <w:rsid w:val="00310424"/>
    <w:rsid w:val="00321171"/>
    <w:rsid w:val="003215D4"/>
    <w:rsid w:val="00325EF6"/>
    <w:rsid w:val="00340DB7"/>
    <w:rsid w:val="003420C5"/>
    <w:rsid w:val="0034743B"/>
    <w:rsid w:val="00355C7E"/>
    <w:rsid w:val="00356B96"/>
    <w:rsid w:val="00357DEE"/>
    <w:rsid w:val="003600EC"/>
    <w:rsid w:val="00363F0F"/>
    <w:rsid w:val="00367836"/>
    <w:rsid w:val="00367B21"/>
    <w:rsid w:val="00370763"/>
    <w:rsid w:val="00380664"/>
    <w:rsid w:val="00381338"/>
    <w:rsid w:val="00393A03"/>
    <w:rsid w:val="00393B1B"/>
    <w:rsid w:val="003942A8"/>
    <w:rsid w:val="00395114"/>
    <w:rsid w:val="00396893"/>
    <w:rsid w:val="003A1B7F"/>
    <w:rsid w:val="003A37EC"/>
    <w:rsid w:val="003A3E15"/>
    <w:rsid w:val="003A4C22"/>
    <w:rsid w:val="003B5CF7"/>
    <w:rsid w:val="003B5D22"/>
    <w:rsid w:val="003B7427"/>
    <w:rsid w:val="003B7EBC"/>
    <w:rsid w:val="003C1616"/>
    <w:rsid w:val="003C3BE6"/>
    <w:rsid w:val="003C47A0"/>
    <w:rsid w:val="003E1A50"/>
    <w:rsid w:val="003F0ED1"/>
    <w:rsid w:val="003F6E86"/>
    <w:rsid w:val="00402B8D"/>
    <w:rsid w:val="00405DB4"/>
    <w:rsid w:val="00406B13"/>
    <w:rsid w:val="004162A7"/>
    <w:rsid w:val="00424542"/>
    <w:rsid w:val="004267F3"/>
    <w:rsid w:val="00432015"/>
    <w:rsid w:val="00440B72"/>
    <w:rsid w:val="00441D0E"/>
    <w:rsid w:val="00443D3E"/>
    <w:rsid w:val="0044699D"/>
    <w:rsid w:val="00451F19"/>
    <w:rsid w:val="004577FE"/>
    <w:rsid w:val="00457F92"/>
    <w:rsid w:val="00462CC7"/>
    <w:rsid w:val="004642EA"/>
    <w:rsid w:val="00470A97"/>
    <w:rsid w:val="0047479F"/>
    <w:rsid w:val="004805F5"/>
    <w:rsid w:val="00480B2F"/>
    <w:rsid w:val="00492B29"/>
    <w:rsid w:val="0049319D"/>
    <w:rsid w:val="0049347F"/>
    <w:rsid w:val="00493C49"/>
    <w:rsid w:val="004A423D"/>
    <w:rsid w:val="004A72AB"/>
    <w:rsid w:val="004A7816"/>
    <w:rsid w:val="004B101D"/>
    <w:rsid w:val="004B1DC5"/>
    <w:rsid w:val="004B2868"/>
    <w:rsid w:val="004B3238"/>
    <w:rsid w:val="004C0935"/>
    <w:rsid w:val="004C18DE"/>
    <w:rsid w:val="004C3F1F"/>
    <w:rsid w:val="004D286E"/>
    <w:rsid w:val="004E021A"/>
    <w:rsid w:val="004E15AE"/>
    <w:rsid w:val="004F2434"/>
    <w:rsid w:val="004F7D34"/>
    <w:rsid w:val="00503671"/>
    <w:rsid w:val="005161A8"/>
    <w:rsid w:val="00516BDB"/>
    <w:rsid w:val="00520DC6"/>
    <w:rsid w:val="005267EC"/>
    <w:rsid w:val="00536992"/>
    <w:rsid w:val="0053723D"/>
    <w:rsid w:val="00537A4E"/>
    <w:rsid w:val="00540EC8"/>
    <w:rsid w:val="0054171C"/>
    <w:rsid w:val="00542050"/>
    <w:rsid w:val="00543978"/>
    <w:rsid w:val="00543A8C"/>
    <w:rsid w:val="00543C4F"/>
    <w:rsid w:val="00544B29"/>
    <w:rsid w:val="0055260E"/>
    <w:rsid w:val="00562868"/>
    <w:rsid w:val="00562A8B"/>
    <w:rsid w:val="00580C88"/>
    <w:rsid w:val="00580ECA"/>
    <w:rsid w:val="005856F2"/>
    <w:rsid w:val="00585991"/>
    <w:rsid w:val="00586293"/>
    <w:rsid w:val="00586766"/>
    <w:rsid w:val="00595701"/>
    <w:rsid w:val="0059738A"/>
    <w:rsid w:val="005A333C"/>
    <w:rsid w:val="005B0298"/>
    <w:rsid w:val="005B19E9"/>
    <w:rsid w:val="005C3D29"/>
    <w:rsid w:val="005C7C81"/>
    <w:rsid w:val="005D1B69"/>
    <w:rsid w:val="005E0408"/>
    <w:rsid w:val="005F3B9B"/>
    <w:rsid w:val="005F3DE3"/>
    <w:rsid w:val="005F67C4"/>
    <w:rsid w:val="005F7038"/>
    <w:rsid w:val="00603EA9"/>
    <w:rsid w:val="00604945"/>
    <w:rsid w:val="0061318A"/>
    <w:rsid w:val="00614DE0"/>
    <w:rsid w:val="00615236"/>
    <w:rsid w:val="00620FCB"/>
    <w:rsid w:val="006221C9"/>
    <w:rsid w:val="00630CFC"/>
    <w:rsid w:val="006321B0"/>
    <w:rsid w:val="006332D0"/>
    <w:rsid w:val="006355C0"/>
    <w:rsid w:val="006360F1"/>
    <w:rsid w:val="00646EDB"/>
    <w:rsid w:val="00657AA9"/>
    <w:rsid w:val="0066282D"/>
    <w:rsid w:val="00674542"/>
    <w:rsid w:val="00682C8A"/>
    <w:rsid w:val="0068386E"/>
    <w:rsid w:val="00683D15"/>
    <w:rsid w:val="00693684"/>
    <w:rsid w:val="006A0334"/>
    <w:rsid w:val="006A0B0B"/>
    <w:rsid w:val="006A539C"/>
    <w:rsid w:val="006B53B9"/>
    <w:rsid w:val="006B559F"/>
    <w:rsid w:val="006C2664"/>
    <w:rsid w:val="006C5818"/>
    <w:rsid w:val="006C7284"/>
    <w:rsid w:val="006D66E2"/>
    <w:rsid w:val="006D69E6"/>
    <w:rsid w:val="006E0048"/>
    <w:rsid w:val="006F032F"/>
    <w:rsid w:val="006F0CDD"/>
    <w:rsid w:val="006F362A"/>
    <w:rsid w:val="0070272A"/>
    <w:rsid w:val="00707ABA"/>
    <w:rsid w:val="00710C72"/>
    <w:rsid w:val="007112EF"/>
    <w:rsid w:val="007178B5"/>
    <w:rsid w:val="007206AE"/>
    <w:rsid w:val="00720752"/>
    <w:rsid w:val="00722B74"/>
    <w:rsid w:val="00732360"/>
    <w:rsid w:val="0073306C"/>
    <w:rsid w:val="00752263"/>
    <w:rsid w:val="00752EDD"/>
    <w:rsid w:val="00760CB8"/>
    <w:rsid w:val="0076267A"/>
    <w:rsid w:val="00770E9E"/>
    <w:rsid w:val="00771095"/>
    <w:rsid w:val="00773AAC"/>
    <w:rsid w:val="00775C54"/>
    <w:rsid w:val="007A2468"/>
    <w:rsid w:val="007B1CFB"/>
    <w:rsid w:val="007B291F"/>
    <w:rsid w:val="007C4406"/>
    <w:rsid w:val="007D0D9B"/>
    <w:rsid w:val="007D3635"/>
    <w:rsid w:val="007D62D6"/>
    <w:rsid w:val="007E3282"/>
    <w:rsid w:val="007E63D6"/>
    <w:rsid w:val="007E6EDF"/>
    <w:rsid w:val="007F0F38"/>
    <w:rsid w:val="007F5D7F"/>
    <w:rsid w:val="00800452"/>
    <w:rsid w:val="008013D2"/>
    <w:rsid w:val="00803C0B"/>
    <w:rsid w:val="00804568"/>
    <w:rsid w:val="00804AE9"/>
    <w:rsid w:val="00805096"/>
    <w:rsid w:val="00806ED5"/>
    <w:rsid w:val="0081086D"/>
    <w:rsid w:val="0081127B"/>
    <w:rsid w:val="00812DAD"/>
    <w:rsid w:val="00824D92"/>
    <w:rsid w:val="0084263E"/>
    <w:rsid w:val="00843802"/>
    <w:rsid w:val="00845B75"/>
    <w:rsid w:val="0085193D"/>
    <w:rsid w:val="008519AF"/>
    <w:rsid w:val="00852F0C"/>
    <w:rsid w:val="00861EEE"/>
    <w:rsid w:val="00884BB0"/>
    <w:rsid w:val="00893E0D"/>
    <w:rsid w:val="008A5690"/>
    <w:rsid w:val="008B0738"/>
    <w:rsid w:val="008B3F5D"/>
    <w:rsid w:val="008B4A54"/>
    <w:rsid w:val="008B4B10"/>
    <w:rsid w:val="008B7DD2"/>
    <w:rsid w:val="008C55EC"/>
    <w:rsid w:val="008C66BD"/>
    <w:rsid w:val="008C76D0"/>
    <w:rsid w:val="008E181A"/>
    <w:rsid w:val="008E1BC4"/>
    <w:rsid w:val="008E1CF6"/>
    <w:rsid w:val="008E27DD"/>
    <w:rsid w:val="008E3298"/>
    <w:rsid w:val="008F42B0"/>
    <w:rsid w:val="00916AB3"/>
    <w:rsid w:val="00917996"/>
    <w:rsid w:val="00917D5A"/>
    <w:rsid w:val="009204A4"/>
    <w:rsid w:val="009215CA"/>
    <w:rsid w:val="00935224"/>
    <w:rsid w:val="00935A20"/>
    <w:rsid w:val="00941120"/>
    <w:rsid w:val="00944A40"/>
    <w:rsid w:val="00950302"/>
    <w:rsid w:val="00953506"/>
    <w:rsid w:val="00961623"/>
    <w:rsid w:val="00974D68"/>
    <w:rsid w:val="00976CEE"/>
    <w:rsid w:val="009772E0"/>
    <w:rsid w:val="00980C83"/>
    <w:rsid w:val="00980E77"/>
    <w:rsid w:val="00986761"/>
    <w:rsid w:val="009A450B"/>
    <w:rsid w:val="009B3D05"/>
    <w:rsid w:val="009B4BDE"/>
    <w:rsid w:val="009D636C"/>
    <w:rsid w:val="009D6A80"/>
    <w:rsid w:val="009D6F5B"/>
    <w:rsid w:val="009E0986"/>
    <w:rsid w:val="009E41A4"/>
    <w:rsid w:val="009E6DBE"/>
    <w:rsid w:val="009E7F8A"/>
    <w:rsid w:val="009F2C54"/>
    <w:rsid w:val="009F5C18"/>
    <w:rsid w:val="00A00805"/>
    <w:rsid w:val="00A02937"/>
    <w:rsid w:val="00A02D0D"/>
    <w:rsid w:val="00A03813"/>
    <w:rsid w:val="00A11843"/>
    <w:rsid w:val="00A13472"/>
    <w:rsid w:val="00A14166"/>
    <w:rsid w:val="00A20A81"/>
    <w:rsid w:val="00A2151D"/>
    <w:rsid w:val="00A237A4"/>
    <w:rsid w:val="00A34C62"/>
    <w:rsid w:val="00A36211"/>
    <w:rsid w:val="00A40C89"/>
    <w:rsid w:val="00A47643"/>
    <w:rsid w:val="00A5090E"/>
    <w:rsid w:val="00A61EE1"/>
    <w:rsid w:val="00A63D2C"/>
    <w:rsid w:val="00A6514A"/>
    <w:rsid w:val="00A670A0"/>
    <w:rsid w:val="00A67E4D"/>
    <w:rsid w:val="00A722CE"/>
    <w:rsid w:val="00A82386"/>
    <w:rsid w:val="00A835C4"/>
    <w:rsid w:val="00A872FA"/>
    <w:rsid w:val="00A87BD9"/>
    <w:rsid w:val="00A91FA2"/>
    <w:rsid w:val="00A923CB"/>
    <w:rsid w:val="00AA0A9D"/>
    <w:rsid w:val="00AA0B40"/>
    <w:rsid w:val="00AA4A2B"/>
    <w:rsid w:val="00AB5230"/>
    <w:rsid w:val="00AB65A7"/>
    <w:rsid w:val="00AC3FAC"/>
    <w:rsid w:val="00AC6568"/>
    <w:rsid w:val="00AD3670"/>
    <w:rsid w:val="00AD3F4F"/>
    <w:rsid w:val="00AD4AE0"/>
    <w:rsid w:val="00AD7FEE"/>
    <w:rsid w:val="00AE5724"/>
    <w:rsid w:val="00AE64C9"/>
    <w:rsid w:val="00AF1CAD"/>
    <w:rsid w:val="00AF6C2A"/>
    <w:rsid w:val="00B0080E"/>
    <w:rsid w:val="00B06248"/>
    <w:rsid w:val="00B13C1B"/>
    <w:rsid w:val="00B16329"/>
    <w:rsid w:val="00B16D5A"/>
    <w:rsid w:val="00B21671"/>
    <w:rsid w:val="00B222EB"/>
    <w:rsid w:val="00B25A22"/>
    <w:rsid w:val="00B30229"/>
    <w:rsid w:val="00B35900"/>
    <w:rsid w:val="00B37500"/>
    <w:rsid w:val="00B413A8"/>
    <w:rsid w:val="00B477FB"/>
    <w:rsid w:val="00B52B16"/>
    <w:rsid w:val="00B54D95"/>
    <w:rsid w:val="00B54EA0"/>
    <w:rsid w:val="00B55A8E"/>
    <w:rsid w:val="00B561C4"/>
    <w:rsid w:val="00B56E3C"/>
    <w:rsid w:val="00B57479"/>
    <w:rsid w:val="00B621E1"/>
    <w:rsid w:val="00B73A4B"/>
    <w:rsid w:val="00B86559"/>
    <w:rsid w:val="00B90F55"/>
    <w:rsid w:val="00B91E40"/>
    <w:rsid w:val="00B92B7B"/>
    <w:rsid w:val="00B92FD5"/>
    <w:rsid w:val="00B962F7"/>
    <w:rsid w:val="00BA0272"/>
    <w:rsid w:val="00BB4DE5"/>
    <w:rsid w:val="00BB5379"/>
    <w:rsid w:val="00BC105C"/>
    <w:rsid w:val="00BC723A"/>
    <w:rsid w:val="00BD319D"/>
    <w:rsid w:val="00BE22EE"/>
    <w:rsid w:val="00BE6E41"/>
    <w:rsid w:val="00BF1480"/>
    <w:rsid w:val="00C03363"/>
    <w:rsid w:val="00C048EC"/>
    <w:rsid w:val="00C07647"/>
    <w:rsid w:val="00C07A46"/>
    <w:rsid w:val="00C07B75"/>
    <w:rsid w:val="00C20358"/>
    <w:rsid w:val="00C22B5A"/>
    <w:rsid w:val="00C31AB9"/>
    <w:rsid w:val="00C34165"/>
    <w:rsid w:val="00C43FD7"/>
    <w:rsid w:val="00C44951"/>
    <w:rsid w:val="00C4554F"/>
    <w:rsid w:val="00C45701"/>
    <w:rsid w:val="00C45FC5"/>
    <w:rsid w:val="00C46CC7"/>
    <w:rsid w:val="00C470A4"/>
    <w:rsid w:val="00C60F3D"/>
    <w:rsid w:val="00C61B53"/>
    <w:rsid w:val="00C63F3D"/>
    <w:rsid w:val="00C6459B"/>
    <w:rsid w:val="00C73823"/>
    <w:rsid w:val="00C76AE2"/>
    <w:rsid w:val="00C80EEC"/>
    <w:rsid w:val="00C902CB"/>
    <w:rsid w:val="00C93BA6"/>
    <w:rsid w:val="00CA3D51"/>
    <w:rsid w:val="00CA60B6"/>
    <w:rsid w:val="00CB7891"/>
    <w:rsid w:val="00CC203D"/>
    <w:rsid w:val="00CD0FEF"/>
    <w:rsid w:val="00CD1325"/>
    <w:rsid w:val="00CD22FB"/>
    <w:rsid w:val="00CD6271"/>
    <w:rsid w:val="00CD70CC"/>
    <w:rsid w:val="00CE0501"/>
    <w:rsid w:val="00CE0C83"/>
    <w:rsid w:val="00CE2DDD"/>
    <w:rsid w:val="00CE48CD"/>
    <w:rsid w:val="00CF1674"/>
    <w:rsid w:val="00CF18A6"/>
    <w:rsid w:val="00CF195E"/>
    <w:rsid w:val="00D056A8"/>
    <w:rsid w:val="00D0577F"/>
    <w:rsid w:val="00D06C81"/>
    <w:rsid w:val="00D13EDF"/>
    <w:rsid w:val="00D17240"/>
    <w:rsid w:val="00D17368"/>
    <w:rsid w:val="00D24C9A"/>
    <w:rsid w:val="00D31EA0"/>
    <w:rsid w:val="00D41A7B"/>
    <w:rsid w:val="00D43DDB"/>
    <w:rsid w:val="00D458B8"/>
    <w:rsid w:val="00D46F08"/>
    <w:rsid w:val="00D50759"/>
    <w:rsid w:val="00D56892"/>
    <w:rsid w:val="00D57D4B"/>
    <w:rsid w:val="00D6225B"/>
    <w:rsid w:val="00D65F45"/>
    <w:rsid w:val="00D77AA9"/>
    <w:rsid w:val="00D82025"/>
    <w:rsid w:val="00D90193"/>
    <w:rsid w:val="00D92140"/>
    <w:rsid w:val="00DA7E1B"/>
    <w:rsid w:val="00DB0FF2"/>
    <w:rsid w:val="00DB389B"/>
    <w:rsid w:val="00DD127A"/>
    <w:rsid w:val="00DD79C7"/>
    <w:rsid w:val="00DE15B8"/>
    <w:rsid w:val="00DE3DBD"/>
    <w:rsid w:val="00DE4780"/>
    <w:rsid w:val="00DF1748"/>
    <w:rsid w:val="00DF3D21"/>
    <w:rsid w:val="00DF6E95"/>
    <w:rsid w:val="00DF713C"/>
    <w:rsid w:val="00DF77D7"/>
    <w:rsid w:val="00E00CD0"/>
    <w:rsid w:val="00E01372"/>
    <w:rsid w:val="00E0143E"/>
    <w:rsid w:val="00E10475"/>
    <w:rsid w:val="00E107B8"/>
    <w:rsid w:val="00E113E6"/>
    <w:rsid w:val="00E12511"/>
    <w:rsid w:val="00E15A98"/>
    <w:rsid w:val="00E15F48"/>
    <w:rsid w:val="00E16990"/>
    <w:rsid w:val="00E2193C"/>
    <w:rsid w:val="00E21C63"/>
    <w:rsid w:val="00E21E11"/>
    <w:rsid w:val="00E22D4A"/>
    <w:rsid w:val="00E26500"/>
    <w:rsid w:val="00E27193"/>
    <w:rsid w:val="00E324EA"/>
    <w:rsid w:val="00E34D64"/>
    <w:rsid w:val="00E35E0B"/>
    <w:rsid w:val="00E40064"/>
    <w:rsid w:val="00E42BE2"/>
    <w:rsid w:val="00E50F20"/>
    <w:rsid w:val="00E51A8D"/>
    <w:rsid w:val="00E541FB"/>
    <w:rsid w:val="00E81257"/>
    <w:rsid w:val="00E83CE0"/>
    <w:rsid w:val="00E92D4B"/>
    <w:rsid w:val="00E92DD3"/>
    <w:rsid w:val="00E95853"/>
    <w:rsid w:val="00E9617E"/>
    <w:rsid w:val="00E96EDD"/>
    <w:rsid w:val="00EA3364"/>
    <w:rsid w:val="00EA3F49"/>
    <w:rsid w:val="00EB44F1"/>
    <w:rsid w:val="00EB600D"/>
    <w:rsid w:val="00EB7AF2"/>
    <w:rsid w:val="00EB7ED3"/>
    <w:rsid w:val="00EC14E9"/>
    <w:rsid w:val="00EC21E9"/>
    <w:rsid w:val="00EC47C3"/>
    <w:rsid w:val="00EC6069"/>
    <w:rsid w:val="00EC68C6"/>
    <w:rsid w:val="00ED1D99"/>
    <w:rsid w:val="00ED2847"/>
    <w:rsid w:val="00ED4275"/>
    <w:rsid w:val="00ED5461"/>
    <w:rsid w:val="00EE1FD7"/>
    <w:rsid w:val="00EE201A"/>
    <w:rsid w:val="00EE65E7"/>
    <w:rsid w:val="00EF6368"/>
    <w:rsid w:val="00F01BC9"/>
    <w:rsid w:val="00F06752"/>
    <w:rsid w:val="00F14EF2"/>
    <w:rsid w:val="00F14FA0"/>
    <w:rsid w:val="00F17F6F"/>
    <w:rsid w:val="00F2107C"/>
    <w:rsid w:val="00F229B6"/>
    <w:rsid w:val="00F2309A"/>
    <w:rsid w:val="00F25AC1"/>
    <w:rsid w:val="00F30545"/>
    <w:rsid w:val="00F503F5"/>
    <w:rsid w:val="00F71D36"/>
    <w:rsid w:val="00F75F23"/>
    <w:rsid w:val="00F825A9"/>
    <w:rsid w:val="00F84D55"/>
    <w:rsid w:val="00F918E4"/>
    <w:rsid w:val="00FA72D4"/>
    <w:rsid w:val="00FB23CB"/>
    <w:rsid w:val="00FC03ED"/>
    <w:rsid w:val="00FC0560"/>
    <w:rsid w:val="00FD6DE2"/>
    <w:rsid w:val="00FE4153"/>
    <w:rsid w:val="00FE527A"/>
    <w:rsid w:val="00FE5E42"/>
    <w:rsid w:val="00FE6156"/>
    <w:rsid w:val="00FF7113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3B9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5F3B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3B9B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5F3B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11"/>
    <w:qFormat/>
    <w:rsid w:val="005F3B9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5F3B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rsid w:val="005F3B9B"/>
    <w:pPr>
      <w:jc w:val="both"/>
    </w:pPr>
    <w:rPr>
      <w:b/>
    </w:rPr>
  </w:style>
  <w:style w:type="character" w:customStyle="1" w:styleId="a6">
    <w:name w:val="Основной текст Знак"/>
    <w:basedOn w:val="a0"/>
    <w:link w:val="a5"/>
    <w:rsid w:val="005F3B9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7">
    <w:name w:val="Table Grid"/>
    <w:basedOn w:val="a1"/>
    <w:uiPriority w:val="59"/>
    <w:rsid w:val="005F3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5F3B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F3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F3B9B"/>
  </w:style>
  <w:style w:type="paragraph" w:customStyle="1" w:styleId="ab">
    <w:name w:val="Заголовок статьи"/>
    <w:basedOn w:val="a"/>
    <w:next w:val="a"/>
    <w:uiPriority w:val="99"/>
    <w:rsid w:val="005F3B9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c">
    <w:name w:val="Комментарий"/>
    <w:basedOn w:val="a"/>
    <w:next w:val="a"/>
    <w:rsid w:val="005F3B9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d">
    <w:name w:val="Гипертекстовая ссылка"/>
    <w:uiPriority w:val="99"/>
    <w:rsid w:val="005F3B9B"/>
    <w:rPr>
      <w:color w:val="008000"/>
    </w:rPr>
  </w:style>
  <w:style w:type="paragraph" w:customStyle="1" w:styleId="ConsPlusNormal">
    <w:name w:val="ConsPlusNormal"/>
    <w:rsid w:val="005F3B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3B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5F3B9B"/>
    <w:rPr>
      <w:b/>
      <w:bCs/>
      <w:color w:val="000080"/>
    </w:rPr>
  </w:style>
  <w:style w:type="paragraph" w:customStyle="1" w:styleId="af">
    <w:name w:val="Прижатый влево"/>
    <w:basedOn w:val="a"/>
    <w:next w:val="a"/>
    <w:uiPriority w:val="99"/>
    <w:rsid w:val="005F3B9B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0">
    <w:name w:val="Нормальный (таблица)"/>
    <w:basedOn w:val="a"/>
    <w:next w:val="a"/>
    <w:uiPriority w:val="99"/>
    <w:rsid w:val="005F3B9B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1">
    <w:name w:val="List Paragraph"/>
    <w:basedOn w:val="a"/>
    <w:uiPriority w:val="34"/>
    <w:qFormat/>
    <w:rsid w:val="005F3B9B"/>
    <w:pPr>
      <w:ind w:left="720"/>
      <w:contextualSpacing/>
    </w:pPr>
  </w:style>
  <w:style w:type="character" w:styleId="af2">
    <w:name w:val="Hyperlink"/>
    <w:uiPriority w:val="99"/>
    <w:unhideWhenUsed/>
    <w:rsid w:val="005F3B9B"/>
    <w:rPr>
      <w:color w:val="0000FF"/>
      <w:u w:val="single"/>
    </w:rPr>
  </w:style>
  <w:style w:type="character" w:customStyle="1" w:styleId="af3">
    <w:name w:val="Не вступил в силу"/>
    <w:uiPriority w:val="99"/>
    <w:rsid w:val="005F3B9B"/>
    <w:rPr>
      <w:b/>
      <w:bCs/>
      <w:color w:val="008080"/>
    </w:rPr>
  </w:style>
  <w:style w:type="paragraph" w:customStyle="1" w:styleId="ConsPlusTitle">
    <w:name w:val="ConsPlusTitle"/>
    <w:rsid w:val="005F3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Body Text Indent"/>
    <w:basedOn w:val="a"/>
    <w:link w:val="af5"/>
    <w:rsid w:val="005F3B9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5F3B9B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F3B9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F3B9B"/>
    <w:pPr>
      <w:spacing w:before="100" w:beforeAutospacing="1" w:after="100" w:afterAutospacing="1"/>
    </w:pPr>
  </w:style>
  <w:style w:type="paragraph" w:customStyle="1" w:styleId="af6">
    <w:name w:val="Информация об изменениях документа"/>
    <w:basedOn w:val="ac"/>
    <w:next w:val="a"/>
    <w:uiPriority w:val="99"/>
    <w:rsid w:val="005F3B9B"/>
    <w:pPr>
      <w:spacing w:before="75"/>
    </w:pPr>
    <w:rPr>
      <w:rFonts w:cs="Arial"/>
      <w:color w:val="353842"/>
      <w:shd w:val="clear" w:color="auto" w:fill="F0F0F0"/>
    </w:rPr>
  </w:style>
  <w:style w:type="paragraph" w:styleId="af7">
    <w:name w:val="footnote text"/>
    <w:basedOn w:val="a"/>
    <w:link w:val="af8"/>
    <w:rsid w:val="005F3B9B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5F3B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F3B9B"/>
    <w:rPr>
      <w:vertAlign w:val="superscript"/>
    </w:rPr>
  </w:style>
  <w:style w:type="character" w:customStyle="1" w:styleId="11">
    <w:name w:val="Название Знак1"/>
    <w:link w:val="a3"/>
    <w:rsid w:val="005F3B9B"/>
    <w:rPr>
      <w:rFonts w:ascii="Times New Roman" w:eastAsia="Times New Roman" w:hAnsi="Times New Roman" w:cs="Times New Roman"/>
      <w:b/>
      <w:sz w:val="24"/>
      <w:szCs w:val="24"/>
    </w:rPr>
  </w:style>
  <w:style w:type="character" w:styleId="afa">
    <w:name w:val="FollowedHyperlink"/>
    <w:uiPriority w:val="99"/>
    <w:unhideWhenUsed/>
    <w:rsid w:val="005F3B9B"/>
    <w:rPr>
      <w:color w:val="800080"/>
      <w:u w:val="single"/>
    </w:rPr>
  </w:style>
  <w:style w:type="paragraph" w:customStyle="1" w:styleId="xl63">
    <w:name w:val="xl63"/>
    <w:basedOn w:val="a"/>
    <w:rsid w:val="005F3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/>
      <w:jc w:val="center"/>
      <w:textAlignment w:val="top"/>
    </w:pPr>
    <w:rPr>
      <w:b/>
      <w:bCs/>
      <w:color w:val="003F2F"/>
      <w:sz w:val="20"/>
      <w:szCs w:val="20"/>
    </w:rPr>
  </w:style>
  <w:style w:type="paragraph" w:customStyle="1" w:styleId="xl64">
    <w:name w:val="xl64"/>
    <w:basedOn w:val="a"/>
    <w:rsid w:val="005F3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/>
      <w:textAlignment w:val="top"/>
    </w:pPr>
    <w:rPr>
      <w:b/>
      <w:bCs/>
      <w:color w:val="003F2F"/>
      <w:sz w:val="20"/>
      <w:szCs w:val="20"/>
    </w:rPr>
  </w:style>
  <w:style w:type="paragraph" w:customStyle="1" w:styleId="xl65">
    <w:name w:val="xl65"/>
    <w:basedOn w:val="a"/>
    <w:rsid w:val="005F3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3F2F"/>
      <w:sz w:val="20"/>
      <w:szCs w:val="20"/>
    </w:rPr>
  </w:style>
  <w:style w:type="paragraph" w:customStyle="1" w:styleId="xl66">
    <w:name w:val="xl66"/>
    <w:basedOn w:val="a"/>
    <w:rsid w:val="005F3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3F2F"/>
      <w:sz w:val="20"/>
      <w:szCs w:val="20"/>
    </w:rPr>
  </w:style>
  <w:style w:type="paragraph" w:customStyle="1" w:styleId="xl67">
    <w:name w:val="xl67"/>
    <w:basedOn w:val="a"/>
    <w:rsid w:val="005F3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5F3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5F3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5F3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5F3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5F3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5F3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5F3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5F3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5F3B9B"/>
    <w:pPr>
      <w:spacing w:before="100" w:beforeAutospacing="1" w:after="100" w:afterAutospacing="1"/>
    </w:pPr>
  </w:style>
  <w:style w:type="paragraph" w:customStyle="1" w:styleId="xl77">
    <w:name w:val="xl77"/>
    <w:basedOn w:val="a"/>
    <w:rsid w:val="005F3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/>
      <w:textAlignment w:val="top"/>
    </w:pPr>
    <w:rPr>
      <w:b/>
      <w:bCs/>
      <w:color w:val="003F2F"/>
      <w:sz w:val="20"/>
      <w:szCs w:val="20"/>
    </w:rPr>
  </w:style>
  <w:style w:type="paragraph" w:customStyle="1" w:styleId="xl78">
    <w:name w:val="xl78"/>
    <w:basedOn w:val="a"/>
    <w:rsid w:val="005F3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5F3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3F2F"/>
      <w:sz w:val="20"/>
      <w:szCs w:val="20"/>
    </w:rPr>
  </w:style>
  <w:style w:type="paragraph" w:customStyle="1" w:styleId="xl80">
    <w:name w:val="xl80"/>
    <w:basedOn w:val="a"/>
    <w:rsid w:val="005F3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3F2F"/>
      <w:sz w:val="20"/>
      <w:szCs w:val="20"/>
    </w:rPr>
  </w:style>
  <w:style w:type="paragraph" w:customStyle="1" w:styleId="xl81">
    <w:name w:val="xl81"/>
    <w:basedOn w:val="a"/>
    <w:rsid w:val="005F3B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3F2F"/>
      <w:sz w:val="20"/>
      <w:szCs w:val="20"/>
    </w:rPr>
  </w:style>
  <w:style w:type="paragraph" w:customStyle="1" w:styleId="xl82">
    <w:name w:val="xl82"/>
    <w:basedOn w:val="a"/>
    <w:rsid w:val="005F3B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3F2F"/>
      <w:sz w:val="20"/>
      <w:szCs w:val="20"/>
    </w:rPr>
  </w:style>
  <w:style w:type="paragraph" w:customStyle="1" w:styleId="xl83">
    <w:name w:val="xl83"/>
    <w:basedOn w:val="a"/>
    <w:rsid w:val="005F3B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3F2F"/>
      <w:sz w:val="20"/>
      <w:szCs w:val="20"/>
    </w:rPr>
  </w:style>
  <w:style w:type="paragraph" w:customStyle="1" w:styleId="xl84">
    <w:name w:val="xl84"/>
    <w:basedOn w:val="a"/>
    <w:rsid w:val="005F3B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E5CB"/>
      <w:spacing w:before="100" w:beforeAutospacing="1" w:after="100" w:afterAutospacing="1"/>
      <w:textAlignment w:val="top"/>
    </w:pPr>
    <w:rPr>
      <w:b/>
      <w:bCs/>
      <w:color w:val="003F2F"/>
      <w:sz w:val="20"/>
      <w:szCs w:val="20"/>
    </w:rPr>
  </w:style>
  <w:style w:type="paragraph" w:customStyle="1" w:styleId="xl85">
    <w:name w:val="xl85"/>
    <w:basedOn w:val="a"/>
    <w:rsid w:val="005F3B9B"/>
    <w:pPr>
      <w:pBdr>
        <w:top w:val="single" w:sz="4" w:space="0" w:color="auto"/>
        <w:bottom w:val="single" w:sz="4" w:space="0" w:color="auto"/>
      </w:pBdr>
      <w:shd w:val="clear" w:color="000000" w:fill="D6E5CB"/>
      <w:spacing w:before="100" w:beforeAutospacing="1" w:after="100" w:afterAutospacing="1"/>
      <w:textAlignment w:val="top"/>
    </w:pPr>
    <w:rPr>
      <w:b/>
      <w:bCs/>
      <w:color w:val="003F2F"/>
      <w:sz w:val="20"/>
      <w:szCs w:val="20"/>
    </w:rPr>
  </w:style>
  <w:style w:type="paragraph" w:customStyle="1" w:styleId="xl86">
    <w:name w:val="xl86"/>
    <w:basedOn w:val="a"/>
    <w:rsid w:val="005F3B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/>
      <w:textAlignment w:val="top"/>
    </w:pPr>
    <w:rPr>
      <w:b/>
      <w:bCs/>
      <w:color w:val="003F2F"/>
      <w:sz w:val="20"/>
      <w:szCs w:val="20"/>
    </w:rPr>
  </w:style>
  <w:style w:type="paragraph" w:styleId="afb">
    <w:name w:val="Balloon Text"/>
    <w:basedOn w:val="a"/>
    <w:link w:val="afc"/>
    <w:rsid w:val="005F3B9B"/>
    <w:rPr>
      <w:rFonts w:ascii="Segoe UI" w:hAnsi="Segoe UI"/>
      <w:sz w:val="18"/>
      <w:szCs w:val="18"/>
    </w:rPr>
  </w:style>
  <w:style w:type="character" w:customStyle="1" w:styleId="afc">
    <w:name w:val="Текст выноски Знак"/>
    <w:basedOn w:val="a0"/>
    <w:link w:val="afb"/>
    <w:rsid w:val="005F3B9B"/>
    <w:rPr>
      <w:rFonts w:ascii="Segoe UI" w:eastAsia="Times New Roman" w:hAnsi="Segoe UI" w:cs="Times New Roman"/>
      <w:sz w:val="18"/>
      <w:szCs w:val="18"/>
    </w:rPr>
  </w:style>
  <w:style w:type="paragraph" w:customStyle="1" w:styleId="footnotedescription">
    <w:name w:val="footnote description"/>
    <w:next w:val="a"/>
    <w:link w:val="footnotedescriptionChar"/>
    <w:hidden/>
    <w:rsid w:val="005F3B9B"/>
    <w:pPr>
      <w:spacing w:after="0" w:line="275" w:lineRule="auto"/>
      <w:ind w:right="29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F3B9B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5F3B9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fd">
    <w:name w:val="footer"/>
    <w:basedOn w:val="a"/>
    <w:link w:val="afe"/>
    <w:rsid w:val="005F3B9B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rsid w:val="005F3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F3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Заголовок Знак"/>
    <w:rsid w:val="00722B74"/>
    <w:rPr>
      <w:b/>
      <w:sz w:val="24"/>
      <w:szCs w:val="24"/>
    </w:rPr>
  </w:style>
  <w:style w:type="paragraph" w:styleId="21">
    <w:name w:val="Body Text Indent 2"/>
    <w:basedOn w:val="a"/>
    <w:link w:val="22"/>
    <w:rsid w:val="000C48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C48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0"/>
    <w:uiPriority w:val="22"/>
    <w:qFormat/>
    <w:rsid w:val="00367B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6CF22A9ED2084634DBE12216E1F860B24FAE716BAA0D3C4A7CEB6FFF86B7A6F3B45EB88C9B231EK1r4V" TargetMode="External"/><Relationship Id="rId13" Type="http://schemas.openxmlformats.org/officeDocument/2006/relationships/hyperlink" Target="consultantplus://offline/ref=B848BAE16FC115E4A7395C3F0454031BC11D8E86848BB0B9A134FFC6A9410D6F0C5EF2041BAF63A0NF04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848BAE16FC115E4A7395C3F0454031BC11D8E86848BB0B9A134FFC6A9410D6F0C5EF2041BAF63A0NF04T" TargetMode="External"/><Relationship Id="rId17" Type="http://schemas.openxmlformats.org/officeDocument/2006/relationships/hyperlink" Target="consultantplus://offline/ref=536CF22A9ED2084634DBE12216E1F860B24FAE716BAA0D3C4A7CEB6FFF86B7A6F3B45EB88C9B231EK1r4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0005879.2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6CF22A9ED2084634DBE12216E1F860B24FAE716BAA0D3C4A7CEB6FFF86B7A6F3B45EB88C9B231EK1r4V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5E381352D27E3E433824B8F3665062EB12576C2A7BB463079E11B9CF39574E36FF263B9FE2E716x2a3V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A4456DD4FBB488E012ED36BCB01F5883993710CD36193BFA9B2E873042E3359A77E640D12D4486F7k5xB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6CF22A9ED2084634DBE12216E1F860B24FAE716BAA0D3C4A7CEB6FFF86B7A6F3B45EB88C9B231EK1r4V" TargetMode="External"/><Relationship Id="rId14" Type="http://schemas.openxmlformats.org/officeDocument/2006/relationships/hyperlink" Target="consultantplus://offline/ref=B848BAE16FC115E4A7395C3F0454031BC11D8E86848BB0B9A134FFC6A9410D6F0C5EF2041BAF63A0NF04T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3985F-DC6C-4E54-BD2C-6A3F5475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4512</TotalTime>
  <Pages>16</Pages>
  <Words>9074</Words>
  <Characters>51725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51</cp:revision>
  <cp:lastPrinted>2017-11-03T10:19:00Z</cp:lastPrinted>
  <dcterms:created xsi:type="dcterms:W3CDTF">2017-10-04T15:12:00Z</dcterms:created>
  <dcterms:modified xsi:type="dcterms:W3CDTF">2017-11-03T10:19:00Z</dcterms:modified>
</cp:coreProperties>
</file>