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3"/>
      </w:tblGrid>
      <w:tr w:rsidR="00124FB9" w:rsidTr="00BC7D14">
        <w:trPr>
          <w:cantSplit/>
        </w:trPr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</w:tcPr>
          <w:p w:rsidR="00124FB9" w:rsidRDefault="00124FB9" w:rsidP="00BC7D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19050" t="0" r="0" b="0"/>
                  <wp:docPr id="1" name="Рисунок 1" descr="Изображение Герба Волгоградской области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ображение Герба Волгоградской области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FB9" w:rsidTr="00BC7D14">
        <w:trPr>
          <w:cantSplit/>
          <w:trHeight w:val="401"/>
        </w:trPr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</w:tcPr>
          <w:p w:rsidR="00124FB9" w:rsidRPr="00052F92" w:rsidRDefault="00124FB9" w:rsidP="00BC7D14">
            <w:pPr>
              <w:pStyle w:val="2"/>
              <w:jc w:val="center"/>
              <w:rPr>
                <w:b/>
              </w:rPr>
            </w:pPr>
            <w:r w:rsidRPr="00052F92">
              <w:rPr>
                <w:b/>
              </w:rPr>
              <w:t>КОЛЛЕГИЯ КОНТРОЛЬНО СЧЕТНОЙ ПАЛАТЫ ВОЛГОГРАДСКОЙ ОБЛАСТИ</w:t>
            </w:r>
          </w:p>
        </w:tc>
      </w:tr>
      <w:tr w:rsidR="00124FB9" w:rsidTr="00BC7D14">
        <w:trPr>
          <w:cantSplit/>
        </w:trPr>
        <w:tc>
          <w:tcPr>
            <w:tcW w:w="9823" w:type="dxa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124FB9" w:rsidRDefault="00124FB9" w:rsidP="00BC7D14">
            <w:pPr>
              <w:jc w:val="both"/>
            </w:pPr>
          </w:p>
        </w:tc>
      </w:tr>
    </w:tbl>
    <w:p w:rsidR="00124FB9" w:rsidRPr="00592DB9" w:rsidRDefault="00124FB9" w:rsidP="00124FB9">
      <w:pPr>
        <w:pStyle w:val="2"/>
        <w:spacing w:line="240" w:lineRule="auto"/>
        <w:ind w:left="284"/>
        <w:jc w:val="center"/>
        <w:rPr>
          <w:b/>
          <w:sz w:val="16"/>
          <w:szCs w:val="16"/>
        </w:rPr>
      </w:pPr>
    </w:p>
    <w:p w:rsidR="00124FB9" w:rsidRPr="00B66D56" w:rsidRDefault="00124FB9" w:rsidP="00124FB9">
      <w:pPr>
        <w:pStyle w:val="2"/>
        <w:jc w:val="center"/>
        <w:rPr>
          <w:b/>
          <w:sz w:val="28"/>
          <w:szCs w:val="28"/>
        </w:rPr>
      </w:pPr>
      <w:r w:rsidRPr="00B66D56">
        <w:rPr>
          <w:b/>
          <w:sz w:val="28"/>
          <w:szCs w:val="28"/>
        </w:rPr>
        <w:t>ПОСТАНОВЛЕНИЕ</w:t>
      </w:r>
    </w:p>
    <w:p w:rsidR="00124FB9" w:rsidRPr="002073FD" w:rsidRDefault="004166FD" w:rsidP="00124FB9">
      <w:pPr>
        <w:pStyle w:val="2"/>
        <w:ind w:left="0"/>
        <w:rPr>
          <w:u w:val="single"/>
        </w:rPr>
      </w:pPr>
      <w:r>
        <w:t>о</w:t>
      </w:r>
      <w:r w:rsidR="00124FB9" w:rsidRPr="002073FD">
        <w:t>т</w:t>
      </w:r>
      <w:r w:rsidR="00B0556D">
        <w:t xml:space="preserve"> </w:t>
      </w:r>
      <w:r w:rsidR="00E01BD7">
        <w:t>1</w:t>
      </w:r>
      <w:r w:rsidR="007804C1">
        <w:t>0</w:t>
      </w:r>
      <w:r w:rsidR="00382BC6">
        <w:t xml:space="preserve"> </w:t>
      </w:r>
      <w:r w:rsidR="00E01BD7">
        <w:t>июл</w:t>
      </w:r>
      <w:r w:rsidR="007804C1">
        <w:t>я</w:t>
      </w:r>
      <w:r w:rsidR="00A61C18">
        <w:t xml:space="preserve"> </w:t>
      </w:r>
      <w:r w:rsidR="00124FB9">
        <w:t>201</w:t>
      </w:r>
      <w:r w:rsidR="00A61C18">
        <w:t>7</w:t>
      </w:r>
      <w:r w:rsidR="00124FB9">
        <w:t xml:space="preserve"> </w:t>
      </w:r>
      <w:r w:rsidR="00E01BD7">
        <w:t xml:space="preserve">года </w:t>
      </w:r>
      <w:r w:rsidR="00124FB9" w:rsidRPr="002073FD">
        <w:t xml:space="preserve"> № </w:t>
      </w:r>
      <w:r w:rsidR="00B36AD5">
        <w:t>10/1</w:t>
      </w:r>
    </w:p>
    <w:tbl>
      <w:tblPr>
        <w:tblW w:w="0" w:type="auto"/>
        <w:tblLook w:val="01E0"/>
      </w:tblPr>
      <w:tblGrid>
        <w:gridCol w:w="5070"/>
      </w:tblGrid>
      <w:tr w:rsidR="00124FB9" w:rsidRPr="000043EB" w:rsidTr="00BC7D14">
        <w:tc>
          <w:tcPr>
            <w:tcW w:w="5070" w:type="dxa"/>
          </w:tcPr>
          <w:p w:rsidR="00A61C18" w:rsidRDefault="00B51F77" w:rsidP="00B0556D">
            <w:pPr>
              <w:pStyle w:val="21"/>
              <w:spacing w:after="0" w:line="240" w:lineRule="auto"/>
              <w:jc w:val="both"/>
            </w:pPr>
            <w:r>
              <w:t>О</w:t>
            </w:r>
            <w:r w:rsidR="00A61C18" w:rsidRPr="00E24F63">
              <w:t xml:space="preserve"> результата</w:t>
            </w:r>
            <w:r w:rsidR="00A61C18">
              <w:t>х</w:t>
            </w:r>
            <w:r w:rsidR="00A61C18" w:rsidRPr="00E24F63">
              <w:t xml:space="preserve"> проверки финансово-хозяйственной деятельности Государственного бюджетного учреждения культуры </w:t>
            </w:r>
            <w:r w:rsidR="007804C1" w:rsidRPr="00DD68A3">
              <w:t>«Волгоградск</w:t>
            </w:r>
            <w:r w:rsidR="007804C1">
              <w:t>ий государственный Новый экспериментальный театр</w:t>
            </w:r>
            <w:r w:rsidR="007804C1" w:rsidRPr="00DD68A3">
              <w:t>»</w:t>
            </w:r>
            <w:r w:rsidR="00A61C18" w:rsidRPr="00E24F63">
              <w:t xml:space="preserve"> за 2016 год</w:t>
            </w:r>
            <w:r w:rsidR="007804C1">
              <w:t xml:space="preserve"> и</w:t>
            </w:r>
            <w:r w:rsidR="00E04AFF">
              <w:t xml:space="preserve"> отдельных вопросов за 2015-2016 годы</w:t>
            </w:r>
            <w:r w:rsidR="00036837" w:rsidRPr="00B44451">
              <w:t xml:space="preserve"> и истекший период 2017 года</w:t>
            </w:r>
          </w:p>
          <w:p w:rsidR="00124FB9" w:rsidRPr="000043EB" w:rsidRDefault="00B0556D" w:rsidP="00B0556D">
            <w:pPr>
              <w:pStyle w:val="21"/>
              <w:spacing w:after="0" w:line="240" w:lineRule="auto"/>
              <w:jc w:val="both"/>
            </w:pPr>
            <w:r>
              <w:t xml:space="preserve"> </w:t>
            </w:r>
          </w:p>
        </w:tc>
      </w:tr>
    </w:tbl>
    <w:p w:rsidR="00124FB9" w:rsidRPr="00B44451" w:rsidRDefault="00124FB9" w:rsidP="00B44451">
      <w:pPr>
        <w:ind w:firstLine="708"/>
        <w:jc w:val="both"/>
        <w:rPr>
          <w:b/>
          <w:highlight w:val="yellow"/>
        </w:rPr>
      </w:pPr>
      <w:proofErr w:type="gramStart"/>
      <w:r w:rsidRPr="000A3748">
        <w:t xml:space="preserve">Коллегия контрольно-счетной палаты Волгоградской области, рассмотрев </w:t>
      </w:r>
      <w:r>
        <w:t>отчёт</w:t>
      </w:r>
      <w:r w:rsidRPr="000A3748">
        <w:t xml:space="preserve"> </w:t>
      </w:r>
      <w:r w:rsidR="00A61C18">
        <w:t>о</w:t>
      </w:r>
      <w:r w:rsidR="00A61C18" w:rsidRPr="00E24F63">
        <w:t xml:space="preserve"> результата</w:t>
      </w:r>
      <w:r w:rsidR="00A61C18">
        <w:t>х</w:t>
      </w:r>
      <w:r w:rsidR="00A61C18" w:rsidRPr="00E24F63">
        <w:t xml:space="preserve"> проверки финансово-хозяйственной деятельности Государственного бюджетного учреждения культуры </w:t>
      </w:r>
      <w:r w:rsidR="007804C1" w:rsidRPr="00DD68A3">
        <w:t>«Волгоградск</w:t>
      </w:r>
      <w:r w:rsidR="007804C1">
        <w:t>ий государственный Новый экспериментальный театр</w:t>
      </w:r>
      <w:r w:rsidR="007804C1" w:rsidRPr="00DD68A3">
        <w:t>»</w:t>
      </w:r>
      <w:r w:rsidR="007804C1">
        <w:t xml:space="preserve"> </w:t>
      </w:r>
      <w:r w:rsidR="00A61C18">
        <w:t xml:space="preserve">(далее </w:t>
      </w:r>
      <w:r w:rsidR="00A61C18" w:rsidRPr="007804C1">
        <w:t xml:space="preserve">ГБУК </w:t>
      </w:r>
      <w:r w:rsidR="007804C1" w:rsidRPr="007804C1">
        <w:t>НЭТ</w:t>
      </w:r>
      <w:r w:rsidR="00A61C18" w:rsidRPr="007804C1">
        <w:t xml:space="preserve">) </w:t>
      </w:r>
      <w:r w:rsidR="00A61C18" w:rsidRPr="00E363B9">
        <w:t>за 2016 год</w:t>
      </w:r>
      <w:r w:rsidR="007804C1" w:rsidRPr="00E363B9">
        <w:t xml:space="preserve"> и </w:t>
      </w:r>
      <w:r w:rsidR="00E04AFF">
        <w:t>отдельных вопросов за 2015-2016 годы</w:t>
      </w:r>
      <w:r w:rsidR="00B44451" w:rsidRPr="00B44451">
        <w:t xml:space="preserve"> и истекший период 2017 года </w:t>
      </w:r>
      <w:r w:rsidRPr="007804C1">
        <w:t>отмечает</w:t>
      </w:r>
      <w:r w:rsidR="00B0556D" w:rsidRPr="007804C1">
        <w:t xml:space="preserve"> </w:t>
      </w:r>
      <w:r w:rsidR="000E6794" w:rsidRPr="00E363B9">
        <w:t xml:space="preserve">факты </w:t>
      </w:r>
      <w:r w:rsidR="008718E9" w:rsidRPr="007804C1">
        <w:t>нарушени</w:t>
      </w:r>
      <w:r w:rsidR="00B44451">
        <w:t>й:</w:t>
      </w:r>
      <w:r w:rsidR="008718E9" w:rsidRPr="007804C1">
        <w:t xml:space="preserve"> порядка и</w:t>
      </w:r>
      <w:r w:rsidR="00E04AFF">
        <w:t>спользования имущества, приведши</w:t>
      </w:r>
      <w:r w:rsidR="008718E9" w:rsidRPr="007804C1">
        <w:t xml:space="preserve">е к </w:t>
      </w:r>
      <w:proofErr w:type="spellStart"/>
      <w:r w:rsidR="008718E9" w:rsidRPr="007804C1">
        <w:t>недополучению</w:t>
      </w:r>
      <w:proofErr w:type="spellEnd"/>
      <w:r w:rsidR="008718E9" w:rsidRPr="007804C1">
        <w:t xml:space="preserve"> доходов в сумме </w:t>
      </w:r>
      <w:r w:rsidR="007804C1" w:rsidRPr="007804C1">
        <w:t>179,2</w:t>
      </w:r>
      <w:r w:rsidR="008718E9" w:rsidRPr="007804C1">
        <w:t xml:space="preserve"> тыс.</w:t>
      </w:r>
      <w:r w:rsidR="007804C1" w:rsidRPr="007804C1">
        <w:t xml:space="preserve"> </w:t>
      </w:r>
      <w:r w:rsidR="008718E9" w:rsidRPr="007804C1">
        <w:t>руб</w:t>
      </w:r>
      <w:r w:rsidR="00F330C7" w:rsidRPr="007804C1">
        <w:t>.</w:t>
      </w:r>
      <w:r w:rsidR="00B44451">
        <w:t>;</w:t>
      </w:r>
      <w:r w:rsidR="008718E9" w:rsidRPr="007804C1">
        <w:t xml:space="preserve"> </w:t>
      </w:r>
      <w:r w:rsidR="00A61C18" w:rsidRPr="007804C1">
        <w:t>порядка формирования и доведения государственного задания учреждению</w:t>
      </w:r>
      <w:proofErr w:type="gramEnd"/>
      <w:r w:rsidR="00A61C18" w:rsidRPr="007804C1">
        <w:t xml:space="preserve">, которые привели к </w:t>
      </w:r>
      <w:proofErr w:type="spellStart"/>
      <w:r w:rsidR="00A61C18" w:rsidRPr="007804C1">
        <w:t>недополучению</w:t>
      </w:r>
      <w:proofErr w:type="spellEnd"/>
      <w:r w:rsidR="00A61C18" w:rsidRPr="007804C1">
        <w:t xml:space="preserve"> доходов Г</w:t>
      </w:r>
      <w:r w:rsidR="00022A0B" w:rsidRPr="007804C1">
        <w:t xml:space="preserve">БУК </w:t>
      </w:r>
      <w:r w:rsidR="007804C1" w:rsidRPr="007804C1">
        <w:t>НЭТ</w:t>
      </w:r>
      <w:r w:rsidR="00022A0B" w:rsidRPr="007804C1">
        <w:t xml:space="preserve"> в сумме </w:t>
      </w:r>
      <w:r w:rsidR="007804C1" w:rsidRPr="007804C1">
        <w:t>4520,5</w:t>
      </w:r>
      <w:r w:rsidR="00022A0B" w:rsidRPr="007804C1">
        <w:t xml:space="preserve"> тыс.</w:t>
      </w:r>
      <w:r w:rsidR="008718E9" w:rsidRPr="007804C1">
        <w:t xml:space="preserve"> руб</w:t>
      </w:r>
      <w:r w:rsidR="0009018B" w:rsidRPr="007804C1">
        <w:t>.</w:t>
      </w:r>
      <w:r w:rsidR="00B44451">
        <w:t>;</w:t>
      </w:r>
      <w:r w:rsidR="00022A0B" w:rsidRPr="007804C1">
        <w:t xml:space="preserve"> </w:t>
      </w:r>
      <w:r w:rsidR="007804C1" w:rsidRPr="007804C1">
        <w:t>при осуществлении расходов на оплату труда, которые привели к неправомерным расходам</w:t>
      </w:r>
      <w:r w:rsidR="00B44451" w:rsidRPr="00B44451">
        <w:t xml:space="preserve"> </w:t>
      </w:r>
      <w:r w:rsidR="00B44451" w:rsidRPr="007804C1">
        <w:t xml:space="preserve">в сумме </w:t>
      </w:r>
      <w:r w:rsidR="00B44451" w:rsidRPr="00693F4E">
        <w:t>9938,1 тыс. руб.</w:t>
      </w:r>
      <w:r w:rsidR="00B44451">
        <w:t xml:space="preserve">; </w:t>
      </w:r>
      <w:r w:rsidR="00B44451" w:rsidRPr="00B44451">
        <w:rPr>
          <w:rFonts w:eastAsia="Calibri"/>
          <w:color w:val="000000"/>
        </w:rPr>
        <w:t>при организации и осуществлении закупок товаров, работ</w:t>
      </w:r>
      <w:r w:rsidR="00B44451" w:rsidRPr="00B44451">
        <w:t>, услуг для обеспечения государственных нужд</w:t>
      </w:r>
      <w:r w:rsidR="00B44451">
        <w:t>;</w:t>
      </w:r>
      <w:r w:rsidR="00B44451" w:rsidRPr="00B44451">
        <w:t xml:space="preserve"> </w:t>
      </w:r>
      <w:r w:rsidR="00B44451">
        <w:t xml:space="preserve">а также </w:t>
      </w:r>
      <w:r w:rsidR="00B44451" w:rsidRPr="00B44451">
        <w:t xml:space="preserve">неэффективные и неправомерные расходы, и </w:t>
      </w:r>
      <w:r w:rsidR="00D13EFB" w:rsidRPr="00B44451">
        <w:t xml:space="preserve">нарушения </w:t>
      </w:r>
      <w:r w:rsidR="0087157C" w:rsidRPr="00B44451">
        <w:t xml:space="preserve">прочих </w:t>
      </w:r>
      <w:r w:rsidR="00E04AFF">
        <w:t>нормативных</w:t>
      </w:r>
      <w:r w:rsidR="00D13EFB" w:rsidRPr="00B44451">
        <w:rPr>
          <w:rFonts w:eastAsia="Calibri"/>
          <w:b/>
          <w:i/>
          <w:lang w:eastAsia="en-US"/>
        </w:rPr>
        <w:t xml:space="preserve"> </w:t>
      </w:r>
      <w:r w:rsidR="00D13EFB" w:rsidRPr="00B44451">
        <w:rPr>
          <w:rFonts w:eastAsia="Calibri"/>
          <w:lang w:eastAsia="en-US"/>
        </w:rPr>
        <w:t>правовых актов</w:t>
      </w:r>
      <w:r w:rsidR="00F330C7" w:rsidRPr="00B44451">
        <w:rPr>
          <w:rFonts w:eastAsia="Calibri"/>
          <w:lang w:eastAsia="en-US"/>
        </w:rPr>
        <w:t>,</w:t>
      </w:r>
      <w:r w:rsidR="00EB4326" w:rsidRPr="007804C1">
        <w:rPr>
          <w:color w:val="FF0000"/>
        </w:rPr>
        <w:t xml:space="preserve"> </w:t>
      </w:r>
    </w:p>
    <w:p w:rsidR="00124FB9" w:rsidRPr="00E0132F" w:rsidRDefault="00124FB9" w:rsidP="00022A0B">
      <w:pPr>
        <w:spacing w:before="120"/>
        <w:jc w:val="both"/>
      </w:pPr>
      <w:proofErr w:type="spellStart"/>
      <w:proofErr w:type="gramStart"/>
      <w:r w:rsidRPr="00E0132F">
        <w:rPr>
          <w:b/>
        </w:rPr>
        <w:t>п</w:t>
      </w:r>
      <w:proofErr w:type="spellEnd"/>
      <w:proofErr w:type="gramEnd"/>
      <w:r w:rsidRPr="00E0132F">
        <w:rPr>
          <w:b/>
        </w:rPr>
        <w:t xml:space="preserve"> о с т а </w:t>
      </w:r>
      <w:proofErr w:type="spellStart"/>
      <w:r w:rsidRPr="00E0132F">
        <w:rPr>
          <w:b/>
        </w:rPr>
        <w:t>н</w:t>
      </w:r>
      <w:proofErr w:type="spellEnd"/>
      <w:r w:rsidRPr="00E0132F">
        <w:rPr>
          <w:b/>
        </w:rPr>
        <w:t xml:space="preserve"> о в л я е т:</w:t>
      </w:r>
    </w:p>
    <w:p w:rsidR="00124FB9" w:rsidRPr="00E0132F" w:rsidRDefault="00124FB9" w:rsidP="00124FB9">
      <w:pPr>
        <w:ind w:firstLine="709"/>
        <w:jc w:val="both"/>
        <w:rPr>
          <w:b/>
        </w:rPr>
      </w:pPr>
    </w:p>
    <w:p w:rsidR="00BA5631" w:rsidRPr="00E0132F" w:rsidRDefault="00BA5631" w:rsidP="00BA5631">
      <w:pPr>
        <w:pStyle w:val="21"/>
        <w:spacing w:after="0" w:line="240" w:lineRule="auto"/>
        <w:ind w:firstLine="708"/>
        <w:jc w:val="both"/>
        <w:rPr>
          <w:rFonts w:eastAsia="Calibri"/>
          <w:lang w:eastAsia="en-US"/>
        </w:rPr>
      </w:pPr>
      <w:r w:rsidRPr="002F59A5">
        <w:rPr>
          <w:rFonts w:eastAsia="Calibri"/>
          <w:b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E0132F">
        <w:rPr>
          <w:rFonts w:eastAsia="Calibri"/>
          <w:lang w:eastAsia="en-US"/>
        </w:rPr>
        <w:t xml:space="preserve">Утвердить отчёт о результатах проверки финансово-хозяйственной деятельности ГБУК </w:t>
      </w:r>
      <w:r>
        <w:rPr>
          <w:rFonts w:eastAsia="Calibri"/>
          <w:lang w:eastAsia="en-US"/>
        </w:rPr>
        <w:t>НЭТ</w:t>
      </w:r>
      <w:r w:rsidRPr="00E0132F">
        <w:rPr>
          <w:rFonts w:eastAsia="Calibri"/>
          <w:lang w:eastAsia="en-US"/>
        </w:rPr>
        <w:t xml:space="preserve"> за 2016 год </w:t>
      </w:r>
      <w:r w:rsidRPr="00E363B9">
        <w:t xml:space="preserve">и </w:t>
      </w:r>
      <w:r w:rsidR="00E04AFF">
        <w:t>отдельных вопросов за 2015 год</w:t>
      </w:r>
      <w:r w:rsidRPr="00B44451">
        <w:t xml:space="preserve"> и истекший период 2017 года</w:t>
      </w:r>
      <w:r w:rsidRPr="00E0132F">
        <w:rPr>
          <w:rFonts w:eastAsia="Calibri"/>
          <w:lang w:eastAsia="en-US"/>
        </w:rPr>
        <w:t xml:space="preserve"> (прилагается) и направить его Губернатору Волгоградской области и Волгоградской областной Думе.</w:t>
      </w:r>
    </w:p>
    <w:p w:rsidR="00BA5631" w:rsidRPr="00437164" w:rsidRDefault="00BA5631" w:rsidP="00BA5631">
      <w:pPr>
        <w:ind w:firstLine="709"/>
        <w:jc w:val="both"/>
        <w:rPr>
          <w:rFonts w:eastAsia="Calibri"/>
          <w:u w:val="single"/>
        </w:rPr>
      </w:pPr>
      <w:r w:rsidRPr="00437164">
        <w:rPr>
          <w:rFonts w:eastAsia="Calibri"/>
          <w:b/>
        </w:rPr>
        <w:t>2</w:t>
      </w:r>
      <w:r w:rsidRPr="00437164">
        <w:rPr>
          <w:rFonts w:eastAsia="Calibri"/>
        </w:rPr>
        <w:t xml:space="preserve">. </w:t>
      </w:r>
      <w:r w:rsidRPr="00437164">
        <w:rPr>
          <w:rFonts w:eastAsia="Calibri"/>
          <w:u w:val="single"/>
        </w:rPr>
        <w:t>Обратить внимание Губернатора Волгоградской области на выявленные нарушения при</w:t>
      </w:r>
      <w:r>
        <w:rPr>
          <w:rFonts w:eastAsia="Calibri"/>
          <w:u w:val="single"/>
        </w:rPr>
        <w:t xml:space="preserve">  </w:t>
      </w:r>
      <w:r w:rsidRPr="00437164">
        <w:rPr>
          <w:rFonts w:eastAsia="Calibri"/>
          <w:u w:val="single"/>
        </w:rPr>
        <w:t xml:space="preserve">аудите государственных закупок </w:t>
      </w:r>
      <w:r w:rsidRPr="002537D4">
        <w:rPr>
          <w:rFonts w:eastAsia="Calibri"/>
          <w:u w:val="single"/>
        </w:rPr>
        <w:t xml:space="preserve">ГБУК </w:t>
      </w:r>
      <w:r>
        <w:rPr>
          <w:rFonts w:eastAsia="Calibri"/>
          <w:u w:val="single"/>
        </w:rPr>
        <w:t>НЭТ</w:t>
      </w:r>
      <w:r w:rsidRPr="00437164">
        <w:rPr>
          <w:rFonts w:eastAsia="Calibri"/>
          <w:u w:val="single"/>
        </w:rPr>
        <w:t>:</w:t>
      </w:r>
    </w:p>
    <w:p w:rsidR="00BA5631" w:rsidRDefault="00BA5631" w:rsidP="00BA5631">
      <w:pPr>
        <w:autoSpaceDE w:val="0"/>
        <w:autoSpaceDN w:val="0"/>
        <w:adjustRightInd w:val="0"/>
        <w:ind w:firstLine="708"/>
        <w:jc w:val="both"/>
      </w:pPr>
      <w:r w:rsidRPr="00A12E1E">
        <w:rPr>
          <w:rFonts w:eastAsia="Calibri"/>
          <w:color w:val="000000"/>
        </w:rPr>
        <w:t xml:space="preserve">2.1. </w:t>
      </w:r>
      <w:proofErr w:type="gramStart"/>
      <w:r w:rsidRPr="00A12E1E">
        <w:rPr>
          <w:rFonts w:eastAsia="Calibri"/>
          <w:color w:val="000000"/>
        </w:rPr>
        <w:t>В</w:t>
      </w:r>
      <w:r w:rsidRPr="00A12E1E">
        <w:t xml:space="preserve"> рамках соглашения </w:t>
      </w:r>
      <w:r>
        <w:t xml:space="preserve">между комитетом по культуре и </w:t>
      </w:r>
      <w:r w:rsidRPr="000E3AAC">
        <w:rPr>
          <w:rFonts w:eastAsia="Calibri"/>
        </w:rPr>
        <w:t>ГБУК НЭТ</w:t>
      </w:r>
      <w:r w:rsidRPr="00A12E1E">
        <w:t xml:space="preserve"> о предоставлении субсидии на капитальн</w:t>
      </w:r>
      <w:r>
        <w:t>ый</w:t>
      </w:r>
      <w:r w:rsidRPr="00A12E1E">
        <w:t xml:space="preserve"> ремонт недвижимого имущества, закрепленного за учреждением, </w:t>
      </w:r>
      <w:r>
        <w:t xml:space="preserve">фактически </w:t>
      </w:r>
      <w:r w:rsidRPr="00A12E1E">
        <w:t>были заключены контракты на выполнение работ по текущему ремонту здания и оборудования театра, что не соответствует целям предоставления субсидии</w:t>
      </w:r>
      <w:r w:rsidRPr="000E3AAC">
        <w:t xml:space="preserve"> </w:t>
      </w:r>
      <w:r>
        <w:t>и создаёт р</w:t>
      </w:r>
      <w:r w:rsidRPr="00476C4C">
        <w:t>иски нецелевого расходования бюджетных средств</w:t>
      </w:r>
      <w:r>
        <w:t xml:space="preserve"> в сумме </w:t>
      </w:r>
      <w:r w:rsidRPr="0046407C">
        <w:t>2300</w:t>
      </w:r>
      <w:r>
        <w:t>,0</w:t>
      </w:r>
      <w:r w:rsidRPr="0046407C">
        <w:t xml:space="preserve"> тыс. руб</w:t>
      </w:r>
      <w:r>
        <w:t>лей</w:t>
      </w:r>
      <w:r w:rsidRPr="00A12E1E">
        <w:t xml:space="preserve">. </w:t>
      </w:r>
      <w:proofErr w:type="gramEnd"/>
    </w:p>
    <w:p w:rsidR="00BA5631" w:rsidRDefault="00BA5631" w:rsidP="00BA5631">
      <w:pPr>
        <w:autoSpaceDE w:val="0"/>
        <w:autoSpaceDN w:val="0"/>
        <w:adjustRightInd w:val="0"/>
        <w:ind w:firstLine="708"/>
        <w:jc w:val="both"/>
      </w:pPr>
      <w:r>
        <w:t>В</w:t>
      </w:r>
      <w:r w:rsidRPr="00E0438B">
        <w:t xml:space="preserve"> нарушение </w:t>
      </w:r>
      <w:r>
        <w:t xml:space="preserve">действующих нормативных документов </w:t>
      </w:r>
      <w:r w:rsidRPr="00E0438B">
        <w:t xml:space="preserve">проектная документация </w:t>
      </w:r>
      <w:r w:rsidRPr="00A12E1E">
        <w:t>на проведение работ по капитальному ремонту не разрабатывалась</w:t>
      </w:r>
      <w:r w:rsidRPr="000B6B42">
        <w:t xml:space="preserve"> </w:t>
      </w:r>
      <w:r w:rsidRPr="00A12E1E">
        <w:t xml:space="preserve">и не проходила </w:t>
      </w:r>
      <w:r>
        <w:t xml:space="preserve">государственную </w:t>
      </w:r>
      <w:r w:rsidRPr="00A12E1E">
        <w:t>экспертизу</w:t>
      </w:r>
      <w:r>
        <w:t>, в том числе не проводилась проверка достоверности стоимости ремонта, что создаёт риски нанесения ущерба бюджету области,  в части завышения стоимости работ.</w:t>
      </w:r>
      <w:r w:rsidRPr="00E0438B">
        <w:t xml:space="preserve"> </w:t>
      </w:r>
    </w:p>
    <w:p w:rsidR="00BA5631" w:rsidRDefault="00BA5631" w:rsidP="00BA5631">
      <w:pPr>
        <w:ind w:firstLine="709"/>
        <w:jc w:val="both"/>
      </w:pPr>
      <w:r w:rsidRPr="000B6B42">
        <w:rPr>
          <w:rFonts w:eastAsia="Calibri"/>
          <w:color w:val="000000"/>
        </w:rPr>
        <w:t xml:space="preserve">2.2. </w:t>
      </w:r>
      <w:r>
        <w:t>Н</w:t>
      </w:r>
      <w:r w:rsidRPr="00B054ED">
        <w:t>аиболее крупными сделками в пр</w:t>
      </w:r>
      <w:r>
        <w:t xml:space="preserve">оверяемом периоде </w:t>
      </w:r>
      <w:r w:rsidRPr="00B054ED">
        <w:t xml:space="preserve">являлись </w:t>
      </w:r>
      <w:r>
        <w:t xml:space="preserve">договора на </w:t>
      </w:r>
      <w:r w:rsidRPr="00B054ED">
        <w:t xml:space="preserve">услуги режиссера-постановщика спектаклей </w:t>
      </w:r>
      <w:r>
        <w:t xml:space="preserve">и на </w:t>
      </w:r>
      <w:r w:rsidRPr="00B054ED">
        <w:t>приобретение</w:t>
      </w:r>
      <w:r>
        <w:t xml:space="preserve"> учреждением </w:t>
      </w:r>
      <w:r w:rsidRPr="00B054ED">
        <w:t xml:space="preserve">лицензионных прав за </w:t>
      </w:r>
      <w:r w:rsidRPr="00B054ED">
        <w:lastRenderedPageBreak/>
        <w:t xml:space="preserve">использование </w:t>
      </w:r>
      <w:r>
        <w:t xml:space="preserve">поставленных </w:t>
      </w:r>
      <w:r w:rsidRPr="00B054ED">
        <w:t>спектаклей</w:t>
      </w:r>
      <w:r>
        <w:t xml:space="preserve"> между </w:t>
      </w:r>
      <w:r w:rsidRPr="002655A1">
        <w:rPr>
          <w:rFonts w:eastAsia="Calibri"/>
        </w:rPr>
        <w:t>ГБУК НЭТ</w:t>
      </w:r>
      <w:r w:rsidRPr="00B054ED">
        <w:t xml:space="preserve"> </w:t>
      </w:r>
      <w:r>
        <w:t>и  руководителем этого же учреждения, зак</w:t>
      </w:r>
      <w:r w:rsidRPr="00B054ED">
        <w:t xml:space="preserve">люченные </w:t>
      </w:r>
      <w:r w:rsidRPr="00EB5E73">
        <w:t xml:space="preserve"> </w:t>
      </w:r>
      <w:r w:rsidRPr="00B054ED">
        <w:t>в декабре 2014 года</w:t>
      </w:r>
      <w:r>
        <w:t xml:space="preserve"> </w:t>
      </w:r>
      <w:r w:rsidRPr="002655A1">
        <w:t xml:space="preserve"> </w:t>
      </w:r>
      <w:r>
        <w:t>№149 и №148.</w:t>
      </w:r>
    </w:p>
    <w:p w:rsidR="00BA5631" w:rsidRDefault="00BA5631" w:rsidP="00BA5631">
      <w:pPr>
        <w:ind w:firstLine="709"/>
        <w:jc w:val="both"/>
      </w:pPr>
      <w:proofErr w:type="gramStart"/>
      <w:r>
        <w:t xml:space="preserve">В нарушение </w:t>
      </w:r>
      <w:r w:rsidRPr="00447795">
        <w:t>Федерального закона</w:t>
      </w:r>
      <w:r>
        <w:t xml:space="preserve"> от 18.07.2011 </w:t>
      </w:r>
      <w:r w:rsidRPr="00447795">
        <w:t xml:space="preserve"> № 223-ФЗ «О закупках товаров, работ, услуг отдельными видами юридических лиц»</w:t>
      </w:r>
      <w:r>
        <w:t xml:space="preserve">, </w:t>
      </w:r>
      <w:r w:rsidRPr="00187730">
        <w:t>Положени</w:t>
      </w:r>
      <w:r>
        <w:t>я</w:t>
      </w:r>
      <w:r w:rsidRPr="00187730">
        <w:t xml:space="preserve"> о закупках </w:t>
      </w:r>
      <w:r w:rsidRPr="007804C1">
        <w:t>ГБУК НЭТ</w:t>
      </w:r>
      <w:r>
        <w:t xml:space="preserve"> и иных нормативных документов </w:t>
      </w:r>
      <w:r w:rsidRPr="00187730">
        <w:t xml:space="preserve"> </w:t>
      </w:r>
      <w:r>
        <w:t xml:space="preserve">заключались неоднократные </w:t>
      </w:r>
      <w:r w:rsidRPr="00187730">
        <w:t xml:space="preserve"> дополнительные </w:t>
      </w:r>
      <w:r>
        <w:t xml:space="preserve">соглашения </w:t>
      </w:r>
      <w:r w:rsidRPr="00447795">
        <w:t>к лицензионному и авторскому договорам</w:t>
      </w:r>
      <w:r>
        <w:t xml:space="preserve">, предусматривающие </w:t>
      </w:r>
      <w:r w:rsidRPr="00447795">
        <w:t>новые объемы расходов на новы</w:t>
      </w:r>
      <w:r>
        <w:t>е</w:t>
      </w:r>
      <w:r w:rsidRPr="00447795">
        <w:t xml:space="preserve"> период</w:t>
      </w:r>
      <w:r>
        <w:t>ы</w:t>
      </w:r>
      <w:r w:rsidRPr="00447795">
        <w:t>, без осуществления нов</w:t>
      </w:r>
      <w:r>
        <w:t>ых</w:t>
      </w:r>
      <w:r w:rsidRPr="00447795">
        <w:t xml:space="preserve"> закуп</w:t>
      </w:r>
      <w:r>
        <w:t>о</w:t>
      </w:r>
      <w:r w:rsidRPr="00447795">
        <w:t>к</w:t>
      </w:r>
      <w:r>
        <w:t>, при этом стоимость контрактов ничем не обоснована</w:t>
      </w:r>
      <w:r w:rsidRPr="00447795">
        <w:t xml:space="preserve">. </w:t>
      </w:r>
      <w:proofErr w:type="gramEnd"/>
    </w:p>
    <w:p w:rsidR="00BA5631" w:rsidRPr="00B36AD5" w:rsidRDefault="00BA5631" w:rsidP="00BA563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D5">
        <w:rPr>
          <w:rFonts w:ascii="Times New Roman" w:hAnsi="Times New Roman"/>
          <w:sz w:val="24"/>
          <w:szCs w:val="24"/>
        </w:rPr>
        <w:t xml:space="preserve">Указанные договоры и дополнительные соглашения были согласованны руководителем </w:t>
      </w:r>
      <w:proofErr w:type="spellStart"/>
      <w:proofErr w:type="gramStart"/>
      <w:r w:rsidRPr="00B36AD5">
        <w:rPr>
          <w:rFonts w:ascii="Times New Roman" w:hAnsi="Times New Roman"/>
          <w:sz w:val="24"/>
          <w:szCs w:val="24"/>
        </w:rPr>
        <w:t>Облкомкультуры</w:t>
      </w:r>
      <w:proofErr w:type="spellEnd"/>
      <w:proofErr w:type="gramEnd"/>
      <w:r w:rsidRPr="00B36AD5">
        <w:rPr>
          <w:rFonts w:ascii="Times New Roman" w:hAnsi="Times New Roman"/>
          <w:sz w:val="24"/>
          <w:szCs w:val="24"/>
        </w:rPr>
        <w:t xml:space="preserve"> несмотря на </w:t>
      </w:r>
      <w:proofErr w:type="spellStart"/>
      <w:r w:rsidRPr="00B36AD5">
        <w:rPr>
          <w:rFonts w:ascii="Times New Roman" w:hAnsi="Times New Roman"/>
          <w:sz w:val="24"/>
          <w:szCs w:val="24"/>
        </w:rPr>
        <w:t>нелигитимность</w:t>
      </w:r>
      <w:proofErr w:type="spellEnd"/>
      <w:r w:rsidRPr="00B36AD5">
        <w:rPr>
          <w:rFonts w:ascii="Times New Roman" w:hAnsi="Times New Roman"/>
          <w:sz w:val="24"/>
          <w:szCs w:val="24"/>
        </w:rPr>
        <w:t xml:space="preserve"> решений комиссии по согласованию сделок с признаками заинтересованности (приняты  меньшинством голосов), на заведомо невыгодных условиях (дополнительное соглашение от декабря 2016 года увеличило стоимость лицензионного договора на 36000 тыс. руб.)</w:t>
      </w:r>
      <w:r w:rsidR="008C456F" w:rsidRPr="00B36AD5">
        <w:rPr>
          <w:rFonts w:ascii="Times New Roman" w:hAnsi="Times New Roman"/>
          <w:sz w:val="24"/>
          <w:szCs w:val="24"/>
        </w:rPr>
        <w:t xml:space="preserve"> и без предварительного согласования учредителем сделок, являющихся для учреждения крупными</w:t>
      </w:r>
      <w:r w:rsidRPr="00B36AD5">
        <w:rPr>
          <w:rFonts w:ascii="Times New Roman" w:hAnsi="Times New Roman"/>
          <w:sz w:val="24"/>
          <w:szCs w:val="24"/>
        </w:rPr>
        <w:t xml:space="preserve">, что свидетельствует о признаках </w:t>
      </w:r>
      <w:proofErr w:type="spellStart"/>
      <w:r w:rsidRPr="00B36AD5">
        <w:rPr>
          <w:rFonts w:ascii="Times New Roman" w:hAnsi="Times New Roman"/>
          <w:sz w:val="24"/>
          <w:szCs w:val="24"/>
        </w:rPr>
        <w:t>коррупциогенности</w:t>
      </w:r>
      <w:proofErr w:type="spellEnd"/>
      <w:r w:rsidRPr="00B36AD5">
        <w:rPr>
          <w:rFonts w:ascii="Times New Roman" w:hAnsi="Times New Roman"/>
          <w:sz w:val="24"/>
          <w:szCs w:val="24"/>
        </w:rPr>
        <w:t xml:space="preserve">. </w:t>
      </w:r>
    </w:p>
    <w:p w:rsidR="00BA5631" w:rsidRPr="00D7526D" w:rsidRDefault="00BA5631" w:rsidP="00BA5631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B86474">
        <w:rPr>
          <w:rFonts w:ascii="Times New Roman" w:hAnsi="Times New Roman"/>
          <w:sz w:val="24"/>
          <w:szCs w:val="24"/>
        </w:rPr>
        <w:t xml:space="preserve">нтеллектуальные права театрального режиссера не </w:t>
      </w:r>
      <w:r>
        <w:rPr>
          <w:rFonts w:ascii="Times New Roman" w:hAnsi="Times New Roman"/>
          <w:sz w:val="24"/>
          <w:szCs w:val="24"/>
        </w:rPr>
        <w:t xml:space="preserve">предусмотрены </w:t>
      </w:r>
      <w:r w:rsidRPr="00B86474">
        <w:rPr>
          <w:rFonts w:ascii="Times New Roman" w:hAnsi="Times New Roman"/>
          <w:sz w:val="24"/>
          <w:szCs w:val="24"/>
        </w:rPr>
        <w:t>нормами ГК РФ об авторском и смежном праве</w:t>
      </w:r>
      <w:r>
        <w:rPr>
          <w:rFonts w:ascii="Times New Roman" w:hAnsi="Times New Roman"/>
          <w:sz w:val="24"/>
          <w:szCs w:val="24"/>
        </w:rPr>
        <w:t xml:space="preserve"> и иными нормативными документами</w:t>
      </w:r>
      <w:r w:rsidRPr="00B8647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следовательно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7526D">
        <w:rPr>
          <w:rFonts w:ascii="Times New Roman" w:hAnsi="Times New Roman"/>
          <w:sz w:val="24"/>
          <w:szCs w:val="24"/>
        </w:rPr>
        <w:t xml:space="preserve">заключение лицензионного договора от 30.12.2014 № 148 и </w:t>
      </w:r>
      <w:r>
        <w:rPr>
          <w:rFonts w:ascii="Times New Roman" w:hAnsi="Times New Roman"/>
          <w:sz w:val="24"/>
          <w:szCs w:val="24"/>
        </w:rPr>
        <w:t xml:space="preserve">произведенные </w:t>
      </w:r>
      <w:r w:rsidRPr="00D7526D">
        <w:rPr>
          <w:rFonts w:ascii="Times New Roman" w:hAnsi="Times New Roman"/>
          <w:sz w:val="24"/>
          <w:szCs w:val="24"/>
        </w:rPr>
        <w:t>выплаты в сумме 8622,7 тыс. руб. являются неправомерными.</w:t>
      </w:r>
    </w:p>
    <w:p w:rsidR="00BA5631" w:rsidRPr="001F2F6F" w:rsidRDefault="00BA5631" w:rsidP="00BA563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F14C6">
        <w:rPr>
          <w:rFonts w:ascii="Times New Roman" w:eastAsia="Calibri" w:hAnsi="Times New Roman" w:cs="Times New Roman"/>
          <w:color w:val="000000"/>
          <w:sz w:val="24"/>
          <w:szCs w:val="24"/>
        </w:rPr>
        <w:t>2.3</w:t>
      </w:r>
      <w:r w:rsidRPr="000F14C6">
        <w:t xml:space="preserve"> </w:t>
      </w:r>
      <w:r w:rsidRPr="000F14C6">
        <w:rPr>
          <w:rFonts w:ascii="Times New Roman" w:hAnsi="Times New Roman" w:cs="Times New Roman"/>
          <w:sz w:val="24"/>
          <w:szCs w:val="24"/>
        </w:rPr>
        <w:t>Лицензионный и авторский договор</w:t>
      </w:r>
      <w:r>
        <w:rPr>
          <w:rFonts w:ascii="Times New Roman" w:hAnsi="Times New Roman" w:cs="Times New Roman"/>
          <w:sz w:val="24"/>
          <w:szCs w:val="24"/>
        </w:rPr>
        <w:t xml:space="preserve">ы, подписанные </w:t>
      </w:r>
      <w:r w:rsidRPr="001F2F6F">
        <w:rPr>
          <w:rFonts w:ascii="Times New Roman" w:hAnsi="Times New Roman" w:cs="Times New Roman"/>
          <w:sz w:val="24"/>
          <w:szCs w:val="24"/>
        </w:rPr>
        <w:t xml:space="preserve">художественным руководителем </w:t>
      </w:r>
      <w:r>
        <w:rPr>
          <w:rFonts w:ascii="Times New Roman" w:hAnsi="Times New Roman" w:cs="Times New Roman"/>
          <w:sz w:val="24"/>
          <w:szCs w:val="24"/>
        </w:rPr>
        <w:t>театра (</w:t>
      </w:r>
      <w:r w:rsidRPr="001F2F6F">
        <w:rPr>
          <w:rFonts w:ascii="Times New Roman" w:hAnsi="Times New Roman" w:cs="Times New Roman"/>
          <w:sz w:val="24"/>
          <w:szCs w:val="24"/>
        </w:rPr>
        <w:t>в качестве физического лица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F2F6F">
        <w:rPr>
          <w:rFonts w:ascii="Times New Roman" w:hAnsi="Times New Roman" w:cs="Times New Roman"/>
          <w:sz w:val="24"/>
          <w:szCs w:val="24"/>
        </w:rPr>
        <w:t xml:space="preserve"> и подконтрольным ему лицом – заместителем по экономической части, действовавш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1F2F6F">
        <w:rPr>
          <w:rFonts w:ascii="Times New Roman" w:hAnsi="Times New Roman" w:cs="Times New Roman"/>
          <w:sz w:val="24"/>
          <w:szCs w:val="24"/>
        </w:rPr>
        <w:t xml:space="preserve"> на основании выданной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театра </w:t>
      </w:r>
      <w:r w:rsidRPr="001F2F6F">
        <w:rPr>
          <w:rFonts w:ascii="Times New Roman" w:hAnsi="Times New Roman" w:cs="Times New Roman"/>
          <w:sz w:val="24"/>
          <w:szCs w:val="24"/>
        </w:rPr>
        <w:t>доверенности</w:t>
      </w:r>
      <w:r>
        <w:rPr>
          <w:rFonts w:ascii="Times New Roman" w:hAnsi="Times New Roman" w:cs="Times New Roman"/>
          <w:sz w:val="24"/>
          <w:szCs w:val="24"/>
        </w:rPr>
        <w:t>, в силу положений</w:t>
      </w:r>
      <w:r w:rsidRPr="001F2F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2F6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1F2F6F">
        <w:rPr>
          <w:rFonts w:ascii="Times New Roman" w:hAnsi="Times New Roman" w:cs="Times New Roman"/>
          <w:sz w:val="24"/>
          <w:szCs w:val="24"/>
        </w:rPr>
        <w:t>.3 ст. 182 Г</w:t>
      </w:r>
      <w:r>
        <w:rPr>
          <w:rFonts w:ascii="Times New Roman" w:hAnsi="Times New Roman" w:cs="Times New Roman"/>
          <w:sz w:val="24"/>
          <w:szCs w:val="24"/>
        </w:rPr>
        <w:t>ражданского кодекса</w:t>
      </w:r>
      <w:r w:rsidRPr="001F2F6F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 содержат признаки недействительности сделок</w:t>
      </w:r>
      <w:r w:rsidRPr="001F2F6F">
        <w:rPr>
          <w:rFonts w:ascii="Times New Roman" w:hAnsi="Times New Roman" w:cs="Times New Roman"/>
          <w:sz w:val="24"/>
          <w:szCs w:val="24"/>
        </w:rPr>
        <w:t>.</w:t>
      </w:r>
    </w:p>
    <w:p w:rsidR="00F232D4" w:rsidRPr="00E0132F" w:rsidRDefault="00F232D4" w:rsidP="00F232D4">
      <w:pPr>
        <w:ind w:firstLine="710"/>
        <w:jc w:val="both"/>
      </w:pPr>
      <w:r w:rsidRPr="00E0132F">
        <w:rPr>
          <w:rFonts w:eastAsia="Calibri"/>
          <w:b/>
          <w:lang w:eastAsia="en-US"/>
        </w:rPr>
        <w:t>3</w:t>
      </w:r>
      <w:r w:rsidR="005D5970" w:rsidRPr="00E0132F">
        <w:rPr>
          <w:rFonts w:eastAsia="Calibri"/>
          <w:b/>
          <w:lang w:eastAsia="en-US"/>
        </w:rPr>
        <w:t>.</w:t>
      </w:r>
      <w:r w:rsidRPr="00E0132F">
        <w:t xml:space="preserve"> </w:t>
      </w:r>
      <w:r w:rsidRPr="00E0132F">
        <w:rPr>
          <w:u w:val="single"/>
        </w:rPr>
        <w:t>Рекомендовать Губернатору Волгоградской области</w:t>
      </w:r>
      <w:r w:rsidR="002F59A5">
        <w:rPr>
          <w:u w:val="single"/>
        </w:rPr>
        <w:t xml:space="preserve"> п</w:t>
      </w:r>
      <w:r w:rsidRPr="00E0132F">
        <w:t>оручить комитету культуры Волгоградской области:</w:t>
      </w:r>
    </w:p>
    <w:p w:rsidR="00F232D4" w:rsidRPr="00E01BD7" w:rsidRDefault="002F59A5" w:rsidP="002F59A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01BD7">
        <w:t xml:space="preserve">3.1. </w:t>
      </w:r>
      <w:proofErr w:type="gramStart"/>
      <w:r w:rsidRPr="00E01BD7">
        <w:t>В</w:t>
      </w:r>
      <w:r w:rsidR="007804C1" w:rsidRPr="00E01BD7">
        <w:rPr>
          <w:rFonts w:eastAsiaTheme="minorHAnsi"/>
          <w:lang w:eastAsia="en-US"/>
        </w:rPr>
        <w:t xml:space="preserve"> целях определения объема субсидии на финансовое обеспечение выполнения государственного задания на создание или капитальное возобновление спектаклей и иных зрелищных программ </w:t>
      </w:r>
      <w:r w:rsidR="00A52547" w:rsidRPr="00E01BD7">
        <w:t xml:space="preserve">разработать нормативный </w:t>
      </w:r>
      <w:r w:rsidR="007804C1" w:rsidRPr="00E01BD7">
        <w:t xml:space="preserve">правовой акт, регулирующий </w:t>
      </w:r>
      <w:r w:rsidRPr="00E01BD7">
        <w:t>объем выплат авторам за создание творческого проекта, в том числе за счет внебюджетных средств учреждений, а также обязанность устанавливать в договорах, заключаемых учреждениями  с авторами на создание творческого проекта, положения об отчуждении учреждениям исключительного</w:t>
      </w:r>
      <w:proofErr w:type="gramEnd"/>
      <w:r w:rsidRPr="00E01BD7">
        <w:t xml:space="preserve"> права на произведение (творческий проект).</w:t>
      </w:r>
    </w:p>
    <w:p w:rsidR="00C4274A" w:rsidRPr="00E01BD7" w:rsidRDefault="002F59A5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E01BD7">
        <w:rPr>
          <w:rFonts w:eastAsia="Calibri"/>
          <w:lang w:eastAsia="en-US"/>
        </w:rPr>
        <w:t>3.2. С</w:t>
      </w:r>
      <w:r w:rsidR="00E6021F" w:rsidRPr="00E01BD7">
        <w:rPr>
          <w:rFonts w:eastAsia="Calibri"/>
          <w:lang w:eastAsia="en-US"/>
        </w:rPr>
        <w:t>овместно с к</w:t>
      </w:r>
      <w:r w:rsidR="008F4E77" w:rsidRPr="00E01BD7">
        <w:rPr>
          <w:rFonts w:eastAsia="Calibri"/>
          <w:lang w:eastAsia="en-US"/>
        </w:rPr>
        <w:t xml:space="preserve">омитетом по управлению государственным имуществом Волгоградской области </w:t>
      </w:r>
      <w:r w:rsidR="005D5970" w:rsidRPr="00E01BD7">
        <w:rPr>
          <w:rFonts w:eastAsia="Calibri"/>
          <w:lang w:eastAsia="en-US"/>
        </w:rPr>
        <w:t>принять меры по устранению нарушений в части распоряжения недвижимым имуществом</w:t>
      </w:r>
      <w:r w:rsidR="0045780B" w:rsidRPr="00E01BD7">
        <w:rPr>
          <w:rFonts w:eastAsia="Calibri"/>
          <w:lang w:eastAsia="en-US"/>
        </w:rPr>
        <w:t xml:space="preserve"> </w:t>
      </w:r>
      <w:r w:rsidRPr="00E01BD7">
        <w:rPr>
          <w:rFonts w:eastAsia="Calibri"/>
          <w:lang w:eastAsia="en-US"/>
        </w:rPr>
        <w:t>по согласованию размера почасовой арендной платы и земельным участком</w:t>
      </w:r>
      <w:r w:rsidR="00ED070D" w:rsidRPr="00E01BD7">
        <w:rPr>
          <w:rFonts w:eastAsia="Calibri"/>
          <w:lang w:eastAsia="en-US"/>
        </w:rPr>
        <w:t xml:space="preserve"> в соответствии с </w:t>
      </w:r>
      <w:r w:rsidRPr="00E01BD7">
        <w:rPr>
          <w:rFonts w:eastAsia="Calibri"/>
          <w:lang w:eastAsia="en-US"/>
        </w:rPr>
        <w:t xml:space="preserve">действующим законодательством РФ и </w:t>
      </w:r>
      <w:r w:rsidR="00ED070D" w:rsidRPr="00E01BD7">
        <w:t>Волгоградской области</w:t>
      </w:r>
      <w:r w:rsidR="00853EDC" w:rsidRPr="00E01BD7">
        <w:rPr>
          <w:rFonts w:eastAsia="Calibri"/>
          <w:lang w:eastAsia="en-US"/>
        </w:rPr>
        <w:t>.</w:t>
      </w:r>
    </w:p>
    <w:p w:rsidR="00BA5631" w:rsidRPr="00E01BD7" w:rsidRDefault="00BA5631" w:rsidP="00BA5631">
      <w:pPr>
        <w:ind w:firstLine="710"/>
        <w:jc w:val="both"/>
      </w:pPr>
      <w:r w:rsidRPr="00E01BD7">
        <w:rPr>
          <w:rFonts w:eastAsia="Calibri"/>
          <w:lang w:eastAsia="en-US"/>
        </w:rPr>
        <w:t>3.3.</w:t>
      </w:r>
      <w:r w:rsidRPr="00E01BD7">
        <w:t xml:space="preserve"> В целях предупреждения нецелевого и неэффективного использования бюджетных средств обеспечить направление сметной документации по проведенному ремонту недвижимого имущества, закрепленного за ГБУК НЭТ, в ГАУ ВО «</w:t>
      </w:r>
      <w:proofErr w:type="spellStart"/>
      <w:r w:rsidRPr="00E01BD7">
        <w:t>Облгосэкспертиза</w:t>
      </w:r>
      <w:proofErr w:type="spellEnd"/>
      <w:r w:rsidRPr="00E01BD7">
        <w:t>» для подготовки заключения о соответствии фактически выполненных работ целям предоставления субсидии, а также достоверности их стоимости.</w:t>
      </w:r>
    </w:p>
    <w:p w:rsidR="00BA5631" w:rsidRPr="00E01BD7" w:rsidRDefault="00BA5631" w:rsidP="00BA5631">
      <w:pPr>
        <w:ind w:firstLine="710"/>
        <w:jc w:val="both"/>
      </w:pPr>
      <w:r w:rsidRPr="00E01BD7">
        <w:rPr>
          <w:rFonts w:eastAsia="Calibri"/>
          <w:lang w:eastAsia="en-US"/>
        </w:rPr>
        <w:t>3.4.</w:t>
      </w:r>
      <w:r w:rsidRPr="00E01BD7">
        <w:t xml:space="preserve"> Обеспечить расторжение лицензионного и авторского договоров, заключенных ГБУК НЭТ с нарушением действующего законодательства, и взыскание необоснованно произведенных выплат.</w:t>
      </w:r>
    </w:p>
    <w:p w:rsidR="00BA5631" w:rsidRPr="00E6021F" w:rsidRDefault="00BA5631" w:rsidP="00BA5631">
      <w:pPr>
        <w:ind w:firstLine="710"/>
        <w:jc w:val="both"/>
      </w:pPr>
      <w:r w:rsidRPr="00E01BD7">
        <w:t xml:space="preserve">3.5. </w:t>
      </w:r>
      <w:proofErr w:type="gramStart"/>
      <w:r w:rsidRPr="00E01BD7">
        <w:t>В связи с тем, что Положение о закупках ГБУК НЭТ, не соответствует основным целям и принципам</w:t>
      </w:r>
      <w:r>
        <w:t xml:space="preserve"> Федерального закона от </w:t>
      </w:r>
      <w:r>
        <w:rPr>
          <w:rFonts w:eastAsia="Calibri"/>
          <w:lang w:eastAsia="en-US"/>
        </w:rPr>
        <w:t xml:space="preserve">18.07.2011 №223-ФЗ «О закупках товаров, работ, услуг отдельными видами юридических лиц», в части обоснованности цены закупок, </w:t>
      </w:r>
      <w:r w:rsidRPr="000807F8">
        <w:rPr>
          <w:color w:val="000000"/>
          <w:shd w:val="clear" w:color="auto" w:fill="FFFFFF"/>
        </w:rPr>
        <w:t>развити</w:t>
      </w:r>
      <w:r>
        <w:rPr>
          <w:color w:val="000000"/>
          <w:shd w:val="clear" w:color="auto" w:fill="FFFFFF"/>
        </w:rPr>
        <w:t>я</w:t>
      </w:r>
      <w:r w:rsidRPr="000807F8">
        <w:rPr>
          <w:color w:val="000000"/>
          <w:shd w:val="clear" w:color="auto" w:fill="FFFFFF"/>
        </w:rPr>
        <w:t xml:space="preserve"> добросовестной конкуренции, обеспечени</w:t>
      </w:r>
      <w:r>
        <w:rPr>
          <w:color w:val="000000"/>
          <w:shd w:val="clear" w:color="auto" w:fill="FFFFFF"/>
        </w:rPr>
        <w:t>я</w:t>
      </w:r>
      <w:r w:rsidRPr="000807F8">
        <w:rPr>
          <w:color w:val="000000"/>
          <w:shd w:val="clear" w:color="auto" w:fill="FFFFFF"/>
        </w:rPr>
        <w:t xml:space="preserve"> гласности и прозрачности закуп</w:t>
      </w:r>
      <w:r>
        <w:rPr>
          <w:color w:val="000000"/>
          <w:shd w:val="clear" w:color="auto" w:fill="FFFFFF"/>
        </w:rPr>
        <w:t>о</w:t>
      </w:r>
      <w:r w:rsidRPr="000807F8">
        <w:rPr>
          <w:color w:val="000000"/>
          <w:shd w:val="clear" w:color="auto" w:fill="FFFFFF"/>
        </w:rPr>
        <w:t>к, предотвращение коррупции и других злоупотреблений</w:t>
      </w:r>
      <w:r>
        <w:rPr>
          <w:color w:val="000000"/>
          <w:shd w:val="clear" w:color="auto" w:fill="FFFFFF"/>
        </w:rPr>
        <w:t xml:space="preserve">, отменить с 01.01.2018 года согласование  Положения, что позволит </w:t>
      </w:r>
      <w:r>
        <w:t>ГБУК НЭТ</w:t>
      </w:r>
      <w:r>
        <w:rPr>
          <w:color w:val="000000"/>
          <w:shd w:val="clear" w:color="auto" w:fill="FFFFFF"/>
        </w:rPr>
        <w:t xml:space="preserve"> осуществлять закупки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 xml:space="preserve">за счёт  субсидий и иных средств в </w:t>
      </w:r>
      <w:r>
        <w:rPr>
          <w:color w:val="000000"/>
          <w:shd w:val="clear" w:color="auto" w:fill="FFFFFF"/>
        </w:rPr>
        <w:lastRenderedPageBreak/>
        <w:t>соответствии с Федеральном законом от 05.04.2014 №44-ФЗ «О контрактной системе в сфере закупок для обеспечения государственных и муниципальных нужд».</w:t>
      </w:r>
      <w:proofErr w:type="gramEnd"/>
    </w:p>
    <w:p w:rsidR="008F4E77" w:rsidRPr="00E0132F" w:rsidRDefault="00F232D4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E0132F">
        <w:rPr>
          <w:rFonts w:eastAsia="Calibri"/>
          <w:b/>
          <w:lang w:eastAsia="en-US"/>
        </w:rPr>
        <w:t>4</w:t>
      </w:r>
      <w:r w:rsidR="008F4E77" w:rsidRPr="00E0132F">
        <w:rPr>
          <w:rFonts w:eastAsia="Calibri"/>
          <w:b/>
          <w:lang w:eastAsia="en-US"/>
        </w:rPr>
        <w:t>.</w:t>
      </w:r>
      <w:r w:rsidR="008F4E77" w:rsidRPr="00E0132F">
        <w:rPr>
          <w:rFonts w:eastAsia="Calibri"/>
          <w:lang w:eastAsia="en-US"/>
        </w:rPr>
        <w:t xml:space="preserve"> Руководству </w:t>
      </w:r>
      <w:r w:rsidR="007804C1">
        <w:rPr>
          <w:rFonts w:eastAsia="Calibri"/>
          <w:lang w:eastAsia="en-US"/>
        </w:rPr>
        <w:t>ГБУК НЭТ</w:t>
      </w:r>
      <w:r w:rsidR="008F4E77" w:rsidRPr="00E0132F">
        <w:rPr>
          <w:rFonts w:eastAsia="Calibri"/>
          <w:lang w:eastAsia="en-US"/>
        </w:rPr>
        <w:t xml:space="preserve"> </w:t>
      </w:r>
      <w:r w:rsidR="00F330C7" w:rsidRPr="00E0132F">
        <w:rPr>
          <w:rFonts w:eastAsia="Calibri"/>
          <w:lang w:eastAsia="en-US"/>
        </w:rPr>
        <w:t xml:space="preserve">рассмотреть вопрос о привлечении к ответственности </w:t>
      </w:r>
      <w:r w:rsidR="008F4E77" w:rsidRPr="00E0132F">
        <w:rPr>
          <w:rFonts w:eastAsia="Calibri"/>
          <w:lang w:eastAsia="en-US"/>
        </w:rPr>
        <w:t xml:space="preserve">должностных лиц, допустивших выявленные нарушения </w:t>
      </w:r>
      <w:r w:rsidR="00F330C7" w:rsidRPr="00E0132F">
        <w:rPr>
          <w:rFonts w:eastAsia="Calibri"/>
          <w:lang w:eastAsia="en-US"/>
        </w:rPr>
        <w:t>законодательства</w:t>
      </w:r>
      <w:r w:rsidR="008F4E77" w:rsidRPr="00E0132F">
        <w:rPr>
          <w:rFonts w:eastAsia="Calibri"/>
          <w:lang w:eastAsia="en-US"/>
        </w:rPr>
        <w:t>.</w:t>
      </w:r>
    </w:p>
    <w:p w:rsidR="00F232D4" w:rsidRPr="00E0132F" w:rsidRDefault="00F232D4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E0132F">
        <w:rPr>
          <w:rFonts w:eastAsia="Calibri"/>
          <w:b/>
          <w:lang w:eastAsia="en-US"/>
        </w:rPr>
        <w:t>5</w:t>
      </w:r>
      <w:r w:rsidR="005D5970" w:rsidRPr="00E0132F">
        <w:rPr>
          <w:rFonts w:eastAsia="Calibri"/>
          <w:b/>
          <w:lang w:eastAsia="en-US"/>
        </w:rPr>
        <w:t>.</w:t>
      </w:r>
      <w:r w:rsidR="005D5970" w:rsidRPr="00E0132F">
        <w:rPr>
          <w:rFonts w:eastAsia="Calibri"/>
          <w:lang w:eastAsia="en-US"/>
        </w:rPr>
        <w:t> Материалы проверки направить</w:t>
      </w:r>
      <w:r w:rsidRPr="00E0132F">
        <w:rPr>
          <w:rFonts w:eastAsia="Calibri"/>
          <w:lang w:eastAsia="en-US"/>
        </w:rPr>
        <w:t>:</w:t>
      </w:r>
    </w:p>
    <w:p w:rsidR="005D5970" w:rsidRPr="00E0132F" w:rsidRDefault="00F232D4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E0132F">
        <w:rPr>
          <w:rFonts w:eastAsia="Calibri"/>
          <w:lang w:eastAsia="en-US"/>
        </w:rPr>
        <w:t>-</w:t>
      </w:r>
      <w:r w:rsidR="005D5970" w:rsidRPr="00E0132F">
        <w:rPr>
          <w:rFonts w:eastAsia="Calibri"/>
          <w:lang w:eastAsia="en-US"/>
        </w:rPr>
        <w:t>в Пр</w:t>
      </w:r>
      <w:r w:rsidRPr="00E0132F">
        <w:rPr>
          <w:rFonts w:eastAsia="Calibri"/>
          <w:lang w:eastAsia="en-US"/>
        </w:rPr>
        <w:t>окуратуру Волгоградской области;</w:t>
      </w:r>
    </w:p>
    <w:p w:rsidR="00A52547" w:rsidRPr="00B36AD5" w:rsidRDefault="003713C8" w:rsidP="000F14C6">
      <w:pPr>
        <w:ind w:firstLine="710"/>
        <w:jc w:val="both"/>
        <w:rPr>
          <w:rFonts w:eastAsia="Calibri"/>
          <w:lang w:eastAsia="en-US"/>
        </w:rPr>
      </w:pPr>
      <w:r w:rsidRPr="00B36AD5">
        <w:rPr>
          <w:rFonts w:eastAsia="Calibri"/>
          <w:lang w:eastAsia="en-US"/>
        </w:rPr>
        <w:t>-</w:t>
      </w:r>
      <w:r w:rsidR="00410446" w:rsidRPr="00B36AD5">
        <w:rPr>
          <w:rFonts w:eastAsia="Calibri"/>
          <w:lang w:eastAsia="en-US"/>
        </w:rPr>
        <w:t xml:space="preserve">в </w:t>
      </w:r>
      <w:r w:rsidR="00920005" w:rsidRPr="00B36AD5">
        <w:rPr>
          <w:rFonts w:eastAsia="Calibri"/>
          <w:lang w:eastAsia="en-US"/>
        </w:rPr>
        <w:t xml:space="preserve">УФАС по Волгоградской области и </w:t>
      </w:r>
      <w:r w:rsidR="005D53D9" w:rsidRPr="00B36AD5">
        <w:rPr>
          <w:rFonts w:eastAsia="Calibri"/>
          <w:lang w:eastAsia="en-US"/>
        </w:rPr>
        <w:t xml:space="preserve">комитет финансов Волгоградской области </w:t>
      </w:r>
      <w:r w:rsidR="00F330C7" w:rsidRPr="00B36AD5">
        <w:rPr>
          <w:rFonts w:eastAsia="Calibri"/>
          <w:lang w:eastAsia="en-US"/>
        </w:rPr>
        <w:t>в</w:t>
      </w:r>
      <w:r w:rsidRPr="00B36AD5">
        <w:rPr>
          <w:rFonts w:eastAsia="Calibri"/>
          <w:lang w:eastAsia="en-US"/>
        </w:rPr>
        <w:t xml:space="preserve"> </w:t>
      </w:r>
      <w:r w:rsidR="00F232D4" w:rsidRPr="00B36AD5">
        <w:rPr>
          <w:rFonts w:eastAsia="Calibri"/>
          <w:lang w:eastAsia="en-US"/>
        </w:rPr>
        <w:t xml:space="preserve">части выявленных признаков </w:t>
      </w:r>
      <w:r w:rsidR="002537D4" w:rsidRPr="00B36AD5">
        <w:rPr>
          <w:rFonts w:eastAsia="Calibri"/>
          <w:lang w:eastAsia="en-US"/>
        </w:rPr>
        <w:t xml:space="preserve">нарушения </w:t>
      </w:r>
      <w:r w:rsidR="005D53D9" w:rsidRPr="00B36AD5">
        <w:rPr>
          <w:rFonts w:eastAsia="Calibri"/>
          <w:lang w:eastAsia="en-US"/>
        </w:rPr>
        <w:t xml:space="preserve">Федерального законодательства </w:t>
      </w:r>
      <w:r w:rsidR="008C456F" w:rsidRPr="00B36AD5">
        <w:rPr>
          <w:rFonts w:eastAsia="Calibri"/>
          <w:lang w:eastAsia="en-US"/>
        </w:rPr>
        <w:t>в сфере закупок товаров, работ, услуг</w:t>
      </w:r>
      <w:r w:rsidR="00A52547" w:rsidRPr="00B36AD5">
        <w:rPr>
          <w:rFonts w:eastAsia="Calibri"/>
          <w:lang w:eastAsia="en-US"/>
        </w:rPr>
        <w:t>;</w:t>
      </w:r>
    </w:p>
    <w:p w:rsidR="000F14C6" w:rsidRPr="005D53D9" w:rsidRDefault="00A52547" w:rsidP="000F14C6">
      <w:pPr>
        <w:ind w:firstLine="7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FB6E7E">
        <w:t xml:space="preserve">в </w:t>
      </w:r>
      <w:r>
        <w:t xml:space="preserve">Гострудинспекцию в Волгоградской области </w:t>
      </w:r>
      <w:r w:rsidRPr="00FB6E7E">
        <w:t>в части превышения предельной продолжительности рабочего времени и начисления заработной платы работникам, полностью отработавшим норму рабочего времени, ниже МРОТ</w:t>
      </w:r>
      <w:r>
        <w:t>.</w:t>
      </w:r>
      <w:r w:rsidR="000F14C6" w:rsidRPr="005D53D9">
        <w:rPr>
          <w:rFonts w:eastAsia="Calibri"/>
          <w:lang w:eastAsia="en-US"/>
        </w:rPr>
        <w:t xml:space="preserve"> </w:t>
      </w:r>
    </w:p>
    <w:p w:rsidR="00AC4316" w:rsidRDefault="00F232D4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E0132F">
        <w:rPr>
          <w:rFonts w:eastAsia="Calibri"/>
          <w:b/>
          <w:lang w:eastAsia="en-US"/>
        </w:rPr>
        <w:t>6</w:t>
      </w:r>
      <w:r w:rsidR="00AC4316" w:rsidRPr="00E0132F">
        <w:rPr>
          <w:rFonts w:eastAsia="Calibri"/>
          <w:b/>
          <w:lang w:eastAsia="en-US"/>
        </w:rPr>
        <w:t>.</w:t>
      </w:r>
      <w:r w:rsidR="00AC4316" w:rsidRPr="00E0132F">
        <w:rPr>
          <w:rFonts w:eastAsia="Calibri"/>
          <w:lang w:eastAsia="en-US"/>
        </w:rPr>
        <w:t xml:space="preserve"> </w:t>
      </w:r>
      <w:proofErr w:type="gramStart"/>
      <w:r w:rsidR="00AC4316" w:rsidRPr="00E0132F">
        <w:rPr>
          <w:rFonts w:eastAsia="Calibri"/>
          <w:lang w:eastAsia="en-US"/>
        </w:rPr>
        <w:t>Контроль за</w:t>
      </w:r>
      <w:proofErr w:type="gramEnd"/>
      <w:r w:rsidR="00AC4316" w:rsidRPr="00E0132F">
        <w:rPr>
          <w:rFonts w:eastAsia="Calibri"/>
          <w:lang w:eastAsia="en-US"/>
        </w:rPr>
        <w:t xml:space="preserve"> выполнением настоящего постановления возложить на аудитор</w:t>
      </w:r>
      <w:r w:rsidR="00E56811" w:rsidRPr="00E0132F">
        <w:rPr>
          <w:rFonts w:eastAsia="Calibri"/>
          <w:lang w:eastAsia="en-US"/>
        </w:rPr>
        <w:t>ов</w:t>
      </w:r>
      <w:r w:rsidR="00AC4316" w:rsidRPr="00E0132F">
        <w:rPr>
          <w:rFonts w:eastAsia="Calibri"/>
          <w:lang w:eastAsia="en-US"/>
        </w:rPr>
        <w:t xml:space="preserve"> контрольно-счетной палаты </w:t>
      </w:r>
      <w:proofErr w:type="spellStart"/>
      <w:r w:rsidR="00E56811" w:rsidRPr="00E0132F">
        <w:rPr>
          <w:rFonts w:eastAsia="Calibri"/>
          <w:lang w:eastAsia="en-US"/>
        </w:rPr>
        <w:t>Подгайнова</w:t>
      </w:r>
      <w:proofErr w:type="spellEnd"/>
      <w:r w:rsidR="00E56811" w:rsidRPr="00E0132F">
        <w:rPr>
          <w:rFonts w:eastAsia="Calibri"/>
          <w:lang w:eastAsia="en-US"/>
        </w:rPr>
        <w:t xml:space="preserve"> В.В. и </w:t>
      </w:r>
      <w:r w:rsidR="00E07568" w:rsidRPr="00E0132F">
        <w:rPr>
          <w:rFonts w:eastAsia="Calibri"/>
          <w:lang w:eastAsia="en-US"/>
        </w:rPr>
        <w:t>Татаринцева М.Е.</w:t>
      </w:r>
      <w:r w:rsidR="00E56811" w:rsidRPr="00E0132F">
        <w:rPr>
          <w:rFonts w:eastAsia="Calibri"/>
          <w:lang w:eastAsia="en-US"/>
        </w:rPr>
        <w:t xml:space="preserve"> в соответствии с их компетенцией.</w:t>
      </w:r>
    </w:p>
    <w:p w:rsidR="008667BE" w:rsidRDefault="008667BE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</w:p>
    <w:p w:rsidR="008667BE" w:rsidRPr="00F330C7" w:rsidRDefault="008667BE" w:rsidP="00ED070D">
      <w:pPr>
        <w:pStyle w:val="21"/>
        <w:spacing w:after="0" w:line="240" w:lineRule="auto"/>
        <w:ind w:firstLine="709"/>
        <w:jc w:val="both"/>
        <w:rPr>
          <w:rFonts w:eastAsia="Calibri"/>
          <w:lang w:eastAsia="en-US"/>
        </w:rPr>
      </w:pPr>
    </w:p>
    <w:p w:rsidR="00BC7D14" w:rsidRDefault="008667BE" w:rsidP="008667BE">
      <w:pPr>
        <w:tabs>
          <w:tab w:val="left" w:pos="900"/>
          <w:tab w:val="left" w:pos="1260"/>
        </w:tabs>
        <w:jc w:val="both"/>
        <w:rPr>
          <w:color w:val="76923C"/>
        </w:rPr>
      </w:pPr>
      <w:r>
        <w:rPr>
          <w:b/>
          <w:color w:val="000000"/>
        </w:rPr>
        <w:tab/>
      </w:r>
      <w:r w:rsidR="00164BBB" w:rsidRPr="007B72D1">
        <w:rPr>
          <w:b/>
          <w:color w:val="000000"/>
        </w:rPr>
        <w:t xml:space="preserve">Председатель                                                            </w:t>
      </w:r>
      <w:r w:rsidR="00164BBB">
        <w:rPr>
          <w:b/>
          <w:color w:val="000000"/>
        </w:rPr>
        <w:t xml:space="preserve">                                      </w:t>
      </w:r>
      <w:r w:rsidR="00164BBB" w:rsidRPr="007B72D1">
        <w:rPr>
          <w:b/>
          <w:color w:val="000000"/>
        </w:rPr>
        <w:t>И.А. Дьяченко</w:t>
      </w:r>
    </w:p>
    <w:sectPr w:rsidR="00BC7D14" w:rsidSect="008667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005" w:rsidRDefault="00920005" w:rsidP="005A28BC">
      <w:r>
        <w:separator/>
      </w:r>
    </w:p>
  </w:endnote>
  <w:endnote w:type="continuationSeparator" w:id="0">
    <w:p w:rsidR="00920005" w:rsidRDefault="00920005" w:rsidP="005A2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92000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92000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9200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005" w:rsidRDefault="00920005" w:rsidP="005A28BC">
      <w:r>
        <w:separator/>
      </w:r>
    </w:p>
  </w:footnote>
  <w:footnote w:type="continuationSeparator" w:id="0">
    <w:p w:rsidR="00920005" w:rsidRDefault="00920005" w:rsidP="005A2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92000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7D291F">
    <w:pPr>
      <w:pStyle w:val="a6"/>
      <w:jc w:val="center"/>
    </w:pPr>
    <w:sdt>
      <w:sdtPr>
        <w:id w:val="7882943"/>
        <w:docPartObj>
          <w:docPartGallery w:val="Page Numbers (Top of Page)"/>
          <w:docPartUnique/>
        </w:docPartObj>
      </w:sdtPr>
      <w:sdtContent>
        <w:fldSimple w:instr=" PAGE   \* MERGEFORMAT ">
          <w:r w:rsidR="00B36AD5">
            <w:rPr>
              <w:noProof/>
            </w:rPr>
            <w:t>3</w:t>
          </w:r>
        </w:fldSimple>
      </w:sdtContent>
    </w:sdt>
  </w:p>
  <w:p w:rsidR="00920005" w:rsidRDefault="0092000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05" w:rsidRDefault="009200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3E2E"/>
    <w:multiLevelType w:val="hybridMultilevel"/>
    <w:tmpl w:val="3982C09A"/>
    <w:lvl w:ilvl="0" w:tplc="209EC49C">
      <w:start w:val="1"/>
      <w:numFmt w:val="decimal"/>
      <w:lvlText w:val="%1."/>
      <w:lvlJc w:val="left"/>
      <w:pPr>
        <w:ind w:left="2134" w:hanging="142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1F2BB0"/>
    <w:multiLevelType w:val="multilevel"/>
    <w:tmpl w:val="24F4EFA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0" w:hanging="360"/>
      </w:pPr>
      <w:rPr>
        <w:rFonts w:cs="Times New Roman" w:hint="default"/>
        <w:color w:val="1D1D1D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color w:val="1D1D1D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color w:val="1D1D1D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color w:val="1D1D1D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color w:val="1D1D1D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color w:val="1D1D1D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color w:val="1D1D1D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color w:val="1D1D1D"/>
      </w:rPr>
    </w:lvl>
  </w:abstractNum>
  <w:abstractNum w:abstractNumId="2">
    <w:nsid w:val="40E26CA7"/>
    <w:multiLevelType w:val="multilevel"/>
    <w:tmpl w:val="85849A6C"/>
    <w:lvl w:ilvl="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/>
  <w:rsids>
    <w:rsidRoot w:val="00124FB9"/>
    <w:rsid w:val="00022A0B"/>
    <w:rsid w:val="00023418"/>
    <w:rsid w:val="00036837"/>
    <w:rsid w:val="00053486"/>
    <w:rsid w:val="0005502A"/>
    <w:rsid w:val="000834D3"/>
    <w:rsid w:val="0008447F"/>
    <w:rsid w:val="0009018B"/>
    <w:rsid w:val="00090FA8"/>
    <w:rsid w:val="000A1BF6"/>
    <w:rsid w:val="000A23D3"/>
    <w:rsid w:val="000B6B42"/>
    <w:rsid w:val="000C4610"/>
    <w:rsid w:val="000E2767"/>
    <w:rsid w:val="000E6794"/>
    <w:rsid w:val="000F14C6"/>
    <w:rsid w:val="000F2AC1"/>
    <w:rsid w:val="00105704"/>
    <w:rsid w:val="00124EC2"/>
    <w:rsid w:val="00124FB9"/>
    <w:rsid w:val="0013338A"/>
    <w:rsid w:val="001371EC"/>
    <w:rsid w:val="001634B6"/>
    <w:rsid w:val="00163DCF"/>
    <w:rsid w:val="00164BBB"/>
    <w:rsid w:val="001B64C6"/>
    <w:rsid w:val="001B6B8F"/>
    <w:rsid w:val="001C17DB"/>
    <w:rsid w:val="001C697F"/>
    <w:rsid w:val="001F7DF3"/>
    <w:rsid w:val="00200A1A"/>
    <w:rsid w:val="00207708"/>
    <w:rsid w:val="00222AFF"/>
    <w:rsid w:val="002407E2"/>
    <w:rsid w:val="00240BE7"/>
    <w:rsid w:val="002537D4"/>
    <w:rsid w:val="002746F5"/>
    <w:rsid w:val="0027648A"/>
    <w:rsid w:val="00286C31"/>
    <w:rsid w:val="002A57CA"/>
    <w:rsid w:val="002B1DF6"/>
    <w:rsid w:val="002F2756"/>
    <w:rsid w:val="002F59A5"/>
    <w:rsid w:val="0030160E"/>
    <w:rsid w:val="00304ACC"/>
    <w:rsid w:val="00322BC6"/>
    <w:rsid w:val="003622CC"/>
    <w:rsid w:val="003713C8"/>
    <w:rsid w:val="00374EF3"/>
    <w:rsid w:val="00380B6B"/>
    <w:rsid w:val="00382BC6"/>
    <w:rsid w:val="00392EE6"/>
    <w:rsid w:val="003A56C2"/>
    <w:rsid w:val="003F562E"/>
    <w:rsid w:val="004053BF"/>
    <w:rsid w:val="00410446"/>
    <w:rsid w:val="004166FD"/>
    <w:rsid w:val="00437164"/>
    <w:rsid w:val="00446906"/>
    <w:rsid w:val="00447795"/>
    <w:rsid w:val="00454314"/>
    <w:rsid w:val="0045780B"/>
    <w:rsid w:val="004610C9"/>
    <w:rsid w:val="00471204"/>
    <w:rsid w:val="004748B4"/>
    <w:rsid w:val="004925D2"/>
    <w:rsid w:val="004970C1"/>
    <w:rsid w:val="004B178B"/>
    <w:rsid w:val="004D63DB"/>
    <w:rsid w:val="004E5AD1"/>
    <w:rsid w:val="004F3DB5"/>
    <w:rsid w:val="005038AA"/>
    <w:rsid w:val="00505683"/>
    <w:rsid w:val="00526359"/>
    <w:rsid w:val="0053026C"/>
    <w:rsid w:val="00537336"/>
    <w:rsid w:val="00553F3C"/>
    <w:rsid w:val="00562DA3"/>
    <w:rsid w:val="00567021"/>
    <w:rsid w:val="005A1D9D"/>
    <w:rsid w:val="005A28BC"/>
    <w:rsid w:val="005B53C2"/>
    <w:rsid w:val="005D53D9"/>
    <w:rsid w:val="005D5970"/>
    <w:rsid w:val="005F0E27"/>
    <w:rsid w:val="005F62D8"/>
    <w:rsid w:val="005F7341"/>
    <w:rsid w:val="00625FC2"/>
    <w:rsid w:val="0065252F"/>
    <w:rsid w:val="00665380"/>
    <w:rsid w:val="00677667"/>
    <w:rsid w:val="00693F4E"/>
    <w:rsid w:val="006B7AAF"/>
    <w:rsid w:val="006E1E87"/>
    <w:rsid w:val="006E331A"/>
    <w:rsid w:val="007173A0"/>
    <w:rsid w:val="007804C1"/>
    <w:rsid w:val="007C1F91"/>
    <w:rsid w:val="007D291F"/>
    <w:rsid w:val="007E6B6B"/>
    <w:rsid w:val="00802384"/>
    <w:rsid w:val="00807A49"/>
    <w:rsid w:val="008217F3"/>
    <w:rsid w:val="0085049E"/>
    <w:rsid w:val="008534E7"/>
    <w:rsid w:val="00853EDC"/>
    <w:rsid w:val="00862269"/>
    <w:rsid w:val="008667BE"/>
    <w:rsid w:val="0087157C"/>
    <w:rsid w:val="008718E9"/>
    <w:rsid w:val="008846FD"/>
    <w:rsid w:val="008B7B18"/>
    <w:rsid w:val="008C456F"/>
    <w:rsid w:val="008F4E77"/>
    <w:rsid w:val="008F6C72"/>
    <w:rsid w:val="00920005"/>
    <w:rsid w:val="00923303"/>
    <w:rsid w:val="0092354E"/>
    <w:rsid w:val="00954109"/>
    <w:rsid w:val="00967A52"/>
    <w:rsid w:val="00974884"/>
    <w:rsid w:val="00990F49"/>
    <w:rsid w:val="009A7A50"/>
    <w:rsid w:val="009C111C"/>
    <w:rsid w:val="009D7137"/>
    <w:rsid w:val="009E41E6"/>
    <w:rsid w:val="009F0BF9"/>
    <w:rsid w:val="00A065D6"/>
    <w:rsid w:val="00A12E1E"/>
    <w:rsid w:val="00A30B66"/>
    <w:rsid w:val="00A52547"/>
    <w:rsid w:val="00A61C18"/>
    <w:rsid w:val="00A668CA"/>
    <w:rsid w:val="00AB0830"/>
    <w:rsid w:val="00AC4316"/>
    <w:rsid w:val="00AF1CBC"/>
    <w:rsid w:val="00AF58FB"/>
    <w:rsid w:val="00B0556D"/>
    <w:rsid w:val="00B20A4E"/>
    <w:rsid w:val="00B36AD5"/>
    <w:rsid w:val="00B36F17"/>
    <w:rsid w:val="00B44451"/>
    <w:rsid w:val="00B51F77"/>
    <w:rsid w:val="00B52B30"/>
    <w:rsid w:val="00B8042D"/>
    <w:rsid w:val="00B95CCF"/>
    <w:rsid w:val="00BA06AD"/>
    <w:rsid w:val="00BA5631"/>
    <w:rsid w:val="00BC0F95"/>
    <w:rsid w:val="00BC7D14"/>
    <w:rsid w:val="00BD4F69"/>
    <w:rsid w:val="00BF186C"/>
    <w:rsid w:val="00BF5787"/>
    <w:rsid w:val="00C322B7"/>
    <w:rsid w:val="00C4274A"/>
    <w:rsid w:val="00C42F1F"/>
    <w:rsid w:val="00C81BF6"/>
    <w:rsid w:val="00CF250A"/>
    <w:rsid w:val="00D13EFB"/>
    <w:rsid w:val="00D35E08"/>
    <w:rsid w:val="00D608B0"/>
    <w:rsid w:val="00D81678"/>
    <w:rsid w:val="00DE7299"/>
    <w:rsid w:val="00E0132F"/>
    <w:rsid w:val="00E01BD7"/>
    <w:rsid w:val="00E04AFF"/>
    <w:rsid w:val="00E07568"/>
    <w:rsid w:val="00E1559B"/>
    <w:rsid w:val="00E24AE1"/>
    <w:rsid w:val="00E363B9"/>
    <w:rsid w:val="00E52AC0"/>
    <w:rsid w:val="00E56811"/>
    <w:rsid w:val="00E6021F"/>
    <w:rsid w:val="00E719C3"/>
    <w:rsid w:val="00E9497A"/>
    <w:rsid w:val="00E94FC3"/>
    <w:rsid w:val="00EA265A"/>
    <w:rsid w:val="00EB4326"/>
    <w:rsid w:val="00ED070D"/>
    <w:rsid w:val="00EF036D"/>
    <w:rsid w:val="00EF0D37"/>
    <w:rsid w:val="00F21A04"/>
    <w:rsid w:val="00F232D4"/>
    <w:rsid w:val="00F330C7"/>
    <w:rsid w:val="00F506A9"/>
    <w:rsid w:val="00F66226"/>
    <w:rsid w:val="00F705F9"/>
    <w:rsid w:val="00F72E15"/>
    <w:rsid w:val="00F82995"/>
    <w:rsid w:val="00F91D71"/>
    <w:rsid w:val="00FA0F8C"/>
    <w:rsid w:val="00FC4958"/>
    <w:rsid w:val="00FC4E19"/>
    <w:rsid w:val="00FD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24FB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2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24F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2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24FB9"/>
    <w:pPr>
      <w:widowControl w:val="0"/>
      <w:autoSpaceDN w:val="0"/>
      <w:adjustRightInd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24F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A28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28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5B53C2"/>
    <w:pPr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5B53C2"/>
    <w:rPr>
      <w:b/>
      <w:bCs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5B53C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95410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9C111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Ноздрюхина</dc:creator>
  <cp:lastModifiedBy>Суркова Евгения</cp:lastModifiedBy>
  <cp:revision>7</cp:revision>
  <cp:lastPrinted>2017-07-14T08:28:00Z</cp:lastPrinted>
  <dcterms:created xsi:type="dcterms:W3CDTF">2017-06-30T09:07:00Z</dcterms:created>
  <dcterms:modified xsi:type="dcterms:W3CDTF">2017-07-14T08:28:00Z</dcterms:modified>
</cp:coreProperties>
</file>