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3"/>
        <w:gridCol w:w="4975"/>
      </w:tblGrid>
      <w:tr w:rsidR="00670A68" w14:paraId="5953B3C7" w14:textId="77777777" w:rsidTr="00A62161">
        <w:trPr>
          <w:cantSplit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FDD90" w14:textId="77777777" w:rsidR="00670A68" w:rsidRDefault="00670A68" w:rsidP="00A62161">
            <w:pPr>
              <w:jc w:val="center"/>
            </w:pPr>
            <w:bookmarkStart w:id="0" w:name="OLE_LINK2"/>
            <w:r>
              <w:rPr>
                <w:noProof/>
              </w:rPr>
              <w:drawing>
                <wp:inline distT="0" distB="0" distL="0" distR="0" wp14:anchorId="1FD62751" wp14:editId="75AEFEE7">
                  <wp:extent cx="560705" cy="724535"/>
                  <wp:effectExtent l="19050" t="0" r="0" b="0"/>
                  <wp:docPr id="6" name="Рисунок 1" descr="Изображение Герба Волгоградской области для бланк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Изображение Герба Волгоградской области для бланк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724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0A68" w14:paraId="4D7F886A" w14:textId="77777777" w:rsidTr="00A62161">
        <w:trPr>
          <w:cantSplit/>
          <w:trHeight w:val="401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4CAA8" w14:textId="77777777" w:rsidR="00670A68" w:rsidRDefault="00670A68" w:rsidP="00A62161">
            <w:pPr>
              <w:pStyle w:val="21"/>
              <w:rPr>
                <w:sz w:val="28"/>
              </w:rPr>
            </w:pPr>
            <w:r>
              <w:rPr>
                <w:sz w:val="28"/>
              </w:rPr>
              <w:t>КОНТРОЛЬНО-СЧЕТНАЯ ПАЛАТА ВОЛГОГРАДСКОЙ ОБЛАСТИ</w:t>
            </w:r>
          </w:p>
        </w:tc>
      </w:tr>
      <w:tr w:rsidR="00670A68" w14:paraId="3277AAEF" w14:textId="77777777" w:rsidTr="00A62161">
        <w:trPr>
          <w:cantSplit/>
        </w:trPr>
        <w:tc>
          <w:tcPr>
            <w:tcW w:w="9648" w:type="dxa"/>
            <w:gridSpan w:val="2"/>
            <w:tcBorders>
              <w:top w:val="nil"/>
              <w:left w:val="nil"/>
              <w:bottom w:val="thinThickSmallGap" w:sz="18" w:space="0" w:color="auto"/>
              <w:right w:val="nil"/>
            </w:tcBorders>
          </w:tcPr>
          <w:p w14:paraId="30A12E3D" w14:textId="77777777" w:rsidR="00670A68" w:rsidRPr="002F595D" w:rsidRDefault="00670A68" w:rsidP="00A62161">
            <w:pPr>
              <w:jc w:val="both"/>
            </w:pPr>
            <w:smartTag w:uri="urn:schemas-microsoft-com:office:smarttags" w:element="metricconverter">
              <w:smartTagPr>
                <w:attr w:name="ProductID" w:val="400074, г"/>
              </w:smartTagPr>
              <w:r w:rsidRPr="002F595D">
                <w:rPr>
                  <w:sz w:val="22"/>
                  <w:szCs w:val="22"/>
                </w:rPr>
                <w:t>400074, г</w:t>
              </w:r>
            </w:smartTag>
            <w:r w:rsidRPr="002F595D">
              <w:rPr>
                <w:sz w:val="22"/>
                <w:szCs w:val="22"/>
              </w:rPr>
              <w:t xml:space="preserve">. Волгоград, ул. Рабоче-Крестьянская,30         </w:t>
            </w:r>
            <w:r>
              <w:rPr>
                <w:sz w:val="22"/>
                <w:szCs w:val="22"/>
              </w:rPr>
              <w:t xml:space="preserve">                 </w:t>
            </w:r>
            <w:r w:rsidRPr="002F595D">
              <w:rPr>
                <w:sz w:val="22"/>
                <w:szCs w:val="22"/>
              </w:rPr>
              <w:t>тел./факс (8442) 30-87-01; 30-87-37</w:t>
            </w:r>
          </w:p>
        </w:tc>
      </w:tr>
      <w:tr w:rsidR="00670A68" w14:paraId="2411D711" w14:textId="77777777" w:rsidTr="00A62161">
        <w:tc>
          <w:tcPr>
            <w:tcW w:w="4673" w:type="dxa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14:paraId="33E56552" w14:textId="186B5A45" w:rsidR="00670A68" w:rsidRPr="00067D76" w:rsidRDefault="00670A68" w:rsidP="00A62161">
            <w:pPr>
              <w:pStyle w:val="10"/>
              <w:rPr>
                <w:sz w:val="22"/>
                <w:szCs w:val="22"/>
                <w:lang w:val="en-US"/>
              </w:rPr>
            </w:pPr>
            <w:r w:rsidRPr="00B574B8">
              <w:rPr>
                <w:sz w:val="22"/>
                <w:szCs w:val="22"/>
              </w:rPr>
              <w:t xml:space="preserve">№ 01КСП- 02-02/ </w:t>
            </w:r>
            <w:r w:rsidR="00067D76">
              <w:rPr>
                <w:sz w:val="22"/>
                <w:szCs w:val="22"/>
                <w:lang w:val="en-US"/>
              </w:rPr>
              <w:t>149</w:t>
            </w:r>
          </w:p>
        </w:tc>
        <w:tc>
          <w:tcPr>
            <w:tcW w:w="4975" w:type="dxa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14:paraId="026CD41C" w14:textId="744D146C" w:rsidR="00670A68" w:rsidRPr="00B574B8" w:rsidRDefault="00670A68" w:rsidP="00670A68">
            <w:pPr>
              <w:jc w:val="right"/>
            </w:pPr>
            <w:r w:rsidRPr="00B574B8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19</w:t>
            </w:r>
            <w:r w:rsidRPr="00B574B8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ноября</w:t>
            </w:r>
            <w:r w:rsidRPr="00B574B8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B574B8">
              <w:rPr>
                <w:sz w:val="22"/>
                <w:szCs w:val="22"/>
              </w:rPr>
              <w:t xml:space="preserve"> года</w:t>
            </w:r>
          </w:p>
        </w:tc>
      </w:tr>
    </w:tbl>
    <w:p w14:paraId="5B74770D" w14:textId="77777777" w:rsidR="00670A68" w:rsidRDefault="00670A68" w:rsidP="002F7D5F">
      <w:pPr>
        <w:pStyle w:val="1"/>
        <w:jc w:val="center"/>
        <w:outlineLvl w:val="0"/>
        <w:rPr>
          <w:b/>
          <w:i/>
          <w:caps/>
          <w:sz w:val="24"/>
          <w:szCs w:val="24"/>
        </w:rPr>
      </w:pPr>
    </w:p>
    <w:p w14:paraId="1E081055" w14:textId="77777777" w:rsidR="002F7D5F" w:rsidRPr="00A27310" w:rsidRDefault="002F7D5F" w:rsidP="002F7D5F">
      <w:pPr>
        <w:pStyle w:val="1"/>
        <w:jc w:val="center"/>
        <w:outlineLvl w:val="0"/>
        <w:rPr>
          <w:b/>
          <w:i/>
          <w:caps/>
          <w:sz w:val="24"/>
          <w:szCs w:val="24"/>
        </w:rPr>
      </w:pPr>
      <w:r w:rsidRPr="00A27310">
        <w:rPr>
          <w:b/>
          <w:i/>
          <w:caps/>
          <w:sz w:val="24"/>
          <w:szCs w:val="24"/>
        </w:rPr>
        <w:t>ЭКСПЕРТНОЕ заКЛЮЧЕНИЕ</w:t>
      </w:r>
    </w:p>
    <w:p w14:paraId="366741DB" w14:textId="77777777" w:rsidR="002F7D5F" w:rsidRPr="00A27310" w:rsidRDefault="002F7D5F" w:rsidP="002F7D5F">
      <w:pPr>
        <w:pStyle w:val="1"/>
        <w:jc w:val="center"/>
        <w:rPr>
          <w:b/>
          <w:i/>
          <w:sz w:val="24"/>
          <w:szCs w:val="24"/>
        </w:rPr>
      </w:pPr>
      <w:r w:rsidRPr="00A27310">
        <w:rPr>
          <w:b/>
          <w:i/>
          <w:sz w:val="24"/>
          <w:szCs w:val="24"/>
        </w:rPr>
        <w:t>к проекту закона Волгоградской области «Об областном бюджете на 20</w:t>
      </w:r>
      <w:r w:rsidR="00AA4CBF">
        <w:rPr>
          <w:b/>
          <w:i/>
          <w:sz w:val="24"/>
          <w:szCs w:val="24"/>
        </w:rPr>
        <w:t>2</w:t>
      </w:r>
      <w:r w:rsidR="00A20A77">
        <w:rPr>
          <w:b/>
          <w:i/>
          <w:sz w:val="24"/>
          <w:szCs w:val="24"/>
        </w:rPr>
        <w:t>1</w:t>
      </w:r>
      <w:r w:rsidRPr="00A27310">
        <w:rPr>
          <w:b/>
          <w:i/>
          <w:sz w:val="24"/>
          <w:szCs w:val="24"/>
        </w:rPr>
        <w:t xml:space="preserve"> год и на плановый период 20</w:t>
      </w:r>
      <w:r>
        <w:rPr>
          <w:b/>
          <w:i/>
          <w:sz w:val="24"/>
          <w:szCs w:val="24"/>
        </w:rPr>
        <w:t>2</w:t>
      </w:r>
      <w:r w:rsidR="00A20A77">
        <w:rPr>
          <w:b/>
          <w:i/>
          <w:sz w:val="24"/>
          <w:szCs w:val="24"/>
        </w:rPr>
        <w:t>2</w:t>
      </w:r>
      <w:r w:rsidRPr="00A27310">
        <w:rPr>
          <w:b/>
          <w:i/>
          <w:sz w:val="24"/>
          <w:szCs w:val="24"/>
        </w:rPr>
        <w:t xml:space="preserve"> и 20</w:t>
      </w:r>
      <w:r>
        <w:rPr>
          <w:b/>
          <w:i/>
          <w:sz w:val="24"/>
          <w:szCs w:val="24"/>
        </w:rPr>
        <w:t>2</w:t>
      </w:r>
      <w:r w:rsidR="00A20A77">
        <w:rPr>
          <w:b/>
          <w:i/>
          <w:sz w:val="24"/>
          <w:szCs w:val="24"/>
        </w:rPr>
        <w:t>3</w:t>
      </w:r>
      <w:r w:rsidRPr="00A27310">
        <w:rPr>
          <w:b/>
          <w:i/>
          <w:sz w:val="24"/>
          <w:szCs w:val="24"/>
        </w:rPr>
        <w:t xml:space="preserve"> годов», представленному в  </w:t>
      </w:r>
      <w:r w:rsidR="002101B1">
        <w:rPr>
          <w:b/>
          <w:i/>
          <w:sz w:val="24"/>
          <w:szCs w:val="24"/>
        </w:rPr>
        <w:t xml:space="preserve">Волгоградскую </w:t>
      </w:r>
      <w:r w:rsidRPr="00A27310">
        <w:rPr>
          <w:b/>
          <w:i/>
          <w:sz w:val="24"/>
          <w:szCs w:val="24"/>
        </w:rPr>
        <w:t xml:space="preserve">областную Думу на </w:t>
      </w:r>
      <w:r w:rsidR="002101B1">
        <w:rPr>
          <w:b/>
          <w:i/>
          <w:sz w:val="24"/>
          <w:szCs w:val="24"/>
        </w:rPr>
        <w:t>первое</w:t>
      </w:r>
      <w:r w:rsidRPr="00A27310">
        <w:rPr>
          <w:b/>
          <w:i/>
          <w:sz w:val="24"/>
          <w:szCs w:val="24"/>
        </w:rPr>
        <w:t xml:space="preserve"> чтение</w:t>
      </w:r>
      <w:bookmarkEnd w:id="0"/>
      <w:r w:rsidRPr="00A27310">
        <w:rPr>
          <w:b/>
          <w:i/>
          <w:sz w:val="24"/>
          <w:szCs w:val="24"/>
        </w:rPr>
        <w:t xml:space="preserve">. </w:t>
      </w:r>
    </w:p>
    <w:p w14:paraId="32563225" w14:textId="77777777" w:rsidR="002F7D5F" w:rsidRPr="00A27310" w:rsidRDefault="002F7D5F" w:rsidP="002F7D5F">
      <w:pPr>
        <w:pStyle w:val="1"/>
        <w:jc w:val="center"/>
        <w:rPr>
          <w:b/>
          <w:sz w:val="24"/>
          <w:szCs w:val="24"/>
        </w:rPr>
      </w:pPr>
    </w:p>
    <w:p w14:paraId="2FCE8923" w14:textId="77777777" w:rsidR="002F7D5F" w:rsidRPr="00A27310" w:rsidRDefault="002F7D5F" w:rsidP="002F7D5F">
      <w:pPr>
        <w:pStyle w:val="3"/>
      </w:pPr>
      <w:r w:rsidRPr="00A27310">
        <w:t>Экспертное заключение на проект закона Волгоградской области «Об областном бюджете на 20</w:t>
      </w:r>
      <w:r w:rsidR="00AA4CBF">
        <w:t>2</w:t>
      </w:r>
      <w:r w:rsidR="00FC7649">
        <w:t>1</w:t>
      </w:r>
      <w:r w:rsidRPr="00A27310">
        <w:t xml:space="preserve"> год и на плановый период 20</w:t>
      </w:r>
      <w:r>
        <w:t>2</w:t>
      </w:r>
      <w:r w:rsidR="00FC7649">
        <w:t>2</w:t>
      </w:r>
      <w:r w:rsidRPr="00A27310">
        <w:t xml:space="preserve"> и 20</w:t>
      </w:r>
      <w:r>
        <w:t>2</w:t>
      </w:r>
      <w:r w:rsidR="00FC7649">
        <w:t>3</w:t>
      </w:r>
      <w:r w:rsidRPr="00A27310">
        <w:t xml:space="preserve"> годов» подготовлено с учетом требований Бюджетного кодекса РФ</w:t>
      </w:r>
      <w:r w:rsidR="00F95859">
        <w:t xml:space="preserve"> (далее БК РФ)</w:t>
      </w:r>
      <w:r w:rsidRPr="00A27310">
        <w:t xml:space="preserve">, Законов Волгоградской области от 11.06.2008 №1694-ОД «О бюджетном процессе в Волгоградской области» и от 17.12.1999 №344-ОД «О контрольно-счетной палате Волгоградской области». </w:t>
      </w:r>
    </w:p>
    <w:p w14:paraId="216FD96F" w14:textId="77777777" w:rsidR="002F7D5F" w:rsidRPr="00E93893" w:rsidRDefault="002F7D5F" w:rsidP="003A6D33">
      <w:pPr>
        <w:autoSpaceDE w:val="0"/>
        <w:autoSpaceDN w:val="0"/>
        <w:adjustRightInd w:val="0"/>
        <w:ind w:firstLine="540"/>
        <w:jc w:val="both"/>
      </w:pPr>
      <w:r w:rsidRPr="00A27310">
        <w:t xml:space="preserve">Согласно статье 24 Закона Волгоградской области «О бюджетном процессе в Волгоградской области» при рассмотрении Волгоградской областной Думой проекта закона об областном бюджете на очередной финансовый год и плановый период </w:t>
      </w:r>
      <w:r w:rsidRPr="00E93893">
        <w:rPr>
          <w:u w:val="single"/>
        </w:rPr>
        <w:t>в первом чтении</w:t>
      </w:r>
      <w:r w:rsidRPr="00A27310">
        <w:t xml:space="preserve"> обсуждаются его концепция</w:t>
      </w:r>
      <w:r>
        <w:t>,</w:t>
      </w:r>
      <w:r w:rsidRPr="00A27310">
        <w:t xml:space="preserve"> прогноз социально-экономического развития</w:t>
      </w:r>
      <w:r>
        <w:t xml:space="preserve">, </w:t>
      </w:r>
      <w:r>
        <w:rPr>
          <w:color w:val="000000"/>
          <w:spacing w:val="1"/>
        </w:rPr>
        <w:t xml:space="preserve">а также рассматриваются </w:t>
      </w:r>
      <w:r w:rsidR="00045871">
        <w:rPr>
          <w:color w:val="000000"/>
          <w:spacing w:val="1"/>
        </w:rPr>
        <w:t xml:space="preserve">основные </w:t>
      </w:r>
      <w:r>
        <w:rPr>
          <w:color w:val="000000"/>
          <w:spacing w:val="1"/>
        </w:rPr>
        <w:t xml:space="preserve">характеристики областного бюджета, </w:t>
      </w:r>
      <w:r w:rsidR="003A6D33">
        <w:rPr>
          <w:rFonts w:eastAsiaTheme="minorHAnsi"/>
          <w:bCs/>
          <w:iCs/>
          <w:lang w:eastAsia="en-US"/>
        </w:rPr>
        <w:t>к</w:t>
      </w:r>
      <w:r w:rsidR="003A6D33" w:rsidRPr="00965BBA">
        <w:rPr>
          <w:rFonts w:eastAsiaTheme="minorHAnsi"/>
          <w:bCs/>
          <w:iCs/>
          <w:lang w:eastAsia="en-US"/>
        </w:rPr>
        <w:t>ритери</w:t>
      </w:r>
      <w:r w:rsidR="003A6D33">
        <w:rPr>
          <w:rFonts w:eastAsiaTheme="minorHAnsi"/>
          <w:bCs/>
          <w:iCs/>
          <w:lang w:eastAsia="en-US"/>
        </w:rPr>
        <w:t>и</w:t>
      </w:r>
      <w:r w:rsidR="003A6D33" w:rsidRPr="00965BBA">
        <w:rPr>
          <w:rFonts w:eastAsiaTheme="minorHAnsi"/>
          <w:bCs/>
          <w:iCs/>
          <w:lang w:eastAsia="en-US"/>
        </w:rPr>
        <w:t xml:space="preserve"> выравнивания расчетной бюджетной обеспеченности муниципальных районов (городских округов), </w:t>
      </w:r>
      <w:r w:rsidR="00DB51ED">
        <w:rPr>
          <w:rFonts w:eastAsiaTheme="minorHAnsi"/>
          <w:bCs/>
          <w:iCs/>
          <w:lang w:eastAsia="en-US"/>
        </w:rPr>
        <w:t xml:space="preserve">финансовых возможностей </w:t>
      </w:r>
      <w:r w:rsidR="003A6D33">
        <w:rPr>
          <w:rFonts w:eastAsiaTheme="minorHAnsi"/>
          <w:bCs/>
          <w:iCs/>
          <w:lang w:eastAsia="en-US"/>
        </w:rPr>
        <w:t xml:space="preserve">городских и сельских поселений, </w:t>
      </w:r>
      <w:r w:rsidRPr="00E93893">
        <w:t>верхний предел государственного внутреннего долга</w:t>
      </w:r>
      <w:r>
        <w:t xml:space="preserve"> и другие вопросы.</w:t>
      </w:r>
    </w:p>
    <w:p w14:paraId="5AF5495F" w14:textId="77777777" w:rsidR="002F7D5F" w:rsidRPr="00A27310" w:rsidRDefault="002F7D5F" w:rsidP="002F7D5F">
      <w:pPr>
        <w:pStyle w:val="3"/>
      </w:pPr>
    </w:p>
    <w:p w14:paraId="0F0C9762" w14:textId="77777777" w:rsidR="002F7D5F" w:rsidRPr="00A27310" w:rsidRDefault="002F7D5F" w:rsidP="002F7D5F">
      <w:pPr>
        <w:pStyle w:val="a3"/>
        <w:numPr>
          <w:ilvl w:val="0"/>
          <w:numId w:val="1"/>
        </w:numPr>
        <w:outlineLvl w:val="0"/>
        <w:rPr>
          <w:b/>
          <w:i/>
        </w:rPr>
      </w:pPr>
      <w:r w:rsidRPr="00A27310">
        <w:rPr>
          <w:b/>
          <w:i/>
        </w:rPr>
        <w:t>Концепция проекта закона Волгоградской области</w:t>
      </w:r>
    </w:p>
    <w:p w14:paraId="71184438" w14:textId="77777777" w:rsidR="002F7D5F" w:rsidRPr="00A27310" w:rsidRDefault="002F7D5F" w:rsidP="002F7D5F">
      <w:pPr>
        <w:pStyle w:val="a3"/>
        <w:ind w:left="708"/>
        <w:outlineLvl w:val="0"/>
        <w:rPr>
          <w:b/>
          <w:i/>
        </w:rPr>
      </w:pPr>
      <w:r w:rsidRPr="00A27310">
        <w:rPr>
          <w:b/>
          <w:i/>
        </w:rPr>
        <w:t>об областном бюджете на 20</w:t>
      </w:r>
      <w:r w:rsidR="00DE381B">
        <w:rPr>
          <w:b/>
          <w:i/>
        </w:rPr>
        <w:t>2</w:t>
      </w:r>
      <w:r w:rsidR="00FC7649">
        <w:rPr>
          <w:b/>
          <w:i/>
        </w:rPr>
        <w:t>1</w:t>
      </w:r>
      <w:r w:rsidRPr="00A27310">
        <w:rPr>
          <w:b/>
          <w:i/>
        </w:rPr>
        <w:t xml:space="preserve"> год и на плановый период 20</w:t>
      </w:r>
      <w:r>
        <w:rPr>
          <w:b/>
          <w:i/>
        </w:rPr>
        <w:t>2</w:t>
      </w:r>
      <w:r w:rsidR="00FC7649">
        <w:rPr>
          <w:b/>
          <w:i/>
        </w:rPr>
        <w:t>2</w:t>
      </w:r>
      <w:r w:rsidRPr="00A27310">
        <w:rPr>
          <w:b/>
          <w:i/>
        </w:rPr>
        <w:t xml:space="preserve"> и 20</w:t>
      </w:r>
      <w:r>
        <w:rPr>
          <w:b/>
          <w:i/>
        </w:rPr>
        <w:t>2</w:t>
      </w:r>
      <w:r w:rsidR="00FC7649">
        <w:rPr>
          <w:b/>
          <w:i/>
        </w:rPr>
        <w:t>3</w:t>
      </w:r>
      <w:r w:rsidRPr="00A27310">
        <w:rPr>
          <w:b/>
          <w:i/>
        </w:rPr>
        <w:t xml:space="preserve"> годов</w:t>
      </w:r>
    </w:p>
    <w:p w14:paraId="4AFE0C55" w14:textId="77777777" w:rsidR="003A67F2" w:rsidRDefault="002F7D5F" w:rsidP="003A67F2">
      <w:pPr>
        <w:keepNext/>
        <w:keepLines/>
        <w:tabs>
          <w:tab w:val="left" w:pos="4620"/>
        </w:tabs>
        <w:autoSpaceDE w:val="0"/>
        <w:autoSpaceDN w:val="0"/>
        <w:adjustRightInd w:val="0"/>
      </w:pPr>
      <w:r>
        <w:tab/>
      </w:r>
    </w:p>
    <w:p w14:paraId="0F2BF99D" w14:textId="77777777" w:rsidR="00B629CB" w:rsidRDefault="0076373D" w:rsidP="0076373D">
      <w:pPr>
        <w:keepNext/>
        <w:keepLines/>
        <w:autoSpaceDE w:val="0"/>
        <w:autoSpaceDN w:val="0"/>
        <w:adjustRightInd w:val="0"/>
        <w:jc w:val="both"/>
      </w:pPr>
      <w:r>
        <w:tab/>
      </w:r>
      <w:r w:rsidR="00B629CB">
        <w:t xml:space="preserve">В качестве концептуальных особенностей формирования проекта областного бюджета на 2021-2023 годы </w:t>
      </w:r>
      <w:r w:rsidR="00B629CB" w:rsidRPr="009C7387">
        <w:rPr>
          <w:u w:val="single"/>
        </w:rPr>
        <w:t>необходимо отметить следующ</w:t>
      </w:r>
      <w:r w:rsidR="00741C1F" w:rsidRPr="009C7387">
        <w:rPr>
          <w:u w:val="single"/>
        </w:rPr>
        <w:t>и</w:t>
      </w:r>
      <w:r w:rsidR="00B629CB" w:rsidRPr="009C7387">
        <w:rPr>
          <w:u w:val="single"/>
        </w:rPr>
        <w:t>е</w:t>
      </w:r>
      <w:r w:rsidR="00B629CB">
        <w:t>.</w:t>
      </w:r>
    </w:p>
    <w:p w14:paraId="2513C29F" w14:textId="6E50EE06" w:rsidR="0076373D" w:rsidRDefault="0076373D" w:rsidP="00B629CB">
      <w:pPr>
        <w:keepNext/>
        <w:keepLines/>
        <w:autoSpaceDE w:val="0"/>
        <w:autoSpaceDN w:val="0"/>
        <w:adjustRightInd w:val="0"/>
        <w:ind w:firstLine="708"/>
        <w:jc w:val="both"/>
      </w:pPr>
      <w:r>
        <w:t xml:space="preserve">Внесенным </w:t>
      </w:r>
      <w:r w:rsidR="005426BD">
        <w:t>законо</w:t>
      </w:r>
      <w:r>
        <w:t xml:space="preserve">проектом расходы </w:t>
      </w:r>
      <w:r w:rsidR="00B629CB">
        <w:t xml:space="preserve">бюджета </w:t>
      </w:r>
      <w:r w:rsidR="005426BD">
        <w:t xml:space="preserve">на 2021 год предусмотрены </w:t>
      </w:r>
      <w:r>
        <w:t>в размере 129706,7 млн. руб., что на 9910,3 млн. руб. больше расходов, предусмотренных действующей редакцией закона о бюджете на текущий год</w:t>
      </w:r>
      <w:r w:rsidR="00B629CB">
        <w:t>,</w:t>
      </w:r>
      <w:r>
        <w:t xml:space="preserve"> и на 669 млн. руб. меньше расходов, распределенных </w:t>
      </w:r>
      <w:r w:rsidR="005426BD">
        <w:t xml:space="preserve">на 01.10.2020 </w:t>
      </w:r>
      <w:r>
        <w:t xml:space="preserve">сводной бюджетной </w:t>
      </w:r>
      <w:r w:rsidR="00DB0175">
        <w:t xml:space="preserve">росписью </w:t>
      </w:r>
      <w:r w:rsidR="005426BD">
        <w:t xml:space="preserve">(сравнительный анализ показателей проекта бюджета на 2021 год </w:t>
      </w:r>
      <w:r w:rsidR="004919BE">
        <w:t>в разрезе разделов и подразделов функциональной классификации расходов и</w:t>
      </w:r>
      <w:r w:rsidR="005426BD">
        <w:t xml:space="preserve"> показател</w:t>
      </w:r>
      <w:r w:rsidR="004919BE">
        <w:t>ей</w:t>
      </w:r>
      <w:r w:rsidR="005426BD">
        <w:t xml:space="preserve"> утвержденного бюджета на 2020 год</w:t>
      </w:r>
      <w:r w:rsidR="004919BE">
        <w:t>, а также</w:t>
      </w:r>
      <w:r w:rsidR="005426BD">
        <w:t xml:space="preserve"> сводной бюджетной росписи на 01.10.2020 приведен </w:t>
      </w:r>
      <w:r w:rsidR="005426BD" w:rsidRPr="005426BD">
        <w:rPr>
          <w:b/>
          <w:i/>
          <w:u w:val="single"/>
        </w:rPr>
        <w:t xml:space="preserve">в </w:t>
      </w:r>
      <w:r w:rsidR="00C747B3">
        <w:rPr>
          <w:b/>
          <w:i/>
          <w:u w:val="single"/>
        </w:rPr>
        <w:t>приложении №1</w:t>
      </w:r>
      <w:r w:rsidR="00067D76" w:rsidRPr="00067D76">
        <w:rPr>
          <w:b/>
          <w:i/>
          <w:u w:val="single"/>
        </w:rPr>
        <w:t xml:space="preserve"> </w:t>
      </w:r>
      <w:r>
        <w:t xml:space="preserve">. </w:t>
      </w:r>
      <w:r w:rsidR="00B629CB">
        <w:t>Таким образом,</w:t>
      </w:r>
      <w:r>
        <w:t xml:space="preserve"> </w:t>
      </w:r>
      <w:r w:rsidR="00B629CB">
        <w:t xml:space="preserve">на момент внесения в областную Думу проекта бюджета на следующий финансовый год и двухлетний плановый период </w:t>
      </w:r>
      <w:r w:rsidR="00B629CB" w:rsidRPr="00E12955">
        <w:rPr>
          <w:u w:val="single"/>
        </w:rPr>
        <w:t>ассигнования по расходам, предусмотренные утвержденным бюджетом на 2020 год</w:t>
      </w:r>
      <w:r w:rsidR="0063226B" w:rsidRPr="00E12955">
        <w:rPr>
          <w:u w:val="single"/>
        </w:rPr>
        <w:t>, отличаются (меньше) от расходов сводной бюджетной росписи расходов на текущий год бол</w:t>
      </w:r>
      <w:r w:rsidR="00770069">
        <w:rPr>
          <w:u w:val="single"/>
        </w:rPr>
        <w:t>ее,</w:t>
      </w:r>
      <w:r w:rsidR="0063226B" w:rsidRPr="00E12955">
        <w:rPr>
          <w:u w:val="single"/>
        </w:rPr>
        <w:t xml:space="preserve"> чем на 10000 млн. руб.</w:t>
      </w:r>
      <w:r w:rsidR="0063226B">
        <w:t xml:space="preserve"> (-</w:t>
      </w:r>
      <w:r w:rsidR="00E12955">
        <w:t xml:space="preserve">10579,4 млн. руб.). Это обстоятельно не позволяет объективно оценить рост (либо снижение) планируемых на 2021 год бюджетных ассигнований относительно текущего года, делает внесенный проект непрозрачным для </w:t>
      </w:r>
      <w:r w:rsidR="00BF2851">
        <w:t>рассмотрения</w:t>
      </w:r>
      <w:r w:rsidR="00E12955">
        <w:t xml:space="preserve"> и финансово-экономической экспертизы.</w:t>
      </w:r>
    </w:p>
    <w:p w14:paraId="021E054A" w14:textId="77777777" w:rsidR="0063329A" w:rsidRPr="0063329A" w:rsidRDefault="0063329A" w:rsidP="0063329A">
      <w:pPr>
        <w:ind w:firstLine="720"/>
        <w:jc w:val="both"/>
        <w:rPr>
          <w:u w:val="single"/>
        </w:rPr>
      </w:pPr>
      <w:r>
        <w:t>Основным</w:t>
      </w:r>
      <w:r w:rsidR="00772E1D">
        <w:t xml:space="preserve"> факторо</w:t>
      </w:r>
      <w:r>
        <w:t>м</w:t>
      </w:r>
      <w:r w:rsidR="00772E1D">
        <w:t xml:space="preserve"> с</w:t>
      </w:r>
      <w:r>
        <w:t xml:space="preserve">ложившегося расхождения послужил тот факт, что при внесении в августе 2020 года поправок в закон о бюджете </w:t>
      </w:r>
      <w:r w:rsidR="007013FB">
        <w:t xml:space="preserve">на текущий год </w:t>
      </w:r>
      <w:r>
        <w:rPr>
          <w:bCs/>
        </w:rPr>
        <w:t xml:space="preserve">в составе безвозмездных поступлений не был предусмотрен весь перечень доходов, отраженных в </w:t>
      </w:r>
      <w:r>
        <w:t xml:space="preserve">Оценке ожидаемого исполнения областного бюджета в 2020 году, а также объем отдельных </w:t>
      </w:r>
      <w:r w:rsidR="007013FB">
        <w:t>межбюджетных трансфертов из федерального бюджета</w:t>
      </w:r>
      <w:r>
        <w:t xml:space="preserve">, </w:t>
      </w:r>
      <w:r w:rsidR="00C7411F">
        <w:t xml:space="preserve">уже </w:t>
      </w:r>
      <w:r>
        <w:t xml:space="preserve">поступивших на 01.07.2020 в областной бюджет </w:t>
      </w:r>
      <w:r>
        <w:lastRenderedPageBreak/>
        <w:t xml:space="preserve">и частично израсходованных. По предварительной оценке КСП </w:t>
      </w:r>
      <w:r w:rsidRPr="0063329A">
        <w:rPr>
          <w:u w:val="single"/>
        </w:rPr>
        <w:t xml:space="preserve">в составе доходов областного бюджета не были учтены безвозмездные поступления в размере не менее 4408,7 млн. рублей. </w:t>
      </w:r>
    </w:p>
    <w:p w14:paraId="54BD8BD9" w14:textId="77777777" w:rsidR="0063329A" w:rsidRDefault="0063329A" w:rsidP="0063329A">
      <w:pPr>
        <w:ind w:firstLine="720"/>
        <w:jc w:val="both"/>
      </w:pPr>
      <w:r>
        <w:t xml:space="preserve">Неполное отражение доходов областного бюджета </w:t>
      </w:r>
      <w:r w:rsidR="00FB2A90">
        <w:t>повлекло</w:t>
      </w:r>
      <w:r>
        <w:t xml:space="preserve"> за собой и неполное отражение расходов, о чем свидетельств</w:t>
      </w:r>
      <w:r w:rsidR="00FB2A90">
        <w:t>овали</w:t>
      </w:r>
      <w:r>
        <w:t xml:space="preserve"> результаты </w:t>
      </w:r>
      <w:r w:rsidR="00C7411F">
        <w:t xml:space="preserve">проведенного палатой </w:t>
      </w:r>
      <w:r>
        <w:t>сравнительного анализа  показателей законопроекта с данными сводной бюджетной росписи расходов согласно форме отчетности №0503117 на 01.07.2020. Так, согласно сводной бюджетной росписи на указанную дату бюджетные ассигнования, распределенные по разделам (подразделам) функциональной классификации расходов областного бюджета, составил</w:t>
      </w:r>
      <w:r w:rsidR="00C7411F">
        <w:t>и</w:t>
      </w:r>
      <w:r>
        <w:t xml:space="preserve"> 122259,7 млн. руб., что на 2823,1 млн. руб. </w:t>
      </w:r>
      <w:r w:rsidR="00C7411F">
        <w:t>превышало ассигнования, предусмотренные</w:t>
      </w:r>
      <w:r>
        <w:t xml:space="preserve"> законопроект</w:t>
      </w:r>
      <w:r w:rsidR="00C7411F">
        <w:t>ом</w:t>
      </w:r>
      <w:r>
        <w:t xml:space="preserve">. </w:t>
      </w:r>
    </w:p>
    <w:p w14:paraId="06AAE4DF" w14:textId="77777777" w:rsidR="00F95859" w:rsidRDefault="00C7411F" w:rsidP="00C7411F">
      <w:pPr>
        <w:ind w:firstLine="708"/>
        <w:jc w:val="both"/>
      </w:pPr>
      <w:r>
        <w:t xml:space="preserve">Данные несоответствия КСП отмечала в своем экспертном заключении на поправки в закон об областном бюджете на 2020 год, внесенные Администрацией Волгоградской области в августе текущего года. </w:t>
      </w:r>
      <w:r w:rsidR="00F95859">
        <w:t xml:space="preserve">В целях соблюдения принципа полноты отражения доходов, расходов и источников финансирования дефицита бюджета, определенного статьей 32 БК РФ, </w:t>
      </w:r>
      <w:r w:rsidR="00FC7917">
        <w:t xml:space="preserve">КСП рекомендовала Администрации области </w:t>
      </w:r>
      <w:r w:rsidR="00F95859">
        <w:t xml:space="preserve">при окончательном уточнении </w:t>
      </w:r>
      <w:r w:rsidR="00FC7917">
        <w:t xml:space="preserve">параметров </w:t>
      </w:r>
      <w:r w:rsidR="00F95859">
        <w:t>областного бюджета на 2020 год объем доходов бюджета, в том числе безвозмездных поступлений привести в соответствие с законом о федеральном бюджете и иными документами о распределении межбюджетных трансфертов Волгоградской области из федерального бюджета, расходы – в соответствие со сводной бюджетной росписью, в которую в процессе исполнения бюджета комитетом финансов Волгоградской области в рамках предоставленных ему законодательством полномочий</w:t>
      </w:r>
      <w:r>
        <w:t xml:space="preserve"> вносились изменения без внесения соответствующих изменений в закон о бюджете </w:t>
      </w:r>
      <w:r w:rsidR="00F95859">
        <w:t xml:space="preserve">. </w:t>
      </w:r>
    </w:p>
    <w:p w14:paraId="651AEBBE" w14:textId="77777777" w:rsidR="0076373D" w:rsidRPr="00FC7917" w:rsidRDefault="00FC7917" w:rsidP="00FC7917">
      <w:pPr>
        <w:keepNext/>
        <w:keepLines/>
        <w:autoSpaceDE w:val="0"/>
        <w:autoSpaceDN w:val="0"/>
        <w:adjustRightInd w:val="0"/>
        <w:jc w:val="both"/>
        <w:rPr>
          <w:u w:val="single"/>
        </w:rPr>
      </w:pPr>
      <w:r>
        <w:tab/>
      </w:r>
      <w:r w:rsidR="00BD70FD">
        <w:t>В процессе подготовки настоящего (1</w:t>
      </w:r>
      <w:r w:rsidR="00AE6DBE">
        <w:t>8</w:t>
      </w:r>
      <w:r w:rsidR="00BD70FD">
        <w:t xml:space="preserve">.11.2020) </w:t>
      </w:r>
      <w:r w:rsidR="00AE6DBE">
        <w:t xml:space="preserve">Администрацией Волгоградской области </w:t>
      </w:r>
      <w:r w:rsidR="00BD70FD">
        <w:t xml:space="preserve">внесены поправки в закон об областном бюджете на 2020 год, которые до момента представления заключения </w:t>
      </w:r>
      <w:r w:rsidR="00827C88">
        <w:t>на проект бюджета к</w:t>
      </w:r>
      <w:r w:rsidR="00BD70FD">
        <w:t xml:space="preserve"> 1 чтени</w:t>
      </w:r>
      <w:r w:rsidR="00827C88">
        <w:t>ю</w:t>
      </w:r>
      <w:r w:rsidR="00BD70FD">
        <w:t xml:space="preserve"> палатой не рассмотрены</w:t>
      </w:r>
      <w:r w:rsidR="00AE6DBE">
        <w:t>.</w:t>
      </w:r>
    </w:p>
    <w:p w14:paraId="54D2C2B8" w14:textId="77777777" w:rsidR="003C137F" w:rsidRDefault="003C137F" w:rsidP="003C137F">
      <w:pPr>
        <w:ind w:firstLine="709"/>
        <w:jc w:val="both"/>
        <w:rPr>
          <w:u w:val="single"/>
        </w:rPr>
      </w:pPr>
      <w:r w:rsidRPr="00336D47">
        <w:rPr>
          <w:b/>
          <w:i/>
        </w:rPr>
        <w:t>Статьей 43 законопроекта</w:t>
      </w:r>
      <w:r>
        <w:t xml:space="preserve"> </w:t>
      </w:r>
      <w:r w:rsidR="000B7114">
        <w:t xml:space="preserve">определен </w:t>
      </w:r>
      <w:r>
        <w:t>объем бюджетных ассигнований дорожного фонда Волгоградской области на 2021 год в сумме 12245,5 млн. руб., что меньше прогнозируемого объема соответствующих доходов (15784,2 млн. руб.) на 3538,7 млн. руб. (22,4%) и является нарушением п</w:t>
      </w:r>
      <w:r w:rsidR="000B7114">
        <w:t>ункта</w:t>
      </w:r>
      <w:r>
        <w:t xml:space="preserve"> 4 ст</w:t>
      </w:r>
      <w:r w:rsidR="000B7114">
        <w:t>атьи</w:t>
      </w:r>
      <w:r>
        <w:t xml:space="preserve"> 179.4 БК РФ, согласно которой объем бюджетных ассигнований дорожного фонда</w:t>
      </w:r>
      <w:r w:rsidRPr="00644916">
        <w:t xml:space="preserve"> утверждается законом субъекта </w:t>
      </w:r>
      <w:r>
        <w:t>РФ</w:t>
      </w:r>
      <w:r w:rsidRPr="00644916">
        <w:t xml:space="preserve"> о бюджете на очередной финансовый год и плановый период </w:t>
      </w:r>
      <w:r w:rsidRPr="00E81328">
        <w:rPr>
          <w:u w:val="single"/>
        </w:rPr>
        <w:t>в размере не менее прогнозируемого объема установленных законом субъекта РФ</w:t>
      </w:r>
      <w:r>
        <w:rPr>
          <w:u w:val="single"/>
        </w:rPr>
        <w:t xml:space="preserve"> доходов дорожного фонда. </w:t>
      </w:r>
    </w:p>
    <w:p w14:paraId="3484FFDC" w14:textId="77777777" w:rsidR="003C137F" w:rsidRDefault="003C137F" w:rsidP="003C137F">
      <w:pPr>
        <w:ind w:firstLine="709"/>
        <w:jc w:val="both"/>
      </w:pPr>
      <w:r>
        <w:t>КСП ежегодно обращает внимание на</w:t>
      </w:r>
      <w:r w:rsidRPr="000366E7">
        <w:t xml:space="preserve"> нарушения бюджетного законодательства при формировании </w:t>
      </w:r>
      <w:r w:rsidR="009C76EF">
        <w:t xml:space="preserve">областного </w:t>
      </w:r>
      <w:r w:rsidRPr="000366E7">
        <w:t>дорожного фонда</w:t>
      </w:r>
      <w:r w:rsidR="00F0790B">
        <w:t xml:space="preserve">, в результате которых </w:t>
      </w:r>
      <w:r>
        <w:t>за 2016-2020 годы отрасль дорожного хозяйства Волгоградской области не</w:t>
      </w:r>
      <w:r w:rsidR="00F0790B">
        <w:t>до</w:t>
      </w:r>
      <w:r>
        <w:t xml:space="preserve">получила 6715,6 млн. руб., </w:t>
      </w:r>
      <w:r w:rsidR="00F0790B">
        <w:t>или</w:t>
      </w:r>
      <w:r>
        <w:t xml:space="preserve"> 11,4</w:t>
      </w:r>
      <w:r w:rsidRPr="00E87FD3">
        <w:t>%</w:t>
      </w:r>
      <w:r>
        <w:t xml:space="preserve"> от объ</w:t>
      </w:r>
      <w:r w:rsidR="00F0790B">
        <w:t>е</w:t>
      </w:r>
      <w:r>
        <w:t>ма поступивших, законодательно установленных, доходов (59341 млн. руб.).</w:t>
      </w:r>
    </w:p>
    <w:p w14:paraId="6D586DCA" w14:textId="77777777" w:rsidR="003C137F" w:rsidRDefault="003C137F" w:rsidP="003C137F">
      <w:pPr>
        <w:ind w:firstLine="709"/>
        <w:jc w:val="both"/>
      </w:pPr>
    </w:p>
    <w:tbl>
      <w:tblPr>
        <w:tblW w:w="11170" w:type="dxa"/>
        <w:tblInd w:w="-1139" w:type="dxa"/>
        <w:tblLook w:val="04A0" w:firstRow="1" w:lastRow="0" w:firstColumn="1" w:lastColumn="0" w:noHBand="0" w:noVBand="1"/>
      </w:tblPr>
      <w:tblGrid>
        <w:gridCol w:w="459"/>
        <w:gridCol w:w="1618"/>
        <w:gridCol w:w="216"/>
        <w:gridCol w:w="2013"/>
        <w:gridCol w:w="842"/>
        <w:gridCol w:w="838"/>
        <w:gridCol w:w="698"/>
        <w:gridCol w:w="899"/>
        <w:gridCol w:w="1035"/>
        <w:gridCol w:w="851"/>
        <w:gridCol w:w="850"/>
        <w:gridCol w:w="851"/>
      </w:tblGrid>
      <w:tr w:rsidR="003C137F" w:rsidRPr="009C29A6" w14:paraId="0B4D850C" w14:textId="77777777" w:rsidTr="00461721">
        <w:trPr>
          <w:trHeight w:val="20"/>
        </w:trPr>
        <w:tc>
          <w:tcPr>
            <w:tcW w:w="43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78DA89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B939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987F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12358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AD54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3880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36D4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42EC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44C1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</w:tr>
      <w:tr w:rsidR="003C137F" w:rsidRPr="009C29A6" w14:paraId="6C9BBA1F" w14:textId="77777777" w:rsidTr="009E01F0">
        <w:trPr>
          <w:trHeight w:val="20"/>
        </w:trPr>
        <w:tc>
          <w:tcPr>
            <w:tcW w:w="430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5C42C" w14:textId="77777777" w:rsidR="003C137F" w:rsidRPr="009C29A6" w:rsidRDefault="003C137F" w:rsidP="003C13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A945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9B5F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8D82" w14:textId="77777777" w:rsidR="003C137F" w:rsidRPr="009C29A6" w:rsidRDefault="003C137F" w:rsidP="003C13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Законопроект</w:t>
            </w:r>
          </w:p>
        </w:tc>
      </w:tr>
      <w:tr w:rsidR="009E01F0" w:rsidRPr="009C29A6" w14:paraId="78548390" w14:textId="77777777" w:rsidTr="009E01F0">
        <w:trPr>
          <w:trHeight w:val="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D4027E1" w14:textId="77777777" w:rsidR="003C137F" w:rsidRPr="009C29A6" w:rsidRDefault="003C137F" w:rsidP="003C137F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8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BCE1" w14:textId="77777777" w:rsidR="003C137F" w:rsidRPr="009C29A6" w:rsidRDefault="003C137F" w:rsidP="00E141FF">
            <w:pPr>
              <w:jc w:val="center"/>
              <w:rPr>
                <w:color w:val="000000"/>
                <w:sz w:val="20"/>
                <w:szCs w:val="20"/>
              </w:rPr>
            </w:pPr>
            <w:r w:rsidRPr="009C29A6">
              <w:rPr>
                <w:color w:val="000000"/>
                <w:sz w:val="20"/>
                <w:szCs w:val="20"/>
              </w:rPr>
              <w:t>Акцизы на нефтепродукты*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CAEB" w14:textId="77777777" w:rsidR="003C137F" w:rsidRPr="009C29A6" w:rsidRDefault="003C137F" w:rsidP="00E141FF">
            <w:pPr>
              <w:rPr>
                <w:color w:val="000000"/>
                <w:sz w:val="20"/>
                <w:szCs w:val="20"/>
              </w:rPr>
            </w:pPr>
            <w:r w:rsidRPr="009C29A6">
              <w:rPr>
                <w:color w:val="000000"/>
                <w:sz w:val="20"/>
                <w:szCs w:val="20"/>
              </w:rPr>
              <w:t>В целях формирования дор</w:t>
            </w:r>
            <w:r w:rsidR="00E141FF">
              <w:rPr>
                <w:color w:val="000000"/>
                <w:sz w:val="20"/>
                <w:szCs w:val="20"/>
              </w:rPr>
              <w:t>ожных</w:t>
            </w:r>
            <w:r w:rsidRPr="009C29A6">
              <w:rPr>
                <w:color w:val="000000"/>
                <w:sz w:val="20"/>
                <w:szCs w:val="20"/>
              </w:rPr>
              <w:t xml:space="preserve"> фондов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88A3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5 913,5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CB4D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4 906,0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2D01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5 354,0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645A6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6 167,5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B351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5 939,7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053D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7 067,4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D4B1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7 644,2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7AD8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7 764,4</w:t>
            </w:r>
          </w:p>
        </w:tc>
      </w:tr>
      <w:tr w:rsidR="009E01F0" w:rsidRPr="009C29A6" w14:paraId="59340247" w14:textId="77777777" w:rsidTr="009E01F0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81602" w14:textId="77777777" w:rsidR="003C137F" w:rsidRPr="009C29A6" w:rsidRDefault="003C137F" w:rsidP="003C13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13DBE" w14:textId="77777777" w:rsidR="003C137F" w:rsidRPr="009C29A6" w:rsidRDefault="003C137F" w:rsidP="003C13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74E5" w14:textId="77777777" w:rsidR="003C137F" w:rsidRPr="009C29A6" w:rsidRDefault="003C137F" w:rsidP="003C137F">
            <w:pPr>
              <w:rPr>
                <w:color w:val="000000"/>
                <w:sz w:val="20"/>
                <w:szCs w:val="20"/>
              </w:rPr>
            </w:pPr>
            <w:r w:rsidRPr="009C29A6">
              <w:rPr>
                <w:color w:val="000000"/>
                <w:sz w:val="20"/>
                <w:szCs w:val="20"/>
              </w:rPr>
              <w:t>В целях реализации НП БКАД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4AFB" w14:textId="77777777" w:rsidR="003C137F" w:rsidRPr="009C29A6" w:rsidRDefault="003C137F" w:rsidP="003C137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7E8F" w14:textId="77777777" w:rsidR="003C137F" w:rsidRPr="009C29A6" w:rsidRDefault="003C137F" w:rsidP="003C137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2C10" w14:textId="77777777" w:rsidR="003C137F" w:rsidRPr="009C29A6" w:rsidRDefault="003C137F" w:rsidP="003C137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1BE2" w14:textId="77777777" w:rsidR="003C137F" w:rsidRPr="009C29A6" w:rsidRDefault="003C137F" w:rsidP="003C137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7E2E" w14:textId="77777777" w:rsidR="003C137F" w:rsidRPr="009C29A6" w:rsidRDefault="003C137F" w:rsidP="003C137F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1 512,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4C5B" w14:textId="77777777" w:rsidR="003C137F" w:rsidRPr="009C29A6" w:rsidRDefault="003C137F" w:rsidP="003C137F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4 959,7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07E3" w14:textId="77777777" w:rsidR="003C137F" w:rsidRPr="009C29A6" w:rsidRDefault="003C137F" w:rsidP="003C137F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5 176,3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7E95" w14:textId="77777777" w:rsidR="003C137F" w:rsidRPr="009C29A6" w:rsidRDefault="003C137F" w:rsidP="003C137F">
            <w:pPr>
              <w:jc w:val="right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7 198,7</w:t>
            </w:r>
          </w:p>
        </w:tc>
      </w:tr>
      <w:tr w:rsidR="009E01F0" w:rsidRPr="009C29A6" w14:paraId="3B9869CB" w14:textId="77777777" w:rsidTr="009E01F0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84A11" w14:textId="77777777" w:rsidR="003C137F" w:rsidRPr="009C29A6" w:rsidRDefault="003C137F" w:rsidP="003C13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33B5" w14:textId="77777777" w:rsidR="003C137F" w:rsidRPr="009C29A6" w:rsidRDefault="003C137F" w:rsidP="003C137F">
            <w:pPr>
              <w:rPr>
                <w:color w:val="000000"/>
                <w:sz w:val="20"/>
                <w:szCs w:val="20"/>
              </w:rPr>
            </w:pPr>
            <w:r w:rsidRPr="009C29A6">
              <w:rPr>
                <w:color w:val="000000"/>
                <w:sz w:val="20"/>
                <w:szCs w:val="20"/>
              </w:rPr>
              <w:t>Транспортный налог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962C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1 621,8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F3A6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1 774,5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DCBA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1 859,4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2B8F7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2 047,5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EBD0F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2 078,3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E6C7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2 151,8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4394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2 226,8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2BBB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2 306,9</w:t>
            </w:r>
          </w:p>
        </w:tc>
      </w:tr>
      <w:tr w:rsidR="009E01F0" w:rsidRPr="009C29A6" w14:paraId="5D5C46DF" w14:textId="77777777" w:rsidTr="009E01F0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F67D0" w14:textId="77777777" w:rsidR="003C137F" w:rsidRPr="009C29A6" w:rsidRDefault="003C137F" w:rsidP="003C13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72F4" w14:textId="77777777" w:rsidR="003C137F" w:rsidRPr="009C29A6" w:rsidRDefault="003C137F" w:rsidP="003C137F">
            <w:pPr>
              <w:rPr>
                <w:color w:val="000000"/>
                <w:sz w:val="20"/>
                <w:szCs w:val="20"/>
              </w:rPr>
            </w:pPr>
            <w:r w:rsidRPr="009C29A6">
              <w:rPr>
                <w:color w:val="000000"/>
                <w:sz w:val="20"/>
                <w:szCs w:val="20"/>
              </w:rPr>
              <w:t>Штрафы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ACB1" w14:textId="77777777" w:rsidR="003C137F" w:rsidRPr="009C29A6" w:rsidRDefault="003C137F" w:rsidP="003C137F">
            <w:pPr>
              <w:rPr>
                <w:sz w:val="16"/>
                <w:szCs w:val="16"/>
              </w:rPr>
            </w:pPr>
            <w:r w:rsidRPr="009C29A6">
              <w:rPr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9E907" w14:textId="77777777" w:rsidR="003C137F" w:rsidRPr="009C29A6" w:rsidRDefault="003C137F" w:rsidP="003C137F">
            <w:pPr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8C81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1E55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1 206,6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8B2E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1 133,3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378D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962,9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263E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962,9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E279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962,9</w:t>
            </w:r>
          </w:p>
        </w:tc>
      </w:tr>
      <w:tr w:rsidR="009E01F0" w:rsidRPr="009C29A6" w14:paraId="71EF4B2E" w14:textId="77777777" w:rsidTr="009E01F0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7D039" w14:textId="77777777" w:rsidR="003C137F" w:rsidRPr="009C29A6" w:rsidRDefault="003C137F" w:rsidP="003C13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F42D" w14:textId="77777777" w:rsidR="003C137F" w:rsidRPr="009C29A6" w:rsidRDefault="003C137F" w:rsidP="003C137F">
            <w:pPr>
              <w:rPr>
                <w:color w:val="000000"/>
                <w:sz w:val="20"/>
                <w:szCs w:val="20"/>
              </w:rPr>
            </w:pPr>
            <w:r w:rsidRPr="009C29A6">
              <w:rPr>
                <w:color w:val="000000"/>
                <w:sz w:val="20"/>
                <w:szCs w:val="20"/>
              </w:rPr>
              <w:t>Межбюджетные трансферты из ФБ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112D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4 116,9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D958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3 565,9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D152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2 270,6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1426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3 885,8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CDC16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3 867,2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3E939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642,4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F027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687,4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B45D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165,8</w:t>
            </w:r>
          </w:p>
        </w:tc>
      </w:tr>
      <w:tr w:rsidR="009E01F0" w:rsidRPr="009C29A6" w14:paraId="6383016E" w14:textId="77777777" w:rsidTr="009E01F0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21BF" w14:textId="77777777" w:rsidR="003C137F" w:rsidRPr="009C29A6" w:rsidRDefault="003C137F" w:rsidP="003C13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3D94" w14:textId="77777777" w:rsidR="003C137F" w:rsidRPr="009C29A6" w:rsidRDefault="003C137F" w:rsidP="003C137F">
            <w:pPr>
              <w:rPr>
                <w:color w:val="000000"/>
                <w:sz w:val="20"/>
                <w:szCs w:val="20"/>
              </w:rPr>
            </w:pPr>
            <w:r w:rsidRPr="009C29A6">
              <w:rPr>
                <w:color w:val="000000"/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A4284" w14:textId="77777777" w:rsidR="003C137F" w:rsidRPr="009C29A6" w:rsidRDefault="003C137F" w:rsidP="003C137F">
            <w:pPr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7D39" w14:textId="77777777" w:rsidR="003C137F" w:rsidRPr="009C29A6" w:rsidRDefault="003C137F" w:rsidP="003C137F">
            <w:pPr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C12F" w14:textId="77777777" w:rsidR="003C137F" w:rsidRPr="009C29A6" w:rsidRDefault="003C137F" w:rsidP="003C137F">
            <w:pPr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FADF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0BD6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EDE1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A21C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F00D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9E01F0" w:rsidRPr="009C29A6" w14:paraId="4C6EF6DB" w14:textId="77777777" w:rsidTr="009E01F0">
        <w:trPr>
          <w:trHeight w:val="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AC994" w14:textId="77777777" w:rsidR="003C137F" w:rsidRPr="009C29A6" w:rsidRDefault="003C137F" w:rsidP="00F079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0CD4" w14:textId="77777777" w:rsidR="003C137F" w:rsidRPr="009C29A6" w:rsidRDefault="003C137F" w:rsidP="00F079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0797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11 652,2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1F53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10 246,4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631B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9 484,0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E63C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13 427,4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8D6C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14 531,0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4B5C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15 784,2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148A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16 697,6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BF63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18 398,6</w:t>
            </w:r>
          </w:p>
        </w:tc>
      </w:tr>
      <w:tr w:rsidR="003C137F" w:rsidRPr="009C29A6" w14:paraId="729DCBBD" w14:textId="77777777" w:rsidTr="009E01F0">
        <w:trPr>
          <w:trHeight w:val="20"/>
        </w:trPr>
        <w:tc>
          <w:tcPr>
            <w:tcW w:w="4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58010ABF" w14:textId="77777777" w:rsidR="003C137F" w:rsidRPr="009C29A6" w:rsidRDefault="003C137F" w:rsidP="00F079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1D66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8 854,3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ADFD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8 996,8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BE3F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8 512,6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29C3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12 309,4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047D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13 952,3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29C5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12 245,5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35DF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13 168,0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748C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15 535,2</w:t>
            </w:r>
          </w:p>
        </w:tc>
      </w:tr>
      <w:tr w:rsidR="003C137F" w:rsidRPr="009C29A6" w14:paraId="4229652A" w14:textId="77777777" w:rsidTr="00E339EF">
        <w:trPr>
          <w:trHeight w:val="20"/>
        </w:trPr>
        <w:tc>
          <w:tcPr>
            <w:tcW w:w="43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E0A4C" w14:textId="77777777" w:rsidR="003C137F" w:rsidRPr="009C29A6" w:rsidRDefault="003C137F" w:rsidP="00F079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C29A6">
              <w:rPr>
                <w:b/>
                <w:bCs/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0BFDCA2C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-2 797,9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2241B52E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-1 249,6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4DD06C38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-971,4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4FD47743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-1 118,0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24F013CB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-587,7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29340D0B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-3 538,7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4CE51E9C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-3 529,6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noWrap/>
            <w:vAlign w:val="center"/>
            <w:hideMark/>
          </w:tcPr>
          <w:p w14:paraId="0CD428AE" w14:textId="77777777" w:rsidR="003C137F" w:rsidRPr="009C29A6" w:rsidRDefault="003C137F" w:rsidP="003C137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9C29A6">
              <w:rPr>
                <w:b/>
                <w:bCs/>
                <w:color w:val="000000"/>
                <w:sz w:val="16"/>
                <w:szCs w:val="16"/>
              </w:rPr>
              <w:t>-2 863,5</w:t>
            </w:r>
          </w:p>
        </w:tc>
      </w:tr>
      <w:tr w:rsidR="003C137F" w:rsidRPr="009C29A6" w14:paraId="313E3F12" w14:textId="77777777" w:rsidTr="00E339EF">
        <w:trPr>
          <w:trHeight w:val="20"/>
        </w:trPr>
        <w:tc>
          <w:tcPr>
            <w:tcW w:w="430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1AE0D0" w14:textId="77777777" w:rsidR="003C137F" w:rsidRPr="009C29A6" w:rsidRDefault="003C137F" w:rsidP="003C13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5C43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-24,0%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41DE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-12,2%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BF16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-10,2%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75DF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-8,3%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BE5C6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-4,0%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96DA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-22,4%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EC55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-21,1%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4921" w14:textId="77777777" w:rsidR="003C137F" w:rsidRPr="009C29A6" w:rsidRDefault="003C137F" w:rsidP="003C137F">
            <w:pPr>
              <w:jc w:val="right"/>
              <w:rPr>
                <w:color w:val="000000"/>
                <w:sz w:val="16"/>
                <w:szCs w:val="16"/>
              </w:rPr>
            </w:pPr>
            <w:r w:rsidRPr="009C29A6">
              <w:rPr>
                <w:color w:val="000000"/>
                <w:sz w:val="16"/>
                <w:szCs w:val="16"/>
              </w:rPr>
              <w:t>-15,6%</w:t>
            </w:r>
          </w:p>
        </w:tc>
      </w:tr>
      <w:tr w:rsidR="009E01F0" w:rsidRPr="009C29A6" w14:paraId="0E22A4D9" w14:textId="77777777" w:rsidTr="009E01F0">
        <w:trPr>
          <w:trHeight w:val="20"/>
        </w:trPr>
        <w:tc>
          <w:tcPr>
            <w:tcW w:w="2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6557" w14:textId="77777777" w:rsidR="003C137F" w:rsidRPr="009C29A6" w:rsidRDefault="003C137F" w:rsidP="00F0790B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*справочно</w:t>
            </w:r>
            <w:r w:rsidR="00F0790B">
              <w:rPr>
                <w:i/>
                <w:iCs/>
                <w:color w:val="000000"/>
                <w:sz w:val="16"/>
                <w:szCs w:val="16"/>
              </w:rPr>
              <w:t>:</w:t>
            </w:r>
            <w:r w:rsidRPr="009C29A6">
              <w:rPr>
                <w:i/>
                <w:iCs/>
                <w:color w:val="000000"/>
                <w:sz w:val="16"/>
                <w:szCs w:val="16"/>
              </w:rPr>
              <w:t xml:space="preserve"> норматив зачисления в бюджеты субъектов РФ, %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7F3D" w14:textId="77777777" w:rsidR="003C137F" w:rsidRPr="009C29A6" w:rsidRDefault="003C137F" w:rsidP="00F0790B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В целях формирования дор</w:t>
            </w:r>
            <w:r w:rsidR="00F0790B">
              <w:rPr>
                <w:i/>
                <w:iCs/>
                <w:color w:val="000000"/>
                <w:sz w:val="16"/>
                <w:szCs w:val="16"/>
              </w:rPr>
              <w:t>ожных</w:t>
            </w:r>
            <w:r w:rsidRPr="009C29A6">
              <w:rPr>
                <w:i/>
                <w:iCs/>
                <w:color w:val="000000"/>
                <w:sz w:val="16"/>
                <w:szCs w:val="16"/>
              </w:rPr>
              <w:t xml:space="preserve"> фондов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2FAF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88,0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3553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61,7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8897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57,1-84,41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0816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86,65-58,1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F7F3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1BD1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E20A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6D8E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58,2</w:t>
            </w:r>
          </w:p>
        </w:tc>
      </w:tr>
      <w:tr w:rsidR="009E01F0" w:rsidRPr="009C29A6" w14:paraId="06488070" w14:textId="77777777" w:rsidTr="009E01F0">
        <w:trPr>
          <w:trHeight w:val="20"/>
        </w:trPr>
        <w:tc>
          <w:tcPr>
            <w:tcW w:w="2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ADE83" w14:textId="77777777" w:rsidR="003C137F" w:rsidRPr="009C29A6" w:rsidRDefault="003C137F" w:rsidP="003C137F">
            <w:pPr>
              <w:rPr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44F2" w14:textId="77777777" w:rsidR="003C137F" w:rsidRPr="009C29A6" w:rsidRDefault="003C137F" w:rsidP="003C137F">
            <w:pPr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В целях реализации НП БКАД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CD55" w14:textId="77777777" w:rsidR="003C137F" w:rsidRPr="009C29A6" w:rsidRDefault="002A55D6" w:rsidP="009E01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126A" w14:textId="77777777" w:rsidR="003C137F" w:rsidRPr="009C29A6" w:rsidRDefault="00E339EF" w:rsidP="009E01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52DC" w14:textId="77777777" w:rsidR="003C137F" w:rsidRPr="009C29A6" w:rsidRDefault="009E01F0" w:rsidP="009E01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A08F" w14:textId="77777777" w:rsidR="003C137F" w:rsidRPr="009C29A6" w:rsidRDefault="00336D47" w:rsidP="009E01F0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513B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48FC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AB75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A563" w14:textId="77777777" w:rsidR="003C137F" w:rsidRPr="009C29A6" w:rsidRDefault="003C137F" w:rsidP="003C137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C29A6">
              <w:rPr>
                <w:i/>
                <w:iCs/>
                <w:color w:val="000000"/>
                <w:sz w:val="16"/>
                <w:szCs w:val="16"/>
              </w:rPr>
              <w:t>33,4</w:t>
            </w:r>
          </w:p>
        </w:tc>
      </w:tr>
    </w:tbl>
    <w:p w14:paraId="26740861" w14:textId="77777777" w:rsidR="00E339EF" w:rsidRDefault="00E339EF" w:rsidP="002A55D6">
      <w:pPr>
        <w:ind w:firstLine="709"/>
        <w:jc w:val="both"/>
      </w:pPr>
    </w:p>
    <w:p w14:paraId="4C7233D9" w14:textId="77777777" w:rsidR="002A55D6" w:rsidRDefault="002A55D6" w:rsidP="002A55D6">
      <w:pPr>
        <w:ind w:firstLine="709"/>
        <w:jc w:val="both"/>
      </w:pPr>
      <w:r>
        <w:t>Для наглядности информация об объе</w:t>
      </w:r>
      <w:r w:rsidR="00CB2280">
        <w:t>м</w:t>
      </w:r>
      <w:r>
        <w:t>ах недофинансирования дорожной отрасли представлена диаграммой.</w:t>
      </w:r>
    </w:p>
    <w:p w14:paraId="543BF807" w14:textId="77777777" w:rsidR="002A55D6" w:rsidRDefault="002A55D6" w:rsidP="002A55D6">
      <w:pPr>
        <w:ind w:firstLine="709"/>
        <w:jc w:val="both"/>
      </w:pPr>
    </w:p>
    <w:p w14:paraId="1BA70979" w14:textId="77777777" w:rsidR="002A55D6" w:rsidRDefault="002A55D6" w:rsidP="002A55D6">
      <w:pPr>
        <w:jc w:val="both"/>
      </w:pPr>
      <w:r>
        <w:rPr>
          <w:noProof/>
        </w:rPr>
        <w:drawing>
          <wp:inline distT="0" distB="0" distL="0" distR="0" wp14:anchorId="5575D1C3" wp14:editId="23FD0AC5">
            <wp:extent cx="5960853" cy="3234906"/>
            <wp:effectExtent l="0" t="0" r="1905" b="3810"/>
            <wp:docPr id="2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F8568679-468A-4C5D-BEEF-2699C98A6C9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2233421" w14:textId="77777777" w:rsidR="003C137F" w:rsidRDefault="003C137F" w:rsidP="003C137F">
      <w:pPr>
        <w:ind w:firstLine="709"/>
        <w:jc w:val="both"/>
      </w:pPr>
    </w:p>
    <w:p w14:paraId="4B93D9A3" w14:textId="77777777" w:rsidR="003C137F" w:rsidRDefault="003C137F" w:rsidP="003C137F">
      <w:pPr>
        <w:ind w:firstLine="709"/>
        <w:jc w:val="both"/>
      </w:pPr>
      <w:r>
        <w:t>В предыдущие годы разница объ</w:t>
      </w:r>
      <w:r w:rsidR="009E01F0">
        <w:t>ем</w:t>
      </w:r>
      <w:r>
        <w:t xml:space="preserve">ов декларативно «перераспределялась» на последующие годы как «неиспользованные </w:t>
      </w:r>
      <w:r>
        <w:rPr>
          <w:rFonts w:eastAsiaTheme="minorHAnsi"/>
          <w:lang w:eastAsia="en-US"/>
        </w:rPr>
        <w:t xml:space="preserve">бюджетные ассигнования дорожного фонда текущего года». В последующем такие декларации не реализовывались. Исключение составляет 2020 год, в течение которого в условиях </w:t>
      </w:r>
      <w:r>
        <w:t>существенного сокращения</w:t>
      </w:r>
      <w:r w:rsidRPr="008C58CA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прогнозируемого объема доходов дорожного фонда (на 1753,5 млн. руб.) </w:t>
      </w:r>
      <w:r>
        <w:t>объ</w:t>
      </w:r>
      <w:r w:rsidR="009E01F0">
        <w:t>е</w:t>
      </w:r>
      <w:r>
        <w:t>м ассигнований дорожного фонда Волгоградской области сокращ</w:t>
      </w:r>
      <w:r w:rsidR="009E01F0">
        <w:t>е</w:t>
      </w:r>
      <w:r>
        <w:t>н только на 365 млн. руб. (до 12140,2 млн. руб.). Такое неравномерное сокращение доходов и расходов позволило сократить р</w:t>
      </w:r>
      <w:r>
        <w:rPr>
          <w:rFonts w:eastAsiaTheme="minorHAnsi"/>
          <w:lang w:eastAsia="en-US"/>
        </w:rPr>
        <w:t>азрыв между объ</w:t>
      </w:r>
      <w:r w:rsidR="00B234A6">
        <w:rPr>
          <w:rFonts w:eastAsiaTheme="minorHAnsi"/>
          <w:lang w:eastAsia="en-US"/>
        </w:rPr>
        <w:t>е</w:t>
      </w:r>
      <w:r>
        <w:rPr>
          <w:rFonts w:eastAsiaTheme="minorHAnsi"/>
          <w:lang w:eastAsia="en-US"/>
        </w:rPr>
        <w:t xml:space="preserve">мом </w:t>
      </w:r>
      <w:r>
        <w:t>ассигнований дорожного фонда, сформированным в соответствии с бюджетным законодательством, и утверждаемым объемом, допущенный при формировании областного бюджета на 2020 год</w:t>
      </w:r>
      <w:r w:rsidR="00B234A6">
        <w:t>, с 1600,5 млн. руб. до 212 млн. рублей</w:t>
      </w:r>
      <w:r>
        <w:t>.</w:t>
      </w:r>
    </w:p>
    <w:p w14:paraId="0211219A" w14:textId="77777777" w:rsidR="003C137F" w:rsidRPr="00E47861" w:rsidRDefault="003C137F" w:rsidP="003C137F">
      <w:pPr>
        <w:autoSpaceDE w:val="0"/>
        <w:autoSpaceDN w:val="0"/>
        <w:adjustRightInd w:val="0"/>
        <w:ind w:firstLine="709"/>
        <w:jc w:val="both"/>
        <w:rPr>
          <w:rFonts w:eastAsiaTheme="minorHAnsi"/>
          <w:u w:val="single"/>
          <w:lang w:eastAsia="en-US"/>
        </w:rPr>
      </w:pPr>
      <w:r w:rsidRPr="00E47861">
        <w:rPr>
          <w:rFonts w:eastAsiaTheme="minorHAnsi"/>
          <w:u w:val="single"/>
          <w:lang w:eastAsia="en-US"/>
        </w:rPr>
        <w:t xml:space="preserve">Рассматриваемым законопроектом </w:t>
      </w:r>
      <w:r w:rsidRPr="00E47861">
        <w:rPr>
          <w:u w:val="single"/>
        </w:rPr>
        <w:t>не предусмотрено</w:t>
      </w:r>
      <w:r w:rsidRPr="00E47861">
        <w:rPr>
          <w:rFonts w:eastAsiaTheme="minorHAnsi"/>
          <w:u w:val="single"/>
          <w:lang w:eastAsia="en-US"/>
        </w:rPr>
        <w:t xml:space="preserve"> увеличение </w:t>
      </w:r>
      <w:r w:rsidRPr="00E47861">
        <w:rPr>
          <w:u w:val="single"/>
        </w:rPr>
        <w:t>ассигнований дорожного фонда на последующие годы на объ</w:t>
      </w:r>
      <w:r w:rsidR="00E47861" w:rsidRPr="00E47861">
        <w:rPr>
          <w:u w:val="single"/>
        </w:rPr>
        <w:t>е</w:t>
      </w:r>
      <w:r w:rsidRPr="00E47861">
        <w:rPr>
          <w:u w:val="single"/>
        </w:rPr>
        <w:t>мы занижения ассигнований дорожного фонда как в 2021 году, так и в 2022-2023 годах.</w:t>
      </w:r>
    </w:p>
    <w:p w14:paraId="6642CD30" w14:textId="77777777" w:rsidR="003C137F" w:rsidRDefault="003C137F" w:rsidP="003C137F">
      <w:pPr>
        <w:ind w:firstLine="709"/>
        <w:jc w:val="both"/>
      </w:pPr>
      <w:r w:rsidRPr="00736E77">
        <w:rPr>
          <w:rFonts w:eastAsiaTheme="minorHAnsi"/>
          <w:lang w:eastAsia="en-US"/>
        </w:rPr>
        <w:t xml:space="preserve">Следует обратить внимание на то, что с 2020 года доходы </w:t>
      </w:r>
      <w:r w:rsidRPr="00736E77">
        <w:t xml:space="preserve">от уплаты акцизов на нефтепродукты, которые являются источником формирования дорожного фонда Волгоградской области, разделены на доходы от уплаты акцизов на нефтепродукты в целях формирования дорожных фондов </w:t>
      </w:r>
      <w:r w:rsidR="00E47861">
        <w:t xml:space="preserve">и </w:t>
      </w:r>
      <w:r w:rsidRPr="00736E77">
        <w:t>доходы от уплаты акцизов на нефтепродукты в целях реализации национального проекта «Безопасные и качественные автомобильные дороги» (далее НП БКАД).</w:t>
      </w:r>
      <w:r>
        <w:t xml:space="preserve"> </w:t>
      </w:r>
      <w:r w:rsidRPr="00E87FD3">
        <w:t xml:space="preserve">Федеральным законодательством предусмотрено ежегодное увеличение </w:t>
      </w:r>
      <w:r w:rsidRPr="009C29A6">
        <w:rPr>
          <w:color w:val="000000"/>
        </w:rPr>
        <w:t>норматив</w:t>
      </w:r>
      <w:r w:rsidRPr="00E87FD3">
        <w:rPr>
          <w:color w:val="000000"/>
        </w:rPr>
        <w:t>а</w:t>
      </w:r>
      <w:r w:rsidRPr="009C29A6">
        <w:rPr>
          <w:color w:val="000000"/>
        </w:rPr>
        <w:t xml:space="preserve"> зачисления в бюджеты субъектов РФ</w:t>
      </w:r>
      <w:r w:rsidRPr="00E87FD3">
        <w:t xml:space="preserve"> доходов от уплаты акцизов на нефтепродукты в целях реализации НП БКАД с 8,4% в 2020</w:t>
      </w:r>
      <w:r>
        <w:t xml:space="preserve"> году до 33,</w:t>
      </w:r>
      <w:r w:rsidR="00E47861">
        <w:t>4% в 2023 году, что влечет увеличение объе</w:t>
      </w:r>
      <w:r>
        <w:t xml:space="preserve">мов этих доходов. </w:t>
      </w:r>
    </w:p>
    <w:p w14:paraId="2BC685C7" w14:textId="77777777" w:rsidR="003C137F" w:rsidRPr="00E87FD3" w:rsidRDefault="003C137F" w:rsidP="003C137F">
      <w:pPr>
        <w:ind w:firstLine="709"/>
        <w:jc w:val="both"/>
      </w:pPr>
      <w:r w:rsidRPr="00E87FD3">
        <w:t>Разница между объ</w:t>
      </w:r>
      <w:r w:rsidR="00E47861">
        <w:t>е</w:t>
      </w:r>
      <w:r w:rsidRPr="00E87FD3">
        <w:t>мом бюджетных ассигнований дорожного фонда Волгоградской области на 2021 год и объ</w:t>
      </w:r>
      <w:r w:rsidR="00E47861">
        <w:t>е</w:t>
      </w:r>
      <w:r w:rsidRPr="00E87FD3">
        <w:t>мом установленных законом доходов дорожного фонда (</w:t>
      </w:r>
      <w:r w:rsidR="00E036BE">
        <w:t xml:space="preserve">3538,7 </w:t>
      </w:r>
      <w:r w:rsidRPr="00E87FD3">
        <w:t xml:space="preserve">млн. руб.) сопоставима с объемом доходов от уплаты акцизов на нефтепродукты в целях реализации НП БКАД (4959,7 млн. руб.). </w:t>
      </w:r>
    </w:p>
    <w:p w14:paraId="7A06FDE1" w14:textId="77777777" w:rsidR="003C137F" w:rsidRDefault="003C137F" w:rsidP="003C137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E87FD3">
        <w:lastRenderedPageBreak/>
        <w:t>Такое занижение</w:t>
      </w:r>
      <w:r>
        <w:t xml:space="preserve"> объ</w:t>
      </w:r>
      <w:r w:rsidR="00E47861">
        <w:t>е</w:t>
      </w:r>
      <w:r>
        <w:t xml:space="preserve">ма бюджетных ассигнований дорожного фонда Волгоградской области увеличивает риски недостижения целей и решения задач, поставленных </w:t>
      </w:r>
      <w:r>
        <w:rPr>
          <w:rFonts w:eastAsiaTheme="minorHAnsi"/>
          <w:lang w:eastAsia="en-US"/>
        </w:rPr>
        <w:t xml:space="preserve">Указом Президента РФ от 07.05.2018 </w:t>
      </w:r>
      <w:r w:rsidR="00E47861">
        <w:rPr>
          <w:rFonts w:eastAsiaTheme="minorHAnsi"/>
          <w:lang w:eastAsia="en-US"/>
        </w:rPr>
        <w:t>№</w:t>
      </w:r>
      <w:r>
        <w:rPr>
          <w:rFonts w:eastAsiaTheme="minorHAnsi"/>
          <w:lang w:eastAsia="en-US"/>
        </w:rPr>
        <w:t>204 «О национальных целях и стратегических задачах развития Российской Федерации на период до 2024 года»</w:t>
      </w:r>
      <w:r w:rsidR="00E47861">
        <w:rPr>
          <w:rFonts w:eastAsiaTheme="minorHAnsi"/>
          <w:lang w:eastAsia="en-US"/>
        </w:rPr>
        <w:t>.</w:t>
      </w:r>
    </w:p>
    <w:p w14:paraId="794691BA" w14:textId="77777777" w:rsidR="003C137F" w:rsidRPr="006D371C" w:rsidRDefault="003C137F" w:rsidP="003C137F">
      <w:pPr>
        <w:autoSpaceDE w:val="0"/>
        <w:autoSpaceDN w:val="0"/>
        <w:adjustRightInd w:val="0"/>
        <w:ind w:firstLine="709"/>
        <w:jc w:val="both"/>
      </w:pPr>
      <w:r>
        <w:t>Согласно п</w:t>
      </w:r>
      <w:r w:rsidR="00E47861">
        <w:t>ункту</w:t>
      </w:r>
      <w:r>
        <w:t> </w:t>
      </w:r>
      <w:r w:rsidRPr="00DC523C">
        <w:t xml:space="preserve">4 </w:t>
      </w:r>
      <w:r>
        <w:t>ст</w:t>
      </w:r>
      <w:r w:rsidR="00E47861">
        <w:t>атьи</w:t>
      </w:r>
      <w:r>
        <w:t> </w:t>
      </w:r>
      <w:r w:rsidRPr="00DC523C">
        <w:t xml:space="preserve">179.4 БК РФ </w:t>
      </w:r>
      <w:bookmarkStart w:id="1" w:name="_Hlk56092036"/>
      <w:r>
        <w:rPr>
          <w:rFonts w:eastAsiaTheme="minorHAnsi"/>
          <w:lang w:eastAsia="en-US"/>
        </w:rPr>
        <w:t>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</w:t>
      </w:r>
      <w:r w:rsidR="00E47861">
        <w:rPr>
          <w:rFonts w:eastAsiaTheme="minorHAnsi"/>
          <w:lang w:eastAsia="en-US"/>
        </w:rPr>
        <w:t>,</w:t>
      </w:r>
      <w:r>
        <w:rPr>
          <w:rFonts w:eastAsiaTheme="minorHAnsi"/>
          <w:lang w:eastAsia="en-US"/>
        </w:rPr>
        <w:t xml:space="preserve"> </w:t>
      </w:r>
      <w:bookmarkEnd w:id="1"/>
      <w:r>
        <w:rPr>
          <w:rFonts w:eastAsiaTheme="minorHAnsi"/>
          <w:lang w:eastAsia="en-US"/>
        </w:rPr>
        <w:t xml:space="preserve">и </w:t>
      </w:r>
      <w:r w:rsidRPr="00DC523C">
        <w:t xml:space="preserve">объем бюджетных ассигнований дорожного фонда подлежит увеличению в текущем финансовом году и (или) очередном финансовом </w:t>
      </w:r>
      <w:r w:rsidRPr="006D7DD9">
        <w:t xml:space="preserve">году на положительную разницу между фактически поступившим и прогнозировавшимся объемом доходов бюджета, учитываемых при формировании дорожного фонда. </w:t>
      </w:r>
      <w:r>
        <w:t>Учитывая оценку исполнения областного бюджета в 2020 году</w:t>
      </w:r>
      <w:r w:rsidR="00E47861">
        <w:t>,</w:t>
      </w:r>
      <w:r>
        <w:t xml:space="preserve"> </w:t>
      </w:r>
      <w:r w:rsidRPr="006D371C">
        <w:t>объем бюджетных ассигнований дорожного фонда на 20</w:t>
      </w:r>
      <w:r>
        <w:t>21</w:t>
      </w:r>
      <w:r w:rsidRPr="006D371C">
        <w:t xml:space="preserve"> год</w:t>
      </w:r>
      <w:r>
        <w:t xml:space="preserve"> должен быть увеличен ещ</w:t>
      </w:r>
      <w:r w:rsidR="00E47861">
        <w:t>е</w:t>
      </w:r>
      <w:r>
        <w:t xml:space="preserve"> на 578,7 млн. руб</w:t>
      </w:r>
      <w:r w:rsidRPr="006D371C">
        <w:t>.</w:t>
      </w:r>
      <w:r>
        <w:t>,</w:t>
      </w:r>
      <w:r w:rsidRPr="006D371C">
        <w:t xml:space="preserve"> </w:t>
      </w:r>
      <w:r w:rsidR="00E47861">
        <w:t xml:space="preserve">что </w:t>
      </w:r>
      <w:r w:rsidRPr="006D371C">
        <w:t xml:space="preserve">внесенным законопроектом </w:t>
      </w:r>
      <w:r>
        <w:t>не предусмотрено</w:t>
      </w:r>
      <w:r w:rsidRPr="006D371C">
        <w:t>.</w:t>
      </w:r>
    </w:p>
    <w:p w14:paraId="2351897A" w14:textId="77777777" w:rsidR="003C137F" w:rsidRPr="00E47861" w:rsidRDefault="003C137F" w:rsidP="003C137F">
      <w:pPr>
        <w:ind w:firstLine="709"/>
        <w:jc w:val="both"/>
        <w:rPr>
          <w:u w:val="single"/>
        </w:rPr>
      </w:pPr>
      <w:r w:rsidRPr="006D371C">
        <w:t xml:space="preserve">Обобщая вышеизложенное, в соответствии с положениями бюджетного законодательства </w:t>
      </w:r>
      <w:r w:rsidRPr="00E47861">
        <w:rPr>
          <w:u w:val="single"/>
        </w:rPr>
        <w:t xml:space="preserve">объем бюджетных ассигнований дорожного фонда на 2021 год должен составлять не менее 16362,9 млн. руб., что на 4117,4 млн. руб., или на </w:t>
      </w:r>
      <w:r w:rsidR="00E47861">
        <w:rPr>
          <w:u w:val="single"/>
        </w:rPr>
        <w:t>33,6</w:t>
      </w:r>
      <w:r w:rsidRPr="00E47861">
        <w:rPr>
          <w:u w:val="single"/>
        </w:rPr>
        <w:t>% больше объема, предлагаемого к утверждению (12245,5 млн. руб.).</w:t>
      </w:r>
    </w:p>
    <w:p w14:paraId="0A13DF5F" w14:textId="77777777" w:rsidR="003C137F" w:rsidRDefault="000613C6" w:rsidP="004A3AD4">
      <w:pPr>
        <w:jc w:val="both"/>
      </w:pPr>
      <w:r>
        <w:tab/>
        <w:t xml:space="preserve">Последние несколько лет в качестве источника </w:t>
      </w:r>
      <w:r w:rsidR="003F59EA">
        <w:t xml:space="preserve">внутреннего </w:t>
      </w:r>
      <w:r>
        <w:t xml:space="preserve">финансирования дефицита областного бюджета комитетом финансов Волгоградской области привлекались средства со счетов государственных бюджетных и автономных учреждений, что не предусматривалось </w:t>
      </w:r>
      <w:r w:rsidR="003F59EA">
        <w:t xml:space="preserve">законами о бюджете </w:t>
      </w:r>
      <w:r w:rsidR="004C687D">
        <w:t>на соответствующи</w:t>
      </w:r>
      <w:r w:rsidR="004104F3">
        <w:t>е</w:t>
      </w:r>
      <w:r w:rsidR="004C687D">
        <w:t xml:space="preserve"> год</w:t>
      </w:r>
      <w:r w:rsidR="004104F3">
        <w:t>ы</w:t>
      </w:r>
      <w:r w:rsidR="004C687D">
        <w:t xml:space="preserve">. </w:t>
      </w:r>
      <w:r w:rsidR="004104F3">
        <w:t>При этом, к</w:t>
      </w:r>
      <w:r w:rsidR="004C687D">
        <w:t xml:space="preserve">ак правило, возврат привлеченных средств на счета учреждений до окончания финансового года </w:t>
      </w:r>
      <w:r w:rsidR="004104F3">
        <w:t xml:space="preserve">осуществлялся </w:t>
      </w:r>
      <w:r w:rsidR="004C687D">
        <w:t xml:space="preserve">не в полном объеме, что неоднократно отмечалось палатой в качества негативного фактора </w:t>
      </w:r>
      <w:r w:rsidR="004104F3">
        <w:t xml:space="preserve">при </w:t>
      </w:r>
      <w:r w:rsidR="004C687D">
        <w:t>исполнени</w:t>
      </w:r>
      <w:r w:rsidR="004104F3">
        <w:t>и</w:t>
      </w:r>
      <w:r w:rsidR="004C687D">
        <w:t xml:space="preserve"> </w:t>
      </w:r>
      <w:r w:rsidR="003F59EA">
        <w:t xml:space="preserve">областного </w:t>
      </w:r>
      <w:r w:rsidR="004C687D">
        <w:t>бюджета.</w:t>
      </w:r>
    </w:p>
    <w:p w14:paraId="376CEF04" w14:textId="77777777" w:rsidR="004104F3" w:rsidRPr="009B1A89" w:rsidRDefault="004104F3" w:rsidP="000613C6">
      <w:pPr>
        <w:jc w:val="both"/>
        <w:rPr>
          <w:u w:val="single"/>
        </w:rPr>
      </w:pPr>
      <w:r>
        <w:tab/>
      </w:r>
      <w:r w:rsidRPr="004104F3">
        <w:rPr>
          <w:u w:val="single"/>
        </w:rPr>
        <w:t xml:space="preserve">Новацией проекта бюджета на 2021-2023 годы явилось отражение указанного источника финансирования дефицита областного бюджета </w:t>
      </w:r>
      <w:r w:rsidR="009B1A89" w:rsidRPr="009B1A89">
        <w:rPr>
          <w:u w:val="single"/>
        </w:rPr>
        <w:t xml:space="preserve">(в виде иного источника) </w:t>
      </w:r>
      <w:r w:rsidRPr="009B1A89">
        <w:rPr>
          <w:u w:val="single"/>
        </w:rPr>
        <w:t xml:space="preserve">в </w:t>
      </w:r>
      <w:r w:rsidR="003F59EA">
        <w:rPr>
          <w:u w:val="single"/>
        </w:rPr>
        <w:t>составе</w:t>
      </w:r>
      <w:r w:rsidRPr="009B1A89">
        <w:rPr>
          <w:u w:val="single"/>
        </w:rPr>
        <w:t xml:space="preserve"> планируем</w:t>
      </w:r>
      <w:r w:rsidR="003F59EA">
        <w:rPr>
          <w:u w:val="single"/>
        </w:rPr>
        <w:t>ых источников, утвержденных законом о бюджете</w:t>
      </w:r>
      <w:r w:rsidRPr="009B1A89">
        <w:rPr>
          <w:u w:val="single"/>
        </w:rPr>
        <w:t>.</w:t>
      </w:r>
    </w:p>
    <w:p w14:paraId="691A4C6F" w14:textId="77777777" w:rsidR="009B1A89" w:rsidRPr="003A6FDC" w:rsidRDefault="009B1A89" w:rsidP="009B1A89">
      <w:pPr>
        <w:ind w:firstLine="709"/>
        <w:jc w:val="both"/>
        <w:rPr>
          <w:u w:val="single"/>
        </w:rPr>
      </w:pPr>
      <w:r>
        <w:t xml:space="preserve">Право привлечения указанных средств предусмотрено статьей 236.1 БК РФ, введенной Федеральным законом от 27.12.2019 №479-ФЗ «О внесении изменений в Бюджетный кодекс Российской Федерации в части казначейского обслуживания и системы казначейских платежей», с 01.01.2021. В частности пунктом 8 статьи 236.1 БК РФ установлено, что </w:t>
      </w:r>
      <w:r w:rsidRPr="003A6FDC">
        <w:rPr>
          <w:u w:val="single"/>
        </w:rPr>
        <w:t>привлечение на единый счет субъекта РФ остатков средств учреждений и юридических лиц осуществляется в порядке, установленном высшим исполнительным органом государственной власти субъекта РФ,</w:t>
      </w:r>
      <w:r>
        <w:t xml:space="preserve"> с учетом общих требований, установленных Правительством РФ. Общие требования к порядку привлечения остатков средств на единый счет бюджета субъекта РФ (местного бюджета) и возврата привлеченных средств определены постановлением Правительства РФ от 30.03.2020 №368. Однако </w:t>
      </w:r>
      <w:r w:rsidRPr="003A6FDC">
        <w:rPr>
          <w:u w:val="single"/>
        </w:rPr>
        <w:t>в Волгоградской области на дату экспертизы законопроекта такой порядок привлечения остатков средств на единый счет бюджета Волгоградской области не установлен.</w:t>
      </w:r>
    </w:p>
    <w:p w14:paraId="30F33251" w14:textId="77777777" w:rsidR="009B1A89" w:rsidRPr="009B1A89" w:rsidRDefault="009B1A89" w:rsidP="009B1A89">
      <w:pPr>
        <w:autoSpaceDE w:val="0"/>
        <w:autoSpaceDN w:val="0"/>
        <w:adjustRightInd w:val="0"/>
        <w:ind w:firstLine="709"/>
        <w:jc w:val="both"/>
        <w:rPr>
          <w:u w:val="single"/>
        </w:rPr>
      </w:pPr>
      <w:r>
        <w:t xml:space="preserve">Необходимо учесть, что в соответствии с пунктами 11, 12 статьи 236.1 БК РФ возврат привлеченных средств на казначейские счета, с которых они были ранее перечислены, должен осуществляться не позднее второго рабочего дня, следующего за днем приема к исполнению распоряжений получателей указанных средств. А для субъекта РФ, в бюджете которого доля межбюджетных трансфертов из федерального бюджета (за исключением субвенций) в течение двух из трех последних отчетных финансовых лет превышала 20% объема собственных доходов консолидированного бюджета субъекта РФ, установлена обязанность возврата привлеченных средств </w:t>
      </w:r>
      <w:r w:rsidRPr="009B1A89">
        <w:rPr>
          <w:u w:val="single"/>
        </w:rPr>
        <w:t>не позднее последнего рабочего дня текущего финансового года.</w:t>
      </w:r>
    </w:p>
    <w:p w14:paraId="7CDE07CB" w14:textId="77777777" w:rsidR="009B1A89" w:rsidRDefault="009B1A89" w:rsidP="009B1A89">
      <w:pPr>
        <w:autoSpaceDE w:val="0"/>
        <w:autoSpaceDN w:val="0"/>
        <w:adjustRightInd w:val="0"/>
        <w:ind w:firstLine="709"/>
        <w:jc w:val="both"/>
      </w:pPr>
      <w:r>
        <w:t>По данным отчетов об исполнении консолидированного бюджета Волгоградской области за 2018 год и 2019 год расчетная доля межбюджетных трансфертов из федерального бюджета (за исключением субвенций) в объеме собственных доходов консолидированного бюджета сложилась в размере 21,6% и 25,2%, т. е. превысила установленные ограничения.</w:t>
      </w:r>
    </w:p>
    <w:p w14:paraId="6CDDE3B0" w14:textId="77777777" w:rsidR="009B1A89" w:rsidRDefault="009B1A89" w:rsidP="009B1A89">
      <w:pPr>
        <w:autoSpaceDE w:val="0"/>
        <w:autoSpaceDN w:val="0"/>
        <w:adjustRightInd w:val="0"/>
        <w:ind w:firstLine="709"/>
        <w:jc w:val="both"/>
      </w:pPr>
      <w:r w:rsidRPr="00156B59">
        <w:lastRenderedPageBreak/>
        <w:t>Объем средств, предусмотренных в виде иного источника внутреннего финансирования дефицита областного бюджета в сумме 1615,3 млн. руб., в документах и материалах, представляемых с законопроектом, не обоснован, расчет указанного объема средств отсутствует,</w:t>
      </w:r>
      <w:r>
        <w:t xml:space="preserve"> чем не соблюдены требования статьи 13.1 Закона Волгоградской области от 11.06.2008 №1694-ОД «О бюджетном процессе в Волгоградской области».</w:t>
      </w:r>
    </w:p>
    <w:p w14:paraId="1774DB57" w14:textId="77777777" w:rsidR="009B1A89" w:rsidRPr="00156B59" w:rsidRDefault="009B1A89" w:rsidP="009B1A89">
      <w:pPr>
        <w:autoSpaceDE w:val="0"/>
        <w:autoSpaceDN w:val="0"/>
        <w:adjustRightInd w:val="0"/>
        <w:ind w:firstLine="709"/>
        <w:jc w:val="both"/>
        <w:rPr>
          <w:u w:val="single"/>
        </w:rPr>
      </w:pPr>
      <w:r>
        <w:t xml:space="preserve">Таким образом, </w:t>
      </w:r>
      <w:r w:rsidRPr="00156B59">
        <w:rPr>
          <w:u w:val="single"/>
        </w:rPr>
        <w:t>включение в состав источников внутреннего финансирования дефицита необоснованной суммы с учетом обязанности ее возврата до конца финансового года несет риски несоблюдения принципа сбалансированности областного бюджета, установленного статьей 33 БК РФ.</w:t>
      </w:r>
    </w:p>
    <w:p w14:paraId="790F4A94" w14:textId="77777777" w:rsidR="009B1A89" w:rsidRDefault="009B1A89" w:rsidP="009B1A89">
      <w:pPr>
        <w:ind w:firstLine="709"/>
        <w:jc w:val="both"/>
      </w:pPr>
    </w:p>
    <w:p w14:paraId="5AAD15E3" w14:textId="77777777" w:rsidR="00CF748B" w:rsidRDefault="008330B5" w:rsidP="00CF748B">
      <w:pPr>
        <w:pStyle w:val="a3"/>
        <w:numPr>
          <w:ilvl w:val="0"/>
          <w:numId w:val="1"/>
        </w:numPr>
        <w:tabs>
          <w:tab w:val="clear" w:pos="1070"/>
          <w:tab w:val="num" w:pos="928"/>
        </w:tabs>
        <w:ind w:left="708"/>
        <w:outlineLvl w:val="0"/>
        <w:rPr>
          <w:b/>
          <w:i/>
        </w:rPr>
      </w:pPr>
      <w:r w:rsidRPr="00DC1B04">
        <w:rPr>
          <w:b/>
          <w:i/>
        </w:rPr>
        <w:t>Прогноз социально-экономического развития Волгоградской области</w:t>
      </w:r>
    </w:p>
    <w:p w14:paraId="3D2D84B3" w14:textId="77777777" w:rsidR="008330B5" w:rsidRDefault="008330B5" w:rsidP="00CF748B">
      <w:pPr>
        <w:pStyle w:val="a3"/>
        <w:ind w:left="708"/>
        <w:outlineLvl w:val="0"/>
        <w:rPr>
          <w:b/>
          <w:i/>
        </w:rPr>
      </w:pPr>
      <w:r w:rsidRPr="00DC1B04">
        <w:rPr>
          <w:b/>
          <w:i/>
        </w:rPr>
        <w:t>на 20</w:t>
      </w:r>
      <w:r w:rsidR="00CF748B">
        <w:rPr>
          <w:b/>
          <w:i/>
        </w:rPr>
        <w:t>21</w:t>
      </w:r>
      <w:r w:rsidRPr="00DC1B04">
        <w:rPr>
          <w:b/>
          <w:i/>
        </w:rPr>
        <w:t>-202</w:t>
      </w:r>
      <w:r w:rsidR="00CF748B">
        <w:rPr>
          <w:b/>
          <w:i/>
        </w:rPr>
        <w:t>3</w:t>
      </w:r>
      <w:r w:rsidRPr="00DC1B04">
        <w:rPr>
          <w:b/>
          <w:i/>
        </w:rPr>
        <w:t xml:space="preserve"> годы</w:t>
      </w:r>
    </w:p>
    <w:p w14:paraId="16489BB3" w14:textId="77777777" w:rsidR="00CF748B" w:rsidRDefault="00CF748B" w:rsidP="00CF748B">
      <w:pPr>
        <w:pStyle w:val="a3"/>
        <w:ind w:left="708"/>
        <w:outlineLvl w:val="0"/>
        <w:rPr>
          <w:b/>
          <w:i/>
        </w:rPr>
      </w:pPr>
    </w:p>
    <w:p w14:paraId="7A89DF3E" w14:textId="77777777" w:rsidR="00054110" w:rsidRPr="00505035" w:rsidRDefault="00054110" w:rsidP="00054110">
      <w:pPr>
        <w:ind w:firstLine="680"/>
        <w:jc w:val="both"/>
      </w:pPr>
      <w:r w:rsidRPr="00505035">
        <w:t>Прогноз социально-экономического развития Волгоградской области на 2021 год и плановый период 2022 и 2023 годов, одобренный постановлением Администрации Волгоградской области от 28.10.2020 №663-п (далее Прогноз</w:t>
      </w:r>
      <w:r w:rsidR="00101A3C">
        <w:t xml:space="preserve"> СЭР</w:t>
      </w:r>
      <w:r w:rsidRPr="00505035">
        <w:t>),</w:t>
      </w:r>
      <w:r w:rsidR="00505035">
        <w:t xml:space="preserve"> разработан по двум вариантам</w:t>
      </w:r>
      <w:r w:rsidR="00FC278D">
        <w:t xml:space="preserve"> -</w:t>
      </w:r>
      <w:r w:rsidR="00505035">
        <w:t xml:space="preserve"> </w:t>
      </w:r>
      <w:r w:rsidRPr="00505035">
        <w:t>консервативному и базовому.</w:t>
      </w:r>
    </w:p>
    <w:p w14:paraId="164636BA" w14:textId="77777777" w:rsidR="00054110" w:rsidRPr="00505035" w:rsidRDefault="00054110" w:rsidP="00054110">
      <w:pPr>
        <w:ind w:firstLine="709"/>
        <w:jc w:val="both"/>
      </w:pPr>
      <w:r w:rsidRPr="00505035">
        <w:t xml:space="preserve">Исходными данными для разработки основных показателей Прогноза </w:t>
      </w:r>
      <w:r w:rsidR="00101A3C">
        <w:t xml:space="preserve">СЭР </w:t>
      </w:r>
      <w:r w:rsidRPr="00505035">
        <w:t xml:space="preserve">послужили отчетные данные предыдущих лет </w:t>
      </w:r>
      <w:r w:rsidR="00DB4D44">
        <w:t>т</w:t>
      </w:r>
      <w:r w:rsidRPr="00505035">
        <w:t xml:space="preserve">ерриториального органа Федеральной службы государственной статистики по Волгоградской области (далее Волгоградстат), сценарные условия функционирования экономики Российской Федерации и основные параметры среднесрочного прогноза, одобренные Правительством Российской Федерации (далее сценарные условия), расчеты показателей с применением методики Министерства экономического развития Российской Федерации (далее Минэкономразвития России) по видам экономической деятельности с учетом данных крупных предприятий, осуществляющих деятельность на территории Волгоградской области, муниципальных образований на основании паспортов </w:t>
      </w:r>
      <w:r w:rsidR="00FC278D">
        <w:t xml:space="preserve">их </w:t>
      </w:r>
      <w:r w:rsidRPr="00505035">
        <w:t xml:space="preserve">социально-экономического развития. </w:t>
      </w:r>
    </w:p>
    <w:p w14:paraId="1EAE31F3" w14:textId="77777777" w:rsidR="00054110" w:rsidRPr="00505035" w:rsidRDefault="00054110" w:rsidP="00054110">
      <w:pPr>
        <w:ind w:firstLine="709"/>
        <w:jc w:val="both"/>
        <w:rPr>
          <w:rFonts w:eastAsia="Calibri"/>
        </w:rPr>
      </w:pPr>
      <w:r w:rsidRPr="00505035">
        <w:t xml:space="preserve">Согласно Пояснительной записке к </w:t>
      </w:r>
      <w:r w:rsidR="00101A3C">
        <w:t>з</w:t>
      </w:r>
      <w:r w:rsidRPr="00505035">
        <w:t>аконопроекту р</w:t>
      </w:r>
      <w:r w:rsidRPr="00505035">
        <w:rPr>
          <w:rFonts w:eastAsia="Calibri"/>
        </w:rPr>
        <w:t xml:space="preserve">асчет прогнозных показателей поступления налоговых и неналоговых доходов в областной бюджет осуществлен исходя из основных макроэкономических показателей социально–экономического развития Волгоградской области на 2021 год и на плановый период 2022 и 2023 годов </w:t>
      </w:r>
      <w:r w:rsidRPr="00505035">
        <w:rPr>
          <w:rFonts w:eastAsia="Calibri"/>
          <w:u w:val="single"/>
        </w:rPr>
        <w:t>по базовому варианту</w:t>
      </w:r>
      <w:r w:rsidRPr="00505035">
        <w:rPr>
          <w:rFonts w:eastAsia="Calibri"/>
        </w:rPr>
        <w:t xml:space="preserve"> (валовой региональный продукт, прибыль прибыльных организаций, индекс промышленного производства, стоимость основных фондов по полной учетной стоимости на конец года, фонд заработной платы работников организаций, индекс потребительских цен).</w:t>
      </w:r>
    </w:p>
    <w:p w14:paraId="1BBEE97B" w14:textId="77777777" w:rsidR="00054110" w:rsidRPr="00505035" w:rsidRDefault="00054110" w:rsidP="00101A3C">
      <w:pPr>
        <w:autoSpaceDE w:val="0"/>
        <w:autoSpaceDN w:val="0"/>
        <w:adjustRightInd w:val="0"/>
        <w:ind w:firstLine="708"/>
        <w:jc w:val="both"/>
      </w:pPr>
      <w:r w:rsidRPr="00505035">
        <w:rPr>
          <w:rFonts w:eastAsia="Calibri"/>
        </w:rPr>
        <w:t>В соответствии с постановлением Правительства РФ от 14.11.2015 №1234 (</w:t>
      </w:r>
      <w:r w:rsidR="00101A3C">
        <w:rPr>
          <w:rFonts w:eastAsia="Calibri"/>
        </w:rPr>
        <w:t xml:space="preserve">в </w:t>
      </w:r>
      <w:r w:rsidRPr="00505035">
        <w:rPr>
          <w:rFonts w:eastAsia="Calibri"/>
        </w:rPr>
        <w:t>ред</w:t>
      </w:r>
      <w:r w:rsidR="00101A3C">
        <w:rPr>
          <w:rFonts w:eastAsia="Calibri"/>
        </w:rPr>
        <w:t>акции</w:t>
      </w:r>
      <w:r w:rsidRPr="00505035">
        <w:rPr>
          <w:rFonts w:eastAsia="Calibri"/>
        </w:rPr>
        <w:t xml:space="preserve"> от 18.05.2019) «О порядке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Федерации» (вместе с «Правилами разработки, корректировки, осуществления мониторинга и контроля реализации прогноза социально-экономического развития Российской Федерации на среднесрочный период») </w:t>
      </w:r>
      <w:r w:rsidRPr="00101A3C">
        <w:rPr>
          <w:rFonts w:eastAsia="Calibri"/>
          <w:u w:val="single"/>
        </w:rPr>
        <w:t>базовый вариант</w:t>
      </w:r>
      <w:r w:rsidRPr="00505035">
        <w:rPr>
          <w:rFonts w:eastAsia="Calibri"/>
        </w:rPr>
        <w:t xml:space="preserve"> </w:t>
      </w:r>
      <w:r w:rsidRPr="00505035">
        <w:t>характеризует основные тенденции и параметры развития экономики в условиях консервативного изменения внешних условий.</w:t>
      </w:r>
      <w:r w:rsidR="00101A3C">
        <w:t xml:space="preserve"> </w:t>
      </w:r>
      <w:r w:rsidRPr="00101A3C">
        <w:rPr>
          <w:u w:val="single"/>
        </w:rPr>
        <w:t>Консервативный вариант</w:t>
      </w:r>
      <w:r w:rsidRPr="00505035">
        <w:t xml:space="preserve"> среднесрочного прогноза разрабатывается на основе консервативных оценок темпов экономического роста с учетом возможности ухудшения внешнеэкономических условий.</w:t>
      </w:r>
    </w:p>
    <w:p w14:paraId="060FE1FD" w14:textId="77777777" w:rsidR="00054110" w:rsidRPr="00505035" w:rsidRDefault="00054110" w:rsidP="00054110">
      <w:pPr>
        <w:ind w:firstLine="709"/>
        <w:jc w:val="both"/>
        <w:rPr>
          <w:color w:val="FF0000"/>
        </w:rPr>
      </w:pPr>
      <w:r w:rsidRPr="00505035">
        <w:t xml:space="preserve">В Прогнозе СЭР отмечено, что с момента формирования среднесрочного прогноза социально-экономического развития Волгоградской области в октябре </w:t>
      </w:r>
      <w:smartTag w:uri="urn:schemas-microsoft-com:office:smarttags" w:element="metricconverter">
        <w:smartTagPr>
          <w:attr w:name="ProductID" w:val="2019 г"/>
        </w:smartTagPr>
        <w:r w:rsidRPr="00505035">
          <w:t>2019 г</w:t>
        </w:r>
        <w:r w:rsidR="00101A3C">
          <w:t>ода</w:t>
        </w:r>
      </w:smartTag>
      <w:r w:rsidRPr="00505035">
        <w:t xml:space="preserve"> внешние и внутренние условия развития российской экономики</w:t>
      </w:r>
      <w:r w:rsidR="00101A3C">
        <w:t xml:space="preserve"> и</w:t>
      </w:r>
      <w:r w:rsidRPr="00505035">
        <w:t xml:space="preserve"> в том числе и Волгоградской области существенно изменились. Распространение новой коронавирусной инфекции </w:t>
      </w:r>
      <w:r w:rsidRPr="00505035">
        <w:rPr>
          <w:lang w:val="en-US"/>
        </w:rPr>
        <w:t>COVID</w:t>
      </w:r>
      <w:r w:rsidRPr="00505035">
        <w:t xml:space="preserve">-19 (далее новая коронавирусная инфекция) стало масштабным вызовом и для российской экономики и для экономики Волгоградской области. Траектория развития в кратко- и среднесрочной перспективе будет определяться не только экономическими, но и </w:t>
      </w:r>
      <w:r w:rsidRPr="00505035">
        <w:lastRenderedPageBreak/>
        <w:t>эпидемиологическими факторами</w:t>
      </w:r>
      <w:r w:rsidR="00101A3C">
        <w:t>,</w:t>
      </w:r>
      <w:r w:rsidRPr="00505035">
        <w:t xml:space="preserve"> и в связи с этим характеризуется высокой степенью неопределенности и рисками </w:t>
      </w:r>
      <w:r w:rsidR="00101A3C">
        <w:t>не</w:t>
      </w:r>
      <w:r w:rsidRPr="00505035">
        <w:t xml:space="preserve">достижения прогнозируемых показателей. </w:t>
      </w:r>
    </w:p>
    <w:p w14:paraId="2A5D5345" w14:textId="12C1F49A" w:rsidR="00054110" w:rsidRPr="00505035" w:rsidRDefault="00054110" w:rsidP="00054110">
      <w:pPr>
        <w:ind w:firstLine="709"/>
        <w:jc w:val="both"/>
        <w:rPr>
          <w:rFonts w:eastAsia="Calibri"/>
        </w:rPr>
      </w:pPr>
      <w:r w:rsidRPr="00505035">
        <w:rPr>
          <w:rFonts w:eastAsia="Calibri"/>
        </w:rPr>
        <w:t xml:space="preserve">Динамика основных макроэкономических показателей </w:t>
      </w:r>
      <w:r w:rsidR="007E15AB">
        <w:rPr>
          <w:rFonts w:eastAsia="Calibri"/>
        </w:rPr>
        <w:t>социально-экономического развития</w:t>
      </w:r>
      <w:r w:rsidRPr="00505035">
        <w:rPr>
          <w:rFonts w:eastAsia="Calibri"/>
        </w:rPr>
        <w:t xml:space="preserve"> Волгоградской области за 2019-</w:t>
      </w:r>
      <w:r w:rsidR="007E15AB">
        <w:rPr>
          <w:rFonts w:eastAsia="Calibri"/>
        </w:rPr>
        <w:t xml:space="preserve">2020 годы и на 2021-2023 </w:t>
      </w:r>
      <w:r w:rsidRPr="00505035">
        <w:rPr>
          <w:rFonts w:eastAsia="Calibri"/>
        </w:rPr>
        <w:t xml:space="preserve">годы приведена в </w:t>
      </w:r>
      <w:r w:rsidR="00C747B3">
        <w:rPr>
          <w:rFonts w:eastAsia="Calibri"/>
          <w:b/>
          <w:bCs/>
          <w:i/>
          <w:iCs/>
          <w:u w:val="single"/>
        </w:rPr>
        <w:t xml:space="preserve">приложении №2 </w:t>
      </w:r>
      <w:r w:rsidR="00101A3C" w:rsidRPr="00F02B41">
        <w:rPr>
          <w:rFonts w:eastAsia="Calibri"/>
        </w:rPr>
        <w:t>к настоящему заключению</w:t>
      </w:r>
      <w:r w:rsidRPr="00505035">
        <w:rPr>
          <w:rFonts w:eastAsia="Calibri"/>
        </w:rPr>
        <w:t xml:space="preserve">, а также на </w:t>
      </w:r>
      <w:r w:rsidR="00DB4D44">
        <w:rPr>
          <w:rFonts w:eastAsia="Calibri"/>
        </w:rPr>
        <w:t xml:space="preserve">следующей </w:t>
      </w:r>
      <w:r w:rsidRPr="00505035">
        <w:rPr>
          <w:rFonts w:eastAsia="Calibri"/>
        </w:rPr>
        <w:t>диаграмме</w:t>
      </w:r>
      <w:r w:rsidR="00DB4D44">
        <w:rPr>
          <w:rFonts w:eastAsia="Calibri"/>
        </w:rPr>
        <w:t>.</w:t>
      </w:r>
      <w:r w:rsidRPr="00505035">
        <w:rPr>
          <w:rFonts w:eastAsia="Calibri"/>
        </w:rPr>
        <w:t xml:space="preserve"> </w:t>
      </w:r>
    </w:p>
    <w:p w14:paraId="595045EC" w14:textId="77777777" w:rsidR="009B06B5" w:rsidRDefault="009B06B5" w:rsidP="009B06B5">
      <w:pPr>
        <w:widowControl w:val="0"/>
        <w:autoSpaceDE w:val="0"/>
        <w:autoSpaceDN w:val="0"/>
        <w:adjustRightInd w:val="0"/>
        <w:ind w:left="-426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3D92F4BE" wp14:editId="3D2996DC">
            <wp:extent cx="6507480" cy="3500120"/>
            <wp:effectExtent l="0" t="0" r="7620" b="5080"/>
            <wp:docPr id="7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5E338611-1AF7-4BBB-B8F5-C4E75C9C804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7974FFD" w14:textId="77777777" w:rsidR="009B06B5" w:rsidRPr="00505035" w:rsidRDefault="009B06B5" w:rsidP="00054110"/>
    <w:p w14:paraId="02E49446" w14:textId="77777777" w:rsidR="00054110" w:rsidRPr="00505035" w:rsidRDefault="00054110" w:rsidP="00054110">
      <w:pPr>
        <w:widowControl w:val="0"/>
        <w:autoSpaceDE w:val="0"/>
        <w:autoSpaceDN w:val="0"/>
        <w:adjustRightInd w:val="0"/>
        <w:ind w:firstLine="680"/>
        <w:jc w:val="both"/>
      </w:pPr>
      <w:r w:rsidRPr="00505035">
        <w:t xml:space="preserve">По оценке в 2020 году в сравнении с предыдущим годом ожидается падение темпов роста значений всех основных макроэкономических показателей, за исключением индекса производства продукции сельского хозяйства. </w:t>
      </w:r>
    </w:p>
    <w:p w14:paraId="1619028C" w14:textId="77777777" w:rsidR="00054110" w:rsidRPr="00505035" w:rsidRDefault="001E12D5" w:rsidP="00054110">
      <w:pPr>
        <w:widowControl w:val="0"/>
        <w:autoSpaceDE w:val="0"/>
        <w:autoSpaceDN w:val="0"/>
        <w:adjustRightInd w:val="0"/>
        <w:ind w:firstLine="680"/>
        <w:jc w:val="both"/>
        <w:rPr>
          <w:color w:val="00B050"/>
        </w:rPr>
      </w:pPr>
      <w:r>
        <w:t>Вместе с тем, н</w:t>
      </w:r>
      <w:r w:rsidR="00054110" w:rsidRPr="00505035">
        <w:t xml:space="preserve">есмотря на сложившуюся негативную ситуацию из-за введенных ограничительных мер в экономике по причине пандемии в 2020 году, по всем показателям, кроме индекса физического объема инвестиций, в 2021 году прогнозируется значительный рост (индексы роста опережают 2022-2023 </w:t>
      </w:r>
      <w:r>
        <w:t>годы</w:t>
      </w:r>
      <w:r w:rsidR="00054110" w:rsidRPr="00505035">
        <w:t>). При этом в Прогнозе СЭР отсутствуют обоснования причин такой динамики.</w:t>
      </w:r>
      <w:r w:rsidR="00054110" w:rsidRPr="00505035">
        <w:rPr>
          <w:color w:val="00B050"/>
        </w:rPr>
        <w:t xml:space="preserve"> </w:t>
      </w:r>
    </w:p>
    <w:p w14:paraId="5883626B" w14:textId="77777777" w:rsidR="00054110" w:rsidRPr="00505035" w:rsidRDefault="00054110" w:rsidP="00054110">
      <w:pPr>
        <w:ind w:firstLine="709"/>
        <w:jc w:val="both"/>
      </w:pPr>
      <w:r w:rsidRPr="00505035">
        <w:t xml:space="preserve">Важнейшим показателем экономического развития региона является </w:t>
      </w:r>
      <w:r w:rsidR="00DB4D44" w:rsidRPr="00505035">
        <w:t>валовой</w:t>
      </w:r>
      <w:r w:rsidRPr="00505035">
        <w:t xml:space="preserve"> региональный продукт (далее ВРП), который характеризует конечный результат производственной деятельности всех субъектов экономики за год. Измеряется он стоимостью товаров, работ и услуг, произведенных этими субъектами для конечного использования.</w:t>
      </w:r>
    </w:p>
    <w:p w14:paraId="43637E22" w14:textId="77777777" w:rsidR="00054110" w:rsidRPr="00505035" w:rsidRDefault="00054110" w:rsidP="00054110">
      <w:pPr>
        <w:ind w:firstLine="709"/>
        <w:jc w:val="both"/>
      </w:pPr>
      <w:r w:rsidRPr="00505035">
        <w:t>В текстовой части Прогноза СЭР отмечено, что наибольший вклад в формирование ВРП региона (по данным 2018 года) вносят хозяйствующие субъекты таких видов экономической деятельности как обрабатывающие производства (27,7%)</w:t>
      </w:r>
      <w:r w:rsidR="00710DAA">
        <w:t>,</w:t>
      </w:r>
      <w:r w:rsidRPr="00505035">
        <w:t xml:space="preserve"> ремонт автотранспортных средств и мотоциклов (13,2%)</w:t>
      </w:r>
      <w:r w:rsidR="00710DAA">
        <w:t>,</w:t>
      </w:r>
      <w:r w:rsidRPr="00505035">
        <w:t xml:space="preserve"> сельское, лесное хозяйство, охота, рыболовство  и рыбоводство (10,5%)</w:t>
      </w:r>
      <w:r w:rsidR="00710DAA">
        <w:t>,</w:t>
      </w:r>
      <w:r w:rsidRPr="00505035">
        <w:t xml:space="preserve"> добыча полезных ископаемых (6,4%); строительство (6,1%)</w:t>
      </w:r>
      <w:r w:rsidR="00710DAA">
        <w:t>, оптовая и розничная торговля.</w:t>
      </w:r>
    </w:p>
    <w:p w14:paraId="5AEAC155" w14:textId="77777777" w:rsidR="00054110" w:rsidRPr="00505035" w:rsidRDefault="001F5FF9" w:rsidP="00054110">
      <w:pPr>
        <w:ind w:firstLine="709"/>
        <w:jc w:val="both"/>
      </w:pPr>
      <w:r>
        <w:t xml:space="preserve"> </w:t>
      </w:r>
      <w:r w:rsidR="00054110" w:rsidRPr="00505035">
        <w:t xml:space="preserve">В Прогнозе СЭР объем ВРП </w:t>
      </w:r>
      <w:r w:rsidR="00054110" w:rsidRPr="00710DAA">
        <w:t>по базовому варианту</w:t>
      </w:r>
      <w:r w:rsidR="00054110" w:rsidRPr="00505035">
        <w:t xml:space="preserve"> в 2021 году ожидается в размере 1000,5 млрд. руб. с индексом физического объема к предыдущему году 103,9%, в 2022 году – 1024,1 млрд. руб. (101%), в 2023 году – 1088,4 млрд. руб. (101,8%).</w:t>
      </w:r>
    </w:p>
    <w:p w14:paraId="7B07B1B1" w14:textId="77777777" w:rsidR="00054110" w:rsidRPr="00505035" w:rsidRDefault="001F5FF9" w:rsidP="00054110">
      <w:pPr>
        <w:ind w:firstLine="680"/>
        <w:jc w:val="both"/>
      </w:pPr>
      <w:r>
        <w:t xml:space="preserve"> </w:t>
      </w:r>
      <w:r w:rsidR="00054110" w:rsidRPr="00505035">
        <w:t xml:space="preserve">Необходимо отметить, что в Прогнозе социально-экономического развития Российской Федерации на 2021 год и на плановый период 2022 и 2023 годов (далее Прогноз СЭР РФ) указано, что Волгоградская область не входит в число регионов, </w:t>
      </w:r>
      <w:r w:rsidR="00015DA4">
        <w:t xml:space="preserve">в </w:t>
      </w:r>
      <w:r w:rsidR="00054110" w:rsidRPr="00505035">
        <w:t>которых в 2021</w:t>
      </w:r>
      <w:r w:rsidR="00015DA4">
        <w:t xml:space="preserve"> году</w:t>
      </w:r>
      <w:r w:rsidR="00054110" w:rsidRPr="00505035">
        <w:t xml:space="preserve"> ожидаются наиболее высокие темпы роста ВРП</w:t>
      </w:r>
      <w:r w:rsidR="00015DA4">
        <w:t xml:space="preserve"> (</w:t>
      </w:r>
      <w:r w:rsidR="00015DA4" w:rsidRPr="00505035">
        <w:t>по оценке 2020 года</w:t>
      </w:r>
      <w:r w:rsidR="00015DA4">
        <w:t>)</w:t>
      </w:r>
      <w:r w:rsidR="00054110" w:rsidRPr="00505035">
        <w:t xml:space="preserve">. </w:t>
      </w:r>
    </w:p>
    <w:p w14:paraId="7138CF01" w14:textId="77777777" w:rsidR="00054110" w:rsidRPr="00505035" w:rsidRDefault="00054110" w:rsidP="00054110">
      <w:pPr>
        <w:ind w:firstLine="709"/>
        <w:jc w:val="both"/>
      </w:pPr>
      <w:r w:rsidRPr="00505035">
        <w:lastRenderedPageBreak/>
        <w:t>По расчетам комитета экономической политики и развития Волгоградской области (далее Облкомэкономразвития) в 2020 году ожидается снижение ВРП на 4 процента.</w:t>
      </w:r>
    </w:p>
    <w:p w14:paraId="2B6A555F" w14:textId="77777777" w:rsidR="00054110" w:rsidRPr="00505035" w:rsidRDefault="00054110" w:rsidP="00054110">
      <w:pPr>
        <w:ind w:firstLine="709"/>
        <w:jc w:val="both"/>
      </w:pPr>
      <w:r w:rsidRPr="00505035">
        <w:t xml:space="preserve">В текстовой части Прогноза СЭР указано, что существенное влияние на ВРП Волгоградской области в 2020 году оказывают факторы, характерные для всей </w:t>
      </w:r>
      <w:r w:rsidR="00015DA4">
        <w:t>р</w:t>
      </w:r>
      <w:r w:rsidRPr="00505035">
        <w:t>оссийской экономики</w:t>
      </w:r>
      <w:r w:rsidR="00015DA4">
        <w:t>, а именно</w:t>
      </w:r>
      <w:r w:rsidRPr="00505035">
        <w:t xml:space="preserve"> распространение пандемии коронавируса и ввод ограничительных мер, принятых для борьбы с ней, а также снижение цен на продукты нефтегазового сектора, рост курса иностранных валют.</w:t>
      </w:r>
    </w:p>
    <w:p w14:paraId="2959E8AB" w14:textId="77777777" w:rsidR="00054110" w:rsidRPr="00505035" w:rsidRDefault="00054110" w:rsidP="00054110">
      <w:pPr>
        <w:ind w:firstLine="680"/>
        <w:jc w:val="both"/>
      </w:pPr>
      <w:r w:rsidRPr="00505035">
        <w:t xml:space="preserve"> Также в Прогнозе СЭР отмечено, что одним из приоритетов экономической политики на 2021-2023 г</w:t>
      </w:r>
      <w:r w:rsidR="00015DA4">
        <w:t>оды</w:t>
      </w:r>
      <w:r w:rsidRPr="00505035">
        <w:t xml:space="preserve"> в регионе является увеличение ВРП. В настоящее время существуют значительные резервы роста показателя в обрабатывающих производствах, сельском хозяйстве, транспорте, строительстве, жилищно-коммунальном хозяйстве. Государство выделяет федеральные средства на формирование конкурентоспособных отраслей, переподготовку современных кадров, снижение административных барьеров. При этом каких-либо обоснований причин значительного роста индекса (конкретных примеров по субъектам деятельности) в текстовой части Прогноза СЭР не приведен</w:t>
      </w:r>
      <w:r w:rsidR="00015DA4">
        <w:t>о</w:t>
      </w:r>
      <w:r w:rsidRPr="00505035">
        <w:t>.</w:t>
      </w:r>
    </w:p>
    <w:p w14:paraId="793FA2B6" w14:textId="77777777" w:rsidR="00054110" w:rsidRPr="00505035" w:rsidRDefault="00054110" w:rsidP="00054110">
      <w:pPr>
        <w:ind w:firstLine="680"/>
        <w:jc w:val="both"/>
      </w:pPr>
      <w:r w:rsidRPr="00505035">
        <w:t xml:space="preserve">Наибольшая доля в ВРП приходится на показатель </w:t>
      </w:r>
      <w:r w:rsidR="00015DA4">
        <w:t>«</w:t>
      </w:r>
      <w:r w:rsidRPr="00015DA4">
        <w:t>объем отгруженных товаров собственного производства, выполненных работ и услуг собственными силами</w:t>
      </w:r>
      <w:r w:rsidR="00015DA4">
        <w:t xml:space="preserve">», который </w:t>
      </w:r>
      <w:r w:rsidRPr="00505035">
        <w:t>в 2021 году ожидается в размере 1000,1 млрд. руб. (</w:t>
      </w:r>
      <w:r w:rsidRPr="00015DA4">
        <w:t>с индексом промышленного производства</w:t>
      </w:r>
      <w:r w:rsidRPr="00505035">
        <w:t xml:space="preserve"> 102,7%), т</w:t>
      </w:r>
      <w:r w:rsidR="00015DA4">
        <w:t>.</w:t>
      </w:r>
      <w:r w:rsidRPr="00505035">
        <w:t xml:space="preserve"> е</w:t>
      </w:r>
      <w:r w:rsidR="00015DA4">
        <w:t>.</w:t>
      </w:r>
      <w:r w:rsidRPr="00505035">
        <w:t xml:space="preserve"> в размере ниже, чем по отчету 2019 года (1061,6 млрд. руб.). </w:t>
      </w:r>
    </w:p>
    <w:p w14:paraId="195221F8" w14:textId="77777777" w:rsidR="00054110" w:rsidRPr="00505035" w:rsidRDefault="00054110" w:rsidP="00054110">
      <w:pPr>
        <w:ind w:firstLine="680"/>
        <w:jc w:val="both"/>
      </w:pPr>
      <w:r w:rsidRPr="00505035">
        <w:t xml:space="preserve">По оценке 2020 года </w:t>
      </w:r>
      <w:r w:rsidRPr="003B4500">
        <w:t>объем отгруженных товаров</w:t>
      </w:r>
      <w:r w:rsidRPr="00505035">
        <w:t xml:space="preserve"> ожидается в размере 904,7 млрд. руб. </w:t>
      </w:r>
      <w:r w:rsidR="003B4500">
        <w:t>(</w:t>
      </w:r>
      <w:r w:rsidRPr="00505035">
        <w:t xml:space="preserve">с </w:t>
      </w:r>
      <w:r w:rsidRPr="003B4500">
        <w:t>индексом промышленного производства</w:t>
      </w:r>
      <w:r w:rsidRPr="00505035">
        <w:t xml:space="preserve"> 96,9%).</w:t>
      </w:r>
    </w:p>
    <w:p w14:paraId="7EEDF8B0" w14:textId="77777777" w:rsidR="00054110" w:rsidRPr="00505035" w:rsidRDefault="00054110" w:rsidP="00054110">
      <w:pPr>
        <w:ind w:firstLine="680"/>
        <w:jc w:val="both"/>
      </w:pPr>
      <w:r w:rsidRPr="00505035">
        <w:t xml:space="preserve">Разница между </w:t>
      </w:r>
      <w:r w:rsidRPr="003B4500">
        <w:t>индексами промышленного производства</w:t>
      </w:r>
      <w:r w:rsidRPr="00505035">
        <w:t xml:space="preserve"> по оценке 2020 г</w:t>
      </w:r>
      <w:r w:rsidR="003B4500">
        <w:t>ода</w:t>
      </w:r>
      <w:r w:rsidRPr="00505035">
        <w:t xml:space="preserve"> (96,9%) и прогнозом 2021 г</w:t>
      </w:r>
      <w:r w:rsidR="003B4500">
        <w:t>ода</w:t>
      </w:r>
      <w:r w:rsidRPr="00505035">
        <w:t xml:space="preserve"> (102,7%) составляет 5,8 процентных пункта. В 2022 г</w:t>
      </w:r>
      <w:r w:rsidR="003B4500">
        <w:t>оду</w:t>
      </w:r>
      <w:r w:rsidRPr="00505035">
        <w:t xml:space="preserve"> </w:t>
      </w:r>
      <w:r w:rsidRPr="003B4500">
        <w:t>объем отгруженных товаров собственного производства, выполненных работ и услуг собственными силами</w:t>
      </w:r>
      <w:r w:rsidRPr="00505035">
        <w:rPr>
          <w:i/>
        </w:rPr>
        <w:t xml:space="preserve"> </w:t>
      </w:r>
      <w:r w:rsidR="003B4500" w:rsidRPr="00505035">
        <w:t xml:space="preserve">прогнозируется </w:t>
      </w:r>
      <w:r w:rsidR="003B4500">
        <w:t xml:space="preserve">в размере </w:t>
      </w:r>
      <w:r w:rsidRPr="00505035">
        <w:t xml:space="preserve">1100,1 млрд. руб. с </w:t>
      </w:r>
      <w:r w:rsidRPr="003B4500">
        <w:t xml:space="preserve">индексом </w:t>
      </w:r>
      <w:r w:rsidRPr="00505035">
        <w:t>102,2% (на 0,5% меньше, чем в 2021 году), в 2023 году – 1200,2 млрд. руб. (102,3%).</w:t>
      </w:r>
    </w:p>
    <w:p w14:paraId="0A6A70BA" w14:textId="77777777" w:rsidR="00054110" w:rsidRPr="00505035" w:rsidRDefault="00054110" w:rsidP="00054110">
      <w:pPr>
        <w:ind w:firstLine="680"/>
        <w:jc w:val="both"/>
      </w:pPr>
      <w:r w:rsidRPr="00505035">
        <w:t>В Прогнозе СЭР указано, что спад в промышленном производстве в 2020 году ожидается, в первую очередь, в связи со снижением индекса производства в добыче полезных ископаемых, водоснабжении, водоотведении, организации сбора и утилизации отходов, деятельности по ликвидации загрязнений.</w:t>
      </w:r>
    </w:p>
    <w:p w14:paraId="30733B8E" w14:textId="77777777" w:rsidR="00054110" w:rsidRPr="000A0306" w:rsidRDefault="00054110" w:rsidP="00054110">
      <w:pPr>
        <w:ind w:firstLine="680"/>
        <w:jc w:val="both"/>
      </w:pPr>
      <w:r w:rsidRPr="00505035">
        <w:t xml:space="preserve">Также значимой составляющей показателя ВРП является показатель </w:t>
      </w:r>
      <w:r w:rsidR="000A0306">
        <w:t>«</w:t>
      </w:r>
      <w:r w:rsidRPr="000A0306">
        <w:t>оборот розничной торговли в действующих ценах</w:t>
      </w:r>
      <w:r w:rsidR="000A0306">
        <w:t>»</w:t>
      </w:r>
      <w:r w:rsidRPr="000A0306">
        <w:t>.</w:t>
      </w:r>
    </w:p>
    <w:p w14:paraId="4FC081F7" w14:textId="77777777" w:rsidR="00054110" w:rsidRPr="00505035" w:rsidRDefault="000A0306" w:rsidP="00054110">
      <w:pPr>
        <w:ind w:firstLine="680"/>
        <w:jc w:val="both"/>
      </w:pPr>
      <w:r>
        <w:t>Прогнозное з</w:t>
      </w:r>
      <w:r w:rsidR="00054110" w:rsidRPr="00505035">
        <w:t xml:space="preserve">начение </w:t>
      </w:r>
      <w:r>
        <w:t xml:space="preserve">данного </w:t>
      </w:r>
      <w:r w:rsidR="00054110" w:rsidRPr="00505035">
        <w:t>показателя на 2021 год состав</w:t>
      </w:r>
      <w:r>
        <w:t>ляет</w:t>
      </w:r>
      <w:r w:rsidR="00054110" w:rsidRPr="00505035">
        <w:t xml:space="preserve"> 451 млрд. руб.</w:t>
      </w:r>
      <w:r>
        <w:t xml:space="preserve"> (</w:t>
      </w:r>
      <w:r w:rsidRPr="00505035">
        <w:t>105,1%</w:t>
      </w:r>
      <w:r>
        <w:t>)</w:t>
      </w:r>
      <w:r w:rsidR="00054110" w:rsidRPr="00505035">
        <w:t xml:space="preserve">, на 2022 год </w:t>
      </w:r>
      <w:r>
        <w:t xml:space="preserve">- </w:t>
      </w:r>
      <w:r w:rsidR="00054110" w:rsidRPr="00505035">
        <w:t>482,2 млрд. руб.</w:t>
      </w:r>
      <w:r>
        <w:t xml:space="preserve"> (</w:t>
      </w:r>
      <w:r w:rsidRPr="00505035">
        <w:t>102,9%</w:t>
      </w:r>
      <w:r w:rsidR="00054110" w:rsidRPr="00505035">
        <w:t>), на 2023 год – 515,5 млрд. руб.</w:t>
      </w:r>
      <w:r>
        <w:t xml:space="preserve"> (</w:t>
      </w:r>
      <w:r w:rsidRPr="00505035">
        <w:t>102,8%</w:t>
      </w:r>
      <w:r>
        <w:t>)</w:t>
      </w:r>
      <w:r w:rsidR="00054110" w:rsidRPr="00505035">
        <w:t>.</w:t>
      </w:r>
    </w:p>
    <w:p w14:paraId="2746B03B" w14:textId="77777777" w:rsidR="00054110" w:rsidRPr="00505035" w:rsidRDefault="00054110" w:rsidP="00054110">
      <w:pPr>
        <w:ind w:firstLine="680"/>
        <w:jc w:val="both"/>
      </w:pPr>
      <w:r w:rsidRPr="00505035">
        <w:t xml:space="preserve">Потребительский рынок, являясь крупной составной частью экономики Волгоградской области, призван обеспечивать условия для полного и своевременного удовлетворения спроса населения на потребительские товары и услуги, качество и безопасность их предоставления, доступность товаров и услуг на всей территории региона. </w:t>
      </w:r>
    </w:p>
    <w:p w14:paraId="5DE3968E" w14:textId="77777777" w:rsidR="00054110" w:rsidRPr="00505035" w:rsidRDefault="00054110" w:rsidP="00054110">
      <w:pPr>
        <w:ind w:firstLine="680"/>
        <w:jc w:val="both"/>
      </w:pPr>
      <w:r w:rsidRPr="00505035">
        <w:t>При этом введенные ограничительные меры в связи с развитием коронавирусной инфекции в 2020 году, в том числе режим самоизоляции отдельных категорий граждан</w:t>
      </w:r>
      <w:r w:rsidR="00990EE5">
        <w:t>,</w:t>
      </w:r>
      <w:r w:rsidRPr="00505035">
        <w:t xml:space="preserve"> оказали сдерживающий эффект на покупательский спрос населения. В результате по оценке Облком</w:t>
      </w:r>
      <w:r w:rsidR="00990EE5">
        <w:t>эконом</w:t>
      </w:r>
      <w:r w:rsidRPr="00505035">
        <w:t xml:space="preserve">развития в 2020 году в сопоставимых ценах оборот розничной торговли составит 95,8% к уровню 2019 года (в </w:t>
      </w:r>
      <w:r w:rsidR="00990EE5">
        <w:t>абсолютной величине</w:t>
      </w:r>
      <w:r w:rsidRPr="00505035">
        <w:t xml:space="preserve"> </w:t>
      </w:r>
      <w:r w:rsidR="00990EE5">
        <w:t>-</w:t>
      </w:r>
      <w:r w:rsidRPr="00505035">
        <w:t xml:space="preserve"> 413,4 млрд. рублей). </w:t>
      </w:r>
    </w:p>
    <w:p w14:paraId="7F13BE97" w14:textId="77777777" w:rsidR="00054110" w:rsidRPr="00505035" w:rsidRDefault="00181919" w:rsidP="00054110">
      <w:pPr>
        <w:ind w:firstLine="680"/>
        <w:jc w:val="both"/>
      </w:pPr>
      <w:r>
        <w:t>У</w:t>
      </w:r>
      <w:r w:rsidR="00054110" w:rsidRPr="00505035">
        <w:t xml:space="preserve">казанные выше негативные факторы, оказавшие влияние на покупательский спрос </w:t>
      </w:r>
      <w:r>
        <w:t xml:space="preserve">населения </w:t>
      </w:r>
      <w:r w:rsidR="00054110" w:rsidRPr="00505035">
        <w:t xml:space="preserve">в Волгоградской области, </w:t>
      </w:r>
      <w:r>
        <w:t xml:space="preserve">могут </w:t>
      </w:r>
      <w:r w:rsidR="00054110" w:rsidRPr="00505035">
        <w:t>сохран</w:t>
      </w:r>
      <w:r>
        <w:t>и</w:t>
      </w:r>
      <w:r w:rsidR="00054110" w:rsidRPr="00505035">
        <w:t>т</w:t>
      </w:r>
      <w:r>
        <w:t>ь</w:t>
      </w:r>
      <w:r w:rsidR="00054110" w:rsidRPr="00505035">
        <w:t xml:space="preserve">ся и в 2021 году. </w:t>
      </w:r>
      <w:r w:rsidR="00054110" w:rsidRPr="001E4624">
        <w:rPr>
          <w:u w:val="single"/>
        </w:rPr>
        <w:t>В связи с этим</w:t>
      </w:r>
      <w:r w:rsidR="00990EE5" w:rsidRPr="001E4624">
        <w:rPr>
          <w:u w:val="single"/>
        </w:rPr>
        <w:t>, по мнению КСП,</w:t>
      </w:r>
      <w:r w:rsidR="00054110" w:rsidRPr="001E4624">
        <w:rPr>
          <w:u w:val="single"/>
        </w:rPr>
        <w:t xml:space="preserve"> имеются риски недостижения в 2021 году показателя по обороту розничной торговли (в % к предыдущему году в сопоставимых ценах</w:t>
      </w:r>
      <w:r w:rsidR="00990EE5" w:rsidRPr="001E4624">
        <w:rPr>
          <w:u w:val="single"/>
        </w:rPr>
        <w:t>) в размере</w:t>
      </w:r>
      <w:r w:rsidR="00054110" w:rsidRPr="001E4624">
        <w:rPr>
          <w:i/>
          <w:u w:val="single"/>
        </w:rPr>
        <w:t xml:space="preserve"> </w:t>
      </w:r>
      <w:r w:rsidR="00054110" w:rsidRPr="001E4624">
        <w:rPr>
          <w:u w:val="single"/>
        </w:rPr>
        <w:t>105,</w:t>
      </w:r>
      <w:r w:rsidR="003A4C02">
        <w:rPr>
          <w:u w:val="single"/>
        </w:rPr>
        <w:t>1</w:t>
      </w:r>
      <w:r w:rsidR="00054110" w:rsidRPr="001E4624">
        <w:rPr>
          <w:u w:val="single"/>
        </w:rPr>
        <w:t xml:space="preserve"> процента</w:t>
      </w:r>
      <w:r w:rsidR="00054110" w:rsidRPr="00505035">
        <w:rPr>
          <w:i/>
        </w:rPr>
        <w:t xml:space="preserve">. </w:t>
      </w:r>
    </w:p>
    <w:p w14:paraId="3383B479" w14:textId="77777777" w:rsidR="00054110" w:rsidRPr="00505035" w:rsidRDefault="00054110" w:rsidP="00054110">
      <w:pPr>
        <w:ind w:firstLine="680"/>
        <w:jc w:val="both"/>
      </w:pPr>
      <w:r w:rsidRPr="00505035">
        <w:t xml:space="preserve">Аналогичная ситуация складывается и </w:t>
      </w:r>
      <w:r w:rsidR="00990EE5">
        <w:t>по</w:t>
      </w:r>
      <w:r w:rsidRPr="00505035">
        <w:t xml:space="preserve"> показател</w:t>
      </w:r>
      <w:r w:rsidR="00990EE5">
        <w:t>ю</w:t>
      </w:r>
      <w:r w:rsidRPr="00505035">
        <w:t xml:space="preserve"> </w:t>
      </w:r>
      <w:r w:rsidR="00990EE5" w:rsidRPr="00990EE5">
        <w:t>«</w:t>
      </w:r>
      <w:r w:rsidRPr="00990EE5">
        <w:t>объем платных услуг населению</w:t>
      </w:r>
      <w:r w:rsidR="00990EE5" w:rsidRPr="00990EE5">
        <w:t>»</w:t>
      </w:r>
      <w:r w:rsidR="00990EE5">
        <w:t xml:space="preserve">, который согласно Прогнозу СЭР составит </w:t>
      </w:r>
      <w:r w:rsidRPr="00505035">
        <w:t xml:space="preserve">в 2021 году в сопоставимых ценах к уровню 2020 года </w:t>
      </w:r>
      <w:r w:rsidR="00990EE5">
        <w:t xml:space="preserve">106,7% </w:t>
      </w:r>
      <w:r w:rsidRPr="00505035">
        <w:t xml:space="preserve">(в </w:t>
      </w:r>
      <w:r w:rsidR="00990EE5">
        <w:t>абсолютной величине</w:t>
      </w:r>
      <w:r w:rsidRPr="00505035">
        <w:t xml:space="preserve"> – 151,7 млрд.</w:t>
      </w:r>
      <w:r w:rsidR="00990EE5">
        <w:t xml:space="preserve"> </w:t>
      </w:r>
      <w:r w:rsidRPr="00505035">
        <w:t>руб.), в 2022 году – 103,1% к 2021 году (163 млрд.</w:t>
      </w:r>
      <w:r w:rsidR="00990EE5">
        <w:t xml:space="preserve"> </w:t>
      </w:r>
      <w:r w:rsidRPr="00505035">
        <w:t>руб.), в 2023 году – 103% к уровню 2022 года (174,9 млрд.</w:t>
      </w:r>
      <w:r w:rsidR="00990EE5">
        <w:t xml:space="preserve"> </w:t>
      </w:r>
      <w:r w:rsidRPr="00505035">
        <w:t>руб.).</w:t>
      </w:r>
    </w:p>
    <w:p w14:paraId="5EAF451F" w14:textId="77777777" w:rsidR="00054110" w:rsidRPr="00505035" w:rsidRDefault="00054110" w:rsidP="00054110">
      <w:pPr>
        <w:ind w:firstLine="680"/>
        <w:jc w:val="both"/>
      </w:pPr>
      <w:r w:rsidRPr="00505035">
        <w:lastRenderedPageBreak/>
        <w:t xml:space="preserve">По оценке 2020 года указанный показатель в сопоставимых ценах составит 89,7% к уровню 2019 года (в </w:t>
      </w:r>
      <w:r w:rsidR="001E4624">
        <w:t>абсолютной сумме</w:t>
      </w:r>
      <w:r w:rsidRPr="00505035">
        <w:t xml:space="preserve"> </w:t>
      </w:r>
      <w:r w:rsidR="001E4624">
        <w:t>-</w:t>
      </w:r>
      <w:r w:rsidRPr="00505035">
        <w:t xml:space="preserve"> 137,1 млрд.руб.). </w:t>
      </w:r>
    </w:p>
    <w:p w14:paraId="04FB94D3" w14:textId="77777777" w:rsidR="00054110" w:rsidRPr="001E4624" w:rsidRDefault="00054110" w:rsidP="00054110">
      <w:pPr>
        <w:ind w:firstLine="680"/>
        <w:jc w:val="both"/>
        <w:rPr>
          <w:u w:val="single"/>
        </w:rPr>
      </w:pPr>
      <w:r w:rsidRPr="001E4624">
        <w:rPr>
          <w:u w:val="single"/>
        </w:rPr>
        <w:t xml:space="preserve">КСП полагает, что прогнозные значения показателя по объему платных услуг населению на 2021 год являются </w:t>
      </w:r>
      <w:r w:rsidR="00E94EE5">
        <w:rPr>
          <w:u w:val="single"/>
        </w:rPr>
        <w:t>недостаточно обоснованными.</w:t>
      </w:r>
      <w:r w:rsidRPr="001E4624">
        <w:rPr>
          <w:u w:val="single"/>
        </w:rPr>
        <w:t xml:space="preserve"> </w:t>
      </w:r>
    </w:p>
    <w:p w14:paraId="42891EF8" w14:textId="77777777" w:rsidR="00054110" w:rsidRPr="00181919" w:rsidRDefault="00054110" w:rsidP="00054110">
      <w:pPr>
        <w:widowControl w:val="0"/>
        <w:autoSpaceDE w:val="0"/>
        <w:autoSpaceDN w:val="0"/>
        <w:adjustRightInd w:val="0"/>
        <w:ind w:firstLine="680"/>
        <w:jc w:val="both"/>
        <w:rPr>
          <w:b/>
          <w:i/>
          <w:u w:val="single"/>
        </w:rPr>
      </w:pPr>
      <w:r w:rsidRPr="00505035">
        <w:t xml:space="preserve"> В целом можно сделать вывод, что с учетом рисков недостижения в 2021 году показателей по </w:t>
      </w:r>
      <w:r w:rsidRPr="001E4624">
        <w:t>объему отгруженных товаров, обороту розничной торговли и объему платных услуг населению, занимающих значительный удельный вес в формировании ВРП,</w:t>
      </w:r>
      <w:r w:rsidRPr="00505035">
        <w:rPr>
          <w:i/>
        </w:rPr>
        <w:t xml:space="preserve"> </w:t>
      </w:r>
      <w:r w:rsidRPr="00505035">
        <w:rPr>
          <w:b/>
          <w:i/>
          <w:u w:val="single"/>
        </w:rPr>
        <w:t xml:space="preserve">имеются риски недостижения в 2021 году показателя </w:t>
      </w:r>
      <w:r w:rsidRPr="00181919">
        <w:rPr>
          <w:b/>
          <w:i/>
          <w:u w:val="single"/>
        </w:rPr>
        <w:t>ВРП с индексом физического объема 103,9</w:t>
      </w:r>
      <w:r w:rsidR="00181919" w:rsidRPr="00181919">
        <w:rPr>
          <w:b/>
          <w:i/>
          <w:u w:val="single"/>
        </w:rPr>
        <w:t xml:space="preserve"> процента</w:t>
      </w:r>
      <w:r w:rsidRPr="00181919">
        <w:rPr>
          <w:b/>
          <w:i/>
          <w:u w:val="single"/>
        </w:rPr>
        <w:t>.</w:t>
      </w:r>
    </w:p>
    <w:p w14:paraId="2175F267" w14:textId="77777777" w:rsidR="00054110" w:rsidRPr="00505035" w:rsidRDefault="001E4624" w:rsidP="00054110">
      <w:pPr>
        <w:ind w:firstLine="680"/>
        <w:jc w:val="both"/>
      </w:pPr>
      <w:r>
        <w:t>В</w:t>
      </w:r>
      <w:r w:rsidR="00054110" w:rsidRPr="00505035">
        <w:t xml:space="preserve"> своем заключении на проект федерального закона «О федеральном бюджете на 2021 год и на плановый период 2022 и 2023 годов» в части анализа параметров прогноза социально-экономического развития Российской Федерации на 2021-2023 годы </w:t>
      </w:r>
      <w:r w:rsidRPr="00505035">
        <w:t xml:space="preserve">Счетная палата РФ </w:t>
      </w:r>
      <w:r w:rsidR="00054110" w:rsidRPr="00505035">
        <w:t xml:space="preserve">также </w:t>
      </w:r>
      <w:r>
        <w:t>отметила</w:t>
      </w:r>
      <w:r w:rsidR="00054110" w:rsidRPr="00505035">
        <w:t>, что темп роста российской экономики (ВВП) в 2021 году не превысит 3% (против прогнозируемых</w:t>
      </w:r>
      <w:r>
        <w:t xml:space="preserve"> Правительством РФ</w:t>
      </w:r>
      <w:r w:rsidR="00054110" w:rsidRPr="00505035">
        <w:t xml:space="preserve"> 3,3%). А в условиях более медленного восстановления мировой экономики и введения частичных ограничений в ряде стран в период между осенью 2020 года и весной 2021 года (</w:t>
      </w:r>
      <w:r>
        <w:t>«</w:t>
      </w:r>
      <w:r w:rsidR="00054110" w:rsidRPr="00505035">
        <w:t>вторая волна пандемии</w:t>
      </w:r>
      <w:r>
        <w:t>»</w:t>
      </w:r>
      <w:r w:rsidR="00054110" w:rsidRPr="00505035">
        <w:t>) рост ВВП будет в диапазоне около 2 процентов.</w:t>
      </w:r>
    </w:p>
    <w:p w14:paraId="44E118E2" w14:textId="77777777" w:rsidR="001E4624" w:rsidRDefault="00054110" w:rsidP="001E4624">
      <w:pPr>
        <w:ind w:firstLine="680"/>
        <w:jc w:val="both"/>
      </w:pPr>
      <w:r w:rsidRPr="00505035">
        <w:t>Сравнительный анализ основных макроэкономических показателей развития Российской Федерации и Волгоградской области на 2021 год и на период 2022-2023 годов представлен в следующей таблице.</w:t>
      </w:r>
    </w:p>
    <w:p w14:paraId="0A846A2D" w14:textId="77777777" w:rsidR="00D3502B" w:rsidRPr="00F50481" w:rsidRDefault="007E4295" w:rsidP="007E4295">
      <w:pPr>
        <w:ind w:firstLine="68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D3502B">
        <w:rPr>
          <w:sz w:val="20"/>
          <w:szCs w:val="20"/>
        </w:rPr>
        <w:t xml:space="preserve">в </w:t>
      </w:r>
      <w:r>
        <w:rPr>
          <w:sz w:val="20"/>
          <w:szCs w:val="20"/>
        </w:rPr>
        <w:t>%</w:t>
      </w:r>
      <w:r w:rsidR="00D3502B" w:rsidRPr="00F50481">
        <w:rPr>
          <w:sz w:val="20"/>
          <w:szCs w:val="20"/>
        </w:rPr>
        <w:t>%</w:t>
      </w: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134"/>
        <w:gridCol w:w="1134"/>
        <w:gridCol w:w="1134"/>
        <w:gridCol w:w="1842"/>
      </w:tblGrid>
      <w:tr w:rsidR="00D3502B" w:rsidRPr="00E42CA7" w14:paraId="16413BEE" w14:textId="77777777" w:rsidTr="007E4295">
        <w:trPr>
          <w:cantSplit/>
          <w:tblHeader/>
        </w:trPr>
        <w:tc>
          <w:tcPr>
            <w:tcW w:w="2127" w:type="dxa"/>
            <w:vMerge w:val="restart"/>
            <w:shd w:val="clear" w:color="auto" w:fill="EAF1DD" w:themeFill="accent3" w:themeFillTint="33"/>
          </w:tcPr>
          <w:p w14:paraId="14E9EC2F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14:paraId="6D168483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отчет</w:t>
            </w:r>
          </w:p>
          <w:p w14:paraId="13E693B2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2019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</w:tcPr>
          <w:p w14:paraId="0FBCE21E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оценка</w:t>
            </w:r>
          </w:p>
          <w:p w14:paraId="5C3B5331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2020</w:t>
            </w:r>
          </w:p>
        </w:tc>
        <w:tc>
          <w:tcPr>
            <w:tcW w:w="3402" w:type="dxa"/>
            <w:gridSpan w:val="3"/>
            <w:shd w:val="clear" w:color="auto" w:fill="EAF1DD" w:themeFill="accent3" w:themeFillTint="33"/>
          </w:tcPr>
          <w:p w14:paraId="6AF364C7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прогноз</w:t>
            </w:r>
          </w:p>
        </w:tc>
        <w:tc>
          <w:tcPr>
            <w:tcW w:w="1842" w:type="dxa"/>
            <w:vMerge w:val="restart"/>
            <w:shd w:val="clear" w:color="auto" w:fill="EAF1DD" w:themeFill="accent3" w:themeFillTint="33"/>
          </w:tcPr>
          <w:p w14:paraId="166E084D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Среднегодовой темп роста</w:t>
            </w:r>
          </w:p>
        </w:tc>
      </w:tr>
      <w:tr w:rsidR="00D3502B" w:rsidRPr="00E42CA7" w14:paraId="400178E1" w14:textId="77777777" w:rsidTr="007E4295">
        <w:trPr>
          <w:cantSplit/>
          <w:tblHeader/>
        </w:trPr>
        <w:tc>
          <w:tcPr>
            <w:tcW w:w="2127" w:type="dxa"/>
            <w:vMerge/>
          </w:tcPr>
          <w:p w14:paraId="5FA4D7A6" w14:textId="77777777" w:rsidR="00D3502B" w:rsidRPr="00E42CA7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51F1F25D" w14:textId="77777777" w:rsidR="00D3502B" w:rsidRPr="00E42CA7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9EBCBAD" w14:textId="77777777" w:rsidR="00D3502B" w:rsidRPr="00E42CA7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75F18948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2021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4E2C7C67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1BAD4EF7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2023</w:t>
            </w:r>
          </w:p>
        </w:tc>
        <w:tc>
          <w:tcPr>
            <w:tcW w:w="1842" w:type="dxa"/>
            <w:vMerge/>
          </w:tcPr>
          <w:p w14:paraId="62BB2183" w14:textId="77777777" w:rsidR="00D3502B" w:rsidRPr="00E42CA7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</w:p>
        </w:tc>
      </w:tr>
      <w:tr w:rsidR="00D3502B" w:rsidRPr="00784E71" w14:paraId="2EFFB464" w14:textId="77777777" w:rsidTr="007E4295">
        <w:trPr>
          <w:cantSplit/>
          <w:tblHeader/>
        </w:trPr>
        <w:tc>
          <w:tcPr>
            <w:tcW w:w="2127" w:type="dxa"/>
            <w:shd w:val="clear" w:color="auto" w:fill="EAF1DD" w:themeFill="accent3" w:themeFillTint="33"/>
          </w:tcPr>
          <w:p w14:paraId="138724DC" w14:textId="77777777" w:rsidR="00D3502B" w:rsidRPr="00784E71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  <w:r w:rsidRPr="00784E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429DCC96" w14:textId="77777777" w:rsidR="00D3502B" w:rsidRPr="00784E71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  <w:r w:rsidRPr="00784E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3ABE66F7" w14:textId="77777777" w:rsidR="00D3502B" w:rsidRPr="00784E71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  <w:r w:rsidRPr="00784E7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3580EEB8" w14:textId="77777777" w:rsidR="00D3502B" w:rsidRPr="00784E71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  <w:r w:rsidRPr="00784E7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2E52CC48" w14:textId="77777777" w:rsidR="00D3502B" w:rsidRPr="00784E71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  <w:r w:rsidRPr="00784E7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3973ABEA" w14:textId="77777777" w:rsidR="00D3502B" w:rsidRPr="00784E71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  <w:r w:rsidRPr="00784E71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25970DF8" w14:textId="77777777" w:rsidR="00D3502B" w:rsidRPr="00784E71" w:rsidRDefault="00D3502B" w:rsidP="003860CC">
            <w:pPr>
              <w:ind w:right="-1"/>
              <w:jc w:val="center"/>
              <w:rPr>
                <w:bCs/>
                <w:sz w:val="20"/>
                <w:szCs w:val="20"/>
              </w:rPr>
            </w:pPr>
            <w:r w:rsidRPr="00784E71">
              <w:rPr>
                <w:bCs/>
                <w:sz w:val="20"/>
                <w:szCs w:val="20"/>
              </w:rPr>
              <w:t>7</w:t>
            </w:r>
          </w:p>
        </w:tc>
      </w:tr>
      <w:tr w:rsidR="00D3502B" w:rsidRPr="00784E71" w14:paraId="11122FFE" w14:textId="77777777" w:rsidTr="007E4295">
        <w:trPr>
          <w:tblHeader/>
        </w:trPr>
        <w:tc>
          <w:tcPr>
            <w:tcW w:w="9639" w:type="dxa"/>
            <w:gridSpan w:val="7"/>
            <w:shd w:val="clear" w:color="auto" w:fill="auto"/>
          </w:tcPr>
          <w:p w14:paraId="22B83D3E" w14:textId="77777777" w:rsidR="00D3502B" w:rsidRPr="00784E71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784E71">
              <w:rPr>
                <w:b/>
                <w:bCs/>
                <w:i/>
                <w:sz w:val="20"/>
                <w:szCs w:val="20"/>
              </w:rPr>
              <w:t>ВВП/ВРП</w:t>
            </w:r>
          </w:p>
        </w:tc>
      </w:tr>
      <w:tr w:rsidR="00D3502B" w:rsidRPr="00784E71" w14:paraId="6F6F00AF" w14:textId="77777777" w:rsidTr="007E4295">
        <w:trPr>
          <w:tblHeader/>
        </w:trPr>
        <w:tc>
          <w:tcPr>
            <w:tcW w:w="2127" w:type="dxa"/>
            <w:shd w:val="clear" w:color="auto" w:fill="auto"/>
          </w:tcPr>
          <w:p w14:paraId="01C7ED28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1CEC0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C596F0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C310E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32C4F1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A501B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19FEDB6" w14:textId="77777777" w:rsidR="00D3502B" w:rsidRPr="00E42CA7" w:rsidRDefault="00D3502B" w:rsidP="003860CC">
            <w:pPr>
              <w:ind w:firstLine="41"/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103,2</w:t>
            </w:r>
          </w:p>
        </w:tc>
      </w:tr>
      <w:tr w:rsidR="00D3502B" w:rsidRPr="00784E71" w14:paraId="60438447" w14:textId="77777777" w:rsidTr="007E4295">
        <w:trPr>
          <w:tblHeader/>
        </w:trPr>
        <w:tc>
          <w:tcPr>
            <w:tcW w:w="2127" w:type="dxa"/>
            <w:shd w:val="clear" w:color="auto" w:fill="auto"/>
          </w:tcPr>
          <w:p w14:paraId="107A21CE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Волгоградская</w:t>
            </w:r>
            <w:r>
              <w:rPr>
                <w:bCs/>
                <w:sz w:val="20"/>
                <w:szCs w:val="20"/>
              </w:rPr>
              <w:t xml:space="preserve"> обл</w:t>
            </w:r>
            <w:r w:rsidR="007E42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F8DF7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A60410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F6B0A8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E3E483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C25A5F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B11ADC1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102,2</w:t>
            </w:r>
          </w:p>
        </w:tc>
      </w:tr>
      <w:tr w:rsidR="00D3502B" w:rsidRPr="00E42CA7" w14:paraId="59673D60" w14:textId="77777777" w:rsidTr="007E4295">
        <w:trPr>
          <w:tblHeader/>
        </w:trPr>
        <w:tc>
          <w:tcPr>
            <w:tcW w:w="9639" w:type="dxa"/>
            <w:gridSpan w:val="7"/>
          </w:tcPr>
          <w:p w14:paraId="1936765B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Индекс промышленного производства</w:t>
            </w:r>
          </w:p>
        </w:tc>
      </w:tr>
      <w:tr w:rsidR="00D3502B" w:rsidRPr="00E42CA7" w14:paraId="624751AB" w14:textId="77777777" w:rsidTr="007E4295">
        <w:trPr>
          <w:tblHeader/>
        </w:trPr>
        <w:tc>
          <w:tcPr>
            <w:tcW w:w="2127" w:type="dxa"/>
          </w:tcPr>
          <w:p w14:paraId="68AA6E2E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vAlign w:val="bottom"/>
          </w:tcPr>
          <w:p w14:paraId="6D51C089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102,3</w:t>
            </w:r>
          </w:p>
        </w:tc>
        <w:tc>
          <w:tcPr>
            <w:tcW w:w="1134" w:type="dxa"/>
            <w:vAlign w:val="bottom"/>
          </w:tcPr>
          <w:p w14:paraId="74544233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95,9</w:t>
            </w:r>
          </w:p>
        </w:tc>
        <w:tc>
          <w:tcPr>
            <w:tcW w:w="1134" w:type="dxa"/>
            <w:vAlign w:val="bottom"/>
          </w:tcPr>
          <w:p w14:paraId="5F7C973C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102,6</w:t>
            </w:r>
          </w:p>
        </w:tc>
        <w:tc>
          <w:tcPr>
            <w:tcW w:w="1134" w:type="dxa"/>
            <w:vAlign w:val="bottom"/>
          </w:tcPr>
          <w:p w14:paraId="49C2CA9D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103,6</w:t>
            </w:r>
          </w:p>
        </w:tc>
        <w:tc>
          <w:tcPr>
            <w:tcW w:w="1134" w:type="dxa"/>
            <w:vAlign w:val="bottom"/>
          </w:tcPr>
          <w:p w14:paraId="50E3BF80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102,3</w:t>
            </w:r>
          </w:p>
        </w:tc>
        <w:tc>
          <w:tcPr>
            <w:tcW w:w="1842" w:type="dxa"/>
            <w:vAlign w:val="bottom"/>
          </w:tcPr>
          <w:p w14:paraId="4C3682DE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102,8</w:t>
            </w:r>
          </w:p>
        </w:tc>
      </w:tr>
      <w:tr w:rsidR="00D3502B" w:rsidRPr="00E42CA7" w14:paraId="33A30AF5" w14:textId="77777777" w:rsidTr="007E4295">
        <w:trPr>
          <w:tblHeader/>
        </w:trPr>
        <w:tc>
          <w:tcPr>
            <w:tcW w:w="2127" w:type="dxa"/>
          </w:tcPr>
          <w:p w14:paraId="6514F0D9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Волгоградская</w:t>
            </w:r>
            <w:r>
              <w:rPr>
                <w:bCs/>
                <w:sz w:val="20"/>
                <w:szCs w:val="20"/>
              </w:rPr>
              <w:t xml:space="preserve"> обл</w:t>
            </w:r>
            <w:r w:rsidR="007E42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bottom"/>
          </w:tcPr>
          <w:p w14:paraId="6F68ABF7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101,5</w:t>
            </w:r>
          </w:p>
        </w:tc>
        <w:tc>
          <w:tcPr>
            <w:tcW w:w="1134" w:type="dxa"/>
            <w:vAlign w:val="bottom"/>
          </w:tcPr>
          <w:p w14:paraId="1D9A1B98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96,9</w:t>
            </w:r>
          </w:p>
        </w:tc>
        <w:tc>
          <w:tcPr>
            <w:tcW w:w="1134" w:type="dxa"/>
            <w:vAlign w:val="bottom"/>
          </w:tcPr>
          <w:p w14:paraId="3C21493F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102,7</w:t>
            </w:r>
          </w:p>
        </w:tc>
        <w:tc>
          <w:tcPr>
            <w:tcW w:w="1134" w:type="dxa"/>
            <w:vAlign w:val="bottom"/>
          </w:tcPr>
          <w:p w14:paraId="6403C41C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102,2</w:t>
            </w:r>
          </w:p>
        </w:tc>
        <w:tc>
          <w:tcPr>
            <w:tcW w:w="1134" w:type="dxa"/>
            <w:vAlign w:val="bottom"/>
          </w:tcPr>
          <w:p w14:paraId="7F875849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102,3</w:t>
            </w:r>
          </w:p>
        </w:tc>
        <w:tc>
          <w:tcPr>
            <w:tcW w:w="1842" w:type="dxa"/>
            <w:vAlign w:val="bottom"/>
          </w:tcPr>
          <w:p w14:paraId="0652DADD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102,4</w:t>
            </w:r>
          </w:p>
        </w:tc>
      </w:tr>
      <w:tr w:rsidR="00D3502B" w:rsidRPr="00E42CA7" w14:paraId="327E2D7C" w14:textId="77777777" w:rsidTr="007E4295">
        <w:trPr>
          <w:tblHeader/>
        </w:trPr>
        <w:tc>
          <w:tcPr>
            <w:tcW w:w="9639" w:type="dxa"/>
            <w:gridSpan w:val="7"/>
          </w:tcPr>
          <w:p w14:paraId="10E81519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Продукция сельского хозяйства во всех категориях хозяйств</w:t>
            </w:r>
          </w:p>
        </w:tc>
      </w:tr>
      <w:tr w:rsidR="00D3502B" w:rsidRPr="00E42CA7" w14:paraId="285CFE25" w14:textId="77777777" w:rsidTr="007E4295">
        <w:trPr>
          <w:tblHeader/>
        </w:trPr>
        <w:tc>
          <w:tcPr>
            <w:tcW w:w="2127" w:type="dxa"/>
          </w:tcPr>
          <w:p w14:paraId="2DA3B9E0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vAlign w:val="center"/>
          </w:tcPr>
          <w:p w14:paraId="7D1E9951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104,3</w:t>
            </w:r>
          </w:p>
        </w:tc>
        <w:tc>
          <w:tcPr>
            <w:tcW w:w="1134" w:type="dxa"/>
            <w:vAlign w:val="center"/>
          </w:tcPr>
          <w:p w14:paraId="19ECBB8E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101,0</w:t>
            </w:r>
          </w:p>
        </w:tc>
        <w:tc>
          <w:tcPr>
            <w:tcW w:w="1134" w:type="dxa"/>
            <w:vAlign w:val="center"/>
          </w:tcPr>
          <w:p w14:paraId="29E3E545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102,1</w:t>
            </w:r>
          </w:p>
        </w:tc>
        <w:tc>
          <w:tcPr>
            <w:tcW w:w="1134" w:type="dxa"/>
            <w:vAlign w:val="center"/>
          </w:tcPr>
          <w:p w14:paraId="26DF41C3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102,1</w:t>
            </w:r>
          </w:p>
        </w:tc>
        <w:tc>
          <w:tcPr>
            <w:tcW w:w="1134" w:type="dxa"/>
            <w:vAlign w:val="center"/>
          </w:tcPr>
          <w:p w14:paraId="5DEAAA6F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102,1</w:t>
            </w:r>
          </w:p>
        </w:tc>
        <w:tc>
          <w:tcPr>
            <w:tcW w:w="1842" w:type="dxa"/>
            <w:vAlign w:val="center"/>
          </w:tcPr>
          <w:p w14:paraId="0E9940F0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102,1</w:t>
            </w:r>
          </w:p>
        </w:tc>
      </w:tr>
      <w:tr w:rsidR="00D3502B" w:rsidRPr="00E42CA7" w14:paraId="23397D0E" w14:textId="77777777" w:rsidTr="007E4295">
        <w:trPr>
          <w:tblHeader/>
        </w:trPr>
        <w:tc>
          <w:tcPr>
            <w:tcW w:w="2127" w:type="dxa"/>
          </w:tcPr>
          <w:p w14:paraId="128EABCF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Волгоградская</w:t>
            </w:r>
            <w:r>
              <w:rPr>
                <w:bCs/>
                <w:sz w:val="20"/>
                <w:szCs w:val="20"/>
              </w:rPr>
              <w:t xml:space="preserve"> обл</w:t>
            </w:r>
            <w:r w:rsidR="007E42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0661D9ED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107</w:t>
            </w:r>
            <w:r w:rsidRPr="00E42CA7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14:paraId="72F215A3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4C35056D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</w:rPr>
              <w:t>1</w:t>
            </w:r>
            <w:r w:rsidRPr="00E42CA7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291E0024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</w:rPr>
              <w:t>0,7</w:t>
            </w:r>
          </w:p>
        </w:tc>
        <w:tc>
          <w:tcPr>
            <w:tcW w:w="1134" w:type="dxa"/>
            <w:vAlign w:val="center"/>
          </w:tcPr>
          <w:p w14:paraId="7EF81AE0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</w:rPr>
              <w:t>0,8</w:t>
            </w:r>
          </w:p>
        </w:tc>
        <w:tc>
          <w:tcPr>
            <w:tcW w:w="1842" w:type="dxa"/>
            <w:vAlign w:val="center"/>
          </w:tcPr>
          <w:p w14:paraId="0F2BED41" w14:textId="77777777" w:rsidR="00D3502B" w:rsidRPr="00E42CA7" w:rsidRDefault="00D3502B" w:rsidP="003860CC">
            <w:pPr>
              <w:jc w:val="center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10</w:t>
            </w:r>
            <w:r>
              <w:rPr>
                <w:bCs/>
                <w:sz w:val="20"/>
                <w:szCs w:val="20"/>
              </w:rPr>
              <w:t>0,9</w:t>
            </w:r>
          </w:p>
        </w:tc>
      </w:tr>
      <w:tr w:rsidR="00D3502B" w:rsidRPr="00E42CA7" w14:paraId="7F41FAF4" w14:textId="77777777" w:rsidTr="007E4295">
        <w:trPr>
          <w:tblHeader/>
        </w:trPr>
        <w:tc>
          <w:tcPr>
            <w:tcW w:w="9639" w:type="dxa"/>
            <w:gridSpan w:val="7"/>
          </w:tcPr>
          <w:p w14:paraId="6F7F3C87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Инвестиции в основной капитал</w:t>
            </w:r>
          </w:p>
        </w:tc>
      </w:tr>
      <w:tr w:rsidR="00D3502B" w:rsidRPr="00E42CA7" w14:paraId="0A786005" w14:textId="77777777" w:rsidTr="007E4295">
        <w:trPr>
          <w:tblHeader/>
        </w:trPr>
        <w:tc>
          <w:tcPr>
            <w:tcW w:w="2127" w:type="dxa"/>
          </w:tcPr>
          <w:p w14:paraId="214562D8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vAlign w:val="bottom"/>
          </w:tcPr>
          <w:p w14:paraId="7DEDCA36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101,7</w:t>
            </w:r>
          </w:p>
        </w:tc>
        <w:tc>
          <w:tcPr>
            <w:tcW w:w="1134" w:type="dxa"/>
            <w:vAlign w:val="bottom"/>
          </w:tcPr>
          <w:p w14:paraId="26738057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93,4</w:t>
            </w:r>
          </w:p>
        </w:tc>
        <w:tc>
          <w:tcPr>
            <w:tcW w:w="1134" w:type="dxa"/>
            <w:vAlign w:val="bottom"/>
          </w:tcPr>
          <w:p w14:paraId="380F53DC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103,9</w:t>
            </w:r>
          </w:p>
        </w:tc>
        <w:tc>
          <w:tcPr>
            <w:tcW w:w="1134" w:type="dxa"/>
            <w:vAlign w:val="bottom"/>
          </w:tcPr>
          <w:p w14:paraId="3F10F8FC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105,3</w:t>
            </w:r>
          </w:p>
        </w:tc>
        <w:tc>
          <w:tcPr>
            <w:tcW w:w="1134" w:type="dxa"/>
            <w:vAlign w:val="bottom"/>
          </w:tcPr>
          <w:p w14:paraId="092CC221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105,1</w:t>
            </w:r>
          </w:p>
        </w:tc>
        <w:tc>
          <w:tcPr>
            <w:tcW w:w="1842" w:type="dxa"/>
            <w:vAlign w:val="bottom"/>
          </w:tcPr>
          <w:p w14:paraId="152012A7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104,8</w:t>
            </w:r>
          </w:p>
        </w:tc>
      </w:tr>
      <w:tr w:rsidR="00D3502B" w:rsidRPr="00E42CA7" w14:paraId="1007C47D" w14:textId="77777777" w:rsidTr="007E4295">
        <w:trPr>
          <w:tblHeader/>
        </w:trPr>
        <w:tc>
          <w:tcPr>
            <w:tcW w:w="2127" w:type="dxa"/>
          </w:tcPr>
          <w:p w14:paraId="47086101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Волгоградская</w:t>
            </w:r>
            <w:r>
              <w:rPr>
                <w:bCs/>
                <w:sz w:val="20"/>
                <w:szCs w:val="20"/>
              </w:rPr>
              <w:t xml:space="preserve"> обл</w:t>
            </w:r>
            <w:r w:rsidR="007E42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bottom"/>
          </w:tcPr>
          <w:p w14:paraId="277E3E41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2,4</w:t>
            </w:r>
          </w:p>
        </w:tc>
        <w:tc>
          <w:tcPr>
            <w:tcW w:w="1134" w:type="dxa"/>
            <w:vAlign w:val="bottom"/>
          </w:tcPr>
          <w:p w14:paraId="312703C1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3,4</w:t>
            </w:r>
          </w:p>
        </w:tc>
        <w:tc>
          <w:tcPr>
            <w:tcW w:w="1134" w:type="dxa"/>
            <w:vAlign w:val="bottom"/>
          </w:tcPr>
          <w:p w14:paraId="40C7C92C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4B7D7074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0,6</w:t>
            </w:r>
          </w:p>
        </w:tc>
        <w:tc>
          <w:tcPr>
            <w:tcW w:w="1134" w:type="dxa"/>
            <w:vAlign w:val="bottom"/>
          </w:tcPr>
          <w:p w14:paraId="264FF952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1,2</w:t>
            </w:r>
          </w:p>
        </w:tc>
        <w:tc>
          <w:tcPr>
            <w:tcW w:w="1842" w:type="dxa"/>
            <w:vAlign w:val="bottom"/>
          </w:tcPr>
          <w:p w14:paraId="651C76D5" w14:textId="77777777" w:rsidR="00D3502B" w:rsidRPr="00E42CA7" w:rsidRDefault="00D3502B" w:rsidP="003860CC">
            <w:pPr>
              <w:jc w:val="center"/>
              <w:rPr>
                <w:sz w:val="20"/>
                <w:szCs w:val="20"/>
              </w:rPr>
            </w:pPr>
            <w:r w:rsidRPr="00E42CA7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0,6</w:t>
            </w:r>
          </w:p>
        </w:tc>
      </w:tr>
      <w:tr w:rsidR="00D3502B" w:rsidRPr="00E42CA7" w14:paraId="303BB34C" w14:textId="77777777" w:rsidTr="007E4295">
        <w:trPr>
          <w:tblHeader/>
        </w:trPr>
        <w:tc>
          <w:tcPr>
            <w:tcW w:w="9639" w:type="dxa"/>
            <w:gridSpan w:val="7"/>
          </w:tcPr>
          <w:p w14:paraId="1509B399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Оборот розничной торговли</w:t>
            </w:r>
          </w:p>
        </w:tc>
      </w:tr>
      <w:tr w:rsidR="00D3502B" w:rsidRPr="00E42CA7" w14:paraId="66680670" w14:textId="77777777" w:rsidTr="007E4295">
        <w:trPr>
          <w:tblHeader/>
        </w:trPr>
        <w:tc>
          <w:tcPr>
            <w:tcW w:w="2127" w:type="dxa"/>
          </w:tcPr>
          <w:p w14:paraId="7D5A45B8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vAlign w:val="center"/>
          </w:tcPr>
          <w:p w14:paraId="0B319F41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34" w:type="dxa"/>
            <w:vAlign w:val="center"/>
          </w:tcPr>
          <w:p w14:paraId="09B73A63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134" w:type="dxa"/>
            <w:vAlign w:val="center"/>
          </w:tcPr>
          <w:p w14:paraId="55479D2A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134" w:type="dxa"/>
            <w:vAlign w:val="center"/>
          </w:tcPr>
          <w:p w14:paraId="37652CC0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134" w:type="dxa"/>
            <w:vAlign w:val="center"/>
          </w:tcPr>
          <w:p w14:paraId="3F728915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842" w:type="dxa"/>
            <w:vAlign w:val="center"/>
          </w:tcPr>
          <w:p w14:paraId="2801C179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103,6</w:t>
            </w:r>
          </w:p>
        </w:tc>
      </w:tr>
      <w:tr w:rsidR="00D3502B" w:rsidRPr="00E42CA7" w14:paraId="6AE66C8E" w14:textId="77777777" w:rsidTr="007E4295">
        <w:trPr>
          <w:tblHeader/>
        </w:trPr>
        <w:tc>
          <w:tcPr>
            <w:tcW w:w="2127" w:type="dxa"/>
          </w:tcPr>
          <w:p w14:paraId="3FCBDB77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Волгоградская обл</w:t>
            </w:r>
            <w:r w:rsidR="007E42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0AAF49D6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3,1</w:t>
            </w:r>
          </w:p>
        </w:tc>
        <w:tc>
          <w:tcPr>
            <w:tcW w:w="1134" w:type="dxa"/>
            <w:vAlign w:val="center"/>
          </w:tcPr>
          <w:p w14:paraId="01B055E9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134" w:type="dxa"/>
            <w:vAlign w:val="center"/>
          </w:tcPr>
          <w:p w14:paraId="64DC83D7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134" w:type="dxa"/>
            <w:vAlign w:val="center"/>
          </w:tcPr>
          <w:p w14:paraId="7ABAB1C9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</w:t>
            </w:r>
            <w:r>
              <w:rPr>
                <w:bCs/>
                <w:color w:val="000000"/>
                <w:sz w:val="20"/>
                <w:szCs w:val="20"/>
              </w:rPr>
              <w:t>2,9</w:t>
            </w:r>
          </w:p>
        </w:tc>
        <w:tc>
          <w:tcPr>
            <w:tcW w:w="1134" w:type="dxa"/>
            <w:vAlign w:val="center"/>
          </w:tcPr>
          <w:p w14:paraId="67436554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</w:t>
            </w:r>
            <w:r>
              <w:rPr>
                <w:bCs/>
                <w:color w:val="000000"/>
                <w:sz w:val="20"/>
                <w:szCs w:val="20"/>
              </w:rPr>
              <w:t>2,8</w:t>
            </w:r>
          </w:p>
        </w:tc>
        <w:tc>
          <w:tcPr>
            <w:tcW w:w="1842" w:type="dxa"/>
            <w:vAlign w:val="center"/>
          </w:tcPr>
          <w:p w14:paraId="1F93245B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3,6</w:t>
            </w:r>
          </w:p>
        </w:tc>
      </w:tr>
      <w:tr w:rsidR="00D3502B" w:rsidRPr="00E42CA7" w14:paraId="2C098291" w14:textId="77777777" w:rsidTr="007E4295">
        <w:trPr>
          <w:tblHeader/>
        </w:trPr>
        <w:tc>
          <w:tcPr>
            <w:tcW w:w="9639" w:type="dxa"/>
            <w:gridSpan w:val="7"/>
          </w:tcPr>
          <w:p w14:paraId="24DF77F4" w14:textId="77777777" w:rsidR="00D3502B" w:rsidRPr="00E42CA7" w:rsidRDefault="00D3502B" w:rsidP="003860CC">
            <w:pPr>
              <w:ind w:right="-1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42CA7">
              <w:rPr>
                <w:b/>
                <w:bCs/>
                <w:i/>
                <w:sz w:val="20"/>
                <w:szCs w:val="20"/>
              </w:rPr>
              <w:t>Объем платных услуг населению</w:t>
            </w:r>
          </w:p>
        </w:tc>
      </w:tr>
      <w:tr w:rsidR="00D3502B" w:rsidRPr="00E42CA7" w14:paraId="576450FE" w14:textId="77777777" w:rsidTr="007E4295">
        <w:trPr>
          <w:tblHeader/>
        </w:trPr>
        <w:tc>
          <w:tcPr>
            <w:tcW w:w="2127" w:type="dxa"/>
          </w:tcPr>
          <w:p w14:paraId="03E2ADA0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vAlign w:val="center"/>
          </w:tcPr>
          <w:p w14:paraId="2A2B8867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134" w:type="dxa"/>
            <w:vAlign w:val="center"/>
          </w:tcPr>
          <w:p w14:paraId="631C9083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134" w:type="dxa"/>
            <w:vAlign w:val="center"/>
          </w:tcPr>
          <w:p w14:paraId="59E0DB2A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134" w:type="dxa"/>
            <w:vAlign w:val="center"/>
          </w:tcPr>
          <w:p w14:paraId="2244B17A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34" w:type="dxa"/>
            <w:vAlign w:val="center"/>
          </w:tcPr>
          <w:p w14:paraId="40595948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842" w:type="dxa"/>
            <w:vAlign w:val="center"/>
          </w:tcPr>
          <w:p w14:paraId="3EC2EF54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104,3</w:t>
            </w:r>
          </w:p>
        </w:tc>
      </w:tr>
      <w:tr w:rsidR="00D3502B" w:rsidRPr="00E42CA7" w14:paraId="385A28C1" w14:textId="77777777" w:rsidTr="007E4295">
        <w:trPr>
          <w:tblHeader/>
        </w:trPr>
        <w:tc>
          <w:tcPr>
            <w:tcW w:w="2127" w:type="dxa"/>
          </w:tcPr>
          <w:p w14:paraId="3E83F432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Волгоградская</w:t>
            </w:r>
            <w:r>
              <w:rPr>
                <w:bCs/>
                <w:sz w:val="20"/>
                <w:szCs w:val="20"/>
              </w:rPr>
              <w:t xml:space="preserve"> обл</w:t>
            </w:r>
            <w:r w:rsidR="007E42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673BE66C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14:paraId="0003A949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89,7</w:t>
            </w:r>
          </w:p>
        </w:tc>
        <w:tc>
          <w:tcPr>
            <w:tcW w:w="1134" w:type="dxa"/>
            <w:vAlign w:val="center"/>
          </w:tcPr>
          <w:p w14:paraId="27820626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134" w:type="dxa"/>
            <w:vAlign w:val="center"/>
          </w:tcPr>
          <w:p w14:paraId="4232B539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03,1</w:t>
            </w:r>
          </w:p>
        </w:tc>
        <w:tc>
          <w:tcPr>
            <w:tcW w:w="1134" w:type="dxa"/>
            <w:vAlign w:val="center"/>
          </w:tcPr>
          <w:p w14:paraId="2E5F3612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03,0</w:t>
            </w:r>
          </w:p>
        </w:tc>
        <w:tc>
          <w:tcPr>
            <w:tcW w:w="1842" w:type="dxa"/>
            <w:vAlign w:val="center"/>
          </w:tcPr>
          <w:p w14:paraId="15AA10FB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</w:t>
            </w:r>
            <w:r>
              <w:rPr>
                <w:color w:val="000000"/>
                <w:sz w:val="20"/>
                <w:szCs w:val="20"/>
              </w:rPr>
              <w:t>4,3</w:t>
            </w:r>
          </w:p>
        </w:tc>
      </w:tr>
      <w:tr w:rsidR="00D3502B" w:rsidRPr="00E42CA7" w14:paraId="4F80A2C2" w14:textId="77777777" w:rsidTr="007E4295">
        <w:trPr>
          <w:tblHeader/>
        </w:trPr>
        <w:tc>
          <w:tcPr>
            <w:tcW w:w="9639" w:type="dxa"/>
            <w:gridSpan w:val="7"/>
          </w:tcPr>
          <w:p w14:paraId="75DA3719" w14:textId="77777777" w:rsidR="00D3502B" w:rsidRPr="00E42CA7" w:rsidRDefault="00D3502B" w:rsidP="003860CC">
            <w:pPr>
              <w:ind w:right="-1"/>
              <w:jc w:val="center"/>
              <w:rPr>
                <w:rFonts w:ascii="Times New Roman CYR" w:hAnsi="Times New Roman CYR" w:cs="Times New Roman CYR"/>
                <w:b/>
                <w:bCs/>
                <w:i/>
                <w:sz w:val="20"/>
                <w:szCs w:val="20"/>
              </w:rPr>
            </w:pPr>
            <w:r w:rsidRPr="00E42CA7">
              <w:rPr>
                <w:rFonts w:ascii="Times New Roman CYR" w:hAnsi="Times New Roman CYR" w:cs="Times New Roman CYR"/>
                <w:b/>
                <w:bCs/>
                <w:i/>
                <w:sz w:val="20"/>
                <w:szCs w:val="20"/>
              </w:rPr>
              <w:t>Среднегодовой индекс потребительских цен</w:t>
            </w:r>
          </w:p>
        </w:tc>
      </w:tr>
      <w:tr w:rsidR="00D3502B" w:rsidRPr="00E42CA7" w14:paraId="71D9FFE3" w14:textId="77777777" w:rsidTr="007E4295">
        <w:trPr>
          <w:tblHeader/>
        </w:trPr>
        <w:tc>
          <w:tcPr>
            <w:tcW w:w="2127" w:type="dxa"/>
          </w:tcPr>
          <w:p w14:paraId="14F0BCE1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vAlign w:val="center"/>
          </w:tcPr>
          <w:p w14:paraId="728AB364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134" w:type="dxa"/>
            <w:vAlign w:val="center"/>
          </w:tcPr>
          <w:p w14:paraId="4E10F13F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134" w:type="dxa"/>
            <w:vAlign w:val="center"/>
          </w:tcPr>
          <w:p w14:paraId="7B03E9B5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134" w:type="dxa"/>
            <w:vAlign w:val="center"/>
          </w:tcPr>
          <w:p w14:paraId="6029AD34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134" w:type="dxa"/>
            <w:vAlign w:val="center"/>
          </w:tcPr>
          <w:p w14:paraId="39E685D3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14:paraId="5BA8B2A3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103,8</w:t>
            </w:r>
          </w:p>
        </w:tc>
      </w:tr>
      <w:tr w:rsidR="00D3502B" w:rsidRPr="00E42CA7" w14:paraId="4336EA59" w14:textId="77777777" w:rsidTr="007E4295">
        <w:trPr>
          <w:tblHeader/>
        </w:trPr>
        <w:tc>
          <w:tcPr>
            <w:tcW w:w="2127" w:type="dxa"/>
          </w:tcPr>
          <w:p w14:paraId="533A9E27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Волгоградская</w:t>
            </w:r>
            <w:r>
              <w:rPr>
                <w:bCs/>
                <w:sz w:val="20"/>
                <w:szCs w:val="20"/>
              </w:rPr>
              <w:t xml:space="preserve"> обл</w:t>
            </w:r>
            <w:r w:rsidR="007E42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0AD20D39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</w:t>
            </w:r>
            <w:r>
              <w:rPr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134" w:type="dxa"/>
            <w:vAlign w:val="center"/>
          </w:tcPr>
          <w:p w14:paraId="3751E906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103,</w:t>
            </w: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5C655030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103,</w:t>
            </w:r>
            <w:r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35C22671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</w:t>
            </w:r>
            <w:r>
              <w:rPr>
                <w:bCs/>
                <w:color w:val="000000"/>
                <w:sz w:val="20"/>
                <w:szCs w:val="20"/>
              </w:rPr>
              <w:t>3,9</w:t>
            </w:r>
          </w:p>
        </w:tc>
        <w:tc>
          <w:tcPr>
            <w:tcW w:w="1134" w:type="dxa"/>
            <w:vAlign w:val="center"/>
          </w:tcPr>
          <w:p w14:paraId="74499131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842" w:type="dxa"/>
            <w:vAlign w:val="center"/>
          </w:tcPr>
          <w:p w14:paraId="45540454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103</w:t>
            </w:r>
            <w:r>
              <w:rPr>
                <w:color w:val="000000"/>
                <w:sz w:val="20"/>
                <w:szCs w:val="20"/>
              </w:rPr>
              <w:t>,8</w:t>
            </w:r>
          </w:p>
        </w:tc>
      </w:tr>
      <w:tr w:rsidR="00D3502B" w:rsidRPr="00E42CA7" w14:paraId="3F6B1E94" w14:textId="77777777" w:rsidTr="007E4295">
        <w:trPr>
          <w:tblHeader/>
        </w:trPr>
        <w:tc>
          <w:tcPr>
            <w:tcW w:w="9639" w:type="dxa"/>
            <w:gridSpan w:val="7"/>
          </w:tcPr>
          <w:p w14:paraId="2CC93E63" w14:textId="77777777" w:rsidR="00D3502B" w:rsidRPr="00E42CA7" w:rsidRDefault="00D3502B" w:rsidP="003860CC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E42CA7">
              <w:rPr>
                <w:b/>
                <w:i/>
                <w:color w:val="000000"/>
                <w:sz w:val="20"/>
                <w:szCs w:val="20"/>
              </w:rPr>
              <w:t>Уровень безработицы (по методологии МОТ)</w:t>
            </w:r>
          </w:p>
        </w:tc>
      </w:tr>
      <w:tr w:rsidR="00D3502B" w:rsidRPr="00E42CA7" w14:paraId="6BFD3CA5" w14:textId="77777777" w:rsidTr="007E4295">
        <w:trPr>
          <w:tblHeader/>
        </w:trPr>
        <w:tc>
          <w:tcPr>
            <w:tcW w:w="2127" w:type="dxa"/>
          </w:tcPr>
          <w:p w14:paraId="0B80D99A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РФ</w:t>
            </w:r>
          </w:p>
        </w:tc>
        <w:tc>
          <w:tcPr>
            <w:tcW w:w="1134" w:type="dxa"/>
            <w:vAlign w:val="center"/>
          </w:tcPr>
          <w:p w14:paraId="6928A782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center"/>
          </w:tcPr>
          <w:p w14:paraId="57AF19C4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5,7</w:t>
            </w:r>
          </w:p>
        </w:tc>
        <w:tc>
          <w:tcPr>
            <w:tcW w:w="1134" w:type="dxa"/>
            <w:vAlign w:val="center"/>
          </w:tcPr>
          <w:p w14:paraId="737C517C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5,2</w:t>
            </w:r>
          </w:p>
        </w:tc>
        <w:tc>
          <w:tcPr>
            <w:tcW w:w="1134" w:type="dxa"/>
            <w:vAlign w:val="center"/>
          </w:tcPr>
          <w:p w14:paraId="034F07B9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4,7</w:t>
            </w:r>
          </w:p>
        </w:tc>
        <w:tc>
          <w:tcPr>
            <w:tcW w:w="1134" w:type="dxa"/>
            <w:vAlign w:val="center"/>
          </w:tcPr>
          <w:p w14:paraId="09E7F97C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4,6</w:t>
            </w:r>
          </w:p>
        </w:tc>
        <w:tc>
          <w:tcPr>
            <w:tcW w:w="1842" w:type="dxa"/>
            <w:vAlign w:val="center"/>
          </w:tcPr>
          <w:p w14:paraId="235AC326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4,8</w:t>
            </w:r>
          </w:p>
        </w:tc>
      </w:tr>
      <w:tr w:rsidR="00D3502B" w:rsidRPr="00E42CA7" w14:paraId="0649E6A6" w14:textId="77777777" w:rsidTr="007E4295">
        <w:trPr>
          <w:tblHeader/>
        </w:trPr>
        <w:tc>
          <w:tcPr>
            <w:tcW w:w="2127" w:type="dxa"/>
          </w:tcPr>
          <w:p w14:paraId="6D0C6B34" w14:textId="77777777" w:rsidR="00D3502B" w:rsidRPr="00E42CA7" w:rsidRDefault="00D3502B" w:rsidP="003860CC">
            <w:pPr>
              <w:ind w:right="-1"/>
              <w:jc w:val="both"/>
              <w:rPr>
                <w:bCs/>
                <w:sz w:val="20"/>
                <w:szCs w:val="20"/>
              </w:rPr>
            </w:pPr>
            <w:r w:rsidRPr="00E42CA7">
              <w:rPr>
                <w:bCs/>
                <w:sz w:val="20"/>
                <w:szCs w:val="20"/>
              </w:rPr>
              <w:t>Волгоградская</w:t>
            </w:r>
            <w:r>
              <w:rPr>
                <w:bCs/>
                <w:sz w:val="20"/>
                <w:szCs w:val="20"/>
              </w:rPr>
              <w:t xml:space="preserve"> обл</w:t>
            </w:r>
            <w:r w:rsidR="007E4295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14:paraId="1079A9A6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134" w:type="dxa"/>
            <w:vAlign w:val="center"/>
          </w:tcPr>
          <w:p w14:paraId="266DED3E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7,6</w:t>
            </w:r>
          </w:p>
        </w:tc>
        <w:tc>
          <w:tcPr>
            <w:tcW w:w="1134" w:type="dxa"/>
            <w:vAlign w:val="center"/>
          </w:tcPr>
          <w:p w14:paraId="6233363E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6,1</w:t>
            </w:r>
          </w:p>
        </w:tc>
        <w:tc>
          <w:tcPr>
            <w:tcW w:w="1134" w:type="dxa"/>
            <w:vAlign w:val="center"/>
          </w:tcPr>
          <w:p w14:paraId="61B4D6BE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5,5</w:t>
            </w:r>
          </w:p>
        </w:tc>
        <w:tc>
          <w:tcPr>
            <w:tcW w:w="1134" w:type="dxa"/>
            <w:vAlign w:val="center"/>
          </w:tcPr>
          <w:p w14:paraId="719F1847" w14:textId="77777777" w:rsidR="00D3502B" w:rsidRPr="00E42CA7" w:rsidRDefault="00D3502B" w:rsidP="003860C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42CA7">
              <w:rPr>
                <w:bCs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842" w:type="dxa"/>
            <w:vAlign w:val="center"/>
          </w:tcPr>
          <w:p w14:paraId="7F735326" w14:textId="77777777" w:rsidR="00D3502B" w:rsidRPr="00E42CA7" w:rsidRDefault="00D3502B" w:rsidP="003860CC">
            <w:pPr>
              <w:jc w:val="center"/>
              <w:rPr>
                <w:color w:val="000000"/>
                <w:sz w:val="20"/>
                <w:szCs w:val="20"/>
              </w:rPr>
            </w:pPr>
            <w:r w:rsidRPr="00E42CA7">
              <w:rPr>
                <w:color w:val="000000"/>
                <w:sz w:val="20"/>
                <w:szCs w:val="20"/>
              </w:rPr>
              <w:t>5,6</w:t>
            </w:r>
          </w:p>
        </w:tc>
      </w:tr>
    </w:tbl>
    <w:p w14:paraId="5C221BEF" w14:textId="77777777" w:rsidR="00D3502B" w:rsidRDefault="00D3502B" w:rsidP="00D3502B">
      <w:pPr>
        <w:ind w:firstLine="680"/>
        <w:jc w:val="both"/>
        <w:rPr>
          <w:sz w:val="28"/>
          <w:szCs w:val="28"/>
        </w:rPr>
      </w:pPr>
    </w:p>
    <w:p w14:paraId="2396916B" w14:textId="77777777" w:rsidR="00D3502B" w:rsidRPr="00D3502B" w:rsidRDefault="00D3502B" w:rsidP="00D3502B">
      <w:pPr>
        <w:ind w:firstLine="680"/>
        <w:jc w:val="both"/>
      </w:pPr>
      <w:r w:rsidRPr="00D3502B">
        <w:t xml:space="preserve">Из 8-ми основных макроэкономических показателей, представленных в таблице, </w:t>
      </w:r>
      <w:r w:rsidRPr="00D3502B">
        <w:rPr>
          <w:u w:val="single"/>
        </w:rPr>
        <w:t>среднегодовой темп роста</w:t>
      </w:r>
      <w:r w:rsidRPr="00D3502B">
        <w:t xml:space="preserve"> одного показателя Волгоградской области за 2021-2023 г</w:t>
      </w:r>
      <w:r w:rsidR="00C75BB0">
        <w:t>оды</w:t>
      </w:r>
      <w:r w:rsidRPr="00D3502B">
        <w:t xml:space="preserve"> </w:t>
      </w:r>
      <w:r w:rsidRPr="007E4295">
        <w:t>(</w:t>
      </w:r>
      <w:r w:rsidRPr="007E4295">
        <w:rPr>
          <w:rFonts w:ascii="Times New Roman CYR" w:hAnsi="Times New Roman CYR" w:cs="Times New Roman CYR"/>
          <w:bCs/>
        </w:rPr>
        <w:t>уровень безработицы (по методологии МОТ))</w:t>
      </w:r>
      <w:r w:rsidRPr="00D3502B">
        <w:t xml:space="preserve"> превышает рост аналогичных показателей по РФ (графа 7). </w:t>
      </w:r>
    </w:p>
    <w:p w14:paraId="6255776E" w14:textId="77777777" w:rsidR="00D3502B" w:rsidRPr="00D3502B" w:rsidRDefault="00D3502B" w:rsidP="00D3502B">
      <w:pPr>
        <w:ind w:firstLine="680"/>
        <w:jc w:val="both"/>
      </w:pPr>
      <w:r w:rsidRPr="00D3502B">
        <w:lastRenderedPageBreak/>
        <w:t xml:space="preserve">По 4-м показателям </w:t>
      </w:r>
      <w:r w:rsidRPr="007E4295">
        <w:t>(ВВП/ВРП, и</w:t>
      </w:r>
      <w:r w:rsidRPr="007E4295">
        <w:rPr>
          <w:bCs/>
        </w:rPr>
        <w:t>ндекс промышленного производства, продукция сельского хозяйства, инвестиции в основной капитал)</w:t>
      </w:r>
      <w:r w:rsidRPr="00D3502B">
        <w:t xml:space="preserve"> среднегодовой рост показателей Волгоградской области ниже показателей РФ. </w:t>
      </w:r>
    </w:p>
    <w:p w14:paraId="03D3B4B2" w14:textId="77777777" w:rsidR="00D3502B" w:rsidRPr="00D3502B" w:rsidRDefault="00D3502B" w:rsidP="00D3502B">
      <w:pPr>
        <w:ind w:firstLine="680"/>
        <w:jc w:val="both"/>
        <w:rPr>
          <w:bCs/>
        </w:rPr>
      </w:pPr>
      <w:r w:rsidRPr="00D3502B">
        <w:t xml:space="preserve"> По 3-м показателям </w:t>
      </w:r>
      <w:r w:rsidRPr="00D3502B">
        <w:rPr>
          <w:bCs/>
        </w:rPr>
        <w:t xml:space="preserve">Волгоградской области </w:t>
      </w:r>
      <w:r w:rsidRPr="007E4295">
        <w:t>(о</w:t>
      </w:r>
      <w:r w:rsidRPr="007E4295">
        <w:rPr>
          <w:bCs/>
        </w:rPr>
        <w:t>борот розничной торговли, объем платных услуг, среднегодовой индекс потребительских цен)</w:t>
      </w:r>
      <w:r w:rsidRPr="00D3502B">
        <w:rPr>
          <w:bCs/>
        </w:rPr>
        <w:t xml:space="preserve"> значения темпов роста соответствуют по РФ.</w:t>
      </w:r>
    </w:p>
    <w:p w14:paraId="6BC7BC32" w14:textId="77777777" w:rsidR="00054110" w:rsidRDefault="00521481" w:rsidP="00054110">
      <w:pPr>
        <w:ind w:firstLine="680"/>
        <w:jc w:val="both"/>
      </w:pPr>
      <w:r>
        <w:t>Н</w:t>
      </w:r>
      <w:r w:rsidR="00054110" w:rsidRPr="00505035">
        <w:t xml:space="preserve">а диаграмме представлено изменение одного из основных макроэкономических показателей развития Волгоградской области (ВРП) в сравнении с прогнозными значениями </w:t>
      </w:r>
      <w:r w:rsidRPr="00505035">
        <w:t>Р</w:t>
      </w:r>
      <w:r>
        <w:t xml:space="preserve">оссийской </w:t>
      </w:r>
      <w:r w:rsidRPr="00505035">
        <w:t>Ф</w:t>
      </w:r>
      <w:r>
        <w:t>едерации</w:t>
      </w:r>
      <w:r w:rsidR="00054110" w:rsidRPr="00505035">
        <w:t xml:space="preserve"> (ВВП).</w:t>
      </w:r>
    </w:p>
    <w:p w14:paraId="688BB875" w14:textId="77777777" w:rsidR="00521481" w:rsidRPr="00505035" w:rsidRDefault="00521481" w:rsidP="00054110">
      <w:pPr>
        <w:ind w:firstLine="680"/>
        <w:jc w:val="both"/>
      </w:pPr>
    </w:p>
    <w:p w14:paraId="533048BA" w14:textId="77777777" w:rsidR="00054110" w:rsidRPr="00505035" w:rsidRDefault="00054110" w:rsidP="00054110">
      <w:pPr>
        <w:jc w:val="center"/>
      </w:pPr>
      <w:r w:rsidRPr="00505035">
        <w:rPr>
          <w:noProof/>
        </w:rPr>
        <w:drawing>
          <wp:inline distT="0" distB="0" distL="0" distR="0" wp14:anchorId="7E668801" wp14:editId="3E7C905D">
            <wp:extent cx="5322498" cy="2406770"/>
            <wp:effectExtent l="19050" t="0" r="0" b="0"/>
            <wp:docPr id="1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7E62FACE" w14:textId="77777777" w:rsidR="00054110" w:rsidRPr="00505035" w:rsidRDefault="00054110" w:rsidP="00054110">
      <w:pPr>
        <w:ind w:firstLine="680"/>
        <w:jc w:val="both"/>
      </w:pPr>
    </w:p>
    <w:p w14:paraId="363CBEFA" w14:textId="77777777" w:rsidR="00054110" w:rsidRPr="00505035" w:rsidRDefault="00054110" w:rsidP="00054110">
      <w:pPr>
        <w:ind w:firstLine="680"/>
        <w:jc w:val="both"/>
      </w:pPr>
      <w:r w:rsidRPr="00505035">
        <w:t>Как видно из диаграммы, индекс физического объема ВРП Волгоградской области на 2021 год превышают индексы ВВП РФ на 0,6 п</w:t>
      </w:r>
      <w:r w:rsidR="00521481">
        <w:t xml:space="preserve">роцентных </w:t>
      </w:r>
      <w:r w:rsidRPr="00505035">
        <w:t>п</w:t>
      </w:r>
      <w:r w:rsidR="00521481">
        <w:t>ункта</w:t>
      </w:r>
      <w:r w:rsidRPr="00505035">
        <w:t>. На 2022-2023 годы показатели индекса ВРП Волгоградской области скачкообразны (в 2022 году прогнозируется резкое снижение относительно 2021 года) тогда как показатели индекса ВВП по РФ на 2021-2023 г.г. более равномерны.</w:t>
      </w:r>
    </w:p>
    <w:p w14:paraId="53774653" w14:textId="77777777" w:rsidR="004D051E" w:rsidRPr="00BA2CA4" w:rsidRDefault="004D051E" w:rsidP="00054110">
      <w:pPr>
        <w:autoSpaceDE w:val="0"/>
        <w:autoSpaceDN w:val="0"/>
        <w:adjustRightInd w:val="0"/>
        <w:ind w:firstLine="567"/>
        <w:jc w:val="both"/>
        <w:rPr>
          <w:bCs/>
          <w:u w:val="single"/>
        </w:rPr>
      </w:pPr>
      <w:r w:rsidRPr="004D051E">
        <w:rPr>
          <w:bCs/>
        </w:rPr>
        <w:t>Анализ представленного</w:t>
      </w:r>
      <w:r>
        <w:rPr>
          <w:bCs/>
        </w:rPr>
        <w:t xml:space="preserve"> Прогноза СЭР по его разделам показал, что отдельные показатели прогноза не соответствуют аналогичным показателям в региональных проектах (далее РП) и государственных программах Волгоградской области (далее ГП ВО)</w:t>
      </w:r>
      <w:r w:rsidR="00BA2CA4">
        <w:rPr>
          <w:bCs/>
        </w:rPr>
        <w:t xml:space="preserve">, </w:t>
      </w:r>
      <w:r w:rsidR="00BA2CA4" w:rsidRPr="00BA2CA4">
        <w:rPr>
          <w:bCs/>
          <w:u w:val="single"/>
        </w:rPr>
        <w:t xml:space="preserve">что свидетельствует о </w:t>
      </w:r>
      <w:r w:rsidR="004107E4">
        <w:rPr>
          <w:bCs/>
          <w:u w:val="single"/>
        </w:rPr>
        <w:t>недостаточно качественной подготовке прогноза.</w:t>
      </w:r>
    </w:p>
    <w:p w14:paraId="21D1BF43" w14:textId="77777777" w:rsidR="00054110" w:rsidRPr="00505035" w:rsidRDefault="004D051E" w:rsidP="00054110">
      <w:pPr>
        <w:autoSpaceDE w:val="0"/>
        <w:autoSpaceDN w:val="0"/>
        <w:adjustRightInd w:val="0"/>
        <w:ind w:firstLine="567"/>
        <w:jc w:val="both"/>
      </w:pPr>
      <w:r>
        <w:t>Например, в</w:t>
      </w:r>
      <w:r w:rsidR="00054110" w:rsidRPr="00505035">
        <w:t xml:space="preserve"> разделе 3.10 </w:t>
      </w:r>
      <w:r>
        <w:rPr>
          <w:color w:val="000000"/>
        </w:rPr>
        <w:t>«</w:t>
      </w:r>
      <w:r w:rsidRPr="004D051E">
        <w:rPr>
          <w:bCs/>
        </w:rPr>
        <w:t>Формирование экологической комфортной среды</w:t>
      </w:r>
      <w:r>
        <w:rPr>
          <w:b/>
          <w:bCs/>
        </w:rPr>
        <w:t>»</w:t>
      </w:r>
      <w:r w:rsidRPr="00505035">
        <w:t xml:space="preserve"> </w:t>
      </w:r>
      <w:r w:rsidR="00054110" w:rsidRPr="00505035">
        <w:t>указано, что в прогнозном периоде в рамках РП «Сохранение и предотвращение загрязнения реки Волги» запланировано строительство</w:t>
      </w:r>
      <w:r w:rsidR="00054110" w:rsidRPr="00505035">
        <w:rPr>
          <w:i/>
          <w:iCs/>
        </w:rPr>
        <w:t xml:space="preserve"> </w:t>
      </w:r>
      <w:r w:rsidR="00054110" w:rsidRPr="004D051E">
        <w:rPr>
          <w:iCs/>
        </w:rPr>
        <w:t xml:space="preserve">и реконструкция водопропускных сооружений для улучшения водообмена в низовьях реки Волги </w:t>
      </w:r>
      <w:r w:rsidR="00054110" w:rsidRPr="004D051E">
        <w:rPr>
          <w:iCs/>
          <w:u w:val="single"/>
        </w:rPr>
        <w:t>(включая разработку проектной документации)</w:t>
      </w:r>
      <w:r w:rsidR="00054110" w:rsidRPr="004D051E">
        <w:t>.</w:t>
      </w:r>
      <w:r w:rsidR="00054110" w:rsidRPr="00505035">
        <w:t xml:space="preserve"> Вместе с тем разработка проектной документации в 2020 году финансировалась не в рамках РП, </w:t>
      </w:r>
      <w:r>
        <w:t>а</w:t>
      </w:r>
      <w:r w:rsidR="00054110" w:rsidRPr="00505035">
        <w:t xml:space="preserve"> </w:t>
      </w:r>
      <w:r w:rsidR="00054110" w:rsidRPr="00505035">
        <w:rPr>
          <w:color w:val="000000"/>
        </w:rPr>
        <w:t xml:space="preserve">ГП ВО </w:t>
      </w:r>
      <w:r w:rsidR="00054110" w:rsidRPr="00505035">
        <w:t xml:space="preserve">«Использование и охрана водных объектов, предотвращение негативного воздействия вод на территории Волгоградской области» представленном </w:t>
      </w:r>
      <w:r w:rsidR="00054110" w:rsidRPr="00505035">
        <w:rPr>
          <w:color w:val="000000"/>
        </w:rPr>
        <w:t xml:space="preserve">разработка проектной документации </w:t>
      </w:r>
      <w:r w:rsidR="00E73AC6" w:rsidRPr="00505035">
        <w:rPr>
          <w:color w:val="000000"/>
        </w:rPr>
        <w:t xml:space="preserve">исключена </w:t>
      </w:r>
      <w:r w:rsidR="00054110" w:rsidRPr="00505035">
        <w:rPr>
          <w:color w:val="000000"/>
        </w:rPr>
        <w:t>из мероприятий регионального проекта. Проектом бюджета на 2021 год и плановый период 202</w:t>
      </w:r>
      <w:r>
        <w:rPr>
          <w:color w:val="000000"/>
        </w:rPr>
        <w:t>2</w:t>
      </w:r>
      <w:r w:rsidR="00054110" w:rsidRPr="00505035">
        <w:rPr>
          <w:color w:val="000000"/>
        </w:rPr>
        <w:t xml:space="preserve"> и 202</w:t>
      </w:r>
      <w:r>
        <w:rPr>
          <w:color w:val="000000"/>
        </w:rPr>
        <w:t>3</w:t>
      </w:r>
      <w:r w:rsidR="00054110" w:rsidRPr="00505035">
        <w:rPr>
          <w:color w:val="000000"/>
        </w:rPr>
        <w:t xml:space="preserve"> годов </w:t>
      </w:r>
      <w:r w:rsidR="00054110" w:rsidRPr="00505035">
        <w:t>разработка проектной документации предусмотрена также не в рамках РП</w:t>
      </w:r>
      <w:r w:rsidR="00054110" w:rsidRPr="00505035">
        <w:rPr>
          <w:color w:val="000000"/>
        </w:rPr>
        <w:t>.</w:t>
      </w:r>
    </w:p>
    <w:p w14:paraId="06A33068" w14:textId="77777777" w:rsidR="00054110" w:rsidRPr="00505035" w:rsidRDefault="00054110" w:rsidP="00054110">
      <w:pPr>
        <w:ind w:firstLine="709"/>
        <w:jc w:val="both"/>
        <w:rPr>
          <w:color w:val="000000"/>
        </w:rPr>
      </w:pPr>
      <w:r w:rsidRPr="00505035">
        <w:rPr>
          <w:color w:val="000000"/>
        </w:rPr>
        <w:t xml:space="preserve">Кроме того, в Прогнозе СЭР указано, что в рамках </w:t>
      </w:r>
      <w:r w:rsidR="004D051E">
        <w:rPr>
          <w:color w:val="000000"/>
        </w:rPr>
        <w:t>федерального проекта</w:t>
      </w:r>
      <w:r w:rsidRPr="00505035">
        <w:rPr>
          <w:color w:val="000000"/>
        </w:rPr>
        <w:t xml:space="preserve"> «Сохранение уникальных водных объектов» на 2020-2024 годы запланированы следующие мероприятия: экологическая реабилитация водных объектов общей площадью 139,5 га и расчистка участков русел рек общей протяженностью 109,8 км. Данные значения показателей и результатов ФП по Волгоградской области на 24.12.2024 были установлены нефинансовым соглашением от 04.02.2019, заключенным между руководителями ФП и РП «Сохранение уникальных водных объектов». </w:t>
      </w:r>
      <w:r w:rsidR="004D051E">
        <w:rPr>
          <w:color w:val="000000"/>
        </w:rPr>
        <w:t>Однако в</w:t>
      </w:r>
      <w:r w:rsidRPr="00505035">
        <w:rPr>
          <w:color w:val="000000"/>
        </w:rPr>
        <w:t xml:space="preserve"> дальнейшем эти значения </w:t>
      </w:r>
      <w:r w:rsidR="004D051E">
        <w:rPr>
          <w:color w:val="000000"/>
        </w:rPr>
        <w:t xml:space="preserve">были </w:t>
      </w:r>
      <w:r w:rsidRPr="00505035">
        <w:rPr>
          <w:color w:val="000000"/>
        </w:rPr>
        <w:t>уточн</w:t>
      </w:r>
      <w:r w:rsidR="004D051E">
        <w:rPr>
          <w:color w:val="000000"/>
        </w:rPr>
        <w:t>ены</w:t>
      </w:r>
      <w:r w:rsidRPr="00505035">
        <w:rPr>
          <w:color w:val="000000"/>
        </w:rPr>
        <w:t xml:space="preserve"> дважды (09.12.2019 и 11.08.2020)</w:t>
      </w:r>
      <w:r w:rsidR="004D051E">
        <w:rPr>
          <w:color w:val="000000"/>
        </w:rPr>
        <w:t xml:space="preserve">. </w:t>
      </w:r>
      <w:r w:rsidRPr="00505035">
        <w:rPr>
          <w:color w:val="000000"/>
        </w:rPr>
        <w:t xml:space="preserve">В результате актуальной редакцией паспорта РП «Сохранение уникальных </w:t>
      </w:r>
      <w:r w:rsidRPr="00505035">
        <w:rPr>
          <w:color w:val="000000"/>
        </w:rPr>
        <w:lastRenderedPageBreak/>
        <w:t>водных объектов» предусмотрены иные значения</w:t>
      </w:r>
      <w:r w:rsidR="004D051E">
        <w:rPr>
          <w:color w:val="000000"/>
        </w:rPr>
        <w:t xml:space="preserve"> показателей</w:t>
      </w:r>
      <w:r w:rsidRPr="00505035">
        <w:rPr>
          <w:color w:val="000000"/>
        </w:rPr>
        <w:t xml:space="preserve">, чем в Прогнозе СЭР. При этом уточненные значения показателей данного РП </w:t>
      </w:r>
      <w:r w:rsidR="00BA2CA4">
        <w:rPr>
          <w:color w:val="000000"/>
        </w:rPr>
        <w:t xml:space="preserve">на 2024 год </w:t>
      </w:r>
      <w:r w:rsidRPr="00505035">
        <w:rPr>
          <w:color w:val="000000"/>
        </w:rPr>
        <w:t xml:space="preserve">не соответствуют ГП ВО </w:t>
      </w:r>
      <w:r w:rsidRPr="00505035">
        <w:t>«Использование и охрана водных объектов, предотвращение негативного воздействия вод на территории Волгоградской области»,</w:t>
      </w:r>
      <w:r w:rsidR="00BA2CA4">
        <w:t xml:space="preserve"> что видно из следующей таблицы</w:t>
      </w:r>
      <w:r w:rsidRPr="00505035">
        <w:rPr>
          <w:color w:val="000000"/>
        </w:rPr>
        <w:t>:</w:t>
      </w:r>
    </w:p>
    <w:p w14:paraId="3D84A8B3" w14:textId="77777777" w:rsidR="00054110" w:rsidRPr="00505035" w:rsidRDefault="00054110" w:rsidP="00054110">
      <w:pPr>
        <w:ind w:firstLine="709"/>
        <w:jc w:val="both"/>
        <w:rPr>
          <w:color w:val="000000"/>
        </w:rPr>
      </w:pPr>
    </w:p>
    <w:tbl>
      <w:tblPr>
        <w:tblStyle w:val="11"/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1559"/>
      </w:tblGrid>
      <w:tr w:rsidR="00054110" w:rsidRPr="00505035" w14:paraId="75DF0CA7" w14:textId="77777777" w:rsidTr="00B02E74">
        <w:tc>
          <w:tcPr>
            <w:tcW w:w="3828" w:type="dxa"/>
            <w:shd w:val="clear" w:color="auto" w:fill="EAF1DD" w:themeFill="accent3" w:themeFillTint="33"/>
            <w:vAlign w:val="center"/>
          </w:tcPr>
          <w:p w14:paraId="2548A73B" w14:textId="77777777" w:rsidR="00054110" w:rsidRPr="00E310ED" w:rsidRDefault="00054110" w:rsidP="007E15AB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E310ED">
              <w:rPr>
                <w:b/>
                <w:i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6F4451DB" w14:textId="77777777" w:rsidR="00054110" w:rsidRPr="00E310ED" w:rsidRDefault="00054110" w:rsidP="007E15AB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 w:rsidRPr="00E310ED">
              <w:rPr>
                <w:b/>
                <w:i/>
                <w:color w:val="000000"/>
                <w:sz w:val="20"/>
                <w:szCs w:val="20"/>
              </w:rPr>
              <w:t>Показатели и результаты РП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2B052D14" w14:textId="77777777" w:rsidR="00054110" w:rsidRPr="00E310ED" w:rsidRDefault="00054110" w:rsidP="007E15AB">
            <w:pPr>
              <w:jc w:val="center"/>
              <w:rPr>
                <w:rFonts w:ascii="Calibri" w:hAnsi="Calibri"/>
                <w:b/>
                <w:i/>
                <w:color w:val="000000"/>
                <w:sz w:val="20"/>
                <w:szCs w:val="20"/>
              </w:rPr>
            </w:pPr>
            <w:r w:rsidRPr="00E310ED">
              <w:rPr>
                <w:b/>
                <w:i/>
                <w:color w:val="000000"/>
                <w:sz w:val="20"/>
                <w:szCs w:val="20"/>
              </w:rPr>
              <w:t>Результаты мероприятий ГП ВО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009F2F1D" w14:textId="77777777" w:rsidR="00054110" w:rsidRPr="00E310ED" w:rsidRDefault="00E73AC6" w:rsidP="007E15AB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Отклонения</w:t>
            </w:r>
          </w:p>
        </w:tc>
      </w:tr>
      <w:tr w:rsidR="00054110" w:rsidRPr="00505035" w14:paraId="64126622" w14:textId="77777777" w:rsidTr="00B02E74">
        <w:tc>
          <w:tcPr>
            <w:tcW w:w="3828" w:type="dxa"/>
          </w:tcPr>
          <w:p w14:paraId="08F54774" w14:textId="77777777" w:rsidR="00054110" w:rsidRPr="00E310ED" w:rsidRDefault="00054110" w:rsidP="007E15AB">
            <w:pPr>
              <w:jc w:val="both"/>
              <w:rPr>
                <w:color w:val="000000"/>
                <w:sz w:val="20"/>
                <w:szCs w:val="20"/>
              </w:rPr>
            </w:pPr>
            <w:r w:rsidRPr="00E310ED">
              <w:rPr>
                <w:color w:val="000000"/>
                <w:sz w:val="20"/>
                <w:szCs w:val="20"/>
              </w:rPr>
              <w:t>Площадь восстановленных водных объектов, га</w:t>
            </w:r>
          </w:p>
        </w:tc>
        <w:tc>
          <w:tcPr>
            <w:tcW w:w="2126" w:type="dxa"/>
            <w:vAlign w:val="center"/>
          </w:tcPr>
          <w:p w14:paraId="44C2D1A1" w14:textId="77777777" w:rsidR="00054110" w:rsidRPr="00E310ED" w:rsidRDefault="00054110" w:rsidP="007E15AB">
            <w:pPr>
              <w:jc w:val="center"/>
              <w:rPr>
                <w:color w:val="000000"/>
                <w:sz w:val="20"/>
                <w:szCs w:val="20"/>
              </w:rPr>
            </w:pPr>
            <w:r w:rsidRPr="00E310ED">
              <w:rPr>
                <w:color w:val="000000"/>
                <w:sz w:val="20"/>
                <w:szCs w:val="20"/>
              </w:rPr>
              <w:t>20,8</w:t>
            </w:r>
          </w:p>
        </w:tc>
        <w:tc>
          <w:tcPr>
            <w:tcW w:w="2126" w:type="dxa"/>
            <w:vAlign w:val="center"/>
          </w:tcPr>
          <w:p w14:paraId="00F0F8F1" w14:textId="77777777" w:rsidR="00054110" w:rsidRPr="00E310ED" w:rsidRDefault="00054110" w:rsidP="007E15AB">
            <w:pPr>
              <w:jc w:val="center"/>
              <w:rPr>
                <w:color w:val="000000"/>
                <w:sz w:val="20"/>
                <w:szCs w:val="20"/>
              </w:rPr>
            </w:pPr>
            <w:r w:rsidRPr="00E310ED"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1559" w:type="dxa"/>
            <w:vAlign w:val="center"/>
          </w:tcPr>
          <w:p w14:paraId="378AD4CC" w14:textId="77777777" w:rsidR="00054110" w:rsidRPr="00E310ED" w:rsidRDefault="00E73AC6" w:rsidP="007E15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+6,9</w:t>
            </w:r>
          </w:p>
        </w:tc>
      </w:tr>
      <w:tr w:rsidR="00054110" w:rsidRPr="00505035" w14:paraId="409A87AF" w14:textId="77777777" w:rsidTr="00B02E74">
        <w:tc>
          <w:tcPr>
            <w:tcW w:w="3828" w:type="dxa"/>
          </w:tcPr>
          <w:p w14:paraId="30E50B5B" w14:textId="77777777" w:rsidR="00054110" w:rsidRPr="00E310ED" w:rsidRDefault="00054110" w:rsidP="007E15AB">
            <w:pPr>
              <w:jc w:val="both"/>
              <w:rPr>
                <w:color w:val="000000"/>
                <w:sz w:val="20"/>
                <w:szCs w:val="20"/>
              </w:rPr>
            </w:pPr>
            <w:r w:rsidRPr="00E310ED">
              <w:rPr>
                <w:color w:val="000000"/>
                <w:sz w:val="20"/>
                <w:szCs w:val="20"/>
              </w:rPr>
              <w:t>Протяженность расчищенных участков русел рек, км</w:t>
            </w:r>
          </w:p>
        </w:tc>
        <w:tc>
          <w:tcPr>
            <w:tcW w:w="2126" w:type="dxa"/>
            <w:vAlign w:val="center"/>
          </w:tcPr>
          <w:p w14:paraId="5DF17634" w14:textId="77777777" w:rsidR="00054110" w:rsidRPr="00E310ED" w:rsidRDefault="00054110" w:rsidP="007E15AB">
            <w:pPr>
              <w:jc w:val="center"/>
              <w:rPr>
                <w:color w:val="000000"/>
                <w:sz w:val="20"/>
                <w:szCs w:val="20"/>
              </w:rPr>
            </w:pPr>
            <w:r w:rsidRPr="00E310ED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26" w:type="dxa"/>
            <w:vAlign w:val="center"/>
          </w:tcPr>
          <w:p w14:paraId="1350820F" w14:textId="77777777" w:rsidR="00054110" w:rsidRPr="00E310ED" w:rsidRDefault="00054110" w:rsidP="00E73AC6">
            <w:pPr>
              <w:jc w:val="center"/>
              <w:rPr>
                <w:color w:val="000000"/>
                <w:sz w:val="20"/>
                <w:szCs w:val="20"/>
              </w:rPr>
            </w:pPr>
            <w:r w:rsidRPr="00E310ED">
              <w:rPr>
                <w:color w:val="000000"/>
                <w:sz w:val="20"/>
                <w:szCs w:val="20"/>
              </w:rPr>
              <w:t>16</w:t>
            </w:r>
            <w:r w:rsidR="00E73AC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14:paraId="129A32C6" w14:textId="77777777" w:rsidR="00054110" w:rsidRPr="00E310ED" w:rsidRDefault="00E73AC6" w:rsidP="007E15A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+136</w:t>
            </w:r>
          </w:p>
        </w:tc>
      </w:tr>
    </w:tbl>
    <w:p w14:paraId="03540F6E" w14:textId="77777777" w:rsidR="00054110" w:rsidRPr="00505035" w:rsidRDefault="00054110" w:rsidP="00054110">
      <w:pPr>
        <w:autoSpaceDE w:val="0"/>
        <w:autoSpaceDN w:val="0"/>
        <w:adjustRightInd w:val="0"/>
        <w:ind w:firstLine="567"/>
        <w:jc w:val="both"/>
      </w:pPr>
    </w:p>
    <w:p w14:paraId="4AE0B40B" w14:textId="77777777" w:rsidR="00054110" w:rsidRPr="00505035" w:rsidRDefault="00054110" w:rsidP="00054110">
      <w:pPr>
        <w:autoSpaceDE w:val="0"/>
        <w:autoSpaceDN w:val="0"/>
        <w:adjustRightInd w:val="0"/>
        <w:ind w:firstLine="567"/>
        <w:jc w:val="both"/>
      </w:pPr>
      <w:r w:rsidRPr="00505035">
        <w:t>В Прогнозе СЭР отражено, что реализация ФП «Комплексная система обращения с ТКО» позволит к 2024 году достичь следующих показателей: «Доля ТКО, направленных на утилизацию, в общем объеме образованных ТКО» - 0,4514 млн. т</w:t>
      </w:r>
      <w:r w:rsidR="00BA2CA4">
        <w:t>онн</w:t>
      </w:r>
      <w:r w:rsidRPr="00505035">
        <w:t xml:space="preserve"> и «Доля ТКО, направленных на обработку, в общем объеме образованных ТКО» - 0,6088 млн. тонн.</w:t>
      </w:r>
    </w:p>
    <w:p w14:paraId="2967F5F9" w14:textId="77777777" w:rsidR="00054110" w:rsidRPr="00505035" w:rsidRDefault="00054110" w:rsidP="00054110">
      <w:pPr>
        <w:autoSpaceDE w:val="0"/>
        <w:autoSpaceDN w:val="0"/>
        <w:adjustRightInd w:val="0"/>
        <w:ind w:firstLine="567"/>
        <w:jc w:val="both"/>
      </w:pPr>
      <w:r w:rsidRPr="00505035">
        <w:t>При этом значения приведены в абсолютных величинах, что не может являться значениями для</w:t>
      </w:r>
      <w:r w:rsidR="00BA2CA4">
        <w:t xml:space="preserve"> относительных</w:t>
      </w:r>
      <w:r w:rsidRPr="00505035">
        <w:t xml:space="preserve"> показателей</w:t>
      </w:r>
      <w:r w:rsidR="00BA2CA4">
        <w:t xml:space="preserve"> (доля)</w:t>
      </w:r>
      <w:r w:rsidRPr="00505035">
        <w:t>.</w:t>
      </w:r>
    </w:p>
    <w:p w14:paraId="14541220" w14:textId="77777777" w:rsidR="00054110" w:rsidRPr="00505035" w:rsidRDefault="00054110" w:rsidP="00054110">
      <w:pPr>
        <w:autoSpaceDE w:val="0"/>
        <w:autoSpaceDN w:val="0"/>
        <w:adjustRightInd w:val="0"/>
        <w:ind w:firstLine="567"/>
        <w:jc w:val="both"/>
      </w:pPr>
      <w:r w:rsidRPr="00505035">
        <w:t xml:space="preserve">РП «Комплексная система обращения с ТКО на территории Волгоградской области» </w:t>
      </w:r>
      <w:r w:rsidR="00A06453">
        <w:t xml:space="preserve">и </w:t>
      </w:r>
      <w:r w:rsidR="00A06453" w:rsidRPr="00505035">
        <w:t>ГП ВО «Охрана окружающей среды</w:t>
      </w:r>
      <w:r w:rsidR="001B28BF">
        <w:t xml:space="preserve"> </w:t>
      </w:r>
      <w:r w:rsidR="001B28BF" w:rsidRPr="00505035">
        <w:t xml:space="preserve">на территории </w:t>
      </w:r>
      <w:r w:rsidR="001B28BF">
        <w:t>Волгоградской области</w:t>
      </w:r>
      <w:r w:rsidR="00A06453" w:rsidRPr="00505035">
        <w:t>»</w:t>
      </w:r>
      <w:r w:rsidR="00A06453">
        <w:t xml:space="preserve"> </w:t>
      </w:r>
      <w:r w:rsidRPr="00505035">
        <w:t xml:space="preserve">предусмотрены показатели </w:t>
      </w:r>
      <w:r w:rsidRPr="00505035">
        <w:rPr>
          <w:rFonts w:eastAsia="Calibri"/>
        </w:rPr>
        <w:t>«Объем ТКО, направленных на обработку» и «Объем ТКО, направленных на утилизацию (вторичную переработку)», значения которых соответствуют</w:t>
      </w:r>
      <w:r w:rsidR="00BA2CA4">
        <w:rPr>
          <w:rFonts w:eastAsia="Calibri"/>
        </w:rPr>
        <w:t xml:space="preserve"> показателям,</w:t>
      </w:r>
      <w:r w:rsidRPr="00505035">
        <w:rPr>
          <w:rFonts w:eastAsia="Calibri"/>
        </w:rPr>
        <w:t xml:space="preserve"> приведенным в </w:t>
      </w:r>
      <w:r w:rsidRPr="00505035">
        <w:t>Прогнозе СЭР</w:t>
      </w:r>
      <w:r w:rsidRPr="00505035">
        <w:rPr>
          <w:rFonts w:eastAsia="Calibri"/>
        </w:rPr>
        <w:t>.</w:t>
      </w:r>
      <w:r w:rsidRPr="00505035">
        <w:t xml:space="preserve"> </w:t>
      </w:r>
    </w:p>
    <w:p w14:paraId="7847FFBB" w14:textId="77777777" w:rsidR="00054110" w:rsidRPr="00505035" w:rsidRDefault="00054110" w:rsidP="00054110">
      <w:pPr>
        <w:widowControl w:val="0"/>
        <w:autoSpaceDE w:val="0"/>
        <w:autoSpaceDN w:val="0"/>
        <w:ind w:firstLine="709"/>
        <w:jc w:val="both"/>
      </w:pPr>
      <w:r w:rsidRPr="00505035">
        <w:t xml:space="preserve">При этом согласно территориальной схеме обращения с отходами на территории Волгоградской области, утвержденной приказом </w:t>
      </w:r>
      <w:r w:rsidR="00BA2CA4">
        <w:t>к</w:t>
      </w:r>
      <w:r w:rsidRPr="00505035">
        <w:t xml:space="preserve">омитета </w:t>
      </w:r>
      <w:r w:rsidR="00BA2CA4" w:rsidRPr="00505035">
        <w:rPr>
          <w:iCs/>
          <w:spacing w:val="-2"/>
        </w:rPr>
        <w:t>природных ресурсов, лесного хозяйства и экологии Волгоградской области</w:t>
      </w:r>
      <w:r w:rsidR="00BA2CA4" w:rsidRPr="00505035">
        <w:t xml:space="preserve"> </w:t>
      </w:r>
      <w:r w:rsidRPr="00505035">
        <w:t xml:space="preserve">от 30.05.2020 №927-ОД (далее Терсхема), прогнозное значение образования ТКО IV - V классов опасности на территории области на 2024 год составляет 1,247206 млн. тонн.  С учетом установленной Терсхемой доли обработки ТКО от общего объема образующихся в регионе ТКО – 98,5%, </w:t>
      </w:r>
      <w:r w:rsidRPr="00BA2CA4">
        <w:rPr>
          <w:rFonts w:eastAsia="Calibri"/>
          <w:iCs/>
        </w:rPr>
        <w:t xml:space="preserve">объем ТКО, направленных на обработку </w:t>
      </w:r>
      <w:r w:rsidRPr="00505035">
        <w:rPr>
          <w:rFonts w:eastAsia="Calibri"/>
        </w:rPr>
        <w:t>к 2024 году составит 1,229 млн. т</w:t>
      </w:r>
      <w:r w:rsidR="00BA2CA4">
        <w:rPr>
          <w:rFonts w:eastAsia="Calibri"/>
        </w:rPr>
        <w:t>онн</w:t>
      </w:r>
      <w:r w:rsidRPr="00505035">
        <w:rPr>
          <w:rFonts w:eastAsia="Calibri"/>
        </w:rPr>
        <w:t xml:space="preserve">, что </w:t>
      </w:r>
      <w:r w:rsidRPr="00505035">
        <w:rPr>
          <w:rFonts w:eastAsia="Calibri"/>
          <w:u w:val="single"/>
        </w:rPr>
        <w:t>2 раза больше установленного ФП «Комплексная система обращения с ТКО».</w:t>
      </w:r>
      <w:r w:rsidRPr="00505035">
        <w:rPr>
          <w:rFonts w:eastAsia="Calibri"/>
        </w:rPr>
        <w:t xml:space="preserve"> Т</w:t>
      </w:r>
      <w:r w:rsidR="00BA2CA4">
        <w:rPr>
          <w:rFonts w:eastAsia="Calibri"/>
        </w:rPr>
        <w:t>аким образом,</w:t>
      </w:r>
      <w:r w:rsidRPr="00505035">
        <w:rPr>
          <w:rFonts w:eastAsia="Calibri"/>
        </w:rPr>
        <w:t xml:space="preserve"> в </w:t>
      </w:r>
      <w:r w:rsidRPr="00505035">
        <w:t xml:space="preserve">Прогнозе СЭР, РП </w:t>
      </w:r>
      <w:r w:rsidR="001B28BF">
        <w:t xml:space="preserve">и </w:t>
      </w:r>
      <w:r w:rsidR="00BA2CA4" w:rsidRPr="00505035">
        <w:t>ГП</w:t>
      </w:r>
      <w:r w:rsidRPr="00505035">
        <w:t xml:space="preserve"> </w:t>
      </w:r>
      <w:r w:rsidR="00927761" w:rsidRPr="00505035">
        <w:t>ВО «Охрана окружающей среды</w:t>
      </w:r>
      <w:r w:rsidR="001B28BF">
        <w:t xml:space="preserve"> на территории Волгоградской области</w:t>
      </w:r>
      <w:r w:rsidR="00927761" w:rsidRPr="00505035">
        <w:t>»</w:t>
      </w:r>
      <w:r w:rsidR="00927761">
        <w:t xml:space="preserve"> </w:t>
      </w:r>
      <w:r w:rsidRPr="00505035">
        <w:t>значения показателей занижены, о чем КСП неоднократно отмечала в своих заключениях.</w:t>
      </w:r>
    </w:p>
    <w:p w14:paraId="7D2AAC48" w14:textId="77777777" w:rsidR="00BA2CA4" w:rsidRDefault="00BA2CA4" w:rsidP="00F37740">
      <w:pPr>
        <w:pStyle w:val="1"/>
        <w:ind w:firstLine="708"/>
        <w:jc w:val="center"/>
        <w:rPr>
          <w:b/>
          <w:i/>
          <w:sz w:val="24"/>
          <w:szCs w:val="24"/>
        </w:rPr>
      </w:pPr>
    </w:p>
    <w:p w14:paraId="69203007" w14:textId="77777777" w:rsidR="00F37740" w:rsidRPr="00A27310" w:rsidRDefault="00F37740" w:rsidP="00F37740">
      <w:pPr>
        <w:pStyle w:val="1"/>
        <w:ind w:firstLine="708"/>
        <w:jc w:val="center"/>
        <w:rPr>
          <w:b/>
          <w:i/>
          <w:sz w:val="24"/>
          <w:szCs w:val="24"/>
        </w:rPr>
      </w:pPr>
      <w:r w:rsidRPr="00A27310">
        <w:rPr>
          <w:b/>
          <w:i/>
          <w:sz w:val="24"/>
          <w:szCs w:val="24"/>
        </w:rPr>
        <w:t>3. Основные характеристики областного бюджета на 20</w:t>
      </w:r>
      <w:r>
        <w:rPr>
          <w:b/>
          <w:i/>
          <w:sz w:val="24"/>
          <w:szCs w:val="24"/>
        </w:rPr>
        <w:t>2</w:t>
      </w:r>
      <w:r w:rsidR="00E77A7B">
        <w:rPr>
          <w:b/>
          <w:i/>
          <w:sz w:val="24"/>
          <w:szCs w:val="24"/>
        </w:rPr>
        <w:t>1</w:t>
      </w:r>
      <w:r w:rsidRPr="00A27310">
        <w:rPr>
          <w:b/>
          <w:i/>
          <w:sz w:val="24"/>
          <w:szCs w:val="24"/>
        </w:rPr>
        <w:t xml:space="preserve"> год</w:t>
      </w:r>
    </w:p>
    <w:p w14:paraId="12DF6FB6" w14:textId="77777777" w:rsidR="00F37740" w:rsidRPr="00A27310" w:rsidRDefault="00F37740" w:rsidP="00F37740">
      <w:pPr>
        <w:pStyle w:val="1"/>
        <w:ind w:firstLine="708"/>
        <w:jc w:val="center"/>
        <w:rPr>
          <w:b/>
          <w:i/>
          <w:sz w:val="24"/>
          <w:szCs w:val="24"/>
        </w:rPr>
      </w:pPr>
      <w:r w:rsidRPr="00A27310">
        <w:rPr>
          <w:b/>
          <w:i/>
          <w:sz w:val="24"/>
          <w:szCs w:val="24"/>
        </w:rPr>
        <w:t>и на плановый период 20</w:t>
      </w:r>
      <w:r>
        <w:rPr>
          <w:b/>
          <w:i/>
          <w:sz w:val="24"/>
          <w:szCs w:val="24"/>
        </w:rPr>
        <w:t>2</w:t>
      </w:r>
      <w:r w:rsidR="00E77A7B">
        <w:rPr>
          <w:b/>
          <w:i/>
          <w:sz w:val="24"/>
          <w:szCs w:val="24"/>
        </w:rPr>
        <w:t>2</w:t>
      </w:r>
      <w:r w:rsidRPr="00A27310">
        <w:rPr>
          <w:b/>
          <w:i/>
          <w:sz w:val="24"/>
          <w:szCs w:val="24"/>
        </w:rPr>
        <w:t xml:space="preserve"> и 20</w:t>
      </w:r>
      <w:r>
        <w:rPr>
          <w:b/>
          <w:i/>
          <w:sz w:val="24"/>
          <w:szCs w:val="24"/>
        </w:rPr>
        <w:t>2</w:t>
      </w:r>
      <w:r w:rsidR="00E77A7B">
        <w:rPr>
          <w:b/>
          <w:i/>
          <w:sz w:val="24"/>
          <w:szCs w:val="24"/>
        </w:rPr>
        <w:t>3</w:t>
      </w:r>
      <w:r w:rsidRPr="00A27310">
        <w:rPr>
          <w:b/>
          <w:i/>
          <w:sz w:val="24"/>
          <w:szCs w:val="24"/>
        </w:rPr>
        <w:t xml:space="preserve"> годов.</w:t>
      </w:r>
    </w:p>
    <w:p w14:paraId="20CD5390" w14:textId="77777777" w:rsidR="00F37740" w:rsidRDefault="00F37740" w:rsidP="00F37740"/>
    <w:p w14:paraId="000B88DE" w14:textId="77777777" w:rsidR="00F37740" w:rsidRPr="00A27310" w:rsidRDefault="00F37740" w:rsidP="00F37740">
      <w:pPr>
        <w:pStyle w:val="1"/>
        <w:ind w:firstLine="708"/>
        <w:jc w:val="both"/>
        <w:rPr>
          <w:sz w:val="24"/>
          <w:szCs w:val="24"/>
        </w:rPr>
      </w:pPr>
      <w:r w:rsidRPr="00A27310">
        <w:rPr>
          <w:sz w:val="24"/>
          <w:szCs w:val="24"/>
        </w:rPr>
        <w:t>Предметом рассмотрения проекта закона об областном бюджете на очередной финансовый год и плановый период в первом чтении являются основные характеристики областного бюджета, к которым относятся:</w:t>
      </w:r>
    </w:p>
    <w:p w14:paraId="558E600C" w14:textId="77777777" w:rsidR="00F37740" w:rsidRPr="00A27310" w:rsidRDefault="00F37740" w:rsidP="00F37740">
      <w:pPr>
        <w:pStyle w:val="1"/>
        <w:ind w:firstLine="708"/>
        <w:jc w:val="both"/>
        <w:rPr>
          <w:sz w:val="24"/>
          <w:szCs w:val="24"/>
        </w:rPr>
      </w:pPr>
      <w:r w:rsidRPr="00A27310">
        <w:rPr>
          <w:sz w:val="24"/>
          <w:szCs w:val="24"/>
        </w:rPr>
        <w:t>-прогнозируемый общий объем доходов с указанием поступлений из других бюджетов бюджетной системы РФ;</w:t>
      </w:r>
    </w:p>
    <w:p w14:paraId="52079D6D" w14:textId="77777777" w:rsidR="00F37740" w:rsidRPr="00A27310" w:rsidRDefault="00F37740" w:rsidP="00F37740">
      <w:pPr>
        <w:ind w:firstLine="708"/>
        <w:jc w:val="both"/>
      </w:pPr>
      <w:r w:rsidRPr="00A27310">
        <w:t>-общий объем расходов</w:t>
      </w:r>
      <w:r w:rsidR="002A55D6">
        <w:t xml:space="preserve"> и общий объем условно утверждаемых расходов</w:t>
      </w:r>
      <w:r w:rsidRPr="00A27310">
        <w:t>;</w:t>
      </w:r>
    </w:p>
    <w:p w14:paraId="092F49C0" w14:textId="77777777" w:rsidR="00F37740" w:rsidRPr="00A27310" w:rsidRDefault="00F37740" w:rsidP="00F37740">
      <w:pPr>
        <w:ind w:firstLine="708"/>
        <w:jc w:val="both"/>
      </w:pPr>
      <w:r w:rsidRPr="00A27310">
        <w:t>-дефицит (профицит) областного бюджета;</w:t>
      </w:r>
    </w:p>
    <w:p w14:paraId="762CF47B" w14:textId="77777777" w:rsidR="00F37740" w:rsidRPr="00A27310" w:rsidRDefault="00F37740" w:rsidP="00F37740">
      <w:pPr>
        <w:ind w:firstLine="708"/>
        <w:jc w:val="both"/>
      </w:pPr>
      <w:r w:rsidRPr="00A27310">
        <w:t>а также:</w:t>
      </w:r>
    </w:p>
    <w:p w14:paraId="35AC198E" w14:textId="77777777" w:rsidR="00F37740" w:rsidRPr="00A27310" w:rsidRDefault="00F37740" w:rsidP="00F37740">
      <w:pPr>
        <w:ind w:firstLine="708"/>
        <w:jc w:val="both"/>
      </w:pPr>
      <w:r w:rsidRPr="00A27310">
        <w:t>-нормативы распределения доходов между областным</w:t>
      </w:r>
      <w:r>
        <w:t>,</w:t>
      </w:r>
      <w:r w:rsidRPr="00A27310">
        <w:t xml:space="preserve"> местными бюджетами</w:t>
      </w:r>
      <w:r>
        <w:t xml:space="preserve"> и бюджетом территориального фонда обязательного медицинского страхования,</w:t>
      </w:r>
      <w:r w:rsidRPr="00A27310">
        <w:t xml:space="preserve"> не утвержденные бюджетным законодательством РФ;</w:t>
      </w:r>
    </w:p>
    <w:p w14:paraId="265D34A1" w14:textId="77777777" w:rsidR="00F37740" w:rsidRPr="00A27310" w:rsidRDefault="00F37740" w:rsidP="00F37740">
      <w:pPr>
        <w:ind w:firstLine="708"/>
        <w:jc w:val="both"/>
      </w:pPr>
      <w:r w:rsidRPr="00A27310">
        <w:t>-дополнительные нормативы отчислений от налога на доходы физических лиц в местные бюджеты;</w:t>
      </w:r>
    </w:p>
    <w:p w14:paraId="60B8C85F" w14:textId="77777777" w:rsidR="00965BBA" w:rsidRPr="00965BBA" w:rsidRDefault="0080729A" w:rsidP="00965BBA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iCs/>
          <w:lang w:eastAsia="en-US"/>
        </w:rPr>
      </w:pPr>
      <w:r>
        <w:rPr>
          <w:rFonts w:eastAsiaTheme="minorHAnsi"/>
          <w:bCs/>
          <w:iCs/>
          <w:lang w:eastAsia="en-US"/>
        </w:rPr>
        <w:t xml:space="preserve">  </w:t>
      </w:r>
      <w:r w:rsidR="00965BBA">
        <w:rPr>
          <w:rFonts w:eastAsiaTheme="minorHAnsi"/>
          <w:bCs/>
          <w:iCs/>
          <w:lang w:eastAsia="en-US"/>
        </w:rPr>
        <w:t>-к</w:t>
      </w:r>
      <w:r w:rsidR="00965BBA" w:rsidRPr="00965BBA">
        <w:rPr>
          <w:rFonts w:eastAsiaTheme="minorHAnsi"/>
          <w:bCs/>
          <w:iCs/>
          <w:lang w:eastAsia="en-US"/>
        </w:rPr>
        <w:t>ритери</w:t>
      </w:r>
      <w:r w:rsidR="0093519F">
        <w:rPr>
          <w:rFonts w:eastAsiaTheme="minorHAnsi"/>
          <w:bCs/>
          <w:iCs/>
          <w:lang w:eastAsia="en-US"/>
        </w:rPr>
        <w:t>и</w:t>
      </w:r>
      <w:r w:rsidR="00965BBA" w:rsidRPr="00965BBA">
        <w:rPr>
          <w:rFonts w:eastAsiaTheme="minorHAnsi"/>
          <w:bCs/>
          <w:iCs/>
          <w:lang w:eastAsia="en-US"/>
        </w:rPr>
        <w:t xml:space="preserve"> выравнивания расчетной бюджетной обеспеченности муниципальных районов (городских округов), критерии выравнивания финансовых возможностей поселений, размеры областного фонда финансовой поддержки поселений, областного фонда финансовой </w:t>
      </w:r>
      <w:r w:rsidR="00965BBA" w:rsidRPr="00965BBA">
        <w:rPr>
          <w:rFonts w:eastAsiaTheme="minorHAnsi"/>
          <w:bCs/>
          <w:iCs/>
          <w:lang w:eastAsia="en-US"/>
        </w:rPr>
        <w:lastRenderedPageBreak/>
        <w:t>поддержки муниципальных районов (городских округов), иных дотаций, субвенций, субсидий и иных межбюджетных трансфертов из областного бюджета;</w:t>
      </w:r>
    </w:p>
    <w:p w14:paraId="2BEBD415" w14:textId="77777777" w:rsidR="00F37740" w:rsidRDefault="00F37740" w:rsidP="00F37740">
      <w:pPr>
        <w:ind w:firstLine="708"/>
        <w:jc w:val="both"/>
      </w:pPr>
      <w:r w:rsidRPr="00A27310">
        <w:t>-верхний предел государственного внутреннего долга по состоянию на первое января года, следующего за очередным финансовым годом и</w:t>
      </w:r>
      <w:r>
        <w:t xml:space="preserve"> каждым годом планового периода;</w:t>
      </w:r>
    </w:p>
    <w:p w14:paraId="1133EEDE" w14:textId="77777777" w:rsidR="00F37740" w:rsidRDefault="00F37740" w:rsidP="00F37740">
      <w:pPr>
        <w:ind w:firstLine="708"/>
        <w:jc w:val="both"/>
      </w:pPr>
      <w:r>
        <w:t>-прогноз поступлений по налогам, сборам, платежам и поступлений из других бюджетов бюджетной системы РФ.</w:t>
      </w:r>
    </w:p>
    <w:p w14:paraId="105F67D5" w14:textId="77777777" w:rsidR="00F37740" w:rsidRDefault="00F37740" w:rsidP="00F37740">
      <w:pPr>
        <w:pStyle w:val="1"/>
        <w:ind w:firstLine="708"/>
        <w:jc w:val="center"/>
        <w:rPr>
          <w:b/>
          <w:i/>
          <w:sz w:val="24"/>
          <w:szCs w:val="24"/>
        </w:rPr>
      </w:pPr>
    </w:p>
    <w:p w14:paraId="371F1E29" w14:textId="77777777" w:rsidR="00F37740" w:rsidRPr="00A27310" w:rsidRDefault="00F37740" w:rsidP="00F37740">
      <w:pPr>
        <w:pStyle w:val="1"/>
        <w:ind w:firstLine="708"/>
        <w:jc w:val="center"/>
        <w:rPr>
          <w:b/>
          <w:i/>
          <w:sz w:val="24"/>
          <w:szCs w:val="24"/>
        </w:rPr>
      </w:pPr>
      <w:r w:rsidRPr="00A27310">
        <w:rPr>
          <w:b/>
          <w:i/>
          <w:sz w:val="24"/>
          <w:szCs w:val="24"/>
        </w:rPr>
        <w:t>3.1. Прогнозируемый общий объем доходов</w:t>
      </w:r>
    </w:p>
    <w:p w14:paraId="3FD4E52F" w14:textId="77777777" w:rsidR="00F37740" w:rsidRPr="00A27310" w:rsidRDefault="00F37740" w:rsidP="00F37740">
      <w:pPr>
        <w:pStyle w:val="1"/>
        <w:ind w:firstLine="708"/>
        <w:jc w:val="center"/>
        <w:rPr>
          <w:b/>
          <w:i/>
          <w:sz w:val="24"/>
          <w:szCs w:val="24"/>
        </w:rPr>
      </w:pPr>
      <w:r w:rsidRPr="00A27310">
        <w:rPr>
          <w:b/>
          <w:i/>
          <w:sz w:val="24"/>
          <w:szCs w:val="24"/>
        </w:rPr>
        <w:t xml:space="preserve"> с указанием поступлений из других бюджетов бюджетной системы РФ</w:t>
      </w:r>
    </w:p>
    <w:p w14:paraId="65691131" w14:textId="77777777" w:rsidR="00F37740" w:rsidRDefault="00F37740" w:rsidP="00F37740">
      <w:pPr>
        <w:pStyle w:val="a3"/>
        <w:tabs>
          <w:tab w:val="num" w:pos="0"/>
        </w:tabs>
        <w:ind w:firstLine="680"/>
        <w:jc w:val="both"/>
        <w:outlineLvl w:val="0"/>
      </w:pPr>
    </w:p>
    <w:p w14:paraId="0AC56BD5" w14:textId="77777777" w:rsidR="006165AA" w:rsidRDefault="006165AA" w:rsidP="006165AA">
      <w:pPr>
        <w:pStyle w:val="a3"/>
        <w:tabs>
          <w:tab w:val="num" w:pos="0"/>
        </w:tabs>
        <w:ind w:firstLine="680"/>
        <w:jc w:val="both"/>
        <w:outlineLvl w:val="0"/>
      </w:pPr>
      <w:r w:rsidRPr="00E266C8">
        <w:t>Доходы областного бюджета на 2021 год прогнозируются в сумме 123994,7 млн. руб., что ниже ожидаемого объема поступлений в 2020 году на 1486,7 млн. руб.</w:t>
      </w:r>
      <w:r>
        <w:t xml:space="preserve"> (-</w:t>
      </w:r>
      <w:r w:rsidRPr="00E266C8">
        <w:t>1,2%</w:t>
      </w:r>
      <w:r>
        <w:t xml:space="preserve"> к оценке 2020 года)</w:t>
      </w:r>
      <w:r w:rsidRPr="00E266C8">
        <w:t>, на 2022 год – 121019,6 млн. руб.</w:t>
      </w:r>
      <w:r>
        <w:t xml:space="preserve"> (-2,3% к 2021 году)</w:t>
      </w:r>
      <w:r w:rsidRPr="00E266C8">
        <w:t>, на 2023 год – 119466,3 млн. руб</w:t>
      </w:r>
      <w:r>
        <w:t>. (-1,3% к 2022 году).</w:t>
      </w:r>
    </w:p>
    <w:p w14:paraId="52C6747D" w14:textId="77777777" w:rsidR="006165AA" w:rsidRPr="003E60B8" w:rsidRDefault="006165AA" w:rsidP="006165AA">
      <w:pPr>
        <w:pStyle w:val="a3"/>
        <w:tabs>
          <w:tab w:val="num" w:pos="0"/>
        </w:tabs>
        <w:ind w:firstLine="680"/>
        <w:jc w:val="both"/>
        <w:outlineLvl w:val="0"/>
      </w:pPr>
      <w:r w:rsidRPr="003E60B8">
        <w:t>В общем объеме доходов консолидированного бюджета Волгоградской области на 2021 год доля доходов областного бюджета составит 86,4%, на 2022 год – 85,9%, на 2023 год – 85,4 процент</w:t>
      </w:r>
      <w:r>
        <w:t>а</w:t>
      </w:r>
      <w:r w:rsidRPr="003E60B8">
        <w:t>.</w:t>
      </w:r>
    </w:p>
    <w:p w14:paraId="226FBC66" w14:textId="77777777" w:rsidR="006165AA" w:rsidRPr="008E2275" w:rsidRDefault="006165AA" w:rsidP="006165AA">
      <w:pPr>
        <w:pStyle w:val="a3"/>
        <w:tabs>
          <w:tab w:val="num" w:pos="0"/>
        </w:tabs>
        <w:ind w:firstLine="680"/>
        <w:jc w:val="both"/>
        <w:outlineLvl w:val="0"/>
      </w:pPr>
      <w:r w:rsidRPr="008E2275">
        <w:t xml:space="preserve">Доходная часть </w:t>
      </w:r>
      <w:r>
        <w:t xml:space="preserve">консолидированного </w:t>
      </w:r>
      <w:r w:rsidRPr="008E2275">
        <w:t xml:space="preserve"> бюджета</w:t>
      </w:r>
      <w:r>
        <w:t xml:space="preserve"> Волгоградской области</w:t>
      </w:r>
      <w:r w:rsidRPr="008E2275">
        <w:t xml:space="preserve"> сформирована с учетом отмены с 2021 года системы налогообл</w:t>
      </w:r>
      <w:r>
        <w:t>о</w:t>
      </w:r>
      <w:r w:rsidRPr="008E2275">
        <w:t>жения в виде единого налога на вмененный доход для отдельных видов деятельности.</w:t>
      </w:r>
      <w:r>
        <w:t xml:space="preserve"> </w:t>
      </w:r>
    </w:p>
    <w:p w14:paraId="339B587E" w14:textId="77777777" w:rsidR="006165AA" w:rsidRDefault="006165AA" w:rsidP="006165AA">
      <w:pPr>
        <w:pStyle w:val="a3"/>
        <w:tabs>
          <w:tab w:val="num" w:pos="0"/>
        </w:tabs>
        <w:ind w:firstLine="709"/>
        <w:jc w:val="both"/>
        <w:outlineLvl w:val="0"/>
      </w:pPr>
      <w:r w:rsidRPr="00453858">
        <w:t>Структура доходной части областного бюджета на 20</w:t>
      </w:r>
      <w:r>
        <w:t>21</w:t>
      </w:r>
      <w:r w:rsidRPr="00453858">
        <w:t>-202</w:t>
      </w:r>
      <w:r>
        <w:t>3</w:t>
      </w:r>
      <w:r w:rsidRPr="00453858">
        <w:t xml:space="preserve"> годы выглядит следующим образом:</w:t>
      </w:r>
    </w:p>
    <w:p w14:paraId="699E9F88" w14:textId="77777777" w:rsidR="006165AA" w:rsidRDefault="006165AA" w:rsidP="006165AA">
      <w:pPr>
        <w:pStyle w:val="a3"/>
        <w:tabs>
          <w:tab w:val="num" w:pos="0"/>
        </w:tabs>
        <w:ind w:firstLine="709"/>
        <w:jc w:val="right"/>
        <w:outlineLvl w:val="0"/>
      </w:pPr>
      <w:r w:rsidRPr="00C237F6">
        <w:rPr>
          <w:sz w:val="20"/>
          <w:szCs w:val="20"/>
        </w:rPr>
        <w:t>млн. руб.</w:t>
      </w:r>
    </w:p>
    <w:tbl>
      <w:tblPr>
        <w:tblW w:w="9662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299"/>
        <w:gridCol w:w="993"/>
        <w:gridCol w:w="709"/>
        <w:gridCol w:w="992"/>
        <w:gridCol w:w="708"/>
        <w:gridCol w:w="851"/>
        <w:gridCol w:w="567"/>
        <w:gridCol w:w="993"/>
        <w:gridCol w:w="708"/>
        <w:gridCol w:w="1134"/>
        <w:gridCol w:w="708"/>
      </w:tblGrid>
      <w:tr w:rsidR="006165AA" w:rsidRPr="00FB4C46" w14:paraId="35BAA059" w14:textId="77777777" w:rsidTr="00D969D9">
        <w:trPr>
          <w:trHeight w:val="264"/>
        </w:trPr>
        <w:tc>
          <w:tcPr>
            <w:tcW w:w="1299" w:type="dxa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000000" w:fill="EAF1DD"/>
            <w:hideMark/>
          </w:tcPr>
          <w:p w14:paraId="055B025F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0F76A173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Показатели</w:t>
            </w:r>
          </w:p>
        </w:tc>
        <w:tc>
          <w:tcPr>
            <w:tcW w:w="1702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AF1DD"/>
            <w:hideMark/>
          </w:tcPr>
          <w:p w14:paraId="551C6F53" w14:textId="77777777" w:rsidR="006165AA" w:rsidRPr="00E84C38" w:rsidRDefault="006165AA" w:rsidP="007013FB">
            <w:pPr>
              <w:jc w:val="center"/>
              <w:rPr>
                <w:b/>
                <w:bCs/>
                <w:sz w:val="16"/>
                <w:szCs w:val="16"/>
              </w:rPr>
            </w:pPr>
            <w:r w:rsidRPr="00E84C38">
              <w:rPr>
                <w:b/>
                <w:bCs/>
                <w:sz w:val="16"/>
                <w:szCs w:val="16"/>
              </w:rPr>
              <w:t>2020 год (оценка)</w:t>
            </w:r>
          </w:p>
        </w:tc>
        <w:tc>
          <w:tcPr>
            <w:tcW w:w="1700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hideMark/>
          </w:tcPr>
          <w:p w14:paraId="3EE7A5FC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418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</w:tcPr>
          <w:p w14:paraId="57D77E6D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Изменение 2021 к 2020</w:t>
            </w:r>
          </w:p>
        </w:tc>
        <w:tc>
          <w:tcPr>
            <w:tcW w:w="1701" w:type="dxa"/>
            <w:gridSpan w:val="2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000000" w:fill="EAF1DD"/>
            <w:hideMark/>
          </w:tcPr>
          <w:p w14:paraId="0119F930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842" w:type="dxa"/>
            <w:gridSpan w:val="2"/>
            <w:tcBorders>
              <w:top w:val="double" w:sz="6" w:space="0" w:color="auto"/>
              <w:left w:val="single" w:sz="8" w:space="0" w:color="000000"/>
              <w:bottom w:val="single" w:sz="8" w:space="0" w:color="auto"/>
              <w:right w:val="double" w:sz="6" w:space="0" w:color="auto"/>
            </w:tcBorders>
            <w:shd w:val="clear" w:color="000000" w:fill="EAF1DD"/>
            <w:hideMark/>
          </w:tcPr>
          <w:p w14:paraId="5C7954E4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</w:tr>
      <w:tr w:rsidR="006165AA" w:rsidRPr="00FB4C46" w14:paraId="1232C932" w14:textId="77777777" w:rsidTr="00D969D9">
        <w:trPr>
          <w:trHeight w:val="317"/>
        </w:trPr>
        <w:tc>
          <w:tcPr>
            <w:tcW w:w="1299" w:type="dxa"/>
            <w:vMerge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A63C64" w14:textId="77777777" w:rsidR="006165AA" w:rsidRPr="00E84C38" w:rsidRDefault="006165AA" w:rsidP="007013FB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hideMark/>
          </w:tcPr>
          <w:p w14:paraId="2B679BCD" w14:textId="77777777" w:rsidR="006165AA" w:rsidRPr="00E84C38" w:rsidRDefault="006165AA" w:rsidP="007013FB">
            <w:pPr>
              <w:jc w:val="center"/>
              <w:rPr>
                <w:b/>
                <w:bCs/>
                <w:sz w:val="16"/>
                <w:szCs w:val="16"/>
              </w:rPr>
            </w:pPr>
            <w:r w:rsidRPr="00E84C38">
              <w:rPr>
                <w:b/>
                <w:bCs/>
                <w:sz w:val="16"/>
                <w:szCs w:val="16"/>
              </w:rPr>
              <w:t>сумма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hideMark/>
          </w:tcPr>
          <w:p w14:paraId="40D0C849" w14:textId="77777777" w:rsidR="006165AA" w:rsidRPr="00E84C38" w:rsidRDefault="006165AA" w:rsidP="007013FB">
            <w:pPr>
              <w:jc w:val="center"/>
              <w:rPr>
                <w:b/>
                <w:bCs/>
                <w:sz w:val="16"/>
                <w:szCs w:val="16"/>
              </w:rPr>
            </w:pPr>
            <w:r w:rsidRPr="00E84C38">
              <w:rPr>
                <w:b/>
                <w:bCs/>
                <w:sz w:val="16"/>
                <w:szCs w:val="16"/>
              </w:rPr>
              <w:t>доля,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hideMark/>
          </w:tcPr>
          <w:p w14:paraId="24A076EE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AF1DD"/>
            <w:hideMark/>
          </w:tcPr>
          <w:p w14:paraId="3AFF5D35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доля,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</w:tcPr>
          <w:p w14:paraId="71A77E70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AF1DD"/>
          </w:tcPr>
          <w:p w14:paraId="41AA73C4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%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AF1DD"/>
            <w:hideMark/>
          </w:tcPr>
          <w:p w14:paraId="43280164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hideMark/>
          </w:tcPr>
          <w:p w14:paraId="70CA3556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доля,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AF1DD"/>
            <w:hideMark/>
          </w:tcPr>
          <w:p w14:paraId="186D268C" w14:textId="77777777" w:rsidR="006165AA" w:rsidRPr="00E84C38" w:rsidRDefault="00B02E74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С</w:t>
            </w:r>
            <w:r w:rsidR="006165AA" w:rsidRPr="00E84C38">
              <w:rPr>
                <w:b/>
                <w:bCs/>
                <w:color w:val="000000"/>
                <w:sz w:val="16"/>
                <w:szCs w:val="16"/>
              </w:rPr>
              <w:t>умма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EAF1DD"/>
            <w:hideMark/>
          </w:tcPr>
          <w:p w14:paraId="2E6C778B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доля, %</w:t>
            </w:r>
          </w:p>
        </w:tc>
      </w:tr>
      <w:tr w:rsidR="006165AA" w:rsidRPr="00FB4C46" w14:paraId="7B09E8EB" w14:textId="77777777" w:rsidTr="009B79E1">
        <w:trPr>
          <w:trHeight w:val="289"/>
        </w:trPr>
        <w:tc>
          <w:tcPr>
            <w:tcW w:w="1299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D3165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2F3CCC4E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69 752,8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4A76934B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55,6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D7E9C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77 350,1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02C2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62,4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AF62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7 597,3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1373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8FC3F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82 584,3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1ABB7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57979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89 160,9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C1209AD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74,6</w:t>
            </w:r>
          </w:p>
        </w:tc>
      </w:tr>
      <w:tr w:rsidR="006165AA" w:rsidRPr="00FB4C46" w14:paraId="59432827" w14:textId="77777777" w:rsidTr="009B79E1">
        <w:trPr>
          <w:trHeight w:val="337"/>
        </w:trPr>
        <w:tc>
          <w:tcPr>
            <w:tcW w:w="1299" w:type="dxa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96C9E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Неналоговые доходы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2408BCF2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1 649,4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7E4557B1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221F4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1 426,8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62D6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7360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-222,6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607F63B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DEC6D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1 436,9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41E3D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8E1C1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1 450,3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A9698E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1,2</w:t>
            </w:r>
          </w:p>
        </w:tc>
      </w:tr>
      <w:tr w:rsidR="006165AA" w:rsidRPr="00FB4C46" w14:paraId="45721580" w14:textId="77777777" w:rsidTr="00D969D9">
        <w:trPr>
          <w:trHeight w:val="230"/>
        </w:trPr>
        <w:tc>
          <w:tcPr>
            <w:tcW w:w="1299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84985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3BD935A1" w14:textId="77777777" w:rsidR="006165AA" w:rsidRPr="00E84C38" w:rsidRDefault="006165AA" w:rsidP="007013FB">
            <w:pPr>
              <w:jc w:val="center"/>
              <w:rPr>
                <w:b/>
                <w:bCs/>
                <w:sz w:val="16"/>
                <w:szCs w:val="16"/>
              </w:rPr>
            </w:pPr>
            <w:r w:rsidRPr="00E84C38">
              <w:rPr>
                <w:b/>
                <w:bCs/>
                <w:sz w:val="16"/>
                <w:szCs w:val="16"/>
              </w:rPr>
              <w:t>71 402,2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16EB31D1" w14:textId="77777777" w:rsidR="006165AA" w:rsidRPr="00E84C38" w:rsidRDefault="006165AA" w:rsidP="007013FB">
            <w:pPr>
              <w:jc w:val="center"/>
              <w:rPr>
                <w:b/>
                <w:bCs/>
                <w:sz w:val="16"/>
                <w:szCs w:val="16"/>
              </w:rPr>
            </w:pPr>
            <w:r w:rsidRPr="00E84C38">
              <w:rPr>
                <w:b/>
                <w:bCs/>
                <w:sz w:val="16"/>
                <w:szCs w:val="16"/>
              </w:rPr>
              <w:t>56,9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2D5FF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78 776,9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884E2" w14:textId="77777777" w:rsidR="006165AA" w:rsidRPr="00E84C38" w:rsidRDefault="006165AA" w:rsidP="007013FB">
            <w:pPr>
              <w:jc w:val="center"/>
              <w:rPr>
                <w:b/>
                <w:bCs/>
                <w:sz w:val="16"/>
                <w:szCs w:val="16"/>
              </w:rPr>
            </w:pPr>
            <w:r w:rsidRPr="00E84C38">
              <w:rPr>
                <w:b/>
                <w:bCs/>
                <w:sz w:val="16"/>
                <w:szCs w:val="16"/>
              </w:rPr>
              <w:t>63,5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A57E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7 374,7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F2FD959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1E781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84 021,2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AEDDF" w14:textId="77777777" w:rsidR="006165AA" w:rsidRPr="00E84C38" w:rsidRDefault="006165AA" w:rsidP="007013FB">
            <w:pPr>
              <w:jc w:val="center"/>
              <w:rPr>
                <w:b/>
                <w:bCs/>
                <w:sz w:val="16"/>
                <w:szCs w:val="16"/>
              </w:rPr>
            </w:pPr>
            <w:r w:rsidRPr="00E84C38">
              <w:rPr>
                <w:b/>
                <w:bCs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44BB9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90 611,2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3E9A52A" w14:textId="77777777" w:rsidR="006165AA" w:rsidRPr="00E84C38" w:rsidRDefault="006165AA" w:rsidP="007013FB">
            <w:pPr>
              <w:jc w:val="center"/>
              <w:rPr>
                <w:b/>
                <w:bCs/>
                <w:sz w:val="16"/>
                <w:szCs w:val="16"/>
              </w:rPr>
            </w:pPr>
            <w:r w:rsidRPr="00E84C38">
              <w:rPr>
                <w:b/>
                <w:bCs/>
                <w:sz w:val="16"/>
                <w:szCs w:val="16"/>
              </w:rPr>
              <w:t>75,8</w:t>
            </w:r>
          </w:p>
        </w:tc>
      </w:tr>
      <w:tr w:rsidR="006165AA" w:rsidRPr="00FB4C46" w14:paraId="0EEB1C25" w14:textId="77777777" w:rsidTr="00D969D9">
        <w:trPr>
          <w:trHeight w:val="393"/>
        </w:trPr>
        <w:tc>
          <w:tcPr>
            <w:tcW w:w="1299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FA6CB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219E84AD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54 079,2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5954ACE6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9DB68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45 217,8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2F52D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36,5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BBBC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-8 861,4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02BC7E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-16,4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05F328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36 998,4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E2704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B83FD" w14:textId="77777777" w:rsidR="006165AA" w:rsidRPr="00E84C38" w:rsidRDefault="006165AA" w:rsidP="007013FB">
            <w:pPr>
              <w:jc w:val="center"/>
              <w:rPr>
                <w:color w:val="000000"/>
                <w:sz w:val="16"/>
                <w:szCs w:val="16"/>
              </w:rPr>
            </w:pPr>
            <w:r w:rsidRPr="00E84C38">
              <w:rPr>
                <w:color w:val="000000"/>
                <w:sz w:val="16"/>
                <w:szCs w:val="16"/>
              </w:rPr>
              <w:t>28 855,1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438250" w14:textId="77777777" w:rsidR="006165AA" w:rsidRPr="00E84C38" w:rsidRDefault="006165AA" w:rsidP="007013FB">
            <w:pPr>
              <w:jc w:val="center"/>
              <w:rPr>
                <w:sz w:val="16"/>
                <w:szCs w:val="16"/>
              </w:rPr>
            </w:pPr>
            <w:r w:rsidRPr="00E84C38">
              <w:rPr>
                <w:sz w:val="16"/>
                <w:szCs w:val="16"/>
              </w:rPr>
              <w:t>24,2</w:t>
            </w:r>
          </w:p>
        </w:tc>
      </w:tr>
      <w:tr w:rsidR="006165AA" w:rsidRPr="00FB4C46" w14:paraId="7D483D8D" w14:textId="77777777" w:rsidTr="00D969D9">
        <w:trPr>
          <w:trHeight w:val="315"/>
        </w:trPr>
        <w:tc>
          <w:tcPr>
            <w:tcW w:w="1299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36C30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547A68D8" w14:textId="77777777" w:rsidR="006165AA" w:rsidRPr="00E84C38" w:rsidRDefault="006165AA" w:rsidP="007013FB">
            <w:pPr>
              <w:jc w:val="center"/>
              <w:rPr>
                <w:b/>
                <w:bCs/>
                <w:sz w:val="16"/>
                <w:szCs w:val="16"/>
              </w:rPr>
            </w:pPr>
            <w:r w:rsidRPr="00E84C38">
              <w:rPr>
                <w:b/>
                <w:bCs/>
                <w:sz w:val="16"/>
                <w:szCs w:val="16"/>
              </w:rPr>
              <w:t>125 481,4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auto"/>
            <w:vAlign w:val="center"/>
            <w:hideMark/>
          </w:tcPr>
          <w:p w14:paraId="77150699" w14:textId="77777777" w:rsidR="006165AA" w:rsidRPr="00E84C38" w:rsidRDefault="006165AA" w:rsidP="007013FB">
            <w:pPr>
              <w:jc w:val="center"/>
              <w:rPr>
                <w:b/>
                <w:bCs/>
                <w:sz w:val="16"/>
                <w:szCs w:val="16"/>
              </w:rPr>
            </w:pPr>
            <w:r w:rsidRPr="00E84C38"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B1D81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123 994,7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DCDE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1C0105FF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-1 486,7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E4FB6D7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-1,2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64095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121 019,6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84BF3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68F7C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119 466,3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4B494F" w14:textId="77777777" w:rsidR="006165AA" w:rsidRPr="00E84C38" w:rsidRDefault="006165AA" w:rsidP="007013FB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84C38">
              <w:rPr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</w:tbl>
    <w:p w14:paraId="576E52F7" w14:textId="77777777" w:rsidR="00D969D9" w:rsidRDefault="006165AA" w:rsidP="006165AA">
      <w:pPr>
        <w:jc w:val="both"/>
      </w:pPr>
      <w:r>
        <w:tab/>
        <w:t xml:space="preserve"> </w:t>
      </w:r>
    </w:p>
    <w:p w14:paraId="3E71BA9A" w14:textId="77777777" w:rsidR="00AA3559" w:rsidRDefault="006165AA" w:rsidP="006165AA">
      <w:pPr>
        <w:ind w:firstLine="680"/>
        <w:jc w:val="both"/>
        <w:rPr>
          <w:color w:val="FF0000"/>
        </w:rPr>
      </w:pPr>
      <w:r>
        <w:t xml:space="preserve">Согласно приведенным в таблице </w:t>
      </w:r>
      <w:r w:rsidR="00AA3559">
        <w:t xml:space="preserve">данным </w:t>
      </w:r>
      <w:r>
        <w:t>прогнозируется уменьшение доходной части областного бюджета на 2021 год на общую сумму 1486,7 млн. руб. за счет уменьшения безвозмездных поступлений (-8861,4 млн. руб.). При этом общий объем налоговых и неналоговых доходов увеличивается на 7374,7 млн. руб.</w:t>
      </w:r>
      <w:r w:rsidR="00AA3559">
        <w:t xml:space="preserve">, или на 10,3% </w:t>
      </w:r>
      <w:r>
        <w:t>за счет роста</w:t>
      </w:r>
      <w:r w:rsidRPr="00836D82">
        <w:t xml:space="preserve"> налоговых доходов на 10,9</w:t>
      </w:r>
      <w:r>
        <w:t>%</w:t>
      </w:r>
      <w:r w:rsidRPr="00836D82">
        <w:rPr>
          <w:color w:val="FF0000"/>
        </w:rPr>
        <w:t xml:space="preserve"> </w:t>
      </w:r>
      <w:r w:rsidRPr="000A23D1">
        <w:t xml:space="preserve">и </w:t>
      </w:r>
      <w:r>
        <w:t>сниж</w:t>
      </w:r>
      <w:r w:rsidRPr="000A23D1">
        <w:t>ения</w:t>
      </w:r>
      <w:r>
        <w:rPr>
          <w:color w:val="FF0000"/>
        </w:rPr>
        <w:t xml:space="preserve"> </w:t>
      </w:r>
      <w:r w:rsidRPr="00836D82">
        <w:t>неналоговых на 13,5 процент</w:t>
      </w:r>
      <w:r>
        <w:t>а</w:t>
      </w:r>
      <w:r w:rsidRPr="00836D82">
        <w:t>.</w:t>
      </w:r>
      <w:r w:rsidRPr="00836D82">
        <w:rPr>
          <w:color w:val="FF0000"/>
        </w:rPr>
        <w:t xml:space="preserve"> </w:t>
      </w:r>
    </w:p>
    <w:p w14:paraId="2C107CDD" w14:textId="77777777" w:rsidR="006165AA" w:rsidRDefault="006165AA" w:rsidP="006165AA">
      <w:pPr>
        <w:ind w:firstLine="680"/>
        <w:jc w:val="both"/>
      </w:pPr>
      <w:r w:rsidRPr="00836D82">
        <w:t>На 2022 год прогнозируется увеличение налоговых и неналоговых доходов относительно 2021 года на 5244,3 млн. руб. (+6,7%) за счет роста налоговых доходов на 6,8%, неналоговых – на 0,7</w:t>
      </w:r>
      <w:r w:rsidR="00AA3559">
        <w:t>%,</w:t>
      </w:r>
      <w:r w:rsidRPr="00D92FE0">
        <w:rPr>
          <w:color w:val="FF0000"/>
        </w:rPr>
        <w:t xml:space="preserve"> </w:t>
      </w:r>
      <w:r w:rsidR="00AA3559">
        <w:t>н</w:t>
      </w:r>
      <w:r w:rsidRPr="00446B63">
        <w:t xml:space="preserve">а 2023 год </w:t>
      </w:r>
      <w:r w:rsidR="00E6166E">
        <w:t>-</w:t>
      </w:r>
      <w:r w:rsidRPr="00446B63">
        <w:t xml:space="preserve"> на 6590 млн. руб. (+7,8%) за счет роста налоговых доходов на 8%, неналоговых – на 0,9 процента.</w:t>
      </w:r>
      <w:r>
        <w:t xml:space="preserve"> </w:t>
      </w:r>
    </w:p>
    <w:p w14:paraId="0F92F8BD" w14:textId="77777777" w:rsidR="006165AA" w:rsidRDefault="006165AA" w:rsidP="006165AA">
      <w:pPr>
        <w:ind w:firstLine="680"/>
        <w:jc w:val="both"/>
      </w:pPr>
    </w:p>
    <w:p w14:paraId="145D24F5" w14:textId="77777777" w:rsidR="006165AA" w:rsidRDefault="006165AA" w:rsidP="006165AA">
      <w:pPr>
        <w:pStyle w:val="a3"/>
        <w:tabs>
          <w:tab w:val="num" w:pos="0"/>
        </w:tabs>
        <w:ind w:firstLine="680"/>
        <w:jc w:val="both"/>
        <w:outlineLvl w:val="0"/>
        <w:rPr>
          <w:b/>
          <w:i/>
        </w:rPr>
      </w:pPr>
      <w:r>
        <w:t xml:space="preserve">Проанализировав представленные расчеты по налоговым доходам и планируемые поступления неналоговых доходов, </w:t>
      </w:r>
      <w:r w:rsidRPr="00B3768A">
        <w:rPr>
          <w:u w:val="single"/>
        </w:rPr>
        <w:t xml:space="preserve">КСП пришла к выводу, что доходы на 2021 год </w:t>
      </w:r>
      <w:r w:rsidR="00B3768A" w:rsidRPr="00B3768A">
        <w:rPr>
          <w:u w:val="single"/>
        </w:rPr>
        <w:t xml:space="preserve">в основном </w:t>
      </w:r>
      <w:r w:rsidRPr="00B3768A">
        <w:rPr>
          <w:u w:val="single"/>
        </w:rPr>
        <w:t>спрогнозированы обоснованно.</w:t>
      </w:r>
      <w:r>
        <w:rPr>
          <w:b/>
          <w:i/>
        </w:rPr>
        <w:t xml:space="preserve"> </w:t>
      </w:r>
    </w:p>
    <w:p w14:paraId="545F8A9E" w14:textId="77777777" w:rsidR="006165AA" w:rsidRDefault="00B3768A" w:rsidP="006165AA">
      <w:pPr>
        <w:pStyle w:val="a3"/>
        <w:tabs>
          <w:tab w:val="num" w:pos="0"/>
        </w:tabs>
        <w:ind w:firstLine="680"/>
        <w:jc w:val="both"/>
        <w:outlineLvl w:val="0"/>
      </w:pPr>
      <w:r>
        <w:t>При этом п</w:t>
      </w:r>
      <w:r w:rsidR="006165AA">
        <w:t xml:space="preserve">о отдельным </w:t>
      </w:r>
      <w:r>
        <w:t>видам доходов, по оценке палаты, требуются уточнения про</w:t>
      </w:r>
      <w:r w:rsidR="006165AA">
        <w:t>гнозны</w:t>
      </w:r>
      <w:r>
        <w:t>х</w:t>
      </w:r>
      <w:r w:rsidR="006165AA">
        <w:t xml:space="preserve"> </w:t>
      </w:r>
      <w:r>
        <w:t>назначений</w:t>
      </w:r>
      <w:r w:rsidR="006165AA">
        <w:t>.</w:t>
      </w:r>
    </w:p>
    <w:p w14:paraId="7055B167" w14:textId="77777777" w:rsidR="006165AA" w:rsidRDefault="00B3768A" w:rsidP="006165AA">
      <w:pPr>
        <w:pStyle w:val="a3"/>
        <w:tabs>
          <w:tab w:val="num" w:pos="0"/>
        </w:tabs>
        <w:ind w:firstLine="680"/>
        <w:jc w:val="both"/>
        <w:outlineLvl w:val="0"/>
      </w:pPr>
      <w:r>
        <w:rPr>
          <w:rFonts w:eastAsia="Calibri"/>
        </w:rPr>
        <w:t>Так, п</w:t>
      </w:r>
      <w:r w:rsidR="006165AA">
        <w:rPr>
          <w:rFonts w:eastAsia="Calibri"/>
        </w:rPr>
        <w:t xml:space="preserve">оступления </w:t>
      </w:r>
      <w:r w:rsidR="006165AA">
        <w:rPr>
          <w:rFonts w:eastAsia="Calibri"/>
          <w:b/>
          <w:i/>
        </w:rPr>
        <w:t>налога на доходы физических лиц</w:t>
      </w:r>
      <w:r w:rsidR="006165AA">
        <w:rPr>
          <w:rFonts w:eastAsia="Calibri"/>
        </w:rPr>
        <w:t xml:space="preserve"> (далее НДФЛ) в 2021 году </w:t>
      </w:r>
      <w:r w:rsidR="00C63B0E">
        <w:rPr>
          <w:rFonts w:eastAsia="Calibri"/>
        </w:rPr>
        <w:t xml:space="preserve">прогнозируются </w:t>
      </w:r>
      <w:r w:rsidR="006165AA">
        <w:rPr>
          <w:rFonts w:eastAsia="Calibri"/>
        </w:rPr>
        <w:t>в сумме 24121,9</w:t>
      </w:r>
      <w:r w:rsidR="006165AA">
        <w:rPr>
          <w:rFonts w:eastAsia="Calibri"/>
          <w:lang w:val="en-US"/>
        </w:rPr>
        <w:t> </w:t>
      </w:r>
      <w:r w:rsidR="006165AA">
        <w:rPr>
          <w:rFonts w:eastAsia="Calibri"/>
        </w:rPr>
        <w:t>млн.</w:t>
      </w:r>
      <w:r w:rsidR="006165AA">
        <w:rPr>
          <w:rFonts w:eastAsia="Calibri"/>
          <w:lang w:val="en-US"/>
        </w:rPr>
        <w:t> </w:t>
      </w:r>
      <w:r w:rsidR="006165AA">
        <w:rPr>
          <w:rFonts w:eastAsia="Calibri"/>
        </w:rPr>
        <w:t xml:space="preserve">руб. (+5,2% </w:t>
      </w:r>
      <w:r w:rsidR="006165AA">
        <w:t>к утвержденным назначениям 2020 года)</w:t>
      </w:r>
      <w:r>
        <w:t>.</w:t>
      </w:r>
    </w:p>
    <w:p w14:paraId="2283ACBD" w14:textId="77777777" w:rsidR="006165AA" w:rsidRDefault="006165AA" w:rsidP="006165AA">
      <w:pPr>
        <w:ind w:firstLine="709"/>
        <w:jc w:val="both"/>
      </w:pPr>
      <w:r>
        <w:rPr>
          <w:rFonts w:eastAsia="Calibri"/>
          <w:lang w:eastAsia="en-US"/>
        </w:rPr>
        <w:lastRenderedPageBreak/>
        <w:t xml:space="preserve">Проанализировав </w:t>
      </w:r>
      <w:r w:rsidR="00B3768A">
        <w:rPr>
          <w:rFonts w:eastAsia="Calibri"/>
          <w:lang w:eastAsia="en-US"/>
        </w:rPr>
        <w:t xml:space="preserve">представленные </w:t>
      </w:r>
      <w:r>
        <w:rPr>
          <w:rFonts w:eastAsia="Calibri"/>
          <w:lang w:eastAsia="en-US"/>
        </w:rPr>
        <w:t xml:space="preserve">расчеты </w:t>
      </w:r>
      <w:r w:rsidR="00C63B0E">
        <w:rPr>
          <w:rFonts w:eastAsia="Calibri"/>
          <w:lang w:eastAsia="en-US"/>
        </w:rPr>
        <w:t xml:space="preserve">по </w:t>
      </w:r>
      <w:r>
        <w:rPr>
          <w:rFonts w:eastAsia="Calibri"/>
        </w:rPr>
        <w:t xml:space="preserve">НДФЛ на </w:t>
      </w:r>
      <w:r w:rsidRPr="006645B0">
        <w:rPr>
          <w:rFonts w:eastAsia="Calibri"/>
        </w:rPr>
        <w:t>202</w:t>
      </w:r>
      <w:r w:rsidR="00B3768A" w:rsidRPr="006645B0">
        <w:rPr>
          <w:rFonts w:eastAsia="Calibri"/>
        </w:rPr>
        <w:t>1</w:t>
      </w:r>
      <w:r w:rsidRPr="006645B0">
        <w:rPr>
          <w:rFonts w:eastAsia="Calibri"/>
        </w:rPr>
        <w:t xml:space="preserve"> год</w:t>
      </w:r>
      <w:r>
        <w:rPr>
          <w:rFonts w:eastAsia="Calibri"/>
        </w:rPr>
        <w:t xml:space="preserve">, а также фактические поступления </w:t>
      </w:r>
      <w:r w:rsidR="00B3768A">
        <w:rPr>
          <w:rFonts w:eastAsia="Calibri"/>
        </w:rPr>
        <w:t xml:space="preserve">налога </w:t>
      </w:r>
      <w:r>
        <w:rPr>
          <w:rFonts w:eastAsia="Calibri"/>
        </w:rPr>
        <w:t xml:space="preserve">за 9 месяцев текущего года, КСП </w:t>
      </w:r>
      <w:r>
        <w:t xml:space="preserve">считает, что </w:t>
      </w:r>
      <w:r w:rsidR="00C63B0E">
        <w:t xml:space="preserve">по данному налогу </w:t>
      </w:r>
      <w:r>
        <w:t xml:space="preserve">имеются резервы увеличения прогнозного показателя. </w:t>
      </w:r>
    </w:p>
    <w:p w14:paraId="30868CED" w14:textId="77777777" w:rsidR="006165AA" w:rsidRPr="00FF57D3" w:rsidRDefault="006165AA" w:rsidP="006165AA">
      <w:pPr>
        <w:ind w:firstLine="709"/>
        <w:jc w:val="both"/>
        <w:rPr>
          <w:bCs/>
          <w:iCs/>
          <w:u w:val="single"/>
        </w:rPr>
      </w:pPr>
      <w:r>
        <w:t xml:space="preserve">За 9 месяцев 2020 года в областной бюджет поступило </w:t>
      </w:r>
      <w:r w:rsidR="00990591">
        <w:t xml:space="preserve">НДФЛ на сумму </w:t>
      </w:r>
      <w:r>
        <w:t xml:space="preserve">16700,6 млн. руб., </w:t>
      </w:r>
      <w:r w:rsidR="00B3768A">
        <w:t>что составило</w:t>
      </w:r>
      <w:r>
        <w:t xml:space="preserve"> 107,6% к аналогичному периоду 2019 года. Исходя из анализа поступлений  налога в 4 квартале 2018</w:t>
      </w:r>
      <w:r w:rsidR="00990591">
        <w:t xml:space="preserve"> и</w:t>
      </w:r>
      <w:r>
        <w:t xml:space="preserve"> 2019 годов, учитывая, что в 4 квартале текущего года поступит не менее 6962,4 млн. руб. (на уровне 4 квартала 2019</w:t>
      </w:r>
      <w:r w:rsidR="00990591">
        <w:t xml:space="preserve"> года</w:t>
      </w:r>
      <w:r>
        <w:t>)</w:t>
      </w:r>
      <w:r w:rsidR="00FF57D3">
        <w:t>,</w:t>
      </w:r>
      <w:r>
        <w:t xml:space="preserve"> годовые поступления 2020 года</w:t>
      </w:r>
      <w:r w:rsidR="00FF57D3">
        <w:t>, по нашей оценке, составят</w:t>
      </w:r>
      <w:r>
        <w:t xml:space="preserve"> не менее 23663 млн. руб., или на 329,1 млн. руб. больше, чем по оценке комитета финансов Волгоградской области. С учетом предусмотренного проектом областного бюджета роста поступлений НДФЛ в 2021 году (105,2%</w:t>
      </w:r>
      <w:r w:rsidR="0045609C">
        <w:t>)</w:t>
      </w:r>
      <w:r>
        <w:t>, учитывающего  «разовые платежи и налоговые вычеты»</w:t>
      </w:r>
      <w:r w:rsidR="00FF57D3">
        <w:t>,</w:t>
      </w:r>
      <w:r>
        <w:t xml:space="preserve"> </w:t>
      </w:r>
      <w:r w:rsidR="00990591" w:rsidRPr="00990591">
        <w:rPr>
          <w:u w:val="single"/>
        </w:rPr>
        <w:t xml:space="preserve">годовые </w:t>
      </w:r>
      <w:r w:rsidRPr="00990591">
        <w:rPr>
          <w:bCs/>
          <w:iCs/>
          <w:u w:val="single"/>
        </w:rPr>
        <w:t>п</w:t>
      </w:r>
      <w:r w:rsidRPr="00FF57D3">
        <w:rPr>
          <w:bCs/>
          <w:iCs/>
          <w:u w:val="single"/>
        </w:rPr>
        <w:t xml:space="preserve">рогнозные поступления </w:t>
      </w:r>
      <w:r w:rsidR="00FF57D3">
        <w:rPr>
          <w:bCs/>
          <w:iCs/>
          <w:u w:val="single"/>
        </w:rPr>
        <w:t>составят 24893,5 млн. руб., что на</w:t>
      </w:r>
      <w:r w:rsidRPr="00FF57D3">
        <w:rPr>
          <w:bCs/>
          <w:iCs/>
          <w:u w:val="single"/>
        </w:rPr>
        <w:t xml:space="preserve"> на 771,6 млн. руб.</w:t>
      </w:r>
      <w:r w:rsidR="00FF57D3">
        <w:rPr>
          <w:bCs/>
          <w:iCs/>
          <w:u w:val="single"/>
        </w:rPr>
        <w:t xml:space="preserve"> больше</w:t>
      </w:r>
      <w:r w:rsidRPr="00FF57D3">
        <w:rPr>
          <w:bCs/>
          <w:iCs/>
          <w:u w:val="single"/>
        </w:rPr>
        <w:t xml:space="preserve">, чем предусмотрено </w:t>
      </w:r>
      <w:r w:rsidR="00FF57D3">
        <w:rPr>
          <w:bCs/>
          <w:iCs/>
          <w:u w:val="single"/>
        </w:rPr>
        <w:t>законо</w:t>
      </w:r>
      <w:r w:rsidRPr="00FF57D3">
        <w:rPr>
          <w:bCs/>
          <w:iCs/>
          <w:u w:val="single"/>
        </w:rPr>
        <w:t xml:space="preserve">проектом. </w:t>
      </w:r>
    </w:p>
    <w:p w14:paraId="34D937C4" w14:textId="77777777" w:rsidR="0045609C" w:rsidRDefault="006165AA" w:rsidP="006165AA">
      <w:pPr>
        <w:ind w:firstLine="709"/>
        <w:jc w:val="both"/>
      </w:pPr>
      <w:r>
        <w:t xml:space="preserve"> Поступления </w:t>
      </w:r>
      <w:r>
        <w:rPr>
          <w:b/>
          <w:bCs/>
          <w:i/>
          <w:iCs/>
        </w:rPr>
        <w:t>акцизов на пиво</w:t>
      </w:r>
      <w:r>
        <w:t xml:space="preserve"> предусматриваются в 2021 году в размере 2026 млн. руб., или со снижением к  утвержденным назначениям 2020 </w:t>
      </w:r>
      <w:r w:rsidR="0045609C">
        <w:t>года на 18,5 млн. руб. (-0,9%),</w:t>
      </w:r>
    </w:p>
    <w:p w14:paraId="0C3D219D" w14:textId="77777777" w:rsidR="006165AA" w:rsidRPr="002C169A" w:rsidRDefault="0045609C" w:rsidP="006165AA">
      <w:pPr>
        <w:ind w:firstLine="709"/>
        <w:jc w:val="both"/>
        <w:rPr>
          <w:bCs/>
          <w:iCs/>
          <w:u w:val="single"/>
        </w:rPr>
      </w:pPr>
      <w:r>
        <w:t>При этом з</w:t>
      </w:r>
      <w:r w:rsidR="006165AA">
        <w:t xml:space="preserve">а 9 месяцев </w:t>
      </w:r>
      <w:r>
        <w:t>текущего</w:t>
      </w:r>
      <w:r w:rsidR="006165AA">
        <w:t xml:space="preserve"> года в областной бюджет поступило акцизов на пиво </w:t>
      </w:r>
      <w:r w:rsidR="00B47A67">
        <w:t xml:space="preserve">на сумму </w:t>
      </w:r>
      <w:r w:rsidR="006165AA">
        <w:t xml:space="preserve">1835,5 млн. руб., или </w:t>
      </w:r>
      <w:r>
        <w:t>1</w:t>
      </w:r>
      <w:r w:rsidR="006165AA">
        <w:t>20%</w:t>
      </w:r>
      <w:r>
        <w:t xml:space="preserve"> к соответствующему периоду 2019 года.</w:t>
      </w:r>
      <w:r w:rsidR="006165AA">
        <w:t xml:space="preserve"> </w:t>
      </w:r>
      <w:r>
        <w:t>В</w:t>
      </w:r>
      <w:r w:rsidR="006165AA">
        <w:t xml:space="preserve"> 2019 году темп роста</w:t>
      </w:r>
      <w:r>
        <w:t xml:space="preserve"> относительно 2018 года</w:t>
      </w:r>
      <w:r w:rsidR="006165AA">
        <w:t xml:space="preserve"> составл</w:t>
      </w:r>
      <w:r>
        <w:t>ял</w:t>
      </w:r>
      <w:r w:rsidR="006165AA">
        <w:t xml:space="preserve"> 122,8 процента. При условии, что в 4 квартале текущего года поступит акцизов на пиво не менее аналогичного периода 2019 года (263,7 млн. руб.), годовые поступления состав</w:t>
      </w:r>
      <w:r>
        <w:t>ят</w:t>
      </w:r>
      <w:r w:rsidR="006165AA">
        <w:t xml:space="preserve"> 2099,2 млн. руб., или 102,7% к утвержденным назначениям. Исходя из пояснительной записки к расчету налоговых доходов, </w:t>
      </w:r>
      <w:r>
        <w:t xml:space="preserve">в 2021 году </w:t>
      </w:r>
      <w:r w:rsidR="006165AA">
        <w:t>не пр</w:t>
      </w:r>
      <w:r>
        <w:t>огнозиру</w:t>
      </w:r>
      <w:r w:rsidR="006165AA">
        <w:t>ется снижение объем</w:t>
      </w:r>
      <w:r>
        <w:t>ов</w:t>
      </w:r>
      <w:r w:rsidR="006165AA">
        <w:t xml:space="preserve"> производства пива, в связи с </w:t>
      </w:r>
      <w:r>
        <w:t>чем</w:t>
      </w:r>
      <w:r w:rsidR="006165AA">
        <w:t xml:space="preserve"> </w:t>
      </w:r>
      <w:r w:rsidR="006165AA" w:rsidRPr="002C169A">
        <w:rPr>
          <w:u w:val="single"/>
        </w:rPr>
        <w:t xml:space="preserve">поступления акцизов по пиву </w:t>
      </w:r>
      <w:r w:rsidRPr="002C169A">
        <w:rPr>
          <w:u w:val="single"/>
        </w:rPr>
        <w:t xml:space="preserve">на следующий год </w:t>
      </w:r>
      <w:r w:rsidR="006165AA" w:rsidRPr="002C169A">
        <w:rPr>
          <w:u w:val="single"/>
        </w:rPr>
        <w:t xml:space="preserve">оцениваются </w:t>
      </w:r>
      <w:r w:rsidRPr="002C169A">
        <w:rPr>
          <w:u w:val="single"/>
        </w:rPr>
        <w:t>палатой</w:t>
      </w:r>
      <w:r w:rsidR="006165AA" w:rsidRPr="002C169A">
        <w:rPr>
          <w:u w:val="single"/>
        </w:rPr>
        <w:t xml:space="preserve"> в размере 2187 млн. руб.</w:t>
      </w:r>
      <w:r w:rsidRPr="002C169A">
        <w:rPr>
          <w:u w:val="single"/>
        </w:rPr>
        <w:t>, или</w:t>
      </w:r>
      <w:r w:rsidR="006165AA" w:rsidRPr="002C169A">
        <w:rPr>
          <w:u w:val="single"/>
        </w:rPr>
        <w:t xml:space="preserve"> с ростом 104,2% </w:t>
      </w:r>
      <w:r w:rsidRPr="002C169A">
        <w:rPr>
          <w:u w:val="single"/>
        </w:rPr>
        <w:t xml:space="preserve">к уровню </w:t>
      </w:r>
      <w:r w:rsidR="006165AA" w:rsidRPr="002C169A">
        <w:rPr>
          <w:u w:val="single"/>
        </w:rPr>
        <w:t>2020 года</w:t>
      </w:r>
      <w:r w:rsidR="00335109">
        <w:rPr>
          <w:u w:val="single"/>
        </w:rPr>
        <w:t xml:space="preserve"> и</w:t>
      </w:r>
      <w:r w:rsidR="006165AA" w:rsidRPr="002C169A">
        <w:rPr>
          <w:b/>
          <w:bCs/>
          <w:i/>
          <w:iCs/>
          <w:u w:val="single"/>
        </w:rPr>
        <w:t xml:space="preserve"> </w:t>
      </w:r>
      <w:r w:rsidR="006165AA" w:rsidRPr="002C169A">
        <w:rPr>
          <w:bCs/>
          <w:iCs/>
          <w:u w:val="single"/>
        </w:rPr>
        <w:t>на 161 млн. руб. выше прогноза комитета финансов.</w:t>
      </w:r>
    </w:p>
    <w:p w14:paraId="203F3B7C" w14:textId="77777777" w:rsidR="00E339EF" w:rsidRDefault="00E339EF" w:rsidP="006165AA">
      <w:pPr>
        <w:tabs>
          <w:tab w:val="num" w:pos="0"/>
        </w:tabs>
        <w:ind w:firstLine="680"/>
        <w:jc w:val="both"/>
        <w:outlineLvl w:val="0"/>
        <w:rPr>
          <w:b/>
          <w:i/>
        </w:rPr>
      </w:pPr>
    </w:p>
    <w:p w14:paraId="34D9C769" w14:textId="77777777" w:rsidR="006165AA" w:rsidRDefault="006165AA" w:rsidP="006165AA">
      <w:pPr>
        <w:tabs>
          <w:tab w:val="num" w:pos="0"/>
        </w:tabs>
        <w:ind w:firstLine="680"/>
        <w:jc w:val="both"/>
        <w:outlineLvl w:val="0"/>
      </w:pPr>
      <w:r w:rsidRPr="006B5B71">
        <w:rPr>
          <w:b/>
          <w:i/>
        </w:rPr>
        <w:t>Неналоговые доходы</w:t>
      </w:r>
      <w:r>
        <w:t xml:space="preserve"> </w:t>
      </w:r>
      <w:r>
        <w:rPr>
          <w:rFonts w:eastAsia="Calibri"/>
        </w:rPr>
        <w:t>прогнозируются в 2021</w:t>
      </w:r>
      <w:r w:rsidRPr="008541B2">
        <w:rPr>
          <w:rFonts w:eastAsia="Calibri"/>
        </w:rPr>
        <w:t xml:space="preserve"> году </w:t>
      </w:r>
      <w:r>
        <w:rPr>
          <w:rFonts w:eastAsia="Calibri"/>
        </w:rPr>
        <w:t>в сумме 1426,8</w:t>
      </w:r>
      <w:r w:rsidRPr="008541B2">
        <w:rPr>
          <w:rFonts w:eastAsia="Calibri"/>
          <w:lang w:val="en-US"/>
        </w:rPr>
        <w:t> </w:t>
      </w:r>
      <w:r w:rsidRPr="008541B2">
        <w:rPr>
          <w:rFonts w:eastAsia="Calibri"/>
        </w:rPr>
        <w:t>млн.</w:t>
      </w:r>
      <w:r w:rsidRPr="008541B2">
        <w:rPr>
          <w:rFonts w:eastAsia="Calibri"/>
          <w:lang w:val="en-US"/>
        </w:rPr>
        <w:t> </w:t>
      </w:r>
      <w:r w:rsidRPr="008541B2">
        <w:rPr>
          <w:rFonts w:eastAsia="Calibri"/>
        </w:rPr>
        <w:t>руб. (</w:t>
      </w:r>
      <w:r>
        <w:rPr>
          <w:rFonts w:eastAsia="Calibri"/>
        </w:rPr>
        <w:t>-12,3</w:t>
      </w:r>
      <w:r w:rsidRPr="008541B2">
        <w:rPr>
          <w:rFonts w:eastAsia="Calibri"/>
        </w:rPr>
        <w:t xml:space="preserve">% </w:t>
      </w:r>
      <w:r>
        <w:t>к утвержденным назначениям 2020</w:t>
      </w:r>
      <w:r w:rsidRPr="00EB1EB6">
        <w:t xml:space="preserve"> года).</w:t>
      </w:r>
    </w:p>
    <w:p w14:paraId="21C3C5F0" w14:textId="77777777" w:rsidR="006165AA" w:rsidRDefault="006165AA" w:rsidP="006165AA">
      <w:pPr>
        <w:tabs>
          <w:tab w:val="num" w:pos="0"/>
        </w:tabs>
        <w:ind w:firstLine="680"/>
        <w:jc w:val="both"/>
        <w:outlineLvl w:val="0"/>
      </w:pPr>
      <w:r>
        <w:t xml:space="preserve">Снижение неналоговых </w:t>
      </w:r>
      <w:r w:rsidR="00B47A67">
        <w:t>доходов</w:t>
      </w:r>
      <w:r>
        <w:t xml:space="preserve"> относительно оценки 2020 года прогнозируется на </w:t>
      </w:r>
      <w:r w:rsidRPr="00DF31A1">
        <w:t>222,6</w:t>
      </w:r>
      <w:r>
        <w:rPr>
          <w:color w:val="FF0000"/>
        </w:rPr>
        <w:t xml:space="preserve"> </w:t>
      </w:r>
      <w:r>
        <w:t>млн. руб. в основном за счет</w:t>
      </w:r>
      <w:r w:rsidR="00B47A67">
        <w:t xml:space="preserve"> снижения по следующим видам доходов</w:t>
      </w:r>
      <w:r>
        <w:t xml:space="preserve">: </w:t>
      </w:r>
    </w:p>
    <w:p w14:paraId="6E8D43E7" w14:textId="77777777" w:rsidR="006165AA" w:rsidRPr="009301F8" w:rsidRDefault="006165AA" w:rsidP="006165AA">
      <w:pPr>
        <w:ind w:firstLine="709"/>
        <w:jc w:val="both"/>
        <w:rPr>
          <w:rFonts w:eastAsia="Calibri"/>
          <w:spacing w:val="-6"/>
        </w:rPr>
      </w:pPr>
      <w:r w:rsidRPr="009301F8">
        <w:t>-</w:t>
      </w:r>
      <w:r w:rsidR="00B47A67">
        <w:t xml:space="preserve">на </w:t>
      </w:r>
      <w:r w:rsidRPr="009301F8">
        <w:t>20</w:t>
      </w:r>
      <w:r>
        <w:t>2</w:t>
      </w:r>
      <w:r w:rsidRPr="009301F8">
        <w:t>,</w:t>
      </w:r>
      <w:r>
        <w:t>9</w:t>
      </w:r>
      <w:r w:rsidRPr="009301F8">
        <w:t xml:space="preserve"> млн. руб. по штрафам, санкциям, возмещению ущерба</w:t>
      </w:r>
      <w:r w:rsidRPr="009301F8">
        <w:rPr>
          <w:rFonts w:eastAsia="Calibri"/>
          <w:spacing w:val="-6"/>
        </w:rPr>
        <w:t>;</w:t>
      </w:r>
    </w:p>
    <w:p w14:paraId="3C72EC34" w14:textId="77777777" w:rsidR="006165AA" w:rsidRPr="009301F8" w:rsidRDefault="006165AA" w:rsidP="006165AA">
      <w:pPr>
        <w:ind w:firstLine="709"/>
        <w:jc w:val="both"/>
        <w:rPr>
          <w:rFonts w:eastAsia="Calibri"/>
        </w:rPr>
      </w:pPr>
      <w:r w:rsidRPr="009301F8">
        <w:t>-</w:t>
      </w:r>
      <w:r w:rsidR="00B47A67">
        <w:t xml:space="preserve">на </w:t>
      </w:r>
      <w:r w:rsidRPr="009301F8">
        <w:t xml:space="preserve">17,5 млн. руб. по платежам при пользовании природными ресурсами; </w:t>
      </w:r>
    </w:p>
    <w:p w14:paraId="1FDC6753" w14:textId="77777777" w:rsidR="006165AA" w:rsidRDefault="006165AA" w:rsidP="006165AA">
      <w:pPr>
        <w:ind w:firstLine="709"/>
        <w:jc w:val="both"/>
      </w:pPr>
      <w:r w:rsidRPr="009301F8">
        <w:rPr>
          <w:rFonts w:eastAsia="Calibri"/>
        </w:rPr>
        <w:t>-</w:t>
      </w:r>
      <w:r w:rsidR="00B47A67">
        <w:rPr>
          <w:rFonts w:eastAsia="Calibri"/>
        </w:rPr>
        <w:t xml:space="preserve">на </w:t>
      </w:r>
      <w:r w:rsidRPr="009301F8">
        <w:rPr>
          <w:rFonts w:eastAsia="Calibri"/>
        </w:rPr>
        <w:t xml:space="preserve">9,2 млн. руб. </w:t>
      </w:r>
      <w:r w:rsidRPr="009301F8">
        <w:rPr>
          <w:bCs/>
        </w:rPr>
        <w:t xml:space="preserve">по </w:t>
      </w:r>
      <w:r w:rsidRPr="00467A2E">
        <w:rPr>
          <w:bCs/>
        </w:rPr>
        <w:t>доходам от продажи материальных и нематериальных активов</w:t>
      </w:r>
      <w:r w:rsidRPr="009301F8">
        <w:rPr>
          <w:bCs/>
        </w:rPr>
        <w:t xml:space="preserve"> с учетом</w:t>
      </w:r>
      <w:r w:rsidRPr="009301F8">
        <w:rPr>
          <w:rFonts w:eastAsia="Calibri"/>
          <w:iCs/>
        </w:rPr>
        <w:t xml:space="preserve"> реализации основных средств, </w:t>
      </w:r>
      <w:r w:rsidRPr="009301F8">
        <w:t>исходя из заключенных договоров купли</w:t>
      </w:r>
      <w:r w:rsidR="00B47A67">
        <w:t>-</w:t>
      </w:r>
      <w:r w:rsidRPr="009301F8">
        <w:t>продажи имущества в рассрочку субъектам малого и среднего предпринимательства.</w:t>
      </w:r>
    </w:p>
    <w:p w14:paraId="6574AC39" w14:textId="77777777" w:rsidR="006165AA" w:rsidRDefault="00B47A67" w:rsidP="006165AA">
      <w:pPr>
        <w:ind w:firstLine="709"/>
        <w:jc w:val="both"/>
      </w:pPr>
      <w:r>
        <w:t>Необходимо отметить, что у</w:t>
      </w:r>
      <w:r w:rsidR="006165AA">
        <w:t>казанные данные представлены администраторами соответствующих доходов областного бюджета.</w:t>
      </w:r>
    </w:p>
    <w:p w14:paraId="47FFF514" w14:textId="77777777" w:rsidR="006165AA" w:rsidRDefault="006165AA" w:rsidP="006165AA">
      <w:pPr>
        <w:ind w:firstLine="709"/>
        <w:jc w:val="both"/>
      </w:pPr>
      <w:r>
        <w:rPr>
          <w:rFonts w:eastAsia="Calibri"/>
          <w:bCs/>
        </w:rPr>
        <w:t>П</w:t>
      </w:r>
      <w:r w:rsidRPr="009301F8">
        <w:rPr>
          <w:rFonts w:eastAsia="Calibri"/>
          <w:bCs/>
        </w:rPr>
        <w:t>ояснительн</w:t>
      </w:r>
      <w:r>
        <w:rPr>
          <w:rFonts w:eastAsia="Calibri"/>
          <w:bCs/>
        </w:rPr>
        <w:t>ая</w:t>
      </w:r>
      <w:r w:rsidRPr="009301F8">
        <w:rPr>
          <w:rFonts w:eastAsia="Calibri"/>
          <w:bCs/>
        </w:rPr>
        <w:t xml:space="preserve"> записк</w:t>
      </w:r>
      <w:r>
        <w:rPr>
          <w:rFonts w:eastAsia="Calibri"/>
          <w:bCs/>
        </w:rPr>
        <w:t>а</w:t>
      </w:r>
      <w:r w:rsidRPr="009301F8">
        <w:rPr>
          <w:rFonts w:eastAsia="Calibri"/>
          <w:bCs/>
        </w:rPr>
        <w:t xml:space="preserve"> </w:t>
      </w:r>
      <w:r w:rsidRPr="009301F8">
        <w:t>комитета финансо</w:t>
      </w:r>
      <w:r>
        <w:t xml:space="preserve">в не содержит пояснений по причинам снижения вышеуказанных доходов в 2021 году относительно оценки 2020 года. </w:t>
      </w:r>
    </w:p>
    <w:p w14:paraId="4169C919" w14:textId="77777777" w:rsidR="00E339EF" w:rsidRDefault="00E339EF" w:rsidP="006165AA">
      <w:pPr>
        <w:pStyle w:val="Default"/>
        <w:ind w:firstLine="680"/>
        <w:jc w:val="both"/>
      </w:pPr>
    </w:p>
    <w:p w14:paraId="12548CD7" w14:textId="77777777" w:rsidR="006165AA" w:rsidRDefault="00AF436B" w:rsidP="006165AA">
      <w:pPr>
        <w:pStyle w:val="Default"/>
        <w:ind w:firstLine="680"/>
        <w:jc w:val="both"/>
      </w:pPr>
      <w:r>
        <w:t>Согласно</w:t>
      </w:r>
      <w:r w:rsidR="006165AA">
        <w:t xml:space="preserve"> </w:t>
      </w:r>
      <w:r>
        <w:t>з</w:t>
      </w:r>
      <w:r w:rsidR="006165AA">
        <w:t xml:space="preserve">аконопроекту прогноз </w:t>
      </w:r>
      <w:r w:rsidR="006165AA" w:rsidRPr="00BC7FD7">
        <w:rPr>
          <w:b/>
          <w:i/>
        </w:rPr>
        <w:t xml:space="preserve">безвозмездных поступлений </w:t>
      </w:r>
      <w:r w:rsidR="006165AA">
        <w:t xml:space="preserve">на 2021 год составляет </w:t>
      </w:r>
      <w:r w:rsidR="006165AA">
        <w:rPr>
          <w:bCs/>
        </w:rPr>
        <w:t xml:space="preserve">45217,8 </w:t>
      </w:r>
      <w:r w:rsidR="006165AA">
        <w:t>млн. руб.</w:t>
      </w:r>
      <w:r w:rsidR="00FE18BB">
        <w:t xml:space="preserve">, что на </w:t>
      </w:r>
      <w:r w:rsidR="006165AA">
        <w:t xml:space="preserve">16,4% </w:t>
      </w:r>
      <w:r w:rsidR="00FE18BB">
        <w:t>меньше</w:t>
      </w:r>
      <w:r w:rsidR="006165AA">
        <w:t xml:space="preserve"> оценк</w:t>
      </w:r>
      <w:r w:rsidR="00FE18BB">
        <w:t>и</w:t>
      </w:r>
      <w:r w:rsidR="006165AA">
        <w:t xml:space="preserve"> 2020 года</w:t>
      </w:r>
      <w:r w:rsidR="00B14324">
        <w:t xml:space="preserve"> (54079,2 млн. руб.)</w:t>
      </w:r>
      <w:r w:rsidR="00FE18BB">
        <w:t xml:space="preserve"> и </w:t>
      </w:r>
      <w:r w:rsidR="006165AA">
        <w:t>на 10,</w:t>
      </w:r>
      <w:r w:rsidR="005E5F29">
        <w:t>3</w:t>
      </w:r>
      <w:r w:rsidR="006165AA">
        <w:t xml:space="preserve">% больше утвержденных </w:t>
      </w:r>
      <w:r w:rsidR="00FE18BB">
        <w:t xml:space="preserve">назначений </w:t>
      </w:r>
      <w:r w:rsidR="006165AA">
        <w:t>на 2020 год</w:t>
      </w:r>
      <w:r w:rsidR="00B14324">
        <w:t xml:space="preserve"> (40981,4 млн. руб.)</w:t>
      </w:r>
      <w:r w:rsidR="006165AA">
        <w:t>, из них:</w:t>
      </w:r>
    </w:p>
    <w:p w14:paraId="50ABD5E4" w14:textId="77777777" w:rsidR="006165AA" w:rsidRDefault="006165AA" w:rsidP="006165AA">
      <w:pPr>
        <w:pStyle w:val="Default"/>
        <w:ind w:firstLine="680"/>
        <w:jc w:val="both"/>
      </w:pPr>
      <w:r>
        <w:t xml:space="preserve">-дотации </w:t>
      </w:r>
      <w:r w:rsidR="00B14324">
        <w:t>-</w:t>
      </w:r>
      <w:r>
        <w:t xml:space="preserve"> 11709,6 млн. руб., или на 21,5% ниже утвержденных на 2020 год (14921,6 млн. руб.);</w:t>
      </w:r>
    </w:p>
    <w:p w14:paraId="6B397819" w14:textId="77777777" w:rsidR="006165AA" w:rsidRDefault="006165AA" w:rsidP="006165AA">
      <w:pPr>
        <w:pStyle w:val="Default"/>
        <w:ind w:firstLine="680"/>
        <w:jc w:val="both"/>
      </w:pPr>
      <w:r>
        <w:t xml:space="preserve">-субсидии </w:t>
      </w:r>
      <w:r w:rsidR="00B14324">
        <w:t>-</w:t>
      </w:r>
      <w:r>
        <w:t xml:space="preserve"> 21199,6</w:t>
      </w:r>
      <w:r>
        <w:rPr>
          <w:bCs/>
        </w:rPr>
        <w:t xml:space="preserve"> </w:t>
      </w:r>
      <w:r>
        <w:t>млн. руб., или на 51,8% больше 2020 года (13969 млн. руб.);</w:t>
      </w:r>
    </w:p>
    <w:p w14:paraId="16C142FB" w14:textId="77777777" w:rsidR="006165AA" w:rsidRDefault="006165AA" w:rsidP="006165AA">
      <w:pPr>
        <w:pStyle w:val="Default"/>
        <w:ind w:firstLine="680"/>
        <w:jc w:val="both"/>
      </w:pPr>
      <w:r>
        <w:t xml:space="preserve">-субвенции </w:t>
      </w:r>
      <w:r w:rsidR="00B14324">
        <w:t>-</w:t>
      </w:r>
      <w:r>
        <w:t xml:space="preserve"> 8188,8</w:t>
      </w:r>
      <w:r>
        <w:rPr>
          <w:bCs/>
        </w:rPr>
        <w:t xml:space="preserve"> </w:t>
      </w:r>
      <w:r>
        <w:t>млн. руб., и</w:t>
      </w:r>
      <w:r w:rsidR="00B14324">
        <w:t>ли на 18,3% больше 2020 года (6</w:t>
      </w:r>
      <w:r>
        <w:t>921,3 млн. руб.);</w:t>
      </w:r>
    </w:p>
    <w:p w14:paraId="0F33603E" w14:textId="77777777" w:rsidR="006165AA" w:rsidRDefault="006165AA" w:rsidP="006165AA">
      <w:pPr>
        <w:pStyle w:val="Default"/>
        <w:ind w:firstLine="680"/>
        <w:jc w:val="both"/>
      </w:pPr>
      <w:r>
        <w:t xml:space="preserve">-иные межбюджетные трансферты </w:t>
      </w:r>
      <w:r w:rsidR="00B14324">
        <w:t>-</w:t>
      </w:r>
      <w:r>
        <w:t xml:space="preserve"> 2724,4 млн. руб., что на 42,1% меньше 2020 года (4705</w:t>
      </w:r>
      <w:r>
        <w:rPr>
          <w:bCs/>
        </w:rPr>
        <w:t xml:space="preserve"> </w:t>
      </w:r>
      <w:r>
        <w:t>млн. руб.);</w:t>
      </w:r>
    </w:p>
    <w:p w14:paraId="40FFE1D2" w14:textId="77777777" w:rsidR="006165AA" w:rsidRDefault="006165AA" w:rsidP="006165AA">
      <w:pPr>
        <w:pStyle w:val="Default"/>
        <w:ind w:firstLine="680"/>
        <w:jc w:val="both"/>
      </w:pPr>
      <w:r>
        <w:t xml:space="preserve">-безвозмездные поступления от государственных организаций </w:t>
      </w:r>
      <w:r w:rsidR="00B14324">
        <w:t>- 1</w:t>
      </w:r>
      <w:r>
        <w:t>370</w:t>
      </w:r>
      <w:r>
        <w:rPr>
          <w:bCs/>
        </w:rPr>
        <w:t xml:space="preserve"> </w:t>
      </w:r>
      <w:r>
        <w:t>млн. руб., или в 3,1 раза больше 2020 года (446,7 млн. руб.);</w:t>
      </w:r>
    </w:p>
    <w:p w14:paraId="33871114" w14:textId="77777777" w:rsidR="006165AA" w:rsidRDefault="006165AA" w:rsidP="006165AA">
      <w:pPr>
        <w:pStyle w:val="Default"/>
        <w:ind w:firstLine="680"/>
        <w:jc w:val="both"/>
        <w:rPr>
          <w:bCs/>
        </w:rPr>
      </w:pPr>
      <w:r>
        <w:t xml:space="preserve">-безвозмездные поступления от негосударственных организаций </w:t>
      </w:r>
      <w:r w:rsidR="00B14324">
        <w:t>-</w:t>
      </w:r>
      <w:r>
        <w:t xml:space="preserve"> 8 млн. руб., или в 20 раз больше 2020 года (0,4</w:t>
      </w:r>
      <w:r>
        <w:rPr>
          <w:bCs/>
        </w:rPr>
        <w:t xml:space="preserve"> </w:t>
      </w:r>
      <w:r>
        <w:t>млн. руб.);</w:t>
      </w:r>
    </w:p>
    <w:p w14:paraId="5FA6F34C" w14:textId="77777777" w:rsidR="006165AA" w:rsidRDefault="006165AA" w:rsidP="006165AA">
      <w:pPr>
        <w:pStyle w:val="Default"/>
        <w:ind w:firstLine="680"/>
        <w:jc w:val="both"/>
      </w:pPr>
      <w:r>
        <w:lastRenderedPageBreak/>
        <w:t>-доходы от возврата остатков субсидий, субвенций и иных межбюджетных трансфертов</w:t>
      </w:r>
      <w:r w:rsidR="00B14324">
        <w:t>,</w:t>
      </w:r>
      <w:r>
        <w:t xml:space="preserve"> </w:t>
      </w:r>
      <w:r w:rsidRPr="00A30324">
        <w:rPr>
          <w:bCs/>
        </w:rPr>
        <w:t>имеющих целевое назначение, прошлых лет</w:t>
      </w:r>
      <w:r w:rsidR="00B14324">
        <w:t xml:space="preserve"> -</w:t>
      </w:r>
      <w:r>
        <w:t xml:space="preserve"> 17,4</w:t>
      </w:r>
      <w:r>
        <w:rPr>
          <w:b/>
          <w:bCs/>
        </w:rPr>
        <w:t xml:space="preserve"> </w:t>
      </w:r>
      <w:r>
        <w:t>млн. руб., что на 69,1% меньше 2020 года (56,4 млн. руб.).</w:t>
      </w:r>
    </w:p>
    <w:p w14:paraId="22D08BF1" w14:textId="77777777" w:rsidR="00CB2280" w:rsidRDefault="00CB2280" w:rsidP="006165AA">
      <w:pPr>
        <w:pStyle w:val="Default"/>
        <w:ind w:firstLine="680"/>
        <w:jc w:val="both"/>
      </w:pPr>
      <w:r>
        <w:t>Причины столь значительного расхождения утвержденных на 2020 год назначений по безвозмездным поступлениям и их оценки объяснены выше, в разделе «Концепция проекта закона Волгоградской области на 2021 год и плановый период 2022 и 2023 годов».</w:t>
      </w:r>
    </w:p>
    <w:p w14:paraId="35957484" w14:textId="77777777" w:rsidR="006165AA" w:rsidRPr="00F26930" w:rsidRDefault="006165AA" w:rsidP="006165AA">
      <w:pPr>
        <w:shd w:val="clear" w:color="auto" w:fill="FFFFFF"/>
        <w:ind w:left="11" w:right="11" w:firstLine="680"/>
        <w:jc w:val="both"/>
      </w:pPr>
      <w:r>
        <w:t>Н</w:t>
      </w:r>
      <w:r w:rsidRPr="00461127">
        <w:t xml:space="preserve">еобходимо </w:t>
      </w:r>
      <w:r w:rsidR="00CB2280">
        <w:t xml:space="preserve">также </w:t>
      </w:r>
      <w:r>
        <w:t xml:space="preserve">отметить, что законопроектом, как и в предыдущие годы, не предусмотрены прогнозные назначения по безвозмездным </w:t>
      </w:r>
      <w:r>
        <w:rPr>
          <w:bCs/>
        </w:rPr>
        <w:t>поступлениям в виде в</w:t>
      </w:r>
      <w:r>
        <w:t xml:space="preserve">озврата в федеральный бюджет остатков неиспользованных субсидий, субвенций и иных межбюджетных трансфертов (за 2019 год составили (-) 120,5 млн. руб., за 9 месяцев 2020 года </w:t>
      </w:r>
      <w:r w:rsidR="00CB2280">
        <w:t>-</w:t>
      </w:r>
      <w:r>
        <w:t xml:space="preserve"> (-) 47,7 млн. руб</w:t>
      </w:r>
      <w:r w:rsidR="00CB2280">
        <w:t>.</w:t>
      </w:r>
      <w:r>
        <w:t xml:space="preserve">). </w:t>
      </w:r>
      <w:r w:rsidRPr="00F26930">
        <w:t xml:space="preserve">Данный факт </w:t>
      </w:r>
      <w:r w:rsidRPr="00F26930">
        <w:rPr>
          <w:bCs/>
        </w:rPr>
        <w:t xml:space="preserve">свидетельствует о несоблюдении принципа полноты отражения доходов бюджета, определенного статьей 32 БК РФ. </w:t>
      </w:r>
    </w:p>
    <w:p w14:paraId="41A3CF3C" w14:textId="77777777" w:rsidR="00014C0D" w:rsidRDefault="006165AA" w:rsidP="006165AA">
      <w:pPr>
        <w:ind w:firstLine="680"/>
        <w:jc w:val="both"/>
        <w:rPr>
          <w:bCs/>
          <w:iCs/>
          <w:color w:val="000000"/>
        </w:rPr>
      </w:pPr>
      <w:r w:rsidRPr="009E14B8">
        <w:rPr>
          <w:bCs/>
          <w:iCs/>
          <w:color w:val="000000"/>
        </w:rPr>
        <w:t xml:space="preserve">Указанные поступления со знаком «минус» уменьшают общую сумму доходов бюджета, соответственно нарушается сбалансированность доходов и расходов бюджета. </w:t>
      </w:r>
    </w:p>
    <w:p w14:paraId="4451FE1F" w14:textId="77777777" w:rsidR="006165AA" w:rsidRDefault="006165AA" w:rsidP="006165AA">
      <w:pPr>
        <w:ind w:firstLine="680"/>
        <w:jc w:val="both"/>
        <w:rPr>
          <w:bCs/>
          <w:iCs/>
          <w:color w:val="000000"/>
        </w:rPr>
      </w:pPr>
      <w:r w:rsidRPr="009E14B8">
        <w:rPr>
          <w:bCs/>
          <w:iCs/>
          <w:color w:val="000000"/>
        </w:rPr>
        <w:t xml:space="preserve"> </w:t>
      </w:r>
    </w:p>
    <w:p w14:paraId="188ED67D" w14:textId="77777777" w:rsidR="00014C0D" w:rsidRPr="00014C0D" w:rsidRDefault="00014C0D" w:rsidP="00014C0D">
      <w:pPr>
        <w:jc w:val="center"/>
        <w:rPr>
          <w:b/>
          <w:bCs/>
          <w:i/>
        </w:rPr>
      </w:pPr>
      <w:r w:rsidRPr="00014C0D">
        <w:rPr>
          <w:b/>
          <w:bCs/>
          <w:i/>
        </w:rPr>
        <w:t>Оценка потерь областного бюджета от налоговых расходов</w:t>
      </w:r>
    </w:p>
    <w:p w14:paraId="3AC72A1D" w14:textId="77777777" w:rsidR="00014C0D" w:rsidRPr="00DE7BD4" w:rsidRDefault="00014C0D" w:rsidP="00014C0D">
      <w:pPr>
        <w:spacing w:line="240" w:lineRule="atLeast"/>
        <w:ind w:firstLine="567"/>
        <w:jc w:val="both"/>
      </w:pPr>
      <w:r w:rsidRPr="00DA1005">
        <w:tab/>
        <w:t>Налоговые льготы, предоставляемые отдельным категориям налогоплательщиков</w:t>
      </w:r>
      <w:r w:rsidRPr="00DE7BD4">
        <w:t xml:space="preserve"> как федеральным, так и областным законодательством</w:t>
      </w:r>
      <w:r>
        <w:t>,</w:t>
      </w:r>
      <w:r w:rsidRPr="00DE7BD4">
        <w:t xml:space="preserve"> оказывают существенное влияние на доходную часть областного бюджета. </w:t>
      </w:r>
    </w:p>
    <w:p w14:paraId="05A776ED" w14:textId="77777777" w:rsidR="00014C0D" w:rsidRPr="00DE7BD4" w:rsidRDefault="00014C0D" w:rsidP="00014C0D">
      <w:pPr>
        <w:spacing w:line="240" w:lineRule="atLeast"/>
        <w:ind w:firstLine="567"/>
        <w:jc w:val="both"/>
      </w:pPr>
      <w:r w:rsidRPr="00DE7BD4">
        <w:tab/>
      </w:r>
      <w:r w:rsidRPr="006D390F">
        <w:t xml:space="preserve">По оценке Администрации Волгоградской области потери областного бюджета от налоговых расходов в 2021 году составят 8100 млн. руб., </w:t>
      </w:r>
      <w:r>
        <w:t>в том числе</w:t>
      </w:r>
      <w:r w:rsidRPr="006D390F">
        <w:t xml:space="preserve"> в соответствии с федеральным законодательством – 3155 млн. руб., или </w:t>
      </w:r>
      <w:r>
        <w:t>39</w:t>
      </w:r>
      <w:r w:rsidRPr="006D390F">
        <w:t xml:space="preserve">% </w:t>
      </w:r>
      <w:r>
        <w:t>общего объема</w:t>
      </w:r>
      <w:r w:rsidRPr="006D390F">
        <w:t xml:space="preserve"> налоговых </w:t>
      </w:r>
      <w:r>
        <w:t>расходов</w:t>
      </w:r>
      <w:r w:rsidRPr="006D390F">
        <w:t>. В 2022 году общая сумма налоговых расходов прогнозируется</w:t>
      </w:r>
      <w:r w:rsidRPr="00DE7BD4">
        <w:t xml:space="preserve"> в размере </w:t>
      </w:r>
      <w:r>
        <w:t xml:space="preserve">7057,9 </w:t>
      </w:r>
      <w:r w:rsidRPr="00DE7BD4">
        <w:t xml:space="preserve">млн. руб. (в том числе по федеральному законодательству – </w:t>
      </w:r>
      <w:r>
        <w:t>3356,4</w:t>
      </w:r>
      <w:r w:rsidRPr="00DE7BD4">
        <w:t xml:space="preserve"> млн. руб., или </w:t>
      </w:r>
      <w:r>
        <w:t>47,6</w:t>
      </w:r>
      <w:r w:rsidRPr="00DE7BD4">
        <w:t>%), в 20</w:t>
      </w:r>
      <w:r>
        <w:t>23</w:t>
      </w:r>
      <w:r w:rsidRPr="00DE7BD4">
        <w:t xml:space="preserve"> году –</w:t>
      </w:r>
      <w:r>
        <w:t xml:space="preserve"> 6012,1</w:t>
      </w:r>
      <w:r w:rsidRPr="00DE7BD4">
        <w:t xml:space="preserve"> млн. руб. (в том числе по федеральному законодательству – </w:t>
      </w:r>
      <w:r>
        <w:t>3561,7</w:t>
      </w:r>
      <w:r w:rsidRPr="00DE7BD4">
        <w:t xml:space="preserve"> млн. руб., или </w:t>
      </w:r>
      <w:r>
        <w:t>59,2</w:t>
      </w:r>
      <w:r w:rsidRPr="00DE7BD4">
        <w:t>%).</w:t>
      </w:r>
    </w:p>
    <w:p w14:paraId="048A1427" w14:textId="77777777" w:rsidR="00014C0D" w:rsidRDefault="00014C0D" w:rsidP="00014C0D">
      <w:pPr>
        <w:autoSpaceDE w:val="0"/>
        <w:autoSpaceDN w:val="0"/>
        <w:adjustRightInd w:val="0"/>
        <w:ind w:firstLine="709"/>
        <w:jc w:val="both"/>
      </w:pPr>
      <w:r w:rsidRPr="00D316F8">
        <w:t>Наибольшую долю в объеме федеральных льгот в 202</w:t>
      </w:r>
      <w:r>
        <w:t>1</w:t>
      </w:r>
      <w:r w:rsidRPr="00D316F8">
        <w:t>-202</w:t>
      </w:r>
      <w:r>
        <w:t>3</w:t>
      </w:r>
      <w:r w:rsidRPr="00D316F8">
        <w:t xml:space="preserve"> годах </w:t>
      </w:r>
      <w:r>
        <w:t>составля</w:t>
      </w:r>
      <w:r w:rsidRPr="00D316F8">
        <w:t>ют льготы по НДФЛ</w:t>
      </w:r>
      <w:r>
        <w:t>: 2357</w:t>
      </w:r>
      <w:r w:rsidRPr="00D316F8">
        <w:t xml:space="preserve"> млн. руб.</w:t>
      </w:r>
      <w:r>
        <w:t xml:space="preserve"> (74,7%)</w:t>
      </w:r>
      <w:r w:rsidRPr="00D316F8">
        <w:t xml:space="preserve">, </w:t>
      </w:r>
      <w:r>
        <w:t>2512,2</w:t>
      </w:r>
      <w:r w:rsidRPr="00D316F8">
        <w:t xml:space="preserve"> млн. руб. </w:t>
      </w:r>
      <w:r>
        <w:t xml:space="preserve">(74,8%) </w:t>
      </w:r>
      <w:r w:rsidRPr="00D316F8">
        <w:t xml:space="preserve">и </w:t>
      </w:r>
      <w:r>
        <w:t>2671</w:t>
      </w:r>
      <w:r w:rsidRPr="00D316F8">
        <w:t xml:space="preserve"> млн. руб.</w:t>
      </w:r>
      <w:r>
        <w:t xml:space="preserve"> (75%) и по </w:t>
      </w:r>
      <w:r w:rsidRPr="00D316F8">
        <w:t>налогу на  прибыль</w:t>
      </w:r>
      <w:r>
        <w:t>: 498,6</w:t>
      </w:r>
      <w:r w:rsidRPr="00D316F8">
        <w:t xml:space="preserve"> млн.</w:t>
      </w:r>
      <w:r>
        <w:t xml:space="preserve"> </w:t>
      </w:r>
      <w:r w:rsidRPr="00D316F8">
        <w:t>руб.</w:t>
      </w:r>
      <w:r>
        <w:t xml:space="preserve"> (15,8%)</w:t>
      </w:r>
      <w:r w:rsidRPr="00D316F8">
        <w:t xml:space="preserve">, </w:t>
      </w:r>
      <w:r>
        <w:t>529,5</w:t>
      </w:r>
      <w:r w:rsidRPr="00D316F8">
        <w:t xml:space="preserve"> млн.</w:t>
      </w:r>
      <w:r>
        <w:t xml:space="preserve"> </w:t>
      </w:r>
      <w:r w:rsidRPr="00D316F8">
        <w:t>руб.</w:t>
      </w:r>
      <w:r>
        <w:t xml:space="preserve"> (15,8%), 559,6 млн. руб. (15,7%)</w:t>
      </w:r>
      <w:r w:rsidRPr="00D316F8">
        <w:t>.</w:t>
      </w:r>
    </w:p>
    <w:p w14:paraId="4033DC88" w14:textId="77777777" w:rsidR="00014C0D" w:rsidRPr="007E4B94" w:rsidRDefault="00014C0D" w:rsidP="00014C0D">
      <w:pPr>
        <w:autoSpaceDE w:val="0"/>
        <w:autoSpaceDN w:val="0"/>
        <w:adjustRightInd w:val="0"/>
        <w:ind w:firstLine="709"/>
        <w:jc w:val="both"/>
      </w:pPr>
      <w:r>
        <w:t xml:space="preserve">По объему налоговых льгот по НДФЛ в 2021 году по сравнению с оценочным показателем 2020 года ожидается рост на 162 млн. руб. (+7,4%), в основном, </w:t>
      </w:r>
      <w:r w:rsidRPr="007622AB">
        <w:t>за счет прогнозируемого увеличения фонда заработной платы.</w:t>
      </w:r>
    </w:p>
    <w:p w14:paraId="20A0285F" w14:textId="77777777" w:rsidR="00014C0D" w:rsidRPr="00D316F8" w:rsidRDefault="00014C0D" w:rsidP="00014C0D">
      <w:pPr>
        <w:autoSpaceDE w:val="0"/>
        <w:autoSpaceDN w:val="0"/>
        <w:adjustRightInd w:val="0"/>
        <w:spacing w:line="240" w:lineRule="atLeast"/>
        <w:ind w:firstLine="567"/>
        <w:jc w:val="both"/>
      </w:pPr>
      <w:r w:rsidRPr="00D316F8">
        <w:tab/>
        <w:t>Объем налоговых льгот, предоставленных законодательством Волгоградской области, на 202</w:t>
      </w:r>
      <w:r>
        <w:t>1</w:t>
      </w:r>
      <w:r w:rsidRPr="00D316F8">
        <w:t xml:space="preserve"> год прогнозируется в сумме </w:t>
      </w:r>
      <w:r>
        <w:t>4945</w:t>
      </w:r>
      <w:r w:rsidRPr="00D316F8">
        <w:t xml:space="preserve"> млн. руб.</w:t>
      </w:r>
      <w:r w:rsidR="00C0179B">
        <w:t xml:space="preserve"> (61% общего объема</w:t>
      </w:r>
      <w:r w:rsidR="00C0179B" w:rsidRPr="006D390F">
        <w:t xml:space="preserve"> налоговых </w:t>
      </w:r>
      <w:r w:rsidR="00C0179B">
        <w:t>расходов)</w:t>
      </w:r>
      <w:r w:rsidRPr="00D316F8">
        <w:t>, на 202</w:t>
      </w:r>
      <w:r>
        <w:t>2</w:t>
      </w:r>
      <w:r w:rsidRPr="00D316F8">
        <w:t xml:space="preserve"> год – </w:t>
      </w:r>
      <w:r>
        <w:t>3701,5</w:t>
      </w:r>
      <w:r w:rsidRPr="00D316F8">
        <w:t xml:space="preserve"> млн. руб.</w:t>
      </w:r>
      <w:r w:rsidR="00C0179B">
        <w:t xml:space="preserve"> (52,4%)</w:t>
      </w:r>
      <w:r w:rsidRPr="00D316F8">
        <w:t>, на 202</w:t>
      </w:r>
      <w:r>
        <w:t>3</w:t>
      </w:r>
      <w:r w:rsidRPr="00D316F8">
        <w:t xml:space="preserve"> год – </w:t>
      </w:r>
      <w:r>
        <w:t>2450,4</w:t>
      </w:r>
      <w:r w:rsidRPr="00D316F8">
        <w:t xml:space="preserve"> млн. руб.</w:t>
      </w:r>
      <w:r w:rsidR="00716FAA">
        <w:t xml:space="preserve"> (40,8%).</w:t>
      </w:r>
      <w:r w:rsidRPr="00D316F8">
        <w:t xml:space="preserve"> </w:t>
      </w:r>
      <w:r w:rsidR="00716FAA">
        <w:t xml:space="preserve">От прогнозируемого общего объема </w:t>
      </w:r>
      <w:r w:rsidR="00716FAA" w:rsidRPr="00D316F8">
        <w:t xml:space="preserve">налоговых доходов бюджета </w:t>
      </w:r>
      <w:r w:rsidR="00716FAA">
        <w:t>областные льготы составят</w:t>
      </w:r>
      <w:r w:rsidRPr="00D316F8">
        <w:t xml:space="preserve"> </w:t>
      </w:r>
      <w:r>
        <w:t>6</w:t>
      </w:r>
      <w:r w:rsidRPr="00D316F8">
        <w:t xml:space="preserve">,4%, </w:t>
      </w:r>
      <w:r>
        <w:t>4,5</w:t>
      </w:r>
      <w:r w:rsidRPr="00D316F8">
        <w:t xml:space="preserve">% и </w:t>
      </w:r>
      <w:r>
        <w:t>2,7</w:t>
      </w:r>
      <w:r w:rsidRPr="00D316F8">
        <w:t>%</w:t>
      </w:r>
      <w:r w:rsidR="00716FAA">
        <w:t xml:space="preserve"> соответственно по годам</w:t>
      </w:r>
    </w:p>
    <w:p w14:paraId="3B398B9F" w14:textId="77777777" w:rsidR="00014C0D" w:rsidRDefault="00014C0D" w:rsidP="00014C0D">
      <w:pPr>
        <w:ind w:firstLine="708"/>
        <w:jc w:val="both"/>
      </w:pPr>
      <w:r w:rsidRPr="00D316F8">
        <w:t>Объем налоговых льгот по налогу на имущество, предусмотренных законодательств</w:t>
      </w:r>
      <w:r>
        <w:t>ом Волгоградской области, на 2021</w:t>
      </w:r>
      <w:r w:rsidRPr="00D316F8">
        <w:t xml:space="preserve"> год прогнозируется в сумме </w:t>
      </w:r>
      <w:r>
        <w:t>4710,8</w:t>
      </w:r>
      <w:r w:rsidRPr="00961D89">
        <w:t xml:space="preserve"> млн. руб., на 202</w:t>
      </w:r>
      <w:r>
        <w:t>2</w:t>
      </w:r>
      <w:r w:rsidRPr="00961D89">
        <w:t xml:space="preserve"> год – </w:t>
      </w:r>
      <w:r>
        <w:t>3471,3</w:t>
      </w:r>
      <w:r w:rsidRPr="00961D89">
        <w:t xml:space="preserve"> млн. руб., </w:t>
      </w:r>
      <w:r w:rsidR="00716FAA">
        <w:t>на</w:t>
      </w:r>
      <w:r w:rsidRPr="00961D89">
        <w:t xml:space="preserve"> 202</w:t>
      </w:r>
      <w:r>
        <w:t>3</w:t>
      </w:r>
      <w:r w:rsidRPr="00961D89">
        <w:t xml:space="preserve"> год – </w:t>
      </w:r>
      <w:r>
        <w:t>2241,7</w:t>
      </w:r>
      <w:r w:rsidRPr="00961D89">
        <w:t xml:space="preserve"> млн. руб., или соответственно 9</w:t>
      </w:r>
      <w:r>
        <w:t>5,3</w:t>
      </w:r>
      <w:r w:rsidRPr="00961D89">
        <w:t>%, 9</w:t>
      </w:r>
      <w:r>
        <w:t>3,8</w:t>
      </w:r>
      <w:r w:rsidRPr="00961D89">
        <w:t>% и 9</w:t>
      </w:r>
      <w:r>
        <w:t>1,5</w:t>
      </w:r>
      <w:r w:rsidRPr="00961D89">
        <w:t>% от общей суммы льгот, предоставленных</w:t>
      </w:r>
      <w:r>
        <w:t xml:space="preserve"> региональным законодательством.</w:t>
      </w:r>
    </w:p>
    <w:p w14:paraId="29AE14B3" w14:textId="77777777" w:rsidR="00014C0D" w:rsidRPr="001E2931" w:rsidRDefault="00014C0D" w:rsidP="00014C0D">
      <w:pPr>
        <w:ind w:firstLine="708"/>
        <w:jc w:val="both"/>
      </w:pPr>
      <w:r w:rsidRPr="001E2931">
        <w:t xml:space="preserve">В целом </w:t>
      </w:r>
      <w:r w:rsidR="001E2931">
        <w:t xml:space="preserve">отмечается </w:t>
      </w:r>
      <w:r w:rsidRPr="001E2931">
        <w:t>уменьшение выпадающих доходов бюджета от предоставления льгот в 2021 году относительно предыдущего периода на 737,9 млн. руб. (-8,3%)</w:t>
      </w:r>
      <w:r w:rsidR="001E2931">
        <w:t>. При этом в основном снижение обусловлено сокращением выпадающих доходов от налоговых льгот,</w:t>
      </w:r>
      <w:r w:rsidRPr="001E2931">
        <w:t xml:space="preserve"> предоставленных региональным законодательством</w:t>
      </w:r>
      <w:r w:rsidR="001E2931">
        <w:t>, а именно</w:t>
      </w:r>
      <w:r w:rsidRPr="001E2931">
        <w:t>:</w:t>
      </w:r>
    </w:p>
    <w:p w14:paraId="165CEAE0" w14:textId="77777777" w:rsidR="00014C0D" w:rsidRPr="001E2931" w:rsidRDefault="00014C0D" w:rsidP="00014C0D">
      <w:pPr>
        <w:ind w:firstLine="708"/>
        <w:jc w:val="both"/>
      </w:pPr>
      <w:r w:rsidRPr="001E2931">
        <w:t>-</w:t>
      </w:r>
      <w:r w:rsidR="001E2931">
        <w:t xml:space="preserve">по </w:t>
      </w:r>
      <w:r w:rsidRPr="001E2931">
        <w:t xml:space="preserve">налогу, взимаемому в связи с применением упрощенной системы налогообложения </w:t>
      </w:r>
      <w:r w:rsidR="001E2931">
        <w:t xml:space="preserve">- </w:t>
      </w:r>
      <w:r w:rsidRPr="001E2931">
        <w:t xml:space="preserve">на 641 млн. руб. (в 8,7 раза), что </w:t>
      </w:r>
      <w:r w:rsidR="001E2931">
        <w:t>связано с</w:t>
      </w:r>
      <w:r w:rsidRPr="001E2931">
        <w:t xml:space="preserve"> установлением перечня категорий налогоплательщиков, применяющих в 2020 году пониженную налоговую ставку, в соответствии с изменениями, внесенными </w:t>
      </w:r>
      <w:r w:rsidRPr="001E2931">
        <w:rPr>
          <w:rFonts w:eastAsia="Calibri"/>
        </w:rPr>
        <w:t xml:space="preserve">в Закон Волгоградской области от 10.02.2009 №1845-ОД </w:t>
      </w:r>
      <w:r w:rsidRPr="001E2931">
        <w:rPr>
          <w:shd w:val="clear" w:color="auto" w:fill="FFFFFF"/>
        </w:rPr>
        <w:t>«</w:t>
      </w:r>
      <w:r w:rsidRPr="001E2931">
        <w:rPr>
          <w:rFonts w:eastAsia="Calibri"/>
        </w:rPr>
        <w:t>О ставке налога, уплачиваемого в связи с применением упрощенной системы налогообложения</w:t>
      </w:r>
      <w:r w:rsidRPr="001E2931">
        <w:rPr>
          <w:shd w:val="clear" w:color="auto" w:fill="FFFFFF"/>
        </w:rPr>
        <w:t>»</w:t>
      </w:r>
      <w:r w:rsidRPr="001E2931">
        <w:t>;</w:t>
      </w:r>
    </w:p>
    <w:p w14:paraId="05AB50AC" w14:textId="77777777" w:rsidR="00014C0D" w:rsidRPr="001E2931" w:rsidRDefault="00014C0D" w:rsidP="00014C0D">
      <w:pPr>
        <w:ind w:firstLine="708"/>
        <w:jc w:val="both"/>
      </w:pPr>
      <w:r w:rsidRPr="001E2931">
        <w:lastRenderedPageBreak/>
        <w:t>-</w:t>
      </w:r>
      <w:r w:rsidR="001E2931">
        <w:t xml:space="preserve">по </w:t>
      </w:r>
      <w:r w:rsidRPr="001E2931">
        <w:t xml:space="preserve">налогу на прибыль организаций </w:t>
      </w:r>
      <w:r w:rsidR="001E2931">
        <w:t xml:space="preserve">- </w:t>
      </w:r>
      <w:r w:rsidRPr="001E2931">
        <w:t>на 231,5 млн. руб. (-77%) и налогу на имущество</w:t>
      </w:r>
      <w:r w:rsidR="001E2931">
        <w:t xml:space="preserve"> -</w:t>
      </w:r>
      <w:r w:rsidRPr="001E2931">
        <w:t xml:space="preserve"> на 80,1 млн. руб. (-1,7%), что обусловлено в основном окончанием периода предоставления льгот по крупным инвестиционным соглашениям.</w:t>
      </w:r>
    </w:p>
    <w:p w14:paraId="184279EE" w14:textId="77777777" w:rsidR="00014C0D" w:rsidRPr="001E2931" w:rsidRDefault="00014C0D" w:rsidP="00014C0D">
      <w:pPr>
        <w:ind w:firstLine="708"/>
        <w:jc w:val="both"/>
      </w:pPr>
      <w:r w:rsidRPr="001E2931">
        <w:t>В 2022-2023 годах прогнозируется снижение выпадающих доходов на 1042 млн. руб., и на 1045,8 млн. руб. соответственно.</w:t>
      </w:r>
    </w:p>
    <w:p w14:paraId="494C4FB7" w14:textId="0EAE9087" w:rsidR="00014C0D" w:rsidRPr="00820D23" w:rsidRDefault="00014C0D" w:rsidP="00014C0D">
      <w:pPr>
        <w:ind w:firstLine="708"/>
        <w:jc w:val="both"/>
        <w:rPr>
          <w:b/>
          <w:i/>
          <w:u w:val="single"/>
        </w:rPr>
      </w:pPr>
      <w:r w:rsidRPr="00271DDE">
        <w:t xml:space="preserve">Сведения </w:t>
      </w:r>
      <w:r>
        <w:t xml:space="preserve">о </w:t>
      </w:r>
      <w:r w:rsidRPr="006D390F">
        <w:t xml:space="preserve">налоговых расходов в 2021-2023 годах представлены в </w:t>
      </w:r>
      <w:r w:rsidR="00067D76" w:rsidRPr="00067D76">
        <w:rPr>
          <w:b/>
          <w:i/>
          <w:u w:val="single"/>
        </w:rPr>
        <w:t xml:space="preserve"> </w:t>
      </w:r>
      <w:r w:rsidR="00C747B3">
        <w:rPr>
          <w:b/>
          <w:i/>
          <w:u w:val="single"/>
        </w:rPr>
        <w:t>приложении № 3</w:t>
      </w:r>
      <w:r w:rsidR="001E2931">
        <w:rPr>
          <w:b/>
          <w:i/>
          <w:u w:val="single"/>
        </w:rPr>
        <w:t>.</w:t>
      </w:r>
      <w:r w:rsidRPr="00820D23">
        <w:rPr>
          <w:b/>
          <w:i/>
          <w:u w:val="single"/>
        </w:rPr>
        <w:t xml:space="preserve"> </w:t>
      </w:r>
    </w:p>
    <w:p w14:paraId="0F9AF86C" w14:textId="77777777" w:rsidR="00014C0D" w:rsidRPr="00820D23" w:rsidRDefault="00014C0D" w:rsidP="00014C0D">
      <w:pPr>
        <w:ind w:firstLine="708"/>
        <w:jc w:val="both"/>
        <w:rPr>
          <w:b/>
          <w:i/>
          <w:u w:val="single"/>
        </w:rPr>
      </w:pPr>
    </w:p>
    <w:p w14:paraId="47391203" w14:textId="77777777" w:rsidR="006C16B5" w:rsidRDefault="00282B2E" w:rsidP="00282B2E">
      <w:pPr>
        <w:ind w:firstLine="708"/>
        <w:jc w:val="center"/>
        <w:rPr>
          <w:b/>
          <w:i/>
        </w:rPr>
      </w:pPr>
      <w:r>
        <w:rPr>
          <w:b/>
          <w:i/>
        </w:rPr>
        <w:t xml:space="preserve">3.2 </w:t>
      </w:r>
      <w:r w:rsidRPr="00A27310">
        <w:rPr>
          <w:b/>
          <w:i/>
        </w:rPr>
        <w:t>Общий объем расходов областного бюджета</w:t>
      </w:r>
      <w:r>
        <w:rPr>
          <w:b/>
          <w:i/>
        </w:rPr>
        <w:t xml:space="preserve"> </w:t>
      </w:r>
    </w:p>
    <w:p w14:paraId="7374E191" w14:textId="77777777" w:rsidR="00282B2E" w:rsidRPr="00A27310" w:rsidRDefault="00282B2E" w:rsidP="00282B2E">
      <w:pPr>
        <w:ind w:firstLine="708"/>
        <w:jc w:val="center"/>
        <w:rPr>
          <w:b/>
          <w:i/>
        </w:rPr>
      </w:pPr>
      <w:r>
        <w:rPr>
          <w:b/>
          <w:i/>
        </w:rPr>
        <w:t>на 202</w:t>
      </w:r>
      <w:r w:rsidR="00F7577E">
        <w:rPr>
          <w:b/>
          <w:i/>
        </w:rPr>
        <w:t>1</w:t>
      </w:r>
      <w:r>
        <w:rPr>
          <w:b/>
          <w:i/>
        </w:rPr>
        <w:t xml:space="preserve"> год</w:t>
      </w:r>
      <w:r w:rsidR="006C16B5">
        <w:rPr>
          <w:b/>
          <w:i/>
        </w:rPr>
        <w:t xml:space="preserve"> </w:t>
      </w:r>
      <w:r>
        <w:rPr>
          <w:b/>
          <w:i/>
        </w:rPr>
        <w:t>и плановый период 202</w:t>
      </w:r>
      <w:r w:rsidR="00F7577E">
        <w:rPr>
          <w:b/>
          <w:i/>
        </w:rPr>
        <w:t>2</w:t>
      </w:r>
      <w:r>
        <w:rPr>
          <w:b/>
          <w:i/>
        </w:rPr>
        <w:t xml:space="preserve"> и 202</w:t>
      </w:r>
      <w:r w:rsidR="00F7577E">
        <w:rPr>
          <w:b/>
          <w:i/>
        </w:rPr>
        <w:t>3</w:t>
      </w:r>
      <w:r>
        <w:rPr>
          <w:b/>
          <w:i/>
        </w:rPr>
        <w:t xml:space="preserve"> годов</w:t>
      </w:r>
      <w:r w:rsidR="006C16B5">
        <w:rPr>
          <w:b/>
          <w:i/>
        </w:rPr>
        <w:t xml:space="preserve"> </w:t>
      </w:r>
      <w:r w:rsidR="00176052">
        <w:rPr>
          <w:b/>
          <w:i/>
        </w:rPr>
        <w:t xml:space="preserve">и общий объем условно </w:t>
      </w:r>
      <w:r w:rsidR="00AF7935">
        <w:rPr>
          <w:b/>
          <w:i/>
        </w:rPr>
        <w:t>утверждаемых (</w:t>
      </w:r>
      <w:r w:rsidR="00176052">
        <w:rPr>
          <w:b/>
          <w:i/>
        </w:rPr>
        <w:t>утвержд</w:t>
      </w:r>
      <w:r w:rsidR="006C16B5">
        <w:rPr>
          <w:b/>
          <w:i/>
        </w:rPr>
        <w:t>енных</w:t>
      </w:r>
      <w:r w:rsidR="00AF7935">
        <w:rPr>
          <w:b/>
          <w:i/>
        </w:rPr>
        <w:t>)</w:t>
      </w:r>
      <w:r w:rsidR="00176052">
        <w:rPr>
          <w:b/>
          <w:i/>
        </w:rPr>
        <w:t xml:space="preserve"> расходов</w:t>
      </w:r>
    </w:p>
    <w:p w14:paraId="65FE67C4" w14:textId="77777777" w:rsidR="00F37740" w:rsidRDefault="00F37740" w:rsidP="00F37740">
      <w:pPr>
        <w:ind w:firstLine="680"/>
        <w:jc w:val="both"/>
        <w:rPr>
          <w:b/>
          <w:i/>
          <w:color w:val="000000"/>
        </w:rPr>
      </w:pPr>
    </w:p>
    <w:p w14:paraId="6BDFC036" w14:textId="77777777" w:rsidR="00012E8A" w:rsidRDefault="009033F9" w:rsidP="00012E8A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Традиционно в целях оценки достаточности бюджетных ассигнований</w:t>
      </w:r>
      <w:r w:rsidR="00E777FD">
        <w:rPr>
          <w:color w:val="000000"/>
        </w:rPr>
        <w:t xml:space="preserve"> по расходам</w:t>
      </w:r>
      <w:r>
        <w:rPr>
          <w:color w:val="000000"/>
        </w:rPr>
        <w:t xml:space="preserve">, предусмотренных проектом об областном бюджете на очередной финансовый год и плановый период, КСП в рамках экспертизы законопроекта проводит анализ реестра расходных обязательств Волгоградской области на указанный период. </w:t>
      </w:r>
    </w:p>
    <w:p w14:paraId="01DDDB0C" w14:textId="77777777" w:rsidR="009033F9" w:rsidRDefault="009033F9" w:rsidP="00CF4B2B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 xml:space="preserve">Проведенный анализ показал, что, как и в предыдущие годы, реестр расходных обязательств на 2021-2023 годы не </w:t>
      </w:r>
      <w:r w:rsidR="00012E8A">
        <w:rPr>
          <w:color w:val="000000"/>
        </w:rPr>
        <w:t xml:space="preserve">в полной мере </w:t>
      </w:r>
      <w:r>
        <w:rPr>
          <w:color w:val="000000"/>
        </w:rPr>
        <w:t xml:space="preserve">соответствуют требованиям </w:t>
      </w:r>
      <w:r w:rsidR="00012E8A">
        <w:rPr>
          <w:color w:val="000000"/>
        </w:rPr>
        <w:t>части 2 статьи 87</w:t>
      </w:r>
      <w:r>
        <w:rPr>
          <w:color w:val="000000"/>
        </w:rPr>
        <w:t xml:space="preserve"> БК РФ, согласно которой</w:t>
      </w:r>
      <w:r w:rsidR="00012E8A">
        <w:rPr>
          <w:color w:val="000000"/>
        </w:rPr>
        <w:t xml:space="preserve"> </w:t>
      </w:r>
      <w:r w:rsidR="00012E8A">
        <w:t>под</w:t>
      </w:r>
      <w:r w:rsidR="00012E8A" w:rsidRPr="00CE6398">
        <w:t xml:space="preserve"> реестр</w:t>
      </w:r>
      <w:r w:rsidR="00012E8A">
        <w:t>ом</w:t>
      </w:r>
      <w:r w:rsidR="00012E8A" w:rsidRPr="00CE6398">
        <w:t xml:space="preserve"> расходных обязательств субъекта РФ</w:t>
      </w:r>
      <w:r w:rsidR="00012E8A" w:rsidRPr="003D7783">
        <w:rPr>
          <w:rFonts w:eastAsiaTheme="minorHAnsi"/>
          <w:lang w:eastAsia="en-US"/>
        </w:rPr>
        <w:t xml:space="preserve"> </w:t>
      </w:r>
      <w:r w:rsidR="00012E8A">
        <w:rPr>
          <w:rFonts w:eastAsiaTheme="minorHAnsi"/>
          <w:lang w:eastAsia="en-US"/>
        </w:rPr>
        <w:t xml:space="preserve">понимается используемый при составлении проекта бюджета свод (перечень)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 </w:t>
      </w:r>
      <w:r w:rsidR="00012E8A" w:rsidRPr="00697BCC">
        <w:rPr>
          <w:rFonts w:eastAsiaTheme="minorHAnsi"/>
          <w:lang w:eastAsia="en-US"/>
        </w:rPr>
        <w:t>с оценкой объемов бюджетных ассигнований, необходимых для исполнения включенных в реестр обязательств.</w:t>
      </w:r>
      <w:r w:rsidR="00CF4B2B">
        <w:rPr>
          <w:rFonts w:eastAsiaTheme="minorHAnsi"/>
          <w:lang w:eastAsia="en-US"/>
        </w:rPr>
        <w:t xml:space="preserve"> </w:t>
      </w:r>
      <w:r w:rsidRPr="00E777FD">
        <w:rPr>
          <w:color w:val="000000"/>
          <w:u w:val="single"/>
        </w:rPr>
        <w:t>Объемы расходных обязательств Волгоградской области</w:t>
      </w:r>
      <w:r w:rsidR="00CF4B2B" w:rsidRPr="00E777FD">
        <w:rPr>
          <w:color w:val="000000"/>
          <w:u w:val="single"/>
        </w:rPr>
        <w:t xml:space="preserve"> в представленном реестре</w:t>
      </w:r>
      <w:r w:rsidRPr="00E777FD">
        <w:rPr>
          <w:color w:val="000000"/>
          <w:u w:val="single"/>
        </w:rPr>
        <w:t xml:space="preserve"> </w:t>
      </w:r>
      <w:r w:rsidR="00CF4B2B" w:rsidRPr="00E777FD">
        <w:rPr>
          <w:color w:val="000000"/>
          <w:u w:val="single"/>
        </w:rPr>
        <w:t xml:space="preserve">по годам </w:t>
      </w:r>
      <w:r w:rsidRPr="00E777FD">
        <w:rPr>
          <w:color w:val="000000"/>
          <w:u w:val="single"/>
        </w:rPr>
        <w:t>соответствуют расходам областного бюджета, предусмотренным законопроектом</w:t>
      </w:r>
      <w:r>
        <w:rPr>
          <w:color w:val="000000"/>
        </w:rPr>
        <w:t>, что</w:t>
      </w:r>
      <w:r w:rsidR="00496C8C">
        <w:rPr>
          <w:color w:val="000000"/>
        </w:rPr>
        <w:t>, по сути,</w:t>
      </w:r>
      <w:r>
        <w:rPr>
          <w:color w:val="000000"/>
        </w:rPr>
        <w:t xml:space="preserve"> свидетельствует об их «подгонке» </w:t>
      </w:r>
      <w:r w:rsidR="00CF4B2B">
        <w:rPr>
          <w:color w:val="000000"/>
        </w:rPr>
        <w:t>под</w:t>
      </w:r>
      <w:r>
        <w:rPr>
          <w:color w:val="000000"/>
        </w:rPr>
        <w:t xml:space="preserve"> финансовы</w:t>
      </w:r>
      <w:r w:rsidR="00CF4B2B">
        <w:rPr>
          <w:color w:val="000000"/>
        </w:rPr>
        <w:t>е</w:t>
      </w:r>
      <w:r>
        <w:rPr>
          <w:color w:val="000000"/>
        </w:rPr>
        <w:t xml:space="preserve"> возможност</w:t>
      </w:r>
      <w:r w:rsidR="00CF4B2B">
        <w:rPr>
          <w:color w:val="000000"/>
        </w:rPr>
        <w:t>и</w:t>
      </w:r>
      <w:r>
        <w:rPr>
          <w:color w:val="000000"/>
        </w:rPr>
        <w:t xml:space="preserve"> </w:t>
      </w:r>
      <w:r w:rsidR="00847378">
        <w:rPr>
          <w:color w:val="000000"/>
        </w:rPr>
        <w:t>проектируемого</w:t>
      </w:r>
      <w:r>
        <w:rPr>
          <w:color w:val="000000"/>
        </w:rPr>
        <w:t xml:space="preserve"> бюджета.</w:t>
      </w:r>
    </w:p>
    <w:p w14:paraId="3728FF8D" w14:textId="77777777" w:rsidR="00012E8A" w:rsidRPr="00697BCC" w:rsidRDefault="00012E8A" w:rsidP="00012E8A">
      <w:pPr>
        <w:pStyle w:val="a8"/>
        <w:ind w:left="0" w:firstLine="709"/>
        <w:jc w:val="both"/>
      </w:pPr>
      <w:r>
        <w:t>КСП</w:t>
      </w:r>
      <w:r w:rsidRPr="00697BCC">
        <w:t xml:space="preserve"> </w:t>
      </w:r>
      <w:r w:rsidR="00A67123">
        <w:t>считает</w:t>
      </w:r>
      <w:r w:rsidRPr="00697BCC">
        <w:t xml:space="preserve">, что базовым условием формирования «качественных» бюджетных показателей является предварительная проработка всеми участниками бюджетного процесса </w:t>
      </w:r>
      <w:r w:rsidRPr="00697BCC">
        <w:rPr>
          <w:u w:val="single"/>
        </w:rPr>
        <w:t xml:space="preserve">нормативных правовых актов, устанавливающих расходные обязательства, до начала рассмотрения проекта </w:t>
      </w:r>
      <w:r w:rsidRPr="00154D8D">
        <w:rPr>
          <w:u w:val="single"/>
        </w:rPr>
        <w:t>бюджета.</w:t>
      </w:r>
      <w:r w:rsidRPr="00154D8D">
        <w:t xml:space="preserve"> </w:t>
      </w:r>
      <w:r w:rsidR="00154D8D">
        <w:t xml:space="preserve">По нашему мнению, </w:t>
      </w:r>
      <w:r w:rsidR="00154D8D" w:rsidRPr="00154D8D">
        <w:rPr>
          <w:u w:val="single"/>
        </w:rPr>
        <w:t>э</w:t>
      </w:r>
      <w:r w:rsidRPr="00154D8D">
        <w:rPr>
          <w:u w:val="single"/>
        </w:rPr>
        <w:t>то</w:t>
      </w:r>
      <w:r w:rsidRPr="00437386">
        <w:rPr>
          <w:u w:val="single"/>
        </w:rPr>
        <w:t xml:space="preserve"> позволи</w:t>
      </w:r>
      <w:r w:rsidR="00E777FD">
        <w:rPr>
          <w:u w:val="single"/>
        </w:rPr>
        <w:t>ло бы</w:t>
      </w:r>
      <w:r w:rsidRPr="00437386">
        <w:rPr>
          <w:u w:val="single"/>
        </w:rPr>
        <w:t xml:space="preserve"> исключить </w:t>
      </w:r>
      <w:r w:rsidR="008A107E" w:rsidRPr="00437386">
        <w:rPr>
          <w:u w:val="single"/>
        </w:rPr>
        <w:t>возможность планирования бюджетных ассигновани</w:t>
      </w:r>
      <w:r w:rsidR="00154D8D">
        <w:rPr>
          <w:u w:val="single"/>
        </w:rPr>
        <w:t>й</w:t>
      </w:r>
      <w:r w:rsidR="008A107E" w:rsidRPr="00437386">
        <w:rPr>
          <w:u w:val="single"/>
        </w:rPr>
        <w:t xml:space="preserve"> «на глазок»</w:t>
      </w:r>
      <w:r w:rsidR="00154D8D">
        <w:rPr>
          <w:u w:val="single"/>
        </w:rPr>
        <w:t>, а также</w:t>
      </w:r>
      <w:r w:rsidR="008A107E" w:rsidRPr="00437386">
        <w:rPr>
          <w:u w:val="single"/>
        </w:rPr>
        <w:t xml:space="preserve"> </w:t>
      </w:r>
      <w:r w:rsidRPr="00437386">
        <w:rPr>
          <w:u w:val="single"/>
        </w:rPr>
        <w:t>риски принятия необоснованных решений в процессе рассмотрения</w:t>
      </w:r>
      <w:r w:rsidR="008A107E" w:rsidRPr="00437386">
        <w:rPr>
          <w:u w:val="single"/>
        </w:rPr>
        <w:t xml:space="preserve"> проекта бюджета</w:t>
      </w:r>
      <w:r w:rsidRPr="00437386">
        <w:rPr>
          <w:u w:val="single"/>
        </w:rPr>
        <w:t>.</w:t>
      </w:r>
      <w:r w:rsidRPr="00697BCC">
        <w:t xml:space="preserve"> </w:t>
      </w:r>
    </w:p>
    <w:p w14:paraId="3AE093CD" w14:textId="77777777" w:rsidR="00513ED5" w:rsidRDefault="00154D8D" w:rsidP="00513ED5">
      <w:pPr>
        <w:ind w:firstLine="680"/>
        <w:jc w:val="both"/>
        <w:rPr>
          <w:color w:val="000000"/>
        </w:rPr>
      </w:pPr>
      <w:r>
        <w:rPr>
          <w:color w:val="000000"/>
        </w:rPr>
        <w:t>Вместе с тем</w:t>
      </w:r>
      <w:r w:rsidR="00850F55">
        <w:rPr>
          <w:color w:val="000000"/>
        </w:rPr>
        <w:t xml:space="preserve"> анализ статей законопроекта, касающихся расходов </w:t>
      </w:r>
      <w:r w:rsidR="00513ED5">
        <w:rPr>
          <w:color w:val="000000"/>
        </w:rPr>
        <w:t xml:space="preserve">областного бюджета, показал, что из 35 </w:t>
      </w:r>
      <w:r>
        <w:rPr>
          <w:color w:val="000000"/>
        </w:rPr>
        <w:t>т</w:t>
      </w:r>
      <w:r w:rsidR="00513ED5">
        <w:rPr>
          <w:color w:val="000000"/>
        </w:rPr>
        <w:t>аких статей (статьи 7-30 и 32-42) лишь в 12, т. е. в одной трети, предусмотрены конкретные суммы планируемых ассигнований или сделана ссылка на соответствующее приложение, где указаны их общий объем и распределение по получателям. В остальных расходных статьях обозначен лишь главный распорядитель бюджетных средств</w:t>
      </w:r>
      <w:r w:rsidR="00E777FD">
        <w:rPr>
          <w:color w:val="000000"/>
        </w:rPr>
        <w:t xml:space="preserve"> и</w:t>
      </w:r>
      <w:r w:rsidR="00513ED5">
        <w:rPr>
          <w:color w:val="000000"/>
        </w:rPr>
        <w:t xml:space="preserve"> их назначение (например, статья </w:t>
      </w:r>
      <w:r w:rsidR="00437386">
        <w:rPr>
          <w:color w:val="000000"/>
        </w:rPr>
        <w:t>10 «Предусмотреть комитету по делам национальностей и казачества Волгоградской области в расходной части областного бюджета субсидии казачьим обществам, заключившим договор о несении членами казачьего общества государственной службы по охране общественного порядка на территории Волгоградской области»)</w:t>
      </w:r>
      <w:r>
        <w:rPr>
          <w:color w:val="000000"/>
        </w:rPr>
        <w:t>, а также</w:t>
      </w:r>
      <w:r w:rsidR="00437386">
        <w:rPr>
          <w:color w:val="000000"/>
        </w:rPr>
        <w:t xml:space="preserve"> указано, что «</w:t>
      </w:r>
      <w:r w:rsidR="00437386" w:rsidRPr="00177A51">
        <w:rPr>
          <w:color w:val="000000"/>
          <w:u w:val="single"/>
        </w:rPr>
        <w:t>порядок определения объема</w:t>
      </w:r>
      <w:r w:rsidR="00437386">
        <w:rPr>
          <w:color w:val="000000"/>
        </w:rPr>
        <w:t xml:space="preserve"> и предоставления указанных в настоящей статье субсидий устанавливается нормативным правовым актом высшего исполнительного органа государственной власти Волгоградской области».</w:t>
      </w:r>
      <w:r w:rsidR="00513ED5">
        <w:rPr>
          <w:color w:val="000000"/>
        </w:rPr>
        <w:t xml:space="preserve"> </w:t>
      </w:r>
      <w:r w:rsidR="00177A51">
        <w:rPr>
          <w:color w:val="000000"/>
        </w:rPr>
        <w:t xml:space="preserve">В связи с этим возникает обоснованный вопрос: каким образом в отсутствие утвержденного </w:t>
      </w:r>
      <w:r w:rsidR="00177A51" w:rsidRPr="00177A51">
        <w:rPr>
          <w:color w:val="000000"/>
        </w:rPr>
        <w:t>порядк</w:t>
      </w:r>
      <w:r w:rsidR="00177A51">
        <w:rPr>
          <w:color w:val="000000"/>
        </w:rPr>
        <w:t>а</w:t>
      </w:r>
      <w:r w:rsidR="00177A51" w:rsidRPr="00177A51">
        <w:rPr>
          <w:color w:val="000000"/>
        </w:rPr>
        <w:t xml:space="preserve"> определения объема</w:t>
      </w:r>
      <w:r w:rsidR="00177A51">
        <w:rPr>
          <w:color w:val="000000"/>
        </w:rPr>
        <w:t xml:space="preserve"> </w:t>
      </w:r>
      <w:r w:rsidR="00BE4CDA">
        <w:rPr>
          <w:color w:val="000000"/>
        </w:rPr>
        <w:t xml:space="preserve">расходов </w:t>
      </w:r>
      <w:r w:rsidR="00177A51">
        <w:rPr>
          <w:color w:val="000000"/>
        </w:rPr>
        <w:t xml:space="preserve">и </w:t>
      </w:r>
      <w:r w:rsidR="00177A51" w:rsidRPr="00BE4CDA">
        <w:t>расчетов</w:t>
      </w:r>
      <w:r w:rsidR="00BE4CDA">
        <w:t>, подготовленных главными распорядителями бюджетных средств</w:t>
      </w:r>
      <w:r w:rsidR="00177A51">
        <w:rPr>
          <w:color w:val="000000"/>
        </w:rPr>
        <w:t xml:space="preserve"> </w:t>
      </w:r>
      <w:r w:rsidR="00BE4CDA">
        <w:rPr>
          <w:color w:val="000000"/>
        </w:rPr>
        <w:t xml:space="preserve">по профильным </w:t>
      </w:r>
      <w:r w:rsidR="000B7C5C">
        <w:rPr>
          <w:color w:val="000000"/>
        </w:rPr>
        <w:t>им</w:t>
      </w:r>
      <w:r w:rsidR="000B7C5C" w:rsidRPr="000B7C5C">
        <w:rPr>
          <w:color w:val="000000"/>
        </w:rPr>
        <w:t xml:space="preserve"> </w:t>
      </w:r>
      <w:r w:rsidR="00BE4CDA">
        <w:rPr>
          <w:color w:val="000000"/>
        </w:rPr>
        <w:t xml:space="preserve">видам расходов, </w:t>
      </w:r>
      <w:r w:rsidR="00177A51">
        <w:rPr>
          <w:color w:val="000000"/>
        </w:rPr>
        <w:t>в законопроект</w:t>
      </w:r>
      <w:r w:rsidR="00BE4CDA">
        <w:rPr>
          <w:color w:val="000000"/>
        </w:rPr>
        <w:t>е</w:t>
      </w:r>
      <w:r w:rsidR="00177A51">
        <w:rPr>
          <w:color w:val="000000"/>
        </w:rPr>
        <w:t xml:space="preserve"> запланированы те или иные объемы бюджетных ассигнований?</w:t>
      </w:r>
      <w:r w:rsidR="00513ED5">
        <w:rPr>
          <w:color w:val="000000"/>
        </w:rPr>
        <w:t xml:space="preserve"> </w:t>
      </w:r>
    </w:p>
    <w:p w14:paraId="5492E634" w14:textId="77777777" w:rsidR="00513ED5" w:rsidRDefault="00230FDE" w:rsidP="00513ED5">
      <w:pPr>
        <w:ind w:firstLine="680"/>
        <w:jc w:val="both"/>
        <w:rPr>
          <w:color w:val="000000"/>
        </w:rPr>
      </w:pPr>
      <w:r>
        <w:rPr>
          <w:color w:val="000000"/>
        </w:rPr>
        <w:t xml:space="preserve">С целью оценки достаточности бюджетных ассигнований на конкретные виды расходов </w:t>
      </w:r>
      <w:r w:rsidR="003A601B">
        <w:rPr>
          <w:color w:val="000000"/>
        </w:rPr>
        <w:t xml:space="preserve">(в том числе и на социально значимые расходы) </w:t>
      </w:r>
      <w:r>
        <w:rPr>
          <w:color w:val="000000"/>
        </w:rPr>
        <w:t xml:space="preserve">в ходе проведения экспертизы проекта бюджета </w:t>
      </w:r>
      <w:r w:rsidR="000B7C5C">
        <w:rPr>
          <w:color w:val="000000"/>
        </w:rPr>
        <w:t xml:space="preserve">на очередной финансовый год КСП ежегодно </w:t>
      </w:r>
      <w:r w:rsidR="007036E9">
        <w:rPr>
          <w:color w:val="000000"/>
        </w:rPr>
        <w:t xml:space="preserve">направляет </w:t>
      </w:r>
      <w:r w:rsidR="000B7C5C">
        <w:rPr>
          <w:color w:val="000000"/>
        </w:rPr>
        <w:t>существенное</w:t>
      </w:r>
      <w:r w:rsidR="00EB313C">
        <w:rPr>
          <w:color w:val="000000"/>
        </w:rPr>
        <w:t xml:space="preserve"> количество</w:t>
      </w:r>
      <w:r>
        <w:rPr>
          <w:color w:val="000000"/>
        </w:rPr>
        <w:t xml:space="preserve"> </w:t>
      </w:r>
      <w:r w:rsidR="003A601B">
        <w:rPr>
          <w:color w:val="000000"/>
        </w:rPr>
        <w:lastRenderedPageBreak/>
        <w:t xml:space="preserve">дополнительных </w:t>
      </w:r>
      <w:r>
        <w:rPr>
          <w:color w:val="000000"/>
        </w:rPr>
        <w:t>запросов главным распорядителям бюджетных средств</w:t>
      </w:r>
      <w:r w:rsidR="003A601B">
        <w:rPr>
          <w:color w:val="000000"/>
        </w:rPr>
        <w:t>, в которых просит пред</w:t>
      </w:r>
      <w:r w:rsidR="007036E9">
        <w:rPr>
          <w:color w:val="000000"/>
        </w:rPr>
        <w:t>о</w:t>
      </w:r>
      <w:r w:rsidR="003A601B">
        <w:rPr>
          <w:color w:val="000000"/>
        </w:rPr>
        <w:t xml:space="preserve">ставить расчеты потребности в ассигнованиях на те или иные </w:t>
      </w:r>
      <w:r w:rsidR="007C6557">
        <w:rPr>
          <w:color w:val="000000"/>
        </w:rPr>
        <w:t>цели</w:t>
      </w:r>
      <w:r w:rsidR="003A601B">
        <w:rPr>
          <w:color w:val="000000"/>
        </w:rPr>
        <w:t>.</w:t>
      </w:r>
      <w:r w:rsidR="007C6557">
        <w:rPr>
          <w:color w:val="000000"/>
        </w:rPr>
        <w:t xml:space="preserve"> </w:t>
      </w:r>
      <w:r w:rsidR="007C6557" w:rsidRPr="005571B4">
        <w:rPr>
          <w:color w:val="000000"/>
          <w:u w:val="single"/>
        </w:rPr>
        <w:t xml:space="preserve">Отсутствие в </w:t>
      </w:r>
      <w:r w:rsidR="00B60D97" w:rsidRPr="005571B4">
        <w:rPr>
          <w:color w:val="000000"/>
          <w:u w:val="single"/>
        </w:rPr>
        <w:t xml:space="preserve">проекте </w:t>
      </w:r>
      <w:r w:rsidR="007C6557" w:rsidRPr="005571B4">
        <w:rPr>
          <w:color w:val="000000"/>
          <w:u w:val="single"/>
        </w:rPr>
        <w:t>закон</w:t>
      </w:r>
      <w:r w:rsidR="00B60D97" w:rsidRPr="005571B4">
        <w:rPr>
          <w:color w:val="000000"/>
          <w:u w:val="single"/>
        </w:rPr>
        <w:t>а</w:t>
      </w:r>
      <w:r w:rsidR="007C6557" w:rsidRPr="005571B4">
        <w:rPr>
          <w:color w:val="000000"/>
          <w:u w:val="single"/>
        </w:rPr>
        <w:t xml:space="preserve"> о бюджете конкретных сумм по </w:t>
      </w:r>
      <w:r w:rsidR="00B60D97" w:rsidRPr="005571B4">
        <w:rPr>
          <w:color w:val="000000"/>
          <w:u w:val="single"/>
        </w:rPr>
        <w:t xml:space="preserve">большей части </w:t>
      </w:r>
      <w:r w:rsidR="007C6557" w:rsidRPr="005571B4">
        <w:rPr>
          <w:color w:val="000000"/>
          <w:u w:val="single"/>
        </w:rPr>
        <w:t>расходов</w:t>
      </w:r>
      <w:r w:rsidR="00B60D97" w:rsidRPr="005571B4">
        <w:rPr>
          <w:color w:val="000000"/>
          <w:u w:val="single"/>
        </w:rPr>
        <w:t>,</w:t>
      </w:r>
      <w:r w:rsidR="007C6557" w:rsidRPr="005571B4">
        <w:rPr>
          <w:color w:val="000000"/>
          <w:u w:val="single"/>
        </w:rPr>
        <w:t xml:space="preserve"> а также </w:t>
      </w:r>
      <w:r w:rsidR="002275CA">
        <w:rPr>
          <w:color w:val="000000"/>
          <w:u w:val="single"/>
        </w:rPr>
        <w:t>отсутствие в материалах, представленных с законопроектом</w:t>
      </w:r>
      <w:r w:rsidR="009250E8">
        <w:rPr>
          <w:color w:val="000000"/>
          <w:u w:val="single"/>
        </w:rPr>
        <w:t>,</w:t>
      </w:r>
      <w:r w:rsidR="002275CA">
        <w:rPr>
          <w:color w:val="000000"/>
          <w:u w:val="single"/>
        </w:rPr>
        <w:t xml:space="preserve"> </w:t>
      </w:r>
      <w:r w:rsidR="007C6557" w:rsidRPr="007036E9">
        <w:rPr>
          <w:u w:val="single"/>
        </w:rPr>
        <w:t>расчетов</w:t>
      </w:r>
      <w:r w:rsidR="009250E8">
        <w:rPr>
          <w:u w:val="single"/>
        </w:rPr>
        <w:t>, подтвержденных</w:t>
      </w:r>
      <w:r w:rsidR="007036E9">
        <w:rPr>
          <w:u w:val="single"/>
        </w:rPr>
        <w:t xml:space="preserve"> профильны</w:t>
      </w:r>
      <w:r w:rsidR="009250E8">
        <w:rPr>
          <w:u w:val="single"/>
        </w:rPr>
        <w:t>ми</w:t>
      </w:r>
      <w:r w:rsidR="007036E9">
        <w:rPr>
          <w:u w:val="single"/>
        </w:rPr>
        <w:t xml:space="preserve"> комитет</w:t>
      </w:r>
      <w:r w:rsidR="009250E8">
        <w:rPr>
          <w:u w:val="single"/>
        </w:rPr>
        <w:t>ами,</w:t>
      </w:r>
      <w:r w:rsidR="007036E9">
        <w:rPr>
          <w:u w:val="single"/>
        </w:rPr>
        <w:t xml:space="preserve"> </w:t>
      </w:r>
      <w:r w:rsidR="007C6557" w:rsidRPr="005571B4">
        <w:rPr>
          <w:color w:val="000000"/>
          <w:u w:val="single"/>
        </w:rPr>
        <w:t>вносит значительную неопределенность в обоснованность и достаточность</w:t>
      </w:r>
      <w:r w:rsidR="009250E8">
        <w:rPr>
          <w:color w:val="000000"/>
          <w:u w:val="single"/>
        </w:rPr>
        <w:t xml:space="preserve"> </w:t>
      </w:r>
      <w:r w:rsidR="009250E8" w:rsidRPr="005571B4">
        <w:rPr>
          <w:color w:val="000000"/>
          <w:u w:val="single"/>
        </w:rPr>
        <w:t>запланированны</w:t>
      </w:r>
      <w:r w:rsidR="009250E8">
        <w:rPr>
          <w:color w:val="000000"/>
          <w:u w:val="single"/>
        </w:rPr>
        <w:t>х</w:t>
      </w:r>
      <w:r w:rsidR="009250E8" w:rsidRPr="005571B4">
        <w:rPr>
          <w:color w:val="000000"/>
          <w:u w:val="single"/>
        </w:rPr>
        <w:t xml:space="preserve"> в проекте</w:t>
      </w:r>
      <w:r w:rsidR="009250E8">
        <w:rPr>
          <w:color w:val="000000"/>
          <w:u w:val="single"/>
        </w:rPr>
        <w:t xml:space="preserve"> бюджетных </w:t>
      </w:r>
      <w:r w:rsidR="009250E8" w:rsidRPr="005571B4">
        <w:rPr>
          <w:color w:val="000000"/>
          <w:u w:val="single"/>
        </w:rPr>
        <w:t>ассигновани</w:t>
      </w:r>
      <w:r w:rsidR="009250E8">
        <w:rPr>
          <w:color w:val="000000"/>
          <w:u w:val="single"/>
        </w:rPr>
        <w:t>й</w:t>
      </w:r>
      <w:r w:rsidR="007C6557">
        <w:rPr>
          <w:color w:val="000000"/>
        </w:rPr>
        <w:t>.</w:t>
      </w:r>
    </w:p>
    <w:p w14:paraId="229644B7" w14:textId="77777777" w:rsidR="00230FDE" w:rsidRDefault="00230FDE" w:rsidP="00513ED5">
      <w:pPr>
        <w:ind w:firstLine="680"/>
        <w:jc w:val="both"/>
        <w:rPr>
          <w:color w:val="000000"/>
        </w:rPr>
      </w:pPr>
    </w:p>
    <w:p w14:paraId="79D6E290" w14:textId="77777777" w:rsidR="006C16B5" w:rsidRPr="006C16B5" w:rsidRDefault="006C16B5" w:rsidP="006C16B5">
      <w:pPr>
        <w:ind w:firstLine="709"/>
        <w:jc w:val="both"/>
        <w:outlineLvl w:val="0"/>
      </w:pPr>
      <w:r w:rsidRPr="006C16B5">
        <w:t xml:space="preserve">Законопроектом запланированы </w:t>
      </w:r>
      <w:r w:rsidRPr="00EB313C">
        <w:rPr>
          <w:b/>
          <w:i/>
        </w:rPr>
        <w:t>условно утвержденные расходы</w:t>
      </w:r>
      <w:r w:rsidRPr="006C16B5">
        <w:t xml:space="preserve"> на 2022 год в сумме 2187,8 млн. руб., на 2023 год в сумме 4698,3 млн. рублей.</w:t>
      </w:r>
    </w:p>
    <w:p w14:paraId="43BEB675" w14:textId="77777777" w:rsidR="006C16B5" w:rsidRPr="006C16B5" w:rsidRDefault="006C16B5" w:rsidP="006C16B5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C16B5">
        <w:t>Согласно п</w:t>
      </w:r>
      <w:r>
        <w:t xml:space="preserve">ункту </w:t>
      </w:r>
      <w:r w:rsidRPr="006C16B5">
        <w:t>3 ст</w:t>
      </w:r>
      <w:r>
        <w:t xml:space="preserve">атьи </w:t>
      </w:r>
      <w:r w:rsidRPr="006C16B5">
        <w:t>184.1 БК РФ</w:t>
      </w:r>
      <w:r w:rsidRPr="006C16B5">
        <w:rPr>
          <w:rFonts w:eastAsia="Calibri"/>
          <w:lang w:eastAsia="en-US"/>
        </w:rPr>
        <w:t xml:space="preserve"> общий объем условно утверждаемых  расходов в случае утверждения бюджета на очередной финансовый год и плановый период </w:t>
      </w:r>
      <w:r w:rsidRPr="001D4F6E">
        <w:rPr>
          <w:rFonts w:eastAsia="Calibri"/>
          <w:lang w:eastAsia="en-US"/>
        </w:rPr>
        <w:t xml:space="preserve">на первый год планового периода </w:t>
      </w:r>
      <w:r w:rsidRPr="006C16B5">
        <w:rPr>
          <w:rFonts w:eastAsia="Calibri"/>
          <w:lang w:eastAsia="en-US"/>
        </w:rPr>
        <w:t xml:space="preserve">утверждается в объеме не менее 2,5%, </w:t>
      </w:r>
      <w:r w:rsidRPr="001D4F6E">
        <w:rPr>
          <w:rFonts w:eastAsia="Calibri"/>
          <w:lang w:eastAsia="en-US"/>
        </w:rPr>
        <w:t xml:space="preserve">на второй год планового периода </w:t>
      </w:r>
      <w:r w:rsidRPr="006C16B5">
        <w:rPr>
          <w:rFonts w:eastAsia="Calibri"/>
          <w:lang w:eastAsia="en-US"/>
        </w:rPr>
        <w:t>не менее 5% общего объема расходов бюджета (без учета расходов бюджета, предусмотренных за счет межбюджетных трансфертов из других бюджетов бюджетной системы РФ, имеющих целевое назначение).</w:t>
      </w:r>
    </w:p>
    <w:p w14:paraId="066A81FF" w14:textId="77777777" w:rsidR="006C16B5" w:rsidRDefault="006C16B5" w:rsidP="006C16B5">
      <w:pPr>
        <w:ind w:firstLine="709"/>
        <w:jc w:val="both"/>
        <w:outlineLvl w:val="0"/>
      </w:pPr>
      <w:r w:rsidRPr="006C16B5">
        <w:t>С учетом этого для определения объема условно утвержд</w:t>
      </w:r>
      <w:r w:rsidR="001D4F6E">
        <w:t>е</w:t>
      </w:r>
      <w:r w:rsidRPr="006C16B5">
        <w:t xml:space="preserve">нных расходов на 2022 год из общего объема предусмотренных расходов в сумме  119719,6 млн. руб. исключены </w:t>
      </w:r>
      <w:r w:rsidRPr="006C16B5">
        <w:rPr>
          <w:rFonts w:eastAsia="Calibri"/>
          <w:lang w:eastAsia="en-US"/>
        </w:rPr>
        <w:t>межбюджетные трансферты, имеющие целевое назначение</w:t>
      </w:r>
      <w:r w:rsidR="001D4F6E">
        <w:rPr>
          <w:rFonts w:eastAsia="Calibri"/>
          <w:lang w:eastAsia="en-US"/>
        </w:rPr>
        <w:t>, -</w:t>
      </w:r>
      <w:r w:rsidRPr="006C16B5">
        <w:rPr>
          <w:rFonts w:eastAsia="Calibri"/>
          <w:color w:val="FF0000"/>
          <w:lang w:eastAsia="en-US"/>
        </w:rPr>
        <w:t xml:space="preserve"> </w:t>
      </w:r>
      <w:r w:rsidRPr="006C16B5">
        <w:rPr>
          <w:rFonts w:eastAsia="Calibri"/>
          <w:lang w:eastAsia="en-US"/>
        </w:rPr>
        <w:t xml:space="preserve">32486,2 млн. руб., на </w:t>
      </w:r>
      <w:r w:rsidRPr="006C16B5">
        <w:rPr>
          <w:bCs/>
        </w:rPr>
        <w:t xml:space="preserve">2023 год </w:t>
      </w:r>
      <w:r w:rsidRPr="006C16B5">
        <w:t xml:space="preserve">из общего объема предусмотренных расходов в сумме 117466,3 млн. руб. исключены </w:t>
      </w:r>
      <w:r w:rsidRPr="006C16B5">
        <w:rPr>
          <w:rFonts w:eastAsia="Calibri"/>
          <w:lang w:eastAsia="en-US"/>
        </w:rPr>
        <w:t>межбюджетные трансферты, имеющие целевое назначение</w:t>
      </w:r>
      <w:r w:rsidR="001D4F6E">
        <w:rPr>
          <w:rFonts w:eastAsia="Calibri"/>
          <w:lang w:eastAsia="en-US"/>
        </w:rPr>
        <w:t>,</w:t>
      </w:r>
      <w:r w:rsidRPr="006C16B5">
        <w:rPr>
          <w:rFonts w:eastAsia="Calibri"/>
          <w:lang w:eastAsia="en-US"/>
        </w:rPr>
        <w:t xml:space="preserve"> в сумме 24342,9 млн. рублей. </w:t>
      </w:r>
      <w:r w:rsidR="0079224B">
        <w:rPr>
          <w:rFonts w:eastAsia="Calibri"/>
          <w:lang w:eastAsia="en-US"/>
        </w:rPr>
        <w:t xml:space="preserve">В результате </w:t>
      </w:r>
      <w:r w:rsidR="0079224B" w:rsidRPr="0079224B">
        <w:rPr>
          <w:rFonts w:eastAsia="Calibri"/>
          <w:u w:val="single"/>
          <w:lang w:eastAsia="en-US"/>
        </w:rPr>
        <w:t>н</w:t>
      </w:r>
      <w:r w:rsidRPr="0079224B">
        <w:rPr>
          <w:rFonts w:eastAsia="Calibri"/>
          <w:u w:val="single"/>
          <w:lang w:eastAsia="en-US"/>
        </w:rPr>
        <w:t xml:space="preserve">орматив, предусмотренный на условно </w:t>
      </w:r>
      <w:r w:rsidRPr="0079224B">
        <w:rPr>
          <w:u w:val="single"/>
        </w:rPr>
        <w:t>утвержд</w:t>
      </w:r>
      <w:r w:rsidR="001D4F6E" w:rsidRPr="0079224B">
        <w:rPr>
          <w:u w:val="single"/>
        </w:rPr>
        <w:t>е</w:t>
      </w:r>
      <w:r w:rsidRPr="0079224B">
        <w:rPr>
          <w:u w:val="single"/>
        </w:rPr>
        <w:t>нные расходы, соблюден</w:t>
      </w:r>
      <w:r w:rsidRPr="006C16B5">
        <w:t>.</w:t>
      </w:r>
    </w:p>
    <w:p w14:paraId="3F09BECC" w14:textId="77777777" w:rsidR="006C16B5" w:rsidRPr="006C16B5" w:rsidRDefault="006C16B5" w:rsidP="006C16B5">
      <w:pPr>
        <w:ind w:firstLine="709"/>
        <w:jc w:val="both"/>
        <w:outlineLvl w:val="0"/>
        <w:rPr>
          <w:rFonts w:eastAsia="Calibri"/>
          <w:lang w:eastAsia="en-US"/>
        </w:rPr>
      </w:pPr>
    </w:p>
    <w:p w14:paraId="73E9638F" w14:textId="77777777" w:rsidR="00D66C74" w:rsidRDefault="00A80B47" w:rsidP="003D69E3">
      <w:pPr>
        <w:ind w:firstLine="680"/>
        <w:jc w:val="center"/>
        <w:rPr>
          <w:b/>
          <w:i/>
        </w:rPr>
      </w:pPr>
      <w:r>
        <w:rPr>
          <w:b/>
          <w:i/>
        </w:rPr>
        <w:t xml:space="preserve">З.3. </w:t>
      </w:r>
      <w:r w:rsidR="00D66C74">
        <w:rPr>
          <w:b/>
          <w:i/>
        </w:rPr>
        <w:t>Дефицит (профицит) областного бюджета, программа государственных внутренних заимствовани</w:t>
      </w:r>
      <w:r w:rsidR="003D69E3">
        <w:rPr>
          <w:b/>
          <w:i/>
        </w:rPr>
        <w:t>й Волгоградской области</w:t>
      </w:r>
    </w:p>
    <w:p w14:paraId="5B9D61C7" w14:textId="77777777" w:rsidR="007765CC" w:rsidRDefault="007765CC" w:rsidP="00D66C74">
      <w:pPr>
        <w:jc w:val="center"/>
        <w:rPr>
          <w:b/>
          <w:i/>
        </w:rPr>
      </w:pPr>
    </w:p>
    <w:p w14:paraId="3FBD00CF" w14:textId="77777777" w:rsidR="00572F04" w:rsidRDefault="00572F04" w:rsidP="00572F04">
      <w:pPr>
        <w:ind w:firstLine="709"/>
        <w:jc w:val="both"/>
      </w:pPr>
      <w:r>
        <w:t xml:space="preserve">Проект областного бюджета на 2021 год сформирован с дефицитом, на 2022-2023 годы </w:t>
      </w:r>
      <w:r w:rsidR="000613C6">
        <w:t>-</w:t>
      </w:r>
      <w:r>
        <w:t xml:space="preserve"> с профицитом.</w:t>
      </w:r>
    </w:p>
    <w:p w14:paraId="50D4E628" w14:textId="77777777" w:rsidR="00572F04" w:rsidRDefault="00572F04" w:rsidP="00572F04">
      <w:pPr>
        <w:ind w:firstLine="709"/>
        <w:jc w:val="both"/>
      </w:pPr>
      <w:r>
        <w:t xml:space="preserve">Структура источников внутреннего финансирования дефицита бюджета приведена в приложении 23 к </w:t>
      </w:r>
      <w:r w:rsidR="002206B2">
        <w:t>з</w:t>
      </w:r>
      <w:r>
        <w:t>аконопроекту.</w:t>
      </w:r>
    </w:p>
    <w:p w14:paraId="128E6806" w14:textId="77777777" w:rsidR="00572F04" w:rsidRDefault="00572F04" w:rsidP="00572F04">
      <w:pPr>
        <w:ind w:firstLine="709"/>
        <w:jc w:val="both"/>
      </w:pPr>
      <w:r>
        <w:t>Основные параметры областного бюджета и источники финансирования дефицита бюджета на 2021-2023 годы приведены в следующей таблице.</w:t>
      </w:r>
    </w:p>
    <w:p w14:paraId="7C395956" w14:textId="77777777" w:rsidR="00572F04" w:rsidRPr="002206B2" w:rsidRDefault="00572F04" w:rsidP="00572F04">
      <w:pPr>
        <w:ind w:left="7788" w:firstLine="708"/>
        <w:jc w:val="both"/>
        <w:rPr>
          <w:sz w:val="22"/>
          <w:szCs w:val="22"/>
        </w:rPr>
      </w:pPr>
      <w:r w:rsidRPr="002206B2">
        <w:rPr>
          <w:sz w:val="22"/>
          <w:szCs w:val="22"/>
        </w:rPr>
        <w:t xml:space="preserve">   млн. руб.</w:t>
      </w:r>
    </w:p>
    <w:tbl>
      <w:tblPr>
        <w:tblW w:w="9662" w:type="dxa"/>
        <w:tblInd w:w="85" w:type="dxa"/>
        <w:tblLook w:val="04A0" w:firstRow="1" w:lastRow="0" w:firstColumn="1" w:lastColumn="0" w:noHBand="0" w:noVBand="1"/>
      </w:tblPr>
      <w:tblGrid>
        <w:gridCol w:w="4985"/>
        <w:gridCol w:w="1134"/>
        <w:gridCol w:w="1275"/>
        <w:gridCol w:w="1134"/>
        <w:gridCol w:w="1134"/>
      </w:tblGrid>
      <w:tr w:rsidR="00572F04" w14:paraId="7900A8C8" w14:textId="77777777" w:rsidTr="007013FB">
        <w:trPr>
          <w:trHeight w:val="317"/>
        </w:trPr>
        <w:tc>
          <w:tcPr>
            <w:tcW w:w="498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EAF1DD"/>
            <w:vAlign w:val="center"/>
            <w:hideMark/>
          </w:tcPr>
          <w:p w14:paraId="3F252A0F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0FCB57FF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2020 год (оценка)</w:t>
            </w:r>
          </w:p>
        </w:tc>
        <w:tc>
          <w:tcPr>
            <w:tcW w:w="3543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EAF1DD"/>
            <w:vAlign w:val="center"/>
            <w:hideMark/>
          </w:tcPr>
          <w:p w14:paraId="06FB7D40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Проект на 2021-2023 годы</w:t>
            </w:r>
          </w:p>
        </w:tc>
      </w:tr>
      <w:tr w:rsidR="00572F04" w14:paraId="74B81EDB" w14:textId="77777777" w:rsidTr="007013FB">
        <w:trPr>
          <w:trHeight w:val="315"/>
        </w:trPr>
        <w:tc>
          <w:tcPr>
            <w:tcW w:w="0" w:type="auto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29580B20" w14:textId="77777777" w:rsidR="00572F04" w:rsidRDefault="00572F04" w:rsidP="007013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31AF97E1" w14:textId="77777777" w:rsidR="00572F04" w:rsidRDefault="00572F04" w:rsidP="007013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386250A1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2EBC0BAD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EAF1DD"/>
            <w:vAlign w:val="center"/>
            <w:hideMark/>
          </w:tcPr>
          <w:p w14:paraId="7F18C7DB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</w:tr>
      <w:tr w:rsidR="00572F04" w14:paraId="43C765E4" w14:textId="77777777" w:rsidTr="007013FB">
        <w:trPr>
          <w:trHeight w:val="20"/>
        </w:trPr>
        <w:tc>
          <w:tcPr>
            <w:tcW w:w="49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B2F7" w14:textId="77777777" w:rsidR="00572F04" w:rsidRDefault="00572F04" w:rsidP="007013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Доходы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28DDD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125 481,4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932DA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123 994,7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08752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121 019,6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2594427C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119 466,3</w:t>
            </w:r>
          </w:p>
        </w:tc>
      </w:tr>
      <w:tr w:rsidR="00572F04" w14:paraId="7635B062" w14:textId="77777777" w:rsidTr="007013FB">
        <w:trPr>
          <w:trHeight w:val="20"/>
        </w:trPr>
        <w:tc>
          <w:tcPr>
            <w:tcW w:w="49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CA34F" w14:textId="77777777" w:rsidR="00572F04" w:rsidRDefault="00572F04" w:rsidP="007013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31F27A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130 381,4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017ED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129 710,0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9E42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119 719,6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2B4E4EE7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117 466,3</w:t>
            </w:r>
          </w:p>
        </w:tc>
      </w:tr>
      <w:tr w:rsidR="00572F04" w14:paraId="01873263" w14:textId="77777777" w:rsidTr="007013FB">
        <w:trPr>
          <w:trHeight w:val="20"/>
        </w:trPr>
        <w:tc>
          <w:tcPr>
            <w:tcW w:w="49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C8FD9" w14:textId="77777777" w:rsidR="00572F04" w:rsidRDefault="00572F04" w:rsidP="007013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Дефицит (-), профицит (+)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72F34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- 4 900,0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AC0A5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- 5 715,3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D6337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62416B1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2 000,0</w:t>
            </w:r>
          </w:p>
        </w:tc>
      </w:tr>
      <w:tr w:rsidR="00572F04" w14:paraId="18820EA9" w14:textId="77777777" w:rsidTr="007013FB">
        <w:trPr>
          <w:trHeight w:val="20"/>
        </w:trPr>
        <w:tc>
          <w:tcPr>
            <w:tcW w:w="49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4A847" w14:textId="77777777" w:rsidR="00572F04" w:rsidRDefault="00572F04" w:rsidP="007013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Источники внутреннего  финансирования дефицита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7AFE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4 900,0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3475A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5 715,3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522CE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- 1 300,0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015343F" w14:textId="77777777" w:rsidR="00572F04" w:rsidRDefault="00572F04" w:rsidP="00C02CF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- 2 000,0</w:t>
            </w:r>
          </w:p>
        </w:tc>
      </w:tr>
      <w:tr w:rsidR="00572F04" w14:paraId="0E71764E" w14:textId="77777777" w:rsidTr="007013FB">
        <w:trPr>
          <w:trHeight w:val="20"/>
        </w:trPr>
        <w:tc>
          <w:tcPr>
            <w:tcW w:w="49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1E98" w14:textId="77777777" w:rsidR="00572F04" w:rsidRDefault="00572F04" w:rsidP="007013F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 т. ч. за счет: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85B5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15E73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389F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9A5F33F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72F04" w14:paraId="514B8AC0" w14:textId="77777777" w:rsidTr="007013FB">
        <w:trPr>
          <w:trHeight w:val="20"/>
        </w:trPr>
        <w:tc>
          <w:tcPr>
            <w:tcW w:w="49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44D94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-заимствований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0E5EE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1BA04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4 030,6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A3480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- 1 369,4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67BCCE84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-2 069,4</w:t>
            </w:r>
          </w:p>
        </w:tc>
      </w:tr>
      <w:tr w:rsidR="00572F04" w14:paraId="117F9227" w14:textId="77777777" w:rsidTr="007013FB">
        <w:trPr>
          <w:trHeight w:val="20"/>
        </w:trPr>
        <w:tc>
          <w:tcPr>
            <w:tcW w:w="4985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B7B2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-изменения остатков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22099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6DDD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8A0C9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14:paraId="103D0F45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69,4</w:t>
            </w:r>
          </w:p>
        </w:tc>
      </w:tr>
      <w:tr w:rsidR="00572F04" w14:paraId="2BC8A54C" w14:textId="77777777" w:rsidTr="007013FB">
        <w:trPr>
          <w:trHeight w:val="20"/>
        </w:trPr>
        <w:tc>
          <w:tcPr>
            <w:tcW w:w="4985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66168B9A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-иных источников 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vAlign w:val="center"/>
            <w:hideMark/>
          </w:tcPr>
          <w:p w14:paraId="09F67DF2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A6F13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1 615,3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9414A7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14:paraId="15E921F6" w14:textId="77777777" w:rsidR="00572F04" w:rsidRDefault="00572F04" w:rsidP="00C02C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14:paraId="4B7A20A9" w14:textId="77777777" w:rsidR="00572F04" w:rsidRDefault="002206B2" w:rsidP="00572F04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</w:p>
    <w:p w14:paraId="2743DB3F" w14:textId="77777777" w:rsidR="00572F04" w:rsidRDefault="00572F04" w:rsidP="00572F04">
      <w:pPr>
        <w:ind w:firstLine="709"/>
        <w:jc w:val="both"/>
      </w:pPr>
      <w:r>
        <w:t xml:space="preserve">Исполнение областного бюджета в 2020 году ожидается с дефицитом в сумме 4900 млн. рублей. Дефицит </w:t>
      </w:r>
      <w:r w:rsidR="002206B2">
        <w:t xml:space="preserve">бюджета </w:t>
      </w:r>
      <w:r>
        <w:t>в 2021 году запланирован в сумме 5715,3 млн. руб</w:t>
      </w:r>
      <w:r w:rsidR="002206B2">
        <w:t>., что составляет</w:t>
      </w:r>
      <w:r>
        <w:t xml:space="preserve"> 7,3% </w:t>
      </w:r>
      <w:r w:rsidR="002206B2">
        <w:t xml:space="preserve">от </w:t>
      </w:r>
      <w:r>
        <w:t>общего годового объема доходов областного бюджета без учета объема безвозмездных поступлений</w:t>
      </w:r>
      <w:r w:rsidR="002206B2">
        <w:t xml:space="preserve"> и</w:t>
      </w:r>
      <w:r>
        <w:t xml:space="preserve"> не превышает ограничения, установленные пунктом 2 статьи 92.1 БК РФ (не более 15 процентов).</w:t>
      </w:r>
    </w:p>
    <w:p w14:paraId="713ED048" w14:textId="77777777" w:rsidR="00572F04" w:rsidRDefault="00572F04" w:rsidP="00572F04">
      <w:pPr>
        <w:autoSpaceDE w:val="0"/>
        <w:autoSpaceDN w:val="0"/>
        <w:adjustRightInd w:val="0"/>
        <w:ind w:firstLine="709"/>
        <w:jc w:val="both"/>
      </w:pPr>
      <w:r>
        <w:t xml:space="preserve">В составе источников внутреннего финансирования дефицита областного бюджета на 2021 год помимо разницы между привлеченными и погашенными заемными средствами и </w:t>
      </w:r>
      <w:r>
        <w:lastRenderedPageBreak/>
        <w:t>измене</w:t>
      </w:r>
      <w:r w:rsidR="00D0185B">
        <w:t xml:space="preserve">ния остатков средств на счетах </w:t>
      </w:r>
      <w:r>
        <w:t>областного бюджета в течение финансового года предусмотрены иные источники внутреннего финансирования дефицита бюджета.</w:t>
      </w:r>
    </w:p>
    <w:p w14:paraId="11C9568A" w14:textId="77777777" w:rsidR="00572F04" w:rsidRDefault="00572F04" w:rsidP="00572F04">
      <w:pPr>
        <w:ind w:firstLine="709"/>
        <w:jc w:val="both"/>
      </w:pPr>
      <w:r>
        <w:t xml:space="preserve">В </w:t>
      </w:r>
      <w:r w:rsidR="00D0185B">
        <w:t>разделе 4 пояснительной записки</w:t>
      </w:r>
      <w:r>
        <w:t xml:space="preserve"> к </w:t>
      </w:r>
      <w:r w:rsidR="00D0185B">
        <w:t>з</w:t>
      </w:r>
      <w:r>
        <w:t>аконопроекту</w:t>
      </w:r>
      <w:r w:rsidR="00D0185B">
        <w:t xml:space="preserve"> «</w:t>
      </w:r>
      <w:r>
        <w:t>ины</w:t>
      </w:r>
      <w:r w:rsidR="00D0185B">
        <w:t>е</w:t>
      </w:r>
      <w:r>
        <w:t xml:space="preserve"> источник</w:t>
      </w:r>
      <w:r w:rsidR="00D0185B">
        <w:t>и» конкретизированы</w:t>
      </w:r>
      <w:r>
        <w:t xml:space="preserve"> </w:t>
      </w:r>
      <w:r w:rsidR="00D0185B">
        <w:t>–</w:t>
      </w:r>
      <w:r>
        <w:t xml:space="preserve"> </w:t>
      </w:r>
      <w:r w:rsidR="00D0185B">
        <w:t>и</w:t>
      </w:r>
      <w:r w:rsidR="00E339EF">
        <w:t>м</w:t>
      </w:r>
      <w:r w:rsidR="00D0185B">
        <w:t xml:space="preserve">и является </w:t>
      </w:r>
      <w:r>
        <w:t>«разница между средствами, перечисленными с единого счета по учету средств бюджета субъекта РФ, и средствами, зачисленными на единый счет по учету средств бюджета субъекта РФ, при проведении операций по управлению остатками средств на едином счете по учету средств бюджета субъекта РФ».</w:t>
      </w:r>
    </w:p>
    <w:p w14:paraId="7409B3B0" w14:textId="77777777" w:rsidR="00572F04" w:rsidRPr="003A6FDC" w:rsidRDefault="00572F04" w:rsidP="00572F04">
      <w:pPr>
        <w:ind w:firstLine="709"/>
        <w:jc w:val="both"/>
        <w:rPr>
          <w:u w:val="single"/>
        </w:rPr>
      </w:pPr>
      <w:r>
        <w:t xml:space="preserve">В ходе экспертизы </w:t>
      </w:r>
      <w:r w:rsidR="003A6FDC">
        <w:t>з</w:t>
      </w:r>
      <w:r>
        <w:t xml:space="preserve">аконопроекта установлено, что </w:t>
      </w:r>
      <w:r w:rsidRPr="003A6FDC">
        <w:rPr>
          <w:u w:val="single"/>
        </w:rPr>
        <w:t xml:space="preserve">в качестве иного источника предполагается привлечение на единый счет </w:t>
      </w:r>
      <w:r w:rsidR="003A6FDC" w:rsidRPr="003A6FDC">
        <w:rPr>
          <w:u w:val="single"/>
        </w:rPr>
        <w:t xml:space="preserve">областного </w:t>
      </w:r>
      <w:r w:rsidRPr="003A6FDC">
        <w:rPr>
          <w:u w:val="single"/>
        </w:rPr>
        <w:t>бюджета остатков средств бюджетных и автономных учреждений</w:t>
      </w:r>
      <w:r w:rsidR="00F56DE4">
        <w:rPr>
          <w:u w:val="single"/>
        </w:rPr>
        <w:t xml:space="preserve"> Волгоградской области</w:t>
      </w:r>
      <w:r w:rsidRPr="003A6FDC">
        <w:rPr>
          <w:u w:val="single"/>
        </w:rPr>
        <w:t>.</w:t>
      </w:r>
      <w:r w:rsidRPr="00E339EF">
        <w:t xml:space="preserve"> </w:t>
      </w:r>
      <w:r w:rsidR="00E339EF" w:rsidRPr="00E339EF">
        <w:t>Данный источник</w:t>
      </w:r>
      <w:r w:rsidR="00E339EF">
        <w:t xml:space="preserve"> до 2021 года не планировался в составе </w:t>
      </w:r>
      <w:r w:rsidR="00F56DE4">
        <w:t xml:space="preserve">утвержденных </w:t>
      </w:r>
      <w:r w:rsidR="00E339EF">
        <w:t xml:space="preserve">источников внутреннего финансирования </w:t>
      </w:r>
      <w:r w:rsidR="00F56DE4">
        <w:t xml:space="preserve">дефицита </w:t>
      </w:r>
      <w:r w:rsidR="00E339EF">
        <w:t>областного бюджета, но фактически активно использовался комитетом финансов Волгоградской области, о чем КСП отмечала в своих экспертных заключениях на отчеты Администрации Волгоградской области об исполнении областного бюджета. В настоящем заключении информация по данному вопросу более подробно изложена</w:t>
      </w:r>
      <w:r w:rsidR="00F56DE4">
        <w:t xml:space="preserve"> в разделе «Концепция проекта закона Волгоградской области об областном бюджете на 2021 год и плановый период 2022 и 2023 годов».</w:t>
      </w:r>
      <w:r w:rsidR="00E339EF">
        <w:rPr>
          <w:u w:val="single"/>
        </w:rPr>
        <w:t xml:space="preserve"> </w:t>
      </w:r>
    </w:p>
    <w:p w14:paraId="333F52AF" w14:textId="77777777" w:rsidR="00F56DE4" w:rsidRDefault="00F56DE4" w:rsidP="00572F04">
      <w:pPr>
        <w:ind w:firstLine="709"/>
        <w:jc w:val="both"/>
        <w:rPr>
          <w:b/>
          <w:i/>
        </w:rPr>
      </w:pPr>
    </w:p>
    <w:p w14:paraId="1F53E535" w14:textId="77777777" w:rsidR="00572F04" w:rsidRDefault="00572F04" w:rsidP="00572F04">
      <w:pPr>
        <w:ind w:firstLine="709"/>
        <w:jc w:val="both"/>
      </w:pPr>
      <w:r w:rsidRPr="00156B59">
        <w:rPr>
          <w:b/>
          <w:i/>
        </w:rPr>
        <w:t>Программа государственных внутренних заимствований Волгоградской области</w:t>
      </w:r>
      <w:r>
        <w:t xml:space="preserve"> на 2021 год и плановый период 2022 и 2023 годов</w:t>
      </w:r>
      <w:r w:rsidR="00156B59">
        <w:t>,</w:t>
      </w:r>
      <w:r>
        <w:t xml:space="preserve"> предлагае</w:t>
      </w:r>
      <w:r w:rsidR="00156B59">
        <w:t>мая</w:t>
      </w:r>
      <w:r>
        <w:t xml:space="preserve"> к утверждению</w:t>
      </w:r>
      <w:r w:rsidR="00156B59">
        <w:t>, представлена в</w:t>
      </w:r>
      <w:r>
        <w:t xml:space="preserve"> приложени</w:t>
      </w:r>
      <w:r w:rsidR="00156B59">
        <w:t xml:space="preserve">и </w:t>
      </w:r>
      <w:r>
        <w:t xml:space="preserve">22 к </w:t>
      </w:r>
      <w:r w:rsidR="00156B59">
        <w:t>з</w:t>
      </w:r>
      <w:r>
        <w:t>аконопроекту и в следующей таблице.</w:t>
      </w:r>
    </w:p>
    <w:p w14:paraId="708CEFBA" w14:textId="77777777" w:rsidR="00572F04" w:rsidRPr="009B79E1" w:rsidRDefault="00572F04" w:rsidP="00572F04">
      <w:pPr>
        <w:ind w:firstLine="708"/>
        <w:jc w:val="right"/>
        <w:rPr>
          <w:sz w:val="20"/>
          <w:szCs w:val="20"/>
        </w:rPr>
      </w:pPr>
      <w:r w:rsidRPr="009B79E1">
        <w:rPr>
          <w:sz w:val="20"/>
          <w:szCs w:val="20"/>
        </w:rPr>
        <w:t>млн. руб.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993"/>
        <w:gridCol w:w="993"/>
        <w:gridCol w:w="1275"/>
        <w:gridCol w:w="993"/>
        <w:gridCol w:w="1275"/>
        <w:gridCol w:w="993"/>
        <w:gridCol w:w="1416"/>
      </w:tblGrid>
      <w:tr w:rsidR="00572F04" w14:paraId="50DE7BDC" w14:textId="77777777" w:rsidTr="007013FB">
        <w:trPr>
          <w:trHeight w:val="20"/>
        </w:trPr>
        <w:tc>
          <w:tcPr>
            <w:tcW w:w="2127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69D5ABBA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Вид заимствований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4529F3D5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2020 год </w:t>
            </w:r>
          </w:p>
          <w:p w14:paraId="757C167B" w14:textId="77777777" w:rsidR="00572F04" w:rsidRDefault="00572F04" w:rsidP="00F4771E">
            <w:pPr>
              <w:ind w:left="-57" w:right="-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(утвержд</w:t>
            </w:r>
            <w:r w:rsidR="00F4771E">
              <w:rPr>
                <w:b/>
                <w:bCs/>
                <w:color w:val="000000"/>
                <w:sz w:val="18"/>
                <w:szCs w:val="18"/>
              </w:rPr>
              <w:t>ено в бюджете</w:t>
            </w:r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3477604D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2268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62B627F0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2409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EAF1DD"/>
            <w:vAlign w:val="center"/>
            <w:hideMark/>
          </w:tcPr>
          <w:p w14:paraId="01270459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2023 год</w:t>
            </w:r>
          </w:p>
        </w:tc>
      </w:tr>
      <w:tr w:rsidR="00572F04" w14:paraId="2A477BE7" w14:textId="77777777" w:rsidTr="007013FB">
        <w:trPr>
          <w:trHeight w:val="20"/>
        </w:trPr>
        <w:tc>
          <w:tcPr>
            <w:tcW w:w="2127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242833D" w14:textId="77777777" w:rsidR="00572F04" w:rsidRDefault="00572F04" w:rsidP="007013F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4CB171B5" w14:textId="77777777" w:rsidR="00572F04" w:rsidRDefault="00572F04" w:rsidP="007013FB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4E640F96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6FB6CE5F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предельный срок погашения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53180D65" w14:textId="77777777" w:rsidR="00572F04" w:rsidRDefault="00F4771E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</w:t>
            </w:r>
            <w:r w:rsidR="00572F04">
              <w:rPr>
                <w:b/>
                <w:bCs/>
                <w:color w:val="000000"/>
                <w:sz w:val="18"/>
                <w:szCs w:val="18"/>
              </w:rPr>
              <w:t>умма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5CC6B155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предельный срок погашения 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14:paraId="4D8DFB52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сумма</w:t>
            </w:r>
          </w:p>
        </w:tc>
        <w:tc>
          <w:tcPr>
            <w:tcW w:w="141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EAF1DD"/>
            <w:vAlign w:val="center"/>
            <w:hideMark/>
          </w:tcPr>
          <w:p w14:paraId="5AEF52C7" w14:textId="77777777" w:rsidR="00572F04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предельный срок погашения </w:t>
            </w:r>
          </w:p>
        </w:tc>
      </w:tr>
      <w:tr w:rsidR="00572F04" w14:paraId="4939B3E2" w14:textId="77777777" w:rsidTr="007013FB">
        <w:trPr>
          <w:trHeight w:val="20"/>
        </w:trPr>
        <w:tc>
          <w:tcPr>
            <w:tcW w:w="21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bottom"/>
            <w:hideMark/>
          </w:tcPr>
          <w:p w14:paraId="13691E11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Государственные ценные бумаги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42B34126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- 1250,0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71D739E0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-1 000,0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68D435DE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30236A47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- 2 500,0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59B0FD75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75F85F45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1 500,0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DBE5F1"/>
            <w:noWrap/>
            <w:vAlign w:val="bottom"/>
            <w:hideMark/>
          </w:tcPr>
          <w:p w14:paraId="546BDE3D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72F04" w14:paraId="66A8BD76" w14:textId="77777777" w:rsidTr="007013FB">
        <w:trPr>
          <w:trHeight w:val="20"/>
        </w:trPr>
        <w:tc>
          <w:tcPr>
            <w:tcW w:w="21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6CA41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привлечение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A01B3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9FDA96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18CEE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8312B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E32CFE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1D51A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5 000,0 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  <w:hideMark/>
          </w:tcPr>
          <w:p w14:paraId="4E993590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до 31.12.30 </w:t>
            </w:r>
          </w:p>
        </w:tc>
      </w:tr>
      <w:tr w:rsidR="00572F04" w14:paraId="4A659186" w14:textId="77777777" w:rsidTr="007013FB">
        <w:trPr>
          <w:trHeight w:val="20"/>
        </w:trPr>
        <w:tc>
          <w:tcPr>
            <w:tcW w:w="21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794423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137DE9D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1 250,0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63F617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4AE04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F4AB3E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2 500,0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A308F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598EB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3 500,0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  <w:hideMark/>
          </w:tcPr>
          <w:p w14:paraId="1CC84757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72F04" w14:paraId="1DB9090D" w14:textId="77777777" w:rsidTr="007860DB">
        <w:trPr>
          <w:trHeight w:val="20"/>
        </w:trPr>
        <w:tc>
          <w:tcPr>
            <w:tcW w:w="21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bottom"/>
            <w:hideMark/>
          </w:tcPr>
          <w:p w14:paraId="358C8F02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Кредиты кредитных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6C570495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6 100,0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6157C58F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6 100,0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7F42DB7B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42EB0A66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2 200,0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4DFAC9B0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29184E97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-2 500,0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DBE5F1"/>
            <w:noWrap/>
            <w:vAlign w:val="bottom"/>
            <w:hideMark/>
          </w:tcPr>
          <w:p w14:paraId="248BAEAE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72F04" w14:paraId="33B5010F" w14:textId="77777777" w:rsidTr="007860DB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9D0845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привлечение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532305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19 100,0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35C7F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16 600,0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03A46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до 31.12.24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84381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11 200,0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028EEB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до 31.12.25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1AC28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16 600,0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  <w:hideMark/>
          </w:tcPr>
          <w:p w14:paraId="11A64BC2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до 31.12.26</w:t>
            </w:r>
          </w:p>
        </w:tc>
      </w:tr>
      <w:tr w:rsidR="00572F04" w14:paraId="61491718" w14:textId="77777777" w:rsidTr="007013FB">
        <w:trPr>
          <w:trHeight w:val="20"/>
        </w:trPr>
        <w:tc>
          <w:tcPr>
            <w:tcW w:w="21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65D0A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C1224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13 000,0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0A9D3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10 500,0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EFC6B6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723C3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13BC0B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21C16C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19 100,0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  <w:hideMark/>
          </w:tcPr>
          <w:p w14:paraId="01061465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72F04" w14:paraId="079D3D6B" w14:textId="77777777" w:rsidTr="007013FB">
        <w:trPr>
          <w:trHeight w:val="20"/>
        </w:trPr>
        <w:tc>
          <w:tcPr>
            <w:tcW w:w="21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bottom"/>
            <w:hideMark/>
          </w:tcPr>
          <w:p w14:paraId="4C07DA99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Бюджетные кредиты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6459ED95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68FC4A56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- 1 069,4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31BCC3F2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31B5FAAC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- 1 069,4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2D5E7792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bottom"/>
            <w:hideMark/>
          </w:tcPr>
          <w:p w14:paraId="1C1DE2C6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- 1 069,4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DBE5F1"/>
            <w:noWrap/>
            <w:vAlign w:val="bottom"/>
            <w:hideMark/>
          </w:tcPr>
          <w:p w14:paraId="41918B63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72F04" w14:paraId="056F3FF8" w14:textId="77777777" w:rsidTr="00F4771E">
        <w:trPr>
          <w:trHeight w:val="20"/>
        </w:trPr>
        <w:tc>
          <w:tcPr>
            <w:tcW w:w="2127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49ED4A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привлечение средств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10B4B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5 000,0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BB2D2B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2C073D5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до 25.11.21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88879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08587B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до 25.11.22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74E50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  <w:hideMark/>
          </w:tcPr>
          <w:p w14:paraId="1DC40E8F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до 25.11.23</w:t>
            </w:r>
          </w:p>
        </w:tc>
      </w:tr>
      <w:tr w:rsidR="00572F04" w14:paraId="0EA52B19" w14:textId="77777777" w:rsidTr="001E2931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F5D387" w14:textId="77777777" w:rsidR="00572F04" w:rsidRDefault="00572F04" w:rsidP="007013F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 т.ч. на пополнение остатков средств на счете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0B1FE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5 000,0 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92FD9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F2D51C1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до 25.11.21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A61C40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69381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до 25.11.22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A55D95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  <w:hideMark/>
          </w:tcPr>
          <w:p w14:paraId="0103ECEF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до 25.11.23</w:t>
            </w:r>
          </w:p>
        </w:tc>
      </w:tr>
      <w:tr w:rsidR="00572F04" w14:paraId="4D0DCB70" w14:textId="77777777" w:rsidTr="001E2931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73203E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погашение долга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8DEC6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5 000,0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737E9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6 069,4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8A14A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405DD6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6 069,4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5CBF4C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239774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6 069,4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  <w:vAlign w:val="bottom"/>
            <w:hideMark/>
          </w:tcPr>
          <w:p w14:paraId="42763CF8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72F04" w14:paraId="39F4AF38" w14:textId="77777777" w:rsidTr="007013FB">
        <w:trPr>
          <w:trHeight w:val="20"/>
        </w:trPr>
        <w:tc>
          <w:tcPr>
            <w:tcW w:w="2127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vAlign w:val="bottom"/>
            <w:hideMark/>
          </w:tcPr>
          <w:p w14:paraId="25425D42" w14:textId="77777777" w:rsidR="00572F04" w:rsidRDefault="00572F04" w:rsidP="007013FB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в т.ч. на пополнение остатков средств на счете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7E007115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5 000,0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71FF3719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6F1BFAD" w14:textId="77777777" w:rsidR="00572F04" w:rsidRPr="003D69E3" w:rsidRDefault="00572F04" w:rsidP="007013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3534AF4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0D6F5D31" w14:textId="77777777" w:rsidR="00572F04" w:rsidRPr="003D69E3" w:rsidRDefault="00572F04" w:rsidP="007013F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0456DF85" w14:textId="77777777" w:rsidR="00572F04" w:rsidRPr="003D69E3" w:rsidRDefault="00572F04" w:rsidP="007013FB">
            <w:pPr>
              <w:jc w:val="right"/>
              <w:rPr>
                <w:color w:val="000000"/>
                <w:sz w:val="18"/>
                <w:szCs w:val="18"/>
              </w:rPr>
            </w:pPr>
            <w:r w:rsidRPr="003D69E3">
              <w:rPr>
                <w:color w:val="000000"/>
                <w:sz w:val="18"/>
                <w:szCs w:val="18"/>
              </w:rPr>
              <w:t>5 000,0</w:t>
            </w:r>
          </w:p>
        </w:tc>
        <w:tc>
          <w:tcPr>
            <w:tcW w:w="141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13C9A612" w14:textId="77777777" w:rsidR="00572F04" w:rsidRPr="003D69E3" w:rsidRDefault="00572F04" w:rsidP="007013FB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AF2D766" w14:textId="77777777" w:rsidR="00572F04" w:rsidRDefault="00572F04" w:rsidP="00572F04">
      <w:pPr>
        <w:ind w:firstLine="680"/>
        <w:jc w:val="both"/>
      </w:pPr>
    </w:p>
    <w:p w14:paraId="513E5F03" w14:textId="77777777" w:rsidR="00572F04" w:rsidRDefault="00572F04" w:rsidP="00572F04">
      <w:pPr>
        <w:ind w:firstLine="709"/>
        <w:jc w:val="both"/>
      </w:pPr>
      <w:r>
        <w:t xml:space="preserve">Как видно из таблицы, </w:t>
      </w:r>
      <w:r w:rsidR="00F4771E">
        <w:t>з</w:t>
      </w:r>
      <w:r>
        <w:t>аконопроектом предусмотрено п</w:t>
      </w:r>
      <w:r w:rsidR="00F4771E">
        <w:t>олучение</w:t>
      </w:r>
      <w:r>
        <w:t xml:space="preserve"> в 2021-2023 годах бюджетных кредитов только на пополнение остатков средств на счетах бюджетов по 5000 млн. руб. ежегодно (для финансирования кассовых разрывов). </w:t>
      </w:r>
    </w:p>
    <w:p w14:paraId="60CFD2C6" w14:textId="77777777" w:rsidR="00572F04" w:rsidRDefault="00572F04" w:rsidP="00572F04">
      <w:pPr>
        <w:tabs>
          <w:tab w:val="left" w:pos="1035"/>
        </w:tabs>
        <w:ind w:firstLine="709"/>
        <w:jc w:val="both"/>
      </w:pPr>
      <w:r>
        <w:t xml:space="preserve">Основным видом привлечения заимствований в 2021-2023 годах </w:t>
      </w:r>
      <w:r w:rsidR="00F4771E">
        <w:t>планируются</w:t>
      </w:r>
      <w:r>
        <w:t xml:space="preserve"> кредит</w:t>
      </w:r>
      <w:r w:rsidR="00F4771E">
        <w:t>ы</w:t>
      </w:r>
      <w:r>
        <w:t xml:space="preserve"> коммерческих банков. </w:t>
      </w:r>
      <w:r w:rsidR="00F4771E">
        <w:t>При этом в</w:t>
      </w:r>
      <w:r>
        <w:t xml:space="preserve"> 2021 году </w:t>
      </w:r>
      <w:r w:rsidR="00F4771E">
        <w:t xml:space="preserve">предусмотрено снижение привлекаемых объемов заимствований на 2,5 млрд. руб. </w:t>
      </w:r>
      <w:r>
        <w:t>по отношению к 2020 году</w:t>
      </w:r>
      <w:r w:rsidR="00F4771E">
        <w:t>,</w:t>
      </w:r>
      <w:r>
        <w:t xml:space="preserve"> в 2022 году</w:t>
      </w:r>
      <w:r w:rsidR="00F4771E">
        <w:t xml:space="preserve"> - на </w:t>
      </w:r>
      <w:r>
        <w:t>5,4 млрд. руб</w:t>
      </w:r>
      <w:r w:rsidR="00F4771E">
        <w:t>. по отношению к 2021 году</w:t>
      </w:r>
      <w:r>
        <w:t xml:space="preserve">, что обусловлено сокращением </w:t>
      </w:r>
      <w:r w:rsidR="00F4771E" w:rsidRPr="00A23E00">
        <w:t xml:space="preserve">сроков </w:t>
      </w:r>
      <w:r>
        <w:t>привлечения кредитов кредитных организаций.</w:t>
      </w:r>
    </w:p>
    <w:p w14:paraId="1FD5EA38" w14:textId="77777777" w:rsidR="00572F04" w:rsidRDefault="00572F04" w:rsidP="00572F04">
      <w:pPr>
        <w:tabs>
          <w:tab w:val="left" w:pos="1035"/>
        </w:tabs>
        <w:ind w:firstLine="709"/>
        <w:jc w:val="both"/>
      </w:pPr>
      <w:r>
        <w:t>В 2023 году по отношению к 2022 году предполагается увеличение заимствований на 10,4 млрд. руб</w:t>
      </w:r>
      <w:r w:rsidR="00916E5F">
        <w:t>.</w:t>
      </w:r>
      <w:r>
        <w:t xml:space="preserve"> за счет размещения государственных ценных бумаг на 5000 млн. руб. и увеличения привлечения кредитов кредитных организаций на 5400 млн. рублей.</w:t>
      </w:r>
    </w:p>
    <w:p w14:paraId="6C873C95" w14:textId="77777777" w:rsidR="00572F04" w:rsidRDefault="00572F04" w:rsidP="00572F04">
      <w:pPr>
        <w:ind w:firstLine="709"/>
        <w:jc w:val="both"/>
      </w:pPr>
      <w:r>
        <w:lastRenderedPageBreak/>
        <w:t xml:space="preserve">В 2021-2022 годах размещение государственных ценных бумаг </w:t>
      </w:r>
      <w:r w:rsidR="00C4182E">
        <w:t>з</w:t>
      </w:r>
      <w:r>
        <w:t>аконопроектом не предусмотрено.</w:t>
      </w:r>
    </w:p>
    <w:p w14:paraId="1B2C22F5" w14:textId="77777777" w:rsidR="00572F04" w:rsidRDefault="00572F04" w:rsidP="00572F04">
      <w:pPr>
        <w:ind w:firstLine="709"/>
        <w:jc w:val="both"/>
      </w:pPr>
      <w:r>
        <w:t xml:space="preserve">Сложившаяся в последнее время </w:t>
      </w:r>
      <w:r w:rsidR="00780F98">
        <w:t>ситуация на финансовом рынке</w:t>
      </w:r>
      <w:r>
        <w:t xml:space="preserve"> показ</w:t>
      </w:r>
      <w:r w:rsidR="00780F98">
        <w:t>ывает</w:t>
      </w:r>
      <w:r>
        <w:t xml:space="preserve">, что привлечение банковских кредитов более выгодно, чем выпуск ценных бумаг. Так, по размещенным в июне 2017 года облигациям купонная ставка дохода (процент) составила 9,4% с постепенным снижением в течение 7 лет до 7,9 процента. По состоянию на 06.09.2020 процентная ставка по указанному выпуску облигаций составляла  8,65 процента. В 2018-2020 годах облигации Волгоградской области не выпускались. По планируемым к привлечению в 2021-2023 годы коммерческим кредитам (согласно расчетам расходов на обслуживание государственного долга к </w:t>
      </w:r>
      <w:r w:rsidR="00C4182E">
        <w:t>з</w:t>
      </w:r>
      <w:r>
        <w:t xml:space="preserve">аконопроекту) средняя процентная ставка составляет 5,25 процента. Таким образом, </w:t>
      </w:r>
      <w:r w:rsidRPr="00780F98">
        <w:rPr>
          <w:u w:val="single"/>
        </w:rPr>
        <w:t>процентные ставки по находящимся в обращении ценным бумагам Волгоградской области выше, чем проценты по коммерческим кредитам.</w:t>
      </w:r>
      <w:r>
        <w:t xml:space="preserve"> </w:t>
      </w:r>
    </w:p>
    <w:p w14:paraId="0745CA2E" w14:textId="77777777" w:rsidR="007D2B0A" w:rsidRDefault="007D2B0A" w:rsidP="00572F04">
      <w:pPr>
        <w:ind w:firstLine="709"/>
        <w:jc w:val="both"/>
      </w:pPr>
    </w:p>
    <w:p w14:paraId="1B69EA87" w14:textId="77777777" w:rsidR="00572F04" w:rsidRDefault="003D69E3" w:rsidP="00572F04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4. </w:t>
      </w:r>
      <w:r w:rsidR="00572F04">
        <w:rPr>
          <w:b/>
          <w:bCs/>
          <w:i/>
          <w:iCs/>
        </w:rPr>
        <w:t>В</w:t>
      </w:r>
      <w:r w:rsidR="00572F04" w:rsidRPr="00B94529">
        <w:rPr>
          <w:b/>
          <w:bCs/>
          <w:i/>
          <w:iCs/>
        </w:rPr>
        <w:t>ерхний предел государственного внутреннего долга Волгоградской области</w:t>
      </w:r>
      <w:r w:rsidR="00572F04">
        <w:rPr>
          <w:b/>
          <w:bCs/>
          <w:i/>
          <w:iCs/>
        </w:rPr>
        <w:br/>
      </w:r>
      <w:r w:rsidR="00572F04" w:rsidRPr="00B94529">
        <w:rPr>
          <w:b/>
          <w:bCs/>
          <w:i/>
          <w:iCs/>
        </w:rPr>
        <w:t xml:space="preserve"> на 1 января года, следующего за очередным финансовым годом и каждым годом планового периода</w:t>
      </w:r>
    </w:p>
    <w:p w14:paraId="49571023" w14:textId="77777777" w:rsidR="003D69E3" w:rsidRPr="00B94529" w:rsidRDefault="003D69E3" w:rsidP="00572F04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</w:p>
    <w:p w14:paraId="2C12F96A" w14:textId="77777777" w:rsidR="00572F04" w:rsidRPr="00F85908" w:rsidRDefault="00572F04" w:rsidP="00572F04">
      <w:pPr>
        <w:ind w:firstLine="709"/>
        <w:jc w:val="both"/>
      </w:pPr>
      <w:r w:rsidRPr="0028310F">
        <w:t xml:space="preserve">Согласно </w:t>
      </w:r>
      <w:r>
        <w:t>о</w:t>
      </w:r>
      <w:r w:rsidRPr="0028310F">
        <w:t xml:space="preserve">сновным направлениям бюджетной </w:t>
      </w:r>
      <w:r>
        <w:t xml:space="preserve">и налоговой политики </w:t>
      </w:r>
      <w:r w:rsidRPr="0028310F">
        <w:t>Волгоградской области на 20</w:t>
      </w:r>
      <w:r>
        <w:t>21</w:t>
      </w:r>
      <w:r w:rsidRPr="0028310F">
        <w:t xml:space="preserve"> год и на плановый период 202</w:t>
      </w:r>
      <w:r>
        <w:t>2</w:t>
      </w:r>
      <w:r w:rsidRPr="0028310F">
        <w:t xml:space="preserve"> и 202</w:t>
      </w:r>
      <w:r>
        <w:t xml:space="preserve">3 </w:t>
      </w:r>
      <w:r w:rsidRPr="00F85908">
        <w:t xml:space="preserve">годов долговая политика </w:t>
      </w:r>
      <w:r>
        <w:t>Волгоградской области</w:t>
      </w:r>
      <w:r w:rsidRPr="00F85908">
        <w:t xml:space="preserve"> в 202</w:t>
      </w:r>
      <w:r>
        <w:t>1-2023</w:t>
      </w:r>
      <w:r w:rsidRPr="00F85908">
        <w:t xml:space="preserve"> год</w:t>
      </w:r>
      <w:r>
        <w:t>ы</w:t>
      </w:r>
      <w:r w:rsidRPr="00F85908">
        <w:t xml:space="preserve"> будет основываться на принципах безусловного исполнения взятых на себя регионом обязательств по погашению и обслуживанию заемных средств в полном объеме и в установленные сроки. </w:t>
      </w:r>
    </w:p>
    <w:p w14:paraId="6EF72428" w14:textId="77777777" w:rsidR="00572F04" w:rsidRPr="0028310F" w:rsidRDefault="00572F04" w:rsidP="00572F04">
      <w:pPr>
        <w:ind w:firstLine="709"/>
        <w:jc w:val="both"/>
      </w:pPr>
      <w:r w:rsidRPr="0028310F">
        <w:t xml:space="preserve">Исходя из сложившегося </w:t>
      </w:r>
      <w:r>
        <w:t xml:space="preserve">объема </w:t>
      </w:r>
      <w:r w:rsidRPr="0028310F">
        <w:t>государственного внутреннего долга на 01.01.20</w:t>
      </w:r>
      <w:r>
        <w:t xml:space="preserve">20, </w:t>
      </w:r>
      <w:r w:rsidRPr="0028310F">
        <w:t xml:space="preserve"> прогноза государственного долга на конец </w:t>
      </w:r>
      <w:r>
        <w:t>2020</w:t>
      </w:r>
      <w:r w:rsidRPr="0028310F">
        <w:t xml:space="preserve"> года и программ заимствований на 20</w:t>
      </w:r>
      <w:r>
        <w:t>21</w:t>
      </w:r>
      <w:r w:rsidRPr="0028310F">
        <w:t>-202</w:t>
      </w:r>
      <w:r>
        <w:t>3</w:t>
      </w:r>
      <w:r w:rsidRPr="0028310F">
        <w:t xml:space="preserve"> годы произведен расчет</w:t>
      </w:r>
      <w:r>
        <w:t xml:space="preserve"> объема</w:t>
      </w:r>
      <w:r w:rsidRPr="0028310F">
        <w:t xml:space="preserve"> государственного долга Волгоградской области до конца 202</w:t>
      </w:r>
      <w:r>
        <w:t>3</w:t>
      </w:r>
      <w:r w:rsidRPr="0028310F">
        <w:t xml:space="preserve"> года. Динамика расч</w:t>
      </w:r>
      <w:r w:rsidR="00916E5F">
        <w:t>ет</w:t>
      </w:r>
      <w:r w:rsidRPr="0028310F">
        <w:t xml:space="preserve">ного </w:t>
      </w:r>
      <w:r>
        <w:t xml:space="preserve">объема </w:t>
      </w:r>
      <w:r w:rsidRPr="0028310F">
        <w:t xml:space="preserve">государственного внутреннего долга по видам долговых обязательств и структура долга по видам заимствований представлена в следующей таблице. </w:t>
      </w:r>
    </w:p>
    <w:p w14:paraId="1A330BC5" w14:textId="77777777" w:rsidR="00572F04" w:rsidRPr="00B02E74" w:rsidRDefault="00572F04" w:rsidP="00572F04">
      <w:pPr>
        <w:ind w:firstLine="680"/>
        <w:jc w:val="right"/>
        <w:rPr>
          <w:sz w:val="20"/>
          <w:szCs w:val="20"/>
        </w:rPr>
      </w:pPr>
      <w:r w:rsidRPr="00B02E74">
        <w:rPr>
          <w:sz w:val="20"/>
          <w:szCs w:val="20"/>
        </w:rPr>
        <w:t>млн. руб.</w:t>
      </w: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144"/>
        <w:gridCol w:w="976"/>
        <w:gridCol w:w="850"/>
        <w:gridCol w:w="992"/>
        <w:gridCol w:w="826"/>
        <w:gridCol w:w="1017"/>
        <w:gridCol w:w="758"/>
        <w:gridCol w:w="943"/>
        <w:gridCol w:w="851"/>
        <w:gridCol w:w="850"/>
        <w:gridCol w:w="709"/>
      </w:tblGrid>
      <w:tr w:rsidR="00572F04" w:rsidRPr="00F7318D" w14:paraId="6E606949" w14:textId="77777777" w:rsidTr="00655CCD">
        <w:trPr>
          <w:trHeight w:val="315"/>
        </w:trPr>
        <w:tc>
          <w:tcPr>
            <w:tcW w:w="214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EAF1DD"/>
            <w:vAlign w:val="center"/>
            <w:hideMark/>
          </w:tcPr>
          <w:p w14:paraId="33573426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7318D">
              <w:rPr>
                <w:b/>
                <w:bCs/>
                <w:color w:val="000000"/>
                <w:sz w:val="20"/>
                <w:szCs w:val="20"/>
              </w:rPr>
              <w:t>Вид обязательств</w:t>
            </w:r>
          </w:p>
        </w:tc>
        <w:tc>
          <w:tcPr>
            <w:tcW w:w="1826" w:type="dxa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33785665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>01.01.20</w:t>
            </w:r>
            <w:r>
              <w:rPr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18" w:type="dxa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2A972A33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1775" w:type="dxa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043AA146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1794" w:type="dxa"/>
            <w:gridSpan w:val="2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5849BD7D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01.01.2023</w:t>
            </w:r>
          </w:p>
        </w:tc>
        <w:tc>
          <w:tcPr>
            <w:tcW w:w="1559" w:type="dxa"/>
            <w:gridSpan w:val="2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EAF1DD"/>
            <w:vAlign w:val="bottom"/>
            <w:hideMark/>
          </w:tcPr>
          <w:p w14:paraId="1FF7540E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01.01.2024</w:t>
            </w:r>
          </w:p>
        </w:tc>
      </w:tr>
      <w:tr w:rsidR="00572F04" w:rsidRPr="00F7318D" w14:paraId="34AB290C" w14:textId="77777777" w:rsidTr="00655CCD">
        <w:trPr>
          <w:trHeight w:val="315"/>
        </w:trPr>
        <w:tc>
          <w:tcPr>
            <w:tcW w:w="214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03B40B50" w14:textId="77777777" w:rsidR="00572F04" w:rsidRPr="00F7318D" w:rsidRDefault="00572F04" w:rsidP="007013F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2D229DDB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 xml:space="preserve">сумма     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240EB154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>доля,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62B5A407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 xml:space="preserve">сумма       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6D628971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>доля, %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783F9947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 xml:space="preserve">сумма       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3AE821EB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>доля, %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766A0836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 xml:space="preserve">сумма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5CCA09A2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>доля, 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EAF1DD"/>
            <w:vAlign w:val="bottom"/>
            <w:hideMark/>
          </w:tcPr>
          <w:p w14:paraId="4DE07C2B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 xml:space="preserve">сумма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EAF1DD"/>
            <w:vAlign w:val="bottom"/>
            <w:hideMark/>
          </w:tcPr>
          <w:p w14:paraId="3808622D" w14:textId="77777777" w:rsidR="00572F04" w:rsidRPr="00F7318D" w:rsidRDefault="00572F04" w:rsidP="007013F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7318D">
              <w:rPr>
                <w:b/>
                <w:bCs/>
                <w:color w:val="000000"/>
                <w:sz w:val="18"/>
                <w:szCs w:val="18"/>
              </w:rPr>
              <w:t>доля, %</w:t>
            </w:r>
          </w:p>
        </w:tc>
      </w:tr>
      <w:tr w:rsidR="00572F04" w:rsidRPr="00F7318D" w14:paraId="7E94DBE1" w14:textId="77777777" w:rsidTr="00655CCD">
        <w:trPr>
          <w:trHeight w:hRule="exact" w:val="461"/>
        </w:trPr>
        <w:tc>
          <w:tcPr>
            <w:tcW w:w="2144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27CE4" w14:textId="77777777" w:rsidR="00572F04" w:rsidRDefault="00572F04" w:rsidP="007013FB">
            <w:pPr>
              <w:rPr>
                <w:color w:val="000000"/>
                <w:sz w:val="20"/>
                <w:szCs w:val="20"/>
              </w:rPr>
            </w:pPr>
            <w:r w:rsidRPr="00F7318D">
              <w:rPr>
                <w:color w:val="000000"/>
                <w:sz w:val="20"/>
                <w:szCs w:val="20"/>
              </w:rPr>
              <w:t xml:space="preserve">Государственные ценные бумаги </w:t>
            </w:r>
          </w:p>
          <w:p w14:paraId="688DEDE6" w14:textId="77777777" w:rsidR="00572F04" w:rsidRPr="00F7318D" w:rsidRDefault="00572F04" w:rsidP="007013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7DCD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11 250,0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2F4DE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23,9%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8C8DC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10 000,0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E5C18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19,3%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FB2BB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9 000,0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85147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16,1%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2E41D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6 500,0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61CC7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11,9%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ADC07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8 000,0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6CA7DB4C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15,2%</w:t>
            </w:r>
          </w:p>
        </w:tc>
      </w:tr>
      <w:tr w:rsidR="00572F04" w:rsidRPr="00F7318D" w14:paraId="19C425EA" w14:textId="77777777" w:rsidTr="00655CCD">
        <w:trPr>
          <w:trHeight w:val="511"/>
        </w:trPr>
        <w:tc>
          <w:tcPr>
            <w:tcW w:w="214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44EE2" w14:textId="77777777" w:rsidR="00572F04" w:rsidRPr="00F7318D" w:rsidRDefault="00572F04" w:rsidP="007013FB">
            <w:pPr>
              <w:rPr>
                <w:color w:val="000000"/>
                <w:sz w:val="20"/>
                <w:szCs w:val="20"/>
              </w:rPr>
            </w:pPr>
            <w:r w:rsidRPr="00F7318D">
              <w:rPr>
                <w:color w:val="000000"/>
                <w:sz w:val="20"/>
                <w:szCs w:val="20"/>
              </w:rPr>
              <w:t>Кредиты коммерческих банков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30F97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14  500,0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9E562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30,8%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185B1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20 600,0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2ADC5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39,7%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12992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26 700,0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4990F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47,8%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0B82D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28 900,0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8D8F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53,0%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1807D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26 400,0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76FB1792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50,4%</w:t>
            </w:r>
          </w:p>
        </w:tc>
      </w:tr>
      <w:tr w:rsidR="00572F04" w:rsidRPr="00F7318D" w14:paraId="086FDF83" w14:textId="77777777" w:rsidTr="00655CCD">
        <w:trPr>
          <w:trHeight w:val="525"/>
        </w:trPr>
        <w:tc>
          <w:tcPr>
            <w:tcW w:w="214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F4ED0" w14:textId="77777777" w:rsidR="00572F04" w:rsidRPr="00F7318D" w:rsidRDefault="00572F04" w:rsidP="007013FB">
            <w:pPr>
              <w:rPr>
                <w:color w:val="000000"/>
                <w:sz w:val="20"/>
                <w:szCs w:val="20"/>
              </w:rPr>
            </w:pPr>
            <w:r w:rsidRPr="00F7318D">
              <w:rPr>
                <w:color w:val="000000"/>
                <w:sz w:val="20"/>
                <w:szCs w:val="20"/>
              </w:rPr>
              <w:t>Бюджетные кредиты из федерального бюджета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F3C02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21 273,8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DE647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45,3%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80B8E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21 273,8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037A7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41,0%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3DF2D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20 204,4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5B590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36,1%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32497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19 134,9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F6F13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35,1%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50AE9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18 065,5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14:paraId="29F072C6" w14:textId="77777777" w:rsidR="00572F04" w:rsidRPr="00572F04" w:rsidRDefault="00572F04" w:rsidP="00572F04">
            <w:pPr>
              <w:jc w:val="center"/>
              <w:rPr>
                <w:color w:val="000000"/>
                <w:sz w:val="18"/>
                <w:szCs w:val="18"/>
              </w:rPr>
            </w:pPr>
            <w:r w:rsidRPr="00572F04">
              <w:rPr>
                <w:color w:val="000000"/>
                <w:sz w:val="18"/>
                <w:szCs w:val="18"/>
              </w:rPr>
              <w:t>34,4%</w:t>
            </w:r>
          </w:p>
        </w:tc>
      </w:tr>
      <w:tr w:rsidR="00572F04" w:rsidRPr="00F7318D" w14:paraId="46E99B17" w14:textId="77777777" w:rsidTr="00655CCD">
        <w:trPr>
          <w:trHeight w:val="287"/>
        </w:trPr>
        <w:tc>
          <w:tcPr>
            <w:tcW w:w="214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6DE664D" w14:textId="77777777" w:rsidR="00572F04" w:rsidRPr="00F7318D" w:rsidRDefault="00572F04" w:rsidP="00655CC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318D">
              <w:rPr>
                <w:b/>
                <w:bCs/>
                <w:color w:val="000000"/>
                <w:sz w:val="20"/>
                <w:szCs w:val="20"/>
              </w:rPr>
              <w:t>Итого госдолг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D077D46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47 023,8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35DD674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1F8C275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51 873,8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F48E3AF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A53A0F8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55 904,4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530F40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E7CFD31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54 534,9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C0A0CB4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8962F4F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52 465,5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2F2F2"/>
            <w:vAlign w:val="bottom"/>
            <w:hideMark/>
          </w:tcPr>
          <w:p w14:paraId="04A19BFB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100%</w:t>
            </w:r>
          </w:p>
        </w:tc>
      </w:tr>
      <w:tr w:rsidR="00572F04" w:rsidRPr="00F7318D" w14:paraId="63FE0BD5" w14:textId="77777777" w:rsidTr="00655CCD">
        <w:trPr>
          <w:trHeight w:val="463"/>
        </w:trPr>
        <w:tc>
          <w:tcPr>
            <w:tcW w:w="2144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AEF8FF5" w14:textId="77777777" w:rsidR="00572F04" w:rsidRPr="00F7318D" w:rsidRDefault="00572F04" w:rsidP="00B02E7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7318D">
              <w:rPr>
                <w:b/>
                <w:bCs/>
                <w:color w:val="000000"/>
                <w:sz w:val="20"/>
                <w:szCs w:val="20"/>
              </w:rPr>
              <w:t>Верхний предел гос</w:t>
            </w:r>
            <w:r w:rsidR="00655CCD">
              <w:rPr>
                <w:b/>
                <w:bCs/>
                <w:color w:val="000000"/>
                <w:sz w:val="20"/>
                <w:szCs w:val="20"/>
              </w:rPr>
              <w:t>долга</w:t>
            </w:r>
            <w:r w:rsidR="006A62D0">
              <w:rPr>
                <w:b/>
                <w:bCs/>
                <w:color w:val="000000"/>
                <w:sz w:val="20"/>
                <w:szCs w:val="20"/>
              </w:rPr>
              <w:t xml:space="preserve"> по законопроекту</w:t>
            </w:r>
          </w:p>
        </w:tc>
        <w:tc>
          <w:tcPr>
            <w:tcW w:w="9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372723D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8954587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199552A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51 873,8</w:t>
            </w:r>
          </w:p>
        </w:tc>
        <w:tc>
          <w:tcPr>
            <w:tcW w:w="8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264EF52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53DE612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55 904,4</w:t>
            </w:r>
          </w:p>
        </w:tc>
        <w:tc>
          <w:tcPr>
            <w:tcW w:w="75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2B00CBE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6E5A472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54 534,9</w:t>
            </w:r>
          </w:p>
        </w:tc>
        <w:tc>
          <w:tcPr>
            <w:tcW w:w="85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2E297EF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9EB8298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72F04">
              <w:rPr>
                <w:b/>
                <w:bCs/>
                <w:color w:val="000000"/>
                <w:sz w:val="18"/>
                <w:szCs w:val="18"/>
              </w:rPr>
              <w:t>52 465,5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2F2F2"/>
            <w:vAlign w:val="bottom"/>
            <w:hideMark/>
          </w:tcPr>
          <w:p w14:paraId="2AFDC1BC" w14:textId="77777777" w:rsidR="00572F04" w:rsidRPr="00572F04" w:rsidRDefault="00572F04" w:rsidP="00572F0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2418CF9C" w14:textId="77777777" w:rsidR="00B02E74" w:rsidRDefault="00B02E74" w:rsidP="00572F04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66E1565B" w14:textId="77777777" w:rsidR="00572F04" w:rsidRDefault="00572F04" w:rsidP="00572F04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И</w:t>
      </w:r>
      <w:r w:rsidRPr="0028310F">
        <w:rPr>
          <w:bCs/>
        </w:rPr>
        <w:t>з представленных в таблице данных видно, что</w:t>
      </w:r>
      <w:r>
        <w:rPr>
          <w:bCs/>
        </w:rPr>
        <w:t xml:space="preserve"> </w:t>
      </w:r>
      <w:r>
        <w:t xml:space="preserve">в общем объеме государственного долга Волгоградской области в 2021-2023 годах будут преобладать заимствования в виде кредитов коммерческих банков </w:t>
      </w:r>
      <w:r w:rsidR="00655CCD">
        <w:t xml:space="preserve">- </w:t>
      </w:r>
      <w:r>
        <w:t>47,8%, 53%</w:t>
      </w:r>
      <w:r w:rsidR="00655CCD">
        <w:t xml:space="preserve"> и</w:t>
      </w:r>
      <w:r>
        <w:t xml:space="preserve"> 50,4%</w:t>
      </w:r>
      <w:r w:rsidR="00655CCD">
        <w:t xml:space="preserve"> соответственно</w:t>
      </w:r>
      <w:r>
        <w:t>.</w:t>
      </w:r>
    </w:p>
    <w:p w14:paraId="6DBAD439" w14:textId="77777777" w:rsidR="00B02E74" w:rsidRDefault="00572F04" w:rsidP="00572F04">
      <w:pPr>
        <w:autoSpaceDE w:val="0"/>
        <w:autoSpaceDN w:val="0"/>
        <w:adjustRightInd w:val="0"/>
        <w:ind w:firstLine="709"/>
        <w:jc w:val="both"/>
      </w:pPr>
      <w:r>
        <w:t>Динамика изменения состава го</w:t>
      </w:r>
      <w:r w:rsidR="00B02E74">
        <w:t>сударственного д</w:t>
      </w:r>
      <w:r>
        <w:t>олга по видам заимствований характеризуется следующими показателями:</w:t>
      </w:r>
      <w:r w:rsidR="00B02E74">
        <w:t xml:space="preserve"> </w:t>
      </w:r>
    </w:p>
    <w:p w14:paraId="336C6F84" w14:textId="77777777" w:rsidR="00B02E74" w:rsidRDefault="00572F04" w:rsidP="00572F04">
      <w:pPr>
        <w:autoSpaceDE w:val="0"/>
        <w:autoSpaceDN w:val="0"/>
        <w:adjustRightInd w:val="0"/>
        <w:ind w:firstLine="709"/>
        <w:jc w:val="both"/>
      </w:pPr>
      <w:r>
        <w:t>-доля кредитов коммерческих организаций в общем объеме государственного долга возрастает с 39,7% на 01.01.2021 до 50,4%</w:t>
      </w:r>
      <w:r w:rsidR="00655CCD">
        <w:t xml:space="preserve"> </w:t>
      </w:r>
      <w:r>
        <w:t>на 01.01.2024;</w:t>
      </w:r>
    </w:p>
    <w:p w14:paraId="61FEE881" w14:textId="77777777" w:rsidR="00572F04" w:rsidRDefault="00572F04" w:rsidP="00572F04">
      <w:pPr>
        <w:autoSpaceDE w:val="0"/>
        <w:autoSpaceDN w:val="0"/>
        <w:adjustRightInd w:val="0"/>
        <w:ind w:firstLine="709"/>
        <w:jc w:val="both"/>
      </w:pPr>
      <w:r>
        <w:t>-доля бюджетных кредитов снижается с 41% на 01.01.2021 до 34,4% на 01.01.2024.</w:t>
      </w:r>
    </w:p>
    <w:p w14:paraId="0B2A76A2" w14:textId="77777777" w:rsidR="00572F04" w:rsidRPr="0028310F" w:rsidRDefault="00572F04" w:rsidP="00572F04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П</w:t>
      </w:r>
      <w:r w:rsidRPr="0028310F">
        <w:rPr>
          <w:bCs/>
        </w:rPr>
        <w:t>оказатели расчетного государственного внутреннего долга соответствуют показателям</w:t>
      </w:r>
      <w:r w:rsidRPr="0028310F">
        <w:t xml:space="preserve"> верхнего предела гос</w:t>
      </w:r>
      <w:r>
        <w:t xml:space="preserve">долга, утверждаемые в статье 2 </w:t>
      </w:r>
      <w:r w:rsidR="00655CCD">
        <w:t>з</w:t>
      </w:r>
      <w:r w:rsidRPr="0028310F">
        <w:t xml:space="preserve">аконопроекта. </w:t>
      </w:r>
    </w:p>
    <w:p w14:paraId="7715C930" w14:textId="77777777" w:rsidR="00572F04" w:rsidRDefault="00572F04" w:rsidP="00D049C0">
      <w:pPr>
        <w:autoSpaceDE w:val="0"/>
        <w:autoSpaceDN w:val="0"/>
        <w:adjustRightInd w:val="0"/>
        <w:ind w:firstLine="709"/>
        <w:jc w:val="both"/>
      </w:pPr>
      <w:r>
        <w:lastRenderedPageBreak/>
        <w:t>Ожидаемый на 01.01.2021 показатель государственного долга по сравнению с  показателем на 01.01.2020 увеличится с 47023,8 млн. руб. до 51873,8 млн. руб., или на 4850 млн. рублей.</w:t>
      </w:r>
      <w:r w:rsidR="00D049C0">
        <w:t xml:space="preserve"> </w:t>
      </w:r>
      <w:r>
        <w:t xml:space="preserve">С 2022 года предусмотрено ежегодное снижение государственного долга </w:t>
      </w:r>
      <w:r w:rsidR="00D049C0">
        <w:t xml:space="preserve">- </w:t>
      </w:r>
      <w:r>
        <w:t xml:space="preserve">с 55904,4 млн. руб. на 01.01.2022 до 52465,5 млн. руб. на 01.01.2024. </w:t>
      </w:r>
    </w:p>
    <w:p w14:paraId="19D43A50" w14:textId="77777777" w:rsidR="00572F04" w:rsidRDefault="00572F04" w:rsidP="00572F04">
      <w:pPr>
        <w:ind w:firstLine="709"/>
        <w:jc w:val="both"/>
      </w:pPr>
      <w:r>
        <w:t xml:space="preserve">В </w:t>
      </w:r>
      <w:r w:rsidRPr="00D86956">
        <w:t>2021 году отношение госдолга к валовому региональному продукту (далее ВРП) возрастает с 6% до 6,1%, в 2022-2023 годах по сравнению с 2021 годом предполагается снижение отношени</w:t>
      </w:r>
      <w:r w:rsidR="00D049C0">
        <w:t>я</w:t>
      </w:r>
      <w:r w:rsidRPr="00D86956">
        <w:t xml:space="preserve"> госдолга к ВРП: с 6,1% в 2021 году до 5,3% в 2023 году.</w:t>
      </w:r>
    </w:p>
    <w:p w14:paraId="7DCDDCE9" w14:textId="77777777" w:rsidR="00572F04" w:rsidRDefault="00572F04" w:rsidP="00572F04">
      <w:pPr>
        <w:ind w:firstLine="709"/>
        <w:jc w:val="both"/>
      </w:pPr>
      <w:r w:rsidRPr="00A94C0D">
        <w:t>Планируемые размеры предельных объемов госдолга не превышают предельного значения, установленного пунктом 2 статьи 107 БК РФ, - утвержденный общий годовой объем доходов бюджета без учета утвержденного объема безвозмездных поступлений.</w:t>
      </w:r>
    </w:p>
    <w:p w14:paraId="5DA0CC48" w14:textId="77777777" w:rsidR="00B777D0" w:rsidRPr="00A57982" w:rsidRDefault="00572F04" w:rsidP="00572F04">
      <w:pPr>
        <w:ind w:firstLine="709"/>
        <w:jc w:val="both"/>
      </w:pPr>
      <w:r w:rsidRPr="00A57982">
        <w:t>Параметры областного бюджета, прогнозируемые на 20</w:t>
      </w:r>
      <w:r>
        <w:t>20</w:t>
      </w:r>
      <w:r w:rsidRPr="00A57982">
        <w:t xml:space="preserve"> год, и предусмотренные </w:t>
      </w:r>
      <w:r w:rsidR="00D049C0">
        <w:t>з</w:t>
      </w:r>
      <w:r>
        <w:t>аконопроектом на 2021</w:t>
      </w:r>
      <w:r w:rsidRPr="00A57982">
        <w:t>-202</w:t>
      </w:r>
      <w:r>
        <w:t>3</w:t>
      </w:r>
      <w:r w:rsidRPr="00A57982">
        <w:t xml:space="preserve"> годы представлены в следующей таблице.</w:t>
      </w:r>
    </w:p>
    <w:p w14:paraId="7CC9C6E3" w14:textId="77777777" w:rsidR="00572F04" w:rsidRPr="00E826B9" w:rsidRDefault="00572F04" w:rsidP="00572F04">
      <w:pPr>
        <w:ind w:firstLine="708"/>
        <w:jc w:val="right"/>
        <w:rPr>
          <w:sz w:val="20"/>
          <w:szCs w:val="20"/>
        </w:rPr>
      </w:pPr>
      <w:r w:rsidRPr="00E826B9">
        <w:rPr>
          <w:sz w:val="20"/>
          <w:szCs w:val="20"/>
        </w:rPr>
        <w:t>млн. руб.</w:t>
      </w:r>
    </w:p>
    <w:tbl>
      <w:tblPr>
        <w:tblW w:w="9662" w:type="dxa"/>
        <w:tblInd w:w="85" w:type="dxa"/>
        <w:tblLook w:val="04A0" w:firstRow="1" w:lastRow="0" w:firstColumn="1" w:lastColumn="0" w:noHBand="0" w:noVBand="1"/>
      </w:tblPr>
      <w:tblGrid>
        <w:gridCol w:w="4134"/>
        <w:gridCol w:w="1418"/>
        <w:gridCol w:w="1417"/>
        <w:gridCol w:w="1418"/>
        <w:gridCol w:w="1275"/>
      </w:tblGrid>
      <w:tr w:rsidR="00572F04" w:rsidRPr="00BC266F" w14:paraId="03B7B51A" w14:textId="77777777" w:rsidTr="00B777D0">
        <w:trPr>
          <w:trHeight w:val="149"/>
        </w:trPr>
        <w:tc>
          <w:tcPr>
            <w:tcW w:w="4134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EAF1DD"/>
            <w:noWrap/>
            <w:vAlign w:val="center"/>
            <w:hideMark/>
          </w:tcPr>
          <w:p w14:paraId="63DFDF69" w14:textId="77777777" w:rsidR="00572F04" w:rsidRPr="00D049C0" w:rsidRDefault="00572F04" w:rsidP="007013FB">
            <w:pPr>
              <w:rPr>
                <w:b/>
                <w:color w:val="000000"/>
                <w:sz w:val="18"/>
                <w:szCs w:val="18"/>
              </w:rPr>
            </w:pPr>
            <w:r w:rsidRPr="00D049C0">
              <w:rPr>
                <w:b/>
                <w:color w:val="000000"/>
                <w:sz w:val="18"/>
                <w:szCs w:val="18"/>
              </w:rPr>
              <w:t>Показатель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14:paraId="1E8A9D2F" w14:textId="77777777" w:rsidR="00572F04" w:rsidRPr="00D049C0" w:rsidRDefault="00572F04" w:rsidP="007013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049C0">
              <w:rPr>
                <w:b/>
                <w:color w:val="000000"/>
                <w:sz w:val="18"/>
                <w:szCs w:val="18"/>
              </w:rPr>
              <w:t>01.01.2021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14:paraId="46BCC5FA" w14:textId="77777777" w:rsidR="00572F04" w:rsidRPr="00D049C0" w:rsidRDefault="00572F04" w:rsidP="007013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049C0">
              <w:rPr>
                <w:b/>
                <w:color w:val="000000"/>
                <w:sz w:val="18"/>
                <w:szCs w:val="18"/>
              </w:rPr>
              <w:t>01.01.2022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center"/>
            <w:hideMark/>
          </w:tcPr>
          <w:p w14:paraId="5303E09C" w14:textId="77777777" w:rsidR="00572F04" w:rsidRPr="00D049C0" w:rsidRDefault="00572F04" w:rsidP="007013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049C0">
              <w:rPr>
                <w:b/>
                <w:color w:val="000000"/>
                <w:sz w:val="18"/>
                <w:szCs w:val="18"/>
              </w:rPr>
              <w:t>01.01.2023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EAF1DD"/>
            <w:noWrap/>
            <w:vAlign w:val="center"/>
            <w:hideMark/>
          </w:tcPr>
          <w:p w14:paraId="56CCA3E0" w14:textId="77777777" w:rsidR="00572F04" w:rsidRPr="00D049C0" w:rsidRDefault="00572F04" w:rsidP="007013F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049C0">
              <w:rPr>
                <w:b/>
                <w:color w:val="000000"/>
                <w:sz w:val="18"/>
                <w:szCs w:val="18"/>
              </w:rPr>
              <w:t>01.01.2024</w:t>
            </w:r>
          </w:p>
        </w:tc>
      </w:tr>
      <w:tr w:rsidR="00572F04" w:rsidRPr="00BC266F" w14:paraId="7F8EB689" w14:textId="77777777" w:rsidTr="00B777D0">
        <w:trPr>
          <w:trHeight w:val="235"/>
        </w:trPr>
        <w:tc>
          <w:tcPr>
            <w:tcW w:w="4134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4910" w14:textId="77777777" w:rsidR="00572F04" w:rsidRPr="00E826B9" w:rsidRDefault="00572F04" w:rsidP="007013FB">
            <w:pPr>
              <w:rPr>
                <w:color w:val="000000"/>
                <w:sz w:val="20"/>
                <w:szCs w:val="20"/>
              </w:rPr>
            </w:pPr>
            <w:r w:rsidRPr="00E826B9">
              <w:rPr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C180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73 875,9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51C5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78 776,9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DF97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84 021,2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896259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90 611,2</w:t>
            </w:r>
          </w:p>
        </w:tc>
      </w:tr>
      <w:tr w:rsidR="00572F04" w:rsidRPr="00BC266F" w14:paraId="46A7DE13" w14:textId="77777777" w:rsidTr="00E826B9">
        <w:trPr>
          <w:trHeight w:val="204"/>
        </w:trPr>
        <w:tc>
          <w:tcPr>
            <w:tcW w:w="413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AD8B" w14:textId="77777777" w:rsidR="00572F04" w:rsidRPr="00E826B9" w:rsidRDefault="00572F04" w:rsidP="007013FB">
            <w:pPr>
              <w:rPr>
                <w:color w:val="000000"/>
                <w:sz w:val="20"/>
                <w:szCs w:val="20"/>
              </w:rPr>
            </w:pPr>
            <w:r w:rsidRPr="00E826B9">
              <w:rPr>
                <w:color w:val="000000"/>
                <w:sz w:val="20"/>
                <w:szCs w:val="20"/>
              </w:rPr>
              <w:t>Верхний предел госдолга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3EF76611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51 873,8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34137956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55 904,4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6A22A5F1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54 534,9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4E44F640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52 465,5</w:t>
            </w:r>
          </w:p>
        </w:tc>
      </w:tr>
      <w:tr w:rsidR="00572F04" w:rsidRPr="00BC266F" w14:paraId="7DA21061" w14:textId="77777777" w:rsidTr="00E826B9">
        <w:trPr>
          <w:trHeight w:val="336"/>
        </w:trPr>
        <w:tc>
          <w:tcPr>
            <w:tcW w:w="4134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5D2A" w14:textId="77777777" w:rsidR="00572F04" w:rsidRPr="00E826B9" w:rsidRDefault="00572F04" w:rsidP="007013FB">
            <w:pPr>
              <w:rPr>
                <w:color w:val="000000"/>
                <w:sz w:val="20"/>
                <w:szCs w:val="20"/>
              </w:rPr>
            </w:pPr>
            <w:r w:rsidRPr="00E826B9">
              <w:rPr>
                <w:color w:val="000000"/>
                <w:sz w:val="20"/>
                <w:szCs w:val="20"/>
              </w:rPr>
              <w:t>Долг к доходам без учета безвозмездных поступлений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DB10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70,2%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E79B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71,0%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E347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64,9%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B51D696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57,9%</w:t>
            </w:r>
          </w:p>
        </w:tc>
      </w:tr>
      <w:tr w:rsidR="00572F04" w:rsidRPr="00BC266F" w14:paraId="61995E87" w14:textId="77777777" w:rsidTr="00D049C0">
        <w:trPr>
          <w:trHeight w:val="147"/>
        </w:trPr>
        <w:tc>
          <w:tcPr>
            <w:tcW w:w="4134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5BEA" w14:textId="77777777" w:rsidR="00572F04" w:rsidRPr="00E826B9" w:rsidRDefault="00572F04" w:rsidP="007013FB">
            <w:pPr>
              <w:rPr>
                <w:color w:val="000000"/>
                <w:sz w:val="20"/>
                <w:szCs w:val="20"/>
              </w:rPr>
            </w:pPr>
            <w:r w:rsidRPr="00E826B9">
              <w:rPr>
                <w:color w:val="000000"/>
                <w:sz w:val="20"/>
                <w:szCs w:val="20"/>
              </w:rPr>
              <w:t>Коммерческие заимствования к налоговым и неналоговым доходам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F174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41,4%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D9FD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45,3%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9980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42,1%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2408E20" w14:textId="77777777" w:rsidR="00572F04" w:rsidRPr="00E826B9" w:rsidRDefault="00572F04" w:rsidP="00E826B9">
            <w:pPr>
              <w:jc w:val="center"/>
              <w:rPr>
                <w:color w:val="000000"/>
                <w:sz w:val="18"/>
                <w:szCs w:val="18"/>
              </w:rPr>
            </w:pPr>
            <w:r w:rsidRPr="00E826B9">
              <w:rPr>
                <w:color w:val="000000"/>
                <w:sz w:val="18"/>
                <w:szCs w:val="18"/>
              </w:rPr>
              <w:t>38,0%</w:t>
            </w:r>
          </w:p>
        </w:tc>
      </w:tr>
    </w:tbl>
    <w:p w14:paraId="53CC5960" w14:textId="77777777" w:rsidR="00B02E74" w:rsidRDefault="00B02E74" w:rsidP="00572F04">
      <w:pPr>
        <w:ind w:firstLine="709"/>
        <w:jc w:val="both"/>
      </w:pPr>
    </w:p>
    <w:p w14:paraId="618DAD23" w14:textId="77777777" w:rsidR="00572F04" w:rsidRPr="00844654" w:rsidRDefault="00572F04" w:rsidP="00572F04">
      <w:pPr>
        <w:ind w:firstLine="709"/>
        <w:jc w:val="both"/>
      </w:pPr>
      <w:r w:rsidRPr="0040365E">
        <w:t>Как видно из представленных данных,</w:t>
      </w:r>
      <w:r>
        <w:t xml:space="preserve"> п</w:t>
      </w:r>
      <w:r w:rsidRPr="00844654">
        <w:t>о коммерческим заимствованиям отношение к доходам областного бюджета без учета безвоз</w:t>
      </w:r>
      <w:r>
        <w:t>мездных поступлений на 01.01.2021</w:t>
      </w:r>
      <w:r w:rsidRPr="00844654">
        <w:t xml:space="preserve"> состав</w:t>
      </w:r>
      <w:r>
        <w:t>ит</w:t>
      </w:r>
      <w:r w:rsidRPr="00844654">
        <w:t xml:space="preserve"> 4</w:t>
      </w:r>
      <w:r>
        <w:t>1,4</w:t>
      </w:r>
      <w:r w:rsidRPr="00844654">
        <w:t>%, на 01.01.202</w:t>
      </w:r>
      <w:r>
        <w:t>4</w:t>
      </w:r>
      <w:r w:rsidRPr="00844654">
        <w:t xml:space="preserve"> – </w:t>
      </w:r>
      <w:r>
        <w:t>38</w:t>
      </w:r>
      <w:r w:rsidRPr="00844654">
        <w:t>%, т.</w:t>
      </w:r>
      <w:r w:rsidR="00916E5F">
        <w:t xml:space="preserve"> </w:t>
      </w:r>
      <w:r w:rsidRPr="00844654">
        <w:t xml:space="preserve">е. наблюдается </w:t>
      </w:r>
      <w:r>
        <w:t xml:space="preserve">снижение доли </w:t>
      </w:r>
      <w:r w:rsidRPr="00844654">
        <w:t xml:space="preserve">коммерческих заимствований за счет роста </w:t>
      </w:r>
      <w:r>
        <w:t>налоговых и неналоговых доходов</w:t>
      </w:r>
      <w:r w:rsidRPr="00844654">
        <w:t xml:space="preserve">. </w:t>
      </w:r>
    </w:p>
    <w:p w14:paraId="1337FBD2" w14:textId="77777777" w:rsidR="00572F04" w:rsidRDefault="00572F04" w:rsidP="00572F04">
      <w:pPr>
        <w:ind w:firstLine="709"/>
        <w:jc w:val="both"/>
      </w:pPr>
      <w:r>
        <w:t>Г</w:t>
      </w:r>
      <w:r w:rsidRPr="0040365E">
        <w:t xml:space="preserve">осударственный долг Волгоградской области по отношению к налоговым и неналоговым доходам сокращается </w:t>
      </w:r>
      <w:bookmarkStart w:id="2" w:name="OLE_LINK1"/>
      <w:r w:rsidRPr="0040365E">
        <w:t xml:space="preserve">с </w:t>
      </w:r>
      <w:r>
        <w:t>70,2</w:t>
      </w:r>
      <w:r w:rsidRPr="0040365E">
        <w:t>%</w:t>
      </w:r>
      <w:r>
        <w:t xml:space="preserve"> </w:t>
      </w:r>
      <w:r w:rsidRPr="0040365E">
        <w:t xml:space="preserve">по </w:t>
      </w:r>
      <w:r>
        <w:t>прогнозу</w:t>
      </w:r>
      <w:r w:rsidRPr="0040365E">
        <w:t xml:space="preserve"> 20</w:t>
      </w:r>
      <w:r>
        <w:t>20</w:t>
      </w:r>
      <w:r w:rsidRPr="0040365E">
        <w:t xml:space="preserve"> года до </w:t>
      </w:r>
      <w:r>
        <w:t>57,9</w:t>
      </w:r>
      <w:r w:rsidRPr="0040365E">
        <w:t xml:space="preserve">% по </w:t>
      </w:r>
      <w:r>
        <w:t>предусмотренным параметрам 2023 года</w:t>
      </w:r>
      <w:r w:rsidRPr="0040365E">
        <w:t xml:space="preserve"> за счет роста налоговых и неналоговых доходов и </w:t>
      </w:r>
      <w:r>
        <w:t>снижения</w:t>
      </w:r>
      <w:r w:rsidRPr="0040365E">
        <w:t xml:space="preserve"> государственного долга</w:t>
      </w:r>
      <w:r>
        <w:t xml:space="preserve"> с 55904,4 млн. руб. на 01.01.2022 до 52 465,5 млн. руб. на 01.01.2024</w:t>
      </w:r>
      <w:r w:rsidRPr="0040365E">
        <w:t xml:space="preserve">. </w:t>
      </w:r>
      <w:bookmarkEnd w:id="2"/>
      <w:r w:rsidRPr="0040365E">
        <w:t xml:space="preserve">Указанные </w:t>
      </w:r>
      <w:r w:rsidRPr="00EC4C95">
        <w:t>параметры не превышают ограничение, установленное ст</w:t>
      </w:r>
      <w:r w:rsidR="00916E5F">
        <w:t xml:space="preserve">атьей </w:t>
      </w:r>
      <w:r w:rsidRPr="00EC4C95">
        <w:t>107 БК РФ, на уровне 100</w:t>
      </w:r>
      <w:r>
        <w:t>%</w:t>
      </w:r>
      <w:r w:rsidRPr="00EC4C95">
        <w:t xml:space="preserve"> утвержденного общего объема доходов бюджета без учета утвержденного объема безвозмездных поступлений.</w:t>
      </w:r>
    </w:p>
    <w:p w14:paraId="65C4748A" w14:textId="77777777" w:rsidR="00E52DCF" w:rsidRDefault="00E52DCF" w:rsidP="00E52DCF">
      <w:pPr>
        <w:ind w:firstLine="709"/>
        <w:jc w:val="both"/>
      </w:pPr>
      <w:r>
        <w:t>Представленные данные приведены в следующей диаграмме.</w:t>
      </w:r>
    </w:p>
    <w:p w14:paraId="3CB7B663" w14:textId="77777777" w:rsidR="00E52DCF" w:rsidRDefault="00E52DCF" w:rsidP="00E52DCF">
      <w:pPr>
        <w:ind w:firstLine="680"/>
        <w:jc w:val="both"/>
      </w:pPr>
    </w:p>
    <w:p w14:paraId="6EDCCF26" w14:textId="77777777" w:rsidR="00E52DCF" w:rsidRDefault="00E52DCF" w:rsidP="00E52DCF">
      <w:pPr>
        <w:ind w:firstLine="680"/>
        <w:jc w:val="both"/>
      </w:pPr>
      <w:r w:rsidRPr="00022ACA">
        <w:rPr>
          <w:noProof/>
        </w:rPr>
        <w:drawing>
          <wp:inline distT="0" distB="0" distL="0" distR="0" wp14:anchorId="4BBB1F51" wp14:editId="64AD56F7">
            <wp:extent cx="4810205" cy="2850776"/>
            <wp:effectExtent l="0" t="0" r="0" b="6985"/>
            <wp:docPr id="8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803E72F" w14:textId="77777777" w:rsidR="00E52DCF" w:rsidRDefault="00E52DCF" w:rsidP="00572F04">
      <w:pPr>
        <w:ind w:firstLine="709"/>
        <w:jc w:val="both"/>
      </w:pPr>
    </w:p>
    <w:p w14:paraId="38C8ABA6" w14:textId="77777777" w:rsidR="00572F04" w:rsidRDefault="00572F04" w:rsidP="00572F04">
      <w:pPr>
        <w:ind w:firstLine="709"/>
        <w:jc w:val="both"/>
      </w:pPr>
      <w:r w:rsidRPr="00802CD5">
        <w:lastRenderedPageBreak/>
        <w:t xml:space="preserve">Также необходимо отметить, что в декабре 2017 года Волгоградской областью подписаны соглашения о реструктуризации ранее полученных бюджетных кредитов. </w:t>
      </w:r>
    </w:p>
    <w:p w14:paraId="056DD447" w14:textId="77777777" w:rsidR="00572F04" w:rsidRDefault="00572F04" w:rsidP="00572F04">
      <w:pPr>
        <w:ind w:firstLine="709"/>
        <w:jc w:val="both"/>
      </w:pPr>
      <w:r w:rsidRPr="00802CD5">
        <w:t>Одним из условий соглашений является обеспечение на 01.01.2021 доли общего объема государственного долга не более 79%</w:t>
      </w:r>
      <w:r>
        <w:t xml:space="preserve"> </w:t>
      </w:r>
      <w:r w:rsidRPr="00802CD5">
        <w:t>от доходов бюджета без учета безвозмездных поступлений</w:t>
      </w:r>
      <w:r w:rsidR="00916E5F">
        <w:t>,</w:t>
      </w:r>
      <w:r w:rsidRPr="00802CD5">
        <w:t xml:space="preserve"> на 01.01.2022 - 71</w:t>
      </w:r>
      <w:r w:rsidRPr="00BC134D">
        <w:t>%,</w:t>
      </w:r>
      <w:r>
        <w:t xml:space="preserve"> </w:t>
      </w:r>
      <w:r w:rsidRPr="00BC134D">
        <w:t xml:space="preserve">на 01.01.2023 </w:t>
      </w:r>
      <w:r w:rsidR="00916E5F">
        <w:t>-</w:t>
      </w:r>
      <w:r w:rsidRPr="00BC134D">
        <w:t xml:space="preserve"> 65</w:t>
      </w:r>
      <w:r w:rsidR="00916E5F">
        <w:t>%</w:t>
      </w:r>
      <w:r w:rsidRPr="00BC134D">
        <w:t xml:space="preserve">, на 01.01.2024 </w:t>
      </w:r>
      <w:r w:rsidR="00916E5F">
        <w:t>-</w:t>
      </w:r>
      <w:r w:rsidRPr="00BC134D">
        <w:t xml:space="preserve"> 58</w:t>
      </w:r>
      <w:r>
        <w:t xml:space="preserve"> процентов</w:t>
      </w:r>
      <w:r w:rsidRPr="00BC134D">
        <w:t>.</w:t>
      </w:r>
    </w:p>
    <w:p w14:paraId="61755A85" w14:textId="77777777" w:rsidR="00572F04" w:rsidRDefault="00572F04" w:rsidP="00572F04">
      <w:pPr>
        <w:ind w:firstLine="709"/>
        <w:jc w:val="both"/>
      </w:pPr>
      <w:r w:rsidRPr="00BC134D">
        <w:t xml:space="preserve">Также соглашением предусмотрено ограничение по коммерческим заимствованиям – на уровне не более 50% доходов бюджета без учета безвозмездных поступлений. </w:t>
      </w:r>
      <w:r w:rsidRPr="00FE553B">
        <w:t xml:space="preserve">Аналогичные ограничения заложены </w:t>
      </w:r>
      <w:r w:rsidR="00916E5F">
        <w:t xml:space="preserve">и </w:t>
      </w:r>
      <w:r w:rsidRPr="00FE553B">
        <w:t>в План</w:t>
      </w:r>
      <w:r w:rsidR="00916E5F">
        <w:t>е</w:t>
      </w:r>
      <w:r w:rsidRPr="00FE553B">
        <w:t xml:space="preserve"> мероприятий по росту доходного потенциала, оптимизации расходов бюджета и сокращению государственного долга Волгоградской области, утвержденн</w:t>
      </w:r>
      <w:r w:rsidR="00916E5F">
        <w:t>ом</w:t>
      </w:r>
      <w:r w:rsidRPr="00FE553B">
        <w:t xml:space="preserve"> постановлением Администрации Волгоградской области от 28.09.2018 №442-п </w:t>
      </w:r>
      <w:r>
        <w:t xml:space="preserve"> </w:t>
      </w:r>
      <w:r w:rsidRPr="00FE553B">
        <w:t>(далее План мероприятий), в части мероприятий по сокращению государственного долга Волгоградской области. Как видно из приведенных данных</w:t>
      </w:r>
      <w:r w:rsidR="00916E5F">
        <w:t>,</w:t>
      </w:r>
      <w:r w:rsidRPr="00FE553B">
        <w:t xml:space="preserve"> </w:t>
      </w:r>
      <w:r w:rsidR="00916E5F" w:rsidRPr="00916E5F">
        <w:rPr>
          <w:u w:val="single"/>
        </w:rPr>
        <w:t>указанные</w:t>
      </w:r>
      <w:r w:rsidRPr="00916E5F">
        <w:rPr>
          <w:u w:val="single"/>
        </w:rPr>
        <w:t xml:space="preserve"> ограничения </w:t>
      </w:r>
      <w:r w:rsidR="00916E5F" w:rsidRPr="00916E5F">
        <w:rPr>
          <w:u w:val="single"/>
        </w:rPr>
        <w:t>з</w:t>
      </w:r>
      <w:r w:rsidRPr="00916E5F">
        <w:rPr>
          <w:u w:val="single"/>
        </w:rPr>
        <w:t>аконопроектом учтены и соблюдены</w:t>
      </w:r>
      <w:r w:rsidRPr="00FE553B">
        <w:t>.</w:t>
      </w:r>
    </w:p>
    <w:p w14:paraId="6E1E7907" w14:textId="77777777" w:rsidR="00572F04" w:rsidRPr="00863807" w:rsidRDefault="00572F04" w:rsidP="00572F0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126B">
        <w:rPr>
          <w:rFonts w:ascii="Times New Roman" w:hAnsi="Times New Roman" w:cs="Times New Roman"/>
          <w:sz w:val="24"/>
          <w:szCs w:val="24"/>
        </w:rPr>
        <w:t xml:space="preserve">Планом мероприятий в качестве мероприятия по сокращению государственного долга предусмотрено сохранение моратория на предоставление государственных гарантий Волгоградской области. </w:t>
      </w:r>
      <w:r w:rsidR="00916E5F">
        <w:rPr>
          <w:rFonts w:ascii="Times New Roman" w:hAnsi="Times New Roman" w:cs="Times New Roman"/>
          <w:sz w:val="24"/>
          <w:szCs w:val="24"/>
        </w:rPr>
        <w:t>В связи с этим п</w:t>
      </w:r>
      <w:r w:rsidRPr="0045126B">
        <w:rPr>
          <w:rFonts w:ascii="Times New Roman" w:hAnsi="Times New Roman" w:cs="Times New Roman"/>
          <w:sz w:val="24"/>
          <w:szCs w:val="24"/>
        </w:rPr>
        <w:t>рограмма государственных гарантий Волгоградской области  на 202</w:t>
      </w:r>
      <w:r>
        <w:rPr>
          <w:rFonts w:ascii="Times New Roman" w:hAnsi="Times New Roman" w:cs="Times New Roman"/>
          <w:sz w:val="24"/>
          <w:szCs w:val="24"/>
        </w:rPr>
        <w:t>1-2023</w:t>
      </w:r>
      <w:r w:rsidR="00916E5F">
        <w:rPr>
          <w:rFonts w:ascii="Times New Roman" w:hAnsi="Times New Roman" w:cs="Times New Roman"/>
          <w:sz w:val="24"/>
          <w:szCs w:val="24"/>
        </w:rPr>
        <w:t xml:space="preserve"> годы з</w:t>
      </w:r>
      <w:r w:rsidRPr="0045126B">
        <w:rPr>
          <w:rFonts w:ascii="Times New Roman" w:hAnsi="Times New Roman" w:cs="Times New Roman"/>
          <w:sz w:val="24"/>
          <w:szCs w:val="24"/>
        </w:rPr>
        <w:t>аконопроектом не предусмотрена.</w:t>
      </w:r>
    </w:p>
    <w:p w14:paraId="22160425" w14:textId="77777777" w:rsidR="00916E5F" w:rsidRDefault="00916E5F" w:rsidP="007765CC">
      <w:pPr>
        <w:autoSpaceDE w:val="0"/>
        <w:autoSpaceDN w:val="0"/>
        <w:adjustRightInd w:val="0"/>
        <w:ind w:firstLine="540"/>
        <w:jc w:val="center"/>
        <w:rPr>
          <w:b/>
          <w:bCs/>
          <w:i/>
          <w:iCs/>
        </w:rPr>
      </w:pPr>
    </w:p>
    <w:p w14:paraId="41A9C9FF" w14:textId="77777777" w:rsidR="004F6845" w:rsidRPr="007751BE" w:rsidRDefault="0065523C" w:rsidP="004F6845">
      <w:pPr>
        <w:autoSpaceDE w:val="0"/>
        <w:autoSpaceDN w:val="0"/>
        <w:adjustRightInd w:val="0"/>
        <w:jc w:val="center"/>
        <w:outlineLvl w:val="1"/>
        <w:rPr>
          <w:b/>
          <w:i/>
        </w:rPr>
      </w:pPr>
      <w:r>
        <w:rPr>
          <w:b/>
          <w:i/>
        </w:rPr>
        <w:t xml:space="preserve">5. </w:t>
      </w:r>
      <w:r w:rsidR="004F6845" w:rsidRPr="007751BE">
        <w:rPr>
          <w:b/>
          <w:i/>
        </w:rPr>
        <w:t xml:space="preserve">Критерии выравнивания </w:t>
      </w:r>
    </w:p>
    <w:p w14:paraId="29B70B36" w14:textId="77777777" w:rsidR="004F6845" w:rsidRPr="007751BE" w:rsidRDefault="004F6845" w:rsidP="004F6845">
      <w:pPr>
        <w:autoSpaceDE w:val="0"/>
        <w:autoSpaceDN w:val="0"/>
        <w:adjustRightInd w:val="0"/>
        <w:jc w:val="center"/>
        <w:outlineLvl w:val="1"/>
        <w:rPr>
          <w:b/>
          <w:i/>
        </w:rPr>
      </w:pPr>
      <w:r w:rsidRPr="007751BE">
        <w:rPr>
          <w:b/>
          <w:i/>
        </w:rPr>
        <w:t>расчетной бюджетной обеспеченности</w:t>
      </w:r>
      <w:r>
        <w:rPr>
          <w:b/>
          <w:i/>
        </w:rPr>
        <w:t xml:space="preserve"> муниципальных районов (городских округов</w:t>
      </w:r>
      <w:r w:rsidRPr="007751BE">
        <w:rPr>
          <w:b/>
          <w:i/>
        </w:rPr>
        <w:t xml:space="preserve">) </w:t>
      </w:r>
    </w:p>
    <w:p w14:paraId="6E35ECB5" w14:textId="77777777" w:rsidR="004F6845" w:rsidRDefault="004F6845" w:rsidP="004F6845">
      <w:pPr>
        <w:autoSpaceDE w:val="0"/>
        <w:autoSpaceDN w:val="0"/>
        <w:adjustRightInd w:val="0"/>
        <w:jc w:val="center"/>
        <w:outlineLvl w:val="1"/>
        <w:rPr>
          <w:b/>
          <w:i/>
        </w:rPr>
      </w:pPr>
      <w:r w:rsidRPr="0023074C">
        <w:rPr>
          <w:b/>
          <w:i/>
        </w:rPr>
        <w:t>и финансовых возможностей поселений</w:t>
      </w:r>
    </w:p>
    <w:p w14:paraId="25C6D0A5" w14:textId="77777777" w:rsidR="00A4047B" w:rsidRDefault="00A4047B" w:rsidP="0065523C">
      <w:pPr>
        <w:autoSpaceDE w:val="0"/>
        <w:autoSpaceDN w:val="0"/>
        <w:adjustRightInd w:val="0"/>
        <w:jc w:val="center"/>
        <w:outlineLvl w:val="1"/>
        <w:rPr>
          <w:b/>
          <w:i/>
        </w:rPr>
      </w:pPr>
    </w:p>
    <w:p w14:paraId="573F0B34" w14:textId="77777777" w:rsidR="00DC56BD" w:rsidRPr="003976AC" w:rsidRDefault="00DC56BD" w:rsidP="00DC56BD">
      <w:pPr>
        <w:pStyle w:val="ConsPlusNormal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23074C">
        <w:rPr>
          <w:rFonts w:ascii="Times New Roman" w:hAnsi="Times New Roman"/>
          <w:sz w:val="24"/>
          <w:szCs w:val="24"/>
        </w:rPr>
        <w:t xml:space="preserve">Расчет объемов дотаций </w:t>
      </w:r>
      <w:r>
        <w:rPr>
          <w:rFonts w:ascii="Times New Roman" w:hAnsi="Times New Roman"/>
          <w:sz w:val="24"/>
          <w:szCs w:val="24"/>
        </w:rPr>
        <w:t xml:space="preserve">на выравнивание бюджетной обеспеченности </w:t>
      </w:r>
      <w:r w:rsidRPr="001C6F45">
        <w:rPr>
          <w:rFonts w:ascii="Times New Roman" w:hAnsi="Times New Roman"/>
          <w:sz w:val="24"/>
          <w:szCs w:val="24"/>
        </w:rPr>
        <w:t xml:space="preserve">поселений и </w:t>
      </w:r>
      <w:r w:rsidRPr="0023074C">
        <w:rPr>
          <w:rFonts w:ascii="Times New Roman" w:hAnsi="Times New Roman"/>
          <w:sz w:val="24"/>
          <w:szCs w:val="24"/>
        </w:rPr>
        <w:t xml:space="preserve">дотаций </w:t>
      </w:r>
      <w:r>
        <w:rPr>
          <w:rFonts w:ascii="Times New Roman" w:hAnsi="Times New Roman"/>
          <w:sz w:val="24"/>
          <w:szCs w:val="24"/>
        </w:rPr>
        <w:t xml:space="preserve">на выравнивание бюджетной обеспеченности </w:t>
      </w:r>
      <w:r w:rsidRPr="001C6F45">
        <w:rPr>
          <w:rFonts w:ascii="Times New Roman" w:hAnsi="Times New Roman"/>
          <w:sz w:val="24"/>
          <w:szCs w:val="24"/>
        </w:rPr>
        <w:t xml:space="preserve">муниципальных районов (городских округов) </w:t>
      </w:r>
      <w:r w:rsidRPr="00B935F8">
        <w:rPr>
          <w:rFonts w:ascii="Times New Roman" w:hAnsi="Times New Roman"/>
          <w:sz w:val="24"/>
          <w:szCs w:val="24"/>
        </w:rPr>
        <w:t>осуществлялся п</w:t>
      </w:r>
      <w:r w:rsidRPr="0023074C">
        <w:rPr>
          <w:rFonts w:ascii="Times New Roman" w:hAnsi="Times New Roman"/>
          <w:sz w:val="24"/>
          <w:szCs w:val="24"/>
        </w:rPr>
        <w:t>о методике, утвержд</w:t>
      </w:r>
      <w:r>
        <w:rPr>
          <w:rFonts w:ascii="Times New Roman" w:hAnsi="Times New Roman"/>
          <w:sz w:val="24"/>
          <w:szCs w:val="24"/>
        </w:rPr>
        <w:t>е</w:t>
      </w:r>
      <w:r w:rsidRPr="0023074C">
        <w:rPr>
          <w:rFonts w:ascii="Times New Roman" w:hAnsi="Times New Roman"/>
          <w:sz w:val="24"/>
          <w:szCs w:val="24"/>
        </w:rPr>
        <w:t xml:space="preserve">нной Законом Волгоградской области </w:t>
      </w:r>
      <w:r w:rsidRPr="0023074C">
        <w:rPr>
          <w:rFonts w:ascii="Times New Roman" w:hAnsi="Times New Roman"/>
          <w:bCs/>
          <w:sz w:val="24"/>
          <w:szCs w:val="24"/>
        </w:rPr>
        <w:t xml:space="preserve">от 26.07.2005 №1093-ОД «О межбюджетных отношениях </w:t>
      </w:r>
      <w:r w:rsidRPr="0023074C">
        <w:rPr>
          <w:rFonts w:ascii="Times New Roman" w:hAnsi="Times New Roman"/>
          <w:sz w:val="24"/>
          <w:szCs w:val="24"/>
        </w:rPr>
        <w:t>в Волгоградской области» (далее Закон о межбюджетных отношениях №1093-ОД)</w:t>
      </w:r>
      <w:r w:rsidR="003976AC">
        <w:rPr>
          <w:rFonts w:ascii="Times New Roman" w:hAnsi="Times New Roman"/>
          <w:sz w:val="24"/>
          <w:szCs w:val="24"/>
        </w:rPr>
        <w:t xml:space="preserve"> </w:t>
      </w:r>
      <w:r w:rsidR="003976AC" w:rsidRPr="00E84A96">
        <w:rPr>
          <w:rFonts w:ascii="Times New Roman" w:hAnsi="Times New Roman"/>
          <w:sz w:val="24"/>
          <w:szCs w:val="24"/>
        </w:rPr>
        <w:t xml:space="preserve">и </w:t>
      </w:r>
      <w:r w:rsidR="003976AC" w:rsidRPr="000613C6">
        <w:rPr>
          <w:rFonts w:ascii="Times New Roman" w:hAnsi="Times New Roman"/>
          <w:sz w:val="24"/>
          <w:szCs w:val="24"/>
        </w:rPr>
        <w:t xml:space="preserve">внесенными в него изменениями  </w:t>
      </w:r>
      <w:r w:rsidR="003976AC" w:rsidRPr="000613C6">
        <w:rPr>
          <w:rFonts w:ascii="Times New Roman" w:hAnsi="Times New Roman" w:cs="Times New Roman"/>
          <w:sz w:val="24"/>
          <w:szCs w:val="24"/>
        </w:rPr>
        <w:t>законопроектом Волгоградской области «О внесении изменений в Закон Волгоградской области от 26</w:t>
      </w:r>
      <w:r w:rsidR="00B67F42">
        <w:rPr>
          <w:rFonts w:ascii="Times New Roman" w:hAnsi="Times New Roman" w:cs="Times New Roman"/>
          <w:sz w:val="24"/>
          <w:szCs w:val="24"/>
        </w:rPr>
        <w:t>.07.</w:t>
      </w:r>
      <w:r w:rsidR="003976AC" w:rsidRPr="000613C6">
        <w:rPr>
          <w:rFonts w:ascii="Times New Roman" w:hAnsi="Times New Roman" w:cs="Times New Roman"/>
          <w:sz w:val="24"/>
          <w:szCs w:val="24"/>
        </w:rPr>
        <w:t xml:space="preserve">2005 №1093-ОД «О межбюджетных отношениях в Волгоградской области» (далее Проект </w:t>
      </w:r>
      <w:r w:rsidR="00B67F42">
        <w:rPr>
          <w:rFonts w:ascii="Times New Roman" w:hAnsi="Times New Roman" w:cs="Times New Roman"/>
          <w:sz w:val="24"/>
          <w:szCs w:val="24"/>
        </w:rPr>
        <w:t>м</w:t>
      </w:r>
      <w:r w:rsidR="003976AC" w:rsidRPr="000613C6">
        <w:rPr>
          <w:rFonts w:ascii="Times New Roman" w:hAnsi="Times New Roman" w:cs="Times New Roman"/>
          <w:sz w:val="24"/>
          <w:szCs w:val="24"/>
        </w:rPr>
        <w:t>етодики)</w:t>
      </w:r>
      <w:r w:rsidRPr="000613C6">
        <w:rPr>
          <w:rFonts w:ascii="Times New Roman" w:hAnsi="Times New Roman"/>
          <w:sz w:val="24"/>
          <w:szCs w:val="24"/>
        </w:rPr>
        <w:t>.</w:t>
      </w:r>
    </w:p>
    <w:p w14:paraId="289DABC0" w14:textId="77777777" w:rsidR="00DC56BD" w:rsidRPr="008958A5" w:rsidRDefault="00DC56BD" w:rsidP="00DC56B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E87870">
        <w:rPr>
          <w:rFonts w:ascii="Times New Roman" w:hAnsi="Times New Roman"/>
          <w:sz w:val="24"/>
          <w:szCs w:val="24"/>
          <w:lang w:eastAsia="en-US"/>
        </w:rPr>
        <w:t xml:space="preserve">Значения критериев выравнивания </w:t>
      </w:r>
      <w:r w:rsidRPr="00FC5001">
        <w:rPr>
          <w:rFonts w:ascii="Times New Roman" w:hAnsi="Times New Roman"/>
          <w:sz w:val="24"/>
          <w:szCs w:val="24"/>
          <w:lang w:eastAsia="en-US"/>
        </w:rPr>
        <w:t xml:space="preserve">установлены </w:t>
      </w:r>
      <w:r w:rsidRPr="00B376E1">
        <w:rPr>
          <w:rFonts w:ascii="Times New Roman" w:hAnsi="Times New Roman"/>
          <w:sz w:val="24"/>
          <w:szCs w:val="24"/>
          <w:lang w:eastAsia="en-US"/>
        </w:rPr>
        <w:t>статьей 45</w:t>
      </w:r>
      <w:r>
        <w:rPr>
          <w:rFonts w:ascii="Times New Roman" w:hAnsi="Times New Roman"/>
          <w:sz w:val="24"/>
          <w:szCs w:val="24"/>
          <w:lang w:eastAsia="en-US"/>
        </w:rPr>
        <w:t xml:space="preserve"> з</w:t>
      </w:r>
      <w:r w:rsidRPr="00FC5001">
        <w:rPr>
          <w:rFonts w:ascii="Times New Roman" w:hAnsi="Times New Roman"/>
          <w:sz w:val="24"/>
          <w:szCs w:val="24"/>
          <w:lang w:eastAsia="en-US"/>
        </w:rPr>
        <w:t>аконопроекта</w:t>
      </w:r>
      <w:r w:rsidRPr="00E87870">
        <w:rPr>
          <w:rFonts w:ascii="Times New Roman" w:hAnsi="Times New Roman"/>
          <w:sz w:val="24"/>
          <w:szCs w:val="24"/>
          <w:lang w:eastAsia="en-US"/>
        </w:rPr>
        <w:t xml:space="preserve"> и </w:t>
      </w:r>
      <w:r w:rsidRPr="008958A5">
        <w:rPr>
          <w:rFonts w:ascii="Times New Roman" w:hAnsi="Times New Roman"/>
          <w:sz w:val="24"/>
          <w:szCs w:val="24"/>
          <w:lang w:eastAsia="en-US"/>
        </w:rPr>
        <w:t xml:space="preserve">представлены в </w:t>
      </w:r>
      <w:r>
        <w:rPr>
          <w:rFonts w:ascii="Times New Roman" w:hAnsi="Times New Roman"/>
          <w:sz w:val="24"/>
          <w:szCs w:val="24"/>
          <w:lang w:eastAsia="en-US"/>
        </w:rPr>
        <w:t xml:space="preserve">следующей </w:t>
      </w:r>
      <w:r w:rsidRPr="008958A5">
        <w:rPr>
          <w:rFonts w:ascii="Times New Roman" w:hAnsi="Times New Roman"/>
          <w:sz w:val="24"/>
          <w:szCs w:val="24"/>
          <w:lang w:eastAsia="en-US"/>
        </w:rPr>
        <w:t>таблице:</w:t>
      </w:r>
    </w:p>
    <w:p w14:paraId="43D2A0C5" w14:textId="77777777" w:rsidR="00DC56BD" w:rsidRPr="008958A5" w:rsidRDefault="00DC56BD" w:rsidP="00DC56BD">
      <w:pPr>
        <w:autoSpaceDE w:val="0"/>
        <w:autoSpaceDN w:val="0"/>
        <w:adjustRightInd w:val="0"/>
        <w:ind w:firstLine="720"/>
        <w:jc w:val="both"/>
        <w:outlineLvl w:val="1"/>
        <w:rPr>
          <w:lang w:eastAsia="en-US"/>
        </w:rPr>
      </w:pPr>
    </w:p>
    <w:tbl>
      <w:tblPr>
        <w:tblW w:w="9355" w:type="dxa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850"/>
        <w:gridCol w:w="1022"/>
        <w:gridCol w:w="1104"/>
        <w:gridCol w:w="1134"/>
        <w:gridCol w:w="1134"/>
        <w:gridCol w:w="1134"/>
      </w:tblGrid>
      <w:tr w:rsidR="00DC56BD" w:rsidRPr="008958A5" w14:paraId="4261EB1E" w14:textId="77777777" w:rsidTr="004104F3">
        <w:trPr>
          <w:trHeight w:val="348"/>
        </w:trPr>
        <w:tc>
          <w:tcPr>
            <w:tcW w:w="2977" w:type="dxa"/>
            <w:vMerge w:val="restart"/>
            <w:tcBorders>
              <w:top w:val="double" w:sz="6" w:space="0" w:color="auto"/>
              <w:right w:val="dotted" w:sz="4" w:space="0" w:color="auto"/>
            </w:tcBorders>
            <w:vAlign w:val="center"/>
          </w:tcPr>
          <w:p w14:paraId="026E6C01" w14:textId="77777777" w:rsidR="00DC56BD" w:rsidRPr="008958A5" w:rsidRDefault="00DC56BD" w:rsidP="004104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Дотации </w:t>
            </w:r>
          </w:p>
        </w:tc>
        <w:tc>
          <w:tcPr>
            <w:tcW w:w="850" w:type="dxa"/>
            <w:vMerge w:val="restart"/>
            <w:tcBorders>
              <w:top w:val="double" w:sz="6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14:paraId="61320BF2" w14:textId="77777777" w:rsidR="00DC56BD" w:rsidRPr="008958A5" w:rsidRDefault="00DC56BD" w:rsidP="004104F3">
            <w:pPr>
              <w:jc w:val="center"/>
              <w:rPr>
                <w:b/>
                <w:sz w:val="20"/>
                <w:szCs w:val="20"/>
              </w:rPr>
            </w:pPr>
            <w:r w:rsidRPr="008958A5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5528" w:type="dxa"/>
            <w:gridSpan w:val="5"/>
            <w:tcBorders>
              <w:top w:val="double" w:sz="6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58013BD9" w14:textId="77777777" w:rsidR="00DC56BD" w:rsidRPr="008958A5" w:rsidRDefault="00DC56BD" w:rsidP="004104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</w:t>
            </w:r>
            <w:r w:rsidRPr="008958A5">
              <w:rPr>
                <w:b/>
                <w:sz w:val="20"/>
                <w:szCs w:val="20"/>
              </w:rPr>
              <w:t>ритерий выравнивания на одного жителя</w:t>
            </w:r>
          </w:p>
        </w:tc>
      </w:tr>
      <w:tr w:rsidR="00DC56BD" w:rsidRPr="008958A5" w14:paraId="6E7F0437" w14:textId="77777777" w:rsidTr="004104F3">
        <w:trPr>
          <w:trHeight w:val="227"/>
        </w:trPr>
        <w:tc>
          <w:tcPr>
            <w:tcW w:w="2977" w:type="dxa"/>
            <w:vMerge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185BE55" w14:textId="77777777" w:rsidR="00DC56BD" w:rsidRPr="008958A5" w:rsidRDefault="00DC56BD" w:rsidP="004104F3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E393F4" w14:textId="77777777" w:rsidR="00DC56BD" w:rsidRPr="008958A5" w:rsidRDefault="00DC56BD" w:rsidP="004104F3">
            <w:pPr>
              <w:rPr>
                <w:b/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AFBFA6" w14:textId="77777777" w:rsidR="00DC56BD" w:rsidRDefault="00DC56BD" w:rsidP="004104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2019 год</w:t>
            </w:r>
          </w:p>
        </w:tc>
        <w:tc>
          <w:tcPr>
            <w:tcW w:w="11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04580C24" w14:textId="77777777" w:rsidR="00DC56BD" w:rsidRPr="008958A5" w:rsidRDefault="00DC56BD" w:rsidP="004104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2020</w:t>
            </w:r>
            <w:r w:rsidRPr="008958A5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40D66378" w14:textId="77777777" w:rsidR="00DC56BD" w:rsidRPr="008958A5" w:rsidRDefault="00DC56BD" w:rsidP="004104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2021</w:t>
            </w:r>
            <w:r w:rsidRPr="008958A5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BB2DABE" w14:textId="77777777" w:rsidR="00DC56BD" w:rsidRPr="008958A5" w:rsidRDefault="00DC56BD" w:rsidP="004104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2022</w:t>
            </w:r>
            <w:r w:rsidRPr="008958A5"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bottom"/>
          </w:tcPr>
          <w:p w14:paraId="177E974C" w14:textId="77777777" w:rsidR="00DC56BD" w:rsidRPr="008958A5" w:rsidRDefault="00DC56BD" w:rsidP="004104F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2023</w:t>
            </w:r>
            <w:r w:rsidRPr="008958A5">
              <w:rPr>
                <w:b/>
                <w:sz w:val="18"/>
                <w:szCs w:val="18"/>
              </w:rPr>
              <w:t xml:space="preserve"> год</w:t>
            </w:r>
          </w:p>
        </w:tc>
      </w:tr>
      <w:tr w:rsidR="00DC56BD" w:rsidRPr="008958A5" w14:paraId="639DAF34" w14:textId="77777777" w:rsidTr="000A0DDB">
        <w:trPr>
          <w:trHeight w:hRule="exact" w:val="693"/>
        </w:trPr>
        <w:tc>
          <w:tcPr>
            <w:tcW w:w="29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D1A85F" w14:textId="77777777" w:rsidR="00DC56BD" w:rsidRPr="00DC56BD" w:rsidRDefault="00DC56BD" w:rsidP="004104F3">
            <w:pPr>
              <w:rPr>
                <w:sz w:val="20"/>
                <w:szCs w:val="20"/>
              </w:rPr>
            </w:pPr>
            <w:r w:rsidRPr="00DC56BD">
              <w:rPr>
                <w:sz w:val="20"/>
                <w:szCs w:val="20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B34F7B1" w14:textId="77777777" w:rsidR="00DC56BD" w:rsidRPr="00DC56BD" w:rsidRDefault="00DC56BD" w:rsidP="004104F3">
            <w:pPr>
              <w:jc w:val="center"/>
              <w:rPr>
                <w:sz w:val="20"/>
                <w:szCs w:val="20"/>
              </w:rPr>
            </w:pPr>
            <w:r w:rsidRPr="00DC56BD">
              <w:rPr>
                <w:sz w:val="20"/>
                <w:szCs w:val="20"/>
              </w:rPr>
              <w:t>руб.</w:t>
            </w: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0EF719" w14:textId="77777777" w:rsidR="00DC56BD" w:rsidRPr="00DC56BD" w:rsidRDefault="00DC56BD" w:rsidP="004104F3">
            <w:pPr>
              <w:jc w:val="center"/>
              <w:rPr>
                <w:sz w:val="18"/>
                <w:szCs w:val="18"/>
              </w:rPr>
            </w:pPr>
            <w:r w:rsidRPr="00DC56BD">
              <w:rPr>
                <w:sz w:val="18"/>
                <w:szCs w:val="18"/>
              </w:rPr>
              <w:t>1150</w:t>
            </w:r>
          </w:p>
        </w:tc>
        <w:tc>
          <w:tcPr>
            <w:tcW w:w="110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2A63F6" w14:textId="77777777" w:rsidR="00DC56BD" w:rsidRPr="00DC56BD" w:rsidRDefault="00DC56BD" w:rsidP="004104F3">
            <w:pPr>
              <w:jc w:val="center"/>
              <w:rPr>
                <w:sz w:val="18"/>
                <w:szCs w:val="18"/>
              </w:rPr>
            </w:pPr>
            <w:r w:rsidRPr="00DC56BD">
              <w:rPr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497ABA" w14:textId="77777777" w:rsidR="00DC56BD" w:rsidRPr="00DC56BD" w:rsidRDefault="00DC56BD" w:rsidP="004104F3">
            <w:pPr>
              <w:jc w:val="center"/>
              <w:rPr>
                <w:sz w:val="18"/>
                <w:szCs w:val="18"/>
              </w:rPr>
            </w:pPr>
            <w:r w:rsidRPr="00DC56BD">
              <w:rPr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F631C6" w14:textId="77777777" w:rsidR="00DC56BD" w:rsidRPr="00DC56BD" w:rsidRDefault="00DC56BD" w:rsidP="004104F3">
            <w:pPr>
              <w:jc w:val="center"/>
              <w:rPr>
                <w:sz w:val="18"/>
                <w:szCs w:val="18"/>
              </w:rPr>
            </w:pPr>
            <w:r w:rsidRPr="00DC56BD">
              <w:rPr>
                <w:sz w:val="18"/>
                <w:szCs w:val="18"/>
              </w:rPr>
              <w:t>1200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CE04AAE" w14:textId="77777777" w:rsidR="00DC56BD" w:rsidRPr="00DC56BD" w:rsidRDefault="00DC56BD" w:rsidP="004104F3">
            <w:pPr>
              <w:jc w:val="center"/>
              <w:rPr>
                <w:sz w:val="18"/>
                <w:szCs w:val="18"/>
              </w:rPr>
            </w:pPr>
            <w:r w:rsidRPr="00DC56BD">
              <w:rPr>
                <w:sz w:val="18"/>
                <w:szCs w:val="18"/>
              </w:rPr>
              <w:t>1200</w:t>
            </w:r>
          </w:p>
        </w:tc>
      </w:tr>
      <w:tr w:rsidR="00DC56BD" w:rsidRPr="008958A5" w14:paraId="2A5FCA8F" w14:textId="77777777" w:rsidTr="004104F3">
        <w:trPr>
          <w:trHeight w:hRule="exact" w:val="1001"/>
        </w:trPr>
        <w:tc>
          <w:tcPr>
            <w:tcW w:w="2977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3574E5C" w14:textId="77777777" w:rsidR="00DC56BD" w:rsidRPr="00DC56BD" w:rsidRDefault="00DC56BD" w:rsidP="004104F3">
            <w:pPr>
              <w:rPr>
                <w:sz w:val="20"/>
                <w:szCs w:val="20"/>
              </w:rPr>
            </w:pPr>
            <w:r w:rsidRPr="00DC56BD">
              <w:rPr>
                <w:sz w:val="20"/>
                <w:szCs w:val="2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765EB8D" w14:textId="77777777" w:rsidR="000A0DDB" w:rsidRDefault="000A0DDB" w:rsidP="00DC56BD">
            <w:pPr>
              <w:jc w:val="center"/>
              <w:rPr>
                <w:sz w:val="20"/>
                <w:szCs w:val="20"/>
              </w:rPr>
            </w:pPr>
          </w:p>
          <w:p w14:paraId="5C0A48AD" w14:textId="77777777" w:rsidR="00DC56BD" w:rsidRDefault="00DC56BD" w:rsidP="00DC5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C56BD">
              <w:rPr>
                <w:sz w:val="20"/>
                <w:szCs w:val="20"/>
              </w:rPr>
              <w:t>оэф</w:t>
            </w:r>
            <w:r>
              <w:rPr>
                <w:sz w:val="20"/>
                <w:szCs w:val="20"/>
              </w:rPr>
              <w:t>.-т</w:t>
            </w:r>
          </w:p>
          <w:p w14:paraId="1193077E" w14:textId="77777777" w:rsidR="00DC56BD" w:rsidRPr="00DC56BD" w:rsidRDefault="00DC56BD" w:rsidP="00DC56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0931CCD" w14:textId="77777777" w:rsidR="00DC56BD" w:rsidRPr="00DC56BD" w:rsidRDefault="00DC56BD" w:rsidP="004104F3">
            <w:pPr>
              <w:jc w:val="center"/>
              <w:rPr>
                <w:sz w:val="18"/>
                <w:szCs w:val="18"/>
              </w:rPr>
            </w:pPr>
            <w:r w:rsidRPr="00DC56BD">
              <w:rPr>
                <w:sz w:val="18"/>
                <w:szCs w:val="18"/>
              </w:rPr>
              <w:t>1,0</w:t>
            </w:r>
          </w:p>
        </w:tc>
        <w:tc>
          <w:tcPr>
            <w:tcW w:w="110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6C4CEDF" w14:textId="77777777" w:rsidR="00DC56BD" w:rsidRPr="00DC56BD" w:rsidRDefault="00DC56BD" w:rsidP="004104F3">
            <w:pPr>
              <w:jc w:val="center"/>
              <w:rPr>
                <w:sz w:val="18"/>
                <w:szCs w:val="18"/>
              </w:rPr>
            </w:pPr>
            <w:r w:rsidRPr="00DC56BD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37411827" w14:textId="77777777" w:rsidR="00DC56BD" w:rsidRPr="00DC56BD" w:rsidRDefault="00DC56BD" w:rsidP="004104F3">
            <w:pPr>
              <w:jc w:val="center"/>
              <w:rPr>
                <w:sz w:val="18"/>
                <w:szCs w:val="18"/>
              </w:rPr>
            </w:pPr>
            <w:r w:rsidRPr="00DC56BD">
              <w:rPr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14:paraId="57487386" w14:textId="77777777" w:rsidR="00DC56BD" w:rsidRPr="00DC56BD" w:rsidRDefault="00DC56BD" w:rsidP="00DC56BD">
            <w:pPr>
              <w:jc w:val="center"/>
              <w:rPr>
                <w:sz w:val="18"/>
                <w:szCs w:val="18"/>
              </w:rPr>
            </w:pPr>
            <w:r w:rsidRPr="00DC56B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Pr="00DC56B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vAlign w:val="center"/>
          </w:tcPr>
          <w:p w14:paraId="1184AFFA" w14:textId="77777777" w:rsidR="00DC56BD" w:rsidRPr="00DC56BD" w:rsidRDefault="00DC56BD" w:rsidP="004104F3">
            <w:pPr>
              <w:jc w:val="center"/>
              <w:rPr>
                <w:sz w:val="18"/>
                <w:szCs w:val="18"/>
              </w:rPr>
            </w:pPr>
            <w:r w:rsidRPr="00DC56BD">
              <w:rPr>
                <w:sz w:val="18"/>
                <w:szCs w:val="18"/>
              </w:rPr>
              <w:t>1,0</w:t>
            </w:r>
          </w:p>
        </w:tc>
      </w:tr>
    </w:tbl>
    <w:p w14:paraId="37EAA764" w14:textId="77777777" w:rsidR="00DC56BD" w:rsidRPr="008958A5" w:rsidRDefault="00DC56BD" w:rsidP="00DC56BD">
      <w:pPr>
        <w:autoSpaceDE w:val="0"/>
        <w:autoSpaceDN w:val="0"/>
        <w:adjustRightInd w:val="0"/>
        <w:jc w:val="both"/>
        <w:outlineLvl w:val="1"/>
      </w:pPr>
    </w:p>
    <w:p w14:paraId="40248032" w14:textId="77777777" w:rsidR="003976AC" w:rsidRDefault="0065523C" w:rsidP="0065523C">
      <w:pPr>
        <w:autoSpaceDE w:val="0"/>
        <w:autoSpaceDN w:val="0"/>
        <w:adjustRightInd w:val="0"/>
        <w:jc w:val="center"/>
        <w:outlineLvl w:val="1"/>
        <w:rPr>
          <w:b/>
          <w:i/>
        </w:rPr>
      </w:pPr>
      <w:r>
        <w:rPr>
          <w:b/>
          <w:i/>
        </w:rPr>
        <w:t xml:space="preserve">6. </w:t>
      </w:r>
      <w:r w:rsidR="004F6845" w:rsidRPr="00FD477A">
        <w:rPr>
          <w:b/>
          <w:i/>
        </w:rPr>
        <w:t xml:space="preserve">Размеры расчетного объема дотаций на выравнивание бюджетной обеспеченности  поселений и дотаций на выравнивание бюджетной обеспеченности </w:t>
      </w:r>
    </w:p>
    <w:p w14:paraId="5356C1F9" w14:textId="77777777" w:rsidR="004F6845" w:rsidRDefault="004F6845" w:rsidP="0065523C">
      <w:pPr>
        <w:autoSpaceDE w:val="0"/>
        <w:autoSpaceDN w:val="0"/>
        <w:adjustRightInd w:val="0"/>
        <w:jc w:val="center"/>
        <w:outlineLvl w:val="1"/>
        <w:rPr>
          <w:b/>
          <w:i/>
        </w:rPr>
      </w:pPr>
      <w:r w:rsidRPr="00FD477A">
        <w:rPr>
          <w:b/>
          <w:i/>
        </w:rPr>
        <w:t>муниципал</w:t>
      </w:r>
      <w:r w:rsidR="00917240">
        <w:rPr>
          <w:b/>
          <w:i/>
        </w:rPr>
        <w:t>ьных районов (городских округов</w:t>
      </w:r>
      <w:r w:rsidRPr="00FD477A">
        <w:rPr>
          <w:b/>
          <w:i/>
        </w:rPr>
        <w:t>)</w:t>
      </w:r>
    </w:p>
    <w:p w14:paraId="425C560F" w14:textId="77777777" w:rsidR="004F6845" w:rsidRPr="00D730BB" w:rsidRDefault="004F6845" w:rsidP="004F6845">
      <w:pPr>
        <w:ind w:firstLine="720"/>
        <w:jc w:val="both"/>
      </w:pPr>
    </w:p>
    <w:p w14:paraId="6B5E46CD" w14:textId="77777777" w:rsidR="003976AC" w:rsidRPr="00E84A96" w:rsidRDefault="003976AC" w:rsidP="003976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7F42">
        <w:rPr>
          <w:rFonts w:ascii="Times New Roman" w:hAnsi="Times New Roman" w:cs="Times New Roman"/>
          <w:sz w:val="24"/>
          <w:szCs w:val="24"/>
        </w:rPr>
        <w:t xml:space="preserve">Проектом </w:t>
      </w:r>
      <w:r w:rsidR="00B67F42">
        <w:rPr>
          <w:rFonts w:ascii="Times New Roman" w:hAnsi="Times New Roman" w:cs="Times New Roman"/>
          <w:sz w:val="24"/>
          <w:szCs w:val="24"/>
        </w:rPr>
        <w:t>м</w:t>
      </w:r>
      <w:r w:rsidRPr="00B67F42">
        <w:rPr>
          <w:rFonts w:ascii="Times New Roman" w:hAnsi="Times New Roman" w:cs="Times New Roman"/>
          <w:sz w:val="24"/>
          <w:szCs w:val="24"/>
        </w:rPr>
        <w:t>етодики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предусмотрены</w:t>
      </w:r>
      <w:r w:rsidRPr="0003189B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изменения расчета индекса налогового потенциала муниципальн</w:t>
      </w:r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Pr="0003189B">
        <w:rPr>
          <w:rFonts w:ascii="Times New Roman" w:hAnsi="Times New Roman" w:cs="Times New Roman"/>
          <w:color w:val="000000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03189B">
        <w:rPr>
          <w:rFonts w:ascii="Times New Roman" w:hAnsi="Times New Roman" w:cs="Times New Roman"/>
          <w:color w:val="000000"/>
          <w:sz w:val="24"/>
          <w:szCs w:val="24"/>
        </w:rPr>
        <w:t xml:space="preserve"> (городск</w:t>
      </w:r>
      <w:r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03189B">
        <w:rPr>
          <w:rFonts w:ascii="Times New Roman" w:hAnsi="Times New Roman" w:cs="Times New Roman"/>
          <w:color w:val="000000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color w:val="000000"/>
          <w:sz w:val="24"/>
          <w:szCs w:val="24"/>
        </w:rPr>
        <w:t>ов</w:t>
      </w:r>
      <w:r w:rsidRPr="0003189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E84A96">
        <w:rPr>
          <w:rFonts w:ascii="Times New Roman" w:hAnsi="Times New Roman" w:cs="Times New Roman"/>
          <w:color w:val="000000"/>
          <w:sz w:val="24"/>
          <w:szCs w:val="24"/>
        </w:rPr>
        <w:t>по отдельным налогам:</w:t>
      </w:r>
    </w:p>
    <w:p w14:paraId="1ACF2002" w14:textId="77777777" w:rsidR="003976AC" w:rsidRDefault="003976AC" w:rsidP="003976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4A96">
        <w:rPr>
          <w:rFonts w:ascii="Times New Roman" w:hAnsi="Times New Roman" w:cs="Times New Roman"/>
          <w:color w:val="000000"/>
          <w:sz w:val="24"/>
          <w:szCs w:val="24"/>
        </w:rPr>
        <w:t>-по налогу на доходы физических лиц (за исключением налога на доходы физических лиц с доходов иностранных граждан, работающих на основании патента)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условиях снижения экономической активности расчет индекса налогового потенциала</w:t>
      </w:r>
      <w:r w:rsidRPr="00E84A96">
        <w:rPr>
          <w:rFonts w:ascii="Times New Roman" w:hAnsi="Times New Roman" w:cs="Times New Roman"/>
          <w:color w:val="000000"/>
          <w:sz w:val="24"/>
          <w:szCs w:val="24"/>
        </w:rPr>
        <w:t xml:space="preserve"> предлагается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определять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исходя из прогнозного объема поступлений по НДФЛ с учетом повышающего коэффициента в размере 1 процента (</w:t>
      </w:r>
      <w:r w:rsidRPr="003405F8">
        <w:rPr>
          <w:rFonts w:ascii="Times New Roman" w:hAnsi="Times New Roman" w:cs="Times New Roman"/>
          <w:sz w:val="24"/>
          <w:szCs w:val="24"/>
        </w:rPr>
        <w:t>в целях уменьшения разрыва между значением индекса налогового потенциала и прогнозных показателей по НДФЛ</w:t>
      </w:r>
      <w:r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14:paraId="170BB82F" w14:textId="77777777" w:rsidR="003976AC" w:rsidRPr="00E84A96" w:rsidRDefault="003976AC" w:rsidP="003976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4A96">
        <w:rPr>
          <w:rFonts w:ascii="Times New Roman" w:hAnsi="Times New Roman" w:cs="Times New Roman"/>
          <w:color w:val="000000"/>
          <w:sz w:val="24"/>
          <w:szCs w:val="24"/>
        </w:rPr>
        <w:t>-по налогу на имущество физических лиц налоговый потенциал на 2021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связи с переходом с 0</w:t>
      </w:r>
      <w:r w:rsidRPr="009525B4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.01.</w:t>
      </w:r>
      <w:r w:rsidRPr="009525B4">
        <w:rPr>
          <w:rFonts w:ascii="Times New Roman" w:hAnsi="Times New Roman" w:cs="Times New Roman"/>
          <w:color w:val="000000"/>
          <w:sz w:val="24"/>
          <w:szCs w:val="24"/>
        </w:rPr>
        <w:t>2020 на исчисление налога на имущество физических лиц исходя из кадастровой стоимости объектов недвижимости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4A96">
        <w:rPr>
          <w:rFonts w:ascii="Times New Roman" w:hAnsi="Times New Roman" w:cs="Times New Roman"/>
          <w:color w:val="000000"/>
          <w:sz w:val="24"/>
          <w:szCs w:val="24"/>
        </w:rPr>
        <w:t xml:space="preserve">предлагается рассчитать посредством умножения прогнозируемого общего объема поступления налога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Pr="00E84A96">
        <w:rPr>
          <w:rFonts w:ascii="Times New Roman" w:hAnsi="Times New Roman" w:cs="Times New Roman"/>
          <w:color w:val="000000"/>
          <w:sz w:val="24"/>
          <w:szCs w:val="24"/>
        </w:rPr>
        <w:t xml:space="preserve"> дол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E84A96">
        <w:rPr>
          <w:rFonts w:ascii="Times New Roman" w:hAnsi="Times New Roman" w:cs="Times New Roman"/>
          <w:color w:val="000000"/>
          <w:sz w:val="24"/>
          <w:szCs w:val="24"/>
        </w:rPr>
        <w:t xml:space="preserve"> кадастровой стоимости имущества физических лиц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4A96">
        <w:rPr>
          <w:rFonts w:ascii="Times New Roman" w:hAnsi="Times New Roman" w:cs="Times New Roman"/>
          <w:color w:val="000000"/>
          <w:sz w:val="24"/>
          <w:szCs w:val="24"/>
        </w:rPr>
        <w:t>в общей сумме кадастровой стоимости;</w:t>
      </w:r>
    </w:p>
    <w:p w14:paraId="37A5932E" w14:textId="77777777" w:rsidR="003976AC" w:rsidRPr="00E84A96" w:rsidRDefault="003976AC" w:rsidP="003976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4A96">
        <w:rPr>
          <w:rFonts w:ascii="Times New Roman" w:hAnsi="Times New Roman" w:cs="Times New Roman"/>
          <w:color w:val="000000"/>
          <w:sz w:val="24"/>
          <w:szCs w:val="24"/>
        </w:rPr>
        <w:t>-по единому налогу на вмененный доход в связи с его отменой с 01</w:t>
      </w:r>
      <w:r>
        <w:rPr>
          <w:rFonts w:ascii="Times New Roman" w:hAnsi="Times New Roman" w:cs="Times New Roman"/>
          <w:color w:val="000000"/>
          <w:sz w:val="24"/>
          <w:szCs w:val="24"/>
        </w:rPr>
        <w:t>.01.</w:t>
      </w:r>
      <w:r w:rsidRPr="00E84A96">
        <w:rPr>
          <w:rFonts w:ascii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84A96">
        <w:rPr>
          <w:rFonts w:ascii="Times New Roman" w:hAnsi="Times New Roman" w:cs="Times New Roman"/>
          <w:color w:val="000000"/>
          <w:sz w:val="24"/>
          <w:szCs w:val="24"/>
        </w:rPr>
        <w:t xml:space="preserve">налоговый потенциал предлагается рассчитать </w:t>
      </w:r>
      <w:r>
        <w:rPr>
          <w:rFonts w:ascii="Times New Roman" w:hAnsi="Times New Roman" w:cs="Times New Roman"/>
          <w:color w:val="000000"/>
          <w:sz w:val="24"/>
          <w:szCs w:val="24"/>
        </w:rPr>
        <w:t>исходя из размера налога за 4 квартал 2020 года</w:t>
      </w:r>
      <w:r w:rsidRPr="00E84A9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60C16B6" w14:textId="77777777" w:rsidR="003976AC" w:rsidRDefault="003976AC" w:rsidP="003976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4A96">
        <w:rPr>
          <w:rFonts w:ascii="Times New Roman" w:hAnsi="Times New Roman" w:cs="Times New Roman"/>
          <w:color w:val="000000"/>
          <w:sz w:val="24"/>
          <w:szCs w:val="24"/>
        </w:rPr>
        <w:t>-по налогу, взимаемому в связи с применением упрощенной системы налогообложения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при расчете налогового потенциала </w:t>
      </w:r>
      <w:r w:rsidRPr="00E84A96">
        <w:rPr>
          <w:rFonts w:ascii="Times New Roman" w:hAnsi="Times New Roman" w:cs="Times New Roman"/>
          <w:color w:val="000000"/>
          <w:sz w:val="24"/>
          <w:szCs w:val="24"/>
        </w:rPr>
        <w:t>вместо коэффициента-дефлятора предлагается применять прогнозируемый темп роста прибыли прибыльных организаций, значение которого более точно отражает результаты финансово-хозяйственной деятельности субъектов предпринимательства.</w:t>
      </w:r>
    </w:p>
    <w:p w14:paraId="78D03D7F" w14:textId="77777777" w:rsidR="003976AC" w:rsidRPr="00E84A96" w:rsidRDefault="003976AC" w:rsidP="003976AC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Предлагаемые изменения в методику расчета объема и распределения дотаций приводят к несущественному уменьшению налогового потенциала муниципальных районов и городских округов при расчете части дотации на выравнивание бюджетной обеспеченности, но за счет компенсирующей части объемы дотаций остаются на уровне текущего года.</w:t>
      </w:r>
    </w:p>
    <w:p w14:paraId="67D43B3A" w14:textId="77777777" w:rsidR="003976AC" w:rsidRPr="00AB3A55" w:rsidRDefault="003976AC" w:rsidP="003976AC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D730BB">
        <w:t xml:space="preserve">Данные о расчетных объемах </w:t>
      </w:r>
      <w:r>
        <w:rPr>
          <w:rFonts w:eastAsiaTheme="minorHAnsi"/>
          <w:lang w:eastAsia="en-US"/>
        </w:rPr>
        <w:t>фонда финансовой поддержки поселений (далее</w:t>
      </w:r>
      <w:r w:rsidR="004938DE">
        <w:rPr>
          <w:rFonts w:eastAsiaTheme="minorHAnsi"/>
          <w:lang w:eastAsia="en-US"/>
        </w:rPr>
        <w:t xml:space="preserve"> </w:t>
      </w:r>
      <w:r w:rsidRPr="00D730BB">
        <w:t>ФФПП</w:t>
      </w:r>
      <w:r>
        <w:t xml:space="preserve">) </w:t>
      </w:r>
      <w:r w:rsidRPr="00D730BB">
        <w:t xml:space="preserve"> (в </w:t>
      </w:r>
      <w:r w:rsidRPr="00763A71">
        <w:t xml:space="preserve">части городских округов), ФФПП (в части городских и сельских поселений) и </w:t>
      </w:r>
      <w:r>
        <w:t>фонда финансовой поддержки муниципальных райо</w:t>
      </w:r>
      <w:r w:rsidR="004938DE">
        <w:t>нов (городских округов) (далее Ф</w:t>
      </w:r>
      <w:r w:rsidRPr="00763A71">
        <w:t>ФП МР (ГО)</w:t>
      </w:r>
      <w:r>
        <w:t>)</w:t>
      </w:r>
      <w:r w:rsidRPr="00763A71">
        <w:t xml:space="preserve"> на </w:t>
      </w:r>
      <w:r w:rsidRPr="004938DE">
        <w:t>2019 год</w:t>
      </w:r>
      <w:r w:rsidRPr="00763A71">
        <w:t xml:space="preserve"> и расчетных объемах дотаций на выравнивание бюджетной обеспеченности поселений и дотаций на выравнивание бюджетной обеспеченности  МР (ГО)) на </w:t>
      </w:r>
      <w:r w:rsidRPr="004938DE">
        <w:t>2020-2023</w:t>
      </w:r>
      <w:r w:rsidRPr="00763A71">
        <w:t xml:space="preserve"> годы </w:t>
      </w:r>
      <w:r w:rsidRPr="00763A71">
        <w:rPr>
          <w:u w:val="single"/>
        </w:rPr>
        <w:t xml:space="preserve">до замены </w:t>
      </w:r>
      <w:r>
        <w:rPr>
          <w:u w:val="single"/>
        </w:rPr>
        <w:t>расчетных</w:t>
      </w:r>
      <w:r w:rsidRPr="00763A71">
        <w:rPr>
          <w:u w:val="single"/>
        </w:rPr>
        <w:t xml:space="preserve"> дотаций</w:t>
      </w:r>
      <w:r w:rsidRPr="00763A71">
        <w:t xml:space="preserve"> дополнительными нормативами отчислений от НДФЛ представлены</w:t>
      </w:r>
      <w:r>
        <w:t xml:space="preserve"> в</w:t>
      </w:r>
      <w:r w:rsidRPr="00763A71">
        <w:t xml:space="preserve"> диаграмм</w:t>
      </w:r>
      <w:r>
        <w:t>е</w:t>
      </w:r>
      <w:r w:rsidRPr="00763A71">
        <w:t>.</w:t>
      </w:r>
    </w:p>
    <w:p w14:paraId="53F11748" w14:textId="77777777" w:rsidR="003976AC" w:rsidRPr="00763A71" w:rsidRDefault="003976AC" w:rsidP="003976AC">
      <w:pPr>
        <w:ind w:firstLine="720"/>
        <w:jc w:val="both"/>
      </w:pPr>
    </w:p>
    <w:p w14:paraId="6316FE9E" w14:textId="77777777" w:rsidR="003976AC" w:rsidRPr="00E84A96" w:rsidRDefault="003976AC" w:rsidP="003976AC">
      <w:pPr>
        <w:jc w:val="both"/>
        <w:rPr>
          <w:color w:val="FF0000"/>
          <w:highlight w:val="yellow"/>
        </w:rPr>
      </w:pPr>
      <w:r w:rsidRPr="00E84A96">
        <w:rPr>
          <w:noProof/>
          <w:color w:val="FF0000"/>
          <w:highlight w:val="yellow"/>
        </w:rPr>
        <w:drawing>
          <wp:inline distT="0" distB="0" distL="0" distR="0" wp14:anchorId="68EE3B30" wp14:editId="16618B23">
            <wp:extent cx="6142007" cy="2665562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432EEF6" w14:textId="77777777" w:rsidR="003976AC" w:rsidRPr="00E84A96" w:rsidRDefault="004938DE" w:rsidP="003976AC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Из диаграммы видно, что р</w:t>
      </w:r>
      <w:r w:rsidR="003976AC" w:rsidRPr="00CA619C">
        <w:rPr>
          <w:rFonts w:ascii="Times New Roman" w:hAnsi="Times New Roman" w:cs="Times New Roman"/>
          <w:sz w:val="24"/>
          <w:szCs w:val="24"/>
        </w:rPr>
        <w:t>асчетны</w:t>
      </w:r>
      <w:r w:rsidR="003976AC">
        <w:rPr>
          <w:rFonts w:ascii="Times New Roman" w:hAnsi="Times New Roman" w:cs="Times New Roman"/>
          <w:sz w:val="24"/>
          <w:szCs w:val="24"/>
        </w:rPr>
        <w:t>е объемы</w:t>
      </w:r>
      <w:r w:rsidR="003976AC" w:rsidRPr="00CA619C">
        <w:rPr>
          <w:rFonts w:ascii="Times New Roman" w:hAnsi="Times New Roman" w:cs="Times New Roman"/>
          <w:sz w:val="24"/>
          <w:szCs w:val="24"/>
        </w:rPr>
        <w:t xml:space="preserve"> дотаций в 2021 году остал</w:t>
      </w:r>
      <w:r w:rsidR="003976AC">
        <w:rPr>
          <w:rFonts w:ascii="Times New Roman" w:hAnsi="Times New Roman" w:cs="Times New Roman"/>
          <w:sz w:val="24"/>
          <w:szCs w:val="24"/>
        </w:rPr>
        <w:t>ись</w:t>
      </w:r>
      <w:r w:rsidR="003976AC" w:rsidRPr="00CA619C">
        <w:rPr>
          <w:rFonts w:ascii="Times New Roman" w:hAnsi="Times New Roman" w:cs="Times New Roman"/>
          <w:sz w:val="24"/>
          <w:szCs w:val="24"/>
        </w:rPr>
        <w:t xml:space="preserve"> на уровне 2020 года</w:t>
      </w:r>
      <w:r w:rsidR="003976AC" w:rsidRPr="00CA619C">
        <w:rPr>
          <w:rFonts w:ascii="Times New Roman" w:hAnsi="Times New Roman"/>
          <w:sz w:val="24"/>
          <w:szCs w:val="24"/>
        </w:rPr>
        <w:t>.</w:t>
      </w:r>
    </w:p>
    <w:p w14:paraId="3105F4A3" w14:textId="77777777" w:rsidR="003976AC" w:rsidRPr="00A80FED" w:rsidRDefault="003976AC" w:rsidP="003976AC">
      <w:pPr>
        <w:ind w:firstLine="709"/>
        <w:jc w:val="both"/>
      </w:pPr>
      <w:r w:rsidRPr="00A80FED">
        <w:t>Законопроектом предусмотрено предоставление областному бюджету субсидии из бюджета городского округа Волгоград (отрицательный трансферт) в размере 3,5 млн.руб., которая направлена на увеличение критерия выравнивания расчетной бюджетной обеспеченности муниципальных районов (городских округов), равного 1,000642 на периоды 2021-2023 годы.</w:t>
      </w:r>
    </w:p>
    <w:p w14:paraId="4C86DD91" w14:textId="77777777" w:rsidR="003976AC" w:rsidRPr="00F06375" w:rsidRDefault="003976AC" w:rsidP="003976AC">
      <w:pPr>
        <w:ind w:firstLine="709"/>
        <w:jc w:val="both"/>
      </w:pPr>
      <w:r w:rsidRPr="00F06375">
        <w:t xml:space="preserve">Предоставление областному бюджету субсидии из бюджета городского округа Волгоград обусловлено превышением в отчетном финансовом году расчетных налоговых доходов бюджета Волгограда (без учета налоговых доходов по дополнительным нормативам </w:t>
      </w:r>
      <w:r w:rsidRPr="00F06375">
        <w:lastRenderedPageBreak/>
        <w:t>отчислений) 1,3-кратного среднего уровня по муниципальным районам (городским округам) в расчете на одного жителя в соответствии с п</w:t>
      </w:r>
      <w:r w:rsidR="004938DE">
        <w:t xml:space="preserve">унктом </w:t>
      </w:r>
      <w:r w:rsidRPr="00F06375">
        <w:t>1 ст</w:t>
      </w:r>
      <w:r w:rsidR="004938DE">
        <w:t xml:space="preserve">атьи </w:t>
      </w:r>
      <w:r w:rsidRPr="00F06375">
        <w:t xml:space="preserve">142.2 БК РФ. </w:t>
      </w:r>
    </w:p>
    <w:p w14:paraId="6CEEE109" w14:textId="77777777" w:rsidR="003976AC" w:rsidRPr="00F06375" w:rsidRDefault="003976AC" w:rsidP="000B6FBF">
      <w:pPr>
        <w:ind w:firstLine="709"/>
        <w:jc w:val="both"/>
      </w:pPr>
      <w:r w:rsidRPr="00F06375">
        <w:t>Часть дотаций на выравнивание уровня бюджетной обеспеченности муниципальн</w:t>
      </w:r>
      <w:r>
        <w:t xml:space="preserve">ых районов (городских округов) </w:t>
      </w:r>
      <w:r w:rsidRPr="00F06375">
        <w:t>предлагается заменить дополнительными нормативами отчислений от НДФЛ.</w:t>
      </w:r>
      <w:r w:rsidR="000B6FBF">
        <w:t xml:space="preserve"> </w:t>
      </w:r>
      <w:r w:rsidRPr="00F06375">
        <w:t>Согласно</w:t>
      </w:r>
      <w:r>
        <w:t xml:space="preserve"> </w:t>
      </w:r>
      <w:r w:rsidR="000B6FBF">
        <w:t>з</w:t>
      </w:r>
      <w:r w:rsidRPr="00F06375">
        <w:t>аконопроекту замена дотаций дополнительными нормативами отчислений от НДФЛ произведена</w:t>
      </w:r>
      <w:r w:rsidR="000B6FBF">
        <w:t>,</w:t>
      </w:r>
      <w:r w:rsidRPr="00F06375">
        <w:t xml:space="preserve"> как и в 2020 году, всем муниципальным районам и городским округам области.</w:t>
      </w:r>
    </w:p>
    <w:p w14:paraId="233BFC8C" w14:textId="77777777" w:rsidR="003976AC" w:rsidRDefault="003976AC" w:rsidP="003976AC">
      <w:pPr>
        <w:ind w:firstLine="709"/>
        <w:jc w:val="both"/>
      </w:pPr>
      <w:r w:rsidRPr="00E470A0">
        <w:t xml:space="preserve">В 2021 году расчетный объем дотаций на выравнивание уровня бюджетной обеспеченности муниципальных районов (городских округов) предлагается заменить дополнительными нормативами отчислений от НДФЛ в сумме 4559,6 млн. руб., </w:t>
      </w:r>
      <w:r w:rsidRPr="00454A70">
        <w:t xml:space="preserve">что составляет 99,4% от общего расчетного объема дотаций МР (ГО) (4589,4 млн. руб.). </w:t>
      </w:r>
    </w:p>
    <w:p w14:paraId="4F545E73" w14:textId="77777777" w:rsidR="003976AC" w:rsidRPr="00933079" w:rsidRDefault="003976AC" w:rsidP="003976AC">
      <w:pPr>
        <w:ind w:firstLine="709"/>
        <w:jc w:val="both"/>
      </w:pPr>
      <w:r w:rsidRPr="00933079">
        <w:t>Замена дотаций на выравнивание уровня бюджетной обеспеченности муниципальных районов (городских округов) дополнительными нормативами отчислений от НДФЛ на 2021 год произведена по всем муниципальным образованиям</w:t>
      </w:r>
      <w:r>
        <w:t>,</w:t>
      </w:r>
      <w:r w:rsidRPr="00933079">
        <w:t xml:space="preserve"> кроме Быковского, Дубовского и Старополтавского районов. </w:t>
      </w:r>
      <w:r w:rsidR="00B67F42">
        <w:t>П</w:t>
      </w:r>
      <w:r w:rsidRPr="00933079">
        <w:t xml:space="preserve">осле урегулирования </w:t>
      </w:r>
      <w:r w:rsidR="00B67F42" w:rsidRPr="00933079">
        <w:t xml:space="preserve">дотации </w:t>
      </w:r>
      <w:r w:rsidRPr="00933079">
        <w:t>составил</w:t>
      </w:r>
      <w:r w:rsidR="00B67F42">
        <w:t>и</w:t>
      </w:r>
      <w:r w:rsidRPr="00933079">
        <w:t xml:space="preserve"> 32,2 млн. рублей.</w:t>
      </w:r>
    </w:p>
    <w:p w14:paraId="72B84894" w14:textId="77777777" w:rsidR="003976AC" w:rsidRPr="00933079" w:rsidRDefault="003976AC" w:rsidP="003976AC">
      <w:pPr>
        <w:ind w:firstLine="720"/>
        <w:jc w:val="both"/>
        <w:rPr>
          <w:rFonts w:eastAsiaTheme="minorHAnsi"/>
          <w:lang w:eastAsia="en-US"/>
        </w:rPr>
      </w:pPr>
      <w:r w:rsidRPr="00933079">
        <w:t xml:space="preserve">Необходимо отметить, что статьей 13.1 </w:t>
      </w:r>
      <w:r>
        <w:t>Закона</w:t>
      </w:r>
      <w:r w:rsidRPr="00933079">
        <w:t xml:space="preserve"> о межбюджетных отношениях №1093-ОД предусмотрена возможность полной или частичной замены дополнительными нормативами отчислений от НДФЛ </w:t>
      </w:r>
      <w:r w:rsidRPr="00933079">
        <w:rPr>
          <w:u w:val="single"/>
        </w:rPr>
        <w:t>по согласованию</w:t>
      </w:r>
      <w:r w:rsidRPr="00933079">
        <w:t xml:space="preserve"> с представительными органами муниципальных образований. Согласование должно осуществляться  при составлении областного бюджета путем направления финансовым органом Волгоградской области  соответствующего предложения в представительный орган муниципального образования не позднее дня, следующего за днем проведения публичных слушаний по проекту областного бюджета на очередной финансовый год и плановый период</w:t>
      </w:r>
      <w:r w:rsidR="000B6FBF">
        <w:t>,</w:t>
      </w:r>
      <w:r w:rsidRPr="00933079">
        <w:t xml:space="preserve"> и </w:t>
      </w:r>
      <w:r w:rsidRPr="00933079">
        <w:rPr>
          <w:rFonts w:eastAsiaTheme="minorHAnsi"/>
          <w:lang w:eastAsia="en-US"/>
        </w:rPr>
        <w:t>предложение считается согласованным, если в течение 15 дней после доведения представительным органом муниципального образования не принято решение о несогласовании или о согласовании предложения, отличного от предложения, направленного финансовым органом Волгоградской области.</w:t>
      </w:r>
    </w:p>
    <w:p w14:paraId="22C537B3" w14:textId="77777777" w:rsidR="003976AC" w:rsidRPr="00933079" w:rsidRDefault="003976AC" w:rsidP="003976AC">
      <w:pPr>
        <w:ind w:firstLine="720"/>
        <w:jc w:val="both"/>
        <w:rPr>
          <w:rFonts w:eastAsiaTheme="minorHAnsi"/>
          <w:lang w:eastAsia="en-US"/>
        </w:rPr>
      </w:pPr>
      <w:r w:rsidRPr="00933079">
        <w:rPr>
          <w:rFonts w:eastAsiaTheme="minorHAnsi"/>
          <w:lang w:eastAsia="en-US"/>
        </w:rPr>
        <w:t>Необходимо отметить, что</w:t>
      </w:r>
      <w:r w:rsidRPr="00933079">
        <w:t xml:space="preserve"> </w:t>
      </w:r>
      <w:r w:rsidRPr="00933079">
        <w:rPr>
          <w:rFonts w:eastAsiaTheme="minorHAnsi"/>
          <w:lang w:eastAsia="en-US"/>
        </w:rPr>
        <w:t>представленный</w:t>
      </w:r>
      <w:r>
        <w:rPr>
          <w:rFonts w:eastAsiaTheme="minorHAnsi"/>
          <w:lang w:eastAsia="en-US"/>
        </w:rPr>
        <w:t xml:space="preserve"> </w:t>
      </w:r>
      <w:r w:rsidR="000B6FBF" w:rsidRPr="00933079">
        <w:rPr>
          <w:rFonts w:eastAsiaTheme="minorHAnsi"/>
          <w:lang w:eastAsia="en-US"/>
        </w:rPr>
        <w:t xml:space="preserve">на экспертизу </w:t>
      </w:r>
      <w:r w:rsidR="000B6FBF">
        <w:rPr>
          <w:rFonts w:eastAsiaTheme="minorHAnsi"/>
          <w:lang w:eastAsia="en-US"/>
        </w:rPr>
        <w:t xml:space="preserve">в КСП </w:t>
      </w:r>
      <w:r>
        <w:rPr>
          <w:rFonts w:eastAsiaTheme="minorHAnsi"/>
          <w:lang w:eastAsia="en-US"/>
        </w:rPr>
        <w:t>на 4-й день после</w:t>
      </w:r>
      <w:r w:rsidRPr="005B32C0">
        <w:t xml:space="preserve"> </w:t>
      </w:r>
      <w:r w:rsidRPr="00933079">
        <w:t>проведения публичных слушаний</w:t>
      </w:r>
      <w:r w:rsidRPr="00933079">
        <w:rPr>
          <w:rFonts w:eastAsiaTheme="minorHAnsi"/>
          <w:lang w:eastAsia="en-US"/>
        </w:rPr>
        <w:t xml:space="preserve"> </w:t>
      </w:r>
      <w:r w:rsidR="000B6FBF">
        <w:rPr>
          <w:rFonts w:eastAsiaTheme="minorHAnsi"/>
          <w:lang w:eastAsia="en-US"/>
        </w:rPr>
        <w:t>з</w:t>
      </w:r>
      <w:r w:rsidRPr="00933079">
        <w:rPr>
          <w:rFonts w:eastAsiaTheme="minorHAnsi"/>
          <w:lang w:eastAsia="en-US"/>
        </w:rPr>
        <w:t xml:space="preserve">аконопроект сформирован в отсутствие согласования </w:t>
      </w:r>
      <w:r w:rsidRPr="00933079">
        <w:t xml:space="preserve">с представительными органами </w:t>
      </w:r>
      <w:r w:rsidR="007C646C" w:rsidRPr="00E470A0">
        <w:t xml:space="preserve">муниципальных районов (городских округов) </w:t>
      </w:r>
      <w:r w:rsidRPr="00933079">
        <w:t xml:space="preserve">замены </w:t>
      </w:r>
      <w:r w:rsidR="006A62D0">
        <w:t xml:space="preserve">дотаций </w:t>
      </w:r>
      <w:r w:rsidRPr="00933079">
        <w:t>дополнительными нормативами отчислений от НДФЛ</w:t>
      </w:r>
      <w:r w:rsidR="007C646C">
        <w:t>.</w:t>
      </w:r>
      <w:r w:rsidR="00B777D0">
        <w:t xml:space="preserve"> </w:t>
      </w:r>
    </w:p>
    <w:p w14:paraId="02F69118" w14:textId="77777777" w:rsidR="003976AC" w:rsidRPr="00E470A0" w:rsidRDefault="000B6FBF" w:rsidP="003976AC">
      <w:pPr>
        <w:ind w:firstLine="709"/>
        <w:jc w:val="both"/>
      </w:pPr>
      <w:r>
        <w:t>З</w:t>
      </w:r>
      <w:r w:rsidR="003976AC" w:rsidRPr="00E470A0">
        <w:t xml:space="preserve">амена дотаций на выравнивание бюджетной обеспеченности поселений на 2021 год и плановый период 2022 и 2023 годов дополнительными нормативами отчислений от </w:t>
      </w:r>
      <w:r w:rsidR="006A62D0">
        <w:t>НДФЛ</w:t>
      </w:r>
      <w:r w:rsidR="003976AC" w:rsidRPr="00E470A0">
        <w:t xml:space="preserve"> не осуществлялась.</w:t>
      </w:r>
    </w:p>
    <w:p w14:paraId="4828E8A3" w14:textId="77777777" w:rsidR="003976AC" w:rsidRDefault="003976AC" w:rsidP="003976AC">
      <w:pPr>
        <w:rPr>
          <w:b/>
          <w:i/>
          <w:highlight w:val="yellow"/>
        </w:rPr>
      </w:pPr>
    </w:p>
    <w:p w14:paraId="6471816B" w14:textId="77777777" w:rsidR="003976AC" w:rsidRPr="00E84A96" w:rsidRDefault="003976AC" w:rsidP="003976AC">
      <w:pPr>
        <w:ind w:firstLine="708"/>
        <w:jc w:val="center"/>
        <w:rPr>
          <w:b/>
          <w:i/>
          <w:highlight w:val="yellow"/>
        </w:rPr>
      </w:pPr>
      <w:r w:rsidRPr="00E84A96">
        <w:rPr>
          <w:b/>
          <w:i/>
        </w:rPr>
        <w:t xml:space="preserve">Объем дотаций </w:t>
      </w:r>
      <w:r w:rsidRPr="00E84A96">
        <w:rPr>
          <w:rFonts w:eastAsia="TimesNewRomanPSMT"/>
          <w:b/>
          <w:i/>
        </w:rPr>
        <w:t>из областного бюджета местным бюджетам</w:t>
      </w:r>
    </w:p>
    <w:p w14:paraId="717ECC4C" w14:textId="77777777" w:rsidR="003976AC" w:rsidRPr="005C00D9" w:rsidRDefault="003976AC" w:rsidP="003976AC">
      <w:pPr>
        <w:tabs>
          <w:tab w:val="left" w:pos="4820"/>
        </w:tabs>
        <w:ind w:firstLine="851"/>
        <w:jc w:val="both"/>
        <w:rPr>
          <w:rFonts w:eastAsia="TimesNewRomanPSMT"/>
        </w:rPr>
      </w:pPr>
      <w:r w:rsidRPr="00E84A96">
        <w:rPr>
          <w:rFonts w:eastAsia="TimesNewRomanPSMT"/>
        </w:rPr>
        <w:t xml:space="preserve">Объем дотаций из областного бюджета местным бюджетам на 2021 год </w:t>
      </w:r>
      <w:r>
        <w:rPr>
          <w:rFonts w:eastAsia="TimesNewRomanPSMT"/>
        </w:rPr>
        <w:t xml:space="preserve">после замены дополнительными нормативами отчислений НДФЛ </w:t>
      </w:r>
      <w:r w:rsidRPr="00E84A96">
        <w:rPr>
          <w:rFonts w:eastAsia="TimesNewRomanPSMT"/>
        </w:rPr>
        <w:t xml:space="preserve">предусмотрен в </w:t>
      </w:r>
      <w:r w:rsidRPr="005C00D9">
        <w:rPr>
          <w:rFonts w:eastAsia="TimesNewRomanPSMT"/>
        </w:rPr>
        <w:t xml:space="preserve">сумме </w:t>
      </w:r>
      <w:r>
        <w:rPr>
          <w:rFonts w:eastAsia="TimesNewRomanPSMT"/>
        </w:rPr>
        <w:t>1613,8</w:t>
      </w:r>
      <w:r w:rsidRPr="005C00D9">
        <w:rPr>
          <w:rFonts w:eastAsia="TimesNewRomanPSMT"/>
        </w:rPr>
        <w:t xml:space="preserve"> млн. руб. с увелич</w:t>
      </w:r>
      <w:r>
        <w:rPr>
          <w:rFonts w:eastAsia="TimesNewRomanPSMT"/>
        </w:rPr>
        <w:t>ением к уровню 2020 года на 82,4</w:t>
      </w:r>
      <w:r w:rsidRPr="005C00D9">
        <w:rPr>
          <w:rFonts w:eastAsia="TimesNewRomanPSMT"/>
        </w:rPr>
        <w:t xml:space="preserve"> млн. руб., или</w:t>
      </w:r>
      <w:r w:rsidR="000B6FBF">
        <w:rPr>
          <w:rFonts w:eastAsia="TimesNewRomanPSMT"/>
        </w:rPr>
        <w:t xml:space="preserve"> на </w:t>
      </w:r>
      <w:r w:rsidRPr="005C00D9">
        <w:rPr>
          <w:rFonts w:eastAsia="TimesNewRomanPSMT"/>
        </w:rPr>
        <w:t>5,4 процента</w:t>
      </w:r>
      <w:r w:rsidRPr="00D13AB2">
        <w:rPr>
          <w:rFonts w:eastAsia="TimesNewRomanPSMT"/>
        </w:rPr>
        <w:t>.</w:t>
      </w:r>
      <w:r w:rsidRPr="005C00D9">
        <w:rPr>
          <w:rFonts w:eastAsia="TimesNewRomanPSMT"/>
        </w:rPr>
        <w:t xml:space="preserve"> Показатели объемов дотаций из областного бюджета местным бюджетам на 2021-2023 годы в сравнении с аналогичными показателями 2019-2020 годов приведены в таблице:</w:t>
      </w:r>
    </w:p>
    <w:p w14:paraId="28706510" w14:textId="77777777" w:rsidR="003976AC" w:rsidRPr="003976AC" w:rsidRDefault="003976AC" w:rsidP="003976AC">
      <w:pPr>
        <w:ind w:firstLine="720"/>
        <w:jc w:val="right"/>
        <w:rPr>
          <w:rFonts w:eastAsia="TimesNewRomanPSMT"/>
          <w:sz w:val="20"/>
          <w:szCs w:val="20"/>
        </w:rPr>
      </w:pPr>
      <w:r w:rsidRPr="003976AC">
        <w:rPr>
          <w:rFonts w:eastAsia="TimesNewRomanPSMT"/>
          <w:sz w:val="20"/>
          <w:szCs w:val="20"/>
        </w:rPr>
        <w:t>млн. руб.</w:t>
      </w:r>
    </w:p>
    <w:tbl>
      <w:tblPr>
        <w:tblW w:w="959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879"/>
        <w:gridCol w:w="878"/>
        <w:gridCol w:w="878"/>
        <w:gridCol w:w="878"/>
        <w:gridCol w:w="878"/>
        <w:gridCol w:w="854"/>
        <w:gridCol w:w="1090"/>
      </w:tblGrid>
      <w:tr w:rsidR="003976AC" w:rsidRPr="00E84A96" w14:paraId="15521013" w14:textId="77777777" w:rsidTr="004104F3">
        <w:trPr>
          <w:trHeight w:val="255"/>
        </w:trPr>
        <w:tc>
          <w:tcPr>
            <w:tcW w:w="32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E1EE8D" w14:textId="77777777" w:rsidR="003976AC" w:rsidRPr="00E84A96" w:rsidRDefault="003976AC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879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48898BF6" w14:textId="77777777" w:rsidR="003976AC" w:rsidRPr="00E84A96" w:rsidRDefault="003976AC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2019 г.</w:t>
            </w:r>
          </w:p>
        </w:tc>
        <w:tc>
          <w:tcPr>
            <w:tcW w:w="878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5FCB3634" w14:textId="77777777" w:rsidR="003976AC" w:rsidRPr="00E84A96" w:rsidRDefault="003976AC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2020 г.</w:t>
            </w:r>
          </w:p>
        </w:tc>
        <w:tc>
          <w:tcPr>
            <w:tcW w:w="878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1EB60EE" w14:textId="77777777" w:rsidR="003976AC" w:rsidRPr="00E84A96" w:rsidRDefault="003976AC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2021 г.</w:t>
            </w:r>
          </w:p>
        </w:tc>
        <w:tc>
          <w:tcPr>
            <w:tcW w:w="878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DF23D7E" w14:textId="77777777" w:rsidR="003976AC" w:rsidRPr="00E84A96" w:rsidRDefault="003976AC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2022 г.</w:t>
            </w:r>
          </w:p>
        </w:tc>
        <w:tc>
          <w:tcPr>
            <w:tcW w:w="878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212DB2A3" w14:textId="77777777" w:rsidR="003976AC" w:rsidRPr="00E84A96" w:rsidRDefault="003976AC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2023 г.</w:t>
            </w:r>
          </w:p>
        </w:tc>
        <w:tc>
          <w:tcPr>
            <w:tcW w:w="1944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712AE2F7" w14:textId="77777777" w:rsidR="003976AC" w:rsidRPr="00E84A96" w:rsidRDefault="003976AC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2021 г. / 2020 г.</w:t>
            </w:r>
          </w:p>
        </w:tc>
      </w:tr>
      <w:tr w:rsidR="003976AC" w:rsidRPr="00E84A96" w14:paraId="25B5A8B9" w14:textId="77777777" w:rsidTr="004104F3">
        <w:trPr>
          <w:trHeight w:val="270"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83F6393" w14:textId="77777777" w:rsidR="003976AC" w:rsidRPr="00E84A96" w:rsidRDefault="003976AC" w:rsidP="004104F3">
            <w:pPr>
              <w:rPr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2DBBA80" w14:textId="77777777" w:rsidR="003976AC" w:rsidRPr="00E84A96" w:rsidRDefault="003976AC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факт</w:t>
            </w:r>
          </w:p>
        </w:tc>
        <w:tc>
          <w:tcPr>
            <w:tcW w:w="87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28E678A" w14:textId="77777777" w:rsidR="003976AC" w:rsidRPr="00E84A96" w:rsidRDefault="003976AC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план</w:t>
            </w:r>
          </w:p>
        </w:tc>
        <w:tc>
          <w:tcPr>
            <w:tcW w:w="2634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C26E4F6" w14:textId="77777777" w:rsidR="003976AC" w:rsidRPr="00E84A96" w:rsidRDefault="001E2931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П</w:t>
            </w:r>
            <w:r w:rsidR="003976AC" w:rsidRPr="00E84A96">
              <w:rPr>
                <w:sz w:val="18"/>
                <w:szCs w:val="18"/>
              </w:rPr>
              <w:t>роект</w:t>
            </w:r>
          </w:p>
        </w:tc>
        <w:tc>
          <w:tcPr>
            <w:tcW w:w="85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14:paraId="2B2A9B51" w14:textId="77777777" w:rsidR="003976AC" w:rsidRPr="00E84A96" w:rsidRDefault="003976AC" w:rsidP="004104F3">
            <w:pPr>
              <w:ind w:left="-50" w:right="-108"/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млн. руб.</w:t>
            </w:r>
          </w:p>
        </w:tc>
        <w:tc>
          <w:tcPr>
            <w:tcW w:w="109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C954646" w14:textId="77777777" w:rsidR="003976AC" w:rsidRPr="00E84A96" w:rsidRDefault="003976AC" w:rsidP="004104F3">
            <w:pPr>
              <w:jc w:val="center"/>
              <w:rPr>
                <w:sz w:val="18"/>
                <w:szCs w:val="18"/>
              </w:rPr>
            </w:pPr>
            <w:r w:rsidRPr="00E84A96">
              <w:rPr>
                <w:sz w:val="18"/>
                <w:szCs w:val="18"/>
              </w:rPr>
              <w:t>%</w:t>
            </w:r>
          </w:p>
        </w:tc>
      </w:tr>
      <w:tr w:rsidR="003976AC" w:rsidRPr="00E84A96" w14:paraId="6E20C55E" w14:textId="77777777" w:rsidTr="004104F3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45168B03" w14:textId="77777777" w:rsidR="003976AC" w:rsidRPr="00E84A96" w:rsidRDefault="003976AC" w:rsidP="004104F3">
            <w:pPr>
              <w:rPr>
                <w:b/>
                <w:bCs/>
                <w:sz w:val="18"/>
                <w:szCs w:val="18"/>
                <w:highlight w:val="yellow"/>
              </w:rPr>
            </w:pPr>
            <w:r w:rsidRPr="00EE62B2">
              <w:rPr>
                <w:b/>
                <w:bCs/>
                <w:sz w:val="18"/>
                <w:szCs w:val="18"/>
              </w:rPr>
              <w:t>Дотации:</w:t>
            </w:r>
          </w:p>
        </w:tc>
        <w:tc>
          <w:tcPr>
            <w:tcW w:w="879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0CDFC8B6" w14:textId="77777777" w:rsidR="003976AC" w:rsidRPr="00E82986" w:rsidRDefault="003976AC" w:rsidP="004104F3">
            <w:pPr>
              <w:jc w:val="right"/>
              <w:rPr>
                <w:b/>
                <w:bCs/>
                <w:sz w:val="18"/>
                <w:szCs w:val="18"/>
              </w:rPr>
            </w:pPr>
            <w:r w:rsidRPr="00E82986">
              <w:rPr>
                <w:b/>
                <w:bCs/>
                <w:sz w:val="18"/>
                <w:szCs w:val="18"/>
              </w:rPr>
              <w:t>2 613,1</w:t>
            </w: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0023A0B3" w14:textId="77777777" w:rsidR="003976AC" w:rsidRPr="00F4133F" w:rsidRDefault="003976AC" w:rsidP="004104F3">
            <w:pPr>
              <w:jc w:val="right"/>
              <w:rPr>
                <w:b/>
                <w:bCs/>
                <w:sz w:val="18"/>
                <w:szCs w:val="18"/>
              </w:rPr>
            </w:pPr>
            <w:r w:rsidRPr="00F4133F">
              <w:rPr>
                <w:b/>
                <w:bCs/>
                <w:sz w:val="18"/>
                <w:szCs w:val="18"/>
              </w:rPr>
              <w:t>1 531,4</w:t>
            </w: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1D89771" w14:textId="77777777" w:rsidR="003976AC" w:rsidRPr="00E84A96" w:rsidRDefault="003976AC" w:rsidP="004104F3">
            <w:pPr>
              <w:jc w:val="right"/>
              <w:rPr>
                <w:b/>
                <w:bCs/>
                <w:sz w:val="18"/>
                <w:szCs w:val="18"/>
                <w:highlight w:val="yellow"/>
              </w:rPr>
            </w:pPr>
            <w:r w:rsidRPr="00F4133F">
              <w:rPr>
                <w:b/>
                <w:bCs/>
                <w:sz w:val="18"/>
                <w:szCs w:val="18"/>
              </w:rPr>
              <w:t>1 613,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D36AE89" w14:textId="77777777" w:rsidR="003976AC" w:rsidRPr="00F4133F" w:rsidRDefault="003976AC" w:rsidP="004104F3">
            <w:pPr>
              <w:jc w:val="right"/>
              <w:rPr>
                <w:b/>
                <w:bCs/>
                <w:sz w:val="18"/>
                <w:szCs w:val="18"/>
              </w:rPr>
            </w:pPr>
            <w:r w:rsidRPr="00F4133F">
              <w:rPr>
                <w:b/>
                <w:bCs/>
                <w:sz w:val="18"/>
                <w:szCs w:val="18"/>
              </w:rPr>
              <w:t>1 202,7</w:t>
            </w:r>
          </w:p>
        </w:tc>
        <w:tc>
          <w:tcPr>
            <w:tcW w:w="8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55D26F99" w14:textId="77777777" w:rsidR="003976AC" w:rsidRPr="00F4133F" w:rsidRDefault="003976AC" w:rsidP="004104F3">
            <w:pPr>
              <w:jc w:val="right"/>
              <w:rPr>
                <w:b/>
                <w:bCs/>
                <w:sz w:val="18"/>
                <w:szCs w:val="18"/>
              </w:rPr>
            </w:pPr>
            <w:r w:rsidRPr="00F4133F">
              <w:rPr>
                <w:b/>
                <w:bCs/>
                <w:sz w:val="18"/>
                <w:szCs w:val="18"/>
              </w:rPr>
              <w:t>1 282,8</w:t>
            </w:r>
          </w:p>
        </w:tc>
        <w:tc>
          <w:tcPr>
            <w:tcW w:w="854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5101268" w14:textId="77777777" w:rsidR="003976AC" w:rsidRPr="00DA368E" w:rsidRDefault="003976AC" w:rsidP="000B6FBF">
            <w:pPr>
              <w:jc w:val="center"/>
              <w:rPr>
                <w:b/>
                <w:bCs/>
                <w:sz w:val="18"/>
                <w:szCs w:val="18"/>
              </w:rPr>
            </w:pPr>
            <w:r w:rsidRPr="00DA368E">
              <w:rPr>
                <w:b/>
                <w:bCs/>
                <w:sz w:val="18"/>
                <w:szCs w:val="18"/>
              </w:rPr>
              <w:t>82,</w:t>
            </w: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549EE0BE" w14:textId="77777777" w:rsidR="003976AC" w:rsidRPr="00DA368E" w:rsidRDefault="003976AC" w:rsidP="000B6FBF">
            <w:pPr>
              <w:jc w:val="center"/>
              <w:rPr>
                <w:b/>
                <w:bCs/>
                <w:sz w:val="18"/>
                <w:szCs w:val="18"/>
              </w:rPr>
            </w:pPr>
            <w:r w:rsidRPr="00DA368E">
              <w:rPr>
                <w:b/>
                <w:bCs/>
                <w:sz w:val="18"/>
                <w:szCs w:val="18"/>
              </w:rPr>
              <w:t>5,4%</w:t>
            </w:r>
          </w:p>
        </w:tc>
      </w:tr>
      <w:tr w:rsidR="003976AC" w:rsidRPr="00E84A96" w14:paraId="47BE9917" w14:textId="77777777" w:rsidTr="004104F3">
        <w:trPr>
          <w:trHeight w:val="20"/>
        </w:trPr>
        <w:tc>
          <w:tcPr>
            <w:tcW w:w="3261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7A409A03" w14:textId="77777777" w:rsidR="003976AC" w:rsidRPr="00E84A96" w:rsidRDefault="003976AC" w:rsidP="004104F3">
            <w:pPr>
              <w:rPr>
                <w:sz w:val="18"/>
                <w:szCs w:val="18"/>
                <w:highlight w:val="yellow"/>
              </w:rPr>
            </w:pPr>
            <w:r w:rsidRPr="00EE62B2">
              <w:rPr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879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1B615077" w14:textId="77777777" w:rsidR="003976AC" w:rsidRPr="00E82986" w:rsidRDefault="003976AC" w:rsidP="004104F3">
            <w:pPr>
              <w:jc w:val="right"/>
              <w:rPr>
                <w:sz w:val="18"/>
                <w:szCs w:val="18"/>
              </w:rPr>
            </w:pPr>
            <w:r w:rsidRPr="00E82986">
              <w:rPr>
                <w:sz w:val="18"/>
                <w:szCs w:val="18"/>
              </w:rPr>
              <w:t>1 122,0</w:t>
            </w:r>
          </w:p>
        </w:tc>
        <w:tc>
          <w:tcPr>
            <w:tcW w:w="87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7F58A3F1" w14:textId="77777777" w:rsidR="003976AC" w:rsidRPr="00F4133F" w:rsidRDefault="003976AC" w:rsidP="004104F3">
            <w:pPr>
              <w:jc w:val="right"/>
              <w:rPr>
                <w:sz w:val="18"/>
                <w:szCs w:val="18"/>
              </w:rPr>
            </w:pPr>
            <w:r w:rsidRPr="00F4133F">
              <w:rPr>
                <w:sz w:val="18"/>
                <w:szCs w:val="18"/>
              </w:rPr>
              <w:t>1 111,4</w:t>
            </w:r>
          </w:p>
        </w:tc>
        <w:tc>
          <w:tcPr>
            <w:tcW w:w="87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6965608" w14:textId="77777777" w:rsidR="003976AC" w:rsidRPr="00E84A96" w:rsidRDefault="003976AC" w:rsidP="004104F3">
            <w:pPr>
              <w:jc w:val="righ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1 113</w:t>
            </w:r>
            <w:r w:rsidRPr="00F4133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506F1F96" w14:textId="77777777" w:rsidR="003976AC" w:rsidRPr="00F4133F" w:rsidRDefault="003976AC" w:rsidP="004104F3">
            <w:pPr>
              <w:jc w:val="right"/>
              <w:rPr>
                <w:sz w:val="18"/>
                <w:szCs w:val="18"/>
              </w:rPr>
            </w:pPr>
            <w:r w:rsidRPr="00F4133F">
              <w:rPr>
                <w:sz w:val="18"/>
                <w:szCs w:val="18"/>
              </w:rPr>
              <w:t>1 102,7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521B9D8D" w14:textId="77777777" w:rsidR="003976AC" w:rsidRPr="00F4133F" w:rsidRDefault="003976AC" w:rsidP="004104F3">
            <w:pPr>
              <w:jc w:val="right"/>
              <w:rPr>
                <w:sz w:val="18"/>
                <w:szCs w:val="18"/>
              </w:rPr>
            </w:pPr>
            <w:r w:rsidRPr="00F4133F">
              <w:rPr>
                <w:sz w:val="18"/>
                <w:szCs w:val="18"/>
              </w:rPr>
              <w:t>1 082,8</w:t>
            </w:r>
          </w:p>
        </w:tc>
        <w:tc>
          <w:tcPr>
            <w:tcW w:w="85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877FED2" w14:textId="77777777" w:rsidR="003976AC" w:rsidRPr="00DA368E" w:rsidRDefault="003976AC" w:rsidP="000B6FBF">
            <w:pPr>
              <w:jc w:val="center"/>
              <w:rPr>
                <w:sz w:val="18"/>
                <w:szCs w:val="18"/>
              </w:rPr>
            </w:pPr>
            <w:r w:rsidRPr="00DA368E">
              <w:rPr>
                <w:sz w:val="18"/>
                <w:szCs w:val="18"/>
              </w:rPr>
              <w:t>2,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7E777489" w14:textId="77777777" w:rsidR="003976AC" w:rsidRPr="00DA368E" w:rsidRDefault="003976AC" w:rsidP="000B6FBF">
            <w:pPr>
              <w:jc w:val="center"/>
              <w:rPr>
                <w:sz w:val="18"/>
                <w:szCs w:val="18"/>
              </w:rPr>
            </w:pPr>
            <w:r w:rsidRPr="00DA368E">
              <w:rPr>
                <w:sz w:val="18"/>
                <w:szCs w:val="18"/>
              </w:rPr>
              <w:t>0,2%</w:t>
            </w:r>
          </w:p>
        </w:tc>
      </w:tr>
      <w:tr w:rsidR="003976AC" w:rsidRPr="00E84A96" w14:paraId="7DF0438F" w14:textId="77777777" w:rsidTr="00FE1526">
        <w:trPr>
          <w:trHeight w:val="20"/>
        </w:trPr>
        <w:tc>
          <w:tcPr>
            <w:tcW w:w="3261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03E1CA" w14:textId="77777777" w:rsidR="003976AC" w:rsidRPr="00E84A96" w:rsidRDefault="003976AC" w:rsidP="004104F3">
            <w:pPr>
              <w:rPr>
                <w:i/>
                <w:iCs/>
                <w:sz w:val="18"/>
                <w:szCs w:val="18"/>
                <w:highlight w:val="yellow"/>
              </w:rPr>
            </w:pPr>
            <w:r w:rsidRPr="00EE62B2">
              <w:rPr>
                <w:sz w:val="18"/>
                <w:szCs w:val="18"/>
              </w:rPr>
              <w:t>Дотации на выравнивание бюджетной обеспеченности  поселений</w:t>
            </w:r>
          </w:p>
        </w:tc>
        <w:tc>
          <w:tcPr>
            <w:tcW w:w="879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DFA0BCE" w14:textId="77777777" w:rsidR="003976AC" w:rsidRPr="00E82986" w:rsidRDefault="003976AC" w:rsidP="004104F3">
            <w:pPr>
              <w:jc w:val="right"/>
              <w:rPr>
                <w:i/>
                <w:iCs/>
                <w:sz w:val="18"/>
                <w:szCs w:val="18"/>
              </w:rPr>
            </w:pPr>
            <w:r w:rsidRPr="00E82986">
              <w:rPr>
                <w:i/>
                <w:iCs/>
                <w:sz w:val="18"/>
                <w:szCs w:val="18"/>
              </w:rPr>
              <w:t>1 069,6</w:t>
            </w:r>
          </w:p>
        </w:tc>
        <w:tc>
          <w:tcPr>
            <w:tcW w:w="878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CA39668" w14:textId="77777777" w:rsidR="003976AC" w:rsidRPr="00EC295F" w:rsidRDefault="003976AC" w:rsidP="004104F3">
            <w:pPr>
              <w:jc w:val="right"/>
              <w:rPr>
                <w:i/>
                <w:iCs/>
                <w:sz w:val="18"/>
                <w:szCs w:val="18"/>
              </w:rPr>
            </w:pPr>
            <w:r w:rsidRPr="00EC295F">
              <w:rPr>
                <w:i/>
                <w:iCs/>
                <w:sz w:val="18"/>
                <w:szCs w:val="18"/>
              </w:rPr>
              <w:t>1 081,5</w:t>
            </w:r>
          </w:p>
        </w:tc>
        <w:tc>
          <w:tcPr>
            <w:tcW w:w="878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3ACDF2F1" w14:textId="77777777" w:rsidR="003976AC" w:rsidRPr="00EC295F" w:rsidRDefault="003976AC" w:rsidP="004104F3">
            <w:pPr>
              <w:jc w:val="right"/>
              <w:rPr>
                <w:i/>
                <w:iCs/>
                <w:sz w:val="18"/>
                <w:szCs w:val="18"/>
              </w:rPr>
            </w:pPr>
            <w:r w:rsidRPr="00EC295F">
              <w:rPr>
                <w:i/>
                <w:iCs/>
                <w:sz w:val="18"/>
                <w:szCs w:val="18"/>
              </w:rPr>
              <w:t>1 081,</w:t>
            </w:r>
            <w:r>
              <w:rPr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09EDD541" w14:textId="77777777" w:rsidR="003976AC" w:rsidRPr="00EC295F" w:rsidRDefault="003976AC" w:rsidP="004104F3">
            <w:pPr>
              <w:jc w:val="right"/>
              <w:rPr>
                <w:i/>
                <w:iCs/>
                <w:sz w:val="18"/>
                <w:szCs w:val="18"/>
              </w:rPr>
            </w:pPr>
            <w:r w:rsidRPr="00EC295F">
              <w:rPr>
                <w:i/>
                <w:iCs/>
                <w:sz w:val="18"/>
                <w:szCs w:val="18"/>
              </w:rPr>
              <w:t>1 081,3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41ADFF4" w14:textId="77777777" w:rsidR="003976AC" w:rsidRPr="00EC295F" w:rsidRDefault="003976AC" w:rsidP="004104F3">
            <w:pPr>
              <w:jc w:val="right"/>
              <w:rPr>
                <w:i/>
                <w:iCs/>
                <w:sz w:val="18"/>
                <w:szCs w:val="18"/>
              </w:rPr>
            </w:pPr>
            <w:r w:rsidRPr="00EC295F">
              <w:rPr>
                <w:i/>
                <w:iCs/>
                <w:sz w:val="18"/>
                <w:szCs w:val="18"/>
              </w:rPr>
              <w:t>1 066,6</w:t>
            </w:r>
          </w:p>
        </w:tc>
        <w:tc>
          <w:tcPr>
            <w:tcW w:w="854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160E561B" w14:textId="77777777" w:rsidR="003976AC" w:rsidRPr="00DA368E" w:rsidRDefault="003976AC" w:rsidP="000B6FBF">
            <w:pPr>
              <w:jc w:val="center"/>
              <w:rPr>
                <w:i/>
                <w:iCs/>
                <w:sz w:val="18"/>
                <w:szCs w:val="18"/>
              </w:rPr>
            </w:pPr>
            <w:r w:rsidRPr="00DA368E">
              <w:rPr>
                <w:i/>
                <w:iCs/>
                <w:sz w:val="18"/>
                <w:szCs w:val="18"/>
              </w:rPr>
              <w:t>0</w:t>
            </w:r>
            <w:r>
              <w:rPr>
                <w:i/>
                <w:iCs/>
                <w:sz w:val="18"/>
                <w:szCs w:val="18"/>
              </w:rPr>
              <w:t>,1</w:t>
            </w:r>
          </w:p>
        </w:tc>
        <w:tc>
          <w:tcPr>
            <w:tcW w:w="10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F0A01B5" w14:textId="77777777" w:rsidR="003976AC" w:rsidRPr="00DA368E" w:rsidRDefault="003976AC" w:rsidP="000B6FBF">
            <w:pPr>
              <w:jc w:val="center"/>
              <w:rPr>
                <w:i/>
                <w:iCs/>
                <w:sz w:val="18"/>
                <w:szCs w:val="18"/>
              </w:rPr>
            </w:pPr>
            <w:r w:rsidRPr="00DA368E">
              <w:rPr>
                <w:i/>
                <w:iCs/>
                <w:sz w:val="18"/>
                <w:szCs w:val="18"/>
              </w:rPr>
              <w:t>0%</w:t>
            </w:r>
          </w:p>
        </w:tc>
      </w:tr>
      <w:tr w:rsidR="003976AC" w:rsidRPr="00E84A96" w14:paraId="4E55FC24" w14:textId="77777777" w:rsidTr="00FE1526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055CB7BE" w14:textId="77777777" w:rsidR="003976AC" w:rsidRPr="00EE62B2" w:rsidRDefault="003976AC" w:rsidP="004104F3">
            <w:pPr>
              <w:rPr>
                <w:i/>
                <w:iCs/>
                <w:sz w:val="18"/>
                <w:szCs w:val="18"/>
              </w:rPr>
            </w:pPr>
            <w:r w:rsidRPr="00EE62B2">
              <w:rPr>
                <w:sz w:val="18"/>
                <w:szCs w:val="18"/>
              </w:rPr>
              <w:t>Дотации  на выравнивание бюджетной обеспеченности  МР (ГО))</w:t>
            </w:r>
          </w:p>
        </w:tc>
        <w:tc>
          <w:tcPr>
            <w:tcW w:w="879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5101B1FD" w14:textId="77777777" w:rsidR="003976AC" w:rsidRPr="00E82986" w:rsidRDefault="003976AC" w:rsidP="004104F3">
            <w:pPr>
              <w:jc w:val="right"/>
              <w:rPr>
                <w:i/>
                <w:iCs/>
                <w:sz w:val="18"/>
                <w:szCs w:val="18"/>
              </w:rPr>
            </w:pPr>
            <w:r w:rsidRPr="00E82986">
              <w:rPr>
                <w:i/>
                <w:iCs/>
                <w:sz w:val="18"/>
                <w:szCs w:val="18"/>
              </w:rPr>
              <w:t>52,4</w:t>
            </w: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49161911" w14:textId="77777777" w:rsidR="003976AC" w:rsidRPr="00EC295F" w:rsidRDefault="003976AC" w:rsidP="004104F3">
            <w:pPr>
              <w:jc w:val="right"/>
              <w:rPr>
                <w:i/>
                <w:iCs/>
                <w:sz w:val="18"/>
                <w:szCs w:val="18"/>
              </w:rPr>
            </w:pPr>
            <w:r w:rsidRPr="00EC295F">
              <w:rPr>
                <w:i/>
                <w:iCs/>
                <w:sz w:val="18"/>
                <w:szCs w:val="18"/>
              </w:rPr>
              <w:t>29,9</w:t>
            </w:r>
          </w:p>
        </w:tc>
        <w:tc>
          <w:tcPr>
            <w:tcW w:w="878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6FCC7910" w14:textId="77777777" w:rsidR="003976AC" w:rsidRPr="00EC295F" w:rsidRDefault="003976AC" w:rsidP="004104F3">
            <w:pPr>
              <w:jc w:val="right"/>
              <w:rPr>
                <w:i/>
                <w:iCs/>
                <w:sz w:val="18"/>
                <w:szCs w:val="18"/>
              </w:rPr>
            </w:pPr>
            <w:r w:rsidRPr="00EC295F">
              <w:rPr>
                <w:i/>
                <w:iCs/>
                <w:sz w:val="18"/>
                <w:szCs w:val="18"/>
              </w:rPr>
              <w:t>32,2</w:t>
            </w:r>
          </w:p>
        </w:tc>
        <w:tc>
          <w:tcPr>
            <w:tcW w:w="8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124D5D7E" w14:textId="77777777" w:rsidR="003976AC" w:rsidRPr="00EC295F" w:rsidRDefault="003976AC" w:rsidP="004104F3">
            <w:pPr>
              <w:jc w:val="right"/>
              <w:rPr>
                <w:i/>
                <w:iCs/>
                <w:sz w:val="18"/>
                <w:szCs w:val="18"/>
              </w:rPr>
            </w:pPr>
            <w:r w:rsidRPr="00EC295F">
              <w:rPr>
                <w:i/>
                <w:iCs/>
                <w:sz w:val="18"/>
                <w:szCs w:val="18"/>
              </w:rPr>
              <w:t>21,4</w:t>
            </w:r>
          </w:p>
        </w:tc>
        <w:tc>
          <w:tcPr>
            <w:tcW w:w="87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3D0855DC" w14:textId="77777777" w:rsidR="003976AC" w:rsidRPr="00EC295F" w:rsidRDefault="003976AC" w:rsidP="004104F3">
            <w:pPr>
              <w:jc w:val="right"/>
              <w:rPr>
                <w:i/>
                <w:iCs/>
                <w:sz w:val="18"/>
                <w:szCs w:val="18"/>
              </w:rPr>
            </w:pPr>
            <w:r w:rsidRPr="00EC295F">
              <w:rPr>
                <w:i/>
                <w:iCs/>
                <w:sz w:val="18"/>
                <w:szCs w:val="18"/>
              </w:rPr>
              <w:t>16,2</w:t>
            </w:r>
          </w:p>
        </w:tc>
        <w:tc>
          <w:tcPr>
            <w:tcW w:w="854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3D29D69" w14:textId="77777777" w:rsidR="003976AC" w:rsidRPr="005C00D9" w:rsidRDefault="003976AC" w:rsidP="000B6FBF">
            <w:pPr>
              <w:jc w:val="center"/>
              <w:rPr>
                <w:i/>
                <w:iCs/>
                <w:sz w:val="18"/>
                <w:szCs w:val="18"/>
              </w:rPr>
            </w:pPr>
            <w:r w:rsidRPr="005C00D9">
              <w:rPr>
                <w:i/>
                <w:iCs/>
                <w:sz w:val="18"/>
                <w:szCs w:val="18"/>
              </w:rPr>
              <w:t>2,3</w:t>
            </w:r>
          </w:p>
        </w:tc>
        <w:tc>
          <w:tcPr>
            <w:tcW w:w="10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14:paraId="41ED795F" w14:textId="77777777" w:rsidR="003976AC" w:rsidRPr="005C00D9" w:rsidRDefault="003976AC" w:rsidP="000B6FBF">
            <w:pPr>
              <w:jc w:val="center"/>
              <w:rPr>
                <w:i/>
                <w:iCs/>
                <w:sz w:val="18"/>
                <w:szCs w:val="18"/>
              </w:rPr>
            </w:pPr>
            <w:r w:rsidRPr="005C00D9">
              <w:rPr>
                <w:i/>
                <w:iCs/>
                <w:sz w:val="18"/>
                <w:szCs w:val="18"/>
              </w:rPr>
              <w:t>7,7%</w:t>
            </w:r>
          </w:p>
        </w:tc>
      </w:tr>
      <w:tr w:rsidR="003976AC" w:rsidRPr="00E84A96" w14:paraId="233E7B51" w14:textId="77777777" w:rsidTr="004104F3">
        <w:trPr>
          <w:trHeight w:val="20"/>
        </w:trPr>
        <w:tc>
          <w:tcPr>
            <w:tcW w:w="3261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3B6C79F" w14:textId="77777777" w:rsidR="003976AC" w:rsidRPr="00EE62B2" w:rsidRDefault="003976AC" w:rsidP="004104F3">
            <w:pPr>
              <w:rPr>
                <w:sz w:val="18"/>
                <w:szCs w:val="18"/>
              </w:rPr>
            </w:pPr>
            <w:r w:rsidRPr="00EE62B2">
              <w:rPr>
                <w:sz w:val="18"/>
                <w:szCs w:val="18"/>
              </w:rPr>
              <w:t>Дотации на поддержку мер по обеспечению сбалансированности</w:t>
            </w:r>
          </w:p>
        </w:tc>
        <w:tc>
          <w:tcPr>
            <w:tcW w:w="879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614F0BC" w14:textId="77777777" w:rsidR="003976AC" w:rsidRPr="00E82986" w:rsidRDefault="003976AC" w:rsidP="004104F3">
            <w:pPr>
              <w:jc w:val="right"/>
              <w:rPr>
                <w:sz w:val="18"/>
                <w:szCs w:val="18"/>
              </w:rPr>
            </w:pPr>
            <w:r w:rsidRPr="00E82986">
              <w:rPr>
                <w:sz w:val="18"/>
                <w:szCs w:val="18"/>
              </w:rPr>
              <w:t>1 491,1</w:t>
            </w:r>
          </w:p>
        </w:tc>
        <w:tc>
          <w:tcPr>
            <w:tcW w:w="878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C642B33" w14:textId="77777777" w:rsidR="003976AC" w:rsidRPr="00E84A96" w:rsidRDefault="003976AC" w:rsidP="004104F3">
            <w:pPr>
              <w:jc w:val="right"/>
              <w:rPr>
                <w:sz w:val="18"/>
                <w:szCs w:val="18"/>
                <w:highlight w:val="yellow"/>
              </w:rPr>
            </w:pPr>
            <w:r w:rsidRPr="00F4133F">
              <w:rPr>
                <w:sz w:val="18"/>
                <w:szCs w:val="18"/>
              </w:rPr>
              <w:t>420,0</w:t>
            </w:r>
          </w:p>
        </w:tc>
        <w:tc>
          <w:tcPr>
            <w:tcW w:w="878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79DA0144" w14:textId="77777777" w:rsidR="003976AC" w:rsidRPr="00E470A0" w:rsidRDefault="003976AC" w:rsidP="004104F3">
            <w:pPr>
              <w:jc w:val="right"/>
              <w:rPr>
                <w:sz w:val="18"/>
                <w:szCs w:val="18"/>
              </w:rPr>
            </w:pPr>
            <w:r w:rsidRPr="00E470A0">
              <w:rPr>
                <w:sz w:val="18"/>
                <w:szCs w:val="18"/>
              </w:rPr>
              <w:t>500,0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3B6F8151" w14:textId="77777777" w:rsidR="003976AC" w:rsidRPr="00E470A0" w:rsidRDefault="003976AC" w:rsidP="004104F3">
            <w:pPr>
              <w:jc w:val="right"/>
              <w:rPr>
                <w:sz w:val="18"/>
                <w:szCs w:val="18"/>
              </w:rPr>
            </w:pPr>
            <w:r w:rsidRPr="00E470A0">
              <w:rPr>
                <w:sz w:val="18"/>
                <w:szCs w:val="18"/>
              </w:rPr>
              <w:t>100,0</w:t>
            </w:r>
          </w:p>
        </w:tc>
        <w:tc>
          <w:tcPr>
            <w:tcW w:w="87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FC0E4C1" w14:textId="77777777" w:rsidR="003976AC" w:rsidRPr="00E470A0" w:rsidRDefault="003976AC" w:rsidP="004104F3">
            <w:pPr>
              <w:jc w:val="right"/>
              <w:rPr>
                <w:sz w:val="18"/>
                <w:szCs w:val="18"/>
              </w:rPr>
            </w:pPr>
            <w:r w:rsidRPr="00E470A0">
              <w:rPr>
                <w:sz w:val="18"/>
                <w:szCs w:val="18"/>
              </w:rPr>
              <w:t>200,0</w:t>
            </w:r>
          </w:p>
        </w:tc>
        <w:tc>
          <w:tcPr>
            <w:tcW w:w="854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614A244" w14:textId="77777777" w:rsidR="003976AC" w:rsidRPr="005C00D9" w:rsidRDefault="003976AC" w:rsidP="000B6FBF">
            <w:pPr>
              <w:jc w:val="center"/>
              <w:rPr>
                <w:sz w:val="18"/>
                <w:szCs w:val="18"/>
              </w:rPr>
            </w:pPr>
            <w:r w:rsidRPr="005C00D9">
              <w:rPr>
                <w:sz w:val="18"/>
                <w:szCs w:val="18"/>
              </w:rPr>
              <w:t>80,0</w:t>
            </w:r>
          </w:p>
        </w:tc>
        <w:tc>
          <w:tcPr>
            <w:tcW w:w="10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0A208F5" w14:textId="77777777" w:rsidR="003976AC" w:rsidRPr="005C00D9" w:rsidRDefault="003976AC" w:rsidP="000B6FBF">
            <w:pPr>
              <w:jc w:val="center"/>
              <w:rPr>
                <w:sz w:val="18"/>
                <w:szCs w:val="18"/>
              </w:rPr>
            </w:pPr>
            <w:r w:rsidRPr="005C00D9">
              <w:rPr>
                <w:sz w:val="18"/>
                <w:szCs w:val="18"/>
              </w:rPr>
              <w:t>19,1%</w:t>
            </w:r>
          </w:p>
        </w:tc>
      </w:tr>
    </w:tbl>
    <w:p w14:paraId="2F0DA3E0" w14:textId="77777777" w:rsidR="003976AC" w:rsidRDefault="003976AC" w:rsidP="003976AC">
      <w:pPr>
        <w:ind w:firstLine="851"/>
        <w:jc w:val="both"/>
      </w:pPr>
    </w:p>
    <w:p w14:paraId="39548CDC" w14:textId="77777777" w:rsidR="003976AC" w:rsidRPr="005C00D9" w:rsidRDefault="003976AC" w:rsidP="003976AC">
      <w:pPr>
        <w:ind w:firstLine="851"/>
        <w:jc w:val="both"/>
      </w:pPr>
      <w:r w:rsidRPr="005C00D9">
        <w:lastRenderedPageBreak/>
        <w:t>Увеличение общего объема дотаций</w:t>
      </w:r>
      <w:r w:rsidRPr="005C00D9">
        <w:rPr>
          <w:rFonts w:eastAsia="TimesNewRomanPSMT"/>
        </w:rPr>
        <w:t xml:space="preserve"> из областного бюджета</w:t>
      </w:r>
      <w:r w:rsidRPr="005C00D9">
        <w:t xml:space="preserve"> местным бюджетам сложилось в основном за счет увеличения объема дотации на поддержку мер по обеспечению сбалансированности в 2021 году по сравнению с 2020 годом на 80 млн.</w:t>
      </w:r>
      <w:r w:rsidR="00071217">
        <w:t xml:space="preserve"> </w:t>
      </w:r>
      <w:r w:rsidRPr="005C00D9">
        <w:t>руб. (</w:t>
      </w:r>
      <w:r w:rsidR="00071217">
        <w:t xml:space="preserve">на </w:t>
      </w:r>
      <w:r w:rsidRPr="005C00D9">
        <w:t>19,1%). Возможность предоставления таких дотаций предусмотрена Законом Волгоградской области от 09.02.2011 №2151-ОД «О дотациях бюджетам муниципальных образований Волгоградской области на поддержку мер по обеспечению сбалансированности местных бюджетов».</w:t>
      </w:r>
    </w:p>
    <w:p w14:paraId="7BACAE82" w14:textId="77777777" w:rsidR="003976AC" w:rsidRPr="005C00D9" w:rsidRDefault="003976AC" w:rsidP="003976AC">
      <w:pPr>
        <w:ind w:firstLine="851"/>
        <w:jc w:val="both"/>
      </w:pPr>
      <w:r w:rsidRPr="005C00D9">
        <w:t>Дотации на выравнивание бюджетной обеспеченности на 2021 го</w:t>
      </w:r>
      <w:r>
        <w:t>д предусмотрены в размере 1113,8</w:t>
      </w:r>
      <w:r w:rsidRPr="005C00D9">
        <w:t xml:space="preserve"> млн. руб. и увеличены по сравнению с плановы</w:t>
      </w:r>
      <w:r>
        <w:t>ми показателями 2020 года на 2,4</w:t>
      </w:r>
      <w:r w:rsidRPr="005C00D9">
        <w:t xml:space="preserve"> млн. руб. (+0,2%) в основном за счет увеличения</w:t>
      </w:r>
      <w:r>
        <w:t xml:space="preserve"> </w:t>
      </w:r>
      <w:r w:rsidRPr="005C00D9">
        <w:rPr>
          <w:bCs/>
          <w:spacing w:val="-12"/>
        </w:rPr>
        <w:t>размера дотации после регулирования дополнительным нормативом отчислений от налога на доходы физических лиц в связи со снижением объема НДФЛ, подлежащего зачислению в местные бюджеты.</w:t>
      </w:r>
    </w:p>
    <w:p w14:paraId="2AAFA238" w14:textId="77777777" w:rsidR="00E52DCF" w:rsidRPr="005C00D9" w:rsidRDefault="00071217" w:rsidP="003976AC">
      <w:pPr>
        <w:ind w:firstLine="708"/>
        <w:jc w:val="both"/>
        <w:rPr>
          <w:rFonts w:eastAsia="Calibri"/>
        </w:rPr>
      </w:pPr>
      <w:r>
        <w:t>Для наглядности о</w:t>
      </w:r>
      <w:r w:rsidR="003976AC" w:rsidRPr="005C00D9">
        <w:t xml:space="preserve">бъемы дотаций </w:t>
      </w:r>
      <w:r w:rsidR="003976AC" w:rsidRPr="005C00D9">
        <w:rPr>
          <w:rFonts w:eastAsia="TimesNewRomanPSMT"/>
        </w:rPr>
        <w:t>из областного бюджета</w:t>
      </w:r>
      <w:r w:rsidR="003976AC" w:rsidRPr="005C00D9">
        <w:t xml:space="preserve"> местным бюджетам в 2019-2021 годах представлен</w:t>
      </w:r>
      <w:r>
        <w:t>ы</w:t>
      </w:r>
      <w:r w:rsidR="003976AC" w:rsidRPr="005C00D9">
        <w:t xml:space="preserve"> следующей диаграммой.</w:t>
      </w:r>
    </w:p>
    <w:p w14:paraId="2EEF14E3" w14:textId="77777777" w:rsidR="003976AC" w:rsidRPr="003976AC" w:rsidRDefault="00305038" w:rsidP="00305038">
      <w:pPr>
        <w:ind w:firstLine="720"/>
        <w:jc w:val="center"/>
        <w:rPr>
          <w:rFonts w:eastAsia="Calibri"/>
          <w:sz w:val="20"/>
          <w:szCs w:val="20"/>
          <w:highlight w:val="yellow"/>
        </w:rPr>
      </w:pPr>
      <w:r>
        <w:rPr>
          <w:rFonts w:eastAsia="Calibri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7D3D74">
        <w:rPr>
          <w:rFonts w:eastAsia="Calibri"/>
          <w:sz w:val="20"/>
          <w:szCs w:val="20"/>
        </w:rPr>
        <w:t xml:space="preserve">   </w:t>
      </w:r>
      <w:r>
        <w:rPr>
          <w:rFonts w:eastAsia="Calibri"/>
          <w:sz w:val="20"/>
          <w:szCs w:val="20"/>
        </w:rPr>
        <w:t xml:space="preserve"> </w:t>
      </w:r>
      <w:r w:rsidR="003976AC" w:rsidRPr="003976AC">
        <w:rPr>
          <w:rFonts w:eastAsia="Calibri"/>
          <w:sz w:val="20"/>
          <w:szCs w:val="20"/>
        </w:rPr>
        <w:t>млн. руб.</w:t>
      </w:r>
    </w:p>
    <w:p w14:paraId="25011A70" w14:textId="77777777" w:rsidR="003976AC" w:rsidRPr="004717DA" w:rsidRDefault="003976AC" w:rsidP="003976AC">
      <w:pPr>
        <w:jc w:val="both"/>
      </w:pPr>
      <w:r w:rsidRPr="00E84A96">
        <w:rPr>
          <w:rFonts w:eastAsia="Calibri"/>
          <w:noProof/>
          <w:highlight w:val="yellow"/>
        </w:rPr>
        <w:drawing>
          <wp:inline distT="0" distB="0" distL="0" distR="0" wp14:anchorId="37238A5E" wp14:editId="69800B04">
            <wp:extent cx="6182686" cy="1812022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36600997" w14:textId="77777777" w:rsidR="00E52DCF" w:rsidRDefault="00E52DCF" w:rsidP="007765CC">
      <w:pPr>
        <w:ind w:firstLine="709"/>
        <w:jc w:val="both"/>
      </w:pPr>
    </w:p>
    <w:p w14:paraId="1D5CA399" w14:textId="77777777" w:rsidR="00E52DCF" w:rsidRDefault="00E52DCF" w:rsidP="007765CC">
      <w:pPr>
        <w:ind w:firstLine="709"/>
        <w:jc w:val="both"/>
      </w:pPr>
    </w:p>
    <w:p w14:paraId="05FCF1D6" w14:textId="77777777" w:rsidR="007765CC" w:rsidRPr="00A27310" w:rsidRDefault="007765CC" w:rsidP="007765CC">
      <w:pPr>
        <w:ind w:firstLine="709"/>
        <w:jc w:val="both"/>
        <w:rPr>
          <w:b/>
          <w:i/>
        </w:rPr>
      </w:pPr>
      <w:r w:rsidRPr="00A27310">
        <w:t>По результатам экспертизы законопроекта «Об областном бюджете на 20</w:t>
      </w:r>
      <w:r w:rsidR="00A4047B">
        <w:t>21</w:t>
      </w:r>
      <w:r w:rsidRPr="00A27310">
        <w:t xml:space="preserve"> год и на плановый период 20</w:t>
      </w:r>
      <w:r>
        <w:t>2</w:t>
      </w:r>
      <w:r w:rsidR="00A4047B">
        <w:t>2</w:t>
      </w:r>
      <w:r>
        <w:t xml:space="preserve"> </w:t>
      </w:r>
      <w:r w:rsidRPr="00A27310">
        <w:t>и 20</w:t>
      </w:r>
      <w:r>
        <w:t>2</w:t>
      </w:r>
      <w:r w:rsidR="00A4047B">
        <w:t>3</w:t>
      </w:r>
      <w:r w:rsidRPr="00A27310">
        <w:t xml:space="preserve"> годов», проведенной </w:t>
      </w:r>
      <w:r>
        <w:t>КСП</w:t>
      </w:r>
      <w:r w:rsidRPr="00A27310">
        <w:t xml:space="preserve"> к 1 чтению, можно сделать </w:t>
      </w:r>
      <w:r w:rsidRPr="00A27310">
        <w:rPr>
          <w:b/>
          <w:i/>
          <w:u w:val="single"/>
        </w:rPr>
        <w:t xml:space="preserve">следующие </w:t>
      </w:r>
      <w:r>
        <w:rPr>
          <w:b/>
          <w:i/>
          <w:u w:val="single"/>
        </w:rPr>
        <w:t xml:space="preserve">основные </w:t>
      </w:r>
      <w:r w:rsidRPr="00A27310">
        <w:rPr>
          <w:b/>
          <w:i/>
          <w:u w:val="single"/>
        </w:rPr>
        <w:t>выводы</w:t>
      </w:r>
      <w:r w:rsidRPr="00A27310">
        <w:rPr>
          <w:b/>
          <w:i/>
        </w:rPr>
        <w:t>:</w:t>
      </w:r>
    </w:p>
    <w:p w14:paraId="53D65CA2" w14:textId="77777777" w:rsidR="007765CC" w:rsidRPr="004C005C" w:rsidRDefault="007765CC" w:rsidP="007765CC">
      <w:pPr>
        <w:ind w:firstLine="708"/>
        <w:jc w:val="center"/>
        <w:rPr>
          <w:b/>
          <w:i/>
          <w:sz w:val="16"/>
          <w:szCs w:val="16"/>
        </w:rPr>
      </w:pPr>
    </w:p>
    <w:p w14:paraId="61AC8E0A" w14:textId="77777777" w:rsidR="007765CC" w:rsidRDefault="007765CC" w:rsidP="007765CC">
      <w:pPr>
        <w:ind w:firstLine="708"/>
        <w:jc w:val="both"/>
        <w:rPr>
          <w:b/>
          <w:i/>
        </w:rPr>
      </w:pPr>
      <w:r w:rsidRPr="00A27310">
        <w:t>-</w:t>
      </w:r>
      <w:r w:rsidRPr="00A27310">
        <w:rPr>
          <w:b/>
          <w:i/>
        </w:rPr>
        <w:t>по концепции законопроекта</w:t>
      </w:r>
    </w:p>
    <w:p w14:paraId="33D1F1A5" w14:textId="77777777" w:rsidR="005D285F" w:rsidRDefault="008A31F8" w:rsidP="005D285F">
      <w:pPr>
        <w:keepNext/>
        <w:keepLines/>
        <w:autoSpaceDE w:val="0"/>
        <w:autoSpaceDN w:val="0"/>
        <w:adjustRightInd w:val="0"/>
        <w:ind w:firstLine="708"/>
        <w:jc w:val="both"/>
      </w:pPr>
      <w:r w:rsidRPr="008A31F8">
        <w:rPr>
          <w:b/>
        </w:rPr>
        <w:t xml:space="preserve">1. </w:t>
      </w:r>
      <w:r w:rsidR="005D285F" w:rsidRPr="005D285F">
        <w:t>Н</w:t>
      </w:r>
      <w:r w:rsidR="005D285F">
        <w:t xml:space="preserve">а момент внесения в областную Думу проекта бюджета на следующий финансовый год и двухлетний плановый период </w:t>
      </w:r>
      <w:r w:rsidR="005D285F" w:rsidRPr="005D285F">
        <w:t>ассигнования по расходам, предусмотренные утвержденным бюджетом на 2020 год, отличаются (меньше) от расходов сводной бюджетной рос</w:t>
      </w:r>
      <w:r w:rsidR="005D285F">
        <w:t>писи расходов на текущий год более</w:t>
      </w:r>
      <w:r w:rsidR="005D285F" w:rsidRPr="005D285F">
        <w:t>, чем на 10000 млн. руб.</w:t>
      </w:r>
      <w:r w:rsidR="005D285F">
        <w:t xml:space="preserve">, что не позволяет объективно оценить </w:t>
      </w:r>
      <w:r w:rsidR="00B700A6">
        <w:t xml:space="preserve">реальный </w:t>
      </w:r>
      <w:r w:rsidR="005D285F">
        <w:t>рост (либо снижение) планируемых на 2021 год бюджетных ассигнований относительно текущего года, делает вне</w:t>
      </w:r>
      <w:r w:rsidR="00522CBF">
        <w:t>сенный проект непрозрачным для рассмотрения</w:t>
      </w:r>
      <w:r w:rsidR="005D285F">
        <w:t xml:space="preserve"> и финансово-экономической экспертизы.</w:t>
      </w:r>
    </w:p>
    <w:p w14:paraId="183022E2" w14:textId="77777777" w:rsidR="008A31F8" w:rsidRDefault="008A31F8" w:rsidP="008A31F8">
      <w:pPr>
        <w:ind w:firstLine="709"/>
        <w:jc w:val="both"/>
      </w:pPr>
      <w:r w:rsidRPr="008A31F8">
        <w:rPr>
          <w:b/>
        </w:rPr>
        <w:t>2.</w:t>
      </w:r>
      <w:r>
        <w:t xml:space="preserve"> В нарушение статьи 179.4 БК РФ, согласно которой объем бюджетных ассигнований дорожного фонда утверждается законом субъекта РФ о бюджете на очередной финансовый год и плановый период </w:t>
      </w:r>
      <w:r w:rsidRPr="00535F85">
        <w:t>в размере не менее прогнозируемого объема установленных законом субъекта РФ доходов дорожного фонда</w:t>
      </w:r>
      <w:r>
        <w:t>, объем бюджетных ассигнований дорожного фонда Волгоградской области на 2021 год предлагается утвердить в сумме 12245,5 млн. руб., что меньше прогнозируемого объема соответствующих доходов на 3538,7 млн. рублей. С учетом неиспользованных в 2020 году бюджетных ассигнований дорожного фонда</w:t>
      </w:r>
      <w:r w:rsidRPr="00F5279B">
        <w:t xml:space="preserve"> </w:t>
      </w:r>
      <w:r>
        <w:t xml:space="preserve">Волгоградской области и </w:t>
      </w:r>
      <w:r w:rsidRPr="006D7DD9">
        <w:t>положительн</w:t>
      </w:r>
      <w:r>
        <w:t>ой</w:t>
      </w:r>
      <w:r w:rsidRPr="006D7DD9">
        <w:t xml:space="preserve"> разниц</w:t>
      </w:r>
      <w:r>
        <w:t>ы</w:t>
      </w:r>
      <w:r w:rsidRPr="006D7DD9">
        <w:t xml:space="preserve"> между фактически поступившим и прогнозировавшимся объемом доходов</w:t>
      </w:r>
      <w:r>
        <w:t xml:space="preserve"> в сумме 578,7 млн. руб. недостаток средств, формирующих дорожный фонд, составляет 4117,4 млн. рублей. </w:t>
      </w:r>
    </w:p>
    <w:p w14:paraId="09B6E6B6" w14:textId="77777777" w:rsidR="00FE1526" w:rsidRDefault="00FE1526" w:rsidP="00FE1526">
      <w:pPr>
        <w:ind w:firstLine="709"/>
        <w:jc w:val="both"/>
      </w:pPr>
      <w:r w:rsidRPr="00FE1526">
        <w:rPr>
          <w:b/>
        </w:rPr>
        <w:t>3.</w:t>
      </w:r>
      <w:r>
        <w:t xml:space="preserve"> В 2021 году в качестве источника внутреннего финансирования дефицита областного бюджета</w:t>
      </w:r>
      <w:r w:rsidRPr="00977255">
        <w:t xml:space="preserve"> </w:t>
      </w:r>
      <w:r>
        <w:t xml:space="preserve">предлагается привлечение остатков средств на счетах бюджетных и автономных учреждений в сумме 1615,3 млн. руб. Объем указанных средств в документах и материалах, представляемых с законопроектом, не обоснован, соответствующий расчет отсутствует, чем </w:t>
      </w:r>
      <w:r>
        <w:lastRenderedPageBreak/>
        <w:t xml:space="preserve">не соблюдены требования статьи 13.1 Закона Волгоградской области от 11.06.2008 №1694-ОД «О бюджетном процессе в Волгоградской области». Порядок привлечения остатков средств бюджетных и автономных учреждений на единый счет бюджета Волгоградской области на дату экспертизы законопроекта не установлен. Включение в состав источников внутреннего финансирования дефицита областного бюджета  необоснованных сумм с учетом обязанности их возврата до конца финансового года создает риски несоблюдения принципа  сбалансированности областного бюджета, установленного статьей 33 БК РФ. </w:t>
      </w:r>
    </w:p>
    <w:p w14:paraId="48BD86D8" w14:textId="77777777" w:rsidR="008A31F8" w:rsidRDefault="008A31F8" w:rsidP="008A31F8">
      <w:pPr>
        <w:ind w:firstLine="709"/>
        <w:jc w:val="both"/>
        <w:rPr>
          <w:rFonts w:eastAsiaTheme="minorHAnsi"/>
          <w:lang w:eastAsia="en-US"/>
        </w:rPr>
      </w:pPr>
    </w:p>
    <w:p w14:paraId="29EAE52F" w14:textId="77777777" w:rsidR="002951B2" w:rsidRPr="00B9355D" w:rsidRDefault="002951B2" w:rsidP="002951B2">
      <w:pPr>
        <w:ind w:firstLine="709"/>
        <w:jc w:val="both"/>
        <w:rPr>
          <w:b/>
          <w:i/>
        </w:rPr>
      </w:pPr>
      <w:r w:rsidRPr="00B9355D">
        <w:rPr>
          <w:b/>
          <w:i/>
        </w:rPr>
        <w:t>-по прогнозу социально-экономического развития Волгоградской области</w:t>
      </w:r>
    </w:p>
    <w:p w14:paraId="33671850" w14:textId="77777777" w:rsidR="00B15CAC" w:rsidRPr="00305038" w:rsidRDefault="00FE1526" w:rsidP="00B15CAC">
      <w:pPr>
        <w:ind w:firstLine="680"/>
        <w:jc w:val="both"/>
      </w:pPr>
      <w:r w:rsidRPr="00305038">
        <w:rPr>
          <w:b/>
        </w:rPr>
        <w:t>4</w:t>
      </w:r>
      <w:r w:rsidR="003770A2" w:rsidRPr="00305038">
        <w:rPr>
          <w:b/>
        </w:rPr>
        <w:t>.</w:t>
      </w:r>
      <w:r w:rsidR="00305038" w:rsidRPr="00305038">
        <w:rPr>
          <w:b/>
        </w:rPr>
        <w:t xml:space="preserve"> </w:t>
      </w:r>
      <w:r w:rsidR="00305038" w:rsidRPr="00305038">
        <w:t xml:space="preserve">Анализ основных макроэкономических показателей </w:t>
      </w:r>
      <w:r w:rsidR="00305038">
        <w:t xml:space="preserve">развития Волгоградской области </w:t>
      </w:r>
      <w:r w:rsidR="00305038" w:rsidRPr="00305038">
        <w:t>показал, что в 2020 году по всем основным показателям ожидается снижение темпов роста в сопоставимых ценах. В</w:t>
      </w:r>
      <w:r w:rsidR="00305038">
        <w:t xml:space="preserve">месте с тем в </w:t>
      </w:r>
      <w:r w:rsidR="00305038" w:rsidRPr="00305038">
        <w:t>2021 году по большинству показателей прогнозируется рост, причем темп</w:t>
      </w:r>
      <w:r w:rsidR="00305038">
        <w:t>ы</w:t>
      </w:r>
      <w:r w:rsidR="00305038" w:rsidRPr="00305038">
        <w:t xml:space="preserve"> роста  выше, чем предусматривается в 2022-2023 г</w:t>
      </w:r>
      <w:r w:rsidR="00305038">
        <w:t>одах</w:t>
      </w:r>
      <w:r w:rsidR="00305038" w:rsidRPr="00305038">
        <w:t>,</w:t>
      </w:r>
      <w:r w:rsidR="00305038">
        <w:t xml:space="preserve"> и выше среднероссийских показателей.</w:t>
      </w:r>
      <w:r w:rsidR="00B15CAC">
        <w:t xml:space="preserve"> В </w:t>
      </w:r>
      <w:r w:rsidR="00B15CAC" w:rsidRPr="00305038">
        <w:t>Прогноз</w:t>
      </w:r>
      <w:r w:rsidR="00B15CAC">
        <w:t>е</w:t>
      </w:r>
      <w:r w:rsidR="00B15CAC" w:rsidRPr="00305038">
        <w:t xml:space="preserve"> СЭР </w:t>
      </w:r>
      <w:r w:rsidR="00B15CAC">
        <w:t xml:space="preserve">на 2021-2023 годы </w:t>
      </w:r>
      <w:r w:rsidR="00850AC1">
        <w:t>отсутствуют</w:t>
      </w:r>
      <w:r w:rsidR="00B15CAC" w:rsidRPr="00305038">
        <w:t xml:space="preserve"> обосновани</w:t>
      </w:r>
      <w:r w:rsidR="00850AC1">
        <w:t>я экономического роста региона в прогнозируемом периоде</w:t>
      </w:r>
      <w:r w:rsidR="00B15CAC" w:rsidRPr="00305038">
        <w:t>.</w:t>
      </w:r>
    </w:p>
    <w:p w14:paraId="151C7F8B" w14:textId="77777777" w:rsidR="00305038" w:rsidRPr="00305038" w:rsidRDefault="00305038" w:rsidP="00305038">
      <w:pPr>
        <w:ind w:firstLine="680"/>
        <w:jc w:val="both"/>
      </w:pPr>
      <w:r w:rsidRPr="00305038">
        <w:t>По оценке КСП существу</w:t>
      </w:r>
      <w:r w:rsidR="00850AC1">
        <w:t>ю</w:t>
      </w:r>
      <w:r w:rsidRPr="00305038">
        <w:t>т риск</w:t>
      </w:r>
      <w:r w:rsidR="00850AC1">
        <w:t>и</w:t>
      </w:r>
      <w:r w:rsidRPr="00305038">
        <w:t xml:space="preserve"> недостижения ряда основных макроэкономических показателей </w:t>
      </w:r>
      <w:r w:rsidR="00850AC1">
        <w:t>(</w:t>
      </w:r>
      <w:r w:rsidRPr="00305038">
        <w:t xml:space="preserve">ВРП, </w:t>
      </w:r>
      <w:r w:rsidR="00850AC1">
        <w:t>о</w:t>
      </w:r>
      <w:r w:rsidRPr="00305038">
        <w:t>бъем</w:t>
      </w:r>
      <w:r w:rsidR="00850AC1">
        <w:t>а</w:t>
      </w:r>
      <w:r w:rsidRPr="00305038">
        <w:t xml:space="preserve"> отгруженных товаров собственного производства, выполненных работ и услуг собственными силами, оборот</w:t>
      </w:r>
      <w:r w:rsidR="00850AC1">
        <w:t>а</w:t>
      </w:r>
      <w:r w:rsidRPr="00305038">
        <w:t xml:space="preserve"> розничной торговли, объем</w:t>
      </w:r>
      <w:r w:rsidR="00850AC1">
        <w:t>а</w:t>
      </w:r>
      <w:r w:rsidRPr="00305038">
        <w:t xml:space="preserve"> платных услуг</w:t>
      </w:r>
      <w:r w:rsidR="00850AC1">
        <w:t xml:space="preserve"> населению</w:t>
      </w:r>
      <w:r w:rsidRPr="00305038">
        <w:t>)</w:t>
      </w:r>
      <w:r w:rsidR="00F67629">
        <w:t xml:space="preserve"> в 2021 году</w:t>
      </w:r>
      <w:r w:rsidRPr="00305038">
        <w:t>.</w:t>
      </w:r>
    </w:p>
    <w:p w14:paraId="0155C01B" w14:textId="77777777" w:rsidR="0046329F" w:rsidRDefault="0046329F" w:rsidP="002501FE">
      <w:pPr>
        <w:autoSpaceDE w:val="0"/>
        <w:autoSpaceDN w:val="0"/>
        <w:adjustRightInd w:val="0"/>
        <w:ind w:firstLine="720"/>
        <w:jc w:val="both"/>
        <w:outlineLvl w:val="0"/>
      </w:pPr>
      <w:r>
        <w:t>Анализ Прогноза СЭР по отраслевым разделам показал, что отдельные показатели прогноза не соответствуют тем же показателям в федеральных, региональных проектах и государственных программах Волгоградской области, что является свидетельством недостаточно качественной подготовки документа.</w:t>
      </w:r>
    </w:p>
    <w:p w14:paraId="51B77FA9" w14:textId="77777777" w:rsidR="0046329F" w:rsidRPr="0046329F" w:rsidRDefault="0046329F" w:rsidP="002501FE">
      <w:pPr>
        <w:autoSpaceDE w:val="0"/>
        <w:autoSpaceDN w:val="0"/>
        <w:adjustRightInd w:val="0"/>
        <w:ind w:firstLine="720"/>
        <w:jc w:val="both"/>
        <w:outlineLvl w:val="0"/>
      </w:pPr>
    </w:p>
    <w:p w14:paraId="07A9448D" w14:textId="77777777" w:rsidR="002501FE" w:rsidRDefault="002501FE" w:rsidP="002501FE">
      <w:pPr>
        <w:autoSpaceDE w:val="0"/>
        <w:autoSpaceDN w:val="0"/>
        <w:adjustRightInd w:val="0"/>
        <w:ind w:firstLine="720"/>
        <w:jc w:val="both"/>
        <w:outlineLvl w:val="0"/>
        <w:rPr>
          <w:b/>
          <w:i/>
        </w:rPr>
      </w:pPr>
      <w:r w:rsidRPr="00A27310">
        <w:rPr>
          <w:b/>
          <w:i/>
        </w:rPr>
        <w:t>-по доходной части областного бюджета</w:t>
      </w:r>
    </w:p>
    <w:p w14:paraId="03B77F1D" w14:textId="77777777" w:rsidR="001C6CB8" w:rsidRPr="001C6CB8" w:rsidRDefault="00FE1526" w:rsidP="001C6CB8">
      <w:pPr>
        <w:pStyle w:val="Default"/>
        <w:ind w:firstLine="708"/>
        <w:jc w:val="both"/>
      </w:pPr>
      <w:r>
        <w:rPr>
          <w:b/>
        </w:rPr>
        <w:t>5</w:t>
      </w:r>
      <w:r w:rsidR="001C6CB8" w:rsidRPr="001C6CB8">
        <w:rPr>
          <w:b/>
        </w:rPr>
        <w:t xml:space="preserve">. </w:t>
      </w:r>
      <w:r w:rsidR="001C6CB8">
        <w:t xml:space="preserve">По экспертной оценке КСП имеются резервы увеличения </w:t>
      </w:r>
      <w:r w:rsidR="001C6CB8" w:rsidRPr="001C6CB8">
        <w:t xml:space="preserve">доходов </w:t>
      </w:r>
      <w:r w:rsidR="001C6CB8">
        <w:t xml:space="preserve">областного бюджета на 2021 год </w:t>
      </w:r>
      <w:r w:rsidR="001C6CB8" w:rsidRPr="001C6CB8">
        <w:t>на общую сумму 883,9 млн. руб., из них резервы увеличения налоговых доходов</w:t>
      </w:r>
      <w:r w:rsidR="001C6CB8">
        <w:t xml:space="preserve"> </w:t>
      </w:r>
      <w:r w:rsidR="00502332">
        <w:t xml:space="preserve">- </w:t>
      </w:r>
      <w:r w:rsidR="001C6CB8" w:rsidRPr="001C6CB8">
        <w:t>931,6 млн. руб.</w:t>
      </w:r>
      <w:r w:rsidR="001C6CB8">
        <w:t xml:space="preserve"> (по НДФЛ - 771,6 млн. руб., по акцизам на пиво – 160 млн. руб.)</w:t>
      </w:r>
      <w:r w:rsidR="001C6CB8" w:rsidRPr="001C6CB8">
        <w:t xml:space="preserve">, риски уменьшения безвозмездных поступлений </w:t>
      </w:r>
      <w:r w:rsidR="00502332">
        <w:t xml:space="preserve">- </w:t>
      </w:r>
      <w:r w:rsidR="001C6CB8" w:rsidRPr="001C6CB8">
        <w:t xml:space="preserve">47,7 млн. рублей. </w:t>
      </w:r>
    </w:p>
    <w:p w14:paraId="31941D41" w14:textId="77777777" w:rsidR="00EF45EF" w:rsidRPr="00094CF0" w:rsidRDefault="00EF45EF" w:rsidP="00EF45EF">
      <w:pPr>
        <w:ind w:firstLine="708"/>
        <w:jc w:val="both"/>
      </w:pPr>
      <w:r>
        <w:t xml:space="preserve">Потери областного бюджета от налоговых расходов в 2021 году прогнозируются в сумме 8100 млн. руб., что меньше ожидаемого показателя </w:t>
      </w:r>
      <w:r w:rsidR="00FE1526">
        <w:t>за</w:t>
      </w:r>
      <w:r>
        <w:t xml:space="preserve"> 2020 год на 737,9 млн. руб., или на 8,3 процента.</w:t>
      </w:r>
    </w:p>
    <w:p w14:paraId="1A33166A" w14:textId="77777777" w:rsidR="00B9355D" w:rsidRDefault="00B9355D" w:rsidP="00AD7E54">
      <w:pPr>
        <w:ind w:firstLine="709"/>
        <w:jc w:val="both"/>
      </w:pPr>
    </w:p>
    <w:p w14:paraId="34EFA525" w14:textId="77777777" w:rsidR="00AD7E54" w:rsidRPr="008E16A7" w:rsidRDefault="00AD7E54" w:rsidP="00AD7E54">
      <w:pPr>
        <w:ind w:firstLine="720"/>
        <w:jc w:val="both"/>
        <w:rPr>
          <w:b/>
          <w:i/>
        </w:rPr>
      </w:pPr>
      <w:r w:rsidRPr="008E16A7">
        <w:rPr>
          <w:b/>
          <w:i/>
        </w:rPr>
        <w:t>-по общему объему расходов областного бюджета</w:t>
      </w:r>
    </w:p>
    <w:p w14:paraId="689F3E9A" w14:textId="77777777" w:rsidR="00F64A48" w:rsidRPr="00502332" w:rsidRDefault="0039771B" w:rsidP="007765CC">
      <w:pPr>
        <w:ind w:firstLine="720"/>
        <w:jc w:val="both"/>
      </w:pPr>
      <w:r>
        <w:rPr>
          <w:b/>
        </w:rPr>
        <w:t>6</w:t>
      </w:r>
      <w:r w:rsidR="009458C4" w:rsidRPr="009458C4">
        <w:rPr>
          <w:b/>
        </w:rPr>
        <w:t xml:space="preserve">. </w:t>
      </w:r>
      <w:r w:rsidR="00502332" w:rsidRPr="00502332">
        <w:t>К</w:t>
      </w:r>
      <w:r w:rsidR="00502332">
        <w:t>ак и в предыдущие годы, согласно представленному реестру объемы расходных обязательств Волгоградской области на 2021-2023 годы соответствуют предусмотренным проектом бюджета ассигнованиям, т. е.</w:t>
      </w:r>
      <w:r w:rsidR="00730977">
        <w:t>,</w:t>
      </w:r>
      <w:r w:rsidR="00502332">
        <w:t xml:space="preserve"> по сути, «подогнаны» под финансовые возможности проектируемого бюджета, что свидетельствует о не</w:t>
      </w:r>
      <w:r w:rsidR="00730977">
        <w:t>соблюде</w:t>
      </w:r>
      <w:r w:rsidR="00502332">
        <w:t xml:space="preserve">нии требований, предъявляемых к реестрам расходных обязательств субъектов РФ </w:t>
      </w:r>
      <w:r w:rsidR="00502332">
        <w:rPr>
          <w:color w:val="000000"/>
        </w:rPr>
        <w:t>частью 2 статьи 87 БК РФ.</w:t>
      </w:r>
      <w:r w:rsidR="00502332">
        <w:t xml:space="preserve">   </w:t>
      </w:r>
    </w:p>
    <w:p w14:paraId="403182B2" w14:textId="77777777" w:rsidR="009458C4" w:rsidRDefault="00F9363C" w:rsidP="007765CC">
      <w:pPr>
        <w:ind w:firstLine="720"/>
        <w:jc w:val="both"/>
        <w:rPr>
          <w:color w:val="000000"/>
        </w:rPr>
      </w:pPr>
      <w:r>
        <w:t>Кроме того, о</w:t>
      </w:r>
      <w:r w:rsidRPr="00F9363C">
        <w:rPr>
          <w:color w:val="000000"/>
        </w:rPr>
        <w:t xml:space="preserve">тсутствие в </w:t>
      </w:r>
      <w:r>
        <w:rPr>
          <w:color w:val="000000"/>
        </w:rPr>
        <w:t>большинстве расходных статей законопроекта конкретных сумм</w:t>
      </w:r>
      <w:r w:rsidRPr="00F9363C">
        <w:rPr>
          <w:color w:val="000000"/>
        </w:rPr>
        <w:t xml:space="preserve">, а также </w:t>
      </w:r>
      <w:r w:rsidR="007942B8">
        <w:rPr>
          <w:color w:val="000000"/>
        </w:rPr>
        <w:t xml:space="preserve">отсутствие в материалах, представленных с законопроектом, </w:t>
      </w:r>
      <w:r w:rsidRPr="007942B8">
        <w:t>расчетов</w:t>
      </w:r>
      <w:r w:rsidRPr="00F9363C">
        <w:rPr>
          <w:color w:val="FF0000"/>
        </w:rPr>
        <w:t xml:space="preserve"> </w:t>
      </w:r>
      <w:r w:rsidR="007942B8" w:rsidRPr="007942B8">
        <w:t>главных</w:t>
      </w:r>
      <w:r w:rsidR="007942B8">
        <w:rPr>
          <w:color w:val="FF0000"/>
        </w:rPr>
        <w:t xml:space="preserve"> </w:t>
      </w:r>
      <w:r w:rsidR="007942B8" w:rsidRPr="007942B8">
        <w:t>распорядителей</w:t>
      </w:r>
      <w:r w:rsidR="007942B8">
        <w:rPr>
          <w:color w:val="FF0000"/>
        </w:rPr>
        <w:t xml:space="preserve"> </w:t>
      </w:r>
      <w:r w:rsidR="007942B8" w:rsidRPr="007942B8">
        <w:t>бюджетных средств</w:t>
      </w:r>
      <w:r w:rsidR="007942B8">
        <w:rPr>
          <w:color w:val="FF0000"/>
        </w:rPr>
        <w:t xml:space="preserve"> </w:t>
      </w:r>
      <w:r w:rsidR="007942B8" w:rsidRPr="007942B8">
        <w:t>(профильных комитетов)</w:t>
      </w:r>
      <w:r w:rsidR="007942B8">
        <w:rPr>
          <w:color w:val="FF0000"/>
        </w:rPr>
        <w:t xml:space="preserve"> </w:t>
      </w:r>
      <w:r w:rsidRPr="00F9363C">
        <w:rPr>
          <w:color w:val="000000"/>
        </w:rPr>
        <w:t>вносит значительную неопределенность в обоснованность и достаточность</w:t>
      </w:r>
      <w:r w:rsidR="007942B8">
        <w:rPr>
          <w:color w:val="000000"/>
        </w:rPr>
        <w:t xml:space="preserve"> </w:t>
      </w:r>
      <w:r w:rsidR="007942B8" w:rsidRPr="00F9363C">
        <w:rPr>
          <w:color w:val="000000"/>
        </w:rPr>
        <w:t xml:space="preserve">запланированных в </w:t>
      </w:r>
      <w:r w:rsidR="00730977">
        <w:rPr>
          <w:color w:val="000000"/>
        </w:rPr>
        <w:t>законо</w:t>
      </w:r>
      <w:r w:rsidR="007942B8" w:rsidRPr="00F9363C">
        <w:rPr>
          <w:color w:val="000000"/>
        </w:rPr>
        <w:t>проекте бюджетных ассигнований</w:t>
      </w:r>
      <w:r w:rsidRPr="00F9363C">
        <w:rPr>
          <w:color w:val="000000"/>
        </w:rPr>
        <w:t>.</w:t>
      </w:r>
    </w:p>
    <w:p w14:paraId="466FBDF5" w14:textId="77777777" w:rsidR="00F8542D" w:rsidRPr="00F9363C" w:rsidRDefault="00F8542D" w:rsidP="007765CC">
      <w:pPr>
        <w:ind w:firstLine="720"/>
        <w:jc w:val="both"/>
      </w:pPr>
    </w:p>
    <w:p w14:paraId="47D72AEF" w14:textId="77777777" w:rsidR="007765CC" w:rsidRDefault="007765CC" w:rsidP="007765CC">
      <w:pPr>
        <w:ind w:firstLine="720"/>
        <w:jc w:val="both"/>
        <w:rPr>
          <w:b/>
          <w:i/>
        </w:rPr>
      </w:pPr>
      <w:r w:rsidRPr="00A27310">
        <w:rPr>
          <w:b/>
          <w:i/>
        </w:rPr>
        <w:t>-по дефициту</w:t>
      </w:r>
      <w:r w:rsidR="002501FE">
        <w:rPr>
          <w:b/>
          <w:i/>
        </w:rPr>
        <w:t xml:space="preserve"> (профициту)</w:t>
      </w:r>
      <w:r w:rsidRPr="00A27310">
        <w:rPr>
          <w:b/>
          <w:i/>
        </w:rPr>
        <w:t xml:space="preserve"> областного бюджета</w:t>
      </w:r>
      <w:r>
        <w:rPr>
          <w:b/>
          <w:i/>
        </w:rPr>
        <w:t>, программе государственных внутренних заимствований</w:t>
      </w:r>
      <w:r w:rsidR="004324B0">
        <w:rPr>
          <w:b/>
          <w:i/>
        </w:rPr>
        <w:t xml:space="preserve"> </w:t>
      </w:r>
      <w:r w:rsidRPr="00A27310">
        <w:rPr>
          <w:b/>
          <w:i/>
        </w:rPr>
        <w:t>и верхнему пределу госдолга Волгоградской области</w:t>
      </w:r>
    </w:p>
    <w:p w14:paraId="2496DEE1" w14:textId="77777777" w:rsidR="00141891" w:rsidRDefault="0039771B" w:rsidP="00FE1526">
      <w:pPr>
        <w:ind w:firstLine="709"/>
        <w:jc w:val="both"/>
      </w:pPr>
      <w:r>
        <w:rPr>
          <w:b/>
        </w:rPr>
        <w:t>7</w:t>
      </w:r>
      <w:r w:rsidR="00141891" w:rsidRPr="00141891">
        <w:rPr>
          <w:b/>
        </w:rPr>
        <w:t>.</w:t>
      </w:r>
      <w:r w:rsidR="00141891">
        <w:t xml:space="preserve"> </w:t>
      </w:r>
      <w:r w:rsidR="00141891" w:rsidRPr="00A57982">
        <w:t>Основным видом привлечения заимствований в 20</w:t>
      </w:r>
      <w:r w:rsidR="00141891">
        <w:t>21</w:t>
      </w:r>
      <w:r w:rsidR="00141891" w:rsidRPr="00A57982">
        <w:t>-202</w:t>
      </w:r>
      <w:r w:rsidR="00141891">
        <w:t>3</w:t>
      </w:r>
      <w:r w:rsidR="00141891" w:rsidRPr="00A57982">
        <w:t xml:space="preserve"> годах </w:t>
      </w:r>
      <w:r w:rsidR="00141891">
        <w:t>предлага</w:t>
      </w:r>
      <w:r w:rsidR="003770A2">
        <w:t>ю</w:t>
      </w:r>
      <w:r w:rsidR="00141891">
        <w:t xml:space="preserve">тся </w:t>
      </w:r>
      <w:r w:rsidR="00141891" w:rsidRPr="00A57982">
        <w:t>кредит</w:t>
      </w:r>
      <w:r w:rsidR="003770A2">
        <w:t>ы</w:t>
      </w:r>
      <w:r w:rsidR="00141891" w:rsidRPr="00A57982">
        <w:t xml:space="preserve"> коммерческих банков.</w:t>
      </w:r>
      <w:r w:rsidR="00141891">
        <w:t xml:space="preserve"> </w:t>
      </w:r>
      <w:r w:rsidR="003770A2">
        <w:t>При этом в</w:t>
      </w:r>
      <w:r w:rsidR="00141891" w:rsidRPr="002C4A74">
        <w:t xml:space="preserve"> 2021 году предусмотрено снижение привлекаемых объемов заимствований на 2,5 млрд. руб. </w:t>
      </w:r>
      <w:r w:rsidR="003770A2" w:rsidRPr="002C4A74">
        <w:t>по отношению к 2020 году</w:t>
      </w:r>
      <w:r w:rsidR="003770A2">
        <w:t>, в 2022 году - на</w:t>
      </w:r>
      <w:r w:rsidR="00141891" w:rsidRPr="002C4A74">
        <w:t xml:space="preserve"> 5,4 млрд. руб. </w:t>
      </w:r>
      <w:r w:rsidR="003770A2" w:rsidRPr="002C4A74">
        <w:t>по отношению к 202</w:t>
      </w:r>
      <w:r w:rsidR="003770A2">
        <w:t>1</w:t>
      </w:r>
      <w:r w:rsidR="003770A2" w:rsidRPr="002C4A74">
        <w:t xml:space="preserve"> году</w:t>
      </w:r>
      <w:r w:rsidR="00141891">
        <w:t>.</w:t>
      </w:r>
    </w:p>
    <w:p w14:paraId="4AF11F3A" w14:textId="77777777" w:rsidR="00141891" w:rsidRDefault="00141891" w:rsidP="00141891">
      <w:pPr>
        <w:ind w:firstLine="709"/>
        <w:jc w:val="both"/>
      </w:pPr>
      <w:r w:rsidRPr="00BA6262">
        <w:lastRenderedPageBreak/>
        <w:t>Законопроектом пред</w:t>
      </w:r>
      <w:r w:rsidR="00380FD0">
        <w:t>усмотрено</w:t>
      </w:r>
      <w:r w:rsidRPr="00BA6262">
        <w:t xml:space="preserve"> сокращение доли объема государственного долга Волгоградской области в объеме налоговых и неналоговых доходов с 70,2% на 01.01.2021 до 57,9% на 01.01.2024 за счет роста объема доходов и снижения объема государственного долга в 2022-2023 годах.</w:t>
      </w:r>
      <w:r w:rsidR="00380FD0">
        <w:t xml:space="preserve"> При этом</w:t>
      </w:r>
      <w:r w:rsidRPr="00BA6262">
        <w:t xml:space="preserve"> предусматривается увеличение доли кредитов коммерческих организаций в общем объеме государственного долга с 39,7% на 01.01.2021 до 50,4% на 01.01.2024 и снижение доли бюджетных кредитов</w:t>
      </w:r>
      <w:r w:rsidR="00380FD0">
        <w:t xml:space="preserve"> </w:t>
      </w:r>
      <w:r w:rsidRPr="00BA6262">
        <w:t xml:space="preserve">с </w:t>
      </w:r>
      <w:r>
        <w:t>41</w:t>
      </w:r>
      <w:r w:rsidRPr="00BA6262">
        <w:t>% до 34,4</w:t>
      </w:r>
      <w:r w:rsidR="00380FD0">
        <w:t xml:space="preserve"> процента</w:t>
      </w:r>
      <w:r w:rsidRPr="00BA6262">
        <w:t>.</w:t>
      </w:r>
    </w:p>
    <w:p w14:paraId="1F47C478" w14:textId="77777777" w:rsidR="00F64A48" w:rsidRDefault="00F64A48" w:rsidP="004729F6">
      <w:pPr>
        <w:ind w:firstLine="720"/>
        <w:jc w:val="both"/>
      </w:pPr>
    </w:p>
    <w:p w14:paraId="1F49059D" w14:textId="77777777" w:rsidR="00192DE9" w:rsidRDefault="004729F6" w:rsidP="00192DE9">
      <w:pPr>
        <w:ind w:firstLine="720"/>
        <w:jc w:val="both"/>
      </w:pPr>
      <w:r w:rsidRPr="004729F6">
        <w:t xml:space="preserve">На основании изложенного </w:t>
      </w:r>
      <w:r w:rsidRPr="004729F6">
        <w:rPr>
          <w:b/>
          <w:i/>
        </w:rPr>
        <w:t xml:space="preserve">контрольно-счетная палата Волгоградской области предлагает Волгоградской областной Думе принять законопроект в 1 чтении, </w:t>
      </w:r>
      <w:r w:rsidRPr="004729F6">
        <w:t>рекомендовав Администрации Волгоградской области:</w:t>
      </w:r>
    </w:p>
    <w:p w14:paraId="4F691F97" w14:textId="77777777" w:rsidR="00D747DE" w:rsidRDefault="00D747DE" w:rsidP="00192DE9">
      <w:pPr>
        <w:ind w:firstLine="720"/>
        <w:jc w:val="both"/>
      </w:pPr>
    </w:p>
    <w:p w14:paraId="0EEDCF9B" w14:textId="77777777" w:rsidR="00081C75" w:rsidRDefault="00D747DE" w:rsidP="00081C75">
      <w:pPr>
        <w:ind w:firstLine="708"/>
        <w:jc w:val="both"/>
      </w:pPr>
      <w:r>
        <w:t xml:space="preserve">-до рассмотрения проекта областного бюджета на 2021-2023 годы во втором чтении внести поправки в закон о бюджете текущего года, которыми </w:t>
      </w:r>
      <w:r w:rsidR="00081C75">
        <w:t xml:space="preserve">объем доходов бюджета, в том числе безвозмездных поступлений привести в соответствие с законом о федеральном бюджете и иными документами о распределении межбюджетных трансфертов Волгоградской области из федерального бюджета, расходы – в соответствие со сводной бюджетной росписью, в которую в процессе исполнения бюджета комитетом финансов Волгоградской области в рамках предоставленных ему законодательством полномочий вносились изменения без внесения соответствующих изменений в закон о бюджете; </w:t>
      </w:r>
    </w:p>
    <w:p w14:paraId="5442286D" w14:textId="77777777" w:rsidR="00192DE9" w:rsidRDefault="00192DE9" w:rsidP="00192DE9">
      <w:pPr>
        <w:ind w:firstLine="720"/>
        <w:jc w:val="both"/>
      </w:pPr>
      <w:r w:rsidRPr="00412018">
        <w:t xml:space="preserve">-в статье </w:t>
      </w:r>
      <w:r>
        <w:t>43</w:t>
      </w:r>
      <w:r w:rsidRPr="00412018">
        <w:t xml:space="preserve"> </w:t>
      </w:r>
      <w:r>
        <w:t>з</w:t>
      </w:r>
      <w:r w:rsidRPr="00412018">
        <w:t>аконопроекта бюджетные ассигнования дорожного фонда на 202</w:t>
      </w:r>
      <w:r>
        <w:t>1</w:t>
      </w:r>
      <w:r w:rsidRPr="00412018">
        <w:t xml:space="preserve"> год предусмотреть в сумме, эквивалентной прогнозируемым доходам дорожного фонда, а также с учетом требований пункта 4 статьи 179.4 БК РФ об увеличении бюджетных ассигнований текущего и (или) планового года на положительную разницу между фактически поступившим в текущем году и прогнозировавшимся объемом доходов дорожного фонда</w:t>
      </w:r>
      <w:r>
        <w:t xml:space="preserve"> и направлении</w:t>
      </w:r>
      <w:r w:rsidRPr="006D39E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неиспользованных в текущем финансовом году бюджетных ассигнований дорожного фонда на увеличение ассигнований дорожного фонда в очередном году</w:t>
      </w:r>
      <w:r>
        <w:t>;</w:t>
      </w:r>
    </w:p>
    <w:p w14:paraId="0915C381" w14:textId="77777777" w:rsidR="0039137E" w:rsidRDefault="0039137E" w:rsidP="00192DE9">
      <w:pPr>
        <w:ind w:firstLine="720"/>
        <w:jc w:val="both"/>
      </w:pPr>
      <w:r>
        <w:t>-в целях обеспечения прозрачности</w:t>
      </w:r>
      <w:r w:rsidR="00F8542D">
        <w:t xml:space="preserve"> и обоснованности</w:t>
      </w:r>
      <w:r>
        <w:t xml:space="preserve"> внесенного проекта областного бюджета </w:t>
      </w:r>
      <w:r w:rsidR="00F8542D">
        <w:t xml:space="preserve">на 2021 год </w:t>
      </w:r>
      <w:r w:rsidR="00D47A94">
        <w:t xml:space="preserve">к рассмотрению законопроекта во втором чтении </w:t>
      </w:r>
      <w:r>
        <w:t xml:space="preserve">указать в </w:t>
      </w:r>
      <w:r w:rsidR="00D47A94">
        <w:t>статьях</w:t>
      </w:r>
      <w:r>
        <w:t xml:space="preserve">, касающихся расходов бюджета, </w:t>
      </w:r>
      <w:r w:rsidR="00F8542D">
        <w:t>запланированные к утверждению</w:t>
      </w:r>
      <w:r>
        <w:t xml:space="preserve"> суммы</w:t>
      </w:r>
      <w:r w:rsidR="00F8542D">
        <w:t xml:space="preserve"> бюджетных ассигнований</w:t>
      </w:r>
      <w:r w:rsidR="00262946">
        <w:t>;</w:t>
      </w:r>
    </w:p>
    <w:p w14:paraId="22F9E08A" w14:textId="77777777" w:rsidR="003A7D0D" w:rsidRPr="0022109F" w:rsidRDefault="003A7D0D" w:rsidP="003A7D0D">
      <w:pPr>
        <w:ind w:firstLine="709"/>
        <w:jc w:val="both"/>
      </w:pPr>
      <w:r>
        <w:t xml:space="preserve">-утвердить </w:t>
      </w:r>
      <w:r w:rsidR="0025117F">
        <w:t>п</w:t>
      </w:r>
      <w:r>
        <w:t xml:space="preserve">орядок привлечения </w:t>
      </w:r>
      <w:r w:rsidR="0025117F" w:rsidRPr="0025117F">
        <w:t xml:space="preserve">остатков средств </w:t>
      </w:r>
      <w:r w:rsidR="0025117F">
        <w:t xml:space="preserve">государственных автономных и бюджетных </w:t>
      </w:r>
      <w:r w:rsidR="0025117F" w:rsidRPr="0025117F">
        <w:t>учреждений</w:t>
      </w:r>
      <w:r w:rsidR="0025117F">
        <w:t xml:space="preserve"> Волгоградской области</w:t>
      </w:r>
      <w:r w:rsidR="0025117F" w:rsidRPr="0025117F">
        <w:t xml:space="preserve"> </w:t>
      </w:r>
      <w:r w:rsidRPr="0025117F">
        <w:t xml:space="preserve">на единый счет областного бюджета </w:t>
      </w:r>
      <w:r>
        <w:t xml:space="preserve">и </w:t>
      </w:r>
      <w:r w:rsidR="0025117F">
        <w:t xml:space="preserve">порядок их </w:t>
      </w:r>
      <w:r>
        <w:t>возврата</w:t>
      </w:r>
      <w:r w:rsidR="00EE0756">
        <w:t>, как того требуют пункт 8 статьи 236.1 БК РФ и постановление Правительства РФ от 30.03.2020 №368</w:t>
      </w:r>
      <w:r w:rsidR="00455F91">
        <w:t>.</w:t>
      </w:r>
    </w:p>
    <w:p w14:paraId="6727DC35" w14:textId="77777777" w:rsidR="004729F6" w:rsidRPr="004729F6" w:rsidRDefault="004729F6" w:rsidP="004729F6">
      <w:pPr>
        <w:ind w:firstLine="720"/>
        <w:jc w:val="both"/>
      </w:pPr>
    </w:p>
    <w:p w14:paraId="7F37C16E" w14:textId="77777777" w:rsidR="00913342" w:rsidRDefault="00913342" w:rsidP="00C81CC9">
      <w:pPr>
        <w:ind w:firstLine="708"/>
        <w:jc w:val="both"/>
      </w:pPr>
    </w:p>
    <w:p w14:paraId="1904938C" w14:textId="77777777" w:rsidR="00890D0A" w:rsidRDefault="00890D0A" w:rsidP="00C81CC9">
      <w:pPr>
        <w:ind w:firstLine="708"/>
        <w:jc w:val="both"/>
      </w:pPr>
    </w:p>
    <w:p w14:paraId="5F9D1BA1" w14:textId="77777777" w:rsidR="00890D0A" w:rsidRDefault="00890D0A" w:rsidP="00C81CC9">
      <w:pPr>
        <w:ind w:firstLine="708"/>
        <w:jc w:val="both"/>
      </w:pPr>
    </w:p>
    <w:p w14:paraId="2939CB0D" w14:textId="77777777" w:rsidR="00913342" w:rsidRDefault="00913342" w:rsidP="00C81CC9">
      <w:pPr>
        <w:ind w:firstLine="708"/>
        <w:jc w:val="both"/>
      </w:pPr>
    </w:p>
    <w:p w14:paraId="292F8A37" w14:textId="77777777" w:rsidR="004729F6" w:rsidRPr="00A27310" w:rsidRDefault="004729F6" w:rsidP="004729F6">
      <w:pPr>
        <w:jc w:val="both"/>
        <w:rPr>
          <w:b/>
          <w:i/>
        </w:rPr>
      </w:pPr>
      <w:r w:rsidRPr="00A27310">
        <w:rPr>
          <w:b/>
          <w:i/>
        </w:rPr>
        <w:t>Председатель                                                                                                         И.А. Дьяченко</w:t>
      </w:r>
    </w:p>
    <w:sectPr w:rsidR="004729F6" w:rsidRPr="00A27310" w:rsidSect="00D54A17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269B3" w14:textId="77777777" w:rsidR="00AE4EED" w:rsidRDefault="00AE4EED" w:rsidP="000823DE">
      <w:r>
        <w:separator/>
      </w:r>
    </w:p>
  </w:endnote>
  <w:endnote w:type="continuationSeparator" w:id="0">
    <w:p w14:paraId="7AE448A3" w14:textId="77777777" w:rsidR="00AE4EED" w:rsidRDefault="00AE4EED" w:rsidP="00082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8D761" w14:textId="77777777" w:rsidR="00AE4EED" w:rsidRDefault="00AE4EED" w:rsidP="000823DE">
      <w:r>
        <w:separator/>
      </w:r>
    </w:p>
  </w:footnote>
  <w:footnote w:type="continuationSeparator" w:id="0">
    <w:p w14:paraId="13E45AC4" w14:textId="77777777" w:rsidR="00AE4EED" w:rsidRDefault="00AE4EED" w:rsidP="00082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417111"/>
      <w:docPartObj>
        <w:docPartGallery w:val="Page Numbers (Top of Page)"/>
        <w:docPartUnique/>
      </w:docPartObj>
    </w:sdtPr>
    <w:sdtEndPr/>
    <w:sdtContent>
      <w:p w14:paraId="5B5CBBBC" w14:textId="77777777" w:rsidR="004D051E" w:rsidRDefault="006067BD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01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9B02DA" w14:textId="77777777" w:rsidR="004D051E" w:rsidRDefault="004D051E" w:rsidP="000823DE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8609EF"/>
    <w:multiLevelType w:val="hybridMultilevel"/>
    <w:tmpl w:val="AC6C5B36"/>
    <w:lvl w:ilvl="0" w:tplc="0C8EE2B4">
      <w:start w:val="1"/>
      <w:numFmt w:val="decimal"/>
      <w:lvlText w:val="%1."/>
      <w:lvlJc w:val="left"/>
      <w:pPr>
        <w:ind w:left="209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 w15:restartNumberingAfterBreak="0">
    <w:nsid w:val="1ED214A3"/>
    <w:multiLevelType w:val="hybridMultilevel"/>
    <w:tmpl w:val="0EDA3828"/>
    <w:lvl w:ilvl="0" w:tplc="C9F8A9D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3763056A"/>
    <w:multiLevelType w:val="hybridMultilevel"/>
    <w:tmpl w:val="97F61E98"/>
    <w:lvl w:ilvl="0" w:tplc="F0048388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3" w15:restartNumberingAfterBreak="0">
    <w:nsid w:val="3B6C63D5"/>
    <w:multiLevelType w:val="hybridMultilevel"/>
    <w:tmpl w:val="FCF61648"/>
    <w:lvl w:ilvl="0" w:tplc="9DCE8B28">
      <w:start w:val="1"/>
      <w:numFmt w:val="decimal"/>
      <w:lvlText w:val="%1."/>
      <w:lvlJc w:val="left"/>
      <w:pPr>
        <w:ind w:left="170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4" w15:restartNumberingAfterBreak="0">
    <w:nsid w:val="67711C94"/>
    <w:multiLevelType w:val="hybridMultilevel"/>
    <w:tmpl w:val="521C89E8"/>
    <w:lvl w:ilvl="0" w:tplc="5678D5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05B1C75"/>
    <w:multiLevelType w:val="hybridMultilevel"/>
    <w:tmpl w:val="0EDA3828"/>
    <w:lvl w:ilvl="0" w:tplc="C9F8A9D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5F"/>
    <w:rsid w:val="00012E8A"/>
    <w:rsid w:val="00014C0D"/>
    <w:rsid w:val="00015DA4"/>
    <w:rsid w:val="0004339A"/>
    <w:rsid w:val="00045871"/>
    <w:rsid w:val="00047BD4"/>
    <w:rsid w:val="00050219"/>
    <w:rsid w:val="00054110"/>
    <w:rsid w:val="00054265"/>
    <w:rsid w:val="000613C6"/>
    <w:rsid w:val="00067D76"/>
    <w:rsid w:val="00071217"/>
    <w:rsid w:val="00077C48"/>
    <w:rsid w:val="00081C75"/>
    <w:rsid w:val="000823DE"/>
    <w:rsid w:val="000830B7"/>
    <w:rsid w:val="00086F37"/>
    <w:rsid w:val="000A0306"/>
    <w:rsid w:val="000A0DDB"/>
    <w:rsid w:val="000A1A3C"/>
    <w:rsid w:val="000A6F70"/>
    <w:rsid w:val="000B5160"/>
    <w:rsid w:val="000B6FBF"/>
    <w:rsid w:val="000B7114"/>
    <w:rsid w:val="000B7C5C"/>
    <w:rsid w:val="000D692F"/>
    <w:rsid w:val="000E2052"/>
    <w:rsid w:val="000F3071"/>
    <w:rsid w:val="000F39AC"/>
    <w:rsid w:val="00101A3C"/>
    <w:rsid w:val="001034BA"/>
    <w:rsid w:val="001064A4"/>
    <w:rsid w:val="0013313F"/>
    <w:rsid w:val="00135095"/>
    <w:rsid w:val="00141891"/>
    <w:rsid w:val="00154D8D"/>
    <w:rsid w:val="00156B59"/>
    <w:rsid w:val="0016144A"/>
    <w:rsid w:val="00176052"/>
    <w:rsid w:val="00177A51"/>
    <w:rsid w:val="00181919"/>
    <w:rsid w:val="001925E2"/>
    <w:rsid w:val="00192DE9"/>
    <w:rsid w:val="001A272E"/>
    <w:rsid w:val="001B2821"/>
    <w:rsid w:val="001B28BF"/>
    <w:rsid w:val="001C1F52"/>
    <w:rsid w:val="001C5FAC"/>
    <w:rsid w:val="001C6CB8"/>
    <w:rsid w:val="001D493F"/>
    <w:rsid w:val="001D4F6E"/>
    <w:rsid w:val="001E12D5"/>
    <w:rsid w:val="001E2931"/>
    <w:rsid w:val="001E4624"/>
    <w:rsid w:val="001E57F5"/>
    <w:rsid w:val="001F5FF9"/>
    <w:rsid w:val="002101B1"/>
    <w:rsid w:val="00212FD8"/>
    <w:rsid w:val="0021480A"/>
    <w:rsid w:val="002206B2"/>
    <w:rsid w:val="00225928"/>
    <w:rsid w:val="002275CA"/>
    <w:rsid w:val="00227D4E"/>
    <w:rsid w:val="00230FDE"/>
    <w:rsid w:val="002501FE"/>
    <w:rsid w:val="0025117F"/>
    <w:rsid w:val="00262946"/>
    <w:rsid w:val="00272911"/>
    <w:rsid w:val="00282B2E"/>
    <w:rsid w:val="00293356"/>
    <w:rsid w:val="002951B2"/>
    <w:rsid w:val="002A55D6"/>
    <w:rsid w:val="002C169A"/>
    <w:rsid w:val="002F7D5F"/>
    <w:rsid w:val="00305038"/>
    <w:rsid w:val="0031519D"/>
    <w:rsid w:val="003311AD"/>
    <w:rsid w:val="00335109"/>
    <w:rsid w:val="00336D47"/>
    <w:rsid w:val="0036128D"/>
    <w:rsid w:val="00376D3B"/>
    <w:rsid w:val="003770A2"/>
    <w:rsid w:val="00380FD0"/>
    <w:rsid w:val="003818EC"/>
    <w:rsid w:val="0039137E"/>
    <w:rsid w:val="0039456F"/>
    <w:rsid w:val="003976AC"/>
    <w:rsid w:val="0039771B"/>
    <w:rsid w:val="003A0003"/>
    <w:rsid w:val="003A4C02"/>
    <w:rsid w:val="003A601B"/>
    <w:rsid w:val="003A67F2"/>
    <w:rsid w:val="003A6D33"/>
    <w:rsid w:val="003A6FDC"/>
    <w:rsid w:val="003A7D0D"/>
    <w:rsid w:val="003B04AD"/>
    <w:rsid w:val="003B4500"/>
    <w:rsid w:val="003C137F"/>
    <w:rsid w:val="003D69E3"/>
    <w:rsid w:val="003E6877"/>
    <w:rsid w:val="003F0647"/>
    <w:rsid w:val="003F59EA"/>
    <w:rsid w:val="004104F3"/>
    <w:rsid w:val="004107E4"/>
    <w:rsid w:val="00412018"/>
    <w:rsid w:val="004324B0"/>
    <w:rsid w:val="00437386"/>
    <w:rsid w:val="004432D5"/>
    <w:rsid w:val="00450885"/>
    <w:rsid w:val="004545FE"/>
    <w:rsid w:val="00455F91"/>
    <w:rsid w:val="0045609C"/>
    <w:rsid w:val="00460FC6"/>
    <w:rsid w:val="00461721"/>
    <w:rsid w:val="00462C80"/>
    <w:rsid w:val="0046329F"/>
    <w:rsid w:val="00464ABA"/>
    <w:rsid w:val="004729F6"/>
    <w:rsid w:val="004919BE"/>
    <w:rsid w:val="00492AF0"/>
    <w:rsid w:val="004932E4"/>
    <w:rsid w:val="004938DE"/>
    <w:rsid w:val="00496C8C"/>
    <w:rsid w:val="004A2623"/>
    <w:rsid w:val="004A3AD4"/>
    <w:rsid w:val="004C4957"/>
    <w:rsid w:val="004C687D"/>
    <w:rsid w:val="004D051E"/>
    <w:rsid w:val="004F1445"/>
    <w:rsid w:val="004F4098"/>
    <w:rsid w:val="004F6845"/>
    <w:rsid w:val="004F788F"/>
    <w:rsid w:val="00500669"/>
    <w:rsid w:val="00502332"/>
    <w:rsid w:val="00505035"/>
    <w:rsid w:val="00513ED5"/>
    <w:rsid w:val="00516EA8"/>
    <w:rsid w:val="00521481"/>
    <w:rsid w:val="00522CBF"/>
    <w:rsid w:val="00525895"/>
    <w:rsid w:val="00533A46"/>
    <w:rsid w:val="0053592A"/>
    <w:rsid w:val="005426BD"/>
    <w:rsid w:val="00554359"/>
    <w:rsid w:val="005571B4"/>
    <w:rsid w:val="00561D49"/>
    <w:rsid w:val="00565291"/>
    <w:rsid w:val="0057168B"/>
    <w:rsid w:val="00572F04"/>
    <w:rsid w:val="00575AEB"/>
    <w:rsid w:val="005A0CC7"/>
    <w:rsid w:val="005A32A0"/>
    <w:rsid w:val="005A562D"/>
    <w:rsid w:val="005B71AF"/>
    <w:rsid w:val="005C03F9"/>
    <w:rsid w:val="005D285F"/>
    <w:rsid w:val="005E5F29"/>
    <w:rsid w:val="006067BD"/>
    <w:rsid w:val="006165AA"/>
    <w:rsid w:val="0062202D"/>
    <w:rsid w:val="0063226B"/>
    <w:rsid w:val="0063329A"/>
    <w:rsid w:val="00635DC0"/>
    <w:rsid w:val="0065523C"/>
    <w:rsid w:val="00655CCD"/>
    <w:rsid w:val="006645B0"/>
    <w:rsid w:val="00670A68"/>
    <w:rsid w:val="00674AA4"/>
    <w:rsid w:val="00680541"/>
    <w:rsid w:val="00684954"/>
    <w:rsid w:val="006A62D0"/>
    <w:rsid w:val="006A6B9C"/>
    <w:rsid w:val="006A7C2F"/>
    <w:rsid w:val="006C16B5"/>
    <w:rsid w:val="006E115E"/>
    <w:rsid w:val="007013FB"/>
    <w:rsid w:val="007036E9"/>
    <w:rsid w:val="00710DAA"/>
    <w:rsid w:val="00713F3F"/>
    <w:rsid w:val="00716FAA"/>
    <w:rsid w:val="00730977"/>
    <w:rsid w:val="00741C1F"/>
    <w:rsid w:val="00743A62"/>
    <w:rsid w:val="00744113"/>
    <w:rsid w:val="0074534A"/>
    <w:rsid w:val="007468C6"/>
    <w:rsid w:val="00750518"/>
    <w:rsid w:val="00762747"/>
    <w:rsid w:val="0076373D"/>
    <w:rsid w:val="00765BA1"/>
    <w:rsid w:val="00770069"/>
    <w:rsid w:val="00772E1D"/>
    <w:rsid w:val="007765CC"/>
    <w:rsid w:val="00780F98"/>
    <w:rsid w:val="007860DB"/>
    <w:rsid w:val="0079224B"/>
    <w:rsid w:val="007942B8"/>
    <w:rsid w:val="007A465D"/>
    <w:rsid w:val="007C5710"/>
    <w:rsid w:val="007C646C"/>
    <w:rsid w:val="007C6557"/>
    <w:rsid w:val="007D2B0A"/>
    <w:rsid w:val="007D3D74"/>
    <w:rsid w:val="007D411D"/>
    <w:rsid w:val="007E15AB"/>
    <w:rsid w:val="007E4295"/>
    <w:rsid w:val="007F6CDC"/>
    <w:rsid w:val="0080729A"/>
    <w:rsid w:val="0080756A"/>
    <w:rsid w:val="00820D23"/>
    <w:rsid w:val="00827C88"/>
    <w:rsid w:val="008330B5"/>
    <w:rsid w:val="008409E6"/>
    <w:rsid w:val="00847378"/>
    <w:rsid w:val="00850AC1"/>
    <w:rsid w:val="00850F55"/>
    <w:rsid w:val="00855C1D"/>
    <w:rsid w:val="00857740"/>
    <w:rsid w:val="00877D30"/>
    <w:rsid w:val="0088154E"/>
    <w:rsid w:val="00883FE0"/>
    <w:rsid w:val="00890D0A"/>
    <w:rsid w:val="008929DE"/>
    <w:rsid w:val="008A107E"/>
    <w:rsid w:val="008A31F8"/>
    <w:rsid w:val="008B5C4C"/>
    <w:rsid w:val="008C39B5"/>
    <w:rsid w:val="008E16A7"/>
    <w:rsid w:val="008E2F2E"/>
    <w:rsid w:val="0090133D"/>
    <w:rsid w:val="009033F9"/>
    <w:rsid w:val="00913342"/>
    <w:rsid w:val="00916E5F"/>
    <w:rsid w:val="00917240"/>
    <w:rsid w:val="009250E8"/>
    <w:rsid w:val="009275DB"/>
    <w:rsid w:val="00927761"/>
    <w:rsid w:val="0093519F"/>
    <w:rsid w:val="00944EF8"/>
    <w:rsid w:val="009458C4"/>
    <w:rsid w:val="0094796F"/>
    <w:rsid w:val="009631CE"/>
    <w:rsid w:val="00965BBA"/>
    <w:rsid w:val="00975CD8"/>
    <w:rsid w:val="00982332"/>
    <w:rsid w:val="00990591"/>
    <w:rsid w:val="00990EE5"/>
    <w:rsid w:val="00991BB5"/>
    <w:rsid w:val="009B06B5"/>
    <w:rsid w:val="009B1A89"/>
    <w:rsid w:val="009B79E1"/>
    <w:rsid w:val="009C7387"/>
    <w:rsid w:val="009C76EF"/>
    <w:rsid w:val="009D091A"/>
    <w:rsid w:val="009D742B"/>
    <w:rsid w:val="009D7785"/>
    <w:rsid w:val="009E01F0"/>
    <w:rsid w:val="009F2105"/>
    <w:rsid w:val="00A06453"/>
    <w:rsid w:val="00A15EC1"/>
    <w:rsid w:val="00A20A77"/>
    <w:rsid w:val="00A23E00"/>
    <w:rsid w:val="00A4047B"/>
    <w:rsid w:val="00A631C1"/>
    <w:rsid w:val="00A67123"/>
    <w:rsid w:val="00A77357"/>
    <w:rsid w:val="00A80B47"/>
    <w:rsid w:val="00AA3559"/>
    <w:rsid w:val="00AA4CBF"/>
    <w:rsid w:val="00AB2B6A"/>
    <w:rsid w:val="00AC269F"/>
    <w:rsid w:val="00AD7E54"/>
    <w:rsid w:val="00AE4EED"/>
    <w:rsid w:val="00AE6DBE"/>
    <w:rsid w:val="00AF436B"/>
    <w:rsid w:val="00AF7935"/>
    <w:rsid w:val="00B02E74"/>
    <w:rsid w:val="00B14324"/>
    <w:rsid w:val="00B15CAC"/>
    <w:rsid w:val="00B234A6"/>
    <w:rsid w:val="00B310E2"/>
    <w:rsid w:val="00B35422"/>
    <w:rsid w:val="00B3768A"/>
    <w:rsid w:val="00B435AF"/>
    <w:rsid w:val="00B46FC9"/>
    <w:rsid w:val="00B47A67"/>
    <w:rsid w:val="00B60D97"/>
    <w:rsid w:val="00B629CB"/>
    <w:rsid w:val="00B67F42"/>
    <w:rsid w:val="00B700A6"/>
    <w:rsid w:val="00B777D0"/>
    <w:rsid w:val="00B849C3"/>
    <w:rsid w:val="00B9355D"/>
    <w:rsid w:val="00B93D66"/>
    <w:rsid w:val="00B94F30"/>
    <w:rsid w:val="00BA06AD"/>
    <w:rsid w:val="00BA2CA4"/>
    <w:rsid w:val="00BB7DA1"/>
    <w:rsid w:val="00BC41B9"/>
    <w:rsid w:val="00BC7FD7"/>
    <w:rsid w:val="00BD70FD"/>
    <w:rsid w:val="00BE4CDA"/>
    <w:rsid w:val="00BF2851"/>
    <w:rsid w:val="00BF4423"/>
    <w:rsid w:val="00C0179B"/>
    <w:rsid w:val="00C018E2"/>
    <w:rsid w:val="00C02CF2"/>
    <w:rsid w:val="00C05FD2"/>
    <w:rsid w:val="00C2561C"/>
    <w:rsid w:val="00C4182E"/>
    <w:rsid w:val="00C42446"/>
    <w:rsid w:val="00C63B0E"/>
    <w:rsid w:val="00C6675F"/>
    <w:rsid w:val="00C72BC8"/>
    <w:rsid w:val="00C7411F"/>
    <w:rsid w:val="00C747B3"/>
    <w:rsid w:val="00C75BB0"/>
    <w:rsid w:val="00C81CC9"/>
    <w:rsid w:val="00CB2280"/>
    <w:rsid w:val="00CC484B"/>
    <w:rsid w:val="00CE5225"/>
    <w:rsid w:val="00CF1F14"/>
    <w:rsid w:val="00CF2ECA"/>
    <w:rsid w:val="00CF4B2B"/>
    <w:rsid w:val="00CF748B"/>
    <w:rsid w:val="00D0185B"/>
    <w:rsid w:val="00D03224"/>
    <w:rsid w:val="00D049C0"/>
    <w:rsid w:val="00D20DF3"/>
    <w:rsid w:val="00D303E9"/>
    <w:rsid w:val="00D3502B"/>
    <w:rsid w:val="00D47A94"/>
    <w:rsid w:val="00D54A17"/>
    <w:rsid w:val="00D66C74"/>
    <w:rsid w:val="00D747DE"/>
    <w:rsid w:val="00D76215"/>
    <w:rsid w:val="00D77C59"/>
    <w:rsid w:val="00D86140"/>
    <w:rsid w:val="00D93257"/>
    <w:rsid w:val="00D969D9"/>
    <w:rsid w:val="00DB0175"/>
    <w:rsid w:val="00DB0D3C"/>
    <w:rsid w:val="00DB4D44"/>
    <w:rsid w:val="00DB51ED"/>
    <w:rsid w:val="00DC4EA1"/>
    <w:rsid w:val="00DC56BD"/>
    <w:rsid w:val="00DE381B"/>
    <w:rsid w:val="00DF36D1"/>
    <w:rsid w:val="00E036BE"/>
    <w:rsid w:val="00E03D37"/>
    <w:rsid w:val="00E12955"/>
    <w:rsid w:val="00E141FF"/>
    <w:rsid w:val="00E310ED"/>
    <w:rsid w:val="00E339EF"/>
    <w:rsid w:val="00E47861"/>
    <w:rsid w:val="00E52DCF"/>
    <w:rsid w:val="00E6166E"/>
    <w:rsid w:val="00E621D4"/>
    <w:rsid w:val="00E73AC6"/>
    <w:rsid w:val="00E777FD"/>
    <w:rsid w:val="00E77A7B"/>
    <w:rsid w:val="00E826B9"/>
    <w:rsid w:val="00E83338"/>
    <w:rsid w:val="00E8693F"/>
    <w:rsid w:val="00E94EE5"/>
    <w:rsid w:val="00E96AE8"/>
    <w:rsid w:val="00EB313C"/>
    <w:rsid w:val="00ED001A"/>
    <w:rsid w:val="00EE0756"/>
    <w:rsid w:val="00EE090C"/>
    <w:rsid w:val="00EF45EF"/>
    <w:rsid w:val="00EF61DC"/>
    <w:rsid w:val="00F02B41"/>
    <w:rsid w:val="00F04CE9"/>
    <w:rsid w:val="00F0790B"/>
    <w:rsid w:val="00F22DB9"/>
    <w:rsid w:val="00F25F4F"/>
    <w:rsid w:val="00F37740"/>
    <w:rsid w:val="00F4771E"/>
    <w:rsid w:val="00F5279B"/>
    <w:rsid w:val="00F56DE4"/>
    <w:rsid w:val="00F64A48"/>
    <w:rsid w:val="00F67629"/>
    <w:rsid w:val="00F7577E"/>
    <w:rsid w:val="00F852B5"/>
    <w:rsid w:val="00F8542D"/>
    <w:rsid w:val="00F9363C"/>
    <w:rsid w:val="00F95859"/>
    <w:rsid w:val="00FA1EE0"/>
    <w:rsid w:val="00FB2A90"/>
    <w:rsid w:val="00FB5DF4"/>
    <w:rsid w:val="00FC278D"/>
    <w:rsid w:val="00FC34EC"/>
    <w:rsid w:val="00FC7649"/>
    <w:rsid w:val="00FC7917"/>
    <w:rsid w:val="00FD14C6"/>
    <w:rsid w:val="00FE1526"/>
    <w:rsid w:val="00FE18BB"/>
    <w:rsid w:val="00FE3BF8"/>
    <w:rsid w:val="00FE6FF5"/>
    <w:rsid w:val="00FF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D7E714C"/>
  <w15:docId w15:val="{B4D01CB3-11BA-45C4-9579-D2EE584F5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F7D5F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2F7D5F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rsid w:val="002F7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10"/>
    <w:qFormat/>
    <w:rsid w:val="002F7D5F"/>
    <w:pPr>
      <w:jc w:val="center"/>
    </w:pPr>
  </w:style>
  <w:style w:type="character" w:customStyle="1" w:styleId="a4">
    <w:name w:val="Заголовок Знак"/>
    <w:basedOn w:val="a0"/>
    <w:link w:val="a3"/>
    <w:uiPriority w:val="10"/>
    <w:rsid w:val="002F7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1"/>
    <w:uiPriority w:val="99"/>
    <w:rsid w:val="002F7D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a"/>
    <w:next w:val="a"/>
    <w:uiPriority w:val="99"/>
    <w:rsid w:val="002F7D5F"/>
    <w:pPr>
      <w:keepNext/>
      <w:jc w:val="center"/>
      <w:outlineLvl w:val="1"/>
    </w:pPr>
    <w:rPr>
      <w:b/>
      <w:caps/>
      <w:sz w:val="34"/>
      <w:szCs w:val="20"/>
    </w:rPr>
  </w:style>
  <w:style w:type="table" w:styleId="a5">
    <w:name w:val="Table Grid"/>
    <w:basedOn w:val="a1"/>
    <w:uiPriority w:val="59"/>
    <w:rsid w:val="002F7D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F7D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F7D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377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1C1F52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5258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5">
    <w:name w:val="p5"/>
    <w:basedOn w:val="a"/>
    <w:rsid w:val="00525895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rsid w:val="007765CC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0823DE"/>
  </w:style>
  <w:style w:type="paragraph" w:styleId="aa">
    <w:name w:val="header"/>
    <w:basedOn w:val="a"/>
    <w:link w:val="ab"/>
    <w:uiPriority w:val="99"/>
    <w:unhideWhenUsed/>
    <w:rsid w:val="000823D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82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823D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823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8330B5"/>
    <w:pPr>
      <w:widowControl w:val="0"/>
      <w:autoSpaceDE w:val="0"/>
      <w:autoSpaceDN w:val="0"/>
      <w:adjustRightInd w:val="0"/>
      <w:jc w:val="right"/>
    </w:pPr>
    <w:rPr>
      <w:rFonts w:eastAsiaTheme="minorEastAsia"/>
    </w:rPr>
  </w:style>
  <w:style w:type="paragraph" w:styleId="2">
    <w:name w:val="Body Text 2"/>
    <w:basedOn w:val="a"/>
    <w:link w:val="20"/>
    <w:uiPriority w:val="99"/>
    <w:rsid w:val="008330B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8330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8330B5"/>
    <w:pPr>
      <w:widowControl w:val="0"/>
      <w:autoSpaceDE w:val="0"/>
      <w:autoSpaceDN w:val="0"/>
      <w:adjustRightInd w:val="0"/>
      <w:spacing w:line="348" w:lineRule="exact"/>
      <w:ind w:firstLine="701"/>
    </w:pPr>
  </w:style>
  <w:style w:type="paragraph" w:styleId="ae">
    <w:name w:val="Normal (Web)"/>
    <w:basedOn w:val="a"/>
    <w:uiPriority w:val="99"/>
    <w:unhideWhenUsed/>
    <w:rsid w:val="008330B5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uiPriority w:val="39"/>
    <w:rsid w:val="00054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uiPriority w:val="99"/>
    <w:rsid w:val="00305038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Arial" w:eastAsiaTheme="minorEastAsia" w:hAnsi="Arial" w:cs="Arial"/>
    </w:rPr>
  </w:style>
  <w:style w:type="character" w:customStyle="1" w:styleId="FontStyle45">
    <w:name w:val="Font Style45"/>
    <w:basedOn w:val="a0"/>
    <w:uiPriority w:val="99"/>
    <w:rsid w:val="00305038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10.30.4\&#1076;&#1086;&#1082;&#1091;&#1084;&#1077;&#1085;&#1090;&#1099;\2020\&#1041;&#1091;&#1088;&#1103;&#1082;&#1086;&#1074;\&#1087;&#1088;&#1080;&#1083;&#1086;&#1101;&#1078;&#1077;&#1085;&#1080;&#1077;%20&#8470;2&#1089;&#1088;&#1072;&#1074;&#1085;&#1077;&#1085;&#1080;&#1077;%20&#1087;&#1086;&#1082;&#1072;&#1079;&#1072;&#1090;&#1077;&#1083;&#1077;&#1081;%20&#1042;&#1054;%20&#1080;%20&#1056;&#1060;_2021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r>
              <a:rPr lang="ru-RU" sz="1200">
                <a:solidFill>
                  <a:sysClr val="windowText" lastClr="000000"/>
                </a:solidFill>
              </a:rPr>
              <a:t>Превышение</a:t>
            </a:r>
            <a:r>
              <a:rPr lang="ru-RU" sz="1200" baseline="0">
                <a:solidFill>
                  <a:sysClr val="windowText" lastClr="000000"/>
                </a:solidFill>
              </a:rPr>
              <a:t> д</a:t>
            </a:r>
            <a:r>
              <a:rPr lang="ru-RU" sz="1200">
                <a:solidFill>
                  <a:sysClr val="windowText" lastClr="000000"/>
                </a:solidFill>
              </a:rPr>
              <a:t>оходов дорожного фонда Волгоградской области над расходами, </a:t>
            </a:r>
            <a:r>
              <a:rPr lang="ru-RU" sz="1200" i="1">
                <a:solidFill>
                  <a:sysClr val="windowText" lastClr="000000"/>
                </a:solidFill>
              </a:rPr>
              <a:t>млрд. руб. 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6.5848144820823726E-2"/>
          <c:y val="0.12328229289360058"/>
          <c:w val="0.91284579360466045"/>
          <c:h val="0.5392170501655491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Диаграмма!$B$53:$C$53</c:f>
              <c:strCache>
                <c:ptCount val="2"/>
                <c:pt idx="0">
                  <c:v>Акцизы в целях формирования дорфонда</c:v>
                </c:pt>
              </c:strCache>
            </c:strRef>
          </c:tx>
          <c:spPr>
            <a:gradFill rotWithShape="1">
              <a:gsLst>
                <a:gs pos="38000">
                  <a:schemeClr val="accent1">
                    <a:lumMod val="40000"/>
                    <a:lumOff val="6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Диаграмма!$D$52:$K$52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 formatCode="0">
                  <c:v>2020</c:v>
                </c:pt>
                <c:pt idx="5" formatCode="0">
                  <c:v>2021</c:v>
                </c:pt>
                <c:pt idx="6" formatCode="0">
                  <c:v>2022</c:v>
                </c:pt>
                <c:pt idx="7" formatCode="0">
                  <c:v>2023</c:v>
                </c:pt>
              </c:numCache>
            </c:numRef>
          </c:cat>
          <c:val>
            <c:numRef>
              <c:f>Диаграмма!$D$53:$K$53</c:f>
              <c:numCache>
                <c:formatCode>0.0</c:formatCode>
                <c:ptCount val="8"/>
                <c:pt idx="0">
                  <c:v>5.9135</c:v>
                </c:pt>
                <c:pt idx="1">
                  <c:v>4.9059999999999997</c:v>
                </c:pt>
                <c:pt idx="2">
                  <c:v>5.3539999999999965</c:v>
                </c:pt>
                <c:pt idx="3">
                  <c:v>6.1674999999999844</c:v>
                </c:pt>
                <c:pt idx="4" formatCode="#,##0.0">
                  <c:v>5.9</c:v>
                </c:pt>
                <c:pt idx="5">
                  <c:v>7.0674039999999945</c:v>
                </c:pt>
                <c:pt idx="6">
                  <c:v>7.644247</c:v>
                </c:pt>
                <c:pt idx="7">
                  <c:v>7.7643499999999985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AD-4389-AC0C-03F381801143}"/>
            </c:ext>
          </c:extLst>
        </c:ser>
        <c:ser>
          <c:idx val="1"/>
          <c:order val="1"/>
          <c:tx>
            <c:strRef>
              <c:f>Диаграмма!$B$54:$C$54</c:f>
              <c:strCache>
                <c:ptCount val="2"/>
                <c:pt idx="0">
                  <c:v>Акцизы в целях реализации НП БКАД</c:v>
                </c:pt>
              </c:strCache>
            </c:strRef>
          </c:tx>
          <c:spPr>
            <a:gradFill rotWithShape="1">
              <a:gsLst>
                <a:gs pos="90000">
                  <a:srgbClr val="FDAC73"/>
                </a:gs>
                <a:gs pos="24000">
                  <a:schemeClr val="accent2">
                    <a:lumMod val="60000"/>
                    <a:lumOff val="40000"/>
                  </a:schemeClr>
                </a:gs>
                <a:gs pos="100000">
                  <a:schemeClr val="accent2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6AD-4389-AC0C-03F381801143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6AD-4389-AC0C-03F381801143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6AD-4389-AC0C-03F381801143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6AD-4389-AC0C-03F38180114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Диаграмма!$D$52:$K$52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 formatCode="0">
                  <c:v>2020</c:v>
                </c:pt>
                <c:pt idx="5" formatCode="0">
                  <c:v>2021</c:v>
                </c:pt>
                <c:pt idx="6" formatCode="0">
                  <c:v>2022</c:v>
                </c:pt>
                <c:pt idx="7" formatCode="0">
                  <c:v>2023</c:v>
                </c:pt>
              </c:numCache>
            </c:numRef>
          </c:cat>
          <c:val>
            <c:numRef>
              <c:f>Диаграмма!$D$54:$K$54</c:f>
              <c:numCache>
                <c:formatCode>0.0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 formatCode="#,##0.0">
                  <c:v>1.5125</c:v>
                </c:pt>
                <c:pt idx="5" formatCode="#,##0.0">
                  <c:v>4.959714</c:v>
                </c:pt>
                <c:pt idx="6" formatCode="#,##0.0">
                  <c:v>5.1762550000000003</c:v>
                </c:pt>
                <c:pt idx="7" formatCode="#,##0.0">
                  <c:v>7.1986509999999955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F6AD-4389-AC0C-03F381801143}"/>
            </c:ext>
          </c:extLst>
        </c:ser>
        <c:ser>
          <c:idx val="2"/>
          <c:order val="2"/>
          <c:tx>
            <c:strRef>
              <c:f>Диаграмма!$B$55:$C$55</c:f>
              <c:strCache>
                <c:ptCount val="2"/>
                <c:pt idx="0">
                  <c:v>Транспортный налог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3.8350910834132293E-2"/>
                  <c:y val="3.926187671770724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6AD-4389-AC0C-03F381801143}"/>
                </c:ext>
              </c:extLst>
            </c:dLbl>
            <c:dLbl>
              <c:idx val="1"/>
              <c:layout>
                <c:manualLayout>
                  <c:x val="4.0481516991584074E-2"/>
                  <c:y val="7.852375343541431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6AD-4389-AC0C-03F381801143}"/>
                </c:ext>
              </c:extLst>
            </c:dLbl>
            <c:dLbl>
              <c:idx val="2"/>
              <c:layout>
                <c:manualLayout>
                  <c:x val="4.2612123149036174E-2"/>
                  <c:y val="-7.1979275805060961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6AD-4389-AC0C-03F381801143}"/>
                </c:ext>
              </c:extLst>
            </c:dLbl>
            <c:dLbl>
              <c:idx val="3"/>
              <c:layout>
                <c:manualLayout>
                  <c:x val="4.9003941621391524E-2"/>
                  <c:y val="-7.1979275805060961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F6AD-4389-AC0C-03F381801143}"/>
                </c:ext>
              </c:extLst>
            </c:dLbl>
            <c:dLbl>
              <c:idx val="4"/>
              <c:layout>
                <c:manualLayout>
                  <c:x val="4.4742729306487865E-2"/>
                  <c:y val="3.5989637902530542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A-F6AD-4389-AC0C-03F381801143}"/>
                </c:ext>
              </c:extLst>
            </c:dLbl>
            <c:dLbl>
              <c:idx val="5"/>
              <c:layout>
                <c:manualLayout>
                  <c:x val="4.0481516991584109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6AD-4389-AC0C-03F381801143}"/>
                </c:ext>
              </c:extLst>
            </c:dLbl>
            <c:dLbl>
              <c:idx val="6"/>
              <c:layout>
                <c:manualLayout>
                  <c:x val="4.0481516991583984E-2"/>
                  <c:y val="-3.5989637902530542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6AD-4389-AC0C-03F381801143}"/>
                </c:ext>
              </c:extLst>
            </c:dLbl>
            <c:dLbl>
              <c:idx val="7"/>
              <c:layout>
                <c:manualLayout>
                  <c:x val="4.0481516991584109E-2"/>
                  <c:y val="-3.5989637902530542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6AD-4389-AC0C-03F38180114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Диаграмма!$D$52:$K$52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 formatCode="0">
                  <c:v>2020</c:v>
                </c:pt>
                <c:pt idx="5" formatCode="0">
                  <c:v>2021</c:v>
                </c:pt>
                <c:pt idx="6" formatCode="0">
                  <c:v>2022</c:v>
                </c:pt>
                <c:pt idx="7" formatCode="0">
                  <c:v>2023</c:v>
                </c:pt>
              </c:numCache>
            </c:numRef>
          </c:cat>
          <c:val>
            <c:numRef>
              <c:f>Диаграмма!$D$55:$K$55</c:f>
              <c:numCache>
                <c:formatCode>0.0</c:formatCode>
                <c:ptCount val="8"/>
                <c:pt idx="0">
                  <c:v>1.6217999999999961</c:v>
                </c:pt>
                <c:pt idx="1">
                  <c:v>1.7745000000000015</c:v>
                </c:pt>
                <c:pt idx="2">
                  <c:v>1.8594000000000002</c:v>
                </c:pt>
                <c:pt idx="3">
                  <c:v>2.0474999999999999</c:v>
                </c:pt>
                <c:pt idx="4" formatCode="#,##0.0">
                  <c:v>2.0783</c:v>
                </c:pt>
                <c:pt idx="5">
                  <c:v>2.1517589999999931</c:v>
                </c:pt>
                <c:pt idx="6">
                  <c:v>2.2268050999999978</c:v>
                </c:pt>
                <c:pt idx="7">
                  <c:v>2.3069270999999998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F6AD-4389-AC0C-03F381801143}"/>
            </c:ext>
          </c:extLst>
        </c:ser>
        <c:ser>
          <c:idx val="3"/>
          <c:order val="3"/>
          <c:tx>
            <c:strRef>
              <c:f>Диаграмма!$B$56:$C$56</c:f>
              <c:strCache>
                <c:ptCount val="2"/>
                <c:pt idx="0">
                  <c:v>Штрафы</c:v>
                </c:pt>
              </c:strCache>
            </c:strRef>
          </c:tx>
          <c:spPr>
            <a:gradFill rotWithShape="1">
              <a:gsLst>
                <a:gs pos="56000">
                  <a:schemeClr val="accent6">
                    <a:lumMod val="40000"/>
                    <a:lumOff val="60000"/>
                  </a:schemeClr>
                </a:gs>
                <a:gs pos="100000">
                  <a:schemeClr val="accent6">
                    <a:lumMod val="40000"/>
                    <a:lumOff val="60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F6AD-4389-AC0C-03F381801143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6AD-4389-AC0C-03F381801143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F6AD-4389-AC0C-03F381801143}"/>
                </c:ext>
              </c:extLst>
            </c:dLbl>
            <c:dLbl>
              <c:idx val="3"/>
              <c:layout>
                <c:manualLayout>
                  <c:x val="4.0481516991584109E-2"/>
                  <c:y val="-7.852375343541431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6AD-4389-AC0C-03F381801143}"/>
                </c:ext>
              </c:extLst>
            </c:dLbl>
            <c:dLbl>
              <c:idx val="4"/>
              <c:layout>
                <c:manualLayout>
                  <c:x val="4.4742729306487865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9-F6AD-4389-AC0C-03F381801143}"/>
                </c:ext>
              </c:extLst>
            </c:dLbl>
            <c:dLbl>
              <c:idx val="5"/>
              <c:layout>
                <c:manualLayout>
                  <c:x val="3.8350910834132314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F6AD-4389-AC0C-03F381801143}"/>
                </c:ext>
              </c:extLst>
            </c:dLbl>
            <c:dLbl>
              <c:idx val="6"/>
              <c:layout>
                <c:manualLayout>
                  <c:x val="3.8350910834132314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F6AD-4389-AC0C-03F381801143}"/>
                </c:ext>
              </c:extLst>
            </c:dLbl>
            <c:dLbl>
              <c:idx val="7"/>
              <c:layout>
                <c:manualLayout>
                  <c:x val="3.6220304676680616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F6AD-4389-AC0C-03F38180114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Диаграмма!$D$52:$K$52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 formatCode="0">
                  <c:v>2020</c:v>
                </c:pt>
                <c:pt idx="5" formatCode="0">
                  <c:v>2021</c:v>
                </c:pt>
                <c:pt idx="6" formatCode="0">
                  <c:v>2022</c:v>
                </c:pt>
                <c:pt idx="7" formatCode="0">
                  <c:v>2023</c:v>
                </c:pt>
              </c:numCache>
            </c:numRef>
          </c:cat>
          <c:val>
            <c:numRef>
              <c:f>Диаграмма!$D$56:$K$56</c:f>
              <c:numCache>
                <c:formatCode>0.0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1.2065999999999959</c:v>
                </c:pt>
                <c:pt idx="4" formatCode="#,##0.0">
                  <c:v>1.1333</c:v>
                </c:pt>
                <c:pt idx="5">
                  <c:v>0.96294190000000202</c:v>
                </c:pt>
                <c:pt idx="6">
                  <c:v>0.96294190000000202</c:v>
                </c:pt>
                <c:pt idx="7">
                  <c:v>0.96294190000000202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F6AD-4389-AC0C-03F381801143}"/>
            </c:ext>
          </c:extLst>
        </c:ser>
        <c:ser>
          <c:idx val="4"/>
          <c:order val="4"/>
          <c:tx>
            <c:strRef>
              <c:f>Диаграмма!$B$57:$C$57</c:f>
              <c:strCache>
                <c:ptCount val="2"/>
                <c:pt idx="0">
                  <c:v>Межбюджетные трансферты из ФБ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lumMod val="60000"/>
                    <a:lumOff val="40000"/>
                  </a:schemeClr>
                </a:gs>
                <a:gs pos="92000">
                  <a:schemeClr val="accent4">
                    <a:lumMod val="40000"/>
                    <a:lumOff val="60000"/>
                  </a:schemeClr>
                </a:gs>
                <a:gs pos="100000">
                  <a:schemeClr val="accent3">
                    <a:lumMod val="40000"/>
                    <a:lumOff val="60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0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F6AD-4389-AC0C-03F381801143}"/>
                </c:ext>
              </c:extLst>
            </c:dLbl>
            <c:dLbl>
              <c:idx val="1"/>
              <c:layout>
                <c:manualLayout>
                  <c:x val="-3.9060661654520216E-17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F6AD-4389-AC0C-03F381801143}"/>
                </c:ext>
              </c:extLst>
            </c:dLbl>
            <c:dLbl>
              <c:idx val="2"/>
              <c:layout>
                <c:manualLayout>
                  <c:x val="-3.9060661654520216E-17"/>
                  <c:y val="-3.926187671770652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F6AD-4389-AC0C-03F381801143}"/>
                </c:ext>
              </c:extLst>
            </c:dLbl>
            <c:dLbl>
              <c:idx val="3"/>
              <c:layout>
                <c:manualLayout>
                  <c:x val="-2.1306061574518013E-3"/>
                  <c:y val="-3.926187671770724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F6AD-4389-AC0C-03F381801143}"/>
                </c:ext>
              </c:extLst>
            </c:dLbl>
            <c:dLbl>
              <c:idx val="5"/>
              <c:layout>
                <c:manualLayout>
                  <c:x val="-4.474272930648783E-2"/>
                  <c:y val="-3.926187671770724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F6AD-4389-AC0C-03F381801143}"/>
                </c:ext>
              </c:extLst>
            </c:dLbl>
            <c:dLbl>
              <c:idx val="6"/>
              <c:layout>
                <c:manualLayout>
                  <c:x val="-4.0481516991584109E-2"/>
                  <c:y val="-3.926187671770724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F6AD-4389-AC0C-03F381801143}"/>
                </c:ext>
              </c:extLst>
            </c:dLbl>
            <c:dLbl>
              <c:idx val="7"/>
              <c:layout>
                <c:manualLayout>
                  <c:x val="-4.0481516991584109E-2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F6AD-4389-AC0C-03F38180114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Диаграмма!$D$52:$K$52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 formatCode="0">
                  <c:v>2020</c:v>
                </c:pt>
                <c:pt idx="5" formatCode="0">
                  <c:v>2021</c:v>
                </c:pt>
                <c:pt idx="6" formatCode="0">
                  <c:v>2022</c:v>
                </c:pt>
                <c:pt idx="7" formatCode="0">
                  <c:v>2023</c:v>
                </c:pt>
              </c:numCache>
            </c:numRef>
          </c:cat>
          <c:val>
            <c:numRef>
              <c:f>Диаграмма!$D$57:$K$57</c:f>
              <c:numCache>
                <c:formatCode>0.0</c:formatCode>
                <c:ptCount val="8"/>
                <c:pt idx="0">
                  <c:v>4.1168999999999976</c:v>
                </c:pt>
                <c:pt idx="1">
                  <c:v>3.5659000000000001</c:v>
                </c:pt>
                <c:pt idx="2">
                  <c:v>2.2706</c:v>
                </c:pt>
                <c:pt idx="3">
                  <c:v>3.8857999999999997</c:v>
                </c:pt>
                <c:pt idx="4" formatCode="#,##0.0">
                  <c:v>3.8672</c:v>
                </c:pt>
                <c:pt idx="5">
                  <c:v>0.64239710000000005</c:v>
                </c:pt>
                <c:pt idx="6">
                  <c:v>0.6873924000000009</c:v>
                </c:pt>
                <c:pt idx="7">
                  <c:v>0.16577530000000029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D-F6AD-4389-AC0C-03F381801143}"/>
            </c:ext>
          </c:extLst>
        </c:ser>
        <c:ser>
          <c:idx val="5"/>
          <c:order val="5"/>
          <c:tx>
            <c:strRef>
              <c:f>Диаграмма!$B$58:$C$58</c:f>
              <c:strCache>
                <c:ptCount val="2"/>
                <c:pt idx="0">
                  <c:v>Безвозмездные поступления 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shade val="51000"/>
                    <a:satMod val="130000"/>
                  </a:schemeClr>
                </a:gs>
                <a:gs pos="80000">
                  <a:schemeClr val="accent6">
                    <a:shade val="93000"/>
                    <a:satMod val="130000"/>
                  </a:schemeClr>
                </a:gs>
                <a:gs pos="100000">
                  <a:schemeClr val="accent6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elete val="1"/>
          </c:dLbls>
          <c:cat>
            <c:numRef>
              <c:f>Диаграмма!$D$52:$K$52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 formatCode="0">
                  <c:v>2020</c:v>
                </c:pt>
                <c:pt idx="5" formatCode="0">
                  <c:v>2021</c:v>
                </c:pt>
                <c:pt idx="6" formatCode="0">
                  <c:v>2022</c:v>
                </c:pt>
                <c:pt idx="7" formatCode="0">
                  <c:v>2023</c:v>
                </c:pt>
              </c:numCache>
            </c:numRef>
          </c:cat>
          <c:val>
            <c:numRef>
              <c:f>Диаграмма!$D$58:$K$58</c:f>
              <c:numCache>
                <c:formatCode>0.0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0.12000000000000002</c:v>
                </c:pt>
                <c:pt idx="4" formatCode="#,##0.0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E-F6AD-4389-AC0C-03F381801143}"/>
            </c:ext>
          </c:extLst>
        </c:ser>
        <c:ser>
          <c:idx val="6"/>
          <c:order val="6"/>
          <c:tx>
            <c:strRef>
              <c:f>Диаграмма!$B$59:$C$59</c:f>
              <c:strCache>
                <c:ptCount val="2"/>
                <c:pt idx="0">
                  <c:v>ОТКЛОНЕНИЕ</c:v>
                </c:pt>
              </c:strCache>
            </c:strRef>
          </c:tx>
          <c:spPr>
            <a:gradFill rotWithShape="1">
              <a:gsLst>
                <a:gs pos="80000">
                  <a:srgbClr val="FE4C48"/>
                </a:gs>
                <a:gs pos="100000">
                  <a:schemeClr val="accent1">
                    <a:lumMod val="60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dLbls>
            <c:dLbl>
              <c:idx val="0"/>
              <c:layout>
                <c:manualLayout>
                  <c:x val="3.8350910834132293E-2"/>
                  <c:y val="-3.9261876717706524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F6AD-4389-AC0C-03F381801143}"/>
                </c:ext>
              </c:extLst>
            </c:dLbl>
            <c:dLbl>
              <c:idx val="1"/>
              <c:layout>
                <c:manualLayout>
                  <c:x val="4.4742729306487865E-2"/>
                  <c:y val="-1.570475068708292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F6AD-4389-AC0C-03F381801143}"/>
                </c:ext>
              </c:extLst>
            </c:dLbl>
            <c:dLbl>
              <c:idx val="2"/>
              <c:layout>
                <c:manualLayout>
                  <c:x val="4.0481516991584032E-2"/>
                  <c:y val="-1.570475068708285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F6AD-4389-AC0C-03F381801143}"/>
                </c:ext>
              </c:extLst>
            </c:dLbl>
            <c:dLbl>
              <c:idx val="3"/>
              <c:layout>
                <c:manualLayout>
                  <c:x val="4.2612123149036112E-2"/>
                  <c:y val="-1.570475068708292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F6AD-4389-AC0C-03F381801143}"/>
                </c:ext>
              </c:extLst>
            </c:dLbl>
            <c:dLbl>
              <c:idx val="4"/>
              <c:layout>
                <c:manualLayout>
                  <c:x val="4.474272930648783E-2"/>
                  <c:y val="-1.5704750687082922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B-F6AD-4389-AC0C-03F381801143}"/>
                </c:ext>
              </c:extLst>
            </c:dLbl>
            <c:dLbl>
              <c:idx val="5"/>
              <c:layout>
                <c:manualLayout>
                  <c:x val="4.0481516991584109E-2"/>
                  <c:y val="-7.1979275805060961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F6AD-4389-AC0C-03F381801143}"/>
                </c:ext>
              </c:extLst>
            </c:dLbl>
            <c:dLbl>
              <c:idx val="6"/>
              <c:layout>
                <c:manualLayout>
                  <c:x val="3.8350910834132314E-2"/>
                  <c:y val="3.0914863557249904E-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F6AD-4389-AC0C-03F381801143}"/>
                </c:ext>
              </c:extLst>
            </c:dLbl>
            <c:dLbl>
              <c:idx val="7"/>
              <c:layout>
                <c:manualLayout>
                  <c:x val="4.0481516991584109E-2"/>
                  <c:y val="7.1979275805060961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5-F6AD-4389-AC0C-03F38180114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Диаграмма!$D$52:$K$52</c:f>
              <c:numCache>
                <c:formatCode>General</c:formatCode>
                <c:ptCount val="8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 formatCode="0">
                  <c:v>2020</c:v>
                </c:pt>
                <c:pt idx="5" formatCode="0">
                  <c:v>2021</c:v>
                </c:pt>
                <c:pt idx="6" formatCode="0">
                  <c:v>2022</c:v>
                </c:pt>
                <c:pt idx="7" formatCode="0">
                  <c:v>2023</c:v>
                </c:pt>
              </c:numCache>
            </c:numRef>
          </c:cat>
          <c:val>
            <c:numRef>
              <c:f>Диаграмма!$D$59:$K$59</c:f>
              <c:numCache>
                <c:formatCode>0.0</c:formatCode>
                <c:ptCount val="8"/>
                <c:pt idx="0">
                  <c:v>-2.7979000000000016</c:v>
                </c:pt>
                <c:pt idx="1">
                  <c:v>-1.2495999999999954</c:v>
                </c:pt>
                <c:pt idx="2">
                  <c:v>-0.97139999999999949</c:v>
                </c:pt>
                <c:pt idx="3">
                  <c:v>-1.1180000000000001</c:v>
                </c:pt>
                <c:pt idx="4" formatCode="#,##0.0">
                  <c:v>-0.60000000000000064</c:v>
                </c:pt>
                <c:pt idx="5">
                  <c:v>-3.5387426999999967</c:v>
                </c:pt>
                <c:pt idx="6">
                  <c:v>-3.5296154999999967</c:v>
                </c:pt>
                <c:pt idx="7">
                  <c:v>-2.8634614999999988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26-F6AD-4389-AC0C-03F38180114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144476032"/>
        <c:axId val="144477568"/>
      </c:barChart>
      <c:catAx>
        <c:axId val="144476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50800" cap="flat" cmpd="sng" algn="ctr">
            <a:solidFill>
              <a:srgbClr val="C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44477568"/>
        <c:crosses val="autoZero"/>
        <c:auto val="1"/>
        <c:lblAlgn val="ctr"/>
        <c:lblOffset val="800"/>
        <c:noMultiLvlLbl val="0"/>
      </c:catAx>
      <c:valAx>
        <c:axId val="1444775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ru-RU"/>
          </a:p>
        </c:txPr>
        <c:crossAx val="144476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5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>
        <a:lumMod val="95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aseline="0">
          <a:latin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depthPercent val="100"/>
      <c:rAngAx val="1"/>
    </c:view3D>
    <c:floor>
      <c:thickness val="0"/>
      <c:spPr>
        <a:gradFill>
          <a:gsLst>
            <a:gs pos="0">
              <a:srgbClr val="4F81BD">
                <a:tint val="66000"/>
                <a:satMod val="160000"/>
              </a:srgbClr>
            </a:gs>
            <a:gs pos="50000">
              <a:srgbClr val="4F81BD">
                <a:tint val="44500"/>
                <a:satMod val="160000"/>
              </a:srgbClr>
            </a:gs>
            <a:gs pos="100000">
              <a:srgbClr val="4F81BD">
                <a:tint val="23500"/>
                <a:satMod val="160000"/>
              </a:srgbClr>
            </a:gs>
          </a:gsLst>
          <a:lin ang="5400000" scaled="0"/>
        </a:gradFill>
      </c:spPr>
    </c:floor>
    <c:sideWall>
      <c:thickness val="0"/>
      <c:spPr>
        <a:gradFill flip="none" rotWithShape="1">
          <a:gsLst>
            <a:gs pos="0">
              <a:schemeClr val="accent1">
                <a:tint val="66000"/>
                <a:satMod val="160000"/>
              </a:schemeClr>
            </a:gs>
            <a:gs pos="50000">
              <a:schemeClr val="accent1">
                <a:tint val="44500"/>
                <a:satMod val="160000"/>
              </a:schemeClr>
            </a:gs>
            <a:gs pos="100000">
              <a:schemeClr val="accent1">
                <a:tint val="23500"/>
                <a:satMod val="160000"/>
              </a:schemeClr>
            </a:gs>
          </a:gsLst>
          <a:lin ang="2700000" scaled="1"/>
          <a:tileRect/>
        </a:gradFill>
      </c:spPr>
    </c:sideWall>
    <c:backWall>
      <c:thickness val="0"/>
      <c:spPr>
        <a:gradFill>
          <a:gsLst>
            <a:gs pos="0">
              <a:srgbClr val="4F81BD">
                <a:tint val="66000"/>
                <a:satMod val="160000"/>
              </a:srgbClr>
            </a:gs>
            <a:gs pos="50000">
              <a:srgbClr val="4F81BD">
                <a:tint val="44500"/>
                <a:satMod val="160000"/>
              </a:srgbClr>
            </a:gs>
            <a:gs pos="100000">
              <a:srgbClr val="4F81BD">
                <a:tint val="23500"/>
                <a:satMod val="160000"/>
              </a:srgbClr>
            </a:gs>
          </a:gsLst>
          <a:lin ang="2700000" scaled="1"/>
        </a:gradFill>
      </c:spPr>
    </c:backWall>
    <c:plotArea>
      <c:layout>
        <c:manualLayout>
          <c:layoutTarget val="inner"/>
          <c:xMode val="edge"/>
          <c:yMode val="edge"/>
          <c:x val="7.6235960871032474E-2"/>
          <c:y val="0.42736373667193051"/>
          <c:w val="0.88814680802202051"/>
          <c:h val="0.794842652384186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Лист2!$B$3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Лист2!$A$4:$A$11</c:f>
              <c:strCache>
                <c:ptCount val="8"/>
                <c:pt idx="0">
                  <c:v>ВРП</c:v>
                </c:pt>
                <c:pt idx="1">
                  <c:v>ИПП</c:v>
                </c:pt>
                <c:pt idx="2">
                  <c:v>Производство продукции с/х</c:v>
                </c:pt>
                <c:pt idx="3">
                  <c:v>Оборот розничной торговли</c:v>
                </c:pt>
                <c:pt idx="4">
                  <c:v>V платных услуг населению</c:v>
                </c:pt>
                <c:pt idx="5">
                  <c:v>Прибыль прибыльных</c:v>
                </c:pt>
                <c:pt idx="6">
                  <c:v>Инвестиции в ос.капитал</c:v>
                </c:pt>
                <c:pt idx="7">
                  <c:v>Реальные рас. доходы населения</c:v>
                </c:pt>
              </c:strCache>
            </c:strRef>
          </c:cat>
          <c:val>
            <c:numRef>
              <c:f>Лист2!$B$4:$B$11</c:f>
              <c:numCache>
                <c:formatCode>0.0</c:formatCode>
                <c:ptCount val="8"/>
                <c:pt idx="0">
                  <c:v>-0.5</c:v>
                </c:pt>
                <c:pt idx="1">
                  <c:v>1.5</c:v>
                </c:pt>
                <c:pt idx="2">
                  <c:v>7</c:v>
                </c:pt>
                <c:pt idx="3">
                  <c:v>3.1</c:v>
                </c:pt>
                <c:pt idx="4">
                  <c:v>0.2</c:v>
                </c:pt>
                <c:pt idx="5">
                  <c:v>-1.8</c:v>
                </c:pt>
                <c:pt idx="6">
                  <c:v>2.4</c:v>
                </c:pt>
                <c:pt idx="7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0A-486D-BAD4-755DC01D08A5}"/>
            </c:ext>
          </c:extLst>
        </c:ser>
        <c:ser>
          <c:idx val="1"/>
          <c:order val="1"/>
          <c:tx>
            <c:strRef>
              <c:f>Лист2!$C$3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7.2169598556608271E-3"/>
                  <c:y val="1.4524328249818476E-2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80A-486D-BAD4-755DC01D08A5}"/>
                </c:ext>
              </c:extLst>
            </c:dLbl>
            <c:dLbl>
              <c:idx val="2"/>
              <c:layout>
                <c:manualLayout>
                  <c:x val="3.608479927830404E-3"/>
                  <c:y val="6.97167755991287E-2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80A-486D-BAD4-755DC01D08A5}"/>
                </c:ext>
              </c:extLst>
            </c:dLbl>
            <c:dLbl>
              <c:idx val="3"/>
              <c:layout>
                <c:manualLayout>
                  <c:x val="9.0211998195760187E-3"/>
                  <c:y val="1.7429193899782154E-2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E80A-486D-BAD4-755DC01D08A5}"/>
                </c:ext>
              </c:extLst>
            </c:dLbl>
            <c:dLbl>
              <c:idx val="4"/>
              <c:layout>
                <c:manualLayout>
                  <c:x val="5.4127198917456034E-3"/>
                  <c:y val="2.3238925199709541E-2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E80A-486D-BAD4-755DC01D08A5}"/>
                </c:ext>
              </c:extLst>
            </c:dLbl>
            <c:dLbl>
              <c:idx val="5"/>
              <c:layout>
                <c:manualLayout>
                  <c:x val="1.2629679747406421E-2"/>
                  <c:y val="4.938271604938281E-2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E80A-486D-BAD4-755DC01D08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Лист2!$A$4:$A$11</c:f>
              <c:strCache>
                <c:ptCount val="8"/>
                <c:pt idx="0">
                  <c:v>ВРП</c:v>
                </c:pt>
                <c:pt idx="1">
                  <c:v>ИПП</c:v>
                </c:pt>
                <c:pt idx="2">
                  <c:v>Производство продукции с/х</c:v>
                </c:pt>
                <c:pt idx="3">
                  <c:v>Оборот розничной торговли</c:v>
                </c:pt>
                <c:pt idx="4">
                  <c:v>V платных услуг населению</c:v>
                </c:pt>
                <c:pt idx="5">
                  <c:v>Прибыль прибыльных</c:v>
                </c:pt>
                <c:pt idx="6">
                  <c:v>Инвестиции в ос.капитал</c:v>
                </c:pt>
                <c:pt idx="7">
                  <c:v>Реальные рас. доходы населения</c:v>
                </c:pt>
              </c:strCache>
            </c:strRef>
          </c:cat>
          <c:val>
            <c:numRef>
              <c:f>Лист2!$C$4:$C$11</c:f>
              <c:numCache>
                <c:formatCode>0.0</c:formatCode>
                <c:ptCount val="8"/>
                <c:pt idx="0">
                  <c:v>-4</c:v>
                </c:pt>
                <c:pt idx="1">
                  <c:v>-3.1</c:v>
                </c:pt>
                <c:pt idx="2">
                  <c:v>0</c:v>
                </c:pt>
                <c:pt idx="3">
                  <c:v>-4.2</c:v>
                </c:pt>
                <c:pt idx="4">
                  <c:v>-10.3</c:v>
                </c:pt>
                <c:pt idx="5">
                  <c:v>-13.5</c:v>
                </c:pt>
                <c:pt idx="6">
                  <c:v>-6.6</c:v>
                </c:pt>
                <c:pt idx="7">
                  <c:v>-3.5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E80A-486D-BAD4-755DC01D08A5}"/>
            </c:ext>
          </c:extLst>
        </c:ser>
        <c:ser>
          <c:idx val="2"/>
          <c:order val="2"/>
          <c:tx>
            <c:strRef>
              <c:f>Лист2!$D$3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dLbl>
              <c:idx val="2"/>
              <c:layout>
                <c:manualLayout>
                  <c:x val="0"/>
                  <c:y val="-1.4524328249818476E-2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80A-486D-BAD4-755DC01D08A5}"/>
                </c:ext>
              </c:extLst>
            </c:dLbl>
            <c:dLbl>
              <c:idx val="5"/>
              <c:layout>
                <c:manualLayout>
                  <c:x val="9.0211998195760187E-3"/>
                  <c:y val="3.7763253449528002E-2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80A-486D-BAD4-755DC01D08A5}"/>
                </c:ext>
              </c:extLst>
            </c:dLbl>
            <c:dLbl>
              <c:idx val="7"/>
              <c:layout>
                <c:manualLayout>
                  <c:x val="-9.0211998195760187E-3"/>
                  <c:y val="0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80A-486D-BAD4-755DC01D08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Лист2!$A$4:$A$11</c:f>
              <c:strCache>
                <c:ptCount val="8"/>
                <c:pt idx="0">
                  <c:v>ВРП</c:v>
                </c:pt>
                <c:pt idx="1">
                  <c:v>ИПП</c:v>
                </c:pt>
                <c:pt idx="2">
                  <c:v>Производство продукции с/х</c:v>
                </c:pt>
                <c:pt idx="3">
                  <c:v>Оборот розничной торговли</c:v>
                </c:pt>
                <c:pt idx="4">
                  <c:v>V платных услуг населению</c:v>
                </c:pt>
                <c:pt idx="5">
                  <c:v>Прибыль прибыльных</c:v>
                </c:pt>
                <c:pt idx="6">
                  <c:v>Инвестиции в ос.капитал</c:v>
                </c:pt>
                <c:pt idx="7">
                  <c:v>Реальные рас. доходы населения</c:v>
                </c:pt>
              </c:strCache>
            </c:strRef>
          </c:cat>
          <c:val>
            <c:numRef>
              <c:f>Лист2!$D$4:$D$11</c:f>
              <c:numCache>
                <c:formatCode>0.0</c:formatCode>
                <c:ptCount val="8"/>
                <c:pt idx="0">
                  <c:v>3.9</c:v>
                </c:pt>
                <c:pt idx="1">
                  <c:v>2.7</c:v>
                </c:pt>
                <c:pt idx="2">
                  <c:v>1.3</c:v>
                </c:pt>
                <c:pt idx="3">
                  <c:v>5.0999999999999996</c:v>
                </c:pt>
                <c:pt idx="4">
                  <c:v>6.7</c:v>
                </c:pt>
                <c:pt idx="5">
                  <c:v>9.6</c:v>
                </c:pt>
                <c:pt idx="6">
                  <c:v>0.1</c:v>
                </c:pt>
                <c:pt idx="7">
                  <c:v>2.7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80A-486D-BAD4-755DC01D08A5}"/>
            </c:ext>
          </c:extLst>
        </c:ser>
        <c:ser>
          <c:idx val="3"/>
          <c:order val="3"/>
          <c:tx>
            <c:strRef>
              <c:f>Лист2!$E$3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dLbls>
            <c:dLbl>
              <c:idx val="4"/>
              <c:layout>
                <c:manualLayout>
                  <c:x val="5.4127198917456034E-3"/>
                  <c:y val="5.8097312999273827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80A-486D-BAD4-755DC01D08A5}"/>
                </c:ext>
              </c:extLst>
            </c:dLbl>
            <c:dLbl>
              <c:idx val="6"/>
              <c:layout>
                <c:manualLayout>
                  <c:x val="3.608479927830404E-3"/>
                  <c:y val="-1.7429193899782154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E80A-486D-BAD4-755DC01D08A5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Лист2!$A$4:$A$11</c:f>
              <c:strCache>
                <c:ptCount val="8"/>
                <c:pt idx="0">
                  <c:v>ВРП</c:v>
                </c:pt>
                <c:pt idx="1">
                  <c:v>ИПП</c:v>
                </c:pt>
                <c:pt idx="2">
                  <c:v>Производство продукции с/х</c:v>
                </c:pt>
                <c:pt idx="3">
                  <c:v>Оборот розничной торговли</c:v>
                </c:pt>
                <c:pt idx="4">
                  <c:v>V платных услуг населению</c:v>
                </c:pt>
                <c:pt idx="5">
                  <c:v>Прибыль прибыльных</c:v>
                </c:pt>
                <c:pt idx="6">
                  <c:v>Инвестиции в ос.капитал</c:v>
                </c:pt>
                <c:pt idx="7">
                  <c:v>Реальные рас. доходы населения</c:v>
                </c:pt>
              </c:strCache>
            </c:strRef>
          </c:cat>
          <c:val>
            <c:numRef>
              <c:f>Лист2!$E$4:$E$11</c:f>
              <c:numCache>
                <c:formatCode>0.0</c:formatCode>
                <c:ptCount val="8"/>
                <c:pt idx="0">
                  <c:v>1</c:v>
                </c:pt>
                <c:pt idx="1">
                  <c:v>2.2000000000000002</c:v>
                </c:pt>
                <c:pt idx="2">
                  <c:v>0.70000000000000051</c:v>
                </c:pt>
                <c:pt idx="3">
                  <c:v>2.9</c:v>
                </c:pt>
                <c:pt idx="4">
                  <c:v>3.1</c:v>
                </c:pt>
                <c:pt idx="5">
                  <c:v>6.2</c:v>
                </c:pt>
                <c:pt idx="6">
                  <c:v>0.60000000000000053</c:v>
                </c:pt>
                <c:pt idx="7">
                  <c:v>2.4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D-E80A-486D-BAD4-755DC01D08A5}"/>
            </c:ext>
          </c:extLst>
        </c:ser>
        <c:ser>
          <c:idx val="4"/>
          <c:order val="4"/>
          <c:tx>
            <c:strRef>
              <c:f>Лист2!$F$3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dLbls>
            <c:dLbl>
              <c:idx val="1"/>
              <c:layout>
                <c:manualLayout>
                  <c:x val="1.0825439783491205E-2"/>
                  <c:y val="8.7145969498910701E-3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E80A-486D-BAD4-755DC01D08A5}"/>
                </c:ext>
              </c:extLst>
            </c:dLbl>
            <c:dLbl>
              <c:idx val="2"/>
              <c:layout>
                <c:manualLayout>
                  <c:x val="1.1381303659203226E-2"/>
                  <c:y val="8.7145949566054485E-3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E80A-486D-BAD4-755DC01D08A5}"/>
                </c:ext>
              </c:extLst>
            </c:dLbl>
            <c:dLbl>
              <c:idx val="3"/>
              <c:layout>
                <c:manualLayout>
                  <c:x val="1.4433919711321538E-2"/>
                  <c:y val="1.4524328249818476E-2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E80A-486D-BAD4-755DC01D08A5}"/>
                </c:ext>
              </c:extLst>
            </c:dLbl>
            <c:dLbl>
              <c:idx val="4"/>
              <c:layout>
                <c:manualLayout>
                  <c:x val="1.2629679747406421E-2"/>
                  <c:y val="1.7429193899782154E-2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E80A-486D-BAD4-755DC01D08A5}"/>
                </c:ext>
              </c:extLst>
            </c:dLbl>
            <c:dLbl>
              <c:idx val="5"/>
              <c:layout>
                <c:manualLayout>
                  <c:x val="1.2629679747406421E-2"/>
                  <c:y val="2.0334059549745823E-2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E80A-486D-BAD4-755DC01D08A5}"/>
                </c:ext>
              </c:extLst>
            </c:dLbl>
            <c:dLbl>
              <c:idx val="6"/>
              <c:layout>
                <c:manualLayout>
                  <c:x val="1.2629679747406421E-2"/>
                  <c:y val="8.7145969498910701E-3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E80A-486D-BAD4-755DC01D08A5}"/>
                </c:ext>
              </c:extLst>
            </c:dLbl>
            <c:dLbl>
              <c:idx val="7"/>
              <c:layout>
                <c:manualLayout>
                  <c:x val="1.0825439783491205E-2"/>
                  <c:y val="8.7145969498910701E-3"/>
                </c:manualLayout>
              </c:layout>
              <c:spPr/>
              <c:txPr>
                <a:bodyPr/>
                <a:lstStyle/>
                <a:p>
                  <a:pPr>
                    <a:defRPr sz="800" b="1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E80A-486D-BAD4-755DC01D08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Лист2!$A$4:$A$11</c:f>
              <c:strCache>
                <c:ptCount val="8"/>
                <c:pt idx="0">
                  <c:v>ВРП</c:v>
                </c:pt>
                <c:pt idx="1">
                  <c:v>ИПП</c:v>
                </c:pt>
                <c:pt idx="2">
                  <c:v>Производство продукции с/х</c:v>
                </c:pt>
                <c:pt idx="3">
                  <c:v>Оборот розничной торговли</c:v>
                </c:pt>
                <c:pt idx="4">
                  <c:v>V платных услуг населению</c:v>
                </c:pt>
                <c:pt idx="5">
                  <c:v>Прибыль прибыльных</c:v>
                </c:pt>
                <c:pt idx="6">
                  <c:v>Инвестиции в ос.капитал</c:v>
                </c:pt>
                <c:pt idx="7">
                  <c:v>Реальные рас. доходы населения</c:v>
                </c:pt>
              </c:strCache>
            </c:strRef>
          </c:cat>
          <c:val>
            <c:numRef>
              <c:f>Лист2!$F$4:$F$11</c:f>
              <c:numCache>
                <c:formatCode>0.0</c:formatCode>
                <c:ptCount val="8"/>
                <c:pt idx="0">
                  <c:v>1.8</c:v>
                </c:pt>
                <c:pt idx="1">
                  <c:v>2.2999999999999998</c:v>
                </c:pt>
                <c:pt idx="2">
                  <c:v>0.8</c:v>
                </c:pt>
                <c:pt idx="3">
                  <c:v>2.8</c:v>
                </c:pt>
                <c:pt idx="4">
                  <c:v>3</c:v>
                </c:pt>
                <c:pt idx="5">
                  <c:v>5.7</c:v>
                </c:pt>
                <c:pt idx="6">
                  <c:v>1.2</c:v>
                </c:pt>
                <c:pt idx="7">
                  <c:v>2.2000000000000002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E80A-486D-BAD4-755DC01D08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45074816"/>
        <c:axId val="145088896"/>
        <c:axId val="0"/>
      </c:bar3DChart>
      <c:catAx>
        <c:axId val="14507481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cross"/>
        <c:tickLblPos val="high"/>
        <c:txPr>
          <a:bodyPr rot="0" vert="horz"/>
          <a:lstStyle/>
          <a:p>
            <a:pPr>
              <a:defRPr sz="800" b="0"/>
            </a:pPr>
            <a:endParaRPr lang="ru-RU"/>
          </a:p>
        </c:txPr>
        <c:crossAx val="145088896"/>
        <c:crosses val="autoZero"/>
        <c:auto val="1"/>
        <c:lblAlgn val="ctr"/>
        <c:lblOffset val="100"/>
        <c:noMultiLvlLbl val="0"/>
      </c:catAx>
      <c:valAx>
        <c:axId val="145088896"/>
        <c:scaling>
          <c:orientation val="minMax"/>
        </c:scaling>
        <c:delete val="0"/>
        <c:axPos val="l"/>
        <c:majorGridlines>
          <c:spPr>
            <a:ln>
              <a:solidFill>
                <a:schemeClr val="accent5">
                  <a:lumMod val="40000"/>
                  <a:lumOff val="60000"/>
                </a:schemeClr>
              </a:solidFill>
            </a:ln>
          </c:spPr>
        </c:majorGridlines>
        <c:numFmt formatCode="0.0" sourceLinked="1"/>
        <c:majorTickMark val="out"/>
        <c:minorTickMark val="none"/>
        <c:tickLblPos val="nextTo"/>
        <c:spPr>
          <a:effectLst>
            <a:outerShdw blurRad="50800" dist="50800" dir="5400000" algn="ctr" rotWithShape="0">
              <a:schemeClr val="accent1">
                <a:lumMod val="20000"/>
                <a:lumOff val="80000"/>
              </a:schemeClr>
            </a:outerShdw>
          </a:effectLst>
        </c:spPr>
        <c:crossAx val="145074816"/>
        <c:crosses val="autoZero"/>
        <c:crossBetween val="between"/>
        <c:majorUnit val="2"/>
        <c:minorUnit val="1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3890437132023398"/>
          <c:y val="0.85499211455607305"/>
          <c:w val="0.38440380949174552"/>
          <c:h val="6.1553603876438524E-2"/>
        </c:manualLayout>
      </c:layout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0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Динамика темпов роста ВВП</a:t>
            </a:r>
            <a:r>
              <a:rPr lang="ru-RU" sz="10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РФ и ВРП Волгоградской области </a:t>
            </a:r>
          </a:p>
          <a:p>
            <a:pPr>
              <a:defRPr sz="1000" b="1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000" b="1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в период 2019-2023 годов в % к предыдущему году</a:t>
            </a:r>
            <a:endParaRPr lang="ru-RU" sz="1000" b="1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Россия (ВВП)</c:v>
                </c:pt>
              </c:strCache>
            </c:strRef>
          </c:tx>
          <c:spPr>
            <a:ln w="38100" cap="rnd" cmpd="thickThin">
              <a:solidFill>
                <a:schemeClr val="accent4">
                  <a:lumMod val="50000"/>
                </a:schemeClr>
              </a:solidFill>
              <a:round/>
            </a:ln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marker>
            <c:symbol val="diamond"/>
            <c:size val="5"/>
            <c:spPr>
              <a:solidFill>
                <a:schemeClr val="accent1"/>
              </a:solidFill>
              <a:ln w="9525">
                <a:solidFill>
                  <a:schemeClr val="tx2"/>
                </a:solidFill>
              </a:ln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c:spPr>
          </c:marker>
          <c:dLbls>
            <c:dLbl>
              <c:idx val="2"/>
              <c:layout>
                <c:manualLayout>
                  <c:x val="-3.125E-2"/>
                  <c:y val="5.3174603174603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D35-4EE3-9975-03661FF02A4C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1.0129999999999966</c:v>
                </c:pt>
                <c:pt idx="1">
                  <c:v>0.96100000000000063</c:v>
                </c:pt>
                <c:pt idx="2">
                  <c:v>1.0329999999999966</c:v>
                </c:pt>
                <c:pt idx="3">
                  <c:v>1.034</c:v>
                </c:pt>
                <c:pt idx="4">
                  <c:v>1.03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D35-4EE3-9975-03661FF02A4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Волгоградская область</c:v>
                </c:pt>
              </c:strCache>
            </c:strRef>
          </c:tx>
          <c:spPr>
            <a:ln w="38100" cap="rnd" cmpd="thickThin">
              <a:solidFill>
                <a:srgbClr val="FF0000"/>
              </a:solidFill>
              <a:round/>
            </a:ln>
            <a:effectLst>
              <a:outerShdw blurRad="50800" dist="38100" dir="5400000" algn="t" rotWithShape="0">
                <a:prstClr val="black">
                  <a:alpha val="40000"/>
                </a:prstClr>
              </a:outerShdw>
            </a:effectLst>
          </c:spPr>
          <c:marker>
            <c:symbol val="diamond"/>
            <c:size val="5"/>
            <c:spPr>
              <a:solidFill>
                <a:schemeClr val="accent2"/>
              </a:solidFill>
              <a:ln w="9525">
                <a:solidFill>
                  <a:srgbClr val="FF0000"/>
                </a:solidFill>
              </a:ln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</c:spPr>
          </c:marker>
          <c:dLbls>
            <c:dLbl>
              <c:idx val="2"/>
              <c:layout>
                <c:manualLayout>
                  <c:x val="-4.5138888888888888E-2"/>
                  <c:y val="-3.7301587301587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D35-4EE3-9975-03661FF02A4C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0.995</c:v>
                </c:pt>
                <c:pt idx="1">
                  <c:v>0.96000000000000063</c:v>
                </c:pt>
                <c:pt idx="2">
                  <c:v>1.0389999999999966</c:v>
                </c:pt>
                <c:pt idx="3">
                  <c:v>1.01</c:v>
                </c:pt>
                <c:pt idx="4">
                  <c:v>1.018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D35-4EE3-9975-03661FF02A4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4993280"/>
        <c:axId val="144999168"/>
      </c:lineChart>
      <c:catAx>
        <c:axId val="144993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44999168"/>
        <c:crosses val="autoZero"/>
        <c:auto val="1"/>
        <c:lblAlgn val="ctr"/>
        <c:lblOffset val="100"/>
        <c:noMultiLvlLbl val="0"/>
      </c:catAx>
      <c:valAx>
        <c:axId val="144999168"/>
        <c:scaling>
          <c:orientation val="minMax"/>
          <c:max val="1.05"/>
          <c:min val="0.9500000000000006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44993280"/>
        <c:crosses val="autoZero"/>
        <c:crossBetween val="between"/>
        <c:majorUnit val="2.0000000000000011E-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accent5">
            <a:lumMod val="20000"/>
            <a:lumOff val="80000"/>
          </a:schemeClr>
        </a:gs>
        <a:gs pos="46000">
          <a:schemeClr val="accent5">
            <a:lumMod val="20000"/>
            <a:lumOff val="80000"/>
          </a:schemeClr>
        </a:gs>
        <a:gs pos="83000">
          <a:schemeClr val="bg1">
            <a:lumMod val="95000"/>
          </a:schemeClr>
        </a:gs>
        <a:gs pos="100000">
          <a:schemeClr val="bg1">
            <a:lumMod val="95000"/>
          </a:schemeClr>
        </a:gs>
      </a:gsLst>
      <a:lin ang="2700000" scaled="1"/>
      <a:tileRect/>
    </a:gra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00"/>
            </a:pPr>
            <a:r>
              <a:rPr lang="ru-RU" sz="900"/>
              <a:t>Динамика доли</a:t>
            </a:r>
            <a:r>
              <a:rPr lang="ru-RU" sz="900" baseline="0"/>
              <a:t> государственного внутреннего долга в объеме налоговых и неналоговых доходов</a:t>
            </a:r>
            <a:endParaRPr lang="ru-RU" sz="900"/>
          </a:p>
        </c:rich>
      </c:tx>
      <c:layout>
        <c:manualLayout>
          <c:xMode val="edge"/>
          <c:yMode val="edge"/>
          <c:x val="0.13891205419779273"/>
          <c:y val="1.8570102135561744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6349116097962571"/>
          <c:y val="0.10178925689506015"/>
          <c:w val="0.75618461167455575"/>
          <c:h val="0.62306758652383365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'диаграмма долг '!$D$6</c:f>
              <c:strCache>
                <c:ptCount val="1"/>
                <c:pt idx="0">
                  <c:v>Налоговые и неналоговые доходы, тыс. руб.</c:v>
                </c:pt>
              </c:strCache>
            </c:strRef>
          </c:tx>
          <c:spPr>
            <a:solidFill>
              <a:srgbClr val="0070C0"/>
            </a:solidFill>
            <a:scene3d>
              <a:camera prst="orthographicFront"/>
              <a:lightRig rig="balanced" dir="t"/>
            </a:scene3d>
            <a:sp3d>
              <a:bevelT/>
            </a:sp3d>
          </c:spPr>
          <c:invertIfNegative val="0"/>
          <c:dLbls>
            <c:dLbl>
              <c:idx val="2"/>
              <c:layout>
                <c:manualLayout>
                  <c:x val="0"/>
                  <c:y val="3.5639418881034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FC0-4A48-9D7D-33B1A4871E9E}"/>
                </c:ext>
              </c:extLst>
            </c:dLbl>
            <c:dLbl>
              <c:idx val="3"/>
              <c:layout>
                <c:manualLayout>
                  <c:x val="0"/>
                  <c:y val="6.68239104019397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FC0-4A48-9D7D-33B1A4871E9E}"/>
                </c:ext>
              </c:extLst>
            </c:dLbl>
            <c:spPr>
              <a:noFill/>
              <a:ln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>
                    <a:solidFill>
                      <a:schemeClr val="bg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'диаграмма долг '!$B$9:$B$12</c:f>
              <c:strCache>
                <c:ptCount val="4"/>
                <c:pt idx="0">
                  <c:v>на 01.01.2021</c:v>
                </c:pt>
                <c:pt idx="1">
                  <c:v>на 01.01.2022</c:v>
                </c:pt>
                <c:pt idx="2">
                  <c:v>на 01.01.2023</c:v>
                </c:pt>
                <c:pt idx="3">
                  <c:v>на 01.01.2024</c:v>
                </c:pt>
              </c:strCache>
            </c:strRef>
          </c:cat>
          <c:val>
            <c:numRef>
              <c:f>'диаграмма долг '!$D$9:$D$12</c:f>
              <c:numCache>
                <c:formatCode>#,##0.0</c:formatCode>
                <c:ptCount val="4"/>
                <c:pt idx="0">
                  <c:v>73875.899999999994</c:v>
                </c:pt>
                <c:pt idx="1">
                  <c:v>78776.899999999994</c:v>
                </c:pt>
                <c:pt idx="2">
                  <c:v>84021.2</c:v>
                </c:pt>
                <c:pt idx="3">
                  <c:v>90611.199999999997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FC0-4A48-9D7D-33B1A4871E9E}"/>
            </c:ext>
          </c:extLst>
        </c:ser>
        <c:ser>
          <c:idx val="0"/>
          <c:order val="1"/>
          <c:tx>
            <c:strRef>
              <c:f>'диаграмма долг '!$C$6</c:f>
              <c:strCache>
                <c:ptCount val="1"/>
                <c:pt idx="0">
                  <c:v>Государственный внутренний долг Волгоградской области, тыс. руб.</c:v>
                </c:pt>
              </c:strCache>
            </c:strRef>
          </c:tx>
          <c:spPr>
            <a:solidFill>
              <a:srgbClr val="92D050"/>
            </a:solidFill>
            <a:effectLst/>
            <a:scene3d>
              <a:camera prst="orthographicFront"/>
              <a:lightRig rig="balanced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1.6899028305872497E-3"/>
                  <c:y val="1.32802124833996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FC0-4A48-9D7D-33B1A4871E9E}"/>
                </c:ext>
              </c:extLst>
            </c:dLbl>
            <c:dLbl>
              <c:idx val="1"/>
              <c:layout>
                <c:manualLayout>
                  <c:x val="-1.6900358938022571E-3"/>
                  <c:y val="2.65583335947548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FC0-4A48-9D7D-33B1A4871E9E}"/>
                </c:ext>
              </c:extLst>
            </c:dLbl>
            <c:dLbl>
              <c:idx val="3"/>
              <c:layout>
                <c:manualLayout>
                  <c:x val="0"/>
                  <c:y val="5.1986342191842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FC0-4A48-9D7D-33B1A4871E9E}"/>
                </c:ext>
              </c:extLst>
            </c:dLbl>
            <c:spPr>
              <a:noFill/>
              <a:ln>
                <a:noFill/>
              </a:ln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'диаграмма долг '!$B$9:$B$12</c:f>
              <c:strCache>
                <c:ptCount val="4"/>
                <c:pt idx="0">
                  <c:v>на 01.01.2021</c:v>
                </c:pt>
                <c:pt idx="1">
                  <c:v>на 01.01.2022</c:v>
                </c:pt>
                <c:pt idx="2">
                  <c:v>на 01.01.2023</c:v>
                </c:pt>
                <c:pt idx="3">
                  <c:v>на 01.01.2024</c:v>
                </c:pt>
              </c:strCache>
            </c:strRef>
          </c:cat>
          <c:val>
            <c:numRef>
              <c:f>'диаграмма долг '!$C$9:$C$12</c:f>
              <c:numCache>
                <c:formatCode>#,##0.0</c:formatCode>
                <c:ptCount val="4"/>
                <c:pt idx="0">
                  <c:v>51873.8</c:v>
                </c:pt>
                <c:pt idx="1">
                  <c:v>55904.4</c:v>
                </c:pt>
                <c:pt idx="2">
                  <c:v>54534.9</c:v>
                </c:pt>
                <c:pt idx="3">
                  <c:v>52465.5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FC0-4A48-9D7D-33B1A4871E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45145216"/>
        <c:axId val="145155200"/>
      </c:barChart>
      <c:lineChart>
        <c:grouping val="standard"/>
        <c:varyColors val="0"/>
        <c:ser>
          <c:idx val="2"/>
          <c:order val="2"/>
          <c:tx>
            <c:strRef>
              <c:f>'диаграмма долг '!#REF!</c:f>
              <c:strCache>
                <c:ptCount val="1"/>
                <c:pt idx="0">
                  <c:v>#REF!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pPr>
              <a:solidFill>
                <a:schemeClr val="bg1"/>
              </a:solidFill>
            </c:spPr>
          </c:marker>
          <c:cat>
            <c:strRef>
              <c:f>'диаграмма долг '!$B$7:$B$9</c:f>
              <c:strCache>
                <c:ptCount val="1"/>
                <c:pt idx="0">
                  <c:v>на 01.01.2021</c:v>
                </c:pt>
              </c:strCache>
            </c:strRef>
          </c:cat>
          <c:val>
            <c:numRef>
              <c:f>'диаграмма долг '!#REF!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AFC0-4A48-9D7D-33B1A4871E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5145216"/>
        <c:axId val="145155200"/>
      </c:lineChart>
      <c:lineChart>
        <c:grouping val="standard"/>
        <c:varyColors val="0"/>
        <c:ser>
          <c:idx val="3"/>
          <c:order val="3"/>
          <c:tx>
            <c:strRef>
              <c:f>'диаграмма долг '!$E$6</c:f>
              <c:strCache>
                <c:ptCount val="1"/>
                <c:pt idx="0">
                  <c:v>Доля госдолга к налоговым и неналоговым доходам, %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circle"/>
            <c:size val="7"/>
            <c:spPr>
              <a:solidFill>
                <a:srgbClr val="FF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0"/>
                  <c:y val="1.600955530938948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FC0-4A48-9D7D-33B1A4871E9E}"/>
                </c:ext>
              </c:extLst>
            </c:dLbl>
            <c:dLbl>
              <c:idx val="1"/>
              <c:layout>
                <c:manualLayout>
                  <c:x val="0"/>
                  <c:y val="1.6009555309389464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FC0-4A48-9D7D-33B1A4871E9E}"/>
                </c:ext>
              </c:extLst>
            </c:dLbl>
            <c:dLbl>
              <c:idx val="2"/>
              <c:layout>
                <c:manualLayout>
                  <c:x val="6.9645680381605407E-3"/>
                  <c:y val="1.4873143312557715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FC0-4A48-9D7D-33B1A4871E9E}"/>
                </c:ext>
              </c:extLst>
            </c:dLbl>
            <c:dLbl>
              <c:idx val="3"/>
              <c:layout>
                <c:manualLayout>
                  <c:x val="-2.6402201153590079E-3"/>
                  <c:y val="-3.5639418881034529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FC0-4A48-9D7D-33B1A4871E9E}"/>
                </c:ext>
              </c:extLst>
            </c:dLbl>
            <c:dLbl>
              <c:idx val="9"/>
              <c:layout>
                <c:manualLayout>
                  <c:x val="2.1637511749232011E-3"/>
                  <c:y val="2.37417831057274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FC0-4A48-9D7D-33B1A4871E9E}"/>
                </c:ext>
              </c:extLst>
            </c:dLbl>
            <c:dLbl>
              <c:idx val="10"/>
              <c:layout>
                <c:manualLayout>
                  <c:x val="-2.6730388206310091E-2"/>
                  <c:y val="3.2456378560654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FC0-4A48-9D7D-33B1A4871E9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>
                    <a:solidFill>
                      <a:schemeClr val="bg1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val>
            <c:numRef>
              <c:f>'диаграмма долг '!$E$9:$E$12</c:f>
              <c:numCache>
                <c:formatCode>#,##0.0</c:formatCode>
                <c:ptCount val="4"/>
                <c:pt idx="0">
                  <c:v>70.217486352112132</c:v>
                </c:pt>
                <c:pt idx="1">
                  <c:v>70.965473381156173</c:v>
                </c:pt>
                <c:pt idx="2">
                  <c:v>64.906118931888628</c:v>
                </c:pt>
                <c:pt idx="3">
                  <c:v>57.901782561096041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E-AFC0-4A48-9D7D-33B1A4871E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5310848"/>
        <c:axId val="145157120"/>
      </c:lineChart>
      <c:catAx>
        <c:axId val="145145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5155200"/>
        <c:crosses val="autoZero"/>
        <c:auto val="1"/>
        <c:lblAlgn val="ctr"/>
        <c:lblOffset val="100"/>
        <c:noMultiLvlLbl val="0"/>
      </c:catAx>
      <c:valAx>
        <c:axId val="14515520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b="0"/>
                </a:pPr>
                <a:r>
                  <a:rPr lang="ru-RU" b="0" i="1"/>
                  <a:t>тыс. рублей</a:t>
                </a:r>
              </a:p>
            </c:rich>
          </c:tx>
          <c:layout>
            <c:manualLayout>
              <c:xMode val="edge"/>
              <c:yMode val="edge"/>
              <c:x val="1.277247288098997E-2"/>
              <c:y val="0.34541588986613442"/>
            </c:manualLayout>
          </c:layout>
          <c:overlay val="0"/>
        </c:title>
        <c:numFmt formatCode="#,##0" sourceLinked="0"/>
        <c:majorTickMark val="out"/>
        <c:minorTickMark val="none"/>
        <c:tickLblPos val="nextTo"/>
        <c:crossAx val="145145216"/>
        <c:crosses val="autoZero"/>
        <c:crossBetween val="between"/>
      </c:valAx>
      <c:valAx>
        <c:axId val="145157120"/>
        <c:scaling>
          <c:orientation val="minMax"/>
          <c:max val="150"/>
          <c:min val="20"/>
        </c:scaling>
        <c:delete val="0"/>
        <c:axPos val="r"/>
        <c:title>
          <c:tx>
            <c:rich>
              <a:bodyPr rot="0" vert="horz"/>
              <a:lstStyle/>
              <a:p>
                <a:pPr>
                  <a:defRPr b="0"/>
                </a:pPr>
                <a:r>
                  <a:rPr lang="ru-RU" b="0"/>
                  <a:t>%</a:t>
                </a:r>
              </a:p>
            </c:rich>
          </c:tx>
          <c:layout>
            <c:manualLayout>
              <c:xMode val="edge"/>
              <c:yMode val="edge"/>
              <c:x val="0.94983498349834983"/>
              <c:y val="5.3900084721532814E-2"/>
            </c:manualLayout>
          </c:layout>
          <c:overlay val="0"/>
        </c:title>
        <c:numFmt formatCode="#,##0.0" sourceLinked="1"/>
        <c:majorTickMark val="out"/>
        <c:minorTickMark val="none"/>
        <c:tickLblPos val="nextTo"/>
        <c:crossAx val="145310848"/>
        <c:crosses val="max"/>
        <c:crossBetween val="between"/>
      </c:valAx>
      <c:catAx>
        <c:axId val="145310848"/>
        <c:scaling>
          <c:orientation val="minMax"/>
        </c:scaling>
        <c:delete val="1"/>
        <c:axPos val="b"/>
        <c:majorTickMark val="out"/>
        <c:minorTickMark val="none"/>
        <c:tickLblPos val="none"/>
        <c:crossAx val="145157120"/>
        <c:crosses val="autoZero"/>
        <c:auto val="1"/>
        <c:lblAlgn val="ctr"/>
        <c:lblOffset val="100"/>
        <c:noMultiLvlLbl val="0"/>
      </c:catAx>
      <c:spPr>
        <a:noFill/>
        <a:ln w="0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1.8896284046106143E-2"/>
          <c:y val="0.82486031873426746"/>
          <c:w val="0.96538442804444069"/>
          <c:h val="0.14617774248134546"/>
        </c:manualLayout>
      </c:layout>
      <c:overlay val="0"/>
      <c:txPr>
        <a:bodyPr/>
        <a:lstStyle/>
        <a:p>
          <a:pPr>
            <a:defRPr sz="8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/>
            </a:pPr>
            <a:r>
              <a:rPr lang="ru-RU" sz="1100"/>
              <a:t>Расчетные</a:t>
            </a:r>
            <a:r>
              <a:rPr lang="ru-RU" sz="1100" baseline="0"/>
              <a:t> размеры дотаций на выравнивание бюджетной обеспеченности</a:t>
            </a:r>
            <a:endParaRPr lang="ru-RU" sz="1100"/>
          </a:p>
        </c:rich>
      </c:tx>
      <c:layout>
        <c:manualLayout>
          <c:xMode val="edge"/>
          <c:yMode val="edge"/>
          <c:x val="0.1461937441621338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8.1703597466280045E-2"/>
          <c:y val="0.16729117536939744"/>
          <c:w val="0.89284112756120082"/>
          <c:h val="0.59824696680605915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ФФПП (в части ГО)</c:v>
                </c:pt>
              </c:strCache>
            </c:strRef>
          </c:tx>
          <c:spPr>
            <a:ln w="34925" cmpd="dbl">
              <a:solidFill>
                <a:srgbClr val="FF0000"/>
              </a:solidFill>
              <a:prstDash val="sysDash"/>
            </a:ln>
          </c:spPr>
          <c:marker>
            <c:symbol val="circle"/>
            <c:size val="5"/>
            <c:spPr>
              <a:solidFill>
                <a:srgbClr val="FF0000"/>
              </a:solidFill>
              <a:ln>
                <a:solidFill>
                  <a:schemeClr val="tx1"/>
                </a:solidFill>
              </a:ln>
            </c:spPr>
          </c:marker>
          <c:dLbls>
            <c:dLbl>
              <c:idx val="0"/>
              <c:layout>
                <c:manualLayout>
                  <c:x val="-6.9268888817612922E-2"/>
                  <c:y val="-8.79195999217044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607-41F3-91EE-5F80CE069BE2}"/>
                </c:ext>
              </c:extLst>
            </c:dLbl>
            <c:dLbl>
              <c:idx val="1"/>
              <c:layout>
                <c:manualLayout>
                  <c:x val="2.4812736292876253E-2"/>
                  <c:y val="1.278342053195540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607-41F3-91EE-5F80CE069BE2}"/>
                </c:ext>
              </c:extLst>
            </c:dLbl>
            <c:dLbl>
              <c:idx val="2"/>
              <c:layout>
                <c:manualLayout>
                  <c:x val="1.2406205333207921E-2"/>
                  <c:y val="1.284523954259283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607-41F3-91EE-5F80CE069BE2}"/>
                </c:ext>
              </c:extLst>
            </c:dLbl>
            <c:dLbl>
              <c:idx val="3"/>
              <c:layout>
                <c:manualLayout>
                  <c:x val="-4.1356188620429784E-3"/>
                  <c:y val="1.022538746657714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607-41F3-91EE-5F80CE069BE2}"/>
                </c:ext>
              </c:extLst>
            </c:dLbl>
            <c:dLbl>
              <c:idx val="4"/>
              <c:layout>
                <c:manualLayout>
                  <c:x val="2.0677280244063866E-3"/>
                  <c:y val="1.1798628416233225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607-41F3-91EE-5F80CE069BE2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688.7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4607-41F3-91EE-5F80CE069BE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ФФПП (в части поселений)</c:v>
                </c:pt>
              </c:strCache>
            </c:strRef>
          </c:tx>
          <c:spPr>
            <a:ln w="34925" cmpd="dbl">
              <a:solidFill>
                <a:srgbClr val="0070C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70C0"/>
              </a:solidFill>
              <a:ln>
                <a:solidFill>
                  <a:schemeClr val="tx1"/>
                </a:solidFill>
              </a:ln>
            </c:spPr>
          </c:marker>
          <c:dLbls>
            <c:dLbl>
              <c:idx val="0"/>
              <c:layout>
                <c:manualLayout>
                  <c:x val="-5.2727064622362103E-2"/>
                  <c:y val="-5.252507208538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607-41F3-91EE-5F80CE069BE2}"/>
                </c:ext>
              </c:extLst>
            </c:dLbl>
            <c:dLbl>
              <c:idx val="1"/>
              <c:layout>
                <c:manualLayout>
                  <c:x val="-1.6281323026822188E-7"/>
                  <c:y val="-0.1231516779967106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607-41F3-91EE-5F80CE069BE2}"/>
                </c:ext>
              </c:extLst>
            </c:dLbl>
            <c:dLbl>
              <c:idx val="2"/>
              <c:layout>
                <c:manualLayout>
                  <c:x val="-4.1354560488127091E-3"/>
                  <c:y val="-0.1267076673104195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607-41F3-91EE-5F80CE069BE2}"/>
                </c:ext>
              </c:extLst>
            </c:dLbl>
            <c:dLbl>
              <c:idx val="3"/>
              <c:layout>
                <c:manualLayout>
                  <c:x val="0"/>
                  <c:y val="-0.1231516779967111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607-41F3-91EE-5F80CE069BE2}"/>
                </c:ext>
              </c:extLst>
            </c:dLbl>
            <c:dLbl>
              <c:idx val="4"/>
              <c:layout>
                <c:manualLayout>
                  <c:x val="0"/>
                  <c:y val="-0.11755387445140461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607-41F3-91EE-5F80CE069BE2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1069.5999999999999</c:v>
                </c:pt>
                <c:pt idx="1">
                  <c:v>1081.5</c:v>
                </c:pt>
                <c:pt idx="2">
                  <c:v>1081.5999999999999</c:v>
                </c:pt>
                <c:pt idx="3">
                  <c:v>1081.3</c:v>
                </c:pt>
                <c:pt idx="4">
                  <c:v>1066.5999999999999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4607-41F3-91EE-5F80CE069BE2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ФФП МР(ГО)</c:v>
                </c:pt>
              </c:strCache>
            </c:strRef>
          </c:tx>
          <c:spPr>
            <a:ln w="34925">
              <a:solidFill>
                <a:srgbClr val="00B05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B050"/>
              </a:solidFill>
              <a:ln>
                <a:solidFill>
                  <a:schemeClr val="tx1"/>
                </a:solidFill>
              </a:ln>
            </c:spPr>
          </c:marker>
          <c:dLbls>
            <c:dLbl>
              <c:idx val="2"/>
              <c:layout>
                <c:manualLayout>
                  <c:x val="2.0677280244063736E-3"/>
                  <c:y val="1.905789473289310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607-41F3-91EE-5F80CE069BE2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3900.6</c:v>
                </c:pt>
                <c:pt idx="1">
                  <c:v>4589.4000000000005</c:v>
                </c:pt>
                <c:pt idx="2">
                  <c:v>4589.4000000000005</c:v>
                </c:pt>
                <c:pt idx="3">
                  <c:v>4589.4000000000005</c:v>
                </c:pt>
                <c:pt idx="4">
                  <c:v>4589.4000000000005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4607-41F3-91EE-5F80CE069BE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5442304"/>
        <c:axId val="145443840"/>
      </c:lineChart>
      <c:catAx>
        <c:axId val="145442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800" b="1"/>
            </a:pPr>
            <a:endParaRPr lang="ru-RU"/>
          </a:p>
        </c:txPr>
        <c:crossAx val="145443840"/>
        <c:crosses val="autoZero"/>
        <c:auto val="0"/>
        <c:lblAlgn val="ctr"/>
        <c:lblOffset val="100"/>
        <c:noMultiLvlLbl val="0"/>
      </c:catAx>
      <c:valAx>
        <c:axId val="145443840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title>
          <c:tx>
            <c:rich>
              <a:bodyPr rot="-5400000" vert="horz"/>
              <a:lstStyle/>
              <a:p>
                <a:pPr>
                  <a:defRPr sz="800" b="0">
                    <a:latin typeface="Times New Roman" pitchFamily="18" charset="0"/>
                    <a:cs typeface="Times New Roman" pitchFamily="18" charset="0"/>
                  </a:defRPr>
                </a:pPr>
                <a:r>
                  <a:rPr lang="ru-RU" sz="800" b="0">
                    <a:latin typeface="Times New Roman" pitchFamily="18" charset="0"/>
                    <a:cs typeface="Times New Roman" pitchFamily="18" charset="0"/>
                  </a:rPr>
                  <a:t>млн.</a:t>
                </a:r>
                <a:r>
                  <a:rPr lang="ru-RU" sz="800" b="0" baseline="0">
                    <a:latin typeface="Times New Roman" pitchFamily="18" charset="0"/>
                    <a:cs typeface="Times New Roman" pitchFamily="18" charset="0"/>
                  </a:rPr>
                  <a:t> руб.</a:t>
                </a:r>
                <a:endParaRPr lang="ru-RU" sz="800" b="0">
                  <a:latin typeface="Times New Roman" pitchFamily="18" charset="0"/>
                  <a:cs typeface="Times New Roman" pitchFamily="18" charset="0"/>
                </a:endParaRP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750"/>
            </a:pPr>
            <a:endParaRPr lang="ru-RU"/>
          </a:p>
        </c:txPr>
        <c:crossAx val="145442304"/>
        <c:crossesAt val="1"/>
        <c:crossBetween val="between"/>
        <c:majorUnit val="1000"/>
        <c:minorUnit val="250"/>
      </c:valAx>
      <c:spPr>
        <a:gradFill>
          <a:gsLst>
            <a:gs pos="0">
              <a:srgbClr val="FFFFFF">
                <a:alpha val="50000"/>
              </a:srgbClr>
            </a:gs>
            <a:gs pos="7001">
              <a:srgbClr val="E6E6E6">
                <a:alpha val="50000"/>
              </a:srgbClr>
            </a:gs>
            <a:gs pos="32001">
              <a:srgbClr val="7D8496">
                <a:alpha val="50000"/>
              </a:srgbClr>
            </a:gs>
            <a:gs pos="47000">
              <a:srgbClr val="E6E6E6">
                <a:alpha val="50000"/>
              </a:srgbClr>
            </a:gs>
            <a:gs pos="85001">
              <a:srgbClr val="7D8496">
                <a:alpha val="50000"/>
              </a:srgbClr>
            </a:gs>
            <a:gs pos="100000">
              <a:srgbClr val="E6E6E6">
                <a:alpha val="50000"/>
              </a:srgbClr>
            </a:gs>
          </a:gsLst>
          <a:lin ang="2700000" scaled="0"/>
        </a:gradFill>
        <a:ln>
          <a:noFill/>
        </a:ln>
      </c:spPr>
    </c:plotArea>
    <c:legend>
      <c:legendPos val="b"/>
      <c:layout>
        <c:manualLayout>
          <c:xMode val="edge"/>
          <c:yMode val="edge"/>
          <c:x val="8.9692464000312708E-2"/>
          <c:y val="0.8233897853547435"/>
          <c:w val="0.86196954839029005"/>
          <c:h val="0.13274948923021568"/>
        </c:manualLayout>
      </c:layout>
      <c:overlay val="0"/>
      <c:txPr>
        <a:bodyPr/>
        <a:lstStyle/>
        <a:p>
          <a:pPr>
            <a:defRPr sz="900" b="1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0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278799459113755"/>
          <c:y val="5.5631038962666517E-2"/>
          <c:w val="0.84166118337637663"/>
          <c:h val="0.6101944447214799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Дотации на выравнивание бюджетной обеспеченности</c:v>
                </c:pt>
              </c:strCache>
            </c:strRef>
          </c:tx>
          <c:spPr>
            <a:gradFill flip="none" rotWithShape="1"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5400000" scaled="0"/>
              <a:tileRect r="-100000" b="-100000"/>
            </a:gradFill>
            <a:ln>
              <a:noFill/>
            </a:ln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88900" h="63500"/>
              <a:bevelB w="88900" h="63500" prst="artDeco"/>
            </a:sp3d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 год факт</c:v>
                </c:pt>
                <c:pt idx="1">
                  <c:v>2020 год план</c:v>
                </c:pt>
                <c:pt idx="2">
                  <c:v>2021 год проект</c:v>
                </c:pt>
              </c:strCache>
            </c:strRef>
          </c:cat>
          <c:val>
            <c:numRef>
              <c:f>Лист1!$B$2:$B$4</c:f>
              <c:numCache>
                <c:formatCode>0.0</c:formatCode>
                <c:ptCount val="3"/>
                <c:pt idx="0">
                  <c:v>1122</c:v>
                </c:pt>
                <c:pt idx="1">
                  <c:v>1111.4000000000001</c:v>
                </c:pt>
                <c:pt idx="2">
                  <c:v>1113.7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F8-4E06-8407-FEC1226B2F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Дотации на поддержку мер по обеспечению сбалансированности</c:v>
                </c:pt>
              </c:strCache>
            </c:strRef>
          </c:tx>
          <c:spPr>
            <a:gradFill flip="none" rotWithShape="1">
              <a:gsLst>
                <a:gs pos="0">
                  <a:schemeClr val="tx2">
                    <a:lumMod val="20000"/>
                    <a:lumOff val="80000"/>
                  </a:schemeClr>
                </a:gs>
                <a:gs pos="25000">
                  <a:srgbClr val="21D6E0"/>
                </a:gs>
                <a:gs pos="75000">
                  <a:srgbClr val="0087E6"/>
                </a:gs>
                <a:gs pos="100000">
                  <a:srgbClr val="005CBF"/>
                </a:gs>
              </a:gsLst>
              <a:lin ang="5400000" scaled="1"/>
              <a:tileRect/>
            </a:gradFill>
            <a:effectLst/>
            <a:scene3d>
              <a:camera prst="orthographicFront"/>
              <a:lightRig rig="threePt" dir="t"/>
            </a:scene3d>
            <a:sp3d>
              <a:bevelT/>
              <a:bevelB w="114300" prst="artDeco"/>
            </a:sp3d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1"/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Лист1!$A$2:$A$4</c:f>
              <c:strCache>
                <c:ptCount val="3"/>
                <c:pt idx="0">
                  <c:v>2019 год факт</c:v>
                </c:pt>
                <c:pt idx="1">
                  <c:v>2020 год план</c:v>
                </c:pt>
                <c:pt idx="2">
                  <c:v>2021 год проект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1491.1</c:v>
                </c:pt>
                <c:pt idx="1">
                  <c:v>420</c:v>
                </c:pt>
                <c:pt idx="2">
                  <c:v>500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6F8-4E06-8407-FEC1226B2F8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53"/>
        <c:overlap val="100"/>
        <c:axId val="145393152"/>
        <c:axId val="145394688"/>
      </c:barChart>
      <c:catAx>
        <c:axId val="14539315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900" b="1"/>
            </a:pPr>
            <a:endParaRPr lang="ru-RU"/>
          </a:p>
        </c:txPr>
        <c:crossAx val="145394688"/>
        <c:crosses val="autoZero"/>
        <c:auto val="1"/>
        <c:lblAlgn val="ctr"/>
        <c:lblOffset val="100"/>
        <c:noMultiLvlLbl val="0"/>
      </c:catAx>
      <c:valAx>
        <c:axId val="145394688"/>
        <c:scaling>
          <c:orientation val="minMax"/>
        </c:scaling>
        <c:delete val="0"/>
        <c:axPos val="b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bg1">
                <a:lumMod val="85000"/>
              </a:schemeClr>
            </a:solidFill>
          </a:ln>
        </c:spPr>
        <c:txPr>
          <a:bodyPr/>
          <a:lstStyle/>
          <a:p>
            <a:pPr>
              <a:defRPr sz="800"/>
            </a:pPr>
            <a:endParaRPr lang="ru-RU"/>
          </a:p>
        </c:txPr>
        <c:crossAx val="145393152"/>
        <c:crosses val="autoZero"/>
        <c:crossBetween val="between"/>
      </c:valAx>
      <c:spPr>
        <a:gradFill flip="none" rotWithShape="1">
          <a:gsLst>
            <a:gs pos="0">
              <a:sysClr val="window" lastClr="FFFFFF">
                <a:alpha val="50000"/>
              </a:sysClr>
            </a:gs>
            <a:gs pos="7001">
              <a:srgbClr val="E6E6E6">
                <a:alpha val="50000"/>
              </a:srgbClr>
            </a:gs>
            <a:gs pos="32001">
              <a:srgbClr val="7D8496">
                <a:alpha val="50000"/>
              </a:srgbClr>
            </a:gs>
            <a:gs pos="47000">
              <a:srgbClr val="E6E6E6">
                <a:alpha val="50000"/>
              </a:srgbClr>
            </a:gs>
            <a:gs pos="85001">
              <a:srgbClr val="7D8496">
                <a:alpha val="50000"/>
              </a:srgbClr>
            </a:gs>
            <a:gs pos="100000">
              <a:srgbClr val="E6E6E6">
                <a:alpha val="50000"/>
              </a:srgbClr>
            </a:gs>
          </a:gsLst>
          <a:lin ang="3000000" scaled="0"/>
          <a:tileRect/>
        </a:gradFill>
      </c:spPr>
    </c:plotArea>
    <c:legend>
      <c:legendPos val="b"/>
      <c:layout>
        <c:manualLayout>
          <c:xMode val="edge"/>
          <c:yMode val="edge"/>
          <c:x val="0.12444089834094745"/>
          <c:y val="0.80354401067230474"/>
          <c:w val="0.76550072997423857"/>
          <c:h val="0.1352953999193594"/>
        </c:manualLayout>
      </c:layout>
      <c:overlay val="0"/>
      <c:txPr>
        <a:bodyPr/>
        <a:lstStyle/>
        <a:p>
          <a:pPr>
            <a:defRPr sz="90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FCF49-EFDA-46DE-B62F-19C2B4AF9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11372</Words>
  <Characters>64827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Ноздрюхина</dc:creator>
  <cp:lastModifiedBy>Самарцева Оксана Геннадьевна</cp:lastModifiedBy>
  <cp:revision>5</cp:revision>
  <cp:lastPrinted>2019-11-11T11:05:00Z</cp:lastPrinted>
  <dcterms:created xsi:type="dcterms:W3CDTF">2020-12-24T06:27:00Z</dcterms:created>
  <dcterms:modified xsi:type="dcterms:W3CDTF">2020-12-24T06:45:00Z</dcterms:modified>
</cp:coreProperties>
</file>