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284"/>
        <w:gridCol w:w="2069"/>
        <w:gridCol w:w="4394"/>
      </w:tblGrid>
      <w:tr w:rsidR="00784190" w:rsidRPr="006F277B" w:rsidTr="008622BB">
        <w:tc>
          <w:tcPr>
            <w:tcW w:w="3284" w:type="dxa"/>
          </w:tcPr>
          <w:p w:rsidR="00784190" w:rsidRPr="006F277B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</w:tcPr>
          <w:p w:rsidR="00784190" w:rsidRPr="006F277B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784190" w:rsidRPr="007D2F0A" w:rsidRDefault="00784190" w:rsidP="008622BB">
            <w:pPr>
              <w:tabs>
                <w:tab w:val="left" w:pos="2505"/>
              </w:tabs>
              <w:rPr>
                <w:rFonts w:eastAsia="Calibri"/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Утверждаю</w:t>
            </w:r>
          </w:p>
          <w:p w:rsidR="00784190" w:rsidRPr="007D2F0A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 xml:space="preserve">председатель контрольно - счетной </w:t>
            </w:r>
          </w:p>
          <w:p w:rsidR="00784190" w:rsidRPr="007D2F0A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784190" w:rsidRPr="007D2F0A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______________ И. А. Дьяченко</w:t>
            </w:r>
          </w:p>
          <w:p w:rsidR="00784190" w:rsidRPr="007D2F0A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ED5B64">
              <w:rPr>
                <w:b/>
                <w:i/>
                <w:lang w:eastAsia="en-US"/>
              </w:rPr>
              <w:t>« 1</w:t>
            </w:r>
            <w:r w:rsidR="00ED5B64" w:rsidRPr="00ED5B64">
              <w:rPr>
                <w:b/>
                <w:i/>
                <w:lang w:eastAsia="en-US"/>
              </w:rPr>
              <w:t>2</w:t>
            </w:r>
            <w:r w:rsidRPr="00ED5B64">
              <w:rPr>
                <w:b/>
                <w:i/>
                <w:lang w:eastAsia="en-US"/>
              </w:rPr>
              <w:t>»</w:t>
            </w:r>
            <w:r w:rsidRPr="007D2F0A">
              <w:rPr>
                <w:b/>
                <w:i/>
                <w:lang w:eastAsia="en-US"/>
              </w:rPr>
              <w:t xml:space="preserve">  </w:t>
            </w:r>
            <w:r>
              <w:rPr>
                <w:b/>
                <w:i/>
                <w:lang w:eastAsia="en-US"/>
              </w:rPr>
              <w:t>мая</w:t>
            </w:r>
            <w:r w:rsidRPr="007D2F0A">
              <w:rPr>
                <w:b/>
                <w:i/>
                <w:lang w:eastAsia="en-US"/>
              </w:rPr>
              <w:t xml:space="preserve">  2016 года </w:t>
            </w:r>
          </w:p>
          <w:p w:rsidR="00784190" w:rsidRPr="007D2F0A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784190" w:rsidRPr="006F277B" w:rsidRDefault="00784190" w:rsidP="00784190">
      <w:pPr>
        <w:tabs>
          <w:tab w:val="left" w:pos="2505"/>
        </w:tabs>
        <w:jc w:val="center"/>
        <w:rPr>
          <w:rFonts w:eastAsia="Calibri"/>
          <w:b/>
          <w:i/>
        </w:rPr>
      </w:pPr>
    </w:p>
    <w:p w:rsidR="00784190" w:rsidRPr="006F277B" w:rsidRDefault="00784190" w:rsidP="00784190">
      <w:pPr>
        <w:tabs>
          <w:tab w:val="left" w:pos="2505"/>
        </w:tabs>
        <w:jc w:val="center"/>
        <w:rPr>
          <w:b/>
          <w:i/>
        </w:rPr>
      </w:pPr>
      <w:r w:rsidRPr="006F277B">
        <w:rPr>
          <w:b/>
          <w:i/>
        </w:rPr>
        <w:t>ЗАКЛЮЧЕНИЕ</w:t>
      </w:r>
    </w:p>
    <w:p w:rsidR="00784190" w:rsidRDefault="00784190" w:rsidP="00784190">
      <w:pPr>
        <w:jc w:val="center"/>
        <w:rPr>
          <w:b/>
          <w:i/>
        </w:rPr>
      </w:pPr>
      <w:r w:rsidRPr="006F277B">
        <w:rPr>
          <w:b/>
          <w:i/>
        </w:rPr>
        <w:t>о результатах внешней  проверки бюджетной отчетности</w:t>
      </w:r>
      <w:r w:rsidRPr="006F277B">
        <w:rPr>
          <w:b/>
        </w:rPr>
        <w:t xml:space="preserve"> </w:t>
      </w:r>
      <w:r w:rsidRPr="006F277B">
        <w:rPr>
          <w:b/>
          <w:i/>
        </w:rPr>
        <w:t>и</w:t>
      </w:r>
      <w:r w:rsidRPr="006F277B">
        <w:rPr>
          <w:b/>
        </w:rPr>
        <w:t xml:space="preserve"> </w:t>
      </w:r>
      <w:r w:rsidRPr="006F277B">
        <w:rPr>
          <w:b/>
          <w:i/>
        </w:rPr>
        <w:t>отдельных вопросов исполнения</w:t>
      </w:r>
      <w:r w:rsidRPr="006F277B">
        <w:rPr>
          <w:b/>
        </w:rPr>
        <w:t xml:space="preserve"> областного бюджета</w:t>
      </w:r>
      <w:r w:rsidRPr="006F277B">
        <w:rPr>
          <w:b/>
          <w:i/>
        </w:rPr>
        <w:t xml:space="preserve"> главным администратором средств областного бюджета – комитетом </w:t>
      </w:r>
      <w:r>
        <w:rPr>
          <w:b/>
          <w:i/>
        </w:rPr>
        <w:t>информационных технологий</w:t>
      </w:r>
      <w:r w:rsidRPr="006F277B">
        <w:rPr>
          <w:b/>
          <w:i/>
        </w:rPr>
        <w:t xml:space="preserve"> </w:t>
      </w:r>
      <w:r w:rsidRPr="006F277B">
        <w:rPr>
          <w:b/>
        </w:rPr>
        <w:t xml:space="preserve"> </w:t>
      </w:r>
      <w:r w:rsidRPr="006F277B">
        <w:rPr>
          <w:b/>
          <w:i/>
        </w:rPr>
        <w:t xml:space="preserve">Волгоградской области </w:t>
      </w:r>
    </w:p>
    <w:p w:rsidR="00784190" w:rsidRPr="006F277B" w:rsidRDefault="00784190" w:rsidP="00784190">
      <w:pPr>
        <w:jc w:val="center"/>
        <w:rPr>
          <w:b/>
          <w:i/>
        </w:rPr>
      </w:pPr>
      <w:r w:rsidRPr="006F277B">
        <w:rPr>
          <w:b/>
          <w:i/>
        </w:rPr>
        <w:t>за 2015 год</w:t>
      </w:r>
    </w:p>
    <w:p w:rsidR="00784190" w:rsidRPr="006F277B" w:rsidRDefault="00784190" w:rsidP="00784190"/>
    <w:p w:rsidR="00784190" w:rsidRDefault="00784190" w:rsidP="00784190">
      <w:pPr>
        <w:pStyle w:val="af7"/>
        <w:ind w:firstLine="708"/>
        <w:jc w:val="both"/>
        <w:rPr>
          <w:b w:val="0"/>
        </w:rPr>
      </w:pPr>
      <w:r w:rsidRPr="006F277B">
        <w:rPr>
          <w:b w:val="0"/>
        </w:rPr>
        <w:t xml:space="preserve"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 на 2016 год, утвержденным постановлением коллегии КСП от 29.12.2015 № 34/1, проведена </w:t>
      </w:r>
      <w:r>
        <w:rPr>
          <w:b w:val="0"/>
        </w:rPr>
        <w:t xml:space="preserve">камеральная </w:t>
      </w:r>
      <w:r w:rsidR="00DD305D" w:rsidRPr="006F277B">
        <w:rPr>
          <w:b w:val="0"/>
        </w:rPr>
        <w:t xml:space="preserve">внешняя </w:t>
      </w:r>
      <w:r w:rsidRPr="006F277B">
        <w:rPr>
          <w:b w:val="0"/>
        </w:rPr>
        <w:t xml:space="preserve">проверка бюджетной отчетности и отдельных вопросов исполнения областного бюджета за 2015 год главным администратором средств областного бюджета – комитетом </w:t>
      </w:r>
      <w:r>
        <w:rPr>
          <w:b w:val="0"/>
        </w:rPr>
        <w:t>информационных технологий</w:t>
      </w:r>
      <w:r w:rsidRPr="006F277B">
        <w:rPr>
          <w:b w:val="0"/>
        </w:rPr>
        <w:t xml:space="preserve"> Волгоградской области (далее – Комитет).</w:t>
      </w:r>
    </w:p>
    <w:p w:rsidR="00784190" w:rsidRPr="006F277B" w:rsidRDefault="00784190" w:rsidP="00784190">
      <w:pPr>
        <w:pStyle w:val="af7"/>
        <w:ind w:firstLine="708"/>
        <w:jc w:val="both"/>
        <w:rPr>
          <w:b w:val="0"/>
        </w:rPr>
      </w:pPr>
    </w:p>
    <w:p w:rsidR="00EB21F1" w:rsidRPr="00784190" w:rsidRDefault="00EB21F1" w:rsidP="003B33A3">
      <w:pPr>
        <w:tabs>
          <w:tab w:val="left" w:pos="1290"/>
        </w:tabs>
        <w:jc w:val="center"/>
        <w:rPr>
          <w:b/>
        </w:rPr>
      </w:pPr>
      <w:r w:rsidRPr="00784190">
        <w:rPr>
          <w:b/>
        </w:rPr>
        <w:t>Общие сведения</w:t>
      </w:r>
    </w:p>
    <w:p w:rsidR="005C2D07" w:rsidRPr="00784190" w:rsidRDefault="00EB21F1" w:rsidP="00983B51">
      <w:pPr>
        <w:ind w:firstLine="709"/>
        <w:jc w:val="both"/>
      </w:pPr>
      <w:r w:rsidRPr="00784190">
        <w:t xml:space="preserve"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Положением о Комитете, утверждённым постановлением Губернатора Волгоградской области от </w:t>
      </w:r>
      <w:r w:rsidR="005C2D07" w:rsidRPr="00784190">
        <w:t>28</w:t>
      </w:r>
      <w:r w:rsidRPr="00784190">
        <w:t>.</w:t>
      </w:r>
      <w:r w:rsidR="005C2D07" w:rsidRPr="00784190">
        <w:t>11</w:t>
      </w:r>
      <w:r w:rsidRPr="00784190">
        <w:t>.201</w:t>
      </w:r>
      <w:r w:rsidR="005C2D07" w:rsidRPr="00784190">
        <w:t>3</w:t>
      </w:r>
      <w:r w:rsidRPr="00784190">
        <w:t xml:space="preserve"> № </w:t>
      </w:r>
      <w:r w:rsidR="005C2D07" w:rsidRPr="00784190">
        <w:t>1234</w:t>
      </w:r>
      <w:r w:rsidR="00DD305D">
        <w:t>,</w:t>
      </w:r>
      <w:r w:rsidRPr="00784190">
        <w:t xml:space="preserve"> определено, что Комитет </w:t>
      </w:r>
      <w:r w:rsidR="005C2D07" w:rsidRPr="00784190">
        <w:t>является органом исполнительной власти Волгоградской области</w:t>
      </w:r>
      <w:r w:rsidR="00501001">
        <w:t>,</w:t>
      </w:r>
      <w:r w:rsidR="005C2D07" w:rsidRPr="00784190">
        <w:t xml:space="preserve"> уполномоченным в сфере информационных технологий, связи, телекоммуникаций, развития информационного общества и формирования электронного правительства на территории Волгоградской области</w:t>
      </w:r>
      <w:r w:rsidR="00CD10B0" w:rsidRPr="00784190">
        <w:t>.</w:t>
      </w:r>
    </w:p>
    <w:p w:rsidR="00CE1868" w:rsidRPr="00784190" w:rsidRDefault="00CE1868" w:rsidP="00CE1868">
      <w:pPr>
        <w:ind w:firstLine="709"/>
        <w:jc w:val="both"/>
      </w:pPr>
      <w:r w:rsidRPr="00784190">
        <w:t xml:space="preserve">В соответствии с соглашением от </w:t>
      </w:r>
      <w:r w:rsidR="00500B7F" w:rsidRPr="00784190">
        <w:t>27.05</w:t>
      </w:r>
      <w:r w:rsidRPr="00784190">
        <w:t xml:space="preserve">.2015 № </w:t>
      </w:r>
      <w:r w:rsidR="00500B7F" w:rsidRPr="00784190">
        <w:t>6</w:t>
      </w:r>
      <w:r w:rsidRPr="00784190">
        <w:t xml:space="preserve">  Комитетом полномочия по ведению бухгалтерского учета и формированию бюджетной отчетности в 2015 году </w:t>
      </w:r>
      <w:r w:rsidR="00DD305D" w:rsidRPr="00784190">
        <w:t>(далее – Соглашение по ведению учета)</w:t>
      </w:r>
      <w:r w:rsidR="00DD305D">
        <w:t xml:space="preserve"> </w:t>
      </w:r>
      <w:r w:rsidRPr="00784190">
        <w:t>переданы ГКУ Волгоградской области «Центр бюджетного учета и отчетности» (далее – Центр учета).</w:t>
      </w:r>
    </w:p>
    <w:p w:rsidR="00CE1868" w:rsidRPr="00784190" w:rsidRDefault="00CE1868" w:rsidP="00CE1868">
      <w:pPr>
        <w:ind w:firstLine="709"/>
        <w:jc w:val="both"/>
      </w:pPr>
      <w:r w:rsidRPr="00784190">
        <w:t>По условиям соглашения ос</w:t>
      </w:r>
      <w:r w:rsidR="00501001">
        <w:t>новными обязанностями является:</w:t>
      </w:r>
      <w:r w:rsidRPr="00784190">
        <w:t xml:space="preserve"> у Комитета – своевременное предоставление Центру учета необходимых первичных учетных документов, у Центра учета – обеспечивать квалифицированное и  своевременное ведение бухгалтерского и налогового учета, формирование отчетности в соответствии с требованиями действующего законодательства.</w:t>
      </w:r>
    </w:p>
    <w:p w:rsidR="006B189C" w:rsidRPr="00784190" w:rsidRDefault="006B189C" w:rsidP="006B189C">
      <w:pPr>
        <w:ind w:firstLine="708"/>
        <w:jc w:val="both"/>
      </w:pPr>
      <w:r w:rsidRPr="00784190">
        <w:t xml:space="preserve">Законом </w:t>
      </w:r>
      <w:r w:rsidR="00DD305D">
        <w:t>Волгоградской области от 20.11.2014 № 151-ОД «О</w:t>
      </w:r>
      <w:r w:rsidRPr="00784190">
        <w:t xml:space="preserve">б областном бюджете </w:t>
      </w:r>
      <w:r w:rsidR="00DD305D">
        <w:t xml:space="preserve">на 2015 год и на плановый период 2016 и 2017 годов» (далее – Закон об областном бюджете) </w:t>
      </w:r>
      <w:r w:rsidRPr="00784190">
        <w:t xml:space="preserve">предельная численность </w:t>
      </w:r>
      <w:r w:rsidR="007F4794" w:rsidRPr="00784190">
        <w:t>государственных гражданских служащих (</w:t>
      </w:r>
      <w:r w:rsidRPr="00784190">
        <w:t>ГГС</w:t>
      </w:r>
      <w:r w:rsidR="007F4794" w:rsidRPr="00784190">
        <w:t>)</w:t>
      </w:r>
      <w:r w:rsidRPr="00784190">
        <w:t xml:space="preserve"> Комитета утверждена в количестве 34 человек.</w:t>
      </w:r>
      <w:r w:rsidR="007F4794" w:rsidRPr="00784190">
        <w:t xml:space="preserve"> Первоначально штатным расписанием на 2015 год численность Комитета была утверждена в количестве 36 штатных единиц, в том числе 34 ГГС, председатель комитета и специалист первой категории. Штатным расписанием, введенным с 01.10.2015 года</w:t>
      </w:r>
      <w:r w:rsidR="00E55367" w:rsidRPr="00784190">
        <w:t>,</w:t>
      </w:r>
      <w:r w:rsidR="007F4794" w:rsidRPr="00784190">
        <w:t xml:space="preserve"> сокращены 2 ставки работников бухгалтерии</w:t>
      </w:r>
      <w:r w:rsidR="00E55367" w:rsidRPr="00784190">
        <w:t xml:space="preserve"> (ГГС)</w:t>
      </w:r>
      <w:r w:rsidR="007F4794" w:rsidRPr="00784190">
        <w:t xml:space="preserve">. </w:t>
      </w:r>
      <w:r w:rsidR="0097208E" w:rsidRPr="00784190">
        <w:t>По информации комитета финансов Волгоградской области экономия по сокращенным ставкам составит 1 302,8 тыс. руб. в расчете на год.</w:t>
      </w:r>
    </w:p>
    <w:p w:rsidR="00983B51" w:rsidRPr="00784190" w:rsidRDefault="00EB21F1" w:rsidP="00F34F9A">
      <w:pPr>
        <w:ind w:firstLine="708"/>
        <w:jc w:val="both"/>
      </w:pPr>
      <w:r w:rsidRPr="00784190">
        <w:t>Комитет явля</w:t>
      </w:r>
      <w:r w:rsidR="00955CB2" w:rsidRPr="00784190">
        <w:t>ется</w:t>
      </w:r>
      <w:r w:rsidRPr="00784190">
        <w:t xml:space="preserve"> учредителем </w:t>
      </w:r>
      <w:r w:rsidR="00983B51" w:rsidRPr="00784190">
        <w:t>государственного бюджетного учреждения «Центр информационных технологий Волго</w:t>
      </w:r>
      <w:r w:rsidR="00E61EC1" w:rsidRPr="00784190">
        <w:t xml:space="preserve">градской области» (далее – ГБУ </w:t>
      </w:r>
      <w:r w:rsidR="00DD305D">
        <w:t>«</w:t>
      </w:r>
      <w:r w:rsidR="00983B51" w:rsidRPr="00784190">
        <w:t>ЦИТ</w:t>
      </w:r>
      <w:r w:rsidR="00DD305D">
        <w:t>»</w:t>
      </w:r>
      <w:r w:rsidR="00983B51" w:rsidRPr="00784190">
        <w:t>).</w:t>
      </w:r>
    </w:p>
    <w:p w:rsidR="00983B51" w:rsidRPr="0073296B" w:rsidRDefault="00983B51" w:rsidP="00224DEE">
      <w:pPr>
        <w:jc w:val="center"/>
        <w:rPr>
          <w:b/>
          <w:color w:val="0070C0"/>
        </w:rPr>
      </w:pPr>
    </w:p>
    <w:p w:rsidR="00EB21F1" w:rsidRPr="0026310D" w:rsidRDefault="00EB21F1" w:rsidP="00224DEE">
      <w:pPr>
        <w:jc w:val="center"/>
        <w:rPr>
          <w:b/>
        </w:rPr>
      </w:pPr>
      <w:r w:rsidRPr="0026310D">
        <w:rPr>
          <w:b/>
        </w:rPr>
        <w:t>Сводная бюджетная отчетность</w:t>
      </w:r>
    </w:p>
    <w:p w:rsidR="00EB21F1" w:rsidRPr="0026310D" w:rsidRDefault="00EB21F1" w:rsidP="00224DEE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26310D">
        <w:rPr>
          <w:rFonts w:ascii="Times New Roman" w:hAnsi="Times New Roman" w:cs="Times New Roman"/>
        </w:rPr>
        <w:t>Сводная 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</w:t>
      </w:r>
      <w:r w:rsidR="00955CB2" w:rsidRPr="0026310D">
        <w:rPr>
          <w:rFonts w:ascii="Times New Roman" w:hAnsi="Times New Roman" w:cs="Times New Roman"/>
        </w:rPr>
        <w:t>струкция № 191н)</w:t>
      </w:r>
      <w:r w:rsidRPr="0026310D">
        <w:rPr>
          <w:rFonts w:ascii="Times New Roman" w:hAnsi="Times New Roman" w:cs="Times New Roman"/>
        </w:rPr>
        <w:t>.</w:t>
      </w:r>
    </w:p>
    <w:p w:rsidR="00CE1868" w:rsidRPr="0026310D" w:rsidRDefault="00955CB2" w:rsidP="00224DEE">
      <w:pPr>
        <w:ind w:firstLine="709"/>
        <w:jc w:val="both"/>
      </w:pPr>
      <w:r w:rsidRPr="0026310D">
        <w:lastRenderedPageBreak/>
        <w:t xml:space="preserve">При этом Комитетом </w:t>
      </w:r>
      <w:r w:rsidR="00CE1868" w:rsidRPr="0026310D">
        <w:t>не представлены 6 форм, не имеющих числовых значений или иной информации</w:t>
      </w:r>
      <w:r w:rsidR="0026310D" w:rsidRPr="0026310D">
        <w:t xml:space="preserve">. </w:t>
      </w:r>
      <w:r w:rsidR="00CE1868" w:rsidRPr="0026310D">
        <w:t>В нарушение п. 8 Инструкции № 191н в Пояснительной записке информация об отсутствии этих форм не отражена.</w:t>
      </w:r>
    </w:p>
    <w:p w:rsidR="0026310D" w:rsidRPr="0026310D" w:rsidRDefault="0026310D" w:rsidP="00224DEE">
      <w:pPr>
        <w:ind w:firstLine="709"/>
        <w:jc w:val="both"/>
      </w:pPr>
    </w:p>
    <w:p w:rsidR="00EB21F1" w:rsidRPr="0026310D" w:rsidRDefault="00EB21F1" w:rsidP="00224DEE">
      <w:pPr>
        <w:ind w:firstLine="709"/>
        <w:jc w:val="both"/>
      </w:pPr>
      <w:r w:rsidRPr="0026310D">
        <w:t>Согласно информации, представленной в сводной бюджетной отчетности, Комитет имеет следующие обобщенные финансовые показатели деятельности.</w:t>
      </w:r>
    </w:p>
    <w:p w:rsidR="00EB21F1" w:rsidRPr="0026310D" w:rsidRDefault="00EB21F1" w:rsidP="00224DEE">
      <w:pPr>
        <w:autoSpaceDE w:val="0"/>
        <w:autoSpaceDN w:val="0"/>
        <w:adjustRightInd w:val="0"/>
        <w:ind w:firstLine="720"/>
        <w:jc w:val="both"/>
      </w:pPr>
      <w:r w:rsidRPr="0026310D">
        <w:t>Согласно сводному балансу Комитета (ф. 0503130) по состоянию на 01.01.201</w:t>
      </w:r>
      <w:r w:rsidR="0037521E" w:rsidRPr="0026310D">
        <w:t>5</w:t>
      </w:r>
      <w:r w:rsidRPr="0026310D">
        <w:t>:</w:t>
      </w:r>
    </w:p>
    <w:p w:rsidR="00C25F7E" w:rsidRPr="0026310D" w:rsidRDefault="00EB21F1" w:rsidP="00B72D9B">
      <w:pPr>
        <w:autoSpaceDE w:val="0"/>
        <w:autoSpaceDN w:val="0"/>
        <w:adjustRightInd w:val="0"/>
        <w:ind w:firstLine="720"/>
        <w:jc w:val="both"/>
      </w:pPr>
      <w:r w:rsidRPr="0026310D">
        <w:rPr>
          <w:i/>
          <w:u w:val="single"/>
        </w:rPr>
        <w:t>-</w:t>
      </w:r>
      <w:r w:rsidR="00B72D9B" w:rsidRPr="0026310D">
        <w:rPr>
          <w:i/>
          <w:u w:val="single"/>
        </w:rPr>
        <w:t xml:space="preserve"> </w:t>
      </w:r>
      <w:r w:rsidRPr="0026310D">
        <w:rPr>
          <w:i/>
          <w:u w:val="single"/>
        </w:rPr>
        <w:t>нефинансовые активы</w:t>
      </w:r>
      <w:r w:rsidRPr="0026310D">
        <w:t xml:space="preserve"> – </w:t>
      </w:r>
      <w:r w:rsidR="00B72D9B" w:rsidRPr="0026310D">
        <w:t>190 497,9</w:t>
      </w:r>
      <w:r w:rsidRPr="0026310D">
        <w:t xml:space="preserve"> тыс. руб., </w:t>
      </w:r>
      <w:r w:rsidR="00B72D9B" w:rsidRPr="0026310D">
        <w:t>увеличились</w:t>
      </w:r>
      <w:r w:rsidR="0037521E" w:rsidRPr="0026310D">
        <w:t xml:space="preserve"> </w:t>
      </w:r>
      <w:r w:rsidRPr="0026310D">
        <w:t>за 201</w:t>
      </w:r>
      <w:r w:rsidR="00B72D9B" w:rsidRPr="0026310D">
        <w:t>5</w:t>
      </w:r>
      <w:r w:rsidRPr="0026310D">
        <w:t xml:space="preserve"> год на </w:t>
      </w:r>
      <w:r w:rsidR="0037521E" w:rsidRPr="0026310D">
        <w:t>14,6</w:t>
      </w:r>
      <w:r w:rsidRPr="0026310D">
        <w:t xml:space="preserve"> %, в </w:t>
      </w:r>
      <w:r w:rsidR="00B72D9B" w:rsidRPr="0026310D">
        <w:t xml:space="preserve">основном за счет стоимости </w:t>
      </w:r>
      <w:r w:rsidR="00501001">
        <w:t xml:space="preserve">приобретенных </w:t>
      </w:r>
      <w:r w:rsidR="00B72D9B" w:rsidRPr="0026310D">
        <w:t>основных средств.</w:t>
      </w:r>
    </w:p>
    <w:p w:rsidR="00EB21F1" w:rsidRPr="0026310D" w:rsidRDefault="00EB21F1" w:rsidP="003960BC">
      <w:pPr>
        <w:autoSpaceDE w:val="0"/>
        <w:autoSpaceDN w:val="0"/>
        <w:adjustRightInd w:val="0"/>
        <w:ind w:firstLine="720"/>
        <w:jc w:val="both"/>
      </w:pPr>
      <w:r w:rsidRPr="0026310D">
        <w:rPr>
          <w:i/>
          <w:u w:val="single"/>
        </w:rPr>
        <w:t>-</w:t>
      </w:r>
      <w:r w:rsidR="00B72D9B" w:rsidRPr="0026310D">
        <w:rPr>
          <w:i/>
          <w:u w:val="single"/>
        </w:rPr>
        <w:t xml:space="preserve"> </w:t>
      </w:r>
      <w:r w:rsidRPr="0026310D">
        <w:rPr>
          <w:i/>
          <w:u w:val="single"/>
        </w:rPr>
        <w:t>финансовые активы</w:t>
      </w:r>
      <w:r w:rsidRPr="0026310D">
        <w:t xml:space="preserve"> – </w:t>
      </w:r>
      <w:r w:rsidR="003960BC" w:rsidRPr="0026310D">
        <w:t>179 640,4</w:t>
      </w:r>
      <w:r w:rsidRPr="0026310D">
        <w:t xml:space="preserve"> тыс. руб., </w:t>
      </w:r>
      <w:r w:rsidR="002B3559" w:rsidRPr="0026310D">
        <w:t xml:space="preserve">которые </w:t>
      </w:r>
      <w:r w:rsidRPr="0026310D">
        <w:t xml:space="preserve">увеличились </w:t>
      </w:r>
      <w:r w:rsidR="003960BC" w:rsidRPr="0026310D">
        <w:t xml:space="preserve">на 26,2% </w:t>
      </w:r>
      <w:r w:rsidR="00501001" w:rsidRPr="0026310D">
        <w:t xml:space="preserve">в основном </w:t>
      </w:r>
      <w:r w:rsidR="003960BC" w:rsidRPr="0026310D">
        <w:t xml:space="preserve">за счет увеличения </w:t>
      </w:r>
      <w:r w:rsidRPr="0026310D">
        <w:t>финансовы</w:t>
      </w:r>
      <w:r w:rsidR="003960BC" w:rsidRPr="0026310D">
        <w:t>х</w:t>
      </w:r>
      <w:r w:rsidRPr="0026310D">
        <w:t xml:space="preserve"> вложени</w:t>
      </w:r>
      <w:r w:rsidR="003960BC" w:rsidRPr="0026310D">
        <w:t>й</w:t>
      </w:r>
      <w:r w:rsidRPr="0026310D">
        <w:t xml:space="preserve"> в балансов</w:t>
      </w:r>
      <w:r w:rsidR="00DD305D">
        <w:t>ую</w:t>
      </w:r>
      <w:r w:rsidRPr="0026310D">
        <w:t xml:space="preserve"> стоимость недвижимого и особо</w:t>
      </w:r>
      <w:r w:rsidR="002B3559" w:rsidRPr="0026310D">
        <w:t xml:space="preserve"> </w:t>
      </w:r>
      <w:r w:rsidRPr="0026310D">
        <w:t xml:space="preserve">ценного имущества, закреплённого за </w:t>
      </w:r>
      <w:r w:rsidRPr="0026310D">
        <w:rPr>
          <w:bCs/>
        </w:rPr>
        <w:t xml:space="preserve">ГБУ </w:t>
      </w:r>
      <w:r w:rsidR="002B3559" w:rsidRPr="0026310D">
        <w:rPr>
          <w:bCs/>
        </w:rPr>
        <w:t>«</w:t>
      </w:r>
      <w:r w:rsidR="00FC5105" w:rsidRPr="0026310D">
        <w:rPr>
          <w:bCs/>
        </w:rPr>
        <w:t>ЦИТ</w:t>
      </w:r>
      <w:r w:rsidR="002B3559" w:rsidRPr="0026310D">
        <w:rPr>
          <w:bCs/>
        </w:rPr>
        <w:t>»</w:t>
      </w:r>
      <w:r w:rsidR="00501001">
        <w:rPr>
          <w:bCs/>
        </w:rPr>
        <w:t>,</w:t>
      </w:r>
      <w:r w:rsidRPr="0026310D">
        <w:t xml:space="preserve"> и (или) приобретённого им</w:t>
      </w:r>
      <w:r w:rsidR="003960BC" w:rsidRPr="0026310D">
        <w:t xml:space="preserve">; </w:t>
      </w:r>
    </w:p>
    <w:p w:rsidR="00EB21F1" w:rsidRPr="0026310D" w:rsidRDefault="00EB21F1" w:rsidP="00B10733">
      <w:pPr>
        <w:autoSpaceDE w:val="0"/>
        <w:autoSpaceDN w:val="0"/>
        <w:adjustRightInd w:val="0"/>
        <w:ind w:firstLine="709"/>
        <w:jc w:val="both"/>
      </w:pPr>
      <w:r w:rsidRPr="0026310D">
        <w:rPr>
          <w:i/>
          <w:u w:val="single"/>
        </w:rPr>
        <w:t>-</w:t>
      </w:r>
      <w:r w:rsidR="00B72D9B" w:rsidRPr="0026310D">
        <w:rPr>
          <w:i/>
          <w:u w:val="single"/>
        </w:rPr>
        <w:t xml:space="preserve"> </w:t>
      </w:r>
      <w:r w:rsidRPr="0026310D">
        <w:rPr>
          <w:i/>
          <w:u w:val="single"/>
        </w:rPr>
        <w:t>обязательства</w:t>
      </w:r>
      <w:r w:rsidRPr="0026310D">
        <w:t xml:space="preserve"> – </w:t>
      </w:r>
      <w:r w:rsidR="003960BC" w:rsidRPr="0026310D">
        <w:t>25 366,3</w:t>
      </w:r>
      <w:r w:rsidRPr="0026310D">
        <w:t xml:space="preserve"> тыс. руб., </w:t>
      </w:r>
      <w:r w:rsidR="003960BC" w:rsidRPr="0026310D">
        <w:t>сократились в 5,4 раза за счет погашения кредиторской задолженности.</w:t>
      </w:r>
    </w:p>
    <w:p w:rsidR="0048563E" w:rsidRPr="0026310D" w:rsidRDefault="0048563E" w:rsidP="003158C7">
      <w:pPr>
        <w:ind w:firstLine="709"/>
        <w:jc w:val="both"/>
      </w:pPr>
    </w:p>
    <w:p w:rsidR="00693EFB" w:rsidRPr="0026310D" w:rsidRDefault="00693EFB" w:rsidP="00693EFB">
      <w:pPr>
        <w:ind w:firstLine="709"/>
        <w:jc w:val="both"/>
      </w:pPr>
      <w:r w:rsidRPr="0026310D">
        <w:t xml:space="preserve">Бюджетная отчетность </w:t>
      </w:r>
      <w:r w:rsidR="00DD305D">
        <w:t>ГБУ «ЦИТ»</w:t>
      </w:r>
      <w:r w:rsidRPr="0026310D">
        <w:t xml:space="preserve"> представлена в составе, определенном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(далее – Инструкция № 33н).</w:t>
      </w:r>
    </w:p>
    <w:p w:rsidR="00693EFB" w:rsidRPr="0026310D" w:rsidRDefault="00693EFB" w:rsidP="00784190">
      <w:pPr>
        <w:ind w:firstLine="709"/>
        <w:jc w:val="both"/>
      </w:pPr>
      <w:r w:rsidRPr="0026310D">
        <w:t>В нарушение п.</w:t>
      </w:r>
      <w:r w:rsidR="008E0382" w:rsidRPr="0026310D">
        <w:t xml:space="preserve"> </w:t>
      </w:r>
      <w:r w:rsidRPr="0026310D">
        <w:t>66 и п.</w:t>
      </w:r>
      <w:r w:rsidR="008E0382" w:rsidRPr="0026310D">
        <w:t xml:space="preserve"> </w:t>
      </w:r>
      <w:r w:rsidRPr="0026310D">
        <w:t xml:space="preserve">333 </w:t>
      </w:r>
      <w:r w:rsidR="00DD305D">
        <w:t>«</w:t>
      </w:r>
      <w:r w:rsidRPr="0026310D">
        <w:t>Инструкции по применению единого плана счетов бухгалтерского учета</w:t>
      </w:r>
      <w:r w:rsidR="00DD305D">
        <w:t xml:space="preserve">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</w:r>
      <w:r w:rsidRPr="0026310D">
        <w:t xml:space="preserve">, утвержденной приказом Минфина РФ от 01.12.2010 № 157н </w:t>
      </w:r>
      <w:r w:rsidR="00DD305D">
        <w:t>(далее – Инструкция № 157н)</w:t>
      </w:r>
      <w:r w:rsidR="00CC4D58">
        <w:t>,</w:t>
      </w:r>
      <w:r w:rsidR="00DD305D">
        <w:t xml:space="preserve"> </w:t>
      </w:r>
      <w:r w:rsidRPr="0026310D">
        <w:t>на забалансовом счете 01 «Имущество, полученное в пользование» не отражено программное обеспечение, полученное ГБУ «ЦИТ» в пользование на условиях прос</w:t>
      </w:r>
      <w:r w:rsidR="00784190">
        <w:t xml:space="preserve">той (неисключительной) лицензии, что привело </w:t>
      </w:r>
      <w:r w:rsidRPr="0026310D">
        <w:t>к искажению «</w:t>
      </w:r>
      <w:r w:rsidR="00501001">
        <w:t>С</w:t>
      </w:r>
      <w:r w:rsidRPr="0026310D">
        <w:t xml:space="preserve">правки о наличии имущества и обязательств на забалансовых счетах» по </w:t>
      </w:r>
      <w:r w:rsidR="00784190">
        <w:t xml:space="preserve">счету 01 </w:t>
      </w:r>
      <w:r w:rsidRPr="0026310D">
        <w:t xml:space="preserve">на </w:t>
      </w:r>
      <w:r w:rsidR="00784190" w:rsidRPr="0026310D">
        <w:t>230,5 тыс. руб.</w:t>
      </w:r>
      <w:r w:rsidR="00784190">
        <w:t xml:space="preserve">, или </w:t>
      </w:r>
      <w:r w:rsidR="00501001">
        <w:t xml:space="preserve">на </w:t>
      </w:r>
      <w:r w:rsidRPr="0026310D">
        <w:t>6,3 процента.</w:t>
      </w:r>
    </w:p>
    <w:p w:rsidR="00693EFB" w:rsidRPr="0026310D" w:rsidRDefault="00693EFB" w:rsidP="00693EFB">
      <w:pPr>
        <w:ind w:firstLine="709"/>
        <w:jc w:val="both"/>
      </w:pPr>
      <w:r w:rsidRPr="0026310D">
        <w:t xml:space="preserve">В ходе </w:t>
      </w:r>
      <w:r w:rsidR="00DD305D">
        <w:t xml:space="preserve">проверки </w:t>
      </w:r>
      <w:r w:rsidR="004A5084">
        <w:t>осуществлено</w:t>
      </w:r>
      <w:r w:rsidRPr="0026310D">
        <w:t xml:space="preserve"> приняти</w:t>
      </w:r>
      <w:r w:rsidR="004A5084">
        <w:t>е</w:t>
      </w:r>
      <w:r w:rsidRPr="0026310D">
        <w:t xml:space="preserve"> к учету программных продуктов </w:t>
      </w:r>
      <w:r w:rsidR="00784190" w:rsidRPr="0026310D">
        <w:t xml:space="preserve">общей стоимостью 230,5 тыс. руб. </w:t>
      </w:r>
      <w:r w:rsidRPr="0026310D">
        <w:t>на забалансовый счет 01 «Имущество, полученное в пользование».</w:t>
      </w:r>
    </w:p>
    <w:p w:rsidR="0026310D" w:rsidRDefault="0026310D" w:rsidP="0048563E">
      <w:pPr>
        <w:autoSpaceDE w:val="0"/>
        <w:autoSpaceDN w:val="0"/>
        <w:adjustRightInd w:val="0"/>
        <w:ind w:firstLine="360"/>
        <w:jc w:val="center"/>
        <w:rPr>
          <w:b/>
          <w:i/>
        </w:rPr>
      </w:pPr>
    </w:p>
    <w:p w:rsidR="0048563E" w:rsidRPr="0026310D" w:rsidRDefault="0048563E" w:rsidP="0048563E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26310D">
        <w:rPr>
          <w:b/>
          <w:i/>
        </w:rPr>
        <w:t>Исполнение плановых назначений по закрепленным доходам</w:t>
      </w:r>
    </w:p>
    <w:p w:rsidR="0048563E" w:rsidRPr="0026310D" w:rsidRDefault="0048563E" w:rsidP="0048563E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26310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администрируемых Комитетом доходах и </w:t>
      </w:r>
      <w:r w:rsidR="004A508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26310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фактическом поступлении за 2015 год отражены в таблице.</w:t>
      </w:r>
    </w:p>
    <w:p w:rsidR="0048563E" w:rsidRPr="0026310D" w:rsidRDefault="0048563E" w:rsidP="0048563E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26310D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26310D">
        <w:rPr>
          <w:i/>
          <w:sz w:val="20"/>
          <w:szCs w:val="20"/>
        </w:rPr>
        <w:t>тыс. руб.</w:t>
      </w:r>
    </w:p>
    <w:tbl>
      <w:tblPr>
        <w:tblW w:w="9817" w:type="dxa"/>
        <w:tblLook w:val="04A0"/>
      </w:tblPr>
      <w:tblGrid>
        <w:gridCol w:w="5968"/>
        <w:gridCol w:w="1320"/>
        <w:gridCol w:w="1208"/>
        <w:gridCol w:w="1321"/>
      </w:tblGrid>
      <w:tr w:rsidR="0048563E" w:rsidRPr="0026310D" w:rsidTr="0048563E">
        <w:trPr>
          <w:trHeight w:val="230"/>
        </w:trPr>
        <w:tc>
          <w:tcPr>
            <w:tcW w:w="5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563E" w:rsidRPr="0026310D" w:rsidRDefault="0048563E" w:rsidP="0048563E">
            <w:pPr>
              <w:jc w:val="center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3E" w:rsidRPr="0026310D" w:rsidRDefault="0048563E" w:rsidP="0048563E">
            <w:pPr>
              <w:jc w:val="center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3E" w:rsidRPr="0026310D" w:rsidRDefault="0048563E" w:rsidP="0048563E">
            <w:pPr>
              <w:jc w:val="center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563E" w:rsidRPr="0026310D" w:rsidRDefault="0048563E" w:rsidP="0048563E">
            <w:pPr>
              <w:jc w:val="center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Отклонение</w:t>
            </w:r>
          </w:p>
        </w:tc>
      </w:tr>
      <w:tr w:rsidR="0048563E" w:rsidRPr="0026310D" w:rsidTr="0048563E">
        <w:trPr>
          <w:trHeight w:val="230"/>
        </w:trPr>
        <w:tc>
          <w:tcPr>
            <w:tcW w:w="5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563E" w:rsidRPr="0026310D" w:rsidRDefault="0048563E" w:rsidP="004856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563E" w:rsidRPr="0026310D" w:rsidRDefault="0048563E" w:rsidP="0048563E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563E" w:rsidRPr="0026310D" w:rsidRDefault="0048563E" w:rsidP="0048563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563E" w:rsidRPr="0026310D" w:rsidRDefault="0048563E" w:rsidP="0048563E">
            <w:pPr>
              <w:rPr>
                <w:sz w:val="20"/>
                <w:szCs w:val="20"/>
              </w:rPr>
            </w:pP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28 460,7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48 100,0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169,0%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 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Налоговые и неналоговые доходы    (837 1 00 00000 00 0000 000)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755,7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403,7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53,4%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Прочие доходы от компенсации затрат бюджетов субъектов РФ (837 1 13 02992 02 0000 130)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3,2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3,9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121,9%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 (837 1 16 90020 02 000 140)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752,5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399,8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53,1%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Безвозмездные поступления (837 2 00 00000 00 0000 000)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27 705,0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47 696,3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b/>
                <w:sz w:val="20"/>
                <w:szCs w:val="20"/>
              </w:rPr>
            </w:pPr>
            <w:r w:rsidRPr="0026310D">
              <w:rPr>
                <w:b/>
                <w:sz w:val="20"/>
                <w:szCs w:val="20"/>
              </w:rPr>
              <w:t>---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Субсидии бюджетам субъектов РФ на реализацию федеральных целевых программ  (837 2 02 02051 02 0000 151)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22 016,6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---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Субсидии бюджетам субъектов РФ на поддержку региональных проектов в сфере информационных технологий (837 2 02 0217 02 0000 151)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27 705,0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26 066,3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CF1F0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94,1%</w:t>
            </w:r>
          </w:p>
        </w:tc>
      </w:tr>
      <w:tr w:rsidR="00B41279" w:rsidRPr="0026310D" w:rsidTr="00B4127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41279" w:rsidRPr="0026310D" w:rsidRDefault="00B41279" w:rsidP="00B41279">
            <w:pPr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 (837 2 19 02000 02 0000 151)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-386,6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1279" w:rsidRPr="0026310D" w:rsidRDefault="00B41279" w:rsidP="00B41279">
            <w:pPr>
              <w:jc w:val="right"/>
              <w:rPr>
                <w:sz w:val="20"/>
                <w:szCs w:val="20"/>
              </w:rPr>
            </w:pPr>
            <w:r w:rsidRPr="0026310D">
              <w:rPr>
                <w:sz w:val="20"/>
                <w:szCs w:val="20"/>
              </w:rPr>
              <w:t>---</w:t>
            </w:r>
          </w:p>
        </w:tc>
      </w:tr>
    </w:tbl>
    <w:p w:rsidR="0048563E" w:rsidRPr="0026310D" w:rsidRDefault="0048563E" w:rsidP="00B41279">
      <w:pPr>
        <w:jc w:val="both"/>
      </w:pPr>
    </w:p>
    <w:p w:rsidR="002B3559" w:rsidRPr="0026310D" w:rsidRDefault="002B3559" w:rsidP="0048563E">
      <w:pPr>
        <w:ind w:firstLine="708"/>
        <w:jc w:val="both"/>
      </w:pPr>
      <w:r w:rsidRPr="0026310D">
        <w:lastRenderedPageBreak/>
        <w:t>Как видно из представленных данных, исполнени</w:t>
      </w:r>
      <w:r w:rsidR="00DD305D">
        <w:t>е</w:t>
      </w:r>
      <w:r w:rsidRPr="0026310D">
        <w:t xml:space="preserve"> Комитетом бюджетных назначений </w:t>
      </w:r>
      <w:r w:rsidR="00DD305D">
        <w:t xml:space="preserve">по налоговым и неналоговым доходам </w:t>
      </w:r>
      <w:r w:rsidRPr="0026310D">
        <w:t>в основном состоит из денежных взысканий (за несвоевременное исполнение контрактов</w:t>
      </w:r>
      <w:r w:rsidR="00CF1F09" w:rsidRPr="0026310D">
        <w:t>).</w:t>
      </w:r>
    </w:p>
    <w:p w:rsidR="00CF1F09" w:rsidRPr="0026310D" w:rsidRDefault="00CF1F09" w:rsidP="0048563E">
      <w:pPr>
        <w:ind w:firstLine="708"/>
        <w:jc w:val="both"/>
      </w:pPr>
      <w:r w:rsidRPr="0026310D">
        <w:t xml:space="preserve">Неисполнение плановых назначений по </w:t>
      </w:r>
      <w:r w:rsidR="003918C7" w:rsidRPr="0026310D">
        <w:t>денежны</w:t>
      </w:r>
      <w:r w:rsidR="003918C7">
        <w:t>м</w:t>
      </w:r>
      <w:r w:rsidR="003918C7" w:rsidRPr="0026310D">
        <w:t xml:space="preserve"> взыскани</w:t>
      </w:r>
      <w:r w:rsidR="003918C7">
        <w:t>ям</w:t>
      </w:r>
      <w:r w:rsidR="003918C7" w:rsidRPr="0026310D">
        <w:t xml:space="preserve"> </w:t>
      </w:r>
      <w:r w:rsidRPr="0026310D">
        <w:t>объясняется наличием на конец года дебиторской задолженности в сумме 696,6 тыс. руб. (более подробно – далее по тексту).</w:t>
      </w:r>
    </w:p>
    <w:p w:rsidR="002B3559" w:rsidRPr="0026310D" w:rsidRDefault="00CF1F09" w:rsidP="0048563E">
      <w:pPr>
        <w:ind w:firstLine="708"/>
        <w:jc w:val="both"/>
      </w:pPr>
      <w:r w:rsidRPr="0026310D">
        <w:t xml:space="preserve">Отсутствие плановых назначений по </w:t>
      </w:r>
      <w:r w:rsidR="003918C7">
        <w:t xml:space="preserve">межбюджетным </w:t>
      </w:r>
      <w:r w:rsidRPr="0026310D">
        <w:t>трансфертам на реализацию федеральных целевых программ объясняется поступлением средств из федерального бюджета после внесения последних изменений в Закон об областном бюджете.</w:t>
      </w:r>
    </w:p>
    <w:bookmarkEnd w:id="0"/>
    <w:p w:rsidR="00110D04" w:rsidRPr="0026310D" w:rsidRDefault="00110D04" w:rsidP="003B33A3">
      <w:pPr>
        <w:ind w:firstLine="708"/>
        <w:jc w:val="center"/>
        <w:rPr>
          <w:b/>
        </w:rPr>
      </w:pPr>
    </w:p>
    <w:p w:rsidR="00EB21F1" w:rsidRPr="0026310D" w:rsidRDefault="00C02DD4" w:rsidP="00522E90">
      <w:pPr>
        <w:tabs>
          <w:tab w:val="left" w:pos="1106"/>
        </w:tabs>
        <w:jc w:val="center"/>
        <w:rPr>
          <w:b/>
          <w:i/>
        </w:rPr>
      </w:pPr>
      <w:r w:rsidRPr="0026310D">
        <w:rPr>
          <w:b/>
          <w:i/>
        </w:rPr>
        <w:t>Исполнение расходов</w:t>
      </w:r>
    </w:p>
    <w:p w:rsidR="00EB21F1" w:rsidRPr="0026310D" w:rsidRDefault="005739D5" w:rsidP="00B22570">
      <w:pPr>
        <w:tabs>
          <w:tab w:val="left" w:pos="1106"/>
        </w:tabs>
        <w:ind w:firstLine="709"/>
        <w:jc w:val="both"/>
      </w:pPr>
      <w:r w:rsidRPr="0026310D">
        <w:t>Большая часть расходов</w:t>
      </w:r>
      <w:r w:rsidR="00EB21F1" w:rsidRPr="0026310D">
        <w:t xml:space="preserve">, утверждённых Комитету, </w:t>
      </w:r>
      <w:r w:rsidRPr="0026310D">
        <w:t xml:space="preserve">запланирована и исполнена в рамках </w:t>
      </w:r>
      <w:r w:rsidR="00B41279" w:rsidRPr="0026310D">
        <w:t>пяти</w:t>
      </w:r>
      <w:r w:rsidRPr="0026310D">
        <w:t xml:space="preserve"> государственных программ Волгоградской области</w:t>
      </w:r>
      <w:r w:rsidR="00B41279" w:rsidRPr="0026310D">
        <w:t xml:space="preserve"> и</w:t>
      </w:r>
      <w:r w:rsidR="006D1938" w:rsidRPr="0026310D">
        <w:t xml:space="preserve"> двух</w:t>
      </w:r>
      <w:r w:rsidR="00B41279" w:rsidRPr="0026310D">
        <w:t xml:space="preserve"> ведомственн</w:t>
      </w:r>
      <w:r w:rsidR="006D1938" w:rsidRPr="0026310D">
        <w:t>ых</w:t>
      </w:r>
      <w:r w:rsidR="00B41279" w:rsidRPr="0026310D">
        <w:t xml:space="preserve"> целев</w:t>
      </w:r>
      <w:r w:rsidR="006D1938" w:rsidRPr="0026310D">
        <w:t>ых</w:t>
      </w:r>
      <w:r w:rsidR="00B41279" w:rsidRPr="0026310D">
        <w:t xml:space="preserve"> программ Комитета</w:t>
      </w:r>
      <w:r w:rsidR="00EB21F1" w:rsidRPr="0026310D">
        <w:t>:</w:t>
      </w:r>
    </w:p>
    <w:p w:rsidR="00C02DD4" w:rsidRPr="0026310D" w:rsidRDefault="00C02DD4" w:rsidP="00436D89">
      <w:pPr>
        <w:autoSpaceDE w:val="0"/>
        <w:autoSpaceDN w:val="0"/>
        <w:adjustRightInd w:val="0"/>
        <w:ind w:firstLine="540"/>
        <w:jc w:val="both"/>
      </w:pPr>
      <w:r w:rsidRPr="0026310D">
        <w:t>- государственная программа Волгоградской области «Защита населения и территории от чрезвычайных ситуаций, обеспечение пожарной безопасности» на 2014-2017 годы», утвержденная постановлением Правительства Волгоградской области от 22.11.2013 № 650-п (далее – ГП «Защита населения»);</w:t>
      </w:r>
    </w:p>
    <w:p w:rsidR="00436D89" w:rsidRPr="0026310D" w:rsidRDefault="00436D89" w:rsidP="00436D89">
      <w:pPr>
        <w:autoSpaceDE w:val="0"/>
        <w:autoSpaceDN w:val="0"/>
        <w:adjustRightInd w:val="0"/>
        <w:ind w:firstLine="540"/>
        <w:jc w:val="both"/>
      </w:pPr>
      <w:r w:rsidRPr="0026310D">
        <w:t>-</w:t>
      </w:r>
      <w:r w:rsidR="00C02DD4" w:rsidRPr="0026310D">
        <w:t xml:space="preserve"> </w:t>
      </w:r>
      <w:r w:rsidRPr="0026310D">
        <w:t>государственная программа Волгоградской области «Информационное общество (2014 - 2016 годы)», утвержденная постановлением Правительства Волгоградской области от 23.12.2013 № 777-п</w:t>
      </w:r>
      <w:r w:rsidR="00AA6173" w:rsidRPr="0026310D">
        <w:t xml:space="preserve"> (далее – ГП «Информационное общество»)</w:t>
      </w:r>
      <w:r w:rsidRPr="0026310D">
        <w:t>;</w:t>
      </w:r>
    </w:p>
    <w:p w:rsidR="00436D89" w:rsidRPr="0026310D" w:rsidRDefault="00436D89" w:rsidP="00436D89">
      <w:pPr>
        <w:autoSpaceDE w:val="0"/>
        <w:autoSpaceDN w:val="0"/>
        <w:adjustRightInd w:val="0"/>
        <w:ind w:firstLine="540"/>
        <w:jc w:val="both"/>
      </w:pPr>
      <w:r w:rsidRPr="0026310D">
        <w:t>-</w:t>
      </w:r>
      <w:r w:rsidR="005D2F42" w:rsidRPr="0026310D">
        <w:t xml:space="preserve"> </w:t>
      </w:r>
      <w:r w:rsidRPr="0026310D">
        <w:t>государственная программа Волгоградской области «Использование результатов космической деятельности в интересах социально-экономического и инновационного развития Волгоградской области на 2014 - 2018 годы», утвержденная постановлением Правительства Волгоградской области от 10.02.2014 № 68-п</w:t>
      </w:r>
      <w:r w:rsidR="00AA6173" w:rsidRPr="0026310D">
        <w:t xml:space="preserve"> (далее – ГП РКД</w:t>
      </w:r>
      <w:r w:rsidR="0044051C" w:rsidRPr="0026310D">
        <w:t>)</w:t>
      </w:r>
      <w:r w:rsidRPr="0026310D">
        <w:t>;</w:t>
      </w:r>
    </w:p>
    <w:p w:rsidR="00436D89" w:rsidRPr="0026310D" w:rsidRDefault="00436D89" w:rsidP="00436D89">
      <w:pPr>
        <w:autoSpaceDE w:val="0"/>
        <w:autoSpaceDN w:val="0"/>
        <w:adjustRightInd w:val="0"/>
        <w:ind w:firstLine="540"/>
        <w:jc w:val="both"/>
      </w:pPr>
      <w:r w:rsidRPr="0026310D">
        <w:t>-</w:t>
      </w:r>
      <w:r w:rsidR="00C02DD4" w:rsidRPr="0026310D">
        <w:t xml:space="preserve"> </w:t>
      </w:r>
      <w:r w:rsidRPr="0026310D">
        <w:t xml:space="preserve">государственная программа Волгоградской области </w:t>
      </w:r>
      <w:r w:rsidR="00AA6173" w:rsidRPr="0026310D">
        <w:t>«Повышение безопасности дорожного движения в Волгоградской области» на 2014 - 2016 годы</w:t>
      </w:r>
      <w:r w:rsidRPr="0026310D">
        <w:t>, утвержденная постановлением Правительства Волгоградской области от 1</w:t>
      </w:r>
      <w:r w:rsidR="00AA6173" w:rsidRPr="0026310D">
        <w:t>6</w:t>
      </w:r>
      <w:r w:rsidRPr="0026310D">
        <w:t>.</w:t>
      </w:r>
      <w:r w:rsidR="00AA6173" w:rsidRPr="0026310D">
        <w:t>1</w:t>
      </w:r>
      <w:r w:rsidRPr="0026310D">
        <w:t>2.201</w:t>
      </w:r>
      <w:r w:rsidR="00AA6173" w:rsidRPr="0026310D">
        <w:t>3</w:t>
      </w:r>
      <w:r w:rsidRPr="0026310D">
        <w:t xml:space="preserve"> № </w:t>
      </w:r>
      <w:r w:rsidR="00AA6173" w:rsidRPr="0026310D">
        <w:t>733</w:t>
      </w:r>
      <w:r w:rsidRPr="0026310D">
        <w:t>-п</w:t>
      </w:r>
      <w:r w:rsidR="00AA6173" w:rsidRPr="0026310D">
        <w:t xml:space="preserve"> (далее – ГП ВО «Повышение БДД»)</w:t>
      </w:r>
      <w:r w:rsidRPr="0026310D">
        <w:t>;</w:t>
      </w:r>
    </w:p>
    <w:p w:rsidR="00436D89" w:rsidRPr="0026310D" w:rsidRDefault="00436D89" w:rsidP="00436D89">
      <w:pPr>
        <w:autoSpaceDE w:val="0"/>
        <w:autoSpaceDN w:val="0"/>
        <w:adjustRightInd w:val="0"/>
        <w:ind w:firstLine="540"/>
        <w:jc w:val="both"/>
      </w:pPr>
      <w:r w:rsidRPr="0026310D">
        <w:t>-</w:t>
      </w:r>
      <w:r w:rsidR="00C02DD4" w:rsidRPr="0026310D">
        <w:t xml:space="preserve"> </w:t>
      </w:r>
      <w:r w:rsidRPr="0026310D">
        <w:t xml:space="preserve">государственная программа Волгоградской области </w:t>
      </w:r>
      <w:r w:rsidR="00AA6173" w:rsidRPr="0026310D">
        <w:t xml:space="preserve"> «Профилактика правонарушений и обеспечение общественной безопасности на территории Волгоградской области»</w:t>
      </w:r>
      <w:r w:rsidRPr="0026310D">
        <w:t xml:space="preserve">, утвержденная постановлением Правительства Волгоградской области от </w:t>
      </w:r>
      <w:r w:rsidR="00AA6173" w:rsidRPr="0026310D">
        <w:t>30</w:t>
      </w:r>
      <w:r w:rsidRPr="0026310D">
        <w:t>.</w:t>
      </w:r>
      <w:r w:rsidR="00AA6173" w:rsidRPr="0026310D">
        <w:t>12</w:t>
      </w:r>
      <w:r w:rsidRPr="0026310D">
        <w:t>.201</w:t>
      </w:r>
      <w:r w:rsidR="00AA6173" w:rsidRPr="0026310D">
        <w:t>3</w:t>
      </w:r>
      <w:r w:rsidRPr="0026310D">
        <w:t xml:space="preserve"> № </w:t>
      </w:r>
      <w:r w:rsidR="00AA6173" w:rsidRPr="0026310D">
        <w:t>809</w:t>
      </w:r>
      <w:r w:rsidRPr="0026310D">
        <w:t>-п</w:t>
      </w:r>
      <w:r w:rsidR="00AA6173" w:rsidRPr="0026310D">
        <w:t xml:space="preserve"> (далее – ГП</w:t>
      </w:r>
      <w:r w:rsidR="00B41279" w:rsidRPr="0026310D">
        <w:t xml:space="preserve"> «Профилактика правонарушений»);</w:t>
      </w:r>
    </w:p>
    <w:p w:rsidR="006D1938" w:rsidRPr="0026310D" w:rsidRDefault="006D1938" w:rsidP="00B41279">
      <w:pPr>
        <w:ind w:firstLine="708"/>
        <w:jc w:val="both"/>
      </w:pPr>
      <w:r w:rsidRPr="0026310D">
        <w:t>- ведомственная целевая программа «Отдельные мероприятия в сфере связи и информатизации», утверждённая приказом Комитета от 24.12.2013 № 141-о/д (далее – ВЦП «Отдельные мероприятия»);</w:t>
      </w:r>
    </w:p>
    <w:p w:rsidR="00B41279" w:rsidRPr="0026310D" w:rsidRDefault="00B41279" w:rsidP="00B41279">
      <w:pPr>
        <w:ind w:firstLine="708"/>
        <w:jc w:val="both"/>
      </w:pPr>
      <w:r w:rsidRPr="0026310D">
        <w:t>-</w:t>
      </w:r>
      <w:r w:rsidR="00C02DD4" w:rsidRPr="0026310D">
        <w:t xml:space="preserve"> </w:t>
      </w:r>
      <w:r w:rsidRPr="0026310D">
        <w:t>ведомственная целевая программа «Обеспечение сетевой безопасности государственных информационных ресурсов Правительства Волгоградской области (2012-2014</w:t>
      </w:r>
      <w:r w:rsidR="003918C7">
        <w:t xml:space="preserve"> </w:t>
      </w:r>
      <w:r w:rsidRPr="0026310D">
        <w:t>годы», утверждённая приказом Комитета от 11.11.2011 № 117-о/д (далее – ВЦП «Сетевая безопасность»).</w:t>
      </w:r>
    </w:p>
    <w:p w:rsidR="00B41279" w:rsidRPr="0026310D" w:rsidRDefault="00B41279" w:rsidP="008E0382">
      <w:pPr>
        <w:autoSpaceDE w:val="0"/>
        <w:autoSpaceDN w:val="0"/>
        <w:adjustRightInd w:val="0"/>
        <w:ind w:firstLine="709"/>
        <w:jc w:val="both"/>
      </w:pPr>
    </w:p>
    <w:p w:rsidR="00436D89" w:rsidRPr="00C15250" w:rsidRDefault="00AA6173" w:rsidP="008E0382">
      <w:pPr>
        <w:autoSpaceDE w:val="0"/>
        <w:autoSpaceDN w:val="0"/>
        <w:adjustRightInd w:val="0"/>
        <w:ind w:firstLine="709"/>
        <w:jc w:val="both"/>
      </w:pPr>
      <w:r w:rsidRPr="0026310D">
        <w:t>Вне рамок целевых и государственных программ осуществлены расходы на содержание Комитета</w:t>
      </w:r>
      <w:r w:rsidR="00C02DD4" w:rsidRPr="0026310D">
        <w:t xml:space="preserve"> и расходы</w:t>
      </w:r>
      <w:r w:rsidR="00C02DD4" w:rsidRPr="00C15250">
        <w:t xml:space="preserve"> по централизованному обеспечению в сфере информационных технологий  для государственных нужд Волгоградской области.</w:t>
      </w:r>
    </w:p>
    <w:p w:rsidR="00DB18AF" w:rsidRPr="00C15250" w:rsidRDefault="00DB18AF" w:rsidP="008E0382">
      <w:pPr>
        <w:ind w:firstLine="709"/>
        <w:jc w:val="both"/>
      </w:pPr>
      <w:r w:rsidRPr="00C15250">
        <w:t>Законом об областном бюджете Комитету предусмотрены ассигнования в сумме 413 330,</w:t>
      </w:r>
      <w:r w:rsidR="00327D75">
        <w:t>4</w:t>
      </w:r>
      <w:r w:rsidRPr="00C15250">
        <w:t xml:space="preserve"> тыс. руб., </w:t>
      </w:r>
      <w:r w:rsidR="00B031AF" w:rsidRPr="00C15250">
        <w:t xml:space="preserve">в </w:t>
      </w:r>
      <w:r w:rsidRPr="00C15250">
        <w:t xml:space="preserve">бюджетной росписи и </w:t>
      </w:r>
      <w:r w:rsidR="00B031AF" w:rsidRPr="00C15250">
        <w:t xml:space="preserve">в </w:t>
      </w:r>
      <w:r w:rsidRPr="00C15250">
        <w:t>отчет</w:t>
      </w:r>
      <w:r w:rsidR="00B031AF" w:rsidRPr="00C15250">
        <w:t>е</w:t>
      </w:r>
      <w:r w:rsidRPr="00C15250">
        <w:t xml:space="preserve"> об исполнении бюджета (ф. 0305127) бюджетные назначения составили 431 319,2 тыс. руб., или на 17 988,8 тыс. руб. больше утвержденного Законом об областном бюджете. Согласно представленным к проверке уведомлениям финансового органа изменения бюджетных ассигнований, не нашедших отражения в Законе об областном бюджете, </w:t>
      </w:r>
      <w:r w:rsidR="00501001">
        <w:t>обусловлены следующим</w:t>
      </w:r>
      <w:r w:rsidRPr="00C15250">
        <w:t>:</w:t>
      </w:r>
    </w:p>
    <w:p w:rsidR="00DB18AF" w:rsidRPr="00C15250" w:rsidRDefault="00DB18AF" w:rsidP="00DB18AF">
      <w:pPr>
        <w:ind w:firstLine="709"/>
        <w:jc w:val="both"/>
      </w:pPr>
      <w:r w:rsidRPr="00C15250">
        <w:t>- увеличение</w:t>
      </w:r>
      <w:r w:rsidR="00501001">
        <w:t>м</w:t>
      </w:r>
      <w:r w:rsidRPr="00C15250">
        <w:t xml:space="preserve"> бюджетных ассигнований на 44 135,1 тыс. руб., в том числе за счет поступления в октябре 2015 года средств </w:t>
      </w:r>
      <w:r w:rsidR="00B031AF" w:rsidRPr="00C15250">
        <w:t xml:space="preserve">федерального </w:t>
      </w:r>
      <w:r w:rsidRPr="00C15250">
        <w:t>бюджета в сумме 22 016,6 тыс. руб. на реализацию ГП «Защита населения»</w:t>
      </w:r>
      <w:r w:rsidR="00501001">
        <w:t xml:space="preserve"> и 22 118,5 тыс. руб. по средствам областного бюджета, в основном за счет внутреннего перемещения ассигнований в течение года</w:t>
      </w:r>
      <w:r w:rsidRPr="00C15250">
        <w:t>;</w:t>
      </w:r>
    </w:p>
    <w:p w:rsidR="00DB18AF" w:rsidRPr="00C15250" w:rsidRDefault="00DB18AF" w:rsidP="00DB18AF">
      <w:pPr>
        <w:ind w:firstLine="709"/>
        <w:jc w:val="both"/>
      </w:pPr>
      <w:r w:rsidRPr="00C15250">
        <w:lastRenderedPageBreak/>
        <w:t>- сокращение</w:t>
      </w:r>
      <w:r w:rsidR="00501001">
        <w:t>м</w:t>
      </w:r>
      <w:r w:rsidRPr="00C15250">
        <w:t xml:space="preserve"> бюджетных ассигнований на 26 146,3 тыс. руб. в связи с перемещениями бюджетных ассигнований</w:t>
      </w:r>
      <w:r w:rsidR="00CB5647" w:rsidRPr="00C15250">
        <w:t xml:space="preserve"> (в основном для погашения задолженности прошлых лет)</w:t>
      </w:r>
      <w:r w:rsidRPr="00C15250">
        <w:t>, экономией бюджетных средс</w:t>
      </w:r>
      <w:r w:rsidR="00CB5647" w:rsidRPr="00C15250">
        <w:t>тв, а также оптимизацией расход</w:t>
      </w:r>
      <w:r w:rsidR="003918C7">
        <w:t>ов</w:t>
      </w:r>
      <w:r w:rsidRPr="00C15250">
        <w:t xml:space="preserve"> областного бюджета</w:t>
      </w:r>
      <w:r w:rsidR="00CB5647" w:rsidRPr="00C15250">
        <w:t>.</w:t>
      </w:r>
    </w:p>
    <w:p w:rsidR="00DB18AF" w:rsidRPr="00C15250" w:rsidRDefault="00DB18AF" w:rsidP="00DB18AF">
      <w:pPr>
        <w:ind w:firstLine="709"/>
        <w:jc w:val="both"/>
      </w:pPr>
      <w:r w:rsidRPr="00C15250">
        <w:t>Анализ исполнения бюджетных назначений Комитета представлен в следующей таблице.</w:t>
      </w:r>
    </w:p>
    <w:p w:rsidR="00C02DD4" w:rsidRPr="00C15250" w:rsidRDefault="007D45D7" w:rsidP="007D45D7">
      <w:pPr>
        <w:autoSpaceDE w:val="0"/>
        <w:autoSpaceDN w:val="0"/>
        <w:adjustRightInd w:val="0"/>
        <w:ind w:firstLine="540"/>
        <w:jc w:val="right"/>
        <w:rPr>
          <w:i/>
          <w:sz w:val="22"/>
          <w:szCs w:val="22"/>
        </w:rPr>
      </w:pPr>
      <w:r w:rsidRPr="00C15250">
        <w:rPr>
          <w:i/>
          <w:sz w:val="22"/>
          <w:szCs w:val="22"/>
        </w:rPr>
        <w:t>тыс. руб.</w:t>
      </w:r>
    </w:p>
    <w:tbl>
      <w:tblPr>
        <w:tblW w:w="10077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89"/>
        <w:gridCol w:w="1417"/>
        <w:gridCol w:w="1134"/>
        <w:gridCol w:w="1134"/>
        <w:gridCol w:w="1134"/>
        <w:gridCol w:w="1126"/>
        <w:gridCol w:w="1143"/>
      </w:tblGrid>
      <w:tr w:rsidR="00CB5647" w:rsidRPr="00C15250" w:rsidTr="004D7E9A">
        <w:trPr>
          <w:trHeight w:val="300"/>
        </w:trPr>
        <w:tc>
          <w:tcPr>
            <w:tcW w:w="298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3918C7" w:rsidP="007D45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Неисполненные бюджетные назначения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B5647" w:rsidRPr="00C15250" w:rsidRDefault="00CB5647" w:rsidP="007D45D7">
            <w:pPr>
              <w:ind w:left="-100" w:right="-108"/>
              <w:jc w:val="center"/>
              <w:rPr>
                <w:b/>
                <w:sz w:val="20"/>
                <w:szCs w:val="20"/>
              </w:rPr>
            </w:pPr>
            <w:r w:rsidRPr="00C15250">
              <w:rPr>
                <w:b/>
                <w:sz w:val="20"/>
                <w:szCs w:val="20"/>
              </w:rPr>
              <w:t>% исполнения от бюджетных назначений</w:t>
            </w:r>
          </w:p>
        </w:tc>
      </w:tr>
      <w:tr w:rsidR="00CB5647" w:rsidRPr="00C15250" w:rsidTr="004D7E9A">
        <w:trPr>
          <w:trHeight w:val="765"/>
        </w:trPr>
        <w:tc>
          <w:tcPr>
            <w:tcW w:w="2989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B5647" w:rsidRPr="00C15250" w:rsidRDefault="00CB5647" w:rsidP="00CB5647">
            <w:pPr>
              <w:rPr>
                <w:sz w:val="22"/>
                <w:szCs w:val="22"/>
              </w:rPr>
            </w:pP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B5647" w:rsidRPr="00C15250" w:rsidRDefault="00CB5647" w:rsidP="00CB5647">
            <w:pPr>
              <w:jc w:val="center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7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413 330,4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431 319,2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430 594,9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402 428,2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CB5647" w:rsidP="003918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28 891,</w:t>
            </w:r>
            <w:r w:rsidR="003918C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93,3%</w:t>
            </w:r>
          </w:p>
        </w:tc>
      </w:tr>
      <w:tr w:rsidR="00CB5647" w:rsidRPr="00C15250" w:rsidTr="004D7E9A">
        <w:trPr>
          <w:trHeight w:val="486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BA37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79 021,2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85 615,1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85 615,1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77 383,7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8 231,4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90,4%</w:t>
            </w:r>
          </w:p>
        </w:tc>
      </w:tr>
      <w:tr w:rsidR="00CB5647" w:rsidRPr="00C15250" w:rsidTr="004D7E9A">
        <w:trPr>
          <w:trHeight w:val="550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79 021,3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85 615,1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85 615,1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77 383,7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8 231,4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90,4%</w:t>
            </w:r>
          </w:p>
        </w:tc>
      </w:tr>
      <w:tr w:rsidR="006D1938" w:rsidRPr="00C15250" w:rsidTr="004D7E9A">
        <w:trPr>
          <w:trHeight w:val="550"/>
        </w:trPr>
        <w:tc>
          <w:tcPr>
            <w:tcW w:w="2989" w:type="dxa"/>
            <w:shd w:val="clear" w:color="auto" w:fill="auto"/>
            <w:vAlign w:val="bottom"/>
            <w:hideMark/>
          </w:tcPr>
          <w:p w:rsidR="006D1938" w:rsidRPr="00C15250" w:rsidRDefault="006D1938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ВЦП "Обеспечение сетевой безопасности…"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938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44 855,4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1938" w:rsidRPr="00C15250" w:rsidRDefault="006D1938" w:rsidP="006D1938">
            <w:pPr>
              <w:jc w:val="right"/>
              <w:rPr>
                <w:b/>
                <w:i/>
                <w:sz w:val="20"/>
                <w:szCs w:val="20"/>
              </w:rPr>
            </w:pPr>
            <w:r w:rsidRPr="00C15250">
              <w:rPr>
                <w:b/>
                <w:i/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1938" w:rsidRPr="00C15250" w:rsidRDefault="006D1938" w:rsidP="006D1938">
            <w:pPr>
              <w:jc w:val="right"/>
              <w:rPr>
                <w:b/>
                <w:i/>
                <w:sz w:val="20"/>
                <w:szCs w:val="20"/>
              </w:rPr>
            </w:pPr>
            <w:r w:rsidRPr="00C15250">
              <w:rPr>
                <w:b/>
                <w:i/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1938" w:rsidRPr="00C15250" w:rsidRDefault="006D1938" w:rsidP="006D1938">
            <w:pPr>
              <w:jc w:val="right"/>
              <w:rPr>
                <w:b/>
                <w:i/>
                <w:sz w:val="20"/>
                <w:szCs w:val="20"/>
              </w:rPr>
            </w:pPr>
            <w:r w:rsidRPr="00C15250">
              <w:rPr>
                <w:b/>
                <w:i/>
                <w:sz w:val="20"/>
                <w:szCs w:val="20"/>
              </w:rPr>
              <w:t>45 471,5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6D1938" w:rsidRPr="00C15250" w:rsidRDefault="006D1938" w:rsidP="006D1938">
            <w:pPr>
              <w:jc w:val="right"/>
              <w:rPr>
                <w:b/>
                <w:i/>
                <w:sz w:val="20"/>
                <w:szCs w:val="20"/>
              </w:rPr>
            </w:pPr>
            <w:r w:rsidRPr="00C15250">
              <w:rPr>
                <w:b/>
                <w:i/>
                <w:sz w:val="20"/>
                <w:szCs w:val="20"/>
              </w:rPr>
              <w:t>7 907,2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6D1938" w:rsidRPr="00C15250" w:rsidRDefault="006D1938" w:rsidP="006D1938">
            <w:pPr>
              <w:jc w:val="right"/>
              <w:rPr>
                <w:b/>
                <w:i/>
                <w:sz w:val="22"/>
                <w:szCs w:val="22"/>
              </w:rPr>
            </w:pPr>
            <w:r w:rsidRPr="00C15250">
              <w:rPr>
                <w:b/>
                <w:i/>
                <w:sz w:val="22"/>
                <w:szCs w:val="22"/>
              </w:rPr>
              <w:t>85,2%</w:t>
            </w:r>
          </w:p>
        </w:tc>
      </w:tr>
      <w:tr w:rsidR="00CB5647" w:rsidRPr="00C15250" w:rsidTr="004D7E9A">
        <w:trPr>
          <w:trHeight w:val="402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Централизованное обеспечение в сфере информационных технологий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45 471,5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7 907,2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85,2%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53 378,7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45 471,5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7 907,2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85,2%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7317A8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7317A8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7317A8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352,0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100,0%</w:t>
            </w:r>
          </w:p>
        </w:tc>
      </w:tr>
      <w:tr w:rsidR="00CB5647" w:rsidRPr="00C15250" w:rsidTr="004D7E9A">
        <w:trPr>
          <w:trHeight w:val="390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Обеспечение деятельности органов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BA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30 504,0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3918C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319,</w:t>
            </w:r>
            <w:r w:rsidR="003918C7"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99,0%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30 058,5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30 058,5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29 752,4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306,1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99,0%</w:t>
            </w:r>
          </w:p>
        </w:tc>
      </w:tr>
      <w:tr w:rsidR="00CB5647" w:rsidRPr="00C15250" w:rsidTr="004D7E9A">
        <w:trPr>
          <w:trHeight w:val="6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BA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751,6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13,2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98,3%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1 010,4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1 010,4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1 005,5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4,9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99,5%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50,7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100,0%</w:t>
            </w:r>
          </w:p>
        </w:tc>
      </w:tr>
      <w:tr w:rsidR="007D45D7" w:rsidRPr="00C15250" w:rsidTr="004D7E9A">
        <w:trPr>
          <w:trHeight w:val="88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ГП  "Защита населения и территории от ЧС, обеспечение пожарной безопасности"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10 500,0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32 590,3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32 590,3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30 268,9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2 321,4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92,9%</w:t>
            </w:r>
          </w:p>
        </w:tc>
      </w:tr>
      <w:tr w:rsidR="00CB5647" w:rsidRPr="00C15250" w:rsidTr="004D7E9A">
        <w:trPr>
          <w:trHeight w:val="6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Закупка товаров, работ и услуг для создания системы 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8 252,3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2 247,7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78,6%</w:t>
            </w:r>
          </w:p>
        </w:tc>
      </w:tr>
      <w:tr w:rsidR="00CB5647" w:rsidRPr="00C15250" w:rsidTr="004D7E9A">
        <w:trPr>
          <w:trHeight w:val="54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Создание базовой инфраструктуры системы 112, оснащение центра вызовов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22 090,3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22 090,3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22 016,6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73,7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99,7%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323 809,1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313 113,8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312 389,5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294 775,6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18 338,2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94,1%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240 559,7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223 416,2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222 691,9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211 649,5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11 766,7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94,7%</w:t>
            </w:r>
          </w:p>
        </w:tc>
      </w:tr>
      <w:tr w:rsidR="007D45D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ГП Информационное общество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172 339,8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168 741,5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168 017,2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158 752,7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9 988,8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94,1%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108 677,6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110 312,4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109 588,1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101 899,5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8 412,9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92,4%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Субсидии ГБУ ЦИТ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58 429,1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58 429,1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56 853,2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1 575,9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97,3%</w:t>
            </w:r>
          </w:p>
        </w:tc>
      </w:tr>
      <w:tr w:rsidR="007D45D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7D45D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 xml:space="preserve">ГП </w:t>
            </w:r>
            <w:r w:rsidR="007D45D7" w:rsidRPr="00C15250">
              <w:rPr>
                <w:b/>
                <w:bCs/>
                <w:i/>
                <w:iCs/>
                <w:sz w:val="20"/>
                <w:szCs w:val="20"/>
              </w:rPr>
              <w:t>РКД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30 937,6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23 195,9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1 662,1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93,3%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12 759,8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12 759,8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12 495,7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264,1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97,9%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Субсидии ГБУ ЦИТ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12 098,2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12 098,2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10 700,2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1 398,0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88,4%</w:t>
            </w:r>
          </w:p>
        </w:tc>
      </w:tr>
      <w:tr w:rsidR="007D45D7" w:rsidRPr="00C15250" w:rsidTr="004D7E9A">
        <w:trPr>
          <w:trHeight w:val="6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lastRenderedPageBreak/>
              <w:t>ВЦП "Обеспечение сетевой безопасности…"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37 282,3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29 816,7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29 816,7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29 700,9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115,8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99,6%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36 959,3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29 493,8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29 493,8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29 378,0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115,8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99,6%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323,0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100,0%</w:t>
            </w:r>
          </w:p>
        </w:tc>
      </w:tr>
      <w:tr w:rsidR="00CB5647" w:rsidRPr="00C15250" w:rsidTr="004D7E9A">
        <w:trPr>
          <w:trHeight w:val="6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BA37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83 249,4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89 697,7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89 697,7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83 126,1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6 571,6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92,7%</w:t>
            </w:r>
          </w:p>
        </w:tc>
      </w:tr>
      <w:tr w:rsidR="007D45D7" w:rsidRPr="00C15250" w:rsidTr="004D7E9A">
        <w:trPr>
          <w:trHeight w:val="300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ГП Повышение безопасности ДД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54 520,2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61 822,7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61 822,7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61 080,4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742,2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98,8%</w:t>
            </w:r>
          </w:p>
        </w:tc>
      </w:tr>
      <w:tr w:rsidR="00CB5647" w:rsidRPr="00C15250" w:rsidTr="004D7E9A">
        <w:trPr>
          <w:trHeight w:val="315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Субсидии ГБУ ЦИТ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54 520,2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61 822,7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61 822,7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61 080,4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742,2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98,8%</w:t>
            </w:r>
          </w:p>
        </w:tc>
      </w:tr>
      <w:tr w:rsidR="007D45D7" w:rsidRPr="00C15250" w:rsidTr="004D7E9A">
        <w:trPr>
          <w:trHeight w:val="300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ГП Профилактика правонарушений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28 729,2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27 875,0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27 875,0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22 045,6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5 829,3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5250">
              <w:rPr>
                <w:b/>
                <w:bCs/>
                <w:i/>
                <w:iCs/>
                <w:sz w:val="22"/>
                <w:szCs w:val="22"/>
              </w:rPr>
              <w:t>79,1%</w:t>
            </w:r>
          </w:p>
        </w:tc>
      </w:tr>
      <w:tr w:rsidR="00CB5647" w:rsidRPr="00C15250" w:rsidTr="004D7E9A">
        <w:trPr>
          <w:trHeight w:val="300"/>
        </w:trPr>
        <w:tc>
          <w:tcPr>
            <w:tcW w:w="2989" w:type="dxa"/>
            <w:shd w:val="clear" w:color="auto" w:fill="auto"/>
            <w:vAlign w:val="bottom"/>
            <w:hideMark/>
          </w:tcPr>
          <w:p w:rsidR="00CB5647" w:rsidRPr="00C15250" w:rsidRDefault="00CB5647" w:rsidP="00CB5647">
            <w:pPr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Субсидии ГБУ ЦИТ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B5647" w:rsidRPr="00C15250" w:rsidRDefault="00BA37DE" w:rsidP="00CB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28 729,2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27 875,0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27 875,0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22 045,6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0"/>
                <w:szCs w:val="20"/>
              </w:rPr>
            </w:pPr>
            <w:r w:rsidRPr="00C15250">
              <w:rPr>
                <w:sz w:val="20"/>
                <w:szCs w:val="20"/>
              </w:rPr>
              <w:t>5 829,3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CB5647" w:rsidRPr="00C15250" w:rsidRDefault="00CB5647" w:rsidP="00CB5647">
            <w:pPr>
              <w:jc w:val="right"/>
              <w:rPr>
                <w:sz w:val="22"/>
                <w:szCs w:val="22"/>
              </w:rPr>
            </w:pPr>
            <w:r w:rsidRPr="00C15250">
              <w:rPr>
                <w:sz w:val="22"/>
                <w:szCs w:val="22"/>
              </w:rPr>
              <w:t>79,1%</w:t>
            </w:r>
          </w:p>
        </w:tc>
      </w:tr>
    </w:tbl>
    <w:p w:rsidR="00CB5647" w:rsidRPr="00C15250" w:rsidRDefault="00CB5647" w:rsidP="00CB5647">
      <w:pPr>
        <w:autoSpaceDE w:val="0"/>
        <w:autoSpaceDN w:val="0"/>
        <w:adjustRightInd w:val="0"/>
        <w:jc w:val="both"/>
      </w:pPr>
    </w:p>
    <w:p w:rsidR="000E06AB" w:rsidRPr="00C15250" w:rsidRDefault="007D45D7" w:rsidP="007F300C">
      <w:pPr>
        <w:autoSpaceDE w:val="0"/>
        <w:autoSpaceDN w:val="0"/>
        <w:adjustRightInd w:val="0"/>
        <w:ind w:firstLine="709"/>
        <w:jc w:val="both"/>
      </w:pPr>
      <w:r w:rsidRPr="00C15250">
        <w:t xml:space="preserve">Бюджетные назначения </w:t>
      </w:r>
      <w:r w:rsidR="003B61A5">
        <w:t xml:space="preserve">по расходам </w:t>
      </w:r>
      <w:r w:rsidRPr="00C15250">
        <w:t>исполнены на 93,3%, неисполненные назначения составили 28 891,</w:t>
      </w:r>
      <w:r w:rsidR="003B61A5">
        <w:t>0</w:t>
      </w:r>
      <w:r w:rsidRPr="00C15250">
        <w:t xml:space="preserve"> тыс. руб., или 6,7 процент</w:t>
      </w:r>
      <w:r w:rsidR="003B61A5">
        <w:t>а</w:t>
      </w:r>
      <w:r w:rsidRPr="00C15250">
        <w:t>.</w:t>
      </w:r>
    </w:p>
    <w:p w:rsidR="007D45D7" w:rsidRPr="00C15250" w:rsidRDefault="007D45D7" w:rsidP="007F300C">
      <w:pPr>
        <w:autoSpaceDE w:val="0"/>
        <w:autoSpaceDN w:val="0"/>
        <w:adjustRightInd w:val="0"/>
        <w:ind w:firstLine="709"/>
        <w:jc w:val="both"/>
      </w:pPr>
      <w:r w:rsidRPr="00C15250">
        <w:t>Основная часть неисполненных бюджетных назначений сложилась по следующим направлениям расходов:</w:t>
      </w:r>
    </w:p>
    <w:p w:rsidR="007D45D7" w:rsidRPr="00C15250" w:rsidRDefault="007D45D7" w:rsidP="007F300C">
      <w:pPr>
        <w:autoSpaceDE w:val="0"/>
        <w:autoSpaceDN w:val="0"/>
        <w:adjustRightInd w:val="0"/>
        <w:ind w:firstLine="709"/>
        <w:jc w:val="both"/>
      </w:pPr>
      <w:r w:rsidRPr="00C15250">
        <w:t>- 7 907,2 тыс. руб. на централизованное обеспечение в сфере информационных технологий (</w:t>
      </w:r>
      <w:r w:rsidR="00BF2F64" w:rsidRPr="00C15250">
        <w:t xml:space="preserve">КБК </w:t>
      </w:r>
      <w:r w:rsidRPr="00C15250">
        <w:t>0113 6508010)</w:t>
      </w:r>
      <w:r w:rsidR="00BF2F64" w:rsidRPr="00C15250">
        <w:t xml:space="preserve">. </w:t>
      </w:r>
      <w:r w:rsidRPr="00C15250">
        <w:t xml:space="preserve"> </w:t>
      </w:r>
      <w:r w:rsidR="00BF2F64" w:rsidRPr="00C15250">
        <w:t>Основной причиной неисполнения бюджетных назначений в Сведениях об исполнении бюджета указана несвоевременность предоставления исполнителями работ (поставщиками, подрядчиками) документов для расчетов;</w:t>
      </w:r>
    </w:p>
    <w:p w:rsidR="007D45D7" w:rsidRPr="00C15250" w:rsidRDefault="007D45D7" w:rsidP="007F300C">
      <w:pPr>
        <w:autoSpaceDE w:val="0"/>
        <w:autoSpaceDN w:val="0"/>
        <w:adjustRightInd w:val="0"/>
        <w:ind w:firstLine="709"/>
        <w:jc w:val="both"/>
      </w:pPr>
      <w:r w:rsidRPr="00C15250">
        <w:t xml:space="preserve">- </w:t>
      </w:r>
      <w:r w:rsidR="00BF2F64" w:rsidRPr="00C15250">
        <w:t xml:space="preserve">2 247,7 </w:t>
      </w:r>
      <w:r w:rsidR="003B61A5">
        <w:t xml:space="preserve">тыс. руб. </w:t>
      </w:r>
      <w:r w:rsidR="00BF2F64" w:rsidRPr="00C15250">
        <w:t>на закупку товаров, работ и услуг для создания системы 112 (0309, 0122103). Причиной неисполнения бюджетных обязательств явилось отсутствие кассового плана;</w:t>
      </w:r>
    </w:p>
    <w:p w:rsidR="00ED5F77" w:rsidRPr="00C15250" w:rsidRDefault="007D45D7" w:rsidP="007F300C">
      <w:pPr>
        <w:autoSpaceDE w:val="0"/>
        <w:autoSpaceDN w:val="0"/>
        <w:adjustRightInd w:val="0"/>
        <w:ind w:firstLine="709"/>
        <w:jc w:val="both"/>
      </w:pPr>
      <w:r w:rsidRPr="00C15250">
        <w:t xml:space="preserve">- </w:t>
      </w:r>
      <w:r w:rsidR="00ED5F77" w:rsidRPr="00C15250">
        <w:t>9 988,8 тыс. руб. на реализацию ГП «Информационное общество». Основными причинами неисполнения бюджетных назначений явилось нарушение подрядными организациями сроков исполнения и иных условий контрактов, экономия по результатам конкурсных процедур;</w:t>
      </w:r>
    </w:p>
    <w:p w:rsidR="00ED5F77" w:rsidRPr="00C15250" w:rsidRDefault="00ED5F77" w:rsidP="007F300C">
      <w:pPr>
        <w:autoSpaceDE w:val="0"/>
        <w:autoSpaceDN w:val="0"/>
        <w:adjustRightInd w:val="0"/>
        <w:ind w:firstLine="709"/>
        <w:jc w:val="both"/>
      </w:pPr>
      <w:r w:rsidRPr="00C15250">
        <w:t xml:space="preserve">- 1 662,1 тыс. руб. на реализацию ГП РКД. Основными причинами явились отказ от </w:t>
      </w:r>
      <w:r w:rsidR="00D83F27" w:rsidRPr="00C15250">
        <w:t xml:space="preserve">отдельных </w:t>
      </w:r>
      <w:r w:rsidRPr="00C15250">
        <w:t>запланированных мероприятий и экономия по результатам конкурсных процедур;</w:t>
      </w:r>
    </w:p>
    <w:p w:rsidR="007D45D7" w:rsidRPr="00C15250" w:rsidRDefault="00ED5F77" w:rsidP="007F300C">
      <w:pPr>
        <w:autoSpaceDE w:val="0"/>
        <w:autoSpaceDN w:val="0"/>
        <w:adjustRightInd w:val="0"/>
        <w:ind w:firstLine="709"/>
        <w:jc w:val="both"/>
      </w:pPr>
      <w:r w:rsidRPr="00C15250">
        <w:t>- 5 829,3 тыс. руб. на реализацию ГП «Профилактика правонарушений». Причиной явилось нарушение подрядными организациями сроков исполнения и иных условий контрактов.</w:t>
      </w:r>
      <w:r w:rsidR="00BF2F64" w:rsidRPr="00C15250">
        <w:t xml:space="preserve"> </w:t>
      </w:r>
    </w:p>
    <w:p w:rsidR="003B61A5" w:rsidRDefault="003B61A5" w:rsidP="003B61A5">
      <w:pPr>
        <w:autoSpaceDE w:val="0"/>
        <w:autoSpaceDN w:val="0"/>
        <w:adjustRightInd w:val="0"/>
        <w:ind w:firstLine="709"/>
        <w:jc w:val="both"/>
      </w:pPr>
      <w:r>
        <w:t xml:space="preserve">Расходы </w:t>
      </w:r>
      <w:r w:rsidR="006259D0">
        <w:t xml:space="preserve">на исполнение судебных актов в 2015 году </w:t>
      </w:r>
      <w:r w:rsidR="006259D0" w:rsidRPr="006259D0">
        <w:t>составили</w:t>
      </w:r>
      <w:r w:rsidR="00B97DD1" w:rsidRPr="006259D0">
        <w:t xml:space="preserve"> </w:t>
      </w:r>
      <w:r w:rsidR="006259D0" w:rsidRPr="006259D0">
        <w:t>14 273,6</w:t>
      </w:r>
      <w:r w:rsidR="00B97DD1" w:rsidRPr="006259D0">
        <w:t xml:space="preserve"> тыс. руб., из</w:t>
      </w:r>
      <w:r w:rsidR="00B97DD1">
        <w:t xml:space="preserve"> которых</w:t>
      </w:r>
      <w:r>
        <w:t xml:space="preserve"> </w:t>
      </w:r>
      <w:r w:rsidRPr="00C15250">
        <w:t xml:space="preserve"> 467,7 тыс. руб. направлены на оплату госпошлины, неустоек и пени по судебным решениям. Указанные дополнительные </w:t>
      </w:r>
      <w:r w:rsidRPr="006018B4">
        <w:t>расходы областного бюджета возникли в результате отсутствия финансирования финансовым органом принятых Комитетом в пределах лимитов бюджетных обязательств денежных обязательств в предыдущие годы, в результате чего нарушен принцип эффективности использования бюджетных средств, определенн</w:t>
      </w:r>
      <w:r w:rsidR="00CC4D58">
        <w:t>ый</w:t>
      </w:r>
      <w:r w:rsidRPr="006018B4">
        <w:t xml:space="preserve"> ст.34 БК РФ. </w:t>
      </w:r>
    </w:p>
    <w:p w:rsidR="003B61A5" w:rsidRPr="0026310D" w:rsidRDefault="003B61A5" w:rsidP="003B61A5">
      <w:pPr>
        <w:autoSpaceDE w:val="0"/>
        <w:autoSpaceDN w:val="0"/>
        <w:adjustRightInd w:val="0"/>
        <w:ind w:firstLine="709"/>
        <w:jc w:val="both"/>
      </w:pPr>
    </w:p>
    <w:p w:rsidR="003B61A5" w:rsidRPr="0026310D" w:rsidRDefault="003B61A5" w:rsidP="003B61A5">
      <w:pPr>
        <w:autoSpaceDE w:val="0"/>
        <w:autoSpaceDN w:val="0"/>
        <w:adjustRightInd w:val="0"/>
        <w:jc w:val="center"/>
        <w:rPr>
          <w:b/>
          <w:i/>
        </w:rPr>
      </w:pPr>
      <w:r w:rsidRPr="0026310D">
        <w:rPr>
          <w:b/>
          <w:i/>
        </w:rPr>
        <w:t>Расходы на оплату труда</w:t>
      </w:r>
    </w:p>
    <w:p w:rsidR="003B61A5" w:rsidRPr="0026310D" w:rsidRDefault="003B61A5" w:rsidP="003B61A5">
      <w:pPr>
        <w:ind w:firstLine="709"/>
        <w:jc w:val="both"/>
      </w:pPr>
      <w:r w:rsidRPr="0026310D">
        <w:t>Согласно п</w:t>
      </w:r>
      <w:r w:rsidR="00CC4D58">
        <w:t>редставленным к проверке данным</w:t>
      </w:r>
      <w:r w:rsidRPr="0026310D">
        <w:t xml:space="preserve"> расчетный фонд оплаты труда с учетом сокращения с 01.10.2015 составил 22 227,1 тыс. рублей. Бюджетные назначения и кассовые расходы согласно отчету об исполнении бюджета и бюджетной росписи составили 22 641,3 тыс. руб., что на 414,2 тыс. руб. больше расчетного фонда оплаты труда. Превышение сложилось за счет </w:t>
      </w:r>
      <w:r w:rsidR="00B97DD1">
        <w:t>компенсационных выплат при реорганизации финансового отдела</w:t>
      </w:r>
      <w:r w:rsidRPr="0026310D">
        <w:t>.</w:t>
      </w:r>
    </w:p>
    <w:p w:rsidR="003B61A5" w:rsidRPr="0026310D" w:rsidRDefault="003B61A5" w:rsidP="003B61A5">
      <w:pPr>
        <w:ind w:firstLine="709"/>
        <w:jc w:val="both"/>
      </w:pPr>
      <w:r w:rsidRPr="0026310D">
        <w:t>Штатная численность государственных гражданских служащих (ГГС) по штатному расписанию на конец года составляет 32 штатн</w:t>
      </w:r>
      <w:r w:rsidR="00CC4D58">
        <w:t>ые</w:t>
      </w:r>
      <w:r w:rsidRPr="0026310D">
        <w:t xml:space="preserve"> единиц</w:t>
      </w:r>
      <w:r w:rsidR="00CC4D58">
        <w:t>ы</w:t>
      </w:r>
      <w:r w:rsidRPr="0026310D">
        <w:t>, из них 1 ставка вакантна, при установленной Законом  об областном бюджете на 2015 год предельной численности 34 единиц</w:t>
      </w:r>
      <w:r w:rsidR="00ED5B64">
        <w:t>ы</w:t>
      </w:r>
      <w:r w:rsidRPr="0026310D">
        <w:t xml:space="preserve">. </w:t>
      </w:r>
    </w:p>
    <w:p w:rsidR="003B61A5" w:rsidRPr="0026310D" w:rsidRDefault="003B61A5" w:rsidP="003B61A5">
      <w:pPr>
        <w:ind w:firstLine="709"/>
        <w:jc w:val="both"/>
      </w:pPr>
      <w:r w:rsidRPr="0026310D">
        <w:t>По ГГС расчетный фонд составил 20 266,0 тыс. руб., фактически</w:t>
      </w:r>
      <w:r w:rsidR="00B97DD1">
        <w:t>е</w:t>
      </w:r>
      <w:r w:rsidRPr="0026310D">
        <w:t xml:space="preserve"> расходы </w:t>
      </w:r>
      <w:r w:rsidR="00183C28">
        <w:t>-</w:t>
      </w:r>
      <w:r w:rsidRPr="0026310D">
        <w:t xml:space="preserve"> 20 827,0 тыс. руб., или на 561,0 тыс. руб. больше расчетного фонда. Превышение фактических расходов </w:t>
      </w:r>
      <w:r w:rsidRPr="0026310D">
        <w:lastRenderedPageBreak/>
        <w:t xml:space="preserve">по ГГС над расчетным фондом оплаты труда сложилось в результате </w:t>
      </w:r>
      <w:r w:rsidR="002F5EA6">
        <w:t>реорганизации финансового отдела</w:t>
      </w:r>
      <w:r w:rsidR="00501001">
        <w:t>,</w:t>
      </w:r>
      <w:r w:rsidR="002F5EA6" w:rsidRPr="0026310D">
        <w:t xml:space="preserve"> </w:t>
      </w:r>
      <w:r w:rsidR="002F5EA6">
        <w:t xml:space="preserve">при которой из 5 человек </w:t>
      </w:r>
      <w:r w:rsidRPr="0026310D">
        <w:t>2 штатны</w:t>
      </w:r>
      <w:r w:rsidR="002F5EA6">
        <w:t>е</w:t>
      </w:r>
      <w:r w:rsidRPr="0026310D">
        <w:t xml:space="preserve"> единиц</w:t>
      </w:r>
      <w:r w:rsidR="00CC4D58">
        <w:t>ы сокращены</w:t>
      </w:r>
      <w:r w:rsidR="002F5EA6">
        <w:t xml:space="preserve"> и 2 человека отказались от перевода на новую должность. В результате </w:t>
      </w:r>
      <w:r w:rsidRPr="0026310D">
        <w:t xml:space="preserve"> выплат</w:t>
      </w:r>
      <w:r w:rsidR="002F5EA6">
        <w:t>ы</w:t>
      </w:r>
      <w:r w:rsidRPr="0026310D">
        <w:t xml:space="preserve"> </w:t>
      </w:r>
      <w:r w:rsidR="002F5EA6">
        <w:t xml:space="preserve">при увольнении </w:t>
      </w:r>
      <w:r w:rsidRPr="0026310D">
        <w:t xml:space="preserve">этим 4 работникам </w:t>
      </w:r>
      <w:r w:rsidR="002F5EA6">
        <w:t>составили</w:t>
      </w:r>
      <w:r w:rsidRPr="0026310D">
        <w:t xml:space="preserve"> 815,2 тыс. рублей.</w:t>
      </w:r>
    </w:p>
    <w:p w:rsidR="00E43437" w:rsidRDefault="003B61A5" w:rsidP="003B61A5">
      <w:pPr>
        <w:ind w:firstLine="709"/>
        <w:jc w:val="both"/>
      </w:pPr>
      <w:r w:rsidRPr="0026310D">
        <w:t>Согласно представленной информации в Комитете экономия по вакантным ставкам в течение года составила  1 017,0 тыс. руб., при этом Комитетом осуществлялись отдельные выплаты, предусмотренные постановлениями главы Администрации Волгоградской области и Губернатора Волгоградской области в размере 1 034,9 тыс. руб., и не включенны</w:t>
      </w:r>
      <w:r w:rsidR="0011506C">
        <w:t>е</w:t>
      </w:r>
      <w:r w:rsidRPr="0026310D">
        <w:t xml:space="preserve"> в расчет фонда оплаты труда. </w:t>
      </w:r>
      <w:r w:rsidR="00E43437">
        <w:t>Так, произведены выплаты материальной помощи в связи с рождением ребенка, смертью близких родственников, денежное поощрение за эффективную и безупречную гражданскую службу, денежное поощрение по итогам службы за год в соответствии с постановлением главы администрации Волгоградской области от 14.12.2010 № 1900 (867,4 тыс. руб.), ежемесячную надбавку за правовое обеспечение деятельности органов исполнительной власти  в соответствии с постановлением Губернатора Волгоградской области от 16.11.2012 № 1120 (125,9 тыс. руб.) и доплата до размера ежемесячного денежного содержания на период временной нетрудоспособности в соответствии с постановлением главы администрации Волгоградской области от 21.02.2006 № 181 (41,6 тыс. руб.).</w:t>
      </w:r>
    </w:p>
    <w:p w:rsidR="003B61A5" w:rsidRPr="0026310D" w:rsidRDefault="003B61A5" w:rsidP="003B61A5">
      <w:pPr>
        <w:ind w:firstLine="709"/>
        <w:jc w:val="both"/>
      </w:pPr>
      <w:r w:rsidRPr="0026310D">
        <w:t xml:space="preserve">В течение года </w:t>
      </w:r>
      <w:r w:rsidR="002F5EA6">
        <w:t xml:space="preserve"> п</w:t>
      </w:r>
      <w:r w:rsidR="002F5EA6" w:rsidRPr="0026310D">
        <w:t xml:space="preserve">ремии за выполнение особо важных и сложных заданий </w:t>
      </w:r>
      <w:r w:rsidRPr="0026310D">
        <w:t>произведены в размере 340,0 тыс. руб. при расчетном фонде оплаты труда на эти цели 1020,0 тыс. рублей.</w:t>
      </w:r>
    </w:p>
    <w:p w:rsidR="00D014B0" w:rsidRPr="00C15250" w:rsidRDefault="00D014B0" w:rsidP="007F300C">
      <w:pPr>
        <w:autoSpaceDE w:val="0"/>
        <w:autoSpaceDN w:val="0"/>
        <w:adjustRightInd w:val="0"/>
        <w:ind w:firstLine="709"/>
        <w:jc w:val="both"/>
      </w:pPr>
    </w:p>
    <w:p w:rsidR="001816DD" w:rsidRPr="00C15250" w:rsidRDefault="001816DD" w:rsidP="001816DD">
      <w:pPr>
        <w:ind w:firstLine="708"/>
        <w:jc w:val="both"/>
      </w:pPr>
      <w:r w:rsidRPr="00C15250">
        <w:t>Сравнительный анализ показателей исполнения расходов областного бюджета за 2014 год и 2015 год представлен в  таблице.</w:t>
      </w:r>
    </w:p>
    <w:p w:rsidR="001816DD" w:rsidRPr="00C15250" w:rsidRDefault="001816DD" w:rsidP="001816DD">
      <w:pPr>
        <w:ind w:firstLine="708"/>
        <w:jc w:val="right"/>
        <w:rPr>
          <w:i/>
          <w:sz w:val="20"/>
          <w:szCs w:val="20"/>
        </w:rPr>
      </w:pPr>
      <w:r w:rsidRPr="00C15250">
        <w:rPr>
          <w:b/>
          <w:sz w:val="22"/>
          <w:szCs w:val="22"/>
        </w:rPr>
        <w:t xml:space="preserve"> </w:t>
      </w:r>
      <w:r w:rsidRPr="00C15250">
        <w:rPr>
          <w:i/>
          <w:sz w:val="20"/>
          <w:szCs w:val="20"/>
        </w:rPr>
        <w:t>тыс. руб.</w:t>
      </w:r>
    </w:p>
    <w:tbl>
      <w:tblPr>
        <w:tblW w:w="9865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80"/>
        <w:gridCol w:w="4822"/>
        <w:gridCol w:w="966"/>
        <w:gridCol w:w="966"/>
        <w:gridCol w:w="966"/>
        <w:gridCol w:w="965"/>
      </w:tblGrid>
      <w:tr w:rsidR="001816DD" w:rsidRPr="00C15250" w:rsidTr="00B031AF">
        <w:trPr>
          <w:trHeight w:val="300"/>
        </w:trPr>
        <w:tc>
          <w:tcPr>
            <w:tcW w:w="118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816DD" w:rsidRPr="00C15250" w:rsidRDefault="001816DD" w:rsidP="006D1938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Раздел, подразд</w:t>
            </w:r>
            <w:r w:rsidR="006D1938" w:rsidRPr="00C15250">
              <w:rPr>
                <w:b/>
                <w:bCs/>
                <w:sz w:val="20"/>
                <w:szCs w:val="20"/>
              </w:rPr>
              <w:t>ел, Ц. ст.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816DD" w:rsidRPr="00C15250" w:rsidRDefault="001816DD" w:rsidP="001816DD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816DD" w:rsidRPr="00C15250" w:rsidRDefault="001816DD" w:rsidP="001816DD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816DD" w:rsidRPr="00C15250" w:rsidRDefault="001816DD" w:rsidP="001816DD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1816DD" w:rsidRPr="00C15250" w:rsidRDefault="001816DD" w:rsidP="001816DD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Увеличение, снижение (-)</w:t>
            </w:r>
          </w:p>
        </w:tc>
      </w:tr>
      <w:tr w:rsidR="001816DD" w:rsidRPr="00C15250" w:rsidTr="00B031AF">
        <w:trPr>
          <w:trHeight w:val="300"/>
        </w:trPr>
        <w:tc>
          <w:tcPr>
            <w:tcW w:w="1180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816DD" w:rsidRPr="00C15250" w:rsidRDefault="001816DD" w:rsidP="00181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816DD" w:rsidRPr="00C15250" w:rsidRDefault="001816DD" w:rsidP="00181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816DD" w:rsidRPr="00C15250" w:rsidRDefault="001816DD" w:rsidP="00181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816DD" w:rsidRPr="00C15250" w:rsidRDefault="001816DD" w:rsidP="00181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816DD" w:rsidRPr="00C15250" w:rsidRDefault="001816DD" w:rsidP="001816DD">
            <w:pPr>
              <w:jc w:val="center"/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6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816DD" w:rsidRPr="00C15250" w:rsidRDefault="001816DD" w:rsidP="001816DD">
            <w:pPr>
              <w:rPr>
                <w:b/>
                <w:bCs/>
                <w:sz w:val="20"/>
                <w:szCs w:val="20"/>
              </w:rPr>
            </w:pPr>
            <w:r w:rsidRPr="00C1525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515CC" w:rsidRPr="00C15250" w:rsidTr="00B031AF">
        <w:trPr>
          <w:trHeight w:val="315"/>
        </w:trPr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515CC" w:rsidRPr="00C15250" w:rsidRDefault="005515CC" w:rsidP="001816DD">
            <w:pPr>
              <w:jc w:val="center"/>
              <w:rPr>
                <w:b/>
                <w:bCs/>
                <w:sz w:val="18"/>
                <w:szCs w:val="18"/>
              </w:rPr>
            </w:pPr>
            <w:r w:rsidRPr="00C152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22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5515CC" w:rsidRPr="00C15250" w:rsidRDefault="005515CC" w:rsidP="001816DD">
            <w:pPr>
              <w:rPr>
                <w:b/>
                <w:bCs/>
                <w:sz w:val="18"/>
                <w:szCs w:val="18"/>
              </w:rPr>
            </w:pPr>
            <w:r w:rsidRPr="00C15250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225 959,6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402 428,2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176 468,6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78,1%</w:t>
            </w:r>
          </w:p>
        </w:tc>
      </w:tr>
      <w:tr w:rsidR="005515CC" w:rsidRPr="00C15250" w:rsidTr="00B031AF">
        <w:trPr>
          <w:trHeight w:val="330"/>
        </w:trPr>
        <w:tc>
          <w:tcPr>
            <w:tcW w:w="1180" w:type="dxa"/>
            <w:shd w:val="clear" w:color="auto" w:fill="auto"/>
            <w:hideMark/>
          </w:tcPr>
          <w:p w:rsidR="005515CC" w:rsidRPr="00C15250" w:rsidRDefault="005515CC" w:rsidP="001816D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C15250">
              <w:rPr>
                <w:b/>
                <w:bCs/>
                <w:i/>
                <w:sz w:val="18"/>
                <w:szCs w:val="18"/>
              </w:rPr>
              <w:t>0113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103 851,3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77 383,7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-26 467,6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-25,5%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i/>
                <w:sz w:val="18"/>
                <w:szCs w:val="18"/>
              </w:rPr>
            </w:pPr>
            <w:r w:rsidRPr="00C15250">
              <w:rPr>
                <w:i/>
                <w:sz w:val="18"/>
                <w:szCs w:val="18"/>
              </w:rPr>
              <w:t>6508010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ВЦП "Обеспечение сетевой безопасности…"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70 742,1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45 471,5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-25 270,6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-35,7%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6508087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161,3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352,0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190,7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118,2%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9000001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Обеспечение деятельности органов государственной власти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31 610,2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30 504,0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-1 106,2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-3,5%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9908014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1 331,6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1 005,5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-326,1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-24,5%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9908087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50,7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44,6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8 раз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5515CC" w:rsidP="001816DD">
            <w:pPr>
              <w:jc w:val="center"/>
              <w:rPr>
                <w:b/>
                <w:i/>
                <w:sz w:val="18"/>
                <w:szCs w:val="18"/>
              </w:rPr>
            </w:pPr>
            <w:r w:rsidRPr="00C15250">
              <w:rPr>
                <w:b/>
                <w:i/>
                <w:sz w:val="18"/>
                <w:szCs w:val="18"/>
              </w:rPr>
              <w:t>0309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ЧС…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30 268,9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30 268,9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100%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0120000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ГП  "Защита населения и территории от ЧС, обеспечение пожарной безопасности"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30 268,9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30 268,9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100%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5515CC" w:rsidP="001816DD">
            <w:pPr>
              <w:jc w:val="center"/>
              <w:rPr>
                <w:b/>
                <w:i/>
                <w:sz w:val="18"/>
                <w:szCs w:val="18"/>
              </w:rPr>
            </w:pPr>
            <w:r w:rsidRPr="00C15250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122 108,3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294 775,5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172 667,2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141,4%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5515CC" w:rsidP="001816DD">
            <w:pPr>
              <w:jc w:val="center"/>
              <w:rPr>
                <w:b/>
                <w:i/>
                <w:sz w:val="18"/>
                <w:szCs w:val="18"/>
              </w:rPr>
            </w:pPr>
            <w:r w:rsidRPr="00C15250">
              <w:rPr>
                <w:b/>
                <w:i/>
                <w:sz w:val="18"/>
                <w:szCs w:val="18"/>
              </w:rPr>
              <w:t>0410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96 818,6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211 649,5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114 830,9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118,6%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2600000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Cs/>
                <w:iCs/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ГП Информационное общество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45 255,5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158 752,7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113 497,2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3,5 раза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2700000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Cs/>
                <w:iCs/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ГП РКД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45 646,3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23 195,9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-22 450,4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-49,2%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6600000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Cs/>
                <w:iCs/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ВЦП "Обеспечение сетевой безопасности…"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5 916,8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29 700,9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23 784,1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5 раз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5515CC" w:rsidP="001816DD">
            <w:pPr>
              <w:jc w:val="center"/>
              <w:rPr>
                <w:b/>
                <w:i/>
                <w:sz w:val="18"/>
                <w:szCs w:val="18"/>
              </w:rPr>
            </w:pPr>
            <w:r w:rsidRPr="00C15250">
              <w:rPr>
                <w:b/>
                <w:i/>
                <w:sz w:val="18"/>
                <w:szCs w:val="18"/>
              </w:rPr>
              <w:t>0412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25 289,7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83 126,0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57 836,3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228,7%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2400000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Cs/>
                <w:iCs/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ГП Повышение безопасности ДД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19 403,9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61 080,4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41 676,5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3 раза</w:t>
            </w:r>
          </w:p>
        </w:tc>
      </w:tr>
      <w:tr w:rsidR="005515CC" w:rsidRPr="00C15250" w:rsidTr="00B031AF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5515CC" w:rsidRPr="00C15250" w:rsidRDefault="00610C47" w:rsidP="001816DD">
            <w:pPr>
              <w:jc w:val="center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3400000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5515CC" w:rsidRPr="00C15250" w:rsidRDefault="005515CC" w:rsidP="006D1938">
            <w:pPr>
              <w:rPr>
                <w:bCs/>
                <w:iCs/>
                <w:sz w:val="18"/>
                <w:szCs w:val="18"/>
              </w:rPr>
            </w:pPr>
            <w:r w:rsidRPr="00C15250">
              <w:rPr>
                <w:bCs/>
                <w:iCs/>
                <w:sz w:val="18"/>
                <w:szCs w:val="18"/>
              </w:rPr>
              <w:t>ГП Профилактика правонарушений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5 885,8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22 045,6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16 159,8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5515CC" w:rsidRPr="00C15250" w:rsidRDefault="005515CC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4 раза</w:t>
            </w:r>
          </w:p>
        </w:tc>
      </w:tr>
    </w:tbl>
    <w:p w:rsidR="005515CC" w:rsidRPr="00C15250" w:rsidRDefault="005515CC" w:rsidP="001816DD">
      <w:pPr>
        <w:ind w:firstLine="708"/>
        <w:jc w:val="both"/>
      </w:pPr>
    </w:p>
    <w:p w:rsidR="005515CC" w:rsidRDefault="005515CC" w:rsidP="001816DD">
      <w:pPr>
        <w:ind w:firstLine="708"/>
        <w:jc w:val="both"/>
      </w:pPr>
      <w:r w:rsidRPr="000F1E35">
        <w:t xml:space="preserve">Анализ </w:t>
      </w:r>
      <w:r w:rsidR="00610C47" w:rsidRPr="000F1E35">
        <w:t xml:space="preserve">причин </w:t>
      </w:r>
      <w:r w:rsidRPr="000F1E35">
        <w:t>значительного увеличения расходов Комитета</w:t>
      </w:r>
      <w:r w:rsidR="00610C47" w:rsidRPr="000F1E35">
        <w:t xml:space="preserve"> в 2015 году по сравнению с 2014 в целом (на 78,1%) </w:t>
      </w:r>
      <w:r w:rsidR="0011506C" w:rsidRPr="000F1E35">
        <w:t>показал, что основными факторами увеличения стали:</w:t>
      </w:r>
    </w:p>
    <w:p w:rsidR="0011506C" w:rsidRPr="001A2F9C" w:rsidRDefault="0011506C" w:rsidP="001816DD">
      <w:pPr>
        <w:ind w:firstLine="708"/>
        <w:jc w:val="both"/>
      </w:pPr>
      <w:r w:rsidRPr="001A2F9C">
        <w:t xml:space="preserve">- необходимость </w:t>
      </w:r>
      <w:r w:rsidR="000F1E35" w:rsidRPr="001A2F9C">
        <w:t xml:space="preserve">в 2015 году </w:t>
      </w:r>
      <w:r w:rsidRPr="001A2F9C">
        <w:t xml:space="preserve">погашения кредиторской задолженности предыдущих лет (на начало года </w:t>
      </w:r>
      <w:r w:rsidR="000F1E35" w:rsidRPr="001A2F9C">
        <w:t>составляла 136 147,9 тыс. руб., на конец года – 25 366,3 тыс. руб.);</w:t>
      </w:r>
    </w:p>
    <w:p w:rsidR="0011506C" w:rsidRPr="001A2F9C" w:rsidRDefault="0011506C" w:rsidP="001816DD">
      <w:pPr>
        <w:ind w:firstLine="708"/>
        <w:jc w:val="both"/>
      </w:pPr>
      <w:r w:rsidRPr="001A2F9C">
        <w:lastRenderedPageBreak/>
        <w:t xml:space="preserve">- </w:t>
      </w:r>
      <w:r w:rsidR="000F1E35" w:rsidRPr="001A2F9C">
        <w:t xml:space="preserve">значительный рост финансирования мероприятий ГП «Информационное общество» - в 2014 году по программе за счет средств областного бюджета предусмотрено </w:t>
      </w:r>
      <w:r w:rsidR="001A2F9C" w:rsidRPr="001A2F9C">
        <w:t>86 741,0</w:t>
      </w:r>
      <w:r w:rsidR="000F1E35" w:rsidRPr="001A2F9C">
        <w:t xml:space="preserve"> тыс. руб., в 2015 – </w:t>
      </w:r>
      <w:r w:rsidR="001A2F9C" w:rsidRPr="001A2F9C">
        <w:t>160 117,1</w:t>
      </w:r>
      <w:r w:rsidR="000F1E35" w:rsidRPr="001A2F9C">
        <w:t xml:space="preserve"> тыс. руб.;</w:t>
      </w:r>
    </w:p>
    <w:p w:rsidR="0011506C" w:rsidRPr="00C15250" w:rsidRDefault="0011506C" w:rsidP="001816DD">
      <w:pPr>
        <w:ind w:firstLine="708"/>
        <w:jc w:val="both"/>
      </w:pPr>
      <w:r w:rsidRPr="001A2F9C">
        <w:t xml:space="preserve">- </w:t>
      </w:r>
      <w:r w:rsidR="000F1E35" w:rsidRPr="001A2F9C">
        <w:t>включения Комитета в 2015 году в реализацию мероприятий ГП «Защита населения» с объемом ассигнований в 30 268,9 тыс. рублей.</w:t>
      </w:r>
    </w:p>
    <w:p w:rsidR="001816DD" w:rsidRPr="00C15250" w:rsidRDefault="00610C47" w:rsidP="001816DD">
      <w:pPr>
        <w:ind w:firstLine="708"/>
        <w:jc w:val="both"/>
      </w:pPr>
      <w:r w:rsidRPr="00C15250">
        <w:t>Следует отметить, что расходы на содержание непосредственно аппарата Комитета снизились на 1 106,2 тыс. руб., или на 3,5 процента.</w:t>
      </w:r>
    </w:p>
    <w:p w:rsidR="00D014B0" w:rsidRPr="0026310D" w:rsidRDefault="00D014B0" w:rsidP="007F300C">
      <w:pPr>
        <w:autoSpaceDE w:val="0"/>
        <w:autoSpaceDN w:val="0"/>
        <w:adjustRightInd w:val="0"/>
        <w:ind w:firstLine="709"/>
        <w:jc w:val="both"/>
      </w:pPr>
    </w:p>
    <w:p w:rsidR="004D7E9A" w:rsidRPr="00C15250" w:rsidRDefault="004D7E9A" w:rsidP="004D7E9A">
      <w:pPr>
        <w:autoSpaceDE w:val="0"/>
        <w:autoSpaceDN w:val="0"/>
        <w:adjustRightInd w:val="0"/>
        <w:jc w:val="center"/>
        <w:rPr>
          <w:b/>
          <w:i/>
        </w:rPr>
      </w:pPr>
      <w:r w:rsidRPr="0026310D">
        <w:rPr>
          <w:b/>
          <w:i/>
        </w:rPr>
        <w:t>Состояние дебиторской и кредиторской</w:t>
      </w:r>
      <w:r w:rsidRPr="00C15250">
        <w:rPr>
          <w:b/>
          <w:i/>
        </w:rPr>
        <w:t xml:space="preserve"> задолженности</w:t>
      </w:r>
    </w:p>
    <w:p w:rsidR="004D7E9A" w:rsidRPr="00C15250" w:rsidRDefault="004D7E9A" w:rsidP="007F300C">
      <w:pPr>
        <w:autoSpaceDE w:val="0"/>
        <w:autoSpaceDN w:val="0"/>
        <w:adjustRightInd w:val="0"/>
        <w:ind w:firstLine="709"/>
        <w:jc w:val="both"/>
      </w:pPr>
      <w:r w:rsidRPr="00C15250">
        <w:t>Информация о динамике дебиторской и кредиторской задолженности в 2015 году приведена в следующей таблице</w:t>
      </w:r>
    </w:p>
    <w:p w:rsidR="004D7E9A" w:rsidRPr="00C15250" w:rsidRDefault="004D7E9A" w:rsidP="004D7E9A">
      <w:pPr>
        <w:autoSpaceDE w:val="0"/>
        <w:autoSpaceDN w:val="0"/>
        <w:adjustRightInd w:val="0"/>
        <w:ind w:firstLine="709"/>
        <w:jc w:val="center"/>
        <w:rPr>
          <w:i/>
          <w:sz w:val="22"/>
          <w:szCs w:val="22"/>
        </w:rPr>
      </w:pPr>
      <w:r w:rsidRPr="00C15250">
        <w:rPr>
          <w:i/>
          <w:sz w:val="22"/>
          <w:szCs w:val="22"/>
        </w:rPr>
        <w:t xml:space="preserve">                                                                                                           тыс. руб.</w:t>
      </w:r>
    </w:p>
    <w:tbl>
      <w:tblPr>
        <w:tblW w:w="9084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08"/>
        <w:gridCol w:w="959"/>
        <w:gridCol w:w="959"/>
        <w:gridCol w:w="1058"/>
      </w:tblGrid>
      <w:tr w:rsidR="004D7E9A" w:rsidRPr="00C15250" w:rsidTr="004D7E9A">
        <w:trPr>
          <w:trHeight w:val="750"/>
        </w:trPr>
        <w:tc>
          <w:tcPr>
            <w:tcW w:w="6108" w:type="dxa"/>
            <w:vMerge w:val="restart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center"/>
              <w:rPr>
                <w:b/>
                <w:bCs/>
                <w:sz w:val="18"/>
                <w:szCs w:val="18"/>
              </w:rPr>
            </w:pPr>
            <w:r w:rsidRPr="00C1525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18" w:type="dxa"/>
            <w:gridSpan w:val="2"/>
            <w:shd w:val="clear" w:color="auto" w:fill="auto"/>
            <w:hideMark/>
          </w:tcPr>
          <w:p w:rsidR="004D7E9A" w:rsidRPr="00C15250" w:rsidRDefault="004D7E9A" w:rsidP="004D7E9A">
            <w:pPr>
              <w:jc w:val="center"/>
              <w:rPr>
                <w:b/>
                <w:bCs/>
                <w:sz w:val="18"/>
                <w:szCs w:val="18"/>
              </w:rPr>
            </w:pPr>
            <w:r w:rsidRPr="00C15250">
              <w:rPr>
                <w:b/>
                <w:bCs/>
                <w:sz w:val="18"/>
                <w:szCs w:val="18"/>
              </w:rPr>
              <w:t>Данные о задолженности</w:t>
            </w:r>
          </w:p>
        </w:tc>
        <w:tc>
          <w:tcPr>
            <w:tcW w:w="1058" w:type="dxa"/>
            <w:vMerge w:val="restart"/>
            <w:shd w:val="clear" w:color="auto" w:fill="auto"/>
            <w:noWrap/>
            <w:hideMark/>
          </w:tcPr>
          <w:p w:rsidR="004D7E9A" w:rsidRPr="00C15250" w:rsidRDefault="004D7E9A" w:rsidP="004D7E9A">
            <w:pPr>
              <w:jc w:val="center"/>
              <w:rPr>
                <w:b/>
                <w:bCs/>
                <w:sz w:val="18"/>
                <w:szCs w:val="18"/>
              </w:rPr>
            </w:pPr>
            <w:r w:rsidRPr="00C15250">
              <w:rPr>
                <w:b/>
                <w:bCs/>
                <w:sz w:val="18"/>
                <w:szCs w:val="18"/>
              </w:rPr>
              <w:t>Динамика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50">
              <w:rPr>
                <w:b/>
                <w:bCs/>
                <w:sz w:val="16"/>
                <w:szCs w:val="16"/>
              </w:rPr>
              <w:t>на 01.01.2015</w:t>
            </w:r>
          </w:p>
        </w:tc>
        <w:tc>
          <w:tcPr>
            <w:tcW w:w="959" w:type="dxa"/>
            <w:vMerge w:val="restart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50">
              <w:rPr>
                <w:b/>
                <w:bCs/>
                <w:sz w:val="16"/>
                <w:szCs w:val="16"/>
              </w:rPr>
              <w:t>на 01.01.2016</w:t>
            </w:r>
          </w:p>
        </w:tc>
        <w:tc>
          <w:tcPr>
            <w:tcW w:w="1058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4D7E9A" w:rsidRPr="00C15250" w:rsidRDefault="004D7E9A" w:rsidP="004D7E9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E9A" w:rsidRPr="00C15250" w:rsidTr="00D73416">
        <w:trPr>
          <w:trHeight w:val="270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>Дебит. задолженность ИТОГО:</w:t>
            </w:r>
            <w:r w:rsidRPr="00C15250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C15250">
              <w:rPr>
                <w:sz w:val="18"/>
                <w:szCs w:val="18"/>
              </w:rPr>
              <w:t>в том числе: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94,0</w:t>
            </w: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766,2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8 раз</w:t>
            </w:r>
          </w:p>
        </w:tc>
      </w:tr>
      <w:tr w:rsidR="004D7E9A" w:rsidRPr="00C15250" w:rsidTr="00D73416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по доходам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52,7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696,6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13 раз</w:t>
            </w:r>
          </w:p>
        </w:tc>
      </w:tr>
      <w:tr w:rsidR="004D7E9A" w:rsidRPr="00C15250" w:rsidTr="00D73416">
        <w:trPr>
          <w:trHeight w:val="210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i/>
                <w:iCs/>
                <w:sz w:val="20"/>
                <w:szCs w:val="20"/>
              </w:rPr>
            </w:pPr>
            <w:r w:rsidRPr="00C15250">
              <w:rPr>
                <w:i/>
                <w:iCs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i/>
                <w:iCs/>
                <w:sz w:val="18"/>
                <w:szCs w:val="18"/>
              </w:rPr>
            </w:pPr>
            <w:r w:rsidRPr="00C15250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i/>
                <w:iCs/>
                <w:sz w:val="18"/>
                <w:szCs w:val="18"/>
              </w:rPr>
            </w:pPr>
            <w:r w:rsidRPr="00C1525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-100,0%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i/>
                <w:iCs/>
                <w:sz w:val="20"/>
                <w:szCs w:val="20"/>
              </w:rPr>
            </w:pPr>
            <w:r w:rsidRPr="00C15250">
              <w:rPr>
                <w:i/>
                <w:iCs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i/>
                <w:iCs/>
                <w:sz w:val="18"/>
                <w:szCs w:val="18"/>
              </w:rPr>
            </w:pPr>
            <w:r w:rsidRPr="00C15250">
              <w:rPr>
                <w:i/>
                <w:iCs/>
                <w:sz w:val="18"/>
                <w:szCs w:val="18"/>
              </w:rPr>
              <w:t>36,6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i/>
                <w:iCs/>
                <w:sz w:val="18"/>
                <w:szCs w:val="18"/>
              </w:rPr>
            </w:pPr>
            <w:r w:rsidRPr="00C15250">
              <w:rPr>
                <w:i/>
                <w:iCs/>
                <w:sz w:val="18"/>
                <w:szCs w:val="18"/>
              </w:rPr>
              <w:t>69,6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90,2%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3,8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-100,0%</w:t>
            </w:r>
          </w:p>
        </w:tc>
      </w:tr>
      <w:tr w:rsidR="004D7E9A" w:rsidRPr="00C15250" w:rsidTr="004D7E9A">
        <w:trPr>
          <w:trHeight w:val="270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5250">
              <w:rPr>
                <w:b/>
                <w:bCs/>
                <w:i/>
                <w:iCs/>
                <w:sz w:val="20"/>
                <w:szCs w:val="20"/>
              </w:rPr>
              <w:t xml:space="preserve">Кредит. задолженность ИТОГО: </w:t>
            </w:r>
            <w:r w:rsidRPr="00C15250">
              <w:rPr>
                <w:sz w:val="20"/>
                <w:szCs w:val="20"/>
              </w:rPr>
              <w:t>в</w:t>
            </w:r>
            <w:r w:rsidRPr="00C15250">
              <w:rPr>
                <w:b/>
                <w:bCs/>
                <w:sz w:val="20"/>
                <w:szCs w:val="20"/>
              </w:rPr>
              <w:t xml:space="preserve"> </w:t>
            </w:r>
            <w:r w:rsidRPr="00C15250">
              <w:rPr>
                <w:sz w:val="18"/>
                <w:szCs w:val="18"/>
              </w:rPr>
              <w:t>том числе: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136 147,9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15250">
              <w:rPr>
                <w:b/>
                <w:bCs/>
                <w:i/>
                <w:iCs/>
                <w:sz w:val="18"/>
                <w:szCs w:val="18"/>
              </w:rPr>
              <w:t>25 366,4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-81,4%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135 303,6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25 300,9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-81,3%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410,0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37,2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-90,9%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0,4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17,5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в 44 раза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40,6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4,1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-89,9%</w:t>
            </w:r>
          </w:p>
        </w:tc>
      </w:tr>
      <w:tr w:rsidR="004D7E9A" w:rsidRPr="00C15250" w:rsidTr="004D7E9A">
        <w:trPr>
          <w:trHeight w:val="255"/>
        </w:trPr>
        <w:tc>
          <w:tcPr>
            <w:tcW w:w="6108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расчеты по доходам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393,3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6,7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4D7E9A" w:rsidRPr="00C15250" w:rsidRDefault="004D7E9A" w:rsidP="004D7E9A">
            <w:pPr>
              <w:jc w:val="right"/>
              <w:rPr>
                <w:sz w:val="18"/>
                <w:szCs w:val="18"/>
              </w:rPr>
            </w:pPr>
            <w:r w:rsidRPr="00C15250">
              <w:rPr>
                <w:sz w:val="18"/>
                <w:szCs w:val="18"/>
              </w:rPr>
              <w:t>-98,3%</w:t>
            </w:r>
          </w:p>
        </w:tc>
      </w:tr>
    </w:tbl>
    <w:p w:rsidR="004D7E9A" w:rsidRPr="00C15250" w:rsidRDefault="004D7E9A" w:rsidP="004D7E9A">
      <w:pPr>
        <w:autoSpaceDE w:val="0"/>
        <w:autoSpaceDN w:val="0"/>
        <w:adjustRightInd w:val="0"/>
        <w:jc w:val="both"/>
      </w:pPr>
    </w:p>
    <w:p w:rsidR="004D7E9A" w:rsidRPr="00C15250" w:rsidRDefault="007536E3" w:rsidP="007F300C">
      <w:pPr>
        <w:autoSpaceDE w:val="0"/>
        <w:autoSpaceDN w:val="0"/>
        <w:adjustRightInd w:val="0"/>
        <w:ind w:firstLine="709"/>
        <w:jc w:val="both"/>
      </w:pPr>
      <w:r w:rsidRPr="00C15250">
        <w:t>Как видно из представленных данных</w:t>
      </w:r>
      <w:r w:rsidR="002F5EA6">
        <w:t>,</w:t>
      </w:r>
      <w:r w:rsidRPr="00C15250">
        <w:t xml:space="preserve"> по дебиторской задолженности в части расчетов по доходам в 2015 году рост произошел в 13 раз. Основной причиной этого является выставленное требование об уплате неустойки за несвоевременное исполнение договорных обязательств ООО «БФТ-Проект» по развитию и сопровождению ГИС КИАР на сумму 625,6 тыс. руб., которое по состоянию на 01.01.2016 не удовлетворено</w:t>
      </w:r>
      <w:r w:rsidR="00D73416" w:rsidRPr="00C15250">
        <w:t xml:space="preserve"> и числится в составе дебиторской задолженности. При этом следует отметить, что действенных мер Комитетом по взысканию неустойки не принято в течение более года – дебиторская задолженность числится на момент проверки, </w:t>
      </w:r>
      <w:r w:rsidR="008E0382" w:rsidRPr="00C15250">
        <w:t>то есть более года с момента выставления требования -</w:t>
      </w:r>
      <w:r w:rsidR="00D73416" w:rsidRPr="00C15250">
        <w:t xml:space="preserve"> 10.03.2015 года. Согласно пояснениям Комитета до настоящего момента работа по взысканию неустойки велась путем телефонных переговоров, в настоящий момент готовятся документы для передачи в суд.</w:t>
      </w:r>
    </w:p>
    <w:p w:rsidR="00416DFA" w:rsidRPr="00C15250" w:rsidRDefault="00416DFA" w:rsidP="007F300C">
      <w:pPr>
        <w:autoSpaceDE w:val="0"/>
        <w:autoSpaceDN w:val="0"/>
        <w:adjustRightInd w:val="0"/>
        <w:ind w:firstLine="709"/>
        <w:jc w:val="both"/>
      </w:pPr>
      <w:r w:rsidRPr="00C15250">
        <w:t>Согласно бюджетной отчетности просроченная задолженность отсутствует.</w:t>
      </w:r>
    </w:p>
    <w:p w:rsidR="00D73416" w:rsidRPr="00C15250" w:rsidRDefault="00D73416" w:rsidP="007F300C">
      <w:pPr>
        <w:autoSpaceDE w:val="0"/>
        <w:autoSpaceDN w:val="0"/>
        <w:adjustRightInd w:val="0"/>
        <w:ind w:firstLine="709"/>
        <w:jc w:val="both"/>
      </w:pPr>
      <w:r w:rsidRPr="00C15250">
        <w:t xml:space="preserve">Кредиторская задолженность на 01.01.2016 по сравнению с началом 2015 года снизилась более чем в 5 раз. </w:t>
      </w:r>
      <w:r w:rsidR="00416DFA" w:rsidRPr="00C15250">
        <w:t>По состоянию на 01.01.2016 задолженность составила 25</w:t>
      </w:r>
      <w:r w:rsidR="00501001">
        <w:t> 366,4</w:t>
      </w:r>
      <w:r w:rsidR="00416DFA" w:rsidRPr="00C15250">
        <w:t xml:space="preserve"> тыс. руб., в том числе 10 531,0 тыс. руб. </w:t>
      </w:r>
      <w:r w:rsidR="002F5EA6">
        <w:t xml:space="preserve">- </w:t>
      </w:r>
      <w:r w:rsidR="00416DFA" w:rsidRPr="00C15250">
        <w:t>задолженность перед ГБУ «ЦИТ» по непредоставленным по состоянию на 01.01.2015 субсидиям. При этом по сравнению с началом года задолженность перед ГБУ «ЦИТ» сократилась практически в 5 раз – на 01.01.2015 она составляла 48 696,5 тыс. рублей.</w:t>
      </w:r>
    </w:p>
    <w:p w:rsidR="004D7E9A" w:rsidRPr="0073296B" w:rsidRDefault="004D7E9A" w:rsidP="007F300C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C15250" w:rsidRPr="00541A4F" w:rsidRDefault="00C15250" w:rsidP="00C15250">
      <w:pPr>
        <w:autoSpaceDE w:val="0"/>
        <w:autoSpaceDN w:val="0"/>
        <w:adjustRightInd w:val="0"/>
        <w:jc w:val="center"/>
        <w:rPr>
          <w:b/>
          <w:i/>
        </w:rPr>
      </w:pPr>
      <w:r w:rsidRPr="00541A4F">
        <w:rPr>
          <w:b/>
          <w:i/>
        </w:rPr>
        <w:t xml:space="preserve">Анализ достижения поставленных целей </w:t>
      </w:r>
    </w:p>
    <w:p w:rsidR="00C15250" w:rsidRPr="00541A4F" w:rsidRDefault="00C15250" w:rsidP="00C15250">
      <w:pPr>
        <w:autoSpaceDE w:val="0"/>
        <w:autoSpaceDN w:val="0"/>
        <w:adjustRightInd w:val="0"/>
        <w:jc w:val="center"/>
        <w:rPr>
          <w:b/>
          <w:i/>
        </w:rPr>
      </w:pPr>
      <w:r w:rsidRPr="00541A4F">
        <w:rPr>
          <w:b/>
          <w:i/>
        </w:rPr>
        <w:t>и ожидаемых результатов при реализации государственных программ</w:t>
      </w:r>
    </w:p>
    <w:p w:rsidR="00C15250" w:rsidRPr="00541A4F" w:rsidRDefault="00C15250" w:rsidP="00C15250">
      <w:pPr>
        <w:ind w:firstLine="709"/>
        <w:jc w:val="both"/>
      </w:pPr>
      <w:r w:rsidRPr="00541A4F">
        <w:t xml:space="preserve">Комитет определен ответственным исполнителем двух и соисполнителем </w:t>
      </w:r>
      <w:r w:rsidR="00501001">
        <w:t>трех</w:t>
      </w:r>
      <w:r w:rsidRPr="00541A4F">
        <w:t xml:space="preserve"> государственных программ Волгоградской области</w:t>
      </w:r>
      <w:r w:rsidR="00501001">
        <w:t xml:space="preserve"> с финансируемыми мероприятиями</w:t>
      </w:r>
      <w:r w:rsidRPr="00541A4F">
        <w:t>.</w:t>
      </w:r>
      <w:r w:rsidR="00501001">
        <w:t xml:space="preserve"> Кроме того, по двум программам Комитет является соисполнителем в организационной форме без финансирования.</w:t>
      </w:r>
    </w:p>
    <w:p w:rsidR="00C15250" w:rsidRPr="00541A4F" w:rsidRDefault="00C15250" w:rsidP="00C15250">
      <w:pPr>
        <w:autoSpaceDE w:val="0"/>
        <w:autoSpaceDN w:val="0"/>
        <w:adjustRightInd w:val="0"/>
        <w:ind w:firstLine="709"/>
        <w:jc w:val="both"/>
      </w:pPr>
      <w:r w:rsidRPr="00541A4F">
        <w:lastRenderedPageBreak/>
        <w:t>Планируемые ассигнования и исполнение расходов на реализацию мероприятий государственных программ Волгоградской области в разрезе источников их финансирования приведены в следующей таблице.</w:t>
      </w:r>
    </w:p>
    <w:p w:rsidR="00C15250" w:rsidRPr="00541A4F" w:rsidRDefault="00C15250" w:rsidP="00C15250">
      <w:pPr>
        <w:ind w:right="278"/>
        <w:jc w:val="center"/>
        <w:rPr>
          <w:i/>
          <w:sz w:val="20"/>
          <w:szCs w:val="20"/>
        </w:rPr>
      </w:pPr>
      <w:r w:rsidRPr="00541A4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483"/>
        <w:gridCol w:w="1534"/>
        <w:gridCol w:w="1534"/>
        <w:gridCol w:w="1379"/>
        <w:gridCol w:w="1292"/>
        <w:gridCol w:w="1417"/>
      </w:tblGrid>
      <w:tr w:rsidR="00C15250" w:rsidRPr="00541A4F" w:rsidTr="00FB6854">
        <w:trPr>
          <w:trHeight w:val="60"/>
        </w:trPr>
        <w:tc>
          <w:tcPr>
            <w:tcW w:w="2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Утверждено программой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Утверждено Законом об областном бюджете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Утверждено бюджетной росписью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 xml:space="preserve">Не исполнено </w:t>
            </w:r>
          </w:p>
          <w:p w:rsidR="00C15250" w:rsidRPr="00541A4F" w:rsidRDefault="00C15250" w:rsidP="00FB6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41A4F">
              <w:rPr>
                <w:b/>
                <w:sz w:val="20"/>
                <w:szCs w:val="20"/>
              </w:rPr>
              <w:t>от бюджетной росписи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 xml:space="preserve">ГП </w:t>
            </w:r>
            <w:r>
              <w:rPr>
                <w:b/>
                <w:i/>
                <w:sz w:val="20"/>
                <w:szCs w:val="20"/>
              </w:rPr>
              <w:t>«</w:t>
            </w:r>
            <w:r w:rsidRPr="00541A4F">
              <w:rPr>
                <w:b/>
                <w:i/>
                <w:sz w:val="20"/>
                <w:szCs w:val="20"/>
              </w:rPr>
              <w:t>Информационное общество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180 117,1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172 339,8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168 741,5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158 752,7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9 988,8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160 117,1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152 339,8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148 741,5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140 314,3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8 427,2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20 000,0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20 000,0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20 000,0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18 438,4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1 561,6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 xml:space="preserve">ГП </w:t>
            </w:r>
            <w:r>
              <w:rPr>
                <w:b/>
                <w:i/>
                <w:sz w:val="20"/>
                <w:szCs w:val="20"/>
              </w:rPr>
              <w:t>«</w:t>
            </w:r>
            <w:r w:rsidRPr="00541A4F">
              <w:rPr>
                <w:b/>
                <w:i/>
                <w:sz w:val="20"/>
                <w:szCs w:val="20"/>
              </w:rPr>
              <w:t>РКД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30 937,6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30 937,6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24 858,0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23 195,9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1 662,1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23 232,6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23 232,6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17 153,0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15 567,9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1 585,1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7 705,0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7 705,0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7 705,0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7 628,0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77,0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 xml:space="preserve">ГП </w:t>
            </w:r>
            <w:r>
              <w:rPr>
                <w:b/>
                <w:i/>
                <w:sz w:val="20"/>
                <w:szCs w:val="20"/>
              </w:rPr>
              <w:t>«</w:t>
            </w:r>
            <w:r w:rsidRPr="00541A4F">
              <w:rPr>
                <w:b/>
                <w:i/>
                <w:sz w:val="20"/>
                <w:szCs w:val="20"/>
              </w:rPr>
              <w:t>Повышение безопасности ДД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58 120,2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54 520,2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61 822,7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61 080,4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742,3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54 520,2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54 520,2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61 822,7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61 080,4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742,3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3 600,0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0,0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ГП «</w:t>
            </w:r>
            <w:r w:rsidRPr="00541A4F">
              <w:rPr>
                <w:b/>
                <w:i/>
                <w:sz w:val="20"/>
                <w:szCs w:val="20"/>
              </w:rPr>
              <w:t>Профилактика правонарушений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28 729,2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28 729,2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27 875,0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22 045,6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5 829,4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ГП «</w:t>
            </w:r>
            <w:r w:rsidRPr="00541A4F">
              <w:rPr>
                <w:b/>
                <w:i/>
                <w:sz w:val="20"/>
                <w:szCs w:val="20"/>
              </w:rPr>
              <w:t>Защита населения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32 590,3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10 500,0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32 590,3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30 268,9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2 321,4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10 500,0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10 500,0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10 500,0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8 252,3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2 247,7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22 090,3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22 090,3</w:t>
            </w:r>
          </w:p>
        </w:tc>
        <w:tc>
          <w:tcPr>
            <w:tcW w:w="12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22 016,6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41A4F">
              <w:rPr>
                <w:sz w:val="20"/>
                <w:szCs w:val="20"/>
              </w:rPr>
              <w:t>73,7</w:t>
            </w:r>
          </w:p>
        </w:tc>
      </w:tr>
      <w:tr w:rsidR="00C15250" w:rsidRPr="00541A4F" w:rsidTr="00FB6854">
        <w:trPr>
          <w:trHeight w:val="60"/>
        </w:trPr>
        <w:tc>
          <w:tcPr>
            <w:tcW w:w="2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Итого по ГП: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330 494,4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297 026,8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315 887,5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295 343,5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250" w:rsidRPr="00541A4F" w:rsidRDefault="00C15250" w:rsidP="00FB685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20"/>
              </w:rPr>
            </w:pPr>
            <w:r w:rsidRPr="00541A4F">
              <w:rPr>
                <w:b/>
                <w:i/>
                <w:sz w:val="20"/>
                <w:szCs w:val="20"/>
              </w:rPr>
              <w:t>20 544,0</w:t>
            </w:r>
          </w:p>
        </w:tc>
      </w:tr>
    </w:tbl>
    <w:p w:rsidR="00C15250" w:rsidRPr="00541A4F" w:rsidRDefault="00C15250" w:rsidP="00C15250">
      <w:pPr>
        <w:jc w:val="both"/>
      </w:pPr>
    </w:p>
    <w:p w:rsidR="002F5EA6" w:rsidRDefault="002F5EA6" w:rsidP="002F5EA6">
      <w:pPr>
        <w:autoSpaceDE w:val="0"/>
        <w:autoSpaceDN w:val="0"/>
        <w:adjustRightInd w:val="0"/>
        <w:ind w:firstLine="709"/>
        <w:jc w:val="both"/>
      </w:pPr>
      <w:r>
        <w:t>Следует отметить, что объем финансирования государственных программ (330 494,4 тыс. руб.) включает финансирование за счет средств федерального и областного бюджет</w:t>
      </w:r>
      <w:r w:rsidR="00183C28">
        <w:t>ов</w:t>
      </w:r>
      <w:r>
        <w:t xml:space="preserve"> в сумме 326 894,4 тыс. руб. и утвержденное в программе поступление приобретенного за счет федерального бюджет</w:t>
      </w:r>
      <w:r w:rsidR="00501001">
        <w:t>ов</w:t>
      </w:r>
      <w:r>
        <w:t xml:space="preserve"> оборудования в рамках </w:t>
      </w:r>
      <w:r w:rsidRPr="00541A4F">
        <w:t>ГП «Повышение безопасности ДД»</w:t>
      </w:r>
      <w:r w:rsidR="00963175">
        <w:t xml:space="preserve"> на 3 600,0 тыс. рублей</w:t>
      </w:r>
      <w:r w:rsidRPr="00541A4F">
        <w:t>.</w:t>
      </w:r>
      <w:r>
        <w:t xml:space="preserve"> Из предусмотренных программами расходов в 326 894,4 тыс. руб. </w:t>
      </w:r>
      <w:r w:rsidR="00C15250" w:rsidRPr="00541A4F">
        <w:t>неисполненные расходы составили 31 5</w:t>
      </w:r>
      <w:r w:rsidR="00C15250">
        <w:t>5</w:t>
      </w:r>
      <w:r w:rsidR="00C15250" w:rsidRPr="00541A4F">
        <w:t>0,9 тыс. руб</w:t>
      </w:r>
      <w:r>
        <w:t>лей</w:t>
      </w:r>
      <w:r w:rsidR="00C15250" w:rsidRPr="00541A4F">
        <w:t>.</w:t>
      </w:r>
    </w:p>
    <w:p w:rsidR="00C15250" w:rsidRPr="00541A4F" w:rsidRDefault="00C15250" w:rsidP="00C15250">
      <w:pPr>
        <w:autoSpaceDE w:val="0"/>
        <w:autoSpaceDN w:val="0"/>
        <w:adjustRightInd w:val="0"/>
        <w:ind w:firstLine="709"/>
        <w:jc w:val="both"/>
      </w:pPr>
      <w:r w:rsidRPr="00541A4F">
        <w:t xml:space="preserve">Неисполненные бюджетные назначения </w:t>
      </w:r>
      <w:r w:rsidR="00501001">
        <w:t>от</w:t>
      </w:r>
      <w:r w:rsidR="002F5EA6">
        <w:t xml:space="preserve"> утвержденны</w:t>
      </w:r>
      <w:r w:rsidR="00501001">
        <w:t>х</w:t>
      </w:r>
      <w:r w:rsidR="002F5EA6">
        <w:t xml:space="preserve"> бюджетной росписью ассигновани</w:t>
      </w:r>
      <w:r w:rsidR="00501001">
        <w:t>й</w:t>
      </w:r>
      <w:r w:rsidR="002F5EA6">
        <w:t xml:space="preserve"> (315 887,5 тыс. руб.) </w:t>
      </w:r>
      <w:r w:rsidRPr="00541A4F">
        <w:t>составили 20 544,0 тыс. руб., и</w:t>
      </w:r>
      <w:r w:rsidR="00501001">
        <w:t>,</w:t>
      </w:r>
      <w:r w:rsidRPr="00541A4F">
        <w:t xml:space="preserve"> как указывалось ранее</w:t>
      </w:r>
      <w:r w:rsidR="00501001">
        <w:t>,</w:t>
      </w:r>
      <w:r w:rsidRPr="00541A4F">
        <w:t xml:space="preserve"> основными причинами неисполнения явилось нарушение подрядными организациями сроков исполнения и иных условий контрактов, экономия по результатам конкурсных процедур и отказ от отдельных запланированных мероприятий.</w:t>
      </w:r>
    </w:p>
    <w:p w:rsidR="00C15250" w:rsidRPr="00541A4F" w:rsidRDefault="00C15250" w:rsidP="00C15250">
      <w:pPr>
        <w:autoSpaceDE w:val="0"/>
        <w:autoSpaceDN w:val="0"/>
        <w:adjustRightInd w:val="0"/>
        <w:ind w:firstLine="709"/>
        <w:jc w:val="both"/>
      </w:pPr>
      <w:r w:rsidRPr="00541A4F">
        <w:t>Изучение</w:t>
      </w:r>
      <w:r w:rsidR="00963175">
        <w:t>м</w:t>
      </w:r>
      <w:r w:rsidRPr="00541A4F">
        <w:t xml:space="preserve"> причин отдельных отклонений плановых назначений по государ</w:t>
      </w:r>
      <w:r w:rsidR="00963175">
        <w:t>ственным программам</w:t>
      </w:r>
      <w:r w:rsidRPr="00541A4F">
        <w:t xml:space="preserve"> </w:t>
      </w:r>
      <w:r w:rsidR="00501001">
        <w:t xml:space="preserve">от </w:t>
      </w:r>
      <w:r w:rsidRPr="00541A4F">
        <w:t>Закон</w:t>
      </w:r>
      <w:r w:rsidR="00501001">
        <w:t>а</w:t>
      </w:r>
      <w:r w:rsidRPr="00541A4F">
        <w:t xml:space="preserve"> об областном бюджете и бюджетны</w:t>
      </w:r>
      <w:r w:rsidR="00501001">
        <w:t>х</w:t>
      </w:r>
      <w:r w:rsidRPr="00541A4F">
        <w:t xml:space="preserve"> назначени</w:t>
      </w:r>
      <w:r w:rsidR="00501001">
        <w:t>й</w:t>
      </w:r>
      <w:r w:rsidRPr="00541A4F">
        <w:t xml:space="preserve"> установлено следующее.</w:t>
      </w:r>
    </w:p>
    <w:p w:rsidR="002F5EA6" w:rsidRPr="00541A4F" w:rsidRDefault="002F5EA6" w:rsidP="002F5EA6">
      <w:pPr>
        <w:autoSpaceDE w:val="0"/>
        <w:autoSpaceDN w:val="0"/>
        <w:adjustRightInd w:val="0"/>
        <w:ind w:firstLine="709"/>
        <w:jc w:val="both"/>
      </w:pPr>
      <w:r w:rsidRPr="00541A4F">
        <w:t xml:space="preserve">В нарушение п. 4.4. </w:t>
      </w:r>
      <w:r w:rsidR="00963175">
        <w:t>п</w:t>
      </w:r>
      <w:r w:rsidRPr="00541A4F">
        <w:t xml:space="preserve">остановления Правительства Волгоградской области от 27.08.2013 № 423-п «Об утверждении Порядка разработки, реализации и оценки эффективности реализации государственных программ Волгоградской области» объем финансирования </w:t>
      </w:r>
      <w:r>
        <w:t>государственной программы «Информационное общество»</w:t>
      </w:r>
      <w:r w:rsidRPr="00541A4F">
        <w:t xml:space="preserve"> не приведен в соответствие с </w:t>
      </w:r>
      <w:r>
        <w:t xml:space="preserve">последней редакцией </w:t>
      </w:r>
      <w:r w:rsidRPr="00541A4F">
        <w:t>Закон</w:t>
      </w:r>
      <w:r>
        <w:t>а</w:t>
      </w:r>
      <w:r w:rsidRPr="00541A4F">
        <w:t xml:space="preserve"> об областном бюджете на 2015 год.</w:t>
      </w:r>
    </w:p>
    <w:p w:rsidR="00C15250" w:rsidRPr="00541A4F" w:rsidRDefault="00C15250" w:rsidP="00C15250">
      <w:pPr>
        <w:autoSpaceDE w:val="0"/>
        <w:autoSpaceDN w:val="0"/>
        <w:adjustRightInd w:val="0"/>
        <w:ind w:firstLine="709"/>
        <w:jc w:val="both"/>
      </w:pPr>
      <w:r w:rsidRPr="00541A4F">
        <w:t>По ГП «Защита населения» в Законе об областном бюджете не предусмотрены расходы за счет средств федерального бюджета, так как средства поступили в октябре после принятия последней редакции Закона об областном бюджете.</w:t>
      </w:r>
    </w:p>
    <w:p w:rsidR="00C15250" w:rsidRPr="003E43F1" w:rsidRDefault="00C15250" w:rsidP="00C15250">
      <w:pPr>
        <w:autoSpaceDE w:val="0"/>
        <w:autoSpaceDN w:val="0"/>
        <w:adjustRightInd w:val="0"/>
        <w:ind w:firstLine="709"/>
        <w:jc w:val="both"/>
      </w:pPr>
      <w:r w:rsidRPr="00541A4F">
        <w:t>По ГП «Повышение безопасности ДД» бюджетные назначения</w:t>
      </w:r>
      <w:r w:rsidR="002F5EA6">
        <w:t xml:space="preserve"> по бюджетной росписи</w:t>
      </w:r>
      <w:r w:rsidRPr="00541A4F">
        <w:t xml:space="preserve"> превышают показатели программы</w:t>
      </w:r>
      <w:r w:rsidR="002F5EA6">
        <w:t xml:space="preserve"> за счет средств областного бюджета </w:t>
      </w:r>
      <w:r w:rsidRPr="00541A4F">
        <w:t>и Закона об областном бюджете на 7 302,5 тыс. руб. в связи с тем, что после принятия последней редакции указанного закона возникла потребность в дополнительных ассигнованиях на оплату почтовых расходов (5424,1 тыс. руб.) и судебных решений (1 878,4 тыс. руб.)</w:t>
      </w:r>
      <w:r w:rsidR="00501001">
        <w:t>.</w:t>
      </w:r>
      <w:r w:rsidRPr="00541A4F">
        <w:t xml:space="preserve"> </w:t>
      </w:r>
      <w:r w:rsidR="00501001">
        <w:t xml:space="preserve">На </w:t>
      </w:r>
      <w:r w:rsidRPr="00541A4F">
        <w:t xml:space="preserve">основании уведомлений финансового органа увеличены </w:t>
      </w:r>
      <w:r w:rsidRPr="003E43F1">
        <w:t xml:space="preserve">расходы на финансирование мероприятий программы. </w:t>
      </w:r>
    </w:p>
    <w:p w:rsidR="00C15250" w:rsidRPr="003E43F1" w:rsidRDefault="00C15250" w:rsidP="00C15250">
      <w:pPr>
        <w:ind w:firstLine="709"/>
        <w:jc w:val="both"/>
      </w:pPr>
    </w:p>
    <w:p w:rsidR="00C15250" w:rsidRPr="003E43F1" w:rsidRDefault="00C15250" w:rsidP="00C15250">
      <w:pPr>
        <w:ind w:firstLine="709"/>
        <w:jc w:val="both"/>
      </w:pPr>
      <w:r w:rsidRPr="003E43F1">
        <w:t>Изучение результатов реализации Комитетом государственных программ показало следующее.</w:t>
      </w:r>
    </w:p>
    <w:p w:rsidR="00C15250" w:rsidRPr="003E43F1" w:rsidRDefault="00C15250" w:rsidP="00C15250">
      <w:pPr>
        <w:ind w:firstLine="709"/>
        <w:jc w:val="center"/>
        <w:rPr>
          <w:i/>
          <w:u w:val="single"/>
        </w:rPr>
      </w:pPr>
      <w:r w:rsidRPr="003E43F1">
        <w:rPr>
          <w:i/>
          <w:u w:val="single"/>
        </w:rPr>
        <w:lastRenderedPageBreak/>
        <w:t>Государственная программа «Информационное общество (2014-2020 годы)»</w:t>
      </w:r>
    </w:p>
    <w:p w:rsidR="002F5EA6" w:rsidRDefault="00C15250" w:rsidP="00C15250">
      <w:pPr>
        <w:ind w:firstLine="709"/>
        <w:jc w:val="both"/>
      </w:pPr>
      <w:r w:rsidRPr="003E43F1">
        <w:t>Государственной программой на 2015 год установлено 8 целевых показателей и 1 показатель государственного</w:t>
      </w:r>
      <w:r w:rsidRPr="00AF6D58">
        <w:t xml:space="preserve"> задания на оказание услуг (выполнение работ) ГБУ «ЦИТ». </w:t>
      </w:r>
      <w:r>
        <w:t>Согласно годовому</w:t>
      </w:r>
      <w:r w:rsidRPr="00AF6D58">
        <w:t xml:space="preserve"> доклад</w:t>
      </w:r>
      <w:r>
        <w:t>у</w:t>
      </w:r>
      <w:r w:rsidRPr="00AF6D58">
        <w:t xml:space="preserve"> о ходе реализации государственной программы за 2015 год</w:t>
      </w:r>
      <w:r>
        <w:t xml:space="preserve"> </w:t>
      </w:r>
      <w:r w:rsidRPr="00AF6D58">
        <w:t>один из восьми целевых показателей не выполнен</w:t>
      </w:r>
      <w:r w:rsidR="002F5EA6">
        <w:t>, что отражено в следующей таблице</w:t>
      </w:r>
      <w:r w:rsidRPr="00AF6D58">
        <w:t>.</w:t>
      </w:r>
      <w:r>
        <w:t xml:space="preserve"> </w:t>
      </w:r>
    </w:p>
    <w:p w:rsidR="002F5EA6" w:rsidRPr="00443EC6" w:rsidRDefault="002F5EA6" w:rsidP="002F5EA6">
      <w:pPr>
        <w:autoSpaceDE w:val="0"/>
        <w:autoSpaceDN w:val="0"/>
        <w:adjustRightInd w:val="0"/>
        <w:ind w:firstLine="709"/>
        <w:jc w:val="both"/>
      </w:pPr>
    </w:p>
    <w:tbl>
      <w:tblPr>
        <w:tblW w:w="964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42"/>
        <w:gridCol w:w="7396"/>
        <w:gridCol w:w="850"/>
        <w:gridCol w:w="861"/>
      </w:tblGrid>
      <w:tr w:rsidR="002F5EA6" w:rsidRPr="00443EC6" w:rsidTr="002F5EA6">
        <w:trPr>
          <w:trHeight w:val="299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Факт</w:t>
            </w:r>
          </w:p>
        </w:tc>
      </w:tr>
      <w:tr w:rsidR="002F5EA6" w:rsidRPr="00443EC6" w:rsidTr="002F5EA6">
        <w:tc>
          <w:tcPr>
            <w:tcW w:w="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1.</w:t>
            </w:r>
          </w:p>
        </w:tc>
        <w:tc>
          <w:tcPr>
            <w:tcW w:w="7396" w:type="dxa"/>
            <w:tcBorders>
              <w:top w:val="double" w:sz="4" w:space="0" w:color="auto"/>
            </w:tcBorders>
            <w:vAlign w:val="center"/>
          </w:tcPr>
          <w:p w:rsidR="002F5EA6" w:rsidRPr="00443EC6" w:rsidRDefault="002F5EA6" w:rsidP="002F5EA6">
            <w:pPr>
              <w:pStyle w:val="ConsPlusCell"/>
              <w:spacing w:line="220" w:lineRule="exact"/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Доля государственных и муниципальных услуг, которые можно получить в электронном виде, из числа подлежащих первоочередной оптимизации, определенных распоряжением Правительства РФ от 25.12.2013 №2516-р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35,0%</w:t>
            </w:r>
          </w:p>
        </w:tc>
        <w:tc>
          <w:tcPr>
            <w:tcW w:w="8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95,0%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43EC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b/>
                <w:sz w:val="20"/>
                <w:szCs w:val="20"/>
              </w:rPr>
            </w:pPr>
            <w:r w:rsidRPr="00443EC6">
              <w:rPr>
                <w:b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b/>
                <w:sz w:val="18"/>
                <w:szCs w:val="18"/>
              </w:rPr>
            </w:pPr>
            <w:r w:rsidRPr="00443EC6">
              <w:rPr>
                <w:b/>
                <w:sz w:val="18"/>
                <w:szCs w:val="18"/>
              </w:rPr>
              <w:t>40,0%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b/>
                <w:sz w:val="18"/>
                <w:szCs w:val="18"/>
              </w:rPr>
            </w:pPr>
            <w:r w:rsidRPr="00443EC6">
              <w:rPr>
                <w:b/>
                <w:sz w:val="18"/>
                <w:szCs w:val="18"/>
              </w:rPr>
              <w:t>30,0%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3.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Доля жителей Волгоградской области, получивших универсальные электронные карты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0,31%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443EC6">
              <w:rPr>
                <w:sz w:val="18"/>
                <w:szCs w:val="18"/>
              </w:rPr>
              <w:t>0,39%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4.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Доля обращений граждан в адрес Губернатора Волгоградской области, поданных через официальный портал Губернатора и Правительства Волгоградской области, к общему количеству обращений в адрес Губернатора Волгоградской области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20,0%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25,29%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5.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Доля электронного документооборота органов исполнительной власти Волгоградской области в общем объеме документооборота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70,0%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92,0%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6.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Уровень открытости органов исполнительной власти Волгоградской области, среднегодовая позиция в рейтинге сайтов государственных органов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35 место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10 место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7.</w:t>
            </w:r>
          </w:p>
        </w:tc>
        <w:tc>
          <w:tcPr>
            <w:tcW w:w="7396" w:type="dxa"/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Доля органов исполнительной власти Волгоградской области, информационные системы которых задействованы   в процессе предоставления государственных услуг и интегрированы с региональной системой межведомственного электронного взаимодействия Волгоградской области или государственной информационной системой «Региональный портал государственных и муниципальных услуг Волгоградской области»</w:t>
            </w:r>
          </w:p>
        </w:tc>
        <w:tc>
          <w:tcPr>
            <w:tcW w:w="850" w:type="dxa"/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28,13%</w:t>
            </w:r>
          </w:p>
        </w:tc>
        <w:tc>
          <w:tcPr>
            <w:tcW w:w="861" w:type="dxa"/>
            <w:tcBorders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28,13%</w:t>
            </w:r>
          </w:p>
        </w:tc>
      </w:tr>
      <w:tr w:rsidR="002F5EA6" w:rsidRPr="00443EC6" w:rsidTr="002F5EA6">
        <w:tc>
          <w:tcPr>
            <w:tcW w:w="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8.</w:t>
            </w:r>
          </w:p>
        </w:tc>
        <w:tc>
          <w:tcPr>
            <w:tcW w:w="7396" w:type="dxa"/>
            <w:tcBorders>
              <w:bottom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both"/>
              <w:rPr>
                <w:sz w:val="20"/>
                <w:szCs w:val="20"/>
              </w:rPr>
            </w:pPr>
            <w:r w:rsidRPr="00443EC6">
              <w:rPr>
                <w:sz w:val="20"/>
                <w:szCs w:val="20"/>
              </w:rPr>
              <w:t>Рост уровня востребованности населением Волгоградской области электронного сервиса «Запись на прием к врачу»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110,0%</w:t>
            </w:r>
          </w:p>
        </w:tc>
        <w:tc>
          <w:tcPr>
            <w:tcW w:w="8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5EA6" w:rsidRPr="00443EC6" w:rsidRDefault="002F5EA6" w:rsidP="002F5EA6">
            <w:pPr>
              <w:jc w:val="center"/>
              <w:rPr>
                <w:sz w:val="18"/>
                <w:szCs w:val="18"/>
              </w:rPr>
            </w:pPr>
            <w:r w:rsidRPr="00443EC6">
              <w:rPr>
                <w:sz w:val="18"/>
                <w:szCs w:val="18"/>
              </w:rPr>
              <w:t>132,97%</w:t>
            </w:r>
          </w:p>
        </w:tc>
      </w:tr>
    </w:tbl>
    <w:p w:rsidR="002F5EA6" w:rsidRPr="00443EC6" w:rsidRDefault="002F5EA6" w:rsidP="002F5EA6">
      <w:pPr>
        <w:autoSpaceDE w:val="0"/>
        <w:autoSpaceDN w:val="0"/>
        <w:adjustRightInd w:val="0"/>
        <w:ind w:firstLine="709"/>
        <w:jc w:val="both"/>
      </w:pPr>
    </w:p>
    <w:p w:rsidR="00C15250" w:rsidRPr="00AF6D58" w:rsidRDefault="00C15250" w:rsidP="00C15250">
      <w:pPr>
        <w:ind w:firstLine="709"/>
        <w:jc w:val="both"/>
      </w:pPr>
      <w:r>
        <w:rPr>
          <w:bCs/>
        </w:rPr>
        <w:t>Н</w:t>
      </w:r>
      <w:r w:rsidRPr="00AF6D58">
        <w:rPr>
          <w:lang w:eastAsia="en-US"/>
        </w:rPr>
        <w:t>едостижение запланированного значения показателя «</w:t>
      </w:r>
      <w:r w:rsidRPr="00AF6D58">
        <w:rPr>
          <w:i/>
          <w:lang w:eastAsia="en-US"/>
        </w:rPr>
        <w:t>доля</w:t>
      </w:r>
      <w:r w:rsidRPr="00AF6D58">
        <w:rPr>
          <w:lang w:eastAsia="en-US"/>
        </w:rPr>
        <w:t xml:space="preserve"> </w:t>
      </w:r>
      <w:r w:rsidRPr="00AF6D58">
        <w:rPr>
          <w:bCs/>
          <w:i/>
        </w:rPr>
        <w:t xml:space="preserve">граждан, использующих механизм получения государственных и муниципальных услуг в электронной форме» </w:t>
      </w:r>
      <w:r w:rsidRPr="00AF6D58">
        <w:rPr>
          <w:bCs/>
        </w:rPr>
        <w:t xml:space="preserve">(план – 40%, факт – 30%) обусловлено </w:t>
      </w:r>
      <w:r w:rsidR="002F5EA6">
        <w:rPr>
          <w:bCs/>
        </w:rPr>
        <w:t>следующими</w:t>
      </w:r>
      <w:r w:rsidRPr="00AF6D58">
        <w:rPr>
          <w:bCs/>
        </w:rPr>
        <w:t xml:space="preserve"> факторами:</w:t>
      </w:r>
      <w:r w:rsidRPr="00AF6D58">
        <w:rPr>
          <w:bCs/>
        </w:rPr>
        <w:tab/>
      </w:r>
    </w:p>
    <w:p w:rsidR="00C15250" w:rsidRPr="00AF6D58" w:rsidRDefault="00C15250" w:rsidP="00C152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6D58">
        <w:rPr>
          <w:bCs/>
        </w:rPr>
        <w:t>-недостаточная популяризация электронных услуг органами исполнительной власти и органами местного самоуправления Волгоградской области;</w:t>
      </w:r>
    </w:p>
    <w:p w:rsidR="00C15250" w:rsidRPr="00AF6D58" w:rsidRDefault="00C15250" w:rsidP="00C152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6D58">
        <w:rPr>
          <w:bCs/>
        </w:rPr>
        <w:t>-низкая активность органов местного самоуправления Волгоградской области по переводу услуг в электронный вид;</w:t>
      </w:r>
    </w:p>
    <w:p w:rsidR="00C15250" w:rsidRPr="00AF6D58" w:rsidRDefault="00C15250" w:rsidP="00C152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6D58">
        <w:rPr>
          <w:bCs/>
        </w:rPr>
        <w:t>-недостаточное количество центров обслуживания пользователей единой системы идентификации и аутентификации, используемой при предоставлении государственных и муниципальных услуг в электронной форме;</w:t>
      </w:r>
    </w:p>
    <w:p w:rsidR="00C15250" w:rsidRPr="00AF6D58" w:rsidRDefault="00C15250" w:rsidP="00C152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6D58">
        <w:rPr>
          <w:bCs/>
        </w:rPr>
        <w:t xml:space="preserve">-несвоевременная оплата выполненных работ в связи с </w:t>
      </w:r>
      <w:r w:rsidR="002F5EA6">
        <w:rPr>
          <w:bCs/>
        </w:rPr>
        <w:t>отсутствием финансирования и не</w:t>
      </w:r>
      <w:r w:rsidRPr="00AF6D58">
        <w:rPr>
          <w:bCs/>
        </w:rPr>
        <w:t>выделением кассового плана.</w:t>
      </w:r>
    </w:p>
    <w:p w:rsidR="00C15250" w:rsidRPr="00AF6D58" w:rsidRDefault="00C15250" w:rsidP="00C1525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F6D58">
        <w:rPr>
          <w:lang w:eastAsia="en-US"/>
        </w:rPr>
        <w:t>В качестве одной из возможных причин низкой востребованности созданного механизма предоставления услуг в электронной форме среди населения может являться его периодическая неработоспособность. Так</w:t>
      </w:r>
      <w:r w:rsidR="002F5EA6">
        <w:rPr>
          <w:lang w:eastAsia="en-US"/>
        </w:rPr>
        <w:t>,</w:t>
      </w:r>
      <w:r w:rsidRPr="00AF6D58">
        <w:rPr>
          <w:lang w:eastAsia="en-US"/>
        </w:rPr>
        <w:t xml:space="preserve"> в ходе внешней проверки бюджетной отчетности и отдельных вопросов исполнения областного бюджета за 2014 год установлена неработоспособность регионального портала предоставления государственных и муниципальных услуг с 04.03.2015 до</w:t>
      </w:r>
      <w:r w:rsidRPr="00AF6D58">
        <w:rPr>
          <w:bCs/>
        </w:rPr>
        <w:t xml:space="preserve"> 19.03.2015 вследствие выхода из строя механизма отправки информации с РПГУ. Данная неисправность привела к невозможности отправки заявления ни по одной государственной и муниципальной услуге (149 услуг), размещенной на РПГУ</w:t>
      </w:r>
      <w:r w:rsidR="00956284">
        <w:rPr>
          <w:bCs/>
        </w:rPr>
        <w:t>,</w:t>
      </w:r>
      <w:r w:rsidRPr="00AF6D58">
        <w:rPr>
          <w:bCs/>
        </w:rPr>
        <w:t xml:space="preserve"> с момента внедрения портала в эксплуатацию (с 2009 года). Указанная ошибка отправки заявлений исправлена 19.03.2015, но отправка данных в полном объеме не была восстановлена в связи с другой возникшей ошибкой. Также необходимо отметить неработоспособность приобретенного в 2014 году платежного сервиса стоимостью 15 500,0 тыс. руб., в т.ч. 7 601,9 тыс. руб. за счет средств федерального бюджета и 7 898,1 тыс. руб. за счет средств областного бюджета. Возможность оплаты услуг через РПГУ </w:t>
      </w:r>
      <w:r w:rsidR="00501001">
        <w:rPr>
          <w:bCs/>
        </w:rPr>
        <w:t>отсутс</w:t>
      </w:r>
      <w:r w:rsidR="00183C28">
        <w:rPr>
          <w:bCs/>
        </w:rPr>
        <w:t>т</w:t>
      </w:r>
      <w:r w:rsidR="00501001">
        <w:rPr>
          <w:bCs/>
        </w:rPr>
        <w:t>вует</w:t>
      </w:r>
      <w:r w:rsidRPr="00AF6D58">
        <w:rPr>
          <w:bCs/>
        </w:rPr>
        <w:t xml:space="preserve"> и на сегодняшний день, что не отвечает принципу </w:t>
      </w:r>
      <w:r w:rsidRPr="00AF6D58">
        <w:t>эффективности использования бюджетных средств, определенному ст.34 БК РФ.</w:t>
      </w:r>
    </w:p>
    <w:p w:rsidR="00C15250" w:rsidRPr="00B26F89" w:rsidRDefault="00C15250" w:rsidP="00C15250">
      <w:pPr>
        <w:autoSpaceDE w:val="0"/>
        <w:autoSpaceDN w:val="0"/>
        <w:adjustRightInd w:val="0"/>
        <w:ind w:firstLine="709"/>
        <w:jc w:val="both"/>
        <w:rPr>
          <w:color w:val="C00000"/>
          <w:lang w:eastAsia="en-US"/>
        </w:rPr>
      </w:pPr>
    </w:p>
    <w:p w:rsidR="00C15250" w:rsidRPr="00AF6D58" w:rsidRDefault="00C15250" w:rsidP="00C15250">
      <w:pPr>
        <w:jc w:val="center"/>
        <w:rPr>
          <w:i/>
          <w:u w:val="single"/>
        </w:rPr>
      </w:pPr>
      <w:r w:rsidRPr="00AF6D58">
        <w:rPr>
          <w:i/>
          <w:u w:val="single"/>
        </w:rPr>
        <w:t>ГП «Использование результатов космической деятельности в интересах социально-экономического и инновационного развития Волгоградской области на 2014 - 2018 годы»</w:t>
      </w:r>
    </w:p>
    <w:p w:rsidR="00C15250" w:rsidRDefault="00C15250" w:rsidP="00C152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6D58">
        <w:rPr>
          <w:bCs/>
        </w:rPr>
        <w:t>Комитетом как ответственным исполнителем ГП РКД подготовлен годовой доклад о ходе реализации программы, с</w:t>
      </w:r>
      <w:r w:rsidRPr="00AF6D58">
        <w:rPr>
          <w:lang w:eastAsia="en-US"/>
        </w:rPr>
        <w:t>огласно которому</w:t>
      </w:r>
      <w:r w:rsidRPr="00AF6D58">
        <w:rPr>
          <w:bCs/>
        </w:rPr>
        <w:t xml:space="preserve"> ожидаемый результат достиг</w:t>
      </w:r>
      <w:r w:rsidR="002F5EA6">
        <w:rPr>
          <w:bCs/>
        </w:rPr>
        <w:t>нут по всем целевым показателям:</w:t>
      </w:r>
    </w:p>
    <w:p w:rsidR="002F5EA6" w:rsidRPr="009F0C20" w:rsidRDefault="002F5EA6" w:rsidP="002F5EA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42"/>
        <w:gridCol w:w="7504"/>
        <w:gridCol w:w="850"/>
        <w:gridCol w:w="851"/>
      </w:tblGrid>
      <w:tr w:rsidR="002F5EA6" w:rsidRPr="009F0C20" w:rsidTr="002F5EA6">
        <w:trPr>
          <w:trHeight w:val="299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5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EA6" w:rsidRPr="004F597C" w:rsidRDefault="002F5EA6" w:rsidP="002F5EA6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Факт</w:t>
            </w:r>
          </w:p>
        </w:tc>
      </w:tr>
      <w:tr w:rsidR="002F5EA6" w:rsidRPr="009F0C20" w:rsidTr="002F5EA6">
        <w:tc>
          <w:tcPr>
            <w:tcW w:w="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1.</w:t>
            </w:r>
          </w:p>
        </w:tc>
        <w:tc>
          <w:tcPr>
            <w:tcW w:w="7504" w:type="dxa"/>
            <w:tcBorders>
              <w:top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both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Территория региона, покрытая актуальными цифровыми картами (масштаб 1:25000–1:50000), кв. км.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right"/>
              <w:rPr>
                <w:sz w:val="18"/>
                <w:szCs w:val="18"/>
              </w:rPr>
            </w:pPr>
            <w:r w:rsidRPr="003909E6">
              <w:rPr>
                <w:sz w:val="18"/>
                <w:szCs w:val="18"/>
              </w:rPr>
              <w:t>55000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right"/>
              <w:rPr>
                <w:sz w:val="18"/>
                <w:szCs w:val="18"/>
              </w:rPr>
            </w:pPr>
            <w:r w:rsidRPr="003909E6">
              <w:rPr>
                <w:sz w:val="18"/>
                <w:szCs w:val="18"/>
              </w:rPr>
              <w:t>55000</w:t>
            </w:r>
          </w:p>
        </w:tc>
      </w:tr>
      <w:tr w:rsidR="002F5EA6" w:rsidRPr="009F0C20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2.</w:t>
            </w:r>
          </w:p>
        </w:tc>
        <w:tc>
          <w:tcPr>
            <w:tcW w:w="7504" w:type="dxa"/>
            <w:vAlign w:val="center"/>
          </w:tcPr>
          <w:p w:rsidR="002F5EA6" w:rsidRPr="003909E6" w:rsidRDefault="002F5EA6" w:rsidP="002F5EA6">
            <w:pPr>
              <w:jc w:val="both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Территория населенных пунктов региона, покрытых актуальными цифровыми картами (масштаб 1:2000), кв. км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1160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1160</w:t>
            </w:r>
          </w:p>
        </w:tc>
      </w:tr>
      <w:tr w:rsidR="002F5EA6" w:rsidRPr="003909E6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3.</w:t>
            </w:r>
          </w:p>
        </w:tc>
        <w:tc>
          <w:tcPr>
            <w:tcW w:w="7504" w:type="dxa"/>
            <w:vAlign w:val="center"/>
          </w:tcPr>
          <w:p w:rsidR="002F5EA6" w:rsidRPr="003909E6" w:rsidRDefault="002F5EA6" w:rsidP="002F5EA6">
            <w:pPr>
              <w:jc w:val="both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Количество общедоступных наборов пространственных данных, единиц</w:t>
            </w:r>
          </w:p>
        </w:tc>
        <w:tc>
          <w:tcPr>
            <w:tcW w:w="850" w:type="dxa"/>
            <w:vAlign w:val="center"/>
          </w:tcPr>
          <w:p w:rsidR="002F5EA6" w:rsidRPr="003909E6" w:rsidRDefault="002F5EA6" w:rsidP="002F5EA6">
            <w:pPr>
              <w:jc w:val="right"/>
              <w:rPr>
                <w:sz w:val="18"/>
                <w:szCs w:val="18"/>
              </w:rPr>
            </w:pPr>
            <w:r w:rsidRPr="003909E6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right"/>
              <w:rPr>
                <w:sz w:val="18"/>
                <w:szCs w:val="18"/>
              </w:rPr>
            </w:pPr>
            <w:r w:rsidRPr="003909E6">
              <w:rPr>
                <w:sz w:val="18"/>
                <w:szCs w:val="18"/>
              </w:rPr>
              <w:t>130</w:t>
            </w:r>
          </w:p>
        </w:tc>
      </w:tr>
      <w:tr w:rsidR="002F5EA6" w:rsidRPr="004B2FDC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center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4.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Количество эксплуатируемых геоинформационных систем, единиц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3</w:t>
            </w:r>
          </w:p>
        </w:tc>
      </w:tr>
      <w:tr w:rsidR="002F5EA6" w:rsidRPr="009F0C20" w:rsidTr="002F5EA6">
        <w:trPr>
          <w:trHeight w:val="533"/>
        </w:trPr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5.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Доля транспортных средств от общего количества транспортных средств, зарегистрированных на территории Волгоградской области, подключенных к РНИС, оснащенных бортовым навигационно-связным оборудованием на базе системы ГЛОНАСС, используемых в сферах</w:t>
            </w:r>
            <w:r>
              <w:rPr>
                <w:sz w:val="20"/>
                <w:szCs w:val="20"/>
              </w:rPr>
              <w:t>, процентов:</w:t>
            </w:r>
          </w:p>
        </w:tc>
        <w:tc>
          <w:tcPr>
            <w:tcW w:w="850" w:type="dxa"/>
            <w:vAlign w:val="center"/>
          </w:tcPr>
          <w:p w:rsidR="002F5EA6" w:rsidRPr="009F0C20" w:rsidRDefault="002F5EA6" w:rsidP="002F5EA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9F0C20" w:rsidRDefault="002F5EA6" w:rsidP="002F5EA6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F5EA6" w:rsidRPr="009F0C20" w:rsidTr="002F5EA6">
        <w:trPr>
          <w:trHeight w:val="82"/>
        </w:trPr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5.1.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пассажирских перевозок, включая перевозку детей, оказание жилищно-коммунальных услуг, оказание скорой и неотложной медицинской помощи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100</w:t>
            </w:r>
          </w:p>
        </w:tc>
      </w:tr>
      <w:tr w:rsidR="002F5EA6" w:rsidRPr="009F0C20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5.2.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дорожного хозяйства, лесного хозяйства, охотничьего и рыболовного хозяйства, специального транспорта, находящегося в ведении комитета по обеспечению безопасности жизнедеятельности населения Волгоградской области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80</w:t>
            </w:r>
          </w:p>
        </w:tc>
      </w:tr>
      <w:tr w:rsidR="002F5EA6" w:rsidRPr="009F0C20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ведомственного транспорта органов исполнительной власти Волгоградской области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85</w:t>
            </w:r>
          </w:p>
        </w:tc>
      </w:tr>
      <w:tr w:rsidR="002F5EA6" w:rsidRPr="009F0C20" w:rsidTr="002F5EA6"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2F5EA6" w:rsidRPr="003909E6" w:rsidRDefault="002F5EA6" w:rsidP="002F5EA6">
            <w:pPr>
              <w:jc w:val="center"/>
              <w:rPr>
                <w:sz w:val="20"/>
                <w:szCs w:val="20"/>
              </w:rPr>
            </w:pPr>
            <w:r w:rsidRPr="003909E6">
              <w:rPr>
                <w:sz w:val="20"/>
                <w:szCs w:val="20"/>
              </w:rPr>
              <w:t>6.</w:t>
            </w:r>
          </w:p>
        </w:tc>
        <w:tc>
          <w:tcPr>
            <w:tcW w:w="7504" w:type="dxa"/>
            <w:vAlign w:val="center"/>
          </w:tcPr>
          <w:p w:rsidR="002F5EA6" w:rsidRPr="004B2FDC" w:rsidRDefault="002F5EA6" w:rsidP="002F5EA6">
            <w:pPr>
              <w:jc w:val="both"/>
              <w:rPr>
                <w:sz w:val="20"/>
                <w:szCs w:val="20"/>
              </w:rPr>
            </w:pPr>
            <w:r w:rsidRPr="004B2FDC">
              <w:rPr>
                <w:sz w:val="20"/>
                <w:szCs w:val="20"/>
              </w:rPr>
              <w:t>Количество видов транспортных средств, информация о маршрутах движения которых находится в широком доступе для населения Волгоградской области, ед.</w:t>
            </w:r>
          </w:p>
        </w:tc>
        <w:tc>
          <w:tcPr>
            <w:tcW w:w="850" w:type="dxa"/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2F5EA6" w:rsidRPr="004B2FDC" w:rsidRDefault="002F5EA6" w:rsidP="002F5EA6">
            <w:pPr>
              <w:jc w:val="right"/>
              <w:rPr>
                <w:sz w:val="18"/>
                <w:szCs w:val="18"/>
              </w:rPr>
            </w:pPr>
            <w:r w:rsidRPr="004B2FDC">
              <w:rPr>
                <w:sz w:val="18"/>
                <w:szCs w:val="18"/>
              </w:rPr>
              <w:t>3</w:t>
            </w:r>
          </w:p>
        </w:tc>
      </w:tr>
      <w:tr w:rsidR="002F5EA6" w:rsidRPr="006066D5" w:rsidTr="002F5EA6">
        <w:tc>
          <w:tcPr>
            <w:tcW w:w="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5EA6" w:rsidRPr="006066D5" w:rsidRDefault="002F5EA6" w:rsidP="002F5EA6">
            <w:pPr>
              <w:jc w:val="center"/>
              <w:rPr>
                <w:sz w:val="20"/>
                <w:szCs w:val="20"/>
              </w:rPr>
            </w:pPr>
            <w:r w:rsidRPr="006066D5">
              <w:rPr>
                <w:sz w:val="20"/>
                <w:szCs w:val="20"/>
              </w:rPr>
              <w:t>7.</w:t>
            </w:r>
          </w:p>
        </w:tc>
        <w:tc>
          <w:tcPr>
            <w:tcW w:w="7504" w:type="dxa"/>
            <w:tcBorders>
              <w:bottom w:val="double" w:sz="4" w:space="0" w:color="auto"/>
            </w:tcBorders>
            <w:vAlign w:val="center"/>
          </w:tcPr>
          <w:p w:rsidR="002F5EA6" w:rsidRPr="006066D5" w:rsidRDefault="002F5EA6" w:rsidP="002F5EA6">
            <w:pPr>
              <w:jc w:val="both"/>
              <w:rPr>
                <w:sz w:val="20"/>
                <w:szCs w:val="20"/>
              </w:rPr>
            </w:pPr>
            <w:r w:rsidRPr="006066D5">
              <w:rPr>
                <w:sz w:val="20"/>
                <w:szCs w:val="20"/>
              </w:rPr>
              <w:t>Доля рейсов, соответствующих утвержденному расписанию прохождения контрольных пунктов маршрутов, от всех рейсов субсидируемых маршрутов движения транспортных средств, осуществляющих пассажирские перевозки с использованием автоматизированных систем управления движением,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F5EA6" w:rsidRPr="006066D5" w:rsidRDefault="002F5EA6" w:rsidP="002F5EA6">
            <w:pPr>
              <w:jc w:val="right"/>
              <w:rPr>
                <w:sz w:val="18"/>
                <w:szCs w:val="18"/>
              </w:rPr>
            </w:pPr>
            <w:r w:rsidRPr="006066D5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5EA6" w:rsidRPr="006066D5" w:rsidRDefault="002F5EA6" w:rsidP="002F5EA6">
            <w:pPr>
              <w:jc w:val="right"/>
              <w:rPr>
                <w:sz w:val="18"/>
                <w:szCs w:val="18"/>
              </w:rPr>
            </w:pPr>
            <w:r w:rsidRPr="006066D5">
              <w:rPr>
                <w:sz w:val="18"/>
                <w:szCs w:val="18"/>
              </w:rPr>
              <w:t>95</w:t>
            </w:r>
          </w:p>
        </w:tc>
      </w:tr>
    </w:tbl>
    <w:p w:rsidR="002F5EA6" w:rsidRPr="009F0C20" w:rsidRDefault="002F5EA6" w:rsidP="002F5EA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15250" w:rsidRPr="002350F7" w:rsidRDefault="00C15250" w:rsidP="00C15250">
      <w:pPr>
        <w:tabs>
          <w:tab w:val="left" w:pos="-4962"/>
          <w:tab w:val="left" w:pos="993"/>
        </w:tabs>
        <w:jc w:val="center"/>
        <w:rPr>
          <w:i/>
          <w:u w:val="single"/>
        </w:rPr>
      </w:pPr>
      <w:r w:rsidRPr="002350F7">
        <w:rPr>
          <w:i/>
          <w:u w:val="single"/>
        </w:rPr>
        <w:t xml:space="preserve">ГП «Профилактика правонарушений» </w:t>
      </w:r>
    </w:p>
    <w:p w:rsidR="00C15250" w:rsidRPr="002350F7" w:rsidRDefault="00C15250" w:rsidP="00C15250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2350F7">
        <w:rPr>
          <w:rFonts w:ascii="Times New Roman" w:hAnsi="Times New Roman" w:cs="Times New Roman"/>
        </w:rPr>
        <w:t>Государственной программой «Профилактика правонарушений» Комитет определен исполнителем мероприятия «Создание, развитие и обеспечение функционирования комплексной информационной системы видеонаблюдения Волгоградской области на основе модернизации существующих объектов и инфраструктуры систем видеонаблюдения в рамках аппаратно-программного комплекса технических средств «Безопасный город». Реализация мероприятия осуществляется ГБУ «ЦИТ» в рамках государственного задания.</w:t>
      </w:r>
    </w:p>
    <w:p w:rsidR="00C15250" w:rsidRPr="002350F7" w:rsidRDefault="00C15250" w:rsidP="00C15250">
      <w:pPr>
        <w:ind w:firstLine="709"/>
        <w:jc w:val="both"/>
      </w:pPr>
      <w:r w:rsidRPr="002350F7">
        <w:t xml:space="preserve">Предусмотренный программой целевой показатель «количество точек видеонаблюдения, функционирующих в рамках комплексной информационной системы видеонаблюдения Волгоградской области» в 2015 году выполнен (план – 220, факт – 345). </w:t>
      </w:r>
    </w:p>
    <w:p w:rsidR="00C15250" w:rsidRPr="002350F7" w:rsidRDefault="00C15250" w:rsidP="00C15250">
      <w:pPr>
        <w:ind w:firstLine="709"/>
        <w:jc w:val="both"/>
        <w:rPr>
          <w:rFonts w:eastAsiaTheme="minorHAnsi"/>
          <w:lang w:eastAsia="en-US"/>
        </w:rPr>
      </w:pPr>
      <w:r w:rsidRPr="002350F7">
        <w:t>Показатель количества точек видеонаблюдения перевыполнен более чем в 1,5 раза.</w:t>
      </w:r>
      <w:r w:rsidR="002F5EA6">
        <w:t xml:space="preserve"> Однако такое перевыполнение не</w:t>
      </w:r>
      <w:r w:rsidR="00956284">
        <w:t xml:space="preserve"> </w:t>
      </w:r>
      <w:r w:rsidRPr="002350F7">
        <w:t>способно значимо повлиять на достижение цели программы, так как оно реализовано за счёт подключения к комплексной системе видеонаблюдения, в основном, уже существовавших систем, контролирующих не самые потенциально криминогенные или многолюдные места</w:t>
      </w:r>
      <w:r w:rsidR="002F5EA6">
        <w:t>,</w:t>
      </w:r>
      <w:r w:rsidRPr="002350F7">
        <w:t xml:space="preserve"> - </w:t>
      </w:r>
      <w:r w:rsidRPr="002350F7">
        <w:rPr>
          <w:rFonts w:eastAsiaTheme="minorHAnsi"/>
          <w:lang w:eastAsia="en-US"/>
        </w:rPr>
        <w:t>тоннельный проезд под железнодорожными путями на ул. им. Тулака (28 камер), мостовой переход через р. Волгу. (100 камер), шесть систем видеонаблюдения, установленных в органах исполнительной власти Волгоградской области и подведомственных им учреждениях.</w:t>
      </w:r>
    </w:p>
    <w:p w:rsidR="00C15250" w:rsidRPr="004665C5" w:rsidRDefault="00C15250" w:rsidP="00C15250">
      <w:pPr>
        <w:ind w:firstLine="709"/>
        <w:jc w:val="both"/>
      </w:pPr>
      <w:r w:rsidRPr="004665C5">
        <w:t>Также выполнены и показатели государственного задания ГБУ «ЦИТ» - «количество организованных точек видеонаблюдения</w:t>
      </w:r>
      <w:r>
        <w:t>» (план 60 шт., факт 179 шт.), «к</w:t>
      </w:r>
      <w:r w:rsidRPr="004665C5">
        <w:t>оличество модернизированных точек видеонаблюдения</w:t>
      </w:r>
      <w:r>
        <w:t>» (40 шт. / 40 шт.) и «д</w:t>
      </w:r>
      <w:r w:rsidRPr="004665C5">
        <w:t>оля точек видеонаблюдения, по которым проведено профилактическое обслуживание</w:t>
      </w:r>
      <w:r>
        <w:t>» (80% / 81,3%).</w:t>
      </w:r>
    </w:p>
    <w:p w:rsidR="00C15250" w:rsidRDefault="00C15250" w:rsidP="00C15250">
      <w:pPr>
        <w:tabs>
          <w:tab w:val="left" w:pos="-4962"/>
          <w:tab w:val="left" w:pos="993"/>
        </w:tabs>
        <w:jc w:val="center"/>
        <w:rPr>
          <w:i/>
          <w:color w:val="C00000"/>
          <w:u w:val="single"/>
        </w:rPr>
      </w:pPr>
    </w:p>
    <w:p w:rsidR="00C15250" w:rsidRPr="004665C5" w:rsidRDefault="00C15250" w:rsidP="00C15250">
      <w:pPr>
        <w:tabs>
          <w:tab w:val="left" w:pos="-4962"/>
          <w:tab w:val="left" w:pos="993"/>
        </w:tabs>
        <w:jc w:val="center"/>
        <w:rPr>
          <w:i/>
          <w:u w:val="single"/>
        </w:rPr>
      </w:pPr>
      <w:r w:rsidRPr="004665C5">
        <w:rPr>
          <w:i/>
          <w:u w:val="single"/>
        </w:rPr>
        <w:t>ГП «Повышение БДД»</w:t>
      </w:r>
    </w:p>
    <w:p w:rsidR="00C15250" w:rsidRPr="00CB1293" w:rsidRDefault="00C15250" w:rsidP="00C15250">
      <w:pPr>
        <w:ind w:firstLine="720"/>
        <w:jc w:val="both"/>
      </w:pPr>
      <w:r w:rsidRPr="00CB1293">
        <w:t>Комитет определен исполнителем двух мероприятий программы:</w:t>
      </w:r>
    </w:p>
    <w:p w:rsidR="00C15250" w:rsidRPr="00CB1293" w:rsidRDefault="00C15250" w:rsidP="00C15250">
      <w:pPr>
        <w:ind w:firstLine="720"/>
        <w:jc w:val="both"/>
      </w:pPr>
      <w:r w:rsidRPr="00CB1293">
        <w:lastRenderedPageBreak/>
        <w:t>-оснащение системами автоматического контроля и выявления нарушений правил дорожного движения улично-дорожной сети городов и иных населенных пунктов, автомобильных дорог регионального или межмуниципального и местного значения (не менее 46 комплексов фиксации);</w:t>
      </w:r>
    </w:p>
    <w:p w:rsidR="00C15250" w:rsidRPr="00CB1293" w:rsidRDefault="00C15250" w:rsidP="00C15250">
      <w:pPr>
        <w:ind w:firstLine="720"/>
        <w:jc w:val="both"/>
      </w:pPr>
      <w:r w:rsidRPr="00CB1293">
        <w:t>-модернизация и обеспечение бесперебойного функционирования объектов и инфраструктуры систем автоматического контроля и выявления нарушений правил дорожного движения улично-дорожной сети городов и иных населенных пунктов, автомобильных дорог регионального или межмуниципального и местного значения.</w:t>
      </w:r>
    </w:p>
    <w:p w:rsidR="00C15250" w:rsidRDefault="00C15250" w:rsidP="00C15250">
      <w:pPr>
        <w:ind w:firstLine="720"/>
        <w:jc w:val="both"/>
      </w:pPr>
      <w:r w:rsidRPr="00CB1293">
        <w:t xml:space="preserve">Целевые показатели, непосредственно связанные с мероприятиями, реализуемыми Комитетом, программой не утверждены. Согласно годовому докладу </w:t>
      </w:r>
      <w:r w:rsidR="00956284">
        <w:t>п</w:t>
      </w:r>
      <w:r w:rsidRPr="00CB1293">
        <w:t>оказатели государственного задания ГБУ «ЦИТ» выполнены</w:t>
      </w:r>
      <w:r>
        <w:t>.</w:t>
      </w:r>
    </w:p>
    <w:p w:rsidR="00C15250" w:rsidRPr="00B26F89" w:rsidRDefault="00C15250" w:rsidP="00C15250">
      <w:pPr>
        <w:ind w:firstLine="709"/>
        <w:jc w:val="both"/>
        <w:rPr>
          <w:color w:val="C00000"/>
        </w:rPr>
      </w:pPr>
    </w:p>
    <w:p w:rsidR="00C15250" w:rsidRPr="00CB1293" w:rsidRDefault="00C15250" w:rsidP="00C15250">
      <w:pPr>
        <w:ind w:firstLine="709"/>
        <w:jc w:val="center"/>
        <w:rPr>
          <w:i/>
          <w:u w:val="single"/>
        </w:rPr>
      </w:pPr>
      <w:r w:rsidRPr="00CB1293">
        <w:rPr>
          <w:i/>
          <w:u w:val="single"/>
        </w:rPr>
        <w:t>ГП «Защита населения и территории от чрезвычайных ситуаций, обеспечение пожарной безопасности на 2014-2017 годы»</w:t>
      </w:r>
    </w:p>
    <w:p w:rsidR="00C15250" w:rsidRDefault="00C15250" w:rsidP="00C15250">
      <w:pPr>
        <w:ind w:firstLine="709"/>
        <w:jc w:val="both"/>
      </w:pPr>
      <w:r w:rsidRPr="00CB1293">
        <w:t>Государственной программой в рамках подпрограммы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 годы» Комитет в 2015 году определен соисполнителем одного и исполнителем четырех мероприятий. Из них три мероприятия</w:t>
      </w:r>
      <w:r w:rsidR="00956284">
        <w:t xml:space="preserve"> носят организационный характер, </w:t>
      </w:r>
      <w:r w:rsidRPr="00CB1293">
        <w:t>по двум мероприятиям предусмотрено финансирование</w:t>
      </w:r>
      <w:r>
        <w:t>.</w:t>
      </w:r>
    </w:p>
    <w:p w:rsidR="00C15250" w:rsidRPr="00CB1293" w:rsidRDefault="00C15250" w:rsidP="00C15250">
      <w:pPr>
        <w:ind w:firstLine="709"/>
        <w:jc w:val="both"/>
      </w:pPr>
      <w:r w:rsidRPr="00CB1293">
        <w:t>По итогам реализации мероприятий приобретено оборудование для дежурных диспетчерских служб на сумму 22 016,6 тыс. руб., организовано его подключение к каналам связи. Сегмент системы «112» в г. Волгограде и г. Волжском введен в опытную эксплуатацию.</w:t>
      </w:r>
    </w:p>
    <w:p w:rsidR="00693EFB" w:rsidRPr="00FB6854" w:rsidRDefault="00693EFB" w:rsidP="00693EFB">
      <w:pPr>
        <w:ind w:firstLine="709"/>
        <w:jc w:val="both"/>
      </w:pPr>
    </w:p>
    <w:p w:rsidR="00B41279" w:rsidRPr="00FB6854" w:rsidRDefault="00B41279" w:rsidP="00B41279">
      <w:pPr>
        <w:ind w:firstLine="709"/>
        <w:jc w:val="center"/>
        <w:rPr>
          <w:b/>
          <w:i/>
        </w:rPr>
      </w:pPr>
      <w:r w:rsidRPr="00FB6854">
        <w:rPr>
          <w:b/>
          <w:i/>
        </w:rPr>
        <w:t>Состояние внутреннего финансового контроля и</w:t>
      </w:r>
    </w:p>
    <w:p w:rsidR="00B41279" w:rsidRPr="00FB6854" w:rsidRDefault="00B41279" w:rsidP="00B41279">
      <w:pPr>
        <w:ind w:firstLine="709"/>
        <w:jc w:val="center"/>
        <w:rPr>
          <w:b/>
          <w:i/>
        </w:rPr>
      </w:pPr>
      <w:r w:rsidRPr="00FB6854">
        <w:rPr>
          <w:b/>
          <w:i/>
        </w:rPr>
        <w:t xml:space="preserve"> внутреннего финансового аудита</w:t>
      </w:r>
    </w:p>
    <w:p w:rsidR="00FB6854" w:rsidRPr="00FB6854" w:rsidRDefault="00FB6854" w:rsidP="00FB6854">
      <w:pPr>
        <w:ind w:firstLine="709"/>
        <w:jc w:val="both"/>
      </w:pPr>
      <w:r w:rsidRPr="00FB6854">
        <w:t xml:space="preserve">В соответствии с </w:t>
      </w:r>
      <w:hyperlink r:id="rId8" w:history="1">
        <w:r w:rsidRPr="00FB6854">
          <w:t>пунктом 5 статьи 160.2-1</w:t>
        </w:r>
      </w:hyperlink>
      <w:r w:rsidRPr="00FB6854">
        <w:t xml:space="preserve"> БК РФ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FB6854" w:rsidRPr="00FB6854" w:rsidRDefault="00FB6854" w:rsidP="00FB6854">
      <w:pPr>
        <w:pStyle w:val="af1"/>
        <w:ind w:left="139" w:firstLine="570"/>
        <w:jc w:val="both"/>
        <w:rPr>
          <w:rFonts w:ascii="Times New Roman" w:hAnsi="Times New Roman" w:cs="Times New Roman"/>
        </w:rPr>
      </w:pPr>
      <w:r w:rsidRPr="00FB6854">
        <w:rPr>
          <w:rFonts w:ascii="Times New Roman" w:hAnsi="Times New Roman" w:cs="Times New Roman"/>
        </w:rPr>
        <w:t>Порядок осуществления внутреннего финансового контроля и внутреннего финансового аудита на территории Волгоградской области утверждён  постановлением Правительства Волгоградской области от 26.05.2014  № 266-п (далее – Порядок № 266-п).</w:t>
      </w:r>
    </w:p>
    <w:p w:rsidR="007E1235" w:rsidRPr="00FB6854" w:rsidRDefault="007E1235" w:rsidP="00B41279">
      <w:pPr>
        <w:ind w:firstLine="709"/>
        <w:jc w:val="both"/>
        <w:rPr>
          <w:i/>
          <w:u w:val="single"/>
        </w:rPr>
      </w:pPr>
      <w:r w:rsidRPr="00FB6854">
        <w:rPr>
          <w:i/>
          <w:u w:val="single"/>
        </w:rPr>
        <w:t>Внутренний финансовый контроль</w:t>
      </w:r>
    </w:p>
    <w:p w:rsidR="005D182F" w:rsidRPr="00FB6854" w:rsidRDefault="005D182F" w:rsidP="00B41279">
      <w:pPr>
        <w:ind w:firstLine="709"/>
        <w:jc w:val="both"/>
      </w:pPr>
      <w:r w:rsidRPr="00FB6854">
        <w:t>Согласно представленной к проверке информации контрольными мероприятиями в виде самоконтроля и контроля по уровню подчиненности охвачены все подразделения Комитета, общее количество бюджетных процедур, охваченных мероприятиями внутреннего финансового контроля</w:t>
      </w:r>
      <w:r w:rsidR="00673FA1">
        <w:t>,</w:t>
      </w:r>
      <w:r w:rsidRPr="00FB6854">
        <w:t xml:space="preserve"> – 15.</w:t>
      </w:r>
    </w:p>
    <w:p w:rsidR="00B41279" w:rsidRPr="00FB6854" w:rsidRDefault="005D182F" w:rsidP="00B41279">
      <w:pPr>
        <w:ind w:firstLine="709"/>
        <w:jc w:val="both"/>
      </w:pPr>
      <w:r w:rsidRPr="00FB6854">
        <w:t>В</w:t>
      </w:r>
      <w:r w:rsidR="00676D41" w:rsidRPr="00FB6854">
        <w:t xml:space="preserve"> </w:t>
      </w:r>
      <w:r w:rsidR="00956284">
        <w:t>Т</w:t>
      </w:r>
      <w:r w:rsidR="00676D41" w:rsidRPr="00FB6854">
        <w:t xml:space="preserve">аблице № 5 к пояснительной записке Комитетом </w:t>
      </w:r>
      <w:r w:rsidRPr="00FB6854">
        <w:t xml:space="preserve">отражено, что </w:t>
      </w:r>
      <w:r w:rsidR="00676D41" w:rsidRPr="00FB6854">
        <w:t>в рамках внутреннего контроля осуществлялись процедуры предварительного, текущего и последующего контроля. При этом проведены такие мероприятия как контроль за оформлением первичных документов, контроль за соответствием поступивших материальных ценностей первичным документам, проверка ведения учета материальных ценностей и контроль за их сохранностью и т. д. Согласно отчетности нарушений при проведении внутреннего контроля в 2015 году не выявлено.</w:t>
      </w:r>
    </w:p>
    <w:p w:rsidR="00676D41" w:rsidRPr="00FB6854" w:rsidRDefault="007E1235" w:rsidP="00B41279">
      <w:pPr>
        <w:ind w:firstLine="709"/>
        <w:jc w:val="both"/>
        <w:rPr>
          <w:i/>
          <w:u w:val="single"/>
        </w:rPr>
      </w:pPr>
      <w:r w:rsidRPr="00FB6854">
        <w:rPr>
          <w:i/>
          <w:u w:val="single"/>
        </w:rPr>
        <w:t>Внутренний финансовый аудит</w:t>
      </w:r>
    </w:p>
    <w:p w:rsidR="00EA0804" w:rsidRPr="00FB6854" w:rsidRDefault="00EA0804" w:rsidP="00EA0804">
      <w:pPr>
        <w:autoSpaceDE w:val="0"/>
        <w:autoSpaceDN w:val="0"/>
        <w:adjustRightInd w:val="0"/>
        <w:ind w:firstLine="720"/>
        <w:jc w:val="both"/>
        <w:rPr>
          <w:u w:val="single"/>
        </w:rPr>
      </w:pPr>
      <w:bookmarkStart w:id="2" w:name="sub_33"/>
      <w:r w:rsidRPr="00FB6854">
        <w:t xml:space="preserve">В соответствии с п. 3.3. </w:t>
      </w:r>
      <w:r w:rsidR="00956284">
        <w:t>Порядка</w:t>
      </w:r>
      <w:r w:rsidRPr="00FB6854">
        <w:t xml:space="preserve"> № 266-п объектами внутреннего финансового аудита являются </w:t>
      </w:r>
      <w:r w:rsidRPr="00FB6854">
        <w:rPr>
          <w:u w:val="single"/>
        </w:rPr>
        <w:t>структурные подразделения главного администратора бюджетных средств, подведомственные ему администраторы бюджетных средств и получатели бюджетных средств.</w:t>
      </w:r>
    </w:p>
    <w:bookmarkEnd w:id="2"/>
    <w:p w:rsidR="00B41279" w:rsidRPr="00FB6854" w:rsidRDefault="00B41279" w:rsidP="00B41279">
      <w:pPr>
        <w:ind w:firstLine="709"/>
        <w:jc w:val="both"/>
      </w:pPr>
      <w:r w:rsidRPr="00FB6854">
        <w:t xml:space="preserve">Согласно данным Таблицы 5 к Пояснительной записке </w:t>
      </w:r>
      <w:r w:rsidR="00EA0804" w:rsidRPr="00FB6854">
        <w:t>и перечню проведенных аудиторских проверок за 2015 год в</w:t>
      </w:r>
      <w:r w:rsidRPr="00FB6854">
        <w:t xml:space="preserve"> качестве мероприятия внутреннего финансового контроля (аудита) указано «исполнение государственного задания  ГБУ ЦИТ за 9 месяцев 201</w:t>
      </w:r>
      <w:r w:rsidR="00EA0804" w:rsidRPr="00FB6854">
        <w:t>5</w:t>
      </w:r>
      <w:r w:rsidR="00673FA1">
        <w:t xml:space="preserve"> </w:t>
      </w:r>
      <w:r w:rsidRPr="00FB6854">
        <w:t xml:space="preserve">года», нарушения не выявлены. </w:t>
      </w:r>
      <w:r w:rsidR="00EA0804" w:rsidRPr="00FB6854">
        <w:t xml:space="preserve">Иных мероприятий </w:t>
      </w:r>
      <w:r w:rsidR="00D02F7D" w:rsidRPr="00FB6854">
        <w:t>внутреннего финансового аудита Комитетом не указано.</w:t>
      </w:r>
    </w:p>
    <w:p w:rsidR="00424E76" w:rsidRPr="0073296B" w:rsidRDefault="00424E76" w:rsidP="00424E76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693EFB" w:rsidRPr="00A8308B" w:rsidRDefault="00693EFB" w:rsidP="00693EFB">
      <w:pPr>
        <w:autoSpaceDE w:val="0"/>
        <w:autoSpaceDN w:val="0"/>
        <w:adjustRightInd w:val="0"/>
        <w:jc w:val="center"/>
        <w:rPr>
          <w:b/>
          <w:i/>
        </w:rPr>
      </w:pPr>
      <w:r w:rsidRPr="00A8308B">
        <w:rPr>
          <w:b/>
          <w:i/>
        </w:rPr>
        <w:t>Предоставление субсидий ГБУ «ЦИТ»</w:t>
      </w:r>
    </w:p>
    <w:p w:rsidR="00424E76" w:rsidRPr="00A8308B" w:rsidRDefault="00424E76" w:rsidP="00A8308B">
      <w:pPr>
        <w:autoSpaceDE w:val="0"/>
        <w:autoSpaceDN w:val="0"/>
        <w:adjustRightInd w:val="0"/>
        <w:ind w:firstLine="709"/>
        <w:jc w:val="both"/>
      </w:pPr>
      <w:r w:rsidRPr="00A8308B">
        <w:t>Соглашениями о предоставлении субсидий из бюджета Волгоградской области</w:t>
      </w:r>
      <w:r w:rsidR="00A8308B" w:rsidRPr="00A8308B">
        <w:t xml:space="preserve"> предусмотрено учреждению предоставление субсидий на выполнение государственного задания (в рамках реализации 4-х государственных программ) и </w:t>
      </w:r>
      <w:r w:rsidRPr="00A8308B">
        <w:t>на иные цели</w:t>
      </w:r>
      <w:r w:rsidR="00A8308B" w:rsidRPr="00A8308B">
        <w:t xml:space="preserve"> </w:t>
      </w:r>
      <w:r w:rsidRPr="00A8308B">
        <w:t xml:space="preserve">– </w:t>
      </w:r>
      <w:r w:rsidR="00A8308B" w:rsidRPr="00A8308B">
        <w:t xml:space="preserve">на приобретение основных средств,  </w:t>
      </w:r>
      <w:r w:rsidRPr="00A8308B">
        <w:t>исполнени</w:t>
      </w:r>
      <w:r w:rsidR="00A8308B" w:rsidRPr="00A8308B">
        <w:t>е судебных решений</w:t>
      </w:r>
      <w:r w:rsidRPr="00A8308B">
        <w:t xml:space="preserve"> </w:t>
      </w:r>
      <w:r w:rsidR="00A8308B" w:rsidRPr="00A8308B">
        <w:t>и</w:t>
      </w:r>
      <w:r w:rsidRPr="00A8308B">
        <w:t xml:space="preserve"> погашение кредиторской задолженности, возникшей в результате недофинансирования расходов </w:t>
      </w:r>
      <w:r w:rsidR="00A8308B" w:rsidRPr="00A8308B">
        <w:t>в предыдущие годы</w:t>
      </w:r>
      <w:r w:rsidRPr="00A8308B">
        <w:t>.</w:t>
      </w:r>
    </w:p>
    <w:p w:rsidR="00424E76" w:rsidRPr="00A8308B" w:rsidRDefault="00424E76" w:rsidP="00424E76">
      <w:pPr>
        <w:autoSpaceDE w:val="0"/>
        <w:autoSpaceDN w:val="0"/>
        <w:adjustRightInd w:val="0"/>
        <w:ind w:firstLine="709"/>
        <w:jc w:val="both"/>
      </w:pPr>
    </w:p>
    <w:p w:rsidR="00424E76" w:rsidRPr="00A8308B" w:rsidRDefault="00424E76" w:rsidP="00424E76">
      <w:pPr>
        <w:autoSpaceDE w:val="0"/>
        <w:autoSpaceDN w:val="0"/>
        <w:adjustRightInd w:val="0"/>
        <w:ind w:firstLine="709"/>
        <w:jc w:val="both"/>
      </w:pPr>
      <w:r w:rsidRPr="00A8308B">
        <w:t>Информация об исполнении учреждением плана его финансово-хозяйственной деятельности представлена в отчете (ф. 0503737) и в сокращенном виде в таблице.</w:t>
      </w:r>
    </w:p>
    <w:p w:rsidR="00424E76" w:rsidRPr="00A8308B" w:rsidRDefault="00424E76" w:rsidP="00424E76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A8308B">
        <w:rPr>
          <w:i/>
          <w:sz w:val="22"/>
          <w:szCs w:val="22"/>
        </w:rPr>
        <w:t>тыс. руб.</w:t>
      </w:r>
    </w:p>
    <w:tbl>
      <w:tblPr>
        <w:tblW w:w="9653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00"/>
        <w:gridCol w:w="1025"/>
        <w:gridCol w:w="914"/>
        <w:gridCol w:w="1025"/>
        <w:gridCol w:w="914"/>
        <w:gridCol w:w="1023"/>
        <w:gridCol w:w="1052"/>
      </w:tblGrid>
      <w:tr w:rsidR="00424E76" w:rsidRPr="00A8308B" w:rsidTr="00293101">
        <w:trPr>
          <w:trHeight w:val="495"/>
        </w:trPr>
        <w:tc>
          <w:tcPr>
            <w:tcW w:w="3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государственное задание</w:t>
            </w:r>
          </w:p>
        </w:tc>
        <w:tc>
          <w:tcPr>
            <w:tcW w:w="20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субсидия на иные цели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4E76" w:rsidRPr="00A8308B" w:rsidRDefault="00424E76" w:rsidP="0029310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Утвержд.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Исполн.</w:t>
            </w: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Утвержд.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Исполн.</w:t>
            </w:r>
          </w:p>
        </w:tc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Утвержд.</w:t>
            </w:r>
          </w:p>
        </w:tc>
        <w:tc>
          <w:tcPr>
            <w:tcW w:w="10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center"/>
              <w:rPr>
                <w:sz w:val="20"/>
                <w:szCs w:val="20"/>
              </w:rPr>
            </w:pPr>
            <w:r w:rsidRPr="00A8308B">
              <w:rPr>
                <w:sz w:val="20"/>
                <w:szCs w:val="20"/>
              </w:rPr>
              <w:t>Исполн.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b/>
                <w:bCs/>
                <w:sz w:val="20"/>
                <w:szCs w:val="20"/>
              </w:rPr>
            </w:pPr>
            <w:r w:rsidRPr="00A8308B">
              <w:rPr>
                <w:b/>
                <w:bCs/>
                <w:sz w:val="20"/>
                <w:szCs w:val="20"/>
              </w:rPr>
              <w:t>Доходы  - всего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3 740,2</w:t>
            </w:r>
          </w:p>
        </w:tc>
        <w:tc>
          <w:tcPr>
            <w:tcW w:w="9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3 822,4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96 168,9</w:t>
            </w:r>
          </w:p>
        </w:tc>
        <w:tc>
          <w:tcPr>
            <w:tcW w:w="9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87 650,6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64 056,0</w:t>
            </w:r>
          </w:p>
        </w:tc>
        <w:tc>
          <w:tcPr>
            <w:tcW w:w="10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63 028,8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доходы от штрафов, пеней…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153,6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155,9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оказание платных услуг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3 570,1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3 615,0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предоставление субсидий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96 168,9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87 650,6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64 056,1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63 046,2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прочие доходы</w:t>
            </w: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16,6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51,6</w:t>
            </w: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-0,05</w:t>
            </w:r>
          </w:p>
        </w:tc>
        <w:tc>
          <w:tcPr>
            <w:tcW w:w="10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-17,4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424E76" w:rsidRPr="00A8308B" w:rsidRDefault="00424E76" w:rsidP="00293101">
            <w:pPr>
              <w:rPr>
                <w:b/>
                <w:bCs/>
                <w:sz w:val="20"/>
                <w:szCs w:val="20"/>
              </w:rPr>
            </w:pPr>
            <w:r w:rsidRPr="00A8308B">
              <w:rPr>
                <w:b/>
                <w:bCs/>
                <w:sz w:val="20"/>
                <w:szCs w:val="20"/>
              </w:rPr>
              <w:t>Расходы  - всего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4 101,5</w:t>
            </w:r>
          </w:p>
        </w:tc>
        <w:tc>
          <w:tcPr>
            <w:tcW w:w="9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3 698,8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96 226,8</w:t>
            </w:r>
          </w:p>
        </w:tc>
        <w:tc>
          <w:tcPr>
            <w:tcW w:w="9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77 099,1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64 056,2</w:t>
            </w:r>
          </w:p>
        </w:tc>
        <w:tc>
          <w:tcPr>
            <w:tcW w:w="10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24E76" w:rsidRPr="00A8308B" w:rsidRDefault="00424E76" w:rsidP="00293101">
            <w:pPr>
              <w:jc w:val="right"/>
              <w:rPr>
                <w:b/>
                <w:bCs/>
                <w:sz w:val="18"/>
                <w:szCs w:val="18"/>
              </w:rPr>
            </w:pPr>
            <w:r w:rsidRPr="00A8308B">
              <w:rPr>
                <w:b/>
                <w:bCs/>
                <w:sz w:val="18"/>
                <w:szCs w:val="18"/>
              </w:rPr>
              <w:t>63 027,9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24E76" w:rsidRPr="00A8308B" w:rsidTr="00293101">
        <w:trPr>
          <w:trHeight w:val="64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1 293,2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979,7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35 109,0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34 947,9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302,9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302,9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2 043,5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2 009,6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57 003,3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38 611,4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17 933,7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17 933,7</w:t>
            </w:r>
          </w:p>
        </w:tc>
      </w:tr>
      <w:tr w:rsidR="00424E76" w:rsidRPr="00A8308B" w:rsidTr="00293101">
        <w:trPr>
          <w:trHeight w:val="255"/>
        </w:trPr>
        <w:tc>
          <w:tcPr>
            <w:tcW w:w="3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109,8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59,4</w:t>
            </w:r>
          </w:p>
        </w:tc>
        <w:tc>
          <w:tcPr>
            <w:tcW w:w="102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98,6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90,0</w:t>
            </w:r>
          </w:p>
        </w:tc>
        <w:tc>
          <w:tcPr>
            <w:tcW w:w="102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364,0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364,0</w:t>
            </w:r>
          </w:p>
        </w:tc>
      </w:tr>
      <w:tr w:rsidR="00424E76" w:rsidRPr="00A8308B" w:rsidTr="00293101">
        <w:trPr>
          <w:trHeight w:val="510"/>
        </w:trPr>
        <w:tc>
          <w:tcPr>
            <w:tcW w:w="3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4E76" w:rsidRPr="00A8308B" w:rsidRDefault="00424E76" w:rsidP="00293101">
            <w:pPr>
              <w:rPr>
                <w:i/>
                <w:iCs/>
                <w:sz w:val="20"/>
                <w:szCs w:val="20"/>
              </w:rPr>
            </w:pPr>
            <w:r w:rsidRPr="00A8308B">
              <w:rPr>
                <w:i/>
                <w:iCs/>
                <w:sz w:val="20"/>
                <w:szCs w:val="20"/>
              </w:rPr>
              <w:t xml:space="preserve">Расходы по приобретению нефинансовых активов </w:t>
            </w: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655,0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10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4 015,9</w:t>
            </w:r>
          </w:p>
        </w:tc>
        <w:tc>
          <w:tcPr>
            <w:tcW w:w="9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3 449,8</w:t>
            </w:r>
          </w:p>
        </w:tc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45 455,5</w:t>
            </w:r>
          </w:p>
        </w:tc>
        <w:tc>
          <w:tcPr>
            <w:tcW w:w="10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4E76" w:rsidRPr="00A8308B" w:rsidRDefault="00424E76" w:rsidP="00293101">
            <w:pPr>
              <w:jc w:val="right"/>
              <w:rPr>
                <w:i/>
                <w:iCs/>
                <w:sz w:val="18"/>
                <w:szCs w:val="18"/>
              </w:rPr>
            </w:pPr>
            <w:r w:rsidRPr="00A8308B">
              <w:rPr>
                <w:i/>
                <w:iCs/>
                <w:sz w:val="18"/>
                <w:szCs w:val="18"/>
              </w:rPr>
              <w:t>44 427,3</w:t>
            </w:r>
          </w:p>
        </w:tc>
      </w:tr>
    </w:tbl>
    <w:p w:rsidR="00424E76" w:rsidRPr="00A8308B" w:rsidRDefault="00424E76" w:rsidP="00424E76">
      <w:pPr>
        <w:autoSpaceDE w:val="0"/>
        <w:autoSpaceDN w:val="0"/>
        <w:adjustRightInd w:val="0"/>
        <w:ind w:firstLine="709"/>
        <w:jc w:val="both"/>
      </w:pPr>
    </w:p>
    <w:p w:rsidR="00424E76" w:rsidRPr="00A8308B" w:rsidRDefault="00424E76" w:rsidP="00424E76">
      <w:pPr>
        <w:autoSpaceDE w:val="0"/>
        <w:autoSpaceDN w:val="0"/>
        <w:adjustRightInd w:val="0"/>
        <w:ind w:firstLine="709"/>
        <w:jc w:val="both"/>
      </w:pPr>
      <w:r w:rsidRPr="00A8308B">
        <w:t>Субсидия на финансовое обеспечение государственного задания на оказание государственных услуг (выполнение работ) предоставлена учреждению в сумме 87 650,6 тыс. руб., или на 8 518,3 тыс. руб. меньше предусмотренного объема. С учетом остатка субсидии на 01.01.2015 в сумме 57,9 тыс. руб. расходы учреждения за счет субсидии на финансовое обеспечение выполнения государственного задания утверждены в сумме 96 226,8 тыс. рублей. В 2015 году расходы осуществлены в сумме 77 099,1 тыс. руб., что составило 80,1% от предусмотренного объема. Основная доля расходов учреждения пришлась на приобретение работ, услуг (38 611,4 тыс. руб., 50,1%) и на расходы по оплате труда с начислениями (34 947,9 тыс. руб., 45,3%).</w:t>
      </w:r>
    </w:p>
    <w:p w:rsidR="00424E76" w:rsidRPr="00C31EBD" w:rsidRDefault="00424E76" w:rsidP="00424E76">
      <w:pPr>
        <w:autoSpaceDE w:val="0"/>
        <w:autoSpaceDN w:val="0"/>
        <w:adjustRightInd w:val="0"/>
        <w:ind w:firstLine="709"/>
        <w:jc w:val="both"/>
      </w:pPr>
      <w:r w:rsidRPr="00C31EBD">
        <w:t>Субсидия на иные цели предоставлена в сумме 63 046,2 тыс. руб. (98,4%), или на 1 009,9 тыс. руб. меньше предусмотренного Соглашением объема.</w:t>
      </w:r>
    </w:p>
    <w:p w:rsidR="00424E76" w:rsidRPr="00C31EBD" w:rsidRDefault="00424E76" w:rsidP="00424E76">
      <w:pPr>
        <w:autoSpaceDE w:val="0"/>
        <w:autoSpaceDN w:val="0"/>
        <w:adjustRightInd w:val="0"/>
        <w:ind w:firstLine="709"/>
        <w:jc w:val="both"/>
      </w:pPr>
      <w:r w:rsidRPr="00C31EBD">
        <w:t xml:space="preserve">Следует отметить, что в 2015 году ГБУ «ЦИТ» за счет субсидии на иные цели </w:t>
      </w:r>
      <w:r w:rsidR="00A8308B" w:rsidRPr="00C31EBD">
        <w:t xml:space="preserve">произведены </w:t>
      </w:r>
      <w:r w:rsidRPr="00C31EBD">
        <w:t xml:space="preserve">расходы на исполнение судебных актов в сумме 9 830,1 тыс. руб., из них 364,0 тыс. руб. направлены на оплату судебных расходов в виде неустоек, госпошлины и пени. Указанные дополнительные расходы областного бюджета </w:t>
      </w:r>
      <w:r w:rsidR="00C31EBD" w:rsidRPr="00C31EBD">
        <w:t xml:space="preserve">не отвечают принципу эффективности использования бюджетных средств, определенному ст.34 БК РФ, и </w:t>
      </w:r>
      <w:r w:rsidRPr="00C31EBD">
        <w:t xml:space="preserve">возникли </w:t>
      </w:r>
      <w:r w:rsidRPr="006018B4">
        <w:t xml:space="preserve">в результате </w:t>
      </w:r>
      <w:r w:rsidR="00673FA1">
        <w:t>не</w:t>
      </w:r>
      <w:r w:rsidRPr="006018B4">
        <w:t>финансирования</w:t>
      </w:r>
      <w:r w:rsidR="004B6ED0" w:rsidRPr="006018B4">
        <w:t xml:space="preserve"> </w:t>
      </w:r>
      <w:r w:rsidR="006018B4" w:rsidRPr="006018B4">
        <w:t>финансовым органом предусмотренных учреждению субсиди</w:t>
      </w:r>
      <w:r w:rsidR="00327D75">
        <w:t>й</w:t>
      </w:r>
      <w:r w:rsidR="006018B4" w:rsidRPr="006018B4">
        <w:t xml:space="preserve"> в предыдущие годы</w:t>
      </w:r>
      <w:r w:rsidRPr="006018B4">
        <w:t>.</w:t>
      </w:r>
      <w:r w:rsidRPr="00C31EBD">
        <w:t xml:space="preserve"> </w:t>
      </w:r>
    </w:p>
    <w:p w:rsidR="00424E76" w:rsidRPr="00C31EBD" w:rsidRDefault="00424E76" w:rsidP="00424E76">
      <w:pPr>
        <w:ind w:firstLine="709"/>
        <w:jc w:val="both"/>
        <w:rPr>
          <w:bCs/>
        </w:rPr>
      </w:pPr>
      <w:r w:rsidRPr="00C31EBD">
        <w:rPr>
          <w:bCs/>
        </w:rPr>
        <w:t>В течение 2015 года кредиторская задолженность по деятельности в рамках государственного задания уменьшилась на 13 009,1 тыс. руб. и на 01.01.2016 составила 10 985,7 тыс. рублей. Задолженность образовалась в результате позднего (30-31.12.2015) зачисления средств на лицевой счет учреждения</w:t>
      </w:r>
      <w:r w:rsidR="00C31EBD" w:rsidRPr="00C31EBD">
        <w:rPr>
          <w:bCs/>
        </w:rPr>
        <w:t xml:space="preserve"> и практически полностью обеспечена остатком средств субсидии на выполнение государственного задания (</w:t>
      </w:r>
      <w:r w:rsidR="00C31EBD" w:rsidRPr="00C31EBD">
        <w:t>10 609,4 тыс. руб.</w:t>
      </w:r>
      <w:r w:rsidR="00C31EBD" w:rsidRPr="00C31EBD">
        <w:rPr>
          <w:bCs/>
        </w:rPr>
        <w:t>)</w:t>
      </w:r>
      <w:r w:rsidRPr="00C31EBD">
        <w:rPr>
          <w:bCs/>
        </w:rPr>
        <w:t>.</w:t>
      </w:r>
    </w:p>
    <w:p w:rsidR="00424E76" w:rsidRPr="00C31EBD" w:rsidRDefault="00424E76" w:rsidP="00424E76">
      <w:pPr>
        <w:ind w:firstLine="709"/>
        <w:jc w:val="both"/>
        <w:rPr>
          <w:bCs/>
        </w:rPr>
      </w:pPr>
      <w:r w:rsidRPr="00C31EBD">
        <w:rPr>
          <w:bCs/>
        </w:rPr>
        <w:t>Кредиторская задолженность по деятельности, не относящейся к выполнению государственного задания, на 01.01.2016 сложилась в сумме 10 012,4 тыс. руб. за поставленное оборудование в 2014 году и образовалась из-за недофинансирования субсидии на государственное задание</w:t>
      </w:r>
      <w:r w:rsidR="0033480B">
        <w:rPr>
          <w:bCs/>
        </w:rPr>
        <w:t xml:space="preserve"> 2014 года и была переведена как задолженность по субсидии на иные </w:t>
      </w:r>
      <w:r w:rsidR="0033480B">
        <w:rPr>
          <w:bCs/>
        </w:rPr>
        <w:lastRenderedPageBreak/>
        <w:t>цели на погашение кредиторской задолженности</w:t>
      </w:r>
      <w:r w:rsidRPr="00C31EBD">
        <w:rPr>
          <w:bCs/>
        </w:rPr>
        <w:t xml:space="preserve">. Согласно пояснительной записке </w:t>
      </w:r>
      <w:r w:rsidR="0033480B">
        <w:rPr>
          <w:bCs/>
        </w:rPr>
        <w:t xml:space="preserve">из </w:t>
      </w:r>
      <w:r w:rsidR="0033480B" w:rsidRPr="00C31EBD">
        <w:rPr>
          <w:bCs/>
        </w:rPr>
        <w:t>10 012,4 тыс. руб.</w:t>
      </w:r>
      <w:r w:rsidR="0033480B">
        <w:rPr>
          <w:bCs/>
        </w:rPr>
        <w:t xml:space="preserve"> по </w:t>
      </w:r>
      <w:r w:rsidRPr="00C31EBD">
        <w:rPr>
          <w:bCs/>
        </w:rPr>
        <w:t>задолженност</w:t>
      </w:r>
      <w:r w:rsidR="0033480B">
        <w:rPr>
          <w:bCs/>
        </w:rPr>
        <w:t>и</w:t>
      </w:r>
      <w:r w:rsidRPr="00C31EBD">
        <w:rPr>
          <w:bCs/>
        </w:rPr>
        <w:t xml:space="preserve"> в сумме 9 886,2 тыс. руб. </w:t>
      </w:r>
      <w:r w:rsidR="0033480B">
        <w:rPr>
          <w:bCs/>
        </w:rPr>
        <w:t>имеется</w:t>
      </w:r>
      <w:r w:rsidRPr="00C31EBD">
        <w:rPr>
          <w:bCs/>
        </w:rPr>
        <w:t xml:space="preserve"> судебн</w:t>
      </w:r>
      <w:r w:rsidR="0033480B">
        <w:rPr>
          <w:bCs/>
        </w:rPr>
        <w:t>ое</w:t>
      </w:r>
      <w:r w:rsidRPr="00C31EBD">
        <w:rPr>
          <w:bCs/>
        </w:rPr>
        <w:t xml:space="preserve"> решени</w:t>
      </w:r>
      <w:r w:rsidR="0033480B">
        <w:rPr>
          <w:bCs/>
        </w:rPr>
        <w:t>е</w:t>
      </w:r>
      <w:r w:rsidRPr="00C31EBD">
        <w:rPr>
          <w:bCs/>
        </w:rPr>
        <w:t xml:space="preserve"> </w:t>
      </w:r>
      <w:r w:rsidR="0033480B">
        <w:rPr>
          <w:bCs/>
        </w:rPr>
        <w:t>и</w:t>
      </w:r>
      <w:r w:rsidRPr="00C31EBD">
        <w:rPr>
          <w:bCs/>
        </w:rPr>
        <w:t xml:space="preserve"> исполнительны</w:t>
      </w:r>
      <w:r w:rsidR="0033480B">
        <w:rPr>
          <w:bCs/>
        </w:rPr>
        <w:t>й</w:t>
      </w:r>
      <w:r w:rsidRPr="00C31EBD">
        <w:rPr>
          <w:bCs/>
        </w:rPr>
        <w:t xml:space="preserve"> лист на оплату за счет средств казны Волгоградской области, </w:t>
      </w:r>
      <w:r w:rsidR="0033480B">
        <w:rPr>
          <w:bCs/>
        </w:rPr>
        <w:t>и не будет погашаться непосредственно учреждением</w:t>
      </w:r>
      <w:r w:rsidRPr="00C31EBD">
        <w:rPr>
          <w:bCs/>
        </w:rPr>
        <w:t xml:space="preserve">. На 01.01.2016 исполнительный лист в учреждение </w:t>
      </w:r>
      <w:r w:rsidR="0033480B">
        <w:rPr>
          <w:bCs/>
        </w:rPr>
        <w:t xml:space="preserve">для списания задолженности </w:t>
      </w:r>
      <w:r w:rsidRPr="00C31EBD">
        <w:rPr>
          <w:bCs/>
        </w:rPr>
        <w:t>не поступал.</w:t>
      </w:r>
    </w:p>
    <w:p w:rsidR="00424E76" w:rsidRPr="0073296B" w:rsidRDefault="00424E76" w:rsidP="00424E76">
      <w:pPr>
        <w:ind w:firstLine="709"/>
        <w:jc w:val="both"/>
        <w:rPr>
          <w:bCs/>
          <w:color w:val="0070C0"/>
        </w:rPr>
      </w:pPr>
    </w:p>
    <w:p w:rsidR="00693EFB" w:rsidRPr="00C31EBD" w:rsidRDefault="00693EFB" w:rsidP="00693EFB">
      <w:pPr>
        <w:jc w:val="center"/>
        <w:rPr>
          <w:b/>
          <w:bCs/>
          <w:i/>
        </w:rPr>
      </w:pPr>
      <w:r w:rsidRPr="00C31EBD">
        <w:rPr>
          <w:b/>
          <w:bCs/>
          <w:i/>
        </w:rPr>
        <w:t>Исполнение государственного задания ГБУ «ЦИТ»</w:t>
      </w:r>
    </w:p>
    <w:p w:rsidR="00963175" w:rsidRDefault="00963175" w:rsidP="00424E76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175">
        <w:rPr>
          <w:rFonts w:ascii="Times New Roman" w:hAnsi="Times New Roman" w:cs="Times New Roman"/>
        </w:rPr>
        <w:t xml:space="preserve">Субсидия на финансовое обеспечение государственного задания на оказание государственных услуг (выполнение работ) предоставлена учреждению в сумме 87 650,6 тыс. руб., или на 8 518,3 тыс. руб. меньше предусмотренного объема. </w:t>
      </w:r>
    </w:p>
    <w:p w:rsidR="00C31EBD" w:rsidRPr="00963175" w:rsidRDefault="00D32766" w:rsidP="00424E76">
      <w:pPr>
        <w:pStyle w:val="af1"/>
        <w:ind w:firstLine="709"/>
        <w:jc w:val="both"/>
        <w:rPr>
          <w:rFonts w:ascii="Times New Roman" w:hAnsi="Times New Roman" w:cs="Times New Roman"/>
        </w:rPr>
      </w:pPr>
      <w:hyperlink w:anchor="sub_1000" w:history="1">
        <w:r w:rsidR="00424E76" w:rsidRPr="00963175">
          <w:rPr>
            <w:rFonts w:ascii="Times New Roman" w:hAnsi="Times New Roman" w:cs="Times New Roman"/>
          </w:rPr>
          <w:t>Перечень</w:t>
        </w:r>
      </w:hyperlink>
      <w:r w:rsidR="00424E76" w:rsidRPr="00963175">
        <w:rPr>
          <w:rFonts w:ascii="Times New Roman" w:hAnsi="Times New Roman" w:cs="Times New Roman"/>
        </w:rPr>
        <w:t xml:space="preserve"> государственных услуг (работ), оказываемых (выполняемых) учреждением, утверждён постановлением Главы Администрации Волгоградской области от 10.11.2011 №1231 (утратило силу с 01.01.2016) и включал в себя три услуги и </w:t>
      </w:r>
      <w:r w:rsidR="00044860" w:rsidRPr="00963175">
        <w:rPr>
          <w:rFonts w:ascii="Times New Roman" w:hAnsi="Times New Roman" w:cs="Times New Roman"/>
        </w:rPr>
        <w:t>восемь</w:t>
      </w:r>
      <w:r w:rsidR="00424E76" w:rsidRPr="00963175">
        <w:rPr>
          <w:rFonts w:ascii="Times New Roman" w:hAnsi="Times New Roman" w:cs="Times New Roman"/>
        </w:rPr>
        <w:t xml:space="preserve"> работ</w:t>
      </w:r>
      <w:r w:rsidR="00C31EBD" w:rsidRPr="00963175">
        <w:rPr>
          <w:rFonts w:ascii="Times New Roman" w:hAnsi="Times New Roman" w:cs="Times New Roman"/>
        </w:rPr>
        <w:t>.</w:t>
      </w:r>
    </w:p>
    <w:p w:rsidR="00424E76" w:rsidRPr="006C219C" w:rsidRDefault="00424E76" w:rsidP="00424E76">
      <w:pPr>
        <w:autoSpaceDE w:val="0"/>
        <w:autoSpaceDN w:val="0"/>
        <w:adjustRightInd w:val="0"/>
        <w:ind w:firstLine="720"/>
        <w:jc w:val="both"/>
      </w:pPr>
      <w:r w:rsidRPr="006C219C">
        <w:t xml:space="preserve">Информация об исполнении ГБУ «ЦИТ» государственного задания представлена </w:t>
      </w:r>
      <w:r w:rsidR="005C05DD" w:rsidRPr="006C219C">
        <w:t xml:space="preserve">учреждением </w:t>
      </w:r>
      <w:r w:rsidRPr="006C219C">
        <w:t>в «сведениях о результатах деятельности учреждения по исполнению государственного задания» (ф. 0503762)</w:t>
      </w:r>
      <w:r w:rsidR="005C05DD" w:rsidRPr="006C219C">
        <w:t>. Информация о неисполненных показателях госзадания – 1 из 3 по услугам и 2 из 18 по работам приведена в следующей таблице.</w:t>
      </w:r>
    </w:p>
    <w:tbl>
      <w:tblPr>
        <w:tblW w:w="964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521"/>
        <w:gridCol w:w="848"/>
        <w:gridCol w:w="1046"/>
        <w:gridCol w:w="1224"/>
        <w:gridCol w:w="8"/>
      </w:tblGrid>
      <w:tr w:rsidR="00424E76" w:rsidRPr="007A4597" w:rsidTr="008E0382">
        <w:tc>
          <w:tcPr>
            <w:tcW w:w="652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Ед. изм.</w:t>
            </w:r>
          </w:p>
        </w:tc>
        <w:tc>
          <w:tcPr>
            <w:tcW w:w="227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Значение показателей</w:t>
            </w:r>
          </w:p>
        </w:tc>
      </w:tr>
      <w:tr w:rsidR="00424E76" w:rsidRPr="007A4597" w:rsidTr="008E0382">
        <w:tc>
          <w:tcPr>
            <w:tcW w:w="652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план</w:t>
            </w:r>
          </w:p>
        </w:tc>
        <w:tc>
          <w:tcPr>
            <w:tcW w:w="123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факт</w:t>
            </w:r>
          </w:p>
        </w:tc>
      </w:tr>
      <w:tr w:rsidR="00424E76" w:rsidRPr="007A4597" w:rsidTr="008E0382">
        <w:tc>
          <w:tcPr>
            <w:tcW w:w="9647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b/>
                <w:i/>
                <w:sz w:val="20"/>
                <w:szCs w:val="20"/>
              </w:rPr>
            </w:pPr>
            <w:r w:rsidRPr="007A4597">
              <w:rPr>
                <w:b/>
                <w:i/>
                <w:sz w:val="20"/>
                <w:szCs w:val="20"/>
              </w:rPr>
              <w:t>Государственные услуги</w:t>
            </w:r>
          </w:p>
        </w:tc>
      </w:tr>
      <w:tr w:rsidR="00424E76" w:rsidRPr="007A4597" w:rsidTr="007A4597">
        <w:trPr>
          <w:gridAfter w:val="1"/>
          <w:wAfter w:w="8" w:type="dxa"/>
        </w:trPr>
        <w:tc>
          <w:tcPr>
            <w:tcW w:w="65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both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Количество созданных и выданных ключей электронных подписей…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2750</w:t>
            </w:r>
          </w:p>
        </w:tc>
        <w:tc>
          <w:tcPr>
            <w:tcW w:w="12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2713</w:t>
            </w:r>
          </w:p>
        </w:tc>
      </w:tr>
      <w:tr w:rsidR="00424E76" w:rsidRPr="007A4597" w:rsidTr="007A4597">
        <w:trPr>
          <w:gridAfter w:val="1"/>
          <w:wAfter w:w="8" w:type="dxa"/>
          <w:trHeight w:val="127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b/>
                <w:i/>
                <w:sz w:val="20"/>
                <w:szCs w:val="20"/>
              </w:rPr>
            </w:pPr>
            <w:r w:rsidRPr="007A4597">
              <w:rPr>
                <w:b/>
                <w:i/>
                <w:sz w:val="20"/>
                <w:szCs w:val="20"/>
              </w:rPr>
              <w:t>Государственные работы</w:t>
            </w:r>
          </w:p>
        </w:tc>
      </w:tr>
      <w:tr w:rsidR="00424E76" w:rsidRPr="007A4597" w:rsidTr="007A4597">
        <w:trPr>
          <w:trHeight w:val="64"/>
        </w:trPr>
        <w:tc>
          <w:tcPr>
            <w:tcW w:w="65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both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Количество эксплуатируемых в органах исполнительной власти информационных систем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16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15</w:t>
            </w:r>
          </w:p>
        </w:tc>
      </w:tr>
      <w:tr w:rsidR="00424E76" w:rsidRPr="006C219C" w:rsidTr="007A4597">
        <w:trPr>
          <w:trHeight w:val="64"/>
        </w:trPr>
        <w:tc>
          <w:tcPr>
            <w:tcW w:w="65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both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Количество выпущенных универсальных электронных карт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2552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E76" w:rsidRPr="007A4597" w:rsidRDefault="00424E76" w:rsidP="00293101">
            <w:pPr>
              <w:jc w:val="center"/>
              <w:rPr>
                <w:sz w:val="20"/>
                <w:szCs w:val="20"/>
              </w:rPr>
            </w:pPr>
            <w:r w:rsidRPr="007A4597">
              <w:rPr>
                <w:sz w:val="20"/>
                <w:szCs w:val="20"/>
              </w:rPr>
              <w:t>940</w:t>
            </w:r>
          </w:p>
        </w:tc>
      </w:tr>
    </w:tbl>
    <w:p w:rsidR="00424E76" w:rsidRPr="006C219C" w:rsidRDefault="00424E76" w:rsidP="00424E76">
      <w:pPr>
        <w:autoSpaceDE w:val="0"/>
        <w:autoSpaceDN w:val="0"/>
        <w:adjustRightInd w:val="0"/>
        <w:ind w:firstLine="720"/>
        <w:jc w:val="both"/>
      </w:pPr>
    </w:p>
    <w:p w:rsidR="005C05DD" w:rsidRPr="006C219C" w:rsidRDefault="005C05DD" w:rsidP="00424E76">
      <w:pPr>
        <w:autoSpaceDE w:val="0"/>
        <w:autoSpaceDN w:val="0"/>
        <w:adjustRightInd w:val="0"/>
        <w:ind w:firstLine="720"/>
        <w:jc w:val="both"/>
      </w:pPr>
      <w:r w:rsidRPr="006C219C">
        <w:t>Причинами неисполнения показателей государственного задания явилось:</w:t>
      </w:r>
    </w:p>
    <w:p w:rsidR="00424E76" w:rsidRPr="006C219C" w:rsidRDefault="005C05DD" w:rsidP="00424E76">
      <w:pPr>
        <w:autoSpaceDE w:val="0"/>
        <w:autoSpaceDN w:val="0"/>
        <w:adjustRightInd w:val="0"/>
        <w:ind w:firstLine="720"/>
        <w:jc w:val="both"/>
      </w:pPr>
      <w:r w:rsidRPr="006C219C">
        <w:t>- о</w:t>
      </w:r>
      <w:r w:rsidR="00424E76" w:rsidRPr="006C219C">
        <w:t>казание государственной услуги по созданию и выдаче ключей ЭЦП осуществляется по заявительному принципу. Недостижение планового значения обусловлено отсу</w:t>
      </w:r>
      <w:r w:rsidRPr="006C219C">
        <w:t>тствием обращений от заявителей;</w:t>
      </w:r>
    </w:p>
    <w:p w:rsidR="00424E76" w:rsidRPr="006018B4" w:rsidRDefault="005C05DD" w:rsidP="006018B4">
      <w:pPr>
        <w:pStyle w:val="af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8B4">
        <w:rPr>
          <w:rFonts w:ascii="Times New Roman" w:hAnsi="Times New Roman" w:cs="Times New Roman"/>
          <w:sz w:val="24"/>
          <w:szCs w:val="24"/>
        </w:rPr>
        <w:t>-</w:t>
      </w:r>
      <w:r w:rsidR="00424E76" w:rsidRPr="006018B4">
        <w:rPr>
          <w:rFonts w:ascii="Times New Roman" w:hAnsi="Times New Roman" w:cs="Times New Roman"/>
          <w:sz w:val="24"/>
          <w:szCs w:val="24"/>
        </w:rPr>
        <w:t xml:space="preserve"> </w:t>
      </w:r>
      <w:r w:rsidR="006018B4" w:rsidRPr="006018B4">
        <w:rPr>
          <w:rFonts w:ascii="Times New Roman" w:hAnsi="Times New Roman" w:cs="Times New Roman"/>
          <w:sz w:val="24"/>
          <w:szCs w:val="24"/>
        </w:rPr>
        <w:t>невыполнение показателя по эксплуатации и техподдержке информационных систем на 1 единицу обусловлено поздним сроком предоставления федеральной субсидии и соответственно заключения договора на создание сегмента системы обеспечения вызова экстренных оперативных служб по единому номеру «112» и календарным планом выполнения работ, предусмотренным государственным контрактом.  Информационная система «112» введена в опытную эксплуатацию 23.12.2015 года</w:t>
      </w:r>
      <w:r w:rsidRPr="006018B4">
        <w:rPr>
          <w:rFonts w:ascii="Times New Roman" w:hAnsi="Times New Roman" w:cs="Times New Roman"/>
          <w:sz w:val="24"/>
          <w:szCs w:val="24"/>
        </w:rPr>
        <w:t>;</w:t>
      </w:r>
    </w:p>
    <w:p w:rsidR="00424E76" w:rsidRPr="006C219C" w:rsidRDefault="005C05DD" w:rsidP="00424E76">
      <w:pPr>
        <w:autoSpaceDE w:val="0"/>
        <w:autoSpaceDN w:val="0"/>
        <w:adjustRightInd w:val="0"/>
        <w:ind w:firstLine="720"/>
        <w:jc w:val="both"/>
      </w:pPr>
      <w:r w:rsidRPr="006018B4">
        <w:t>- к</w:t>
      </w:r>
      <w:r w:rsidR="00424E76" w:rsidRPr="006018B4">
        <w:t xml:space="preserve">оличество выпущенных универсальных электронных карт (далее - УЭК) </w:t>
      </w:r>
      <w:r w:rsidRPr="006018B4">
        <w:t>исполнено</w:t>
      </w:r>
      <w:r w:rsidRPr="006C219C">
        <w:t xml:space="preserve"> только на </w:t>
      </w:r>
      <w:r w:rsidR="00424E76" w:rsidRPr="006C219C">
        <w:t>36,8</w:t>
      </w:r>
      <w:r w:rsidR="007A4597">
        <w:t xml:space="preserve"> </w:t>
      </w:r>
      <w:r w:rsidRPr="006C219C">
        <w:t>процента</w:t>
      </w:r>
      <w:r w:rsidR="00424E76" w:rsidRPr="006C219C">
        <w:t>. Причины невыполнения показателя по количеству выпущенных универсальных электронных карт отражены в пояснительной записке к отчету ГБУ «ЦИТ» об исполнении государственного задания. В качестве основных причин недостаточной востребованности УЭК у населения учреждение</w:t>
      </w:r>
      <w:r w:rsidRPr="006C219C">
        <w:t>м</w:t>
      </w:r>
      <w:r w:rsidR="00424E76" w:rsidRPr="006C219C">
        <w:t xml:space="preserve"> отмеч</w:t>
      </w:r>
      <w:r w:rsidRPr="006C219C">
        <w:t>ено</w:t>
      </w:r>
      <w:r w:rsidR="00424E76" w:rsidRPr="006C219C">
        <w:t>:</w:t>
      </w:r>
    </w:p>
    <w:p w:rsidR="00424E76" w:rsidRPr="006C219C" w:rsidRDefault="00424E76" w:rsidP="00424E76">
      <w:pPr>
        <w:autoSpaceDE w:val="0"/>
        <w:autoSpaceDN w:val="0"/>
        <w:adjustRightInd w:val="0"/>
        <w:ind w:firstLine="720"/>
        <w:jc w:val="both"/>
      </w:pPr>
      <w:r w:rsidRPr="008F7EF4">
        <w:t>-</w:t>
      </w:r>
      <w:r w:rsidR="007A4597" w:rsidRPr="008F7EF4">
        <w:t xml:space="preserve"> </w:t>
      </w:r>
      <w:r w:rsidRPr="008F7EF4">
        <w:t>закрытие ОАО «Сбербанк» всех пунктов приема заявлений и выдачи УЭК по Волгоградской област</w:t>
      </w:r>
      <w:r w:rsidR="0033480B" w:rsidRPr="008F7EF4">
        <w:t>и, остав</w:t>
      </w:r>
      <w:r w:rsidR="00210DB5">
        <w:t>лен</w:t>
      </w:r>
      <w:r w:rsidR="0033480B" w:rsidRPr="008F7EF4">
        <w:t xml:space="preserve"> один в г. Волгограде</w:t>
      </w:r>
      <w:r w:rsidR="008F7EF4" w:rsidRPr="008F7EF4">
        <w:t xml:space="preserve"> (одной из причин Комитетом указано намерение закрытия проекта УЭК на федеральном уровне)</w:t>
      </w:r>
      <w:r w:rsidR="0033480B" w:rsidRPr="008F7EF4">
        <w:t>;</w:t>
      </w:r>
    </w:p>
    <w:p w:rsidR="00424E76" w:rsidRPr="006C219C" w:rsidRDefault="00424E76" w:rsidP="00424E76">
      <w:pPr>
        <w:autoSpaceDE w:val="0"/>
        <w:autoSpaceDN w:val="0"/>
        <w:adjustRightInd w:val="0"/>
        <w:ind w:firstLine="720"/>
        <w:jc w:val="both"/>
      </w:pPr>
      <w:r w:rsidRPr="006C219C">
        <w:t>-</w:t>
      </w:r>
      <w:r w:rsidR="007A4597">
        <w:t xml:space="preserve"> </w:t>
      </w:r>
      <w:r w:rsidRPr="006C219C">
        <w:t>дополнительные затраты при размещении на УЭК квалифицированного сертификата ключа электронной подписи;</w:t>
      </w:r>
    </w:p>
    <w:p w:rsidR="00424E76" w:rsidRPr="006C219C" w:rsidRDefault="00424E76" w:rsidP="00424E76">
      <w:pPr>
        <w:autoSpaceDE w:val="0"/>
        <w:autoSpaceDN w:val="0"/>
        <w:adjustRightInd w:val="0"/>
        <w:ind w:firstLine="720"/>
        <w:jc w:val="both"/>
      </w:pPr>
      <w:r w:rsidRPr="006C219C">
        <w:t>-</w:t>
      </w:r>
      <w:r w:rsidR="007A4597">
        <w:t xml:space="preserve"> </w:t>
      </w:r>
      <w:r w:rsidRPr="006C219C">
        <w:t>ограниченная функциональность банковского приложения (отсутствие возможности оплаты товаров и услуг в сети интернет).</w:t>
      </w:r>
    </w:p>
    <w:p w:rsidR="008F7EF4" w:rsidRPr="009B20C4" w:rsidRDefault="008F7EF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20C4">
        <w:rPr>
          <w:rFonts w:eastAsia="Calibri"/>
        </w:rPr>
        <w:t>К проверке представлен</w:t>
      </w:r>
      <w:r w:rsidR="009B20C4" w:rsidRPr="009B20C4">
        <w:rPr>
          <w:rFonts w:eastAsia="Calibri"/>
        </w:rPr>
        <w:t>а разбивка</w:t>
      </w:r>
      <w:r w:rsidRPr="009B20C4">
        <w:rPr>
          <w:rFonts w:eastAsia="Calibri"/>
        </w:rPr>
        <w:t xml:space="preserve"> финансировани</w:t>
      </w:r>
      <w:r w:rsidR="009B20C4" w:rsidRPr="009B20C4">
        <w:rPr>
          <w:rFonts w:eastAsia="Calibri"/>
        </w:rPr>
        <w:t>я</w:t>
      </w:r>
      <w:r w:rsidRPr="009B20C4">
        <w:rPr>
          <w:rFonts w:eastAsia="Calibri"/>
        </w:rPr>
        <w:t xml:space="preserve"> субсидии на выполнение государственного задания в разрезе работ (услуг) по сравнению с </w:t>
      </w:r>
      <w:r w:rsidR="00A66732" w:rsidRPr="009B20C4">
        <w:rPr>
          <w:rFonts w:eastAsia="Calibri"/>
        </w:rPr>
        <w:t>предусмотренным по соглашениям</w:t>
      </w:r>
      <w:r w:rsidRPr="009B20C4">
        <w:rPr>
          <w:rFonts w:eastAsia="Calibri"/>
        </w:rPr>
        <w:t>. Объем субсидии по сравнению с % исполнения госу</w:t>
      </w:r>
      <w:r w:rsidR="00963175">
        <w:rPr>
          <w:rFonts w:eastAsia="Calibri"/>
        </w:rPr>
        <w:t>дарственного задания по трем не</w:t>
      </w:r>
      <w:r w:rsidRPr="009B20C4">
        <w:rPr>
          <w:rFonts w:eastAsia="Calibri"/>
        </w:rPr>
        <w:t>достигнутым показателям государственного задания представлен в следующей таблице.</w:t>
      </w:r>
    </w:p>
    <w:tbl>
      <w:tblPr>
        <w:tblW w:w="9000" w:type="dxa"/>
        <w:tblInd w:w="96" w:type="dxa"/>
        <w:tblLayout w:type="fixed"/>
        <w:tblLook w:val="04A0"/>
      </w:tblPr>
      <w:tblGrid>
        <w:gridCol w:w="4265"/>
        <w:gridCol w:w="1134"/>
        <w:gridCol w:w="992"/>
        <w:gridCol w:w="1049"/>
        <w:gridCol w:w="1560"/>
      </w:tblGrid>
      <w:tr w:rsidR="008F7EF4" w:rsidTr="008F7EF4">
        <w:trPr>
          <w:trHeight w:val="102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F4" w:rsidRPr="008F7EF4" w:rsidRDefault="008F7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color w:val="000000"/>
                <w:sz w:val="18"/>
                <w:szCs w:val="18"/>
              </w:rPr>
              <w:lastRenderedPageBreak/>
              <w:t>Наименование государственной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F4" w:rsidRPr="008F7EF4" w:rsidRDefault="008F7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F4" w:rsidRPr="008F7EF4" w:rsidRDefault="008F7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F4" w:rsidRPr="008F7EF4" w:rsidRDefault="008F7EF4" w:rsidP="008F7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color w:val="000000"/>
                <w:sz w:val="18"/>
                <w:szCs w:val="18"/>
              </w:rPr>
              <w:t>% финансирования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EF4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F4" w:rsidRPr="008F7EF4" w:rsidRDefault="008F7EF4" w:rsidP="008F7EF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color w:val="000000"/>
                <w:sz w:val="18"/>
                <w:szCs w:val="18"/>
              </w:rPr>
              <w:t>% исполнения государственного задания</w:t>
            </w:r>
          </w:p>
        </w:tc>
      </w:tr>
      <w:tr w:rsidR="008F7EF4" w:rsidTr="008F7EF4">
        <w:trPr>
          <w:trHeight w:val="30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F4" w:rsidRPr="008F7EF4" w:rsidRDefault="008F7E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Государственные услуги</w:t>
            </w:r>
          </w:p>
        </w:tc>
      </w:tr>
      <w:tr w:rsidR="008F7EF4" w:rsidTr="008F7EF4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Pr="008F7EF4" w:rsidRDefault="008F7EF4">
            <w:pPr>
              <w:jc w:val="both"/>
              <w:rPr>
                <w:color w:val="000000"/>
                <w:sz w:val="18"/>
                <w:szCs w:val="18"/>
              </w:rPr>
            </w:pPr>
            <w:r w:rsidRPr="008F7EF4">
              <w:rPr>
                <w:color w:val="000000"/>
                <w:sz w:val="18"/>
                <w:szCs w:val="18"/>
              </w:rPr>
              <w:t>создание и выдача ключей ЭЦП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3 575,10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98,7%</w:t>
            </w:r>
          </w:p>
        </w:tc>
      </w:tr>
      <w:tr w:rsidR="008F7EF4" w:rsidTr="008F7EF4">
        <w:trPr>
          <w:trHeight w:val="30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EF4" w:rsidRPr="008F7EF4" w:rsidRDefault="008F7EF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F7EF4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Государственные работы</w:t>
            </w:r>
          </w:p>
        </w:tc>
      </w:tr>
      <w:tr w:rsidR="008F7EF4" w:rsidTr="008F7EF4">
        <w:trPr>
          <w:trHeight w:val="5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Pr="008F7EF4" w:rsidRDefault="008F7EF4">
            <w:pPr>
              <w:jc w:val="both"/>
              <w:rPr>
                <w:color w:val="000000"/>
                <w:sz w:val="18"/>
                <w:szCs w:val="18"/>
              </w:rPr>
            </w:pPr>
            <w:r w:rsidRPr="008F7EF4">
              <w:rPr>
                <w:color w:val="000000"/>
                <w:sz w:val="18"/>
                <w:szCs w:val="18"/>
              </w:rPr>
              <w:t>организация работ по эксплуатации и технической поддержке информационных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 w:rsidP="008F7EF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23 259,10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93,8%</w:t>
            </w:r>
          </w:p>
        </w:tc>
      </w:tr>
      <w:tr w:rsidR="008F7EF4" w:rsidTr="008F7EF4">
        <w:trPr>
          <w:trHeight w:val="57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Pr="008F7EF4" w:rsidRDefault="008F7EF4">
            <w:pPr>
              <w:jc w:val="both"/>
              <w:rPr>
                <w:color w:val="000000"/>
                <w:sz w:val="18"/>
                <w:szCs w:val="18"/>
              </w:rPr>
            </w:pPr>
            <w:r w:rsidRPr="008F7EF4">
              <w:rPr>
                <w:color w:val="000000"/>
                <w:sz w:val="18"/>
                <w:szCs w:val="18"/>
              </w:rPr>
              <w:t>обеспечение на территории Волгоградской области выпуска, выдачи, обслуживания и хранения УЭК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4 939,90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F4" w:rsidRDefault="008F7EF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36,8%</w:t>
            </w:r>
          </w:p>
        </w:tc>
      </w:tr>
    </w:tbl>
    <w:p w:rsidR="008F7EF4" w:rsidRDefault="008F7EF4" w:rsidP="008F7EF4">
      <w:pPr>
        <w:autoSpaceDE w:val="0"/>
        <w:autoSpaceDN w:val="0"/>
        <w:adjustRightInd w:val="0"/>
        <w:jc w:val="both"/>
        <w:rPr>
          <w:rFonts w:eastAsia="Calibri"/>
          <w:highlight w:val="yellow"/>
        </w:rPr>
      </w:pPr>
    </w:p>
    <w:p w:rsidR="006018B4" w:rsidRDefault="008F7EF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Как видно из представленных данных</w:t>
      </w:r>
      <w:r w:rsidR="00210DB5">
        <w:rPr>
          <w:rFonts w:eastAsia="Calibri"/>
        </w:rPr>
        <w:t>,</w:t>
      </w:r>
      <w:r>
        <w:rPr>
          <w:rFonts w:eastAsia="Calibri"/>
        </w:rPr>
        <w:t xml:space="preserve"> разрыв в степени финансирования государственного задания и степени его выполнения по выдаче ключей ЭЦП и технической поддержке информационных сетей </w:t>
      </w:r>
      <w:r w:rsidR="00963175">
        <w:rPr>
          <w:rFonts w:eastAsia="Calibri"/>
        </w:rPr>
        <w:t>незначительный</w:t>
      </w:r>
      <w:r>
        <w:rPr>
          <w:rFonts w:eastAsia="Calibri"/>
        </w:rPr>
        <w:t>.</w:t>
      </w:r>
      <w:r w:rsidR="00B63674">
        <w:rPr>
          <w:rFonts w:eastAsia="Calibri"/>
        </w:rPr>
        <w:t xml:space="preserve"> Разрыв в степени обеспеченности нормативных затрат по выпуску УЭК и выполнени</w:t>
      </w:r>
      <w:r w:rsidR="00210DB5">
        <w:rPr>
          <w:rFonts w:eastAsia="Calibri"/>
        </w:rPr>
        <w:t>и</w:t>
      </w:r>
      <w:r w:rsidR="00B63674">
        <w:rPr>
          <w:rFonts w:eastAsia="Calibri"/>
        </w:rPr>
        <w:t xml:space="preserve"> задани</w:t>
      </w:r>
      <w:r w:rsidR="004D41BA">
        <w:rPr>
          <w:rFonts w:eastAsia="Calibri"/>
        </w:rPr>
        <w:t xml:space="preserve">я по выпуску </w:t>
      </w:r>
      <w:r w:rsidR="00A66732">
        <w:rPr>
          <w:rFonts w:eastAsia="Calibri"/>
        </w:rPr>
        <w:t xml:space="preserve">УЭК </w:t>
      </w:r>
      <w:r w:rsidR="004D41BA">
        <w:rPr>
          <w:rFonts w:eastAsia="Calibri"/>
        </w:rPr>
        <w:t>объясняется тем, ч</w:t>
      </w:r>
      <w:r w:rsidR="00B63674">
        <w:rPr>
          <w:rFonts w:eastAsia="Calibri"/>
        </w:rPr>
        <w:t>то в структуре затрат на эту работу значительную часть составляет заработная плата, а объем выпуска карт носит заявительный характер и в 2015 году был затруднен в силу вышеуказанных обстоятельств.</w:t>
      </w:r>
    </w:p>
    <w:p w:rsidR="00B63674" w:rsidRDefault="004D41BA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Основная часть недофинансирования государственного задания – 5 798,0 из 8 518,0 тыс. руб., или 68,1% пришлась на мероприятие по организации развития системы видеонаблюдения – субсидия поступила в сумме 7 424,9 тыс. руб. при планируемых 13 222,9 тыс. рублей. При этом количество модернизированных точек видеонаблюдения составило 40 из запланированных 40, количество организованных точек – 179 при плане в 60. </w:t>
      </w:r>
      <w:r w:rsidR="00210DB5">
        <w:rPr>
          <w:rFonts w:eastAsia="Calibri"/>
        </w:rPr>
        <w:t>К</w:t>
      </w:r>
      <w:r>
        <w:rPr>
          <w:rFonts w:eastAsia="Calibri"/>
        </w:rPr>
        <w:t>ак указывалось выше, превышение запланированного показателя в рамках реализации ГП «Профилактика правонарушений» при поступившей субсидии в объеме 56,2% от запланированного объясняется</w:t>
      </w:r>
      <w:r w:rsidR="006A2520">
        <w:rPr>
          <w:rFonts w:eastAsia="Calibri"/>
        </w:rPr>
        <w:t xml:space="preserve"> тем, что в программе и госсзадании планировалось создание, монтаж и подключение к системе «Безопасный город» 60 новых точек, а в отчет включено подключение к системе уже существующих и созданных вне рамок программы точек видеонаблюдения. Данное обстоятельство не в полной мере отражает характер запланированных в государственном задании работ по созданию точек видеонаблюдения и не обеспечивает нормативны</w:t>
      </w:r>
      <w:r w:rsidR="004D194E">
        <w:rPr>
          <w:rFonts w:eastAsia="Calibri"/>
        </w:rPr>
        <w:t>й</w:t>
      </w:r>
      <w:r w:rsidR="006A2520">
        <w:rPr>
          <w:rFonts w:eastAsia="Calibri"/>
        </w:rPr>
        <w:t xml:space="preserve"> характер затрат на его выполнение.</w:t>
      </w:r>
    </w:p>
    <w:p w:rsidR="008F7EF4" w:rsidRDefault="008F7EF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Pr="006018B4" w:rsidRDefault="006018B4" w:rsidP="006018B4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6018B4">
        <w:rPr>
          <w:rFonts w:eastAsia="Calibri"/>
          <w:b/>
          <w:i/>
        </w:rPr>
        <w:t>Выводы:</w:t>
      </w:r>
    </w:p>
    <w:p w:rsidR="004A5084" w:rsidRPr="009C18E1" w:rsidRDefault="004A5084" w:rsidP="004A5084">
      <w:pPr>
        <w:ind w:firstLine="709"/>
        <w:jc w:val="both"/>
      </w:pPr>
      <w:r w:rsidRPr="004A5084">
        <w:rPr>
          <w:b/>
        </w:rPr>
        <w:t>1.</w:t>
      </w:r>
      <w:r w:rsidRPr="004A5084">
        <w:t xml:space="preserve"> Расходы, утверждённые Комитету, исполнены на 93,3%, объём неисполненных назначений составил 28 891,</w:t>
      </w:r>
      <w:r w:rsidR="0033480B">
        <w:t>0</w:t>
      </w:r>
      <w:r w:rsidRPr="004A5084">
        <w:t xml:space="preserve"> тыс. руб. по причинам несвоевременности исполнения обязательств исполнителями работ (поставщиками, подрядчиками), отсутствием кассового плана, экономии в результате конкурсных процедур и отказ</w:t>
      </w:r>
      <w:r w:rsidR="004D194E">
        <w:t>а</w:t>
      </w:r>
      <w:r w:rsidRPr="004A5084">
        <w:t xml:space="preserve"> от проведения отдельных </w:t>
      </w:r>
      <w:r w:rsidRPr="009C18E1">
        <w:t>мероприятий.</w:t>
      </w:r>
    </w:p>
    <w:p w:rsidR="004A5084" w:rsidRPr="009C18E1" w:rsidRDefault="004A5084" w:rsidP="004A5084">
      <w:pPr>
        <w:ind w:firstLine="720"/>
        <w:jc w:val="both"/>
      </w:pPr>
      <w:r w:rsidRPr="009C18E1">
        <w:rPr>
          <w:b/>
        </w:rPr>
        <w:t>2.</w:t>
      </w:r>
      <w:r w:rsidRPr="009C18E1">
        <w:t xml:space="preserve"> В нарушение п. 34 БК РФ установлены неэффективные расходы областного бюджета</w:t>
      </w:r>
      <w:r w:rsidR="00471E2C">
        <w:t xml:space="preserve"> в сумме </w:t>
      </w:r>
      <w:r w:rsidR="002354D6">
        <w:t>831,7 тыс. руб</w:t>
      </w:r>
      <w:r w:rsidRPr="009C18E1">
        <w:t>.</w:t>
      </w:r>
      <w:r w:rsidR="002354D6">
        <w:t>, направленные на оплату госпошлин, неустоек и пени по судебным решениям. Указанные выплаты произведены вследствие несвоевременного финансирования бюджетных обязательств Комитета перед исполнителями работ (поставщиками, подрядчиками), а также его обязательств по предоставлению субсидии на выполнение государственного задани</w:t>
      </w:r>
      <w:r w:rsidR="0033480B">
        <w:t>я</w:t>
      </w:r>
      <w:r w:rsidR="002354D6">
        <w:t xml:space="preserve"> </w:t>
      </w:r>
      <w:r w:rsidR="004D194E">
        <w:t xml:space="preserve">подведомственному учреждению </w:t>
      </w:r>
      <w:r w:rsidR="002354D6">
        <w:t>в предыдущие годы</w:t>
      </w:r>
      <w:r w:rsidR="0033480B">
        <w:t>.</w:t>
      </w:r>
    </w:p>
    <w:p w:rsidR="004A5084" w:rsidRPr="009C18E1" w:rsidRDefault="004A5084" w:rsidP="004A5084">
      <w:pPr>
        <w:autoSpaceDE w:val="0"/>
        <w:autoSpaceDN w:val="0"/>
        <w:adjustRightInd w:val="0"/>
        <w:ind w:firstLine="709"/>
        <w:jc w:val="both"/>
      </w:pPr>
      <w:r w:rsidRPr="009C18E1">
        <w:rPr>
          <w:b/>
        </w:rPr>
        <w:t>3.</w:t>
      </w:r>
      <w:r w:rsidRPr="009C18E1">
        <w:t xml:space="preserve"> В нарушение п. 8 Инструкции 191н Комитетом в Пояснительной записке не отражена информация по шести отсутствующим формам отчетности, не имеющим информации и числовых значений.</w:t>
      </w:r>
    </w:p>
    <w:p w:rsidR="00B0275E" w:rsidRPr="00312BDB" w:rsidRDefault="004A5084" w:rsidP="004A5084">
      <w:pPr>
        <w:ind w:firstLine="709"/>
        <w:jc w:val="both"/>
      </w:pPr>
      <w:r w:rsidRPr="00B0275E">
        <w:rPr>
          <w:b/>
        </w:rPr>
        <w:t>4.</w:t>
      </w:r>
      <w:r w:rsidRPr="00B0275E">
        <w:t xml:space="preserve"> </w:t>
      </w:r>
      <w:r w:rsidR="00B0275E" w:rsidRPr="00B0275E">
        <w:t xml:space="preserve">В силу недостаточно действенной работы Комитета по взысканию дебиторской задолженности за 2015 год она выросла в 8 раз, в том числе в части задолженности по </w:t>
      </w:r>
      <w:r w:rsidR="00B0275E" w:rsidRPr="00312BDB">
        <w:t>расчетам по доходам – в 13 раз (с 52,7 до 696,6 тыс. руб.).</w:t>
      </w:r>
    </w:p>
    <w:p w:rsidR="00B0275E" w:rsidRPr="00312BDB" w:rsidRDefault="004A5084" w:rsidP="00312BDB">
      <w:pPr>
        <w:ind w:firstLine="720"/>
        <w:jc w:val="both"/>
        <w:rPr>
          <w:rFonts w:eastAsiaTheme="minorHAnsi"/>
          <w:lang w:eastAsia="en-US"/>
        </w:rPr>
      </w:pPr>
      <w:r w:rsidRPr="00312BDB">
        <w:rPr>
          <w:b/>
        </w:rPr>
        <w:t>5.</w:t>
      </w:r>
      <w:r w:rsidRPr="00312BDB">
        <w:t xml:space="preserve"> </w:t>
      </w:r>
      <w:r w:rsidR="00B0275E" w:rsidRPr="00312BDB">
        <w:t>В нарушение Порядка № 423-п ГП «Информационное общество» в 2015 году не приведена в соответствие с Законом об областном бюджете.</w:t>
      </w:r>
    </w:p>
    <w:p w:rsidR="00312BDB" w:rsidRPr="008B5E14" w:rsidRDefault="004D194E" w:rsidP="00312BDB">
      <w:pPr>
        <w:autoSpaceDE w:val="0"/>
        <w:autoSpaceDN w:val="0"/>
        <w:adjustRightInd w:val="0"/>
        <w:ind w:firstLine="720"/>
        <w:jc w:val="both"/>
      </w:pPr>
      <w:r>
        <w:rPr>
          <w:b/>
        </w:rPr>
        <w:lastRenderedPageBreak/>
        <w:t>6</w:t>
      </w:r>
      <w:r w:rsidR="00312BDB" w:rsidRPr="008B5E14">
        <w:rPr>
          <w:b/>
        </w:rPr>
        <w:t>.</w:t>
      </w:r>
      <w:r w:rsidR="00312BDB" w:rsidRPr="008B5E14">
        <w:t xml:space="preserve"> В нарушение п. 66 и п. 333 Инструкции № 157н на забалансовом счете 01 «Имущество, полученное в пользование» ГБУ </w:t>
      </w:r>
      <w:r w:rsidR="00B9000D" w:rsidRPr="008B5E14">
        <w:t>«</w:t>
      </w:r>
      <w:r w:rsidR="00312BDB" w:rsidRPr="008B5E14">
        <w:t>ЦИТ</w:t>
      </w:r>
      <w:r w:rsidR="00B9000D" w:rsidRPr="008B5E14">
        <w:t>»</w:t>
      </w:r>
      <w:r w:rsidR="00312BDB" w:rsidRPr="008B5E14">
        <w:t xml:space="preserve"> не было отражено программное обеспечение, полученное ГБУ «ЦИТ» в пользование на условиях простой (неисключительной) лицензии на 230,5 тыс. руб., в ходе проверки нарушение устранено.</w:t>
      </w:r>
    </w:p>
    <w:p w:rsidR="00AF0791" w:rsidRPr="008B5E14" w:rsidRDefault="004D194E" w:rsidP="004A5084">
      <w:pPr>
        <w:autoSpaceDE w:val="0"/>
        <w:autoSpaceDN w:val="0"/>
        <w:adjustRightInd w:val="0"/>
        <w:ind w:firstLine="698"/>
        <w:jc w:val="both"/>
      </w:pPr>
      <w:r>
        <w:rPr>
          <w:b/>
        </w:rPr>
        <w:t>7</w:t>
      </w:r>
      <w:r w:rsidR="009F3D04" w:rsidRPr="008B5E14">
        <w:rPr>
          <w:b/>
        </w:rPr>
        <w:t xml:space="preserve">. </w:t>
      </w:r>
      <w:r w:rsidR="00AF0791" w:rsidRPr="008B5E14">
        <w:t xml:space="preserve">Значительную часть (73,4%) расходов Комитета составляет реализация мероприятий </w:t>
      </w:r>
      <w:r>
        <w:t xml:space="preserve">5 </w:t>
      </w:r>
      <w:r w:rsidR="00AF0791" w:rsidRPr="008B5E14">
        <w:t xml:space="preserve">государственных программ, из которых по двум программам Комитет является ответственным исполнителем. Исполнение государственных программ по отношению к бюджетной росписи составило 93,5%, неисполненные назначения </w:t>
      </w:r>
      <w:r>
        <w:t>-</w:t>
      </w:r>
      <w:r w:rsidR="00AF0791" w:rsidRPr="008B5E14">
        <w:t xml:space="preserve"> 20 244,0 тыс. рублей.</w:t>
      </w:r>
      <w:r w:rsidR="009F3D04" w:rsidRPr="008B5E14">
        <w:t xml:space="preserve"> По государственным программам, ответственным исполнителем по которым является Комитет</w:t>
      </w:r>
      <w:r w:rsidR="00963175">
        <w:t>,</w:t>
      </w:r>
      <w:r w:rsidR="009F3D04" w:rsidRPr="008B5E14">
        <w:t xml:space="preserve"> не исполнен только 1 показатель – доля граждан, использующих механизм получения государственных и муниципальных услуг в электронном виде</w:t>
      </w:r>
      <w:r w:rsidR="006362C2" w:rsidRPr="008B5E14">
        <w:t>. По остальным государственным программам в части мероприятий, исполняемых Комитетом</w:t>
      </w:r>
      <w:r w:rsidR="00963175">
        <w:t>,</w:t>
      </w:r>
      <w:r w:rsidR="006362C2" w:rsidRPr="008B5E14">
        <w:t xml:space="preserve"> </w:t>
      </w:r>
      <w:r w:rsidR="00963175">
        <w:t>ожидаемые результаты достигнуты</w:t>
      </w:r>
      <w:r w:rsidR="006362C2" w:rsidRPr="008B5E14">
        <w:t>.</w:t>
      </w:r>
    </w:p>
    <w:p w:rsidR="006362C2" w:rsidRDefault="004D194E" w:rsidP="004A5084">
      <w:pPr>
        <w:autoSpaceDE w:val="0"/>
        <w:autoSpaceDN w:val="0"/>
        <w:adjustRightInd w:val="0"/>
        <w:ind w:firstLine="698"/>
        <w:jc w:val="both"/>
        <w:rPr>
          <w:color w:val="0070C0"/>
          <w:highlight w:val="yellow"/>
        </w:rPr>
      </w:pPr>
      <w:r>
        <w:rPr>
          <w:b/>
        </w:rPr>
        <w:t>8</w:t>
      </w:r>
      <w:r w:rsidR="008B5E14" w:rsidRPr="008B5E14">
        <w:rPr>
          <w:b/>
        </w:rPr>
        <w:t>.</w:t>
      </w:r>
      <w:r w:rsidR="008B5E14" w:rsidRPr="008B5E14">
        <w:t xml:space="preserve"> </w:t>
      </w:r>
      <w:r w:rsidR="006362C2" w:rsidRPr="008B5E14">
        <w:t xml:space="preserve">Субсидия на финансовое обеспечение государственного задания на оказание государственных услуг (выполнение работ) предоставлена </w:t>
      </w:r>
      <w:r>
        <w:t>ГБУ «ЦИТ»</w:t>
      </w:r>
      <w:r w:rsidR="006362C2" w:rsidRPr="008B5E14">
        <w:t xml:space="preserve"> в сумме 87 650,6 тыс. руб., или на 8 518,3 тыс. руб. меньше предусмотренного объема. При этом государственное задание выполнено по 18 из 21 услуги и работы, по 1 услуге и 1 работе показатели государственного задания исполнены на </w:t>
      </w:r>
      <w:r w:rsidR="00B9000D" w:rsidRPr="008B5E14">
        <w:t>98,7% и 93,8% соответственно. По 1 работе – обеспечение выпуска на территории региона УЭК работа выполнена только на 36,8% при</w:t>
      </w:r>
      <w:r w:rsidR="00B9000D">
        <w:t xml:space="preserve"> полученном финансировании в 95,4% от запланированного. Данное обстоятельство свидетельствует об отсутствии нормативных затрат, связанных с объемом работы по организации выпуска УЭК</w:t>
      </w:r>
      <w:r w:rsidR="00963175">
        <w:t>,</w:t>
      </w:r>
      <w:r w:rsidR="00B9000D">
        <w:t xml:space="preserve"> – оплата труда работников, связанных с организацией выпуска УЭК</w:t>
      </w:r>
      <w:r>
        <w:t>,</w:t>
      </w:r>
      <w:r w:rsidR="00B9000D">
        <w:t xml:space="preserve"> не смогла повлиять на деятельность эмитентов</w:t>
      </w:r>
      <w:r w:rsidR="008B5E14">
        <w:t xml:space="preserve"> карт</w:t>
      </w:r>
      <w:r w:rsidR="00B9000D">
        <w:t xml:space="preserve"> и востребованность </w:t>
      </w:r>
      <w:r w:rsidR="008B5E14">
        <w:t xml:space="preserve">УЭК на данном этапе </w:t>
      </w:r>
      <w:r w:rsidR="00B9000D">
        <w:t>у населения.</w:t>
      </w:r>
    </w:p>
    <w:p w:rsidR="0033480B" w:rsidRPr="004A5084" w:rsidRDefault="0033480B" w:rsidP="004A5084">
      <w:pPr>
        <w:autoSpaceDE w:val="0"/>
        <w:autoSpaceDN w:val="0"/>
        <w:adjustRightInd w:val="0"/>
        <w:ind w:firstLine="698"/>
        <w:jc w:val="both"/>
        <w:rPr>
          <w:color w:val="0070C0"/>
        </w:rPr>
      </w:pPr>
    </w:p>
    <w:p w:rsidR="004A5084" w:rsidRPr="00E9798C" w:rsidRDefault="004A5084" w:rsidP="004A5084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 w:rsidRPr="00E9798C">
        <w:rPr>
          <w:b/>
          <w:i/>
        </w:rPr>
        <w:t>Предложения</w:t>
      </w:r>
      <w:r w:rsidR="00E9798C" w:rsidRPr="00E9798C">
        <w:rPr>
          <w:b/>
          <w:i/>
        </w:rPr>
        <w:t xml:space="preserve"> Комитету</w:t>
      </w:r>
      <w:r w:rsidRPr="00E9798C">
        <w:rPr>
          <w:b/>
          <w:i/>
        </w:rPr>
        <w:t>:</w:t>
      </w:r>
    </w:p>
    <w:p w:rsidR="004A5084" w:rsidRPr="00E9798C" w:rsidRDefault="00E9798C" w:rsidP="004A5084">
      <w:pPr>
        <w:autoSpaceDE w:val="0"/>
        <w:autoSpaceDN w:val="0"/>
        <w:adjustRightInd w:val="0"/>
        <w:ind w:firstLine="698"/>
        <w:jc w:val="both"/>
      </w:pPr>
      <w:r w:rsidRPr="00E9798C">
        <w:rPr>
          <w:b/>
        </w:rPr>
        <w:t>1.</w:t>
      </w:r>
      <w:r>
        <w:t xml:space="preserve"> </w:t>
      </w:r>
      <w:r w:rsidRPr="00E9798C">
        <w:t>О</w:t>
      </w:r>
      <w:r w:rsidR="00312BDB" w:rsidRPr="00E9798C">
        <w:t>беспечить</w:t>
      </w:r>
      <w:r w:rsidR="004A5084" w:rsidRPr="00E9798C">
        <w:t xml:space="preserve"> </w:t>
      </w:r>
      <w:r w:rsidR="00312BDB" w:rsidRPr="00E9798C">
        <w:t>предоставление</w:t>
      </w:r>
      <w:r w:rsidR="004A5084" w:rsidRPr="00E9798C">
        <w:t xml:space="preserve"> бухгалтерской отчетности</w:t>
      </w:r>
      <w:r w:rsidR="00312BDB" w:rsidRPr="00E9798C">
        <w:t xml:space="preserve"> в соответствии с требованиями, утвержденными Минфином России и комитетом финансов Волгоградской области</w:t>
      </w:r>
      <w:r w:rsidR="004A5084" w:rsidRPr="00E9798C">
        <w:t>.</w:t>
      </w:r>
    </w:p>
    <w:p w:rsidR="00312BDB" w:rsidRPr="00E9798C" w:rsidRDefault="00E9798C" w:rsidP="004A5084">
      <w:pPr>
        <w:autoSpaceDE w:val="0"/>
        <w:autoSpaceDN w:val="0"/>
        <w:adjustRightInd w:val="0"/>
        <w:ind w:firstLine="698"/>
        <w:jc w:val="both"/>
      </w:pPr>
      <w:r w:rsidRPr="00E9798C">
        <w:rPr>
          <w:b/>
        </w:rPr>
        <w:t>2.</w:t>
      </w:r>
      <w:r>
        <w:t xml:space="preserve"> </w:t>
      </w:r>
      <w:r w:rsidR="00312BDB" w:rsidRPr="00E9798C">
        <w:t xml:space="preserve">Принять меры по взысканию дебиторской задолженности с ООО «БФТ-Проект» в </w:t>
      </w:r>
      <w:r w:rsidRPr="00E9798C">
        <w:t>судебном порядке.</w:t>
      </w:r>
    </w:p>
    <w:p w:rsidR="00E9798C" w:rsidRPr="00E9798C" w:rsidRDefault="00E9798C" w:rsidP="00E9798C">
      <w:pPr>
        <w:ind w:firstLine="720"/>
        <w:jc w:val="both"/>
        <w:rPr>
          <w:rFonts w:eastAsiaTheme="minorHAnsi"/>
          <w:lang w:eastAsia="en-US"/>
        </w:rPr>
      </w:pPr>
      <w:r w:rsidRPr="00E9798C">
        <w:rPr>
          <w:b/>
        </w:rPr>
        <w:t>3.</w:t>
      </w:r>
      <w:r>
        <w:t xml:space="preserve"> </w:t>
      </w:r>
      <w:r w:rsidRPr="00E9798C">
        <w:t>Обеспечить приведение государственных программ Волгоградской области в соответствие с Законом об областном бюджете.</w:t>
      </w:r>
    </w:p>
    <w:p w:rsidR="006018B4" w:rsidRPr="00E9798C" w:rsidRDefault="004D194E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  <w:b/>
        </w:rPr>
        <w:t>4</w:t>
      </w:r>
      <w:r w:rsidR="0011506C" w:rsidRPr="0011506C">
        <w:rPr>
          <w:rFonts w:eastAsia="Calibri"/>
          <w:b/>
        </w:rPr>
        <w:t>.</w:t>
      </w:r>
      <w:r w:rsidR="0011506C">
        <w:rPr>
          <w:rFonts w:eastAsia="Calibri"/>
        </w:rPr>
        <w:t xml:space="preserve"> Обеспечить сопоставимость нормативных затрат и финансового обеспечения государственного </w:t>
      </w:r>
      <w:r>
        <w:rPr>
          <w:rFonts w:eastAsia="Calibri"/>
        </w:rPr>
        <w:t xml:space="preserve">задания ГБУ «ЦИТ» </w:t>
      </w:r>
      <w:r w:rsidR="0011506C">
        <w:rPr>
          <w:rFonts w:eastAsia="Calibri"/>
        </w:rPr>
        <w:t xml:space="preserve">с </w:t>
      </w:r>
      <w:r>
        <w:rPr>
          <w:rFonts w:eastAsia="Calibri"/>
        </w:rPr>
        <w:t>его показателями</w:t>
      </w:r>
      <w:r w:rsidR="0011506C">
        <w:rPr>
          <w:rFonts w:eastAsia="Calibri"/>
        </w:rPr>
        <w:t>.</w:t>
      </w:r>
    </w:p>
    <w:p w:rsidR="006018B4" w:rsidRPr="00E9798C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Pr="006018B4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6018B4">
        <w:rPr>
          <w:rFonts w:eastAsia="Calibri"/>
          <w:b/>
          <w:i/>
        </w:rPr>
        <w:t xml:space="preserve">Аудитор                   </w:t>
      </w:r>
      <w:r>
        <w:rPr>
          <w:rFonts w:eastAsia="Calibri"/>
          <w:b/>
          <w:i/>
        </w:rPr>
        <w:t xml:space="preserve">                                                                </w:t>
      </w:r>
      <w:r w:rsidRPr="006018B4">
        <w:rPr>
          <w:rFonts w:eastAsia="Calibri"/>
          <w:b/>
          <w:i/>
        </w:rPr>
        <w:t xml:space="preserve">             Н.Л. Ноздрюхина</w:t>
      </w:r>
    </w:p>
    <w:sectPr w:rsidR="006018B4" w:rsidRPr="006018B4" w:rsidSect="001A2F9C">
      <w:headerReference w:type="even" r:id="rId9"/>
      <w:headerReference w:type="default" r:id="rId10"/>
      <w:pgSz w:w="11906" w:h="16838" w:code="9"/>
      <w:pgMar w:top="992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B4" w:rsidRDefault="00473BB4">
      <w:r>
        <w:separator/>
      </w:r>
    </w:p>
  </w:endnote>
  <w:endnote w:type="continuationSeparator" w:id="0">
    <w:p w:rsidR="00473BB4" w:rsidRDefault="0047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B4" w:rsidRDefault="00473BB4">
      <w:r>
        <w:separator/>
      </w:r>
    </w:p>
  </w:footnote>
  <w:footnote w:type="continuationSeparator" w:id="0">
    <w:p w:rsidR="00473BB4" w:rsidRDefault="0047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B5" w:rsidRDefault="00D32766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0DB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DB5" w:rsidRDefault="00210D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B5" w:rsidRDefault="00D32766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0DB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7A2D">
      <w:rPr>
        <w:rStyle w:val="aa"/>
        <w:noProof/>
      </w:rPr>
      <w:t>2</w:t>
    </w:r>
    <w:r>
      <w:rPr>
        <w:rStyle w:val="aa"/>
      </w:rPr>
      <w:fldChar w:fldCharType="end"/>
    </w:r>
  </w:p>
  <w:p w:rsidR="00210DB5" w:rsidRDefault="00210D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2524F9"/>
    <w:multiLevelType w:val="hybridMultilevel"/>
    <w:tmpl w:val="694AD88C"/>
    <w:lvl w:ilvl="0" w:tplc="BD6A3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B6478"/>
    <w:multiLevelType w:val="hybridMultilevel"/>
    <w:tmpl w:val="2BD6FA14"/>
    <w:lvl w:ilvl="0" w:tplc="A880A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21A48"/>
    <w:multiLevelType w:val="hybridMultilevel"/>
    <w:tmpl w:val="991EC1D0"/>
    <w:lvl w:ilvl="0" w:tplc="977CF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B63D0F"/>
    <w:multiLevelType w:val="hybridMultilevel"/>
    <w:tmpl w:val="21D2F7A4"/>
    <w:lvl w:ilvl="0" w:tplc="03B81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AD4C84"/>
    <w:multiLevelType w:val="multilevel"/>
    <w:tmpl w:val="3F8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16876F54"/>
    <w:multiLevelType w:val="hybridMultilevel"/>
    <w:tmpl w:val="8D66F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967BB6"/>
    <w:multiLevelType w:val="hybridMultilevel"/>
    <w:tmpl w:val="6E063A1E"/>
    <w:lvl w:ilvl="0" w:tplc="F272C6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EB1C6B"/>
    <w:multiLevelType w:val="hybridMultilevel"/>
    <w:tmpl w:val="E9005412"/>
    <w:lvl w:ilvl="0" w:tplc="A880A880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25C52BEA"/>
    <w:multiLevelType w:val="hybridMultilevel"/>
    <w:tmpl w:val="445A9E46"/>
    <w:lvl w:ilvl="0" w:tplc="798E9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CC12B9"/>
    <w:multiLevelType w:val="hybridMultilevel"/>
    <w:tmpl w:val="DE002198"/>
    <w:lvl w:ilvl="0" w:tplc="A880A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E16B3"/>
    <w:multiLevelType w:val="hybridMultilevel"/>
    <w:tmpl w:val="2DBE2C1E"/>
    <w:lvl w:ilvl="0" w:tplc="EEC6B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F4B0CE7"/>
    <w:multiLevelType w:val="hybridMultilevel"/>
    <w:tmpl w:val="6FBC09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FE055F9"/>
    <w:multiLevelType w:val="hybridMultilevel"/>
    <w:tmpl w:val="B6C2AA32"/>
    <w:lvl w:ilvl="0" w:tplc="A54606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5D6968"/>
    <w:multiLevelType w:val="hybridMultilevel"/>
    <w:tmpl w:val="399C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1A4906"/>
    <w:multiLevelType w:val="hybridMultilevel"/>
    <w:tmpl w:val="2F3689D8"/>
    <w:lvl w:ilvl="0" w:tplc="283E4C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093768F"/>
    <w:multiLevelType w:val="hybridMultilevel"/>
    <w:tmpl w:val="9E3AACF0"/>
    <w:lvl w:ilvl="0" w:tplc="7886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132E64"/>
    <w:multiLevelType w:val="hybridMultilevel"/>
    <w:tmpl w:val="26C2289E"/>
    <w:lvl w:ilvl="0" w:tplc="B3F2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4E342D"/>
    <w:multiLevelType w:val="multilevel"/>
    <w:tmpl w:val="AE5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6766"/>
    <w:multiLevelType w:val="hybridMultilevel"/>
    <w:tmpl w:val="1BEA3A9E"/>
    <w:lvl w:ilvl="0" w:tplc="2D407B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B420E5"/>
    <w:multiLevelType w:val="hybridMultilevel"/>
    <w:tmpl w:val="D26644F4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FF412F0"/>
    <w:multiLevelType w:val="hybridMultilevel"/>
    <w:tmpl w:val="734E0B92"/>
    <w:lvl w:ilvl="0" w:tplc="99C8283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3313"/>
    <w:multiLevelType w:val="hybridMultilevel"/>
    <w:tmpl w:val="2B0CE9D8"/>
    <w:lvl w:ilvl="0" w:tplc="D0EEC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99690D"/>
    <w:multiLevelType w:val="hybridMultilevel"/>
    <w:tmpl w:val="B2666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BB6A3E"/>
    <w:multiLevelType w:val="hybridMultilevel"/>
    <w:tmpl w:val="56CEA4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107110E"/>
    <w:multiLevelType w:val="hybridMultilevel"/>
    <w:tmpl w:val="BFD4B280"/>
    <w:lvl w:ilvl="0" w:tplc="7094783C">
      <w:start w:val="1"/>
      <w:numFmt w:val="decimal"/>
      <w:lvlText w:val="%1."/>
      <w:lvlJc w:val="left"/>
      <w:pPr>
        <w:ind w:left="250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27">
    <w:nsid w:val="686670EA"/>
    <w:multiLevelType w:val="hybridMultilevel"/>
    <w:tmpl w:val="2E90B37E"/>
    <w:lvl w:ilvl="0" w:tplc="0419000F">
      <w:start w:val="1"/>
      <w:numFmt w:val="decimal"/>
      <w:lvlText w:val="%1.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28">
    <w:nsid w:val="6FCA6C50"/>
    <w:multiLevelType w:val="hybridMultilevel"/>
    <w:tmpl w:val="8B4EAC26"/>
    <w:lvl w:ilvl="0" w:tplc="A40033B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52559C8"/>
    <w:multiLevelType w:val="hybridMultilevel"/>
    <w:tmpl w:val="2AFC75EE"/>
    <w:lvl w:ilvl="0" w:tplc="053A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D08AF"/>
    <w:multiLevelType w:val="hybridMultilevel"/>
    <w:tmpl w:val="9320AAA8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A2F3DE6"/>
    <w:multiLevelType w:val="hybridMultilevel"/>
    <w:tmpl w:val="A99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E1387"/>
    <w:multiLevelType w:val="hybridMultilevel"/>
    <w:tmpl w:val="E0326C4E"/>
    <w:lvl w:ilvl="0" w:tplc="3514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4"/>
  </w:num>
  <w:num w:numId="5">
    <w:abstractNumId w:val="26"/>
  </w:num>
  <w:num w:numId="6">
    <w:abstractNumId w:val="11"/>
  </w:num>
  <w:num w:numId="7">
    <w:abstractNumId w:val="13"/>
  </w:num>
  <w:num w:numId="8">
    <w:abstractNumId w:val="24"/>
  </w:num>
  <w:num w:numId="9">
    <w:abstractNumId w:val="21"/>
  </w:num>
  <w:num w:numId="10">
    <w:abstractNumId w:val="30"/>
  </w:num>
  <w:num w:numId="11">
    <w:abstractNumId w:val="27"/>
  </w:num>
  <w:num w:numId="12">
    <w:abstractNumId w:val="9"/>
  </w:num>
  <w:num w:numId="13">
    <w:abstractNumId w:val="20"/>
  </w:num>
  <w:num w:numId="14">
    <w:abstractNumId w:val="2"/>
  </w:num>
  <w:num w:numId="15">
    <w:abstractNumId w:val="31"/>
  </w:num>
  <w:num w:numId="16">
    <w:abstractNumId w:val="8"/>
  </w:num>
  <w:num w:numId="17">
    <w:abstractNumId w:val="3"/>
  </w:num>
  <w:num w:numId="18">
    <w:abstractNumId w:val="12"/>
  </w:num>
  <w:num w:numId="19">
    <w:abstractNumId w:val="16"/>
  </w:num>
  <w:num w:numId="20">
    <w:abstractNumId w:val="5"/>
  </w:num>
  <w:num w:numId="21">
    <w:abstractNumId w:val="19"/>
  </w:num>
  <w:num w:numId="22">
    <w:abstractNumId w:val="28"/>
  </w:num>
  <w:num w:numId="23">
    <w:abstractNumId w:val="29"/>
  </w:num>
  <w:num w:numId="24">
    <w:abstractNumId w:val="23"/>
  </w:num>
  <w:num w:numId="25">
    <w:abstractNumId w:val="32"/>
  </w:num>
  <w:num w:numId="26">
    <w:abstractNumId w:val="1"/>
  </w:num>
  <w:num w:numId="27">
    <w:abstractNumId w:val="14"/>
  </w:num>
  <w:num w:numId="28">
    <w:abstractNumId w:val="18"/>
  </w:num>
  <w:num w:numId="29">
    <w:abstractNumId w:val="17"/>
  </w:num>
  <w:num w:numId="30">
    <w:abstractNumId w:val="10"/>
  </w:num>
  <w:num w:numId="31">
    <w:abstractNumId w:val="22"/>
  </w:num>
  <w:num w:numId="32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08"/>
    <w:rsid w:val="00000587"/>
    <w:rsid w:val="00001392"/>
    <w:rsid w:val="00002665"/>
    <w:rsid w:val="00003653"/>
    <w:rsid w:val="00003B8D"/>
    <w:rsid w:val="00004BF8"/>
    <w:rsid w:val="00004EEF"/>
    <w:rsid w:val="000073A7"/>
    <w:rsid w:val="000077B4"/>
    <w:rsid w:val="000110F4"/>
    <w:rsid w:val="000110FE"/>
    <w:rsid w:val="00011552"/>
    <w:rsid w:val="00012059"/>
    <w:rsid w:val="00012198"/>
    <w:rsid w:val="000159EF"/>
    <w:rsid w:val="00015AF1"/>
    <w:rsid w:val="00015CA4"/>
    <w:rsid w:val="00017A66"/>
    <w:rsid w:val="00020CB1"/>
    <w:rsid w:val="000226B9"/>
    <w:rsid w:val="000229CE"/>
    <w:rsid w:val="00023036"/>
    <w:rsid w:val="000237F7"/>
    <w:rsid w:val="00024467"/>
    <w:rsid w:val="00026355"/>
    <w:rsid w:val="00026DA4"/>
    <w:rsid w:val="00027AE3"/>
    <w:rsid w:val="00030408"/>
    <w:rsid w:val="00031A2D"/>
    <w:rsid w:val="00032D1E"/>
    <w:rsid w:val="000330C1"/>
    <w:rsid w:val="000332EC"/>
    <w:rsid w:val="000366EB"/>
    <w:rsid w:val="00036D66"/>
    <w:rsid w:val="00036E96"/>
    <w:rsid w:val="00042255"/>
    <w:rsid w:val="00042F04"/>
    <w:rsid w:val="00044860"/>
    <w:rsid w:val="00045355"/>
    <w:rsid w:val="000455C4"/>
    <w:rsid w:val="000503A2"/>
    <w:rsid w:val="00051637"/>
    <w:rsid w:val="000518A5"/>
    <w:rsid w:val="000519B7"/>
    <w:rsid w:val="000527F7"/>
    <w:rsid w:val="00053C73"/>
    <w:rsid w:val="0005435C"/>
    <w:rsid w:val="00056830"/>
    <w:rsid w:val="00057B76"/>
    <w:rsid w:val="000608C1"/>
    <w:rsid w:val="0006113C"/>
    <w:rsid w:val="00061497"/>
    <w:rsid w:val="00061BEB"/>
    <w:rsid w:val="0006215A"/>
    <w:rsid w:val="00062233"/>
    <w:rsid w:val="0006294D"/>
    <w:rsid w:val="00063B22"/>
    <w:rsid w:val="00063C25"/>
    <w:rsid w:val="000643C4"/>
    <w:rsid w:val="00064F75"/>
    <w:rsid w:val="000651CC"/>
    <w:rsid w:val="000666D2"/>
    <w:rsid w:val="0006784C"/>
    <w:rsid w:val="00071862"/>
    <w:rsid w:val="00071BA6"/>
    <w:rsid w:val="00071BD9"/>
    <w:rsid w:val="000723A1"/>
    <w:rsid w:val="0007338E"/>
    <w:rsid w:val="00073566"/>
    <w:rsid w:val="0007632A"/>
    <w:rsid w:val="00076E5A"/>
    <w:rsid w:val="00077D62"/>
    <w:rsid w:val="00077F9C"/>
    <w:rsid w:val="00082561"/>
    <w:rsid w:val="00082957"/>
    <w:rsid w:val="00082992"/>
    <w:rsid w:val="0008456B"/>
    <w:rsid w:val="000847CA"/>
    <w:rsid w:val="00084B9A"/>
    <w:rsid w:val="00084BFA"/>
    <w:rsid w:val="0008542F"/>
    <w:rsid w:val="00085C61"/>
    <w:rsid w:val="000866C8"/>
    <w:rsid w:val="00086D12"/>
    <w:rsid w:val="00086EAE"/>
    <w:rsid w:val="0008713B"/>
    <w:rsid w:val="00087260"/>
    <w:rsid w:val="00090796"/>
    <w:rsid w:val="00090DB1"/>
    <w:rsid w:val="00092F2C"/>
    <w:rsid w:val="0009331A"/>
    <w:rsid w:val="0009350F"/>
    <w:rsid w:val="00093A52"/>
    <w:rsid w:val="00094CC5"/>
    <w:rsid w:val="00097DCB"/>
    <w:rsid w:val="00097ED8"/>
    <w:rsid w:val="000A0A40"/>
    <w:rsid w:val="000A10A5"/>
    <w:rsid w:val="000A114F"/>
    <w:rsid w:val="000A172F"/>
    <w:rsid w:val="000A23C1"/>
    <w:rsid w:val="000A28CA"/>
    <w:rsid w:val="000A30C1"/>
    <w:rsid w:val="000A31F0"/>
    <w:rsid w:val="000A3204"/>
    <w:rsid w:val="000A3586"/>
    <w:rsid w:val="000A4FCA"/>
    <w:rsid w:val="000A58A4"/>
    <w:rsid w:val="000A5CFF"/>
    <w:rsid w:val="000A5D2B"/>
    <w:rsid w:val="000A5FC3"/>
    <w:rsid w:val="000A659D"/>
    <w:rsid w:val="000B0021"/>
    <w:rsid w:val="000B0C6C"/>
    <w:rsid w:val="000B293C"/>
    <w:rsid w:val="000B385E"/>
    <w:rsid w:val="000B476C"/>
    <w:rsid w:val="000B5CC1"/>
    <w:rsid w:val="000B7247"/>
    <w:rsid w:val="000B7676"/>
    <w:rsid w:val="000C0431"/>
    <w:rsid w:val="000C1B4B"/>
    <w:rsid w:val="000C25FA"/>
    <w:rsid w:val="000C339B"/>
    <w:rsid w:val="000C385D"/>
    <w:rsid w:val="000C3BF6"/>
    <w:rsid w:val="000C495C"/>
    <w:rsid w:val="000C4ACB"/>
    <w:rsid w:val="000C61D2"/>
    <w:rsid w:val="000C6E30"/>
    <w:rsid w:val="000C7251"/>
    <w:rsid w:val="000C786A"/>
    <w:rsid w:val="000C7F87"/>
    <w:rsid w:val="000D00C5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442D"/>
    <w:rsid w:val="000D496E"/>
    <w:rsid w:val="000D4A9C"/>
    <w:rsid w:val="000D569E"/>
    <w:rsid w:val="000D6326"/>
    <w:rsid w:val="000D6689"/>
    <w:rsid w:val="000D67B2"/>
    <w:rsid w:val="000D7317"/>
    <w:rsid w:val="000E00BA"/>
    <w:rsid w:val="000E03F8"/>
    <w:rsid w:val="000E06AB"/>
    <w:rsid w:val="000E0A77"/>
    <w:rsid w:val="000E1DD6"/>
    <w:rsid w:val="000E3E9C"/>
    <w:rsid w:val="000E45C1"/>
    <w:rsid w:val="000E4C14"/>
    <w:rsid w:val="000E4D5E"/>
    <w:rsid w:val="000E4E05"/>
    <w:rsid w:val="000E5050"/>
    <w:rsid w:val="000E6356"/>
    <w:rsid w:val="000E75DD"/>
    <w:rsid w:val="000F0559"/>
    <w:rsid w:val="000F07DC"/>
    <w:rsid w:val="000F0DE1"/>
    <w:rsid w:val="000F177E"/>
    <w:rsid w:val="000F1E35"/>
    <w:rsid w:val="000F31F5"/>
    <w:rsid w:val="000F42FD"/>
    <w:rsid w:val="000F4CD5"/>
    <w:rsid w:val="000F52E1"/>
    <w:rsid w:val="000F61F9"/>
    <w:rsid w:val="000F7FCA"/>
    <w:rsid w:val="0010201D"/>
    <w:rsid w:val="001027CE"/>
    <w:rsid w:val="00103B18"/>
    <w:rsid w:val="00103D39"/>
    <w:rsid w:val="00104826"/>
    <w:rsid w:val="00105155"/>
    <w:rsid w:val="001064F6"/>
    <w:rsid w:val="001065E9"/>
    <w:rsid w:val="001074C0"/>
    <w:rsid w:val="00110D04"/>
    <w:rsid w:val="0011147B"/>
    <w:rsid w:val="00112CA5"/>
    <w:rsid w:val="00113E94"/>
    <w:rsid w:val="00114421"/>
    <w:rsid w:val="001144D3"/>
    <w:rsid w:val="00114E43"/>
    <w:rsid w:val="0011506C"/>
    <w:rsid w:val="001150A1"/>
    <w:rsid w:val="00117EF4"/>
    <w:rsid w:val="001212FC"/>
    <w:rsid w:val="00121696"/>
    <w:rsid w:val="00121CAC"/>
    <w:rsid w:val="00121E7B"/>
    <w:rsid w:val="001228A0"/>
    <w:rsid w:val="00122FFA"/>
    <w:rsid w:val="001237AA"/>
    <w:rsid w:val="00123B2B"/>
    <w:rsid w:val="001245F7"/>
    <w:rsid w:val="00124C72"/>
    <w:rsid w:val="00125636"/>
    <w:rsid w:val="0012569E"/>
    <w:rsid w:val="001258E3"/>
    <w:rsid w:val="00125DFE"/>
    <w:rsid w:val="0012733E"/>
    <w:rsid w:val="00130C8E"/>
    <w:rsid w:val="00130EEF"/>
    <w:rsid w:val="00131681"/>
    <w:rsid w:val="0013285F"/>
    <w:rsid w:val="00132FD5"/>
    <w:rsid w:val="00133656"/>
    <w:rsid w:val="00134DFE"/>
    <w:rsid w:val="0013526A"/>
    <w:rsid w:val="00137F83"/>
    <w:rsid w:val="0014011F"/>
    <w:rsid w:val="001404C9"/>
    <w:rsid w:val="00140C90"/>
    <w:rsid w:val="00141DC2"/>
    <w:rsid w:val="0014321E"/>
    <w:rsid w:val="00143583"/>
    <w:rsid w:val="00144104"/>
    <w:rsid w:val="00145064"/>
    <w:rsid w:val="00145475"/>
    <w:rsid w:val="00146112"/>
    <w:rsid w:val="00146B22"/>
    <w:rsid w:val="001472A8"/>
    <w:rsid w:val="00147554"/>
    <w:rsid w:val="00147A42"/>
    <w:rsid w:val="00147ECB"/>
    <w:rsid w:val="00150094"/>
    <w:rsid w:val="00150B50"/>
    <w:rsid w:val="00150D39"/>
    <w:rsid w:val="00151180"/>
    <w:rsid w:val="001514AC"/>
    <w:rsid w:val="00151A4D"/>
    <w:rsid w:val="0015257B"/>
    <w:rsid w:val="001525F2"/>
    <w:rsid w:val="00155948"/>
    <w:rsid w:val="001573A6"/>
    <w:rsid w:val="00157806"/>
    <w:rsid w:val="00157C6C"/>
    <w:rsid w:val="00157EA7"/>
    <w:rsid w:val="001609A2"/>
    <w:rsid w:val="00160B0F"/>
    <w:rsid w:val="00162886"/>
    <w:rsid w:val="00162DE6"/>
    <w:rsid w:val="00163211"/>
    <w:rsid w:val="001634B7"/>
    <w:rsid w:val="001650B4"/>
    <w:rsid w:val="00165488"/>
    <w:rsid w:val="001656DF"/>
    <w:rsid w:val="001657A0"/>
    <w:rsid w:val="001718FF"/>
    <w:rsid w:val="0017205F"/>
    <w:rsid w:val="00172522"/>
    <w:rsid w:val="00172886"/>
    <w:rsid w:val="0017316B"/>
    <w:rsid w:val="0017381E"/>
    <w:rsid w:val="00173BFF"/>
    <w:rsid w:val="00174223"/>
    <w:rsid w:val="00174767"/>
    <w:rsid w:val="00174885"/>
    <w:rsid w:val="00176A86"/>
    <w:rsid w:val="0017708E"/>
    <w:rsid w:val="0017726D"/>
    <w:rsid w:val="00177DE0"/>
    <w:rsid w:val="00181133"/>
    <w:rsid w:val="001816DD"/>
    <w:rsid w:val="001826AE"/>
    <w:rsid w:val="0018380B"/>
    <w:rsid w:val="00183C28"/>
    <w:rsid w:val="00184030"/>
    <w:rsid w:val="001853C7"/>
    <w:rsid w:val="00185DF3"/>
    <w:rsid w:val="00187EF6"/>
    <w:rsid w:val="00187F9A"/>
    <w:rsid w:val="00190AE1"/>
    <w:rsid w:val="001924BE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CBD"/>
    <w:rsid w:val="00196CFD"/>
    <w:rsid w:val="001A00DF"/>
    <w:rsid w:val="001A0234"/>
    <w:rsid w:val="001A0C4C"/>
    <w:rsid w:val="001A1A18"/>
    <w:rsid w:val="001A23A1"/>
    <w:rsid w:val="001A2ED8"/>
    <w:rsid w:val="001A2F9C"/>
    <w:rsid w:val="001A394E"/>
    <w:rsid w:val="001A41BF"/>
    <w:rsid w:val="001A41D9"/>
    <w:rsid w:val="001A6D7E"/>
    <w:rsid w:val="001A6D88"/>
    <w:rsid w:val="001A6EE3"/>
    <w:rsid w:val="001A703B"/>
    <w:rsid w:val="001A713E"/>
    <w:rsid w:val="001B084B"/>
    <w:rsid w:val="001B20E8"/>
    <w:rsid w:val="001B28CC"/>
    <w:rsid w:val="001B303A"/>
    <w:rsid w:val="001B321E"/>
    <w:rsid w:val="001B3E35"/>
    <w:rsid w:val="001B4506"/>
    <w:rsid w:val="001B4F97"/>
    <w:rsid w:val="001B4FA0"/>
    <w:rsid w:val="001B579A"/>
    <w:rsid w:val="001B5E49"/>
    <w:rsid w:val="001B73A9"/>
    <w:rsid w:val="001B7678"/>
    <w:rsid w:val="001B7C24"/>
    <w:rsid w:val="001C026A"/>
    <w:rsid w:val="001C1FD7"/>
    <w:rsid w:val="001C2547"/>
    <w:rsid w:val="001C2F48"/>
    <w:rsid w:val="001C334D"/>
    <w:rsid w:val="001C33F2"/>
    <w:rsid w:val="001C45E0"/>
    <w:rsid w:val="001C4AAB"/>
    <w:rsid w:val="001C6AE1"/>
    <w:rsid w:val="001D03EF"/>
    <w:rsid w:val="001D124D"/>
    <w:rsid w:val="001D145D"/>
    <w:rsid w:val="001D16A4"/>
    <w:rsid w:val="001D2F5F"/>
    <w:rsid w:val="001D3A92"/>
    <w:rsid w:val="001D3F1C"/>
    <w:rsid w:val="001D4672"/>
    <w:rsid w:val="001D48BB"/>
    <w:rsid w:val="001D6143"/>
    <w:rsid w:val="001D6751"/>
    <w:rsid w:val="001D6B66"/>
    <w:rsid w:val="001D774D"/>
    <w:rsid w:val="001D784B"/>
    <w:rsid w:val="001D796D"/>
    <w:rsid w:val="001E10E8"/>
    <w:rsid w:val="001E1312"/>
    <w:rsid w:val="001E1BA4"/>
    <w:rsid w:val="001E2CE5"/>
    <w:rsid w:val="001E47F3"/>
    <w:rsid w:val="001E5F51"/>
    <w:rsid w:val="001E6372"/>
    <w:rsid w:val="001F0B03"/>
    <w:rsid w:val="001F12F2"/>
    <w:rsid w:val="001F29E9"/>
    <w:rsid w:val="001F34B7"/>
    <w:rsid w:val="001F3869"/>
    <w:rsid w:val="001F3A2E"/>
    <w:rsid w:val="001F4261"/>
    <w:rsid w:val="001F48BC"/>
    <w:rsid w:val="001F4DB8"/>
    <w:rsid w:val="001F58C1"/>
    <w:rsid w:val="001F5E33"/>
    <w:rsid w:val="001F69E9"/>
    <w:rsid w:val="001F6D6F"/>
    <w:rsid w:val="00200456"/>
    <w:rsid w:val="002004EF"/>
    <w:rsid w:val="002017BB"/>
    <w:rsid w:val="00201D5A"/>
    <w:rsid w:val="00201F54"/>
    <w:rsid w:val="002020FD"/>
    <w:rsid w:val="00202D45"/>
    <w:rsid w:val="00203664"/>
    <w:rsid w:val="00203E1F"/>
    <w:rsid w:val="00205241"/>
    <w:rsid w:val="00205280"/>
    <w:rsid w:val="00205298"/>
    <w:rsid w:val="002052BA"/>
    <w:rsid w:val="00205ED9"/>
    <w:rsid w:val="00206006"/>
    <w:rsid w:val="00206CF8"/>
    <w:rsid w:val="002075CC"/>
    <w:rsid w:val="00207AAA"/>
    <w:rsid w:val="00207BF6"/>
    <w:rsid w:val="00210DB5"/>
    <w:rsid w:val="00211176"/>
    <w:rsid w:val="00211224"/>
    <w:rsid w:val="00211D70"/>
    <w:rsid w:val="00211F4E"/>
    <w:rsid w:val="002133AA"/>
    <w:rsid w:val="00213950"/>
    <w:rsid w:val="002151F7"/>
    <w:rsid w:val="00215A25"/>
    <w:rsid w:val="002165AD"/>
    <w:rsid w:val="00216B5A"/>
    <w:rsid w:val="00216E56"/>
    <w:rsid w:val="002170B7"/>
    <w:rsid w:val="0022021F"/>
    <w:rsid w:val="0022091F"/>
    <w:rsid w:val="00220EC7"/>
    <w:rsid w:val="00221A92"/>
    <w:rsid w:val="00222D98"/>
    <w:rsid w:val="00222E01"/>
    <w:rsid w:val="00223004"/>
    <w:rsid w:val="00224DEE"/>
    <w:rsid w:val="0022569D"/>
    <w:rsid w:val="002257E4"/>
    <w:rsid w:val="00225BEA"/>
    <w:rsid w:val="00225E16"/>
    <w:rsid w:val="00225F60"/>
    <w:rsid w:val="002263B0"/>
    <w:rsid w:val="0022681D"/>
    <w:rsid w:val="002269D0"/>
    <w:rsid w:val="002300B8"/>
    <w:rsid w:val="00230AC6"/>
    <w:rsid w:val="002316DC"/>
    <w:rsid w:val="00231B53"/>
    <w:rsid w:val="00232AC6"/>
    <w:rsid w:val="00233AAE"/>
    <w:rsid w:val="00235090"/>
    <w:rsid w:val="002351CA"/>
    <w:rsid w:val="002354D6"/>
    <w:rsid w:val="00235B38"/>
    <w:rsid w:val="00236318"/>
    <w:rsid w:val="002363E5"/>
    <w:rsid w:val="002367B2"/>
    <w:rsid w:val="00236CA5"/>
    <w:rsid w:val="00237224"/>
    <w:rsid w:val="00237A7D"/>
    <w:rsid w:val="002405B5"/>
    <w:rsid w:val="002407ED"/>
    <w:rsid w:val="00241580"/>
    <w:rsid w:val="0024171F"/>
    <w:rsid w:val="00243444"/>
    <w:rsid w:val="00244030"/>
    <w:rsid w:val="00244DE5"/>
    <w:rsid w:val="002450BF"/>
    <w:rsid w:val="00246265"/>
    <w:rsid w:val="00246C00"/>
    <w:rsid w:val="00247D61"/>
    <w:rsid w:val="00250168"/>
    <w:rsid w:val="002502CB"/>
    <w:rsid w:val="00251A5A"/>
    <w:rsid w:val="00251B66"/>
    <w:rsid w:val="002520F6"/>
    <w:rsid w:val="00252782"/>
    <w:rsid w:val="00252F93"/>
    <w:rsid w:val="00253326"/>
    <w:rsid w:val="002534AC"/>
    <w:rsid w:val="002544DF"/>
    <w:rsid w:val="00254592"/>
    <w:rsid w:val="00254B53"/>
    <w:rsid w:val="00255C82"/>
    <w:rsid w:val="00255DAC"/>
    <w:rsid w:val="00255E50"/>
    <w:rsid w:val="00256D95"/>
    <w:rsid w:val="002570A3"/>
    <w:rsid w:val="0026010F"/>
    <w:rsid w:val="002604B5"/>
    <w:rsid w:val="00260FA0"/>
    <w:rsid w:val="0026310D"/>
    <w:rsid w:val="002635E1"/>
    <w:rsid w:val="00263FE3"/>
    <w:rsid w:val="002642D3"/>
    <w:rsid w:val="00264599"/>
    <w:rsid w:val="002653D6"/>
    <w:rsid w:val="00266195"/>
    <w:rsid w:val="002674C3"/>
    <w:rsid w:val="00267EF4"/>
    <w:rsid w:val="00270FF9"/>
    <w:rsid w:val="00271035"/>
    <w:rsid w:val="002714C0"/>
    <w:rsid w:val="00271911"/>
    <w:rsid w:val="00272212"/>
    <w:rsid w:val="002739AF"/>
    <w:rsid w:val="002766D1"/>
    <w:rsid w:val="002767CC"/>
    <w:rsid w:val="00276A16"/>
    <w:rsid w:val="0027759D"/>
    <w:rsid w:val="002800B6"/>
    <w:rsid w:val="00280BB6"/>
    <w:rsid w:val="00280FD8"/>
    <w:rsid w:val="00281022"/>
    <w:rsid w:val="00281566"/>
    <w:rsid w:val="002824A2"/>
    <w:rsid w:val="002826A8"/>
    <w:rsid w:val="00283359"/>
    <w:rsid w:val="00283538"/>
    <w:rsid w:val="00284528"/>
    <w:rsid w:val="002851BA"/>
    <w:rsid w:val="00285279"/>
    <w:rsid w:val="00285DC2"/>
    <w:rsid w:val="002866FF"/>
    <w:rsid w:val="00286CA8"/>
    <w:rsid w:val="00287CCC"/>
    <w:rsid w:val="00292107"/>
    <w:rsid w:val="0029289D"/>
    <w:rsid w:val="00293101"/>
    <w:rsid w:val="00293B19"/>
    <w:rsid w:val="00296236"/>
    <w:rsid w:val="00296278"/>
    <w:rsid w:val="002971F2"/>
    <w:rsid w:val="002974B6"/>
    <w:rsid w:val="00297A1C"/>
    <w:rsid w:val="00297AE0"/>
    <w:rsid w:val="002A09EA"/>
    <w:rsid w:val="002A1643"/>
    <w:rsid w:val="002A1BB1"/>
    <w:rsid w:val="002A1CFF"/>
    <w:rsid w:val="002A1F0A"/>
    <w:rsid w:val="002A3D77"/>
    <w:rsid w:val="002A4380"/>
    <w:rsid w:val="002A52D4"/>
    <w:rsid w:val="002A5DB9"/>
    <w:rsid w:val="002A60AC"/>
    <w:rsid w:val="002A68DC"/>
    <w:rsid w:val="002A70A0"/>
    <w:rsid w:val="002A7CED"/>
    <w:rsid w:val="002B05F1"/>
    <w:rsid w:val="002B1650"/>
    <w:rsid w:val="002B2608"/>
    <w:rsid w:val="002B2AE7"/>
    <w:rsid w:val="002B3559"/>
    <w:rsid w:val="002B383A"/>
    <w:rsid w:val="002B3B13"/>
    <w:rsid w:val="002B41AA"/>
    <w:rsid w:val="002B43C4"/>
    <w:rsid w:val="002B4648"/>
    <w:rsid w:val="002B49B8"/>
    <w:rsid w:val="002B55AE"/>
    <w:rsid w:val="002B593C"/>
    <w:rsid w:val="002B61A4"/>
    <w:rsid w:val="002B6808"/>
    <w:rsid w:val="002B72FF"/>
    <w:rsid w:val="002B7A47"/>
    <w:rsid w:val="002C0BD2"/>
    <w:rsid w:val="002C13A5"/>
    <w:rsid w:val="002C3A94"/>
    <w:rsid w:val="002C3E16"/>
    <w:rsid w:val="002C476B"/>
    <w:rsid w:val="002C5A0C"/>
    <w:rsid w:val="002C5C68"/>
    <w:rsid w:val="002C5C96"/>
    <w:rsid w:val="002C6E57"/>
    <w:rsid w:val="002C6F6D"/>
    <w:rsid w:val="002C7242"/>
    <w:rsid w:val="002D0508"/>
    <w:rsid w:val="002D0D9D"/>
    <w:rsid w:val="002D1E2D"/>
    <w:rsid w:val="002D20FE"/>
    <w:rsid w:val="002D2586"/>
    <w:rsid w:val="002D2905"/>
    <w:rsid w:val="002D2993"/>
    <w:rsid w:val="002D2ECA"/>
    <w:rsid w:val="002D39CF"/>
    <w:rsid w:val="002D3C76"/>
    <w:rsid w:val="002D3D33"/>
    <w:rsid w:val="002D3D66"/>
    <w:rsid w:val="002D462C"/>
    <w:rsid w:val="002D4764"/>
    <w:rsid w:val="002D73C7"/>
    <w:rsid w:val="002D7416"/>
    <w:rsid w:val="002D7767"/>
    <w:rsid w:val="002E29C9"/>
    <w:rsid w:val="002E2EDC"/>
    <w:rsid w:val="002E32F4"/>
    <w:rsid w:val="002E4A3D"/>
    <w:rsid w:val="002E6653"/>
    <w:rsid w:val="002E6A36"/>
    <w:rsid w:val="002E6BE7"/>
    <w:rsid w:val="002E7A1A"/>
    <w:rsid w:val="002E7ECD"/>
    <w:rsid w:val="002F0AEA"/>
    <w:rsid w:val="002F0F18"/>
    <w:rsid w:val="002F142A"/>
    <w:rsid w:val="002F1471"/>
    <w:rsid w:val="002F19C7"/>
    <w:rsid w:val="002F2AEE"/>
    <w:rsid w:val="002F3332"/>
    <w:rsid w:val="002F4A80"/>
    <w:rsid w:val="002F4B17"/>
    <w:rsid w:val="002F4FDA"/>
    <w:rsid w:val="002F5E5A"/>
    <w:rsid w:val="002F5EA6"/>
    <w:rsid w:val="00300D92"/>
    <w:rsid w:val="00301E92"/>
    <w:rsid w:val="00302156"/>
    <w:rsid w:val="003030F2"/>
    <w:rsid w:val="003034C4"/>
    <w:rsid w:val="00306C00"/>
    <w:rsid w:val="003079F5"/>
    <w:rsid w:val="00310CAA"/>
    <w:rsid w:val="00311491"/>
    <w:rsid w:val="0031164B"/>
    <w:rsid w:val="0031266D"/>
    <w:rsid w:val="00312BDB"/>
    <w:rsid w:val="00312CAD"/>
    <w:rsid w:val="003143CB"/>
    <w:rsid w:val="003153C7"/>
    <w:rsid w:val="003158C7"/>
    <w:rsid w:val="00315D74"/>
    <w:rsid w:val="00315F52"/>
    <w:rsid w:val="003174DE"/>
    <w:rsid w:val="00317975"/>
    <w:rsid w:val="003210F4"/>
    <w:rsid w:val="0032136D"/>
    <w:rsid w:val="003219BA"/>
    <w:rsid w:val="00322345"/>
    <w:rsid w:val="00322AF6"/>
    <w:rsid w:val="00322C6A"/>
    <w:rsid w:val="00324072"/>
    <w:rsid w:val="00324BB5"/>
    <w:rsid w:val="00324CD5"/>
    <w:rsid w:val="00325BDF"/>
    <w:rsid w:val="0032605D"/>
    <w:rsid w:val="00326530"/>
    <w:rsid w:val="0032719B"/>
    <w:rsid w:val="00327D75"/>
    <w:rsid w:val="00327FCD"/>
    <w:rsid w:val="0033018D"/>
    <w:rsid w:val="00333051"/>
    <w:rsid w:val="00333E91"/>
    <w:rsid w:val="0033480B"/>
    <w:rsid w:val="00334B1B"/>
    <w:rsid w:val="00335C75"/>
    <w:rsid w:val="00336945"/>
    <w:rsid w:val="00336A7F"/>
    <w:rsid w:val="00340248"/>
    <w:rsid w:val="003405B1"/>
    <w:rsid w:val="003414E6"/>
    <w:rsid w:val="00341CAC"/>
    <w:rsid w:val="00342CAF"/>
    <w:rsid w:val="00343537"/>
    <w:rsid w:val="00343AB2"/>
    <w:rsid w:val="00343EB1"/>
    <w:rsid w:val="003441CF"/>
    <w:rsid w:val="00344B8E"/>
    <w:rsid w:val="003459D9"/>
    <w:rsid w:val="003460EC"/>
    <w:rsid w:val="00346273"/>
    <w:rsid w:val="00346C11"/>
    <w:rsid w:val="00351ABD"/>
    <w:rsid w:val="00353E2C"/>
    <w:rsid w:val="003552DB"/>
    <w:rsid w:val="00355CF9"/>
    <w:rsid w:val="0035772C"/>
    <w:rsid w:val="00357FF0"/>
    <w:rsid w:val="00360745"/>
    <w:rsid w:val="003607ED"/>
    <w:rsid w:val="00360C9C"/>
    <w:rsid w:val="0036142C"/>
    <w:rsid w:val="003617A0"/>
    <w:rsid w:val="003626DE"/>
    <w:rsid w:val="00363073"/>
    <w:rsid w:val="00363CB1"/>
    <w:rsid w:val="003641F4"/>
    <w:rsid w:val="00364D23"/>
    <w:rsid w:val="00365676"/>
    <w:rsid w:val="00365A26"/>
    <w:rsid w:val="003702A8"/>
    <w:rsid w:val="00372D5E"/>
    <w:rsid w:val="00372D84"/>
    <w:rsid w:val="00374298"/>
    <w:rsid w:val="0037458C"/>
    <w:rsid w:val="00374667"/>
    <w:rsid w:val="00374A94"/>
    <w:rsid w:val="00374D8E"/>
    <w:rsid w:val="0037521E"/>
    <w:rsid w:val="0037740F"/>
    <w:rsid w:val="00377EDA"/>
    <w:rsid w:val="00381128"/>
    <w:rsid w:val="0038126D"/>
    <w:rsid w:val="003822A2"/>
    <w:rsid w:val="00382B4D"/>
    <w:rsid w:val="00384251"/>
    <w:rsid w:val="0038461B"/>
    <w:rsid w:val="0038485D"/>
    <w:rsid w:val="00384978"/>
    <w:rsid w:val="0038594A"/>
    <w:rsid w:val="00385F7B"/>
    <w:rsid w:val="003861FF"/>
    <w:rsid w:val="003872F0"/>
    <w:rsid w:val="00387302"/>
    <w:rsid w:val="00391801"/>
    <w:rsid w:val="003918C7"/>
    <w:rsid w:val="00391B58"/>
    <w:rsid w:val="00392A64"/>
    <w:rsid w:val="003932C4"/>
    <w:rsid w:val="0039437F"/>
    <w:rsid w:val="0039458D"/>
    <w:rsid w:val="00394AC6"/>
    <w:rsid w:val="003960BC"/>
    <w:rsid w:val="0039709C"/>
    <w:rsid w:val="00397208"/>
    <w:rsid w:val="003977F9"/>
    <w:rsid w:val="003A006B"/>
    <w:rsid w:val="003A0B69"/>
    <w:rsid w:val="003A0DAA"/>
    <w:rsid w:val="003A1BC5"/>
    <w:rsid w:val="003A2AEB"/>
    <w:rsid w:val="003A2E4F"/>
    <w:rsid w:val="003A38D7"/>
    <w:rsid w:val="003A5CA2"/>
    <w:rsid w:val="003A60D1"/>
    <w:rsid w:val="003A6545"/>
    <w:rsid w:val="003A7124"/>
    <w:rsid w:val="003A7F1C"/>
    <w:rsid w:val="003B0146"/>
    <w:rsid w:val="003B0D03"/>
    <w:rsid w:val="003B158D"/>
    <w:rsid w:val="003B1F41"/>
    <w:rsid w:val="003B2FE6"/>
    <w:rsid w:val="003B33A3"/>
    <w:rsid w:val="003B352B"/>
    <w:rsid w:val="003B3DDC"/>
    <w:rsid w:val="003B4BF2"/>
    <w:rsid w:val="003B5105"/>
    <w:rsid w:val="003B61A5"/>
    <w:rsid w:val="003B657A"/>
    <w:rsid w:val="003B66C0"/>
    <w:rsid w:val="003B6E43"/>
    <w:rsid w:val="003B7A91"/>
    <w:rsid w:val="003B7D3F"/>
    <w:rsid w:val="003C066D"/>
    <w:rsid w:val="003C0775"/>
    <w:rsid w:val="003C0E63"/>
    <w:rsid w:val="003C1F9D"/>
    <w:rsid w:val="003C20EC"/>
    <w:rsid w:val="003C260E"/>
    <w:rsid w:val="003C279F"/>
    <w:rsid w:val="003C2B7A"/>
    <w:rsid w:val="003C3BC5"/>
    <w:rsid w:val="003C5EE4"/>
    <w:rsid w:val="003C770F"/>
    <w:rsid w:val="003C7A3F"/>
    <w:rsid w:val="003D0B61"/>
    <w:rsid w:val="003D0F51"/>
    <w:rsid w:val="003D1CB4"/>
    <w:rsid w:val="003D2A2A"/>
    <w:rsid w:val="003D3A69"/>
    <w:rsid w:val="003D418A"/>
    <w:rsid w:val="003D4E0A"/>
    <w:rsid w:val="003D5DB8"/>
    <w:rsid w:val="003D73B1"/>
    <w:rsid w:val="003E04F3"/>
    <w:rsid w:val="003E0A0F"/>
    <w:rsid w:val="003E1B60"/>
    <w:rsid w:val="003E2AB2"/>
    <w:rsid w:val="003E2B7D"/>
    <w:rsid w:val="003E2F5A"/>
    <w:rsid w:val="003E440E"/>
    <w:rsid w:val="003E4AF8"/>
    <w:rsid w:val="003E61C4"/>
    <w:rsid w:val="003E67DA"/>
    <w:rsid w:val="003E691C"/>
    <w:rsid w:val="003E6FDB"/>
    <w:rsid w:val="003F1CA2"/>
    <w:rsid w:val="003F254D"/>
    <w:rsid w:val="003F2928"/>
    <w:rsid w:val="003F30CB"/>
    <w:rsid w:val="003F452F"/>
    <w:rsid w:val="003F4BD4"/>
    <w:rsid w:val="003F50E8"/>
    <w:rsid w:val="003F563C"/>
    <w:rsid w:val="003F568A"/>
    <w:rsid w:val="003F5F0B"/>
    <w:rsid w:val="003F6464"/>
    <w:rsid w:val="003F7191"/>
    <w:rsid w:val="00400B81"/>
    <w:rsid w:val="00400C93"/>
    <w:rsid w:val="00402090"/>
    <w:rsid w:val="00402210"/>
    <w:rsid w:val="004029B3"/>
    <w:rsid w:val="00403A6E"/>
    <w:rsid w:val="00403CD7"/>
    <w:rsid w:val="00404EA5"/>
    <w:rsid w:val="00406429"/>
    <w:rsid w:val="00406F2F"/>
    <w:rsid w:val="004075D9"/>
    <w:rsid w:val="0040777B"/>
    <w:rsid w:val="004105A2"/>
    <w:rsid w:val="00410FC2"/>
    <w:rsid w:val="0041181D"/>
    <w:rsid w:val="00411EEF"/>
    <w:rsid w:val="0041219E"/>
    <w:rsid w:val="004121BE"/>
    <w:rsid w:val="00412F48"/>
    <w:rsid w:val="00413B78"/>
    <w:rsid w:val="00414E7D"/>
    <w:rsid w:val="004163E7"/>
    <w:rsid w:val="00416DFA"/>
    <w:rsid w:val="004173B1"/>
    <w:rsid w:val="00417929"/>
    <w:rsid w:val="00422B41"/>
    <w:rsid w:val="00422DC6"/>
    <w:rsid w:val="004236B1"/>
    <w:rsid w:val="004248BA"/>
    <w:rsid w:val="00424E76"/>
    <w:rsid w:val="00425F1C"/>
    <w:rsid w:val="00427789"/>
    <w:rsid w:val="00427A3F"/>
    <w:rsid w:val="00427F13"/>
    <w:rsid w:val="004310BA"/>
    <w:rsid w:val="00431B62"/>
    <w:rsid w:val="00431DEC"/>
    <w:rsid w:val="00431F96"/>
    <w:rsid w:val="0043223C"/>
    <w:rsid w:val="00432D70"/>
    <w:rsid w:val="0043338C"/>
    <w:rsid w:val="00433EDB"/>
    <w:rsid w:val="0043534B"/>
    <w:rsid w:val="00435411"/>
    <w:rsid w:val="00435E60"/>
    <w:rsid w:val="00436B5F"/>
    <w:rsid w:val="00436D89"/>
    <w:rsid w:val="0044051C"/>
    <w:rsid w:val="004416A7"/>
    <w:rsid w:val="0044381E"/>
    <w:rsid w:val="004442AC"/>
    <w:rsid w:val="004449F3"/>
    <w:rsid w:val="00444A8F"/>
    <w:rsid w:val="00445397"/>
    <w:rsid w:val="00445FEE"/>
    <w:rsid w:val="0044776B"/>
    <w:rsid w:val="00450316"/>
    <w:rsid w:val="00450C0B"/>
    <w:rsid w:val="00451182"/>
    <w:rsid w:val="00451221"/>
    <w:rsid w:val="00451684"/>
    <w:rsid w:val="004523F7"/>
    <w:rsid w:val="0045296D"/>
    <w:rsid w:val="0045369E"/>
    <w:rsid w:val="00453BB1"/>
    <w:rsid w:val="004540E9"/>
    <w:rsid w:val="00454449"/>
    <w:rsid w:val="00455428"/>
    <w:rsid w:val="004567AC"/>
    <w:rsid w:val="00456CE8"/>
    <w:rsid w:val="004574B9"/>
    <w:rsid w:val="004577EC"/>
    <w:rsid w:val="00457D4F"/>
    <w:rsid w:val="004606D2"/>
    <w:rsid w:val="00460777"/>
    <w:rsid w:val="00460D3D"/>
    <w:rsid w:val="0046103E"/>
    <w:rsid w:val="004625AD"/>
    <w:rsid w:val="00462D62"/>
    <w:rsid w:val="00463279"/>
    <w:rsid w:val="00463A22"/>
    <w:rsid w:val="00465358"/>
    <w:rsid w:val="00466D72"/>
    <w:rsid w:val="00467070"/>
    <w:rsid w:val="00467224"/>
    <w:rsid w:val="00470332"/>
    <w:rsid w:val="00471E2C"/>
    <w:rsid w:val="00472466"/>
    <w:rsid w:val="00473133"/>
    <w:rsid w:val="0047369E"/>
    <w:rsid w:val="00473967"/>
    <w:rsid w:val="00473BB4"/>
    <w:rsid w:val="00474456"/>
    <w:rsid w:val="00474F16"/>
    <w:rsid w:val="00476882"/>
    <w:rsid w:val="00476EAB"/>
    <w:rsid w:val="00477741"/>
    <w:rsid w:val="0047795A"/>
    <w:rsid w:val="004802E6"/>
    <w:rsid w:val="004808B7"/>
    <w:rsid w:val="0048102C"/>
    <w:rsid w:val="00481FD3"/>
    <w:rsid w:val="004836F5"/>
    <w:rsid w:val="00483EED"/>
    <w:rsid w:val="00484143"/>
    <w:rsid w:val="004850EA"/>
    <w:rsid w:val="004854EB"/>
    <w:rsid w:val="0048563E"/>
    <w:rsid w:val="00487653"/>
    <w:rsid w:val="00487979"/>
    <w:rsid w:val="00491318"/>
    <w:rsid w:val="00491903"/>
    <w:rsid w:val="004933AC"/>
    <w:rsid w:val="0049382A"/>
    <w:rsid w:val="00493B4F"/>
    <w:rsid w:val="00493C40"/>
    <w:rsid w:val="00494A1A"/>
    <w:rsid w:val="00496951"/>
    <w:rsid w:val="00496B2D"/>
    <w:rsid w:val="00497787"/>
    <w:rsid w:val="004A00EE"/>
    <w:rsid w:val="004A0428"/>
    <w:rsid w:val="004A072B"/>
    <w:rsid w:val="004A0DD9"/>
    <w:rsid w:val="004A129A"/>
    <w:rsid w:val="004A1575"/>
    <w:rsid w:val="004A17B2"/>
    <w:rsid w:val="004A1E3A"/>
    <w:rsid w:val="004A1FF0"/>
    <w:rsid w:val="004A2311"/>
    <w:rsid w:val="004A2454"/>
    <w:rsid w:val="004A2AA3"/>
    <w:rsid w:val="004A37EE"/>
    <w:rsid w:val="004A43C5"/>
    <w:rsid w:val="004A4F03"/>
    <w:rsid w:val="004A5084"/>
    <w:rsid w:val="004A64C9"/>
    <w:rsid w:val="004A658E"/>
    <w:rsid w:val="004A6FE3"/>
    <w:rsid w:val="004A7808"/>
    <w:rsid w:val="004B023E"/>
    <w:rsid w:val="004B0893"/>
    <w:rsid w:val="004B1E4A"/>
    <w:rsid w:val="004B226D"/>
    <w:rsid w:val="004B2F89"/>
    <w:rsid w:val="004B3331"/>
    <w:rsid w:val="004B3DC8"/>
    <w:rsid w:val="004B4E19"/>
    <w:rsid w:val="004B4F61"/>
    <w:rsid w:val="004B5340"/>
    <w:rsid w:val="004B5DA3"/>
    <w:rsid w:val="004B5DA6"/>
    <w:rsid w:val="004B68E1"/>
    <w:rsid w:val="004B6ED0"/>
    <w:rsid w:val="004C0437"/>
    <w:rsid w:val="004C0721"/>
    <w:rsid w:val="004C0D59"/>
    <w:rsid w:val="004C17D2"/>
    <w:rsid w:val="004C1BCE"/>
    <w:rsid w:val="004C2534"/>
    <w:rsid w:val="004C3059"/>
    <w:rsid w:val="004C3575"/>
    <w:rsid w:val="004C3851"/>
    <w:rsid w:val="004C3DD7"/>
    <w:rsid w:val="004C4142"/>
    <w:rsid w:val="004C65C2"/>
    <w:rsid w:val="004C68B4"/>
    <w:rsid w:val="004C6CCC"/>
    <w:rsid w:val="004C77A5"/>
    <w:rsid w:val="004C7B84"/>
    <w:rsid w:val="004D194E"/>
    <w:rsid w:val="004D1B09"/>
    <w:rsid w:val="004D1CD9"/>
    <w:rsid w:val="004D2370"/>
    <w:rsid w:val="004D378B"/>
    <w:rsid w:val="004D41BA"/>
    <w:rsid w:val="004D49B8"/>
    <w:rsid w:val="004D4F55"/>
    <w:rsid w:val="004D7339"/>
    <w:rsid w:val="004D7E9A"/>
    <w:rsid w:val="004E0A38"/>
    <w:rsid w:val="004E0C93"/>
    <w:rsid w:val="004E0D0B"/>
    <w:rsid w:val="004E1204"/>
    <w:rsid w:val="004E153D"/>
    <w:rsid w:val="004E1ADA"/>
    <w:rsid w:val="004E21CE"/>
    <w:rsid w:val="004E26D2"/>
    <w:rsid w:val="004E46F7"/>
    <w:rsid w:val="004E4F72"/>
    <w:rsid w:val="004E5756"/>
    <w:rsid w:val="004F12E5"/>
    <w:rsid w:val="004F1B33"/>
    <w:rsid w:val="004F1E12"/>
    <w:rsid w:val="004F1E60"/>
    <w:rsid w:val="004F2838"/>
    <w:rsid w:val="004F3953"/>
    <w:rsid w:val="004F3B4A"/>
    <w:rsid w:val="004F5F44"/>
    <w:rsid w:val="004F5FDA"/>
    <w:rsid w:val="004F7AAD"/>
    <w:rsid w:val="004F7B53"/>
    <w:rsid w:val="0050052F"/>
    <w:rsid w:val="00500B7F"/>
    <w:rsid w:val="00501001"/>
    <w:rsid w:val="00501544"/>
    <w:rsid w:val="00501970"/>
    <w:rsid w:val="00501B29"/>
    <w:rsid w:val="005034AF"/>
    <w:rsid w:val="00503D92"/>
    <w:rsid w:val="0050557B"/>
    <w:rsid w:val="00505A54"/>
    <w:rsid w:val="005070CA"/>
    <w:rsid w:val="0051011F"/>
    <w:rsid w:val="00510AF0"/>
    <w:rsid w:val="00511BFE"/>
    <w:rsid w:val="00511E43"/>
    <w:rsid w:val="00512A4A"/>
    <w:rsid w:val="00513C6D"/>
    <w:rsid w:val="00514B44"/>
    <w:rsid w:val="00514DFA"/>
    <w:rsid w:val="00516342"/>
    <w:rsid w:val="00516DD1"/>
    <w:rsid w:val="00517047"/>
    <w:rsid w:val="00520541"/>
    <w:rsid w:val="0052160C"/>
    <w:rsid w:val="00521BCD"/>
    <w:rsid w:val="005226F0"/>
    <w:rsid w:val="00522E90"/>
    <w:rsid w:val="005243FB"/>
    <w:rsid w:val="005252A1"/>
    <w:rsid w:val="00525768"/>
    <w:rsid w:val="00526277"/>
    <w:rsid w:val="00526FC4"/>
    <w:rsid w:val="00530A95"/>
    <w:rsid w:val="005313EB"/>
    <w:rsid w:val="0053175F"/>
    <w:rsid w:val="005317EB"/>
    <w:rsid w:val="005321FB"/>
    <w:rsid w:val="00532552"/>
    <w:rsid w:val="00534CCB"/>
    <w:rsid w:val="005374A7"/>
    <w:rsid w:val="0053769C"/>
    <w:rsid w:val="00537780"/>
    <w:rsid w:val="00537930"/>
    <w:rsid w:val="00537B58"/>
    <w:rsid w:val="0054000B"/>
    <w:rsid w:val="00540423"/>
    <w:rsid w:val="00540B98"/>
    <w:rsid w:val="00540BE6"/>
    <w:rsid w:val="005414F9"/>
    <w:rsid w:val="00541AD8"/>
    <w:rsid w:val="00541D1E"/>
    <w:rsid w:val="00542834"/>
    <w:rsid w:val="005436A7"/>
    <w:rsid w:val="00544783"/>
    <w:rsid w:val="00544DC4"/>
    <w:rsid w:val="0054550D"/>
    <w:rsid w:val="00545573"/>
    <w:rsid w:val="00546C40"/>
    <w:rsid w:val="005472B4"/>
    <w:rsid w:val="00547E4A"/>
    <w:rsid w:val="00547E4C"/>
    <w:rsid w:val="005501DA"/>
    <w:rsid w:val="00550240"/>
    <w:rsid w:val="005503E1"/>
    <w:rsid w:val="00550A30"/>
    <w:rsid w:val="005515CC"/>
    <w:rsid w:val="00551D1C"/>
    <w:rsid w:val="0055320B"/>
    <w:rsid w:val="00553DDB"/>
    <w:rsid w:val="00553F27"/>
    <w:rsid w:val="0055480C"/>
    <w:rsid w:val="00554FDA"/>
    <w:rsid w:val="00555264"/>
    <w:rsid w:val="00555D04"/>
    <w:rsid w:val="00556901"/>
    <w:rsid w:val="005627BE"/>
    <w:rsid w:val="00562B4D"/>
    <w:rsid w:val="005637A6"/>
    <w:rsid w:val="00564542"/>
    <w:rsid w:val="0056493C"/>
    <w:rsid w:val="00564BA2"/>
    <w:rsid w:val="00564D5E"/>
    <w:rsid w:val="00565254"/>
    <w:rsid w:val="00565865"/>
    <w:rsid w:val="00565F4C"/>
    <w:rsid w:val="0056645D"/>
    <w:rsid w:val="00566B52"/>
    <w:rsid w:val="00567005"/>
    <w:rsid w:val="00570525"/>
    <w:rsid w:val="005714C1"/>
    <w:rsid w:val="00571D33"/>
    <w:rsid w:val="00571E19"/>
    <w:rsid w:val="00572203"/>
    <w:rsid w:val="00572B24"/>
    <w:rsid w:val="00573057"/>
    <w:rsid w:val="005739D5"/>
    <w:rsid w:val="0057444C"/>
    <w:rsid w:val="00574627"/>
    <w:rsid w:val="00574D01"/>
    <w:rsid w:val="00575607"/>
    <w:rsid w:val="0057767D"/>
    <w:rsid w:val="00577887"/>
    <w:rsid w:val="005779FC"/>
    <w:rsid w:val="005800A5"/>
    <w:rsid w:val="0058184A"/>
    <w:rsid w:val="00581EC1"/>
    <w:rsid w:val="00584A57"/>
    <w:rsid w:val="00584D55"/>
    <w:rsid w:val="00585620"/>
    <w:rsid w:val="005861CA"/>
    <w:rsid w:val="0058674A"/>
    <w:rsid w:val="00587DB7"/>
    <w:rsid w:val="00592A83"/>
    <w:rsid w:val="00593015"/>
    <w:rsid w:val="0059434E"/>
    <w:rsid w:val="005959D1"/>
    <w:rsid w:val="005959DA"/>
    <w:rsid w:val="00595DEB"/>
    <w:rsid w:val="00595FDD"/>
    <w:rsid w:val="0059662E"/>
    <w:rsid w:val="00597339"/>
    <w:rsid w:val="005A1A22"/>
    <w:rsid w:val="005A1A52"/>
    <w:rsid w:val="005A32E0"/>
    <w:rsid w:val="005A3601"/>
    <w:rsid w:val="005A3CE3"/>
    <w:rsid w:val="005A3FFE"/>
    <w:rsid w:val="005A43C1"/>
    <w:rsid w:val="005A47B9"/>
    <w:rsid w:val="005A587C"/>
    <w:rsid w:val="005A646E"/>
    <w:rsid w:val="005A64ED"/>
    <w:rsid w:val="005A6758"/>
    <w:rsid w:val="005A6B58"/>
    <w:rsid w:val="005A6B7E"/>
    <w:rsid w:val="005A7DB2"/>
    <w:rsid w:val="005B0248"/>
    <w:rsid w:val="005B047F"/>
    <w:rsid w:val="005B07AD"/>
    <w:rsid w:val="005B0953"/>
    <w:rsid w:val="005B0D28"/>
    <w:rsid w:val="005B0F0B"/>
    <w:rsid w:val="005B0F1D"/>
    <w:rsid w:val="005B0FEA"/>
    <w:rsid w:val="005B1835"/>
    <w:rsid w:val="005B21CB"/>
    <w:rsid w:val="005B2354"/>
    <w:rsid w:val="005B2A4D"/>
    <w:rsid w:val="005B313E"/>
    <w:rsid w:val="005B3511"/>
    <w:rsid w:val="005B40E2"/>
    <w:rsid w:val="005B4B99"/>
    <w:rsid w:val="005B66FD"/>
    <w:rsid w:val="005B6EF3"/>
    <w:rsid w:val="005B7683"/>
    <w:rsid w:val="005B77C9"/>
    <w:rsid w:val="005C0027"/>
    <w:rsid w:val="005C05DD"/>
    <w:rsid w:val="005C1BB8"/>
    <w:rsid w:val="005C2D07"/>
    <w:rsid w:val="005C37F3"/>
    <w:rsid w:val="005C48CC"/>
    <w:rsid w:val="005C52B6"/>
    <w:rsid w:val="005C5D85"/>
    <w:rsid w:val="005C5FAF"/>
    <w:rsid w:val="005C6852"/>
    <w:rsid w:val="005C68A3"/>
    <w:rsid w:val="005C6F04"/>
    <w:rsid w:val="005C7277"/>
    <w:rsid w:val="005C7A7D"/>
    <w:rsid w:val="005D08B4"/>
    <w:rsid w:val="005D0A81"/>
    <w:rsid w:val="005D0E8E"/>
    <w:rsid w:val="005D182F"/>
    <w:rsid w:val="005D20C2"/>
    <w:rsid w:val="005D251B"/>
    <w:rsid w:val="005D2F42"/>
    <w:rsid w:val="005D3112"/>
    <w:rsid w:val="005D3A83"/>
    <w:rsid w:val="005D4F91"/>
    <w:rsid w:val="005D5378"/>
    <w:rsid w:val="005D5C2E"/>
    <w:rsid w:val="005D62DF"/>
    <w:rsid w:val="005E0738"/>
    <w:rsid w:val="005E0833"/>
    <w:rsid w:val="005E0E17"/>
    <w:rsid w:val="005E1D6A"/>
    <w:rsid w:val="005E25FC"/>
    <w:rsid w:val="005E2B5B"/>
    <w:rsid w:val="005E3288"/>
    <w:rsid w:val="005E363A"/>
    <w:rsid w:val="005E61B9"/>
    <w:rsid w:val="005E66D7"/>
    <w:rsid w:val="005E74FD"/>
    <w:rsid w:val="005F16A1"/>
    <w:rsid w:val="005F1867"/>
    <w:rsid w:val="005F191B"/>
    <w:rsid w:val="005F1F02"/>
    <w:rsid w:val="005F31BB"/>
    <w:rsid w:val="005F3590"/>
    <w:rsid w:val="005F376A"/>
    <w:rsid w:val="005F3EEB"/>
    <w:rsid w:val="005F41E8"/>
    <w:rsid w:val="005F530D"/>
    <w:rsid w:val="005F5B39"/>
    <w:rsid w:val="005F6111"/>
    <w:rsid w:val="005F6383"/>
    <w:rsid w:val="005F6A53"/>
    <w:rsid w:val="005F6FC2"/>
    <w:rsid w:val="005F7227"/>
    <w:rsid w:val="006000CC"/>
    <w:rsid w:val="00601124"/>
    <w:rsid w:val="00601438"/>
    <w:rsid w:val="00601472"/>
    <w:rsid w:val="00601836"/>
    <w:rsid w:val="006018B4"/>
    <w:rsid w:val="00602394"/>
    <w:rsid w:val="00602D1B"/>
    <w:rsid w:val="006038B2"/>
    <w:rsid w:val="00604F98"/>
    <w:rsid w:val="00605503"/>
    <w:rsid w:val="006058C8"/>
    <w:rsid w:val="0060663B"/>
    <w:rsid w:val="00606CC0"/>
    <w:rsid w:val="006079F5"/>
    <w:rsid w:val="00610A3B"/>
    <w:rsid w:val="00610C47"/>
    <w:rsid w:val="006117CA"/>
    <w:rsid w:val="00612220"/>
    <w:rsid w:val="006126DE"/>
    <w:rsid w:val="006126E2"/>
    <w:rsid w:val="00613F34"/>
    <w:rsid w:val="006152B1"/>
    <w:rsid w:val="00615B71"/>
    <w:rsid w:val="00616D4D"/>
    <w:rsid w:val="00617FA5"/>
    <w:rsid w:val="0062089A"/>
    <w:rsid w:val="00620AD9"/>
    <w:rsid w:val="0062158B"/>
    <w:rsid w:val="00621611"/>
    <w:rsid w:val="00621B36"/>
    <w:rsid w:val="00621E7B"/>
    <w:rsid w:val="0062380E"/>
    <w:rsid w:val="00623A8B"/>
    <w:rsid w:val="00623F7E"/>
    <w:rsid w:val="00624421"/>
    <w:rsid w:val="006259D0"/>
    <w:rsid w:val="00625DDB"/>
    <w:rsid w:val="00625F70"/>
    <w:rsid w:val="0062602A"/>
    <w:rsid w:val="00626093"/>
    <w:rsid w:val="006267DE"/>
    <w:rsid w:val="00626A80"/>
    <w:rsid w:val="00627903"/>
    <w:rsid w:val="00627FCA"/>
    <w:rsid w:val="006309C7"/>
    <w:rsid w:val="00630F70"/>
    <w:rsid w:val="006311AE"/>
    <w:rsid w:val="00631708"/>
    <w:rsid w:val="006322E0"/>
    <w:rsid w:val="00632CAF"/>
    <w:rsid w:val="006339B6"/>
    <w:rsid w:val="00634611"/>
    <w:rsid w:val="00635765"/>
    <w:rsid w:val="00635932"/>
    <w:rsid w:val="00635F67"/>
    <w:rsid w:val="006362C2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1E82"/>
    <w:rsid w:val="00642367"/>
    <w:rsid w:val="00642893"/>
    <w:rsid w:val="00643500"/>
    <w:rsid w:val="006435DB"/>
    <w:rsid w:val="00644C24"/>
    <w:rsid w:val="0064515F"/>
    <w:rsid w:val="006455D4"/>
    <w:rsid w:val="00645785"/>
    <w:rsid w:val="0064601C"/>
    <w:rsid w:val="00646307"/>
    <w:rsid w:val="006506EA"/>
    <w:rsid w:val="0065178D"/>
    <w:rsid w:val="00651AA5"/>
    <w:rsid w:val="00651B94"/>
    <w:rsid w:val="00651D28"/>
    <w:rsid w:val="0065235B"/>
    <w:rsid w:val="006523C7"/>
    <w:rsid w:val="006540B2"/>
    <w:rsid w:val="00654190"/>
    <w:rsid w:val="0065488E"/>
    <w:rsid w:val="00655FB1"/>
    <w:rsid w:val="00656AC0"/>
    <w:rsid w:val="00657F1A"/>
    <w:rsid w:val="00660AD9"/>
    <w:rsid w:val="00660BF0"/>
    <w:rsid w:val="00660DB0"/>
    <w:rsid w:val="0066165F"/>
    <w:rsid w:val="00661F96"/>
    <w:rsid w:val="006625E6"/>
    <w:rsid w:val="00662622"/>
    <w:rsid w:val="0066273A"/>
    <w:rsid w:val="00663DB0"/>
    <w:rsid w:val="0066425E"/>
    <w:rsid w:val="00664A0E"/>
    <w:rsid w:val="006654A7"/>
    <w:rsid w:val="00665B41"/>
    <w:rsid w:val="00667A84"/>
    <w:rsid w:val="00667BE3"/>
    <w:rsid w:val="00670285"/>
    <w:rsid w:val="00670569"/>
    <w:rsid w:val="00671B42"/>
    <w:rsid w:val="00671C5B"/>
    <w:rsid w:val="00671EF9"/>
    <w:rsid w:val="00673C17"/>
    <w:rsid w:val="00673FA1"/>
    <w:rsid w:val="00674BBD"/>
    <w:rsid w:val="00674C5D"/>
    <w:rsid w:val="00674D28"/>
    <w:rsid w:val="006750D8"/>
    <w:rsid w:val="00675249"/>
    <w:rsid w:val="00676D41"/>
    <w:rsid w:val="0067754B"/>
    <w:rsid w:val="006775FA"/>
    <w:rsid w:val="00680CEE"/>
    <w:rsid w:val="00680E82"/>
    <w:rsid w:val="00681915"/>
    <w:rsid w:val="00682767"/>
    <w:rsid w:val="006827B5"/>
    <w:rsid w:val="00684562"/>
    <w:rsid w:val="0068531F"/>
    <w:rsid w:val="006854E6"/>
    <w:rsid w:val="00686937"/>
    <w:rsid w:val="006878BD"/>
    <w:rsid w:val="006900F3"/>
    <w:rsid w:val="00690D3D"/>
    <w:rsid w:val="00691291"/>
    <w:rsid w:val="00691FC5"/>
    <w:rsid w:val="00691FF9"/>
    <w:rsid w:val="006929A8"/>
    <w:rsid w:val="00692D30"/>
    <w:rsid w:val="00693A75"/>
    <w:rsid w:val="00693EFB"/>
    <w:rsid w:val="006953D1"/>
    <w:rsid w:val="00696664"/>
    <w:rsid w:val="006974DA"/>
    <w:rsid w:val="006978B2"/>
    <w:rsid w:val="00697B10"/>
    <w:rsid w:val="006A2520"/>
    <w:rsid w:val="006A25C5"/>
    <w:rsid w:val="006A31C4"/>
    <w:rsid w:val="006A3A4A"/>
    <w:rsid w:val="006A3EBC"/>
    <w:rsid w:val="006A46BB"/>
    <w:rsid w:val="006A6151"/>
    <w:rsid w:val="006A649A"/>
    <w:rsid w:val="006A64F6"/>
    <w:rsid w:val="006A67F5"/>
    <w:rsid w:val="006A754F"/>
    <w:rsid w:val="006B105F"/>
    <w:rsid w:val="006B16AE"/>
    <w:rsid w:val="006B189C"/>
    <w:rsid w:val="006B245F"/>
    <w:rsid w:val="006B2E4B"/>
    <w:rsid w:val="006B3638"/>
    <w:rsid w:val="006B3854"/>
    <w:rsid w:val="006B5B6C"/>
    <w:rsid w:val="006B5F04"/>
    <w:rsid w:val="006B5FB7"/>
    <w:rsid w:val="006B65E8"/>
    <w:rsid w:val="006B6DD2"/>
    <w:rsid w:val="006B7F05"/>
    <w:rsid w:val="006C08E8"/>
    <w:rsid w:val="006C219C"/>
    <w:rsid w:val="006C5569"/>
    <w:rsid w:val="006C7024"/>
    <w:rsid w:val="006C750D"/>
    <w:rsid w:val="006C7ED4"/>
    <w:rsid w:val="006C7EFB"/>
    <w:rsid w:val="006D081F"/>
    <w:rsid w:val="006D0C9C"/>
    <w:rsid w:val="006D0DEA"/>
    <w:rsid w:val="006D0F1A"/>
    <w:rsid w:val="006D134B"/>
    <w:rsid w:val="006D1938"/>
    <w:rsid w:val="006D19E0"/>
    <w:rsid w:val="006D21D6"/>
    <w:rsid w:val="006D39DD"/>
    <w:rsid w:val="006D4CAC"/>
    <w:rsid w:val="006D55CD"/>
    <w:rsid w:val="006D6090"/>
    <w:rsid w:val="006D77EE"/>
    <w:rsid w:val="006E105E"/>
    <w:rsid w:val="006E18AF"/>
    <w:rsid w:val="006E1EEE"/>
    <w:rsid w:val="006E2602"/>
    <w:rsid w:val="006E2B0D"/>
    <w:rsid w:val="006E2C80"/>
    <w:rsid w:val="006E387B"/>
    <w:rsid w:val="006E388E"/>
    <w:rsid w:val="006E405C"/>
    <w:rsid w:val="006E426B"/>
    <w:rsid w:val="006E4DF7"/>
    <w:rsid w:val="006E6531"/>
    <w:rsid w:val="006E6ABA"/>
    <w:rsid w:val="006E6EA9"/>
    <w:rsid w:val="006E7589"/>
    <w:rsid w:val="006E79E4"/>
    <w:rsid w:val="006F0FD9"/>
    <w:rsid w:val="006F1439"/>
    <w:rsid w:val="006F24DC"/>
    <w:rsid w:val="006F2831"/>
    <w:rsid w:val="006F34FC"/>
    <w:rsid w:val="006F3B1E"/>
    <w:rsid w:val="006F3C47"/>
    <w:rsid w:val="006F3DC1"/>
    <w:rsid w:val="006F5CF6"/>
    <w:rsid w:val="006F7103"/>
    <w:rsid w:val="006F7934"/>
    <w:rsid w:val="0070002F"/>
    <w:rsid w:val="00700995"/>
    <w:rsid w:val="0070103B"/>
    <w:rsid w:val="00701913"/>
    <w:rsid w:val="007024DB"/>
    <w:rsid w:val="007027FC"/>
    <w:rsid w:val="00702D2E"/>
    <w:rsid w:val="0070324E"/>
    <w:rsid w:val="0070369B"/>
    <w:rsid w:val="00704DB1"/>
    <w:rsid w:val="00705A4D"/>
    <w:rsid w:val="00706005"/>
    <w:rsid w:val="00706CB3"/>
    <w:rsid w:val="00707BAF"/>
    <w:rsid w:val="00707EF8"/>
    <w:rsid w:val="00707FDD"/>
    <w:rsid w:val="007100FC"/>
    <w:rsid w:val="00710C00"/>
    <w:rsid w:val="00711C1E"/>
    <w:rsid w:val="00712A12"/>
    <w:rsid w:val="00712DD5"/>
    <w:rsid w:val="0071344F"/>
    <w:rsid w:val="0071364A"/>
    <w:rsid w:val="00713E46"/>
    <w:rsid w:val="0071473B"/>
    <w:rsid w:val="00714CE2"/>
    <w:rsid w:val="00714D67"/>
    <w:rsid w:val="007151E0"/>
    <w:rsid w:val="00716149"/>
    <w:rsid w:val="00716CEB"/>
    <w:rsid w:val="007208AC"/>
    <w:rsid w:val="00721CA5"/>
    <w:rsid w:val="00721CDA"/>
    <w:rsid w:val="00722788"/>
    <w:rsid w:val="00722A24"/>
    <w:rsid w:val="00723697"/>
    <w:rsid w:val="00723ACD"/>
    <w:rsid w:val="00723D36"/>
    <w:rsid w:val="00724208"/>
    <w:rsid w:val="00724E10"/>
    <w:rsid w:val="007255DD"/>
    <w:rsid w:val="00726C0F"/>
    <w:rsid w:val="007317A8"/>
    <w:rsid w:val="00731DDF"/>
    <w:rsid w:val="0073296B"/>
    <w:rsid w:val="00732CAE"/>
    <w:rsid w:val="00733B97"/>
    <w:rsid w:val="007340B7"/>
    <w:rsid w:val="0073453E"/>
    <w:rsid w:val="00734885"/>
    <w:rsid w:val="00734894"/>
    <w:rsid w:val="00734B3C"/>
    <w:rsid w:val="007354B3"/>
    <w:rsid w:val="00735A00"/>
    <w:rsid w:val="00736908"/>
    <w:rsid w:val="0073716B"/>
    <w:rsid w:val="00737627"/>
    <w:rsid w:val="007411D1"/>
    <w:rsid w:val="0074239C"/>
    <w:rsid w:val="00742433"/>
    <w:rsid w:val="00742B7E"/>
    <w:rsid w:val="007457B5"/>
    <w:rsid w:val="0074683E"/>
    <w:rsid w:val="00747A38"/>
    <w:rsid w:val="00747BAA"/>
    <w:rsid w:val="00750194"/>
    <w:rsid w:val="007508CF"/>
    <w:rsid w:val="00750D40"/>
    <w:rsid w:val="007513BF"/>
    <w:rsid w:val="00752199"/>
    <w:rsid w:val="00752B6D"/>
    <w:rsid w:val="00753009"/>
    <w:rsid w:val="007530FB"/>
    <w:rsid w:val="007536E3"/>
    <w:rsid w:val="00753CED"/>
    <w:rsid w:val="007546A5"/>
    <w:rsid w:val="00754EB5"/>
    <w:rsid w:val="0075579C"/>
    <w:rsid w:val="00755EC3"/>
    <w:rsid w:val="007565F5"/>
    <w:rsid w:val="00760A41"/>
    <w:rsid w:val="00760A9D"/>
    <w:rsid w:val="0076149A"/>
    <w:rsid w:val="0076295F"/>
    <w:rsid w:val="00762DA3"/>
    <w:rsid w:val="00762F74"/>
    <w:rsid w:val="00762F75"/>
    <w:rsid w:val="00763988"/>
    <w:rsid w:val="007652D6"/>
    <w:rsid w:val="00766008"/>
    <w:rsid w:val="00766892"/>
    <w:rsid w:val="007674CD"/>
    <w:rsid w:val="007677A5"/>
    <w:rsid w:val="00770FD3"/>
    <w:rsid w:val="0077123A"/>
    <w:rsid w:val="007721D9"/>
    <w:rsid w:val="00772575"/>
    <w:rsid w:val="007727CD"/>
    <w:rsid w:val="00772F2E"/>
    <w:rsid w:val="00772F90"/>
    <w:rsid w:val="00773407"/>
    <w:rsid w:val="0077478E"/>
    <w:rsid w:val="00774974"/>
    <w:rsid w:val="007766A3"/>
    <w:rsid w:val="00777995"/>
    <w:rsid w:val="00777F16"/>
    <w:rsid w:val="00780EAC"/>
    <w:rsid w:val="007824CB"/>
    <w:rsid w:val="007837B7"/>
    <w:rsid w:val="00783D72"/>
    <w:rsid w:val="00784190"/>
    <w:rsid w:val="007842C8"/>
    <w:rsid w:val="007846EB"/>
    <w:rsid w:val="0078514E"/>
    <w:rsid w:val="00785B20"/>
    <w:rsid w:val="00786189"/>
    <w:rsid w:val="007863E3"/>
    <w:rsid w:val="0078697A"/>
    <w:rsid w:val="00787672"/>
    <w:rsid w:val="00790B16"/>
    <w:rsid w:val="00790BB7"/>
    <w:rsid w:val="00791C4E"/>
    <w:rsid w:val="0079276D"/>
    <w:rsid w:val="0079280E"/>
    <w:rsid w:val="00793317"/>
    <w:rsid w:val="00793627"/>
    <w:rsid w:val="00794050"/>
    <w:rsid w:val="00794539"/>
    <w:rsid w:val="00794D69"/>
    <w:rsid w:val="00795365"/>
    <w:rsid w:val="00796767"/>
    <w:rsid w:val="007A06C2"/>
    <w:rsid w:val="007A15DD"/>
    <w:rsid w:val="007A27EC"/>
    <w:rsid w:val="007A3396"/>
    <w:rsid w:val="007A34B0"/>
    <w:rsid w:val="007A4597"/>
    <w:rsid w:val="007A5172"/>
    <w:rsid w:val="007A54BF"/>
    <w:rsid w:val="007A66ED"/>
    <w:rsid w:val="007B1281"/>
    <w:rsid w:val="007B153F"/>
    <w:rsid w:val="007B23F0"/>
    <w:rsid w:val="007B29AC"/>
    <w:rsid w:val="007B2B2A"/>
    <w:rsid w:val="007B3375"/>
    <w:rsid w:val="007B3BC2"/>
    <w:rsid w:val="007B52EA"/>
    <w:rsid w:val="007B572C"/>
    <w:rsid w:val="007B574E"/>
    <w:rsid w:val="007B62D4"/>
    <w:rsid w:val="007B6709"/>
    <w:rsid w:val="007B7020"/>
    <w:rsid w:val="007B7113"/>
    <w:rsid w:val="007B722D"/>
    <w:rsid w:val="007C039D"/>
    <w:rsid w:val="007C15D8"/>
    <w:rsid w:val="007C26A4"/>
    <w:rsid w:val="007C2935"/>
    <w:rsid w:val="007C2D3B"/>
    <w:rsid w:val="007C322D"/>
    <w:rsid w:val="007C46F3"/>
    <w:rsid w:val="007C4B49"/>
    <w:rsid w:val="007C5095"/>
    <w:rsid w:val="007D00D4"/>
    <w:rsid w:val="007D0218"/>
    <w:rsid w:val="007D075B"/>
    <w:rsid w:val="007D0DE4"/>
    <w:rsid w:val="007D0F9C"/>
    <w:rsid w:val="007D1B6C"/>
    <w:rsid w:val="007D27E9"/>
    <w:rsid w:val="007D2854"/>
    <w:rsid w:val="007D2A7A"/>
    <w:rsid w:val="007D31EC"/>
    <w:rsid w:val="007D3657"/>
    <w:rsid w:val="007D45D7"/>
    <w:rsid w:val="007D4893"/>
    <w:rsid w:val="007D4B2B"/>
    <w:rsid w:val="007D4FAA"/>
    <w:rsid w:val="007D51A9"/>
    <w:rsid w:val="007D6426"/>
    <w:rsid w:val="007D65A4"/>
    <w:rsid w:val="007D67D6"/>
    <w:rsid w:val="007D79DF"/>
    <w:rsid w:val="007D7A59"/>
    <w:rsid w:val="007D7CF0"/>
    <w:rsid w:val="007D7E2E"/>
    <w:rsid w:val="007D7ED7"/>
    <w:rsid w:val="007E011D"/>
    <w:rsid w:val="007E08CC"/>
    <w:rsid w:val="007E0E19"/>
    <w:rsid w:val="007E1235"/>
    <w:rsid w:val="007E1FDC"/>
    <w:rsid w:val="007E20AE"/>
    <w:rsid w:val="007E223A"/>
    <w:rsid w:val="007E255B"/>
    <w:rsid w:val="007E27FB"/>
    <w:rsid w:val="007E2E69"/>
    <w:rsid w:val="007E3433"/>
    <w:rsid w:val="007E3678"/>
    <w:rsid w:val="007E6254"/>
    <w:rsid w:val="007E7083"/>
    <w:rsid w:val="007E79B6"/>
    <w:rsid w:val="007F0275"/>
    <w:rsid w:val="007F041B"/>
    <w:rsid w:val="007F2444"/>
    <w:rsid w:val="007F2794"/>
    <w:rsid w:val="007F300C"/>
    <w:rsid w:val="007F46D0"/>
    <w:rsid w:val="007F4794"/>
    <w:rsid w:val="007F4E12"/>
    <w:rsid w:val="007F5591"/>
    <w:rsid w:val="007F5899"/>
    <w:rsid w:val="007F5AA4"/>
    <w:rsid w:val="007F7025"/>
    <w:rsid w:val="007F7AFF"/>
    <w:rsid w:val="007F7B21"/>
    <w:rsid w:val="008012A7"/>
    <w:rsid w:val="00801C73"/>
    <w:rsid w:val="0080338C"/>
    <w:rsid w:val="00803C6A"/>
    <w:rsid w:val="00804220"/>
    <w:rsid w:val="00804389"/>
    <w:rsid w:val="0080476C"/>
    <w:rsid w:val="008062BD"/>
    <w:rsid w:val="00806A8C"/>
    <w:rsid w:val="00806B86"/>
    <w:rsid w:val="00806CF7"/>
    <w:rsid w:val="00806E41"/>
    <w:rsid w:val="00806F27"/>
    <w:rsid w:val="00807040"/>
    <w:rsid w:val="00807453"/>
    <w:rsid w:val="00807A82"/>
    <w:rsid w:val="00807D7B"/>
    <w:rsid w:val="00810C5A"/>
    <w:rsid w:val="008120BF"/>
    <w:rsid w:val="008120DD"/>
    <w:rsid w:val="0081241C"/>
    <w:rsid w:val="00812CC7"/>
    <w:rsid w:val="008132DD"/>
    <w:rsid w:val="008141A9"/>
    <w:rsid w:val="0081443F"/>
    <w:rsid w:val="00815B6D"/>
    <w:rsid w:val="00816974"/>
    <w:rsid w:val="00817718"/>
    <w:rsid w:val="0082061D"/>
    <w:rsid w:val="00821819"/>
    <w:rsid w:val="008218B8"/>
    <w:rsid w:val="0082215A"/>
    <w:rsid w:val="00822E19"/>
    <w:rsid w:val="00823155"/>
    <w:rsid w:val="008239D3"/>
    <w:rsid w:val="008243D6"/>
    <w:rsid w:val="008243FB"/>
    <w:rsid w:val="00824DDA"/>
    <w:rsid w:val="0082500B"/>
    <w:rsid w:val="008258E4"/>
    <w:rsid w:val="00826902"/>
    <w:rsid w:val="00826965"/>
    <w:rsid w:val="0082719B"/>
    <w:rsid w:val="008273A4"/>
    <w:rsid w:val="008277FB"/>
    <w:rsid w:val="008304DC"/>
    <w:rsid w:val="00830ECF"/>
    <w:rsid w:val="00831616"/>
    <w:rsid w:val="008328BC"/>
    <w:rsid w:val="00832911"/>
    <w:rsid w:val="00833669"/>
    <w:rsid w:val="00833A63"/>
    <w:rsid w:val="00833CA8"/>
    <w:rsid w:val="00834473"/>
    <w:rsid w:val="00834488"/>
    <w:rsid w:val="00835969"/>
    <w:rsid w:val="00836651"/>
    <w:rsid w:val="008366F3"/>
    <w:rsid w:val="008370AC"/>
    <w:rsid w:val="00837154"/>
    <w:rsid w:val="0083790F"/>
    <w:rsid w:val="00837A2A"/>
    <w:rsid w:val="0084266B"/>
    <w:rsid w:val="00843A69"/>
    <w:rsid w:val="00844B4C"/>
    <w:rsid w:val="0084579B"/>
    <w:rsid w:val="00845AA6"/>
    <w:rsid w:val="00847B36"/>
    <w:rsid w:val="00850181"/>
    <w:rsid w:val="0085139B"/>
    <w:rsid w:val="00851719"/>
    <w:rsid w:val="00851CE8"/>
    <w:rsid w:val="00852802"/>
    <w:rsid w:val="00852F4F"/>
    <w:rsid w:val="0085406D"/>
    <w:rsid w:val="00854890"/>
    <w:rsid w:val="008552FC"/>
    <w:rsid w:val="0085606B"/>
    <w:rsid w:val="00856FD7"/>
    <w:rsid w:val="00857039"/>
    <w:rsid w:val="00857A4E"/>
    <w:rsid w:val="00860863"/>
    <w:rsid w:val="00860DB4"/>
    <w:rsid w:val="00861495"/>
    <w:rsid w:val="008622BB"/>
    <w:rsid w:val="00862866"/>
    <w:rsid w:val="0086419E"/>
    <w:rsid w:val="00864262"/>
    <w:rsid w:val="00864DD2"/>
    <w:rsid w:val="0086686F"/>
    <w:rsid w:val="00866974"/>
    <w:rsid w:val="008674D1"/>
    <w:rsid w:val="0087082F"/>
    <w:rsid w:val="00870BCF"/>
    <w:rsid w:val="008715A4"/>
    <w:rsid w:val="0087344B"/>
    <w:rsid w:val="00874366"/>
    <w:rsid w:val="00874ADE"/>
    <w:rsid w:val="008753F7"/>
    <w:rsid w:val="00876553"/>
    <w:rsid w:val="00881D6A"/>
    <w:rsid w:val="00881DDD"/>
    <w:rsid w:val="00882EC3"/>
    <w:rsid w:val="00883308"/>
    <w:rsid w:val="00883761"/>
    <w:rsid w:val="008849D8"/>
    <w:rsid w:val="00884FDB"/>
    <w:rsid w:val="00885434"/>
    <w:rsid w:val="00885FEB"/>
    <w:rsid w:val="008860E9"/>
    <w:rsid w:val="008872C3"/>
    <w:rsid w:val="00887919"/>
    <w:rsid w:val="008917E4"/>
    <w:rsid w:val="00891929"/>
    <w:rsid w:val="00891BC8"/>
    <w:rsid w:val="00891CFE"/>
    <w:rsid w:val="00891E4A"/>
    <w:rsid w:val="00891EE6"/>
    <w:rsid w:val="00892342"/>
    <w:rsid w:val="00892883"/>
    <w:rsid w:val="0089291E"/>
    <w:rsid w:val="00892B86"/>
    <w:rsid w:val="008931A2"/>
    <w:rsid w:val="0089326B"/>
    <w:rsid w:val="00893D9E"/>
    <w:rsid w:val="00895186"/>
    <w:rsid w:val="008958C2"/>
    <w:rsid w:val="00895929"/>
    <w:rsid w:val="008969B5"/>
    <w:rsid w:val="0089721A"/>
    <w:rsid w:val="00897450"/>
    <w:rsid w:val="0089774B"/>
    <w:rsid w:val="00897AAF"/>
    <w:rsid w:val="008A06E9"/>
    <w:rsid w:val="008A0928"/>
    <w:rsid w:val="008A12B3"/>
    <w:rsid w:val="008A2F5F"/>
    <w:rsid w:val="008A38D2"/>
    <w:rsid w:val="008A43EE"/>
    <w:rsid w:val="008A493A"/>
    <w:rsid w:val="008A4AEE"/>
    <w:rsid w:val="008A7981"/>
    <w:rsid w:val="008B0027"/>
    <w:rsid w:val="008B01D0"/>
    <w:rsid w:val="008B1111"/>
    <w:rsid w:val="008B1A53"/>
    <w:rsid w:val="008B1E62"/>
    <w:rsid w:val="008B2988"/>
    <w:rsid w:val="008B2C2E"/>
    <w:rsid w:val="008B2C99"/>
    <w:rsid w:val="008B4A1D"/>
    <w:rsid w:val="008B50A7"/>
    <w:rsid w:val="008B5514"/>
    <w:rsid w:val="008B5A3E"/>
    <w:rsid w:val="008B5E14"/>
    <w:rsid w:val="008B6BCE"/>
    <w:rsid w:val="008B706E"/>
    <w:rsid w:val="008B7E59"/>
    <w:rsid w:val="008B7F07"/>
    <w:rsid w:val="008C01BB"/>
    <w:rsid w:val="008C1899"/>
    <w:rsid w:val="008C2861"/>
    <w:rsid w:val="008C2B30"/>
    <w:rsid w:val="008C2F62"/>
    <w:rsid w:val="008C403B"/>
    <w:rsid w:val="008C41D0"/>
    <w:rsid w:val="008C46E2"/>
    <w:rsid w:val="008C509B"/>
    <w:rsid w:val="008C51EB"/>
    <w:rsid w:val="008C56AD"/>
    <w:rsid w:val="008C5751"/>
    <w:rsid w:val="008C5AE4"/>
    <w:rsid w:val="008C5DA1"/>
    <w:rsid w:val="008C6270"/>
    <w:rsid w:val="008C6C95"/>
    <w:rsid w:val="008C7D48"/>
    <w:rsid w:val="008D039B"/>
    <w:rsid w:val="008D20C8"/>
    <w:rsid w:val="008D2133"/>
    <w:rsid w:val="008D215C"/>
    <w:rsid w:val="008D2B0C"/>
    <w:rsid w:val="008D3390"/>
    <w:rsid w:val="008D3AD2"/>
    <w:rsid w:val="008D4817"/>
    <w:rsid w:val="008D48D2"/>
    <w:rsid w:val="008D50FF"/>
    <w:rsid w:val="008D55E2"/>
    <w:rsid w:val="008D5771"/>
    <w:rsid w:val="008D64AB"/>
    <w:rsid w:val="008D7385"/>
    <w:rsid w:val="008D780F"/>
    <w:rsid w:val="008E0382"/>
    <w:rsid w:val="008E20A6"/>
    <w:rsid w:val="008E30ED"/>
    <w:rsid w:val="008E34EA"/>
    <w:rsid w:val="008E3A09"/>
    <w:rsid w:val="008E3B3A"/>
    <w:rsid w:val="008E52E7"/>
    <w:rsid w:val="008E5EAC"/>
    <w:rsid w:val="008E64B5"/>
    <w:rsid w:val="008E6AB0"/>
    <w:rsid w:val="008E6CED"/>
    <w:rsid w:val="008E7451"/>
    <w:rsid w:val="008E7776"/>
    <w:rsid w:val="008F0997"/>
    <w:rsid w:val="008F0B77"/>
    <w:rsid w:val="008F0CC1"/>
    <w:rsid w:val="008F235A"/>
    <w:rsid w:val="008F3299"/>
    <w:rsid w:val="008F429A"/>
    <w:rsid w:val="008F5FAC"/>
    <w:rsid w:val="008F7EF4"/>
    <w:rsid w:val="0090026A"/>
    <w:rsid w:val="00900751"/>
    <w:rsid w:val="00900A49"/>
    <w:rsid w:val="0090127E"/>
    <w:rsid w:val="009020EC"/>
    <w:rsid w:val="009024A3"/>
    <w:rsid w:val="009029D2"/>
    <w:rsid w:val="00902D8D"/>
    <w:rsid w:val="009035CC"/>
    <w:rsid w:val="00903D05"/>
    <w:rsid w:val="00903EDE"/>
    <w:rsid w:val="0090418D"/>
    <w:rsid w:val="00904297"/>
    <w:rsid w:val="009054ED"/>
    <w:rsid w:val="00906750"/>
    <w:rsid w:val="00906A07"/>
    <w:rsid w:val="00906BED"/>
    <w:rsid w:val="00907060"/>
    <w:rsid w:val="00912DC8"/>
    <w:rsid w:val="0091350D"/>
    <w:rsid w:val="00914691"/>
    <w:rsid w:val="009146A0"/>
    <w:rsid w:val="009151A8"/>
    <w:rsid w:val="0091575D"/>
    <w:rsid w:val="00915AB9"/>
    <w:rsid w:val="00915DC8"/>
    <w:rsid w:val="009164D0"/>
    <w:rsid w:val="00916DB6"/>
    <w:rsid w:val="00916ED1"/>
    <w:rsid w:val="0091701F"/>
    <w:rsid w:val="00920050"/>
    <w:rsid w:val="00920751"/>
    <w:rsid w:val="0092178E"/>
    <w:rsid w:val="009218E3"/>
    <w:rsid w:val="00921DAF"/>
    <w:rsid w:val="009221C0"/>
    <w:rsid w:val="00922272"/>
    <w:rsid w:val="0092358F"/>
    <w:rsid w:val="00923591"/>
    <w:rsid w:val="009253B7"/>
    <w:rsid w:val="00925456"/>
    <w:rsid w:val="009259F2"/>
    <w:rsid w:val="00926727"/>
    <w:rsid w:val="00926E04"/>
    <w:rsid w:val="00927594"/>
    <w:rsid w:val="009311A4"/>
    <w:rsid w:val="009318DD"/>
    <w:rsid w:val="00932033"/>
    <w:rsid w:val="00932F95"/>
    <w:rsid w:val="00933346"/>
    <w:rsid w:val="00933B6C"/>
    <w:rsid w:val="009340DF"/>
    <w:rsid w:val="00934C1B"/>
    <w:rsid w:val="00935A85"/>
    <w:rsid w:val="00935DF6"/>
    <w:rsid w:val="00936516"/>
    <w:rsid w:val="0093717F"/>
    <w:rsid w:val="009371FA"/>
    <w:rsid w:val="00937D4D"/>
    <w:rsid w:val="00937FC3"/>
    <w:rsid w:val="00937FC5"/>
    <w:rsid w:val="00940384"/>
    <w:rsid w:val="00940EDD"/>
    <w:rsid w:val="009410A0"/>
    <w:rsid w:val="009420D5"/>
    <w:rsid w:val="00942395"/>
    <w:rsid w:val="0094286E"/>
    <w:rsid w:val="00942E02"/>
    <w:rsid w:val="00943005"/>
    <w:rsid w:val="00943904"/>
    <w:rsid w:val="009440F7"/>
    <w:rsid w:val="0094485B"/>
    <w:rsid w:val="0094490B"/>
    <w:rsid w:val="00944DA2"/>
    <w:rsid w:val="00945A54"/>
    <w:rsid w:val="00946689"/>
    <w:rsid w:val="00946E55"/>
    <w:rsid w:val="00946F88"/>
    <w:rsid w:val="00947616"/>
    <w:rsid w:val="00947666"/>
    <w:rsid w:val="00951898"/>
    <w:rsid w:val="009520D0"/>
    <w:rsid w:val="00953258"/>
    <w:rsid w:val="00953341"/>
    <w:rsid w:val="0095491A"/>
    <w:rsid w:val="00955CB2"/>
    <w:rsid w:val="00956284"/>
    <w:rsid w:val="0095740F"/>
    <w:rsid w:val="00957A63"/>
    <w:rsid w:val="009607B1"/>
    <w:rsid w:val="009609D6"/>
    <w:rsid w:val="00960DD1"/>
    <w:rsid w:val="009611F8"/>
    <w:rsid w:val="00962FA0"/>
    <w:rsid w:val="00963175"/>
    <w:rsid w:val="009636B2"/>
    <w:rsid w:val="00963C81"/>
    <w:rsid w:val="00964512"/>
    <w:rsid w:val="00964AB5"/>
    <w:rsid w:val="00964B30"/>
    <w:rsid w:val="009657E3"/>
    <w:rsid w:val="009658C8"/>
    <w:rsid w:val="00965DE9"/>
    <w:rsid w:val="009670F6"/>
    <w:rsid w:val="009672CB"/>
    <w:rsid w:val="00970B7B"/>
    <w:rsid w:val="0097128A"/>
    <w:rsid w:val="00971339"/>
    <w:rsid w:val="00971BD3"/>
    <w:rsid w:val="00971D54"/>
    <w:rsid w:val="0097208E"/>
    <w:rsid w:val="0097244B"/>
    <w:rsid w:val="00972A03"/>
    <w:rsid w:val="00972D62"/>
    <w:rsid w:val="00973FB3"/>
    <w:rsid w:val="00975012"/>
    <w:rsid w:val="00976DC6"/>
    <w:rsid w:val="00976E47"/>
    <w:rsid w:val="00980427"/>
    <w:rsid w:val="009804D6"/>
    <w:rsid w:val="00980B51"/>
    <w:rsid w:val="009811E6"/>
    <w:rsid w:val="00983B51"/>
    <w:rsid w:val="00983D4F"/>
    <w:rsid w:val="00983EFC"/>
    <w:rsid w:val="00984A51"/>
    <w:rsid w:val="00984EF2"/>
    <w:rsid w:val="00985598"/>
    <w:rsid w:val="00985626"/>
    <w:rsid w:val="00985789"/>
    <w:rsid w:val="00985A43"/>
    <w:rsid w:val="00985E6B"/>
    <w:rsid w:val="00985F1C"/>
    <w:rsid w:val="009866BC"/>
    <w:rsid w:val="0098672A"/>
    <w:rsid w:val="00987A28"/>
    <w:rsid w:val="009900D5"/>
    <w:rsid w:val="009903AA"/>
    <w:rsid w:val="00990F7F"/>
    <w:rsid w:val="00991C9A"/>
    <w:rsid w:val="00991D04"/>
    <w:rsid w:val="00994622"/>
    <w:rsid w:val="00995283"/>
    <w:rsid w:val="0099571F"/>
    <w:rsid w:val="009957C1"/>
    <w:rsid w:val="00995F76"/>
    <w:rsid w:val="009965D4"/>
    <w:rsid w:val="009975F6"/>
    <w:rsid w:val="00997757"/>
    <w:rsid w:val="0099780F"/>
    <w:rsid w:val="009A00D8"/>
    <w:rsid w:val="009A0276"/>
    <w:rsid w:val="009A061D"/>
    <w:rsid w:val="009A25DC"/>
    <w:rsid w:val="009A306A"/>
    <w:rsid w:val="009A34F5"/>
    <w:rsid w:val="009A375C"/>
    <w:rsid w:val="009A37E2"/>
    <w:rsid w:val="009A4119"/>
    <w:rsid w:val="009A4308"/>
    <w:rsid w:val="009A45D8"/>
    <w:rsid w:val="009A4D7B"/>
    <w:rsid w:val="009A5A5C"/>
    <w:rsid w:val="009A689A"/>
    <w:rsid w:val="009A6D08"/>
    <w:rsid w:val="009A73F9"/>
    <w:rsid w:val="009A75F3"/>
    <w:rsid w:val="009B046E"/>
    <w:rsid w:val="009B06D0"/>
    <w:rsid w:val="009B09D1"/>
    <w:rsid w:val="009B1308"/>
    <w:rsid w:val="009B15CC"/>
    <w:rsid w:val="009B1839"/>
    <w:rsid w:val="009B197E"/>
    <w:rsid w:val="009B20C4"/>
    <w:rsid w:val="009B21D7"/>
    <w:rsid w:val="009B22A0"/>
    <w:rsid w:val="009B2D8B"/>
    <w:rsid w:val="009B343C"/>
    <w:rsid w:val="009B3DDE"/>
    <w:rsid w:val="009B3F88"/>
    <w:rsid w:val="009B4447"/>
    <w:rsid w:val="009B48EC"/>
    <w:rsid w:val="009B4BB1"/>
    <w:rsid w:val="009B4C9A"/>
    <w:rsid w:val="009B6568"/>
    <w:rsid w:val="009B677E"/>
    <w:rsid w:val="009B686C"/>
    <w:rsid w:val="009B7513"/>
    <w:rsid w:val="009B7533"/>
    <w:rsid w:val="009B7ACC"/>
    <w:rsid w:val="009C03F2"/>
    <w:rsid w:val="009C0952"/>
    <w:rsid w:val="009C0B0B"/>
    <w:rsid w:val="009C0EAC"/>
    <w:rsid w:val="009C13D0"/>
    <w:rsid w:val="009C18E1"/>
    <w:rsid w:val="009C19C3"/>
    <w:rsid w:val="009C1ED4"/>
    <w:rsid w:val="009C5291"/>
    <w:rsid w:val="009C5EF2"/>
    <w:rsid w:val="009C69F3"/>
    <w:rsid w:val="009C6A29"/>
    <w:rsid w:val="009C752F"/>
    <w:rsid w:val="009D04F4"/>
    <w:rsid w:val="009D0BBB"/>
    <w:rsid w:val="009D0F4C"/>
    <w:rsid w:val="009D1340"/>
    <w:rsid w:val="009D18CE"/>
    <w:rsid w:val="009D1BF4"/>
    <w:rsid w:val="009D314F"/>
    <w:rsid w:val="009D3751"/>
    <w:rsid w:val="009D4078"/>
    <w:rsid w:val="009D426D"/>
    <w:rsid w:val="009D4832"/>
    <w:rsid w:val="009D4C8F"/>
    <w:rsid w:val="009D59F6"/>
    <w:rsid w:val="009D5A50"/>
    <w:rsid w:val="009D61E0"/>
    <w:rsid w:val="009D6A40"/>
    <w:rsid w:val="009D6B29"/>
    <w:rsid w:val="009E0A54"/>
    <w:rsid w:val="009E0E16"/>
    <w:rsid w:val="009E195A"/>
    <w:rsid w:val="009E24CF"/>
    <w:rsid w:val="009E2AB6"/>
    <w:rsid w:val="009E39ED"/>
    <w:rsid w:val="009E4F1E"/>
    <w:rsid w:val="009E6985"/>
    <w:rsid w:val="009E6A40"/>
    <w:rsid w:val="009E762D"/>
    <w:rsid w:val="009E7A28"/>
    <w:rsid w:val="009F1ADC"/>
    <w:rsid w:val="009F1AF8"/>
    <w:rsid w:val="009F1B03"/>
    <w:rsid w:val="009F1C22"/>
    <w:rsid w:val="009F23F1"/>
    <w:rsid w:val="009F301B"/>
    <w:rsid w:val="009F3D04"/>
    <w:rsid w:val="009F3EEC"/>
    <w:rsid w:val="009F54A6"/>
    <w:rsid w:val="009F5853"/>
    <w:rsid w:val="009F5AE2"/>
    <w:rsid w:val="009F6BF4"/>
    <w:rsid w:val="009F6F66"/>
    <w:rsid w:val="00A00418"/>
    <w:rsid w:val="00A0088A"/>
    <w:rsid w:val="00A024E7"/>
    <w:rsid w:val="00A027A4"/>
    <w:rsid w:val="00A02E10"/>
    <w:rsid w:val="00A03C42"/>
    <w:rsid w:val="00A03F62"/>
    <w:rsid w:val="00A064AA"/>
    <w:rsid w:val="00A06A97"/>
    <w:rsid w:val="00A0751D"/>
    <w:rsid w:val="00A07DC8"/>
    <w:rsid w:val="00A10D92"/>
    <w:rsid w:val="00A111BB"/>
    <w:rsid w:val="00A114A5"/>
    <w:rsid w:val="00A122D4"/>
    <w:rsid w:val="00A1249B"/>
    <w:rsid w:val="00A12B15"/>
    <w:rsid w:val="00A13A3A"/>
    <w:rsid w:val="00A13CCD"/>
    <w:rsid w:val="00A1461E"/>
    <w:rsid w:val="00A15447"/>
    <w:rsid w:val="00A154EE"/>
    <w:rsid w:val="00A16221"/>
    <w:rsid w:val="00A17496"/>
    <w:rsid w:val="00A17A20"/>
    <w:rsid w:val="00A17AED"/>
    <w:rsid w:val="00A200BA"/>
    <w:rsid w:val="00A234CA"/>
    <w:rsid w:val="00A251CB"/>
    <w:rsid w:val="00A2541F"/>
    <w:rsid w:val="00A2556E"/>
    <w:rsid w:val="00A25777"/>
    <w:rsid w:val="00A26190"/>
    <w:rsid w:val="00A2638A"/>
    <w:rsid w:val="00A27A32"/>
    <w:rsid w:val="00A27D5A"/>
    <w:rsid w:val="00A301A1"/>
    <w:rsid w:val="00A315DD"/>
    <w:rsid w:val="00A32101"/>
    <w:rsid w:val="00A32499"/>
    <w:rsid w:val="00A326C8"/>
    <w:rsid w:val="00A32B27"/>
    <w:rsid w:val="00A32EAE"/>
    <w:rsid w:val="00A330CD"/>
    <w:rsid w:val="00A332C3"/>
    <w:rsid w:val="00A34AD6"/>
    <w:rsid w:val="00A353C6"/>
    <w:rsid w:val="00A3545E"/>
    <w:rsid w:val="00A36C7D"/>
    <w:rsid w:val="00A371BF"/>
    <w:rsid w:val="00A40370"/>
    <w:rsid w:val="00A418E5"/>
    <w:rsid w:val="00A43D49"/>
    <w:rsid w:val="00A44171"/>
    <w:rsid w:val="00A44713"/>
    <w:rsid w:val="00A44E42"/>
    <w:rsid w:val="00A451E1"/>
    <w:rsid w:val="00A46133"/>
    <w:rsid w:val="00A46421"/>
    <w:rsid w:val="00A46B5F"/>
    <w:rsid w:val="00A47FDF"/>
    <w:rsid w:val="00A51485"/>
    <w:rsid w:val="00A5265D"/>
    <w:rsid w:val="00A529B2"/>
    <w:rsid w:val="00A53255"/>
    <w:rsid w:val="00A53807"/>
    <w:rsid w:val="00A54380"/>
    <w:rsid w:val="00A54A3C"/>
    <w:rsid w:val="00A5513A"/>
    <w:rsid w:val="00A55246"/>
    <w:rsid w:val="00A5541E"/>
    <w:rsid w:val="00A565CF"/>
    <w:rsid w:val="00A57064"/>
    <w:rsid w:val="00A5766A"/>
    <w:rsid w:val="00A57F2D"/>
    <w:rsid w:val="00A60199"/>
    <w:rsid w:val="00A617C1"/>
    <w:rsid w:val="00A620B5"/>
    <w:rsid w:val="00A626DF"/>
    <w:rsid w:val="00A62B97"/>
    <w:rsid w:val="00A62C5F"/>
    <w:rsid w:val="00A637FC"/>
    <w:rsid w:val="00A63821"/>
    <w:rsid w:val="00A63C5E"/>
    <w:rsid w:val="00A6561E"/>
    <w:rsid w:val="00A657A1"/>
    <w:rsid w:val="00A66732"/>
    <w:rsid w:val="00A66E06"/>
    <w:rsid w:val="00A677CB"/>
    <w:rsid w:val="00A67B66"/>
    <w:rsid w:val="00A70A0D"/>
    <w:rsid w:val="00A726DC"/>
    <w:rsid w:val="00A73B01"/>
    <w:rsid w:val="00A73CF1"/>
    <w:rsid w:val="00A74C0C"/>
    <w:rsid w:val="00A75349"/>
    <w:rsid w:val="00A76EC4"/>
    <w:rsid w:val="00A8002B"/>
    <w:rsid w:val="00A80137"/>
    <w:rsid w:val="00A8151D"/>
    <w:rsid w:val="00A8206D"/>
    <w:rsid w:val="00A82FFE"/>
    <w:rsid w:val="00A8308B"/>
    <w:rsid w:val="00A83B78"/>
    <w:rsid w:val="00A85036"/>
    <w:rsid w:val="00A852D7"/>
    <w:rsid w:val="00A85CD6"/>
    <w:rsid w:val="00A869B7"/>
    <w:rsid w:val="00A87DB8"/>
    <w:rsid w:val="00A9013F"/>
    <w:rsid w:val="00A90794"/>
    <w:rsid w:val="00A90DDA"/>
    <w:rsid w:val="00A91701"/>
    <w:rsid w:val="00A924C0"/>
    <w:rsid w:val="00A928A1"/>
    <w:rsid w:val="00A92E7E"/>
    <w:rsid w:val="00A9301A"/>
    <w:rsid w:val="00A937A3"/>
    <w:rsid w:val="00A943CA"/>
    <w:rsid w:val="00A952ED"/>
    <w:rsid w:val="00A962E0"/>
    <w:rsid w:val="00A96483"/>
    <w:rsid w:val="00A964C6"/>
    <w:rsid w:val="00A96F8A"/>
    <w:rsid w:val="00AA0601"/>
    <w:rsid w:val="00AA0885"/>
    <w:rsid w:val="00AA1907"/>
    <w:rsid w:val="00AA292E"/>
    <w:rsid w:val="00AA4F06"/>
    <w:rsid w:val="00AA5A74"/>
    <w:rsid w:val="00AA6173"/>
    <w:rsid w:val="00AA6868"/>
    <w:rsid w:val="00AA6A30"/>
    <w:rsid w:val="00AA712B"/>
    <w:rsid w:val="00AA72B4"/>
    <w:rsid w:val="00AA7495"/>
    <w:rsid w:val="00AA758E"/>
    <w:rsid w:val="00AB0BAF"/>
    <w:rsid w:val="00AB0C28"/>
    <w:rsid w:val="00AB1932"/>
    <w:rsid w:val="00AB1941"/>
    <w:rsid w:val="00AB1C6B"/>
    <w:rsid w:val="00AB1E93"/>
    <w:rsid w:val="00AB2FBD"/>
    <w:rsid w:val="00AB3F78"/>
    <w:rsid w:val="00AB4C65"/>
    <w:rsid w:val="00AB4D64"/>
    <w:rsid w:val="00AB4EE7"/>
    <w:rsid w:val="00AB5F6E"/>
    <w:rsid w:val="00AC020B"/>
    <w:rsid w:val="00AC0751"/>
    <w:rsid w:val="00AC1774"/>
    <w:rsid w:val="00AC2B3C"/>
    <w:rsid w:val="00AC377D"/>
    <w:rsid w:val="00AC382B"/>
    <w:rsid w:val="00AC4544"/>
    <w:rsid w:val="00AC52CE"/>
    <w:rsid w:val="00AC544B"/>
    <w:rsid w:val="00AC5564"/>
    <w:rsid w:val="00AC59C9"/>
    <w:rsid w:val="00AC5FF8"/>
    <w:rsid w:val="00AC6A1F"/>
    <w:rsid w:val="00AC7A67"/>
    <w:rsid w:val="00AD06CE"/>
    <w:rsid w:val="00AD0AFE"/>
    <w:rsid w:val="00AD136C"/>
    <w:rsid w:val="00AD22F9"/>
    <w:rsid w:val="00AD24BA"/>
    <w:rsid w:val="00AD24F0"/>
    <w:rsid w:val="00AD2A05"/>
    <w:rsid w:val="00AD3484"/>
    <w:rsid w:val="00AD3939"/>
    <w:rsid w:val="00AD413C"/>
    <w:rsid w:val="00AD4F72"/>
    <w:rsid w:val="00AD53F6"/>
    <w:rsid w:val="00AD5486"/>
    <w:rsid w:val="00AD5D97"/>
    <w:rsid w:val="00AD5D9C"/>
    <w:rsid w:val="00AD7172"/>
    <w:rsid w:val="00AD730B"/>
    <w:rsid w:val="00AE0799"/>
    <w:rsid w:val="00AE0955"/>
    <w:rsid w:val="00AE15D7"/>
    <w:rsid w:val="00AE22C3"/>
    <w:rsid w:val="00AE2698"/>
    <w:rsid w:val="00AE279F"/>
    <w:rsid w:val="00AE318E"/>
    <w:rsid w:val="00AE3CD7"/>
    <w:rsid w:val="00AE4BC5"/>
    <w:rsid w:val="00AE4DF3"/>
    <w:rsid w:val="00AE55C8"/>
    <w:rsid w:val="00AE7595"/>
    <w:rsid w:val="00AF0791"/>
    <w:rsid w:val="00AF0C25"/>
    <w:rsid w:val="00AF1144"/>
    <w:rsid w:val="00AF1268"/>
    <w:rsid w:val="00AF2242"/>
    <w:rsid w:val="00AF43D2"/>
    <w:rsid w:val="00AF66C6"/>
    <w:rsid w:val="00B0001F"/>
    <w:rsid w:val="00B0030B"/>
    <w:rsid w:val="00B017C2"/>
    <w:rsid w:val="00B0191D"/>
    <w:rsid w:val="00B023B1"/>
    <w:rsid w:val="00B0275E"/>
    <w:rsid w:val="00B0282F"/>
    <w:rsid w:val="00B02DA2"/>
    <w:rsid w:val="00B031AF"/>
    <w:rsid w:val="00B040BD"/>
    <w:rsid w:val="00B041E1"/>
    <w:rsid w:val="00B05416"/>
    <w:rsid w:val="00B05DFB"/>
    <w:rsid w:val="00B0681B"/>
    <w:rsid w:val="00B06A54"/>
    <w:rsid w:val="00B06A75"/>
    <w:rsid w:val="00B0791A"/>
    <w:rsid w:val="00B10035"/>
    <w:rsid w:val="00B10733"/>
    <w:rsid w:val="00B10779"/>
    <w:rsid w:val="00B12942"/>
    <w:rsid w:val="00B12FCA"/>
    <w:rsid w:val="00B146F7"/>
    <w:rsid w:val="00B14A74"/>
    <w:rsid w:val="00B14BDA"/>
    <w:rsid w:val="00B15085"/>
    <w:rsid w:val="00B1570F"/>
    <w:rsid w:val="00B15F40"/>
    <w:rsid w:val="00B16067"/>
    <w:rsid w:val="00B1653D"/>
    <w:rsid w:val="00B17321"/>
    <w:rsid w:val="00B1733A"/>
    <w:rsid w:val="00B1734E"/>
    <w:rsid w:val="00B22570"/>
    <w:rsid w:val="00B23679"/>
    <w:rsid w:val="00B238AD"/>
    <w:rsid w:val="00B24A13"/>
    <w:rsid w:val="00B25166"/>
    <w:rsid w:val="00B264EC"/>
    <w:rsid w:val="00B26E7C"/>
    <w:rsid w:val="00B30A5B"/>
    <w:rsid w:val="00B30F9D"/>
    <w:rsid w:val="00B311E0"/>
    <w:rsid w:val="00B31992"/>
    <w:rsid w:val="00B31B3A"/>
    <w:rsid w:val="00B32154"/>
    <w:rsid w:val="00B3260A"/>
    <w:rsid w:val="00B327BC"/>
    <w:rsid w:val="00B32904"/>
    <w:rsid w:val="00B336F9"/>
    <w:rsid w:val="00B33FD4"/>
    <w:rsid w:val="00B34183"/>
    <w:rsid w:val="00B35211"/>
    <w:rsid w:val="00B35D47"/>
    <w:rsid w:val="00B36F2B"/>
    <w:rsid w:val="00B37B9B"/>
    <w:rsid w:val="00B37FF3"/>
    <w:rsid w:val="00B41279"/>
    <w:rsid w:val="00B41DC9"/>
    <w:rsid w:val="00B42A9F"/>
    <w:rsid w:val="00B42D57"/>
    <w:rsid w:val="00B436A4"/>
    <w:rsid w:val="00B43C77"/>
    <w:rsid w:val="00B44113"/>
    <w:rsid w:val="00B44BD4"/>
    <w:rsid w:val="00B45516"/>
    <w:rsid w:val="00B462D2"/>
    <w:rsid w:val="00B466BC"/>
    <w:rsid w:val="00B4687C"/>
    <w:rsid w:val="00B46F2A"/>
    <w:rsid w:val="00B506EA"/>
    <w:rsid w:val="00B507DF"/>
    <w:rsid w:val="00B50940"/>
    <w:rsid w:val="00B50F03"/>
    <w:rsid w:val="00B51072"/>
    <w:rsid w:val="00B52822"/>
    <w:rsid w:val="00B559A4"/>
    <w:rsid w:val="00B55B0A"/>
    <w:rsid w:val="00B572F1"/>
    <w:rsid w:val="00B57CDE"/>
    <w:rsid w:val="00B6207F"/>
    <w:rsid w:val="00B63251"/>
    <w:rsid w:val="00B6360C"/>
    <w:rsid w:val="00B63674"/>
    <w:rsid w:val="00B64505"/>
    <w:rsid w:val="00B64580"/>
    <w:rsid w:val="00B64A25"/>
    <w:rsid w:val="00B64C78"/>
    <w:rsid w:val="00B657B1"/>
    <w:rsid w:val="00B65C35"/>
    <w:rsid w:val="00B65F91"/>
    <w:rsid w:val="00B66464"/>
    <w:rsid w:val="00B66984"/>
    <w:rsid w:val="00B66F62"/>
    <w:rsid w:val="00B67F3F"/>
    <w:rsid w:val="00B71083"/>
    <w:rsid w:val="00B7135E"/>
    <w:rsid w:val="00B72390"/>
    <w:rsid w:val="00B72D9B"/>
    <w:rsid w:val="00B73391"/>
    <w:rsid w:val="00B74510"/>
    <w:rsid w:val="00B749DF"/>
    <w:rsid w:val="00B74D65"/>
    <w:rsid w:val="00B76967"/>
    <w:rsid w:val="00B76BDB"/>
    <w:rsid w:val="00B77066"/>
    <w:rsid w:val="00B77DC5"/>
    <w:rsid w:val="00B80B92"/>
    <w:rsid w:val="00B8180F"/>
    <w:rsid w:val="00B8182C"/>
    <w:rsid w:val="00B81A45"/>
    <w:rsid w:val="00B82211"/>
    <w:rsid w:val="00B8235E"/>
    <w:rsid w:val="00B8325D"/>
    <w:rsid w:val="00B838E4"/>
    <w:rsid w:val="00B8399F"/>
    <w:rsid w:val="00B83E5D"/>
    <w:rsid w:val="00B84FB5"/>
    <w:rsid w:val="00B850BA"/>
    <w:rsid w:val="00B850F4"/>
    <w:rsid w:val="00B856C5"/>
    <w:rsid w:val="00B8707A"/>
    <w:rsid w:val="00B87157"/>
    <w:rsid w:val="00B9000D"/>
    <w:rsid w:val="00B91E56"/>
    <w:rsid w:val="00B92861"/>
    <w:rsid w:val="00B93DD7"/>
    <w:rsid w:val="00B94553"/>
    <w:rsid w:val="00B94C7A"/>
    <w:rsid w:val="00B95434"/>
    <w:rsid w:val="00B95972"/>
    <w:rsid w:val="00B96134"/>
    <w:rsid w:val="00B9665C"/>
    <w:rsid w:val="00B9684D"/>
    <w:rsid w:val="00B97DD1"/>
    <w:rsid w:val="00BA37DE"/>
    <w:rsid w:val="00BA507F"/>
    <w:rsid w:val="00BA52AB"/>
    <w:rsid w:val="00BA5A80"/>
    <w:rsid w:val="00BA6B23"/>
    <w:rsid w:val="00BA7035"/>
    <w:rsid w:val="00BA7218"/>
    <w:rsid w:val="00BA7628"/>
    <w:rsid w:val="00BA7D09"/>
    <w:rsid w:val="00BB01C7"/>
    <w:rsid w:val="00BB050D"/>
    <w:rsid w:val="00BB08D6"/>
    <w:rsid w:val="00BB0961"/>
    <w:rsid w:val="00BB1EBE"/>
    <w:rsid w:val="00BB2166"/>
    <w:rsid w:val="00BB2F7B"/>
    <w:rsid w:val="00BB30A6"/>
    <w:rsid w:val="00BB41C2"/>
    <w:rsid w:val="00BB4BAD"/>
    <w:rsid w:val="00BB4EA9"/>
    <w:rsid w:val="00BB5BDF"/>
    <w:rsid w:val="00BB5DFF"/>
    <w:rsid w:val="00BB756F"/>
    <w:rsid w:val="00BC0CA6"/>
    <w:rsid w:val="00BC1AAF"/>
    <w:rsid w:val="00BC2203"/>
    <w:rsid w:val="00BC2BCB"/>
    <w:rsid w:val="00BC350C"/>
    <w:rsid w:val="00BC3CD3"/>
    <w:rsid w:val="00BC3FA8"/>
    <w:rsid w:val="00BC4A09"/>
    <w:rsid w:val="00BC5186"/>
    <w:rsid w:val="00BC53E5"/>
    <w:rsid w:val="00BC5BDA"/>
    <w:rsid w:val="00BC6C3B"/>
    <w:rsid w:val="00BC6E51"/>
    <w:rsid w:val="00BD009C"/>
    <w:rsid w:val="00BD04D9"/>
    <w:rsid w:val="00BD0B01"/>
    <w:rsid w:val="00BD0F02"/>
    <w:rsid w:val="00BD1748"/>
    <w:rsid w:val="00BD1E65"/>
    <w:rsid w:val="00BD60AA"/>
    <w:rsid w:val="00BD610B"/>
    <w:rsid w:val="00BD6507"/>
    <w:rsid w:val="00BD714E"/>
    <w:rsid w:val="00BD75EE"/>
    <w:rsid w:val="00BD765E"/>
    <w:rsid w:val="00BD7D5D"/>
    <w:rsid w:val="00BD7DAA"/>
    <w:rsid w:val="00BE1262"/>
    <w:rsid w:val="00BE12FA"/>
    <w:rsid w:val="00BE2020"/>
    <w:rsid w:val="00BE393D"/>
    <w:rsid w:val="00BE3EA2"/>
    <w:rsid w:val="00BE4A58"/>
    <w:rsid w:val="00BE5CB5"/>
    <w:rsid w:val="00BE63BE"/>
    <w:rsid w:val="00BE7917"/>
    <w:rsid w:val="00BE7AAF"/>
    <w:rsid w:val="00BE7B54"/>
    <w:rsid w:val="00BF0572"/>
    <w:rsid w:val="00BF0BD8"/>
    <w:rsid w:val="00BF1606"/>
    <w:rsid w:val="00BF1892"/>
    <w:rsid w:val="00BF19B9"/>
    <w:rsid w:val="00BF2F64"/>
    <w:rsid w:val="00BF31C8"/>
    <w:rsid w:val="00BF34B4"/>
    <w:rsid w:val="00BF3BC2"/>
    <w:rsid w:val="00BF5587"/>
    <w:rsid w:val="00BF5990"/>
    <w:rsid w:val="00BF5A64"/>
    <w:rsid w:val="00BF667D"/>
    <w:rsid w:val="00BF7101"/>
    <w:rsid w:val="00BF7283"/>
    <w:rsid w:val="00BF76C2"/>
    <w:rsid w:val="00BF77C8"/>
    <w:rsid w:val="00BF789A"/>
    <w:rsid w:val="00BF7BEA"/>
    <w:rsid w:val="00C00AEB"/>
    <w:rsid w:val="00C010B6"/>
    <w:rsid w:val="00C01694"/>
    <w:rsid w:val="00C0210F"/>
    <w:rsid w:val="00C02227"/>
    <w:rsid w:val="00C02BB6"/>
    <w:rsid w:val="00C02DD4"/>
    <w:rsid w:val="00C037EB"/>
    <w:rsid w:val="00C046E5"/>
    <w:rsid w:val="00C04EFB"/>
    <w:rsid w:val="00C06836"/>
    <w:rsid w:val="00C068FA"/>
    <w:rsid w:val="00C069CB"/>
    <w:rsid w:val="00C06C37"/>
    <w:rsid w:val="00C06EFF"/>
    <w:rsid w:val="00C11140"/>
    <w:rsid w:val="00C12576"/>
    <w:rsid w:val="00C12646"/>
    <w:rsid w:val="00C13934"/>
    <w:rsid w:val="00C14551"/>
    <w:rsid w:val="00C14B13"/>
    <w:rsid w:val="00C15250"/>
    <w:rsid w:val="00C15AD8"/>
    <w:rsid w:val="00C16083"/>
    <w:rsid w:val="00C17F1C"/>
    <w:rsid w:val="00C21FF1"/>
    <w:rsid w:val="00C22CD4"/>
    <w:rsid w:val="00C24521"/>
    <w:rsid w:val="00C25F7E"/>
    <w:rsid w:val="00C26606"/>
    <w:rsid w:val="00C26ECD"/>
    <w:rsid w:val="00C273EE"/>
    <w:rsid w:val="00C276DC"/>
    <w:rsid w:val="00C30A96"/>
    <w:rsid w:val="00C30B7B"/>
    <w:rsid w:val="00C30E4E"/>
    <w:rsid w:val="00C31CD7"/>
    <w:rsid w:val="00C31EBD"/>
    <w:rsid w:val="00C32D2B"/>
    <w:rsid w:val="00C34432"/>
    <w:rsid w:val="00C3677D"/>
    <w:rsid w:val="00C36F26"/>
    <w:rsid w:val="00C37090"/>
    <w:rsid w:val="00C37A5E"/>
    <w:rsid w:val="00C41028"/>
    <w:rsid w:val="00C4118C"/>
    <w:rsid w:val="00C42363"/>
    <w:rsid w:val="00C42A82"/>
    <w:rsid w:val="00C43D34"/>
    <w:rsid w:val="00C44674"/>
    <w:rsid w:val="00C44DB0"/>
    <w:rsid w:val="00C461DB"/>
    <w:rsid w:val="00C464D1"/>
    <w:rsid w:val="00C468FB"/>
    <w:rsid w:val="00C47CF9"/>
    <w:rsid w:val="00C50E0A"/>
    <w:rsid w:val="00C51141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7EF"/>
    <w:rsid w:val="00C60102"/>
    <w:rsid w:val="00C604E8"/>
    <w:rsid w:val="00C605F1"/>
    <w:rsid w:val="00C60AF3"/>
    <w:rsid w:val="00C6114B"/>
    <w:rsid w:val="00C61771"/>
    <w:rsid w:val="00C61FD4"/>
    <w:rsid w:val="00C625DC"/>
    <w:rsid w:val="00C628F4"/>
    <w:rsid w:val="00C636A3"/>
    <w:rsid w:val="00C65860"/>
    <w:rsid w:val="00C6627B"/>
    <w:rsid w:val="00C66D45"/>
    <w:rsid w:val="00C66E87"/>
    <w:rsid w:val="00C671C7"/>
    <w:rsid w:val="00C70DF7"/>
    <w:rsid w:val="00C719B3"/>
    <w:rsid w:val="00C741F6"/>
    <w:rsid w:val="00C74455"/>
    <w:rsid w:val="00C747BE"/>
    <w:rsid w:val="00C74B0E"/>
    <w:rsid w:val="00C74DA9"/>
    <w:rsid w:val="00C74F69"/>
    <w:rsid w:val="00C74FAE"/>
    <w:rsid w:val="00C76C49"/>
    <w:rsid w:val="00C7709C"/>
    <w:rsid w:val="00C7788E"/>
    <w:rsid w:val="00C80F0A"/>
    <w:rsid w:val="00C815EB"/>
    <w:rsid w:val="00C823B3"/>
    <w:rsid w:val="00C82517"/>
    <w:rsid w:val="00C825A8"/>
    <w:rsid w:val="00C84000"/>
    <w:rsid w:val="00C843A7"/>
    <w:rsid w:val="00C84A26"/>
    <w:rsid w:val="00C8526F"/>
    <w:rsid w:val="00C85E41"/>
    <w:rsid w:val="00C90182"/>
    <w:rsid w:val="00C94DE6"/>
    <w:rsid w:val="00C94F72"/>
    <w:rsid w:val="00C95981"/>
    <w:rsid w:val="00C95D15"/>
    <w:rsid w:val="00C964C2"/>
    <w:rsid w:val="00C978DF"/>
    <w:rsid w:val="00CA0062"/>
    <w:rsid w:val="00CA0F27"/>
    <w:rsid w:val="00CA1561"/>
    <w:rsid w:val="00CA1896"/>
    <w:rsid w:val="00CA2D98"/>
    <w:rsid w:val="00CA2F96"/>
    <w:rsid w:val="00CA2FC8"/>
    <w:rsid w:val="00CA3412"/>
    <w:rsid w:val="00CA3530"/>
    <w:rsid w:val="00CA39A8"/>
    <w:rsid w:val="00CA3AA4"/>
    <w:rsid w:val="00CA413A"/>
    <w:rsid w:val="00CA443C"/>
    <w:rsid w:val="00CA4CD9"/>
    <w:rsid w:val="00CA4F2E"/>
    <w:rsid w:val="00CA56EA"/>
    <w:rsid w:val="00CA6CD3"/>
    <w:rsid w:val="00CA7131"/>
    <w:rsid w:val="00CA7B98"/>
    <w:rsid w:val="00CA7F2C"/>
    <w:rsid w:val="00CB07A3"/>
    <w:rsid w:val="00CB1566"/>
    <w:rsid w:val="00CB2D2C"/>
    <w:rsid w:val="00CB2F5B"/>
    <w:rsid w:val="00CB38D7"/>
    <w:rsid w:val="00CB5118"/>
    <w:rsid w:val="00CB5647"/>
    <w:rsid w:val="00CB60E6"/>
    <w:rsid w:val="00CB783E"/>
    <w:rsid w:val="00CB7883"/>
    <w:rsid w:val="00CB7B71"/>
    <w:rsid w:val="00CB7CA4"/>
    <w:rsid w:val="00CC067D"/>
    <w:rsid w:val="00CC09BC"/>
    <w:rsid w:val="00CC0ADC"/>
    <w:rsid w:val="00CC0B51"/>
    <w:rsid w:val="00CC0E60"/>
    <w:rsid w:val="00CC13CF"/>
    <w:rsid w:val="00CC16A9"/>
    <w:rsid w:val="00CC244D"/>
    <w:rsid w:val="00CC2EC4"/>
    <w:rsid w:val="00CC44AA"/>
    <w:rsid w:val="00CC480C"/>
    <w:rsid w:val="00CC4D58"/>
    <w:rsid w:val="00CC4EF8"/>
    <w:rsid w:val="00CC5413"/>
    <w:rsid w:val="00CC6A22"/>
    <w:rsid w:val="00CC6A95"/>
    <w:rsid w:val="00CC728B"/>
    <w:rsid w:val="00CC743A"/>
    <w:rsid w:val="00CD0AE5"/>
    <w:rsid w:val="00CD0F7A"/>
    <w:rsid w:val="00CD10B0"/>
    <w:rsid w:val="00CD1507"/>
    <w:rsid w:val="00CD1666"/>
    <w:rsid w:val="00CD16F6"/>
    <w:rsid w:val="00CD17A3"/>
    <w:rsid w:val="00CD1928"/>
    <w:rsid w:val="00CD2683"/>
    <w:rsid w:val="00CD2BE6"/>
    <w:rsid w:val="00CD2CB4"/>
    <w:rsid w:val="00CD3112"/>
    <w:rsid w:val="00CD3878"/>
    <w:rsid w:val="00CD4030"/>
    <w:rsid w:val="00CD4CE6"/>
    <w:rsid w:val="00CD4D66"/>
    <w:rsid w:val="00CD57DE"/>
    <w:rsid w:val="00CD5F07"/>
    <w:rsid w:val="00CD6686"/>
    <w:rsid w:val="00CD67C3"/>
    <w:rsid w:val="00CD6D1F"/>
    <w:rsid w:val="00CD6EA9"/>
    <w:rsid w:val="00CD709A"/>
    <w:rsid w:val="00CD76DC"/>
    <w:rsid w:val="00CD7CFB"/>
    <w:rsid w:val="00CE08D6"/>
    <w:rsid w:val="00CE166F"/>
    <w:rsid w:val="00CE16E4"/>
    <w:rsid w:val="00CE1868"/>
    <w:rsid w:val="00CE1DFE"/>
    <w:rsid w:val="00CE2F33"/>
    <w:rsid w:val="00CE3E65"/>
    <w:rsid w:val="00CE4C0A"/>
    <w:rsid w:val="00CE536F"/>
    <w:rsid w:val="00CE53FB"/>
    <w:rsid w:val="00CE55B8"/>
    <w:rsid w:val="00CE5A7A"/>
    <w:rsid w:val="00CE6459"/>
    <w:rsid w:val="00CE706D"/>
    <w:rsid w:val="00CE7BA5"/>
    <w:rsid w:val="00CF0553"/>
    <w:rsid w:val="00CF0899"/>
    <w:rsid w:val="00CF0D0D"/>
    <w:rsid w:val="00CF1DB1"/>
    <w:rsid w:val="00CF1F09"/>
    <w:rsid w:val="00CF1FE8"/>
    <w:rsid w:val="00CF3F17"/>
    <w:rsid w:val="00CF406D"/>
    <w:rsid w:val="00CF4962"/>
    <w:rsid w:val="00CF57F2"/>
    <w:rsid w:val="00CF594C"/>
    <w:rsid w:val="00CF5F14"/>
    <w:rsid w:val="00CF668F"/>
    <w:rsid w:val="00CF6D85"/>
    <w:rsid w:val="00CF720F"/>
    <w:rsid w:val="00CF78D9"/>
    <w:rsid w:val="00D00040"/>
    <w:rsid w:val="00D01009"/>
    <w:rsid w:val="00D014B0"/>
    <w:rsid w:val="00D01619"/>
    <w:rsid w:val="00D0163E"/>
    <w:rsid w:val="00D02F7D"/>
    <w:rsid w:val="00D030B5"/>
    <w:rsid w:val="00D03923"/>
    <w:rsid w:val="00D04C58"/>
    <w:rsid w:val="00D04D7B"/>
    <w:rsid w:val="00D0530B"/>
    <w:rsid w:val="00D0535A"/>
    <w:rsid w:val="00D055D0"/>
    <w:rsid w:val="00D05F3B"/>
    <w:rsid w:val="00D06288"/>
    <w:rsid w:val="00D110FB"/>
    <w:rsid w:val="00D114DD"/>
    <w:rsid w:val="00D11688"/>
    <w:rsid w:val="00D11DD8"/>
    <w:rsid w:val="00D12C2F"/>
    <w:rsid w:val="00D12CAA"/>
    <w:rsid w:val="00D13003"/>
    <w:rsid w:val="00D14D68"/>
    <w:rsid w:val="00D155AC"/>
    <w:rsid w:val="00D159D0"/>
    <w:rsid w:val="00D15BD5"/>
    <w:rsid w:val="00D1604A"/>
    <w:rsid w:val="00D16A35"/>
    <w:rsid w:val="00D17078"/>
    <w:rsid w:val="00D1738A"/>
    <w:rsid w:val="00D17AC9"/>
    <w:rsid w:val="00D20A3C"/>
    <w:rsid w:val="00D2154D"/>
    <w:rsid w:val="00D21A6D"/>
    <w:rsid w:val="00D21C96"/>
    <w:rsid w:val="00D21D56"/>
    <w:rsid w:val="00D21EEA"/>
    <w:rsid w:val="00D23422"/>
    <w:rsid w:val="00D23BC0"/>
    <w:rsid w:val="00D30465"/>
    <w:rsid w:val="00D3046A"/>
    <w:rsid w:val="00D307B6"/>
    <w:rsid w:val="00D31E6D"/>
    <w:rsid w:val="00D31F9C"/>
    <w:rsid w:val="00D32766"/>
    <w:rsid w:val="00D32F02"/>
    <w:rsid w:val="00D337E0"/>
    <w:rsid w:val="00D3416B"/>
    <w:rsid w:val="00D341E0"/>
    <w:rsid w:val="00D34DCB"/>
    <w:rsid w:val="00D355CC"/>
    <w:rsid w:val="00D35839"/>
    <w:rsid w:val="00D3591E"/>
    <w:rsid w:val="00D362D0"/>
    <w:rsid w:val="00D370B2"/>
    <w:rsid w:val="00D374AD"/>
    <w:rsid w:val="00D37A59"/>
    <w:rsid w:val="00D402CC"/>
    <w:rsid w:val="00D40956"/>
    <w:rsid w:val="00D40AFA"/>
    <w:rsid w:val="00D41391"/>
    <w:rsid w:val="00D41A6E"/>
    <w:rsid w:val="00D41E59"/>
    <w:rsid w:val="00D42322"/>
    <w:rsid w:val="00D42AB9"/>
    <w:rsid w:val="00D42F75"/>
    <w:rsid w:val="00D4462C"/>
    <w:rsid w:val="00D4626E"/>
    <w:rsid w:val="00D4653D"/>
    <w:rsid w:val="00D46C85"/>
    <w:rsid w:val="00D470A6"/>
    <w:rsid w:val="00D473E6"/>
    <w:rsid w:val="00D479CC"/>
    <w:rsid w:val="00D47C03"/>
    <w:rsid w:val="00D47EDB"/>
    <w:rsid w:val="00D5074E"/>
    <w:rsid w:val="00D51F4B"/>
    <w:rsid w:val="00D52A89"/>
    <w:rsid w:val="00D5381C"/>
    <w:rsid w:val="00D540F8"/>
    <w:rsid w:val="00D5584D"/>
    <w:rsid w:val="00D56152"/>
    <w:rsid w:val="00D5775C"/>
    <w:rsid w:val="00D57ACB"/>
    <w:rsid w:val="00D57F97"/>
    <w:rsid w:val="00D62035"/>
    <w:rsid w:val="00D625F7"/>
    <w:rsid w:val="00D62B94"/>
    <w:rsid w:val="00D631CB"/>
    <w:rsid w:val="00D633B1"/>
    <w:rsid w:val="00D63B8D"/>
    <w:rsid w:val="00D647E8"/>
    <w:rsid w:val="00D65300"/>
    <w:rsid w:val="00D6570E"/>
    <w:rsid w:val="00D65A99"/>
    <w:rsid w:val="00D65D99"/>
    <w:rsid w:val="00D65DDC"/>
    <w:rsid w:val="00D66297"/>
    <w:rsid w:val="00D66B57"/>
    <w:rsid w:val="00D67139"/>
    <w:rsid w:val="00D71D80"/>
    <w:rsid w:val="00D7202D"/>
    <w:rsid w:val="00D73416"/>
    <w:rsid w:val="00D738D8"/>
    <w:rsid w:val="00D75518"/>
    <w:rsid w:val="00D75AC9"/>
    <w:rsid w:val="00D75D71"/>
    <w:rsid w:val="00D767B3"/>
    <w:rsid w:val="00D770B4"/>
    <w:rsid w:val="00D774BD"/>
    <w:rsid w:val="00D805EA"/>
    <w:rsid w:val="00D811BD"/>
    <w:rsid w:val="00D8238E"/>
    <w:rsid w:val="00D82ED6"/>
    <w:rsid w:val="00D82FBA"/>
    <w:rsid w:val="00D83F27"/>
    <w:rsid w:val="00D852B5"/>
    <w:rsid w:val="00D85BAA"/>
    <w:rsid w:val="00D85EED"/>
    <w:rsid w:val="00D860C5"/>
    <w:rsid w:val="00D865CB"/>
    <w:rsid w:val="00D90895"/>
    <w:rsid w:val="00D91021"/>
    <w:rsid w:val="00D91041"/>
    <w:rsid w:val="00D911B5"/>
    <w:rsid w:val="00D91926"/>
    <w:rsid w:val="00D91DD6"/>
    <w:rsid w:val="00D9281D"/>
    <w:rsid w:val="00D92F1F"/>
    <w:rsid w:val="00D9327C"/>
    <w:rsid w:val="00D9339A"/>
    <w:rsid w:val="00D93AE9"/>
    <w:rsid w:val="00D941AC"/>
    <w:rsid w:val="00D94BA8"/>
    <w:rsid w:val="00D9510D"/>
    <w:rsid w:val="00D95583"/>
    <w:rsid w:val="00D95935"/>
    <w:rsid w:val="00D95C5F"/>
    <w:rsid w:val="00D967AF"/>
    <w:rsid w:val="00D971B1"/>
    <w:rsid w:val="00DA0081"/>
    <w:rsid w:val="00DA0ACC"/>
    <w:rsid w:val="00DA0D45"/>
    <w:rsid w:val="00DA1641"/>
    <w:rsid w:val="00DA1969"/>
    <w:rsid w:val="00DA26EC"/>
    <w:rsid w:val="00DA2981"/>
    <w:rsid w:val="00DA38E6"/>
    <w:rsid w:val="00DA5E04"/>
    <w:rsid w:val="00DA64CE"/>
    <w:rsid w:val="00DA6699"/>
    <w:rsid w:val="00DA7835"/>
    <w:rsid w:val="00DB0041"/>
    <w:rsid w:val="00DB129B"/>
    <w:rsid w:val="00DB18AF"/>
    <w:rsid w:val="00DB2FF5"/>
    <w:rsid w:val="00DB37E2"/>
    <w:rsid w:val="00DB4ABE"/>
    <w:rsid w:val="00DB6450"/>
    <w:rsid w:val="00DB69F3"/>
    <w:rsid w:val="00DB6BAF"/>
    <w:rsid w:val="00DC079A"/>
    <w:rsid w:val="00DC095E"/>
    <w:rsid w:val="00DC1AD7"/>
    <w:rsid w:val="00DC1C36"/>
    <w:rsid w:val="00DC1D3C"/>
    <w:rsid w:val="00DC20B7"/>
    <w:rsid w:val="00DC3B21"/>
    <w:rsid w:val="00DC44B5"/>
    <w:rsid w:val="00DC4C6D"/>
    <w:rsid w:val="00DC4DD8"/>
    <w:rsid w:val="00DC4F93"/>
    <w:rsid w:val="00DC5656"/>
    <w:rsid w:val="00DC60C6"/>
    <w:rsid w:val="00DC7932"/>
    <w:rsid w:val="00DD022E"/>
    <w:rsid w:val="00DD0E61"/>
    <w:rsid w:val="00DD0F5D"/>
    <w:rsid w:val="00DD13BB"/>
    <w:rsid w:val="00DD196C"/>
    <w:rsid w:val="00DD1B0A"/>
    <w:rsid w:val="00DD1DB7"/>
    <w:rsid w:val="00DD305D"/>
    <w:rsid w:val="00DD3B1C"/>
    <w:rsid w:val="00DD454F"/>
    <w:rsid w:val="00DD4787"/>
    <w:rsid w:val="00DD5833"/>
    <w:rsid w:val="00DD6315"/>
    <w:rsid w:val="00DD6DFB"/>
    <w:rsid w:val="00DD6E8C"/>
    <w:rsid w:val="00DE1257"/>
    <w:rsid w:val="00DE15B6"/>
    <w:rsid w:val="00DE3070"/>
    <w:rsid w:val="00DE3B3E"/>
    <w:rsid w:val="00DE3B65"/>
    <w:rsid w:val="00DE4874"/>
    <w:rsid w:val="00DE501C"/>
    <w:rsid w:val="00DE6D1B"/>
    <w:rsid w:val="00DF029C"/>
    <w:rsid w:val="00DF03A0"/>
    <w:rsid w:val="00DF07B1"/>
    <w:rsid w:val="00DF0E0D"/>
    <w:rsid w:val="00DF1C59"/>
    <w:rsid w:val="00DF31B8"/>
    <w:rsid w:val="00DF3F3C"/>
    <w:rsid w:val="00DF5013"/>
    <w:rsid w:val="00DF7449"/>
    <w:rsid w:val="00DF7811"/>
    <w:rsid w:val="00E006EC"/>
    <w:rsid w:val="00E00E45"/>
    <w:rsid w:val="00E00F7E"/>
    <w:rsid w:val="00E015AF"/>
    <w:rsid w:val="00E01C88"/>
    <w:rsid w:val="00E01DB3"/>
    <w:rsid w:val="00E020CB"/>
    <w:rsid w:val="00E02CFA"/>
    <w:rsid w:val="00E02D46"/>
    <w:rsid w:val="00E03B60"/>
    <w:rsid w:val="00E059FD"/>
    <w:rsid w:val="00E05D5A"/>
    <w:rsid w:val="00E070A2"/>
    <w:rsid w:val="00E1031E"/>
    <w:rsid w:val="00E10962"/>
    <w:rsid w:val="00E10C3D"/>
    <w:rsid w:val="00E118EF"/>
    <w:rsid w:val="00E12136"/>
    <w:rsid w:val="00E1578A"/>
    <w:rsid w:val="00E15A4C"/>
    <w:rsid w:val="00E16AA7"/>
    <w:rsid w:val="00E16B8E"/>
    <w:rsid w:val="00E16BC6"/>
    <w:rsid w:val="00E17265"/>
    <w:rsid w:val="00E17357"/>
    <w:rsid w:val="00E20DB6"/>
    <w:rsid w:val="00E20E0C"/>
    <w:rsid w:val="00E21404"/>
    <w:rsid w:val="00E218EF"/>
    <w:rsid w:val="00E21FCC"/>
    <w:rsid w:val="00E2239A"/>
    <w:rsid w:val="00E22A4B"/>
    <w:rsid w:val="00E232D5"/>
    <w:rsid w:val="00E234EE"/>
    <w:rsid w:val="00E2498E"/>
    <w:rsid w:val="00E267AC"/>
    <w:rsid w:val="00E273F3"/>
    <w:rsid w:val="00E27DE9"/>
    <w:rsid w:val="00E31679"/>
    <w:rsid w:val="00E31FBF"/>
    <w:rsid w:val="00E33907"/>
    <w:rsid w:val="00E34004"/>
    <w:rsid w:val="00E342D8"/>
    <w:rsid w:val="00E3451D"/>
    <w:rsid w:val="00E34535"/>
    <w:rsid w:val="00E346DB"/>
    <w:rsid w:val="00E347A6"/>
    <w:rsid w:val="00E367A6"/>
    <w:rsid w:val="00E3686F"/>
    <w:rsid w:val="00E36F8F"/>
    <w:rsid w:val="00E371FA"/>
    <w:rsid w:val="00E37438"/>
    <w:rsid w:val="00E37980"/>
    <w:rsid w:val="00E40332"/>
    <w:rsid w:val="00E40C2B"/>
    <w:rsid w:val="00E419B9"/>
    <w:rsid w:val="00E428DA"/>
    <w:rsid w:val="00E42F64"/>
    <w:rsid w:val="00E43151"/>
    <w:rsid w:val="00E43437"/>
    <w:rsid w:val="00E43497"/>
    <w:rsid w:val="00E436CB"/>
    <w:rsid w:val="00E44011"/>
    <w:rsid w:val="00E46612"/>
    <w:rsid w:val="00E46CB2"/>
    <w:rsid w:val="00E46FBC"/>
    <w:rsid w:val="00E50000"/>
    <w:rsid w:val="00E5059C"/>
    <w:rsid w:val="00E50DEA"/>
    <w:rsid w:val="00E51187"/>
    <w:rsid w:val="00E51C7B"/>
    <w:rsid w:val="00E521D4"/>
    <w:rsid w:val="00E52B6B"/>
    <w:rsid w:val="00E52C82"/>
    <w:rsid w:val="00E5375A"/>
    <w:rsid w:val="00E53ACB"/>
    <w:rsid w:val="00E53DD3"/>
    <w:rsid w:val="00E54A7B"/>
    <w:rsid w:val="00E54D93"/>
    <w:rsid w:val="00E55367"/>
    <w:rsid w:val="00E56E36"/>
    <w:rsid w:val="00E570CF"/>
    <w:rsid w:val="00E57EEA"/>
    <w:rsid w:val="00E60873"/>
    <w:rsid w:val="00E60A16"/>
    <w:rsid w:val="00E60D5E"/>
    <w:rsid w:val="00E61EC1"/>
    <w:rsid w:val="00E6236A"/>
    <w:rsid w:val="00E634AC"/>
    <w:rsid w:val="00E639A9"/>
    <w:rsid w:val="00E63AD2"/>
    <w:rsid w:val="00E651B7"/>
    <w:rsid w:val="00E665A7"/>
    <w:rsid w:val="00E67E06"/>
    <w:rsid w:val="00E703BB"/>
    <w:rsid w:val="00E7055A"/>
    <w:rsid w:val="00E70DA9"/>
    <w:rsid w:val="00E7124E"/>
    <w:rsid w:val="00E71567"/>
    <w:rsid w:val="00E71773"/>
    <w:rsid w:val="00E7298A"/>
    <w:rsid w:val="00E738EC"/>
    <w:rsid w:val="00E74945"/>
    <w:rsid w:val="00E75DC5"/>
    <w:rsid w:val="00E76C8D"/>
    <w:rsid w:val="00E76F55"/>
    <w:rsid w:val="00E7710D"/>
    <w:rsid w:val="00E77C03"/>
    <w:rsid w:val="00E80B55"/>
    <w:rsid w:val="00E813D2"/>
    <w:rsid w:val="00E81A9E"/>
    <w:rsid w:val="00E82939"/>
    <w:rsid w:val="00E83DEC"/>
    <w:rsid w:val="00E83E78"/>
    <w:rsid w:val="00E84042"/>
    <w:rsid w:val="00E843AD"/>
    <w:rsid w:val="00E867F8"/>
    <w:rsid w:val="00E86A03"/>
    <w:rsid w:val="00E86A1A"/>
    <w:rsid w:val="00E87C12"/>
    <w:rsid w:val="00E87D9D"/>
    <w:rsid w:val="00E904C9"/>
    <w:rsid w:val="00E90B43"/>
    <w:rsid w:val="00E92714"/>
    <w:rsid w:val="00E93307"/>
    <w:rsid w:val="00E9404F"/>
    <w:rsid w:val="00E94357"/>
    <w:rsid w:val="00E945AE"/>
    <w:rsid w:val="00E94EA4"/>
    <w:rsid w:val="00E94EFA"/>
    <w:rsid w:val="00E962BD"/>
    <w:rsid w:val="00E97177"/>
    <w:rsid w:val="00E9798C"/>
    <w:rsid w:val="00EA0089"/>
    <w:rsid w:val="00EA0804"/>
    <w:rsid w:val="00EA0AF6"/>
    <w:rsid w:val="00EA131F"/>
    <w:rsid w:val="00EA2076"/>
    <w:rsid w:val="00EA2B5C"/>
    <w:rsid w:val="00EA3054"/>
    <w:rsid w:val="00EA3C6C"/>
    <w:rsid w:val="00EA3EF3"/>
    <w:rsid w:val="00EA4141"/>
    <w:rsid w:val="00EA6274"/>
    <w:rsid w:val="00EA794E"/>
    <w:rsid w:val="00EB21F1"/>
    <w:rsid w:val="00EB2802"/>
    <w:rsid w:val="00EB3744"/>
    <w:rsid w:val="00EB537A"/>
    <w:rsid w:val="00EB61EA"/>
    <w:rsid w:val="00EB6688"/>
    <w:rsid w:val="00EB7065"/>
    <w:rsid w:val="00EC176F"/>
    <w:rsid w:val="00EC1A19"/>
    <w:rsid w:val="00EC260F"/>
    <w:rsid w:val="00EC2767"/>
    <w:rsid w:val="00EC31E4"/>
    <w:rsid w:val="00EC3CDD"/>
    <w:rsid w:val="00EC69ED"/>
    <w:rsid w:val="00EC7411"/>
    <w:rsid w:val="00ED0E53"/>
    <w:rsid w:val="00ED197B"/>
    <w:rsid w:val="00ED2611"/>
    <w:rsid w:val="00ED345D"/>
    <w:rsid w:val="00ED3799"/>
    <w:rsid w:val="00ED4819"/>
    <w:rsid w:val="00ED4EC2"/>
    <w:rsid w:val="00ED52B9"/>
    <w:rsid w:val="00ED5B64"/>
    <w:rsid w:val="00ED5EB5"/>
    <w:rsid w:val="00ED5F77"/>
    <w:rsid w:val="00ED6781"/>
    <w:rsid w:val="00ED6ACE"/>
    <w:rsid w:val="00ED6CED"/>
    <w:rsid w:val="00ED6FF2"/>
    <w:rsid w:val="00ED74DC"/>
    <w:rsid w:val="00EE0ED3"/>
    <w:rsid w:val="00EE0FD8"/>
    <w:rsid w:val="00EE1462"/>
    <w:rsid w:val="00EE1B77"/>
    <w:rsid w:val="00EE2605"/>
    <w:rsid w:val="00EE313E"/>
    <w:rsid w:val="00EE4ECE"/>
    <w:rsid w:val="00EE597F"/>
    <w:rsid w:val="00EE61B5"/>
    <w:rsid w:val="00EE64E4"/>
    <w:rsid w:val="00EE74D8"/>
    <w:rsid w:val="00EE7C1D"/>
    <w:rsid w:val="00EF06BD"/>
    <w:rsid w:val="00EF0C50"/>
    <w:rsid w:val="00EF0D80"/>
    <w:rsid w:val="00EF1411"/>
    <w:rsid w:val="00EF1C05"/>
    <w:rsid w:val="00EF20A3"/>
    <w:rsid w:val="00EF2269"/>
    <w:rsid w:val="00EF367D"/>
    <w:rsid w:val="00EF3937"/>
    <w:rsid w:val="00EF4D5B"/>
    <w:rsid w:val="00EF6268"/>
    <w:rsid w:val="00EF691A"/>
    <w:rsid w:val="00F010D5"/>
    <w:rsid w:val="00F02AA0"/>
    <w:rsid w:val="00F030B6"/>
    <w:rsid w:val="00F03905"/>
    <w:rsid w:val="00F040DF"/>
    <w:rsid w:val="00F05A18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4DB"/>
    <w:rsid w:val="00F1254C"/>
    <w:rsid w:val="00F1278C"/>
    <w:rsid w:val="00F12FC5"/>
    <w:rsid w:val="00F14102"/>
    <w:rsid w:val="00F14ABA"/>
    <w:rsid w:val="00F154CE"/>
    <w:rsid w:val="00F17803"/>
    <w:rsid w:val="00F1785F"/>
    <w:rsid w:val="00F17B82"/>
    <w:rsid w:val="00F20338"/>
    <w:rsid w:val="00F2172A"/>
    <w:rsid w:val="00F223A9"/>
    <w:rsid w:val="00F239DC"/>
    <w:rsid w:val="00F23FDA"/>
    <w:rsid w:val="00F2677A"/>
    <w:rsid w:val="00F269EF"/>
    <w:rsid w:val="00F27248"/>
    <w:rsid w:val="00F324A9"/>
    <w:rsid w:val="00F32CEC"/>
    <w:rsid w:val="00F33D6D"/>
    <w:rsid w:val="00F34F9A"/>
    <w:rsid w:val="00F367F6"/>
    <w:rsid w:val="00F36EAF"/>
    <w:rsid w:val="00F370A2"/>
    <w:rsid w:val="00F376A9"/>
    <w:rsid w:val="00F415AA"/>
    <w:rsid w:val="00F4298D"/>
    <w:rsid w:val="00F43415"/>
    <w:rsid w:val="00F43945"/>
    <w:rsid w:val="00F443FF"/>
    <w:rsid w:val="00F44E11"/>
    <w:rsid w:val="00F46470"/>
    <w:rsid w:val="00F464C0"/>
    <w:rsid w:val="00F46AC4"/>
    <w:rsid w:val="00F4705D"/>
    <w:rsid w:val="00F47770"/>
    <w:rsid w:val="00F517DA"/>
    <w:rsid w:val="00F5180F"/>
    <w:rsid w:val="00F52048"/>
    <w:rsid w:val="00F52409"/>
    <w:rsid w:val="00F53191"/>
    <w:rsid w:val="00F532E9"/>
    <w:rsid w:val="00F53538"/>
    <w:rsid w:val="00F53577"/>
    <w:rsid w:val="00F55740"/>
    <w:rsid w:val="00F5580E"/>
    <w:rsid w:val="00F5690B"/>
    <w:rsid w:val="00F57B9A"/>
    <w:rsid w:val="00F6027A"/>
    <w:rsid w:val="00F60A71"/>
    <w:rsid w:val="00F60ACD"/>
    <w:rsid w:val="00F6227E"/>
    <w:rsid w:val="00F62701"/>
    <w:rsid w:val="00F6286B"/>
    <w:rsid w:val="00F63036"/>
    <w:rsid w:val="00F63842"/>
    <w:rsid w:val="00F64CFC"/>
    <w:rsid w:val="00F6669E"/>
    <w:rsid w:val="00F66D3B"/>
    <w:rsid w:val="00F67E44"/>
    <w:rsid w:val="00F707D3"/>
    <w:rsid w:val="00F70EC3"/>
    <w:rsid w:val="00F71AF0"/>
    <w:rsid w:val="00F72A7A"/>
    <w:rsid w:val="00F72D14"/>
    <w:rsid w:val="00F72DBA"/>
    <w:rsid w:val="00F7373F"/>
    <w:rsid w:val="00F73B35"/>
    <w:rsid w:val="00F73DEB"/>
    <w:rsid w:val="00F74707"/>
    <w:rsid w:val="00F7483F"/>
    <w:rsid w:val="00F74A4F"/>
    <w:rsid w:val="00F7511D"/>
    <w:rsid w:val="00F75F99"/>
    <w:rsid w:val="00F7693D"/>
    <w:rsid w:val="00F77503"/>
    <w:rsid w:val="00F77917"/>
    <w:rsid w:val="00F77D71"/>
    <w:rsid w:val="00F81C39"/>
    <w:rsid w:val="00F81EAA"/>
    <w:rsid w:val="00F821B1"/>
    <w:rsid w:val="00F82A4A"/>
    <w:rsid w:val="00F82A5F"/>
    <w:rsid w:val="00F83630"/>
    <w:rsid w:val="00F83971"/>
    <w:rsid w:val="00F83C6C"/>
    <w:rsid w:val="00F83FDE"/>
    <w:rsid w:val="00F86501"/>
    <w:rsid w:val="00F8680C"/>
    <w:rsid w:val="00F870D5"/>
    <w:rsid w:val="00F87216"/>
    <w:rsid w:val="00F8774D"/>
    <w:rsid w:val="00F91B44"/>
    <w:rsid w:val="00F927B1"/>
    <w:rsid w:val="00F92AEE"/>
    <w:rsid w:val="00F92C19"/>
    <w:rsid w:val="00F92E5D"/>
    <w:rsid w:val="00F938B5"/>
    <w:rsid w:val="00F93A24"/>
    <w:rsid w:val="00F93A39"/>
    <w:rsid w:val="00F942A8"/>
    <w:rsid w:val="00F94A33"/>
    <w:rsid w:val="00F94FFD"/>
    <w:rsid w:val="00F964FD"/>
    <w:rsid w:val="00F965EF"/>
    <w:rsid w:val="00F96815"/>
    <w:rsid w:val="00FA00E6"/>
    <w:rsid w:val="00FA223C"/>
    <w:rsid w:val="00FA2317"/>
    <w:rsid w:val="00FA2DE1"/>
    <w:rsid w:val="00FA5203"/>
    <w:rsid w:val="00FA5296"/>
    <w:rsid w:val="00FA58D4"/>
    <w:rsid w:val="00FA7802"/>
    <w:rsid w:val="00FA7881"/>
    <w:rsid w:val="00FB0041"/>
    <w:rsid w:val="00FB0A60"/>
    <w:rsid w:val="00FB0AB6"/>
    <w:rsid w:val="00FB11A6"/>
    <w:rsid w:val="00FB1CCA"/>
    <w:rsid w:val="00FB3340"/>
    <w:rsid w:val="00FB3E33"/>
    <w:rsid w:val="00FB433D"/>
    <w:rsid w:val="00FB4C8A"/>
    <w:rsid w:val="00FB4EBF"/>
    <w:rsid w:val="00FB667C"/>
    <w:rsid w:val="00FB6854"/>
    <w:rsid w:val="00FB6D72"/>
    <w:rsid w:val="00FB7B07"/>
    <w:rsid w:val="00FC0894"/>
    <w:rsid w:val="00FC0CB5"/>
    <w:rsid w:val="00FC1EA6"/>
    <w:rsid w:val="00FC2BDE"/>
    <w:rsid w:val="00FC3A8C"/>
    <w:rsid w:val="00FC45B7"/>
    <w:rsid w:val="00FC5105"/>
    <w:rsid w:val="00FC5568"/>
    <w:rsid w:val="00FC5C46"/>
    <w:rsid w:val="00FC602E"/>
    <w:rsid w:val="00FC7A2D"/>
    <w:rsid w:val="00FC7B21"/>
    <w:rsid w:val="00FD174B"/>
    <w:rsid w:val="00FD2DBE"/>
    <w:rsid w:val="00FD32BC"/>
    <w:rsid w:val="00FD39F0"/>
    <w:rsid w:val="00FD420F"/>
    <w:rsid w:val="00FD48A1"/>
    <w:rsid w:val="00FD5193"/>
    <w:rsid w:val="00FD56E6"/>
    <w:rsid w:val="00FD593D"/>
    <w:rsid w:val="00FD5D6F"/>
    <w:rsid w:val="00FD7451"/>
    <w:rsid w:val="00FE05B6"/>
    <w:rsid w:val="00FE0A9F"/>
    <w:rsid w:val="00FE0D03"/>
    <w:rsid w:val="00FE1782"/>
    <w:rsid w:val="00FE2300"/>
    <w:rsid w:val="00FE3E86"/>
    <w:rsid w:val="00FE41D4"/>
    <w:rsid w:val="00FE578E"/>
    <w:rsid w:val="00FE7276"/>
    <w:rsid w:val="00FE752D"/>
    <w:rsid w:val="00FE7672"/>
    <w:rsid w:val="00FF06F1"/>
    <w:rsid w:val="00FF20BB"/>
    <w:rsid w:val="00FF2CFB"/>
    <w:rsid w:val="00FF2E6B"/>
    <w:rsid w:val="00FF359A"/>
    <w:rsid w:val="00FF3A3F"/>
    <w:rsid w:val="00FF5BAB"/>
    <w:rsid w:val="00FF6C49"/>
    <w:rsid w:val="00FF70EB"/>
    <w:rsid w:val="00FF73B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66008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uiPriority w:val="99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Cs/>
      <w:color w:val="008000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uiPriority w:val="99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uiPriority w:val="59"/>
    <w:rsid w:val="00E0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uiPriority w:val="99"/>
    <w:qFormat/>
    <w:rsid w:val="00B64505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99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link w:val="afb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link w:val="afd"/>
    <w:uiPriority w:val="99"/>
    <w:semiHidden/>
    <w:locked/>
    <w:rsid w:val="00B12942"/>
    <w:rPr>
      <w:b/>
      <w:bCs/>
      <w:sz w:val="20"/>
      <w:szCs w:val="20"/>
    </w:rPr>
  </w:style>
  <w:style w:type="character" w:styleId="afe">
    <w:name w:val="Hyperlink"/>
    <w:basedOn w:val="a1"/>
    <w:uiPriority w:val="99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uiPriority w:val="99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basedOn w:val="a1"/>
    <w:link w:val="aff1"/>
    <w:uiPriority w:val="99"/>
    <w:semiHidden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basedOn w:val="a0"/>
    <w:link w:val="aff0"/>
    <w:uiPriority w:val="99"/>
    <w:semiHidden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link w:val="aff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BD36-87F5-4C2B-8C8E-C0A7C4F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7521</Words>
  <Characters>42873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50294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Позднышев П.Т.</dc:creator>
  <cp:lastModifiedBy>Ноздрюхина</cp:lastModifiedBy>
  <cp:revision>2</cp:revision>
  <cp:lastPrinted>2016-05-12T06:16:00Z</cp:lastPrinted>
  <dcterms:created xsi:type="dcterms:W3CDTF">2016-05-12T06:23:00Z</dcterms:created>
  <dcterms:modified xsi:type="dcterms:W3CDTF">2016-05-12T06:23:00Z</dcterms:modified>
</cp:coreProperties>
</file>