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903" w:rsidRPr="006843EF" w:rsidRDefault="00013903" w:rsidP="00013903">
      <w:pPr>
        <w:ind w:left="4956" w:firstLine="708"/>
        <w:rPr>
          <w:b/>
          <w:bCs/>
          <w:caps/>
        </w:rPr>
      </w:pPr>
      <w:r w:rsidRPr="006843EF">
        <w:rPr>
          <w:b/>
          <w:bCs/>
          <w:caps/>
        </w:rPr>
        <w:t>УТВЕРЖДАЮ</w:t>
      </w:r>
    </w:p>
    <w:p w:rsidR="00013903" w:rsidRPr="006843EF" w:rsidRDefault="00013903" w:rsidP="00013903">
      <w:pPr>
        <w:ind w:left="5664"/>
        <w:rPr>
          <w:b/>
        </w:rPr>
      </w:pPr>
      <w:r w:rsidRPr="006843EF">
        <w:rPr>
          <w:b/>
        </w:rPr>
        <w:t>Председатель контрольно-счетной палаты Волгоградской области</w:t>
      </w:r>
    </w:p>
    <w:p w:rsidR="00013903" w:rsidRPr="006843EF" w:rsidRDefault="00013903" w:rsidP="00013903">
      <w:pPr>
        <w:ind w:left="4956" w:firstLine="708"/>
        <w:rPr>
          <w:b/>
          <w:bCs/>
        </w:rPr>
      </w:pPr>
      <w:r w:rsidRPr="006843EF">
        <w:rPr>
          <w:b/>
          <w:bCs/>
        </w:rPr>
        <w:t>____________ И.А. Дьяченко</w:t>
      </w:r>
    </w:p>
    <w:p w:rsidR="00013903" w:rsidRPr="006843EF" w:rsidRDefault="00013903" w:rsidP="00013903">
      <w:pPr>
        <w:ind w:left="4956" w:firstLine="708"/>
        <w:rPr>
          <w:b/>
          <w:bCs/>
        </w:rPr>
      </w:pPr>
      <w:r w:rsidRPr="006843EF">
        <w:rPr>
          <w:b/>
          <w:bCs/>
        </w:rPr>
        <w:t>____ а</w:t>
      </w:r>
      <w:r w:rsidR="000660EE" w:rsidRPr="006843EF">
        <w:rPr>
          <w:b/>
          <w:bCs/>
        </w:rPr>
        <w:t>преля</w:t>
      </w:r>
      <w:r w:rsidRPr="006843EF">
        <w:rPr>
          <w:b/>
          <w:bCs/>
        </w:rPr>
        <w:t xml:space="preserve"> 2017 года</w:t>
      </w:r>
    </w:p>
    <w:p w:rsidR="00013903" w:rsidRPr="006843EF" w:rsidRDefault="00013903" w:rsidP="00013903">
      <w:pPr>
        <w:pStyle w:val="a6"/>
        <w:rPr>
          <w:szCs w:val="24"/>
        </w:rPr>
      </w:pPr>
    </w:p>
    <w:p w:rsidR="00430A81" w:rsidRPr="006843EF" w:rsidRDefault="00430A81" w:rsidP="00013903">
      <w:pPr>
        <w:pStyle w:val="a6"/>
        <w:rPr>
          <w:szCs w:val="24"/>
        </w:rPr>
      </w:pPr>
    </w:p>
    <w:p w:rsidR="00013903" w:rsidRPr="006843EF" w:rsidRDefault="00013903" w:rsidP="00013903">
      <w:pPr>
        <w:pStyle w:val="a6"/>
        <w:rPr>
          <w:szCs w:val="24"/>
        </w:rPr>
      </w:pPr>
      <w:r w:rsidRPr="006843EF">
        <w:rPr>
          <w:szCs w:val="24"/>
        </w:rPr>
        <w:t>Заключение</w:t>
      </w:r>
    </w:p>
    <w:p w:rsidR="00013903" w:rsidRPr="006843EF" w:rsidRDefault="00013903" w:rsidP="00013903">
      <w:pPr>
        <w:pStyle w:val="af2"/>
        <w:jc w:val="center"/>
        <w:rPr>
          <w:rFonts w:ascii="Times New Roman" w:hAnsi="Times New Roman"/>
          <w:b/>
        </w:rPr>
      </w:pPr>
      <w:r w:rsidRPr="006843EF">
        <w:rPr>
          <w:rFonts w:ascii="Times New Roman" w:hAnsi="Times New Roman"/>
          <w:b/>
        </w:rPr>
        <w:t>по результатам внешней проверки бюджетной отчетности и отдельных вопросов исполнения областного бюджета за 2016 год главным администратором средств областного бюджета – комитетом социальной защиты</w:t>
      </w:r>
      <w:r w:rsidRPr="006843EF">
        <w:rPr>
          <w:rFonts w:ascii="Times New Roman" w:hAnsi="Times New Roman"/>
          <w:b/>
          <w:i/>
        </w:rPr>
        <w:t xml:space="preserve"> </w:t>
      </w:r>
      <w:r w:rsidRPr="006843EF">
        <w:rPr>
          <w:rFonts w:ascii="Times New Roman" w:hAnsi="Times New Roman"/>
          <w:b/>
        </w:rPr>
        <w:t>населения Волгоградской области (далее Комитет)</w:t>
      </w:r>
    </w:p>
    <w:p w:rsidR="00013903" w:rsidRPr="006843EF" w:rsidRDefault="00013903" w:rsidP="00013903">
      <w:pPr>
        <w:jc w:val="center"/>
        <w:rPr>
          <w:b/>
        </w:rPr>
      </w:pPr>
    </w:p>
    <w:p w:rsidR="00013903" w:rsidRPr="006843EF" w:rsidRDefault="00013903" w:rsidP="00013903">
      <w:pPr>
        <w:ind w:firstLine="720"/>
        <w:jc w:val="both"/>
      </w:pPr>
      <w:proofErr w:type="gramStart"/>
      <w:r w:rsidRPr="006843EF">
        <w:t xml:space="preserve">Камеральная проверка проведена в соответствии </w:t>
      </w:r>
      <w:r w:rsidRPr="006843EF">
        <w:rPr>
          <w:snapToGrid w:val="0"/>
        </w:rPr>
        <w:t>со Стандартом финансового контроля, утвержденным постановлением коллегии КСП от 30.09.2008 № 37 (далее Стандарт финансового контроля КСП)</w:t>
      </w:r>
      <w:r w:rsidRPr="006843EF">
        <w:t xml:space="preserve"> на основе бюджетной отчетности Комитета за 2016 год в составе, определенном Инструкцией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РФ от 28.12.2010 № 191н (далее Инструкция № 191н).</w:t>
      </w:r>
      <w:proofErr w:type="gramEnd"/>
    </w:p>
    <w:p w:rsidR="00013903" w:rsidRPr="006843EF" w:rsidRDefault="00013903" w:rsidP="00013903">
      <w:pPr>
        <w:ind w:firstLine="709"/>
        <w:jc w:val="both"/>
      </w:pPr>
      <w:r w:rsidRPr="006843EF">
        <w:t>Согласно Положению о Комитете, утвержденному постановлением Администрации Волгоградской области от 24.11.2014 № 33-п, Комитет является органом исполнительной власти Волгоградской области, уполномоченным в сфере государственной семейной политики, государственной политики по социальной поддержке и социальному обслуживанию пенсионеров, ветеранов, инвалидов, малоимущих граждан, граждан пожилого возраста, семей с детьми, несовершеннолетних и других категорий населения, нуждающихся в государственной социальной поддержке или помощи на территории Волгоградской области, в том числе на признание граждан нуждающимися в социальном обслуживании, а также на составление индивидуальной программы предоставления социальных услуг.</w:t>
      </w:r>
    </w:p>
    <w:p w:rsidR="000856F8" w:rsidRPr="006843EF" w:rsidRDefault="000856F8" w:rsidP="000856F8">
      <w:pPr>
        <w:tabs>
          <w:tab w:val="left" w:pos="900"/>
        </w:tabs>
        <w:ind w:firstLine="720"/>
        <w:jc w:val="both"/>
      </w:pPr>
      <w:r w:rsidRPr="006843EF">
        <w:t>Штатная численность государственных служащих Комитета утверждена Законом об областном бюджете на 2016 год в количестве 147 единиц и по сравнению с 2015 годом сократилась на 1 единицу. Штатная численность всех работников Комитета на 01.01.2016 составила 161 единица, на 01.01.2017 – 160 единиц.</w:t>
      </w:r>
    </w:p>
    <w:p w:rsidR="00B84947" w:rsidRPr="006843EF" w:rsidRDefault="00BF5F70" w:rsidP="00B84947">
      <w:pPr>
        <w:widowControl w:val="0"/>
        <w:autoSpaceDE w:val="0"/>
        <w:autoSpaceDN w:val="0"/>
        <w:adjustRightInd w:val="0"/>
        <w:ind w:firstLine="708"/>
        <w:jc w:val="both"/>
      </w:pPr>
      <w:r w:rsidRPr="006843EF">
        <w:t>На</w:t>
      </w:r>
      <w:r w:rsidR="00B84947" w:rsidRPr="006843EF">
        <w:t xml:space="preserve"> </w:t>
      </w:r>
      <w:r w:rsidRPr="006843EF">
        <w:t>01.01.</w:t>
      </w:r>
      <w:r w:rsidR="00B84947" w:rsidRPr="006843EF">
        <w:t xml:space="preserve">2016 в ведении Комитета находилось </w:t>
      </w:r>
      <w:r w:rsidRPr="006843EF">
        <w:t>134</w:t>
      </w:r>
      <w:r w:rsidR="00B84947" w:rsidRPr="006843EF">
        <w:t xml:space="preserve"> </w:t>
      </w:r>
      <w:r w:rsidR="00A50828" w:rsidRPr="006843EF">
        <w:t>государств</w:t>
      </w:r>
      <w:r w:rsidR="00B84947" w:rsidRPr="006843EF">
        <w:t xml:space="preserve">енных учреждения </w:t>
      </w:r>
      <w:r w:rsidRPr="006843EF">
        <w:t xml:space="preserve">(116 </w:t>
      </w:r>
      <w:r w:rsidR="00B84947" w:rsidRPr="006843EF">
        <w:t>казенных учреждени</w:t>
      </w:r>
      <w:r w:rsidRPr="006843EF">
        <w:t>й, 17 бюджетных учреждений, 1 автономное учреждение)</w:t>
      </w:r>
      <w:r w:rsidR="00B84947" w:rsidRPr="006843EF">
        <w:t>.</w:t>
      </w:r>
      <w:r w:rsidR="00A50828" w:rsidRPr="006843EF">
        <w:t xml:space="preserve"> </w:t>
      </w:r>
      <w:r w:rsidR="00B84947" w:rsidRPr="006843EF">
        <w:t xml:space="preserve">В </w:t>
      </w:r>
      <w:r w:rsidR="00A50828" w:rsidRPr="006843EF">
        <w:t>результате проведённой в 2016 году реорганизации учреждений на 01</w:t>
      </w:r>
      <w:r w:rsidR="00B84947" w:rsidRPr="006843EF">
        <w:t>.</w:t>
      </w:r>
      <w:r w:rsidR="00A50828" w:rsidRPr="006843EF">
        <w:t>01.2017 в ведении Комитета находится 131 государственное учреждение (107 казенных учреждений, 23  бюджетных учреждений и 1 автономное учреждение).</w:t>
      </w:r>
    </w:p>
    <w:p w:rsidR="00B84947" w:rsidRPr="006843EF" w:rsidRDefault="003A30BC" w:rsidP="00941EC5">
      <w:pPr>
        <w:tabs>
          <w:tab w:val="left" w:pos="900"/>
        </w:tabs>
        <w:ind w:firstLine="720"/>
        <w:jc w:val="both"/>
      </w:pPr>
      <w:r w:rsidRPr="006843EF">
        <w:t>Штатная численность подведомственных Комитету г</w:t>
      </w:r>
      <w:r w:rsidR="00B84947" w:rsidRPr="006843EF">
        <w:t xml:space="preserve">осударственных </w:t>
      </w:r>
      <w:r w:rsidRPr="006843EF">
        <w:t>у</w:t>
      </w:r>
      <w:r w:rsidR="00B84947" w:rsidRPr="006843EF">
        <w:t xml:space="preserve">чреждений </w:t>
      </w:r>
      <w:r w:rsidRPr="006843EF">
        <w:t>на 01.01.2016 составила 11771 единица, на 01.01.2017 – 11024,5 единицы</w:t>
      </w:r>
      <w:r w:rsidR="00B84947" w:rsidRPr="006843EF">
        <w:t>.</w:t>
      </w:r>
    </w:p>
    <w:p w:rsidR="00B84947" w:rsidRPr="006843EF" w:rsidRDefault="00B84947" w:rsidP="00013903">
      <w:pPr>
        <w:tabs>
          <w:tab w:val="left" w:pos="2505"/>
        </w:tabs>
        <w:jc w:val="center"/>
        <w:rPr>
          <w:b/>
          <w:i/>
        </w:rPr>
      </w:pPr>
    </w:p>
    <w:p w:rsidR="002F6DF1" w:rsidRPr="006843EF" w:rsidRDefault="00EB0FA9" w:rsidP="00AE635C">
      <w:pPr>
        <w:tabs>
          <w:tab w:val="left" w:pos="2505"/>
        </w:tabs>
        <w:ind w:firstLine="709"/>
        <w:jc w:val="center"/>
        <w:rPr>
          <w:b/>
          <w:i/>
        </w:rPr>
      </w:pPr>
      <w:r w:rsidRPr="006843EF">
        <w:rPr>
          <w:b/>
          <w:i/>
        </w:rPr>
        <w:t>Полнота и достоверность бюджетной отчетности</w:t>
      </w:r>
      <w:r w:rsidR="002F6DF1" w:rsidRPr="006843EF">
        <w:rPr>
          <w:b/>
          <w:i/>
        </w:rPr>
        <w:t>, её соответствие требован</w:t>
      </w:r>
      <w:r w:rsidR="002A74B1" w:rsidRPr="006843EF">
        <w:rPr>
          <w:b/>
          <w:i/>
        </w:rPr>
        <w:t>иям нормативных правовых актов</w:t>
      </w:r>
    </w:p>
    <w:p w:rsidR="00AB3F6F" w:rsidRPr="006843EF" w:rsidRDefault="00AB3F6F" w:rsidP="00BC397D">
      <w:pPr>
        <w:pStyle w:val="ac"/>
        <w:tabs>
          <w:tab w:val="left" w:pos="0"/>
          <w:tab w:val="left" w:pos="180"/>
        </w:tabs>
        <w:spacing w:after="0"/>
        <w:ind w:left="0" w:firstLine="709"/>
        <w:jc w:val="both"/>
      </w:pPr>
      <w:r w:rsidRPr="006843EF">
        <w:t xml:space="preserve">Бюджетная отчетность представлена в комитет финансов Волгоградской области (далее </w:t>
      </w:r>
      <w:proofErr w:type="spellStart"/>
      <w:r w:rsidRPr="006843EF">
        <w:t>Облфин</w:t>
      </w:r>
      <w:proofErr w:type="spellEnd"/>
      <w:r w:rsidRPr="006843EF">
        <w:t xml:space="preserve">) </w:t>
      </w:r>
      <w:r w:rsidR="00ED5ED5" w:rsidRPr="006843EF">
        <w:t>1</w:t>
      </w:r>
      <w:r w:rsidR="004548CD" w:rsidRPr="006843EF">
        <w:t>3</w:t>
      </w:r>
      <w:r w:rsidR="00ED5ED5" w:rsidRPr="006843EF">
        <w:t>.02.201</w:t>
      </w:r>
      <w:r w:rsidR="00DF4B44" w:rsidRPr="006843EF">
        <w:t>7</w:t>
      </w:r>
      <w:r w:rsidR="00013903" w:rsidRPr="006843EF">
        <w:t xml:space="preserve"> в соответствии с </w:t>
      </w:r>
      <w:r w:rsidRPr="006843EF">
        <w:t>графиком сдачи годовых отчетов за 201</w:t>
      </w:r>
      <w:r w:rsidR="00A94C14" w:rsidRPr="006843EF">
        <w:t>6</w:t>
      </w:r>
      <w:r w:rsidRPr="006843EF">
        <w:t xml:space="preserve"> год</w:t>
      </w:r>
      <w:r w:rsidR="005776A1" w:rsidRPr="006843EF">
        <w:t xml:space="preserve">, </w:t>
      </w:r>
      <w:r w:rsidR="00013903" w:rsidRPr="006843EF">
        <w:t>установленным</w:t>
      </w:r>
      <w:r w:rsidR="005776A1" w:rsidRPr="006843EF">
        <w:t xml:space="preserve"> </w:t>
      </w:r>
      <w:proofErr w:type="spellStart"/>
      <w:r w:rsidR="005776A1" w:rsidRPr="006843EF">
        <w:t>Облфин</w:t>
      </w:r>
      <w:r w:rsidR="000D3551" w:rsidRPr="006843EF">
        <w:t>ом</w:t>
      </w:r>
      <w:proofErr w:type="spellEnd"/>
      <w:r w:rsidR="00013903" w:rsidRPr="006843EF">
        <w:t>.</w:t>
      </w:r>
    </w:p>
    <w:p w:rsidR="00AE5557" w:rsidRPr="006843EF" w:rsidRDefault="00AE5557" w:rsidP="00BC397D">
      <w:pPr>
        <w:pStyle w:val="ac"/>
        <w:tabs>
          <w:tab w:val="left" w:pos="0"/>
          <w:tab w:val="left" w:pos="180"/>
        </w:tabs>
        <w:spacing w:after="0"/>
        <w:ind w:left="0" w:firstLine="709"/>
        <w:jc w:val="both"/>
      </w:pPr>
      <w:r w:rsidRPr="006843EF">
        <w:t xml:space="preserve">Бюджетная отчетность представлена в составе, определенном Инструкцией №191н, подписана соответствующими должностными лицами Комитета, при этом: </w:t>
      </w:r>
    </w:p>
    <w:p w:rsidR="003209C8" w:rsidRPr="006843EF" w:rsidRDefault="003209C8" w:rsidP="00BC397D">
      <w:pPr>
        <w:ind w:firstLine="709"/>
        <w:jc w:val="both"/>
      </w:pPr>
      <w:r w:rsidRPr="006843EF">
        <w:t>1.</w:t>
      </w:r>
      <w:r w:rsidR="00C922DC" w:rsidRPr="006843EF">
        <w:t> </w:t>
      </w:r>
      <w:proofErr w:type="gramStart"/>
      <w:r w:rsidRPr="006843EF">
        <w:t xml:space="preserve">В нарушение п. 57 Инструкции 191н в </w:t>
      </w:r>
      <w:r w:rsidR="00E00D80" w:rsidRPr="006843EF">
        <w:t xml:space="preserve">форме 0503127 «Отчет об исполнении бюджета главного распорядителя, распорядителя, получателя средств бюджета главного администратора, администратора источников финансирования дефицитов бюджета главного администратора, администратора доходов бюджета» (далее ф. 0503127) </w:t>
      </w:r>
      <w:r w:rsidR="006C12DC" w:rsidRPr="006843EF">
        <w:t xml:space="preserve">в разделе «Доходы бюджета» </w:t>
      </w:r>
      <w:r w:rsidRPr="006843EF">
        <w:t xml:space="preserve">по строке «Возврат остатков субсидий, субвенций и иных межбюджетных трансфертов, имеющих целевое назначение прошлых лет», </w:t>
      </w:r>
      <w:r w:rsidR="00447555" w:rsidRPr="006843EF">
        <w:t>в графе 9 указаны неисполненные доходы в</w:t>
      </w:r>
      <w:proofErr w:type="gramEnd"/>
      <w:r w:rsidR="00447555" w:rsidRPr="006843EF">
        <w:t xml:space="preserve"> сумме 4417,2 тыс. руб., не </w:t>
      </w:r>
      <w:proofErr w:type="gramStart"/>
      <w:r w:rsidR="00447555" w:rsidRPr="006843EF">
        <w:t>имеющие</w:t>
      </w:r>
      <w:proofErr w:type="gramEnd"/>
      <w:r w:rsidR="00447555" w:rsidRPr="006843EF">
        <w:t xml:space="preserve"> утверждённых  назначений </w:t>
      </w:r>
      <w:r w:rsidRPr="006843EF">
        <w:t>в графе 4</w:t>
      </w:r>
      <w:r w:rsidR="00447555" w:rsidRPr="006843EF">
        <w:t>.</w:t>
      </w:r>
      <w:r w:rsidR="00A464E3" w:rsidRPr="006843EF">
        <w:t xml:space="preserve"> В </w:t>
      </w:r>
      <w:r w:rsidR="00A464E3" w:rsidRPr="006843EF">
        <w:lastRenderedPageBreak/>
        <w:t xml:space="preserve">результате общая сумма неисполненных доходов необоснованно </w:t>
      </w:r>
      <w:r w:rsidR="00706558" w:rsidRPr="006843EF">
        <w:t>завыше</w:t>
      </w:r>
      <w:r w:rsidR="00A464E3" w:rsidRPr="006843EF">
        <w:t>на на 4417,2 тыс. рублей.</w:t>
      </w:r>
      <w:r w:rsidRPr="006843EF">
        <w:t xml:space="preserve"> </w:t>
      </w:r>
    </w:p>
    <w:p w:rsidR="006C12DC" w:rsidRPr="006843EF" w:rsidRDefault="00A464E3" w:rsidP="00BC397D">
      <w:pPr>
        <w:autoSpaceDE w:val="0"/>
        <w:autoSpaceDN w:val="0"/>
        <w:adjustRightInd w:val="0"/>
        <w:ind w:firstLine="709"/>
        <w:jc w:val="both"/>
      </w:pPr>
      <w:r w:rsidRPr="006843EF">
        <w:t>В</w:t>
      </w:r>
      <w:r w:rsidR="006C12DC" w:rsidRPr="006843EF">
        <w:t xml:space="preserve"> </w:t>
      </w:r>
      <w:r w:rsidR="003500EC" w:rsidRPr="006843EF">
        <w:t>граф</w:t>
      </w:r>
      <w:r w:rsidR="00A6728A" w:rsidRPr="006843EF">
        <w:t>ах</w:t>
      </w:r>
      <w:r w:rsidR="003500EC" w:rsidRPr="006843EF">
        <w:t xml:space="preserve"> 10 </w:t>
      </w:r>
      <w:r w:rsidR="00A6728A" w:rsidRPr="006843EF">
        <w:t xml:space="preserve">и 11 </w:t>
      </w:r>
      <w:r w:rsidR="006C12DC" w:rsidRPr="006843EF">
        <w:t xml:space="preserve">ф.0503127 Комитетом </w:t>
      </w:r>
      <w:r w:rsidR="00A6728A" w:rsidRPr="006843EF">
        <w:t xml:space="preserve">отражены неисполненные назначения </w:t>
      </w:r>
      <w:r w:rsidR="006C12DC" w:rsidRPr="006843EF">
        <w:t xml:space="preserve">по </w:t>
      </w:r>
      <w:proofErr w:type="spellStart"/>
      <w:r w:rsidR="006C12DC" w:rsidRPr="006843EF">
        <w:t>группировочным</w:t>
      </w:r>
      <w:proofErr w:type="spellEnd"/>
      <w:r w:rsidR="006C12DC" w:rsidRPr="006843EF">
        <w:t xml:space="preserve"> кодам классификации расходов</w:t>
      </w:r>
      <w:r w:rsidR="00A6728A" w:rsidRPr="006843EF">
        <w:t>, что</w:t>
      </w:r>
      <w:r w:rsidR="006C12DC" w:rsidRPr="006843EF">
        <w:t xml:space="preserve"> </w:t>
      </w:r>
      <w:r w:rsidR="00A6728A" w:rsidRPr="006843EF">
        <w:t>нарушает</w:t>
      </w:r>
      <w:r w:rsidR="006C12DC" w:rsidRPr="006843EF">
        <w:t xml:space="preserve"> п.57 Инструкции № 191н, согласно котор</w:t>
      </w:r>
      <w:r w:rsidR="00A6728A" w:rsidRPr="006843EF">
        <w:t>ому</w:t>
      </w:r>
      <w:r w:rsidR="006C12DC" w:rsidRPr="006843EF">
        <w:t xml:space="preserve"> </w:t>
      </w:r>
      <w:r w:rsidR="00A6728A" w:rsidRPr="006843EF">
        <w:t xml:space="preserve">неисполненные назначения </w:t>
      </w:r>
      <w:r w:rsidR="006C12DC" w:rsidRPr="006843EF">
        <w:t xml:space="preserve">по </w:t>
      </w:r>
      <w:proofErr w:type="spellStart"/>
      <w:r w:rsidR="006C12DC" w:rsidRPr="006843EF">
        <w:t>группировочным</w:t>
      </w:r>
      <w:proofErr w:type="spellEnd"/>
      <w:r w:rsidR="006C12DC" w:rsidRPr="006843EF">
        <w:t xml:space="preserve"> кодам классификации расходов</w:t>
      </w:r>
      <w:r w:rsidR="00A6728A" w:rsidRPr="006843EF">
        <w:t xml:space="preserve"> в графах 10 и 11 указываются</w:t>
      </w:r>
      <w:r w:rsidR="006C12DC" w:rsidRPr="006843EF">
        <w:t xml:space="preserve"> </w:t>
      </w:r>
      <w:proofErr w:type="gramStart"/>
      <w:r w:rsidR="006C12DC" w:rsidRPr="006843EF">
        <w:t>равным</w:t>
      </w:r>
      <w:r w:rsidR="00A6728A" w:rsidRPr="006843EF">
        <w:t>и</w:t>
      </w:r>
      <w:proofErr w:type="gramEnd"/>
      <w:r w:rsidR="006C12DC" w:rsidRPr="006843EF">
        <w:t xml:space="preserve"> нулю. </w:t>
      </w:r>
    </w:p>
    <w:p w:rsidR="009507C9" w:rsidRPr="006843EF" w:rsidRDefault="009507C9" w:rsidP="00BC397D">
      <w:pPr>
        <w:pStyle w:val="ac"/>
        <w:spacing w:after="0"/>
        <w:ind w:left="0" w:firstLine="709"/>
        <w:jc w:val="both"/>
      </w:pPr>
      <w:r w:rsidRPr="006843EF">
        <w:t xml:space="preserve">В ходе проверки Комитетом </w:t>
      </w:r>
      <w:r w:rsidR="00E81100" w:rsidRPr="006843EF">
        <w:t>нарушения устранены</w:t>
      </w:r>
      <w:r w:rsidRPr="006843EF">
        <w:t xml:space="preserve">. </w:t>
      </w:r>
    </w:p>
    <w:p w:rsidR="0022440D" w:rsidRPr="006843EF" w:rsidRDefault="0022440D" w:rsidP="00BC397D">
      <w:pPr>
        <w:pStyle w:val="ac"/>
        <w:spacing w:after="0"/>
        <w:ind w:left="0" w:firstLine="709"/>
        <w:jc w:val="both"/>
      </w:pPr>
      <w:r w:rsidRPr="006843EF">
        <w:t xml:space="preserve">Согласно пояснениям Комитета </w:t>
      </w:r>
      <w:r w:rsidR="00DA5D20" w:rsidRPr="006843EF">
        <w:t>данные несоотве</w:t>
      </w:r>
      <w:r w:rsidRPr="006843EF">
        <w:t>тс</w:t>
      </w:r>
      <w:r w:rsidR="00DA5D20" w:rsidRPr="006843EF">
        <w:t>т</w:t>
      </w:r>
      <w:r w:rsidRPr="006843EF">
        <w:t xml:space="preserve">вия Инструкции № 191н обусловлены настройками программного продукта </w:t>
      </w:r>
      <w:proofErr w:type="spellStart"/>
      <w:r w:rsidRPr="006843EF">
        <w:t>Облфина</w:t>
      </w:r>
      <w:proofErr w:type="spellEnd"/>
      <w:r w:rsidRPr="006843EF">
        <w:t xml:space="preserve"> «Барс - ВЕБ своды», в котором представляется сводная отчетность органов исполнительной власти Волгоградской области.</w:t>
      </w:r>
    </w:p>
    <w:p w:rsidR="003209C8" w:rsidRPr="006843EF" w:rsidRDefault="000C3755" w:rsidP="00BC397D">
      <w:pPr>
        <w:autoSpaceDE w:val="0"/>
        <w:autoSpaceDN w:val="0"/>
        <w:adjustRightInd w:val="0"/>
        <w:ind w:firstLine="709"/>
        <w:jc w:val="both"/>
      </w:pPr>
      <w:r w:rsidRPr="006843EF">
        <w:t>2</w:t>
      </w:r>
      <w:r w:rsidR="003209C8" w:rsidRPr="006843EF">
        <w:t>.</w:t>
      </w:r>
      <w:r w:rsidR="00C922DC" w:rsidRPr="006843EF">
        <w:t> </w:t>
      </w:r>
      <w:r w:rsidR="003209C8" w:rsidRPr="006843EF">
        <w:t>В нарушение п. 157 Инструкции № 191н в таблиц</w:t>
      </w:r>
      <w:r w:rsidR="00DF4B44" w:rsidRPr="006843EF">
        <w:t>у</w:t>
      </w:r>
      <w:r w:rsidR="003209C8" w:rsidRPr="006843EF">
        <w:t xml:space="preserve"> № 5 </w:t>
      </w:r>
      <w:r w:rsidR="00315859" w:rsidRPr="006843EF">
        <w:t xml:space="preserve">«Сведения о результатах мероприятий внутреннего государственного (муниципального) финансового контроля» </w:t>
      </w:r>
      <w:r w:rsidR="002002C6" w:rsidRPr="006843EF">
        <w:t xml:space="preserve"> </w:t>
      </w:r>
      <w:r w:rsidR="003209C8" w:rsidRPr="006843EF">
        <w:t>включена проверка</w:t>
      </w:r>
      <w:r w:rsidR="00315859" w:rsidRPr="006843EF">
        <w:t>, проведённая</w:t>
      </w:r>
      <w:r w:rsidR="003209C8" w:rsidRPr="006843EF">
        <w:t xml:space="preserve"> </w:t>
      </w:r>
      <w:proofErr w:type="spellStart"/>
      <w:r w:rsidR="00315859" w:rsidRPr="006843EF">
        <w:t>Росздравнадзором</w:t>
      </w:r>
      <w:proofErr w:type="spellEnd"/>
      <w:r w:rsidR="003209C8" w:rsidRPr="006843EF">
        <w:t xml:space="preserve"> по Волгоградской области, </w:t>
      </w:r>
      <w:r w:rsidR="00315859" w:rsidRPr="006843EF">
        <w:t>не являющимся органом государственного (муниципального) финансового контроля</w:t>
      </w:r>
      <w:r w:rsidR="003209C8" w:rsidRPr="006843EF">
        <w:t>.</w:t>
      </w:r>
    </w:p>
    <w:p w:rsidR="00D91855" w:rsidRPr="006843EF" w:rsidRDefault="00D91855" w:rsidP="00BC397D">
      <w:pPr>
        <w:autoSpaceDE w:val="0"/>
        <w:autoSpaceDN w:val="0"/>
        <w:adjustRightInd w:val="0"/>
        <w:ind w:firstLine="709"/>
        <w:jc w:val="both"/>
      </w:pPr>
      <w:r w:rsidRPr="006843EF">
        <w:t xml:space="preserve">В ходе проверки </w:t>
      </w:r>
      <w:r w:rsidR="00E81100" w:rsidRPr="006843EF">
        <w:t>нарушение устранено</w:t>
      </w:r>
      <w:r w:rsidR="00F603D4" w:rsidRPr="006843EF">
        <w:t>.</w:t>
      </w:r>
    </w:p>
    <w:p w:rsidR="003209C8" w:rsidRPr="006843EF" w:rsidRDefault="000C3755" w:rsidP="00E81100">
      <w:pPr>
        <w:autoSpaceDE w:val="0"/>
        <w:autoSpaceDN w:val="0"/>
        <w:adjustRightInd w:val="0"/>
        <w:ind w:firstLine="709"/>
        <w:jc w:val="both"/>
      </w:pPr>
      <w:r w:rsidRPr="006843EF">
        <w:t>3</w:t>
      </w:r>
      <w:r w:rsidR="003209C8" w:rsidRPr="006843EF">
        <w:t>.</w:t>
      </w:r>
      <w:r w:rsidR="00C922DC" w:rsidRPr="006843EF">
        <w:t> </w:t>
      </w:r>
      <w:r w:rsidR="003209C8" w:rsidRPr="006843EF">
        <w:t>В нарушение п. 159 Инструкции № 191н в таблиц</w:t>
      </w:r>
      <w:r w:rsidR="00C04FAA" w:rsidRPr="006843EF">
        <w:t>е</w:t>
      </w:r>
      <w:r w:rsidR="003209C8" w:rsidRPr="006843EF">
        <w:t xml:space="preserve"> № 7 </w:t>
      </w:r>
      <w:r w:rsidR="00C04FAA" w:rsidRPr="006843EF">
        <w:t xml:space="preserve">«Сведения о результатах внешнего государственного (муниципального) финансового контроля» </w:t>
      </w:r>
      <w:r w:rsidR="003209C8" w:rsidRPr="006843EF">
        <w:t>отсутствует информация о проверке Комитета по вопросу его обеспечения государственным казенным учреждением Волгоградской области «Дирекция по материально-техническому и хозяйственному обеспечению администрации Волгоградской области» канцелярскими товарами, их наличия и использования, проведенной КСП 26.05.2016.</w:t>
      </w:r>
    </w:p>
    <w:p w:rsidR="00D91855" w:rsidRPr="006843EF" w:rsidRDefault="00D91855" w:rsidP="00E81100">
      <w:pPr>
        <w:autoSpaceDE w:val="0"/>
        <w:autoSpaceDN w:val="0"/>
        <w:adjustRightInd w:val="0"/>
        <w:ind w:firstLine="709"/>
        <w:jc w:val="both"/>
      </w:pPr>
      <w:r w:rsidRPr="006843EF">
        <w:t xml:space="preserve">В ходе проверки </w:t>
      </w:r>
      <w:r w:rsidR="00E81100" w:rsidRPr="006843EF">
        <w:t>нарушение устранено</w:t>
      </w:r>
      <w:r w:rsidRPr="006843EF">
        <w:t>.</w:t>
      </w:r>
    </w:p>
    <w:p w:rsidR="003209C8" w:rsidRPr="006843EF" w:rsidRDefault="000C3755" w:rsidP="00AE635C">
      <w:pPr>
        <w:autoSpaceDE w:val="0"/>
        <w:autoSpaceDN w:val="0"/>
        <w:adjustRightInd w:val="0"/>
        <w:ind w:firstLine="709"/>
        <w:jc w:val="both"/>
      </w:pPr>
      <w:r w:rsidRPr="006843EF">
        <w:t>4</w:t>
      </w:r>
      <w:r w:rsidR="004E65E3" w:rsidRPr="006843EF">
        <w:t>.</w:t>
      </w:r>
      <w:r w:rsidR="00AD6983" w:rsidRPr="006843EF">
        <w:t> </w:t>
      </w:r>
      <w:proofErr w:type="gramStart"/>
      <w:r w:rsidR="003209C8" w:rsidRPr="006843EF">
        <w:t xml:space="preserve">В нарушение п. 162 Инструкции № 191н </w:t>
      </w:r>
      <w:r w:rsidR="00F603D4" w:rsidRPr="006843EF">
        <w:t>в</w:t>
      </w:r>
      <w:r w:rsidR="003209C8" w:rsidRPr="006843EF">
        <w:t xml:space="preserve"> </w:t>
      </w:r>
      <w:r w:rsidR="00E00D80" w:rsidRPr="006843EF">
        <w:t>форм</w:t>
      </w:r>
      <w:r w:rsidR="00AD6983" w:rsidRPr="006843EF">
        <w:t>е</w:t>
      </w:r>
      <w:r w:rsidR="00E00D80" w:rsidRPr="006843EF">
        <w:t xml:space="preserve"> 0503163 «Сведения об изменениях бюджетной росписи главного распорядителя бюджетных средств, главного администратора источников финансирования дефицита бюджета» (далее ф. 0503163) </w:t>
      </w:r>
      <w:r w:rsidR="003209C8" w:rsidRPr="006843EF">
        <w:t xml:space="preserve">указаны объемы бюджетных назначений в окончательной редакции Закона </w:t>
      </w:r>
      <w:r w:rsidR="00DF4B44" w:rsidRPr="006843EF">
        <w:t>Волгоградской области от 07.12.2015 № 206-ОД «Об областном бюджете на 2016 год и на плановый период 2017 и 2018 годов» (далее Закон о бюджете)</w:t>
      </w:r>
      <w:r w:rsidR="00F603D4" w:rsidRPr="006843EF">
        <w:t>, а не</w:t>
      </w:r>
      <w:proofErr w:type="gramEnd"/>
      <w:r w:rsidR="00F603D4" w:rsidRPr="006843EF">
        <w:t xml:space="preserve"> в первоначальной</w:t>
      </w:r>
      <w:r w:rsidR="003209C8" w:rsidRPr="006843EF">
        <w:t>.</w:t>
      </w:r>
    </w:p>
    <w:p w:rsidR="003209C8" w:rsidRPr="006843EF" w:rsidRDefault="003209C8" w:rsidP="00AE635C">
      <w:pPr>
        <w:autoSpaceDE w:val="0"/>
        <w:autoSpaceDN w:val="0"/>
        <w:adjustRightInd w:val="0"/>
        <w:ind w:firstLine="709"/>
        <w:jc w:val="both"/>
      </w:pPr>
      <w:r w:rsidRPr="006843EF">
        <w:t xml:space="preserve">В ходе проверки </w:t>
      </w:r>
      <w:r w:rsidR="00AD6983" w:rsidRPr="006843EF">
        <w:t>нарушение устранено</w:t>
      </w:r>
      <w:r w:rsidR="00F603D4" w:rsidRPr="006843EF">
        <w:t>.</w:t>
      </w:r>
    </w:p>
    <w:p w:rsidR="003610B8" w:rsidRPr="006843EF" w:rsidRDefault="000C3755" w:rsidP="00E00D80">
      <w:pPr>
        <w:autoSpaceDE w:val="0"/>
        <w:autoSpaceDN w:val="0"/>
        <w:adjustRightInd w:val="0"/>
        <w:ind w:firstLine="709"/>
        <w:jc w:val="both"/>
      </w:pPr>
      <w:r w:rsidRPr="006843EF">
        <w:t>5</w:t>
      </w:r>
      <w:r w:rsidR="00AF0ED1" w:rsidRPr="006843EF">
        <w:t xml:space="preserve">. </w:t>
      </w:r>
      <w:r w:rsidR="003610B8" w:rsidRPr="006843EF">
        <w:t>К п</w:t>
      </w:r>
      <w:r w:rsidR="00E00D80" w:rsidRPr="006843EF">
        <w:t xml:space="preserve">роверке представлена </w:t>
      </w:r>
      <w:r w:rsidR="002002C6" w:rsidRPr="006843EF">
        <w:t>форма 0503166 «Сведения об исполнении мероприятий в рамках целевых программ» (далее ф. 0503166)</w:t>
      </w:r>
      <w:r w:rsidR="00E00D80" w:rsidRPr="006843EF">
        <w:t xml:space="preserve">, </w:t>
      </w:r>
      <w:r w:rsidR="00AD6983" w:rsidRPr="006843EF">
        <w:t xml:space="preserve">содержащая данные о государственных программах Волгоградской области, что нарушает </w:t>
      </w:r>
      <w:r w:rsidR="00676035" w:rsidRPr="006843EF">
        <w:t xml:space="preserve">п.164 Инструкции № 191н, согласно </w:t>
      </w:r>
      <w:proofErr w:type="gramStart"/>
      <w:r w:rsidR="00676035" w:rsidRPr="006843EF">
        <w:t>которому</w:t>
      </w:r>
      <w:proofErr w:type="gramEnd"/>
      <w:r w:rsidR="00AD6983" w:rsidRPr="006843EF">
        <w:t xml:space="preserve"> </w:t>
      </w:r>
      <w:r w:rsidR="00676035" w:rsidRPr="006843EF">
        <w:t>эта форма должна содержать данные о федеральных целевых программах и составляться получател</w:t>
      </w:r>
      <w:r w:rsidR="000660EE" w:rsidRPr="006843EF">
        <w:t>ем средств федерального бюджета</w:t>
      </w:r>
      <w:r w:rsidR="003610B8" w:rsidRPr="006843EF">
        <w:t xml:space="preserve">. </w:t>
      </w:r>
    </w:p>
    <w:p w:rsidR="00EC03A0" w:rsidRPr="006843EF" w:rsidRDefault="000C3755" w:rsidP="00EC03A0">
      <w:pPr>
        <w:ind w:firstLine="709"/>
        <w:jc w:val="both"/>
      </w:pPr>
      <w:bookmarkStart w:id="0" w:name="sub_116711"/>
      <w:r w:rsidRPr="006843EF">
        <w:t>6</w:t>
      </w:r>
      <w:r w:rsidR="004A3C7D" w:rsidRPr="006843EF">
        <w:t xml:space="preserve">. </w:t>
      </w:r>
      <w:proofErr w:type="gramStart"/>
      <w:r w:rsidR="00EC03A0" w:rsidRPr="006843EF">
        <w:t>В соответствии с п. 1 ст. 78.1 Б</w:t>
      </w:r>
      <w:r w:rsidR="00233622" w:rsidRPr="006843EF">
        <w:t>юджетного кодекса</w:t>
      </w:r>
      <w:r w:rsidR="00EC03A0" w:rsidRPr="006843EF">
        <w:t xml:space="preserve"> РФ </w:t>
      </w:r>
      <w:r w:rsidR="00233622" w:rsidRPr="006843EF">
        <w:t xml:space="preserve">(далее БК РФ) </w:t>
      </w:r>
      <w:r w:rsidR="00EC03A0" w:rsidRPr="006843EF">
        <w:t>в бюджетах бюджетной системы РФ предусматриваются субсидии бюджетным и автономным учреждениям на финансовое обеспечение выполнения ими государственного (муниципального) задания, рассчитанные с учетом нормативных затрат на оказание ими государственных (муниципальных) услуг физическим и (или) юридическим лицам и нормативных затрат на содержание государственного (муниципального) имущества.</w:t>
      </w:r>
      <w:proofErr w:type="gramEnd"/>
    </w:p>
    <w:p w:rsidR="00EC03A0" w:rsidRPr="006843EF" w:rsidRDefault="00EC03A0" w:rsidP="00EC03A0">
      <w:pPr>
        <w:ind w:firstLine="709"/>
        <w:jc w:val="both"/>
      </w:pPr>
      <w:r w:rsidRPr="006843EF">
        <w:t xml:space="preserve">Согласно п. 3 ст. 69.2 БК РФ государственное задание на оказание государственных услуг (выполнение работ) учреждениями субъекта </w:t>
      </w:r>
      <w:r w:rsidR="00F603D4" w:rsidRPr="006843EF">
        <w:t>РФ</w:t>
      </w:r>
      <w:r w:rsidRPr="006843EF">
        <w:t xml:space="preserve"> формируется в порядке, установленном высшим исполнительным органом государственной власти субъекта </w:t>
      </w:r>
      <w:r w:rsidR="00F603D4" w:rsidRPr="006843EF">
        <w:t>РФ</w:t>
      </w:r>
      <w:r w:rsidRPr="006843EF">
        <w:t>.</w:t>
      </w:r>
    </w:p>
    <w:p w:rsidR="00A25266" w:rsidRPr="006843EF" w:rsidRDefault="00A25266" w:rsidP="00EC03A0">
      <w:pPr>
        <w:ind w:firstLine="709"/>
        <w:jc w:val="both"/>
      </w:pPr>
      <w:r w:rsidRPr="006843EF">
        <w:t>Данный порядок утвержден постановлением Администрация Волгоградской области от 30.12.2015 № 818-п «Об утверждении положения о формировании государственного задания на оказание государственных услуг (выполнение работ) в отношении государственных учреждений Волгоградской области и финансовом обеспечении выполнения государственного задания» (далее Положение № 818-п).</w:t>
      </w:r>
    </w:p>
    <w:p w:rsidR="00A25266" w:rsidRPr="006843EF" w:rsidRDefault="00EC03A0" w:rsidP="00A25266">
      <w:pPr>
        <w:ind w:firstLine="709"/>
        <w:jc w:val="both"/>
        <w:rPr>
          <w:u w:val="single"/>
        </w:rPr>
      </w:pPr>
      <w:r w:rsidRPr="006843EF">
        <w:t>Пунктом 37 П</w:t>
      </w:r>
      <w:r w:rsidR="00A25266" w:rsidRPr="006843EF">
        <w:t>оложения</w:t>
      </w:r>
      <w:r w:rsidRPr="006843EF">
        <w:t xml:space="preserve"> № 818-п предусмотрено, что </w:t>
      </w:r>
      <w:r w:rsidR="00A25266" w:rsidRPr="006843EF">
        <w:t xml:space="preserve">предоставление государственному бюджетному или автономному учреждению субсидии в течение финансового года осуществляется на основании </w:t>
      </w:r>
      <w:r w:rsidR="00A25266" w:rsidRPr="006843EF">
        <w:rPr>
          <w:u w:val="single"/>
        </w:rPr>
        <w:t>соглашения</w:t>
      </w:r>
      <w:r w:rsidR="00A25266" w:rsidRPr="006843EF">
        <w:t xml:space="preserve"> о порядке и условиях предоставления субсидии, заключаемого органом, осуществляющим функции и полномочия учредителя в отношении государственного бюджетного или автономного учреждения, с государственным бюджетным или автономным учреждением. Соглашение определяет права, </w:t>
      </w:r>
      <w:r w:rsidR="00A25266" w:rsidRPr="006843EF">
        <w:lastRenderedPageBreak/>
        <w:t xml:space="preserve">обязанности и ответственность сторон, в том числе </w:t>
      </w:r>
      <w:r w:rsidR="00A25266" w:rsidRPr="006843EF">
        <w:rPr>
          <w:u w:val="single"/>
        </w:rPr>
        <w:t xml:space="preserve">объем </w:t>
      </w:r>
      <w:r w:rsidR="00A25266" w:rsidRPr="006843EF">
        <w:t>и периодичность перечисления субсидии в течение финансового года.</w:t>
      </w:r>
    </w:p>
    <w:p w:rsidR="00A25266" w:rsidRPr="006843EF" w:rsidRDefault="00A25266" w:rsidP="00A25266">
      <w:pPr>
        <w:autoSpaceDE w:val="0"/>
        <w:autoSpaceDN w:val="0"/>
        <w:adjustRightInd w:val="0"/>
        <w:ind w:firstLine="709"/>
        <w:jc w:val="both"/>
      </w:pPr>
      <w:proofErr w:type="gramStart"/>
      <w:r w:rsidRPr="006843EF">
        <w:t xml:space="preserve">Выборочной проверкой соглашений о порядке и условиях предоставления субсидии на финансовое обеспечение выполнения государственного задания на оказание услуг (выполнение работ) на 2017 годы, заключенных Комитетом с подведомственными бюджетными и автономным учреждениями </w:t>
      </w:r>
      <w:r w:rsidR="00137EAF" w:rsidRPr="006843EF">
        <w:t>30.12.</w:t>
      </w:r>
      <w:r w:rsidR="00833DB2" w:rsidRPr="006843EF">
        <w:t xml:space="preserve">2016, </w:t>
      </w:r>
      <w:r w:rsidRPr="006843EF">
        <w:t>установлено, что в соглашениях</w:t>
      </w:r>
      <w:r w:rsidR="004D4187" w:rsidRPr="006843EF">
        <w:t xml:space="preserve"> с 5 </w:t>
      </w:r>
      <w:r w:rsidR="00266AED" w:rsidRPr="006843EF">
        <w:t xml:space="preserve">проверенными </w:t>
      </w:r>
      <w:r w:rsidR="004D4187" w:rsidRPr="006843EF">
        <w:t>учреждениями</w:t>
      </w:r>
      <w:r w:rsidR="00833DB2" w:rsidRPr="006843EF">
        <w:t xml:space="preserve"> </w:t>
      </w:r>
      <w:r w:rsidRPr="006843EF">
        <w:t>объ</w:t>
      </w:r>
      <w:r w:rsidR="007B28C0" w:rsidRPr="006843EF">
        <w:t>ё</w:t>
      </w:r>
      <w:r w:rsidRPr="006843EF">
        <w:t>м предоставляемой учреждению субсидии</w:t>
      </w:r>
      <w:r w:rsidR="007B28C0" w:rsidRPr="006843EF">
        <w:t xml:space="preserve"> не указан</w:t>
      </w:r>
      <w:r w:rsidRPr="006843EF">
        <w:t xml:space="preserve">, </w:t>
      </w:r>
      <w:r w:rsidR="00463A12" w:rsidRPr="006843EF">
        <w:t xml:space="preserve">а присутствует </w:t>
      </w:r>
      <w:r w:rsidR="007B28C0" w:rsidRPr="006843EF">
        <w:t>отсылочная норма на то, что «Учредитель обязуется определять размер субсидии с учетом</w:t>
      </w:r>
      <w:proofErr w:type="gramEnd"/>
      <w:r w:rsidR="007B28C0" w:rsidRPr="006843EF">
        <w:t xml:space="preserve"> нормативных затрат…. в соответствии с порядком определ</w:t>
      </w:r>
      <w:r w:rsidR="001F2420" w:rsidRPr="006843EF">
        <w:t>е</w:t>
      </w:r>
      <w:r w:rsidR="007B28C0" w:rsidRPr="006843EF">
        <w:t xml:space="preserve">ния нормативных затрат…», </w:t>
      </w:r>
      <w:r w:rsidRPr="006843EF">
        <w:t xml:space="preserve">что </w:t>
      </w:r>
      <w:r w:rsidR="007B28C0" w:rsidRPr="006843EF">
        <w:t xml:space="preserve">по мнению КСП не отвечает </w:t>
      </w:r>
      <w:r w:rsidRPr="006843EF">
        <w:t>Положени</w:t>
      </w:r>
      <w:r w:rsidR="00CC70B9" w:rsidRPr="006843EF">
        <w:t>ю</w:t>
      </w:r>
      <w:r w:rsidRPr="006843EF">
        <w:t xml:space="preserve"> № 818-п.</w:t>
      </w:r>
    </w:p>
    <w:p w:rsidR="000E0A80" w:rsidRPr="006843EF" w:rsidRDefault="0026318C" w:rsidP="00A25266">
      <w:pPr>
        <w:autoSpaceDE w:val="0"/>
        <w:autoSpaceDN w:val="0"/>
        <w:adjustRightInd w:val="0"/>
        <w:ind w:firstLine="709"/>
        <w:jc w:val="both"/>
      </w:pPr>
      <w:proofErr w:type="gramStart"/>
      <w:r w:rsidRPr="006843EF">
        <w:t>С</w:t>
      </w:r>
      <w:r w:rsidR="00B0086A" w:rsidRPr="006843EF">
        <w:t xml:space="preserve">огласно </w:t>
      </w:r>
      <w:r w:rsidR="00CC70B9" w:rsidRPr="006843EF">
        <w:t xml:space="preserve">п. 92-94 Инструкции по применению </w:t>
      </w:r>
      <w:r w:rsidR="008C6731" w:rsidRPr="006843EF">
        <w:t xml:space="preserve">Плана </w:t>
      </w:r>
      <w:r w:rsidR="00CC70B9" w:rsidRPr="006843EF">
        <w:t>счетов бухгалтерского учета бюджетных учреждений</w:t>
      </w:r>
      <w:r w:rsidR="00B0086A" w:rsidRPr="006843EF">
        <w:t>,</w:t>
      </w:r>
      <w:r w:rsidR="00CC70B9" w:rsidRPr="006843EF">
        <w:t xml:space="preserve"> утвержденной приказом Минфина России от 16.12.2010 № 174н, и п. 95-97 </w:t>
      </w:r>
      <w:r w:rsidR="008C6731" w:rsidRPr="006843EF">
        <w:t xml:space="preserve">Инструкции по применению Плана счетов бухгалтерского учета автономных учреждений, утвержденной приказом Минфина России от 23.12.2010 № 183н, </w:t>
      </w:r>
      <w:r w:rsidR="00B0086A" w:rsidRPr="006843EF">
        <w:t xml:space="preserve">в случае, когда </w:t>
      </w:r>
      <w:r w:rsidR="000E0A80" w:rsidRPr="006843EF">
        <w:t xml:space="preserve">соглашение о предоставлении субсидии </w:t>
      </w:r>
      <w:r w:rsidR="00B0086A" w:rsidRPr="006843EF">
        <w:t xml:space="preserve">на очередной финансовый год </w:t>
      </w:r>
      <w:r w:rsidR="000E0A80" w:rsidRPr="006843EF">
        <w:t>заключено в предыдущем году, то вне зависимости от факта перечисления субсидии</w:t>
      </w:r>
      <w:proofErr w:type="gramEnd"/>
      <w:r w:rsidR="000E0A80" w:rsidRPr="006843EF">
        <w:t xml:space="preserve"> на выполнение государственного задания, объем </w:t>
      </w:r>
      <w:r w:rsidR="00B0086A" w:rsidRPr="006843EF">
        <w:t xml:space="preserve">подлежащей </w:t>
      </w:r>
      <w:r w:rsidR="000E0A80" w:rsidRPr="006843EF">
        <w:t>предоставлен</w:t>
      </w:r>
      <w:r w:rsidR="00B0086A" w:rsidRPr="006843EF">
        <w:t>ию</w:t>
      </w:r>
      <w:r w:rsidR="000E0A80" w:rsidRPr="006843EF">
        <w:t xml:space="preserve"> субсидии признается доходом </w:t>
      </w:r>
      <w:r w:rsidR="00CC70B9" w:rsidRPr="006843EF">
        <w:t>будущих</w:t>
      </w:r>
      <w:r w:rsidR="000E0A80" w:rsidRPr="006843EF">
        <w:t xml:space="preserve"> периодов и отражается на счете 401</w:t>
      </w:r>
      <w:r w:rsidR="00AD2BCE" w:rsidRPr="006843EF">
        <w:t>40</w:t>
      </w:r>
      <w:r w:rsidR="000E0A80" w:rsidRPr="006843EF">
        <w:t>130 «Доходы будущих периодов».</w:t>
      </w:r>
    </w:p>
    <w:p w:rsidR="00CC70B9" w:rsidRPr="006843EF" w:rsidRDefault="00CC70B9" w:rsidP="00822AC6">
      <w:pPr>
        <w:autoSpaceDE w:val="0"/>
        <w:autoSpaceDN w:val="0"/>
        <w:adjustRightInd w:val="0"/>
        <w:ind w:firstLine="709"/>
        <w:jc w:val="both"/>
      </w:pPr>
      <w:r w:rsidRPr="006843EF">
        <w:t>В результате отсутствия в соглашениях</w:t>
      </w:r>
      <w:r w:rsidR="00C974B6" w:rsidRPr="006843EF">
        <w:t xml:space="preserve"> от 30.12.2016</w:t>
      </w:r>
      <w:r w:rsidRPr="006843EF">
        <w:t xml:space="preserve"> о предоставлении субсидии на финансовое обеспечение выполнения государственного задания на 2017 годы </w:t>
      </w:r>
      <w:r w:rsidRPr="006843EF">
        <w:rPr>
          <w:u w:val="single"/>
        </w:rPr>
        <w:t>объема</w:t>
      </w:r>
      <w:r w:rsidRPr="006843EF">
        <w:t xml:space="preserve"> субсидии доходы будущих периодов не отражены бюджетными и автономными учреждениями по счетам бухгалтерского учета и соответственно в бюджетной отчетности.</w:t>
      </w:r>
    </w:p>
    <w:bookmarkEnd w:id="0"/>
    <w:p w:rsidR="006C49AC" w:rsidRPr="006843EF" w:rsidRDefault="006C49AC" w:rsidP="00AE635C">
      <w:pPr>
        <w:ind w:firstLine="709"/>
        <w:jc w:val="both"/>
      </w:pPr>
    </w:p>
    <w:p w:rsidR="004E65E3" w:rsidRPr="006843EF" w:rsidRDefault="002A74B1" w:rsidP="002A74B1">
      <w:pPr>
        <w:ind w:firstLine="709"/>
        <w:jc w:val="center"/>
        <w:rPr>
          <w:b/>
          <w:i/>
        </w:rPr>
      </w:pPr>
      <w:r w:rsidRPr="006843EF">
        <w:rPr>
          <w:b/>
          <w:i/>
        </w:rPr>
        <w:t>О</w:t>
      </w:r>
      <w:r w:rsidR="004E65E3" w:rsidRPr="006843EF">
        <w:rPr>
          <w:b/>
          <w:i/>
        </w:rPr>
        <w:t>сновны</w:t>
      </w:r>
      <w:r w:rsidRPr="006843EF">
        <w:rPr>
          <w:b/>
          <w:i/>
        </w:rPr>
        <w:t>е</w:t>
      </w:r>
      <w:r w:rsidR="004E65E3" w:rsidRPr="006843EF">
        <w:rPr>
          <w:b/>
          <w:i/>
        </w:rPr>
        <w:t xml:space="preserve"> показател</w:t>
      </w:r>
      <w:r w:rsidRPr="006843EF">
        <w:rPr>
          <w:b/>
          <w:i/>
        </w:rPr>
        <w:t>и</w:t>
      </w:r>
      <w:r w:rsidR="004E65E3" w:rsidRPr="006843EF">
        <w:rPr>
          <w:b/>
          <w:i/>
        </w:rPr>
        <w:t xml:space="preserve"> отчетности</w:t>
      </w:r>
    </w:p>
    <w:p w:rsidR="004E65E3" w:rsidRPr="006843EF" w:rsidRDefault="004E65E3" w:rsidP="00AE635C">
      <w:pPr>
        <w:ind w:firstLine="709"/>
        <w:jc w:val="both"/>
        <w:rPr>
          <w:i/>
          <w:u w:val="single"/>
        </w:rPr>
      </w:pPr>
      <w:r w:rsidRPr="006843EF">
        <w:rPr>
          <w:i/>
          <w:u w:val="single"/>
        </w:rPr>
        <w:t>Исполнение доходов</w:t>
      </w:r>
    </w:p>
    <w:p w:rsidR="006D1793" w:rsidRPr="006843EF" w:rsidRDefault="006D1793" w:rsidP="006D1793">
      <w:pPr>
        <w:ind w:firstLine="709"/>
        <w:jc w:val="both"/>
      </w:pPr>
      <w:r w:rsidRPr="006843EF">
        <w:t xml:space="preserve">Сравнительный анализ плановых и фактических показателей исполнения доходов областного бюджета за 2016 год приведен в </w:t>
      </w:r>
      <w:r w:rsidRPr="006843EF">
        <w:rPr>
          <w:color w:val="0000FF"/>
        </w:rPr>
        <w:t>Приложении № 1.</w:t>
      </w:r>
    </w:p>
    <w:p w:rsidR="00BE4DD2" w:rsidRPr="006843EF" w:rsidRDefault="00FD54F0" w:rsidP="00BE4DD2">
      <w:pPr>
        <w:autoSpaceDE w:val="0"/>
        <w:autoSpaceDN w:val="0"/>
        <w:adjustRightInd w:val="0"/>
        <w:ind w:firstLine="709"/>
        <w:jc w:val="both"/>
        <w:outlineLvl w:val="2"/>
      </w:pPr>
      <w:r w:rsidRPr="006843EF">
        <w:t>Д</w:t>
      </w:r>
      <w:r w:rsidR="00BE4DD2" w:rsidRPr="006843EF">
        <w:t>оход</w:t>
      </w:r>
      <w:r w:rsidRPr="006843EF">
        <w:t>ы Комитета</w:t>
      </w:r>
      <w:r w:rsidR="00BE4DD2" w:rsidRPr="006843EF">
        <w:t xml:space="preserve"> за 2016 год по отношению к прогнозному показателю не</w:t>
      </w:r>
      <w:r w:rsidRPr="006843EF">
        <w:t xml:space="preserve"> ис</w:t>
      </w:r>
      <w:r w:rsidR="00BE4DD2" w:rsidRPr="006843EF">
        <w:t>полнен</w:t>
      </w:r>
      <w:r w:rsidRPr="006843EF">
        <w:t>ы</w:t>
      </w:r>
      <w:r w:rsidR="00BE4DD2" w:rsidRPr="006843EF">
        <w:t xml:space="preserve"> на 2,1</w:t>
      </w:r>
      <w:r w:rsidRPr="006843EF">
        <w:t xml:space="preserve"> процента</w:t>
      </w:r>
      <w:r w:rsidR="00BE4DD2" w:rsidRPr="006843EF">
        <w:t>.</w:t>
      </w:r>
    </w:p>
    <w:p w:rsidR="004E65E3" w:rsidRPr="006843EF" w:rsidRDefault="004E65E3" w:rsidP="00AE635C">
      <w:pPr>
        <w:autoSpaceDE w:val="0"/>
        <w:autoSpaceDN w:val="0"/>
        <w:adjustRightInd w:val="0"/>
        <w:ind w:firstLine="709"/>
        <w:jc w:val="both"/>
        <w:outlineLvl w:val="2"/>
      </w:pPr>
      <w:r w:rsidRPr="006843EF">
        <w:t>Вместе с тем, по отдельным доходам отклонение от прогнозных поступлений превышает 10% как в положительную, так и в отрицательную сторону</w:t>
      </w:r>
      <w:r w:rsidR="00FD54F0" w:rsidRPr="006843EF">
        <w:t>, что</w:t>
      </w:r>
      <w:r w:rsidRPr="006843EF">
        <w:t xml:space="preserve"> </w:t>
      </w:r>
      <w:r w:rsidR="00FD54F0" w:rsidRPr="006843EF">
        <w:t xml:space="preserve">в соответствии со Стандартом финансового контроля КСП </w:t>
      </w:r>
      <w:r w:rsidRPr="006843EF">
        <w:t>расценивается как некачественное планирование, в том числе:</w:t>
      </w:r>
    </w:p>
    <w:p w:rsidR="004E65E3" w:rsidRPr="006843EF" w:rsidRDefault="004E65E3" w:rsidP="00AE635C">
      <w:pPr>
        <w:autoSpaceDE w:val="0"/>
        <w:autoSpaceDN w:val="0"/>
        <w:adjustRightInd w:val="0"/>
        <w:ind w:firstLine="709"/>
        <w:jc w:val="both"/>
        <w:outlineLvl w:val="2"/>
      </w:pPr>
      <w:r w:rsidRPr="006843EF">
        <w:t>- «Доходы от компенсации затрат государства» не выполнены на 35,8% по причине уменьшения поступлений в доход бюджета от возвратов социальных выплат в результате смерти получателей, выбытия на другое место жительства, в</w:t>
      </w:r>
      <w:r w:rsidR="006A4468" w:rsidRPr="006843EF">
        <w:t>озврата излишне уплаченных сумм</w:t>
      </w:r>
      <w:r w:rsidRPr="006843EF">
        <w:t>;</w:t>
      </w:r>
    </w:p>
    <w:p w:rsidR="004E65E3" w:rsidRPr="006843EF" w:rsidRDefault="004E65E3" w:rsidP="00AE635C">
      <w:pPr>
        <w:autoSpaceDE w:val="0"/>
        <w:autoSpaceDN w:val="0"/>
        <w:adjustRightInd w:val="0"/>
        <w:ind w:firstLine="709"/>
        <w:jc w:val="both"/>
        <w:outlineLvl w:val="2"/>
      </w:pPr>
      <w:r w:rsidRPr="006843EF">
        <w:t xml:space="preserve">- «Доходы от продажи материальных и нематериальных активов» перевыполнены на 21,7% по причине увеличения поступлений от реализации подведомственными Комитету учреждениями макулатуры и металлолома; </w:t>
      </w:r>
    </w:p>
    <w:p w:rsidR="004E65E3" w:rsidRPr="006843EF" w:rsidRDefault="004E65E3" w:rsidP="00AE635C">
      <w:pPr>
        <w:autoSpaceDE w:val="0"/>
        <w:autoSpaceDN w:val="0"/>
        <w:adjustRightInd w:val="0"/>
        <w:ind w:firstLine="709"/>
        <w:jc w:val="both"/>
        <w:outlineLvl w:val="2"/>
      </w:pPr>
      <w:r w:rsidRPr="006843EF">
        <w:t>- «Штрафы, санкции, возмещение ущерба» перевыполнены на 53,2% по причине роста поступлений от денежных взысканий, налагаемых в возмещение ущерба, причиненного в результате незаконного или нецелевого использования бюджетных средств;</w:t>
      </w:r>
    </w:p>
    <w:p w:rsidR="004E65E3" w:rsidRPr="006843EF" w:rsidRDefault="004E65E3" w:rsidP="00AE635C">
      <w:pPr>
        <w:autoSpaceDE w:val="0"/>
        <w:autoSpaceDN w:val="0"/>
        <w:adjustRightInd w:val="0"/>
        <w:ind w:firstLine="709"/>
        <w:jc w:val="both"/>
        <w:outlineLvl w:val="2"/>
      </w:pPr>
      <w:r w:rsidRPr="006843EF">
        <w:t>- «Субвенции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средств» не выполнены на 17,1% по причине уменьшения количества обратившихся за получением в 2016 году выплаты, носящей заявительный характер;</w:t>
      </w:r>
    </w:p>
    <w:p w:rsidR="004E65E3" w:rsidRPr="006843EF" w:rsidRDefault="004E65E3" w:rsidP="00AE635C">
      <w:pPr>
        <w:autoSpaceDE w:val="0"/>
        <w:autoSpaceDN w:val="0"/>
        <w:adjustRightInd w:val="0"/>
        <w:ind w:firstLine="709"/>
        <w:jc w:val="both"/>
        <w:outlineLvl w:val="2"/>
      </w:pPr>
      <w:r w:rsidRPr="006843EF">
        <w:t>- «Субвенции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призыву» не выполнены на 13,7% по причине уменьшения количества обратившихся за получением в 2016 году выплат, носящих заявительный характер</w:t>
      </w:r>
      <w:r w:rsidR="00B87222" w:rsidRPr="006843EF">
        <w:t>.</w:t>
      </w:r>
    </w:p>
    <w:p w:rsidR="004E65E3" w:rsidRPr="006843EF" w:rsidRDefault="004E65E3" w:rsidP="00AE635C">
      <w:pPr>
        <w:autoSpaceDE w:val="0"/>
        <w:autoSpaceDN w:val="0"/>
        <w:adjustRightInd w:val="0"/>
        <w:ind w:firstLine="709"/>
        <w:jc w:val="both"/>
      </w:pPr>
      <w:r w:rsidRPr="006843EF">
        <w:t xml:space="preserve">Согласно </w:t>
      </w:r>
      <w:r w:rsidR="00846C2F" w:rsidRPr="006843EF">
        <w:t xml:space="preserve">информации </w:t>
      </w:r>
      <w:r w:rsidRPr="006843EF">
        <w:t>Комитет</w:t>
      </w:r>
      <w:r w:rsidR="00846C2F" w:rsidRPr="006843EF">
        <w:t>а от 30.03.2017 № 08-2094</w:t>
      </w:r>
      <w:r w:rsidRPr="006843EF">
        <w:t xml:space="preserve"> </w:t>
      </w:r>
      <w:r w:rsidR="00846C2F" w:rsidRPr="006843EF">
        <w:t>отклонение по указанным доходам сложилось на 01.11.2016. В целях корректировки бюджетных назначений</w:t>
      </w:r>
      <w:r w:rsidR="00846C2F" w:rsidRPr="006843EF">
        <w:lastRenderedPageBreak/>
        <w:tab/>
        <w:t>Комитетом в ноябре-дек</w:t>
      </w:r>
      <w:r w:rsidR="00B409B4" w:rsidRPr="006843EF">
        <w:t xml:space="preserve">абре 2016 года </w:t>
      </w:r>
      <w:r w:rsidRPr="006843EF">
        <w:t xml:space="preserve">направлялись </w:t>
      </w:r>
      <w:r w:rsidR="00846C2F" w:rsidRPr="006843EF">
        <w:t xml:space="preserve">соответствующие </w:t>
      </w:r>
      <w:r w:rsidRPr="006843EF">
        <w:t>п</w:t>
      </w:r>
      <w:r w:rsidR="00846C2F" w:rsidRPr="006843EF">
        <w:t>редложения</w:t>
      </w:r>
      <w:r w:rsidRPr="006843EF">
        <w:t xml:space="preserve"> в </w:t>
      </w:r>
      <w:proofErr w:type="spellStart"/>
      <w:r w:rsidRPr="006843EF">
        <w:t>Облфин</w:t>
      </w:r>
      <w:proofErr w:type="spellEnd"/>
      <w:r w:rsidRPr="006843EF">
        <w:t xml:space="preserve"> </w:t>
      </w:r>
      <w:r w:rsidR="00435926" w:rsidRPr="006843EF">
        <w:t xml:space="preserve">(в части неналоговых доходов) </w:t>
      </w:r>
      <w:r w:rsidR="00846C2F" w:rsidRPr="006843EF">
        <w:t xml:space="preserve">и </w:t>
      </w:r>
      <w:proofErr w:type="spellStart"/>
      <w:r w:rsidR="00846C2F" w:rsidRPr="006843EF">
        <w:t>Минтрудсоцзащиты</w:t>
      </w:r>
      <w:proofErr w:type="spellEnd"/>
      <w:r w:rsidR="00846C2F" w:rsidRPr="006843EF">
        <w:t xml:space="preserve"> (в части субвенций федерального бюджета),  </w:t>
      </w:r>
      <w:r w:rsidRPr="006843EF">
        <w:t>которые у</w:t>
      </w:r>
      <w:r w:rsidR="00846C2F" w:rsidRPr="006843EF">
        <w:t xml:space="preserve">чтены </w:t>
      </w:r>
      <w:r w:rsidRPr="006843EF">
        <w:t>не</w:t>
      </w:r>
      <w:r w:rsidR="00CB4A21" w:rsidRPr="006843EF">
        <w:t xml:space="preserve"> </w:t>
      </w:r>
      <w:r w:rsidRPr="006843EF">
        <w:t>были.</w:t>
      </w:r>
    </w:p>
    <w:p w:rsidR="00435926" w:rsidRPr="006843EF" w:rsidRDefault="00435926" w:rsidP="00AE635C">
      <w:pPr>
        <w:autoSpaceDE w:val="0"/>
        <w:autoSpaceDN w:val="0"/>
        <w:adjustRightInd w:val="0"/>
        <w:ind w:firstLine="709"/>
        <w:jc w:val="both"/>
      </w:pPr>
    </w:p>
    <w:p w:rsidR="004E65E3" w:rsidRPr="006843EF" w:rsidRDefault="004E65E3" w:rsidP="00AE635C">
      <w:pPr>
        <w:ind w:firstLine="709"/>
        <w:jc w:val="both"/>
        <w:rPr>
          <w:i/>
          <w:u w:val="single"/>
        </w:rPr>
      </w:pPr>
      <w:r w:rsidRPr="006843EF">
        <w:rPr>
          <w:i/>
          <w:u w:val="single"/>
        </w:rPr>
        <w:t>Исполнение расходов</w:t>
      </w:r>
    </w:p>
    <w:p w:rsidR="00B04208" w:rsidRPr="006843EF" w:rsidRDefault="00B04208" w:rsidP="00AE635C">
      <w:pPr>
        <w:ind w:firstLine="709"/>
        <w:jc w:val="both"/>
      </w:pPr>
      <w:r w:rsidRPr="006843EF">
        <w:t xml:space="preserve">Бюджетной росписью Комитета </w:t>
      </w:r>
      <w:r w:rsidR="0061558B" w:rsidRPr="006843EF">
        <w:t xml:space="preserve">на 2016 год </w:t>
      </w:r>
      <w:r w:rsidRPr="006843EF">
        <w:t xml:space="preserve">утверждено расходов на 15610124,9 тыс. руб., что на 2394953,8 тыс. руб. (18,1%) больше расходов, утвержденных Законом </w:t>
      </w:r>
      <w:r w:rsidRPr="006843EF">
        <w:rPr>
          <w:bCs/>
        </w:rPr>
        <w:t>о бюджете</w:t>
      </w:r>
      <w:r w:rsidRPr="006843EF">
        <w:t xml:space="preserve"> в первоначальной редакции.</w:t>
      </w:r>
    </w:p>
    <w:p w:rsidR="00B04208" w:rsidRPr="006843EF" w:rsidRDefault="00B04208" w:rsidP="00AE635C">
      <w:pPr>
        <w:ind w:firstLine="709"/>
        <w:jc w:val="both"/>
      </w:pPr>
      <w:proofErr w:type="gramStart"/>
      <w:r w:rsidRPr="006843EF">
        <w:t>Согласно ф. 0503163 причинами превышения расходов, утвержденных бюджетной росписью, над расходами, утвержденными Законом о бюджете в первоначальной редакции, является увеличение ассигнований областного бюджета на исполнение публичных нормативных обязательств, предоставление мер социальной поддержки (за исключением публичных нормативных обязательств) и пенсионное обеспечение, что соответств</w:t>
      </w:r>
      <w:r w:rsidR="000F5ECF" w:rsidRPr="006843EF">
        <w:t>ует</w:t>
      </w:r>
      <w:r w:rsidRPr="006843EF">
        <w:t xml:space="preserve"> </w:t>
      </w:r>
      <w:r w:rsidR="000F5ECF" w:rsidRPr="006843EF">
        <w:t>основани</w:t>
      </w:r>
      <w:r w:rsidR="005573F5" w:rsidRPr="006843EF">
        <w:t>ям, по которым согласно</w:t>
      </w:r>
      <w:r w:rsidR="000F5ECF" w:rsidRPr="006843EF">
        <w:t xml:space="preserve"> </w:t>
      </w:r>
      <w:r w:rsidR="005573F5" w:rsidRPr="006843EF">
        <w:t xml:space="preserve">п. 3 и п. 8 ст. 217 БК РФ </w:t>
      </w:r>
      <w:r w:rsidR="000F5ECF" w:rsidRPr="006843EF">
        <w:t>показател</w:t>
      </w:r>
      <w:r w:rsidR="005573F5" w:rsidRPr="006843EF">
        <w:t xml:space="preserve">и </w:t>
      </w:r>
      <w:r w:rsidR="000F5ECF" w:rsidRPr="006843EF">
        <w:t xml:space="preserve"> бюджетной росписи </w:t>
      </w:r>
      <w:r w:rsidR="005573F5" w:rsidRPr="006843EF">
        <w:t>могут не</w:t>
      </w:r>
      <w:proofErr w:type="gramEnd"/>
      <w:r w:rsidR="005573F5" w:rsidRPr="006843EF">
        <w:t xml:space="preserve"> соответствовать </w:t>
      </w:r>
      <w:r w:rsidR="000F5ECF" w:rsidRPr="006843EF">
        <w:t>показателям Закона о бюджете</w:t>
      </w:r>
      <w:r w:rsidRPr="006843EF">
        <w:t>.</w:t>
      </w:r>
    </w:p>
    <w:p w:rsidR="00B04208" w:rsidRPr="006843EF" w:rsidRDefault="00B04208" w:rsidP="00AE635C">
      <w:pPr>
        <w:ind w:firstLine="709"/>
        <w:jc w:val="both"/>
      </w:pPr>
      <w:r w:rsidRPr="006843EF">
        <w:t xml:space="preserve">Превышение расходов, утвержденных бюджетной росписью, над расходами, утвержденными Законом о бюджете в окончательной редакции, на 332768,0 тыс. руб. (2,2%) сложилось главным образом </w:t>
      </w:r>
      <w:proofErr w:type="gramStart"/>
      <w:r w:rsidRPr="006843EF">
        <w:t>по</w:t>
      </w:r>
      <w:proofErr w:type="gramEnd"/>
      <w:r w:rsidRPr="006843EF">
        <w:t>:</w:t>
      </w:r>
    </w:p>
    <w:p w:rsidR="00B04208" w:rsidRPr="006843EF" w:rsidRDefault="00B04208" w:rsidP="00AE635C">
      <w:pPr>
        <w:ind w:firstLine="709"/>
        <w:jc w:val="both"/>
      </w:pPr>
      <w:r w:rsidRPr="006843EF">
        <w:t>- ежемесячным денежным выплатам ветеранам труда – 76729,9 тыс. руб.;</w:t>
      </w:r>
    </w:p>
    <w:p w:rsidR="00B04208" w:rsidRPr="006843EF" w:rsidRDefault="00B04208" w:rsidP="00AE635C">
      <w:pPr>
        <w:ind w:firstLine="709"/>
        <w:jc w:val="both"/>
      </w:pPr>
      <w:r w:rsidRPr="006843EF">
        <w:t>- ежемесячным денежным выплатам на оплату жилищно-коммунальных услуг ветеранам труда – 76592,5 тыс. руб.;</w:t>
      </w:r>
    </w:p>
    <w:p w:rsidR="00B13AD8" w:rsidRPr="006843EF" w:rsidRDefault="00B13AD8" w:rsidP="00B13AD8">
      <w:pPr>
        <w:ind w:firstLine="709"/>
        <w:jc w:val="both"/>
      </w:pPr>
      <w:r w:rsidRPr="006843EF">
        <w:t>- ежемесячному пособию на ребенка – 55848,1 тыс. руб.;</w:t>
      </w:r>
    </w:p>
    <w:p w:rsidR="00B04208" w:rsidRPr="006843EF" w:rsidRDefault="00B04208" w:rsidP="00AE635C">
      <w:pPr>
        <w:ind w:firstLine="709"/>
        <w:jc w:val="both"/>
      </w:pPr>
      <w:r w:rsidRPr="006843EF">
        <w:t>- субвенции на предоставление субсидий гражданам на оплату жил</w:t>
      </w:r>
      <w:r w:rsidR="00CB4A21" w:rsidRPr="006843EF">
        <w:t>ого</w:t>
      </w:r>
      <w:r w:rsidRPr="006843EF">
        <w:t xml:space="preserve"> помещения и коммунальных услуг– 45973,0 тыс. руб.;</w:t>
      </w:r>
    </w:p>
    <w:p w:rsidR="00B04208" w:rsidRPr="006843EF" w:rsidRDefault="00B04208" w:rsidP="00AE635C">
      <w:pPr>
        <w:ind w:firstLine="709"/>
        <w:jc w:val="both"/>
      </w:pPr>
      <w:r w:rsidRPr="006843EF">
        <w:t>- ежемесячным денежным дотациям многодетным семьям на оплату коммунальных услуг– 25885,0 тыс. руб.</w:t>
      </w:r>
      <w:r w:rsidR="00B13AD8" w:rsidRPr="006843EF">
        <w:t>;</w:t>
      </w:r>
    </w:p>
    <w:p w:rsidR="00B13AD8" w:rsidRPr="006843EF" w:rsidRDefault="00B13AD8" w:rsidP="00B13AD8">
      <w:pPr>
        <w:ind w:firstLine="709"/>
        <w:jc w:val="both"/>
      </w:pPr>
      <w:r w:rsidRPr="006843EF">
        <w:t>- доплатам к пенсиям государственных гражданских служащих – на 42901,2 тыс. рублей.</w:t>
      </w:r>
    </w:p>
    <w:p w:rsidR="004879F8" w:rsidRPr="006843EF" w:rsidRDefault="004E65E3" w:rsidP="00257FC4">
      <w:pPr>
        <w:autoSpaceDE w:val="0"/>
        <w:autoSpaceDN w:val="0"/>
        <w:adjustRightInd w:val="0"/>
        <w:ind w:firstLine="709"/>
        <w:jc w:val="both"/>
        <w:outlineLvl w:val="2"/>
      </w:pPr>
      <w:r w:rsidRPr="006843EF">
        <w:t xml:space="preserve">За 2016 год расходы областного бюджета исполнены на 15268770,2 тыс. руб., или на 97,8% от </w:t>
      </w:r>
      <w:r w:rsidR="00B13AD8" w:rsidRPr="006843EF">
        <w:t xml:space="preserve">показателей </w:t>
      </w:r>
      <w:r w:rsidRPr="006843EF">
        <w:t>бюджетн</w:t>
      </w:r>
      <w:r w:rsidR="00B13AD8" w:rsidRPr="006843EF">
        <w:t>ой</w:t>
      </w:r>
      <w:r w:rsidRPr="006843EF">
        <w:t xml:space="preserve"> </w:t>
      </w:r>
      <w:r w:rsidR="00B13AD8" w:rsidRPr="006843EF">
        <w:t>росписи</w:t>
      </w:r>
      <w:r w:rsidRPr="006843EF">
        <w:t xml:space="preserve">, не исполнены на 341354,7 тыс. рублей. </w:t>
      </w:r>
    </w:p>
    <w:p w:rsidR="004E65E3" w:rsidRPr="006843EF" w:rsidRDefault="004E65E3" w:rsidP="008A452E">
      <w:pPr>
        <w:autoSpaceDE w:val="0"/>
        <w:autoSpaceDN w:val="0"/>
        <w:adjustRightInd w:val="0"/>
        <w:ind w:firstLine="709"/>
        <w:jc w:val="both"/>
        <w:outlineLvl w:val="2"/>
      </w:pPr>
      <w:proofErr w:type="gramStart"/>
      <w:r w:rsidRPr="006843EF">
        <w:t>Главным образом расходы</w:t>
      </w:r>
      <w:r w:rsidR="004879F8" w:rsidRPr="006843EF">
        <w:t xml:space="preserve"> не исполнены по причине отсутствия кассового плана</w:t>
      </w:r>
      <w:r w:rsidR="006E0089" w:rsidRPr="006843EF">
        <w:t xml:space="preserve"> на 175648,5 тыс. руб., </w:t>
      </w:r>
      <w:r w:rsidR="004879F8" w:rsidRPr="006843EF">
        <w:t xml:space="preserve">отсутствием финансирования заявок на оплату расходов </w:t>
      </w:r>
      <w:r w:rsidR="006E0089" w:rsidRPr="006843EF">
        <w:t xml:space="preserve">на 56042,1 тыс. руб., отсутствием  лимитов бюджетных обязательств на 68411,7 тыс. руб. </w:t>
      </w:r>
      <w:r w:rsidR="004879F8" w:rsidRPr="006843EF">
        <w:t>(далее отсутствие финансирования)</w:t>
      </w:r>
      <w:r w:rsidR="006E0089" w:rsidRPr="006843EF">
        <w:t xml:space="preserve">, а также </w:t>
      </w:r>
      <w:r w:rsidR="00082F4A" w:rsidRPr="006843EF">
        <w:t xml:space="preserve">уменьшения поступлений из федерального бюджета,  </w:t>
      </w:r>
      <w:r w:rsidR="006E0089" w:rsidRPr="006843EF">
        <w:t>сокращения численности получателей мер социальной поддержки</w:t>
      </w:r>
      <w:r w:rsidR="00082F4A" w:rsidRPr="006843EF">
        <w:t>, экономии от конкурсных процедур</w:t>
      </w:r>
      <w:r w:rsidR="004879F8" w:rsidRPr="006843EF">
        <w:t>:</w:t>
      </w:r>
      <w:proofErr w:type="gramEnd"/>
    </w:p>
    <w:p w:rsidR="004E65E3" w:rsidRPr="006843EF" w:rsidRDefault="004E65E3" w:rsidP="00AE635C">
      <w:pPr>
        <w:ind w:firstLine="709"/>
        <w:jc w:val="both"/>
      </w:pPr>
      <w:r w:rsidRPr="006843EF">
        <w:t>- на 114276,5 тыс. руб., или на 5,5%</w:t>
      </w:r>
      <w:r w:rsidR="00257FC4" w:rsidRPr="006843EF">
        <w:t xml:space="preserve"> </w:t>
      </w:r>
      <w:r w:rsidRPr="006843EF">
        <w:t>– по обеспечению деятельности казенных учреждений</w:t>
      </w:r>
      <w:r w:rsidR="004879F8" w:rsidRPr="006843EF">
        <w:t xml:space="preserve"> по причине отсутствия финансирования</w:t>
      </w:r>
      <w:r w:rsidRPr="006843EF">
        <w:t>;</w:t>
      </w:r>
    </w:p>
    <w:p w:rsidR="004E65E3" w:rsidRPr="006843EF" w:rsidRDefault="004E65E3" w:rsidP="00AE635C">
      <w:pPr>
        <w:ind w:firstLine="709"/>
        <w:jc w:val="both"/>
      </w:pPr>
      <w:r w:rsidRPr="006843EF">
        <w:t xml:space="preserve">- на </w:t>
      </w:r>
      <w:r w:rsidR="002770B4" w:rsidRPr="006843EF">
        <w:t>14963</w:t>
      </w:r>
      <w:r w:rsidRPr="006843EF">
        <w:t xml:space="preserve"> тыс. руб., или на 19% – по погашению кредиторской задолженности прошлых лет на обеспечение деятельности казенных учреждений</w:t>
      </w:r>
      <w:r w:rsidR="004879F8" w:rsidRPr="006843EF">
        <w:t xml:space="preserve"> по причине отсутствия финансирования</w:t>
      </w:r>
      <w:r w:rsidRPr="006843EF">
        <w:t>;</w:t>
      </w:r>
    </w:p>
    <w:p w:rsidR="004E65E3" w:rsidRPr="006843EF" w:rsidRDefault="004E65E3" w:rsidP="00AE635C">
      <w:pPr>
        <w:ind w:firstLine="709"/>
        <w:jc w:val="both"/>
      </w:pPr>
      <w:r w:rsidRPr="006843EF">
        <w:t>- на 75737,4 тыс. руб., или на 6,3% – по расходам на предоставление услуг (работ) в сфере социального обслуживания населения, в том числе по субсидиям бюджетным учреждениям на финансовое обеспечение государственного задания</w:t>
      </w:r>
      <w:r w:rsidR="004879F8" w:rsidRPr="006843EF">
        <w:t xml:space="preserve"> по причине отсутствия финансирования</w:t>
      </w:r>
      <w:r w:rsidRPr="006843EF">
        <w:t>;</w:t>
      </w:r>
    </w:p>
    <w:p w:rsidR="004E65E3" w:rsidRPr="006843EF" w:rsidRDefault="004E65E3" w:rsidP="00AE635C">
      <w:pPr>
        <w:ind w:firstLine="709"/>
        <w:jc w:val="both"/>
      </w:pPr>
      <w:r w:rsidRPr="006843EF">
        <w:t>- на 8235,5 тыс. руб., или на 6,2% – по премиальным выплатам казенных учреждений</w:t>
      </w:r>
      <w:r w:rsidR="004879F8" w:rsidRPr="006843EF">
        <w:t xml:space="preserve"> по причине отсутствия финансирования</w:t>
      </w:r>
      <w:r w:rsidRPr="006843EF">
        <w:t>;</w:t>
      </w:r>
    </w:p>
    <w:p w:rsidR="004879F8" w:rsidRPr="006843EF" w:rsidRDefault="004879F8" w:rsidP="004879F8">
      <w:pPr>
        <w:ind w:firstLine="709"/>
        <w:jc w:val="both"/>
      </w:pPr>
      <w:r w:rsidRPr="006843EF">
        <w:t>- на 4429,7 тыс. руб., или на 100% – по закупке товаров, работ и услуг для нужд учреждений, подведомственных Комитету, по причине отсутствия финансирования;</w:t>
      </w:r>
    </w:p>
    <w:p w:rsidR="004E65E3" w:rsidRPr="006843EF" w:rsidRDefault="004E65E3" w:rsidP="00AE635C">
      <w:pPr>
        <w:ind w:firstLine="709"/>
        <w:jc w:val="both"/>
      </w:pPr>
      <w:r w:rsidRPr="006843EF">
        <w:t>- на 5420,4 тыс. руб., или на 34,9% – по уплате налогов и сборов органами государственной власти и казенными учреждениями</w:t>
      </w:r>
      <w:r w:rsidR="004879F8" w:rsidRPr="006843EF">
        <w:t xml:space="preserve"> по причине отсутствия финансирования,</w:t>
      </w:r>
      <w:r w:rsidRPr="006843EF">
        <w:t xml:space="preserve"> а также по причине уменьшения налогооблагаемой базы для исчисления налогов в казенных учреждениях;</w:t>
      </w:r>
    </w:p>
    <w:p w:rsidR="003A186F" w:rsidRPr="006843EF" w:rsidRDefault="003A186F" w:rsidP="00AE635C">
      <w:pPr>
        <w:ind w:firstLine="709"/>
        <w:jc w:val="both"/>
      </w:pPr>
      <w:r w:rsidRPr="006843EF">
        <w:lastRenderedPageBreak/>
        <w:t xml:space="preserve">- на 61567,8 тыс. руб., или </w:t>
      </w:r>
      <w:r w:rsidR="00212F9E" w:rsidRPr="006843EF">
        <w:t xml:space="preserve">на 4,7% – по </w:t>
      </w:r>
      <w:r w:rsidR="00981C1C" w:rsidRPr="006843EF">
        <w:t>оплате жилищно-коммунальных услуг отдельным категориям граждан за счет средств субвенции из федерального бюджета</w:t>
      </w:r>
      <w:r w:rsidR="00212F9E" w:rsidRPr="006843EF">
        <w:t xml:space="preserve">, в связи с </w:t>
      </w:r>
      <w:r w:rsidR="00981C1C" w:rsidRPr="006843EF">
        <w:t>уменьшением объема средств федерального бюджета, предусмотренного на эти цели</w:t>
      </w:r>
      <w:r w:rsidRPr="006843EF">
        <w:t>;</w:t>
      </w:r>
    </w:p>
    <w:p w:rsidR="003A186F" w:rsidRPr="006843EF" w:rsidRDefault="003A186F" w:rsidP="00AE635C">
      <w:pPr>
        <w:ind w:firstLine="709"/>
        <w:jc w:val="both"/>
      </w:pPr>
      <w:r w:rsidRPr="006843EF">
        <w:t xml:space="preserve">- на 22917,6 млн. руб., или на </w:t>
      </w:r>
      <w:r w:rsidR="00981C1C" w:rsidRPr="006843EF">
        <w:t>4,7% – по ежемесячной денежной выплате, назначаемой в случае рождения третьего ребенка или последующих детей до достижения ребенком возраста трех лет за счет средств федерального бюджета, в связи с уменьшением объема средств федерального бюджета, предусмотренного на эти цели</w:t>
      </w:r>
      <w:r w:rsidR="009E5B5E" w:rsidRPr="006843EF">
        <w:t xml:space="preserve"> и др</w:t>
      </w:r>
      <w:r w:rsidR="009901A1" w:rsidRPr="006843EF">
        <w:t>.</w:t>
      </w:r>
    </w:p>
    <w:p w:rsidR="004E65E3" w:rsidRPr="006843EF" w:rsidRDefault="00D77C67" w:rsidP="00AE635C">
      <w:pPr>
        <w:ind w:firstLine="709"/>
        <w:jc w:val="both"/>
      </w:pPr>
      <w:r w:rsidRPr="006843EF">
        <w:t>В соответствии со Стандартом финансового контроля</w:t>
      </w:r>
      <w:r w:rsidR="00D91855" w:rsidRPr="006843EF">
        <w:t xml:space="preserve"> КСП</w:t>
      </w:r>
      <w:r w:rsidRPr="006843EF">
        <w:t xml:space="preserve"> п</w:t>
      </w:r>
      <w:r w:rsidR="004E65E3" w:rsidRPr="006843EF">
        <w:t>ричин</w:t>
      </w:r>
      <w:r w:rsidR="00CB4A21" w:rsidRPr="006843EF">
        <w:t>ы</w:t>
      </w:r>
      <w:r w:rsidR="004E65E3" w:rsidRPr="006843EF">
        <w:t xml:space="preserve"> неисполнения указанных расходов являются объективными.</w:t>
      </w:r>
    </w:p>
    <w:p w:rsidR="004E65E3" w:rsidRPr="006843EF" w:rsidRDefault="004E65E3" w:rsidP="00AE635C">
      <w:pPr>
        <w:ind w:firstLine="709"/>
        <w:jc w:val="both"/>
      </w:pPr>
      <w:r w:rsidRPr="006843EF">
        <w:t xml:space="preserve">Сравнительный анализ плановых и фактических показателей исполнения расходов областного бюджета за 2016 год в разрезе подразделов и целевых статей расходов представлен в </w:t>
      </w:r>
      <w:r w:rsidRPr="006843EF">
        <w:rPr>
          <w:color w:val="0000FF"/>
        </w:rPr>
        <w:t xml:space="preserve">Приложении № </w:t>
      </w:r>
      <w:r w:rsidR="00342564" w:rsidRPr="006843EF">
        <w:rPr>
          <w:color w:val="0000FF"/>
        </w:rPr>
        <w:t>2</w:t>
      </w:r>
      <w:r w:rsidRPr="006843EF">
        <w:t>.</w:t>
      </w:r>
    </w:p>
    <w:p w:rsidR="00A51E83" w:rsidRPr="006843EF" w:rsidRDefault="00A51E83" w:rsidP="00AE635C">
      <w:pPr>
        <w:autoSpaceDE w:val="0"/>
        <w:autoSpaceDN w:val="0"/>
        <w:adjustRightInd w:val="0"/>
        <w:ind w:firstLine="709"/>
        <w:jc w:val="both"/>
        <w:outlineLvl w:val="2"/>
        <w:rPr>
          <w:i/>
          <w:u w:val="single"/>
        </w:rPr>
      </w:pPr>
    </w:p>
    <w:p w:rsidR="004E65E3" w:rsidRPr="006843EF" w:rsidRDefault="004E65E3" w:rsidP="00AE635C">
      <w:pPr>
        <w:autoSpaceDE w:val="0"/>
        <w:autoSpaceDN w:val="0"/>
        <w:adjustRightInd w:val="0"/>
        <w:ind w:firstLine="709"/>
        <w:jc w:val="both"/>
        <w:outlineLvl w:val="2"/>
        <w:rPr>
          <w:i/>
        </w:rPr>
      </w:pPr>
      <w:r w:rsidRPr="006843EF">
        <w:rPr>
          <w:i/>
          <w:u w:val="single"/>
        </w:rPr>
        <w:t>Сравнительный анализ показателей исполнения расходов областного бюджета за отчетный год и предыдущий год.</w:t>
      </w:r>
      <w:r w:rsidRPr="006843EF">
        <w:rPr>
          <w:i/>
        </w:rPr>
        <w:t xml:space="preserve"> </w:t>
      </w:r>
    </w:p>
    <w:p w:rsidR="0061558B" w:rsidRPr="006843EF" w:rsidRDefault="0061558B" w:rsidP="0061558B">
      <w:pPr>
        <w:pStyle w:val="af4"/>
        <w:tabs>
          <w:tab w:val="left" w:pos="993"/>
        </w:tabs>
        <w:ind w:firstLine="709"/>
        <w:jc w:val="both"/>
        <w:rPr>
          <w:sz w:val="24"/>
          <w:szCs w:val="24"/>
        </w:rPr>
      </w:pPr>
      <w:proofErr w:type="gramStart"/>
      <w:r w:rsidRPr="006843EF">
        <w:rPr>
          <w:sz w:val="24"/>
          <w:szCs w:val="24"/>
        </w:rPr>
        <w:t>В соответствии с постановлением Губернатора Волгоградской области от 05.11.2014 № 99 «О мерах по реализации законов Волгоградской области от 23.10.2014 № 131-ОД «О внесении изменений в устав Волгоградской области от 24.02.2012 № 1-ОД» и от 23.10.2014 № 132-ОД «О внесении изменений в отдельные законодательные акты Волгоградской области и признании утратившими силу отдельных законодательных актов Волгоградской области» министерство труда и социальной защиты населения Волгоградской области</w:t>
      </w:r>
      <w:proofErr w:type="gramEnd"/>
      <w:r w:rsidRPr="006843EF">
        <w:rPr>
          <w:sz w:val="24"/>
          <w:szCs w:val="24"/>
        </w:rPr>
        <w:t xml:space="preserve"> с 30.01.2015 переименовано в Комитет, полномочия в сфере занятости населения с 30.01.2015 возложены на комитет по труду и занятости населения Волгоградской области.</w:t>
      </w:r>
    </w:p>
    <w:p w:rsidR="00DE45BE" w:rsidRPr="006843EF" w:rsidRDefault="002002C6" w:rsidP="00DE45BE">
      <w:pPr>
        <w:pStyle w:val="af4"/>
        <w:tabs>
          <w:tab w:val="left" w:pos="993"/>
        </w:tabs>
        <w:ind w:firstLine="709"/>
        <w:jc w:val="both"/>
        <w:rPr>
          <w:sz w:val="24"/>
          <w:szCs w:val="24"/>
        </w:rPr>
      </w:pPr>
      <w:r w:rsidRPr="006843EF">
        <w:rPr>
          <w:sz w:val="24"/>
          <w:szCs w:val="24"/>
        </w:rPr>
        <w:t>Сравн</w:t>
      </w:r>
      <w:r w:rsidR="000C4E9E" w:rsidRPr="006843EF">
        <w:rPr>
          <w:sz w:val="24"/>
          <w:szCs w:val="24"/>
        </w:rPr>
        <w:t>ение</w:t>
      </w:r>
      <w:r w:rsidRPr="006843EF">
        <w:rPr>
          <w:sz w:val="24"/>
          <w:szCs w:val="24"/>
        </w:rPr>
        <w:t xml:space="preserve"> исполнения расходов областного бюджета за 2015-2016 годы в разрезе разделов и подразделов бюджетной классификации представлен</w:t>
      </w:r>
      <w:r w:rsidR="000C4E9E" w:rsidRPr="006843EF">
        <w:rPr>
          <w:sz w:val="24"/>
          <w:szCs w:val="24"/>
        </w:rPr>
        <w:t>о</w:t>
      </w:r>
      <w:r w:rsidRPr="006843EF">
        <w:rPr>
          <w:sz w:val="24"/>
          <w:szCs w:val="24"/>
        </w:rPr>
        <w:t xml:space="preserve"> в таблице № </w:t>
      </w:r>
      <w:r w:rsidR="0040560E" w:rsidRPr="006843EF">
        <w:rPr>
          <w:sz w:val="24"/>
          <w:szCs w:val="24"/>
        </w:rPr>
        <w:t>1</w:t>
      </w:r>
      <w:r w:rsidR="00DE45BE" w:rsidRPr="006843EF">
        <w:rPr>
          <w:sz w:val="24"/>
          <w:szCs w:val="24"/>
        </w:rPr>
        <w:t>.</w:t>
      </w:r>
    </w:p>
    <w:p w:rsidR="002002C6" w:rsidRPr="006843EF" w:rsidRDefault="00DE45BE" w:rsidP="00DE45BE">
      <w:pPr>
        <w:pStyle w:val="af4"/>
        <w:tabs>
          <w:tab w:val="left" w:pos="993"/>
        </w:tabs>
        <w:ind w:firstLine="709"/>
        <w:jc w:val="right"/>
        <w:rPr>
          <w:i/>
          <w:sz w:val="24"/>
          <w:szCs w:val="24"/>
        </w:rPr>
      </w:pPr>
      <w:r w:rsidRPr="006843EF">
        <w:rPr>
          <w:i/>
          <w:sz w:val="24"/>
          <w:szCs w:val="24"/>
        </w:rPr>
        <w:t xml:space="preserve">Таблица № </w:t>
      </w:r>
      <w:r w:rsidR="0061558B" w:rsidRPr="006843EF">
        <w:rPr>
          <w:i/>
          <w:sz w:val="24"/>
          <w:szCs w:val="24"/>
        </w:rPr>
        <w:t>1</w:t>
      </w:r>
      <w:r w:rsidRPr="006843EF">
        <w:rPr>
          <w:i/>
          <w:sz w:val="24"/>
          <w:szCs w:val="24"/>
        </w:rPr>
        <w:t>, тыс. руб.</w:t>
      </w:r>
    </w:p>
    <w:tbl>
      <w:tblPr>
        <w:tblStyle w:val="a4"/>
        <w:tblW w:w="9546" w:type="dxa"/>
        <w:jc w:val="center"/>
        <w:tblCellMar>
          <w:left w:w="28" w:type="dxa"/>
          <w:right w:w="28" w:type="dxa"/>
        </w:tblCellMar>
        <w:tblLook w:val="04A0"/>
      </w:tblPr>
      <w:tblGrid>
        <w:gridCol w:w="1015"/>
        <w:gridCol w:w="2510"/>
        <w:gridCol w:w="1241"/>
        <w:gridCol w:w="1083"/>
        <w:gridCol w:w="996"/>
        <w:gridCol w:w="1047"/>
        <w:gridCol w:w="955"/>
        <w:gridCol w:w="699"/>
      </w:tblGrid>
      <w:tr w:rsidR="00DE45BE" w:rsidRPr="006843EF" w:rsidTr="001F7695">
        <w:trPr>
          <w:jc w:val="center"/>
        </w:trPr>
        <w:tc>
          <w:tcPr>
            <w:tcW w:w="1015" w:type="dxa"/>
            <w:vMerge w:val="restart"/>
          </w:tcPr>
          <w:p w:rsidR="00DE45BE" w:rsidRPr="006843EF" w:rsidRDefault="00DE45BE" w:rsidP="00DE45BE">
            <w:pPr>
              <w:pStyle w:val="af4"/>
              <w:tabs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6843EF">
              <w:rPr>
                <w:rFonts w:eastAsia="Times New Roman"/>
                <w:color w:val="000000"/>
                <w:sz w:val="16"/>
                <w:szCs w:val="16"/>
              </w:rPr>
              <w:t>Раздел, подраздел</w:t>
            </w:r>
          </w:p>
        </w:tc>
        <w:tc>
          <w:tcPr>
            <w:tcW w:w="2510" w:type="dxa"/>
            <w:vMerge w:val="restart"/>
          </w:tcPr>
          <w:p w:rsidR="00DE45BE" w:rsidRPr="006843EF" w:rsidRDefault="00DE45BE" w:rsidP="00DE45BE">
            <w:pPr>
              <w:pStyle w:val="af4"/>
              <w:jc w:val="center"/>
              <w:rPr>
                <w:sz w:val="16"/>
                <w:szCs w:val="16"/>
              </w:rPr>
            </w:pPr>
            <w:r w:rsidRPr="006843EF">
              <w:rPr>
                <w:rFonts w:eastAsia="Times New Roman"/>
                <w:color w:val="000000"/>
                <w:sz w:val="16"/>
                <w:szCs w:val="16"/>
              </w:rPr>
              <w:t>Направление расходов</w:t>
            </w:r>
          </w:p>
        </w:tc>
        <w:tc>
          <w:tcPr>
            <w:tcW w:w="3320" w:type="dxa"/>
            <w:gridSpan w:val="3"/>
          </w:tcPr>
          <w:p w:rsidR="00DE45BE" w:rsidRPr="006843EF" w:rsidRDefault="00DE45BE" w:rsidP="00DE45BE">
            <w:pPr>
              <w:pStyle w:val="af4"/>
              <w:tabs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6843EF">
              <w:rPr>
                <w:rFonts w:eastAsia="Times New Roman"/>
                <w:color w:val="000000"/>
                <w:sz w:val="16"/>
                <w:szCs w:val="16"/>
              </w:rPr>
              <w:t>Исполнено расходов за 2015 год</w:t>
            </w:r>
            <w:r w:rsidR="0040560E" w:rsidRPr="006843EF">
              <w:rPr>
                <w:rFonts w:eastAsia="Times New Roman"/>
                <w:color w:val="000000"/>
                <w:sz w:val="16"/>
                <w:szCs w:val="16"/>
              </w:rPr>
              <w:t>, в том числе в сфере:</w:t>
            </w:r>
          </w:p>
        </w:tc>
        <w:tc>
          <w:tcPr>
            <w:tcW w:w="1047" w:type="dxa"/>
            <w:vMerge w:val="restart"/>
          </w:tcPr>
          <w:p w:rsidR="00DE45BE" w:rsidRPr="006843EF" w:rsidRDefault="00DE45BE" w:rsidP="00DE45BE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Исполнено расходов</w:t>
            </w:r>
          </w:p>
          <w:p w:rsidR="00DE45BE" w:rsidRPr="006843EF" w:rsidRDefault="00DE45BE" w:rsidP="00DE45BE">
            <w:pPr>
              <w:pStyle w:val="af4"/>
              <w:jc w:val="center"/>
              <w:rPr>
                <w:sz w:val="16"/>
                <w:szCs w:val="16"/>
              </w:rPr>
            </w:pPr>
            <w:r w:rsidRPr="006843EF">
              <w:rPr>
                <w:rFonts w:eastAsia="Times New Roman"/>
                <w:color w:val="000000"/>
                <w:sz w:val="16"/>
                <w:szCs w:val="16"/>
              </w:rPr>
              <w:t>за 2016 год</w:t>
            </w:r>
          </w:p>
        </w:tc>
        <w:tc>
          <w:tcPr>
            <w:tcW w:w="1654" w:type="dxa"/>
            <w:gridSpan w:val="2"/>
          </w:tcPr>
          <w:p w:rsidR="00DE45BE" w:rsidRPr="006843EF" w:rsidRDefault="00DE45BE" w:rsidP="0040560E">
            <w:pPr>
              <w:pStyle w:val="af4"/>
              <w:tabs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6843EF">
              <w:rPr>
                <w:rFonts w:eastAsia="Times New Roman"/>
                <w:color w:val="000000"/>
                <w:sz w:val="16"/>
                <w:szCs w:val="16"/>
              </w:rPr>
              <w:t>Отклонение</w:t>
            </w:r>
            <w:r w:rsidR="009B0A24" w:rsidRPr="006843EF">
              <w:rPr>
                <w:rFonts w:eastAsia="Times New Roman"/>
                <w:color w:val="000000"/>
                <w:sz w:val="16"/>
                <w:szCs w:val="16"/>
              </w:rPr>
              <w:t xml:space="preserve"> </w:t>
            </w:r>
            <w:r w:rsidR="0040560E" w:rsidRPr="006843EF">
              <w:rPr>
                <w:rFonts w:eastAsia="Times New Roman"/>
                <w:color w:val="000000"/>
                <w:sz w:val="16"/>
                <w:szCs w:val="16"/>
              </w:rPr>
              <w:t>(без учета расходов в сфере занятости населения)</w:t>
            </w:r>
          </w:p>
        </w:tc>
      </w:tr>
      <w:tr w:rsidR="00DE45BE" w:rsidRPr="006843EF" w:rsidTr="001F7695">
        <w:trPr>
          <w:jc w:val="center"/>
        </w:trPr>
        <w:tc>
          <w:tcPr>
            <w:tcW w:w="1015" w:type="dxa"/>
            <w:vMerge/>
          </w:tcPr>
          <w:p w:rsidR="00DE45BE" w:rsidRPr="006843EF" w:rsidRDefault="00DE45BE" w:rsidP="00DE45BE">
            <w:pPr>
              <w:pStyle w:val="af4"/>
              <w:tabs>
                <w:tab w:val="left" w:pos="993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510" w:type="dxa"/>
            <w:vMerge/>
          </w:tcPr>
          <w:p w:rsidR="00DE45BE" w:rsidRPr="006843EF" w:rsidRDefault="00DE45BE" w:rsidP="00DE45BE">
            <w:pPr>
              <w:pStyle w:val="af4"/>
              <w:tabs>
                <w:tab w:val="left" w:pos="993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vAlign w:val="center"/>
          </w:tcPr>
          <w:p w:rsidR="00DE45BE" w:rsidRPr="006843EF" w:rsidRDefault="0040560E" w:rsidP="00DE45BE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социальной политики</w:t>
            </w:r>
          </w:p>
        </w:tc>
        <w:tc>
          <w:tcPr>
            <w:tcW w:w="1083" w:type="dxa"/>
            <w:vAlign w:val="center"/>
          </w:tcPr>
          <w:p w:rsidR="00DE45BE" w:rsidRPr="006843EF" w:rsidRDefault="0040560E" w:rsidP="00CB4A21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занятости населения</w:t>
            </w:r>
          </w:p>
        </w:tc>
        <w:tc>
          <w:tcPr>
            <w:tcW w:w="996" w:type="dxa"/>
            <w:vAlign w:val="center"/>
          </w:tcPr>
          <w:p w:rsidR="00DE45BE" w:rsidRPr="006843EF" w:rsidRDefault="00DE45BE" w:rsidP="00DE45BE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047" w:type="dxa"/>
            <w:vMerge/>
          </w:tcPr>
          <w:p w:rsidR="00DE45BE" w:rsidRPr="006843EF" w:rsidRDefault="00DE45BE" w:rsidP="00DE45BE">
            <w:pPr>
              <w:pStyle w:val="af4"/>
              <w:tabs>
                <w:tab w:val="left" w:pos="993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55" w:type="dxa"/>
            <w:vAlign w:val="center"/>
          </w:tcPr>
          <w:p w:rsidR="00DE45BE" w:rsidRPr="006843EF" w:rsidRDefault="00DE45BE" w:rsidP="00DE45BE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699" w:type="dxa"/>
            <w:vAlign w:val="center"/>
          </w:tcPr>
          <w:p w:rsidR="00DE45BE" w:rsidRPr="006843EF" w:rsidRDefault="00DE45BE" w:rsidP="00DE45BE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%</w:t>
            </w:r>
          </w:p>
        </w:tc>
      </w:tr>
      <w:tr w:rsidR="009B0A24" w:rsidRPr="006843EF" w:rsidTr="001F7695">
        <w:trPr>
          <w:jc w:val="center"/>
        </w:trPr>
        <w:tc>
          <w:tcPr>
            <w:tcW w:w="1015" w:type="dxa"/>
            <w:vAlign w:val="center"/>
          </w:tcPr>
          <w:p w:rsidR="009B0A24" w:rsidRPr="006843EF" w:rsidRDefault="009B0A24" w:rsidP="00DE45BE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0401</w:t>
            </w:r>
          </w:p>
        </w:tc>
        <w:tc>
          <w:tcPr>
            <w:tcW w:w="2510" w:type="dxa"/>
            <w:vAlign w:val="center"/>
          </w:tcPr>
          <w:p w:rsidR="009B0A24" w:rsidRPr="006843EF" w:rsidRDefault="009B0A24" w:rsidP="00DE45BE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1241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83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410485,8</w:t>
            </w:r>
          </w:p>
        </w:tc>
        <w:tc>
          <w:tcPr>
            <w:tcW w:w="996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410485,8</w:t>
            </w:r>
          </w:p>
        </w:tc>
        <w:tc>
          <w:tcPr>
            <w:tcW w:w="1047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55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99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-</w:t>
            </w:r>
          </w:p>
        </w:tc>
      </w:tr>
      <w:tr w:rsidR="009B0A24" w:rsidRPr="006843EF" w:rsidTr="001F7695">
        <w:trPr>
          <w:jc w:val="center"/>
        </w:trPr>
        <w:tc>
          <w:tcPr>
            <w:tcW w:w="1015" w:type="dxa"/>
            <w:vAlign w:val="center"/>
          </w:tcPr>
          <w:p w:rsidR="009B0A24" w:rsidRPr="006843EF" w:rsidRDefault="009B0A24" w:rsidP="00DE45BE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0410</w:t>
            </w:r>
          </w:p>
        </w:tc>
        <w:tc>
          <w:tcPr>
            <w:tcW w:w="2510" w:type="dxa"/>
            <w:vAlign w:val="center"/>
          </w:tcPr>
          <w:p w:rsidR="009B0A24" w:rsidRPr="006843EF" w:rsidRDefault="009B0A24" w:rsidP="00DE45BE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1241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6839,2</w:t>
            </w:r>
          </w:p>
        </w:tc>
        <w:tc>
          <w:tcPr>
            <w:tcW w:w="1083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6839,2</w:t>
            </w:r>
          </w:p>
        </w:tc>
        <w:tc>
          <w:tcPr>
            <w:tcW w:w="1047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55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-6839,2</w:t>
            </w:r>
          </w:p>
        </w:tc>
        <w:tc>
          <w:tcPr>
            <w:tcW w:w="699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-100,0</w:t>
            </w:r>
          </w:p>
        </w:tc>
      </w:tr>
      <w:tr w:rsidR="009B0A24" w:rsidRPr="006843EF" w:rsidTr="001F7695">
        <w:trPr>
          <w:jc w:val="center"/>
        </w:trPr>
        <w:tc>
          <w:tcPr>
            <w:tcW w:w="1015" w:type="dxa"/>
            <w:vAlign w:val="center"/>
          </w:tcPr>
          <w:p w:rsidR="009B0A24" w:rsidRPr="006843EF" w:rsidRDefault="009B0A24" w:rsidP="00DE45BE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0705</w:t>
            </w:r>
          </w:p>
        </w:tc>
        <w:tc>
          <w:tcPr>
            <w:tcW w:w="2510" w:type="dxa"/>
            <w:vAlign w:val="center"/>
          </w:tcPr>
          <w:p w:rsidR="009B0A24" w:rsidRPr="006843EF" w:rsidRDefault="009B0A24" w:rsidP="00DE45BE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41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56,4</w:t>
            </w:r>
          </w:p>
        </w:tc>
        <w:tc>
          <w:tcPr>
            <w:tcW w:w="1083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56,4</w:t>
            </w:r>
          </w:p>
        </w:tc>
        <w:tc>
          <w:tcPr>
            <w:tcW w:w="1047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5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-56,4</w:t>
            </w:r>
          </w:p>
        </w:tc>
        <w:tc>
          <w:tcPr>
            <w:tcW w:w="699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-100,0</w:t>
            </w:r>
          </w:p>
        </w:tc>
      </w:tr>
      <w:tr w:rsidR="009B0A24" w:rsidRPr="006843EF" w:rsidTr="001F7695">
        <w:trPr>
          <w:jc w:val="center"/>
        </w:trPr>
        <w:tc>
          <w:tcPr>
            <w:tcW w:w="1015" w:type="dxa"/>
            <w:vAlign w:val="center"/>
          </w:tcPr>
          <w:p w:rsidR="009B0A24" w:rsidRPr="006843EF" w:rsidRDefault="009B0A24" w:rsidP="00DE45BE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2510" w:type="dxa"/>
            <w:vAlign w:val="center"/>
          </w:tcPr>
          <w:p w:rsidR="009B0A24" w:rsidRPr="006843EF" w:rsidRDefault="009B0A24" w:rsidP="00DE45BE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1241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167459</w:t>
            </w:r>
          </w:p>
        </w:tc>
        <w:tc>
          <w:tcPr>
            <w:tcW w:w="1083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167459</w:t>
            </w:r>
          </w:p>
        </w:tc>
        <w:tc>
          <w:tcPr>
            <w:tcW w:w="1047" w:type="dxa"/>
            <w:vAlign w:val="center"/>
          </w:tcPr>
          <w:p w:rsidR="009B0A24" w:rsidRPr="006843EF" w:rsidRDefault="009B0A24" w:rsidP="009A38B0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175796,</w:t>
            </w:r>
            <w:r w:rsidR="009A38B0" w:rsidRPr="006843EF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955" w:type="dxa"/>
            <w:vAlign w:val="center"/>
          </w:tcPr>
          <w:p w:rsidR="009B0A24" w:rsidRPr="006843EF" w:rsidRDefault="009B0A24" w:rsidP="009A38B0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8337,</w:t>
            </w:r>
            <w:r w:rsidR="009A38B0" w:rsidRPr="006843EF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699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5,0</w:t>
            </w:r>
          </w:p>
        </w:tc>
      </w:tr>
      <w:tr w:rsidR="009B0A24" w:rsidRPr="006843EF" w:rsidTr="001F7695">
        <w:trPr>
          <w:jc w:val="center"/>
        </w:trPr>
        <w:tc>
          <w:tcPr>
            <w:tcW w:w="1015" w:type="dxa"/>
            <w:vAlign w:val="center"/>
          </w:tcPr>
          <w:p w:rsidR="009B0A24" w:rsidRPr="006843EF" w:rsidRDefault="009B0A24" w:rsidP="00DE45BE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1001</w:t>
            </w:r>
          </w:p>
        </w:tc>
        <w:tc>
          <w:tcPr>
            <w:tcW w:w="2510" w:type="dxa"/>
            <w:vAlign w:val="center"/>
          </w:tcPr>
          <w:p w:rsidR="009B0A24" w:rsidRPr="006843EF" w:rsidRDefault="009B0A24" w:rsidP="00DE45BE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1241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527762,5</w:t>
            </w:r>
          </w:p>
        </w:tc>
        <w:tc>
          <w:tcPr>
            <w:tcW w:w="1083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527762,5</w:t>
            </w:r>
          </w:p>
        </w:tc>
        <w:tc>
          <w:tcPr>
            <w:tcW w:w="1047" w:type="dxa"/>
            <w:vAlign w:val="center"/>
          </w:tcPr>
          <w:p w:rsidR="009B0A24" w:rsidRPr="006843EF" w:rsidRDefault="009B0A24" w:rsidP="009A38B0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541022,</w:t>
            </w:r>
            <w:r w:rsidR="009A38B0" w:rsidRPr="006843E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55" w:type="dxa"/>
            <w:vAlign w:val="center"/>
          </w:tcPr>
          <w:p w:rsidR="009B0A24" w:rsidRPr="006843EF" w:rsidRDefault="009B0A24" w:rsidP="009A38B0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13260,</w:t>
            </w:r>
            <w:r w:rsidR="009A38B0" w:rsidRPr="006843E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99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2,5</w:t>
            </w:r>
          </w:p>
        </w:tc>
      </w:tr>
      <w:tr w:rsidR="009B0A24" w:rsidRPr="006843EF" w:rsidTr="001F7695">
        <w:trPr>
          <w:jc w:val="center"/>
        </w:trPr>
        <w:tc>
          <w:tcPr>
            <w:tcW w:w="1015" w:type="dxa"/>
            <w:vAlign w:val="center"/>
          </w:tcPr>
          <w:p w:rsidR="009B0A24" w:rsidRPr="006843EF" w:rsidRDefault="009B0A24" w:rsidP="00DE45BE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1002</w:t>
            </w:r>
          </w:p>
        </w:tc>
        <w:tc>
          <w:tcPr>
            <w:tcW w:w="2510" w:type="dxa"/>
            <w:vAlign w:val="center"/>
          </w:tcPr>
          <w:p w:rsidR="009B0A24" w:rsidRPr="006843EF" w:rsidRDefault="009B0A24" w:rsidP="00DE45BE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1241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3699190,5</w:t>
            </w:r>
          </w:p>
        </w:tc>
        <w:tc>
          <w:tcPr>
            <w:tcW w:w="1083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3699190,5</w:t>
            </w:r>
          </w:p>
        </w:tc>
        <w:tc>
          <w:tcPr>
            <w:tcW w:w="1047" w:type="dxa"/>
            <w:vAlign w:val="center"/>
          </w:tcPr>
          <w:p w:rsidR="009B0A24" w:rsidRPr="006843EF" w:rsidRDefault="009B0A24" w:rsidP="009A38B0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3378883,</w:t>
            </w:r>
            <w:r w:rsidR="009A38B0" w:rsidRPr="006843E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55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-320306,8</w:t>
            </w:r>
          </w:p>
        </w:tc>
        <w:tc>
          <w:tcPr>
            <w:tcW w:w="699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-8,7</w:t>
            </w:r>
          </w:p>
        </w:tc>
      </w:tr>
      <w:tr w:rsidR="009B0A24" w:rsidRPr="006843EF" w:rsidTr="001F7695">
        <w:trPr>
          <w:jc w:val="center"/>
        </w:trPr>
        <w:tc>
          <w:tcPr>
            <w:tcW w:w="1015" w:type="dxa"/>
            <w:vAlign w:val="center"/>
          </w:tcPr>
          <w:p w:rsidR="009B0A24" w:rsidRPr="006843EF" w:rsidRDefault="009B0A24" w:rsidP="00DE45BE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2510" w:type="dxa"/>
            <w:vAlign w:val="center"/>
          </w:tcPr>
          <w:p w:rsidR="009B0A24" w:rsidRPr="006843EF" w:rsidRDefault="009B0A24" w:rsidP="00DE45BE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241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10323384,5</w:t>
            </w:r>
          </w:p>
        </w:tc>
        <w:tc>
          <w:tcPr>
            <w:tcW w:w="1083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693180,8</w:t>
            </w:r>
          </w:p>
        </w:tc>
        <w:tc>
          <w:tcPr>
            <w:tcW w:w="996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11016565,3</w:t>
            </w:r>
          </w:p>
        </w:tc>
        <w:tc>
          <w:tcPr>
            <w:tcW w:w="1047" w:type="dxa"/>
            <w:vAlign w:val="center"/>
          </w:tcPr>
          <w:p w:rsidR="009B0A24" w:rsidRPr="006843EF" w:rsidRDefault="009B0A24" w:rsidP="009A38B0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9593583,</w:t>
            </w:r>
            <w:r w:rsidR="009A38B0" w:rsidRPr="006843E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55" w:type="dxa"/>
            <w:vAlign w:val="center"/>
          </w:tcPr>
          <w:p w:rsidR="009B0A24" w:rsidRPr="006843EF" w:rsidRDefault="009B0A24" w:rsidP="009A38B0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-729800,9</w:t>
            </w:r>
          </w:p>
        </w:tc>
        <w:tc>
          <w:tcPr>
            <w:tcW w:w="699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-7,1</w:t>
            </w:r>
          </w:p>
        </w:tc>
      </w:tr>
      <w:tr w:rsidR="009B0A24" w:rsidRPr="006843EF" w:rsidTr="001F7695">
        <w:trPr>
          <w:jc w:val="center"/>
        </w:trPr>
        <w:tc>
          <w:tcPr>
            <w:tcW w:w="1015" w:type="dxa"/>
            <w:vAlign w:val="center"/>
          </w:tcPr>
          <w:p w:rsidR="009B0A24" w:rsidRPr="006843EF" w:rsidRDefault="009B0A24" w:rsidP="00DE45BE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2510" w:type="dxa"/>
            <w:vAlign w:val="center"/>
          </w:tcPr>
          <w:p w:rsidR="009B0A24" w:rsidRPr="006843EF" w:rsidRDefault="009B0A24" w:rsidP="00DE45BE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1241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1101236,7</w:t>
            </w:r>
          </w:p>
        </w:tc>
        <w:tc>
          <w:tcPr>
            <w:tcW w:w="1083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1101236,7</w:t>
            </w:r>
          </w:p>
        </w:tc>
        <w:tc>
          <w:tcPr>
            <w:tcW w:w="1047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1459270,3</w:t>
            </w:r>
          </w:p>
        </w:tc>
        <w:tc>
          <w:tcPr>
            <w:tcW w:w="955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358033,6</w:t>
            </w:r>
          </w:p>
        </w:tc>
        <w:tc>
          <w:tcPr>
            <w:tcW w:w="699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32,5</w:t>
            </w:r>
          </w:p>
        </w:tc>
      </w:tr>
      <w:tr w:rsidR="009B0A24" w:rsidRPr="006843EF" w:rsidTr="001F7695">
        <w:trPr>
          <w:jc w:val="center"/>
        </w:trPr>
        <w:tc>
          <w:tcPr>
            <w:tcW w:w="1015" w:type="dxa"/>
            <w:vAlign w:val="center"/>
          </w:tcPr>
          <w:p w:rsidR="009B0A24" w:rsidRPr="006843EF" w:rsidRDefault="009B0A24" w:rsidP="00DE45BE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1006</w:t>
            </w:r>
          </w:p>
        </w:tc>
        <w:tc>
          <w:tcPr>
            <w:tcW w:w="2510" w:type="dxa"/>
            <w:vAlign w:val="center"/>
          </w:tcPr>
          <w:p w:rsidR="009B0A24" w:rsidRPr="006843EF" w:rsidRDefault="009B0A24" w:rsidP="00DE45BE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241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143817,6</w:t>
            </w:r>
          </w:p>
        </w:tc>
        <w:tc>
          <w:tcPr>
            <w:tcW w:w="1083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12377,6</w:t>
            </w:r>
          </w:p>
        </w:tc>
        <w:tc>
          <w:tcPr>
            <w:tcW w:w="996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156195,2</w:t>
            </w:r>
          </w:p>
        </w:tc>
        <w:tc>
          <w:tcPr>
            <w:tcW w:w="1047" w:type="dxa"/>
            <w:vAlign w:val="center"/>
          </w:tcPr>
          <w:p w:rsidR="009B0A24" w:rsidRPr="006843EF" w:rsidRDefault="009B0A24" w:rsidP="009A38B0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120213,1</w:t>
            </w:r>
          </w:p>
        </w:tc>
        <w:tc>
          <w:tcPr>
            <w:tcW w:w="955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-23604,</w:t>
            </w:r>
            <w:r w:rsidR="009A38B0" w:rsidRPr="006843E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99" w:type="dxa"/>
            <w:vAlign w:val="center"/>
          </w:tcPr>
          <w:p w:rsidR="009B0A24" w:rsidRPr="006843EF" w:rsidRDefault="009B0A24" w:rsidP="009B0A24">
            <w:pPr>
              <w:jc w:val="center"/>
              <w:rPr>
                <w:color w:val="000000"/>
                <w:sz w:val="16"/>
                <w:szCs w:val="16"/>
              </w:rPr>
            </w:pPr>
            <w:r w:rsidRPr="006843EF">
              <w:rPr>
                <w:color w:val="000000"/>
                <w:sz w:val="16"/>
                <w:szCs w:val="16"/>
              </w:rPr>
              <w:t>-16,4</w:t>
            </w:r>
          </w:p>
        </w:tc>
      </w:tr>
      <w:tr w:rsidR="009B0A24" w:rsidRPr="006843EF" w:rsidTr="001F7695">
        <w:trPr>
          <w:jc w:val="center"/>
        </w:trPr>
        <w:tc>
          <w:tcPr>
            <w:tcW w:w="3525" w:type="dxa"/>
            <w:gridSpan w:val="2"/>
            <w:vAlign w:val="center"/>
          </w:tcPr>
          <w:p w:rsidR="009B0A24" w:rsidRPr="006843EF" w:rsidRDefault="001D72D6" w:rsidP="00DE45BE">
            <w:pPr>
              <w:pStyle w:val="af4"/>
              <w:tabs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6843EF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ИТОГО </w:t>
            </w:r>
            <w:r w:rsidR="009B0A24" w:rsidRPr="006843EF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расходов</w:t>
            </w:r>
          </w:p>
        </w:tc>
        <w:tc>
          <w:tcPr>
            <w:tcW w:w="1241" w:type="dxa"/>
            <w:vAlign w:val="center"/>
          </w:tcPr>
          <w:p w:rsidR="009B0A24" w:rsidRPr="006843EF" w:rsidRDefault="009B0A24" w:rsidP="009B0A24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6843EF">
              <w:rPr>
                <w:b/>
                <w:color w:val="000000"/>
                <w:sz w:val="16"/>
                <w:szCs w:val="16"/>
              </w:rPr>
              <w:t>15969746,4</w:t>
            </w:r>
          </w:p>
        </w:tc>
        <w:tc>
          <w:tcPr>
            <w:tcW w:w="1083" w:type="dxa"/>
            <w:vAlign w:val="center"/>
          </w:tcPr>
          <w:p w:rsidR="009B0A24" w:rsidRPr="006843EF" w:rsidRDefault="009B0A24" w:rsidP="00DF4B44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6843EF">
              <w:rPr>
                <w:b/>
                <w:color w:val="000000"/>
                <w:sz w:val="16"/>
                <w:szCs w:val="16"/>
              </w:rPr>
              <w:t>1116044,2</w:t>
            </w:r>
          </w:p>
        </w:tc>
        <w:tc>
          <w:tcPr>
            <w:tcW w:w="996" w:type="dxa"/>
            <w:vAlign w:val="center"/>
          </w:tcPr>
          <w:p w:rsidR="009B0A24" w:rsidRPr="006843EF" w:rsidRDefault="009B0A24" w:rsidP="00DF4B44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6843EF">
              <w:rPr>
                <w:b/>
                <w:color w:val="000000"/>
                <w:sz w:val="16"/>
                <w:szCs w:val="16"/>
              </w:rPr>
              <w:t>17085790,6</w:t>
            </w:r>
          </w:p>
        </w:tc>
        <w:tc>
          <w:tcPr>
            <w:tcW w:w="1047" w:type="dxa"/>
            <w:vAlign w:val="center"/>
          </w:tcPr>
          <w:p w:rsidR="009B0A24" w:rsidRPr="006843EF" w:rsidRDefault="009B0A24" w:rsidP="00DF4B44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6843EF">
              <w:rPr>
                <w:b/>
                <w:color w:val="000000"/>
                <w:sz w:val="16"/>
                <w:szCs w:val="16"/>
              </w:rPr>
              <w:t>15268770,2</w:t>
            </w:r>
          </w:p>
        </w:tc>
        <w:tc>
          <w:tcPr>
            <w:tcW w:w="955" w:type="dxa"/>
            <w:vAlign w:val="center"/>
          </w:tcPr>
          <w:p w:rsidR="009B0A24" w:rsidRPr="006843EF" w:rsidRDefault="009B0A24" w:rsidP="00DF4B44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6843EF">
              <w:rPr>
                <w:b/>
                <w:color w:val="000000"/>
                <w:sz w:val="16"/>
                <w:szCs w:val="16"/>
              </w:rPr>
              <w:t>-700976,2</w:t>
            </w:r>
          </w:p>
        </w:tc>
        <w:tc>
          <w:tcPr>
            <w:tcW w:w="699" w:type="dxa"/>
            <w:vAlign w:val="center"/>
          </w:tcPr>
          <w:p w:rsidR="009B0A24" w:rsidRPr="006843EF" w:rsidRDefault="009B0A24" w:rsidP="009B0A24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6843EF">
              <w:rPr>
                <w:b/>
                <w:color w:val="000000"/>
                <w:sz w:val="16"/>
                <w:szCs w:val="16"/>
              </w:rPr>
              <w:t>-4,4</w:t>
            </w:r>
          </w:p>
        </w:tc>
      </w:tr>
    </w:tbl>
    <w:p w:rsidR="00DE45BE" w:rsidRPr="006843EF" w:rsidRDefault="00DE45BE" w:rsidP="00DE45BE">
      <w:pPr>
        <w:pStyle w:val="af4"/>
        <w:tabs>
          <w:tab w:val="left" w:pos="993"/>
        </w:tabs>
        <w:ind w:firstLine="709"/>
      </w:pPr>
    </w:p>
    <w:p w:rsidR="00DE45BE" w:rsidRPr="006843EF" w:rsidRDefault="00DE45BE" w:rsidP="00DE45BE">
      <w:pPr>
        <w:pStyle w:val="af4"/>
        <w:tabs>
          <w:tab w:val="left" w:pos="993"/>
        </w:tabs>
        <w:ind w:firstLine="709"/>
        <w:jc w:val="both"/>
        <w:rPr>
          <w:sz w:val="24"/>
          <w:szCs w:val="24"/>
        </w:rPr>
      </w:pPr>
      <w:r w:rsidRPr="006843EF">
        <w:rPr>
          <w:sz w:val="24"/>
          <w:szCs w:val="24"/>
        </w:rPr>
        <w:t xml:space="preserve">Как видно из таблицы № </w:t>
      </w:r>
      <w:r w:rsidR="0061558B" w:rsidRPr="006843EF">
        <w:rPr>
          <w:sz w:val="24"/>
          <w:szCs w:val="24"/>
        </w:rPr>
        <w:t>1</w:t>
      </w:r>
      <w:r w:rsidR="009A38B0" w:rsidRPr="006843EF">
        <w:rPr>
          <w:sz w:val="24"/>
          <w:szCs w:val="24"/>
        </w:rPr>
        <w:t>,</w:t>
      </w:r>
      <w:r w:rsidRPr="006843EF">
        <w:rPr>
          <w:sz w:val="24"/>
          <w:szCs w:val="24"/>
        </w:rPr>
        <w:t xml:space="preserve"> расходы Комитета в 2016 году исполнены на 15268770,2 тыс. руб., что меньше расходов Комитета в 2015 году (без учета расходов </w:t>
      </w:r>
      <w:r w:rsidR="0040560E" w:rsidRPr="006843EF">
        <w:rPr>
          <w:sz w:val="24"/>
          <w:szCs w:val="24"/>
        </w:rPr>
        <w:t>в сфере занятости населения)</w:t>
      </w:r>
      <w:r w:rsidRPr="006843EF">
        <w:rPr>
          <w:sz w:val="24"/>
          <w:szCs w:val="24"/>
        </w:rPr>
        <w:t xml:space="preserve"> на </w:t>
      </w:r>
      <w:r w:rsidR="009B0A24" w:rsidRPr="006843EF">
        <w:rPr>
          <w:sz w:val="24"/>
          <w:szCs w:val="24"/>
        </w:rPr>
        <w:t>700976,2 тыс. руб., или на 4,4</w:t>
      </w:r>
      <w:r w:rsidR="001F7695" w:rsidRPr="006843EF">
        <w:rPr>
          <w:sz w:val="24"/>
          <w:szCs w:val="24"/>
        </w:rPr>
        <w:t>%</w:t>
      </w:r>
      <w:r w:rsidR="00CB4A21" w:rsidRPr="006843EF">
        <w:rPr>
          <w:sz w:val="24"/>
          <w:szCs w:val="24"/>
        </w:rPr>
        <w:t>,</w:t>
      </w:r>
      <w:r w:rsidR="001F7695" w:rsidRPr="006843EF">
        <w:rPr>
          <w:sz w:val="24"/>
          <w:szCs w:val="24"/>
        </w:rPr>
        <w:t xml:space="preserve"> главным образом за счет сокращения расходов в результате принятия Социального кодекса Волгоградской области</w:t>
      </w:r>
      <w:r w:rsidR="009B0A24" w:rsidRPr="006843EF">
        <w:rPr>
          <w:sz w:val="24"/>
          <w:szCs w:val="24"/>
        </w:rPr>
        <w:t>.</w:t>
      </w:r>
      <w:r w:rsidR="001F7695" w:rsidRPr="006843EF">
        <w:rPr>
          <w:sz w:val="24"/>
          <w:szCs w:val="24"/>
        </w:rPr>
        <w:t xml:space="preserve"> </w:t>
      </w:r>
      <w:proofErr w:type="gramStart"/>
      <w:r w:rsidR="001F7695" w:rsidRPr="006843EF">
        <w:rPr>
          <w:sz w:val="24"/>
          <w:szCs w:val="24"/>
        </w:rPr>
        <w:t xml:space="preserve">Вместе с тем расходы по </w:t>
      </w:r>
      <w:r w:rsidR="009A38B0" w:rsidRPr="006843EF">
        <w:rPr>
          <w:sz w:val="24"/>
          <w:szCs w:val="24"/>
        </w:rPr>
        <w:t xml:space="preserve">подразделу 1001 «Пенсионное обеспечение» выросли на 13260,2 тыс. руб. за счет увеличения количества получателей доплат к пенсиям, по подразделу 1004 «Охрана семьи и детства» </w:t>
      </w:r>
      <w:r w:rsidR="00B87B82" w:rsidRPr="006843EF">
        <w:rPr>
          <w:sz w:val="24"/>
          <w:szCs w:val="24"/>
        </w:rPr>
        <w:t xml:space="preserve">- </w:t>
      </w:r>
      <w:r w:rsidR="009A38B0" w:rsidRPr="006843EF">
        <w:rPr>
          <w:sz w:val="24"/>
          <w:szCs w:val="24"/>
        </w:rPr>
        <w:t xml:space="preserve">на 358033,6 тыс. </w:t>
      </w:r>
      <w:r w:rsidR="005A7918" w:rsidRPr="006843EF">
        <w:rPr>
          <w:sz w:val="24"/>
          <w:szCs w:val="24"/>
        </w:rPr>
        <w:t>руб.</w:t>
      </w:r>
      <w:r w:rsidR="009A38B0" w:rsidRPr="006843EF">
        <w:rPr>
          <w:sz w:val="24"/>
          <w:szCs w:val="24"/>
        </w:rPr>
        <w:t xml:space="preserve"> за счет </w:t>
      </w:r>
      <w:r w:rsidR="00E706E6" w:rsidRPr="006843EF">
        <w:rPr>
          <w:sz w:val="24"/>
          <w:szCs w:val="24"/>
        </w:rPr>
        <w:t>увеличения размера ежемесяч</w:t>
      </w:r>
      <w:r w:rsidR="005A7918" w:rsidRPr="006843EF">
        <w:rPr>
          <w:sz w:val="24"/>
          <w:szCs w:val="24"/>
        </w:rPr>
        <w:t>н</w:t>
      </w:r>
      <w:r w:rsidR="00E706E6" w:rsidRPr="006843EF">
        <w:rPr>
          <w:sz w:val="24"/>
          <w:szCs w:val="24"/>
        </w:rPr>
        <w:t>ой</w:t>
      </w:r>
      <w:r w:rsidR="005A7918" w:rsidRPr="006843EF">
        <w:rPr>
          <w:sz w:val="24"/>
          <w:szCs w:val="24"/>
        </w:rPr>
        <w:t xml:space="preserve"> денежн</w:t>
      </w:r>
      <w:r w:rsidR="00E706E6" w:rsidRPr="006843EF">
        <w:rPr>
          <w:sz w:val="24"/>
          <w:szCs w:val="24"/>
        </w:rPr>
        <w:t>ой</w:t>
      </w:r>
      <w:r w:rsidR="005A7918" w:rsidRPr="006843EF">
        <w:rPr>
          <w:sz w:val="24"/>
          <w:szCs w:val="24"/>
        </w:rPr>
        <w:t xml:space="preserve"> выплат</w:t>
      </w:r>
      <w:r w:rsidR="00E706E6" w:rsidRPr="006843EF">
        <w:rPr>
          <w:sz w:val="24"/>
          <w:szCs w:val="24"/>
        </w:rPr>
        <w:t>ы в</w:t>
      </w:r>
      <w:r w:rsidR="005A7918" w:rsidRPr="006843EF">
        <w:rPr>
          <w:sz w:val="24"/>
          <w:szCs w:val="24"/>
        </w:rPr>
        <w:t xml:space="preserve"> случае рождения третьего ребенка или последующих детей до достижения ребенк</w:t>
      </w:r>
      <w:r w:rsidR="00CB4A21" w:rsidRPr="006843EF">
        <w:rPr>
          <w:sz w:val="24"/>
          <w:szCs w:val="24"/>
        </w:rPr>
        <w:t>ом</w:t>
      </w:r>
      <w:r w:rsidR="005A7918" w:rsidRPr="006843EF">
        <w:rPr>
          <w:sz w:val="24"/>
          <w:szCs w:val="24"/>
        </w:rPr>
        <w:t xml:space="preserve"> возраста трех лет</w:t>
      </w:r>
      <w:r w:rsidR="00AD5737" w:rsidRPr="006843EF">
        <w:rPr>
          <w:sz w:val="24"/>
          <w:szCs w:val="24"/>
        </w:rPr>
        <w:t xml:space="preserve"> с 7268 руб. до 7693 руб</w:t>
      </w:r>
      <w:proofErr w:type="gramEnd"/>
      <w:r w:rsidR="00AD5737" w:rsidRPr="006843EF">
        <w:rPr>
          <w:sz w:val="24"/>
          <w:szCs w:val="24"/>
        </w:rPr>
        <w:t>., а также  численности получателей с 12665 чел. до 13216 человек</w:t>
      </w:r>
      <w:r w:rsidR="005A7918" w:rsidRPr="006843EF">
        <w:rPr>
          <w:sz w:val="24"/>
          <w:szCs w:val="24"/>
        </w:rPr>
        <w:t>.</w:t>
      </w:r>
    </w:p>
    <w:p w:rsidR="004E65E3" w:rsidRPr="006843EF" w:rsidRDefault="00F14B1B" w:rsidP="00AE635C">
      <w:pPr>
        <w:pStyle w:val="2"/>
        <w:spacing w:after="0" w:line="240" w:lineRule="auto"/>
        <w:ind w:firstLine="709"/>
        <w:jc w:val="both"/>
      </w:pPr>
      <w:r w:rsidRPr="006843EF">
        <w:t>В</w:t>
      </w:r>
      <w:r w:rsidR="004E65E3" w:rsidRPr="006843EF">
        <w:t xml:space="preserve"> 2016 году Комитет осуществлял реализацию 4 государственных программ Волгоградской области (далее ГП, программы), расходы по которым исполнены на </w:t>
      </w:r>
      <w:r w:rsidR="004E65E3" w:rsidRPr="006843EF">
        <w:lastRenderedPageBreak/>
        <w:t>15147913,4 тыс. руб., или 99,2% от исполненных расходов Комитета за 2016 год</w:t>
      </w:r>
      <w:r w:rsidR="008F29DF" w:rsidRPr="006843EF">
        <w:t xml:space="preserve"> </w:t>
      </w:r>
      <w:r w:rsidR="004E65E3" w:rsidRPr="006843EF">
        <w:t xml:space="preserve">и 97,8% от утвержденных бюджетных ассигнований. </w:t>
      </w:r>
    </w:p>
    <w:p w:rsidR="002B496E" w:rsidRPr="006843EF" w:rsidRDefault="002B496E" w:rsidP="00AE635C">
      <w:pPr>
        <w:pStyle w:val="2"/>
        <w:spacing w:after="0" w:line="240" w:lineRule="auto"/>
        <w:ind w:firstLine="709"/>
        <w:jc w:val="both"/>
      </w:pPr>
      <w:proofErr w:type="gramStart"/>
      <w:r w:rsidRPr="006843EF">
        <w:t xml:space="preserve">По 2 ГП Комитет являлся ответственным исполнителем - ГП «Социальная поддержка граждан» на 2014-2016 годы и на период до 2020 года, утвержденная  постановлением Правительства Волгоградской области от 09.12.2013 № 705-п, и ГП «Формирование доступной среды жизнедеятельности для инвалидов и </w:t>
      </w:r>
      <w:proofErr w:type="spellStart"/>
      <w:r w:rsidRPr="006843EF">
        <w:t>маломобильных</w:t>
      </w:r>
      <w:proofErr w:type="spellEnd"/>
      <w:r w:rsidRPr="006843EF">
        <w:t xml:space="preserve"> групп населения в Волгоградской области» на 2014-2016 годы, утвержденная  постановлением Правительства Волгоградской области от 30.12.2013 № 805-п. </w:t>
      </w:r>
      <w:proofErr w:type="gramEnd"/>
    </w:p>
    <w:p w:rsidR="004E65E3" w:rsidRPr="006843EF" w:rsidRDefault="003A490A" w:rsidP="00AE635C">
      <w:pPr>
        <w:autoSpaceDE w:val="0"/>
        <w:autoSpaceDN w:val="0"/>
        <w:adjustRightInd w:val="0"/>
        <w:ind w:firstLine="709"/>
        <w:jc w:val="both"/>
        <w:outlineLvl w:val="2"/>
        <w:rPr>
          <w:b/>
          <w:i/>
        </w:rPr>
      </w:pPr>
      <w:r w:rsidRPr="006843EF">
        <w:t>С</w:t>
      </w:r>
      <w:r w:rsidR="005874B7" w:rsidRPr="006843EF">
        <w:t>равнение расходов, исполненных в 2015 и 2016 годы</w:t>
      </w:r>
      <w:r w:rsidRPr="006843EF">
        <w:t xml:space="preserve"> на реализацию ГП</w:t>
      </w:r>
      <w:r w:rsidR="005874B7" w:rsidRPr="006843EF">
        <w:t>,</w:t>
      </w:r>
      <w:r w:rsidR="004F3B23" w:rsidRPr="006843EF">
        <w:t xml:space="preserve"> представлен</w:t>
      </w:r>
      <w:r w:rsidR="005874B7" w:rsidRPr="006843EF">
        <w:t>о</w:t>
      </w:r>
      <w:r w:rsidR="004F3B23" w:rsidRPr="006843EF">
        <w:t xml:space="preserve"> </w:t>
      </w:r>
      <w:r w:rsidR="004E65E3" w:rsidRPr="006843EF">
        <w:t xml:space="preserve">в таблице № </w:t>
      </w:r>
      <w:r w:rsidR="00AF04B8" w:rsidRPr="006843EF">
        <w:t>2</w:t>
      </w:r>
      <w:r w:rsidR="004E65E3" w:rsidRPr="006843EF">
        <w:t>.</w:t>
      </w:r>
    </w:p>
    <w:p w:rsidR="004E65E3" w:rsidRPr="006843EF" w:rsidRDefault="004E65E3" w:rsidP="00AE635C">
      <w:pPr>
        <w:pStyle w:val="af4"/>
        <w:ind w:firstLine="709"/>
        <w:jc w:val="right"/>
        <w:rPr>
          <w:i/>
          <w:sz w:val="24"/>
          <w:szCs w:val="24"/>
        </w:rPr>
      </w:pPr>
      <w:r w:rsidRPr="006843EF">
        <w:rPr>
          <w:i/>
          <w:sz w:val="24"/>
          <w:szCs w:val="24"/>
        </w:rPr>
        <w:t xml:space="preserve">Таблица № </w:t>
      </w:r>
      <w:r w:rsidR="004F3B23" w:rsidRPr="006843EF">
        <w:rPr>
          <w:i/>
          <w:sz w:val="24"/>
          <w:szCs w:val="24"/>
        </w:rPr>
        <w:t>2</w:t>
      </w:r>
      <w:r w:rsidRPr="006843EF">
        <w:rPr>
          <w:i/>
          <w:sz w:val="24"/>
          <w:szCs w:val="24"/>
        </w:rPr>
        <w:t>, тыс. руб.</w:t>
      </w:r>
    </w:p>
    <w:tbl>
      <w:tblPr>
        <w:tblW w:w="9560" w:type="dxa"/>
        <w:tblInd w:w="-17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591"/>
        <w:gridCol w:w="1134"/>
        <w:gridCol w:w="1133"/>
        <w:gridCol w:w="900"/>
        <w:gridCol w:w="802"/>
      </w:tblGrid>
      <w:tr w:rsidR="004E65E3" w:rsidRPr="006843EF" w:rsidTr="002002C6">
        <w:trPr>
          <w:trHeight w:val="144"/>
        </w:trPr>
        <w:tc>
          <w:tcPr>
            <w:tcW w:w="5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5E3" w:rsidRPr="006843EF" w:rsidRDefault="004E65E3" w:rsidP="003A490A">
            <w:pPr>
              <w:jc w:val="center"/>
              <w:rPr>
                <w:sz w:val="16"/>
                <w:szCs w:val="16"/>
              </w:rPr>
            </w:pPr>
            <w:r w:rsidRPr="006843EF">
              <w:rPr>
                <w:sz w:val="16"/>
                <w:szCs w:val="16"/>
              </w:rPr>
              <w:t>Наименование государственной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5E3" w:rsidRPr="006843EF" w:rsidRDefault="004E65E3" w:rsidP="003A490A">
            <w:pPr>
              <w:jc w:val="center"/>
              <w:rPr>
                <w:sz w:val="16"/>
                <w:szCs w:val="16"/>
              </w:rPr>
            </w:pPr>
            <w:r w:rsidRPr="006843EF">
              <w:rPr>
                <w:sz w:val="16"/>
                <w:szCs w:val="16"/>
              </w:rPr>
              <w:t>Исполнено в 2015 году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5E3" w:rsidRPr="006843EF" w:rsidRDefault="004E65E3" w:rsidP="003A490A">
            <w:pPr>
              <w:jc w:val="center"/>
              <w:rPr>
                <w:sz w:val="16"/>
                <w:szCs w:val="16"/>
              </w:rPr>
            </w:pPr>
            <w:r w:rsidRPr="006843EF">
              <w:rPr>
                <w:sz w:val="16"/>
                <w:szCs w:val="16"/>
              </w:rPr>
              <w:t>Исполнено в 2016 году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E3" w:rsidRPr="006843EF" w:rsidRDefault="004E65E3" w:rsidP="003A490A">
            <w:pPr>
              <w:jc w:val="center"/>
              <w:rPr>
                <w:sz w:val="16"/>
                <w:szCs w:val="16"/>
              </w:rPr>
            </w:pPr>
            <w:r w:rsidRPr="006843EF">
              <w:rPr>
                <w:sz w:val="16"/>
                <w:szCs w:val="16"/>
              </w:rPr>
              <w:t>Отклонение</w:t>
            </w:r>
          </w:p>
        </w:tc>
      </w:tr>
      <w:tr w:rsidR="004E65E3" w:rsidRPr="006843EF" w:rsidTr="002002C6">
        <w:trPr>
          <w:trHeight w:val="163"/>
        </w:trPr>
        <w:tc>
          <w:tcPr>
            <w:tcW w:w="5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5E3" w:rsidRPr="006843EF" w:rsidRDefault="004E65E3" w:rsidP="003A490A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5E3" w:rsidRPr="006843EF" w:rsidRDefault="004E65E3" w:rsidP="003A490A">
            <w:pPr>
              <w:ind w:firstLine="709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5E3" w:rsidRPr="006843EF" w:rsidRDefault="004E65E3" w:rsidP="003A490A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E3" w:rsidRPr="006843EF" w:rsidRDefault="004E65E3" w:rsidP="003A490A">
            <w:pPr>
              <w:jc w:val="center"/>
              <w:rPr>
                <w:sz w:val="16"/>
                <w:szCs w:val="16"/>
              </w:rPr>
            </w:pPr>
            <w:r w:rsidRPr="006843EF">
              <w:rPr>
                <w:sz w:val="16"/>
                <w:szCs w:val="16"/>
              </w:rPr>
              <w:t>тыс. руб.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E3" w:rsidRPr="006843EF" w:rsidRDefault="004E65E3" w:rsidP="003A490A">
            <w:pPr>
              <w:jc w:val="center"/>
              <w:rPr>
                <w:sz w:val="16"/>
                <w:szCs w:val="16"/>
              </w:rPr>
            </w:pPr>
            <w:r w:rsidRPr="006843EF">
              <w:rPr>
                <w:sz w:val="16"/>
                <w:szCs w:val="16"/>
              </w:rPr>
              <w:t>%</w:t>
            </w:r>
          </w:p>
        </w:tc>
      </w:tr>
      <w:tr w:rsidR="004E65E3" w:rsidRPr="006843EF" w:rsidTr="002002C6">
        <w:trPr>
          <w:trHeight w:val="312"/>
        </w:trPr>
        <w:tc>
          <w:tcPr>
            <w:tcW w:w="5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E3" w:rsidRPr="006843EF" w:rsidRDefault="004E65E3" w:rsidP="003A490A">
            <w:pPr>
              <w:rPr>
                <w:sz w:val="16"/>
                <w:szCs w:val="16"/>
              </w:rPr>
            </w:pPr>
            <w:r w:rsidRPr="006843EF">
              <w:rPr>
                <w:sz w:val="16"/>
                <w:szCs w:val="16"/>
              </w:rPr>
              <w:t>ГП «Социальная поддержка граждан» на 2014-2016 годы и на период до 2020 года, утверждена постановлением Правительства Волгоградской области от 09.12.2013 №705-п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E3" w:rsidRPr="006843EF" w:rsidRDefault="004E65E3" w:rsidP="003A490A">
            <w:pPr>
              <w:jc w:val="center"/>
              <w:rPr>
                <w:sz w:val="16"/>
                <w:szCs w:val="16"/>
              </w:rPr>
            </w:pPr>
            <w:r w:rsidRPr="006843EF">
              <w:rPr>
                <w:sz w:val="16"/>
                <w:szCs w:val="16"/>
              </w:rPr>
              <w:t>15 754 834,4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E3" w:rsidRPr="006843EF" w:rsidRDefault="004E65E3" w:rsidP="003A490A">
            <w:pPr>
              <w:jc w:val="center"/>
              <w:rPr>
                <w:sz w:val="16"/>
                <w:szCs w:val="16"/>
              </w:rPr>
            </w:pPr>
            <w:r w:rsidRPr="006843EF">
              <w:rPr>
                <w:sz w:val="16"/>
                <w:szCs w:val="16"/>
              </w:rPr>
              <w:t>14 936 446,8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E3" w:rsidRPr="006843EF" w:rsidRDefault="004E65E3" w:rsidP="003A490A">
            <w:pPr>
              <w:jc w:val="center"/>
              <w:rPr>
                <w:sz w:val="16"/>
                <w:szCs w:val="16"/>
              </w:rPr>
            </w:pPr>
            <w:r w:rsidRPr="006843EF">
              <w:rPr>
                <w:sz w:val="16"/>
                <w:szCs w:val="16"/>
              </w:rPr>
              <w:t>-818 387,6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E3" w:rsidRPr="006843EF" w:rsidRDefault="004E65E3" w:rsidP="003A490A">
            <w:pPr>
              <w:jc w:val="center"/>
              <w:rPr>
                <w:sz w:val="16"/>
                <w:szCs w:val="16"/>
              </w:rPr>
            </w:pPr>
            <w:r w:rsidRPr="006843EF">
              <w:rPr>
                <w:sz w:val="16"/>
                <w:szCs w:val="16"/>
              </w:rPr>
              <w:t>-5,2</w:t>
            </w:r>
          </w:p>
        </w:tc>
      </w:tr>
      <w:tr w:rsidR="004E65E3" w:rsidRPr="006843EF" w:rsidTr="002002C6">
        <w:trPr>
          <w:trHeight w:val="217"/>
        </w:trPr>
        <w:tc>
          <w:tcPr>
            <w:tcW w:w="5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E3" w:rsidRPr="006843EF" w:rsidRDefault="004E65E3" w:rsidP="003A490A">
            <w:pPr>
              <w:rPr>
                <w:i/>
                <w:sz w:val="16"/>
                <w:szCs w:val="16"/>
              </w:rPr>
            </w:pPr>
            <w:r w:rsidRPr="006843EF">
              <w:rPr>
                <w:i/>
                <w:sz w:val="16"/>
                <w:szCs w:val="16"/>
              </w:rPr>
              <w:t>Подпрограмма «Развитие мер социальной поддержки отдельных категорий граждан на территории Волгоградской области»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E3" w:rsidRPr="006843EF" w:rsidRDefault="004E65E3" w:rsidP="003A490A">
            <w:pPr>
              <w:jc w:val="center"/>
              <w:rPr>
                <w:i/>
                <w:sz w:val="16"/>
                <w:szCs w:val="16"/>
              </w:rPr>
            </w:pPr>
            <w:r w:rsidRPr="006843EF">
              <w:rPr>
                <w:i/>
                <w:sz w:val="16"/>
                <w:szCs w:val="16"/>
              </w:rPr>
              <w:t>8 634 979,1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E3" w:rsidRPr="006843EF" w:rsidRDefault="004E65E3" w:rsidP="003A490A">
            <w:pPr>
              <w:jc w:val="center"/>
              <w:rPr>
                <w:i/>
                <w:sz w:val="16"/>
                <w:szCs w:val="16"/>
              </w:rPr>
            </w:pPr>
            <w:r w:rsidRPr="006843EF">
              <w:rPr>
                <w:i/>
                <w:sz w:val="16"/>
                <w:szCs w:val="16"/>
              </w:rPr>
              <w:t>7 944 996,9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E3" w:rsidRPr="006843EF" w:rsidRDefault="004E65E3" w:rsidP="003A490A">
            <w:pPr>
              <w:jc w:val="center"/>
              <w:rPr>
                <w:i/>
                <w:sz w:val="16"/>
                <w:szCs w:val="16"/>
              </w:rPr>
            </w:pPr>
            <w:r w:rsidRPr="006843EF">
              <w:rPr>
                <w:i/>
                <w:sz w:val="16"/>
                <w:szCs w:val="16"/>
              </w:rPr>
              <w:t>-689 982,2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E3" w:rsidRPr="006843EF" w:rsidRDefault="004E65E3" w:rsidP="003A490A">
            <w:pPr>
              <w:jc w:val="center"/>
              <w:rPr>
                <w:i/>
                <w:sz w:val="16"/>
                <w:szCs w:val="16"/>
              </w:rPr>
            </w:pPr>
            <w:r w:rsidRPr="006843EF">
              <w:rPr>
                <w:i/>
                <w:sz w:val="16"/>
                <w:szCs w:val="16"/>
              </w:rPr>
              <w:t>-8,0</w:t>
            </w:r>
          </w:p>
        </w:tc>
      </w:tr>
      <w:tr w:rsidR="004E65E3" w:rsidRPr="006843EF" w:rsidTr="002002C6">
        <w:trPr>
          <w:trHeight w:val="56"/>
        </w:trPr>
        <w:tc>
          <w:tcPr>
            <w:tcW w:w="5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E3" w:rsidRPr="006843EF" w:rsidRDefault="004E65E3" w:rsidP="003A490A">
            <w:pPr>
              <w:rPr>
                <w:i/>
                <w:sz w:val="16"/>
                <w:szCs w:val="16"/>
              </w:rPr>
            </w:pPr>
            <w:r w:rsidRPr="006843EF">
              <w:rPr>
                <w:i/>
                <w:sz w:val="16"/>
                <w:szCs w:val="16"/>
              </w:rPr>
              <w:t>Подпрограмма «Совершенствование социальной поддержки семей и детей на территории Волгоградской области»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E3" w:rsidRPr="006843EF" w:rsidRDefault="004E65E3" w:rsidP="003A490A">
            <w:pPr>
              <w:jc w:val="center"/>
              <w:rPr>
                <w:i/>
                <w:sz w:val="16"/>
                <w:szCs w:val="16"/>
              </w:rPr>
            </w:pPr>
            <w:r w:rsidRPr="006843EF">
              <w:rPr>
                <w:i/>
                <w:sz w:val="16"/>
                <w:szCs w:val="16"/>
              </w:rPr>
              <w:t>3 470 930,2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E3" w:rsidRPr="006843EF" w:rsidRDefault="004E65E3" w:rsidP="003A490A">
            <w:pPr>
              <w:jc w:val="center"/>
              <w:rPr>
                <w:i/>
                <w:sz w:val="16"/>
                <w:szCs w:val="16"/>
              </w:rPr>
            </w:pPr>
            <w:r w:rsidRPr="006843EF">
              <w:rPr>
                <w:i/>
                <w:sz w:val="16"/>
                <w:szCs w:val="16"/>
              </w:rPr>
              <w:t>3 640 513,5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E3" w:rsidRPr="006843EF" w:rsidRDefault="004E65E3" w:rsidP="003A490A">
            <w:pPr>
              <w:jc w:val="center"/>
              <w:rPr>
                <w:i/>
                <w:sz w:val="16"/>
                <w:szCs w:val="16"/>
              </w:rPr>
            </w:pPr>
            <w:r w:rsidRPr="006843EF">
              <w:rPr>
                <w:i/>
                <w:sz w:val="16"/>
                <w:szCs w:val="16"/>
              </w:rPr>
              <w:t>169 583,3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E3" w:rsidRPr="006843EF" w:rsidRDefault="004E65E3" w:rsidP="003A490A">
            <w:pPr>
              <w:jc w:val="center"/>
              <w:rPr>
                <w:i/>
                <w:sz w:val="16"/>
                <w:szCs w:val="16"/>
              </w:rPr>
            </w:pPr>
            <w:r w:rsidRPr="006843EF">
              <w:rPr>
                <w:i/>
                <w:sz w:val="16"/>
                <w:szCs w:val="16"/>
              </w:rPr>
              <w:t>4,</w:t>
            </w:r>
            <w:r w:rsidR="002002C6" w:rsidRPr="006843EF">
              <w:rPr>
                <w:i/>
                <w:sz w:val="16"/>
                <w:szCs w:val="16"/>
              </w:rPr>
              <w:t>9</w:t>
            </w:r>
          </w:p>
        </w:tc>
      </w:tr>
      <w:tr w:rsidR="004E65E3" w:rsidRPr="006843EF" w:rsidTr="00A96D17">
        <w:trPr>
          <w:trHeight w:val="314"/>
        </w:trPr>
        <w:tc>
          <w:tcPr>
            <w:tcW w:w="5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E3" w:rsidRPr="006843EF" w:rsidRDefault="004E65E3" w:rsidP="003A490A">
            <w:pPr>
              <w:rPr>
                <w:i/>
                <w:sz w:val="16"/>
                <w:szCs w:val="16"/>
              </w:rPr>
            </w:pPr>
            <w:r w:rsidRPr="006843EF">
              <w:rPr>
                <w:i/>
                <w:sz w:val="16"/>
                <w:szCs w:val="16"/>
              </w:rPr>
              <w:t>Подпрограмма «Повышение качества жизни пожилых людей в Волгоградской области»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E3" w:rsidRPr="006843EF" w:rsidRDefault="004E65E3" w:rsidP="003A490A">
            <w:pPr>
              <w:jc w:val="center"/>
              <w:rPr>
                <w:i/>
                <w:sz w:val="16"/>
                <w:szCs w:val="16"/>
              </w:rPr>
            </w:pPr>
            <w:r w:rsidRPr="006843EF">
              <w:rPr>
                <w:i/>
                <w:sz w:val="16"/>
                <w:szCs w:val="16"/>
              </w:rPr>
              <w:t>27 412,5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E3" w:rsidRPr="006843EF" w:rsidRDefault="004E65E3" w:rsidP="003A490A">
            <w:pPr>
              <w:jc w:val="center"/>
              <w:rPr>
                <w:i/>
                <w:sz w:val="16"/>
                <w:szCs w:val="16"/>
              </w:rPr>
            </w:pPr>
            <w:r w:rsidRPr="006843EF">
              <w:rPr>
                <w:i/>
                <w:sz w:val="16"/>
                <w:szCs w:val="16"/>
              </w:rPr>
              <w:t>15 715,9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E3" w:rsidRPr="006843EF" w:rsidRDefault="004E65E3" w:rsidP="003A490A">
            <w:pPr>
              <w:jc w:val="center"/>
              <w:rPr>
                <w:i/>
                <w:sz w:val="16"/>
                <w:szCs w:val="16"/>
              </w:rPr>
            </w:pPr>
            <w:r w:rsidRPr="006843EF">
              <w:rPr>
                <w:i/>
                <w:sz w:val="16"/>
                <w:szCs w:val="16"/>
              </w:rPr>
              <w:t>-11 696,6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E3" w:rsidRPr="006843EF" w:rsidRDefault="004E65E3" w:rsidP="003A490A">
            <w:pPr>
              <w:jc w:val="center"/>
              <w:rPr>
                <w:i/>
                <w:sz w:val="16"/>
                <w:szCs w:val="16"/>
              </w:rPr>
            </w:pPr>
            <w:r w:rsidRPr="006843EF">
              <w:rPr>
                <w:i/>
                <w:sz w:val="16"/>
                <w:szCs w:val="16"/>
              </w:rPr>
              <w:t>-42,7</w:t>
            </w:r>
          </w:p>
        </w:tc>
      </w:tr>
      <w:tr w:rsidR="004E65E3" w:rsidRPr="006843EF" w:rsidTr="00A96D17">
        <w:trPr>
          <w:trHeight w:val="219"/>
        </w:trPr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E3" w:rsidRPr="006843EF" w:rsidRDefault="004E65E3" w:rsidP="003A490A">
            <w:pPr>
              <w:rPr>
                <w:i/>
                <w:sz w:val="16"/>
                <w:szCs w:val="16"/>
              </w:rPr>
            </w:pPr>
            <w:r w:rsidRPr="006843EF">
              <w:rPr>
                <w:i/>
                <w:sz w:val="16"/>
                <w:szCs w:val="16"/>
              </w:rPr>
              <w:t>Подпрограмма «Модернизация и развитие системы социальной защиты населения»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E3" w:rsidRPr="006843EF" w:rsidRDefault="004E65E3" w:rsidP="003A490A">
            <w:pPr>
              <w:jc w:val="center"/>
              <w:rPr>
                <w:i/>
                <w:sz w:val="16"/>
                <w:szCs w:val="16"/>
              </w:rPr>
            </w:pPr>
            <w:r w:rsidRPr="006843EF">
              <w:rPr>
                <w:i/>
                <w:sz w:val="16"/>
                <w:szCs w:val="16"/>
              </w:rPr>
              <w:t>3 621 512,6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E3" w:rsidRPr="006843EF" w:rsidRDefault="004E65E3" w:rsidP="003A490A">
            <w:pPr>
              <w:jc w:val="center"/>
              <w:rPr>
                <w:i/>
                <w:sz w:val="16"/>
                <w:szCs w:val="16"/>
              </w:rPr>
            </w:pPr>
            <w:r w:rsidRPr="006843EF">
              <w:rPr>
                <w:i/>
                <w:sz w:val="16"/>
                <w:szCs w:val="16"/>
              </w:rPr>
              <w:t>3 335 220,5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E3" w:rsidRPr="006843EF" w:rsidRDefault="004E65E3" w:rsidP="003A490A">
            <w:pPr>
              <w:jc w:val="center"/>
              <w:rPr>
                <w:i/>
                <w:sz w:val="16"/>
                <w:szCs w:val="16"/>
              </w:rPr>
            </w:pPr>
            <w:r w:rsidRPr="006843EF">
              <w:rPr>
                <w:i/>
                <w:sz w:val="16"/>
                <w:szCs w:val="16"/>
              </w:rPr>
              <w:t>-286 292,1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E3" w:rsidRPr="006843EF" w:rsidRDefault="004E65E3" w:rsidP="003A490A">
            <w:pPr>
              <w:jc w:val="center"/>
              <w:rPr>
                <w:i/>
                <w:sz w:val="16"/>
                <w:szCs w:val="16"/>
              </w:rPr>
            </w:pPr>
            <w:r w:rsidRPr="006843EF">
              <w:rPr>
                <w:i/>
                <w:sz w:val="16"/>
                <w:szCs w:val="16"/>
              </w:rPr>
              <w:t>-7,9</w:t>
            </w:r>
          </w:p>
        </w:tc>
      </w:tr>
      <w:tr w:rsidR="004E65E3" w:rsidRPr="006843EF" w:rsidTr="00A96D17">
        <w:trPr>
          <w:trHeight w:val="596"/>
        </w:trPr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E3" w:rsidRPr="006843EF" w:rsidRDefault="004E65E3" w:rsidP="003A490A">
            <w:pPr>
              <w:rPr>
                <w:sz w:val="16"/>
                <w:szCs w:val="16"/>
              </w:rPr>
            </w:pPr>
            <w:r w:rsidRPr="006843EF">
              <w:rPr>
                <w:sz w:val="16"/>
                <w:szCs w:val="16"/>
              </w:rPr>
              <w:t xml:space="preserve">ГП «Формирование доступной среды жизнедеятельности для инвалидов и маломобильных групп населения в Волгоградской области» на 2014-2016 годы, </w:t>
            </w:r>
            <w:proofErr w:type="gramStart"/>
            <w:r w:rsidRPr="006843EF">
              <w:rPr>
                <w:sz w:val="16"/>
                <w:szCs w:val="16"/>
              </w:rPr>
              <w:t>утверждена</w:t>
            </w:r>
            <w:proofErr w:type="gramEnd"/>
            <w:r w:rsidRPr="006843EF">
              <w:rPr>
                <w:sz w:val="16"/>
                <w:szCs w:val="16"/>
              </w:rPr>
              <w:t xml:space="preserve"> постановлением Правительства Волгоградской области от 30.12.2013 № 805-п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E3" w:rsidRPr="006843EF" w:rsidRDefault="004E65E3" w:rsidP="003A490A">
            <w:pPr>
              <w:jc w:val="center"/>
              <w:rPr>
                <w:sz w:val="16"/>
                <w:szCs w:val="16"/>
              </w:rPr>
            </w:pPr>
            <w:r w:rsidRPr="006843EF">
              <w:rPr>
                <w:sz w:val="16"/>
                <w:szCs w:val="16"/>
              </w:rPr>
              <w:t>71 752,1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E3" w:rsidRPr="006843EF" w:rsidRDefault="004E65E3" w:rsidP="003A490A">
            <w:pPr>
              <w:jc w:val="center"/>
              <w:rPr>
                <w:sz w:val="16"/>
                <w:szCs w:val="16"/>
              </w:rPr>
            </w:pPr>
            <w:r w:rsidRPr="006843EF">
              <w:rPr>
                <w:sz w:val="16"/>
                <w:szCs w:val="16"/>
              </w:rPr>
              <w:t>31 095,9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E3" w:rsidRPr="006843EF" w:rsidRDefault="004E65E3" w:rsidP="003A490A">
            <w:pPr>
              <w:jc w:val="center"/>
              <w:rPr>
                <w:sz w:val="16"/>
                <w:szCs w:val="16"/>
              </w:rPr>
            </w:pPr>
            <w:r w:rsidRPr="006843EF">
              <w:rPr>
                <w:sz w:val="16"/>
                <w:szCs w:val="16"/>
              </w:rPr>
              <w:t>-40 656,2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E3" w:rsidRPr="006843EF" w:rsidRDefault="004E65E3" w:rsidP="003A490A">
            <w:pPr>
              <w:jc w:val="center"/>
              <w:rPr>
                <w:sz w:val="16"/>
                <w:szCs w:val="16"/>
              </w:rPr>
            </w:pPr>
            <w:r w:rsidRPr="006843EF">
              <w:rPr>
                <w:sz w:val="16"/>
                <w:szCs w:val="16"/>
              </w:rPr>
              <w:t>-56,7</w:t>
            </w:r>
          </w:p>
        </w:tc>
      </w:tr>
      <w:tr w:rsidR="003A490A" w:rsidRPr="006843EF" w:rsidTr="003A490A">
        <w:trPr>
          <w:trHeight w:val="596"/>
        </w:trPr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0A" w:rsidRPr="006843EF" w:rsidRDefault="003A490A" w:rsidP="003A490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843EF">
              <w:rPr>
                <w:sz w:val="16"/>
                <w:szCs w:val="16"/>
              </w:rPr>
              <w:t>ГП «Защита населения и территории от чрезвычайных ситуаций, обеспечение пожарной безопасности» на 2014 - 2017 годы», утверждена постановлением Правительства Волгоградской области от 22.11.2013 № 650-п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0A" w:rsidRPr="006843EF" w:rsidRDefault="004527A6" w:rsidP="00A422EC">
            <w:pPr>
              <w:jc w:val="center"/>
              <w:rPr>
                <w:sz w:val="16"/>
                <w:szCs w:val="16"/>
              </w:rPr>
            </w:pPr>
            <w:r w:rsidRPr="006843EF">
              <w:rPr>
                <w:sz w:val="16"/>
                <w:szCs w:val="16"/>
              </w:rPr>
              <w:t>3 484,6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90A" w:rsidRPr="006843EF" w:rsidRDefault="000456BC" w:rsidP="00A422EC">
            <w:pPr>
              <w:jc w:val="center"/>
              <w:rPr>
                <w:sz w:val="16"/>
                <w:szCs w:val="16"/>
              </w:rPr>
            </w:pPr>
            <w:r w:rsidRPr="006843EF">
              <w:rPr>
                <w:sz w:val="16"/>
                <w:szCs w:val="16"/>
              </w:rPr>
              <w:t>4 574,1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90A" w:rsidRPr="006843EF" w:rsidRDefault="001A6058" w:rsidP="00A422EC">
            <w:pPr>
              <w:jc w:val="center"/>
              <w:rPr>
                <w:sz w:val="16"/>
                <w:szCs w:val="16"/>
              </w:rPr>
            </w:pPr>
            <w:r w:rsidRPr="006843EF">
              <w:rPr>
                <w:sz w:val="16"/>
                <w:szCs w:val="16"/>
              </w:rPr>
              <w:t>+1 089,5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90A" w:rsidRPr="006843EF" w:rsidRDefault="00BC073F" w:rsidP="00A422EC">
            <w:pPr>
              <w:jc w:val="center"/>
              <w:rPr>
                <w:sz w:val="16"/>
                <w:szCs w:val="16"/>
              </w:rPr>
            </w:pPr>
            <w:r w:rsidRPr="006843EF">
              <w:rPr>
                <w:sz w:val="16"/>
                <w:szCs w:val="16"/>
              </w:rPr>
              <w:t>+31,3</w:t>
            </w:r>
          </w:p>
        </w:tc>
      </w:tr>
      <w:tr w:rsidR="003A490A" w:rsidRPr="006843EF" w:rsidTr="00A96D17">
        <w:trPr>
          <w:trHeight w:val="596"/>
        </w:trPr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90A" w:rsidRPr="006843EF" w:rsidRDefault="00AF354F" w:rsidP="00AF354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843EF">
              <w:rPr>
                <w:sz w:val="16"/>
                <w:szCs w:val="16"/>
              </w:rPr>
              <w:t>ГП «Организация отдыха и оздоровления детей, проживающих в Волгоградской области» на 2016 - 2018 годы, утверждена постановлением Правительства Волгоградской области от 29.12.2015 № 810-п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90A" w:rsidRPr="006843EF" w:rsidRDefault="004527A6" w:rsidP="00A422EC">
            <w:pPr>
              <w:jc w:val="center"/>
              <w:rPr>
                <w:sz w:val="16"/>
                <w:szCs w:val="16"/>
              </w:rPr>
            </w:pPr>
            <w:r w:rsidRPr="006843EF">
              <w:rPr>
                <w:sz w:val="16"/>
                <w:szCs w:val="16"/>
              </w:rPr>
              <w:t>167 459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90A" w:rsidRPr="006843EF" w:rsidRDefault="00EA535A" w:rsidP="00A422EC">
            <w:pPr>
              <w:jc w:val="center"/>
              <w:rPr>
                <w:sz w:val="16"/>
                <w:szCs w:val="16"/>
              </w:rPr>
            </w:pPr>
            <w:r w:rsidRPr="006843EF">
              <w:rPr>
                <w:sz w:val="16"/>
                <w:szCs w:val="16"/>
              </w:rPr>
              <w:t>175 796,6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90A" w:rsidRPr="006843EF" w:rsidRDefault="001A6058" w:rsidP="00A422EC">
            <w:pPr>
              <w:jc w:val="center"/>
              <w:rPr>
                <w:sz w:val="16"/>
                <w:szCs w:val="16"/>
              </w:rPr>
            </w:pPr>
            <w:r w:rsidRPr="006843EF">
              <w:rPr>
                <w:sz w:val="16"/>
                <w:szCs w:val="16"/>
              </w:rPr>
              <w:t>+8 337,6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90A" w:rsidRPr="006843EF" w:rsidRDefault="00BC073F" w:rsidP="00A422EC">
            <w:pPr>
              <w:jc w:val="center"/>
              <w:rPr>
                <w:sz w:val="16"/>
                <w:szCs w:val="16"/>
              </w:rPr>
            </w:pPr>
            <w:r w:rsidRPr="006843EF">
              <w:rPr>
                <w:sz w:val="16"/>
                <w:szCs w:val="16"/>
              </w:rPr>
              <w:t>+5%</w:t>
            </w:r>
          </w:p>
        </w:tc>
      </w:tr>
      <w:tr w:rsidR="003D4C72" w:rsidRPr="006843EF" w:rsidTr="003D4C72">
        <w:trPr>
          <w:trHeight w:val="130"/>
        </w:trPr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72" w:rsidRPr="006843EF" w:rsidRDefault="003D4C72" w:rsidP="003A490A">
            <w:pPr>
              <w:rPr>
                <w:sz w:val="16"/>
                <w:szCs w:val="16"/>
              </w:rPr>
            </w:pPr>
            <w:r w:rsidRPr="006843EF">
              <w:rPr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C72" w:rsidRPr="006843EF" w:rsidRDefault="003D4C72" w:rsidP="00AC7215">
            <w:pPr>
              <w:jc w:val="center"/>
              <w:rPr>
                <w:sz w:val="16"/>
                <w:szCs w:val="16"/>
              </w:rPr>
            </w:pPr>
            <w:r w:rsidRPr="006843EF">
              <w:rPr>
                <w:sz w:val="16"/>
                <w:szCs w:val="16"/>
              </w:rPr>
              <w:t>15 </w:t>
            </w:r>
            <w:r w:rsidR="00AC7215" w:rsidRPr="006843EF">
              <w:rPr>
                <w:sz w:val="16"/>
                <w:szCs w:val="16"/>
              </w:rPr>
              <w:t>997</w:t>
            </w:r>
            <w:r w:rsidRPr="006843EF">
              <w:rPr>
                <w:sz w:val="16"/>
                <w:szCs w:val="16"/>
              </w:rPr>
              <w:t> 5</w:t>
            </w:r>
            <w:r w:rsidR="00AC7215" w:rsidRPr="006843EF">
              <w:rPr>
                <w:sz w:val="16"/>
                <w:szCs w:val="16"/>
              </w:rPr>
              <w:t>30</w:t>
            </w:r>
            <w:r w:rsidRPr="006843EF">
              <w:rPr>
                <w:sz w:val="16"/>
                <w:szCs w:val="16"/>
              </w:rPr>
              <w:t>,</w:t>
            </w:r>
            <w:r w:rsidR="00AC7215" w:rsidRPr="006843EF">
              <w:rPr>
                <w:sz w:val="16"/>
                <w:szCs w:val="16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72" w:rsidRPr="006843EF" w:rsidRDefault="003D4C72" w:rsidP="00FB3887">
            <w:pPr>
              <w:jc w:val="center"/>
              <w:rPr>
                <w:sz w:val="16"/>
                <w:szCs w:val="16"/>
              </w:rPr>
            </w:pPr>
            <w:r w:rsidRPr="006843EF">
              <w:rPr>
                <w:sz w:val="16"/>
                <w:szCs w:val="16"/>
              </w:rPr>
              <w:t>1</w:t>
            </w:r>
            <w:r w:rsidR="00FB3887" w:rsidRPr="006843EF">
              <w:rPr>
                <w:sz w:val="16"/>
                <w:szCs w:val="16"/>
              </w:rPr>
              <w:t>5</w:t>
            </w:r>
            <w:r w:rsidRPr="006843EF">
              <w:rPr>
                <w:sz w:val="16"/>
                <w:szCs w:val="16"/>
              </w:rPr>
              <w:t> </w:t>
            </w:r>
            <w:r w:rsidR="00FB3887" w:rsidRPr="006843EF">
              <w:rPr>
                <w:sz w:val="16"/>
                <w:szCs w:val="16"/>
              </w:rPr>
              <w:t>14</w:t>
            </w:r>
            <w:r w:rsidRPr="006843EF">
              <w:rPr>
                <w:sz w:val="16"/>
                <w:szCs w:val="16"/>
              </w:rPr>
              <w:t>7 </w:t>
            </w:r>
            <w:r w:rsidR="00FB3887" w:rsidRPr="006843EF">
              <w:rPr>
                <w:sz w:val="16"/>
                <w:szCs w:val="16"/>
              </w:rPr>
              <w:t>913</w:t>
            </w:r>
            <w:r w:rsidRPr="006843EF">
              <w:rPr>
                <w:sz w:val="16"/>
                <w:szCs w:val="16"/>
              </w:rPr>
              <w:t>,</w:t>
            </w:r>
            <w:r w:rsidR="00FB3887" w:rsidRPr="006843EF">
              <w:rPr>
                <w:sz w:val="16"/>
                <w:szCs w:val="16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72" w:rsidRPr="006843EF" w:rsidRDefault="003D4C72" w:rsidP="00FB3887">
            <w:pPr>
              <w:jc w:val="center"/>
              <w:rPr>
                <w:sz w:val="16"/>
                <w:szCs w:val="16"/>
              </w:rPr>
            </w:pPr>
            <w:r w:rsidRPr="006843EF">
              <w:rPr>
                <w:sz w:val="16"/>
                <w:szCs w:val="16"/>
              </w:rPr>
              <w:t>-8</w:t>
            </w:r>
            <w:r w:rsidR="00FB3887" w:rsidRPr="006843EF">
              <w:rPr>
                <w:sz w:val="16"/>
                <w:szCs w:val="16"/>
              </w:rPr>
              <w:t>4</w:t>
            </w:r>
            <w:r w:rsidRPr="006843EF">
              <w:rPr>
                <w:sz w:val="16"/>
                <w:szCs w:val="16"/>
              </w:rPr>
              <w:t>9 </w:t>
            </w:r>
            <w:r w:rsidR="00FB3887" w:rsidRPr="006843EF">
              <w:rPr>
                <w:sz w:val="16"/>
                <w:szCs w:val="16"/>
              </w:rPr>
              <w:t>616</w:t>
            </w:r>
            <w:r w:rsidRPr="006843EF">
              <w:rPr>
                <w:sz w:val="16"/>
                <w:szCs w:val="16"/>
              </w:rPr>
              <w:t>,</w:t>
            </w:r>
            <w:r w:rsidR="00FB3887" w:rsidRPr="006843EF">
              <w:rPr>
                <w:sz w:val="16"/>
                <w:szCs w:val="16"/>
              </w:rPr>
              <w:t>7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72" w:rsidRPr="006843EF" w:rsidRDefault="003D4C72" w:rsidP="0086646A">
            <w:pPr>
              <w:jc w:val="center"/>
              <w:rPr>
                <w:sz w:val="16"/>
                <w:szCs w:val="16"/>
              </w:rPr>
            </w:pPr>
            <w:r w:rsidRPr="006843EF">
              <w:rPr>
                <w:sz w:val="16"/>
                <w:szCs w:val="16"/>
              </w:rPr>
              <w:t>-5,</w:t>
            </w:r>
            <w:r w:rsidR="0086646A" w:rsidRPr="006843EF">
              <w:rPr>
                <w:sz w:val="16"/>
                <w:szCs w:val="16"/>
              </w:rPr>
              <w:t>3</w:t>
            </w:r>
          </w:p>
        </w:tc>
      </w:tr>
    </w:tbl>
    <w:p w:rsidR="004E65E3" w:rsidRPr="006843EF" w:rsidRDefault="004E65E3" w:rsidP="00AE635C">
      <w:pPr>
        <w:pStyle w:val="af4"/>
        <w:ind w:firstLine="709"/>
        <w:jc w:val="right"/>
        <w:rPr>
          <w:rFonts w:eastAsia="Times New Roman"/>
          <w:sz w:val="24"/>
          <w:szCs w:val="24"/>
        </w:rPr>
      </w:pPr>
    </w:p>
    <w:p w:rsidR="004E65E3" w:rsidRPr="006843EF" w:rsidRDefault="000C4E9E" w:rsidP="00AE635C">
      <w:pPr>
        <w:pStyle w:val="af4"/>
        <w:ind w:firstLine="709"/>
        <w:jc w:val="both"/>
        <w:rPr>
          <w:sz w:val="24"/>
          <w:szCs w:val="24"/>
        </w:rPr>
      </w:pPr>
      <w:r w:rsidRPr="006843EF">
        <w:rPr>
          <w:sz w:val="24"/>
          <w:szCs w:val="24"/>
        </w:rPr>
        <w:t xml:space="preserve">По </w:t>
      </w:r>
      <w:r w:rsidR="000E4478" w:rsidRPr="006843EF">
        <w:rPr>
          <w:sz w:val="24"/>
          <w:szCs w:val="24"/>
        </w:rPr>
        <w:t xml:space="preserve">ГП «Социальная поддержка граждан на 2014-2016 годы и на период до 2020 года» </w:t>
      </w:r>
      <w:r w:rsidR="00E56496" w:rsidRPr="006843EF">
        <w:rPr>
          <w:sz w:val="24"/>
          <w:szCs w:val="24"/>
        </w:rPr>
        <w:t xml:space="preserve">расходы </w:t>
      </w:r>
      <w:r w:rsidR="00AF5975" w:rsidRPr="006843EF">
        <w:rPr>
          <w:sz w:val="24"/>
          <w:szCs w:val="24"/>
        </w:rPr>
        <w:t>в 2016 году в сравнении с 2015 годом уменьш</w:t>
      </w:r>
      <w:r w:rsidR="00E56496" w:rsidRPr="006843EF">
        <w:rPr>
          <w:sz w:val="24"/>
          <w:szCs w:val="24"/>
        </w:rPr>
        <w:t>ены по следующим причинам</w:t>
      </w:r>
      <w:r w:rsidR="004E65E3" w:rsidRPr="006843EF">
        <w:rPr>
          <w:sz w:val="24"/>
          <w:szCs w:val="24"/>
        </w:rPr>
        <w:t>:</w:t>
      </w:r>
    </w:p>
    <w:p w:rsidR="004E65E3" w:rsidRPr="006843EF" w:rsidRDefault="000C4E9E" w:rsidP="00AE635C">
      <w:pPr>
        <w:pStyle w:val="af4"/>
        <w:numPr>
          <w:ilvl w:val="0"/>
          <w:numId w:val="36"/>
        </w:numPr>
        <w:tabs>
          <w:tab w:val="left" w:pos="851"/>
        </w:tabs>
        <w:ind w:left="0" w:firstLine="709"/>
        <w:jc w:val="both"/>
        <w:rPr>
          <w:sz w:val="24"/>
          <w:szCs w:val="24"/>
        </w:rPr>
      </w:pPr>
      <w:proofErr w:type="gramStart"/>
      <w:r w:rsidRPr="006843EF">
        <w:rPr>
          <w:sz w:val="24"/>
          <w:szCs w:val="24"/>
        </w:rPr>
        <w:t xml:space="preserve">по подпрограмме </w:t>
      </w:r>
      <w:r w:rsidR="004E65E3" w:rsidRPr="006843EF">
        <w:rPr>
          <w:sz w:val="24"/>
          <w:szCs w:val="24"/>
        </w:rPr>
        <w:t xml:space="preserve">«Развитие мер социальной поддержки отдельных категорий граждан на территории Волгоградской области» в связи </w:t>
      </w:r>
      <w:r w:rsidR="00AF5975" w:rsidRPr="006843EF">
        <w:rPr>
          <w:sz w:val="24"/>
          <w:szCs w:val="24"/>
        </w:rPr>
        <w:t xml:space="preserve">с </w:t>
      </w:r>
      <w:r w:rsidR="00652CCB" w:rsidRPr="006843EF">
        <w:rPr>
          <w:sz w:val="24"/>
          <w:szCs w:val="24"/>
        </w:rPr>
        <w:t>введени</w:t>
      </w:r>
      <w:r w:rsidR="00AF5975" w:rsidRPr="006843EF">
        <w:rPr>
          <w:sz w:val="24"/>
          <w:szCs w:val="24"/>
        </w:rPr>
        <w:t xml:space="preserve">ем Социального кодекса Волгоградской области с 01.07.2016, установившего критерии </w:t>
      </w:r>
      <w:proofErr w:type="spellStart"/>
      <w:r w:rsidR="00AF5975" w:rsidRPr="006843EF">
        <w:rPr>
          <w:sz w:val="24"/>
          <w:szCs w:val="24"/>
        </w:rPr>
        <w:t>адресности</w:t>
      </w:r>
      <w:proofErr w:type="spellEnd"/>
      <w:r w:rsidR="00AF5975" w:rsidRPr="006843EF">
        <w:rPr>
          <w:sz w:val="24"/>
          <w:szCs w:val="24"/>
        </w:rPr>
        <w:t xml:space="preserve"> и нуждаемости при предоставлении</w:t>
      </w:r>
      <w:r w:rsidR="001F2A6B" w:rsidRPr="006843EF">
        <w:rPr>
          <w:sz w:val="24"/>
          <w:szCs w:val="24"/>
        </w:rPr>
        <w:t xml:space="preserve"> мер социальной </w:t>
      </w:r>
      <w:r w:rsidR="004E65E3" w:rsidRPr="006843EF">
        <w:rPr>
          <w:sz w:val="24"/>
          <w:szCs w:val="24"/>
        </w:rPr>
        <w:t>помощи</w:t>
      </w:r>
      <w:r w:rsidR="000E4478" w:rsidRPr="006843EF">
        <w:rPr>
          <w:sz w:val="24"/>
          <w:szCs w:val="24"/>
        </w:rPr>
        <w:t xml:space="preserve"> и поддержки</w:t>
      </w:r>
      <w:r w:rsidR="004E65E3" w:rsidRPr="006843EF">
        <w:rPr>
          <w:sz w:val="24"/>
          <w:szCs w:val="24"/>
        </w:rPr>
        <w:t xml:space="preserve">, </w:t>
      </w:r>
      <w:r w:rsidR="001F2A6B" w:rsidRPr="006843EF">
        <w:rPr>
          <w:sz w:val="24"/>
          <w:szCs w:val="24"/>
        </w:rPr>
        <w:t xml:space="preserve">а также отменой </w:t>
      </w:r>
      <w:r w:rsidR="000E4478" w:rsidRPr="006843EF">
        <w:rPr>
          <w:sz w:val="24"/>
          <w:szCs w:val="24"/>
        </w:rPr>
        <w:t>дублирующих мер</w:t>
      </w:r>
      <w:r w:rsidR="001F2A6B" w:rsidRPr="006843EF">
        <w:rPr>
          <w:sz w:val="24"/>
          <w:szCs w:val="24"/>
        </w:rPr>
        <w:t xml:space="preserve"> социальной поддержки по результатам аудита социальной помощи и поддержки, проведённого КСП</w:t>
      </w:r>
      <w:r w:rsidR="000E4478" w:rsidRPr="006843EF">
        <w:rPr>
          <w:sz w:val="24"/>
          <w:szCs w:val="24"/>
        </w:rPr>
        <w:t>, на</w:t>
      </w:r>
      <w:r w:rsidR="004E65E3" w:rsidRPr="006843EF">
        <w:rPr>
          <w:sz w:val="24"/>
          <w:szCs w:val="24"/>
        </w:rPr>
        <w:t>:</w:t>
      </w:r>
      <w:proofErr w:type="gramEnd"/>
    </w:p>
    <w:p w:rsidR="004E65E3" w:rsidRPr="006843EF" w:rsidRDefault="004E65E3" w:rsidP="00AE635C">
      <w:pPr>
        <w:pStyle w:val="af4"/>
        <w:ind w:firstLine="709"/>
        <w:jc w:val="both"/>
        <w:rPr>
          <w:sz w:val="24"/>
          <w:szCs w:val="24"/>
        </w:rPr>
      </w:pPr>
      <w:proofErr w:type="gramStart"/>
      <w:r w:rsidRPr="006843EF">
        <w:rPr>
          <w:sz w:val="24"/>
          <w:szCs w:val="24"/>
        </w:rPr>
        <w:t>71407,8 тыс. руб. - выплата адресного социального пособия (2015 год - 259161,0 тыс. руб., 2016 год – 187753,3 тыс. руб.);</w:t>
      </w:r>
      <w:proofErr w:type="gramEnd"/>
    </w:p>
    <w:p w:rsidR="004E65E3" w:rsidRPr="006843EF" w:rsidRDefault="004E65E3" w:rsidP="00AE635C">
      <w:pPr>
        <w:pStyle w:val="af4"/>
        <w:ind w:firstLine="709"/>
        <w:jc w:val="both"/>
        <w:rPr>
          <w:sz w:val="24"/>
          <w:szCs w:val="24"/>
        </w:rPr>
      </w:pPr>
      <w:proofErr w:type="gramStart"/>
      <w:r w:rsidRPr="006843EF">
        <w:rPr>
          <w:sz w:val="24"/>
          <w:szCs w:val="24"/>
        </w:rPr>
        <w:t>39871,1 тыс. руб. - выплата единовременного социального пособия (2015 год - 118732,8 тыс. руб., 2016 год – 78861,7 тыс. руб.);</w:t>
      </w:r>
      <w:proofErr w:type="gramEnd"/>
    </w:p>
    <w:p w:rsidR="004E65E3" w:rsidRPr="006843EF" w:rsidRDefault="004E65E3" w:rsidP="00AE635C">
      <w:pPr>
        <w:pStyle w:val="af4"/>
        <w:ind w:firstLine="709"/>
        <w:jc w:val="both"/>
        <w:rPr>
          <w:sz w:val="24"/>
          <w:szCs w:val="24"/>
        </w:rPr>
      </w:pPr>
      <w:proofErr w:type="gramStart"/>
      <w:r w:rsidRPr="006843EF">
        <w:rPr>
          <w:sz w:val="24"/>
          <w:szCs w:val="24"/>
        </w:rPr>
        <w:t>44011,3 тыс. руб. – ежемесячное пособие на ребенка (2015 год - 1169755,3 тыс. руб., 2016 год – 1125744,0 тыс. руб.);</w:t>
      </w:r>
      <w:proofErr w:type="gramEnd"/>
    </w:p>
    <w:p w:rsidR="004E65E3" w:rsidRPr="006843EF" w:rsidRDefault="004E65E3" w:rsidP="00AE635C">
      <w:pPr>
        <w:pStyle w:val="af4"/>
        <w:ind w:firstLine="709"/>
        <w:jc w:val="both"/>
        <w:rPr>
          <w:sz w:val="24"/>
          <w:szCs w:val="24"/>
        </w:rPr>
      </w:pPr>
      <w:r w:rsidRPr="006843EF">
        <w:rPr>
          <w:sz w:val="24"/>
          <w:szCs w:val="24"/>
        </w:rPr>
        <w:t>269212,3 тыс. руб. – ежемесячные денежные выплаты ветеранам труда Волгоградской области согласно Закону Волгоградской области от 16.10.2006 № 1291-ОД «О ветеранах труда Волгоградской области» (2015 год – 910351,5 тыс. руб., 2016 год – 641139,2 тыс. руб.);</w:t>
      </w:r>
    </w:p>
    <w:p w:rsidR="004E65E3" w:rsidRPr="006843EF" w:rsidRDefault="004E65E3" w:rsidP="00AE635C">
      <w:pPr>
        <w:pStyle w:val="af4"/>
        <w:ind w:firstLine="709"/>
        <w:jc w:val="both"/>
        <w:rPr>
          <w:sz w:val="24"/>
          <w:szCs w:val="24"/>
        </w:rPr>
      </w:pPr>
      <w:r w:rsidRPr="006843EF">
        <w:rPr>
          <w:sz w:val="24"/>
          <w:szCs w:val="24"/>
        </w:rPr>
        <w:t>134984,8 тыс. руб. – меры социальной поддержки беременных женщин, кормящих матерей и детей в возрасте до 3-х лет (2015 год – 272538,7 тыс. руб., 2016 год – 137553,9 тыс. руб.)</w:t>
      </w:r>
      <w:r w:rsidR="00A20448" w:rsidRPr="006843EF">
        <w:rPr>
          <w:sz w:val="24"/>
          <w:szCs w:val="24"/>
        </w:rPr>
        <w:t xml:space="preserve"> – </w:t>
      </w:r>
      <w:proofErr w:type="gramStart"/>
      <w:r w:rsidR="00A20448" w:rsidRPr="006843EF">
        <w:rPr>
          <w:sz w:val="24"/>
          <w:szCs w:val="24"/>
        </w:rPr>
        <w:t>отменена</w:t>
      </w:r>
      <w:proofErr w:type="gramEnd"/>
      <w:r w:rsidR="00A20448" w:rsidRPr="006843EF">
        <w:rPr>
          <w:sz w:val="24"/>
          <w:szCs w:val="24"/>
        </w:rPr>
        <w:t xml:space="preserve"> с 01.07.201</w:t>
      </w:r>
      <w:r w:rsidR="007936DF" w:rsidRPr="006843EF">
        <w:rPr>
          <w:sz w:val="24"/>
          <w:szCs w:val="24"/>
        </w:rPr>
        <w:t>6</w:t>
      </w:r>
      <w:r w:rsidRPr="006843EF">
        <w:rPr>
          <w:sz w:val="24"/>
          <w:szCs w:val="24"/>
        </w:rPr>
        <w:t>;</w:t>
      </w:r>
    </w:p>
    <w:p w:rsidR="004E65E3" w:rsidRPr="006843EF" w:rsidRDefault="004E65E3" w:rsidP="00AE635C">
      <w:pPr>
        <w:pStyle w:val="af4"/>
        <w:ind w:firstLine="709"/>
        <w:jc w:val="both"/>
        <w:rPr>
          <w:sz w:val="24"/>
          <w:szCs w:val="24"/>
        </w:rPr>
      </w:pPr>
      <w:r w:rsidRPr="006843EF">
        <w:rPr>
          <w:sz w:val="24"/>
          <w:szCs w:val="24"/>
        </w:rPr>
        <w:t>85853,2 тыс. руб. – социальная услуга по предоставлению бесплатного питания и предоставление субсидии на оплату продуктов питания гражданам, находящимся в трудно</w:t>
      </w:r>
      <w:r w:rsidR="00CB4A21" w:rsidRPr="006843EF">
        <w:rPr>
          <w:sz w:val="24"/>
          <w:szCs w:val="24"/>
        </w:rPr>
        <w:t>й</w:t>
      </w:r>
      <w:r w:rsidRPr="006843EF">
        <w:rPr>
          <w:sz w:val="24"/>
          <w:szCs w:val="24"/>
        </w:rPr>
        <w:t xml:space="preserve"> жизненной ситуации (2015 год – 172300,5 тыс. руб., 2016 год – 86447,3 тыс. руб.)</w:t>
      </w:r>
      <w:r w:rsidR="00A20448" w:rsidRPr="006843EF">
        <w:rPr>
          <w:sz w:val="24"/>
          <w:szCs w:val="24"/>
        </w:rPr>
        <w:t xml:space="preserve"> - отменена с 01.07.201</w:t>
      </w:r>
      <w:r w:rsidR="007936DF" w:rsidRPr="006843EF">
        <w:rPr>
          <w:sz w:val="24"/>
          <w:szCs w:val="24"/>
        </w:rPr>
        <w:t>6</w:t>
      </w:r>
      <w:r w:rsidR="00A20448" w:rsidRPr="006843EF">
        <w:rPr>
          <w:sz w:val="24"/>
          <w:szCs w:val="24"/>
        </w:rPr>
        <w:t>;</w:t>
      </w:r>
    </w:p>
    <w:p w:rsidR="004E65E3" w:rsidRPr="006843EF" w:rsidRDefault="004E65E3" w:rsidP="00AE635C">
      <w:pPr>
        <w:pStyle w:val="af4"/>
        <w:ind w:firstLine="709"/>
        <w:jc w:val="both"/>
        <w:rPr>
          <w:sz w:val="24"/>
          <w:szCs w:val="24"/>
        </w:rPr>
      </w:pPr>
      <w:r w:rsidRPr="006843EF">
        <w:rPr>
          <w:sz w:val="24"/>
          <w:szCs w:val="24"/>
        </w:rPr>
        <w:lastRenderedPageBreak/>
        <w:t>60879,5 тыс. руб. – дополнительное единовременное денежное пособие гражданам в связи с рождением ребенка (2015 год – 321495,6 тыс. руб., 2016 год – 260616,1 тыс. руб.)</w:t>
      </w:r>
      <w:r w:rsidR="003904E3" w:rsidRPr="006843EF">
        <w:rPr>
          <w:sz w:val="24"/>
          <w:szCs w:val="24"/>
        </w:rPr>
        <w:t>.</w:t>
      </w:r>
    </w:p>
    <w:p w:rsidR="003904E3" w:rsidRPr="006843EF" w:rsidRDefault="003904E3" w:rsidP="00AE635C">
      <w:pPr>
        <w:pStyle w:val="af4"/>
        <w:ind w:firstLine="709"/>
        <w:jc w:val="both"/>
        <w:rPr>
          <w:sz w:val="24"/>
          <w:szCs w:val="24"/>
        </w:rPr>
      </w:pPr>
      <w:r w:rsidRPr="006843EF">
        <w:rPr>
          <w:sz w:val="24"/>
          <w:szCs w:val="24"/>
        </w:rPr>
        <w:t xml:space="preserve">По остальным мерам социальной поддержки расходы в 2016 году по сравнению с 2015 годом увеличены на 16,2 млн. руб., в </w:t>
      </w:r>
      <w:proofErr w:type="gramStart"/>
      <w:r w:rsidRPr="006843EF">
        <w:rPr>
          <w:sz w:val="24"/>
          <w:szCs w:val="24"/>
        </w:rPr>
        <w:t>связи</w:t>
      </w:r>
      <w:proofErr w:type="gramEnd"/>
      <w:r w:rsidRPr="006843EF">
        <w:rPr>
          <w:sz w:val="24"/>
          <w:szCs w:val="24"/>
        </w:rPr>
        <w:t xml:space="preserve"> с чем в целом по подпрограмме расходы уменьшены на 690 млн. рублей. </w:t>
      </w:r>
    </w:p>
    <w:p w:rsidR="004E65E3" w:rsidRPr="006843EF" w:rsidRDefault="000C4E9E" w:rsidP="00AE635C">
      <w:pPr>
        <w:pStyle w:val="af2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/>
        </w:rPr>
      </w:pPr>
      <w:r w:rsidRPr="006843EF">
        <w:rPr>
          <w:rFonts w:ascii="Times New Roman" w:eastAsia="Calibri" w:hAnsi="Times New Roman"/>
        </w:rPr>
        <w:t xml:space="preserve">по подпрограмме </w:t>
      </w:r>
      <w:r w:rsidR="004E65E3" w:rsidRPr="006843EF">
        <w:rPr>
          <w:rFonts w:ascii="Times New Roman" w:eastAsia="Calibri" w:hAnsi="Times New Roman"/>
        </w:rPr>
        <w:t xml:space="preserve">«Модернизация и развитие системы социальной защиты населения» </w:t>
      </w:r>
      <w:r w:rsidR="00071D3C" w:rsidRPr="006843EF">
        <w:rPr>
          <w:rFonts w:ascii="Times New Roman" w:eastAsia="Calibri" w:hAnsi="Times New Roman"/>
        </w:rPr>
        <w:t xml:space="preserve">в основном </w:t>
      </w:r>
      <w:r w:rsidR="004E65E3" w:rsidRPr="006843EF">
        <w:rPr>
          <w:rFonts w:ascii="Times New Roman" w:eastAsia="Calibri" w:hAnsi="Times New Roman"/>
        </w:rPr>
        <w:t>за счет сокращения расходов на обеспечение деятельности казенных учреждений</w:t>
      </w:r>
      <w:r w:rsidR="0014194A" w:rsidRPr="006843EF">
        <w:rPr>
          <w:rFonts w:ascii="Times New Roman" w:eastAsia="Calibri" w:hAnsi="Times New Roman"/>
        </w:rPr>
        <w:t xml:space="preserve"> (-219466,5 тыс. руб., или 9,4%)</w:t>
      </w:r>
      <w:r w:rsidR="004E65E3" w:rsidRPr="006843EF">
        <w:rPr>
          <w:rFonts w:ascii="Times New Roman" w:eastAsia="Calibri" w:hAnsi="Times New Roman"/>
        </w:rPr>
        <w:t xml:space="preserve">. </w:t>
      </w:r>
    </w:p>
    <w:p w:rsidR="004E65E3" w:rsidRPr="006843EF" w:rsidRDefault="00375321" w:rsidP="00AE635C">
      <w:pPr>
        <w:pStyle w:val="af4"/>
        <w:ind w:firstLine="709"/>
        <w:jc w:val="both"/>
        <w:rPr>
          <w:sz w:val="24"/>
          <w:szCs w:val="24"/>
        </w:rPr>
      </w:pPr>
      <w:proofErr w:type="gramStart"/>
      <w:r w:rsidRPr="006843EF">
        <w:rPr>
          <w:sz w:val="24"/>
          <w:szCs w:val="24"/>
        </w:rPr>
        <w:t>П</w:t>
      </w:r>
      <w:r w:rsidR="004E65E3" w:rsidRPr="006843EF">
        <w:rPr>
          <w:sz w:val="24"/>
          <w:szCs w:val="24"/>
        </w:rPr>
        <w:t xml:space="preserve">о ГП «Формирование доступной среды жизнедеятельности для инвалидов и маломобильных групп населения в Волгоградской области» на 2014-2016 годы на </w:t>
      </w:r>
      <w:r w:rsidR="004E65E3" w:rsidRPr="006843EF">
        <w:rPr>
          <w:rFonts w:eastAsia="Times New Roman"/>
          <w:sz w:val="24"/>
          <w:szCs w:val="24"/>
        </w:rPr>
        <w:t>40656,2 тыс. руб., или на 56,7%</w:t>
      </w:r>
      <w:r w:rsidR="004E65E3" w:rsidRPr="006843EF">
        <w:rPr>
          <w:sz w:val="24"/>
          <w:szCs w:val="24"/>
        </w:rPr>
        <w:t xml:space="preserve"> за счет </w:t>
      </w:r>
      <w:r w:rsidR="00C74261" w:rsidRPr="006843EF">
        <w:rPr>
          <w:sz w:val="24"/>
          <w:szCs w:val="24"/>
        </w:rPr>
        <w:t>уменьш</w:t>
      </w:r>
      <w:r w:rsidR="004E65E3" w:rsidRPr="006843EF">
        <w:rPr>
          <w:sz w:val="24"/>
          <w:szCs w:val="24"/>
        </w:rPr>
        <w:t>ения поступлений из федерального бюджета на адаптацию приоритетных объектов социальной инфраструктуры для инвалидов и других маломобильных групп населения</w:t>
      </w:r>
      <w:r w:rsidR="0007254A" w:rsidRPr="006843EF">
        <w:rPr>
          <w:sz w:val="24"/>
          <w:szCs w:val="24"/>
        </w:rPr>
        <w:t xml:space="preserve"> (-21721,1 тыс. руб.)</w:t>
      </w:r>
      <w:r w:rsidR="004E65E3" w:rsidRPr="006843EF">
        <w:rPr>
          <w:sz w:val="24"/>
          <w:szCs w:val="24"/>
        </w:rPr>
        <w:t>, а также осуществлением в 2015 году расходов по капитальному ремонту ГКУ СО</w:t>
      </w:r>
      <w:proofErr w:type="gramEnd"/>
      <w:r w:rsidR="004E65E3" w:rsidRPr="006843EF">
        <w:rPr>
          <w:sz w:val="24"/>
          <w:szCs w:val="24"/>
        </w:rPr>
        <w:t xml:space="preserve"> «</w:t>
      </w:r>
      <w:r w:rsidR="00AC581F" w:rsidRPr="006843EF">
        <w:rPr>
          <w:sz w:val="24"/>
          <w:szCs w:val="24"/>
        </w:rPr>
        <w:t>Волгоградский областной реабилитационный центр для граждан пожилого возраста и инвалидов</w:t>
      </w:r>
      <w:r w:rsidR="004E65E3" w:rsidRPr="006843EF">
        <w:rPr>
          <w:sz w:val="24"/>
          <w:szCs w:val="24"/>
        </w:rPr>
        <w:t>», которые в 2016 году не осуществлялись</w:t>
      </w:r>
      <w:r w:rsidR="0007254A" w:rsidRPr="006843EF">
        <w:rPr>
          <w:sz w:val="24"/>
          <w:szCs w:val="24"/>
        </w:rPr>
        <w:t xml:space="preserve"> (-17439,5 тыс. руб.)</w:t>
      </w:r>
      <w:r w:rsidR="004E65E3" w:rsidRPr="006843EF">
        <w:rPr>
          <w:sz w:val="24"/>
          <w:szCs w:val="24"/>
        </w:rPr>
        <w:t>.</w:t>
      </w:r>
    </w:p>
    <w:p w:rsidR="00A95FF1" w:rsidRPr="006843EF" w:rsidRDefault="00A95FF1" w:rsidP="00A95FF1">
      <w:pPr>
        <w:pStyle w:val="2"/>
        <w:spacing w:after="0" w:line="240" w:lineRule="auto"/>
        <w:ind w:firstLine="709"/>
        <w:jc w:val="both"/>
      </w:pPr>
      <w:r w:rsidRPr="006843EF">
        <w:t xml:space="preserve">Исполнение </w:t>
      </w:r>
      <w:r w:rsidR="00A51E83" w:rsidRPr="006843EF">
        <w:t xml:space="preserve">целевых </w:t>
      </w:r>
      <w:r w:rsidRPr="006843EF">
        <w:t xml:space="preserve">показателей </w:t>
      </w:r>
      <w:r w:rsidR="00A51E83" w:rsidRPr="006843EF">
        <w:t>государственных програм</w:t>
      </w:r>
      <w:r w:rsidRPr="006843EF">
        <w:t>м</w:t>
      </w:r>
      <w:r w:rsidR="00435208" w:rsidRPr="006843EF">
        <w:t xml:space="preserve"> </w:t>
      </w:r>
      <w:r w:rsidRPr="006843EF">
        <w:t>сложилось следующим образом:</w:t>
      </w:r>
    </w:p>
    <w:p w:rsidR="00190B93" w:rsidRPr="006843EF" w:rsidRDefault="00A95FF1" w:rsidP="00A95FF1">
      <w:pPr>
        <w:pStyle w:val="2"/>
        <w:spacing w:after="0" w:line="240" w:lineRule="auto"/>
        <w:ind w:firstLine="709"/>
        <w:jc w:val="both"/>
      </w:pPr>
      <w:proofErr w:type="gramStart"/>
      <w:r w:rsidRPr="006843EF">
        <w:t>- по ГП «Социальная поддержка граждан» на 2014-2016 годы и на период до 2020 года – из 1</w:t>
      </w:r>
      <w:r w:rsidR="00C0394F" w:rsidRPr="006843EF">
        <w:t>6</w:t>
      </w:r>
      <w:r w:rsidR="0009727A" w:rsidRPr="006843EF">
        <w:t xml:space="preserve"> </w:t>
      </w:r>
      <w:r w:rsidRPr="006843EF">
        <w:t>целевых показателей не выполнен 1</w:t>
      </w:r>
      <w:r w:rsidR="008A3407" w:rsidRPr="006843EF">
        <w:t xml:space="preserve"> -</w:t>
      </w:r>
      <w:r w:rsidR="00190B93" w:rsidRPr="006843EF">
        <w:t xml:space="preserve"> «</w:t>
      </w:r>
      <w:r w:rsidR="00EC6F8A" w:rsidRPr="006843EF">
        <w:t xml:space="preserve">Доля учреждений системы социальной </w:t>
      </w:r>
      <w:r w:rsidR="00190B93" w:rsidRPr="006843EF">
        <w:t>защиты населения, приведенных в соответствие с нормативным</w:t>
      </w:r>
      <w:r w:rsidR="00F1711F" w:rsidRPr="006843EF">
        <w:t>и</w:t>
      </w:r>
      <w:r w:rsidR="00190B93" w:rsidRPr="006843EF">
        <w:t xml:space="preserve"> требованиям</w:t>
      </w:r>
      <w:r w:rsidR="00F1711F" w:rsidRPr="006843EF">
        <w:t>и</w:t>
      </w:r>
      <w:r w:rsidR="00190B93" w:rsidRPr="006843EF">
        <w:t xml:space="preserve"> технических регламентов и нормам</w:t>
      </w:r>
      <w:r w:rsidR="00F1711F" w:rsidRPr="006843EF">
        <w:t>и</w:t>
      </w:r>
      <w:r w:rsidR="00190B93" w:rsidRPr="006843EF">
        <w:t xml:space="preserve"> </w:t>
      </w:r>
      <w:proofErr w:type="spellStart"/>
      <w:r w:rsidR="00190B93" w:rsidRPr="006843EF">
        <w:t>СанПиН</w:t>
      </w:r>
      <w:proofErr w:type="spellEnd"/>
      <w:r w:rsidR="00190B93" w:rsidRPr="006843EF">
        <w:t>, от общего количества учреждений системы социального обслуживания населения, запланированных к проведению в них ремонтно-строительных работ» (план 100%, факт 93%).</w:t>
      </w:r>
      <w:proofErr w:type="gramEnd"/>
      <w:r w:rsidR="00190B93" w:rsidRPr="006843EF">
        <w:t xml:space="preserve"> Данный показатель не исполнен по причине  проведения ремонтных работ в 13 учреждениях из 14 запланированных. Ремонт в ГКССУ СО ГПВИ «</w:t>
      </w:r>
      <w:proofErr w:type="spellStart"/>
      <w:r w:rsidR="00190B93" w:rsidRPr="006843EF">
        <w:t>Нижнегнутовский</w:t>
      </w:r>
      <w:proofErr w:type="spellEnd"/>
      <w:r w:rsidR="00190B93" w:rsidRPr="006843EF">
        <w:t xml:space="preserve"> дом-интер</w:t>
      </w:r>
      <w:r w:rsidR="00ED7FFE" w:rsidRPr="006843EF">
        <w:t>нат малой вместимости» не был проведен в связи с несостоявшимся электронным аукционом;</w:t>
      </w:r>
    </w:p>
    <w:p w:rsidR="00ED7FFE" w:rsidRPr="006843EF" w:rsidRDefault="00CB4A21" w:rsidP="00A95FF1">
      <w:pPr>
        <w:pStyle w:val="2"/>
        <w:spacing w:after="0" w:line="240" w:lineRule="auto"/>
        <w:ind w:firstLine="709"/>
        <w:jc w:val="both"/>
      </w:pPr>
      <w:proofErr w:type="gramStart"/>
      <w:r w:rsidRPr="006843EF">
        <w:t xml:space="preserve">- </w:t>
      </w:r>
      <w:r w:rsidR="00ED7FFE" w:rsidRPr="006843EF">
        <w:t>по ГП «Формирование доступной среды жизнедеятельности для инвалидов и маломобильных групп населения в Волгоградской области» на 2014-2016 годы</w:t>
      </w:r>
      <w:r w:rsidR="00A51E83" w:rsidRPr="006843EF">
        <w:t xml:space="preserve"> -  из 1</w:t>
      </w:r>
      <w:r w:rsidR="007E1982" w:rsidRPr="006843EF">
        <w:t>7</w:t>
      </w:r>
      <w:r w:rsidR="00A51E83" w:rsidRPr="006843EF">
        <w:t xml:space="preserve"> целевых показателей не выполнен</w:t>
      </w:r>
      <w:r w:rsidR="008A3407" w:rsidRPr="006843EF">
        <w:t xml:space="preserve"> 1</w:t>
      </w:r>
      <w:r w:rsidR="00A51E83" w:rsidRPr="006843EF">
        <w:t xml:space="preserve"> –</w:t>
      </w:r>
      <w:r w:rsidR="008B26DC" w:rsidRPr="006843EF">
        <w:t xml:space="preserve"> </w:t>
      </w:r>
      <w:r w:rsidR="00FD5C2B" w:rsidRPr="006843EF">
        <w:t>«Доля лиц с ограниченными возможностями здоровья и инвалидов, систематически занимающихся физической культурой и спортом, в общей численности этой категории населения в Волгоградской области» (план 12%, факт 10,1%).</w:t>
      </w:r>
      <w:proofErr w:type="gramEnd"/>
      <w:r w:rsidR="00FD5C2B" w:rsidRPr="006843EF">
        <w:t xml:space="preserve"> </w:t>
      </w:r>
      <w:r w:rsidR="00F80222" w:rsidRPr="006843EF">
        <w:t>Согласно отчету об исполнении программы д</w:t>
      </w:r>
      <w:r w:rsidR="00FD5C2B" w:rsidRPr="006843EF">
        <w:t>анный показатель не исполнен по причине острой нехватки либо полно</w:t>
      </w:r>
      <w:r w:rsidRPr="006843EF">
        <w:t xml:space="preserve">го </w:t>
      </w:r>
      <w:r w:rsidR="00FD5C2B" w:rsidRPr="006843EF">
        <w:t>отсутс</w:t>
      </w:r>
      <w:r w:rsidR="007C0FC2" w:rsidRPr="006843EF">
        <w:t>тви</w:t>
      </w:r>
      <w:r w:rsidRPr="006843EF">
        <w:t>я</w:t>
      </w:r>
      <w:r w:rsidR="007C0FC2" w:rsidRPr="006843EF">
        <w:t xml:space="preserve"> специалистов адаптивной физической культуры и спорта в учреждениях физической культуры и спорта и недостаточное финансирование развития данной сферы деятельности</w:t>
      </w:r>
      <w:r w:rsidR="00435208" w:rsidRPr="006843EF">
        <w:t>;</w:t>
      </w:r>
    </w:p>
    <w:p w:rsidR="00435208" w:rsidRPr="006843EF" w:rsidRDefault="00435208" w:rsidP="00A95FF1">
      <w:pPr>
        <w:pStyle w:val="2"/>
        <w:spacing w:after="0" w:line="240" w:lineRule="auto"/>
        <w:ind w:firstLine="709"/>
        <w:jc w:val="both"/>
      </w:pPr>
      <w:r w:rsidRPr="006843EF">
        <w:t>- по ГП «Защита населения и территории от чрезвычайных ситуаций, обеспечение пожарной безопасности» на 2014 - 2017 годы – не выполнены все 4 целевых показателя</w:t>
      </w:r>
      <w:r w:rsidR="00174B4E" w:rsidRPr="006843EF">
        <w:t>, характеризующие деятельность Комитета,</w:t>
      </w:r>
      <w:r w:rsidR="00C44AEC" w:rsidRPr="006843EF">
        <w:t xml:space="preserve"> </w:t>
      </w:r>
      <w:r w:rsidRPr="006843EF">
        <w:t>по причине неполного доведения бюджетных ассигнований (Законом об областном бюджете предусмотрено 9 млн. руб., ассигнования доведены на 5,2 млн. руб.):</w:t>
      </w:r>
    </w:p>
    <w:p w:rsidR="00435208" w:rsidRPr="006843EF" w:rsidRDefault="00435208" w:rsidP="00A95FF1">
      <w:pPr>
        <w:pStyle w:val="2"/>
        <w:spacing w:after="0" w:line="240" w:lineRule="auto"/>
        <w:ind w:firstLine="709"/>
        <w:jc w:val="both"/>
      </w:pPr>
      <w:r w:rsidRPr="006843EF">
        <w:t>доля зданий государственных учреждений социального обслуживания населения, в которых установлена автоматическая пожарная сигнализация, от общего количества зданий государственных учреждений социального обслуживания населения (план 100%, факт 95,8%);</w:t>
      </w:r>
    </w:p>
    <w:p w:rsidR="00435208" w:rsidRPr="006843EF" w:rsidRDefault="00435208" w:rsidP="00A95FF1">
      <w:pPr>
        <w:pStyle w:val="2"/>
        <w:spacing w:after="0" w:line="240" w:lineRule="auto"/>
        <w:ind w:firstLine="709"/>
        <w:jc w:val="both"/>
      </w:pPr>
      <w:r w:rsidRPr="006843EF">
        <w:t>доля зданий государственных учреждений социального обслуживания населения, доукомплектованных первичными средствами пожаротушения и противопожарного инвентаря, от общего количества зданий государственных учреждений социального обслуживания населения (план 100%, факт 69,8%);</w:t>
      </w:r>
    </w:p>
    <w:p w:rsidR="00435208" w:rsidRPr="006843EF" w:rsidRDefault="00435208" w:rsidP="00A95FF1">
      <w:pPr>
        <w:pStyle w:val="2"/>
        <w:spacing w:after="0" w:line="240" w:lineRule="auto"/>
        <w:ind w:firstLine="709"/>
        <w:jc w:val="both"/>
      </w:pPr>
      <w:r w:rsidRPr="006843EF">
        <w:t>доля государственных учреждений социального обслуживания населения, обеспеченных индивидуальными средствами защиты органов дыхания, от общего количества зданий государственных учреждений социального обслуживания населения (план 100%, факт 61,8%);</w:t>
      </w:r>
    </w:p>
    <w:p w:rsidR="00435208" w:rsidRPr="006843EF" w:rsidRDefault="00435208" w:rsidP="00A95FF1">
      <w:pPr>
        <w:pStyle w:val="2"/>
        <w:spacing w:after="0" w:line="240" w:lineRule="auto"/>
        <w:ind w:firstLine="709"/>
        <w:jc w:val="both"/>
      </w:pPr>
      <w:r w:rsidRPr="006843EF">
        <w:lastRenderedPageBreak/>
        <w:t>доля государственных учреждений социального обслуживания населения, оборудованных автономными источниками электроснабжения, от общего количества зданий государственных учреждений социального обслуживания населения (план 100%, факт 73,2%);</w:t>
      </w:r>
    </w:p>
    <w:p w:rsidR="00FA38DA" w:rsidRPr="006843EF" w:rsidRDefault="00594950" w:rsidP="00FA38DA">
      <w:pPr>
        <w:autoSpaceDE w:val="0"/>
        <w:autoSpaceDN w:val="0"/>
        <w:adjustRightInd w:val="0"/>
        <w:ind w:firstLine="709"/>
        <w:jc w:val="both"/>
      </w:pPr>
      <w:proofErr w:type="gramStart"/>
      <w:r w:rsidRPr="006843EF">
        <w:t>-</w:t>
      </w:r>
      <w:r w:rsidR="002904F3" w:rsidRPr="006843EF">
        <w:t> </w:t>
      </w:r>
      <w:r w:rsidRPr="006843EF">
        <w:t>по ГП «Организация отдыха и оздоровления детей, проживающих в Волгоградской области» на 2016 - 2018 годы</w:t>
      </w:r>
      <w:r w:rsidR="00174B4E" w:rsidRPr="006843EF">
        <w:t xml:space="preserve"> </w:t>
      </w:r>
      <w:r w:rsidR="00EE1A97" w:rsidRPr="006843EF">
        <w:t>установленный</w:t>
      </w:r>
      <w:r w:rsidR="00BC5175" w:rsidRPr="006843EF">
        <w:t xml:space="preserve"> </w:t>
      </w:r>
      <w:r w:rsidR="00EE1A97" w:rsidRPr="006843EF">
        <w:t>р</w:t>
      </w:r>
      <w:r w:rsidR="00BC5175" w:rsidRPr="006843EF">
        <w:t>езультат мероприятия, реализуемого Комитетом, «Проведение оздоровительной кампании детей отдельных категорий, подлежащих оздоровлению, организация отдыха и оздоровления которых отнесена к полномочиям комитета»</w:t>
      </w:r>
      <w:r w:rsidR="00FA38DA" w:rsidRPr="006843EF">
        <w:t>, достигнут (запланировано предоставление не менее 6600 путевок детям отдельных категорий, фактически предоставлено 6671 путевка).</w:t>
      </w:r>
      <w:proofErr w:type="gramEnd"/>
    </w:p>
    <w:p w:rsidR="00594950" w:rsidRPr="006843EF" w:rsidRDefault="00BC5175" w:rsidP="00BC5175">
      <w:pPr>
        <w:autoSpaceDE w:val="0"/>
        <w:autoSpaceDN w:val="0"/>
        <w:adjustRightInd w:val="0"/>
        <w:ind w:firstLine="709"/>
        <w:jc w:val="both"/>
      </w:pPr>
      <w:r w:rsidRPr="006843EF">
        <w:t xml:space="preserve"> </w:t>
      </w:r>
    </w:p>
    <w:p w:rsidR="00293842" w:rsidRPr="006843EF" w:rsidRDefault="00293842" w:rsidP="00FA38DA">
      <w:pPr>
        <w:pStyle w:val="2"/>
        <w:spacing w:after="0" w:line="240" w:lineRule="auto"/>
        <w:ind w:firstLine="709"/>
        <w:jc w:val="center"/>
        <w:rPr>
          <w:b/>
          <w:i/>
        </w:rPr>
      </w:pPr>
      <w:r w:rsidRPr="006843EF">
        <w:rPr>
          <w:b/>
          <w:i/>
        </w:rPr>
        <w:t>Анализ дебиторской и кредиторской задолженности</w:t>
      </w:r>
    </w:p>
    <w:p w:rsidR="00293842" w:rsidRPr="006843EF" w:rsidRDefault="00293842" w:rsidP="00293842">
      <w:pPr>
        <w:ind w:firstLine="709"/>
        <w:jc w:val="both"/>
      </w:pPr>
      <w:r w:rsidRPr="006843EF">
        <w:t>Анализ задолженности Комитета проведен на основании данных ф. 0503169 и представлен в таблице № 3.</w:t>
      </w:r>
    </w:p>
    <w:p w:rsidR="00293842" w:rsidRPr="006843EF" w:rsidRDefault="00293842" w:rsidP="00293842">
      <w:pPr>
        <w:ind w:firstLine="709"/>
        <w:jc w:val="right"/>
        <w:rPr>
          <w:i/>
        </w:rPr>
      </w:pPr>
      <w:r w:rsidRPr="006843EF">
        <w:rPr>
          <w:i/>
        </w:rPr>
        <w:t>Таблица № 3, тыс. руб.</w:t>
      </w:r>
    </w:p>
    <w:tbl>
      <w:tblPr>
        <w:tblW w:w="9527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99"/>
        <w:gridCol w:w="1026"/>
        <w:gridCol w:w="1026"/>
        <w:gridCol w:w="980"/>
        <w:gridCol w:w="1096"/>
      </w:tblGrid>
      <w:tr w:rsidR="00293842" w:rsidRPr="006843EF" w:rsidTr="00DD25D1">
        <w:trPr>
          <w:trHeight w:val="270"/>
        </w:trPr>
        <w:tc>
          <w:tcPr>
            <w:tcW w:w="5399" w:type="dxa"/>
            <w:vMerge w:val="restart"/>
            <w:shd w:val="clear" w:color="auto" w:fill="auto"/>
            <w:vAlign w:val="center"/>
            <w:hideMark/>
          </w:tcPr>
          <w:p w:rsidR="00293842" w:rsidRPr="006843EF" w:rsidRDefault="00293842" w:rsidP="00DD25D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052" w:type="dxa"/>
            <w:gridSpan w:val="2"/>
            <w:shd w:val="clear" w:color="auto" w:fill="auto"/>
            <w:vAlign w:val="center"/>
            <w:hideMark/>
          </w:tcPr>
          <w:p w:rsidR="00293842" w:rsidRPr="006843EF" w:rsidRDefault="00293842" w:rsidP="00DD25D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Сумма задолженности</w:t>
            </w:r>
          </w:p>
        </w:tc>
        <w:tc>
          <w:tcPr>
            <w:tcW w:w="2076" w:type="dxa"/>
            <w:gridSpan w:val="2"/>
            <w:shd w:val="clear" w:color="auto" w:fill="auto"/>
            <w:vAlign w:val="center"/>
            <w:hideMark/>
          </w:tcPr>
          <w:p w:rsidR="00293842" w:rsidRPr="006843EF" w:rsidRDefault="00293842" w:rsidP="00DD25D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Изменения</w:t>
            </w:r>
            <w:proofErr w:type="gramStart"/>
            <w:r w:rsidRPr="006843EF">
              <w:rPr>
                <w:color w:val="000000"/>
                <w:sz w:val="18"/>
                <w:szCs w:val="18"/>
              </w:rPr>
              <w:t xml:space="preserve"> (-) </w:t>
            </w:r>
            <w:proofErr w:type="gramEnd"/>
            <w:r w:rsidRPr="006843EF">
              <w:rPr>
                <w:color w:val="000000"/>
                <w:sz w:val="18"/>
                <w:szCs w:val="18"/>
              </w:rPr>
              <w:t>снижение, (+) рост</w:t>
            </w:r>
          </w:p>
        </w:tc>
      </w:tr>
      <w:tr w:rsidR="00293842" w:rsidRPr="006843EF" w:rsidTr="003A201D">
        <w:trPr>
          <w:trHeight w:val="382"/>
        </w:trPr>
        <w:tc>
          <w:tcPr>
            <w:tcW w:w="5399" w:type="dxa"/>
            <w:vMerge/>
            <w:vAlign w:val="center"/>
            <w:hideMark/>
          </w:tcPr>
          <w:p w:rsidR="00293842" w:rsidRPr="006843EF" w:rsidRDefault="00293842" w:rsidP="0073179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293842" w:rsidRPr="006843EF" w:rsidRDefault="00293842" w:rsidP="003A201D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на 01.01.2016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293842" w:rsidRPr="006843EF" w:rsidRDefault="00293842" w:rsidP="003A201D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 xml:space="preserve">на </w:t>
            </w:r>
            <w:r w:rsidR="000647BA" w:rsidRPr="006843EF">
              <w:rPr>
                <w:color w:val="000000"/>
                <w:sz w:val="18"/>
                <w:szCs w:val="18"/>
              </w:rPr>
              <w:t>0</w:t>
            </w:r>
            <w:r w:rsidRPr="006843EF">
              <w:rPr>
                <w:color w:val="000000"/>
                <w:sz w:val="18"/>
                <w:szCs w:val="18"/>
              </w:rPr>
              <w:t>1.</w:t>
            </w:r>
            <w:r w:rsidR="000647BA" w:rsidRPr="006843EF">
              <w:rPr>
                <w:color w:val="000000"/>
                <w:sz w:val="18"/>
                <w:szCs w:val="18"/>
              </w:rPr>
              <w:t>01</w:t>
            </w:r>
            <w:r w:rsidRPr="006843EF">
              <w:rPr>
                <w:color w:val="000000"/>
                <w:sz w:val="18"/>
                <w:szCs w:val="18"/>
              </w:rPr>
              <w:t>.201</w:t>
            </w:r>
            <w:r w:rsidR="000647BA" w:rsidRPr="006843E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293842" w:rsidRPr="006843EF" w:rsidRDefault="00293842" w:rsidP="003A201D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096" w:type="dxa"/>
            <w:shd w:val="clear" w:color="auto" w:fill="auto"/>
            <w:vAlign w:val="center"/>
            <w:hideMark/>
          </w:tcPr>
          <w:p w:rsidR="00293842" w:rsidRPr="006843EF" w:rsidRDefault="00293842" w:rsidP="003A201D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%</w:t>
            </w:r>
          </w:p>
        </w:tc>
      </w:tr>
      <w:tr w:rsidR="00293842" w:rsidRPr="006843EF" w:rsidTr="00731791">
        <w:trPr>
          <w:trHeight w:val="89"/>
        </w:trPr>
        <w:tc>
          <w:tcPr>
            <w:tcW w:w="5399" w:type="dxa"/>
            <w:shd w:val="clear" w:color="auto" w:fill="auto"/>
            <w:hideMark/>
          </w:tcPr>
          <w:p w:rsidR="00293842" w:rsidRPr="006843EF" w:rsidRDefault="00293842" w:rsidP="0073179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843EF">
              <w:rPr>
                <w:b/>
                <w:bCs/>
                <w:color w:val="000000"/>
                <w:sz w:val="20"/>
                <w:szCs w:val="20"/>
              </w:rPr>
              <w:t>Дебиторская задолженность, в том числе: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293842" w:rsidRPr="006843EF" w:rsidRDefault="00293842" w:rsidP="0073179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843EF">
              <w:rPr>
                <w:b/>
                <w:bCs/>
                <w:color w:val="000000"/>
                <w:sz w:val="18"/>
                <w:szCs w:val="18"/>
              </w:rPr>
              <w:t>57 665,5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293842" w:rsidRPr="006843EF" w:rsidRDefault="00293842" w:rsidP="0073179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843EF">
              <w:rPr>
                <w:b/>
                <w:bCs/>
                <w:color w:val="000000"/>
                <w:sz w:val="18"/>
                <w:szCs w:val="18"/>
              </w:rPr>
              <w:t>68 665,8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:rsidR="00293842" w:rsidRPr="006843EF" w:rsidRDefault="00293842" w:rsidP="0073179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843EF">
              <w:rPr>
                <w:b/>
                <w:bCs/>
                <w:color w:val="000000"/>
                <w:sz w:val="18"/>
                <w:szCs w:val="18"/>
              </w:rPr>
              <w:t>11 000,3</w:t>
            </w:r>
          </w:p>
        </w:tc>
        <w:tc>
          <w:tcPr>
            <w:tcW w:w="1096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843EF">
              <w:rPr>
                <w:b/>
                <w:bCs/>
                <w:color w:val="000000"/>
                <w:sz w:val="18"/>
                <w:szCs w:val="18"/>
              </w:rPr>
              <w:t>19,1</w:t>
            </w:r>
          </w:p>
        </w:tc>
      </w:tr>
      <w:tr w:rsidR="00293842" w:rsidRPr="006843EF" w:rsidTr="00731791">
        <w:trPr>
          <w:trHeight w:val="121"/>
        </w:trPr>
        <w:tc>
          <w:tcPr>
            <w:tcW w:w="5399" w:type="dxa"/>
            <w:shd w:val="clear" w:color="auto" w:fill="auto"/>
            <w:hideMark/>
          </w:tcPr>
          <w:p w:rsidR="00293842" w:rsidRPr="006843EF" w:rsidRDefault="00293842" w:rsidP="00731791">
            <w:pPr>
              <w:rPr>
                <w:color w:val="000000"/>
                <w:sz w:val="20"/>
                <w:szCs w:val="20"/>
              </w:rPr>
            </w:pPr>
            <w:r w:rsidRPr="006843EF">
              <w:rPr>
                <w:color w:val="000000"/>
                <w:sz w:val="20"/>
                <w:szCs w:val="20"/>
              </w:rPr>
              <w:t>Счет 020500000 "Расчеты по доходам"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4 090,7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4 148,3</w:t>
            </w:r>
          </w:p>
        </w:tc>
        <w:tc>
          <w:tcPr>
            <w:tcW w:w="980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57,6</w:t>
            </w:r>
          </w:p>
        </w:tc>
        <w:tc>
          <w:tcPr>
            <w:tcW w:w="1096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1,4</w:t>
            </w:r>
          </w:p>
        </w:tc>
      </w:tr>
      <w:tr w:rsidR="00293842" w:rsidRPr="006843EF" w:rsidTr="00731791">
        <w:trPr>
          <w:trHeight w:val="254"/>
        </w:trPr>
        <w:tc>
          <w:tcPr>
            <w:tcW w:w="5399" w:type="dxa"/>
            <w:shd w:val="clear" w:color="auto" w:fill="auto"/>
            <w:hideMark/>
          </w:tcPr>
          <w:p w:rsidR="00293842" w:rsidRPr="006843EF" w:rsidRDefault="00293842" w:rsidP="00731791">
            <w:pPr>
              <w:rPr>
                <w:color w:val="000000"/>
                <w:sz w:val="20"/>
                <w:szCs w:val="20"/>
              </w:rPr>
            </w:pPr>
            <w:r w:rsidRPr="006843EF">
              <w:rPr>
                <w:color w:val="000000"/>
                <w:sz w:val="20"/>
                <w:szCs w:val="20"/>
              </w:rPr>
              <w:t>Счет 020600000 "Расчеты по выданным авансам"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42 223,5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59 379,6</w:t>
            </w:r>
          </w:p>
        </w:tc>
        <w:tc>
          <w:tcPr>
            <w:tcW w:w="980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17 156,1</w:t>
            </w:r>
          </w:p>
        </w:tc>
        <w:tc>
          <w:tcPr>
            <w:tcW w:w="1096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40,6</w:t>
            </w:r>
          </w:p>
        </w:tc>
      </w:tr>
      <w:tr w:rsidR="00293842" w:rsidRPr="006843EF" w:rsidTr="00731791">
        <w:trPr>
          <w:trHeight w:val="129"/>
        </w:trPr>
        <w:tc>
          <w:tcPr>
            <w:tcW w:w="5399" w:type="dxa"/>
            <w:shd w:val="clear" w:color="auto" w:fill="auto"/>
            <w:hideMark/>
          </w:tcPr>
          <w:p w:rsidR="00293842" w:rsidRPr="006843EF" w:rsidRDefault="00293842" w:rsidP="00731791">
            <w:pPr>
              <w:rPr>
                <w:color w:val="000000"/>
                <w:sz w:val="20"/>
                <w:szCs w:val="20"/>
              </w:rPr>
            </w:pPr>
            <w:r w:rsidRPr="006843EF">
              <w:rPr>
                <w:color w:val="000000"/>
                <w:sz w:val="20"/>
                <w:szCs w:val="20"/>
              </w:rPr>
              <w:t xml:space="preserve">Счет 020800000 "Расчеты с </w:t>
            </w:r>
            <w:proofErr w:type="gramStart"/>
            <w:r w:rsidRPr="006843EF">
              <w:rPr>
                <w:color w:val="000000"/>
                <w:sz w:val="20"/>
                <w:szCs w:val="20"/>
              </w:rPr>
              <w:t>подотчетными</w:t>
            </w:r>
            <w:proofErr w:type="gramEnd"/>
            <w:r w:rsidRPr="006843EF">
              <w:rPr>
                <w:color w:val="000000"/>
                <w:sz w:val="20"/>
                <w:szCs w:val="20"/>
              </w:rPr>
              <w:t xml:space="preserve"> лицам"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8 779,1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2 178,8</w:t>
            </w:r>
          </w:p>
        </w:tc>
        <w:tc>
          <w:tcPr>
            <w:tcW w:w="980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-6 600,3</w:t>
            </w:r>
          </w:p>
        </w:tc>
        <w:tc>
          <w:tcPr>
            <w:tcW w:w="1096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-75,2</w:t>
            </w:r>
          </w:p>
        </w:tc>
      </w:tr>
      <w:tr w:rsidR="00293842" w:rsidRPr="006843EF" w:rsidTr="00731791">
        <w:trPr>
          <w:trHeight w:val="162"/>
        </w:trPr>
        <w:tc>
          <w:tcPr>
            <w:tcW w:w="5399" w:type="dxa"/>
            <w:shd w:val="clear" w:color="auto" w:fill="auto"/>
            <w:hideMark/>
          </w:tcPr>
          <w:p w:rsidR="00293842" w:rsidRPr="006843EF" w:rsidRDefault="00293842" w:rsidP="00731791">
            <w:pPr>
              <w:rPr>
                <w:color w:val="000000"/>
                <w:sz w:val="20"/>
                <w:szCs w:val="20"/>
              </w:rPr>
            </w:pPr>
            <w:r w:rsidRPr="006843EF">
              <w:rPr>
                <w:color w:val="000000"/>
                <w:sz w:val="20"/>
                <w:szCs w:val="20"/>
              </w:rPr>
              <w:t>Счет 020900000 "Расчеты по ущербу и иным доходам"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511,3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433,7</w:t>
            </w:r>
          </w:p>
        </w:tc>
        <w:tc>
          <w:tcPr>
            <w:tcW w:w="980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-77,6</w:t>
            </w:r>
          </w:p>
        </w:tc>
        <w:tc>
          <w:tcPr>
            <w:tcW w:w="1096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-15,2</w:t>
            </w:r>
          </w:p>
        </w:tc>
      </w:tr>
      <w:tr w:rsidR="00293842" w:rsidRPr="006843EF" w:rsidTr="00731791">
        <w:trPr>
          <w:trHeight w:val="235"/>
        </w:trPr>
        <w:tc>
          <w:tcPr>
            <w:tcW w:w="5399" w:type="dxa"/>
            <w:shd w:val="clear" w:color="auto" w:fill="auto"/>
            <w:hideMark/>
          </w:tcPr>
          <w:p w:rsidR="00293842" w:rsidRPr="006843EF" w:rsidRDefault="00293842" w:rsidP="00731791">
            <w:pPr>
              <w:rPr>
                <w:color w:val="000000"/>
                <w:sz w:val="20"/>
                <w:szCs w:val="20"/>
              </w:rPr>
            </w:pPr>
            <w:r w:rsidRPr="006843EF">
              <w:rPr>
                <w:color w:val="000000"/>
                <w:sz w:val="20"/>
                <w:szCs w:val="20"/>
              </w:rPr>
              <w:t>Счет 030300000 "Расчеты по платежам в бюджеты"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2 060,9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2 525,4</w:t>
            </w:r>
          </w:p>
        </w:tc>
        <w:tc>
          <w:tcPr>
            <w:tcW w:w="980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464,5</w:t>
            </w:r>
          </w:p>
        </w:tc>
        <w:tc>
          <w:tcPr>
            <w:tcW w:w="1096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22,5</w:t>
            </w:r>
          </w:p>
        </w:tc>
      </w:tr>
      <w:tr w:rsidR="00293842" w:rsidRPr="006843EF" w:rsidTr="00731791">
        <w:trPr>
          <w:trHeight w:val="182"/>
        </w:trPr>
        <w:tc>
          <w:tcPr>
            <w:tcW w:w="5399" w:type="dxa"/>
            <w:shd w:val="clear" w:color="auto" w:fill="auto"/>
            <w:hideMark/>
          </w:tcPr>
          <w:p w:rsidR="00293842" w:rsidRPr="006843EF" w:rsidRDefault="00293842" w:rsidP="0073179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843EF">
              <w:rPr>
                <w:b/>
                <w:bCs/>
                <w:color w:val="000000"/>
                <w:sz w:val="20"/>
                <w:szCs w:val="20"/>
              </w:rPr>
              <w:t>Кредиторская задолженность, в том числе:</w:t>
            </w:r>
          </w:p>
        </w:tc>
        <w:tc>
          <w:tcPr>
            <w:tcW w:w="1026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843EF">
              <w:rPr>
                <w:b/>
                <w:bCs/>
                <w:color w:val="000000"/>
                <w:sz w:val="18"/>
                <w:szCs w:val="18"/>
              </w:rPr>
              <w:t>272 384,5</w:t>
            </w:r>
          </w:p>
        </w:tc>
        <w:tc>
          <w:tcPr>
            <w:tcW w:w="1026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843EF">
              <w:rPr>
                <w:b/>
                <w:bCs/>
                <w:color w:val="000000"/>
                <w:sz w:val="18"/>
                <w:szCs w:val="18"/>
              </w:rPr>
              <w:t>302 613,9</w:t>
            </w:r>
          </w:p>
        </w:tc>
        <w:tc>
          <w:tcPr>
            <w:tcW w:w="980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843EF">
              <w:rPr>
                <w:b/>
                <w:bCs/>
                <w:color w:val="000000"/>
                <w:sz w:val="18"/>
                <w:szCs w:val="18"/>
              </w:rPr>
              <w:t>30 229,4</w:t>
            </w:r>
          </w:p>
        </w:tc>
        <w:tc>
          <w:tcPr>
            <w:tcW w:w="1096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843EF">
              <w:rPr>
                <w:b/>
                <w:bCs/>
                <w:color w:val="000000"/>
                <w:sz w:val="18"/>
                <w:szCs w:val="18"/>
              </w:rPr>
              <w:t>11,1</w:t>
            </w:r>
          </w:p>
        </w:tc>
      </w:tr>
      <w:tr w:rsidR="00293842" w:rsidRPr="006843EF" w:rsidTr="00731791">
        <w:trPr>
          <w:trHeight w:val="158"/>
        </w:trPr>
        <w:tc>
          <w:tcPr>
            <w:tcW w:w="5399" w:type="dxa"/>
            <w:shd w:val="clear" w:color="auto" w:fill="auto"/>
            <w:hideMark/>
          </w:tcPr>
          <w:p w:rsidR="00293842" w:rsidRPr="006843EF" w:rsidRDefault="00293842" w:rsidP="00731791">
            <w:pPr>
              <w:rPr>
                <w:color w:val="000000"/>
                <w:sz w:val="20"/>
                <w:szCs w:val="20"/>
              </w:rPr>
            </w:pPr>
            <w:r w:rsidRPr="006843EF">
              <w:rPr>
                <w:color w:val="000000"/>
                <w:sz w:val="20"/>
                <w:szCs w:val="20"/>
              </w:rPr>
              <w:t>Счет 030200000 "Расчеты по принятым обязательствам"</w:t>
            </w:r>
          </w:p>
        </w:tc>
        <w:tc>
          <w:tcPr>
            <w:tcW w:w="1026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117 972,7</w:t>
            </w:r>
          </w:p>
        </w:tc>
        <w:tc>
          <w:tcPr>
            <w:tcW w:w="1026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158 940,6</w:t>
            </w:r>
          </w:p>
        </w:tc>
        <w:tc>
          <w:tcPr>
            <w:tcW w:w="980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40 967,9</w:t>
            </w:r>
          </w:p>
        </w:tc>
        <w:tc>
          <w:tcPr>
            <w:tcW w:w="1096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34,7</w:t>
            </w:r>
          </w:p>
        </w:tc>
      </w:tr>
      <w:tr w:rsidR="00293842" w:rsidRPr="006843EF" w:rsidTr="00731791">
        <w:trPr>
          <w:trHeight w:val="48"/>
        </w:trPr>
        <w:tc>
          <w:tcPr>
            <w:tcW w:w="5399" w:type="dxa"/>
            <w:shd w:val="clear" w:color="auto" w:fill="auto"/>
            <w:hideMark/>
          </w:tcPr>
          <w:p w:rsidR="00293842" w:rsidRPr="006843EF" w:rsidRDefault="00293842" w:rsidP="00731791">
            <w:pPr>
              <w:rPr>
                <w:color w:val="000000"/>
                <w:sz w:val="20"/>
                <w:szCs w:val="20"/>
              </w:rPr>
            </w:pPr>
            <w:r w:rsidRPr="006843EF">
              <w:rPr>
                <w:color w:val="000000"/>
                <w:sz w:val="20"/>
                <w:szCs w:val="20"/>
              </w:rPr>
              <w:t>Счет 030300000 "Расчеты по платежам в бюджет"</w:t>
            </w:r>
          </w:p>
        </w:tc>
        <w:tc>
          <w:tcPr>
            <w:tcW w:w="1026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61 844,4</w:t>
            </w:r>
          </w:p>
        </w:tc>
        <w:tc>
          <w:tcPr>
            <w:tcW w:w="1026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20 688,4</w:t>
            </w:r>
          </w:p>
        </w:tc>
        <w:tc>
          <w:tcPr>
            <w:tcW w:w="980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-41 156,0</w:t>
            </w:r>
          </w:p>
        </w:tc>
        <w:tc>
          <w:tcPr>
            <w:tcW w:w="1096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-66,5</w:t>
            </w:r>
          </w:p>
        </w:tc>
      </w:tr>
      <w:tr w:rsidR="00293842" w:rsidRPr="006843EF" w:rsidTr="00731791">
        <w:trPr>
          <w:trHeight w:val="80"/>
        </w:trPr>
        <w:tc>
          <w:tcPr>
            <w:tcW w:w="5399" w:type="dxa"/>
            <w:shd w:val="clear" w:color="auto" w:fill="auto"/>
            <w:hideMark/>
          </w:tcPr>
          <w:p w:rsidR="00293842" w:rsidRPr="006843EF" w:rsidRDefault="00293842" w:rsidP="00731791">
            <w:pPr>
              <w:rPr>
                <w:color w:val="000000"/>
                <w:sz w:val="20"/>
                <w:szCs w:val="20"/>
              </w:rPr>
            </w:pPr>
            <w:r w:rsidRPr="006843EF">
              <w:rPr>
                <w:color w:val="000000"/>
                <w:sz w:val="20"/>
                <w:szCs w:val="20"/>
              </w:rPr>
              <w:t>Счет 030400000 "Прочие расчеты с кредиторами"</w:t>
            </w:r>
          </w:p>
        </w:tc>
        <w:tc>
          <w:tcPr>
            <w:tcW w:w="1026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184,4</w:t>
            </w:r>
          </w:p>
        </w:tc>
        <w:tc>
          <w:tcPr>
            <w:tcW w:w="1026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9,2</w:t>
            </w:r>
          </w:p>
        </w:tc>
        <w:tc>
          <w:tcPr>
            <w:tcW w:w="980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-175,2</w:t>
            </w:r>
          </w:p>
        </w:tc>
        <w:tc>
          <w:tcPr>
            <w:tcW w:w="1096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-95,0</w:t>
            </w:r>
          </w:p>
        </w:tc>
      </w:tr>
      <w:tr w:rsidR="00293842" w:rsidRPr="006843EF" w:rsidTr="00731791">
        <w:trPr>
          <w:trHeight w:val="270"/>
        </w:trPr>
        <w:tc>
          <w:tcPr>
            <w:tcW w:w="5399" w:type="dxa"/>
            <w:shd w:val="clear" w:color="auto" w:fill="auto"/>
            <w:hideMark/>
          </w:tcPr>
          <w:p w:rsidR="00293842" w:rsidRPr="006843EF" w:rsidRDefault="00293842" w:rsidP="00731791">
            <w:pPr>
              <w:rPr>
                <w:color w:val="000000"/>
                <w:sz w:val="20"/>
                <w:szCs w:val="20"/>
              </w:rPr>
            </w:pPr>
            <w:r w:rsidRPr="006843EF">
              <w:rPr>
                <w:color w:val="000000"/>
                <w:sz w:val="20"/>
                <w:szCs w:val="20"/>
              </w:rPr>
              <w:t>Счет 020500000 "Расчеты по доходам"</w:t>
            </w:r>
          </w:p>
        </w:tc>
        <w:tc>
          <w:tcPr>
            <w:tcW w:w="1026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92 172,6</w:t>
            </w:r>
          </w:p>
        </w:tc>
        <w:tc>
          <w:tcPr>
            <w:tcW w:w="1026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122 543,9</w:t>
            </w:r>
          </w:p>
        </w:tc>
        <w:tc>
          <w:tcPr>
            <w:tcW w:w="980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30 371,3</w:t>
            </w:r>
          </w:p>
        </w:tc>
        <w:tc>
          <w:tcPr>
            <w:tcW w:w="1096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33,0</w:t>
            </w:r>
          </w:p>
        </w:tc>
      </w:tr>
      <w:tr w:rsidR="00293842" w:rsidRPr="006843EF" w:rsidTr="00731791">
        <w:trPr>
          <w:trHeight w:val="116"/>
        </w:trPr>
        <w:tc>
          <w:tcPr>
            <w:tcW w:w="5399" w:type="dxa"/>
            <w:shd w:val="clear" w:color="auto" w:fill="auto"/>
            <w:hideMark/>
          </w:tcPr>
          <w:p w:rsidR="00293842" w:rsidRPr="006843EF" w:rsidRDefault="00293842" w:rsidP="00731791">
            <w:pPr>
              <w:rPr>
                <w:color w:val="000000"/>
                <w:sz w:val="20"/>
                <w:szCs w:val="20"/>
              </w:rPr>
            </w:pPr>
            <w:r w:rsidRPr="006843EF">
              <w:rPr>
                <w:color w:val="000000"/>
                <w:sz w:val="20"/>
                <w:szCs w:val="20"/>
              </w:rPr>
              <w:t xml:space="preserve">Счет 020800000 "Расчеты с </w:t>
            </w:r>
            <w:proofErr w:type="gramStart"/>
            <w:r w:rsidRPr="006843EF">
              <w:rPr>
                <w:color w:val="000000"/>
                <w:sz w:val="20"/>
                <w:szCs w:val="20"/>
              </w:rPr>
              <w:t>подотчетными</w:t>
            </w:r>
            <w:proofErr w:type="gramEnd"/>
            <w:r w:rsidRPr="006843EF">
              <w:rPr>
                <w:color w:val="000000"/>
                <w:sz w:val="20"/>
                <w:szCs w:val="20"/>
              </w:rPr>
              <w:t xml:space="preserve"> лицам"</w:t>
            </w:r>
          </w:p>
        </w:tc>
        <w:tc>
          <w:tcPr>
            <w:tcW w:w="1026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210,4</w:t>
            </w:r>
          </w:p>
        </w:tc>
        <w:tc>
          <w:tcPr>
            <w:tcW w:w="1026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431,8</w:t>
            </w:r>
          </w:p>
        </w:tc>
        <w:tc>
          <w:tcPr>
            <w:tcW w:w="980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221,4</w:t>
            </w:r>
          </w:p>
        </w:tc>
        <w:tc>
          <w:tcPr>
            <w:tcW w:w="1096" w:type="dxa"/>
            <w:shd w:val="clear" w:color="auto" w:fill="auto"/>
            <w:hideMark/>
          </w:tcPr>
          <w:p w:rsidR="00293842" w:rsidRPr="006843EF" w:rsidRDefault="00293842" w:rsidP="00731791">
            <w:pPr>
              <w:jc w:val="center"/>
              <w:rPr>
                <w:color w:val="000000"/>
                <w:sz w:val="18"/>
                <w:szCs w:val="18"/>
              </w:rPr>
            </w:pPr>
            <w:r w:rsidRPr="006843EF">
              <w:rPr>
                <w:color w:val="000000"/>
                <w:sz w:val="18"/>
                <w:szCs w:val="18"/>
              </w:rPr>
              <w:t>105,2</w:t>
            </w:r>
          </w:p>
        </w:tc>
      </w:tr>
    </w:tbl>
    <w:p w:rsidR="00293842" w:rsidRPr="006843EF" w:rsidRDefault="00293842" w:rsidP="00293842">
      <w:pPr>
        <w:ind w:firstLine="709"/>
        <w:jc w:val="right"/>
        <w:rPr>
          <w:i/>
        </w:rPr>
      </w:pPr>
    </w:p>
    <w:p w:rsidR="00293842" w:rsidRPr="006843EF" w:rsidRDefault="00293842" w:rsidP="00293842">
      <w:pPr>
        <w:ind w:firstLine="709"/>
        <w:jc w:val="both"/>
      </w:pPr>
      <w:proofErr w:type="gramStart"/>
      <w:r w:rsidRPr="006843EF">
        <w:t>Основную долю дебиторской задолженности на 01.01.201</w:t>
      </w:r>
      <w:r w:rsidR="000647BA" w:rsidRPr="006843EF">
        <w:t>7</w:t>
      </w:r>
      <w:r w:rsidRPr="006843EF">
        <w:t xml:space="preserve"> составила дебиторская задолженность по счету 0206000 «Расчеты по выданным авансам», в сумме 59379,6 тыс. руб. главным образом по переплате получателям мер социальной поддержки (48391,2 тыс. руб.) </w:t>
      </w:r>
      <w:r w:rsidR="004B12B4" w:rsidRPr="006843EF">
        <w:t>в основном на компенсацию жилищно-коммунальных услуг отдельным категориям граждан в связи с изменившимся механизмом предоставления (</w:t>
      </w:r>
      <w:r w:rsidR="002B4B5C" w:rsidRPr="006843EF">
        <w:t xml:space="preserve">ранее </w:t>
      </w:r>
      <w:r w:rsidR="00617E3A" w:rsidRPr="006843EF">
        <w:t xml:space="preserve"> компенсация</w:t>
      </w:r>
      <w:r w:rsidR="004B12B4" w:rsidRPr="006843EF">
        <w:t xml:space="preserve"> </w:t>
      </w:r>
      <w:r w:rsidR="00617E3A" w:rsidRPr="006843EF">
        <w:t>п</w:t>
      </w:r>
      <w:r w:rsidR="002B4B5C" w:rsidRPr="006843EF">
        <w:t>редоставлялась исходя</w:t>
      </w:r>
      <w:r w:rsidR="00617E3A" w:rsidRPr="006843EF">
        <w:t xml:space="preserve"> </w:t>
      </w:r>
      <w:r w:rsidR="002B4B5C" w:rsidRPr="006843EF">
        <w:t xml:space="preserve">из </w:t>
      </w:r>
      <w:r w:rsidR="00617E3A" w:rsidRPr="006843EF">
        <w:t>норматив</w:t>
      </w:r>
      <w:r w:rsidR="002B4B5C" w:rsidRPr="006843EF">
        <w:t>ов</w:t>
      </w:r>
      <w:r w:rsidR="00617E3A" w:rsidRPr="006843EF">
        <w:t xml:space="preserve"> потребления</w:t>
      </w:r>
      <w:r w:rsidR="002B4B5C" w:rsidRPr="006843EF">
        <w:t xml:space="preserve">, в настоящее время </w:t>
      </w:r>
      <w:r w:rsidR="00617E3A" w:rsidRPr="006843EF">
        <w:t xml:space="preserve"> </w:t>
      </w:r>
      <w:r w:rsidR="002B4B5C" w:rsidRPr="006843EF">
        <w:t>исходя из</w:t>
      </w:r>
      <w:r w:rsidR="004B12B4" w:rsidRPr="006843EF">
        <w:t xml:space="preserve"> фактическ</w:t>
      </w:r>
      <w:r w:rsidR="002B4B5C" w:rsidRPr="006843EF">
        <w:t>ого</w:t>
      </w:r>
      <w:proofErr w:type="gramEnd"/>
      <w:r w:rsidR="004B12B4" w:rsidRPr="006843EF">
        <w:t xml:space="preserve"> по</w:t>
      </w:r>
      <w:r w:rsidR="002B4B5C" w:rsidRPr="006843EF">
        <w:t>требления</w:t>
      </w:r>
      <w:r w:rsidR="004B12B4" w:rsidRPr="006843EF">
        <w:t xml:space="preserve">) </w:t>
      </w:r>
      <w:r w:rsidRPr="006843EF">
        <w:t xml:space="preserve">и по субсидиям бюджетным и автономным учреждениям на иные цели (7191,4 тыс. руб.). </w:t>
      </w:r>
    </w:p>
    <w:p w:rsidR="00293842" w:rsidRPr="006843EF" w:rsidRDefault="00293842" w:rsidP="00293842">
      <w:pPr>
        <w:ind w:firstLine="709"/>
        <w:jc w:val="both"/>
      </w:pPr>
      <w:r w:rsidRPr="006843EF">
        <w:t>Анализом доли дебиторской задолженности установлено, что данная доля составила 1,9% (100*68665,8 тыс. руб. (дебиторская задолженность)/ 3592649,6 тыс. руб. (кассовое исполнение доходов)) и в соответствии со Стандартом финансового контроля КСП свидетельствует о хорошей работе Комитета по администрированию доходов.</w:t>
      </w:r>
    </w:p>
    <w:p w:rsidR="00293842" w:rsidRPr="006843EF" w:rsidRDefault="005E12E9" w:rsidP="00293842">
      <w:pPr>
        <w:ind w:firstLine="709"/>
        <w:jc w:val="both"/>
        <w:outlineLvl w:val="0"/>
      </w:pPr>
      <w:r w:rsidRPr="006843EF">
        <w:t xml:space="preserve">Причиной образования кредиторской задолженности </w:t>
      </w:r>
      <w:r w:rsidR="00293842" w:rsidRPr="006843EF">
        <w:t>с</w:t>
      </w:r>
      <w:r w:rsidRPr="006843EF">
        <w:t>огласно</w:t>
      </w:r>
      <w:r w:rsidR="00293842" w:rsidRPr="006843EF">
        <w:t xml:space="preserve"> Пояснительной записк</w:t>
      </w:r>
      <w:r w:rsidRPr="006843EF">
        <w:t>е</w:t>
      </w:r>
      <w:r w:rsidR="00293842" w:rsidRPr="006843EF">
        <w:t xml:space="preserve"> (ф. 0503160) является отсутствие кассового плана и недофинансировани</w:t>
      </w:r>
      <w:r w:rsidRPr="006843EF">
        <w:t xml:space="preserve">е </w:t>
      </w:r>
      <w:r w:rsidR="00293842" w:rsidRPr="006843EF">
        <w:t xml:space="preserve"> выставленных заявок</w:t>
      </w:r>
      <w:r w:rsidRPr="006843EF">
        <w:t xml:space="preserve"> на оплату расходов</w:t>
      </w:r>
      <w:r w:rsidR="00293842" w:rsidRPr="006843EF">
        <w:t>.</w:t>
      </w:r>
    </w:p>
    <w:p w:rsidR="00293842" w:rsidRPr="006843EF" w:rsidRDefault="00293842" w:rsidP="00293842">
      <w:pPr>
        <w:ind w:firstLine="709"/>
        <w:jc w:val="both"/>
      </w:pPr>
      <w:r w:rsidRPr="006843EF">
        <w:t>Оценка качества проводимой Комитетом работы с просроченн</w:t>
      </w:r>
      <w:r w:rsidR="005E12E9" w:rsidRPr="006843EF">
        <w:t>ой</w:t>
      </w:r>
      <w:r w:rsidRPr="006843EF">
        <w:t xml:space="preserve"> </w:t>
      </w:r>
      <w:r w:rsidR="002608EF" w:rsidRPr="006843EF">
        <w:t xml:space="preserve">кредиторской </w:t>
      </w:r>
      <w:r w:rsidRPr="006843EF">
        <w:t>задолженност</w:t>
      </w:r>
      <w:r w:rsidR="005E12E9" w:rsidRPr="006843EF">
        <w:t>ью</w:t>
      </w:r>
      <w:r w:rsidRPr="006843EF">
        <w:t>, в соответствии со Стандартом финансового контроля КСП, произведена путем определения доли просроченной задолженностей относительн</w:t>
      </w:r>
      <w:r w:rsidR="005E12E9" w:rsidRPr="006843EF">
        <w:t xml:space="preserve">о кассового исполнения расходов, которая </w:t>
      </w:r>
      <w:r w:rsidRPr="006843EF">
        <w:t>составила 0,1% (100*14963,2 тыс. руб. (просроченная кредиторская задолженность)/ 15268770,2 тыс. руб. (кассовое исполнение расходов)), что свидетельствует о качественной работе с кредиторской задолженностью.</w:t>
      </w:r>
    </w:p>
    <w:p w:rsidR="00293842" w:rsidRPr="006843EF" w:rsidRDefault="002B35BC" w:rsidP="00293842">
      <w:pPr>
        <w:ind w:firstLine="709"/>
        <w:jc w:val="both"/>
      </w:pPr>
      <w:r w:rsidRPr="006843EF">
        <w:t>В</w:t>
      </w:r>
      <w:r w:rsidR="00293842" w:rsidRPr="006843EF">
        <w:t>ыборочным анализом кредиторской задолженности установлено, что в нарушение п. 167 Инструкции № 191н в состав просроченной кредиторской задолженности не включена задолженность на 163,6 тыс. руб., сложившаяся по ГКУ СО «</w:t>
      </w:r>
      <w:proofErr w:type="spellStart"/>
      <w:r w:rsidR="00293842" w:rsidRPr="006843EF">
        <w:t>Иловлинский</w:t>
      </w:r>
      <w:proofErr w:type="spellEnd"/>
      <w:r w:rsidR="00293842" w:rsidRPr="006843EF">
        <w:t xml:space="preserve"> центр </w:t>
      </w:r>
      <w:r w:rsidR="00293842" w:rsidRPr="006843EF">
        <w:lastRenderedPageBreak/>
        <w:t>социального обслуживания населения» и ГКССУ СО ГПВИ «Палласовский дом-интернат для престарелых и инвалидов».</w:t>
      </w:r>
    </w:p>
    <w:p w:rsidR="00293842" w:rsidRPr="006843EF" w:rsidRDefault="00293842" w:rsidP="00293842">
      <w:pPr>
        <w:ind w:firstLine="709"/>
        <w:jc w:val="both"/>
      </w:pPr>
      <w:r w:rsidRPr="006843EF">
        <w:t>Таким образом, сумма просроченной кредиторской задолженности (14963,2 тыс. руб.) в ф. 0503169 занижена на 163,6 тыс. руб., или на 1,1 процент.</w:t>
      </w:r>
    </w:p>
    <w:p w:rsidR="002435BF" w:rsidRPr="006843EF" w:rsidRDefault="00B13079" w:rsidP="00293842">
      <w:pPr>
        <w:ind w:firstLine="709"/>
        <w:jc w:val="both"/>
      </w:pPr>
      <w:r w:rsidRPr="006843EF">
        <w:t>В</w:t>
      </w:r>
      <w:r w:rsidR="00293842" w:rsidRPr="006843EF">
        <w:t xml:space="preserve"> структуре кредиторской задолженности Комитета на </w:t>
      </w:r>
      <w:r w:rsidRPr="006843EF">
        <w:t>01.01.2017</w:t>
      </w:r>
      <w:r w:rsidR="00293842" w:rsidRPr="006843EF">
        <w:t xml:space="preserve"> </w:t>
      </w:r>
      <w:r w:rsidRPr="006843EF">
        <w:t xml:space="preserve">значительную долю (40,5%) </w:t>
      </w:r>
      <w:r w:rsidR="00293842" w:rsidRPr="006843EF">
        <w:t xml:space="preserve">занимает задолженность </w:t>
      </w:r>
      <w:proofErr w:type="gramStart"/>
      <w:r w:rsidR="00293842" w:rsidRPr="006843EF">
        <w:t>по</w:t>
      </w:r>
      <w:proofErr w:type="gramEnd"/>
      <w:r w:rsidR="00B32D50" w:rsidRPr="006843EF">
        <w:t xml:space="preserve"> фактически</w:t>
      </w:r>
      <w:r w:rsidR="00293842" w:rsidRPr="006843EF">
        <w:t xml:space="preserve"> </w:t>
      </w:r>
      <w:proofErr w:type="spellStart"/>
      <w:r w:rsidR="00B32D50" w:rsidRPr="006843EF">
        <w:t>администрируемой</w:t>
      </w:r>
      <w:proofErr w:type="spellEnd"/>
      <w:r w:rsidR="00B32D50" w:rsidRPr="006843EF">
        <w:t xml:space="preserve"> </w:t>
      </w:r>
      <w:proofErr w:type="gramStart"/>
      <w:r w:rsidR="00B32D50" w:rsidRPr="006843EF">
        <w:t>им</w:t>
      </w:r>
      <w:proofErr w:type="gramEnd"/>
      <w:r w:rsidR="00B32D50" w:rsidRPr="006843EF">
        <w:t xml:space="preserve"> </w:t>
      </w:r>
      <w:r w:rsidR="00293842" w:rsidRPr="006843EF">
        <w:t>субсидии федерального бюджета на реализацию мероприятий ГП РФ «Доступная среда» на 2011-2020 годы в размере 122518,0 тыс. руб.</w:t>
      </w:r>
      <w:r w:rsidR="0003224A" w:rsidRPr="006843EF">
        <w:t xml:space="preserve">, </w:t>
      </w:r>
      <w:r w:rsidR="00B32D50" w:rsidRPr="006843EF">
        <w:t>отражённая</w:t>
      </w:r>
      <w:r w:rsidR="0003224A" w:rsidRPr="006843EF">
        <w:t xml:space="preserve"> по </w:t>
      </w:r>
      <w:r w:rsidR="002435BF" w:rsidRPr="006843EF">
        <w:t xml:space="preserve">кредиту </w:t>
      </w:r>
      <w:r w:rsidR="0003224A" w:rsidRPr="006843EF">
        <w:t>счет</w:t>
      </w:r>
      <w:r w:rsidR="002435BF" w:rsidRPr="006843EF">
        <w:t>а</w:t>
      </w:r>
      <w:r w:rsidR="0003224A" w:rsidRPr="006843EF">
        <w:t xml:space="preserve"> 205 «Расчеты по доходам»</w:t>
      </w:r>
      <w:r w:rsidR="002435BF" w:rsidRPr="006843EF">
        <w:t>.</w:t>
      </w:r>
    </w:p>
    <w:p w:rsidR="002435BF" w:rsidRPr="006843EF" w:rsidRDefault="002435BF" w:rsidP="00F13834">
      <w:pPr>
        <w:autoSpaceDE w:val="0"/>
        <w:autoSpaceDN w:val="0"/>
        <w:adjustRightInd w:val="0"/>
        <w:ind w:firstLine="709"/>
        <w:jc w:val="both"/>
      </w:pPr>
      <w:r w:rsidRPr="006843EF">
        <w:t>Следует указать, что согласно п.78 Инструкции по применению плана счетов бюджетного учета, утверждённой приказом Минфина России от 06.12.2010 № 162н, по кредиту счета 205 «Расчеты по доходам» отраж</w:t>
      </w:r>
      <w:r w:rsidR="00C81523" w:rsidRPr="006843EF">
        <w:t xml:space="preserve">ается </w:t>
      </w:r>
      <w:r w:rsidRPr="006843EF">
        <w:t>сумма возврата излишне полученных доходов</w:t>
      </w:r>
      <w:r w:rsidR="00C81523" w:rsidRPr="006843EF">
        <w:t>, то есть указанной субсидии</w:t>
      </w:r>
      <w:r w:rsidRPr="006843EF">
        <w:t>.</w:t>
      </w:r>
    </w:p>
    <w:p w:rsidR="00B13079" w:rsidRPr="006843EF" w:rsidRDefault="00F13834" w:rsidP="00293842">
      <w:pPr>
        <w:ind w:firstLine="709"/>
        <w:jc w:val="both"/>
      </w:pPr>
      <w:proofErr w:type="gramStart"/>
      <w:r w:rsidRPr="006843EF">
        <w:t>В нарушение этого по счету 205 «Расчеты по доходам» Комитетом отражены не только остатки указанной субсидии, подлежащие возврату</w:t>
      </w:r>
      <w:r w:rsidR="00D676EC" w:rsidRPr="006843EF">
        <w:t xml:space="preserve"> в</w:t>
      </w:r>
      <w:r w:rsidRPr="006843EF">
        <w:t xml:space="preserve"> федеральный бюджет</w:t>
      </w:r>
      <w:r w:rsidR="000C70FC" w:rsidRPr="006843EF">
        <w:t xml:space="preserve">, а также </w:t>
      </w:r>
      <w:r w:rsidR="00B32D50" w:rsidRPr="006843EF">
        <w:t xml:space="preserve"> сумм</w:t>
      </w:r>
      <w:r w:rsidR="000C70FC" w:rsidRPr="006843EF">
        <w:t>а</w:t>
      </w:r>
      <w:r w:rsidR="00B32D50" w:rsidRPr="006843EF">
        <w:t xml:space="preserve"> </w:t>
      </w:r>
      <w:r w:rsidR="00262315" w:rsidRPr="006843EF">
        <w:t xml:space="preserve">эквивалентная </w:t>
      </w:r>
      <w:r w:rsidR="00B32D50" w:rsidRPr="006843EF">
        <w:t>кассовы</w:t>
      </w:r>
      <w:r w:rsidR="00262315" w:rsidRPr="006843EF">
        <w:t>м</w:t>
      </w:r>
      <w:r w:rsidR="00B32D50" w:rsidRPr="006843EF">
        <w:t xml:space="preserve"> расход</w:t>
      </w:r>
      <w:r w:rsidR="00262315" w:rsidRPr="006843EF">
        <w:t>ам</w:t>
      </w:r>
      <w:r w:rsidR="00B32D50" w:rsidRPr="006843EF">
        <w:t>, произведённы</w:t>
      </w:r>
      <w:r w:rsidR="00262315" w:rsidRPr="006843EF">
        <w:t>м</w:t>
      </w:r>
      <w:r w:rsidR="00B32D50" w:rsidRPr="006843EF">
        <w:t xml:space="preserve"> </w:t>
      </w:r>
      <w:r w:rsidR="000C70FC" w:rsidRPr="006843EF">
        <w:t xml:space="preserve">за счет этой субсидии </w:t>
      </w:r>
      <w:r w:rsidR="00B32D50" w:rsidRPr="006843EF">
        <w:t xml:space="preserve">другими государственными органами исполнительной власти Волгоградской области, являющимися участниками реализации этой программы </w:t>
      </w:r>
      <w:r w:rsidR="00B32D50" w:rsidRPr="006843EF">
        <w:rPr>
          <w:i/>
        </w:rPr>
        <w:t xml:space="preserve">(комитет здравоохранения, комитет культуры, комитет физической культуры и спорта, комитет образования и науки, </w:t>
      </w:r>
      <w:r w:rsidR="004A1FE0" w:rsidRPr="006843EF">
        <w:rPr>
          <w:i/>
        </w:rPr>
        <w:t xml:space="preserve"> </w:t>
      </w:r>
      <w:r w:rsidR="00B32D50" w:rsidRPr="006843EF">
        <w:rPr>
          <w:i/>
        </w:rPr>
        <w:t>комитет по труду</w:t>
      </w:r>
      <w:proofErr w:type="gramEnd"/>
      <w:r w:rsidR="00B32D50" w:rsidRPr="006843EF">
        <w:rPr>
          <w:i/>
        </w:rPr>
        <w:t xml:space="preserve"> и занятости населения, комитет молодежной политики)</w:t>
      </w:r>
      <w:r w:rsidR="0003224A" w:rsidRPr="006843EF">
        <w:t>.</w:t>
      </w:r>
    </w:p>
    <w:p w:rsidR="006E615A" w:rsidRPr="006843EF" w:rsidRDefault="006E615A" w:rsidP="006E615A">
      <w:pPr>
        <w:autoSpaceDE w:val="0"/>
        <w:autoSpaceDN w:val="0"/>
        <w:adjustRightInd w:val="0"/>
        <w:ind w:firstLine="709"/>
        <w:jc w:val="both"/>
      </w:pPr>
      <w:proofErr w:type="gramStart"/>
      <w:r w:rsidRPr="006843EF">
        <w:t>Согласно пояснениям Комитета сложившаяся ситуация обусловлена фактически принятым Комитетом способом отражения в учёте доходов и расходов по указанной субсидии, что не может являться объективной причиной, так как указанная сумма фактически не является кредиторской  задолженностью и не отвечает общим требованиям к бухгалтерской отчетности, установленным ст.13 Федерального закона от 06.12.2011      № 402-ФЗ «О бухгалтерском учете», означающим, что бухгалтерская (финансовая) отчетность должна давать</w:t>
      </w:r>
      <w:proofErr w:type="gramEnd"/>
      <w:r w:rsidRPr="006843EF">
        <w:t xml:space="preserve"> достоверное представление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период, необходимое пользователям этой отчетности для принятия экономических решений.</w:t>
      </w:r>
    </w:p>
    <w:p w:rsidR="00F043A0" w:rsidRPr="006843EF" w:rsidRDefault="006E615A" w:rsidP="00F043A0">
      <w:pPr>
        <w:autoSpaceDE w:val="0"/>
        <w:autoSpaceDN w:val="0"/>
        <w:adjustRightInd w:val="0"/>
        <w:ind w:firstLine="709"/>
        <w:jc w:val="both"/>
      </w:pPr>
      <w:proofErr w:type="gramStart"/>
      <w:r w:rsidRPr="006843EF">
        <w:t>Также, п</w:t>
      </w:r>
      <w:r w:rsidR="00F043A0" w:rsidRPr="006843EF">
        <w:t xml:space="preserve">о пояснениям Комитета в бюджетной отчетности других участников реализации этой программы </w:t>
      </w:r>
      <w:r w:rsidR="00F043A0" w:rsidRPr="006843EF">
        <w:rPr>
          <w:i/>
        </w:rPr>
        <w:t>(комитет здравоохранения, комитет культуры, комитет физической культуры и спорта, комитет образования и науки,  комитет по труду и занятости населения, комитет молодежной политики)</w:t>
      </w:r>
      <w:r w:rsidR="00F043A0" w:rsidRPr="006843EF">
        <w:t xml:space="preserve"> за 2016 год по счету 205 «Расчеты по доходам» числится дебиторская задолженность на сумму произведённых ими расходов по указанной субсидии.</w:t>
      </w:r>
      <w:proofErr w:type="gramEnd"/>
      <w:r w:rsidR="00F043A0" w:rsidRPr="006843EF">
        <w:t xml:space="preserve"> При консолидации отчетности Комитета и других участников реализации ГП РФ «Доступная среда» на уровне </w:t>
      </w:r>
      <w:proofErr w:type="spellStart"/>
      <w:r w:rsidR="00F043A0" w:rsidRPr="006843EF">
        <w:t>Облфина</w:t>
      </w:r>
      <w:proofErr w:type="spellEnd"/>
      <w:r w:rsidR="00F043A0" w:rsidRPr="006843EF">
        <w:t xml:space="preserve"> кредитовый остаток Комитета по счету 205 закрывается дебетовым остатком по счету 205 других участников реализации программы, в результате чего по кредиту счета 205 остается </w:t>
      </w:r>
      <w:r w:rsidR="00844BED" w:rsidRPr="006843EF">
        <w:t xml:space="preserve">разница, равная </w:t>
      </w:r>
      <w:r w:rsidR="00EC2C20" w:rsidRPr="006843EF">
        <w:t>сумм</w:t>
      </w:r>
      <w:r w:rsidR="00844BED" w:rsidRPr="006843EF">
        <w:t>е</w:t>
      </w:r>
      <w:r w:rsidR="00EC2C20" w:rsidRPr="006843EF">
        <w:t xml:space="preserve"> </w:t>
      </w:r>
      <w:r w:rsidR="00F043A0" w:rsidRPr="006843EF">
        <w:t>остатк</w:t>
      </w:r>
      <w:r w:rsidR="00EC2C20" w:rsidRPr="006843EF">
        <w:t>а</w:t>
      </w:r>
      <w:r w:rsidR="00F043A0" w:rsidRPr="006843EF">
        <w:t xml:space="preserve"> средств субсидии, подлежащ</w:t>
      </w:r>
      <w:r w:rsidR="00EC2C20" w:rsidRPr="006843EF">
        <w:t>его</w:t>
      </w:r>
      <w:r w:rsidR="00F043A0" w:rsidRPr="006843EF">
        <w:t xml:space="preserve"> возврату </w:t>
      </w:r>
      <w:proofErr w:type="gramStart"/>
      <w:r w:rsidR="00F043A0" w:rsidRPr="006843EF">
        <w:t>в</w:t>
      </w:r>
      <w:proofErr w:type="gramEnd"/>
      <w:r w:rsidR="00F043A0" w:rsidRPr="006843EF">
        <w:t xml:space="preserve"> федеральный бюджета.</w:t>
      </w:r>
    </w:p>
    <w:p w:rsidR="00C81523" w:rsidRPr="006843EF" w:rsidRDefault="00EC2C20" w:rsidP="000406B0">
      <w:pPr>
        <w:autoSpaceDE w:val="0"/>
        <w:autoSpaceDN w:val="0"/>
        <w:adjustRightInd w:val="0"/>
        <w:ind w:firstLine="709"/>
        <w:jc w:val="both"/>
      </w:pPr>
      <w:proofErr w:type="gramStart"/>
      <w:r w:rsidRPr="006843EF">
        <w:t>В связи с этим о</w:t>
      </w:r>
      <w:r w:rsidR="00F043A0" w:rsidRPr="006843EF">
        <w:t>тмечаем, что</w:t>
      </w:r>
      <w:r w:rsidR="006E615A" w:rsidRPr="006843EF">
        <w:t>,</w:t>
      </w:r>
      <w:r w:rsidR="00F043A0" w:rsidRPr="006843EF">
        <w:t xml:space="preserve"> как показали внешние проверки бюджетной отчетности</w:t>
      </w:r>
      <w:r w:rsidR="006E615A" w:rsidRPr="006843EF">
        <w:t>,</w:t>
      </w:r>
      <w:r w:rsidR="00F043A0" w:rsidRPr="006843EF">
        <w:t xml:space="preserve"> </w:t>
      </w:r>
      <w:r w:rsidR="00C81523" w:rsidRPr="006843EF">
        <w:t xml:space="preserve">из всех участников ГП РФ «Доступная среда» (кроме Комитета) отражение </w:t>
      </w:r>
      <w:r w:rsidR="00262315" w:rsidRPr="006843EF">
        <w:t>сумм, равн</w:t>
      </w:r>
      <w:r w:rsidR="00591B7F" w:rsidRPr="006843EF">
        <w:t xml:space="preserve">ых </w:t>
      </w:r>
      <w:r w:rsidR="00262315" w:rsidRPr="006843EF">
        <w:t xml:space="preserve"> </w:t>
      </w:r>
      <w:r w:rsidR="00C81523" w:rsidRPr="006843EF">
        <w:t>расход</w:t>
      </w:r>
      <w:r w:rsidR="00262315" w:rsidRPr="006843EF">
        <w:t>ам</w:t>
      </w:r>
      <w:r w:rsidR="00C81523" w:rsidRPr="006843EF">
        <w:t>, произведенны</w:t>
      </w:r>
      <w:r w:rsidR="00262315" w:rsidRPr="006843EF">
        <w:t>м</w:t>
      </w:r>
      <w:r w:rsidR="00C81523" w:rsidRPr="006843EF">
        <w:t xml:space="preserve"> за счет субсидии, по дебету счета 205 осуществляется только комитетом здравоохранения и комитетом по труду и занятости населения</w:t>
      </w:r>
      <w:r w:rsidR="00564EE0" w:rsidRPr="006843EF">
        <w:t>,</w:t>
      </w:r>
      <w:r w:rsidR="00C81523" w:rsidRPr="006843EF">
        <w:t xml:space="preserve"> </w:t>
      </w:r>
      <w:r w:rsidR="00564EE0" w:rsidRPr="006843EF">
        <w:t>с</w:t>
      </w:r>
      <w:r w:rsidR="00C81523" w:rsidRPr="006843EF">
        <w:t>оответственно достоверная консолидация доходов и расходов по программе на основе бюджетной отчетности невозможна</w:t>
      </w:r>
      <w:r w:rsidR="00564EE0" w:rsidRPr="006843EF">
        <w:t>.</w:t>
      </w:r>
      <w:proofErr w:type="gramEnd"/>
    </w:p>
    <w:p w:rsidR="000C552C" w:rsidRPr="006843EF" w:rsidRDefault="000C552C" w:rsidP="00293842">
      <w:pPr>
        <w:ind w:firstLine="709"/>
        <w:jc w:val="center"/>
        <w:rPr>
          <w:b/>
          <w:i/>
        </w:rPr>
      </w:pPr>
    </w:p>
    <w:p w:rsidR="00293842" w:rsidRPr="006843EF" w:rsidRDefault="00293842" w:rsidP="00293842">
      <w:pPr>
        <w:ind w:firstLine="709"/>
        <w:jc w:val="center"/>
        <w:rPr>
          <w:b/>
          <w:i/>
        </w:rPr>
      </w:pPr>
      <w:r w:rsidRPr="006843EF">
        <w:rPr>
          <w:b/>
          <w:i/>
        </w:rPr>
        <w:t>Анализ достижения поставленных целей и ожидаемых результатов</w:t>
      </w:r>
    </w:p>
    <w:p w:rsidR="00293842" w:rsidRPr="006843EF" w:rsidRDefault="00293842" w:rsidP="00293842">
      <w:pPr>
        <w:ind w:firstLine="709"/>
        <w:jc w:val="both"/>
        <w:rPr>
          <w:bCs/>
        </w:rPr>
      </w:pPr>
      <w:proofErr w:type="gramStart"/>
      <w:r w:rsidRPr="006843EF">
        <w:rPr>
          <w:bCs/>
        </w:rPr>
        <w:t xml:space="preserve">Анализ </w:t>
      </w:r>
      <w:r w:rsidRPr="006843EF">
        <w:t>достижения поставленных целей и ожидаемых результатов</w:t>
      </w:r>
      <w:r w:rsidRPr="006843EF">
        <w:rPr>
          <w:b/>
          <w:i/>
        </w:rPr>
        <w:t xml:space="preserve"> </w:t>
      </w:r>
      <w:r w:rsidRPr="006843EF">
        <w:rPr>
          <w:bCs/>
        </w:rPr>
        <w:t>проведен на основании показателей формы 0503162 «Сведения о результатах деятельности» (далее ф. 0503162)</w:t>
      </w:r>
      <w:r w:rsidR="00F8254E" w:rsidRPr="006843EF">
        <w:rPr>
          <w:bCs/>
        </w:rPr>
        <w:t xml:space="preserve">, содержащей </w:t>
      </w:r>
      <w:bookmarkStart w:id="1" w:name="sub_11612"/>
      <w:r w:rsidRPr="006843EF">
        <w:rPr>
          <w:bCs/>
        </w:rPr>
        <w:t>обобщенные за отчетный период данные о результатах деятельности субъекта бюджетной отчетности при исполнении государственного (муниципального) задания, в том числе о результатах деятельности подведомственных бюджетных и автономных учреждений в пределах предоставленных им субсидий из соответствующего бюджета на исполнение государственного (муниципального</w:t>
      </w:r>
      <w:proofErr w:type="gramEnd"/>
      <w:r w:rsidRPr="006843EF">
        <w:rPr>
          <w:bCs/>
        </w:rPr>
        <w:t>) задания.</w:t>
      </w:r>
    </w:p>
    <w:bookmarkEnd w:id="1"/>
    <w:p w:rsidR="00293842" w:rsidRPr="006843EF" w:rsidRDefault="00293842" w:rsidP="00293842">
      <w:pPr>
        <w:ind w:firstLine="709"/>
        <w:jc w:val="both"/>
        <w:rPr>
          <w:bCs/>
        </w:rPr>
      </w:pPr>
      <w:r w:rsidRPr="006843EF">
        <w:rPr>
          <w:bCs/>
        </w:rPr>
        <w:lastRenderedPageBreak/>
        <w:t>Форма 0503162 содержит информацию о 19 натуральных и 20 стоимостных показателях</w:t>
      </w:r>
      <w:r w:rsidR="00E432F5" w:rsidRPr="006843EF">
        <w:rPr>
          <w:bCs/>
        </w:rPr>
        <w:t>.</w:t>
      </w:r>
      <w:r w:rsidRPr="006843EF">
        <w:rPr>
          <w:bCs/>
        </w:rPr>
        <w:t xml:space="preserve"> Превышение</w:t>
      </w:r>
      <w:r w:rsidR="00E432F5" w:rsidRPr="006843EF">
        <w:rPr>
          <w:bCs/>
        </w:rPr>
        <w:t xml:space="preserve"> количества</w:t>
      </w:r>
      <w:r w:rsidRPr="006843EF">
        <w:rPr>
          <w:bCs/>
        </w:rPr>
        <w:t xml:space="preserve"> стоимостных показателей над </w:t>
      </w:r>
      <w:proofErr w:type="gramStart"/>
      <w:r w:rsidRPr="006843EF">
        <w:rPr>
          <w:bCs/>
        </w:rPr>
        <w:t>натуральными</w:t>
      </w:r>
      <w:proofErr w:type="gramEnd"/>
      <w:r w:rsidRPr="006843EF">
        <w:rPr>
          <w:bCs/>
        </w:rPr>
        <w:t xml:space="preserve"> обусловлено включением в форму стоимостного показателя «Затраты на содержание имущества», не имеющего соответствующего натурального показателя.</w:t>
      </w:r>
    </w:p>
    <w:p w:rsidR="00293842" w:rsidRPr="006843EF" w:rsidRDefault="008E227E" w:rsidP="0029384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843EF">
        <w:rPr>
          <w:bCs/>
        </w:rPr>
        <w:t>И</w:t>
      </w:r>
      <w:r w:rsidR="00293842" w:rsidRPr="006843EF">
        <w:rPr>
          <w:bCs/>
        </w:rPr>
        <w:t xml:space="preserve">з 19 натуральных показателей не выполнено </w:t>
      </w:r>
      <w:r w:rsidR="00186F0B" w:rsidRPr="006843EF">
        <w:rPr>
          <w:bCs/>
        </w:rPr>
        <w:t>10, и</w:t>
      </w:r>
      <w:r w:rsidR="00293842" w:rsidRPr="006843EF">
        <w:rPr>
          <w:bCs/>
        </w:rPr>
        <w:t>з 20 стоимостных показателей</w:t>
      </w:r>
      <w:r w:rsidR="00934414" w:rsidRPr="006843EF">
        <w:rPr>
          <w:bCs/>
        </w:rPr>
        <w:t xml:space="preserve"> не </w:t>
      </w:r>
      <w:r w:rsidR="00293842" w:rsidRPr="006843EF">
        <w:rPr>
          <w:bCs/>
        </w:rPr>
        <w:t>выполнено 17</w:t>
      </w:r>
      <w:r w:rsidR="00165E8F" w:rsidRPr="006843EF">
        <w:rPr>
          <w:bCs/>
        </w:rPr>
        <w:t xml:space="preserve">, информация о которых приведена в </w:t>
      </w:r>
      <w:r w:rsidR="00165E8F" w:rsidRPr="006843EF">
        <w:rPr>
          <w:color w:val="0000FF"/>
        </w:rPr>
        <w:t>Приложении № 3</w:t>
      </w:r>
      <w:r w:rsidR="00293842" w:rsidRPr="006843EF">
        <w:rPr>
          <w:bCs/>
        </w:rPr>
        <w:t xml:space="preserve">. </w:t>
      </w:r>
    </w:p>
    <w:p w:rsidR="00293842" w:rsidRPr="006843EF" w:rsidRDefault="00293F28" w:rsidP="0029384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843EF">
        <w:rPr>
          <w:bCs/>
        </w:rPr>
        <w:t>П</w:t>
      </w:r>
      <w:r w:rsidR="00293842" w:rsidRPr="006843EF">
        <w:rPr>
          <w:bCs/>
        </w:rPr>
        <w:t>ричин</w:t>
      </w:r>
      <w:r w:rsidRPr="006843EF">
        <w:rPr>
          <w:bCs/>
        </w:rPr>
        <w:t>ой</w:t>
      </w:r>
      <w:r w:rsidR="00293842" w:rsidRPr="006843EF">
        <w:rPr>
          <w:bCs/>
        </w:rPr>
        <w:t xml:space="preserve"> невыполнения </w:t>
      </w:r>
      <w:r w:rsidR="003311D7" w:rsidRPr="006843EF">
        <w:rPr>
          <w:bCs/>
        </w:rPr>
        <w:t xml:space="preserve">натуральных и </w:t>
      </w:r>
      <w:r w:rsidR="00293842" w:rsidRPr="006843EF">
        <w:rPr>
          <w:bCs/>
        </w:rPr>
        <w:t xml:space="preserve">стоимостных показателей является недофинансирование </w:t>
      </w:r>
      <w:r w:rsidR="00A31BF0" w:rsidRPr="006843EF">
        <w:rPr>
          <w:bCs/>
        </w:rPr>
        <w:t xml:space="preserve">заявок по перечислению </w:t>
      </w:r>
      <w:r w:rsidR="00293842" w:rsidRPr="006843EF">
        <w:rPr>
          <w:bCs/>
        </w:rPr>
        <w:t>субсидий на выполнение государственного задания</w:t>
      </w:r>
      <w:r w:rsidR="003311D7" w:rsidRPr="006843EF">
        <w:rPr>
          <w:bCs/>
        </w:rPr>
        <w:t xml:space="preserve"> по предоставлению социальных услуг</w:t>
      </w:r>
      <w:r w:rsidR="00293842" w:rsidRPr="006843EF">
        <w:rPr>
          <w:bCs/>
        </w:rPr>
        <w:t xml:space="preserve"> бюджетным</w:t>
      </w:r>
      <w:r w:rsidR="003311D7" w:rsidRPr="006843EF">
        <w:rPr>
          <w:bCs/>
        </w:rPr>
        <w:t>и</w:t>
      </w:r>
      <w:r w:rsidR="00293842" w:rsidRPr="006843EF">
        <w:rPr>
          <w:bCs/>
        </w:rPr>
        <w:t xml:space="preserve"> и автономным</w:t>
      </w:r>
      <w:r w:rsidR="003311D7" w:rsidRPr="006843EF">
        <w:rPr>
          <w:bCs/>
        </w:rPr>
        <w:t>и</w:t>
      </w:r>
      <w:r w:rsidR="00293842" w:rsidRPr="006843EF">
        <w:rPr>
          <w:bCs/>
        </w:rPr>
        <w:t xml:space="preserve"> учреждениям</w:t>
      </w:r>
      <w:r w:rsidR="003311D7" w:rsidRPr="006843EF">
        <w:rPr>
          <w:bCs/>
        </w:rPr>
        <w:t>и</w:t>
      </w:r>
      <w:r w:rsidR="00293842" w:rsidRPr="006843EF">
        <w:rPr>
          <w:bCs/>
        </w:rPr>
        <w:t xml:space="preserve">. </w:t>
      </w:r>
    </w:p>
    <w:p w:rsidR="00293842" w:rsidRPr="006843EF" w:rsidRDefault="00293F28" w:rsidP="0029384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843EF">
        <w:rPr>
          <w:bCs/>
        </w:rPr>
        <w:t>З</w:t>
      </w:r>
      <w:r w:rsidR="00293842" w:rsidRPr="006843EF">
        <w:rPr>
          <w:bCs/>
        </w:rPr>
        <w:t>адолженность Комитета перед данными учреждениями на 31.12.2016 составляет 61072,0 тыс. руб., что соответствует дебиторской задолженности по ф. 0503769 «Сведения о дебиторской и кредиторской задолженности».</w:t>
      </w:r>
    </w:p>
    <w:p w:rsidR="00A76176" w:rsidRPr="006843EF" w:rsidRDefault="00A76176" w:rsidP="00293842">
      <w:pPr>
        <w:ind w:firstLine="709"/>
        <w:jc w:val="center"/>
        <w:rPr>
          <w:b/>
          <w:bCs/>
          <w:i/>
        </w:rPr>
      </w:pPr>
    </w:p>
    <w:p w:rsidR="00293842" w:rsidRPr="006843EF" w:rsidRDefault="00293842" w:rsidP="00293842">
      <w:pPr>
        <w:ind w:firstLine="709"/>
        <w:jc w:val="center"/>
        <w:rPr>
          <w:b/>
          <w:bCs/>
          <w:i/>
        </w:rPr>
      </w:pPr>
      <w:r w:rsidRPr="006843EF">
        <w:rPr>
          <w:b/>
          <w:bCs/>
          <w:i/>
        </w:rPr>
        <w:t>Состояние внутреннего финансового контроля и аудита</w:t>
      </w:r>
    </w:p>
    <w:p w:rsidR="00293842" w:rsidRPr="006843EF" w:rsidRDefault="00293842" w:rsidP="00293842">
      <w:pPr>
        <w:autoSpaceDE w:val="0"/>
        <w:autoSpaceDN w:val="0"/>
        <w:adjustRightInd w:val="0"/>
        <w:ind w:firstLine="720"/>
        <w:jc w:val="both"/>
      </w:pPr>
      <w:r w:rsidRPr="006843EF">
        <w:t xml:space="preserve">Порядок осуществления внутреннего финансового контроля и внутреннего финансового аудита на территории Волгоградской области утвержден </w:t>
      </w:r>
      <w:r w:rsidR="00A31BF0" w:rsidRPr="006843EF">
        <w:t>п</w:t>
      </w:r>
      <w:r w:rsidRPr="006843EF">
        <w:t>остановлением Правительства Волгоградской области от 26.05.2014 № 266-п (далее Порядок № 266-п).</w:t>
      </w:r>
    </w:p>
    <w:p w:rsidR="00293842" w:rsidRPr="006843EF" w:rsidRDefault="00293842" w:rsidP="00293842">
      <w:pPr>
        <w:autoSpaceDE w:val="0"/>
        <w:autoSpaceDN w:val="0"/>
        <w:adjustRightInd w:val="0"/>
        <w:ind w:firstLine="720"/>
        <w:jc w:val="both"/>
      </w:pPr>
      <w:r w:rsidRPr="006843EF">
        <w:t>В соответствии с БК РФ Комитетом издан приказ от 30.03.2015 № 531 «О мерах по реализации постановления Правительства Волгоградской области от 26 мая 2014 № 266-п «Об утверждении порядка осуществления внутреннего финансового контроля и внутреннего финансового аудита на территории Волгоградской области» в комитете социальной защиты населения Волгоградской области» (далее Приказ № 531).</w:t>
      </w:r>
    </w:p>
    <w:p w:rsidR="00293842" w:rsidRPr="006843EF" w:rsidRDefault="00C61A2D" w:rsidP="00293842">
      <w:pPr>
        <w:autoSpaceDE w:val="0"/>
        <w:autoSpaceDN w:val="0"/>
        <w:adjustRightInd w:val="0"/>
        <w:ind w:firstLine="720"/>
        <w:jc w:val="both"/>
      </w:pPr>
      <w:r w:rsidRPr="006843EF">
        <w:t>З</w:t>
      </w:r>
      <w:r w:rsidR="00293842" w:rsidRPr="006843EF">
        <w:t>а 2016 год в Комитете было осуществлено 1980 контрольных действий, в т.ч. по формам проведения: 802 – самоконтроль, 1178 – контроль по подчиненности</w:t>
      </w:r>
      <w:r w:rsidR="00A31BF0" w:rsidRPr="006843EF">
        <w:t>.</w:t>
      </w:r>
      <w:r w:rsidR="00293842" w:rsidRPr="006843EF">
        <w:t xml:space="preserve"> </w:t>
      </w:r>
      <w:r w:rsidR="00A31BF0" w:rsidRPr="006843EF">
        <w:t>Н</w:t>
      </w:r>
      <w:r w:rsidR="00293842" w:rsidRPr="006843EF">
        <w:t xml:space="preserve">едостатков и нарушений </w:t>
      </w:r>
      <w:r w:rsidR="007F2599" w:rsidRPr="006843EF">
        <w:t xml:space="preserve">Комитетом </w:t>
      </w:r>
      <w:r w:rsidR="00293842" w:rsidRPr="006843EF">
        <w:t>не выявлено.</w:t>
      </w:r>
    </w:p>
    <w:p w:rsidR="00293842" w:rsidRPr="006843EF" w:rsidRDefault="00C239F0" w:rsidP="00293842">
      <w:pPr>
        <w:autoSpaceDE w:val="0"/>
        <w:autoSpaceDN w:val="0"/>
        <w:adjustRightInd w:val="0"/>
        <w:ind w:firstLine="720"/>
        <w:jc w:val="both"/>
      </w:pPr>
      <w:r w:rsidRPr="006843EF">
        <w:t xml:space="preserve">В нарушение </w:t>
      </w:r>
      <w:r w:rsidR="00293842" w:rsidRPr="006843EF">
        <w:t>п. 2.9. Порядка № 266-п форма карты внутреннего финансового контроля, утвержденная Приказом № 531</w:t>
      </w:r>
      <w:r w:rsidR="002635F1" w:rsidRPr="006843EF">
        <w:t>,</w:t>
      </w:r>
      <w:r w:rsidR="00293842" w:rsidRPr="006843EF">
        <w:t xml:space="preserve"> не предусматривает указание способа проведения контрольных действий. </w:t>
      </w:r>
    </w:p>
    <w:p w:rsidR="005200B8" w:rsidRPr="006843EF" w:rsidRDefault="005200B8" w:rsidP="005200B8">
      <w:pPr>
        <w:autoSpaceDE w:val="0"/>
        <w:autoSpaceDN w:val="0"/>
        <w:adjustRightInd w:val="0"/>
        <w:ind w:firstLine="720"/>
        <w:jc w:val="both"/>
      </w:pPr>
      <w:r w:rsidRPr="006843EF">
        <w:t xml:space="preserve">Согласно Приказу № 531 сектор внутреннего финансового аудита Комитета подготавливает отчет о результатах внутреннего финансового контроля и направляет председателю Комитета. Формы указанных документов Приказом № 531 не определены. </w:t>
      </w:r>
    </w:p>
    <w:p w:rsidR="005200B8" w:rsidRPr="006843EF" w:rsidRDefault="005200B8" w:rsidP="005200B8">
      <w:pPr>
        <w:autoSpaceDE w:val="0"/>
        <w:autoSpaceDN w:val="0"/>
        <w:adjustRightInd w:val="0"/>
        <w:ind w:firstLine="720"/>
        <w:jc w:val="both"/>
      </w:pPr>
      <w:r w:rsidRPr="006843EF">
        <w:t>Для обеспечения единообразного подхода к осуществлению внутреннего финансового контроля приказом  Минфина России от 07.09.2016 № 356 утверждены соответствующие Методические рекомендации, которыми утверждена форма Отчета о результатах внутреннего финансового контроля и рекомендации к его заполнению.</w:t>
      </w:r>
    </w:p>
    <w:p w:rsidR="00293842" w:rsidRPr="006843EF" w:rsidRDefault="005200B8" w:rsidP="00293842">
      <w:pPr>
        <w:autoSpaceDE w:val="0"/>
        <w:autoSpaceDN w:val="0"/>
        <w:adjustRightInd w:val="0"/>
        <w:ind w:firstLine="720"/>
        <w:jc w:val="both"/>
      </w:pPr>
      <w:r w:rsidRPr="006843EF">
        <w:t xml:space="preserve">В связи с этим </w:t>
      </w:r>
      <w:r w:rsidR="00293842" w:rsidRPr="006843EF">
        <w:t xml:space="preserve">КСП считает целесообразным Приказом № 531 </w:t>
      </w:r>
      <w:r w:rsidR="007A236C" w:rsidRPr="006843EF">
        <w:t xml:space="preserve">утвердить </w:t>
      </w:r>
      <w:r w:rsidR="00293842" w:rsidRPr="006843EF">
        <w:t>формы предоставления информации о результатах внутреннего финансового контроля и последующего отчета о его результатах.</w:t>
      </w:r>
    </w:p>
    <w:p w:rsidR="00293842" w:rsidRPr="006843EF" w:rsidRDefault="00293842" w:rsidP="00293842">
      <w:pPr>
        <w:autoSpaceDE w:val="0"/>
        <w:autoSpaceDN w:val="0"/>
        <w:adjustRightInd w:val="0"/>
        <w:ind w:firstLine="720"/>
        <w:jc w:val="both"/>
      </w:pPr>
      <w:r w:rsidRPr="006843EF">
        <w:t xml:space="preserve">Сектором </w:t>
      </w:r>
      <w:r w:rsidR="00541EC1" w:rsidRPr="006843EF">
        <w:t xml:space="preserve">внутреннего финансового аудита </w:t>
      </w:r>
      <w:r w:rsidRPr="006843EF">
        <w:t xml:space="preserve">в 2016 году проведено 16 проверок, из которых 7 в подведомственных Комитету учреждениях и 9 в структурных подразделениях Комитета. Общая сумма выявленных </w:t>
      </w:r>
      <w:r w:rsidR="00A31BF0" w:rsidRPr="006843EF">
        <w:t>с</w:t>
      </w:r>
      <w:r w:rsidRPr="006843EF">
        <w:t>ектором в 2016 году нарушений составляет 12703,2 тыс. руб., которая на момент проверки устранена в полном объеме.</w:t>
      </w:r>
    </w:p>
    <w:p w:rsidR="001A4D2E" w:rsidRPr="006843EF" w:rsidRDefault="001A4D2E" w:rsidP="001A4D2E">
      <w:pPr>
        <w:autoSpaceDE w:val="0"/>
        <w:autoSpaceDN w:val="0"/>
        <w:adjustRightInd w:val="0"/>
        <w:ind w:firstLine="720"/>
        <w:jc w:val="both"/>
      </w:pPr>
      <w:r w:rsidRPr="006843EF">
        <w:t>В нарушение п. 3.12. Порядка № 266-п в Плане проверок на 2016 год отсутствует информация об ответственных исполнителях мероприятий по внутреннему финансовому  аудиту.</w:t>
      </w:r>
    </w:p>
    <w:p w:rsidR="00234309" w:rsidRPr="006843EF" w:rsidRDefault="00234309" w:rsidP="00293842">
      <w:pPr>
        <w:autoSpaceDE w:val="0"/>
        <w:autoSpaceDN w:val="0"/>
        <w:adjustRightInd w:val="0"/>
        <w:ind w:firstLine="720"/>
        <w:jc w:val="both"/>
      </w:pPr>
      <w:r w:rsidRPr="006843EF">
        <w:t>Кроме того</w:t>
      </w:r>
      <w:r w:rsidR="00D00002" w:rsidRPr="006843EF">
        <w:t>,</w:t>
      </w:r>
      <w:r w:rsidRPr="006843EF">
        <w:t xml:space="preserve"> </w:t>
      </w:r>
      <w:r w:rsidR="00293842" w:rsidRPr="006843EF">
        <w:t>проверк</w:t>
      </w:r>
      <w:r w:rsidRPr="006843EF">
        <w:t>ой</w:t>
      </w:r>
      <w:r w:rsidR="00293842" w:rsidRPr="006843EF">
        <w:t xml:space="preserve"> установлено,</w:t>
      </w:r>
      <w:r w:rsidRPr="006843EF">
        <w:t xml:space="preserve"> </w:t>
      </w:r>
      <w:r w:rsidR="00293842" w:rsidRPr="006843EF">
        <w:t xml:space="preserve">что </w:t>
      </w:r>
      <w:r w:rsidRPr="006843EF">
        <w:t xml:space="preserve">по результатам проведённого в 2016 году  отделом бюджетного учета и отчетности финансового управления Комитета внутреннего финансового контроля в отношении бюджетной процедуры </w:t>
      </w:r>
      <w:r w:rsidRPr="006843EF">
        <w:rPr>
          <w:i/>
        </w:rPr>
        <w:t>«составление и представление в комитет финансов Волгоградской области сводной бюджетной отчетности по Комитету»</w:t>
      </w:r>
      <w:r w:rsidRPr="006843EF">
        <w:t xml:space="preserve"> нарушений не выявлено.</w:t>
      </w:r>
    </w:p>
    <w:p w:rsidR="00293842" w:rsidRPr="006843EF" w:rsidRDefault="00E908B6" w:rsidP="00293842">
      <w:pPr>
        <w:autoSpaceDE w:val="0"/>
        <w:autoSpaceDN w:val="0"/>
        <w:adjustRightInd w:val="0"/>
        <w:ind w:firstLine="720"/>
        <w:jc w:val="both"/>
      </w:pPr>
      <w:proofErr w:type="gramStart"/>
      <w:r w:rsidRPr="006843EF">
        <w:t xml:space="preserve">Аудиторской проверкой отдела бюджетного учета и отчетности финансового управления Комитета, проведённой в 2016 году сектором внутреннего финансового аудита Комитета, </w:t>
      </w:r>
      <w:r w:rsidR="00293842" w:rsidRPr="006843EF">
        <w:t xml:space="preserve">система внутреннего финансового контроля в отделе </w:t>
      </w:r>
      <w:r w:rsidRPr="006843EF">
        <w:t xml:space="preserve">была </w:t>
      </w:r>
      <w:r w:rsidR="00293842" w:rsidRPr="006843EF">
        <w:t>признана надежной.</w:t>
      </w:r>
      <w:proofErr w:type="gramEnd"/>
    </w:p>
    <w:p w:rsidR="00E908B6" w:rsidRPr="006843EF" w:rsidRDefault="00E908B6" w:rsidP="00E908B6">
      <w:pPr>
        <w:autoSpaceDE w:val="0"/>
        <w:autoSpaceDN w:val="0"/>
        <w:adjustRightInd w:val="0"/>
        <w:ind w:firstLine="720"/>
        <w:jc w:val="both"/>
      </w:pPr>
      <w:r w:rsidRPr="006843EF">
        <w:lastRenderedPageBreak/>
        <w:t>Вместе с тем при проведении КСП в 2016 году камеральной внешней проверк</w:t>
      </w:r>
      <w:r w:rsidR="00A31BF0" w:rsidRPr="006843EF">
        <w:t xml:space="preserve">и </w:t>
      </w:r>
      <w:r w:rsidRPr="006843EF">
        <w:t xml:space="preserve"> бюджетной отчетности и отдельных вопросов исполнения областного бюджета за 2015 год главным администратором средств областного бюджета – Комитетом были выявлены отдельные нарушения Инструкции № 191н при составлении бюджетной отчетности.</w:t>
      </w:r>
    </w:p>
    <w:p w:rsidR="00293842" w:rsidRPr="006843EF" w:rsidRDefault="00293842" w:rsidP="00293842">
      <w:pPr>
        <w:autoSpaceDE w:val="0"/>
        <w:autoSpaceDN w:val="0"/>
        <w:adjustRightInd w:val="0"/>
        <w:ind w:firstLine="720"/>
        <w:jc w:val="both"/>
      </w:pPr>
      <w:r w:rsidRPr="006843EF">
        <w:t xml:space="preserve">С учетом изложенного КСП обращает внимание на необходимость повышения качества осуществляемых в Комитете </w:t>
      </w:r>
      <w:r w:rsidR="00386945" w:rsidRPr="006843EF">
        <w:t xml:space="preserve">мероприятий </w:t>
      </w:r>
      <w:r w:rsidRPr="006843EF">
        <w:t>внутреннего финансового контроля и внутреннего финансового аудита.</w:t>
      </w:r>
    </w:p>
    <w:p w:rsidR="00036248" w:rsidRPr="006843EF" w:rsidRDefault="00036248" w:rsidP="00293842">
      <w:pPr>
        <w:pStyle w:val="ac"/>
        <w:spacing w:after="0"/>
        <w:ind w:firstLine="709"/>
        <w:jc w:val="center"/>
        <w:rPr>
          <w:b/>
          <w:i/>
        </w:rPr>
      </w:pPr>
    </w:p>
    <w:p w:rsidR="00293842" w:rsidRPr="006843EF" w:rsidRDefault="00293842" w:rsidP="00293842">
      <w:pPr>
        <w:pStyle w:val="ac"/>
        <w:spacing w:after="0"/>
        <w:ind w:firstLine="709"/>
        <w:jc w:val="center"/>
        <w:rPr>
          <w:b/>
          <w:i/>
        </w:rPr>
      </w:pPr>
      <w:r w:rsidRPr="006843EF">
        <w:rPr>
          <w:b/>
          <w:i/>
        </w:rPr>
        <w:t>Отдельные аспекты оплаты труда государственных гражданских служащих Комитета</w:t>
      </w:r>
    </w:p>
    <w:p w:rsidR="00293842" w:rsidRPr="006843EF" w:rsidRDefault="008541FA" w:rsidP="00293842">
      <w:pPr>
        <w:pStyle w:val="ac"/>
        <w:spacing w:after="0"/>
        <w:ind w:left="0" w:firstLine="709"/>
        <w:jc w:val="both"/>
      </w:pPr>
      <w:r w:rsidRPr="006843EF">
        <w:t>П</w:t>
      </w:r>
      <w:r w:rsidR="00293842" w:rsidRPr="006843EF">
        <w:t>о информации, представленной Комитетом, расходы по целевой статье «Премиальные выплаты государственных органов Волгоградской области» исполнены на 11779,6 тыс. руб., из них:</w:t>
      </w:r>
    </w:p>
    <w:p w:rsidR="00293842" w:rsidRPr="006843EF" w:rsidRDefault="00293842" w:rsidP="00293842">
      <w:pPr>
        <w:pStyle w:val="ac"/>
        <w:spacing w:after="0"/>
        <w:ind w:left="0" w:firstLine="709"/>
        <w:jc w:val="both"/>
      </w:pPr>
      <w:r w:rsidRPr="006843EF">
        <w:t>-</w:t>
      </w:r>
      <w:r w:rsidR="008A1C5A" w:rsidRPr="006843EF">
        <w:t> </w:t>
      </w:r>
      <w:r w:rsidRPr="006843EF">
        <w:t>11519,4 тыс. руб. – денежные поощрения (по итогам работы за год</w:t>
      </w:r>
      <w:r w:rsidR="00731791" w:rsidRPr="006843EF">
        <w:t xml:space="preserve"> </w:t>
      </w:r>
      <w:r w:rsidR="001D3D6B" w:rsidRPr="006843EF">
        <w:t xml:space="preserve">- </w:t>
      </w:r>
      <w:r w:rsidR="00731791" w:rsidRPr="006843EF">
        <w:t>3776,8 тыс. руб.</w:t>
      </w:r>
      <w:r w:rsidRPr="006843EF">
        <w:t>, за безупречную и эффективную государственную гражданскую службу</w:t>
      </w:r>
      <w:r w:rsidR="00731791" w:rsidRPr="006843EF">
        <w:t xml:space="preserve"> </w:t>
      </w:r>
      <w:r w:rsidR="001D3D6B" w:rsidRPr="006843EF">
        <w:t xml:space="preserve">- </w:t>
      </w:r>
      <w:r w:rsidR="00731791" w:rsidRPr="006843EF">
        <w:t>6553,0 тыс. руб.</w:t>
      </w:r>
      <w:r w:rsidR="001D3D6B" w:rsidRPr="006843EF">
        <w:t>,</w:t>
      </w:r>
      <w:r w:rsidRPr="006843EF">
        <w:t xml:space="preserve"> премии за выпо</w:t>
      </w:r>
      <w:r w:rsidR="008541FA" w:rsidRPr="006843EF">
        <w:t>лнение сложных и важных заданий</w:t>
      </w:r>
      <w:r w:rsidR="00731791" w:rsidRPr="006843EF">
        <w:t xml:space="preserve"> </w:t>
      </w:r>
      <w:r w:rsidR="001D3D6B" w:rsidRPr="006843EF">
        <w:t xml:space="preserve">- </w:t>
      </w:r>
      <w:r w:rsidR="00731791" w:rsidRPr="006843EF">
        <w:t>1189,6 тыс. руб.)</w:t>
      </w:r>
      <w:r w:rsidRPr="006843EF">
        <w:t>;</w:t>
      </w:r>
    </w:p>
    <w:p w:rsidR="00293842" w:rsidRPr="006843EF" w:rsidRDefault="00293842" w:rsidP="00293842">
      <w:pPr>
        <w:autoSpaceDE w:val="0"/>
        <w:autoSpaceDN w:val="0"/>
        <w:adjustRightInd w:val="0"/>
        <w:ind w:firstLine="709"/>
        <w:jc w:val="both"/>
      </w:pPr>
      <w:r w:rsidRPr="006843EF">
        <w:t>-</w:t>
      </w:r>
      <w:r w:rsidR="008A1C5A" w:rsidRPr="006843EF">
        <w:t> </w:t>
      </w:r>
      <w:r w:rsidRPr="006843EF">
        <w:t xml:space="preserve">189,4 тыс. руб. – премия за успешное и добросовестное выполнение должностных обязанностей </w:t>
      </w:r>
      <w:r w:rsidR="008541FA" w:rsidRPr="006843EF">
        <w:t>работников, не отнесенных к должностям государственной гражданской службы Волгоградской области;</w:t>
      </w:r>
    </w:p>
    <w:p w:rsidR="00293842" w:rsidRPr="006843EF" w:rsidRDefault="00293842" w:rsidP="00293842">
      <w:pPr>
        <w:pStyle w:val="ac"/>
        <w:spacing w:after="0"/>
        <w:ind w:left="0" w:firstLine="709"/>
        <w:jc w:val="both"/>
      </w:pPr>
      <w:r w:rsidRPr="006843EF">
        <w:t>-</w:t>
      </w:r>
      <w:r w:rsidR="008A1C5A" w:rsidRPr="006843EF">
        <w:t> </w:t>
      </w:r>
      <w:r w:rsidRPr="006843EF">
        <w:t>65,0 тыс. руб. – материальная помощь;</w:t>
      </w:r>
    </w:p>
    <w:p w:rsidR="00293842" w:rsidRPr="006843EF" w:rsidRDefault="00293842" w:rsidP="00293842">
      <w:pPr>
        <w:pStyle w:val="ac"/>
        <w:spacing w:after="0"/>
        <w:ind w:left="0" w:firstLine="709"/>
        <w:jc w:val="both"/>
      </w:pPr>
      <w:r w:rsidRPr="006843EF">
        <w:t>-</w:t>
      </w:r>
      <w:r w:rsidR="008A1C5A" w:rsidRPr="006843EF">
        <w:t> </w:t>
      </w:r>
      <w:r w:rsidRPr="006843EF">
        <w:t xml:space="preserve">5,8 тыс. руб. – денежное поощрение к нагрудному знаку в соответствии с </w:t>
      </w:r>
      <w:r w:rsidR="008541FA" w:rsidRPr="006843EF">
        <w:t xml:space="preserve">соотвествующим </w:t>
      </w:r>
      <w:r w:rsidRPr="006843EF">
        <w:t>постановлением Губернатора Волгоградской области.</w:t>
      </w:r>
    </w:p>
    <w:p w:rsidR="008541FA" w:rsidRPr="006843EF" w:rsidRDefault="008541FA" w:rsidP="00293842">
      <w:pPr>
        <w:ind w:firstLine="709"/>
        <w:jc w:val="center"/>
        <w:rPr>
          <w:b/>
          <w:i/>
        </w:rPr>
      </w:pPr>
    </w:p>
    <w:p w:rsidR="00293842" w:rsidRPr="006843EF" w:rsidRDefault="00293842" w:rsidP="00293842">
      <w:pPr>
        <w:ind w:firstLine="709"/>
        <w:jc w:val="center"/>
        <w:rPr>
          <w:b/>
          <w:i/>
        </w:rPr>
      </w:pPr>
      <w:r w:rsidRPr="006843EF">
        <w:rPr>
          <w:b/>
          <w:i/>
        </w:rPr>
        <w:t>Выводы</w:t>
      </w:r>
    </w:p>
    <w:p w:rsidR="00293842" w:rsidRPr="006843EF" w:rsidRDefault="00293842" w:rsidP="00293842">
      <w:pPr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6843EF">
        <w:t>Проверкой состава и содержания бюджетной отчетности установлено 5 случа</w:t>
      </w:r>
      <w:r w:rsidR="00AD427C" w:rsidRPr="006843EF">
        <w:t>ев</w:t>
      </w:r>
      <w:r w:rsidRPr="006843EF">
        <w:t xml:space="preserve"> нарушения положений Инструкции № 191н</w:t>
      </w:r>
      <w:r w:rsidR="00A31BF0" w:rsidRPr="006843EF">
        <w:t>, которые в ходе проверки устранены</w:t>
      </w:r>
      <w:r w:rsidRPr="006843EF">
        <w:t xml:space="preserve">. </w:t>
      </w:r>
    </w:p>
    <w:p w:rsidR="00293842" w:rsidRPr="006843EF" w:rsidRDefault="00AD427C" w:rsidP="00293842">
      <w:pPr>
        <w:pStyle w:val="af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proofErr w:type="gramStart"/>
      <w:r w:rsidRPr="006843EF">
        <w:t>В</w:t>
      </w:r>
      <w:r w:rsidR="00293842" w:rsidRPr="006843EF">
        <w:t xml:space="preserve"> </w:t>
      </w:r>
      <w:r w:rsidR="00C204A2" w:rsidRPr="006843EF">
        <w:t xml:space="preserve">проверенных 5 </w:t>
      </w:r>
      <w:r w:rsidR="00293842" w:rsidRPr="006843EF">
        <w:t>соглашени</w:t>
      </w:r>
      <w:r w:rsidRPr="006843EF">
        <w:t>ях</w:t>
      </w:r>
      <w:r w:rsidR="00293842" w:rsidRPr="006843EF">
        <w:t xml:space="preserve"> о порядке и условиях предоставления субсидии на финансовое обеспечение выполнения государственного задания на оказание услуг (выполнение работ) на 2017 год, заключенных Комитетом с подведомственными бюджетными и автономным учреждениями</w:t>
      </w:r>
      <w:r w:rsidRPr="006843EF">
        <w:t>,</w:t>
      </w:r>
      <w:r w:rsidR="00293842" w:rsidRPr="006843EF">
        <w:t xml:space="preserve"> </w:t>
      </w:r>
      <w:r w:rsidRPr="006843EF">
        <w:t xml:space="preserve">в нарушение Положения № 818-п </w:t>
      </w:r>
      <w:r w:rsidR="00293842" w:rsidRPr="006843EF">
        <w:t>отсутствует информация об объеме предоставляемой учреждению субсидии.</w:t>
      </w:r>
      <w:proofErr w:type="gramEnd"/>
    </w:p>
    <w:p w:rsidR="00293842" w:rsidRPr="006843EF" w:rsidRDefault="00092B1F" w:rsidP="00293842">
      <w:pPr>
        <w:pStyle w:val="af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2"/>
      </w:pPr>
      <w:r w:rsidRPr="006843EF">
        <w:t>П</w:t>
      </w:r>
      <w:r w:rsidR="00293842" w:rsidRPr="006843EF">
        <w:t>о отдельным доходам отклонение от прогнозных поступлений превышает 10%, как в положительную, так и в отрицательную сторону</w:t>
      </w:r>
      <w:r w:rsidRPr="006843EF">
        <w:t xml:space="preserve">, что в соответствии со Стандартом </w:t>
      </w:r>
      <w:r w:rsidR="00293842" w:rsidRPr="006843EF">
        <w:t xml:space="preserve"> </w:t>
      </w:r>
      <w:r w:rsidR="003666E8" w:rsidRPr="006843EF">
        <w:rPr>
          <w:snapToGrid w:val="0"/>
        </w:rPr>
        <w:t>финансового контроля КСП</w:t>
      </w:r>
      <w:r w:rsidR="003666E8" w:rsidRPr="006843EF">
        <w:t xml:space="preserve"> </w:t>
      </w:r>
      <w:r w:rsidR="00293842" w:rsidRPr="006843EF">
        <w:t>расценивается как некачественное планирование.</w:t>
      </w:r>
    </w:p>
    <w:p w:rsidR="00293842" w:rsidRPr="006843EF" w:rsidRDefault="004A48A9" w:rsidP="00293842">
      <w:pPr>
        <w:pStyle w:val="af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2"/>
      </w:pPr>
      <w:r w:rsidRPr="006843EF">
        <w:t>В</w:t>
      </w:r>
      <w:r w:rsidR="00293842" w:rsidRPr="006843EF">
        <w:t xml:space="preserve"> нарушение п. 167 Инструкции № 191н в состав просроченной кредиторской задолженности не включена кредиторская задолженность на 163,6 тыс. рублей.</w:t>
      </w:r>
    </w:p>
    <w:p w:rsidR="00293842" w:rsidRPr="006843EF" w:rsidRDefault="00293842" w:rsidP="00293842">
      <w:pPr>
        <w:pStyle w:val="af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2"/>
      </w:pPr>
      <w:proofErr w:type="gramStart"/>
      <w:r w:rsidRPr="006843EF">
        <w:t xml:space="preserve">В </w:t>
      </w:r>
      <w:r w:rsidR="0042489B" w:rsidRPr="006843EF">
        <w:t xml:space="preserve">состав </w:t>
      </w:r>
      <w:r w:rsidRPr="006843EF">
        <w:t>кредиторск</w:t>
      </w:r>
      <w:r w:rsidR="0042489B" w:rsidRPr="006843EF">
        <w:t>ой задолженности</w:t>
      </w:r>
      <w:r w:rsidRPr="006843EF">
        <w:t xml:space="preserve"> Комитета включена задолженность в размере 122518,0 тыс. руб.</w:t>
      </w:r>
      <w:r w:rsidR="0042489B" w:rsidRPr="006843EF">
        <w:t xml:space="preserve"> </w:t>
      </w:r>
      <w:r w:rsidR="00B819AC" w:rsidRPr="006843EF">
        <w:t xml:space="preserve">по субсидии федерального бюджета на реализацию мероприятий ГП РФ «Доступная среда» на 2011-2020 годы, </w:t>
      </w:r>
      <w:r w:rsidR="0042489B" w:rsidRPr="006843EF">
        <w:t>фактически таковой не являющейся</w:t>
      </w:r>
      <w:r w:rsidRPr="006843EF">
        <w:t xml:space="preserve">, </w:t>
      </w:r>
      <w:r w:rsidR="00B819AC" w:rsidRPr="006843EF">
        <w:t>что не отвечает общим требованиям к бухгалтерской отчетности, установленным ст.13 Федерального закона от 06.12.2011 № 402-ФЗ «О бухгалтерском учете», означающим, что бухгалтерская (финансовая) отчетность должна давать достоверное представление о финансовом</w:t>
      </w:r>
      <w:proofErr w:type="gramEnd"/>
      <w:r w:rsidR="00B819AC" w:rsidRPr="006843EF">
        <w:t xml:space="preserve"> </w:t>
      </w:r>
      <w:proofErr w:type="gramStart"/>
      <w:r w:rsidR="00B819AC" w:rsidRPr="006843EF">
        <w:t>положении</w:t>
      </w:r>
      <w:proofErr w:type="gramEnd"/>
      <w:r w:rsidR="00B819AC" w:rsidRPr="006843EF">
        <w:t xml:space="preserve"> экономического субъекта на отчетную дату, финансовом результате его деятельности и движении денежных средств за отчетный период, необходимое пользователям этой отчетности для принятия экономических решений</w:t>
      </w:r>
      <w:r w:rsidRPr="006843EF">
        <w:t>.</w:t>
      </w:r>
    </w:p>
    <w:p w:rsidR="00293842" w:rsidRPr="006843EF" w:rsidRDefault="0013384A" w:rsidP="007E6D24">
      <w:pPr>
        <w:pStyle w:val="af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6843EF">
        <w:t>В нарушение п. 2.9. Порядка № 266-п в</w:t>
      </w:r>
      <w:r w:rsidR="00293842" w:rsidRPr="006843EF">
        <w:t xml:space="preserve"> форме карты внутреннего финансового контроля, утвержденной Приказом № 531</w:t>
      </w:r>
      <w:r w:rsidRPr="006843EF">
        <w:t>,</w:t>
      </w:r>
      <w:r w:rsidR="00293842" w:rsidRPr="006843EF">
        <w:t xml:space="preserve"> отсутствует способ </w:t>
      </w:r>
      <w:r w:rsidRPr="006843EF">
        <w:t>проведения контрольных действий</w:t>
      </w:r>
      <w:r w:rsidR="00293842" w:rsidRPr="006843EF">
        <w:t>.</w:t>
      </w:r>
      <w:r w:rsidR="00CF33BB" w:rsidRPr="006843EF">
        <w:t xml:space="preserve"> Ф</w:t>
      </w:r>
      <w:r w:rsidR="00293842" w:rsidRPr="006843EF">
        <w:t>ормы отчета о результатах внутреннего финансового контроля и информации о результатах внутреннего финансового контроля Приказом № 531 не определены. В нарушение п. 3.12. Порядка № 266-п в Плане проверок на 2016 год отсутствует информация об ответственных исполнителях.</w:t>
      </w:r>
    </w:p>
    <w:p w:rsidR="00293842" w:rsidRPr="006843EF" w:rsidRDefault="00293842" w:rsidP="007E6D24">
      <w:pPr>
        <w:tabs>
          <w:tab w:val="left" w:pos="993"/>
        </w:tabs>
        <w:ind w:firstLine="709"/>
        <w:jc w:val="center"/>
        <w:rPr>
          <w:b/>
          <w:i/>
        </w:rPr>
      </w:pPr>
    </w:p>
    <w:p w:rsidR="00D13733" w:rsidRPr="006843EF" w:rsidRDefault="00D13733" w:rsidP="00293842">
      <w:pPr>
        <w:tabs>
          <w:tab w:val="left" w:pos="993"/>
        </w:tabs>
        <w:ind w:firstLine="709"/>
        <w:jc w:val="center"/>
        <w:rPr>
          <w:b/>
          <w:i/>
        </w:rPr>
      </w:pPr>
    </w:p>
    <w:p w:rsidR="00D13733" w:rsidRPr="006843EF" w:rsidRDefault="00D13733" w:rsidP="00293842">
      <w:pPr>
        <w:tabs>
          <w:tab w:val="left" w:pos="993"/>
        </w:tabs>
        <w:ind w:firstLine="709"/>
        <w:jc w:val="center"/>
        <w:rPr>
          <w:b/>
          <w:i/>
        </w:rPr>
      </w:pPr>
    </w:p>
    <w:p w:rsidR="00D13733" w:rsidRPr="006843EF" w:rsidRDefault="00D13733" w:rsidP="00293842">
      <w:pPr>
        <w:tabs>
          <w:tab w:val="left" w:pos="993"/>
        </w:tabs>
        <w:ind w:firstLine="709"/>
        <w:jc w:val="center"/>
        <w:rPr>
          <w:b/>
          <w:i/>
        </w:rPr>
      </w:pPr>
    </w:p>
    <w:p w:rsidR="00293842" w:rsidRPr="006843EF" w:rsidRDefault="00293842" w:rsidP="00293842">
      <w:pPr>
        <w:tabs>
          <w:tab w:val="left" w:pos="993"/>
        </w:tabs>
        <w:ind w:firstLine="709"/>
        <w:jc w:val="center"/>
        <w:rPr>
          <w:b/>
          <w:i/>
        </w:rPr>
      </w:pPr>
      <w:r w:rsidRPr="006843EF">
        <w:rPr>
          <w:b/>
          <w:i/>
        </w:rPr>
        <w:t>Предложения</w:t>
      </w:r>
    </w:p>
    <w:p w:rsidR="00293842" w:rsidRPr="006843EF" w:rsidRDefault="00293842" w:rsidP="00293842">
      <w:pPr>
        <w:tabs>
          <w:tab w:val="left" w:pos="993"/>
        </w:tabs>
        <w:ind w:firstLine="709"/>
        <w:jc w:val="both"/>
        <w:rPr>
          <w:i/>
          <w:u w:val="single"/>
        </w:rPr>
      </w:pPr>
      <w:r w:rsidRPr="006843EF">
        <w:rPr>
          <w:i/>
          <w:u w:val="single"/>
        </w:rPr>
        <w:t xml:space="preserve">Комитету </w:t>
      </w:r>
    </w:p>
    <w:p w:rsidR="00293842" w:rsidRPr="006843EF" w:rsidRDefault="00293842" w:rsidP="00293842">
      <w:pPr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bCs/>
        </w:rPr>
      </w:pPr>
      <w:r w:rsidRPr="006843EF">
        <w:rPr>
          <w:bCs/>
        </w:rPr>
        <w:t xml:space="preserve">Обратить внимание на ненадлежащий </w:t>
      </w:r>
      <w:proofErr w:type="gramStart"/>
      <w:r w:rsidRPr="006843EF">
        <w:rPr>
          <w:bCs/>
        </w:rPr>
        <w:t>контроль за</w:t>
      </w:r>
      <w:proofErr w:type="gramEnd"/>
      <w:r w:rsidRPr="006843EF">
        <w:rPr>
          <w:bCs/>
        </w:rPr>
        <w:t xml:space="preserve"> соблюдением требований Инструкции № 191н при заполнении форм годовой бюджетной отчетности за 2016 год.</w:t>
      </w:r>
    </w:p>
    <w:p w:rsidR="00293842" w:rsidRPr="006843EF" w:rsidRDefault="00293842" w:rsidP="00293842">
      <w:pPr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bCs/>
        </w:rPr>
      </w:pPr>
      <w:r w:rsidRPr="006843EF">
        <w:rPr>
          <w:bCs/>
        </w:rPr>
        <w:t xml:space="preserve">Принять меры по </w:t>
      </w:r>
      <w:r w:rsidR="00C204A2" w:rsidRPr="006843EF">
        <w:rPr>
          <w:bCs/>
        </w:rPr>
        <w:t>приведению</w:t>
      </w:r>
      <w:r w:rsidRPr="006843EF">
        <w:rPr>
          <w:bCs/>
        </w:rPr>
        <w:t xml:space="preserve"> </w:t>
      </w:r>
      <w:r w:rsidR="00C204A2" w:rsidRPr="006843EF">
        <w:rPr>
          <w:bCs/>
        </w:rPr>
        <w:t xml:space="preserve">кредиторской задолженности по доходам в соответствие </w:t>
      </w:r>
      <w:proofErr w:type="gramStart"/>
      <w:r w:rsidR="00C204A2" w:rsidRPr="006843EF">
        <w:rPr>
          <w:bCs/>
        </w:rPr>
        <w:t>с</w:t>
      </w:r>
      <w:proofErr w:type="gramEnd"/>
      <w:r w:rsidR="00C204A2" w:rsidRPr="006843EF">
        <w:rPr>
          <w:bCs/>
        </w:rPr>
        <w:t xml:space="preserve"> реальной</w:t>
      </w:r>
      <w:r w:rsidRPr="006843EF">
        <w:rPr>
          <w:bCs/>
        </w:rPr>
        <w:t xml:space="preserve">. </w:t>
      </w:r>
    </w:p>
    <w:p w:rsidR="00293842" w:rsidRPr="006843EF" w:rsidRDefault="00293842" w:rsidP="00CF33BB">
      <w:pPr>
        <w:pStyle w:val="afc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6843EF">
        <w:t>Внести изменения в форму карты внутреннего финансового контроля, в части включения графы «способ проведения контрольных действий».</w:t>
      </w:r>
      <w:r w:rsidR="00CF33BB" w:rsidRPr="006843EF">
        <w:t xml:space="preserve"> </w:t>
      </w:r>
      <w:r w:rsidRPr="006843EF">
        <w:t>Утвердить форму предоставления информации о результатах внутреннего финансового контроля и последующего отчета о его результатах</w:t>
      </w:r>
      <w:r w:rsidR="00CF33BB" w:rsidRPr="006843EF">
        <w:rPr>
          <w:bCs/>
        </w:rPr>
        <w:t>, а также у</w:t>
      </w:r>
      <w:r w:rsidRPr="006843EF">
        <w:t>твердить Приказом № 531 форму Плана проверок.</w:t>
      </w:r>
    </w:p>
    <w:p w:rsidR="00293842" w:rsidRPr="006843EF" w:rsidRDefault="00293842" w:rsidP="00293842">
      <w:pPr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bCs/>
        </w:rPr>
      </w:pPr>
      <w:r w:rsidRPr="006843EF">
        <w:t xml:space="preserve">Рассмотреть вопрос о необходимость повышения качества </w:t>
      </w:r>
      <w:proofErr w:type="gramStart"/>
      <w:r w:rsidRPr="006843EF">
        <w:t>осуществляемых</w:t>
      </w:r>
      <w:proofErr w:type="gramEnd"/>
      <w:r w:rsidRPr="006843EF">
        <w:t xml:space="preserve"> в Комитете внутреннего финансового контроля и внутреннего финансового аудита.</w:t>
      </w:r>
    </w:p>
    <w:p w:rsidR="00293842" w:rsidRPr="006843EF" w:rsidRDefault="00293842" w:rsidP="00293842">
      <w:pPr>
        <w:jc w:val="both"/>
        <w:rPr>
          <w:b/>
        </w:rPr>
      </w:pPr>
    </w:p>
    <w:p w:rsidR="008C3420" w:rsidRPr="006843EF" w:rsidRDefault="008C3420" w:rsidP="00293842">
      <w:pPr>
        <w:ind w:firstLine="708"/>
        <w:jc w:val="both"/>
        <w:rPr>
          <w:b/>
        </w:rPr>
      </w:pPr>
    </w:p>
    <w:p w:rsidR="00293842" w:rsidRPr="006250FA" w:rsidRDefault="00293842" w:rsidP="00293842">
      <w:pPr>
        <w:ind w:firstLine="708"/>
        <w:jc w:val="both"/>
        <w:rPr>
          <w:i/>
        </w:rPr>
      </w:pPr>
      <w:r w:rsidRPr="006843EF">
        <w:rPr>
          <w:b/>
        </w:rPr>
        <w:t>Аудитор</w:t>
      </w:r>
      <w:r w:rsidRPr="006843EF">
        <w:rPr>
          <w:b/>
        </w:rPr>
        <w:tab/>
      </w:r>
      <w:r w:rsidRPr="006843EF">
        <w:rPr>
          <w:b/>
        </w:rPr>
        <w:tab/>
      </w:r>
      <w:r w:rsidRPr="006843EF">
        <w:rPr>
          <w:b/>
        </w:rPr>
        <w:tab/>
      </w:r>
      <w:r w:rsidRPr="006843EF">
        <w:rPr>
          <w:b/>
        </w:rPr>
        <w:tab/>
      </w:r>
      <w:r w:rsidRPr="006843EF">
        <w:rPr>
          <w:b/>
        </w:rPr>
        <w:tab/>
      </w:r>
      <w:r w:rsidRPr="006843EF">
        <w:rPr>
          <w:b/>
        </w:rPr>
        <w:tab/>
      </w:r>
      <w:r w:rsidRPr="006843EF">
        <w:rPr>
          <w:b/>
        </w:rPr>
        <w:tab/>
      </w:r>
      <w:r w:rsidRPr="006843EF">
        <w:rPr>
          <w:b/>
        </w:rPr>
        <w:tab/>
        <w:t>М.Е. Татаринцев</w:t>
      </w:r>
    </w:p>
    <w:p w:rsidR="006250FA" w:rsidRPr="006250FA" w:rsidRDefault="006250FA" w:rsidP="00F603D4">
      <w:pPr>
        <w:pStyle w:val="ac"/>
        <w:spacing w:after="0"/>
        <w:ind w:left="0" w:firstLine="709"/>
        <w:jc w:val="both"/>
        <w:rPr>
          <w:i/>
        </w:rPr>
      </w:pPr>
    </w:p>
    <w:sectPr w:rsidR="006250FA" w:rsidRPr="006250FA" w:rsidSect="00036248">
      <w:headerReference w:type="even" r:id="rId8"/>
      <w:headerReference w:type="default" r:id="rId9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DAC" w:rsidRDefault="007F7DAC">
      <w:r>
        <w:separator/>
      </w:r>
    </w:p>
  </w:endnote>
  <w:endnote w:type="continuationSeparator" w:id="0">
    <w:p w:rsidR="007F7DAC" w:rsidRDefault="007F7D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DAC" w:rsidRDefault="007F7DAC">
      <w:r>
        <w:separator/>
      </w:r>
    </w:p>
  </w:footnote>
  <w:footnote w:type="continuationSeparator" w:id="0">
    <w:p w:rsidR="007F7DAC" w:rsidRDefault="007F7D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523" w:rsidRDefault="00E9475E" w:rsidP="00CF44C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8152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81523" w:rsidRDefault="00C8152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523" w:rsidRDefault="00E9475E" w:rsidP="00CF44C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8152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843EF">
      <w:rPr>
        <w:rStyle w:val="a9"/>
        <w:noProof/>
      </w:rPr>
      <w:t>2</w:t>
    </w:r>
    <w:r>
      <w:rPr>
        <w:rStyle w:val="a9"/>
      </w:rPr>
      <w:fldChar w:fldCharType="end"/>
    </w:r>
  </w:p>
  <w:p w:rsidR="00C81523" w:rsidRDefault="00C81523" w:rsidP="00F3249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pt;height:11.2pt" o:bullet="t">
        <v:imagedata r:id="rId1" o:title="mso1"/>
      </v:shape>
    </w:pict>
  </w:numPicBullet>
  <w:abstractNum w:abstractNumId="0">
    <w:nsid w:val="FFFFFF89"/>
    <w:multiLevelType w:val="singleLevel"/>
    <w:tmpl w:val="37E6CF7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2002EC"/>
    <w:multiLevelType w:val="hybridMultilevel"/>
    <w:tmpl w:val="47A269C2"/>
    <w:lvl w:ilvl="0" w:tplc="20AE109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9C1678C"/>
    <w:multiLevelType w:val="hybridMultilevel"/>
    <w:tmpl w:val="CB88DAAA"/>
    <w:lvl w:ilvl="0" w:tplc="6F1634E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09E94EE8"/>
    <w:multiLevelType w:val="hybridMultilevel"/>
    <w:tmpl w:val="E314183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AFE6500"/>
    <w:multiLevelType w:val="hybridMultilevel"/>
    <w:tmpl w:val="14D22F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772DA4"/>
    <w:multiLevelType w:val="hybridMultilevel"/>
    <w:tmpl w:val="7188EC22"/>
    <w:lvl w:ilvl="0" w:tplc="0419000B">
      <w:start w:val="1"/>
      <w:numFmt w:val="bullet"/>
      <w:lvlText w:val="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3BE10B5"/>
    <w:multiLevelType w:val="hybridMultilevel"/>
    <w:tmpl w:val="C1741BEA"/>
    <w:lvl w:ilvl="0" w:tplc="0E8ED0D4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4CD3D0A"/>
    <w:multiLevelType w:val="hybridMultilevel"/>
    <w:tmpl w:val="DA0EE4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D85FDD"/>
    <w:multiLevelType w:val="hybridMultilevel"/>
    <w:tmpl w:val="F10AC7B8"/>
    <w:lvl w:ilvl="0" w:tplc="18F4900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9591F3B"/>
    <w:multiLevelType w:val="hybridMultilevel"/>
    <w:tmpl w:val="A7FE5F5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1C1761CA"/>
    <w:multiLevelType w:val="hybridMultilevel"/>
    <w:tmpl w:val="2DDCB24C"/>
    <w:lvl w:ilvl="0" w:tplc="AEFCB0B8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>
    <w:nsid w:val="1F87356A"/>
    <w:multiLevelType w:val="hybridMultilevel"/>
    <w:tmpl w:val="74D8F5C8"/>
    <w:lvl w:ilvl="0" w:tplc="B77E0118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ED0B06"/>
    <w:multiLevelType w:val="hybridMultilevel"/>
    <w:tmpl w:val="9F6ECBA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4D5415E"/>
    <w:multiLevelType w:val="hybridMultilevel"/>
    <w:tmpl w:val="4856683E"/>
    <w:lvl w:ilvl="0" w:tplc="AAC2679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252F3B78"/>
    <w:multiLevelType w:val="hybridMultilevel"/>
    <w:tmpl w:val="5BF893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CC464F"/>
    <w:multiLevelType w:val="hybridMultilevel"/>
    <w:tmpl w:val="EC62138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AEF3BF0"/>
    <w:multiLevelType w:val="hybridMultilevel"/>
    <w:tmpl w:val="293E8E7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0200824"/>
    <w:multiLevelType w:val="hybridMultilevel"/>
    <w:tmpl w:val="30AEEA0C"/>
    <w:lvl w:ilvl="0" w:tplc="5D9ECC6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31B4F3D"/>
    <w:multiLevelType w:val="hybridMultilevel"/>
    <w:tmpl w:val="A49474AC"/>
    <w:lvl w:ilvl="0" w:tplc="F1E0E5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5BE73E4"/>
    <w:multiLevelType w:val="hybridMultilevel"/>
    <w:tmpl w:val="91865146"/>
    <w:lvl w:ilvl="0" w:tplc="B47A5F30">
      <w:numFmt w:val="bullet"/>
      <w:lvlText w:val="-"/>
      <w:lvlJc w:val="left"/>
      <w:pPr>
        <w:tabs>
          <w:tab w:val="num" w:pos="2460"/>
        </w:tabs>
        <w:ind w:left="2460" w:hanging="10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381003FA"/>
    <w:multiLevelType w:val="hybridMultilevel"/>
    <w:tmpl w:val="65E0C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34340A"/>
    <w:multiLevelType w:val="multilevel"/>
    <w:tmpl w:val="47AE5A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>
    <w:nsid w:val="39EB22F6"/>
    <w:multiLevelType w:val="hybridMultilevel"/>
    <w:tmpl w:val="F82A270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3CD27E53"/>
    <w:multiLevelType w:val="hybridMultilevel"/>
    <w:tmpl w:val="16E21D8A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3F124CB1"/>
    <w:multiLevelType w:val="hybridMultilevel"/>
    <w:tmpl w:val="CC86B092"/>
    <w:lvl w:ilvl="0" w:tplc="7832B39A">
      <w:start w:val="1"/>
      <w:numFmt w:val="bullet"/>
      <w:lvlText w:val=""/>
      <w:lvlJc w:val="left"/>
      <w:pPr>
        <w:tabs>
          <w:tab w:val="num" w:pos="1844"/>
        </w:tabs>
        <w:ind w:left="1504" w:firstLine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41F3490B"/>
    <w:multiLevelType w:val="hybridMultilevel"/>
    <w:tmpl w:val="656A26EC"/>
    <w:lvl w:ilvl="0" w:tplc="7832B39A">
      <w:start w:val="1"/>
      <w:numFmt w:val="bullet"/>
      <w:lvlText w:val=""/>
      <w:lvlJc w:val="left"/>
      <w:pPr>
        <w:tabs>
          <w:tab w:val="num" w:pos="1844"/>
        </w:tabs>
        <w:ind w:left="1504" w:firstLine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42376BE8"/>
    <w:multiLevelType w:val="hybridMultilevel"/>
    <w:tmpl w:val="A17EEF12"/>
    <w:lvl w:ilvl="0" w:tplc="1EEE144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2BD0694"/>
    <w:multiLevelType w:val="hybridMultilevel"/>
    <w:tmpl w:val="38A46D76"/>
    <w:lvl w:ilvl="0" w:tplc="824AE7F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332171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C726BC8"/>
    <w:multiLevelType w:val="hybridMultilevel"/>
    <w:tmpl w:val="BAE6A570"/>
    <w:lvl w:ilvl="0" w:tplc="D0CE06F2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E253300"/>
    <w:multiLevelType w:val="hybridMultilevel"/>
    <w:tmpl w:val="72C8F404"/>
    <w:lvl w:ilvl="0" w:tplc="2BF24A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643DE2"/>
    <w:multiLevelType w:val="hybridMultilevel"/>
    <w:tmpl w:val="2652846E"/>
    <w:lvl w:ilvl="0" w:tplc="06EE35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55F89E54">
      <w:numFmt w:val="none"/>
      <w:lvlText w:val=""/>
      <w:lvlJc w:val="left"/>
      <w:pPr>
        <w:tabs>
          <w:tab w:val="num" w:pos="360"/>
        </w:tabs>
      </w:pPr>
    </w:lvl>
    <w:lvl w:ilvl="2" w:tplc="A454BDCC">
      <w:numFmt w:val="none"/>
      <w:lvlText w:val=""/>
      <w:lvlJc w:val="left"/>
      <w:pPr>
        <w:tabs>
          <w:tab w:val="num" w:pos="360"/>
        </w:tabs>
      </w:pPr>
    </w:lvl>
    <w:lvl w:ilvl="3" w:tplc="C0367850">
      <w:numFmt w:val="none"/>
      <w:lvlText w:val=""/>
      <w:lvlJc w:val="left"/>
      <w:pPr>
        <w:tabs>
          <w:tab w:val="num" w:pos="360"/>
        </w:tabs>
      </w:pPr>
    </w:lvl>
    <w:lvl w:ilvl="4" w:tplc="1DA81490">
      <w:numFmt w:val="none"/>
      <w:lvlText w:val=""/>
      <w:lvlJc w:val="left"/>
      <w:pPr>
        <w:tabs>
          <w:tab w:val="num" w:pos="360"/>
        </w:tabs>
      </w:pPr>
    </w:lvl>
    <w:lvl w:ilvl="5" w:tplc="4B4E82D2">
      <w:numFmt w:val="none"/>
      <w:lvlText w:val=""/>
      <w:lvlJc w:val="left"/>
      <w:pPr>
        <w:tabs>
          <w:tab w:val="num" w:pos="360"/>
        </w:tabs>
      </w:pPr>
    </w:lvl>
    <w:lvl w:ilvl="6" w:tplc="205E01DA">
      <w:numFmt w:val="none"/>
      <w:lvlText w:val=""/>
      <w:lvlJc w:val="left"/>
      <w:pPr>
        <w:tabs>
          <w:tab w:val="num" w:pos="360"/>
        </w:tabs>
      </w:pPr>
    </w:lvl>
    <w:lvl w:ilvl="7" w:tplc="777A289E">
      <w:numFmt w:val="none"/>
      <w:lvlText w:val=""/>
      <w:lvlJc w:val="left"/>
      <w:pPr>
        <w:tabs>
          <w:tab w:val="num" w:pos="360"/>
        </w:tabs>
      </w:pPr>
    </w:lvl>
    <w:lvl w:ilvl="8" w:tplc="9F6A0D5A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5BBD18D0"/>
    <w:multiLevelType w:val="hybridMultilevel"/>
    <w:tmpl w:val="2C60CD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DF720CB"/>
    <w:multiLevelType w:val="hybridMultilevel"/>
    <w:tmpl w:val="527E2BF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9F6629B"/>
    <w:multiLevelType w:val="hybridMultilevel"/>
    <w:tmpl w:val="3F96F136"/>
    <w:lvl w:ilvl="0" w:tplc="C85CF7F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>
    <w:nsid w:val="6A69052C"/>
    <w:multiLevelType w:val="hybridMultilevel"/>
    <w:tmpl w:val="2EDE7C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6B1F57CA"/>
    <w:multiLevelType w:val="hybridMultilevel"/>
    <w:tmpl w:val="776CEF6A"/>
    <w:lvl w:ilvl="0" w:tplc="824AE7F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>
    <w:nsid w:val="6FC2252D"/>
    <w:multiLevelType w:val="hybridMultilevel"/>
    <w:tmpl w:val="0044A9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5FD3699"/>
    <w:multiLevelType w:val="hybridMultilevel"/>
    <w:tmpl w:val="CA387D38"/>
    <w:lvl w:ilvl="0" w:tplc="69C29C0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8995161"/>
    <w:multiLevelType w:val="hybridMultilevel"/>
    <w:tmpl w:val="8BEA19F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281D78"/>
    <w:multiLevelType w:val="hybridMultilevel"/>
    <w:tmpl w:val="B30E8BE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A585DC0"/>
    <w:multiLevelType w:val="hybridMultilevel"/>
    <w:tmpl w:val="92CADE9E"/>
    <w:lvl w:ilvl="0" w:tplc="0DFCEE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E32159F"/>
    <w:multiLevelType w:val="hybridMultilevel"/>
    <w:tmpl w:val="660098EA"/>
    <w:lvl w:ilvl="0" w:tplc="C13E1F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25"/>
  </w:num>
  <w:num w:numId="3">
    <w:abstractNumId w:val="24"/>
  </w:num>
  <w:num w:numId="4">
    <w:abstractNumId w:val="10"/>
  </w:num>
  <w:num w:numId="5">
    <w:abstractNumId w:val="27"/>
  </w:num>
  <w:num w:numId="6">
    <w:abstractNumId w:val="36"/>
  </w:num>
  <w:num w:numId="7">
    <w:abstractNumId w:val="5"/>
  </w:num>
  <w:num w:numId="8">
    <w:abstractNumId w:val="14"/>
  </w:num>
  <w:num w:numId="9">
    <w:abstractNumId w:val="1"/>
  </w:num>
  <w:num w:numId="10">
    <w:abstractNumId w:val="34"/>
  </w:num>
  <w:num w:numId="11">
    <w:abstractNumId w:val="13"/>
  </w:num>
  <w:num w:numId="12">
    <w:abstractNumId w:val="7"/>
  </w:num>
  <w:num w:numId="13">
    <w:abstractNumId w:val="8"/>
  </w:num>
  <w:num w:numId="14">
    <w:abstractNumId w:val="18"/>
  </w:num>
  <w:num w:numId="15">
    <w:abstractNumId w:val="21"/>
  </w:num>
  <w:num w:numId="16">
    <w:abstractNumId w:val="2"/>
  </w:num>
  <w:num w:numId="17">
    <w:abstractNumId w:val="15"/>
  </w:num>
  <w:num w:numId="18">
    <w:abstractNumId w:val="28"/>
  </w:num>
  <w:num w:numId="19">
    <w:abstractNumId w:val="16"/>
  </w:num>
  <w:num w:numId="20">
    <w:abstractNumId w:val="3"/>
  </w:num>
  <w:num w:numId="21">
    <w:abstractNumId w:val="23"/>
  </w:num>
  <w:num w:numId="22">
    <w:abstractNumId w:val="22"/>
  </w:num>
  <w:num w:numId="23">
    <w:abstractNumId w:val="26"/>
  </w:num>
  <w:num w:numId="24">
    <w:abstractNumId w:val="11"/>
  </w:num>
  <w:num w:numId="25">
    <w:abstractNumId w:val="6"/>
  </w:num>
  <w:num w:numId="26">
    <w:abstractNumId w:val="17"/>
  </w:num>
  <w:num w:numId="27">
    <w:abstractNumId w:val="9"/>
  </w:num>
  <w:num w:numId="28">
    <w:abstractNumId w:val="0"/>
  </w:num>
  <w:num w:numId="29">
    <w:abstractNumId w:val="35"/>
  </w:num>
  <w:num w:numId="30">
    <w:abstractNumId w:val="19"/>
  </w:num>
  <w:num w:numId="31">
    <w:abstractNumId w:val="33"/>
  </w:num>
  <w:num w:numId="32">
    <w:abstractNumId w:val="40"/>
  </w:num>
  <w:num w:numId="33">
    <w:abstractNumId w:val="37"/>
  </w:num>
  <w:num w:numId="34">
    <w:abstractNumId w:val="32"/>
  </w:num>
  <w:num w:numId="35">
    <w:abstractNumId w:val="4"/>
  </w:num>
  <w:num w:numId="36">
    <w:abstractNumId w:val="12"/>
  </w:num>
  <w:num w:numId="37">
    <w:abstractNumId w:val="42"/>
  </w:num>
  <w:num w:numId="38">
    <w:abstractNumId w:val="41"/>
  </w:num>
  <w:num w:numId="39">
    <w:abstractNumId w:val="39"/>
  </w:num>
  <w:num w:numId="40">
    <w:abstractNumId w:val="20"/>
  </w:num>
  <w:num w:numId="41">
    <w:abstractNumId w:val="38"/>
  </w:num>
  <w:num w:numId="42">
    <w:abstractNumId w:val="29"/>
  </w:num>
  <w:num w:numId="43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4845"/>
    <w:rsid w:val="00000220"/>
    <w:rsid w:val="00000356"/>
    <w:rsid w:val="000005E0"/>
    <w:rsid w:val="00001273"/>
    <w:rsid w:val="00001459"/>
    <w:rsid w:val="00001AF3"/>
    <w:rsid w:val="00001E80"/>
    <w:rsid w:val="000023A4"/>
    <w:rsid w:val="000028B9"/>
    <w:rsid w:val="00002C4B"/>
    <w:rsid w:val="00003005"/>
    <w:rsid w:val="000036FC"/>
    <w:rsid w:val="00003C01"/>
    <w:rsid w:val="00003C3C"/>
    <w:rsid w:val="00004157"/>
    <w:rsid w:val="0000425F"/>
    <w:rsid w:val="000043A4"/>
    <w:rsid w:val="0000448D"/>
    <w:rsid w:val="00005418"/>
    <w:rsid w:val="00005907"/>
    <w:rsid w:val="00006265"/>
    <w:rsid w:val="000070DA"/>
    <w:rsid w:val="00007CA0"/>
    <w:rsid w:val="00011632"/>
    <w:rsid w:val="000116BE"/>
    <w:rsid w:val="00011832"/>
    <w:rsid w:val="00011C34"/>
    <w:rsid w:val="00011CC8"/>
    <w:rsid w:val="0001217C"/>
    <w:rsid w:val="0001275D"/>
    <w:rsid w:val="0001325C"/>
    <w:rsid w:val="0001368C"/>
    <w:rsid w:val="00013903"/>
    <w:rsid w:val="0001393B"/>
    <w:rsid w:val="0001400C"/>
    <w:rsid w:val="00014CD8"/>
    <w:rsid w:val="000170ED"/>
    <w:rsid w:val="0001710E"/>
    <w:rsid w:val="00017F5E"/>
    <w:rsid w:val="00020808"/>
    <w:rsid w:val="00021CE0"/>
    <w:rsid w:val="00021D07"/>
    <w:rsid w:val="00022963"/>
    <w:rsid w:val="00022DFD"/>
    <w:rsid w:val="00022FF5"/>
    <w:rsid w:val="00023140"/>
    <w:rsid w:val="000246EF"/>
    <w:rsid w:val="000249B0"/>
    <w:rsid w:val="00024DE4"/>
    <w:rsid w:val="00025910"/>
    <w:rsid w:val="00027193"/>
    <w:rsid w:val="0002723D"/>
    <w:rsid w:val="000300C8"/>
    <w:rsid w:val="0003049B"/>
    <w:rsid w:val="000304E4"/>
    <w:rsid w:val="00030EF8"/>
    <w:rsid w:val="000311D1"/>
    <w:rsid w:val="00031B23"/>
    <w:rsid w:val="000320D0"/>
    <w:rsid w:val="00032247"/>
    <w:rsid w:val="0003224A"/>
    <w:rsid w:val="00032B8F"/>
    <w:rsid w:val="00032D80"/>
    <w:rsid w:val="0003323B"/>
    <w:rsid w:val="00033437"/>
    <w:rsid w:val="000337DE"/>
    <w:rsid w:val="00033EE5"/>
    <w:rsid w:val="000344AF"/>
    <w:rsid w:val="00034C3C"/>
    <w:rsid w:val="00035240"/>
    <w:rsid w:val="000357F1"/>
    <w:rsid w:val="000360B5"/>
    <w:rsid w:val="000360E0"/>
    <w:rsid w:val="00036248"/>
    <w:rsid w:val="00036754"/>
    <w:rsid w:val="000368E3"/>
    <w:rsid w:val="00037455"/>
    <w:rsid w:val="00037F50"/>
    <w:rsid w:val="0004009D"/>
    <w:rsid w:val="000406B0"/>
    <w:rsid w:val="00041E54"/>
    <w:rsid w:val="00041EEB"/>
    <w:rsid w:val="000439BC"/>
    <w:rsid w:val="00044213"/>
    <w:rsid w:val="00044656"/>
    <w:rsid w:val="0004487F"/>
    <w:rsid w:val="00044990"/>
    <w:rsid w:val="00044EDC"/>
    <w:rsid w:val="000456BC"/>
    <w:rsid w:val="00045A96"/>
    <w:rsid w:val="000461F3"/>
    <w:rsid w:val="00046749"/>
    <w:rsid w:val="00046EB2"/>
    <w:rsid w:val="00047D98"/>
    <w:rsid w:val="00052175"/>
    <w:rsid w:val="00052B55"/>
    <w:rsid w:val="000531BF"/>
    <w:rsid w:val="00053904"/>
    <w:rsid w:val="00053B5E"/>
    <w:rsid w:val="00054A31"/>
    <w:rsid w:val="00054B88"/>
    <w:rsid w:val="00054DAB"/>
    <w:rsid w:val="00055342"/>
    <w:rsid w:val="00055536"/>
    <w:rsid w:val="0005564C"/>
    <w:rsid w:val="00055C46"/>
    <w:rsid w:val="00055C66"/>
    <w:rsid w:val="00055E60"/>
    <w:rsid w:val="00056E21"/>
    <w:rsid w:val="00056E4B"/>
    <w:rsid w:val="00056F45"/>
    <w:rsid w:val="000570CA"/>
    <w:rsid w:val="00057A4B"/>
    <w:rsid w:val="00057D06"/>
    <w:rsid w:val="00057D10"/>
    <w:rsid w:val="00057E51"/>
    <w:rsid w:val="00060FB8"/>
    <w:rsid w:val="0006262B"/>
    <w:rsid w:val="000639C8"/>
    <w:rsid w:val="0006409C"/>
    <w:rsid w:val="0006414F"/>
    <w:rsid w:val="000647BA"/>
    <w:rsid w:val="00064C22"/>
    <w:rsid w:val="00065562"/>
    <w:rsid w:val="00065F50"/>
    <w:rsid w:val="000660EE"/>
    <w:rsid w:val="000661D8"/>
    <w:rsid w:val="0006786F"/>
    <w:rsid w:val="00070A29"/>
    <w:rsid w:val="00070B40"/>
    <w:rsid w:val="0007100A"/>
    <w:rsid w:val="00071696"/>
    <w:rsid w:val="00071938"/>
    <w:rsid w:val="00071D3C"/>
    <w:rsid w:val="00071DC5"/>
    <w:rsid w:val="00071EF3"/>
    <w:rsid w:val="00072520"/>
    <w:rsid w:val="0007254A"/>
    <w:rsid w:val="00072D29"/>
    <w:rsid w:val="00073F68"/>
    <w:rsid w:val="0007442E"/>
    <w:rsid w:val="00074546"/>
    <w:rsid w:val="00075BAF"/>
    <w:rsid w:val="000761B7"/>
    <w:rsid w:val="0007791F"/>
    <w:rsid w:val="000779A9"/>
    <w:rsid w:val="00077B11"/>
    <w:rsid w:val="00077E60"/>
    <w:rsid w:val="00077EEC"/>
    <w:rsid w:val="00080274"/>
    <w:rsid w:val="00080402"/>
    <w:rsid w:val="00080E5B"/>
    <w:rsid w:val="00081069"/>
    <w:rsid w:val="0008113C"/>
    <w:rsid w:val="0008141E"/>
    <w:rsid w:val="00081DE0"/>
    <w:rsid w:val="00082F4A"/>
    <w:rsid w:val="00083013"/>
    <w:rsid w:val="0008307A"/>
    <w:rsid w:val="00083B67"/>
    <w:rsid w:val="000840A4"/>
    <w:rsid w:val="00084A05"/>
    <w:rsid w:val="00085232"/>
    <w:rsid w:val="000852E5"/>
    <w:rsid w:val="000856F8"/>
    <w:rsid w:val="00085B60"/>
    <w:rsid w:val="0008643F"/>
    <w:rsid w:val="0008646C"/>
    <w:rsid w:val="000871AA"/>
    <w:rsid w:val="0008749B"/>
    <w:rsid w:val="0009045D"/>
    <w:rsid w:val="00090A22"/>
    <w:rsid w:val="000912A5"/>
    <w:rsid w:val="000915B8"/>
    <w:rsid w:val="000916C9"/>
    <w:rsid w:val="00091807"/>
    <w:rsid w:val="00091914"/>
    <w:rsid w:val="00091C3E"/>
    <w:rsid w:val="00092169"/>
    <w:rsid w:val="00092B1F"/>
    <w:rsid w:val="00092C7B"/>
    <w:rsid w:val="000942B8"/>
    <w:rsid w:val="000951E6"/>
    <w:rsid w:val="0009530B"/>
    <w:rsid w:val="0009530C"/>
    <w:rsid w:val="000959DD"/>
    <w:rsid w:val="00096224"/>
    <w:rsid w:val="000963E3"/>
    <w:rsid w:val="00096903"/>
    <w:rsid w:val="0009727A"/>
    <w:rsid w:val="00097B30"/>
    <w:rsid w:val="00097DC8"/>
    <w:rsid w:val="00097F0B"/>
    <w:rsid w:val="000A1B51"/>
    <w:rsid w:val="000A250C"/>
    <w:rsid w:val="000A2DEC"/>
    <w:rsid w:val="000A38B1"/>
    <w:rsid w:val="000A3DA3"/>
    <w:rsid w:val="000A43E8"/>
    <w:rsid w:val="000A45E9"/>
    <w:rsid w:val="000A4600"/>
    <w:rsid w:val="000A4840"/>
    <w:rsid w:val="000A556A"/>
    <w:rsid w:val="000A5A71"/>
    <w:rsid w:val="000A5A90"/>
    <w:rsid w:val="000A5C3E"/>
    <w:rsid w:val="000A6151"/>
    <w:rsid w:val="000A703B"/>
    <w:rsid w:val="000A7381"/>
    <w:rsid w:val="000A7D28"/>
    <w:rsid w:val="000A7EF5"/>
    <w:rsid w:val="000B01FC"/>
    <w:rsid w:val="000B0458"/>
    <w:rsid w:val="000B0CA9"/>
    <w:rsid w:val="000B15A6"/>
    <w:rsid w:val="000B1C18"/>
    <w:rsid w:val="000B276B"/>
    <w:rsid w:val="000B47B0"/>
    <w:rsid w:val="000B5D2B"/>
    <w:rsid w:val="000B5E8A"/>
    <w:rsid w:val="000B6D43"/>
    <w:rsid w:val="000B701E"/>
    <w:rsid w:val="000B79F2"/>
    <w:rsid w:val="000C03C6"/>
    <w:rsid w:val="000C0426"/>
    <w:rsid w:val="000C0941"/>
    <w:rsid w:val="000C15BC"/>
    <w:rsid w:val="000C21D5"/>
    <w:rsid w:val="000C238F"/>
    <w:rsid w:val="000C348C"/>
    <w:rsid w:val="000C3755"/>
    <w:rsid w:val="000C3CCE"/>
    <w:rsid w:val="000C4E32"/>
    <w:rsid w:val="000C4E9E"/>
    <w:rsid w:val="000C4FD2"/>
    <w:rsid w:val="000C552C"/>
    <w:rsid w:val="000C68A4"/>
    <w:rsid w:val="000C70FC"/>
    <w:rsid w:val="000C71D1"/>
    <w:rsid w:val="000D0342"/>
    <w:rsid w:val="000D04E4"/>
    <w:rsid w:val="000D05E2"/>
    <w:rsid w:val="000D0723"/>
    <w:rsid w:val="000D073E"/>
    <w:rsid w:val="000D0860"/>
    <w:rsid w:val="000D0CA0"/>
    <w:rsid w:val="000D1904"/>
    <w:rsid w:val="000D24BF"/>
    <w:rsid w:val="000D3129"/>
    <w:rsid w:val="000D352F"/>
    <w:rsid w:val="000D3551"/>
    <w:rsid w:val="000D4799"/>
    <w:rsid w:val="000D4B89"/>
    <w:rsid w:val="000D4F45"/>
    <w:rsid w:val="000D542E"/>
    <w:rsid w:val="000D6664"/>
    <w:rsid w:val="000D70EE"/>
    <w:rsid w:val="000D72AA"/>
    <w:rsid w:val="000E0364"/>
    <w:rsid w:val="000E0A80"/>
    <w:rsid w:val="000E24E7"/>
    <w:rsid w:val="000E2654"/>
    <w:rsid w:val="000E2D4B"/>
    <w:rsid w:val="000E40C5"/>
    <w:rsid w:val="000E4478"/>
    <w:rsid w:val="000E4799"/>
    <w:rsid w:val="000E5C59"/>
    <w:rsid w:val="000E5EF4"/>
    <w:rsid w:val="000E65D5"/>
    <w:rsid w:val="000E6C0A"/>
    <w:rsid w:val="000E6D39"/>
    <w:rsid w:val="000F0646"/>
    <w:rsid w:val="000F1213"/>
    <w:rsid w:val="000F135D"/>
    <w:rsid w:val="000F15F1"/>
    <w:rsid w:val="000F17A1"/>
    <w:rsid w:val="000F2D6F"/>
    <w:rsid w:val="000F353C"/>
    <w:rsid w:val="000F368D"/>
    <w:rsid w:val="000F3B18"/>
    <w:rsid w:val="000F3F33"/>
    <w:rsid w:val="000F4084"/>
    <w:rsid w:val="000F465F"/>
    <w:rsid w:val="000F4C59"/>
    <w:rsid w:val="000F5175"/>
    <w:rsid w:val="000F5239"/>
    <w:rsid w:val="000F58AA"/>
    <w:rsid w:val="000F5C2D"/>
    <w:rsid w:val="000F5ECF"/>
    <w:rsid w:val="000F6580"/>
    <w:rsid w:val="000F68DA"/>
    <w:rsid w:val="000F7051"/>
    <w:rsid w:val="000F740F"/>
    <w:rsid w:val="000F7474"/>
    <w:rsid w:val="00100AE5"/>
    <w:rsid w:val="00100BA7"/>
    <w:rsid w:val="00100C81"/>
    <w:rsid w:val="00100C8E"/>
    <w:rsid w:val="00101147"/>
    <w:rsid w:val="00101C27"/>
    <w:rsid w:val="001028F6"/>
    <w:rsid w:val="00103C86"/>
    <w:rsid w:val="00104741"/>
    <w:rsid w:val="00104C9B"/>
    <w:rsid w:val="001051A2"/>
    <w:rsid w:val="00105FEC"/>
    <w:rsid w:val="001061A4"/>
    <w:rsid w:val="00106290"/>
    <w:rsid w:val="0010781D"/>
    <w:rsid w:val="00111042"/>
    <w:rsid w:val="0011125B"/>
    <w:rsid w:val="00111497"/>
    <w:rsid w:val="00111ADB"/>
    <w:rsid w:val="001124EA"/>
    <w:rsid w:val="00113300"/>
    <w:rsid w:val="0011344A"/>
    <w:rsid w:val="0011362C"/>
    <w:rsid w:val="0011369F"/>
    <w:rsid w:val="00113795"/>
    <w:rsid w:val="00113834"/>
    <w:rsid w:val="001139C4"/>
    <w:rsid w:val="00113F0E"/>
    <w:rsid w:val="00114239"/>
    <w:rsid w:val="001149DB"/>
    <w:rsid w:val="00114CD4"/>
    <w:rsid w:val="00116120"/>
    <w:rsid w:val="00116299"/>
    <w:rsid w:val="00116F59"/>
    <w:rsid w:val="001177A6"/>
    <w:rsid w:val="00117F88"/>
    <w:rsid w:val="001211AE"/>
    <w:rsid w:val="00121638"/>
    <w:rsid w:val="00122A3B"/>
    <w:rsid w:val="00122D9E"/>
    <w:rsid w:val="0012306F"/>
    <w:rsid w:val="00123E72"/>
    <w:rsid w:val="00124310"/>
    <w:rsid w:val="001246B9"/>
    <w:rsid w:val="00124FA7"/>
    <w:rsid w:val="00125D07"/>
    <w:rsid w:val="001266C7"/>
    <w:rsid w:val="001266CB"/>
    <w:rsid w:val="00126927"/>
    <w:rsid w:val="00127753"/>
    <w:rsid w:val="00127987"/>
    <w:rsid w:val="00127994"/>
    <w:rsid w:val="001301AD"/>
    <w:rsid w:val="00130399"/>
    <w:rsid w:val="00130513"/>
    <w:rsid w:val="00130F32"/>
    <w:rsid w:val="00131060"/>
    <w:rsid w:val="001315A7"/>
    <w:rsid w:val="00131649"/>
    <w:rsid w:val="00131825"/>
    <w:rsid w:val="00131FAA"/>
    <w:rsid w:val="00132488"/>
    <w:rsid w:val="00132691"/>
    <w:rsid w:val="001335A9"/>
    <w:rsid w:val="0013384A"/>
    <w:rsid w:val="001344F5"/>
    <w:rsid w:val="0013482E"/>
    <w:rsid w:val="001348F5"/>
    <w:rsid w:val="00135457"/>
    <w:rsid w:val="00135EB8"/>
    <w:rsid w:val="001369CE"/>
    <w:rsid w:val="00136EF0"/>
    <w:rsid w:val="00137902"/>
    <w:rsid w:val="00137DE9"/>
    <w:rsid w:val="00137EAF"/>
    <w:rsid w:val="00140C4F"/>
    <w:rsid w:val="00140CE9"/>
    <w:rsid w:val="001416F6"/>
    <w:rsid w:val="0014194A"/>
    <w:rsid w:val="001419E9"/>
    <w:rsid w:val="00141BFC"/>
    <w:rsid w:val="00142A4E"/>
    <w:rsid w:val="00142C85"/>
    <w:rsid w:val="00143854"/>
    <w:rsid w:val="00143B11"/>
    <w:rsid w:val="001452F1"/>
    <w:rsid w:val="00145AEC"/>
    <w:rsid w:val="00150516"/>
    <w:rsid w:val="00152BE2"/>
    <w:rsid w:val="00152C38"/>
    <w:rsid w:val="00153C38"/>
    <w:rsid w:val="001545C9"/>
    <w:rsid w:val="0015498E"/>
    <w:rsid w:val="00157249"/>
    <w:rsid w:val="00157EBF"/>
    <w:rsid w:val="00160102"/>
    <w:rsid w:val="00160B15"/>
    <w:rsid w:val="00160FFB"/>
    <w:rsid w:val="00161133"/>
    <w:rsid w:val="0016167A"/>
    <w:rsid w:val="00161BAC"/>
    <w:rsid w:val="0016214B"/>
    <w:rsid w:val="001630AD"/>
    <w:rsid w:val="001634FD"/>
    <w:rsid w:val="001635CE"/>
    <w:rsid w:val="00163A2F"/>
    <w:rsid w:val="00163DC0"/>
    <w:rsid w:val="00164FD0"/>
    <w:rsid w:val="001651F6"/>
    <w:rsid w:val="0016575C"/>
    <w:rsid w:val="00165E8F"/>
    <w:rsid w:val="0016625A"/>
    <w:rsid w:val="00166273"/>
    <w:rsid w:val="00166280"/>
    <w:rsid w:val="00166580"/>
    <w:rsid w:val="001671A9"/>
    <w:rsid w:val="00167D71"/>
    <w:rsid w:val="001723C4"/>
    <w:rsid w:val="001733C6"/>
    <w:rsid w:val="001746E8"/>
    <w:rsid w:val="00174928"/>
    <w:rsid w:val="00174A9E"/>
    <w:rsid w:val="00174B19"/>
    <w:rsid w:val="00174B4E"/>
    <w:rsid w:val="00175408"/>
    <w:rsid w:val="00175974"/>
    <w:rsid w:val="0017649B"/>
    <w:rsid w:val="00177AA4"/>
    <w:rsid w:val="00177CAC"/>
    <w:rsid w:val="00180345"/>
    <w:rsid w:val="00180643"/>
    <w:rsid w:val="001807CB"/>
    <w:rsid w:val="00180EFB"/>
    <w:rsid w:val="00181DC9"/>
    <w:rsid w:val="0018202E"/>
    <w:rsid w:val="001823A0"/>
    <w:rsid w:val="001828ED"/>
    <w:rsid w:val="00182DAD"/>
    <w:rsid w:val="00183544"/>
    <w:rsid w:val="001839F5"/>
    <w:rsid w:val="00183DC9"/>
    <w:rsid w:val="00184019"/>
    <w:rsid w:val="0018437E"/>
    <w:rsid w:val="00184607"/>
    <w:rsid w:val="00184845"/>
    <w:rsid w:val="001848B5"/>
    <w:rsid w:val="00184BB6"/>
    <w:rsid w:val="00184CA9"/>
    <w:rsid w:val="00185B7E"/>
    <w:rsid w:val="00185ED2"/>
    <w:rsid w:val="001863AA"/>
    <w:rsid w:val="001865FD"/>
    <w:rsid w:val="00186842"/>
    <w:rsid w:val="00186A74"/>
    <w:rsid w:val="00186F0B"/>
    <w:rsid w:val="00187C52"/>
    <w:rsid w:val="0019027A"/>
    <w:rsid w:val="00190B93"/>
    <w:rsid w:val="00190C57"/>
    <w:rsid w:val="001918B0"/>
    <w:rsid w:val="00193270"/>
    <w:rsid w:val="00193721"/>
    <w:rsid w:val="00193C41"/>
    <w:rsid w:val="0019683D"/>
    <w:rsid w:val="00196B00"/>
    <w:rsid w:val="00196D69"/>
    <w:rsid w:val="0019768E"/>
    <w:rsid w:val="00197C61"/>
    <w:rsid w:val="001A0471"/>
    <w:rsid w:val="001A0989"/>
    <w:rsid w:val="001A10CE"/>
    <w:rsid w:val="001A1728"/>
    <w:rsid w:val="001A1A75"/>
    <w:rsid w:val="001A2657"/>
    <w:rsid w:val="001A2D89"/>
    <w:rsid w:val="001A34B3"/>
    <w:rsid w:val="001A427F"/>
    <w:rsid w:val="001A428B"/>
    <w:rsid w:val="001A42A9"/>
    <w:rsid w:val="001A4A0D"/>
    <w:rsid w:val="001A4D2E"/>
    <w:rsid w:val="001A57CF"/>
    <w:rsid w:val="001A5A3E"/>
    <w:rsid w:val="001A5D55"/>
    <w:rsid w:val="001A6058"/>
    <w:rsid w:val="001A63DE"/>
    <w:rsid w:val="001A6FA5"/>
    <w:rsid w:val="001A7CC3"/>
    <w:rsid w:val="001B0154"/>
    <w:rsid w:val="001B182D"/>
    <w:rsid w:val="001B191C"/>
    <w:rsid w:val="001B2A11"/>
    <w:rsid w:val="001B2B55"/>
    <w:rsid w:val="001B2F6B"/>
    <w:rsid w:val="001B350C"/>
    <w:rsid w:val="001B4366"/>
    <w:rsid w:val="001B44BE"/>
    <w:rsid w:val="001B4FBC"/>
    <w:rsid w:val="001B505E"/>
    <w:rsid w:val="001B5109"/>
    <w:rsid w:val="001B516E"/>
    <w:rsid w:val="001B518B"/>
    <w:rsid w:val="001B5B4C"/>
    <w:rsid w:val="001B6218"/>
    <w:rsid w:val="001B6836"/>
    <w:rsid w:val="001B764A"/>
    <w:rsid w:val="001B76E8"/>
    <w:rsid w:val="001B7F51"/>
    <w:rsid w:val="001C1AF5"/>
    <w:rsid w:val="001C1F2D"/>
    <w:rsid w:val="001C1F46"/>
    <w:rsid w:val="001C24E2"/>
    <w:rsid w:val="001C3117"/>
    <w:rsid w:val="001C4365"/>
    <w:rsid w:val="001C43FB"/>
    <w:rsid w:val="001C52F1"/>
    <w:rsid w:val="001C64EC"/>
    <w:rsid w:val="001C6923"/>
    <w:rsid w:val="001C793F"/>
    <w:rsid w:val="001D0AE9"/>
    <w:rsid w:val="001D0C35"/>
    <w:rsid w:val="001D174B"/>
    <w:rsid w:val="001D1FC3"/>
    <w:rsid w:val="001D237F"/>
    <w:rsid w:val="001D2474"/>
    <w:rsid w:val="001D2CDA"/>
    <w:rsid w:val="001D3D6B"/>
    <w:rsid w:val="001D4A5A"/>
    <w:rsid w:val="001D4D4B"/>
    <w:rsid w:val="001D6F0C"/>
    <w:rsid w:val="001D6F69"/>
    <w:rsid w:val="001D72D6"/>
    <w:rsid w:val="001D72E9"/>
    <w:rsid w:val="001E2F21"/>
    <w:rsid w:val="001E3CB9"/>
    <w:rsid w:val="001E420C"/>
    <w:rsid w:val="001E46E3"/>
    <w:rsid w:val="001E47F3"/>
    <w:rsid w:val="001E57BB"/>
    <w:rsid w:val="001E6652"/>
    <w:rsid w:val="001E6AF0"/>
    <w:rsid w:val="001E6DD5"/>
    <w:rsid w:val="001E703C"/>
    <w:rsid w:val="001E7DF1"/>
    <w:rsid w:val="001F038C"/>
    <w:rsid w:val="001F0ED8"/>
    <w:rsid w:val="001F2420"/>
    <w:rsid w:val="001F2448"/>
    <w:rsid w:val="001F24C9"/>
    <w:rsid w:val="001F2A6B"/>
    <w:rsid w:val="001F3B85"/>
    <w:rsid w:val="001F3D47"/>
    <w:rsid w:val="001F3E37"/>
    <w:rsid w:val="001F642D"/>
    <w:rsid w:val="001F6542"/>
    <w:rsid w:val="001F68BE"/>
    <w:rsid w:val="001F691A"/>
    <w:rsid w:val="001F6BEA"/>
    <w:rsid w:val="001F7054"/>
    <w:rsid w:val="001F7695"/>
    <w:rsid w:val="001F7699"/>
    <w:rsid w:val="001F7A78"/>
    <w:rsid w:val="001F7BA6"/>
    <w:rsid w:val="001F7BCE"/>
    <w:rsid w:val="0020024A"/>
    <w:rsid w:val="002002C6"/>
    <w:rsid w:val="0020057A"/>
    <w:rsid w:val="0020098D"/>
    <w:rsid w:val="002009A2"/>
    <w:rsid w:val="00201182"/>
    <w:rsid w:val="002023F9"/>
    <w:rsid w:val="002026EB"/>
    <w:rsid w:val="00202C5E"/>
    <w:rsid w:val="00202ECC"/>
    <w:rsid w:val="0020321E"/>
    <w:rsid w:val="00203462"/>
    <w:rsid w:val="002049D4"/>
    <w:rsid w:val="00204A95"/>
    <w:rsid w:val="00204CF6"/>
    <w:rsid w:val="00204D23"/>
    <w:rsid w:val="00205938"/>
    <w:rsid w:val="002059C6"/>
    <w:rsid w:val="00205EBF"/>
    <w:rsid w:val="00206511"/>
    <w:rsid w:val="0020689A"/>
    <w:rsid w:val="0020689C"/>
    <w:rsid w:val="00206B87"/>
    <w:rsid w:val="002071DC"/>
    <w:rsid w:val="00207EA2"/>
    <w:rsid w:val="00207F1D"/>
    <w:rsid w:val="002105CE"/>
    <w:rsid w:val="0021154F"/>
    <w:rsid w:val="002120BF"/>
    <w:rsid w:val="00212581"/>
    <w:rsid w:val="00212F9E"/>
    <w:rsid w:val="002131A5"/>
    <w:rsid w:val="00213591"/>
    <w:rsid w:val="00214150"/>
    <w:rsid w:val="0021427C"/>
    <w:rsid w:val="0021481A"/>
    <w:rsid w:val="0021488B"/>
    <w:rsid w:val="002153ED"/>
    <w:rsid w:val="00215D26"/>
    <w:rsid w:val="00216978"/>
    <w:rsid w:val="00216FA7"/>
    <w:rsid w:val="00220252"/>
    <w:rsid w:val="002211C5"/>
    <w:rsid w:val="002214AC"/>
    <w:rsid w:val="002219D2"/>
    <w:rsid w:val="002227A5"/>
    <w:rsid w:val="0022440D"/>
    <w:rsid w:val="00224BE9"/>
    <w:rsid w:val="00224EAE"/>
    <w:rsid w:val="0022560F"/>
    <w:rsid w:val="00225889"/>
    <w:rsid w:val="00225A07"/>
    <w:rsid w:val="00225E22"/>
    <w:rsid w:val="00226033"/>
    <w:rsid w:val="00226925"/>
    <w:rsid w:val="00227099"/>
    <w:rsid w:val="00227147"/>
    <w:rsid w:val="00227259"/>
    <w:rsid w:val="002309F8"/>
    <w:rsid w:val="00230A08"/>
    <w:rsid w:val="002318B2"/>
    <w:rsid w:val="00233213"/>
    <w:rsid w:val="0023321B"/>
    <w:rsid w:val="00233622"/>
    <w:rsid w:val="00233BBA"/>
    <w:rsid w:val="00234309"/>
    <w:rsid w:val="00234656"/>
    <w:rsid w:val="002357A2"/>
    <w:rsid w:val="002357C3"/>
    <w:rsid w:val="00235F3F"/>
    <w:rsid w:val="002370AA"/>
    <w:rsid w:val="0023718D"/>
    <w:rsid w:val="0024002F"/>
    <w:rsid w:val="002403F5"/>
    <w:rsid w:val="0024055B"/>
    <w:rsid w:val="0024060E"/>
    <w:rsid w:val="002407EE"/>
    <w:rsid w:val="00240C00"/>
    <w:rsid w:val="00240CDD"/>
    <w:rsid w:val="00242113"/>
    <w:rsid w:val="002435BF"/>
    <w:rsid w:val="002440E0"/>
    <w:rsid w:val="002449BF"/>
    <w:rsid w:val="002453F9"/>
    <w:rsid w:val="00245453"/>
    <w:rsid w:val="00245E7D"/>
    <w:rsid w:val="00246E99"/>
    <w:rsid w:val="002504BD"/>
    <w:rsid w:val="0025117D"/>
    <w:rsid w:val="00251BB9"/>
    <w:rsid w:val="0025370E"/>
    <w:rsid w:val="00253B2E"/>
    <w:rsid w:val="00253B56"/>
    <w:rsid w:val="0025467B"/>
    <w:rsid w:val="002547C6"/>
    <w:rsid w:val="00255B2A"/>
    <w:rsid w:val="002571B2"/>
    <w:rsid w:val="002572A8"/>
    <w:rsid w:val="002573E6"/>
    <w:rsid w:val="0025794A"/>
    <w:rsid w:val="00257FC4"/>
    <w:rsid w:val="002608EF"/>
    <w:rsid w:val="00260A83"/>
    <w:rsid w:val="00260BBB"/>
    <w:rsid w:val="00261221"/>
    <w:rsid w:val="002619BD"/>
    <w:rsid w:val="00261D7A"/>
    <w:rsid w:val="00262315"/>
    <w:rsid w:val="00262CF8"/>
    <w:rsid w:val="0026318C"/>
    <w:rsid w:val="002635F1"/>
    <w:rsid w:val="002639BB"/>
    <w:rsid w:val="00264056"/>
    <w:rsid w:val="00264084"/>
    <w:rsid w:val="0026476C"/>
    <w:rsid w:val="00264F7A"/>
    <w:rsid w:val="00265771"/>
    <w:rsid w:val="00265D5A"/>
    <w:rsid w:val="002665FA"/>
    <w:rsid w:val="00266602"/>
    <w:rsid w:val="00266676"/>
    <w:rsid w:val="00266AED"/>
    <w:rsid w:val="00266B37"/>
    <w:rsid w:val="00266CA8"/>
    <w:rsid w:val="00267086"/>
    <w:rsid w:val="002673B7"/>
    <w:rsid w:val="0026768A"/>
    <w:rsid w:val="00270529"/>
    <w:rsid w:val="0027089F"/>
    <w:rsid w:val="00270B01"/>
    <w:rsid w:val="00270B15"/>
    <w:rsid w:val="00271009"/>
    <w:rsid w:val="0027146A"/>
    <w:rsid w:val="00273115"/>
    <w:rsid w:val="002732A8"/>
    <w:rsid w:val="002737D6"/>
    <w:rsid w:val="002741C3"/>
    <w:rsid w:val="002748FE"/>
    <w:rsid w:val="00275BC6"/>
    <w:rsid w:val="0027614D"/>
    <w:rsid w:val="00276ADC"/>
    <w:rsid w:val="002770B4"/>
    <w:rsid w:val="002770C7"/>
    <w:rsid w:val="00277F61"/>
    <w:rsid w:val="0028179F"/>
    <w:rsid w:val="00281C3A"/>
    <w:rsid w:val="0028250E"/>
    <w:rsid w:val="00282B2C"/>
    <w:rsid w:val="00283A12"/>
    <w:rsid w:val="00283B66"/>
    <w:rsid w:val="00284BBC"/>
    <w:rsid w:val="00284C8F"/>
    <w:rsid w:val="00284F12"/>
    <w:rsid w:val="00284F20"/>
    <w:rsid w:val="0028517A"/>
    <w:rsid w:val="00285613"/>
    <w:rsid w:val="0028709C"/>
    <w:rsid w:val="002904F3"/>
    <w:rsid w:val="00290A12"/>
    <w:rsid w:val="00290A9C"/>
    <w:rsid w:val="00291494"/>
    <w:rsid w:val="002919E1"/>
    <w:rsid w:val="0029228F"/>
    <w:rsid w:val="00292511"/>
    <w:rsid w:val="00292967"/>
    <w:rsid w:val="00292AA7"/>
    <w:rsid w:val="00293020"/>
    <w:rsid w:val="00293842"/>
    <w:rsid w:val="00293D6E"/>
    <w:rsid w:val="00293E75"/>
    <w:rsid w:val="00293F28"/>
    <w:rsid w:val="00294E72"/>
    <w:rsid w:val="002962CE"/>
    <w:rsid w:val="0029669B"/>
    <w:rsid w:val="00296718"/>
    <w:rsid w:val="00296F4B"/>
    <w:rsid w:val="00296F6B"/>
    <w:rsid w:val="00297D53"/>
    <w:rsid w:val="002A0128"/>
    <w:rsid w:val="002A0311"/>
    <w:rsid w:val="002A0FF5"/>
    <w:rsid w:val="002A25C5"/>
    <w:rsid w:val="002A35EC"/>
    <w:rsid w:val="002A470E"/>
    <w:rsid w:val="002A4E77"/>
    <w:rsid w:val="002A501D"/>
    <w:rsid w:val="002A5A4B"/>
    <w:rsid w:val="002A6492"/>
    <w:rsid w:val="002A6A20"/>
    <w:rsid w:val="002A6BC5"/>
    <w:rsid w:val="002A74B1"/>
    <w:rsid w:val="002A7B4D"/>
    <w:rsid w:val="002A7C9A"/>
    <w:rsid w:val="002B2426"/>
    <w:rsid w:val="002B35BC"/>
    <w:rsid w:val="002B36BB"/>
    <w:rsid w:val="002B3E1D"/>
    <w:rsid w:val="002B44BB"/>
    <w:rsid w:val="002B496E"/>
    <w:rsid w:val="002B4B5C"/>
    <w:rsid w:val="002B4BAE"/>
    <w:rsid w:val="002B4C42"/>
    <w:rsid w:val="002B60CC"/>
    <w:rsid w:val="002B6918"/>
    <w:rsid w:val="002B6DA5"/>
    <w:rsid w:val="002B732A"/>
    <w:rsid w:val="002B7372"/>
    <w:rsid w:val="002B76F9"/>
    <w:rsid w:val="002C0628"/>
    <w:rsid w:val="002C0895"/>
    <w:rsid w:val="002C0B79"/>
    <w:rsid w:val="002C0D7E"/>
    <w:rsid w:val="002C1625"/>
    <w:rsid w:val="002C1667"/>
    <w:rsid w:val="002C195D"/>
    <w:rsid w:val="002C2040"/>
    <w:rsid w:val="002C3454"/>
    <w:rsid w:val="002C36DA"/>
    <w:rsid w:val="002C40FB"/>
    <w:rsid w:val="002C4538"/>
    <w:rsid w:val="002C4967"/>
    <w:rsid w:val="002C4C1A"/>
    <w:rsid w:val="002C5032"/>
    <w:rsid w:val="002C5244"/>
    <w:rsid w:val="002C5F56"/>
    <w:rsid w:val="002C705F"/>
    <w:rsid w:val="002C7C13"/>
    <w:rsid w:val="002D0190"/>
    <w:rsid w:val="002D0314"/>
    <w:rsid w:val="002D0CF5"/>
    <w:rsid w:val="002D0DCA"/>
    <w:rsid w:val="002D1627"/>
    <w:rsid w:val="002D3AD6"/>
    <w:rsid w:val="002D4016"/>
    <w:rsid w:val="002D42D3"/>
    <w:rsid w:val="002D42F2"/>
    <w:rsid w:val="002D42FB"/>
    <w:rsid w:val="002D5F7E"/>
    <w:rsid w:val="002D5FD7"/>
    <w:rsid w:val="002D6EB1"/>
    <w:rsid w:val="002D6FD7"/>
    <w:rsid w:val="002D7000"/>
    <w:rsid w:val="002D7468"/>
    <w:rsid w:val="002D7D3E"/>
    <w:rsid w:val="002E0012"/>
    <w:rsid w:val="002E04CD"/>
    <w:rsid w:val="002E0846"/>
    <w:rsid w:val="002E0BD1"/>
    <w:rsid w:val="002E0F75"/>
    <w:rsid w:val="002E1F65"/>
    <w:rsid w:val="002E223B"/>
    <w:rsid w:val="002E2C9E"/>
    <w:rsid w:val="002E2CFD"/>
    <w:rsid w:val="002E3D96"/>
    <w:rsid w:val="002E42E8"/>
    <w:rsid w:val="002E5399"/>
    <w:rsid w:val="002E625F"/>
    <w:rsid w:val="002E695A"/>
    <w:rsid w:val="002E7CD1"/>
    <w:rsid w:val="002E7D83"/>
    <w:rsid w:val="002F0D9B"/>
    <w:rsid w:val="002F13A6"/>
    <w:rsid w:val="002F1520"/>
    <w:rsid w:val="002F1D65"/>
    <w:rsid w:val="002F2EF6"/>
    <w:rsid w:val="002F2F09"/>
    <w:rsid w:val="002F3123"/>
    <w:rsid w:val="002F35EC"/>
    <w:rsid w:val="002F3F23"/>
    <w:rsid w:val="002F4832"/>
    <w:rsid w:val="002F4877"/>
    <w:rsid w:val="002F48FA"/>
    <w:rsid w:val="002F4FE8"/>
    <w:rsid w:val="002F6DF1"/>
    <w:rsid w:val="002F74B0"/>
    <w:rsid w:val="00300AE0"/>
    <w:rsid w:val="003033A9"/>
    <w:rsid w:val="00303551"/>
    <w:rsid w:val="003036DC"/>
    <w:rsid w:val="00303B00"/>
    <w:rsid w:val="00303C31"/>
    <w:rsid w:val="003048D5"/>
    <w:rsid w:val="00305475"/>
    <w:rsid w:val="00305EE2"/>
    <w:rsid w:val="003067DE"/>
    <w:rsid w:val="003070CC"/>
    <w:rsid w:val="0030764D"/>
    <w:rsid w:val="00307DDD"/>
    <w:rsid w:val="00310B14"/>
    <w:rsid w:val="0031128A"/>
    <w:rsid w:val="0031165A"/>
    <w:rsid w:val="003116DA"/>
    <w:rsid w:val="00311F69"/>
    <w:rsid w:val="003120A1"/>
    <w:rsid w:val="003126EC"/>
    <w:rsid w:val="00312ABD"/>
    <w:rsid w:val="00312BC2"/>
    <w:rsid w:val="0031313B"/>
    <w:rsid w:val="00314504"/>
    <w:rsid w:val="003146A5"/>
    <w:rsid w:val="003146BC"/>
    <w:rsid w:val="00314B49"/>
    <w:rsid w:val="0031574F"/>
    <w:rsid w:val="00315859"/>
    <w:rsid w:val="00316EF1"/>
    <w:rsid w:val="00320235"/>
    <w:rsid w:val="00320723"/>
    <w:rsid w:val="003207DF"/>
    <w:rsid w:val="003209C8"/>
    <w:rsid w:val="0032110F"/>
    <w:rsid w:val="00321367"/>
    <w:rsid w:val="00321A78"/>
    <w:rsid w:val="00321C5C"/>
    <w:rsid w:val="00322AA3"/>
    <w:rsid w:val="00322EB0"/>
    <w:rsid w:val="00323BB0"/>
    <w:rsid w:val="00323C45"/>
    <w:rsid w:val="00323F95"/>
    <w:rsid w:val="00324368"/>
    <w:rsid w:val="00325096"/>
    <w:rsid w:val="003258BD"/>
    <w:rsid w:val="003266A0"/>
    <w:rsid w:val="00326B50"/>
    <w:rsid w:val="0032723B"/>
    <w:rsid w:val="0033114F"/>
    <w:rsid w:val="003311D7"/>
    <w:rsid w:val="00331241"/>
    <w:rsid w:val="00331303"/>
    <w:rsid w:val="00331767"/>
    <w:rsid w:val="003320A2"/>
    <w:rsid w:val="003329C9"/>
    <w:rsid w:val="00332CC4"/>
    <w:rsid w:val="00333141"/>
    <w:rsid w:val="00334935"/>
    <w:rsid w:val="00335572"/>
    <w:rsid w:val="003363E3"/>
    <w:rsid w:val="003379BC"/>
    <w:rsid w:val="0034027E"/>
    <w:rsid w:val="0034042F"/>
    <w:rsid w:val="0034203F"/>
    <w:rsid w:val="00342564"/>
    <w:rsid w:val="00342F17"/>
    <w:rsid w:val="003444B6"/>
    <w:rsid w:val="003447F4"/>
    <w:rsid w:val="00344E3F"/>
    <w:rsid w:val="003450BC"/>
    <w:rsid w:val="003451A0"/>
    <w:rsid w:val="0034574E"/>
    <w:rsid w:val="003458F0"/>
    <w:rsid w:val="00345FB0"/>
    <w:rsid w:val="003465FB"/>
    <w:rsid w:val="00346920"/>
    <w:rsid w:val="00346BA3"/>
    <w:rsid w:val="00346BDD"/>
    <w:rsid w:val="00347AAF"/>
    <w:rsid w:val="00347D67"/>
    <w:rsid w:val="003500EC"/>
    <w:rsid w:val="00350DDC"/>
    <w:rsid w:val="00350F1E"/>
    <w:rsid w:val="00351371"/>
    <w:rsid w:val="00351561"/>
    <w:rsid w:val="00351FE8"/>
    <w:rsid w:val="003522CA"/>
    <w:rsid w:val="00352F41"/>
    <w:rsid w:val="003532BF"/>
    <w:rsid w:val="003537C3"/>
    <w:rsid w:val="00353D92"/>
    <w:rsid w:val="0035402D"/>
    <w:rsid w:val="00354520"/>
    <w:rsid w:val="00354A83"/>
    <w:rsid w:val="00354DD4"/>
    <w:rsid w:val="003551E3"/>
    <w:rsid w:val="0035542E"/>
    <w:rsid w:val="00355757"/>
    <w:rsid w:val="00356628"/>
    <w:rsid w:val="003572D1"/>
    <w:rsid w:val="00357479"/>
    <w:rsid w:val="003574E6"/>
    <w:rsid w:val="0035792B"/>
    <w:rsid w:val="00360C36"/>
    <w:rsid w:val="003610B8"/>
    <w:rsid w:val="0036171E"/>
    <w:rsid w:val="00361D5B"/>
    <w:rsid w:val="003623DF"/>
    <w:rsid w:val="0036299F"/>
    <w:rsid w:val="003640B9"/>
    <w:rsid w:val="00364C2B"/>
    <w:rsid w:val="00364DBA"/>
    <w:rsid w:val="003654BE"/>
    <w:rsid w:val="00366066"/>
    <w:rsid w:val="003664DA"/>
    <w:rsid w:val="003666E8"/>
    <w:rsid w:val="003675E4"/>
    <w:rsid w:val="00367936"/>
    <w:rsid w:val="00367C05"/>
    <w:rsid w:val="00367D77"/>
    <w:rsid w:val="00367F50"/>
    <w:rsid w:val="003713C3"/>
    <w:rsid w:val="0037226F"/>
    <w:rsid w:val="0037298A"/>
    <w:rsid w:val="00372CCA"/>
    <w:rsid w:val="003732FB"/>
    <w:rsid w:val="003752EB"/>
    <w:rsid w:val="00375321"/>
    <w:rsid w:val="00377F73"/>
    <w:rsid w:val="0038012B"/>
    <w:rsid w:val="00381A5D"/>
    <w:rsid w:val="00381B41"/>
    <w:rsid w:val="00382338"/>
    <w:rsid w:val="00384CA3"/>
    <w:rsid w:val="00385306"/>
    <w:rsid w:val="0038534B"/>
    <w:rsid w:val="003858B6"/>
    <w:rsid w:val="003862E0"/>
    <w:rsid w:val="003867C3"/>
    <w:rsid w:val="00386945"/>
    <w:rsid w:val="00386F00"/>
    <w:rsid w:val="003874D7"/>
    <w:rsid w:val="00387881"/>
    <w:rsid w:val="0039047A"/>
    <w:rsid w:val="003904E3"/>
    <w:rsid w:val="00390514"/>
    <w:rsid w:val="003906CD"/>
    <w:rsid w:val="003911BB"/>
    <w:rsid w:val="0039267C"/>
    <w:rsid w:val="0039273F"/>
    <w:rsid w:val="003928CF"/>
    <w:rsid w:val="00393734"/>
    <w:rsid w:val="003945A7"/>
    <w:rsid w:val="0039492C"/>
    <w:rsid w:val="00396319"/>
    <w:rsid w:val="003966A0"/>
    <w:rsid w:val="00396E79"/>
    <w:rsid w:val="00396FE0"/>
    <w:rsid w:val="00397365"/>
    <w:rsid w:val="00397C58"/>
    <w:rsid w:val="003A08DC"/>
    <w:rsid w:val="003A186F"/>
    <w:rsid w:val="003A1BE8"/>
    <w:rsid w:val="003A201D"/>
    <w:rsid w:val="003A23CD"/>
    <w:rsid w:val="003A262D"/>
    <w:rsid w:val="003A2A92"/>
    <w:rsid w:val="003A302D"/>
    <w:rsid w:val="003A30BC"/>
    <w:rsid w:val="003A39E1"/>
    <w:rsid w:val="003A490A"/>
    <w:rsid w:val="003A4BFD"/>
    <w:rsid w:val="003A4F1A"/>
    <w:rsid w:val="003A51E7"/>
    <w:rsid w:val="003A6F1C"/>
    <w:rsid w:val="003A7B05"/>
    <w:rsid w:val="003B210E"/>
    <w:rsid w:val="003B29E5"/>
    <w:rsid w:val="003B31D5"/>
    <w:rsid w:val="003B3366"/>
    <w:rsid w:val="003B34B9"/>
    <w:rsid w:val="003B370A"/>
    <w:rsid w:val="003B37C2"/>
    <w:rsid w:val="003B412B"/>
    <w:rsid w:val="003B5798"/>
    <w:rsid w:val="003B5BA3"/>
    <w:rsid w:val="003B6067"/>
    <w:rsid w:val="003B6376"/>
    <w:rsid w:val="003B6B6B"/>
    <w:rsid w:val="003C014E"/>
    <w:rsid w:val="003C116F"/>
    <w:rsid w:val="003C133E"/>
    <w:rsid w:val="003C1977"/>
    <w:rsid w:val="003C1AF1"/>
    <w:rsid w:val="003C271B"/>
    <w:rsid w:val="003C2F56"/>
    <w:rsid w:val="003C2FF2"/>
    <w:rsid w:val="003C30A5"/>
    <w:rsid w:val="003C311C"/>
    <w:rsid w:val="003C373A"/>
    <w:rsid w:val="003C4D59"/>
    <w:rsid w:val="003C5138"/>
    <w:rsid w:val="003C5669"/>
    <w:rsid w:val="003C68B9"/>
    <w:rsid w:val="003C6A70"/>
    <w:rsid w:val="003C6FC5"/>
    <w:rsid w:val="003C72D6"/>
    <w:rsid w:val="003D03F1"/>
    <w:rsid w:val="003D0FE9"/>
    <w:rsid w:val="003D16B9"/>
    <w:rsid w:val="003D2521"/>
    <w:rsid w:val="003D2709"/>
    <w:rsid w:val="003D2725"/>
    <w:rsid w:val="003D2C70"/>
    <w:rsid w:val="003D2E46"/>
    <w:rsid w:val="003D395D"/>
    <w:rsid w:val="003D4278"/>
    <w:rsid w:val="003D427B"/>
    <w:rsid w:val="003D4800"/>
    <w:rsid w:val="003D4C10"/>
    <w:rsid w:val="003D4C72"/>
    <w:rsid w:val="003D4CE1"/>
    <w:rsid w:val="003D4CF4"/>
    <w:rsid w:val="003D5D79"/>
    <w:rsid w:val="003D7296"/>
    <w:rsid w:val="003D73BC"/>
    <w:rsid w:val="003D796A"/>
    <w:rsid w:val="003E244F"/>
    <w:rsid w:val="003E27F6"/>
    <w:rsid w:val="003E2EC0"/>
    <w:rsid w:val="003E32B1"/>
    <w:rsid w:val="003E39D0"/>
    <w:rsid w:val="003E473F"/>
    <w:rsid w:val="003E4931"/>
    <w:rsid w:val="003E5C07"/>
    <w:rsid w:val="003E61E3"/>
    <w:rsid w:val="003E62CF"/>
    <w:rsid w:val="003E650A"/>
    <w:rsid w:val="003E6B75"/>
    <w:rsid w:val="003E6BD1"/>
    <w:rsid w:val="003E7A9D"/>
    <w:rsid w:val="003F0A76"/>
    <w:rsid w:val="003F22C0"/>
    <w:rsid w:val="003F2E03"/>
    <w:rsid w:val="003F3539"/>
    <w:rsid w:val="003F3DEB"/>
    <w:rsid w:val="003F4ACA"/>
    <w:rsid w:val="003F4D2E"/>
    <w:rsid w:val="003F53CD"/>
    <w:rsid w:val="003F542B"/>
    <w:rsid w:val="003F55D6"/>
    <w:rsid w:val="003F5C0E"/>
    <w:rsid w:val="003F5F15"/>
    <w:rsid w:val="003F6753"/>
    <w:rsid w:val="003F76B5"/>
    <w:rsid w:val="003F7C55"/>
    <w:rsid w:val="00400170"/>
    <w:rsid w:val="004009CC"/>
    <w:rsid w:val="00400F7B"/>
    <w:rsid w:val="00401407"/>
    <w:rsid w:val="00402776"/>
    <w:rsid w:val="00402861"/>
    <w:rsid w:val="00404375"/>
    <w:rsid w:val="0040560E"/>
    <w:rsid w:val="00405B3D"/>
    <w:rsid w:val="004103D8"/>
    <w:rsid w:val="00410455"/>
    <w:rsid w:val="004114E8"/>
    <w:rsid w:val="0041283D"/>
    <w:rsid w:val="00412877"/>
    <w:rsid w:val="004133B7"/>
    <w:rsid w:val="00413566"/>
    <w:rsid w:val="00413580"/>
    <w:rsid w:val="00413673"/>
    <w:rsid w:val="00413745"/>
    <w:rsid w:val="0041462D"/>
    <w:rsid w:val="00414A39"/>
    <w:rsid w:val="0041539B"/>
    <w:rsid w:val="004166B3"/>
    <w:rsid w:val="00420D50"/>
    <w:rsid w:val="0042131D"/>
    <w:rsid w:val="00422D9F"/>
    <w:rsid w:val="00423777"/>
    <w:rsid w:val="00424136"/>
    <w:rsid w:val="0042489B"/>
    <w:rsid w:val="00424B5A"/>
    <w:rsid w:val="00424C4E"/>
    <w:rsid w:val="00424CD8"/>
    <w:rsid w:val="00424CED"/>
    <w:rsid w:val="00424FC9"/>
    <w:rsid w:val="0042517E"/>
    <w:rsid w:val="004252B8"/>
    <w:rsid w:val="00425FB6"/>
    <w:rsid w:val="004273FD"/>
    <w:rsid w:val="00427D77"/>
    <w:rsid w:val="0043031F"/>
    <w:rsid w:val="0043056D"/>
    <w:rsid w:val="00430A81"/>
    <w:rsid w:val="00430F47"/>
    <w:rsid w:val="004311F1"/>
    <w:rsid w:val="0043131A"/>
    <w:rsid w:val="0043135B"/>
    <w:rsid w:val="00431C34"/>
    <w:rsid w:val="00431FB5"/>
    <w:rsid w:val="004339A9"/>
    <w:rsid w:val="00434134"/>
    <w:rsid w:val="00435208"/>
    <w:rsid w:val="00435659"/>
    <w:rsid w:val="00435926"/>
    <w:rsid w:val="00436950"/>
    <w:rsid w:val="00437567"/>
    <w:rsid w:val="004377E0"/>
    <w:rsid w:val="00437D6F"/>
    <w:rsid w:val="00437EC9"/>
    <w:rsid w:val="004403C4"/>
    <w:rsid w:val="00441A78"/>
    <w:rsid w:val="00441ADF"/>
    <w:rsid w:val="0044289C"/>
    <w:rsid w:val="00442954"/>
    <w:rsid w:val="00442D16"/>
    <w:rsid w:val="00442ED0"/>
    <w:rsid w:val="004432C9"/>
    <w:rsid w:val="00443A75"/>
    <w:rsid w:val="00443CCA"/>
    <w:rsid w:val="004444CD"/>
    <w:rsid w:val="00444E36"/>
    <w:rsid w:val="0044529F"/>
    <w:rsid w:val="00446E0C"/>
    <w:rsid w:val="00447555"/>
    <w:rsid w:val="00447853"/>
    <w:rsid w:val="00447941"/>
    <w:rsid w:val="00450227"/>
    <w:rsid w:val="0045048A"/>
    <w:rsid w:val="00450A90"/>
    <w:rsid w:val="00451056"/>
    <w:rsid w:val="004511CA"/>
    <w:rsid w:val="004513D8"/>
    <w:rsid w:val="00452137"/>
    <w:rsid w:val="0045214A"/>
    <w:rsid w:val="004527A6"/>
    <w:rsid w:val="0045280C"/>
    <w:rsid w:val="00452DE8"/>
    <w:rsid w:val="00452E11"/>
    <w:rsid w:val="00453EF0"/>
    <w:rsid w:val="004548CD"/>
    <w:rsid w:val="00454ACF"/>
    <w:rsid w:val="00454F8D"/>
    <w:rsid w:val="004550E2"/>
    <w:rsid w:val="00456E7A"/>
    <w:rsid w:val="00457928"/>
    <w:rsid w:val="00460366"/>
    <w:rsid w:val="00461A3E"/>
    <w:rsid w:val="004622AA"/>
    <w:rsid w:val="00462FF3"/>
    <w:rsid w:val="00463A12"/>
    <w:rsid w:val="00464AB6"/>
    <w:rsid w:val="00464D03"/>
    <w:rsid w:val="0046569B"/>
    <w:rsid w:val="00465AB4"/>
    <w:rsid w:val="00465C9B"/>
    <w:rsid w:val="0046635C"/>
    <w:rsid w:val="00466583"/>
    <w:rsid w:val="0046659C"/>
    <w:rsid w:val="00466C56"/>
    <w:rsid w:val="00467260"/>
    <w:rsid w:val="00467C93"/>
    <w:rsid w:val="00471A66"/>
    <w:rsid w:val="00471B1A"/>
    <w:rsid w:val="004731D0"/>
    <w:rsid w:val="00473C5E"/>
    <w:rsid w:val="00473E4A"/>
    <w:rsid w:val="00473EAF"/>
    <w:rsid w:val="0047460C"/>
    <w:rsid w:val="00474968"/>
    <w:rsid w:val="00474C33"/>
    <w:rsid w:val="00474C7A"/>
    <w:rsid w:val="0047508C"/>
    <w:rsid w:val="0047513C"/>
    <w:rsid w:val="0047568B"/>
    <w:rsid w:val="0047574D"/>
    <w:rsid w:val="00476A7A"/>
    <w:rsid w:val="00477261"/>
    <w:rsid w:val="00477396"/>
    <w:rsid w:val="004775B2"/>
    <w:rsid w:val="00477904"/>
    <w:rsid w:val="00477C10"/>
    <w:rsid w:val="004805E6"/>
    <w:rsid w:val="00480BFC"/>
    <w:rsid w:val="00481169"/>
    <w:rsid w:val="00482AC5"/>
    <w:rsid w:val="00483305"/>
    <w:rsid w:val="00483F74"/>
    <w:rsid w:val="0048403E"/>
    <w:rsid w:val="004841C7"/>
    <w:rsid w:val="00484377"/>
    <w:rsid w:val="00485C87"/>
    <w:rsid w:val="00485CF2"/>
    <w:rsid w:val="00485F31"/>
    <w:rsid w:val="00486A04"/>
    <w:rsid w:val="00486AD2"/>
    <w:rsid w:val="004879F8"/>
    <w:rsid w:val="0049014F"/>
    <w:rsid w:val="00490A4F"/>
    <w:rsid w:val="00491592"/>
    <w:rsid w:val="004923FC"/>
    <w:rsid w:val="00494828"/>
    <w:rsid w:val="004951BE"/>
    <w:rsid w:val="00495ACB"/>
    <w:rsid w:val="00496C8E"/>
    <w:rsid w:val="00497122"/>
    <w:rsid w:val="00497A98"/>
    <w:rsid w:val="004A0280"/>
    <w:rsid w:val="004A08B1"/>
    <w:rsid w:val="004A0A0A"/>
    <w:rsid w:val="004A0F44"/>
    <w:rsid w:val="004A0F60"/>
    <w:rsid w:val="004A1102"/>
    <w:rsid w:val="004A1E99"/>
    <w:rsid w:val="004A1F35"/>
    <w:rsid w:val="004A1F99"/>
    <w:rsid w:val="004A1FE0"/>
    <w:rsid w:val="004A22FF"/>
    <w:rsid w:val="004A25B4"/>
    <w:rsid w:val="004A29DE"/>
    <w:rsid w:val="004A2FF4"/>
    <w:rsid w:val="004A3C7D"/>
    <w:rsid w:val="004A48A9"/>
    <w:rsid w:val="004A505A"/>
    <w:rsid w:val="004A5B5B"/>
    <w:rsid w:val="004A5CEB"/>
    <w:rsid w:val="004A600A"/>
    <w:rsid w:val="004A60F8"/>
    <w:rsid w:val="004A7333"/>
    <w:rsid w:val="004A747F"/>
    <w:rsid w:val="004A7B1D"/>
    <w:rsid w:val="004A7D42"/>
    <w:rsid w:val="004A7F7B"/>
    <w:rsid w:val="004B12B4"/>
    <w:rsid w:val="004B1C09"/>
    <w:rsid w:val="004B6272"/>
    <w:rsid w:val="004B6BE3"/>
    <w:rsid w:val="004B77C5"/>
    <w:rsid w:val="004B7925"/>
    <w:rsid w:val="004B7E84"/>
    <w:rsid w:val="004C061B"/>
    <w:rsid w:val="004C3170"/>
    <w:rsid w:val="004C3283"/>
    <w:rsid w:val="004C3399"/>
    <w:rsid w:val="004C3578"/>
    <w:rsid w:val="004C396B"/>
    <w:rsid w:val="004C40F4"/>
    <w:rsid w:val="004C501A"/>
    <w:rsid w:val="004C5383"/>
    <w:rsid w:val="004C5C5A"/>
    <w:rsid w:val="004C5D94"/>
    <w:rsid w:val="004C6683"/>
    <w:rsid w:val="004C68FC"/>
    <w:rsid w:val="004C6DD1"/>
    <w:rsid w:val="004C73EC"/>
    <w:rsid w:val="004C75B6"/>
    <w:rsid w:val="004D03BD"/>
    <w:rsid w:val="004D065C"/>
    <w:rsid w:val="004D08EB"/>
    <w:rsid w:val="004D13B4"/>
    <w:rsid w:val="004D2AD0"/>
    <w:rsid w:val="004D4187"/>
    <w:rsid w:val="004D42F4"/>
    <w:rsid w:val="004D49A1"/>
    <w:rsid w:val="004D52A9"/>
    <w:rsid w:val="004D55E7"/>
    <w:rsid w:val="004D5E4C"/>
    <w:rsid w:val="004D63E4"/>
    <w:rsid w:val="004D6ED7"/>
    <w:rsid w:val="004D7188"/>
    <w:rsid w:val="004D733E"/>
    <w:rsid w:val="004D76DA"/>
    <w:rsid w:val="004E0892"/>
    <w:rsid w:val="004E0CC1"/>
    <w:rsid w:val="004E121F"/>
    <w:rsid w:val="004E1261"/>
    <w:rsid w:val="004E1297"/>
    <w:rsid w:val="004E1B06"/>
    <w:rsid w:val="004E1C63"/>
    <w:rsid w:val="004E1F83"/>
    <w:rsid w:val="004E2200"/>
    <w:rsid w:val="004E2268"/>
    <w:rsid w:val="004E247D"/>
    <w:rsid w:val="004E2D76"/>
    <w:rsid w:val="004E2DB0"/>
    <w:rsid w:val="004E33FB"/>
    <w:rsid w:val="004E446C"/>
    <w:rsid w:val="004E4770"/>
    <w:rsid w:val="004E47BD"/>
    <w:rsid w:val="004E4FB2"/>
    <w:rsid w:val="004E65E3"/>
    <w:rsid w:val="004E68C3"/>
    <w:rsid w:val="004E6FC8"/>
    <w:rsid w:val="004E73AA"/>
    <w:rsid w:val="004E76A3"/>
    <w:rsid w:val="004E7BF2"/>
    <w:rsid w:val="004E7D4A"/>
    <w:rsid w:val="004E7E63"/>
    <w:rsid w:val="004E7ECB"/>
    <w:rsid w:val="004E7F0E"/>
    <w:rsid w:val="004F0D54"/>
    <w:rsid w:val="004F1076"/>
    <w:rsid w:val="004F188F"/>
    <w:rsid w:val="004F1976"/>
    <w:rsid w:val="004F1ED0"/>
    <w:rsid w:val="004F267D"/>
    <w:rsid w:val="004F27D8"/>
    <w:rsid w:val="004F3B23"/>
    <w:rsid w:val="004F3B6A"/>
    <w:rsid w:val="004F3FBF"/>
    <w:rsid w:val="004F6B11"/>
    <w:rsid w:val="004F6BB5"/>
    <w:rsid w:val="004F721D"/>
    <w:rsid w:val="004F743D"/>
    <w:rsid w:val="004F77C8"/>
    <w:rsid w:val="004F7B2B"/>
    <w:rsid w:val="00500021"/>
    <w:rsid w:val="00500F5A"/>
    <w:rsid w:val="00501A35"/>
    <w:rsid w:val="00501F49"/>
    <w:rsid w:val="0050256A"/>
    <w:rsid w:val="00502CB3"/>
    <w:rsid w:val="0050307E"/>
    <w:rsid w:val="005037D1"/>
    <w:rsid w:val="00503957"/>
    <w:rsid w:val="005042A2"/>
    <w:rsid w:val="005042BE"/>
    <w:rsid w:val="005048AE"/>
    <w:rsid w:val="0050594E"/>
    <w:rsid w:val="00505B23"/>
    <w:rsid w:val="00505F1D"/>
    <w:rsid w:val="005062FB"/>
    <w:rsid w:val="0050735D"/>
    <w:rsid w:val="00507512"/>
    <w:rsid w:val="00507BA4"/>
    <w:rsid w:val="005114A4"/>
    <w:rsid w:val="00512CAE"/>
    <w:rsid w:val="00513211"/>
    <w:rsid w:val="0051323D"/>
    <w:rsid w:val="005155CA"/>
    <w:rsid w:val="00515A06"/>
    <w:rsid w:val="00515DBC"/>
    <w:rsid w:val="005165FB"/>
    <w:rsid w:val="00516A23"/>
    <w:rsid w:val="00516AB1"/>
    <w:rsid w:val="00516B7B"/>
    <w:rsid w:val="005200B8"/>
    <w:rsid w:val="005203EB"/>
    <w:rsid w:val="00520E69"/>
    <w:rsid w:val="00521197"/>
    <w:rsid w:val="00521277"/>
    <w:rsid w:val="0052148A"/>
    <w:rsid w:val="00522266"/>
    <w:rsid w:val="00524066"/>
    <w:rsid w:val="00524A80"/>
    <w:rsid w:val="005252D2"/>
    <w:rsid w:val="00525906"/>
    <w:rsid w:val="00526A55"/>
    <w:rsid w:val="00526DAC"/>
    <w:rsid w:val="005273E0"/>
    <w:rsid w:val="00527409"/>
    <w:rsid w:val="005275B6"/>
    <w:rsid w:val="0053082C"/>
    <w:rsid w:val="0053086A"/>
    <w:rsid w:val="005314E1"/>
    <w:rsid w:val="00531E3C"/>
    <w:rsid w:val="00531E46"/>
    <w:rsid w:val="00532242"/>
    <w:rsid w:val="00532D27"/>
    <w:rsid w:val="00532EB7"/>
    <w:rsid w:val="005336A6"/>
    <w:rsid w:val="005336AA"/>
    <w:rsid w:val="00533AC8"/>
    <w:rsid w:val="00534258"/>
    <w:rsid w:val="00534487"/>
    <w:rsid w:val="00534A0A"/>
    <w:rsid w:val="00534B56"/>
    <w:rsid w:val="00535532"/>
    <w:rsid w:val="0053597D"/>
    <w:rsid w:val="00535B37"/>
    <w:rsid w:val="00536933"/>
    <w:rsid w:val="00537F89"/>
    <w:rsid w:val="0054074E"/>
    <w:rsid w:val="00540863"/>
    <w:rsid w:val="00540BA7"/>
    <w:rsid w:val="00540F90"/>
    <w:rsid w:val="00541011"/>
    <w:rsid w:val="00541AC5"/>
    <w:rsid w:val="00541ACA"/>
    <w:rsid w:val="00541EC1"/>
    <w:rsid w:val="00543083"/>
    <w:rsid w:val="00543616"/>
    <w:rsid w:val="0054376B"/>
    <w:rsid w:val="00543CD5"/>
    <w:rsid w:val="00544545"/>
    <w:rsid w:val="0054551A"/>
    <w:rsid w:val="00545BA7"/>
    <w:rsid w:val="005461B5"/>
    <w:rsid w:val="00546257"/>
    <w:rsid w:val="00546F6B"/>
    <w:rsid w:val="005471CF"/>
    <w:rsid w:val="00550384"/>
    <w:rsid w:val="00550685"/>
    <w:rsid w:val="00550BE3"/>
    <w:rsid w:val="0055152D"/>
    <w:rsid w:val="00551861"/>
    <w:rsid w:val="0055242F"/>
    <w:rsid w:val="00552702"/>
    <w:rsid w:val="00553018"/>
    <w:rsid w:val="00553250"/>
    <w:rsid w:val="00553271"/>
    <w:rsid w:val="00554685"/>
    <w:rsid w:val="00554CA8"/>
    <w:rsid w:val="00554F13"/>
    <w:rsid w:val="005573AE"/>
    <w:rsid w:val="005573F5"/>
    <w:rsid w:val="0056041D"/>
    <w:rsid w:val="00560885"/>
    <w:rsid w:val="00560AD9"/>
    <w:rsid w:val="00561768"/>
    <w:rsid w:val="00561B87"/>
    <w:rsid w:val="00561D01"/>
    <w:rsid w:val="00561D40"/>
    <w:rsid w:val="00561DE9"/>
    <w:rsid w:val="005627D8"/>
    <w:rsid w:val="00564EE0"/>
    <w:rsid w:val="00565494"/>
    <w:rsid w:val="00565DF5"/>
    <w:rsid w:val="00566132"/>
    <w:rsid w:val="0056615B"/>
    <w:rsid w:val="00566C1F"/>
    <w:rsid w:val="00567666"/>
    <w:rsid w:val="0056792A"/>
    <w:rsid w:val="00567D7F"/>
    <w:rsid w:val="00567E25"/>
    <w:rsid w:val="005701B9"/>
    <w:rsid w:val="005704F8"/>
    <w:rsid w:val="00571190"/>
    <w:rsid w:val="005717CB"/>
    <w:rsid w:val="00571ED0"/>
    <w:rsid w:val="0057270E"/>
    <w:rsid w:val="00572BFC"/>
    <w:rsid w:val="00572FFA"/>
    <w:rsid w:val="00573382"/>
    <w:rsid w:val="00573477"/>
    <w:rsid w:val="00573AF4"/>
    <w:rsid w:val="00573E0E"/>
    <w:rsid w:val="00575A7E"/>
    <w:rsid w:val="00575DD6"/>
    <w:rsid w:val="00576105"/>
    <w:rsid w:val="0057682A"/>
    <w:rsid w:val="00576847"/>
    <w:rsid w:val="005773A7"/>
    <w:rsid w:val="005774E0"/>
    <w:rsid w:val="005774FB"/>
    <w:rsid w:val="005776A1"/>
    <w:rsid w:val="005808E9"/>
    <w:rsid w:val="00581932"/>
    <w:rsid w:val="005819C2"/>
    <w:rsid w:val="00581C4E"/>
    <w:rsid w:val="00583A11"/>
    <w:rsid w:val="005860C6"/>
    <w:rsid w:val="00586186"/>
    <w:rsid w:val="00586346"/>
    <w:rsid w:val="00586551"/>
    <w:rsid w:val="00586DBA"/>
    <w:rsid w:val="00586ECF"/>
    <w:rsid w:val="005874B7"/>
    <w:rsid w:val="00590B70"/>
    <w:rsid w:val="00590C7E"/>
    <w:rsid w:val="005911D6"/>
    <w:rsid w:val="00591467"/>
    <w:rsid w:val="005919C2"/>
    <w:rsid w:val="00591B7F"/>
    <w:rsid w:val="00592E50"/>
    <w:rsid w:val="0059412F"/>
    <w:rsid w:val="00594950"/>
    <w:rsid w:val="00594E0A"/>
    <w:rsid w:val="0059643D"/>
    <w:rsid w:val="00596ABD"/>
    <w:rsid w:val="00596F2D"/>
    <w:rsid w:val="00596F44"/>
    <w:rsid w:val="00597A80"/>
    <w:rsid w:val="005A0470"/>
    <w:rsid w:val="005A050A"/>
    <w:rsid w:val="005A085D"/>
    <w:rsid w:val="005A0DC2"/>
    <w:rsid w:val="005A1579"/>
    <w:rsid w:val="005A2C36"/>
    <w:rsid w:val="005A3179"/>
    <w:rsid w:val="005A3209"/>
    <w:rsid w:val="005A388A"/>
    <w:rsid w:val="005A49C2"/>
    <w:rsid w:val="005A53C3"/>
    <w:rsid w:val="005A5801"/>
    <w:rsid w:val="005A6346"/>
    <w:rsid w:val="005A713C"/>
    <w:rsid w:val="005A7636"/>
    <w:rsid w:val="005A7918"/>
    <w:rsid w:val="005A7D4B"/>
    <w:rsid w:val="005B008F"/>
    <w:rsid w:val="005B10B7"/>
    <w:rsid w:val="005B115F"/>
    <w:rsid w:val="005B1561"/>
    <w:rsid w:val="005B1C68"/>
    <w:rsid w:val="005B2160"/>
    <w:rsid w:val="005B2B33"/>
    <w:rsid w:val="005B2CDB"/>
    <w:rsid w:val="005B3054"/>
    <w:rsid w:val="005B3D73"/>
    <w:rsid w:val="005B3EBE"/>
    <w:rsid w:val="005B4263"/>
    <w:rsid w:val="005B4C76"/>
    <w:rsid w:val="005B4F5C"/>
    <w:rsid w:val="005B5883"/>
    <w:rsid w:val="005B596E"/>
    <w:rsid w:val="005B64E0"/>
    <w:rsid w:val="005B7F65"/>
    <w:rsid w:val="005C02E4"/>
    <w:rsid w:val="005C1079"/>
    <w:rsid w:val="005C1295"/>
    <w:rsid w:val="005C1876"/>
    <w:rsid w:val="005C283C"/>
    <w:rsid w:val="005C2F70"/>
    <w:rsid w:val="005C361B"/>
    <w:rsid w:val="005C37E6"/>
    <w:rsid w:val="005C3D1A"/>
    <w:rsid w:val="005C4626"/>
    <w:rsid w:val="005C63BA"/>
    <w:rsid w:val="005C6634"/>
    <w:rsid w:val="005C6ABE"/>
    <w:rsid w:val="005D02E7"/>
    <w:rsid w:val="005D1090"/>
    <w:rsid w:val="005D11A2"/>
    <w:rsid w:val="005D11E7"/>
    <w:rsid w:val="005D1704"/>
    <w:rsid w:val="005D17F9"/>
    <w:rsid w:val="005D1E8B"/>
    <w:rsid w:val="005D2AF8"/>
    <w:rsid w:val="005D33FE"/>
    <w:rsid w:val="005D3A3B"/>
    <w:rsid w:val="005D423A"/>
    <w:rsid w:val="005D439A"/>
    <w:rsid w:val="005D57E7"/>
    <w:rsid w:val="005D5EED"/>
    <w:rsid w:val="005D6CCD"/>
    <w:rsid w:val="005D7D8C"/>
    <w:rsid w:val="005E085C"/>
    <w:rsid w:val="005E093F"/>
    <w:rsid w:val="005E11DF"/>
    <w:rsid w:val="005E12E9"/>
    <w:rsid w:val="005E1459"/>
    <w:rsid w:val="005E15AF"/>
    <w:rsid w:val="005E15BA"/>
    <w:rsid w:val="005E1DFE"/>
    <w:rsid w:val="005E1EF3"/>
    <w:rsid w:val="005E26F3"/>
    <w:rsid w:val="005E2AA5"/>
    <w:rsid w:val="005E2ECD"/>
    <w:rsid w:val="005E3698"/>
    <w:rsid w:val="005E36AE"/>
    <w:rsid w:val="005E3CFF"/>
    <w:rsid w:val="005E42DB"/>
    <w:rsid w:val="005E49BC"/>
    <w:rsid w:val="005E5376"/>
    <w:rsid w:val="005E665B"/>
    <w:rsid w:val="005E7216"/>
    <w:rsid w:val="005E7B6B"/>
    <w:rsid w:val="005F0ED9"/>
    <w:rsid w:val="005F1664"/>
    <w:rsid w:val="005F1DDA"/>
    <w:rsid w:val="005F231A"/>
    <w:rsid w:val="005F3188"/>
    <w:rsid w:val="005F335E"/>
    <w:rsid w:val="005F3A14"/>
    <w:rsid w:val="005F3BDF"/>
    <w:rsid w:val="005F4C23"/>
    <w:rsid w:val="005F5966"/>
    <w:rsid w:val="005F5CEB"/>
    <w:rsid w:val="005F627F"/>
    <w:rsid w:val="005F65BF"/>
    <w:rsid w:val="005F75E4"/>
    <w:rsid w:val="005F7DF9"/>
    <w:rsid w:val="005F7F4E"/>
    <w:rsid w:val="006000C8"/>
    <w:rsid w:val="00600A7B"/>
    <w:rsid w:val="0060113C"/>
    <w:rsid w:val="0060199B"/>
    <w:rsid w:val="00601DF6"/>
    <w:rsid w:val="006027BD"/>
    <w:rsid w:val="00602B36"/>
    <w:rsid w:val="00604246"/>
    <w:rsid w:val="00604442"/>
    <w:rsid w:val="00604695"/>
    <w:rsid w:val="006046D2"/>
    <w:rsid w:val="006055A0"/>
    <w:rsid w:val="00605F3B"/>
    <w:rsid w:val="006073CC"/>
    <w:rsid w:val="00607F29"/>
    <w:rsid w:val="00607F48"/>
    <w:rsid w:val="00610FAB"/>
    <w:rsid w:val="00611101"/>
    <w:rsid w:val="006113F1"/>
    <w:rsid w:val="006115FA"/>
    <w:rsid w:val="006119D6"/>
    <w:rsid w:val="00611CF4"/>
    <w:rsid w:val="00611D33"/>
    <w:rsid w:val="00611EC1"/>
    <w:rsid w:val="0061265F"/>
    <w:rsid w:val="00612A84"/>
    <w:rsid w:val="00612C62"/>
    <w:rsid w:val="006136C9"/>
    <w:rsid w:val="00613AB5"/>
    <w:rsid w:val="00613E7A"/>
    <w:rsid w:val="0061558B"/>
    <w:rsid w:val="0061577E"/>
    <w:rsid w:val="00615AAF"/>
    <w:rsid w:val="00616615"/>
    <w:rsid w:val="00617E38"/>
    <w:rsid w:val="00617E3A"/>
    <w:rsid w:val="00620620"/>
    <w:rsid w:val="00621732"/>
    <w:rsid w:val="0062181C"/>
    <w:rsid w:val="00621915"/>
    <w:rsid w:val="00621A9E"/>
    <w:rsid w:val="00621F0C"/>
    <w:rsid w:val="00621F3C"/>
    <w:rsid w:val="00622002"/>
    <w:rsid w:val="00622B8F"/>
    <w:rsid w:val="0062310C"/>
    <w:rsid w:val="006239FE"/>
    <w:rsid w:val="00624CC8"/>
    <w:rsid w:val="006250FA"/>
    <w:rsid w:val="006254FE"/>
    <w:rsid w:val="0062569E"/>
    <w:rsid w:val="00625912"/>
    <w:rsid w:val="00625BB2"/>
    <w:rsid w:val="00626575"/>
    <w:rsid w:val="00626C09"/>
    <w:rsid w:val="006274D0"/>
    <w:rsid w:val="00627D28"/>
    <w:rsid w:val="00630200"/>
    <w:rsid w:val="006308A7"/>
    <w:rsid w:val="00631210"/>
    <w:rsid w:val="00631502"/>
    <w:rsid w:val="00631E53"/>
    <w:rsid w:val="00632899"/>
    <w:rsid w:val="00632C8E"/>
    <w:rsid w:val="00632DBF"/>
    <w:rsid w:val="00633263"/>
    <w:rsid w:val="00634B25"/>
    <w:rsid w:val="00634BB0"/>
    <w:rsid w:val="00634E46"/>
    <w:rsid w:val="00635252"/>
    <w:rsid w:val="00635F96"/>
    <w:rsid w:val="00636319"/>
    <w:rsid w:val="00636941"/>
    <w:rsid w:val="00637C41"/>
    <w:rsid w:val="00640187"/>
    <w:rsid w:val="006404EF"/>
    <w:rsid w:val="00640D3F"/>
    <w:rsid w:val="00640EF1"/>
    <w:rsid w:val="0064146A"/>
    <w:rsid w:val="00641BCB"/>
    <w:rsid w:val="006429E4"/>
    <w:rsid w:val="0064322C"/>
    <w:rsid w:val="006432F1"/>
    <w:rsid w:val="00643747"/>
    <w:rsid w:val="00643843"/>
    <w:rsid w:val="00643900"/>
    <w:rsid w:val="006445C8"/>
    <w:rsid w:val="006447F0"/>
    <w:rsid w:val="00644A42"/>
    <w:rsid w:val="00644B43"/>
    <w:rsid w:val="00645DFA"/>
    <w:rsid w:val="0064684F"/>
    <w:rsid w:val="00646987"/>
    <w:rsid w:val="00647993"/>
    <w:rsid w:val="006503EC"/>
    <w:rsid w:val="00651118"/>
    <w:rsid w:val="00651AC8"/>
    <w:rsid w:val="00652CCB"/>
    <w:rsid w:val="0065322B"/>
    <w:rsid w:val="0065356A"/>
    <w:rsid w:val="00653D33"/>
    <w:rsid w:val="00654C76"/>
    <w:rsid w:val="006555B5"/>
    <w:rsid w:val="0065759F"/>
    <w:rsid w:val="00657FBD"/>
    <w:rsid w:val="00660811"/>
    <w:rsid w:val="00660948"/>
    <w:rsid w:val="00660A5C"/>
    <w:rsid w:val="00660DED"/>
    <w:rsid w:val="00660EED"/>
    <w:rsid w:val="00661678"/>
    <w:rsid w:val="0066269F"/>
    <w:rsid w:val="0066288A"/>
    <w:rsid w:val="00663175"/>
    <w:rsid w:val="0066376C"/>
    <w:rsid w:val="00663AF4"/>
    <w:rsid w:val="00663B20"/>
    <w:rsid w:val="00664486"/>
    <w:rsid w:val="006646CE"/>
    <w:rsid w:val="00664D3C"/>
    <w:rsid w:val="00665AB3"/>
    <w:rsid w:val="00666D62"/>
    <w:rsid w:val="00667A1C"/>
    <w:rsid w:val="00671A6B"/>
    <w:rsid w:val="00672B44"/>
    <w:rsid w:val="006738CD"/>
    <w:rsid w:val="00673AB3"/>
    <w:rsid w:val="00674B4F"/>
    <w:rsid w:val="006758D5"/>
    <w:rsid w:val="00676035"/>
    <w:rsid w:val="00676223"/>
    <w:rsid w:val="00676AE5"/>
    <w:rsid w:val="0067719C"/>
    <w:rsid w:val="00677628"/>
    <w:rsid w:val="006776AF"/>
    <w:rsid w:val="0067777E"/>
    <w:rsid w:val="00677910"/>
    <w:rsid w:val="00677D83"/>
    <w:rsid w:val="00677F77"/>
    <w:rsid w:val="00680D3D"/>
    <w:rsid w:val="00681499"/>
    <w:rsid w:val="00681DFD"/>
    <w:rsid w:val="00681F8A"/>
    <w:rsid w:val="0068214F"/>
    <w:rsid w:val="006827E6"/>
    <w:rsid w:val="00682D37"/>
    <w:rsid w:val="00682E03"/>
    <w:rsid w:val="00683233"/>
    <w:rsid w:val="00683B33"/>
    <w:rsid w:val="00683CB5"/>
    <w:rsid w:val="00683FF2"/>
    <w:rsid w:val="006842F3"/>
    <w:rsid w:val="006843EF"/>
    <w:rsid w:val="00684881"/>
    <w:rsid w:val="00684C7D"/>
    <w:rsid w:val="00685987"/>
    <w:rsid w:val="0068665F"/>
    <w:rsid w:val="00686C93"/>
    <w:rsid w:val="006873D8"/>
    <w:rsid w:val="0068788E"/>
    <w:rsid w:val="00687B8F"/>
    <w:rsid w:val="00687E6E"/>
    <w:rsid w:val="00690583"/>
    <w:rsid w:val="00690703"/>
    <w:rsid w:val="0069087C"/>
    <w:rsid w:val="00690C5A"/>
    <w:rsid w:val="00690D27"/>
    <w:rsid w:val="00691285"/>
    <w:rsid w:val="00691DF6"/>
    <w:rsid w:val="00691F9C"/>
    <w:rsid w:val="00692328"/>
    <w:rsid w:val="00692510"/>
    <w:rsid w:val="00692C7B"/>
    <w:rsid w:val="006932B9"/>
    <w:rsid w:val="00693B5E"/>
    <w:rsid w:val="006942AF"/>
    <w:rsid w:val="00694E2D"/>
    <w:rsid w:val="006955DA"/>
    <w:rsid w:val="00697164"/>
    <w:rsid w:val="006976FA"/>
    <w:rsid w:val="006A0748"/>
    <w:rsid w:val="006A0C53"/>
    <w:rsid w:val="006A12CF"/>
    <w:rsid w:val="006A1F92"/>
    <w:rsid w:val="006A2CB9"/>
    <w:rsid w:val="006A387C"/>
    <w:rsid w:val="006A3C5C"/>
    <w:rsid w:val="006A4173"/>
    <w:rsid w:val="006A4468"/>
    <w:rsid w:val="006A44F9"/>
    <w:rsid w:val="006A4849"/>
    <w:rsid w:val="006A49CD"/>
    <w:rsid w:val="006A4E21"/>
    <w:rsid w:val="006A53AD"/>
    <w:rsid w:val="006A5B03"/>
    <w:rsid w:val="006A5B06"/>
    <w:rsid w:val="006A6A6C"/>
    <w:rsid w:val="006A6FD3"/>
    <w:rsid w:val="006B008F"/>
    <w:rsid w:val="006B028D"/>
    <w:rsid w:val="006B0C98"/>
    <w:rsid w:val="006B1CEA"/>
    <w:rsid w:val="006B239B"/>
    <w:rsid w:val="006B2D33"/>
    <w:rsid w:val="006B2E9C"/>
    <w:rsid w:val="006B4474"/>
    <w:rsid w:val="006B4BAA"/>
    <w:rsid w:val="006B5051"/>
    <w:rsid w:val="006B59AA"/>
    <w:rsid w:val="006B64CF"/>
    <w:rsid w:val="006B6AA9"/>
    <w:rsid w:val="006B6CAC"/>
    <w:rsid w:val="006B79C5"/>
    <w:rsid w:val="006C00C0"/>
    <w:rsid w:val="006C0128"/>
    <w:rsid w:val="006C02E4"/>
    <w:rsid w:val="006C0686"/>
    <w:rsid w:val="006C0A01"/>
    <w:rsid w:val="006C0A31"/>
    <w:rsid w:val="006C12DC"/>
    <w:rsid w:val="006C16D4"/>
    <w:rsid w:val="006C2606"/>
    <w:rsid w:val="006C2687"/>
    <w:rsid w:val="006C2930"/>
    <w:rsid w:val="006C3A12"/>
    <w:rsid w:val="006C3AD9"/>
    <w:rsid w:val="006C3CA9"/>
    <w:rsid w:val="006C49AC"/>
    <w:rsid w:val="006C4BB2"/>
    <w:rsid w:val="006C575A"/>
    <w:rsid w:val="006C6B3F"/>
    <w:rsid w:val="006C6FAF"/>
    <w:rsid w:val="006C7E50"/>
    <w:rsid w:val="006D005F"/>
    <w:rsid w:val="006D063B"/>
    <w:rsid w:val="006D08CC"/>
    <w:rsid w:val="006D10DA"/>
    <w:rsid w:val="006D154D"/>
    <w:rsid w:val="006D15EC"/>
    <w:rsid w:val="006D1793"/>
    <w:rsid w:val="006D1B7D"/>
    <w:rsid w:val="006D1C84"/>
    <w:rsid w:val="006D1C8A"/>
    <w:rsid w:val="006D240D"/>
    <w:rsid w:val="006D27DA"/>
    <w:rsid w:val="006D4DAD"/>
    <w:rsid w:val="006D4E70"/>
    <w:rsid w:val="006D5117"/>
    <w:rsid w:val="006D5C22"/>
    <w:rsid w:val="006D65A7"/>
    <w:rsid w:val="006D78C9"/>
    <w:rsid w:val="006E0089"/>
    <w:rsid w:val="006E0C5E"/>
    <w:rsid w:val="006E0F1C"/>
    <w:rsid w:val="006E21CC"/>
    <w:rsid w:val="006E221A"/>
    <w:rsid w:val="006E3597"/>
    <w:rsid w:val="006E56C2"/>
    <w:rsid w:val="006E59C7"/>
    <w:rsid w:val="006E615A"/>
    <w:rsid w:val="006E65D2"/>
    <w:rsid w:val="006E65DA"/>
    <w:rsid w:val="006E68F9"/>
    <w:rsid w:val="006E7141"/>
    <w:rsid w:val="006E77BD"/>
    <w:rsid w:val="006E77FF"/>
    <w:rsid w:val="006E7857"/>
    <w:rsid w:val="006E7C22"/>
    <w:rsid w:val="006E7D4A"/>
    <w:rsid w:val="006F023F"/>
    <w:rsid w:val="006F05A5"/>
    <w:rsid w:val="006F13DD"/>
    <w:rsid w:val="006F2131"/>
    <w:rsid w:val="006F268E"/>
    <w:rsid w:val="006F28C2"/>
    <w:rsid w:val="006F2AEE"/>
    <w:rsid w:val="006F3B1F"/>
    <w:rsid w:val="006F3E4D"/>
    <w:rsid w:val="006F4033"/>
    <w:rsid w:val="006F42E9"/>
    <w:rsid w:val="006F52D5"/>
    <w:rsid w:val="006F5C08"/>
    <w:rsid w:val="006F6315"/>
    <w:rsid w:val="006F7B9C"/>
    <w:rsid w:val="006F7CC6"/>
    <w:rsid w:val="006F7FC1"/>
    <w:rsid w:val="0070016E"/>
    <w:rsid w:val="00700DE4"/>
    <w:rsid w:val="007010A5"/>
    <w:rsid w:val="00702C85"/>
    <w:rsid w:val="00702FE2"/>
    <w:rsid w:val="007037AB"/>
    <w:rsid w:val="00703886"/>
    <w:rsid w:val="00703BB5"/>
    <w:rsid w:val="00704209"/>
    <w:rsid w:val="00705099"/>
    <w:rsid w:val="00706558"/>
    <w:rsid w:val="00706B20"/>
    <w:rsid w:val="00707E0A"/>
    <w:rsid w:val="00711381"/>
    <w:rsid w:val="0071141F"/>
    <w:rsid w:val="00711473"/>
    <w:rsid w:val="00711B22"/>
    <w:rsid w:val="00712BE7"/>
    <w:rsid w:val="0071416E"/>
    <w:rsid w:val="0071509B"/>
    <w:rsid w:val="00715264"/>
    <w:rsid w:val="007160A5"/>
    <w:rsid w:val="0071636F"/>
    <w:rsid w:val="0071641D"/>
    <w:rsid w:val="007164AE"/>
    <w:rsid w:val="00716B40"/>
    <w:rsid w:val="007172D8"/>
    <w:rsid w:val="00717DC4"/>
    <w:rsid w:val="00720433"/>
    <w:rsid w:val="007206E7"/>
    <w:rsid w:val="00720FA7"/>
    <w:rsid w:val="007214B6"/>
    <w:rsid w:val="00721722"/>
    <w:rsid w:val="007217E2"/>
    <w:rsid w:val="00722482"/>
    <w:rsid w:val="00723009"/>
    <w:rsid w:val="00723520"/>
    <w:rsid w:val="00723CBD"/>
    <w:rsid w:val="0072442D"/>
    <w:rsid w:val="007250FC"/>
    <w:rsid w:val="00725FF2"/>
    <w:rsid w:val="00726015"/>
    <w:rsid w:val="00726DCC"/>
    <w:rsid w:val="00730226"/>
    <w:rsid w:val="00730B4D"/>
    <w:rsid w:val="00730DB3"/>
    <w:rsid w:val="00730FA3"/>
    <w:rsid w:val="00731094"/>
    <w:rsid w:val="00731791"/>
    <w:rsid w:val="00731891"/>
    <w:rsid w:val="007318CA"/>
    <w:rsid w:val="0073275C"/>
    <w:rsid w:val="00732C33"/>
    <w:rsid w:val="007330B8"/>
    <w:rsid w:val="007337CB"/>
    <w:rsid w:val="007338FA"/>
    <w:rsid w:val="007339C7"/>
    <w:rsid w:val="00733B92"/>
    <w:rsid w:val="00733DC9"/>
    <w:rsid w:val="0073482E"/>
    <w:rsid w:val="00734D2B"/>
    <w:rsid w:val="0073515D"/>
    <w:rsid w:val="007367B8"/>
    <w:rsid w:val="007367C9"/>
    <w:rsid w:val="00737CA8"/>
    <w:rsid w:val="0074041F"/>
    <w:rsid w:val="00740D4B"/>
    <w:rsid w:val="00740EF6"/>
    <w:rsid w:val="007412F6"/>
    <w:rsid w:val="00742C24"/>
    <w:rsid w:val="00742D0E"/>
    <w:rsid w:val="00743561"/>
    <w:rsid w:val="00743E91"/>
    <w:rsid w:val="00744889"/>
    <w:rsid w:val="00744AB7"/>
    <w:rsid w:val="00744AD8"/>
    <w:rsid w:val="00744B33"/>
    <w:rsid w:val="00744DA1"/>
    <w:rsid w:val="00744FC5"/>
    <w:rsid w:val="0074532B"/>
    <w:rsid w:val="007458DD"/>
    <w:rsid w:val="00745C5C"/>
    <w:rsid w:val="00745EB0"/>
    <w:rsid w:val="0074620F"/>
    <w:rsid w:val="00746C8A"/>
    <w:rsid w:val="00746CDC"/>
    <w:rsid w:val="00746D54"/>
    <w:rsid w:val="00746E8D"/>
    <w:rsid w:val="00747649"/>
    <w:rsid w:val="00747784"/>
    <w:rsid w:val="00751415"/>
    <w:rsid w:val="00752354"/>
    <w:rsid w:val="007527F1"/>
    <w:rsid w:val="007535EF"/>
    <w:rsid w:val="0075391B"/>
    <w:rsid w:val="00753BC3"/>
    <w:rsid w:val="007543D3"/>
    <w:rsid w:val="00754660"/>
    <w:rsid w:val="00754909"/>
    <w:rsid w:val="00754979"/>
    <w:rsid w:val="007552CE"/>
    <w:rsid w:val="00757F4E"/>
    <w:rsid w:val="00757F82"/>
    <w:rsid w:val="00760089"/>
    <w:rsid w:val="00762C17"/>
    <w:rsid w:val="00764014"/>
    <w:rsid w:val="00764A8E"/>
    <w:rsid w:val="007656AE"/>
    <w:rsid w:val="00765A08"/>
    <w:rsid w:val="00765B7B"/>
    <w:rsid w:val="00765C44"/>
    <w:rsid w:val="0076621A"/>
    <w:rsid w:val="007668BD"/>
    <w:rsid w:val="00767891"/>
    <w:rsid w:val="00767C33"/>
    <w:rsid w:val="00770986"/>
    <w:rsid w:val="00770C39"/>
    <w:rsid w:val="00770DD3"/>
    <w:rsid w:val="00771A61"/>
    <w:rsid w:val="00772241"/>
    <w:rsid w:val="0077239D"/>
    <w:rsid w:val="007727DD"/>
    <w:rsid w:val="00772CEF"/>
    <w:rsid w:val="00773B38"/>
    <w:rsid w:val="00774B3E"/>
    <w:rsid w:val="00774DF1"/>
    <w:rsid w:val="00774F25"/>
    <w:rsid w:val="007753A2"/>
    <w:rsid w:val="00775564"/>
    <w:rsid w:val="0077580A"/>
    <w:rsid w:val="00775E50"/>
    <w:rsid w:val="00776B5F"/>
    <w:rsid w:val="0078017F"/>
    <w:rsid w:val="007802AB"/>
    <w:rsid w:val="0078060F"/>
    <w:rsid w:val="00781152"/>
    <w:rsid w:val="00781FFA"/>
    <w:rsid w:val="00782836"/>
    <w:rsid w:val="007835B9"/>
    <w:rsid w:val="007838EB"/>
    <w:rsid w:val="00783975"/>
    <w:rsid w:val="007849C2"/>
    <w:rsid w:val="00785415"/>
    <w:rsid w:val="007854B3"/>
    <w:rsid w:val="00785B1C"/>
    <w:rsid w:val="00786393"/>
    <w:rsid w:val="007866F2"/>
    <w:rsid w:val="00786BDB"/>
    <w:rsid w:val="0078702E"/>
    <w:rsid w:val="0078748D"/>
    <w:rsid w:val="007876BD"/>
    <w:rsid w:val="00787B02"/>
    <w:rsid w:val="007907EC"/>
    <w:rsid w:val="0079128C"/>
    <w:rsid w:val="00791C29"/>
    <w:rsid w:val="00791E1A"/>
    <w:rsid w:val="00791E2E"/>
    <w:rsid w:val="00792423"/>
    <w:rsid w:val="007924E4"/>
    <w:rsid w:val="00792C3A"/>
    <w:rsid w:val="007936DF"/>
    <w:rsid w:val="00793FB5"/>
    <w:rsid w:val="0079487B"/>
    <w:rsid w:val="007959E4"/>
    <w:rsid w:val="00795B56"/>
    <w:rsid w:val="00796712"/>
    <w:rsid w:val="00797CD4"/>
    <w:rsid w:val="007A063A"/>
    <w:rsid w:val="007A0A3F"/>
    <w:rsid w:val="007A0AB4"/>
    <w:rsid w:val="007A127B"/>
    <w:rsid w:val="007A236C"/>
    <w:rsid w:val="007A2AA3"/>
    <w:rsid w:val="007A3458"/>
    <w:rsid w:val="007A3D0F"/>
    <w:rsid w:val="007A437B"/>
    <w:rsid w:val="007A4D77"/>
    <w:rsid w:val="007A4E7E"/>
    <w:rsid w:val="007A5251"/>
    <w:rsid w:val="007A55A1"/>
    <w:rsid w:val="007A5919"/>
    <w:rsid w:val="007A6561"/>
    <w:rsid w:val="007A6587"/>
    <w:rsid w:val="007A6618"/>
    <w:rsid w:val="007A6D84"/>
    <w:rsid w:val="007A7432"/>
    <w:rsid w:val="007A746D"/>
    <w:rsid w:val="007B0829"/>
    <w:rsid w:val="007B0C34"/>
    <w:rsid w:val="007B1721"/>
    <w:rsid w:val="007B2033"/>
    <w:rsid w:val="007B28C0"/>
    <w:rsid w:val="007B3D2B"/>
    <w:rsid w:val="007B3D81"/>
    <w:rsid w:val="007B4F49"/>
    <w:rsid w:val="007B6BBA"/>
    <w:rsid w:val="007B7432"/>
    <w:rsid w:val="007B753F"/>
    <w:rsid w:val="007B7649"/>
    <w:rsid w:val="007B77FF"/>
    <w:rsid w:val="007B7AF8"/>
    <w:rsid w:val="007C0FC2"/>
    <w:rsid w:val="007C12A9"/>
    <w:rsid w:val="007C15F2"/>
    <w:rsid w:val="007C1BC1"/>
    <w:rsid w:val="007C2391"/>
    <w:rsid w:val="007C2812"/>
    <w:rsid w:val="007C29C7"/>
    <w:rsid w:val="007C3272"/>
    <w:rsid w:val="007C36EF"/>
    <w:rsid w:val="007C470B"/>
    <w:rsid w:val="007C48D7"/>
    <w:rsid w:val="007C4949"/>
    <w:rsid w:val="007C5653"/>
    <w:rsid w:val="007C6441"/>
    <w:rsid w:val="007C6DF3"/>
    <w:rsid w:val="007D042D"/>
    <w:rsid w:val="007D1152"/>
    <w:rsid w:val="007D1251"/>
    <w:rsid w:val="007D1BF4"/>
    <w:rsid w:val="007D1F39"/>
    <w:rsid w:val="007D1F99"/>
    <w:rsid w:val="007D2059"/>
    <w:rsid w:val="007D34B0"/>
    <w:rsid w:val="007D3AC5"/>
    <w:rsid w:val="007D3DED"/>
    <w:rsid w:val="007D4D29"/>
    <w:rsid w:val="007D59B1"/>
    <w:rsid w:val="007D5B07"/>
    <w:rsid w:val="007D5DF5"/>
    <w:rsid w:val="007D6220"/>
    <w:rsid w:val="007D6A81"/>
    <w:rsid w:val="007D7357"/>
    <w:rsid w:val="007D7E19"/>
    <w:rsid w:val="007D7F33"/>
    <w:rsid w:val="007E0889"/>
    <w:rsid w:val="007E0AD3"/>
    <w:rsid w:val="007E1982"/>
    <w:rsid w:val="007E1ECE"/>
    <w:rsid w:val="007E2A67"/>
    <w:rsid w:val="007E2AAA"/>
    <w:rsid w:val="007E2E0F"/>
    <w:rsid w:val="007E32CC"/>
    <w:rsid w:val="007E47B3"/>
    <w:rsid w:val="007E4A2B"/>
    <w:rsid w:val="007E4AE0"/>
    <w:rsid w:val="007E4E79"/>
    <w:rsid w:val="007E5351"/>
    <w:rsid w:val="007E5907"/>
    <w:rsid w:val="007E61CD"/>
    <w:rsid w:val="007E62CB"/>
    <w:rsid w:val="007E69B4"/>
    <w:rsid w:val="007E6D24"/>
    <w:rsid w:val="007E6E61"/>
    <w:rsid w:val="007E7103"/>
    <w:rsid w:val="007E7E41"/>
    <w:rsid w:val="007E7EC9"/>
    <w:rsid w:val="007F036C"/>
    <w:rsid w:val="007F0C13"/>
    <w:rsid w:val="007F15A7"/>
    <w:rsid w:val="007F1919"/>
    <w:rsid w:val="007F2599"/>
    <w:rsid w:val="007F27EF"/>
    <w:rsid w:val="007F2A8B"/>
    <w:rsid w:val="007F333F"/>
    <w:rsid w:val="007F3931"/>
    <w:rsid w:val="007F3A2F"/>
    <w:rsid w:val="007F3D62"/>
    <w:rsid w:val="007F3EFC"/>
    <w:rsid w:val="007F423E"/>
    <w:rsid w:val="007F4989"/>
    <w:rsid w:val="007F4AE8"/>
    <w:rsid w:val="007F574A"/>
    <w:rsid w:val="007F5F36"/>
    <w:rsid w:val="007F6C03"/>
    <w:rsid w:val="007F72C9"/>
    <w:rsid w:val="007F7DAC"/>
    <w:rsid w:val="007F7EFB"/>
    <w:rsid w:val="00800010"/>
    <w:rsid w:val="00800196"/>
    <w:rsid w:val="00801A87"/>
    <w:rsid w:val="00802477"/>
    <w:rsid w:val="00802B04"/>
    <w:rsid w:val="00802DDF"/>
    <w:rsid w:val="00803E27"/>
    <w:rsid w:val="00804FDA"/>
    <w:rsid w:val="00805AAC"/>
    <w:rsid w:val="008064BD"/>
    <w:rsid w:val="008065C3"/>
    <w:rsid w:val="00806E2E"/>
    <w:rsid w:val="008077C0"/>
    <w:rsid w:val="00807A2B"/>
    <w:rsid w:val="00807E15"/>
    <w:rsid w:val="00810391"/>
    <w:rsid w:val="00810485"/>
    <w:rsid w:val="008104A5"/>
    <w:rsid w:val="00810C72"/>
    <w:rsid w:val="00810F9B"/>
    <w:rsid w:val="008115CA"/>
    <w:rsid w:val="008119AA"/>
    <w:rsid w:val="00812213"/>
    <w:rsid w:val="00812FF3"/>
    <w:rsid w:val="0081350E"/>
    <w:rsid w:val="00813532"/>
    <w:rsid w:val="008138DF"/>
    <w:rsid w:val="00813D36"/>
    <w:rsid w:val="0081499B"/>
    <w:rsid w:val="00815B0B"/>
    <w:rsid w:val="00815F06"/>
    <w:rsid w:val="00816319"/>
    <w:rsid w:val="00816801"/>
    <w:rsid w:val="00816C78"/>
    <w:rsid w:val="00817320"/>
    <w:rsid w:val="00817676"/>
    <w:rsid w:val="008178F9"/>
    <w:rsid w:val="00820A6B"/>
    <w:rsid w:val="00820AB0"/>
    <w:rsid w:val="00822A98"/>
    <w:rsid w:val="00822AC6"/>
    <w:rsid w:val="00823DF3"/>
    <w:rsid w:val="008241B4"/>
    <w:rsid w:val="00825505"/>
    <w:rsid w:val="008257D5"/>
    <w:rsid w:val="00825B26"/>
    <w:rsid w:val="0082663D"/>
    <w:rsid w:val="00827FF7"/>
    <w:rsid w:val="00830DAD"/>
    <w:rsid w:val="00831B44"/>
    <w:rsid w:val="008323C8"/>
    <w:rsid w:val="0083278D"/>
    <w:rsid w:val="00832D60"/>
    <w:rsid w:val="00833A4C"/>
    <w:rsid w:val="00833DB2"/>
    <w:rsid w:val="00834DC7"/>
    <w:rsid w:val="00835023"/>
    <w:rsid w:val="0083547E"/>
    <w:rsid w:val="00835A9B"/>
    <w:rsid w:val="008365ED"/>
    <w:rsid w:val="00836801"/>
    <w:rsid w:val="00836BA1"/>
    <w:rsid w:val="00837598"/>
    <w:rsid w:val="008410FD"/>
    <w:rsid w:val="00841F6D"/>
    <w:rsid w:val="00842729"/>
    <w:rsid w:val="00843F5A"/>
    <w:rsid w:val="0084402B"/>
    <w:rsid w:val="00844BED"/>
    <w:rsid w:val="008458F0"/>
    <w:rsid w:val="0084665C"/>
    <w:rsid w:val="00846C2F"/>
    <w:rsid w:val="00847C9A"/>
    <w:rsid w:val="00847CF2"/>
    <w:rsid w:val="0085053A"/>
    <w:rsid w:val="00850BF6"/>
    <w:rsid w:val="008520D4"/>
    <w:rsid w:val="00853703"/>
    <w:rsid w:val="0085398F"/>
    <w:rsid w:val="00853E3E"/>
    <w:rsid w:val="008541FA"/>
    <w:rsid w:val="008544DC"/>
    <w:rsid w:val="00854872"/>
    <w:rsid w:val="00854DB0"/>
    <w:rsid w:val="00855AB5"/>
    <w:rsid w:val="00855CCE"/>
    <w:rsid w:val="00856AF9"/>
    <w:rsid w:val="00856B90"/>
    <w:rsid w:val="00857021"/>
    <w:rsid w:val="0086010E"/>
    <w:rsid w:val="00860976"/>
    <w:rsid w:val="00860D88"/>
    <w:rsid w:val="00861193"/>
    <w:rsid w:val="00861491"/>
    <w:rsid w:val="008623E3"/>
    <w:rsid w:val="00862681"/>
    <w:rsid w:val="00863101"/>
    <w:rsid w:val="00863F21"/>
    <w:rsid w:val="00863F75"/>
    <w:rsid w:val="0086476B"/>
    <w:rsid w:val="008651EC"/>
    <w:rsid w:val="0086566A"/>
    <w:rsid w:val="00865C81"/>
    <w:rsid w:val="0086646A"/>
    <w:rsid w:val="00867143"/>
    <w:rsid w:val="0086724B"/>
    <w:rsid w:val="0086736D"/>
    <w:rsid w:val="008673CA"/>
    <w:rsid w:val="008679CD"/>
    <w:rsid w:val="008700A1"/>
    <w:rsid w:val="008706B5"/>
    <w:rsid w:val="00870E9D"/>
    <w:rsid w:val="00871760"/>
    <w:rsid w:val="00871C76"/>
    <w:rsid w:val="008721E5"/>
    <w:rsid w:val="008727E8"/>
    <w:rsid w:val="0087318E"/>
    <w:rsid w:val="00873796"/>
    <w:rsid w:val="0087428C"/>
    <w:rsid w:val="0087445F"/>
    <w:rsid w:val="008746D8"/>
    <w:rsid w:val="0087490C"/>
    <w:rsid w:val="00874BCA"/>
    <w:rsid w:val="00874DFB"/>
    <w:rsid w:val="00875CC6"/>
    <w:rsid w:val="00875F99"/>
    <w:rsid w:val="00876527"/>
    <w:rsid w:val="00876E24"/>
    <w:rsid w:val="00877318"/>
    <w:rsid w:val="008807D2"/>
    <w:rsid w:val="00880972"/>
    <w:rsid w:val="00881B28"/>
    <w:rsid w:val="00881C7C"/>
    <w:rsid w:val="00882E93"/>
    <w:rsid w:val="008831D0"/>
    <w:rsid w:val="00883D2B"/>
    <w:rsid w:val="00883DB5"/>
    <w:rsid w:val="00883F02"/>
    <w:rsid w:val="00884799"/>
    <w:rsid w:val="008847D5"/>
    <w:rsid w:val="00884941"/>
    <w:rsid w:val="0088502B"/>
    <w:rsid w:val="00885A7D"/>
    <w:rsid w:val="0088679B"/>
    <w:rsid w:val="0088684E"/>
    <w:rsid w:val="008868FB"/>
    <w:rsid w:val="00886A8B"/>
    <w:rsid w:val="00887138"/>
    <w:rsid w:val="008878C4"/>
    <w:rsid w:val="00887A63"/>
    <w:rsid w:val="00890DB4"/>
    <w:rsid w:val="00890E21"/>
    <w:rsid w:val="00891D25"/>
    <w:rsid w:val="00891FCE"/>
    <w:rsid w:val="008920FF"/>
    <w:rsid w:val="00892F31"/>
    <w:rsid w:val="00893D6A"/>
    <w:rsid w:val="008942D2"/>
    <w:rsid w:val="008960B5"/>
    <w:rsid w:val="00896F2B"/>
    <w:rsid w:val="00896FAA"/>
    <w:rsid w:val="008973AC"/>
    <w:rsid w:val="00897C1D"/>
    <w:rsid w:val="00897CD4"/>
    <w:rsid w:val="008A0560"/>
    <w:rsid w:val="008A05D1"/>
    <w:rsid w:val="008A09D1"/>
    <w:rsid w:val="008A0E4F"/>
    <w:rsid w:val="008A122D"/>
    <w:rsid w:val="008A163B"/>
    <w:rsid w:val="008A18F9"/>
    <w:rsid w:val="008A1AAD"/>
    <w:rsid w:val="008A1C5A"/>
    <w:rsid w:val="008A1FA8"/>
    <w:rsid w:val="008A20FE"/>
    <w:rsid w:val="008A259F"/>
    <w:rsid w:val="008A3407"/>
    <w:rsid w:val="008A452E"/>
    <w:rsid w:val="008A56B5"/>
    <w:rsid w:val="008A5F8A"/>
    <w:rsid w:val="008A68C6"/>
    <w:rsid w:val="008A6948"/>
    <w:rsid w:val="008A6D20"/>
    <w:rsid w:val="008A73B3"/>
    <w:rsid w:val="008A7403"/>
    <w:rsid w:val="008A75B9"/>
    <w:rsid w:val="008A7A0C"/>
    <w:rsid w:val="008A7CAB"/>
    <w:rsid w:val="008A7CD1"/>
    <w:rsid w:val="008B05AE"/>
    <w:rsid w:val="008B0997"/>
    <w:rsid w:val="008B09B0"/>
    <w:rsid w:val="008B09B4"/>
    <w:rsid w:val="008B1000"/>
    <w:rsid w:val="008B20A1"/>
    <w:rsid w:val="008B26DC"/>
    <w:rsid w:val="008B2D89"/>
    <w:rsid w:val="008B4326"/>
    <w:rsid w:val="008B43F4"/>
    <w:rsid w:val="008B4841"/>
    <w:rsid w:val="008B4EC0"/>
    <w:rsid w:val="008B4EE9"/>
    <w:rsid w:val="008B53C7"/>
    <w:rsid w:val="008B583A"/>
    <w:rsid w:val="008B59DA"/>
    <w:rsid w:val="008B5BA7"/>
    <w:rsid w:val="008B5CEC"/>
    <w:rsid w:val="008B680F"/>
    <w:rsid w:val="008B6D0D"/>
    <w:rsid w:val="008B7834"/>
    <w:rsid w:val="008C07F3"/>
    <w:rsid w:val="008C0C34"/>
    <w:rsid w:val="008C0D0E"/>
    <w:rsid w:val="008C1298"/>
    <w:rsid w:val="008C12A7"/>
    <w:rsid w:val="008C17C1"/>
    <w:rsid w:val="008C1ECB"/>
    <w:rsid w:val="008C2FD4"/>
    <w:rsid w:val="008C3420"/>
    <w:rsid w:val="008C3824"/>
    <w:rsid w:val="008C3D3D"/>
    <w:rsid w:val="008C493A"/>
    <w:rsid w:val="008C4A88"/>
    <w:rsid w:val="008C5333"/>
    <w:rsid w:val="008C54EC"/>
    <w:rsid w:val="008C5B06"/>
    <w:rsid w:val="008C5EF6"/>
    <w:rsid w:val="008C5F20"/>
    <w:rsid w:val="008C616D"/>
    <w:rsid w:val="008C6607"/>
    <w:rsid w:val="008C6731"/>
    <w:rsid w:val="008C7F2E"/>
    <w:rsid w:val="008C7FAE"/>
    <w:rsid w:val="008D01B8"/>
    <w:rsid w:val="008D0CEB"/>
    <w:rsid w:val="008D147E"/>
    <w:rsid w:val="008D14C9"/>
    <w:rsid w:val="008D1881"/>
    <w:rsid w:val="008D2145"/>
    <w:rsid w:val="008D289D"/>
    <w:rsid w:val="008D2965"/>
    <w:rsid w:val="008D2C43"/>
    <w:rsid w:val="008D2F79"/>
    <w:rsid w:val="008D30C6"/>
    <w:rsid w:val="008D3133"/>
    <w:rsid w:val="008D3321"/>
    <w:rsid w:val="008D333C"/>
    <w:rsid w:val="008D3BAF"/>
    <w:rsid w:val="008D42BD"/>
    <w:rsid w:val="008D59E2"/>
    <w:rsid w:val="008D5EDE"/>
    <w:rsid w:val="008D661F"/>
    <w:rsid w:val="008D7F55"/>
    <w:rsid w:val="008E17A2"/>
    <w:rsid w:val="008E227E"/>
    <w:rsid w:val="008E3F60"/>
    <w:rsid w:val="008E556B"/>
    <w:rsid w:val="008E598B"/>
    <w:rsid w:val="008E61A1"/>
    <w:rsid w:val="008E7395"/>
    <w:rsid w:val="008F122B"/>
    <w:rsid w:val="008F1353"/>
    <w:rsid w:val="008F14EC"/>
    <w:rsid w:val="008F1830"/>
    <w:rsid w:val="008F1931"/>
    <w:rsid w:val="008F1BB3"/>
    <w:rsid w:val="008F2324"/>
    <w:rsid w:val="008F2325"/>
    <w:rsid w:val="008F2862"/>
    <w:rsid w:val="008F29DF"/>
    <w:rsid w:val="008F2B8A"/>
    <w:rsid w:val="008F2DB4"/>
    <w:rsid w:val="008F37AC"/>
    <w:rsid w:val="008F3FB8"/>
    <w:rsid w:val="008F415B"/>
    <w:rsid w:val="008F45DE"/>
    <w:rsid w:val="008F5321"/>
    <w:rsid w:val="008F5363"/>
    <w:rsid w:val="008F58DE"/>
    <w:rsid w:val="008F5B4B"/>
    <w:rsid w:val="008F6151"/>
    <w:rsid w:val="008F6480"/>
    <w:rsid w:val="008F66BE"/>
    <w:rsid w:val="008F6A57"/>
    <w:rsid w:val="008F728C"/>
    <w:rsid w:val="008F766A"/>
    <w:rsid w:val="0090011A"/>
    <w:rsid w:val="009004BA"/>
    <w:rsid w:val="00901EE0"/>
    <w:rsid w:val="0090217F"/>
    <w:rsid w:val="0090310A"/>
    <w:rsid w:val="00903227"/>
    <w:rsid w:val="009034F4"/>
    <w:rsid w:val="0090365D"/>
    <w:rsid w:val="00904065"/>
    <w:rsid w:val="0090414F"/>
    <w:rsid w:val="00904A14"/>
    <w:rsid w:val="0090565A"/>
    <w:rsid w:val="00906AB1"/>
    <w:rsid w:val="009071FF"/>
    <w:rsid w:val="00910595"/>
    <w:rsid w:val="009116CC"/>
    <w:rsid w:val="00911A12"/>
    <w:rsid w:val="00911F4C"/>
    <w:rsid w:val="00911FF5"/>
    <w:rsid w:val="00912F46"/>
    <w:rsid w:val="00912FB1"/>
    <w:rsid w:val="00913073"/>
    <w:rsid w:val="00913C75"/>
    <w:rsid w:val="00914CCE"/>
    <w:rsid w:val="00915041"/>
    <w:rsid w:val="00916DD3"/>
    <w:rsid w:val="009171DA"/>
    <w:rsid w:val="00917F9B"/>
    <w:rsid w:val="009206C0"/>
    <w:rsid w:val="00920C13"/>
    <w:rsid w:val="009210FA"/>
    <w:rsid w:val="009211A5"/>
    <w:rsid w:val="0092129B"/>
    <w:rsid w:val="00921999"/>
    <w:rsid w:val="00922326"/>
    <w:rsid w:val="00922A9B"/>
    <w:rsid w:val="00922D57"/>
    <w:rsid w:val="00922EBB"/>
    <w:rsid w:val="0092300E"/>
    <w:rsid w:val="009231DE"/>
    <w:rsid w:val="009245D9"/>
    <w:rsid w:val="00924ED3"/>
    <w:rsid w:val="00924F8F"/>
    <w:rsid w:val="00925878"/>
    <w:rsid w:val="0092613E"/>
    <w:rsid w:val="00926B00"/>
    <w:rsid w:val="00926B1A"/>
    <w:rsid w:val="00927AB3"/>
    <w:rsid w:val="00927AD9"/>
    <w:rsid w:val="00930EE3"/>
    <w:rsid w:val="0093114C"/>
    <w:rsid w:val="0093234D"/>
    <w:rsid w:val="009326E3"/>
    <w:rsid w:val="00932826"/>
    <w:rsid w:val="0093309A"/>
    <w:rsid w:val="00933A06"/>
    <w:rsid w:val="00934185"/>
    <w:rsid w:val="00934414"/>
    <w:rsid w:val="009359AA"/>
    <w:rsid w:val="00935F24"/>
    <w:rsid w:val="00936725"/>
    <w:rsid w:val="00936FC3"/>
    <w:rsid w:val="009378DA"/>
    <w:rsid w:val="00937BD8"/>
    <w:rsid w:val="00940E0F"/>
    <w:rsid w:val="0094139C"/>
    <w:rsid w:val="009413B5"/>
    <w:rsid w:val="00941532"/>
    <w:rsid w:val="00941A6F"/>
    <w:rsid w:val="00941EC5"/>
    <w:rsid w:val="0094246D"/>
    <w:rsid w:val="0094275D"/>
    <w:rsid w:val="0094403F"/>
    <w:rsid w:val="0094407F"/>
    <w:rsid w:val="00944523"/>
    <w:rsid w:val="00944718"/>
    <w:rsid w:val="009449FD"/>
    <w:rsid w:val="00946416"/>
    <w:rsid w:val="00946DB9"/>
    <w:rsid w:val="00947365"/>
    <w:rsid w:val="0094736F"/>
    <w:rsid w:val="00947D8E"/>
    <w:rsid w:val="009501A6"/>
    <w:rsid w:val="00950449"/>
    <w:rsid w:val="0095045C"/>
    <w:rsid w:val="00950482"/>
    <w:rsid w:val="009507C9"/>
    <w:rsid w:val="00950A17"/>
    <w:rsid w:val="009514A9"/>
    <w:rsid w:val="00951B0F"/>
    <w:rsid w:val="00951C10"/>
    <w:rsid w:val="00951E3A"/>
    <w:rsid w:val="0095250A"/>
    <w:rsid w:val="009525CE"/>
    <w:rsid w:val="00952EEF"/>
    <w:rsid w:val="00953712"/>
    <w:rsid w:val="00953F3F"/>
    <w:rsid w:val="009542B0"/>
    <w:rsid w:val="00954708"/>
    <w:rsid w:val="009549F4"/>
    <w:rsid w:val="00954FBE"/>
    <w:rsid w:val="009556A3"/>
    <w:rsid w:val="00956172"/>
    <w:rsid w:val="0095668A"/>
    <w:rsid w:val="00956A13"/>
    <w:rsid w:val="00957992"/>
    <w:rsid w:val="00957FFA"/>
    <w:rsid w:val="00961119"/>
    <w:rsid w:val="00961EA8"/>
    <w:rsid w:val="00962058"/>
    <w:rsid w:val="00962EFF"/>
    <w:rsid w:val="00963BEC"/>
    <w:rsid w:val="00963E00"/>
    <w:rsid w:val="00964A06"/>
    <w:rsid w:val="00965374"/>
    <w:rsid w:val="009653AE"/>
    <w:rsid w:val="0096692C"/>
    <w:rsid w:val="00966C2C"/>
    <w:rsid w:val="00966F19"/>
    <w:rsid w:val="00967003"/>
    <w:rsid w:val="00967567"/>
    <w:rsid w:val="009679CC"/>
    <w:rsid w:val="009679F9"/>
    <w:rsid w:val="00967E54"/>
    <w:rsid w:val="00970E6A"/>
    <w:rsid w:val="00971288"/>
    <w:rsid w:val="0097202C"/>
    <w:rsid w:val="00972604"/>
    <w:rsid w:val="009747DD"/>
    <w:rsid w:val="00974C77"/>
    <w:rsid w:val="00975608"/>
    <w:rsid w:val="00980316"/>
    <w:rsid w:val="00980596"/>
    <w:rsid w:val="00980CCF"/>
    <w:rsid w:val="00980FFA"/>
    <w:rsid w:val="0098146C"/>
    <w:rsid w:val="00981B0E"/>
    <w:rsid w:val="00981C1C"/>
    <w:rsid w:val="00981CE9"/>
    <w:rsid w:val="00982B2D"/>
    <w:rsid w:val="00983563"/>
    <w:rsid w:val="009837BB"/>
    <w:rsid w:val="0098483A"/>
    <w:rsid w:val="00985430"/>
    <w:rsid w:val="00985BF1"/>
    <w:rsid w:val="00985DF7"/>
    <w:rsid w:val="0098600C"/>
    <w:rsid w:val="00986242"/>
    <w:rsid w:val="0098692F"/>
    <w:rsid w:val="00987DE3"/>
    <w:rsid w:val="00987F61"/>
    <w:rsid w:val="0099009B"/>
    <w:rsid w:val="009901A1"/>
    <w:rsid w:val="00990E0E"/>
    <w:rsid w:val="00992A05"/>
    <w:rsid w:val="00994D49"/>
    <w:rsid w:val="00995843"/>
    <w:rsid w:val="00995BE6"/>
    <w:rsid w:val="00995E13"/>
    <w:rsid w:val="0099673E"/>
    <w:rsid w:val="00996A12"/>
    <w:rsid w:val="00997B23"/>
    <w:rsid w:val="009A0578"/>
    <w:rsid w:val="009A0D7F"/>
    <w:rsid w:val="009A1277"/>
    <w:rsid w:val="009A344E"/>
    <w:rsid w:val="009A38B0"/>
    <w:rsid w:val="009A3F87"/>
    <w:rsid w:val="009A5260"/>
    <w:rsid w:val="009A589C"/>
    <w:rsid w:val="009A5DB2"/>
    <w:rsid w:val="009A6181"/>
    <w:rsid w:val="009A64D4"/>
    <w:rsid w:val="009A6E31"/>
    <w:rsid w:val="009A7454"/>
    <w:rsid w:val="009A74C8"/>
    <w:rsid w:val="009A7B83"/>
    <w:rsid w:val="009B0848"/>
    <w:rsid w:val="009B0A24"/>
    <w:rsid w:val="009B119E"/>
    <w:rsid w:val="009B12D0"/>
    <w:rsid w:val="009B15A2"/>
    <w:rsid w:val="009B16E7"/>
    <w:rsid w:val="009B1ADF"/>
    <w:rsid w:val="009B1BB6"/>
    <w:rsid w:val="009B3191"/>
    <w:rsid w:val="009B3676"/>
    <w:rsid w:val="009B36FD"/>
    <w:rsid w:val="009B40DD"/>
    <w:rsid w:val="009B4881"/>
    <w:rsid w:val="009B4BFA"/>
    <w:rsid w:val="009B5E84"/>
    <w:rsid w:val="009B62E3"/>
    <w:rsid w:val="009B64C8"/>
    <w:rsid w:val="009B660F"/>
    <w:rsid w:val="009B6936"/>
    <w:rsid w:val="009B6D45"/>
    <w:rsid w:val="009B7165"/>
    <w:rsid w:val="009B7D19"/>
    <w:rsid w:val="009C119A"/>
    <w:rsid w:val="009C1211"/>
    <w:rsid w:val="009C1386"/>
    <w:rsid w:val="009C140E"/>
    <w:rsid w:val="009C1C94"/>
    <w:rsid w:val="009C1CB0"/>
    <w:rsid w:val="009C1F09"/>
    <w:rsid w:val="009C1FB8"/>
    <w:rsid w:val="009C22A9"/>
    <w:rsid w:val="009C25AB"/>
    <w:rsid w:val="009C2B74"/>
    <w:rsid w:val="009C378A"/>
    <w:rsid w:val="009C41AA"/>
    <w:rsid w:val="009C43DA"/>
    <w:rsid w:val="009C499F"/>
    <w:rsid w:val="009C4B18"/>
    <w:rsid w:val="009C6441"/>
    <w:rsid w:val="009C695B"/>
    <w:rsid w:val="009C72D9"/>
    <w:rsid w:val="009C7593"/>
    <w:rsid w:val="009C7700"/>
    <w:rsid w:val="009C7F12"/>
    <w:rsid w:val="009C7F45"/>
    <w:rsid w:val="009D0540"/>
    <w:rsid w:val="009D0D66"/>
    <w:rsid w:val="009D15A7"/>
    <w:rsid w:val="009D1894"/>
    <w:rsid w:val="009D193A"/>
    <w:rsid w:val="009D1B78"/>
    <w:rsid w:val="009D1C5F"/>
    <w:rsid w:val="009D28AB"/>
    <w:rsid w:val="009D3280"/>
    <w:rsid w:val="009D3EA7"/>
    <w:rsid w:val="009D41B8"/>
    <w:rsid w:val="009D43A0"/>
    <w:rsid w:val="009D47E2"/>
    <w:rsid w:val="009D4DE2"/>
    <w:rsid w:val="009D4EA9"/>
    <w:rsid w:val="009D5555"/>
    <w:rsid w:val="009D5CB3"/>
    <w:rsid w:val="009D65D7"/>
    <w:rsid w:val="009D6F80"/>
    <w:rsid w:val="009D75C2"/>
    <w:rsid w:val="009E07C0"/>
    <w:rsid w:val="009E0F1F"/>
    <w:rsid w:val="009E0FF4"/>
    <w:rsid w:val="009E161E"/>
    <w:rsid w:val="009E175E"/>
    <w:rsid w:val="009E426D"/>
    <w:rsid w:val="009E4476"/>
    <w:rsid w:val="009E52E9"/>
    <w:rsid w:val="009E5B5E"/>
    <w:rsid w:val="009E601B"/>
    <w:rsid w:val="009E6E75"/>
    <w:rsid w:val="009F0895"/>
    <w:rsid w:val="009F0F3E"/>
    <w:rsid w:val="009F130D"/>
    <w:rsid w:val="009F1327"/>
    <w:rsid w:val="009F1472"/>
    <w:rsid w:val="009F25C3"/>
    <w:rsid w:val="009F25DE"/>
    <w:rsid w:val="009F2A94"/>
    <w:rsid w:val="009F2E4A"/>
    <w:rsid w:val="009F3F77"/>
    <w:rsid w:val="009F49F8"/>
    <w:rsid w:val="009F4BCC"/>
    <w:rsid w:val="009F4BF7"/>
    <w:rsid w:val="009F514F"/>
    <w:rsid w:val="009F54B0"/>
    <w:rsid w:val="009F5D30"/>
    <w:rsid w:val="009F6701"/>
    <w:rsid w:val="009F747E"/>
    <w:rsid w:val="009F7985"/>
    <w:rsid w:val="00A01F41"/>
    <w:rsid w:val="00A0227A"/>
    <w:rsid w:val="00A024E6"/>
    <w:rsid w:val="00A02729"/>
    <w:rsid w:val="00A02A21"/>
    <w:rsid w:val="00A02C9A"/>
    <w:rsid w:val="00A0309F"/>
    <w:rsid w:val="00A038FE"/>
    <w:rsid w:val="00A0519B"/>
    <w:rsid w:val="00A058A4"/>
    <w:rsid w:val="00A05A0C"/>
    <w:rsid w:val="00A05A66"/>
    <w:rsid w:val="00A05D40"/>
    <w:rsid w:val="00A063D1"/>
    <w:rsid w:val="00A065ED"/>
    <w:rsid w:val="00A0660D"/>
    <w:rsid w:val="00A06C6A"/>
    <w:rsid w:val="00A07694"/>
    <w:rsid w:val="00A07E11"/>
    <w:rsid w:val="00A105D0"/>
    <w:rsid w:val="00A10B00"/>
    <w:rsid w:val="00A11856"/>
    <w:rsid w:val="00A11CE4"/>
    <w:rsid w:val="00A120F1"/>
    <w:rsid w:val="00A1392A"/>
    <w:rsid w:val="00A13E3C"/>
    <w:rsid w:val="00A14BAC"/>
    <w:rsid w:val="00A151FB"/>
    <w:rsid w:val="00A1597F"/>
    <w:rsid w:val="00A15D5D"/>
    <w:rsid w:val="00A15E67"/>
    <w:rsid w:val="00A15EA0"/>
    <w:rsid w:val="00A161BA"/>
    <w:rsid w:val="00A16BB5"/>
    <w:rsid w:val="00A17742"/>
    <w:rsid w:val="00A1783F"/>
    <w:rsid w:val="00A17BDE"/>
    <w:rsid w:val="00A17C01"/>
    <w:rsid w:val="00A20448"/>
    <w:rsid w:val="00A2054D"/>
    <w:rsid w:val="00A20A4E"/>
    <w:rsid w:val="00A210BA"/>
    <w:rsid w:val="00A21CEA"/>
    <w:rsid w:val="00A221A4"/>
    <w:rsid w:val="00A2245D"/>
    <w:rsid w:val="00A22869"/>
    <w:rsid w:val="00A22883"/>
    <w:rsid w:val="00A22B10"/>
    <w:rsid w:val="00A22F97"/>
    <w:rsid w:val="00A231AE"/>
    <w:rsid w:val="00A2324D"/>
    <w:rsid w:val="00A243C4"/>
    <w:rsid w:val="00A24EB0"/>
    <w:rsid w:val="00A25192"/>
    <w:rsid w:val="00A25266"/>
    <w:rsid w:val="00A268F7"/>
    <w:rsid w:val="00A26FAF"/>
    <w:rsid w:val="00A2733C"/>
    <w:rsid w:val="00A27B85"/>
    <w:rsid w:val="00A3008A"/>
    <w:rsid w:val="00A30451"/>
    <w:rsid w:val="00A30A53"/>
    <w:rsid w:val="00A312A3"/>
    <w:rsid w:val="00A317E9"/>
    <w:rsid w:val="00A31BDE"/>
    <w:rsid w:val="00A31BF0"/>
    <w:rsid w:val="00A343C2"/>
    <w:rsid w:val="00A34843"/>
    <w:rsid w:val="00A352B4"/>
    <w:rsid w:val="00A357DE"/>
    <w:rsid w:val="00A35996"/>
    <w:rsid w:val="00A35CE7"/>
    <w:rsid w:val="00A364EF"/>
    <w:rsid w:val="00A365FC"/>
    <w:rsid w:val="00A36CF9"/>
    <w:rsid w:val="00A37B4E"/>
    <w:rsid w:val="00A40500"/>
    <w:rsid w:val="00A40B3B"/>
    <w:rsid w:val="00A40FDD"/>
    <w:rsid w:val="00A4191D"/>
    <w:rsid w:val="00A41E3D"/>
    <w:rsid w:val="00A422EC"/>
    <w:rsid w:val="00A426D1"/>
    <w:rsid w:val="00A42BF8"/>
    <w:rsid w:val="00A43178"/>
    <w:rsid w:val="00A43673"/>
    <w:rsid w:val="00A43F33"/>
    <w:rsid w:val="00A44337"/>
    <w:rsid w:val="00A4455B"/>
    <w:rsid w:val="00A44DCA"/>
    <w:rsid w:val="00A44E25"/>
    <w:rsid w:val="00A45A02"/>
    <w:rsid w:val="00A463CB"/>
    <w:rsid w:val="00A464E3"/>
    <w:rsid w:val="00A46767"/>
    <w:rsid w:val="00A470B6"/>
    <w:rsid w:val="00A50828"/>
    <w:rsid w:val="00A508A1"/>
    <w:rsid w:val="00A51026"/>
    <w:rsid w:val="00A511A9"/>
    <w:rsid w:val="00A513B7"/>
    <w:rsid w:val="00A51E83"/>
    <w:rsid w:val="00A52F9D"/>
    <w:rsid w:val="00A53568"/>
    <w:rsid w:val="00A53C6C"/>
    <w:rsid w:val="00A565AF"/>
    <w:rsid w:val="00A5689F"/>
    <w:rsid w:val="00A56AAF"/>
    <w:rsid w:val="00A56B6A"/>
    <w:rsid w:val="00A57998"/>
    <w:rsid w:val="00A61BB0"/>
    <w:rsid w:val="00A61DED"/>
    <w:rsid w:val="00A6241B"/>
    <w:rsid w:val="00A624B8"/>
    <w:rsid w:val="00A6252F"/>
    <w:rsid w:val="00A62AAA"/>
    <w:rsid w:val="00A633E3"/>
    <w:rsid w:val="00A639E7"/>
    <w:rsid w:val="00A63B70"/>
    <w:rsid w:val="00A64838"/>
    <w:rsid w:val="00A648E8"/>
    <w:rsid w:val="00A657B1"/>
    <w:rsid w:val="00A6667A"/>
    <w:rsid w:val="00A667E7"/>
    <w:rsid w:val="00A6685F"/>
    <w:rsid w:val="00A6728A"/>
    <w:rsid w:val="00A6757E"/>
    <w:rsid w:val="00A6763E"/>
    <w:rsid w:val="00A7074A"/>
    <w:rsid w:val="00A7113A"/>
    <w:rsid w:val="00A71337"/>
    <w:rsid w:val="00A72845"/>
    <w:rsid w:val="00A72C9E"/>
    <w:rsid w:val="00A731BC"/>
    <w:rsid w:val="00A73310"/>
    <w:rsid w:val="00A73423"/>
    <w:rsid w:val="00A73B20"/>
    <w:rsid w:val="00A74C2D"/>
    <w:rsid w:val="00A74FFD"/>
    <w:rsid w:val="00A7511F"/>
    <w:rsid w:val="00A75D1F"/>
    <w:rsid w:val="00A75FE6"/>
    <w:rsid w:val="00A76176"/>
    <w:rsid w:val="00A77374"/>
    <w:rsid w:val="00A77E3D"/>
    <w:rsid w:val="00A8040F"/>
    <w:rsid w:val="00A8051B"/>
    <w:rsid w:val="00A81992"/>
    <w:rsid w:val="00A819F9"/>
    <w:rsid w:val="00A81C0D"/>
    <w:rsid w:val="00A81EAF"/>
    <w:rsid w:val="00A82D29"/>
    <w:rsid w:val="00A82DB6"/>
    <w:rsid w:val="00A832E1"/>
    <w:rsid w:val="00A83EC5"/>
    <w:rsid w:val="00A83F5C"/>
    <w:rsid w:val="00A845AB"/>
    <w:rsid w:val="00A85048"/>
    <w:rsid w:val="00A856C6"/>
    <w:rsid w:val="00A85B93"/>
    <w:rsid w:val="00A8683C"/>
    <w:rsid w:val="00A8742F"/>
    <w:rsid w:val="00A902B6"/>
    <w:rsid w:val="00A90CCD"/>
    <w:rsid w:val="00A9200F"/>
    <w:rsid w:val="00A92D29"/>
    <w:rsid w:val="00A931ED"/>
    <w:rsid w:val="00A9360D"/>
    <w:rsid w:val="00A9405B"/>
    <w:rsid w:val="00A94C14"/>
    <w:rsid w:val="00A95FF1"/>
    <w:rsid w:val="00A96029"/>
    <w:rsid w:val="00A967D6"/>
    <w:rsid w:val="00A96D17"/>
    <w:rsid w:val="00A96E69"/>
    <w:rsid w:val="00A96E94"/>
    <w:rsid w:val="00A96F0D"/>
    <w:rsid w:val="00A973B0"/>
    <w:rsid w:val="00A97C53"/>
    <w:rsid w:val="00A97D7E"/>
    <w:rsid w:val="00AA025D"/>
    <w:rsid w:val="00AA04ED"/>
    <w:rsid w:val="00AA3854"/>
    <w:rsid w:val="00AA3949"/>
    <w:rsid w:val="00AA4BDF"/>
    <w:rsid w:val="00AA573B"/>
    <w:rsid w:val="00AA5D95"/>
    <w:rsid w:val="00AA6B09"/>
    <w:rsid w:val="00AA712F"/>
    <w:rsid w:val="00AA7991"/>
    <w:rsid w:val="00AB155E"/>
    <w:rsid w:val="00AB2A8D"/>
    <w:rsid w:val="00AB2F30"/>
    <w:rsid w:val="00AB327F"/>
    <w:rsid w:val="00AB3364"/>
    <w:rsid w:val="00AB33D8"/>
    <w:rsid w:val="00AB3F62"/>
    <w:rsid w:val="00AB3F6F"/>
    <w:rsid w:val="00AB5B6D"/>
    <w:rsid w:val="00AB5B97"/>
    <w:rsid w:val="00AB6724"/>
    <w:rsid w:val="00AB6EBB"/>
    <w:rsid w:val="00AB77BB"/>
    <w:rsid w:val="00AB7970"/>
    <w:rsid w:val="00AB7EC6"/>
    <w:rsid w:val="00AC06C1"/>
    <w:rsid w:val="00AC2429"/>
    <w:rsid w:val="00AC27D9"/>
    <w:rsid w:val="00AC2B75"/>
    <w:rsid w:val="00AC3F40"/>
    <w:rsid w:val="00AC4583"/>
    <w:rsid w:val="00AC4F21"/>
    <w:rsid w:val="00AC50AA"/>
    <w:rsid w:val="00AC51F8"/>
    <w:rsid w:val="00AC581F"/>
    <w:rsid w:val="00AC59BE"/>
    <w:rsid w:val="00AC5B29"/>
    <w:rsid w:val="00AC5BA2"/>
    <w:rsid w:val="00AC7215"/>
    <w:rsid w:val="00AC7353"/>
    <w:rsid w:val="00AC7AA1"/>
    <w:rsid w:val="00AD00FC"/>
    <w:rsid w:val="00AD0248"/>
    <w:rsid w:val="00AD0775"/>
    <w:rsid w:val="00AD0D47"/>
    <w:rsid w:val="00AD1898"/>
    <w:rsid w:val="00AD2BCE"/>
    <w:rsid w:val="00AD36F3"/>
    <w:rsid w:val="00AD3AF6"/>
    <w:rsid w:val="00AD3E24"/>
    <w:rsid w:val="00AD4065"/>
    <w:rsid w:val="00AD427C"/>
    <w:rsid w:val="00AD45A4"/>
    <w:rsid w:val="00AD4BD6"/>
    <w:rsid w:val="00AD4D55"/>
    <w:rsid w:val="00AD5408"/>
    <w:rsid w:val="00AD5737"/>
    <w:rsid w:val="00AD5A62"/>
    <w:rsid w:val="00AD6983"/>
    <w:rsid w:val="00AD70E9"/>
    <w:rsid w:val="00AD71BD"/>
    <w:rsid w:val="00AD72A0"/>
    <w:rsid w:val="00AD7C1F"/>
    <w:rsid w:val="00AE0709"/>
    <w:rsid w:val="00AE072E"/>
    <w:rsid w:val="00AE0A43"/>
    <w:rsid w:val="00AE1F48"/>
    <w:rsid w:val="00AE4B18"/>
    <w:rsid w:val="00AE4D54"/>
    <w:rsid w:val="00AE5557"/>
    <w:rsid w:val="00AE5836"/>
    <w:rsid w:val="00AE5B01"/>
    <w:rsid w:val="00AE5CE3"/>
    <w:rsid w:val="00AE635C"/>
    <w:rsid w:val="00AE7029"/>
    <w:rsid w:val="00AE7462"/>
    <w:rsid w:val="00AE7EFA"/>
    <w:rsid w:val="00AF02CE"/>
    <w:rsid w:val="00AF03A4"/>
    <w:rsid w:val="00AF04B8"/>
    <w:rsid w:val="00AF04ED"/>
    <w:rsid w:val="00AF06BF"/>
    <w:rsid w:val="00AF09D2"/>
    <w:rsid w:val="00AF0ED1"/>
    <w:rsid w:val="00AF0F15"/>
    <w:rsid w:val="00AF1A6B"/>
    <w:rsid w:val="00AF1B4D"/>
    <w:rsid w:val="00AF1CF0"/>
    <w:rsid w:val="00AF1FDB"/>
    <w:rsid w:val="00AF228A"/>
    <w:rsid w:val="00AF2DA3"/>
    <w:rsid w:val="00AF354F"/>
    <w:rsid w:val="00AF36D2"/>
    <w:rsid w:val="00AF3C66"/>
    <w:rsid w:val="00AF432C"/>
    <w:rsid w:val="00AF47F5"/>
    <w:rsid w:val="00AF5301"/>
    <w:rsid w:val="00AF5975"/>
    <w:rsid w:val="00AF6107"/>
    <w:rsid w:val="00AF61F7"/>
    <w:rsid w:val="00AF6316"/>
    <w:rsid w:val="00AF64EA"/>
    <w:rsid w:val="00AF6C76"/>
    <w:rsid w:val="00AF73D7"/>
    <w:rsid w:val="00AF77DC"/>
    <w:rsid w:val="00AF792B"/>
    <w:rsid w:val="00B0057B"/>
    <w:rsid w:val="00B0086A"/>
    <w:rsid w:val="00B00A52"/>
    <w:rsid w:val="00B01F6A"/>
    <w:rsid w:val="00B01FDE"/>
    <w:rsid w:val="00B025B9"/>
    <w:rsid w:val="00B03399"/>
    <w:rsid w:val="00B0384B"/>
    <w:rsid w:val="00B03891"/>
    <w:rsid w:val="00B03A06"/>
    <w:rsid w:val="00B04208"/>
    <w:rsid w:val="00B049EC"/>
    <w:rsid w:val="00B04A57"/>
    <w:rsid w:val="00B05089"/>
    <w:rsid w:val="00B051FC"/>
    <w:rsid w:val="00B0548E"/>
    <w:rsid w:val="00B11073"/>
    <w:rsid w:val="00B11936"/>
    <w:rsid w:val="00B11AA3"/>
    <w:rsid w:val="00B12B78"/>
    <w:rsid w:val="00B13079"/>
    <w:rsid w:val="00B131F3"/>
    <w:rsid w:val="00B13506"/>
    <w:rsid w:val="00B13AD8"/>
    <w:rsid w:val="00B13F57"/>
    <w:rsid w:val="00B140E9"/>
    <w:rsid w:val="00B14627"/>
    <w:rsid w:val="00B15281"/>
    <w:rsid w:val="00B1651F"/>
    <w:rsid w:val="00B16540"/>
    <w:rsid w:val="00B169FF"/>
    <w:rsid w:val="00B16AB8"/>
    <w:rsid w:val="00B17C42"/>
    <w:rsid w:val="00B20BAA"/>
    <w:rsid w:val="00B21037"/>
    <w:rsid w:val="00B21496"/>
    <w:rsid w:val="00B21984"/>
    <w:rsid w:val="00B21E42"/>
    <w:rsid w:val="00B22301"/>
    <w:rsid w:val="00B227F2"/>
    <w:rsid w:val="00B229EF"/>
    <w:rsid w:val="00B2321E"/>
    <w:rsid w:val="00B2372B"/>
    <w:rsid w:val="00B23B8A"/>
    <w:rsid w:val="00B25030"/>
    <w:rsid w:val="00B2514E"/>
    <w:rsid w:val="00B2519A"/>
    <w:rsid w:val="00B25624"/>
    <w:rsid w:val="00B2571F"/>
    <w:rsid w:val="00B260CD"/>
    <w:rsid w:val="00B261F9"/>
    <w:rsid w:val="00B264BE"/>
    <w:rsid w:val="00B26C83"/>
    <w:rsid w:val="00B27016"/>
    <w:rsid w:val="00B273C5"/>
    <w:rsid w:val="00B303F2"/>
    <w:rsid w:val="00B30CCD"/>
    <w:rsid w:val="00B30FF9"/>
    <w:rsid w:val="00B318A0"/>
    <w:rsid w:val="00B320B7"/>
    <w:rsid w:val="00B327EE"/>
    <w:rsid w:val="00B32C92"/>
    <w:rsid w:val="00B32D50"/>
    <w:rsid w:val="00B32FC6"/>
    <w:rsid w:val="00B3307A"/>
    <w:rsid w:val="00B33334"/>
    <w:rsid w:val="00B33F41"/>
    <w:rsid w:val="00B34A76"/>
    <w:rsid w:val="00B3529D"/>
    <w:rsid w:val="00B35CBC"/>
    <w:rsid w:val="00B36052"/>
    <w:rsid w:val="00B36079"/>
    <w:rsid w:val="00B36100"/>
    <w:rsid w:val="00B36C4B"/>
    <w:rsid w:val="00B37BAB"/>
    <w:rsid w:val="00B40284"/>
    <w:rsid w:val="00B40990"/>
    <w:rsid w:val="00B409B4"/>
    <w:rsid w:val="00B40BB1"/>
    <w:rsid w:val="00B40D1F"/>
    <w:rsid w:val="00B41019"/>
    <w:rsid w:val="00B4130E"/>
    <w:rsid w:val="00B420A8"/>
    <w:rsid w:val="00B42432"/>
    <w:rsid w:val="00B42CE7"/>
    <w:rsid w:val="00B4348D"/>
    <w:rsid w:val="00B4376B"/>
    <w:rsid w:val="00B442F5"/>
    <w:rsid w:val="00B44FEF"/>
    <w:rsid w:val="00B45E85"/>
    <w:rsid w:val="00B46A62"/>
    <w:rsid w:val="00B46A7A"/>
    <w:rsid w:val="00B471AF"/>
    <w:rsid w:val="00B4739C"/>
    <w:rsid w:val="00B504E0"/>
    <w:rsid w:val="00B505DA"/>
    <w:rsid w:val="00B50710"/>
    <w:rsid w:val="00B50A26"/>
    <w:rsid w:val="00B50F60"/>
    <w:rsid w:val="00B51353"/>
    <w:rsid w:val="00B515C7"/>
    <w:rsid w:val="00B515DC"/>
    <w:rsid w:val="00B51722"/>
    <w:rsid w:val="00B52145"/>
    <w:rsid w:val="00B529ED"/>
    <w:rsid w:val="00B52E57"/>
    <w:rsid w:val="00B532B5"/>
    <w:rsid w:val="00B53EA7"/>
    <w:rsid w:val="00B54D19"/>
    <w:rsid w:val="00B55AE4"/>
    <w:rsid w:val="00B5631D"/>
    <w:rsid w:val="00B56640"/>
    <w:rsid w:val="00B5695D"/>
    <w:rsid w:val="00B56DEF"/>
    <w:rsid w:val="00B56E7B"/>
    <w:rsid w:val="00B56E98"/>
    <w:rsid w:val="00B5761C"/>
    <w:rsid w:val="00B57828"/>
    <w:rsid w:val="00B57A75"/>
    <w:rsid w:val="00B60914"/>
    <w:rsid w:val="00B60972"/>
    <w:rsid w:val="00B60A8F"/>
    <w:rsid w:val="00B61F3D"/>
    <w:rsid w:val="00B63B6F"/>
    <w:rsid w:val="00B63C95"/>
    <w:rsid w:val="00B644BA"/>
    <w:rsid w:val="00B64563"/>
    <w:rsid w:val="00B64BD7"/>
    <w:rsid w:val="00B651FA"/>
    <w:rsid w:val="00B65302"/>
    <w:rsid w:val="00B65524"/>
    <w:rsid w:val="00B65825"/>
    <w:rsid w:val="00B65A2A"/>
    <w:rsid w:val="00B65FD0"/>
    <w:rsid w:val="00B66BC8"/>
    <w:rsid w:val="00B70DD0"/>
    <w:rsid w:val="00B71942"/>
    <w:rsid w:val="00B71B16"/>
    <w:rsid w:val="00B7201B"/>
    <w:rsid w:val="00B727FB"/>
    <w:rsid w:val="00B731BA"/>
    <w:rsid w:val="00B74B93"/>
    <w:rsid w:val="00B74E12"/>
    <w:rsid w:val="00B74ECF"/>
    <w:rsid w:val="00B7537D"/>
    <w:rsid w:val="00B75746"/>
    <w:rsid w:val="00B75CC7"/>
    <w:rsid w:val="00B779FC"/>
    <w:rsid w:val="00B77E11"/>
    <w:rsid w:val="00B77FCE"/>
    <w:rsid w:val="00B819AC"/>
    <w:rsid w:val="00B81A26"/>
    <w:rsid w:val="00B83F78"/>
    <w:rsid w:val="00B8427C"/>
    <w:rsid w:val="00B84947"/>
    <w:rsid w:val="00B84AFC"/>
    <w:rsid w:val="00B85E3E"/>
    <w:rsid w:val="00B860D1"/>
    <w:rsid w:val="00B86F20"/>
    <w:rsid w:val="00B87222"/>
    <w:rsid w:val="00B87882"/>
    <w:rsid w:val="00B87B82"/>
    <w:rsid w:val="00B87BB3"/>
    <w:rsid w:val="00B90C84"/>
    <w:rsid w:val="00B90F57"/>
    <w:rsid w:val="00B91094"/>
    <w:rsid w:val="00B91D4F"/>
    <w:rsid w:val="00B92EA5"/>
    <w:rsid w:val="00B93459"/>
    <w:rsid w:val="00B93645"/>
    <w:rsid w:val="00B942D7"/>
    <w:rsid w:val="00B95B6D"/>
    <w:rsid w:val="00B95D0E"/>
    <w:rsid w:val="00B96601"/>
    <w:rsid w:val="00B966BB"/>
    <w:rsid w:val="00B97F77"/>
    <w:rsid w:val="00BA0495"/>
    <w:rsid w:val="00BA0571"/>
    <w:rsid w:val="00BA05A8"/>
    <w:rsid w:val="00BA08D2"/>
    <w:rsid w:val="00BA1401"/>
    <w:rsid w:val="00BA1CF3"/>
    <w:rsid w:val="00BA1FAE"/>
    <w:rsid w:val="00BA2927"/>
    <w:rsid w:val="00BA34FE"/>
    <w:rsid w:val="00BA357E"/>
    <w:rsid w:val="00BA3BBE"/>
    <w:rsid w:val="00BA42C3"/>
    <w:rsid w:val="00BA4624"/>
    <w:rsid w:val="00BA47D8"/>
    <w:rsid w:val="00BA4EED"/>
    <w:rsid w:val="00BA4F06"/>
    <w:rsid w:val="00BA5A3D"/>
    <w:rsid w:val="00BA68F5"/>
    <w:rsid w:val="00BA6A4E"/>
    <w:rsid w:val="00BA6C10"/>
    <w:rsid w:val="00BA703B"/>
    <w:rsid w:val="00BA71D5"/>
    <w:rsid w:val="00BA77D6"/>
    <w:rsid w:val="00BA7C59"/>
    <w:rsid w:val="00BB0008"/>
    <w:rsid w:val="00BB05D1"/>
    <w:rsid w:val="00BB0721"/>
    <w:rsid w:val="00BB0F70"/>
    <w:rsid w:val="00BB1142"/>
    <w:rsid w:val="00BB1F9A"/>
    <w:rsid w:val="00BB2129"/>
    <w:rsid w:val="00BB226A"/>
    <w:rsid w:val="00BB2C5D"/>
    <w:rsid w:val="00BB39B8"/>
    <w:rsid w:val="00BB3ECA"/>
    <w:rsid w:val="00BB4039"/>
    <w:rsid w:val="00BB47A5"/>
    <w:rsid w:val="00BB488C"/>
    <w:rsid w:val="00BB5246"/>
    <w:rsid w:val="00BB5B5B"/>
    <w:rsid w:val="00BB6B43"/>
    <w:rsid w:val="00BB6BCA"/>
    <w:rsid w:val="00BB754A"/>
    <w:rsid w:val="00BB766B"/>
    <w:rsid w:val="00BC073F"/>
    <w:rsid w:val="00BC0BB1"/>
    <w:rsid w:val="00BC11AE"/>
    <w:rsid w:val="00BC21DA"/>
    <w:rsid w:val="00BC258F"/>
    <w:rsid w:val="00BC310A"/>
    <w:rsid w:val="00BC397D"/>
    <w:rsid w:val="00BC4B32"/>
    <w:rsid w:val="00BC5175"/>
    <w:rsid w:val="00BC721D"/>
    <w:rsid w:val="00BC75FD"/>
    <w:rsid w:val="00BD0110"/>
    <w:rsid w:val="00BD0414"/>
    <w:rsid w:val="00BD08DA"/>
    <w:rsid w:val="00BD090E"/>
    <w:rsid w:val="00BD1DDA"/>
    <w:rsid w:val="00BD2A4C"/>
    <w:rsid w:val="00BD2BA0"/>
    <w:rsid w:val="00BD3C7C"/>
    <w:rsid w:val="00BD4167"/>
    <w:rsid w:val="00BD440C"/>
    <w:rsid w:val="00BD447B"/>
    <w:rsid w:val="00BD4539"/>
    <w:rsid w:val="00BD453C"/>
    <w:rsid w:val="00BD4BEE"/>
    <w:rsid w:val="00BD59DD"/>
    <w:rsid w:val="00BD6F4B"/>
    <w:rsid w:val="00BD7063"/>
    <w:rsid w:val="00BD74FD"/>
    <w:rsid w:val="00BD7A2D"/>
    <w:rsid w:val="00BE0BE4"/>
    <w:rsid w:val="00BE13E9"/>
    <w:rsid w:val="00BE178A"/>
    <w:rsid w:val="00BE17E4"/>
    <w:rsid w:val="00BE3510"/>
    <w:rsid w:val="00BE475A"/>
    <w:rsid w:val="00BE4DD2"/>
    <w:rsid w:val="00BE5276"/>
    <w:rsid w:val="00BE5359"/>
    <w:rsid w:val="00BE622C"/>
    <w:rsid w:val="00BE6A8D"/>
    <w:rsid w:val="00BE6BBB"/>
    <w:rsid w:val="00BE6D84"/>
    <w:rsid w:val="00BE73B4"/>
    <w:rsid w:val="00BE77C6"/>
    <w:rsid w:val="00BE79B1"/>
    <w:rsid w:val="00BE7ACE"/>
    <w:rsid w:val="00BF024E"/>
    <w:rsid w:val="00BF0656"/>
    <w:rsid w:val="00BF08EA"/>
    <w:rsid w:val="00BF1704"/>
    <w:rsid w:val="00BF1857"/>
    <w:rsid w:val="00BF1AEF"/>
    <w:rsid w:val="00BF3AA7"/>
    <w:rsid w:val="00BF3B1F"/>
    <w:rsid w:val="00BF3E4B"/>
    <w:rsid w:val="00BF4912"/>
    <w:rsid w:val="00BF55EF"/>
    <w:rsid w:val="00BF5F20"/>
    <w:rsid w:val="00BF5F46"/>
    <w:rsid w:val="00BF5F70"/>
    <w:rsid w:val="00BF6596"/>
    <w:rsid w:val="00BF680F"/>
    <w:rsid w:val="00BF7284"/>
    <w:rsid w:val="00BF7611"/>
    <w:rsid w:val="00BF7700"/>
    <w:rsid w:val="00C000A7"/>
    <w:rsid w:val="00C0031F"/>
    <w:rsid w:val="00C00453"/>
    <w:rsid w:val="00C018C1"/>
    <w:rsid w:val="00C02005"/>
    <w:rsid w:val="00C0201D"/>
    <w:rsid w:val="00C024E3"/>
    <w:rsid w:val="00C02D07"/>
    <w:rsid w:val="00C033D5"/>
    <w:rsid w:val="00C0394F"/>
    <w:rsid w:val="00C03BEA"/>
    <w:rsid w:val="00C03D16"/>
    <w:rsid w:val="00C042AC"/>
    <w:rsid w:val="00C04969"/>
    <w:rsid w:val="00C04E4A"/>
    <w:rsid w:val="00C04FAA"/>
    <w:rsid w:val="00C05791"/>
    <w:rsid w:val="00C068A1"/>
    <w:rsid w:val="00C0730E"/>
    <w:rsid w:val="00C0751F"/>
    <w:rsid w:val="00C07923"/>
    <w:rsid w:val="00C07B84"/>
    <w:rsid w:val="00C1070E"/>
    <w:rsid w:val="00C11C96"/>
    <w:rsid w:val="00C1210A"/>
    <w:rsid w:val="00C12D4A"/>
    <w:rsid w:val="00C12E09"/>
    <w:rsid w:val="00C13575"/>
    <w:rsid w:val="00C14C91"/>
    <w:rsid w:val="00C15084"/>
    <w:rsid w:val="00C1530E"/>
    <w:rsid w:val="00C1555D"/>
    <w:rsid w:val="00C15771"/>
    <w:rsid w:val="00C16CF0"/>
    <w:rsid w:val="00C17019"/>
    <w:rsid w:val="00C17711"/>
    <w:rsid w:val="00C2035D"/>
    <w:rsid w:val="00C204A2"/>
    <w:rsid w:val="00C2058E"/>
    <w:rsid w:val="00C207D2"/>
    <w:rsid w:val="00C20EB6"/>
    <w:rsid w:val="00C21FD2"/>
    <w:rsid w:val="00C23320"/>
    <w:rsid w:val="00C234FD"/>
    <w:rsid w:val="00C236B8"/>
    <w:rsid w:val="00C239F0"/>
    <w:rsid w:val="00C23F9F"/>
    <w:rsid w:val="00C245F9"/>
    <w:rsid w:val="00C248D3"/>
    <w:rsid w:val="00C24F9B"/>
    <w:rsid w:val="00C2554A"/>
    <w:rsid w:val="00C2567A"/>
    <w:rsid w:val="00C25CC5"/>
    <w:rsid w:val="00C26782"/>
    <w:rsid w:val="00C2710C"/>
    <w:rsid w:val="00C30B87"/>
    <w:rsid w:val="00C30BA1"/>
    <w:rsid w:val="00C3111D"/>
    <w:rsid w:val="00C312D3"/>
    <w:rsid w:val="00C313F9"/>
    <w:rsid w:val="00C3295C"/>
    <w:rsid w:val="00C329CC"/>
    <w:rsid w:val="00C34051"/>
    <w:rsid w:val="00C3559E"/>
    <w:rsid w:val="00C35A0C"/>
    <w:rsid w:val="00C361E5"/>
    <w:rsid w:val="00C36281"/>
    <w:rsid w:val="00C36306"/>
    <w:rsid w:val="00C363C7"/>
    <w:rsid w:val="00C376F2"/>
    <w:rsid w:val="00C4088F"/>
    <w:rsid w:val="00C40D09"/>
    <w:rsid w:val="00C40F19"/>
    <w:rsid w:val="00C41AA4"/>
    <w:rsid w:val="00C41E6A"/>
    <w:rsid w:val="00C420A0"/>
    <w:rsid w:val="00C433B1"/>
    <w:rsid w:val="00C43A78"/>
    <w:rsid w:val="00C43D6B"/>
    <w:rsid w:val="00C43FA4"/>
    <w:rsid w:val="00C44AEC"/>
    <w:rsid w:val="00C450DB"/>
    <w:rsid w:val="00C4524B"/>
    <w:rsid w:val="00C45B48"/>
    <w:rsid w:val="00C45DB0"/>
    <w:rsid w:val="00C460EA"/>
    <w:rsid w:val="00C47BA6"/>
    <w:rsid w:val="00C47D00"/>
    <w:rsid w:val="00C47FA5"/>
    <w:rsid w:val="00C5097C"/>
    <w:rsid w:val="00C50AAC"/>
    <w:rsid w:val="00C50ADD"/>
    <w:rsid w:val="00C521C0"/>
    <w:rsid w:val="00C52254"/>
    <w:rsid w:val="00C52F1D"/>
    <w:rsid w:val="00C53633"/>
    <w:rsid w:val="00C53A7B"/>
    <w:rsid w:val="00C54614"/>
    <w:rsid w:val="00C54691"/>
    <w:rsid w:val="00C5552F"/>
    <w:rsid w:val="00C558A2"/>
    <w:rsid w:val="00C57391"/>
    <w:rsid w:val="00C5780F"/>
    <w:rsid w:val="00C57863"/>
    <w:rsid w:val="00C578E3"/>
    <w:rsid w:val="00C57929"/>
    <w:rsid w:val="00C605AE"/>
    <w:rsid w:val="00C61283"/>
    <w:rsid w:val="00C61A2D"/>
    <w:rsid w:val="00C61A3C"/>
    <w:rsid w:val="00C61D44"/>
    <w:rsid w:val="00C630BA"/>
    <w:rsid w:val="00C64764"/>
    <w:rsid w:val="00C6478F"/>
    <w:rsid w:val="00C647FC"/>
    <w:rsid w:val="00C64BE4"/>
    <w:rsid w:val="00C65910"/>
    <w:rsid w:val="00C65B83"/>
    <w:rsid w:val="00C65E3F"/>
    <w:rsid w:val="00C661CA"/>
    <w:rsid w:val="00C66D23"/>
    <w:rsid w:val="00C67095"/>
    <w:rsid w:val="00C674A4"/>
    <w:rsid w:val="00C674E5"/>
    <w:rsid w:val="00C67A1D"/>
    <w:rsid w:val="00C707EB"/>
    <w:rsid w:val="00C72AD9"/>
    <w:rsid w:val="00C74261"/>
    <w:rsid w:val="00C74C6B"/>
    <w:rsid w:val="00C74E8E"/>
    <w:rsid w:val="00C758EC"/>
    <w:rsid w:val="00C76152"/>
    <w:rsid w:val="00C761CB"/>
    <w:rsid w:val="00C7691A"/>
    <w:rsid w:val="00C76E86"/>
    <w:rsid w:val="00C7712F"/>
    <w:rsid w:val="00C8122D"/>
    <w:rsid w:val="00C81523"/>
    <w:rsid w:val="00C817C5"/>
    <w:rsid w:val="00C83009"/>
    <w:rsid w:val="00C83101"/>
    <w:rsid w:val="00C83398"/>
    <w:rsid w:val="00C833C0"/>
    <w:rsid w:val="00C847F2"/>
    <w:rsid w:val="00C84905"/>
    <w:rsid w:val="00C84EA9"/>
    <w:rsid w:val="00C84F99"/>
    <w:rsid w:val="00C85017"/>
    <w:rsid w:val="00C851CD"/>
    <w:rsid w:val="00C85225"/>
    <w:rsid w:val="00C8687C"/>
    <w:rsid w:val="00C9006D"/>
    <w:rsid w:val="00C91552"/>
    <w:rsid w:val="00C9172D"/>
    <w:rsid w:val="00C922DC"/>
    <w:rsid w:val="00C9249E"/>
    <w:rsid w:val="00C92C5F"/>
    <w:rsid w:val="00C94B9E"/>
    <w:rsid w:val="00C94C0A"/>
    <w:rsid w:val="00C94DDC"/>
    <w:rsid w:val="00C95134"/>
    <w:rsid w:val="00C95379"/>
    <w:rsid w:val="00C97446"/>
    <w:rsid w:val="00C974B6"/>
    <w:rsid w:val="00C975C7"/>
    <w:rsid w:val="00CA036D"/>
    <w:rsid w:val="00CA05E7"/>
    <w:rsid w:val="00CA0A73"/>
    <w:rsid w:val="00CA1DB2"/>
    <w:rsid w:val="00CA1DE5"/>
    <w:rsid w:val="00CA3474"/>
    <w:rsid w:val="00CA3D1C"/>
    <w:rsid w:val="00CA3E0C"/>
    <w:rsid w:val="00CA3F58"/>
    <w:rsid w:val="00CA4A3B"/>
    <w:rsid w:val="00CA4C18"/>
    <w:rsid w:val="00CA4E9C"/>
    <w:rsid w:val="00CA5055"/>
    <w:rsid w:val="00CA5C28"/>
    <w:rsid w:val="00CA6013"/>
    <w:rsid w:val="00CA670F"/>
    <w:rsid w:val="00CA73BE"/>
    <w:rsid w:val="00CA7F79"/>
    <w:rsid w:val="00CB0865"/>
    <w:rsid w:val="00CB0DEF"/>
    <w:rsid w:val="00CB1850"/>
    <w:rsid w:val="00CB1EA8"/>
    <w:rsid w:val="00CB1F7A"/>
    <w:rsid w:val="00CB261F"/>
    <w:rsid w:val="00CB2864"/>
    <w:rsid w:val="00CB4173"/>
    <w:rsid w:val="00CB41C1"/>
    <w:rsid w:val="00CB4860"/>
    <w:rsid w:val="00CB4A21"/>
    <w:rsid w:val="00CB4CF1"/>
    <w:rsid w:val="00CB502C"/>
    <w:rsid w:val="00CB5C82"/>
    <w:rsid w:val="00CB6022"/>
    <w:rsid w:val="00CB7942"/>
    <w:rsid w:val="00CC0AAD"/>
    <w:rsid w:val="00CC0CA9"/>
    <w:rsid w:val="00CC1833"/>
    <w:rsid w:val="00CC1B11"/>
    <w:rsid w:val="00CC1D9A"/>
    <w:rsid w:val="00CC3810"/>
    <w:rsid w:val="00CC3F32"/>
    <w:rsid w:val="00CC4EE3"/>
    <w:rsid w:val="00CC4FC8"/>
    <w:rsid w:val="00CC58CD"/>
    <w:rsid w:val="00CC6111"/>
    <w:rsid w:val="00CC681F"/>
    <w:rsid w:val="00CC70B9"/>
    <w:rsid w:val="00CC7585"/>
    <w:rsid w:val="00CD09F9"/>
    <w:rsid w:val="00CD1A54"/>
    <w:rsid w:val="00CD211E"/>
    <w:rsid w:val="00CD2244"/>
    <w:rsid w:val="00CD2329"/>
    <w:rsid w:val="00CD2543"/>
    <w:rsid w:val="00CD29B8"/>
    <w:rsid w:val="00CD2FE1"/>
    <w:rsid w:val="00CD34A0"/>
    <w:rsid w:val="00CD3802"/>
    <w:rsid w:val="00CD3899"/>
    <w:rsid w:val="00CD3ABE"/>
    <w:rsid w:val="00CD3FFB"/>
    <w:rsid w:val="00CD522A"/>
    <w:rsid w:val="00CD6902"/>
    <w:rsid w:val="00CE0CB6"/>
    <w:rsid w:val="00CE0E19"/>
    <w:rsid w:val="00CE5377"/>
    <w:rsid w:val="00CE5658"/>
    <w:rsid w:val="00CE57F0"/>
    <w:rsid w:val="00CE5DF8"/>
    <w:rsid w:val="00CE5FA5"/>
    <w:rsid w:val="00CE7532"/>
    <w:rsid w:val="00CE78F5"/>
    <w:rsid w:val="00CE7EFA"/>
    <w:rsid w:val="00CF0A27"/>
    <w:rsid w:val="00CF12FB"/>
    <w:rsid w:val="00CF1C83"/>
    <w:rsid w:val="00CF1DE8"/>
    <w:rsid w:val="00CF2862"/>
    <w:rsid w:val="00CF33BB"/>
    <w:rsid w:val="00CF44C9"/>
    <w:rsid w:val="00CF5494"/>
    <w:rsid w:val="00CF5A91"/>
    <w:rsid w:val="00CF668F"/>
    <w:rsid w:val="00CF69C2"/>
    <w:rsid w:val="00CF6E79"/>
    <w:rsid w:val="00CF7BF5"/>
    <w:rsid w:val="00CF7DD2"/>
    <w:rsid w:val="00D00002"/>
    <w:rsid w:val="00D010D0"/>
    <w:rsid w:val="00D0192A"/>
    <w:rsid w:val="00D02604"/>
    <w:rsid w:val="00D02A33"/>
    <w:rsid w:val="00D03A39"/>
    <w:rsid w:val="00D03ABA"/>
    <w:rsid w:val="00D0504A"/>
    <w:rsid w:val="00D0583F"/>
    <w:rsid w:val="00D05ADB"/>
    <w:rsid w:val="00D060D5"/>
    <w:rsid w:val="00D060F2"/>
    <w:rsid w:val="00D06C44"/>
    <w:rsid w:val="00D078F8"/>
    <w:rsid w:val="00D10371"/>
    <w:rsid w:val="00D1047A"/>
    <w:rsid w:val="00D109CA"/>
    <w:rsid w:val="00D10C7B"/>
    <w:rsid w:val="00D11A01"/>
    <w:rsid w:val="00D1251B"/>
    <w:rsid w:val="00D12861"/>
    <w:rsid w:val="00D13733"/>
    <w:rsid w:val="00D1396F"/>
    <w:rsid w:val="00D13D90"/>
    <w:rsid w:val="00D13FD2"/>
    <w:rsid w:val="00D1430B"/>
    <w:rsid w:val="00D14462"/>
    <w:rsid w:val="00D15370"/>
    <w:rsid w:val="00D153F1"/>
    <w:rsid w:val="00D15429"/>
    <w:rsid w:val="00D154F9"/>
    <w:rsid w:val="00D16203"/>
    <w:rsid w:val="00D172F3"/>
    <w:rsid w:val="00D17B18"/>
    <w:rsid w:val="00D17B3D"/>
    <w:rsid w:val="00D206B4"/>
    <w:rsid w:val="00D20889"/>
    <w:rsid w:val="00D20CCE"/>
    <w:rsid w:val="00D20E32"/>
    <w:rsid w:val="00D2117A"/>
    <w:rsid w:val="00D21766"/>
    <w:rsid w:val="00D2293B"/>
    <w:rsid w:val="00D231E4"/>
    <w:rsid w:val="00D231F0"/>
    <w:rsid w:val="00D2358E"/>
    <w:rsid w:val="00D24BD0"/>
    <w:rsid w:val="00D26019"/>
    <w:rsid w:val="00D26D55"/>
    <w:rsid w:val="00D26FF1"/>
    <w:rsid w:val="00D270D4"/>
    <w:rsid w:val="00D271FF"/>
    <w:rsid w:val="00D277AF"/>
    <w:rsid w:val="00D277DF"/>
    <w:rsid w:val="00D30133"/>
    <w:rsid w:val="00D30330"/>
    <w:rsid w:val="00D30497"/>
    <w:rsid w:val="00D312A0"/>
    <w:rsid w:val="00D320BA"/>
    <w:rsid w:val="00D34ABF"/>
    <w:rsid w:val="00D34EAE"/>
    <w:rsid w:val="00D34F30"/>
    <w:rsid w:val="00D35007"/>
    <w:rsid w:val="00D353C5"/>
    <w:rsid w:val="00D365C0"/>
    <w:rsid w:val="00D36C8A"/>
    <w:rsid w:val="00D36D04"/>
    <w:rsid w:val="00D36FA6"/>
    <w:rsid w:val="00D3701B"/>
    <w:rsid w:val="00D376EB"/>
    <w:rsid w:val="00D376F8"/>
    <w:rsid w:val="00D42160"/>
    <w:rsid w:val="00D425FB"/>
    <w:rsid w:val="00D4284B"/>
    <w:rsid w:val="00D42905"/>
    <w:rsid w:val="00D42D8A"/>
    <w:rsid w:val="00D434D7"/>
    <w:rsid w:val="00D43949"/>
    <w:rsid w:val="00D448B2"/>
    <w:rsid w:val="00D45556"/>
    <w:rsid w:val="00D45DEA"/>
    <w:rsid w:val="00D5040F"/>
    <w:rsid w:val="00D507C7"/>
    <w:rsid w:val="00D50B6A"/>
    <w:rsid w:val="00D5173B"/>
    <w:rsid w:val="00D519F2"/>
    <w:rsid w:val="00D51B3A"/>
    <w:rsid w:val="00D52815"/>
    <w:rsid w:val="00D529EE"/>
    <w:rsid w:val="00D53F67"/>
    <w:rsid w:val="00D5433F"/>
    <w:rsid w:val="00D543A3"/>
    <w:rsid w:val="00D54587"/>
    <w:rsid w:val="00D54B53"/>
    <w:rsid w:val="00D553E0"/>
    <w:rsid w:val="00D56FF9"/>
    <w:rsid w:val="00D56FFD"/>
    <w:rsid w:val="00D571A5"/>
    <w:rsid w:val="00D57CBC"/>
    <w:rsid w:val="00D604D3"/>
    <w:rsid w:val="00D60CEA"/>
    <w:rsid w:val="00D60D73"/>
    <w:rsid w:val="00D61507"/>
    <w:rsid w:val="00D61BE1"/>
    <w:rsid w:val="00D61E86"/>
    <w:rsid w:val="00D62483"/>
    <w:rsid w:val="00D626D7"/>
    <w:rsid w:val="00D6271A"/>
    <w:rsid w:val="00D6279E"/>
    <w:rsid w:val="00D638D8"/>
    <w:rsid w:val="00D64154"/>
    <w:rsid w:val="00D64659"/>
    <w:rsid w:val="00D64BC9"/>
    <w:rsid w:val="00D64F8C"/>
    <w:rsid w:val="00D6525D"/>
    <w:rsid w:val="00D65A82"/>
    <w:rsid w:val="00D65F6A"/>
    <w:rsid w:val="00D660B2"/>
    <w:rsid w:val="00D675AD"/>
    <w:rsid w:val="00D67656"/>
    <w:rsid w:val="00D676EC"/>
    <w:rsid w:val="00D67BC8"/>
    <w:rsid w:val="00D67CED"/>
    <w:rsid w:val="00D67D10"/>
    <w:rsid w:val="00D67DCB"/>
    <w:rsid w:val="00D70087"/>
    <w:rsid w:val="00D7135D"/>
    <w:rsid w:val="00D71747"/>
    <w:rsid w:val="00D71CEF"/>
    <w:rsid w:val="00D72FAE"/>
    <w:rsid w:val="00D730CC"/>
    <w:rsid w:val="00D733EB"/>
    <w:rsid w:val="00D73F2E"/>
    <w:rsid w:val="00D741FA"/>
    <w:rsid w:val="00D744A5"/>
    <w:rsid w:val="00D746D0"/>
    <w:rsid w:val="00D7475A"/>
    <w:rsid w:val="00D74DD0"/>
    <w:rsid w:val="00D74DE3"/>
    <w:rsid w:val="00D74E9B"/>
    <w:rsid w:val="00D75354"/>
    <w:rsid w:val="00D757C2"/>
    <w:rsid w:val="00D758A5"/>
    <w:rsid w:val="00D766EB"/>
    <w:rsid w:val="00D7705B"/>
    <w:rsid w:val="00D774A1"/>
    <w:rsid w:val="00D77C67"/>
    <w:rsid w:val="00D80EF3"/>
    <w:rsid w:val="00D813B5"/>
    <w:rsid w:val="00D81540"/>
    <w:rsid w:val="00D817F8"/>
    <w:rsid w:val="00D81862"/>
    <w:rsid w:val="00D81E24"/>
    <w:rsid w:val="00D82100"/>
    <w:rsid w:val="00D826A2"/>
    <w:rsid w:val="00D82F7A"/>
    <w:rsid w:val="00D83528"/>
    <w:rsid w:val="00D83E0D"/>
    <w:rsid w:val="00D840EB"/>
    <w:rsid w:val="00D8419D"/>
    <w:rsid w:val="00D855D7"/>
    <w:rsid w:val="00D85F46"/>
    <w:rsid w:val="00D864FA"/>
    <w:rsid w:val="00D86582"/>
    <w:rsid w:val="00D8690B"/>
    <w:rsid w:val="00D873F2"/>
    <w:rsid w:val="00D90832"/>
    <w:rsid w:val="00D910F3"/>
    <w:rsid w:val="00D91132"/>
    <w:rsid w:val="00D9131D"/>
    <w:rsid w:val="00D915FE"/>
    <w:rsid w:val="00D917BB"/>
    <w:rsid w:val="00D91855"/>
    <w:rsid w:val="00D923BC"/>
    <w:rsid w:val="00D9250D"/>
    <w:rsid w:val="00D926DC"/>
    <w:rsid w:val="00D92AE9"/>
    <w:rsid w:val="00D92F6A"/>
    <w:rsid w:val="00D9317B"/>
    <w:rsid w:val="00D93479"/>
    <w:rsid w:val="00D94444"/>
    <w:rsid w:val="00D94901"/>
    <w:rsid w:val="00D94B62"/>
    <w:rsid w:val="00D9655E"/>
    <w:rsid w:val="00D96A0D"/>
    <w:rsid w:val="00D974F2"/>
    <w:rsid w:val="00D978FA"/>
    <w:rsid w:val="00D97C13"/>
    <w:rsid w:val="00DA0008"/>
    <w:rsid w:val="00DA1505"/>
    <w:rsid w:val="00DA2045"/>
    <w:rsid w:val="00DA233C"/>
    <w:rsid w:val="00DA2784"/>
    <w:rsid w:val="00DA2BD6"/>
    <w:rsid w:val="00DA2EFE"/>
    <w:rsid w:val="00DA3898"/>
    <w:rsid w:val="00DA3B82"/>
    <w:rsid w:val="00DA3C2D"/>
    <w:rsid w:val="00DA3CB9"/>
    <w:rsid w:val="00DA4056"/>
    <w:rsid w:val="00DA540D"/>
    <w:rsid w:val="00DA5591"/>
    <w:rsid w:val="00DA5D20"/>
    <w:rsid w:val="00DA6C61"/>
    <w:rsid w:val="00DA6D4D"/>
    <w:rsid w:val="00DA7670"/>
    <w:rsid w:val="00DB12C8"/>
    <w:rsid w:val="00DB1F7B"/>
    <w:rsid w:val="00DB274D"/>
    <w:rsid w:val="00DB3058"/>
    <w:rsid w:val="00DB345F"/>
    <w:rsid w:val="00DB3706"/>
    <w:rsid w:val="00DB4393"/>
    <w:rsid w:val="00DB4538"/>
    <w:rsid w:val="00DB5184"/>
    <w:rsid w:val="00DB628B"/>
    <w:rsid w:val="00DB6CFA"/>
    <w:rsid w:val="00DB7B7C"/>
    <w:rsid w:val="00DB7C27"/>
    <w:rsid w:val="00DC0685"/>
    <w:rsid w:val="00DC0BBE"/>
    <w:rsid w:val="00DC12CF"/>
    <w:rsid w:val="00DC201F"/>
    <w:rsid w:val="00DC28F6"/>
    <w:rsid w:val="00DC2A00"/>
    <w:rsid w:val="00DC2AC3"/>
    <w:rsid w:val="00DC4B33"/>
    <w:rsid w:val="00DC584E"/>
    <w:rsid w:val="00DC63AB"/>
    <w:rsid w:val="00DC6952"/>
    <w:rsid w:val="00DC6B84"/>
    <w:rsid w:val="00DC7926"/>
    <w:rsid w:val="00DC7EA4"/>
    <w:rsid w:val="00DD0101"/>
    <w:rsid w:val="00DD0205"/>
    <w:rsid w:val="00DD0299"/>
    <w:rsid w:val="00DD08B2"/>
    <w:rsid w:val="00DD0E7D"/>
    <w:rsid w:val="00DD2127"/>
    <w:rsid w:val="00DD25D1"/>
    <w:rsid w:val="00DD45BF"/>
    <w:rsid w:val="00DD4AFD"/>
    <w:rsid w:val="00DD4BA7"/>
    <w:rsid w:val="00DD5E4F"/>
    <w:rsid w:val="00DD5EDB"/>
    <w:rsid w:val="00DD6D55"/>
    <w:rsid w:val="00DD6F50"/>
    <w:rsid w:val="00DD76D4"/>
    <w:rsid w:val="00DE021D"/>
    <w:rsid w:val="00DE0574"/>
    <w:rsid w:val="00DE1C9E"/>
    <w:rsid w:val="00DE1E51"/>
    <w:rsid w:val="00DE2E8F"/>
    <w:rsid w:val="00DE3124"/>
    <w:rsid w:val="00DE36CA"/>
    <w:rsid w:val="00DE45BE"/>
    <w:rsid w:val="00DE4DD0"/>
    <w:rsid w:val="00DE5024"/>
    <w:rsid w:val="00DE507B"/>
    <w:rsid w:val="00DE5909"/>
    <w:rsid w:val="00DE59B0"/>
    <w:rsid w:val="00DE5B10"/>
    <w:rsid w:val="00DE68F3"/>
    <w:rsid w:val="00DE6BAA"/>
    <w:rsid w:val="00DE6F39"/>
    <w:rsid w:val="00DF0A3B"/>
    <w:rsid w:val="00DF0B5B"/>
    <w:rsid w:val="00DF0C1E"/>
    <w:rsid w:val="00DF10EC"/>
    <w:rsid w:val="00DF1A6D"/>
    <w:rsid w:val="00DF22D6"/>
    <w:rsid w:val="00DF3673"/>
    <w:rsid w:val="00DF4B44"/>
    <w:rsid w:val="00DF62C3"/>
    <w:rsid w:val="00DF6845"/>
    <w:rsid w:val="00DF6B4B"/>
    <w:rsid w:val="00DF6CA1"/>
    <w:rsid w:val="00DF6E11"/>
    <w:rsid w:val="00DF7214"/>
    <w:rsid w:val="00DF7919"/>
    <w:rsid w:val="00DF7AD2"/>
    <w:rsid w:val="00DF7D39"/>
    <w:rsid w:val="00E00054"/>
    <w:rsid w:val="00E008EB"/>
    <w:rsid w:val="00E00D80"/>
    <w:rsid w:val="00E01147"/>
    <w:rsid w:val="00E01D8C"/>
    <w:rsid w:val="00E0468B"/>
    <w:rsid w:val="00E057B1"/>
    <w:rsid w:val="00E05925"/>
    <w:rsid w:val="00E05B9F"/>
    <w:rsid w:val="00E05FC4"/>
    <w:rsid w:val="00E062A1"/>
    <w:rsid w:val="00E069D0"/>
    <w:rsid w:val="00E06A64"/>
    <w:rsid w:val="00E06BDA"/>
    <w:rsid w:val="00E06FBE"/>
    <w:rsid w:val="00E074C4"/>
    <w:rsid w:val="00E07B77"/>
    <w:rsid w:val="00E100CA"/>
    <w:rsid w:val="00E1039E"/>
    <w:rsid w:val="00E1111D"/>
    <w:rsid w:val="00E11201"/>
    <w:rsid w:val="00E115EC"/>
    <w:rsid w:val="00E1277B"/>
    <w:rsid w:val="00E129CC"/>
    <w:rsid w:val="00E137D8"/>
    <w:rsid w:val="00E138F7"/>
    <w:rsid w:val="00E142B7"/>
    <w:rsid w:val="00E145FB"/>
    <w:rsid w:val="00E14B98"/>
    <w:rsid w:val="00E15007"/>
    <w:rsid w:val="00E158F6"/>
    <w:rsid w:val="00E15A0A"/>
    <w:rsid w:val="00E15F1A"/>
    <w:rsid w:val="00E17167"/>
    <w:rsid w:val="00E17635"/>
    <w:rsid w:val="00E178E1"/>
    <w:rsid w:val="00E20260"/>
    <w:rsid w:val="00E20E17"/>
    <w:rsid w:val="00E21A4E"/>
    <w:rsid w:val="00E21EA9"/>
    <w:rsid w:val="00E224D3"/>
    <w:rsid w:val="00E22B39"/>
    <w:rsid w:val="00E22DF5"/>
    <w:rsid w:val="00E2342E"/>
    <w:rsid w:val="00E235F0"/>
    <w:rsid w:val="00E239ED"/>
    <w:rsid w:val="00E24692"/>
    <w:rsid w:val="00E247C9"/>
    <w:rsid w:val="00E248D0"/>
    <w:rsid w:val="00E2518B"/>
    <w:rsid w:val="00E254E9"/>
    <w:rsid w:val="00E257E9"/>
    <w:rsid w:val="00E25E89"/>
    <w:rsid w:val="00E260C7"/>
    <w:rsid w:val="00E269F7"/>
    <w:rsid w:val="00E27201"/>
    <w:rsid w:val="00E27301"/>
    <w:rsid w:val="00E2746E"/>
    <w:rsid w:val="00E27C8F"/>
    <w:rsid w:val="00E30D1A"/>
    <w:rsid w:val="00E3163F"/>
    <w:rsid w:val="00E31CE8"/>
    <w:rsid w:val="00E31F42"/>
    <w:rsid w:val="00E321A8"/>
    <w:rsid w:val="00E32CD8"/>
    <w:rsid w:val="00E33A62"/>
    <w:rsid w:val="00E33D5D"/>
    <w:rsid w:val="00E33FF8"/>
    <w:rsid w:val="00E3409B"/>
    <w:rsid w:val="00E367C0"/>
    <w:rsid w:val="00E37F8C"/>
    <w:rsid w:val="00E40074"/>
    <w:rsid w:val="00E403AA"/>
    <w:rsid w:val="00E40687"/>
    <w:rsid w:val="00E40B23"/>
    <w:rsid w:val="00E40B66"/>
    <w:rsid w:val="00E410D3"/>
    <w:rsid w:val="00E4117A"/>
    <w:rsid w:val="00E4150B"/>
    <w:rsid w:val="00E41A14"/>
    <w:rsid w:val="00E41B84"/>
    <w:rsid w:val="00E42ABB"/>
    <w:rsid w:val="00E432F5"/>
    <w:rsid w:val="00E43B7F"/>
    <w:rsid w:val="00E43B99"/>
    <w:rsid w:val="00E44D2F"/>
    <w:rsid w:val="00E44DF7"/>
    <w:rsid w:val="00E45190"/>
    <w:rsid w:val="00E453DB"/>
    <w:rsid w:val="00E4548B"/>
    <w:rsid w:val="00E45AB4"/>
    <w:rsid w:val="00E45FAC"/>
    <w:rsid w:val="00E46266"/>
    <w:rsid w:val="00E463D9"/>
    <w:rsid w:val="00E46B09"/>
    <w:rsid w:val="00E46C1C"/>
    <w:rsid w:val="00E46CE2"/>
    <w:rsid w:val="00E47DD6"/>
    <w:rsid w:val="00E5004A"/>
    <w:rsid w:val="00E507E5"/>
    <w:rsid w:val="00E50EE8"/>
    <w:rsid w:val="00E51AC0"/>
    <w:rsid w:val="00E520B6"/>
    <w:rsid w:val="00E52B5D"/>
    <w:rsid w:val="00E5383B"/>
    <w:rsid w:val="00E551B0"/>
    <w:rsid w:val="00E557B7"/>
    <w:rsid w:val="00E56496"/>
    <w:rsid w:val="00E56689"/>
    <w:rsid w:val="00E56A05"/>
    <w:rsid w:val="00E56A7A"/>
    <w:rsid w:val="00E56B1A"/>
    <w:rsid w:val="00E57C53"/>
    <w:rsid w:val="00E6070B"/>
    <w:rsid w:val="00E61220"/>
    <w:rsid w:val="00E61235"/>
    <w:rsid w:val="00E6207E"/>
    <w:rsid w:val="00E62D5F"/>
    <w:rsid w:val="00E63F31"/>
    <w:rsid w:val="00E63FA3"/>
    <w:rsid w:val="00E6440F"/>
    <w:rsid w:val="00E64CED"/>
    <w:rsid w:val="00E652B4"/>
    <w:rsid w:val="00E652EE"/>
    <w:rsid w:val="00E65E89"/>
    <w:rsid w:val="00E65F15"/>
    <w:rsid w:val="00E663F0"/>
    <w:rsid w:val="00E665ED"/>
    <w:rsid w:val="00E66BC7"/>
    <w:rsid w:val="00E67163"/>
    <w:rsid w:val="00E674EB"/>
    <w:rsid w:val="00E67ED2"/>
    <w:rsid w:val="00E70459"/>
    <w:rsid w:val="00E706E6"/>
    <w:rsid w:val="00E716A6"/>
    <w:rsid w:val="00E72661"/>
    <w:rsid w:val="00E73996"/>
    <w:rsid w:val="00E739AD"/>
    <w:rsid w:val="00E73C12"/>
    <w:rsid w:val="00E7402B"/>
    <w:rsid w:val="00E74C34"/>
    <w:rsid w:val="00E74EC7"/>
    <w:rsid w:val="00E75C34"/>
    <w:rsid w:val="00E76205"/>
    <w:rsid w:val="00E76F20"/>
    <w:rsid w:val="00E76FB6"/>
    <w:rsid w:val="00E81100"/>
    <w:rsid w:val="00E81272"/>
    <w:rsid w:val="00E815AE"/>
    <w:rsid w:val="00E818DF"/>
    <w:rsid w:val="00E82B10"/>
    <w:rsid w:val="00E83165"/>
    <w:rsid w:val="00E84513"/>
    <w:rsid w:val="00E859D7"/>
    <w:rsid w:val="00E86BB6"/>
    <w:rsid w:val="00E870D9"/>
    <w:rsid w:val="00E87576"/>
    <w:rsid w:val="00E879AA"/>
    <w:rsid w:val="00E87F4E"/>
    <w:rsid w:val="00E9026E"/>
    <w:rsid w:val="00E908B6"/>
    <w:rsid w:val="00E90CB0"/>
    <w:rsid w:val="00E90D33"/>
    <w:rsid w:val="00E92995"/>
    <w:rsid w:val="00E92B56"/>
    <w:rsid w:val="00E932BD"/>
    <w:rsid w:val="00E94550"/>
    <w:rsid w:val="00E9475E"/>
    <w:rsid w:val="00E94D6C"/>
    <w:rsid w:val="00E95EBF"/>
    <w:rsid w:val="00E96239"/>
    <w:rsid w:val="00E962A6"/>
    <w:rsid w:val="00E964BF"/>
    <w:rsid w:val="00E979A7"/>
    <w:rsid w:val="00E97B8D"/>
    <w:rsid w:val="00E97F73"/>
    <w:rsid w:val="00EA033B"/>
    <w:rsid w:val="00EA0B49"/>
    <w:rsid w:val="00EA0F35"/>
    <w:rsid w:val="00EA1241"/>
    <w:rsid w:val="00EA1456"/>
    <w:rsid w:val="00EA15A5"/>
    <w:rsid w:val="00EA187A"/>
    <w:rsid w:val="00EA26E7"/>
    <w:rsid w:val="00EA27EF"/>
    <w:rsid w:val="00EA2C1E"/>
    <w:rsid w:val="00EA2DC6"/>
    <w:rsid w:val="00EA3A69"/>
    <w:rsid w:val="00EA41CB"/>
    <w:rsid w:val="00EA4849"/>
    <w:rsid w:val="00EA535A"/>
    <w:rsid w:val="00EA6F8F"/>
    <w:rsid w:val="00EA7325"/>
    <w:rsid w:val="00EA75D0"/>
    <w:rsid w:val="00EA78D2"/>
    <w:rsid w:val="00EA7F6A"/>
    <w:rsid w:val="00EB02C6"/>
    <w:rsid w:val="00EB0A05"/>
    <w:rsid w:val="00EB0FA9"/>
    <w:rsid w:val="00EB10C5"/>
    <w:rsid w:val="00EB18E0"/>
    <w:rsid w:val="00EB2E8E"/>
    <w:rsid w:val="00EB30F2"/>
    <w:rsid w:val="00EB41EE"/>
    <w:rsid w:val="00EB4EF3"/>
    <w:rsid w:val="00EB4F7C"/>
    <w:rsid w:val="00EB54C3"/>
    <w:rsid w:val="00EB5645"/>
    <w:rsid w:val="00EB5AA0"/>
    <w:rsid w:val="00EB5CFC"/>
    <w:rsid w:val="00EB68DF"/>
    <w:rsid w:val="00EB6904"/>
    <w:rsid w:val="00EB6AE2"/>
    <w:rsid w:val="00EB74C5"/>
    <w:rsid w:val="00EB784D"/>
    <w:rsid w:val="00EC03A0"/>
    <w:rsid w:val="00EC0724"/>
    <w:rsid w:val="00EC14F8"/>
    <w:rsid w:val="00EC1C05"/>
    <w:rsid w:val="00EC1CC6"/>
    <w:rsid w:val="00EC2C20"/>
    <w:rsid w:val="00EC30B9"/>
    <w:rsid w:val="00EC5EC2"/>
    <w:rsid w:val="00EC6F8A"/>
    <w:rsid w:val="00EC70AA"/>
    <w:rsid w:val="00EC73B5"/>
    <w:rsid w:val="00EC743F"/>
    <w:rsid w:val="00EC77DB"/>
    <w:rsid w:val="00EC799A"/>
    <w:rsid w:val="00ED0E61"/>
    <w:rsid w:val="00ED189E"/>
    <w:rsid w:val="00ED1987"/>
    <w:rsid w:val="00ED19C8"/>
    <w:rsid w:val="00ED2598"/>
    <w:rsid w:val="00ED276E"/>
    <w:rsid w:val="00ED2854"/>
    <w:rsid w:val="00ED2B2E"/>
    <w:rsid w:val="00ED3040"/>
    <w:rsid w:val="00ED3208"/>
    <w:rsid w:val="00ED39F4"/>
    <w:rsid w:val="00ED4208"/>
    <w:rsid w:val="00ED531A"/>
    <w:rsid w:val="00ED5467"/>
    <w:rsid w:val="00ED5ED5"/>
    <w:rsid w:val="00ED5EE6"/>
    <w:rsid w:val="00ED6778"/>
    <w:rsid w:val="00ED774D"/>
    <w:rsid w:val="00ED7E29"/>
    <w:rsid w:val="00ED7FFE"/>
    <w:rsid w:val="00EE0501"/>
    <w:rsid w:val="00EE0C5E"/>
    <w:rsid w:val="00EE1511"/>
    <w:rsid w:val="00EE1A97"/>
    <w:rsid w:val="00EE1D15"/>
    <w:rsid w:val="00EE2965"/>
    <w:rsid w:val="00EE317D"/>
    <w:rsid w:val="00EE37DC"/>
    <w:rsid w:val="00EE56D7"/>
    <w:rsid w:val="00EE5BC6"/>
    <w:rsid w:val="00EE5E5D"/>
    <w:rsid w:val="00EE6244"/>
    <w:rsid w:val="00EE6668"/>
    <w:rsid w:val="00EE68DB"/>
    <w:rsid w:val="00EE6DB5"/>
    <w:rsid w:val="00EE764A"/>
    <w:rsid w:val="00EE770B"/>
    <w:rsid w:val="00EE7BF3"/>
    <w:rsid w:val="00EF05E0"/>
    <w:rsid w:val="00EF06AE"/>
    <w:rsid w:val="00EF0C95"/>
    <w:rsid w:val="00EF0CF1"/>
    <w:rsid w:val="00EF1D18"/>
    <w:rsid w:val="00EF24F8"/>
    <w:rsid w:val="00EF401F"/>
    <w:rsid w:val="00EF43F8"/>
    <w:rsid w:val="00EF4D59"/>
    <w:rsid w:val="00EF4E6C"/>
    <w:rsid w:val="00EF50D1"/>
    <w:rsid w:val="00EF5BFC"/>
    <w:rsid w:val="00EF5DBF"/>
    <w:rsid w:val="00EF64DD"/>
    <w:rsid w:val="00EF7486"/>
    <w:rsid w:val="00EF74FF"/>
    <w:rsid w:val="00EF792C"/>
    <w:rsid w:val="00EF7CD9"/>
    <w:rsid w:val="00F00D3C"/>
    <w:rsid w:val="00F011A7"/>
    <w:rsid w:val="00F011D4"/>
    <w:rsid w:val="00F0257F"/>
    <w:rsid w:val="00F0264B"/>
    <w:rsid w:val="00F026C8"/>
    <w:rsid w:val="00F03950"/>
    <w:rsid w:val="00F03AB1"/>
    <w:rsid w:val="00F03CE9"/>
    <w:rsid w:val="00F03E72"/>
    <w:rsid w:val="00F043A0"/>
    <w:rsid w:val="00F04CC7"/>
    <w:rsid w:val="00F05BB1"/>
    <w:rsid w:val="00F06165"/>
    <w:rsid w:val="00F063DE"/>
    <w:rsid w:val="00F06EA4"/>
    <w:rsid w:val="00F0737B"/>
    <w:rsid w:val="00F076B6"/>
    <w:rsid w:val="00F100D2"/>
    <w:rsid w:val="00F10BB2"/>
    <w:rsid w:val="00F11110"/>
    <w:rsid w:val="00F1132D"/>
    <w:rsid w:val="00F1166B"/>
    <w:rsid w:val="00F11684"/>
    <w:rsid w:val="00F126C3"/>
    <w:rsid w:val="00F13834"/>
    <w:rsid w:val="00F13AD4"/>
    <w:rsid w:val="00F1414A"/>
    <w:rsid w:val="00F14833"/>
    <w:rsid w:val="00F14B1B"/>
    <w:rsid w:val="00F153A2"/>
    <w:rsid w:val="00F1675E"/>
    <w:rsid w:val="00F16FA3"/>
    <w:rsid w:val="00F1711F"/>
    <w:rsid w:val="00F177C8"/>
    <w:rsid w:val="00F17BD4"/>
    <w:rsid w:val="00F17C44"/>
    <w:rsid w:val="00F20489"/>
    <w:rsid w:val="00F2073D"/>
    <w:rsid w:val="00F20AEF"/>
    <w:rsid w:val="00F21448"/>
    <w:rsid w:val="00F215F2"/>
    <w:rsid w:val="00F222AF"/>
    <w:rsid w:val="00F22982"/>
    <w:rsid w:val="00F22AB1"/>
    <w:rsid w:val="00F232F6"/>
    <w:rsid w:val="00F2348F"/>
    <w:rsid w:val="00F243E1"/>
    <w:rsid w:val="00F2443E"/>
    <w:rsid w:val="00F244EA"/>
    <w:rsid w:val="00F2470C"/>
    <w:rsid w:val="00F2614B"/>
    <w:rsid w:val="00F26AF6"/>
    <w:rsid w:val="00F303D2"/>
    <w:rsid w:val="00F3049F"/>
    <w:rsid w:val="00F30650"/>
    <w:rsid w:val="00F31A9A"/>
    <w:rsid w:val="00F31D50"/>
    <w:rsid w:val="00F3249D"/>
    <w:rsid w:val="00F32558"/>
    <w:rsid w:val="00F32913"/>
    <w:rsid w:val="00F33D76"/>
    <w:rsid w:val="00F34045"/>
    <w:rsid w:val="00F34DF5"/>
    <w:rsid w:val="00F35375"/>
    <w:rsid w:val="00F35635"/>
    <w:rsid w:val="00F358DE"/>
    <w:rsid w:val="00F35AE5"/>
    <w:rsid w:val="00F365E9"/>
    <w:rsid w:val="00F36EF7"/>
    <w:rsid w:val="00F40752"/>
    <w:rsid w:val="00F40A19"/>
    <w:rsid w:val="00F41014"/>
    <w:rsid w:val="00F4101B"/>
    <w:rsid w:val="00F422E3"/>
    <w:rsid w:val="00F423AD"/>
    <w:rsid w:val="00F424F1"/>
    <w:rsid w:val="00F42862"/>
    <w:rsid w:val="00F42E88"/>
    <w:rsid w:val="00F44014"/>
    <w:rsid w:val="00F4454E"/>
    <w:rsid w:val="00F453A4"/>
    <w:rsid w:val="00F471D1"/>
    <w:rsid w:val="00F479E6"/>
    <w:rsid w:val="00F501B6"/>
    <w:rsid w:val="00F50A2B"/>
    <w:rsid w:val="00F50DAE"/>
    <w:rsid w:val="00F51255"/>
    <w:rsid w:val="00F515F1"/>
    <w:rsid w:val="00F529C5"/>
    <w:rsid w:val="00F52AC1"/>
    <w:rsid w:val="00F53302"/>
    <w:rsid w:val="00F535FA"/>
    <w:rsid w:val="00F53A25"/>
    <w:rsid w:val="00F54154"/>
    <w:rsid w:val="00F556D6"/>
    <w:rsid w:val="00F55F3D"/>
    <w:rsid w:val="00F5690F"/>
    <w:rsid w:val="00F56B17"/>
    <w:rsid w:val="00F57969"/>
    <w:rsid w:val="00F57F8D"/>
    <w:rsid w:val="00F603D4"/>
    <w:rsid w:val="00F63680"/>
    <w:rsid w:val="00F64D4E"/>
    <w:rsid w:val="00F64DE4"/>
    <w:rsid w:val="00F64FAE"/>
    <w:rsid w:val="00F65D39"/>
    <w:rsid w:val="00F6791F"/>
    <w:rsid w:val="00F67E9A"/>
    <w:rsid w:val="00F67F97"/>
    <w:rsid w:val="00F70EEF"/>
    <w:rsid w:val="00F70FC7"/>
    <w:rsid w:val="00F716AD"/>
    <w:rsid w:val="00F71CF9"/>
    <w:rsid w:val="00F7307B"/>
    <w:rsid w:val="00F73371"/>
    <w:rsid w:val="00F7370B"/>
    <w:rsid w:val="00F73A61"/>
    <w:rsid w:val="00F73E05"/>
    <w:rsid w:val="00F7492D"/>
    <w:rsid w:val="00F7590B"/>
    <w:rsid w:val="00F75BAA"/>
    <w:rsid w:val="00F773EB"/>
    <w:rsid w:val="00F7779F"/>
    <w:rsid w:val="00F80222"/>
    <w:rsid w:val="00F80665"/>
    <w:rsid w:val="00F80C10"/>
    <w:rsid w:val="00F8148D"/>
    <w:rsid w:val="00F817F1"/>
    <w:rsid w:val="00F819B3"/>
    <w:rsid w:val="00F82116"/>
    <w:rsid w:val="00F82500"/>
    <w:rsid w:val="00F8254E"/>
    <w:rsid w:val="00F82E5B"/>
    <w:rsid w:val="00F83755"/>
    <w:rsid w:val="00F83ABE"/>
    <w:rsid w:val="00F83F54"/>
    <w:rsid w:val="00F846C5"/>
    <w:rsid w:val="00F85045"/>
    <w:rsid w:val="00F852BC"/>
    <w:rsid w:val="00F86371"/>
    <w:rsid w:val="00F870E8"/>
    <w:rsid w:val="00F8737C"/>
    <w:rsid w:val="00F87A93"/>
    <w:rsid w:val="00F87D22"/>
    <w:rsid w:val="00F87FBE"/>
    <w:rsid w:val="00F90981"/>
    <w:rsid w:val="00F9177E"/>
    <w:rsid w:val="00F91A33"/>
    <w:rsid w:val="00F91C93"/>
    <w:rsid w:val="00F91D3D"/>
    <w:rsid w:val="00F92E13"/>
    <w:rsid w:val="00F93568"/>
    <w:rsid w:val="00F9557E"/>
    <w:rsid w:val="00F958F1"/>
    <w:rsid w:val="00F96D80"/>
    <w:rsid w:val="00FA0051"/>
    <w:rsid w:val="00FA05E2"/>
    <w:rsid w:val="00FA0D12"/>
    <w:rsid w:val="00FA12C2"/>
    <w:rsid w:val="00FA1516"/>
    <w:rsid w:val="00FA1ACA"/>
    <w:rsid w:val="00FA27F7"/>
    <w:rsid w:val="00FA2820"/>
    <w:rsid w:val="00FA2863"/>
    <w:rsid w:val="00FA3053"/>
    <w:rsid w:val="00FA328A"/>
    <w:rsid w:val="00FA3790"/>
    <w:rsid w:val="00FA38DA"/>
    <w:rsid w:val="00FA3DC2"/>
    <w:rsid w:val="00FA3F2E"/>
    <w:rsid w:val="00FA4E69"/>
    <w:rsid w:val="00FA6254"/>
    <w:rsid w:val="00FA6280"/>
    <w:rsid w:val="00FA6948"/>
    <w:rsid w:val="00FA6FA8"/>
    <w:rsid w:val="00FA7091"/>
    <w:rsid w:val="00FA70C1"/>
    <w:rsid w:val="00FA775D"/>
    <w:rsid w:val="00FA7B02"/>
    <w:rsid w:val="00FB02CC"/>
    <w:rsid w:val="00FB08AC"/>
    <w:rsid w:val="00FB1720"/>
    <w:rsid w:val="00FB1A97"/>
    <w:rsid w:val="00FB3058"/>
    <w:rsid w:val="00FB3099"/>
    <w:rsid w:val="00FB3181"/>
    <w:rsid w:val="00FB32F9"/>
    <w:rsid w:val="00FB3887"/>
    <w:rsid w:val="00FB39B3"/>
    <w:rsid w:val="00FB3A0F"/>
    <w:rsid w:val="00FB4570"/>
    <w:rsid w:val="00FB5160"/>
    <w:rsid w:val="00FB5646"/>
    <w:rsid w:val="00FB5933"/>
    <w:rsid w:val="00FB5D6B"/>
    <w:rsid w:val="00FB5E4A"/>
    <w:rsid w:val="00FB5F77"/>
    <w:rsid w:val="00FB60DE"/>
    <w:rsid w:val="00FB799E"/>
    <w:rsid w:val="00FB7AD1"/>
    <w:rsid w:val="00FC2E5D"/>
    <w:rsid w:val="00FC313F"/>
    <w:rsid w:val="00FC3519"/>
    <w:rsid w:val="00FC377E"/>
    <w:rsid w:val="00FC3AB4"/>
    <w:rsid w:val="00FC4AF1"/>
    <w:rsid w:val="00FC5998"/>
    <w:rsid w:val="00FC5A35"/>
    <w:rsid w:val="00FC6839"/>
    <w:rsid w:val="00FC7011"/>
    <w:rsid w:val="00FC7592"/>
    <w:rsid w:val="00FC7918"/>
    <w:rsid w:val="00FC7CA6"/>
    <w:rsid w:val="00FD019D"/>
    <w:rsid w:val="00FD0A9A"/>
    <w:rsid w:val="00FD0FDC"/>
    <w:rsid w:val="00FD1031"/>
    <w:rsid w:val="00FD1C16"/>
    <w:rsid w:val="00FD2B7C"/>
    <w:rsid w:val="00FD2F34"/>
    <w:rsid w:val="00FD3199"/>
    <w:rsid w:val="00FD3442"/>
    <w:rsid w:val="00FD35F4"/>
    <w:rsid w:val="00FD3EE0"/>
    <w:rsid w:val="00FD44CC"/>
    <w:rsid w:val="00FD54F0"/>
    <w:rsid w:val="00FD5C2B"/>
    <w:rsid w:val="00FD5DA2"/>
    <w:rsid w:val="00FD5FA8"/>
    <w:rsid w:val="00FD654D"/>
    <w:rsid w:val="00FD7717"/>
    <w:rsid w:val="00FE0056"/>
    <w:rsid w:val="00FE0130"/>
    <w:rsid w:val="00FE02DD"/>
    <w:rsid w:val="00FE02E9"/>
    <w:rsid w:val="00FE0562"/>
    <w:rsid w:val="00FE0743"/>
    <w:rsid w:val="00FE0F8C"/>
    <w:rsid w:val="00FE2D25"/>
    <w:rsid w:val="00FE3287"/>
    <w:rsid w:val="00FE37E3"/>
    <w:rsid w:val="00FE3A2B"/>
    <w:rsid w:val="00FE469A"/>
    <w:rsid w:val="00FE6CC4"/>
    <w:rsid w:val="00FE75B1"/>
    <w:rsid w:val="00FE7792"/>
    <w:rsid w:val="00FE77DA"/>
    <w:rsid w:val="00FF1338"/>
    <w:rsid w:val="00FF2C57"/>
    <w:rsid w:val="00FF35FC"/>
    <w:rsid w:val="00FF4BFE"/>
    <w:rsid w:val="00FF546C"/>
    <w:rsid w:val="00FF59BB"/>
    <w:rsid w:val="00FF652E"/>
    <w:rsid w:val="00FF718F"/>
    <w:rsid w:val="00FF7225"/>
    <w:rsid w:val="00FF7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84845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A40500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1848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Знак,Òàáë òåêñò, Знак"/>
    <w:basedOn w:val="a0"/>
    <w:rsid w:val="00F63680"/>
    <w:pPr>
      <w:spacing w:after="120"/>
    </w:pPr>
  </w:style>
  <w:style w:type="paragraph" w:styleId="a6">
    <w:name w:val="Title"/>
    <w:basedOn w:val="a0"/>
    <w:qFormat/>
    <w:rsid w:val="00F63680"/>
    <w:pPr>
      <w:jc w:val="center"/>
    </w:pPr>
    <w:rPr>
      <w:b/>
      <w:szCs w:val="20"/>
    </w:rPr>
  </w:style>
  <w:style w:type="paragraph" w:customStyle="1" w:styleId="a7">
    <w:name w:val="Комментарий"/>
    <w:basedOn w:val="a0"/>
    <w:next w:val="a0"/>
    <w:rsid w:val="004A0F60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11">
    <w:name w:val="1"/>
    <w:rsid w:val="00000356"/>
    <w:rPr>
      <w:sz w:val="24"/>
      <w:szCs w:val="24"/>
    </w:rPr>
  </w:style>
  <w:style w:type="paragraph" w:styleId="a8">
    <w:name w:val="header"/>
    <w:basedOn w:val="a0"/>
    <w:rsid w:val="003C5669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3C5669"/>
  </w:style>
  <w:style w:type="paragraph" w:customStyle="1" w:styleId="aa">
    <w:name w:val="Таблицы (моноширинный)"/>
    <w:basedOn w:val="a0"/>
    <w:next w:val="a0"/>
    <w:rsid w:val="00807A2B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footer"/>
    <w:basedOn w:val="a0"/>
    <w:rsid w:val="00F3249D"/>
    <w:pPr>
      <w:tabs>
        <w:tab w:val="center" w:pos="4677"/>
        <w:tab w:val="right" w:pos="9355"/>
      </w:tabs>
    </w:pPr>
  </w:style>
  <w:style w:type="paragraph" w:styleId="ac">
    <w:name w:val="Body Text Indent"/>
    <w:basedOn w:val="a0"/>
    <w:link w:val="ad"/>
    <w:rsid w:val="00D43949"/>
    <w:pPr>
      <w:spacing w:after="120"/>
      <w:ind w:left="283"/>
    </w:pPr>
  </w:style>
  <w:style w:type="paragraph" w:styleId="2">
    <w:name w:val="Body Text 2"/>
    <w:basedOn w:val="a0"/>
    <w:link w:val="20"/>
    <w:rsid w:val="000D4799"/>
    <w:pPr>
      <w:spacing w:after="120" w:line="480" w:lineRule="auto"/>
    </w:pPr>
  </w:style>
  <w:style w:type="paragraph" w:styleId="ae">
    <w:name w:val="Balloon Text"/>
    <w:basedOn w:val="a0"/>
    <w:semiHidden/>
    <w:rsid w:val="00697164"/>
    <w:rPr>
      <w:rFonts w:ascii="Tahoma" w:hAnsi="Tahoma" w:cs="Tahoma"/>
      <w:sz w:val="16"/>
      <w:szCs w:val="16"/>
    </w:rPr>
  </w:style>
  <w:style w:type="paragraph" w:styleId="af">
    <w:name w:val="footnote text"/>
    <w:basedOn w:val="a0"/>
    <w:rsid w:val="000D542E"/>
    <w:pPr>
      <w:autoSpaceDE w:val="0"/>
      <w:autoSpaceDN w:val="0"/>
    </w:pPr>
    <w:rPr>
      <w:sz w:val="20"/>
      <w:szCs w:val="20"/>
    </w:rPr>
  </w:style>
  <w:style w:type="character" w:styleId="af0">
    <w:name w:val="footnote reference"/>
    <w:basedOn w:val="a1"/>
    <w:rsid w:val="000D542E"/>
    <w:rPr>
      <w:vertAlign w:val="superscript"/>
    </w:rPr>
  </w:style>
  <w:style w:type="paragraph" w:customStyle="1" w:styleId="af1">
    <w:name w:val="Заголовок статьи"/>
    <w:basedOn w:val="a0"/>
    <w:next w:val="a0"/>
    <w:rsid w:val="00CE5FA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2">
    <w:name w:val="Прижатый влево"/>
    <w:basedOn w:val="a0"/>
    <w:next w:val="a0"/>
    <w:uiPriority w:val="99"/>
    <w:rsid w:val="00543CD5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3">
    <w:name w:val="Гипертекстовая ссылка"/>
    <w:basedOn w:val="a1"/>
    <w:uiPriority w:val="99"/>
    <w:rsid w:val="003522CA"/>
    <w:rPr>
      <w:color w:val="008000"/>
    </w:rPr>
  </w:style>
  <w:style w:type="character" w:customStyle="1" w:styleId="10">
    <w:name w:val="Заголовок 1 Знак"/>
    <w:basedOn w:val="a1"/>
    <w:link w:val="1"/>
    <w:rsid w:val="00E64CED"/>
    <w:rPr>
      <w:rFonts w:ascii="Arial" w:hAnsi="Arial"/>
      <w:b/>
      <w:bCs/>
      <w:color w:val="000080"/>
      <w:lang w:val="ru-RU" w:eastAsia="ru-RU" w:bidi="ar-SA"/>
    </w:rPr>
  </w:style>
  <w:style w:type="paragraph" w:customStyle="1" w:styleId="ConsPlusNonformat">
    <w:name w:val="ConsPlusNonformat"/>
    <w:rsid w:val="00F10BB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AC8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f4">
    <w:name w:val="endnote text"/>
    <w:basedOn w:val="a0"/>
    <w:link w:val="af5"/>
    <w:rsid w:val="00CF1C83"/>
    <w:rPr>
      <w:rFonts w:eastAsia="Calibri"/>
      <w:sz w:val="20"/>
      <w:szCs w:val="20"/>
    </w:rPr>
  </w:style>
  <w:style w:type="character" w:customStyle="1" w:styleId="af5">
    <w:name w:val="Текст концевой сноски Знак"/>
    <w:basedOn w:val="a1"/>
    <w:link w:val="af4"/>
    <w:locked/>
    <w:rsid w:val="00CF1C83"/>
    <w:rPr>
      <w:rFonts w:eastAsia="Calibri"/>
      <w:lang w:val="ru-RU" w:eastAsia="ru-RU" w:bidi="ar-SA"/>
    </w:rPr>
  </w:style>
  <w:style w:type="character" w:styleId="af6">
    <w:name w:val="endnote reference"/>
    <w:basedOn w:val="a1"/>
    <w:semiHidden/>
    <w:rsid w:val="00CF1C83"/>
    <w:rPr>
      <w:rFonts w:cs="Times New Roman"/>
      <w:vertAlign w:val="superscript"/>
    </w:rPr>
  </w:style>
  <w:style w:type="paragraph" w:customStyle="1" w:styleId="ConsPlusNormal">
    <w:name w:val="ConsPlusNormal"/>
    <w:rsid w:val="007F03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0"/>
    <w:rsid w:val="007F036C"/>
    <w:pPr>
      <w:spacing w:after="120" w:line="480" w:lineRule="auto"/>
      <w:ind w:left="283"/>
    </w:pPr>
  </w:style>
  <w:style w:type="paragraph" w:customStyle="1" w:styleId="bl0">
    <w:name w:val="bl0"/>
    <w:basedOn w:val="a0"/>
    <w:rsid w:val="007F036C"/>
    <w:pPr>
      <w:spacing w:before="100" w:beforeAutospacing="1" w:after="100" w:afterAutospacing="1"/>
    </w:pPr>
    <w:rPr>
      <w:b/>
      <w:bCs/>
      <w:sz w:val="18"/>
      <w:szCs w:val="18"/>
    </w:rPr>
  </w:style>
  <w:style w:type="character" w:styleId="af7">
    <w:name w:val="Hyperlink"/>
    <w:basedOn w:val="a1"/>
    <w:rsid w:val="007F036C"/>
    <w:rPr>
      <w:color w:val="0000FF"/>
      <w:u w:val="single"/>
    </w:rPr>
  </w:style>
  <w:style w:type="paragraph" w:styleId="a">
    <w:name w:val="List Bullet"/>
    <w:basedOn w:val="a0"/>
    <w:rsid w:val="007F036C"/>
    <w:pPr>
      <w:numPr>
        <w:numId w:val="28"/>
      </w:numPr>
    </w:pPr>
  </w:style>
  <w:style w:type="character" w:customStyle="1" w:styleId="apple-converted-space">
    <w:name w:val="apple-converted-space"/>
    <w:basedOn w:val="a1"/>
    <w:rsid w:val="007F036C"/>
  </w:style>
  <w:style w:type="character" w:customStyle="1" w:styleId="apple-style-span">
    <w:name w:val="apple-style-span"/>
    <w:basedOn w:val="a1"/>
    <w:rsid w:val="007F036C"/>
  </w:style>
  <w:style w:type="paragraph" w:styleId="af8">
    <w:name w:val="Normal (Web)"/>
    <w:basedOn w:val="a0"/>
    <w:uiPriority w:val="99"/>
    <w:unhideWhenUsed/>
    <w:rsid w:val="007F036C"/>
    <w:pPr>
      <w:spacing w:before="100" w:beforeAutospacing="1" w:after="100" w:afterAutospacing="1"/>
    </w:pPr>
  </w:style>
  <w:style w:type="character" w:customStyle="1" w:styleId="fc1297680559311-0">
    <w:name w:val="fc1297680559311-0"/>
    <w:basedOn w:val="a1"/>
    <w:rsid w:val="007F036C"/>
  </w:style>
  <w:style w:type="character" w:customStyle="1" w:styleId="fc1297681311229-0">
    <w:name w:val="fc1297681311229-0"/>
    <w:basedOn w:val="a1"/>
    <w:rsid w:val="007F036C"/>
  </w:style>
  <w:style w:type="character" w:customStyle="1" w:styleId="fc1297681645912-0">
    <w:name w:val="fc1297681645912-0"/>
    <w:basedOn w:val="a1"/>
    <w:rsid w:val="007F036C"/>
  </w:style>
  <w:style w:type="character" w:customStyle="1" w:styleId="fc1297840023609-0">
    <w:name w:val="fc1297840023609-0"/>
    <w:basedOn w:val="a1"/>
    <w:rsid w:val="007F036C"/>
  </w:style>
  <w:style w:type="character" w:customStyle="1" w:styleId="fc1297840023609-1">
    <w:name w:val="fc1297840023609-1"/>
    <w:basedOn w:val="a1"/>
    <w:rsid w:val="007F036C"/>
  </w:style>
  <w:style w:type="character" w:customStyle="1" w:styleId="af9">
    <w:name w:val="Цветовое выделение"/>
    <w:rsid w:val="007F036C"/>
    <w:rPr>
      <w:b/>
      <w:bCs/>
      <w:color w:val="000080"/>
    </w:rPr>
  </w:style>
  <w:style w:type="paragraph" w:customStyle="1" w:styleId="u">
    <w:name w:val="u"/>
    <w:basedOn w:val="a0"/>
    <w:rsid w:val="007F036C"/>
    <w:pPr>
      <w:spacing w:before="100" w:beforeAutospacing="1" w:after="100" w:afterAutospacing="1"/>
    </w:pPr>
  </w:style>
  <w:style w:type="character" w:styleId="afa">
    <w:name w:val="FollowedHyperlink"/>
    <w:basedOn w:val="a1"/>
    <w:rsid w:val="007F036C"/>
    <w:rPr>
      <w:color w:val="800080"/>
      <w:u w:val="single"/>
    </w:rPr>
  </w:style>
  <w:style w:type="paragraph" w:customStyle="1" w:styleId="text2">
    <w:name w:val="text2"/>
    <w:basedOn w:val="a0"/>
    <w:rsid w:val="00F83ABE"/>
    <w:pPr>
      <w:spacing w:before="210"/>
      <w:ind w:right="270"/>
      <w:jc w:val="both"/>
    </w:pPr>
    <w:rPr>
      <w:rFonts w:ascii="Tahoma" w:hAnsi="Tahoma" w:cs="Tahoma"/>
      <w:color w:val="000000"/>
      <w:sz w:val="18"/>
      <w:szCs w:val="18"/>
    </w:rPr>
  </w:style>
  <w:style w:type="paragraph" w:customStyle="1" w:styleId="afb">
    <w:name w:val="Нормальный (таблица)"/>
    <w:basedOn w:val="a0"/>
    <w:next w:val="a0"/>
    <w:rsid w:val="004A7F7B"/>
    <w:pPr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20">
    <w:name w:val="Основной текст 2 Знак"/>
    <w:basedOn w:val="a1"/>
    <w:link w:val="2"/>
    <w:rsid w:val="008B09B4"/>
    <w:rPr>
      <w:sz w:val="24"/>
      <w:szCs w:val="24"/>
    </w:rPr>
  </w:style>
  <w:style w:type="paragraph" w:customStyle="1" w:styleId="ConsPlusCell">
    <w:name w:val="ConsPlusCell"/>
    <w:rsid w:val="00A967D6"/>
    <w:pPr>
      <w:autoSpaceDE w:val="0"/>
      <w:autoSpaceDN w:val="0"/>
      <w:adjustRightInd w:val="0"/>
    </w:pPr>
  </w:style>
  <w:style w:type="character" w:customStyle="1" w:styleId="spellchecker-word-highlight">
    <w:name w:val="spellchecker-word-highlight"/>
    <w:basedOn w:val="a1"/>
    <w:rsid w:val="009679F9"/>
  </w:style>
  <w:style w:type="character" w:customStyle="1" w:styleId="ad">
    <w:name w:val="Основной текст с отступом Знак"/>
    <w:basedOn w:val="a1"/>
    <w:link w:val="ac"/>
    <w:rsid w:val="00D91855"/>
    <w:rPr>
      <w:sz w:val="24"/>
      <w:szCs w:val="24"/>
    </w:rPr>
  </w:style>
  <w:style w:type="paragraph" w:styleId="afc">
    <w:name w:val="List Paragraph"/>
    <w:basedOn w:val="a0"/>
    <w:uiPriority w:val="34"/>
    <w:qFormat/>
    <w:rsid w:val="002938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2AA41-6BEC-4C30-8D8C-75F5432E3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989</TotalTime>
  <Pages>12</Pages>
  <Words>6184</Words>
  <Characters>35250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Показатели исполнения расходов КУГИ за 2007 год в разрезе разделов и ‎подразделов областного бюджета приведены в таблице</vt:lpstr>
    </vt:vector>
  </TitlesOfParts>
  <Company>EMPOWERING EXPERIENCE WORLD</Company>
  <LinksUpToDate>false</LinksUpToDate>
  <CharactersWithSpaces>41352</CharactersWithSpaces>
  <SharedDoc>false</SharedDoc>
  <HLinks>
    <vt:vector size="36" baseType="variant">
      <vt:variant>
        <vt:i4>4194309</vt:i4>
      </vt:variant>
      <vt:variant>
        <vt:i4>15</vt:i4>
      </vt:variant>
      <vt:variant>
        <vt:i4>0</vt:i4>
      </vt:variant>
      <vt:variant>
        <vt:i4>5</vt:i4>
      </vt:variant>
      <vt:variant>
        <vt:lpwstr>garantf1://24603934.4000/</vt:lpwstr>
      </vt:variant>
      <vt:variant>
        <vt:lpwstr/>
      </vt:variant>
      <vt:variant>
        <vt:i4>4194306</vt:i4>
      </vt:variant>
      <vt:variant>
        <vt:i4>12</vt:i4>
      </vt:variant>
      <vt:variant>
        <vt:i4>0</vt:i4>
      </vt:variant>
      <vt:variant>
        <vt:i4>5</vt:i4>
      </vt:variant>
      <vt:variant>
        <vt:lpwstr>garantf1://24603934.3000/</vt:lpwstr>
      </vt:variant>
      <vt:variant>
        <vt:lpwstr/>
      </vt:variant>
      <vt:variant>
        <vt:i4>4194307</vt:i4>
      </vt:variant>
      <vt:variant>
        <vt:i4>9</vt:i4>
      </vt:variant>
      <vt:variant>
        <vt:i4>0</vt:i4>
      </vt:variant>
      <vt:variant>
        <vt:i4>5</vt:i4>
      </vt:variant>
      <vt:variant>
        <vt:lpwstr>garantf1://24603934.2000/</vt:lpwstr>
      </vt:variant>
      <vt:variant>
        <vt:lpwstr/>
      </vt:variant>
      <vt:variant>
        <vt:i4>4194304</vt:i4>
      </vt:variant>
      <vt:variant>
        <vt:i4>6</vt:i4>
      </vt:variant>
      <vt:variant>
        <vt:i4>0</vt:i4>
      </vt:variant>
      <vt:variant>
        <vt:i4>5</vt:i4>
      </vt:variant>
      <vt:variant>
        <vt:lpwstr>garantf1://24603934.1000/</vt:lpwstr>
      </vt:variant>
      <vt:variant>
        <vt:lpwstr/>
      </vt:variant>
      <vt:variant>
        <vt:i4>2949141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sub_50312701</vt:lpwstr>
      </vt:variant>
      <vt:variant>
        <vt:i4>2949141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sub_50312701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Показатели исполнения расходов КУГИ за 2007 год в разрезе разделов и ‎подразделов областного бюджета приведены в таблице</dc:title>
  <dc:creator>I_Panina</dc:creator>
  <cp:lastModifiedBy>Авдеев</cp:lastModifiedBy>
  <cp:revision>260</cp:revision>
  <cp:lastPrinted>2017-04-17T11:49:00Z</cp:lastPrinted>
  <dcterms:created xsi:type="dcterms:W3CDTF">2017-03-22T05:57:00Z</dcterms:created>
  <dcterms:modified xsi:type="dcterms:W3CDTF">2017-04-18T12:10:00Z</dcterms:modified>
</cp:coreProperties>
</file>