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78E4" w14:textId="77777777" w:rsidR="00A05FE7" w:rsidRPr="0044129E" w:rsidRDefault="00A05FE7" w:rsidP="00A05FE7">
      <w:pPr>
        <w:tabs>
          <w:tab w:val="left" w:pos="180"/>
          <w:tab w:val="left" w:pos="360"/>
        </w:tabs>
        <w:ind w:left="5670"/>
        <w:jc w:val="center"/>
        <w:rPr>
          <w:b/>
        </w:rPr>
      </w:pPr>
      <w:r w:rsidRPr="0044129E">
        <w:rPr>
          <w:b/>
        </w:rPr>
        <w:t>УТВЕРЖДАЮ</w:t>
      </w:r>
    </w:p>
    <w:p w14:paraId="306EAE0E" w14:textId="77777777" w:rsidR="00A05FE7" w:rsidRPr="0044129E" w:rsidRDefault="00A05FE7" w:rsidP="00A05FE7">
      <w:pPr>
        <w:ind w:left="5670"/>
        <w:jc w:val="center"/>
      </w:pPr>
      <w:r w:rsidRPr="0044129E">
        <w:t>председатель контрольно-счетной</w:t>
      </w:r>
    </w:p>
    <w:p w14:paraId="21180B41" w14:textId="77777777" w:rsidR="00A05FE7" w:rsidRPr="0044129E" w:rsidRDefault="00A05FE7" w:rsidP="00A05FE7">
      <w:pPr>
        <w:tabs>
          <w:tab w:val="left" w:pos="180"/>
          <w:tab w:val="left" w:pos="360"/>
        </w:tabs>
        <w:ind w:left="5812"/>
        <w:jc w:val="center"/>
      </w:pPr>
      <w:r w:rsidRPr="0044129E">
        <w:t>палаты Волгоградской области</w:t>
      </w:r>
    </w:p>
    <w:p w14:paraId="327490FC" w14:textId="77777777" w:rsidR="00A05FE7" w:rsidRPr="0044129E" w:rsidRDefault="00A05FE7" w:rsidP="00A05FE7">
      <w:pPr>
        <w:tabs>
          <w:tab w:val="left" w:pos="180"/>
          <w:tab w:val="left" w:pos="360"/>
        </w:tabs>
        <w:ind w:left="5812"/>
        <w:jc w:val="center"/>
        <w:rPr>
          <w:sz w:val="16"/>
          <w:szCs w:val="16"/>
        </w:rPr>
      </w:pPr>
    </w:p>
    <w:p w14:paraId="3CEADB41" w14:textId="77777777" w:rsidR="00A05FE7" w:rsidRPr="0044129E" w:rsidRDefault="00A05FE7" w:rsidP="00A05FE7">
      <w:pPr>
        <w:tabs>
          <w:tab w:val="left" w:pos="180"/>
          <w:tab w:val="left" w:pos="360"/>
        </w:tabs>
        <w:ind w:left="5670"/>
        <w:jc w:val="center"/>
      </w:pPr>
      <w:r w:rsidRPr="0044129E">
        <w:t>________________ И.А. Дьяченко</w:t>
      </w:r>
    </w:p>
    <w:p w14:paraId="18EA1FF0" w14:textId="77777777" w:rsidR="00A05FE7" w:rsidRPr="0044129E" w:rsidRDefault="00A05FE7" w:rsidP="00A05FE7">
      <w:pPr>
        <w:tabs>
          <w:tab w:val="left" w:pos="180"/>
          <w:tab w:val="left" w:pos="360"/>
        </w:tabs>
        <w:ind w:left="5670"/>
        <w:jc w:val="center"/>
        <w:rPr>
          <w:sz w:val="16"/>
          <w:szCs w:val="16"/>
        </w:rPr>
      </w:pPr>
    </w:p>
    <w:p w14:paraId="68D7ED10" w14:textId="4DA5EB95" w:rsidR="00A05FE7" w:rsidRPr="0044129E" w:rsidRDefault="00AA6D5F" w:rsidP="00A05FE7">
      <w:pPr>
        <w:tabs>
          <w:tab w:val="left" w:pos="180"/>
          <w:tab w:val="left" w:pos="360"/>
        </w:tabs>
        <w:ind w:left="5670"/>
        <w:jc w:val="center"/>
      </w:pPr>
      <w:r>
        <w:t xml:space="preserve">апреля </w:t>
      </w:r>
      <w:r w:rsidR="00A05FE7" w:rsidRPr="0044129E">
        <w:t>2021</w:t>
      </w:r>
      <w:r>
        <w:t xml:space="preserve"> года</w:t>
      </w:r>
    </w:p>
    <w:p w14:paraId="3EAE6577" w14:textId="77777777" w:rsidR="00A05FE7" w:rsidRPr="0044129E" w:rsidRDefault="00A05FE7" w:rsidP="00A05FE7">
      <w:pPr>
        <w:jc w:val="center"/>
        <w:rPr>
          <w:b/>
          <w:i/>
        </w:rPr>
      </w:pPr>
    </w:p>
    <w:p w14:paraId="43775A3A" w14:textId="77777777" w:rsidR="00A05FE7" w:rsidRPr="0044129E" w:rsidRDefault="00A05FE7" w:rsidP="00A05FE7">
      <w:pPr>
        <w:jc w:val="center"/>
        <w:rPr>
          <w:b/>
          <w:i/>
        </w:rPr>
      </w:pPr>
      <w:r w:rsidRPr="0044129E">
        <w:rPr>
          <w:b/>
          <w:i/>
        </w:rPr>
        <w:t>ЗАКЛЮЧЕНИЕ</w:t>
      </w:r>
    </w:p>
    <w:p w14:paraId="54CD2E4C" w14:textId="77777777" w:rsidR="00A05FE7" w:rsidRPr="0044129E" w:rsidRDefault="00A05FE7" w:rsidP="00A05FE7">
      <w:pPr>
        <w:ind w:left="283"/>
        <w:jc w:val="center"/>
        <w:rPr>
          <w:b/>
          <w:i/>
        </w:rPr>
      </w:pPr>
      <w:r w:rsidRPr="0044129E">
        <w:rPr>
          <w:b/>
          <w:i/>
        </w:rPr>
        <w:t>по результатам внешней проверки бюджетной отчетности и</w:t>
      </w:r>
    </w:p>
    <w:p w14:paraId="5E760189" w14:textId="77777777" w:rsidR="00A05FE7" w:rsidRPr="0044129E" w:rsidRDefault="00A05FE7" w:rsidP="00A05FE7">
      <w:pPr>
        <w:ind w:left="283"/>
        <w:jc w:val="center"/>
        <w:rPr>
          <w:b/>
          <w:i/>
        </w:rPr>
      </w:pPr>
      <w:r w:rsidRPr="0044129E">
        <w:rPr>
          <w:b/>
          <w:i/>
        </w:rPr>
        <w:t>отдельных вопросов исполнения областного бюджета за 2020 год</w:t>
      </w:r>
    </w:p>
    <w:p w14:paraId="7025BC22" w14:textId="77777777" w:rsidR="00A05FE7" w:rsidRPr="0044129E" w:rsidRDefault="00A05FE7" w:rsidP="00A05FE7">
      <w:pPr>
        <w:ind w:left="283"/>
        <w:jc w:val="center"/>
        <w:rPr>
          <w:b/>
          <w:i/>
        </w:rPr>
      </w:pPr>
      <w:r w:rsidRPr="0044129E">
        <w:rPr>
          <w:b/>
          <w:i/>
        </w:rPr>
        <w:t xml:space="preserve">главным администратором средств областного бюджета – </w:t>
      </w:r>
    </w:p>
    <w:p w14:paraId="4C80BB0A" w14:textId="40210243" w:rsidR="00A05FE7" w:rsidRPr="0044129E" w:rsidRDefault="00A05FE7" w:rsidP="00A05FE7">
      <w:pPr>
        <w:ind w:left="283"/>
        <w:jc w:val="center"/>
        <w:rPr>
          <w:b/>
          <w:bCs/>
          <w:i/>
          <w:iCs/>
        </w:rPr>
      </w:pPr>
      <w:r w:rsidRPr="0044129E">
        <w:rPr>
          <w:b/>
          <w:i/>
        </w:rPr>
        <w:t xml:space="preserve">комитетом </w:t>
      </w:r>
      <w:r w:rsidRPr="0044129E">
        <w:rPr>
          <w:b/>
          <w:bCs/>
          <w:i/>
          <w:iCs/>
        </w:rPr>
        <w:t>финансов Волгоградской области</w:t>
      </w:r>
    </w:p>
    <w:p w14:paraId="01945DE8" w14:textId="77777777" w:rsidR="00A05FE7" w:rsidRPr="00E97ABA" w:rsidRDefault="00A05FE7" w:rsidP="00A05FE7">
      <w:pPr>
        <w:ind w:firstLine="709"/>
        <w:jc w:val="both"/>
        <w:rPr>
          <w:sz w:val="16"/>
          <w:szCs w:val="16"/>
        </w:rPr>
      </w:pPr>
    </w:p>
    <w:p w14:paraId="33E336A5" w14:textId="7EF3B84D" w:rsidR="00A05FE7" w:rsidRPr="0044129E" w:rsidRDefault="00A05FE7" w:rsidP="00682C8B">
      <w:pPr>
        <w:ind w:firstLine="709"/>
        <w:jc w:val="both"/>
      </w:pPr>
      <w:r w:rsidRPr="0044129E">
        <w:t>В соответствии с п. 3.1.20 Плана работы контрольно-счетной палаты Волгоградской области, утвержденного постановлением коллегии контрольно-счетной палаты Волгоградской области от 03.12.2020 № 13/3, в целях подготовки заключения на годовой отчет об исполнении областного бюджета за 2020 год проведена внешняя проверка бюджетной отчетности и отдельных вопросов исполнения областного бюджета за 2020 год главным администратором средств областного бюджета –</w:t>
      </w:r>
      <w:r w:rsidRPr="0044129E">
        <w:rPr>
          <w:b/>
          <w:i/>
        </w:rPr>
        <w:t xml:space="preserve"> </w:t>
      </w:r>
      <w:r w:rsidRPr="0044129E">
        <w:t xml:space="preserve">комитетом </w:t>
      </w:r>
      <w:r w:rsidRPr="0044129E">
        <w:rPr>
          <w:bCs/>
          <w:iCs/>
        </w:rPr>
        <w:t>финансов Волгоградской области</w:t>
      </w:r>
      <w:r w:rsidRPr="0044129E">
        <w:rPr>
          <w:b/>
          <w:i/>
        </w:rPr>
        <w:t xml:space="preserve"> </w:t>
      </w:r>
      <w:r w:rsidRPr="0044129E">
        <w:t>(далее - Облфин).</w:t>
      </w:r>
    </w:p>
    <w:p w14:paraId="7E1B8C68" w14:textId="77777777" w:rsidR="00A05FE7" w:rsidRDefault="00A05FE7" w:rsidP="00682C8B">
      <w:pPr>
        <w:pStyle w:val="ConsPlusNormal"/>
        <w:ind w:firstLine="709"/>
        <w:jc w:val="both"/>
      </w:pPr>
      <w:r w:rsidRPr="0044129E">
        <w:rPr>
          <w:sz w:val="23"/>
          <w:szCs w:val="23"/>
        </w:rPr>
        <w:t xml:space="preserve">В соответствии с Законом Волгоградской области от 15.03.2012 № 22-ОД «О системе органов исполнительной власти Волгоградской </w:t>
      </w:r>
      <w:r>
        <w:rPr>
          <w:sz w:val="23"/>
          <w:szCs w:val="23"/>
        </w:rPr>
        <w:t>области» Облфин входит в систему органов исполнительной власти Волгоградской области.</w:t>
      </w:r>
      <w:r w:rsidRPr="00AD10CD">
        <w:rPr>
          <w:sz w:val="23"/>
          <w:szCs w:val="23"/>
        </w:rPr>
        <w:t xml:space="preserve"> </w:t>
      </w:r>
      <w:r>
        <w:rPr>
          <w:sz w:val="23"/>
          <w:szCs w:val="23"/>
        </w:rPr>
        <w:t xml:space="preserve">Облфин осуществляет свои полномочия на основании </w:t>
      </w:r>
      <w:r w:rsidRPr="00747B22">
        <w:t>Положени</w:t>
      </w:r>
      <w:r>
        <w:t>я</w:t>
      </w:r>
      <w:r w:rsidRPr="00747B22">
        <w:t xml:space="preserve"> о комитете финансов Волгоградской области, утвержденно</w:t>
      </w:r>
      <w:r>
        <w:t>го</w:t>
      </w:r>
      <w:r w:rsidRPr="00747B22">
        <w:t xml:space="preserve"> постановлением Губернатора Волгоградской области от 08.04.2014 № 309</w:t>
      </w:r>
      <w:r>
        <w:t>.</w:t>
      </w:r>
    </w:p>
    <w:p w14:paraId="01E6719D" w14:textId="77777777" w:rsidR="00A05FE7" w:rsidRPr="00747B22" w:rsidRDefault="00A05FE7" w:rsidP="00FB1918">
      <w:pPr>
        <w:pStyle w:val="ConsPlusNormal"/>
        <w:ind w:firstLine="709"/>
        <w:jc w:val="both"/>
      </w:pPr>
      <w:r w:rsidRPr="00747B22">
        <w:t xml:space="preserve">Облфин </w:t>
      </w:r>
      <w:r w:rsidRPr="00747B22">
        <w:rPr>
          <w:lang w:eastAsia="en-US"/>
        </w:rPr>
        <w:t xml:space="preserve">является </w:t>
      </w:r>
      <w:r w:rsidRPr="00747B22">
        <w:t>финансовым органом Волгоградской области, органом исполнительной власти Волгоградской области, осуществляющим проведение единой финансовой, бюджетной и налоговой политики, составление и организацию исполнения областного бюджета, управление государственным долгом, исполнение полномочий органа внутреннего государственного финансового контроля, общее руководство организацией финансов в Волгоградской области.</w:t>
      </w:r>
    </w:p>
    <w:p w14:paraId="4594C606" w14:textId="1A931B4C" w:rsidR="00A05FE7" w:rsidRDefault="00A05FE7" w:rsidP="00FB1918">
      <w:pPr>
        <w:autoSpaceDE w:val="0"/>
        <w:autoSpaceDN w:val="0"/>
        <w:adjustRightInd w:val="0"/>
        <w:ind w:firstLine="709"/>
        <w:jc w:val="both"/>
        <w:outlineLvl w:val="0"/>
        <w:rPr>
          <w:color w:val="FF0000"/>
        </w:rPr>
      </w:pPr>
      <w:r>
        <w:t>Н</w:t>
      </w:r>
      <w:r w:rsidRPr="00A424B1">
        <w:t>а 01.01.202</w:t>
      </w:r>
      <w:r w:rsidR="00AA6D5F">
        <w:t>0 и 01.01.2021</w:t>
      </w:r>
      <w:r w:rsidRPr="00A424B1">
        <w:t xml:space="preserve"> штатная численность </w:t>
      </w:r>
      <w:proofErr w:type="spellStart"/>
      <w:r w:rsidRPr="00A424B1">
        <w:t>Облфина</w:t>
      </w:r>
      <w:proofErr w:type="spellEnd"/>
      <w:r w:rsidRPr="00A424B1">
        <w:t xml:space="preserve"> состав</w:t>
      </w:r>
      <w:r w:rsidR="00AA6D5F">
        <w:t>ля</w:t>
      </w:r>
      <w:r w:rsidRPr="00A424B1">
        <w:t>ла 203 ед., в том числе 1 государственн</w:t>
      </w:r>
      <w:r>
        <w:t>ая</w:t>
      </w:r>
      <w:r w:rsidRPr="00A424B1">
        <w:t xml:space="preserve"> должность, 200</w:t>
      </w:r>
      <w:r>
        <w:t xml:space="preserve"> должностей</w:t>
      </w:r>
      <w:r w:rsidRPr="00A424B1">
        <w:t xml:space="preserve"> государственн</w:t>
      </w:r>
      <w:r>
        <w:t>ой</w:t>
      </w:r>
      <w:r w:rsidRPr="00A424B1">
        <w:t xml:space="preserve"> гражданск</w:t>
      </w:r>
      <w:r>
        <w:t>ой</w:t>
      </w:r>
      <w:r w:rsidRPr="00A424B1">
        <w:t xml:space="preserve"> </w:t>
      </w:r>
      <w:r>
        <w:t>службы</w:t>
      </w:r>
      <w:r w:rsidRPr="00A424B1">
        <w:t xml:space="preserve"> (далее – </w:t>
      </w:r>
      <w:r w:rsidRPr="00E87824">
        <w:t>ГГС</w:t>
      </w:r>
      <w:r w:rsidRPr="00A424B1">
        <w:t>)</w:t>
      </w:r>
      <w:r>
        <w:t xml:space="preserve"> и</w:t>
      </w:r>
      <w:r w:rsidRPr="00A424B1">
        <w:t xml:space="preserve"> 2 должности, не отнесенные к должностям гос</w:t>
      </w:r>
      <w:r>
        <w:t xml:space="preserve">ударственной гражданской </w:t>
      </w:r>
      <w:r w:rsidRPr="00A424B1">
        <w:t>службы.</w:t>
      </w:r>
      <w:r>
        <w:rPr>
          <w:color w:val="FF0000"/>
        </w:rPr>
        <w:t xml:space="preserve"> </w:t>
      </w:r>
      <w:r w:rsidRPr="00720826">
        <w:t xml:space="preserve">На </w:t>
      </w:r>
      <w:r w:rsidR="00C658CD">
        <w:t>01.01.</w:t>
      </w:r>
      <w:r w:rsidRPr="00720826">
        <w:t xml:space="preserve">2020 </w:t>
      </w:r>
      <w:r w:rsidR="00AA6D5F">
        <w:t>были</w:t>
      </w:r>
      <w:r w:rsidRPr="00720826">
        <w:t xml:space="preserve"> вакантны</w:t>
      </w:r>
      <w:r w:rsidR="00AA6D5F">
        <w:t>е</w:t>
      </w:r>
      <w:r w:rsidRPr="00720826">
        <w:t xml:space="preserve"> 4 должности ГГС, на 01.01.2021 </w:t>
      </w:r>
      <w:r w:rsidR="00C658CD">
        <w:t xml:space="preserve">– </w:t>
      </w:r>
      <w:r w:rsidRPr="00720826">
        <w:t>8 должностей ГГС.</w:t>
      </w:r>
      <w:r w:rsidRPr="00981059">
        <w:rPr>
          <w:color w:val="FF0000"/>
        </w:rPr>
        <w:t xml:space="preserve"> </w:t>
      </w:r>
    </w:p>
    <w:p w14:paraId="65A22B8B" w14:textId="3416CE82" w:rsidR="0044129E" w:rsidRPr="0044129E" w:rsidRDefault="00A05FE7" w:rsidP="00FB1918">
      <w:pPr>
        <w:ind w:firstLine="709"/>
        <w:jc w:val="both"/>
      </w:pPr>
      <w:r w:rsidRPr="0044129E">
        <w:t xml:space="preserve">В соответствии с Законом Волгоградской области от 21.11.2019 № 97-ОД «Об областном бюджете на 2020 год и на плановый период 2021 и 2022 годов» (далее - Закон об областном бюджете на 2020 год) </w:t>
      </w:r>
      <w:r w:rsidR="0044129E" w:rsidRPr="0044129E">
        <w:t>Облфин</w:t>
      </w:r>
      <w:r w:rsidRPr="0044129E">
        <w:t xml:space="preserve"> включен в перечень главных администраторов доходов областного бюджета</w:t>
      </w:r>
      <w:r w:rsidR="0044129E" w:rsidRPr="0044129E">
        <w:t>,</w:t>
      </w:r>
      <w:r w:rsidRPr="0044129E">
        <w:t xml:space="preserve"> главных распорядителей средств областного бюджета</w:t>
      </w:r>
      <w:r w:rsidR="0044129E" w:rsidRPr="0044129E">
        <w:t xml:space="preserve"> и главных администраторов источников финансирования дефицита областного бюджета.</w:t>
      </w:r>
    </w:p>
    <w:p w14:paraId="3C56FBD4" w14:textId="77777777" w:rsidR="00FB1918" w:rsidRDefault="0044129E" w:rsidP="00FB1918">
      <w:pPr>
        <w:autoSpaceDE w:val="0"/>
        <w:autoSpaceDN w:val="0"/>
        <w:adjustRightInd w:val="0"/>
        <w:ind w:firstLine="709"/>
        <w:jc w:val="both"/>
      </w:pPr>
      <w:r w:rsidRPr="00747B22">
        <w:t>Облфин</w:t>
      </w:r>
      <w:r>
        <w:t xml:space="preserve"> </w:t>
      </w:r>
      <w:r w:rsidRPr="00747B22">
        <w:t>осуществляет функции и полномочия учредителя государственного казенного учреждения Волгоградской области «Центр бюджетного учета и отчетности» (далее – ГКУ «ЦБУ»).</w:t>
      </w:r>
      <w:r w:rsidR="00887835">
        <w:t xml:space="preserve"> </w:t>
      </w:r>
    </w:p>
    <w:p w14:paraId="0A135CDB" w14:textId="6B451790" w:rsidR="00FB1918" w:rsidRPr="00710C87" w:rsidRDefault="00FB1918" w:rsidP="00FB1918">
      <w:pPr>
        <w:pStyle w:val="Standard"/>
        <w:ind w:firstLine="709"/>
        <w:jc w:val="both"/>
        <w:rPr>
          <w:rFonts w:eastAsia="Times New Roman"/>
        </w:rPr>
      </w:pPr>
      <w:r w:rsidRPr="00710C87">
        <w:t xml:space="preserve">Штатная численность учреждения на </w:t>
      </w:r>
      <w:r>
        <w:t>01.01.2020</w:t>
      </w:r>
      <w:r w:rsidRPr="00710C87">
        <w:t xml:space="preserve"> составляла 56 </w:t>
      </w:r>
      <w:r>
        <w:t>ед.</w:t>
      </w:r>
      <w:r w:rsidRPr="00710C87">
        <w:t>, фактическая численность на</w:t>
      </w:r>
      <w:r>
        <w:t xml:space="preserve"> 01</w:t>
      </w:r>
      <w:r w:rsidRPr="00710C87">
        <w:t>.</w:t>
      </w:r>
      <w:r>
        <w:t>01</w:t>
      </w:r>
      <w:r w:rsidRPr="00710C87">
        <w:t>.20</w:t>
      </w:r>
      <w:r>
        <w:t>20</w:t>
      </w:r>
      <w:r w:rsidRPr="00710C87">
        <w:t xml:space="preserve"> - 53 </w:t>
      </w:r>
      <w:r>
        <w:t>ед.</w:t>
      </w:r>
      <w:r w:rsidRPr="00710C87">
        <w:t xml:space="preserve"> (из которых 3 сотрудника </w:t>
      </w:r>
      <w:r w:rsidRPr="00710C87">
        <w:rPr>
          <w:rFonts w:eastAsia="Times New Roman"/>
        </w:rPr>
        <w:t>работали на 0,5 ставки на условиях внешнего совместительства)</w:t>
      </w:r>
      <w:r w:rsidRPr="00710C87">
        <w:rPr>
          <w:rFonts w:eastAsia="Times New Roman"/>
          <w:i/>
        </w:rPr>
        <w:t>.</w:t>
      </w:r>
      <w:r w:rsidRPr="00710C87">
        <w:t xml:space="preserve"> </w:t>
      </w:r>
    </w:p>
    <w:p w14:paraId="0A881397" w14:textId="7007C59C" w:rsidR="00887835" w:rsidRPr="000A60FB" w:rsidRDefault="00887835" w:rsidP="00FB1918">
      <w:pPr>
        <w:autoSpaceDE w:val="0"/>
        <w:autoSpaceDN w:val="0"/>
        <w:adjustRightInd w:val="0"/>
        <w:ind w:firstLine="709"/>
        <w:jc w:val="both"/>
        <w:rPr>
          <w:rFonts w:eastAsia="Times New Roman"/>
        </w:rPr>
      </w:pPr>
      <w:r w:rsidRPr="000A60FB">
        <w:t>На 01.01.2021 штатная численность учреждения состав</w:t>
      </w:r>
      <w:r w:rsidR="00FB1918">
        <w:t>и</w:t>
      </w:r>
      <w:r w:rsidRPr="000A60FB">
        <w:t xml:space="preserve">ла </w:t>
      </w:r>
      <w:r w:rsidR="00FB1918">
        <w:t>64</w:t>
      </w:r>
      <w:r w:rsidRPr="000A60FB">
        <w:t xml:space="preserve"> единиц</w:t>
      </w:r>
      <w:r w:rsidR="00FB1918">
        <w:t>ы</w:t>
      </w:r>
      <w:r w:rsidRPr="000A60FB">
        <w:t xml:space="preserve">, фактическая численность – 54 человека, из них 3 сотрудника </w:t>
      </w:r>
      <w:r w:rsidRPr="000A60FB">
        <w:rPr>
          <w:rFonts w:eastAsia="Times New Roman"/>
        </w:rPr>
        <w:t>выполняли работу на 0,5 ставки на условиях внешнего совместительства).</w:t>
      </w:r>
    </w:p>
    <w:p w14:paraId="3799EC5F" w14:textId="54A5DA3C" w:rsidR="0044129E" w:rsidRDefault="0044129E" w:rsidP="00682C8B">
      <w:pPr>
        <w:ind w:firstLine="709"/>
        <w:jc w:val="both"/>
      </w:pPr>
    </w:p>
    <w:p w14:paraId="79B2116D" w14:textId="77777777" w:rsidR="00FB1918" w:rsidRDefault="00FB1918" w:rsidP="00682C8B">
      <w:pPr>
        <w:ind w:firstLine="709"/>
        <w:jc w:val="both"/>
      </w:pPr>
    </w:p>
    <w:p w14:paraId="4AB3E5CC" w14:textId="77777777" w:rsidR="00682C8B" w:rsidRPr="00E97ABA" w:rsidRDefault="00682C8B" w:rsidP="00682C8B">
      <w:pPr>
        <w:ind w:firstLine="709"/>
        <w:jc w:val="both"/>
        <w:rPr>
          <w:sz w:val="16"/>
          <w:szCs w:val="16"/>
        </w:rPr>
      </w:pPr>
    </w:p>
    <w:p w14:paraId="4073722F" w14:textId="77777777" w:rsidR="00682C8B" w:rsidRPr="000808D1" w:rsidRDefault="00682C8B" w:rsidP="00682C8B">
      <w:pPr>
        <w:ind w:firstLine="709"/>
        <w:jc w:val="center"/>
        <w:rPr>
          <w:b/>
        </w:rPr>
      </w:pPr>
      <w:r w:rsidRPr="00941A4B">
        <w:rPr>
          <w:b/>
        </w:rPr>
        <w:lastRenderedPageBreak/>
        <w:t>Проверка полноты и достоверности бюджетной отчетности</w:t>
      </w:r>
    </w:p>
    <w:p w14:paraId="6D40E80F" w14:textId="7FF379A1" w:rsidR="00AD2D82" w:rsidRPr="0018539E" w:rsidRDefault="00A510BD" w:rsidP="00A510BD">
      <w:pPr>
        <w:ind w:firstLine="680"/>
        <w:jc w:val="both"/>
      </w:pPr>
      <w:bookmarkStart w:id="0" w:name="_Hlk68616542"/>
      <w:r>
        <w:t>Б</w:t>
      </w:r>
      <w:r w:rsidRPr="003C06FC">
        <w:t>юджетная</w:t>
      </w:r>
      <w:r w:rsidRPr="00A510BD">
        <w:t xml:space="preserve"> </w:t>
      </w:r>
      <w:r w:rsidRPr="003C06FC">
        <w:t xml:space="preserve">отчетность </w:t>
      </w:r>
      <w:proofErr w:type="spellStart"/>
      <w:r w:rsidRPr="003C06FC">
        <w:t>Облфина</w:t>
      </w:r>
      <w:proofErr w:type="spellEnd"/>
      <w:r>
        <w:t>,</w:t>
      </w:r>
      <w:r w:rsidRPr="003C06FC">
        <w:t xml:space="preserve"> ГКУ «ЦБУ»</w:t>
      </w:r>
      <w:r>
        <w:t xml:space="preserve"> и сводная отчетность </w:t>
      </w:r>
      <w:proofErr w:type="spellStart"/>
      <w:r>
        <w:t>Облфина</w:t>
      </w:r>
      <w:proofErr w:type="spellEnd"/>
      <w:r>
        <w:t xml:space="preserve"> представлена</w:t>
      </w:r>
      <w:r w:rsidR="00FB1918">
        <w:t xml:space="preserve"> к</w:t>
      </w:r>
      <w:r>
        <w:t xml:space="preserve"> </w:t>
      </w:r>
      <w:r w:rsidRPr="003C06FC">
        <w:t>проверке в составе, определенном ст. 264.1 БК РФ и п. 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№191н.</w:t>
      </w:r>
      <w:r>
        <w:t xml:space="preserve"> </w:t>
      </w:r>
      <w:r w:rsidR="00AD2D82" w:rsidRPr="0018539E">
        <w:t>По комплектности бюджетной отчетности</w:t>
      </w:r>
      <w:r w:rsidR="00FB6483">
        <w:t xml:space="preserve"> и достоверности её показателей</w:t>
      </w:r>
      <w:r w:rsidR="00AD2D82" w:rsidRPr="0018539E">
        <w:t xml:space="preserve"> нарушений не установлено.</w:t>
      </w:r>
    </w:p>
    <w:p w14:paraId="02C56C36" w14:textId="77777777" w:rsidR="00E97ABA" w:rsidRPr="005C4428" w:rsidRDefault="00E97ABA" w:rsidP="00EE097A">
      <w:pPr>
        <w:pStyle w:val="ConsPlusNormal"/>
        <w:ind w:firstLine="680"/>
        <w:jc w:val="both"/>
        <w:rPr>
          <w:rFonts w:eastAsiaTheme="minorHAnsi"/>
          <w:lang w:eastAsia="en-US"/>
        </w:rPr>
      </w:pPr>
    </w:p>
    <w:p w14:paraId="5CA125CD" w14:textId="77777777" w:rsidR="00AD2D82" w:rsidRPr="00E20AA2" w:rsidRDefault="00AD2D82" w:rsidP="0037295A">
      <w:pPr>
        <w:pStyle w:val="ConsPlusNormal"/>
        <w:jc w:val="center"/>
        <w:rPr>
          <w:b/>
          <w:iCs/>
        </w:rPr>
      </w:pPr>
      <w:r w:rsidRPr="00E20AA2">
        <w:rPr>
          <w:b/>
          <w:iCs/>
        </w:rPr>
        <w:t>Исполнение плановых назначений по закрепленным доходам</w:t>
      </w:r>
    </w:p>
    <w:p w14:paraId="3BB644AC" w14:textId="530E6780" w:rsidR="00AD2D82" w:rsidRPr="007F2009" w:rsidRDefault="00A510BD" w:rsidP="00682C8B">
      <w:pPr>
        <w:ind w:firstLine="709"/>
        <w:jc w:val="both"/>
      </w:pPr>
      <w:r>
        <w:t xml:space="preserve">Администрируемые </w:t>
      </w:r>
      <w:proofErr w:type="spellStart"/>
      <w:r>
        <w:t>Облфином</w:t>
      </w:r>
      <w:proofErr w:type="spellEnd"/>
      <w:r w:rsidR="00AD2D82" w:rsidRPr="007F2009">
        <w:t xml:space="preserve"> доходы в 20</w:t>
      </w:r>
      <w:r w:rsidR="007856DD">
        <w:t>20</w:t>
      </w:r>
      <w:r w:rsidR="007F2009" w:rsidRPr="007F2009">
        <w:t xml:space="preserve"> году исполнены </w:t>
      </w:r>
      <w:r>
        <w:t>в сумме</w:t>
      </w:r>
      <w:r w:rsidR="007F2009" w:rsidRPr="007F2009">
        <w:t xml:space="preserve"> 1</w:t>
      </w:r>
      <w:r w:rsidR="00A12FC2">
        <w:t xml:space="preserve">6 664 198,4 </w:t>
      </w:r>
      <w:r w:rsidR="00AD2D82" w:rsidRPr="007F2009">
        <w:t xml:space="preserve">тыс. руб., </w:t>
      </w:r>
      <w:r w:rsidR="00FB1918">
        <w:t>что больше прогнозных назначений на 568 822,1 тыс. руб., или</w:t>
      </w:r>
      <w:r w:rsidR="00AD2D82" w:rsidRPr="007F2009">
        <w:t xml:space="preserve"> на </w:t>
      </w:r>
      <w:r w:rsidR="00A12FC2">
        <w:t>3,5</w:t>
      </w:r>
      <w:r w:rsidR="00FB1918">
        <w:t xml:space="preserve"> процента. П</w:t>
      </w:r>
      <w:r w:rsidR="00682C8B">
        <w:t xml:space="preserve">лановый показатель по </w:t>
      </w:r>
      <w:r w:rsidR="00AD2D82" w:rsidRPr="007F2009">
        <w:t>налоговы</w:t>
      </w:r>
      <w:r w:rsidR="00682C8B">
        <w:t>м</w:t>
      </w:r>
      <w:r w:rsidR="00AD2D82" w:rsidRPr="007F2009">
        <w:t xml:space="preserve"> и неналогов</w:t>
      </w:r>
      <w:r w:rsidR="007F2009" w:rsidRPr="007F2009">
        <w:t>ы</w:t>
      </w:r>
      <w:r w:rsidR="00682C8B">
        <w:t>м</w:t>
      </w:r>
      <w:r w:rsidR="007F2009" w:rsidRPr="007F2009">
        <w:t xml:space="preserve"> доход</w:t>
      </w:r>
      <w:r w:rsidR="00682C8B">
        <w:t>ам</w:t>
      </w:r>
      <w:r w:rsidR="007F2009" w:rsidRPr="007F2009">
        <w:t xml:space="preserve"> перевыполнен на </w:t>
      </w:r>
      <w:r w:rsidR="00A12FC2">
        <w:t>579,1</w:t>
      </w:r>
      <w:r w:rsidR="007F2009" w:rsidRPr="007F2009">
        <w:t xml:space="preserve"> тыс. руб. (+</w:t>
      </w:r>
      <w:r w:rsidR="00A12FC2">
        <w:t>14,9</w:t>
      </w:r>
      <w:r w:rsidR="00AD2D82" w:rsidRPr="007F2009">
        <w:t>%),</w:t>
      </w:r>
      <w:r w:rsidR="00682C8B">
        <w:t xml:space="preserve"> по</w:t>
      </w:r>
      <w:r w:rsidR="00AD2D82" w:rsidRPr="007F2009">
        <w:t xml:space="preserve"> безвозмез</w:t>
      </w:r>
      <w:r w:rsidR="007F2009" w:rsidRPr="007F2009">
        <w:t>дны</w:t>
      </w:r>
      <w:r w:rsidR="00682C8B">
        <w:t>м</w:t>
      </w:r>
      <w:r w:rsidR="007F2009" w:rsidRPr="007F2009">
        <w:t xml:space="preserve"> поступления</w:t>
      </w:r>
      <w:r w:rsidR="00682C8B">
        <w:t>м</w:t>
      </w:r>
      <w:r w:rsidR="007F2009" w:rsidRPr="007F2009">
        <w:t xml:space="preserve"> – на </w:t>
      </w:r>
      <w:r w:rsidR="00A12FC2">
        <w:t>568 243,0</w:t>
      </w:r>
      <w:r w:rsidR="007F2009" w:rsidRPr="007F2009">
        <w:t xml:space="preserve"> тыс. руб. (+</w:t>
      </w:r>
      <w:r w:rsidR="00A12FC2">
        <w:t>3,5</w:t>
      </w:r>
      <w:r w:rsidR="00AD2D82" w:rsidRPr="007F2009">
        <w:t>%).</w:t>
      </w:r>
      <w:r w:rsidR="006B339D">
        <w:t xml:space="preserve"> </w:t>
      </w:r>
      <w:r w:rsidR="006B339D" w:rsidRPr="006B339D">
        <w:t xml:space="preserve">Информация об администрируемых </w:t>
      </w:r>
      <w:proofErr w:type="spellStart"/>
      <w:r w:rsidR="006B339D" w:rsidRPr="006B339D">
        <w:t>Облфином</w:t>
      </w:r>
      <w:proofErr w:type="spellEnd"/>
      <w:r w:rsidR="006B339D" w:rsidRPr="006B339D">
        <w:t xml:space="preserve"> доходах и их фактическом поступлении в 2020 году представлена в приложении № 1.</w:t>
      </w:r>
    </w:p>
    <w:p w14:paraId="5A754842" w14:textId="6AA57463" w:rsidR="00AD2D82" w:rsidRPr="006A7167" w:rsidRDefault="00AD2D82" w:rsidP="00682C8B">
      <w:pPr>
        <w:ind w:firstLine="709"/>
        <w:jc w:val="both"/>
      </w:pPr>
      <w:r w:rsidRPr="00E71FFA">
        <w:t>Перевыполнение по налоговым и неналоговым доходам сложилось в основном</w:t>
      </w:r>
      <w:r w:rsidR="007F2009" w:rsidRPr="00E71FFA">
        <w:t xml:space="preserve"> по </w:t>
      </w:r>
      <w:r w:rsidR="000808D1" w:rsidRPr="00E71FFA">
        <w:t>штрафам</w:t>
      </w:r>
      <w:r w:rsidR="000808D1" w:rsidRPr="00E71FFA">
        <w:rPr>
          <w:rFonts w:eastAsia="Times New Roman"/>
          <w:i/>
          <w:iCs/>
          <w:sz w:val="16"/>
          <w:szCs w:val="16"/>
        </w:rPr>
        <w:t xml:space="preserve">, </w:t>
      </w:r>
      <w:r w:rsidR="000808D1" w:rsidRPr="00E71FFA">
        <w:rPr>
          <w:rFonts w:eastAsia="Times New Roman"/>
          <w:iCs/>
        </w:rPr>
        <w:t>санкциям, возмещению ущерба</w:t>
      </w:r>
      <w:r w:rsidR="000808D1" w:rsidRPr="00E71FFA">
        <w:t xml:space="preserve"> на </w:t>
      </w:r>
      <w:r w:rsidR="00E71FFA" w:rsidRPr="00E71FFA">
        <w:t>764,8</w:t>
      </w:r>
      <w:r w:rsidR="000808D1" w:rsidRPr="00E71FFA">
        <w:t xml:space="preserve"> тыс.</w:t>
      </w:r>
      <w:r w:rsidR="00747B22" w:rsidRPr="00E71FFA">
        <w:t xml:space="preserve"> </w:t>
      </w:r>
      <w:r w:rsidR="00694F25" w:rsidRPr="00E71FFA">
        <w:t>руб.</w:t>
      </w:r>
      <w:r w:rsidR="00682C8B">
        <w:t xml:space="preserve"> (+</w:t>
      </w:r>
      <w:r w:rsidR="00E71FFA" w:rsidRPr="00E71FFA">
        <w:t>21,3</w:t>
      </w:r>
      <w:r w:rsidR="00694F25" w:rsidRPr="00E71FFA">
        <w:t>%</w:t>
      </w:r>
      <w:r w:rsidR="00682C8B">
        <w:t xml:space="preserve">), из них по </w:t>
      </w:r>
      <w:r w:rsidRPr="006A7167">
        <w:t xml:space="preserve">денежным взысканиям (штрафам) за нарушение законодательства РФ о </w:t>
      </w:r>
      <w:r w:rsidRPr="006A7167">
        <w:rPr>
          <w:rFonts w:eastAsia="Times New Roman"/>
        </w:rPr>
        <w:t xml:space="preserve">контрактной системе в сфере закупок товаров, работ, услуг для обеспечения государственных нужд </w:t>
      </w:r>
      <w:r w:rsidR="00204E84" w:rsidRPr="006A7167">
        <w:rPr>
          <w:rFonts w:eastAsia="Times New Roman"/>
        </w:rPr>
        <w:t xml:space="preserve">- </w:t>
      </w:r>
      <w:r w:rsidR="004D5FDB" w:rsidRPr="006A7167">
        <w:rPr>
          <w:rFonts w:eastAsia="Times New Roman"/>
        </w:rPr>
        <w:t xml:space="preserve">на </w:t>
      </w:r>
      <w:r w:rsidR="006A7167" w:rsidRPr="006A7167">
        <w:rPr>
          <w:rFonts w:eastAsia="Times New Roman"/>
        </w:rPr>
        <w:t>691,0</w:t>
      </w:r>
      <w:r w:rsidR="004D5FDB" w:rsidRPr="006A7167">
        <w:rPr>
          <w:rFonts w:eastAsia="Times New Roman"/>
        </w:rPr>
        <w:t xml:space="preserve"> тыс. руб</w:t>
      </w:r>
      <w:r w:rsidR="00682C8B">
        <w:rPr>
          <w:rFonts w:eastAsia="Times New Roman"/>
        </w:rPr>
        <w:t>лей</w:t>
      </w:r>
      <w:r w:rsidR="007404DF" w:rsidRPr="006A7167">
        <w:rPr>
          <w:rFonts w:eastAsia="Times New Roman"/>
        </w:rPr>
        <w:t>.</w:t>
      </w:r>
      <w:r w:rsidR="006B339D">
        <w:rPr>
          <w:rFonts w:eastAsia="Times New Roman"/>
        </w:rPr>
        <w:t xml:space="preserve"> Невыполнение планового показателя сложилось по доходам от оказания платных услуг (работ) и компенсации затрат государства в сумме 184,7 тыс. рублей.</w:t>
      </w:r>
    </w:p>
    <w:p w14:paraId="15E6DB01" w14:textId="7C79A5C1" w:rsidR="00DF3D11" w:rsidRDefault="00AD2D82" w:rsidP="00682C8B">
      <w:pPr>
        <w:ind w:firstLine="709"/>
        <w:jc w:val="both"/>
      </w:pPr>
      <w:r w:rsidRPr="006A7167">
        <w:t>По безвозмездным поступлениям перевыполнение утвержденных бюджетных назначений</w:t>
      </w:r>
      <w:r w:rsidR="00DF3D11">
        <w:t xml:space="preserve"> на 568 243,0 тыс. руб.</w:t>
      </w:r>
      <w:r w:rsidRPr="006A7167">
        <w:t xml:space="preserve"> </w:t>
      </w:r>
      <w:r w:rsidR="009D65E9">
        <w:t>сложилось</w:t>
      </w:r>
      <w:r w:rsidR="00C9021B">
        <w:t xml:space="preserve"> в основном</w:t>
      </w:r>
      <w:r w:rsidR="009D65E9">
        <w:t xml:space="preserve"> по</w:t>
      </w:r>
      <w:r w:rsidR="00E75D64">
        <w:t xml:space="preserve"> </w:t>
      </w:r>
      <w:r w:rsidR="00DF3D11">
        <w:t>предоставлен</w:t>
      </w:r>
      <w:r w:rsidR="009D65E9">
        <w:t>ным</w:t>
      </w:r>
      <w:r w:rsidR="00DF3D11">
        <w:t xml:space="preserve"> бюджету Волгоградской области</w:t>
      </w:r>
      <w:r w:rsidR="009D65E9">
        <w:t xml:space="preserve"> межбюджетны</w:t>
      </w:r>
      <w:r w:rsidR="00E84B1B">
        <w:t>м</w:t>
      </w:r>
      <w:r w:rsidR="009D65E9">
        <w:t xml:space="preserve"> трансферт</w:t>
      </w:r>
      <w:r w:rsidR="00E84B1B">
        <w:t>ам</w:t>
      </w:r>
      <w:r w:rsidR="009D65E9">
        <w:t>, не учтенны</w:t>
      </w:r>
      <w:r w:rsidR="00E84B1B">
        <w:t>м</w:t>
      </w:r>
      <w:r w:rsidR="009D65E9">
        <w:t xml:space="preserve"> Законом об областном бюджете </w:t>
      </w:r>
      <w:r w:rsidR="0059334A">
        <w:t>на</w:t>
      </w:r>
      <w:r w:rsidR="009D65E9">
        <w:t xml:space="preserve"> 2020 год</w:t>
      </w:r>
      <w:r w:rsidR="00DF3D11">
        <w:t>:</w:t>
      </w:r>
    </w:p>
    <w:p w14:paraId="1C19A0C4" w14:textId="074BB493" w:rsidR="00E75D64" w:rsidRDefault="00DF3D11" w:rsidP="00682C8B">
      <w:pPr>
        <w:ind w:firstLine="709"/>
        <w:jc w:val="both"/>
      </w:pPr>
      <w:r>
        <w:t>-</w:t>
      </w:r>
      <w:r w:rsidR="006A7167">
        <w:rPr>
          <w:rFonts w:eastAsia="Times New Roman"/>
          <w:color w:val="000000"/>
        </w:rPr>
        <w:t>д</w:t>
      </w:r>
      <w:r w:rsidR="006A7167" w:rsidRPr="006A7167">
        <w:rPr>
          <w:rFonts w:eastAsia="Times New Roman"/>
          <w:color w:val="000000"/>
        </w:rPr>
        <w:t>отации на поддержку мер по обеспечению сбалансированности бюджетов</w:t>
      </w:r>
      <w:r w:rsidR="00E75D64">
        <w:rPr>
          <w:rFonts w:eastAsia="Times New Roman"/>
          <w:color w:val="000000"/>
        </w:rPr>
        <w:t xml:space="preserve"> в сумме</w:t>
      </w:r>
      <w:r w:rsidR="006A7167" w:rsidRPr="00E71FFA">
        <w:rPr>
          <w:color w:val="FF0000"/>
        </w:rPr>
        <w:t xml:space="preserve"> </w:t>
      </w:r>
      <w:r w:rsidR="006A7167" w:rsidRPr="006A7167">
        <w:t>300 000,0 тыс. руб.</w:t>
      </w:r>
      <w:r w:rsidR="00E75D64">
        <w:t>;</w:t>
      </w:r>
    </w:p>
    <w:p w14:paraId="25D9CAE5" w14:textId="77777777" w:rsidR="00C2101A" w:rsidRDefault="00E75D64" w:rsidP="00682C8B">
      <w:pPr>
        <w:ind w:firstLine="709"/>
        <w:jc w:val="both"/>
      </w:pPr>
      <w:r>
        <w:t>-д</w:t>
      </w:r>
      <w:r w:rsidR="006A7167" w:rsidRPr="006A7167">
        <w:rPr>
          <w:rFonts w:eastAsia="Times New Roman"/>
          <w:color w:val="000000"/>
        </w:rPr>
        <w:t xml:space="preserve">отации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w:t>
      </w:r>
      <w:r w:rsidR="006A7167" w:rsidRPr="00C71F3F">
        <w:rPr>
          <w:rFonts w:eastAsia="Times New Roman"/>
          <w:color w:val="000000"/>
        </w:rPr>
        <w:t>помощь (участвующим в оказании, обеспечивающим оказание медицинской помощи)</w:t>
      </w:r>
      <w:r w:rsidR="006A7167" w:rsidRPr="006A7167">
        <w:rPr>
          <w:rFonts w:eastAsia="Times New Roman"/>
          <w:color w:val="000000"/>
        </w:rPr>
        <w:t xml:space="preserve"> по диагностике и лечению новой коронавирусной инфекции, контактирующим с пациентами с установленным диагнозом новой коронавирусной </w:t>
      </w:r>
      <w:r w:rsidR="006A7167" w:rsidRPr="00E75D64">
        <w:rPr>
          <w:rFonts w:eastAsia="Times New Roman"/>
        </w:rPr>
        <w:t>инфекции</w:t>
      </w:r>
      <w:r w:rsidR="006A7167" w:rsidRPr="00E75D64">
        <w:t xml:space="preserve"> </w:t>
      </w:r>
      <w:r w:rsidRPr="00E75D64">
        <w:t xml:space="preserve">в сумме </w:t>
      </w:r>
      <w:r w:rsidR="006A7167" w:rsidRPr="00E75D64">
        <w:t>154 409</w:t>
      </w:r>
      <w:r w:rsidR="006A7167" w:rsidRPr="006A7167">
        <w:t>,1 тыс. руб.</w:t>
      </w:r>
      <w:r w:rsidR="00C2101A">
        <w:t>;</w:t>
      </w:r>
    </w:p>
    <w:p w14:paraId="732C98A6" w14:textId="109E533E" w:rsidR="00C9021B" w:rsidRDefault="00C9021B" w:rsidP="00682C8B">
      <w:pPr>
        <w:ind w:firstLine="709"/>
        <w:jc w:val="both"/>
        <w:rPr>
          <w:rFonts w:eastAsiaTheme="minorHAnsi"/>
          <w:lang w:eastAsia="en-US"/>
        </w:rPr>
      </w:pPr>
      <w:r>
        <w:rPr>
          <w:rFonts w:eastAsiaTheme="minorHAnsi"/>
          <w:lang w:eastAsia="en-US"/>
        </w:rPr>
        <w:t>-дотации бюджетам на премирование победителей Всероссийского конкурса «Лучшая муниципальная практика» в сумме 45 000,0 тыс. руб.;</w:t>
      </w:r>
    </w:p>
    <w:p w14:paraId="0A91ECD8" w14:textId="77777777" w:rsidR="00C9021B" w:rsidRDefault="00C9021B" w:rsidP="00C9021B">
      <w:pPr>
        <w:ind w:firstLine="709"/>
        <w:jc w:val="both"/>
        <w:rPr>
          <w:rFonts w:eastAsiaTheme="minorHAnsi"/>
          <w:lang w:eastAsia="en-US"/>
        </w:rPr>
      </w:pPr>
      <w:r>
        <w:rPr>
          <w:rFonts w:eastAsiaTheme="minorHAnsi"/>
          <w:lang w:eastAsia="en-US"/>
        </w:rPr>
        <w:t>-дотации (гранты) бюджетам субъектов за достижение показателей деятельности органов исполнительной власти субъектов РФ в сумме 65 385,6 тыс. руб.;</w:t>
      </w:r>
    </w:p>
    <w:p w14:paraId="5518F1D3" w14:textId="16101B74" w:rsidR="00C9021B" w:rsidRDefault="00C9021B" w:rsidP="00C9021B">
      <w:pPr>
        <w:ind w:firstLine="709"/>
        <w:jc w:val="both"/>
        <w:rPr>
          <w:rFonts w:eastAsiaTheme="minorHAnsi"/>
          <w:lang w:eastAsia="en-US"/>
        </w:rPr>
      </w:pPr>
      <w:r>
        <w:t xml:space="preserve">-из резервного фонда Правительства РФ дополнительной субвенции </w:t>
      </w:r>
      <w:r>
        <w:rPr>
          <w:rFonts w:eastAsiaTheme="minorHAnsi"/>
          <w:lang w:eastAsia="en-US"/>
        </w:rPr>
        <w:t xml:space="preserve">на осуществление переданных полномочий на государственную регистрацию актов гражданского состояния на завершение перевода в электронную форму книг государственной регистрации актов гражданского состояния (актовых книг) в сумме </w:t>
      </w:r>
      <w:r w:rsidRPr="00E20AA2">
        <w:rPr>
          <w:rFonts w:eastAsiaTheme="minorHAnsi"/>
          <w:lang w:eastAsia="en-US"/>
        </w:rPr>
        <w:t>4 066,2 тыс. руб</w:t>
      </w:r>
      <w:r>
        <w:rPr>
          <w:rFonts w:eastAsiaTheme="minorHAnsi"/>
          <w:lang w:eastAsia="en-US"/>
        </w:rPr>
        <w:t>лей.</w:t>
      </w:r>
    </w:p>
    <w:p w14:paraId="15360425" w14:textId="3AF31F21" w:rsidR="00DF3D11" w:rsidRDefault="00F02F5F" w:rsidP="00682C8B">
      <w:pPr>
        <w:ind w:firstLine="709"/>
        <w:jc w:val="both"/>
      </w:pPr>
      <w:r>
        <w:t>Н</w:t>
      </w:r>
      <w:r w:rsidR="00DF3D11" w:rsidRPr="00E87824">
        <w:t xml:space="preserve">еисполнение по единой субвенции бюджетам субъектов РФ </w:t>
      </w:r>
      <w:r w:rsidR="006B339D">
        <w:t xml:space="preserve">в сумме </w:t>
      </w:r>
      <w:r w:rsidR="00E75D64" w:rsidRPr="00E87824">
        <w:t>8 251,5</w:t>
      </w:r>
      <w:r w:rsidR="00DF3D11" w:rsidRPr="00E87824">
        <w:t xml:space="preserve"> тыс. руб.</w:t>
      </w:r>
      <w:r w:rsidR="009D65E9">
        <w:t xml:space="preserve">, или </w:t>
      </w:r>
      <w:r w:rsidR="006B339D">
        <w:t xml:space="preserve">на </w:t>
      </w:r>
      <w:r w:rsidR="009D65E9">
        <w:t>3,9%</w:t>
      </w:r>
      <w:r>
        <w:t xml:space="preserve"> </w:t>
      </w:r>
      <w:r w:rsidR="00DF3D11" w:rsidRPr="00E87824">
        <w:t xml:space="preserve">обусловлено поступлением </w:t>
      </w:r>
      <w:r w:rsidR="006B339D">
        <w:t>средств</w:t>
      </w:r>
      <w:r w:rsidR="00DF3D11" w:rsidRPr="00E87824">
        <w:t xml:space="preserve"> субвенци</w:t>
      </w:r>
      <w:r w:rsidR="006B339D">
        <w:t>й</w:t>
      </w:r>
      <w:r w:rsidR="00DF3D11" w:rsidRPr="00E87824">
        <w:t xml:space="preserve"> из федерального бюджета в соответствии с произведенными расходами на основании заявок получателей.</w:t>
      </w:r>
    </w:p>
    <w:p w14:paraId="7FC4190C" w14:textId="77777777" w:rsidR="00EA1C07" w:rsidRPr="00E97ABA" w:rsidRDefault="00EA1C07" w:rsidP="002A09CD">
      <w:pPr>
        <w:autoSpaceDE w:val="0"/>
        <w:autoSpaceDN w:val="0"/>
        <w:adjustRightInd w:val="0"/>
        <w:ind w:firstLine="709"/>
        <w:rPr>
          <w:bCs/>
          <w:iCs/>
          <w:sz w:val="16"/>
          <w:szCs w:val="16"/>
        </w:rPr>
      </w:pPr>
    </w:p>
    <w:p w14:paraId="2101E5E9" w14:textId="468763A3" w:rsidR="00AD2D82" w:rsidRPr="00281939" w:rsidRDefault="00AD2D82" w:rsidP="002A09CD">
      <w:pPr>
        <w:autoSpaceDE w:val="0"/>
        <w:autoSpaceDN w:val="0"/>
        <w:adjustRightInd w:val="0"/>
        <w:ind w:firstLine="709"/>
        <w:jc w:val="center"/>
        <w:rPr>
          <w:b/>
          <w:iCs/>
        </w:rPr>
      </w:pPr>
      <w:r w:rsidRPr="00281939">
        <w:rPr>
          <w:b/>
          <w:iCs/>
        </w:rPr>
        <w:t>Исполнение расходов</w:t>
      </w:r>
    </w:p>
    <w:p w14:paraId="4E2E160A" w14:textId="02F9DCFA" w:rsidR="006B339D" w:rsidRDefault="00991C3B" w:rsidP="002A09CD">
      <w:pPr>
        <w:ind w:firstLine="709"/>
        <w:jc w:val="both"/>
      </w:pPr>
      <w:r w:rsidRPr="00281939">
        <w:t>Законом об областном бюджете</w:t>
      </w:r>
      <w:r w:rsidR="001C7403" w:rsidRPr="00281939">
        <w:t xml:space="preserve"> на 2020 год</w:t>
      </w:r>
      <w:r w:rsidR="00281939" w:rsidRPr="00281939">
        <w:t xml:space="preserve"> объем бюджетных ассигнований</w:t>
      </w:r>
      <w:r w:rsidRPr="00281939">
        <w:t xml:space="preserve"> </w:t>
      </w:r>
      <w:proofErr w:type="spellStart"/>
      <w:r w:rsidRPr="00281939">
        <w:t>Облфину</w:t>
      </w:r>
      <w:proofErr w:type="spellEnd"/>
      <w:r w:rsidR="00281939" w:rsidRPr="00281939">
        <w:t xml:space="preserve"> утвержден</w:t>
      </w:r>
      <w:r w:rsidRPr="00281939">
        <w:t xml:space="preserve"> в сумме 9 633 671,1 тыс. руб</w:t>
      </w:r>
      <w:r w:rsidR="001C7403" w:rsidRPr="00281939">
        <w:t>лей.</w:t>
      </w:r>
      <w:r w:rsidR="006B339D" w:rsidRPr="006B339D">
        <w:t xml:space="preserve"> Информация о расходах </w:t>
      </w:r>
      <w:proofErr w:type="spellStart"/>
      <w:r w:rsidR="006B339D" w:rsidRPr="006B339D">
        <w:t>Облфина</w:t>
      </w:r>
      <w:proofErr w:type="spellEnd"/>
      <w:r w:rsidR="006B339D" w:rsidRPr="006B339D">
        <w:t xml:space="preserve"> в 2020 году представлена в приложении № 2.</w:t>
      </w:r>
    </w:p>
    <w:p w14:paraId="4A59B385" w14:textId="0A468377" w:rsidR="00991C3B" w:rsidRPr="00281939" w:rsidRDefault="001C7403" w:rsidP="002A09CD">
      <w:pPr>
        <w:ind w:firstLine="709"/>
        <w:jc w:val="both"/>
        <w:rPr>
          <w:bCs/>
        </w:rPr>
      </w:pPr>
      <w:r w:rsidRPr="00281939">
        <w:t>С</w:t>
      </w:r>
      <w:r w:rsidR="00991C3B" w:rsidRPr="00281939">
        <w:t>огласно бюджетной росписи и отчету</w:t>
      </w:r>
      <w:r w:rsidR="00281939" w:rsidRPr="00281939">
        <w:t xml:space="preserve"> </w:t>
      </w:r>
      <w:proofErr w:type="spellStart"/>
      <w:r w:rsidR="00281939" w:rsidRPr="00281939">
        <w:t>Облфина</w:t>
      </w:r>
      <w:proofErr w:type="spellEnd"/>
      <w:r w:rsidR="00991C3B" w:rsidRPr="00281939">
        <w:t xml:space="preserve"> об исполнении бюджета (ф.0305127) </w:t>
      </w:r>
      <w:r w:rsidR="00281939" w:rsidRPr="00281939">
        <w:t xml:space="preserve">объем </w:t>
      </w:r>
      <w:r w:rsidR="00991C3B" w:rsidRPr="00281939">
        <w:t>бюджетны</w:t>
      </w:r>
      <w:r w:rsidR="00281939" w:rsidRPr="00281939">
        <w:t>х</w:t>
      </w:r>
      <w:r w:rsidR="00991C3B" w:rsidRPr="00281939">
        <w:t xml:space="preserve"> назначени</w:t>
      </w:r>
      <w:r w:rsidR="00281939" w:rsidRPr="00281939">
        <w:t>й</w:t>
      </w:r>
      <w:r w:rsidR="00991C3B" w:rsidRPr="00281939">
        <w:t xml:space="preserve"> </w:t>
      </w:r>
      <w:r w:rsidR="00281939" w:rsidRPr="00281939">
        <w:t>предусмотрен в сумме</w:t>
      </w:r>
      <w:r w:rsidR="00991C3B" w:rsidRPr="00281939">
        <w:t xml:space="preserve"> 9 14</w:t>
      </w:r>
      <w:r w:rsidR="00D53C53" w:rsidRPr="00281939">
        <w:t>4</w:t>
      </w:r>
      <w:r w:rsidR="00991C3B" w:rsidRPr="00281939">
        <w:t> </w:t>
      </w:r>
      <w:r w:rsidR="00D53C53" w:rsidRPr="00281939">
        <w:t>062</w:t>
      </w:r>
      <w:r w:rsidR="00991C3B" w:rsidRPr="00281939">
        <w:t>,</w:t>
      </w:r>
      <w:r w:rsidR="00D53C53" w:rsidRPr="00281939">
        <w:t>5</w:t>
      </w:r>
      <w:r w:rsidR="00991C3B" w:rsidRPr="00281939">
        <w:t xml:space="preserve"> тыс. руб., что </w:t>
      </w:r>
      <w:r w:rsidR="00991C3B" w:rsidRPr="00281939">
        <w:lastRenderedPageBreak/>
        <w:t>на 489</w:t>
      </w:r>
      <w:r w:rsidR="00D53C53" w:rsidRPr="00281939">
        <w:t> 608,6</w:t>
      </w:r>
      <w:r w:rsidR="00991C3B" w:rsidRPr="00281939">
        <w:t xml:space="preserve"> тыс. руб., или на 5,1% меньше</w:t>
      </w:r>
      <w:r w:rsidR="00281939" w:rsidRPr="00281939">
        <w:t xml:space="preserve"> </w:t>
      </w:r>
      <w:r w:rsidR="00991C3B" w:rsidRPr="00281939">
        <w:t>утвержденн</w:t>
      </w:r>
      <w:r w:rsidR="00281939" w:rsidRPr="00281939">
        <w:t>ого</w:t>
      </w:r>
      <w:r w:rsidR="00991C3B" w:rsidRPr="00281939">
        <w:t xml:space="preserve"> Законом об областном бюджете</w:t>
      </w:r>
      <w:r w:rsidR="00281939" w:rsidRPr="00281939">
        <w:t xml:space="preserve"> на 2020 год объема ассигнований</w:t>
      </w:r>
      <w:r w:rsidR="00991C3B" w:rsidRPr="00281939">
        <w:t>.</w:t>
      </w:r>
      <w:r w:rsidR="00991C3B" w:rsidRPr="00281939">
        <w:rPr>
          <w:bCs/>
        </w:rPr>
        <w:t xml:space="preserve"> </w:t>
      </w:r>
    </w:p>
    <w:p w14:paraId="5F61282C" w14:textId="113F8089" w:rsidR="00991C3B" w:rsidRPr="00DF29B3" w:rsidRDefault="00730BD3" w:rsidP="002A09CD">
      <w:pPr>
        <w:ind w:firstLine="709"/>
        <w:jc w:val="both"/>
        <w:rPr>
          <w:bCs/>
        </w:rPr>
      </w:pPr>
      <w:r w:rsidRPr="00DF29B3">
        <w:rPr>
          <w:bCs/>
        </w:rPr>
        <w:t>Указанное отклонение обусловлено</w:t>
      </w:r>
      <w:r w:rsidR="00E56A0F" w:rsidRPr="00DF29B3">
        <w:rPr>
          <w:bCs/>
        </w:rPr>
        <w:t xml:space="preserve"> в основном</w:t>
      </w:r>
      <w:r w:rsidR="00991C3B" w:rsidRPr="00DF29B3">
        <w:rPr>
          <w:bCs/>
        </w:rPr>
        <w:t>:</w:t>
      </w:r>
    </w:p>
    <w:p w14:paraId="25905942" w14:textId="1C2250B8" w:rsidR="00730BD3" w:rsidRPr="00DF29B3" w:rsidRDefault="00730BD3" w:rsidP="002A09CD">
      <w:pPr>
        <w:ind w:firstLine="709"/>
        <w:jc w:val="both"/>
        <w:rPr>
          <w:b/>
          <w:i/>
          <w:iCs/>
          <w:u w:val="single"/>
        </w:rPr>
      </w:pPr>
      <w:r w:rsidRPr="00DF29B3">
        <w:rPr>
          <w:b/>
          <w:i/>
          <w:iCs/>
          <w:u w:val="single"/>
        </w:rPr>
        <w:t>увеличением бюджетных назначений:</w:t>
      </w:r>
    </w:p>
    <w:p w14:paraId="041D3936" w14:textId="2C2C3F12" w:rsidR="00CE3076" w:rsidRPr="00DF29B3" w:rsidRDefault="00B72C59" w:rsidP="00CE3076">
      <w:pPr>
        <w:tabs>
          <w:tab w:val="left" w:pos="1106"/>
        </w:tabs>
        <w:ind w:firstLine="709"/>
        <w:jc w:val="both"/>
      </w:pPr>
      <w:r w:rsidRPr="00DF29B3">
        <w:rPr>
          <w:bCs/>
        </w:rPr>
        <w:t>-</w:t>
      </w:r>
      <w:bookmarkStart w:id="1" w:name="_Hlk67648163"/>
      <w:r w:rsidR="00992813" w:rsidRPr="00DF29B3">
        <w:rPr>
          <w:b/>
          <w:i/>
          <w:iCs/>
        </w:rPr>
        <w:t xml:space="preserve">по подразделу </w:t>
      </w:r>
      <w:bookmarkEnd w:id="1"/>
      <w:r w:rsidR="00992813" w:rsidRPr="00DF29B3">
        <w:rPr>
          <w:b/>
          <w:i/>
          <w:iCs/>
        </w:rPr>
        <w:t>0104</w:t>
      </w:r>
      <w:r w:rsidR="00992813" w:rsidRPr="00DF29B3">
        <w:rPr>
          <w:bCs/>
        </w:rPr>
        <w:t xml:space="preserve"> «Функционирование высших исполнительных органов государственной власти субъектов РФ» </w:t>
      </w:r>
      <w:r w:rsidR="00281939" w:rsidRPr="00DF29B3">
        <w:rPr>
          <w:bCs/>
        </w:rPr>
        <w:t xml:space="preserve">и </w:t>
      </w:r>
      <w:r w:rsidR="00281939" w:rsidRPr="00DF29B3">
        <w:rPr>
          <w:b/>
          <w:i/>
          <w:iCs/>
        </w:rPr>
        <w:t>подразделу 0106</w:t>
      </w:r>
      <w:r w:rsidR="00281939" w:rsidRPr="00DF29B3">
        <w:rPr>
          <w:bCs/>
        </w:rPr>
        <w:t xml:space="preserve"> «Обеспечение деятельности финансовых, налоговых и таможенных органов и органов финансового надзора» </w:t>
      </w:r>
      <w:r w:rsidR="00CE3076" w:rsidRPr="00DF29B3">
        <w:rPr>
          <w:bCs/>
        </w:rPr>
        <w:t xml:space="preserve">в общей сумме на 12 592,0 тыс. руб. в основном </w:t>
      </w:r>
      <w:r w:rsidR="00CE3076" w:rsidRPr="00DF29B3">
        <w:t xml:space="preserve">на премиальные выплаты государственным гражданским служащим </w:t>
      </w:r>
      <w:proofErr w:type="spellStart"/>
      <w:r w:rsidR="00CE3076" w:rsidRPr="00DF29B3">
        <w:t>Облфина</w:t>
      </w:r>
      <w:proofErr w:type="spellEnd"/>
      <w:r w:rsidR="00CE3076" w:rsidRPr="00DF29B3">
        <w:t xml:space="preserve">, </w:t>
      </w:r>
      <w:r w:rsidR="00DF29B3" w:rsidRPr="00DF29B3">
        <w:t>из них</w:t>
      </w:r>
      <w:r w:rsidR="00CE3076" w:rsidRPr="00DF29B3">
        <w:t>:</w:t>
      </w:r>
    </w:p>
    <w:p w14:paraId="702870A8" w14:textId="77777777" w:rsidR="00CE3076" w:rsidRPr="00DF29B3" w:rsidRDefault="00CE3076" w:rsidP="00CE3076">
      <w:pPr>
        <w:tabs>
          <w:tab w:val="left" w:pos="1106"/>
        </w:tabs>
        <w:ind w:firstLine="709"/>
        <w:jc w:val="both"/>
      </w:pPr>
      <w:r w:rsidRPr="00DF29B3">
        <w:t>-4 786,8 тыс. руб. государственным гражданским служащим за счет дотации из федерального бюджета бюджетам субъектов РФ за достижение показателей деятельности органов исполнительной власти субъектов РФ в 2020 году;</w:t>
      </w:r>
    </w:p>
    <w:p w14:paraId="5A76C508" w14:textId="1598F693" w:rsidR="00CE3076" w:rsidRPr="00DF29B3" w:rsidRDefault="00CE3076" w:rsidP="00CE3076">
      <w:pPr>
        <w:tabs>
          <w:tab w:val="left" w:pos="1106"/>
        </w:tabs>
        <w:ind w:firstLine="709"/>
        <w:jc w:val="both"/>
      </w:pPr>
      <w:r w:rsidRPr="00DF29B3">
        <w:t>-10 033,3 тыс. руб. на основании постановления Губернатора Волгоградской области от 07.09.2020</w:t>
      </w:r>
      <w:r w:rsidR="006B339D">
        <w:t xml:space="preserve"> </w:t>
      </w:r>
      <w:r w:rsidR="006B339D" w:rsidRPr="00DF29B3">
        <w:t xml:space="preserve">№ 557 </w:t>
      </w:r>
      <w:r w:rsidRPr="00DF29B3">
        <w:t>«О денежном поощрении» за безупречную и эффективную государственную гражданскую службу</w:t>
      </w:r>
      <w:r w:rsidR="00DF29B3" w:rsidRPr="00DF29B3">
        <w:t>.</w:t>
      </w:r>
    </w:p>
    <w:p w14:paraId="6FFBBA42" w14:textId="4993C15C" w:rsidR="00B72C59" w:rsidRPr="00E84B1B" w:rsidRDefault="00B72C59" w:rsidP="00B72C59">
      <w:pPr>
        <w:tabs>
          <w:tab w:val="left" w:pos="1106"/>
        </w:tabs>
        <w:ind w:firstLine="709"/>
        <w:jc w:val="both"/>
        <w:rPr>
          <w:bCs/>
          <w:lang w:val="en-US"/>
        </w:rPr>
      </w:pPr>
      <w:r w:rsidRPr="00817535">
        <w:t>-</w:t>
      </w:r>
      <w:r w:rsidRPr="00817535">
        <w:rPr>
          <w:b/>
          <w:bCs/>
          <w:i/>
          <w:iCs/>
        </w:rPr>
        <w:t>по подразделу 1402</w:t>
      </w:r>
      <w:r w:rsidRPr="00817535">
        <w:rPr>
          <w:bCs/>
        </w:rPr>
        <w:t xml:space="preserve"> «Иные дотации» на 737 700,0 тыс. руб. </w:t>
      </w:r>
      <w:r w:rsidR="00E84B1B" w:rsidRPr="00817535">
        <w:rPr>
          <w:bCs/>
        </w:rPr>
        <w:t>на предоставление дотаций местным бюджетам на премирование победителей всероссийского конкурса «Лучшая муниципальная практика» за счет средств федерального бюджета в сумме 45 000,0 тыс. руб.</w:t>
      </w:r>
      <w:r w:rsidR="00E84B1B">
        <w:rPr>
          <w:bCs/>
        </w:rPr>
        <w:t xml:space="preserve"> и </w:t>
      </w:r>
      <w:r w:rsidR="00C9021B" w:rsidRPr="00817535">
        <w:rPr>
          <w:bCs/>
        </w:rPr>
        <w:t>на поддержку мер по обеспечению сбалансированности местных бюджетов для решения отдельных вопросов местного значения по постановлениям Администрации Волгоградской области в общей сумме 692 700,0 тыс. руб.</w:t>
      </w:r>
      <w:r w:rsidRPr="00817535">
        <w:rPr>
          <w:bCs/>
        </w:rPr>
        <w:t>, а именно:</w:t>
      </w:r>
    </w:p>
    <w:p w14:paraId="560920EA" w14:textId="11E84AE9" w:rsidR="00E84B1B" w:rsidRPr="00817535" w:rsidRDefault="00E84B1B" w:rsidP="00E84B1B">
      <w:pPr>
        <w:autoSpaceDE w:val="0"/>
        <w:autoSpaceDN w:val="0"/>
        <w:adjustRightInd w:val="0"/>
        <w:ind w:firstLine="709"/>
        <w:jc w:val="both"/>
        <w:rPr>
          <w:b/>
          <w:i/>
        </w:rPr>
      </w:pPr>
      <w:r w:rsidRPr="00817535">
        <w:rPr>
          <w:rFonts w:eastAsiaTheme="minorHAnsi"/>
          <w:lang w:eastAsia="en-US"/>
        </w:rPr>
        <w:t>-от 26.02.2020 №</w:t>
      </w:r>
      <w:r>
        <w:rPr>
          <w:rFonts w:eastAsiaTheme="minorHAnsi"/>
          <w:lang w:eastAsia="en-US"/>
        </w:rPr>
        <w:t xml:space="preserve"> </w:t>
      </w:r>
      <w:r w:rsidRPr="00817535">
        <w:rPr>
          <w:rFonts w:eastAsiaTheme="minorHAnsi"/>
          <w:lang w:eastAsia="en-US"/>
        </w:rPr>
        <w:t>113-п «О предоставлении в 2020 году дотаций бюджетам городских округов Волгоградской области на поддержку мер по обеспечению сбалансированности местных бюджетов для решения отдельных вопросов местного значения» в сумме 129 074,0 тыс. руб.</w:t>
      </w:r>
      <w:r>
        <w:rPr>
          <w:rFonts w:eastAsiaTheme="minorHAnsi"/>
          <w:lang w:eastAsia="en-US"/>
        </w:rPr>
        <w:t>;</w:t>
      </w:r>
    </w:p>
    <w:p w14:paraId="27256326" w14:textId="61B6BC48" w:rsidR="00B72C59" w:rsidRPr="00817535" w:rsidRDefault="00B72C59" w:rsidP="00B72C59">
      <w:pPr>
        <w:autoSpaceDE w:val="0"/>
        <w:autoSpaceDN w:val="0"/>
        <w:adjustRightInd w:val="0"/>
        <w:ind w:firstLine="709"/>
        <w:jc w:val="both"/>
        <w:rPr>
          <w:rFonts w:eastAsiaTheme="minorHAnsi"/>
          <w:lang w:eastAsia="en-US"/>
        </w:rPr>
      </w:pPr>
      <w:r w:rsidRPr="00817535">
        <w:rPr>
          <w:bCs/>
        </w:rPr>
        <w:t xml:space="preserve">-от 26.05.2020 </w:t>
      </w:r>
      <w:r w:rsidR="00C9021B" w:rsidRPr="00817535">
        <w:rPr>
          <w:bCs/>
        </w:rPr>
        <w:t>№</w:t>
      </w:r>
      <w:r w:rsidR="00C9021B">
        <w:rPr>
          <w:bCs/>
        </w:rPr>
        <w:t xml:space="preserve"> </w:t>
      </w:r>
      <w:r w:rsidR="00C9021B" w:rsidRPr="00817535">
        <w:rPr>
          <w:bCs/>
        </w:rPr>
        <w:t xml:space="preserve">301-п </w:t>
      </w:r>
      <w:r w:rsidRPr="00817535">
        <w:rPr>
          <w:bCs/>
        </w:rPr>
        <w:t>«О предоставлении в 2020 году дотаций бюджетам муниципальных районов (городских округов) Волгоградской области на поддержку мер по обеспечению сбалансированности местных бюджетов для решения отдельных вопросов местного значения в связи с предотвращением влияния ухудшения экономической ситуации на исполнение органами местного самоуправления муниципальных образований Волгоградской области полномочий по вопросам местного значения»</w:t>
      </w:r>
      <w:r w:rsidRPr="00817535">
        <w:rPr>
          <w:rFonts w:eastAsiaTheme="minorHAnsi"/>
          <w:lang w:eastAsia="en-US"/>
        </w:rPr>
        <w:t xml:space="preserve"> </w:t>
      </w:r>
      <w:r w:rsidR="00DF1357" w:rsidRPr="00817535">
        <w:rPr>
          <w:rFonts w:eastAsiaTheme="minorHAnsi"/>
          <w:lang w:eastAsia="en-US"/>
        </w:rPr>
        <w:t>в</w:t>
      </w:r>
      <w:r w:rsidRPr="00817535">
        <w:rPr>
          <w:rFonts w:eastAsiaTheme="minorHAnsi"/>
          <w:lang w:eastAsia="en-US"/>
        </w:rPr>
        <w:t xml:space="preserve"> сумм</w:t>
      </w:r>
      <w:r w:rsidR="00DF1357" w:rsidRPr="00817535">
        <w:rPr>
          <w:rFonts w:eastAsiaTheme="minorHAnsi"/>
          <w:lang w:eastAsia="en-US"/>
        </w:rPr>
        <w:t>е</w:t>
      </w:r>
      <w:r w:rsidRPr="00817535">
        <w:rPr>
          <w:rFonts w:eastAsiaTheme="minorHAnsi"/>
          <w:lang w:eastAsia="en-US"/>
        </w:rPr>
        <w:t xml:space="preserve"> 418</w:t>
      </w:r>
      <w:r w:rsidR="00DF1357" w:rsidRPr="00817535">
        <w:rPr>
          <w:rFonts w:eastAsiaTheme="minorHAnsi"/>
          <w:lang w:eastAsia="en-US"/>
        </w:rPr>
        <w:t> </w:t>
      </w:r>
      <w:r w:rsidRPr="00817535">
        <w:rPr>
          <w:rFonts w:eastAsiaTheme="minorHAnsi"/>
          <w:lang w:eastAsia="en-US"/>
        </w:rPr>
        <w:t>176</w:t>
      </w:r>
      <w:r w:rsidR="00DF1357" w:rsidRPr="00817535">
        <w:rPr>
          <w:rFonts w:eastAsiaTheme="minorHAnsi"/>
          <w:lang w:eastAsia="en-US"/>
        </w:rPr>
        <w:t>,0</w:t>
      </w:r>
      <w:r w:rsidRPr="00817535">
        <w:rPr>
          <w:rFonts w:eastAsiaTheme="minorHAnsi"/>
          <w:lang w:eastAsia="en-US"/>
        </w:rPr>
        <w:t xml:space="preserve"> тыс. руб.;</w:t>
      </w:r>
    </w:p>
    <w:p w14:paraId="3483E407" w14:textId="42CFAC25" w:rsidR="00E84B1B" w:rsidRDefault="00B72C59" w:rsidP="00E84B1B">
      <w:pPr>
        <w:autoSpaceDE w:val="0"/>
        <w:autoSpaceDN w:val="0"/>
        <w:adjustRightInd w:val="0"/>
        <w:ind w:firstLine="709"/>
        <w:jc w:val="both"/>
        <w:rPr>
          <w:rFonts w:eastAsiaTheme="minorHAnsi"/>
          <w:lang w:eastAsia="en-US"/>
        </w:rPr>
      </w:pPr>
      <w:r w:rsidRPr="00817535">
        <w:rPr>
          <w:rFonts w:eastAsiaTheme="minorHAnsi"/>
          <w:lang w:eastAsia="en-US"/>
        </w:rPr>
        <w:t>-от 12.10.2020</w:t>
      </w:r>
      <w:r w:rsidR="00C9021B">
        <w:rPr>
          <w:rFonts w:eastAsiaTheme="minorHAnsi"/>
          <w:lang w:eastAsia="en-US"/>
        </w:rPr>
        <w:t xml:space="preserve"> </w:t>
      </w:r>
      <w:r w:rsidR="00C9021B" w:rsidRPr="00817535">
        <w:rPr>
          <w:rFonts w:eastAsiaTheme="minorHAnsi"/>
          <w:lang w:eastAsia="en-US"/>
        </w:rPr>
        <w:t>№</w:t>
      </w:r>
      <w:r w:rsidR="00C9021B">
        <w:rPr>
          <w:rFonts w:eastAsiaTheme="minorHAnsi"/>
          <w:lang w:eastAsia="en-US"/>
        </w:rPr>
        <w:t xml:space="preserve"> </w:t>
      </w:r>
      <w:r w:rsidR="00C9021B" w:rsidRPr="00817535">
        <w:rPr>
          <w:rFonts w:eastAsiaTheme="minorHAnsi"/>
          <w:lang w:eastAsia="en-US"/>
        </w:rPr>
        <w:t>610-п</w:t>
      </w:r>
      <w:r w:rsidRPr="00817535">
        <w:rPr>
          <w:rFonts w:eastAsiaTheme="minorHAnsi"/>
          <w:lang w:eastAsia="en-US"/>
        </w:rPr>
        <w:t xml:space="preserve"> «О предоставлении в 2020 году дотаций бюджетам муниципальных районов (городских округов) Волгоградской области на поддержку мер по обеспечению сбалансированности местных бюджетов для решения отдельных вопросов местного значения в связи с осуществлением мероприятий по обеспечению организации отдыха детей в каникулярное время, связанных с реализацией мер по предупреждению возникновения и распространения новой коронавирусной инфекции» </w:t>
      </w:r>
      <w:r w:rsidR="00DF1357" w:rsidRPr="00817535">
        <w:rPr>
          <w:rFonts w:eastAsiaTheme="minorHAnsi"/>
          <w:lang w:eastAsia="en-US"/>
        </w:rPr>
        <w:t>в</w:t>
      </w:r>
      <w:r w:rsidRPr="00817535">
        <w:rPr>
          <w:rFonts w:eastAsiaTheme="minorHAnsi"/>
          <w:lang w:eastAsia="en-US"/>
        </w:rPr>
        <w:t xml:space="preserve"> сумм</w:t>
      </w:r>
      <w:r w:rsidR="00DF1357" w:rsidRPr="00817535">
        <w:rPr>
          <w:rFonts w:eastAsiaTheme="minorHAnsi"/>
          <w:lang w:eastAsia="en-US"/>
        </w:rPr>
        <w:t>е</w:t>
      </w:r>
      <w:r w:rsidRPr="00817535">
        <w:rPr>
          <w:rFonts w:eastAsiaTheme="minorHAnsi"/>
          <w:lang w:eastAsia="en-US"/>
        </w:rPr>
        <w:t xml:space="preserve"> 4</w:t>
      </w:r>
      <w:r w:rsidR="00DF1357" w:rsidRPr="00817535">
        <w:rPr>
          <w:rFonts w:eastAsiaTheme="minorHAnsi"/>
          <w:lang w:eastAsia="en-US"/>
        </w:rPr>
        <w:t> </w:t>
      </w:r>
      <w:r w:rsidRPr="00817535">
        <w:rPr>
          <w:rFonts w:eastAsiaTheme="minorHAnsi"/>
          <w:lang w:eastAsia="en-US"/>
        </w:rPr>
        <w:t>020</w:t>
      </w:r>
      <w:r w:rsidR="00DF1357" w:rsidRPr="00817535">
        <w:rPr>
          <w:rFonts w:eastAsiaTheme="minorHAnsi"/>
          <w:lang w:eastAsia="en-US"/>
        </w:rPr>
        <w:t>,0</w:t>
      </w:r>
      <w:r w:rsidRPr="00817535">
        <w:rPr>
          <w:rFonts w:eastAsiaTheme="minorHAnsi"/>
          <w:lang w:eastAsia="en-US"/>
        </w:rPr>
        <w:t xml:space="preserve"> тыс. руб.;</w:t>
      </w:r>
    </w:p>
    <w:p w14:paraId="60D4A0C8" w14:textId="41445584" w:rsidR="00E84B1B" w:rsidRPr="00817535" w:rsidRDefault="00E84B1B" w:rsidP="00E84B1B">
      <w:pPr>
        <w:autoSpaceDE w:val="0"/>
        <w:autoSpaceDN w:val="0"/>
        <w:adjustRightInd w:val="0"/>
        <w:ind w:firstLine="709"/>
        <w:jc w:val="both"/>
        <w:rPr>
          <w:rFonts w:eastAsiaTheme="minorHAnsi"/>
          <w:lang w:eastAsia="en-US"/>
        </w:rPr>
      </w:pPr>
      <w:r w:rsidRPr="00817535">
        <w:rPr>
          <w:rFonts w:eastAsiaTheme="minorHAnsi"/>
          <w:lang w:eastAsia="en-US"/>
        </w:rPr>
        <w:t xml:space="preserve">-от </w:t>
      </w:r>
      <w:r>
        <w:rPr>
          <w:rFonts w:eastAsiaTheme="minorHAnsi"/>
          <w:lang w:eastAsia="en-US"/>
        </w:rPr>
        <w:t>14</w:t>
      </w:r>
      <w:r w:rsidRPr="00817535">
        <w:rPr>
          <w:rFonts w:eastAsiaTheme="minorHAnsi"/>
          <w:lang w:eastAsia="en-US"/>
        </w:rPr>
        <w:t>.1</w:t>
      </w:r>
      <w:r>
        <w:rPr>
          <w:rFonts w:eastAsiaTheme="minorHAnsi"/>
          <w:lang w:eastAsia="en-US"/>
        </w:rPr>
        <w:t>2</w:t>
      </w:r>
      <w:r w:rsidRPr="00817535">
        <w:rPr>
          <w:rFonts w:eastAsiaTheme="minorHAnsi"/>
          <w:lang w:eastAsia="en-US"/>
        </w:rPr>
        <w:t>.2020</w:t>
      </w:r>
      <w:r>
        <w:rPr>
          <w:rFonts w:eastAsiaTheme="minorHAnsi"/>
          <w:lang w:eastAsia="en-US"/>
        </w:rPr>
        <w:t xml:space="preserve"> </w:t>
      </w:r>
      <w:r w:rsidRPr="00817535">
        <w:rPr>
          <w:rFonts w:eastAsiaTheme="minorHAnsi"/>
          <w:lang w:eastAsia="en-US"/>
        </w:rPr>
        <w:t>№</w:t>
      </w:r>
      <w:r>
        <w:rPr>
          <w:rFonts w:eastAsiaTheme="minorHAnsi"/>
          <w:lang w:eastAsia="en-US"/>
        </w:rPr>
        <w:t xml:space="preserve"> </w:t>
      </w:r>
      <w:r w:rsidRPr="00817535">
        <w:rPr>
          <w:rFonts w:eastAsiaTheme="minorHAnsi"/>
          <w:lang w:eastAsia="en-US"/>
        </w:rPr>
        <w:t>794-п «О предоставлении в 2020 году дотаций бюджетам муниципальных районов (городских округов) Волгоградской области на поддержку мер по обеспечению сбалансированности местных бюджетов для решения отдельных вопросов местного значения исходя из динамики собственных ресурсов по итогам 10 месяцев 2020 г.» в сумме 141 430,0 тыс. руб</w:t>
      </w:r>
      <w:r>
        <w:rPr>
          <w:rFonts w:eastAsiaTheme="minorHAnsi"/>
          <w:lang w:eastAsia="en-US"/>
        </w:rPr>
        <w:t>лей.</w:t>
      </w:r>
    </w:p>
    <w:p w14:paraId="10604BEA" w14:textId="594D165E" w:rsidR="00B72C59" w:rsidRPr="00E97ABA" w:rsidRDefault="00B72C59" w:rsidP="002A09CD">
      <w:pPr>
        <w:tabs>
          <w:tab w:val="left" w:pos="1106"/>
        </w:tabs>
        <w:ind w:firstLine="709"/>
        <w:jc w:val="both"/>
        <w:rPr>
          <w:sz w:val="16"/>
          <w:szCs w:val="16"/>
        </w:rPr>
      </w:pPr>
    </w:p>
    <w:p w14:paraId="706E70F0" w14:textId="78854E9D" w:rsidR="00921995" w:rsidRPr="00817535" w:rsidRDefault="00921995" w:rsidP="00921995">
      <w:pPr>
        <w:ind w:firstLine="709"/>
        <w:jc w:val="both"/>
        <w:rPr>
          <w:b/>
          <w:i/>
          <w:iCs/>
          <w:u w:val="single"/>
        </w:rPr>
      </w:pPr>
      <w:r w:rsidRPr="00817535">
        <w:rPr>
          <w:b/>
          <w:i/>
          <w:iCs/>
          <w:u w:val="single"/>
        </w:rPr>
        <w:t>уменьшением бюджетных назначений:</w:t>
      </w:r>
    </w:p>
    <w:p w14:paraId="46F8A8C5" w14:textId="71867005" w:rsidR="00B72C59" w:rsidRPr="00817535" w:rsidRDefault="00921995" w:rsidP="002A09CD">
      <w:pPr>
        <w:tabs>
          <w:tab w:val="left" w:pos="1106"/>
        </w:tabs>
        <w:ind w:firstLine="709"/>
        <w:jc w:val="both"/>
        <w:rPr>
          <w:bCs/>
        </w:rPr>
      </w:pPr>
      <w:r w:rsidRPr="00817535">
        <w:t>-</w:t>
      </w:r>
      <w:r w:rsidRPr="00817535">
        <w:rPr>
          <w:b/>
          <w:bCs/>
          <w:i/>
          <w:iCs/>
        </w:rPr>
        <w:t>по подразделу 0111</w:t>
      </w:r>
      <w:r w:rsidRPr="00817535">
        <w:rPr>
          <w:bCs/>
        </w:rPr>
        <w:t xml:space="preserve"> «Резервные фонды» на 71 790,8 тыс. руб. в связи с перемещением бюджетных ассигнований другим главным распорядителям средств областного бюджета на основании постановлений </w:t>
      </w:r>
      <w:r w:rsidR="005B721E">
        <w:rPr>
          <w:bCs/>
        </w:rPr>
        <w:t>А</w:t>
      </w:r>
      <w:r w:rsidRPr="00817535">
        <w:rPr>
          <w:bCs/>
        </w:rPr>
        <w:t>дминистрации Волгоградской области;</w:t>
      </w:r>
    </w:p>
    <w:p w14:paraId="5C631CFC" w14:textId="22CDACD1" w:rsidR="00921995" w:rsidRPr="00817535" w:rsidRDefault="00921995" w:rsidP="002A09CD">
      <w:pPr>
        <w:tabs>
          <w:tab w:val="left" w:pos="1106"/>
        </w:tabs>
        <w:ind w:firstLine="709"/>
        <w:jc w:val="both"/>
        <w:rPr>
          <w:bCs/>
        </w:rPr>
      </w:pPr>
      <w:r w:rsidRPr="00817535">
        <w:rPr>
          <w:bCs/>
        </w:rPr>
        <w:t>-</w:t>
      </w:r>
      <w:r w:rsidR="00A33465" w:rsidRPr="00817535">
        <w:rPr>
          <w:b/>
          <w:i/>
          <w:iCs/>
        </w:rPr>
        <w:t>по подразделу 0113</w:t>
      </w:r>
      <w:r w:rsidR="00A33465" w:rsidRPr="00817535">
        <w:rPr>
          <w:bCs/>
        </w:rPr>
        <w:t xml:space="preserve"> «Другие общегосударственные расходы» целевой статье 9900080970 «Исполнение судебных актов» на 56 027,8 тыс. руб. в связи с отсутствием потребности в исполнении судебных актов;</w:t>
      </w:r>
    </w:p>
    <w:p w14:paraId="09F24DF4" w14:textId="141093F5" w:rsidR="008754C8" w:rsidRPr="00817535" w:rsidRDefault="00A33465" w:rsidP="008754C8">
      <w:pPr>
        <w:tabs>
          <w:tab w:val="left" w:pos="1106"/>
        </w:tabs>
        <w:ind w:firstLine="709"/>
        <w:jc w:val="both"/>
        <w:rPr>
          <w:bCs/>
        </w:rPr>
      </w:pPr>
      <w:r w:rsidRPr="00817535">
        <w:rPr>
          <w:bCs/>
        </w:rPr>
        <w:lastRenderedPageBreak/>
        <w:t>-</w:t>
      </w:r>
      <w:r w:rsidR="008754C8" w:rsidRPr="00817535">
        <w:rPr>
          <w:b/>
          <w:i/>
          <w:iCs/>
        </w:rPr>
        <w:t>по подразделу 0409</w:t>
      </w:r>
      <w:r w:rsidR="008754C8" w:rsidRPr="00817535">
        <w:rPr>
          <w:bCs/>
        </w:rPr>
        <w:t xml:space="preserve"> «Дорожное хозяйство (дорожные фонды)» на 267 067,0 тыс. руб. в связи с отсутствием потребности в исполнении судебных актов;</w:t>
      </w:r>
    </w:p>
    <w:p w14:paraId="476B8F57" w14:textId="3B3A88F0" w:rsidR="00A33465" w:rsidRDefault="008754C8" w:rsidP="002A09CD">
      <w:pPr>
        <w:tabs>
          <w:tab w:val="left" w:pos="1106"/>
        </w:tabs>
        <w:ind w:firstLine="709"/>
        <w:jc w:val="both"/>
      </w:pPr>
      <w:r w:rsidRPr="00817535">
        <w:t>-</w:t>
      </w:r>
      <w:r w:rsidRPr="00817535">
        <w:rPr>
          <w:b/>
          <w:bCs/>
          <w:i/>
          <w:iCs/>
        </w:rPr>
        <w:t>по подразделу 1301</w:t>
      </w:r>
      <w:r w:rsidRPr="00817535">
        <w:t xml:space="preserve"> «Обслуживание государственного внутреннего долга» на 831 883,5 тыс. руб.</w:t>
      </w:r>
      <w:r w:rsidR="009E5B83" w:rsidRPr="00817535">
        <w:t xml:space="preserve"> </w:t>
      </w:r>
      <w:r w:rsidR="000B3667" w:rsidRPr="00817535">
        <w:t>в основном в связи с отсутствием необходимости в использовании возобновляемой кредитной линии для нужд областного бюджета (по кредитам кредитных организаций).</w:t>
      </w:r>
    </w:p>
    <w:p w14:paraId="4FA4458A" w14:textId="77777777" w:rsidR="00E746E9" w:rsidRPr="00E746E9" w:rsidRDefault="00E746E9" w:rsidP="002A09CD">
      <w:pPr>
        <w:tabs>
          <w:tab w:val="left" w:pos="1106"/>
        </w:tabs>
        <w:ind w:firstLine="709"/>
        <w:jc w:val="both"/>
        <w:rPr>
          <w:sz w:val="16"/>
          <w:szCs w:val="16"/>
        </w:rPr>
      </w:pPr>
    </w:p>
    <w:p w14:paraId="4AAFB910" w14:textId="36729927" w:rsidR="00AD624E" w:rsidRDefault="009946CD" w:rsidP="00712243">
      <w:pPr>
        <w:ind w:firstLine="709"/>
        <w:jc w:val="both"/>
      </w:pPr>
      <w:r w:rsidRPr="00BE6CB5">
        <w:t xml:space="preserve">Согласно Отчету об исполнении бюджета (ф. 0503127) </w:t>
      </w:r>
      <w:r w:rsidR="00AE74A3" w:rsidRPr="00BE6CB5">
        <w:t xml:space="preserve">расходы </w:t>
      </w:r>
      <w:proofErr w:type="spellStart"/>
      <w:r w:rsidR="00AE74A3" w:rsidRPr="00BE6CB5">
        <w:t>Облфина</w:t>
      </w:r>
      <w:proofErr w:type="spellEnd"/>
      <w:r w:rsidR="00AE74A3" w:rsidRPr="00BE6CB5">
        <w:t xml:space="preserve"> в 20</w:t>
      </w:r>
      <w:r w:rsidR="00C13A31" w:rsidRPr="00BE6CB5">
        <w:t>20</w:t>
      </w:r>
      <w:r w:rsidR="00AE74A3" w:rsidRPr="00BE6CB5">
        <w:t xml:space="preserve"> году исполнены </w:t>
      </w:r>
      <w:r w:rsidR="00C13A31" w:rsidRPr="00BE6CB5">
        <w:t>в сумме</w:t>
      </w:r>
      <w:r w:rsidR="00AE74A3" w:rsidRPr="00BE6CB5">
        <w:t xml:space="preserve"> </w:t>
      </w:r>
      <w:r w:rsidR="00C13A31" w:rsidRPr="00BE6CB5">
        <w:t>9 010 013,1</w:t>
      </w:r>
      <w:r w:rsidR="00AE74A3" w:rsidRPr="00BE6CB5">
        <w:t xml:space="preserve"> тыс. руб., или на 98,</w:t>
      </w:r>
      <w:r w:rsidR="00C13A31" w:rsidRPr="00BE6CB5">
        <w:t xml:space="preserve">5 </w:t>
      </w:r>
      <w:r w:rsidR="00AE74A3" w:rsidRPr="00BE6CB5">
        <w:t xml:space="preserve">% к утвержденным бюджетным </w:t>
      </w:r>
      <w:r w:rsidR="00155CE8" w:rsidRPr="00BE6CB5">
        <w:t>назначениям.</w:t>
      </w:r>
      <w:r w:rsidR="003A0238" w:rsidRPr="00BE6CB5">
        <w:t xml:space="preserve"> Общая сумма неисполненных назначений составила </w:t>
      </w:r>
      <w:r w:rsidR="00C13A31" w:rsidRPr="00BE6CB5">
        <w:t>13</w:t>
      </w:r>
      <w:r w:rsidR="00173856" w:rsidRPr="00BE6CB5">
        <w:t xml:space="preserve">4 049,4 </w:t>
      </w:r>
      <w:r w:rsidR="003A0238" w:rsidRPr="00BE6CB5">
        <w:t xml:space="preserve">тыс. руб., </w:t>
      </w:r>
      <w:r w:rsidR="00AD624E" w:rsidRPr="00BE6CB5">
        <w:t xml:space="preserve">из которых наибольшее неисполнение сложилось по расходам на обслуживание </w:t>
      </w:r>
      <w:r w:rsidR="00AD624E" w:rsidRPr="00BE6CB5">
        <w:rPr>
          <w:rFonts w:eastAsia="Times New Roman"/>
          <w:bCs/>
          <w:iCs/>
        </w:rPr>
        <w:t>государственного внутреннего долга (</w:t>
      </w:r>
      <w:r w:rsidR="00582BAF" w:rsidRPr="00BE6CB5">
        <w:rPr>
          <w:rFonts w:eastAsia="Times New Roman"/>
          <w:bCs/>
          <w:iCs/>
        </w:rPr>
        <w:t>46 496,6</w:t>
      </w:r>
      <w:r w:rsidR="00AD624E" w:rsidRPr="00BE6CB5">
        <w:rPr>
          <w:rFonts w:eastAsia="Times New Roman"/>
          <w:bCs/>
          <w:iCs/>
        </w:rPr>
        <w:t xml:space="preserve"> тыс. руб.)</w:t>
      </w:r>
      <w:r w:rsidR="00E20AA2" w:rsidRPr="00BE6CB5">
        <w:rPr>
          <w:rFonts w:eastAsia="Times New Roman"/>
          <w:bCs/>
          <w:iCs/>
        </w:rPr>
        <w:t>,</w:t>
      </w:r>
      <w:r w:rsidR="00302E41" w:rsidRPr="00BE6CB5">
        <w:t xml:space="preserve"> расходам резервного фонда </w:t>
      </w:r>
      <w:r w:rsidR="006C61DD">
        <w:t>А</w:t>
      </w:r>
      <w:r w:rsidR="00302E41" w:rsidRPr="00BE6CB5">
        <w:t>дминистрации Волгоградской области (</w:t>
      </w:r>
      <w:r w:rsidR="00582BAF" w:rsidRPr="00BE6CB5">
        <w:t>37 649,1</w:t>
      </w:r>
      <w:r w:rsidR="00302E41" w:rsidRPr="00BE6CB5">
        <w:t xml:space="preserve"> тыс. руб.)</w:t>
      </w:r>
      <w:r w:rsidR="00BE6CB5" w:rsidRPr="00BE6CB5">
        <w:t xml:space="preserve"> и</w:t>
      </w:r>
      <w:r w:rsidR="00E20AA2" w:rsidRPr="00BE6CB5">
        <w:t xml:space="preserve"> расходам на исполнение судебных актов в дорожной сфере (23 851,4 тыс. руб.).</w:t>
      </w:r>
    </w:p>
    <w:p w14:paraId="2511E994" w14:textId="77777777" w:rsidR="00E746E9" w:rsidRPr="00BE6CB5" w:rsidRDefault="00E746E9" w:rsidP="00712243">
      <w:pPr>
        <w:ind w:firstLine="709"/>
        <w:jc w:val="both"/>
      </w:pPr>
    </w:p>
    <w:p w14:paraId="348ABC87" w14:textId="3CDE9C3F" w:rsidR="00712243" w:rsidRPr="00BE6CB5" w:rsidRDefault="00FA12B3" w:rsidP="00712243">
      <w:pPr>
        <w:ind w:firstLine="709"/>
        <w:jc w:val="center"/>
        <w:rPr>
          <w:b/>
          <w:bCs/>
          <w:i/>
        </w:rPr>
      </w:pPr>
      <w:bookmarkStart w:id="2" w:name="_Hlk68606839"/>
      <w:r w:rsidRPr="00BE6CB5">
        <w:rPr>
          <w:b/>
          <w:bCs/>
          <w:i/>
        </w:rPr>
        <w:t xml:space="preserve">Расходы </w:t>
      </w:r>
      <w:r w:rsidR="00712243" w:rsidRPr="00BE6CB5">
        <w:rPr>
          <w:b/>
          <w:bCs/>
          <w:i/>
        </w:rPr>
        <w:t>на</w:t>
      </w:r>
      <w:r w:rsidRPr="00BE6CB5">
        <w:rPr>
          <w:b/>
          <w:bCs/>
          <w:i/>
        </w:rPr>
        <w:t xml:space="preserve"> исполнени</w:t>
      </w:r>
      <w:r w:rsidR="00712243" w:rsidRPr="00BE6CB5">
        <w:rPr>
          <w:b/>
          <w:bCs/>
          <w:i/>
        </w:rPr>
        <w:t>е</w:t>
      </w:r>
      <w:r w:rsidRPr="00BE6CB5">
        <w:rPr>
          <w:b/>
          <w:bCs/>
          <w:i/>
        </w:rPr>
        <w:t xml:space="preserve"> судебных актов по искам</w:t>
      </w:r>
      <w:r w:rsidR="00712243" w:rsidRPr="00BE6CB5">
        <w:rPr>
          <w:b/>
          <w:bCs/>
          <w:i/>
        </w:rPr>
        <w:t xml:space="preserve"> </w:t>
      </w:r>
    </w:p>
    <w:p w14:paraId="27750A18" w14:textId="0EFEC1A6" w:rsidR="00FA12B3" w:rsidRPr="00BE6CB5" w:rsidRDefault="00712243" w:rsidP="00712243">
      <w:pPr>
        <w:ind w:firstLine="709"/>
        <w:jc w:val="center"/>
        <w:rPr>
          <w:b/>
          <w:bCs/>
          <w:i/>
        </w:rPr>
      </w:pPr>
      <w:r w:rsidRPr="00BE6CB5">
        <w:rPr>
          <w:b/>
          <w:bCs/>
          <w:i/>
        </w:rPr>
        <w:t>о взыскании денежных средств за счет</w:t>
      </w:r>
      <w:r w:rsidR="00FA12B3" w:rsidRPr="00BE6CB5">
        <w:rPr>
          <w:b/>
          <w:bCs/>
          <w:i/>
        </w:rPr>
        <w:t xml:space="preserve"> казн</w:t>
      </w:r>
      <w:r w:rsidRPr="00BE6CB5">
        <w:rPr>
          <w:b/>
          <w:bCs/>
          <w:i/>
        </w:rPr>
        <w:t>ы</w:t>
      </w:r>
      <w:r w:rsidR="00FA12B3" w:rsidRPr="00BE6CB5">
        <w:rPr>
          <w:b/>
          <w:bCs/>
          <w:i/>
        </w:rPr>
        <w:t xml:space="preserve"> Волгоградской области</w:t>
      </w:r>
    </w:p>
    <w:p w14:paraId="5010F157" w14:textId="0329DE83" w:rsidR="00FA12B3" w:rsidRPr="00BE6CB5" w:rsidRDefault="00FA12B3" w:rsidP="00712243">
      <w:pPr>
        <w:ind w:firstLine="709"/>
        <w:jc w:val="both"/>
      </w:pPr>
      <w:r w:rsidRPr="00BE6CB5">
        <w:t xml:space="preserve">Согласно Отчету об исполнении бюджета (ф. 0503127) бюджетные назначения на исполнение судебных актов и мировых соглашений по возмещению причиненного вреда, предусматривающих обращение взыскания на средства бюджета Волгоградской области, исполнены </w:t>
      </w:r>
      <w:r w:rsidR="00712243" w:rsidRPr="00BE6CB5">
        <w:t>в сумме</w:t>
      </w:r>
      <w:r w:rsidRPr="00BE6CB5">
        <w:t xml:space="preserve"> 76 955,6 тыс. руб.</w:t>
      </w:r>
      <w:r w:rsidR="00712243" w:rsidRPr="00BE6CB5">
        <w:t>, или на 94,8 процента</w:t>
      </w:r>
      <w:r w:rsidRPr="00BE6CB5">
        <w:t>.</w:t>
      </w:r>
    </w:p>
    <w:p w14:paraId="420688C2" w14:textId="05C0725E" w:rsidR="00E746E9" w:rsidRDefault="004956CA" w:rsidP="00712243">
      <w:pPr>
        <w:ind w:firstLine="709"/>
        <w:jc w:val="both"/>
      </w:pPr>
      <w:r w:rsidRPr="00BE6CB5">
        <w:t xml:space="preserve">Согласно Сведениям об исполнении судебных решений по денежным обязательствам (ф. 0503296) объем неисполненных денежных обязательств </w:t>
      </w:r>
      <w:r w:rsidR="00E746E9">
        <w:t xml:space="preserve">на 01.01.2021 </w:t>
      </w:r>
      <w:r w:rsidR="0010276A">
        <w:t>составил 128 399,0 тыс. руб. и уменьшился по сравнению с началом года на 39 428,0 тыс. рублей.</w:t>
      </w:r>
    </w:p>
    <w:p w14:paraId="70A2EBBD" w14:textId="605EA3B9" w:rsidR="0088164E" w:rsidRDefault="00FA12B3" w:rsidP="00712243">
      <w:pPr>
        <w:ind w:firstLine="709"/>
        <w:jc w:val="both"/>
      </w:pPr>
      <w:r w:rsidRPr="00BE6CB5">
        <w:t xml:space="preserve">По информации, представленной </w:t>
      </w:r>
      <w:proofErr w:type="spellStart"/>
      <w:r w:rsidRPr="00BE6CB5">
        <w:t>Облфином</w:t>
      </w:r>
      <w:proofErr w:type="spellEnd"/>
      <w:r w:rsidRPr="00BE6CB5">
        <w:t xml:space="preserve">, сумма исполнения судебных актов сложилась из суммы основного долга в размере </w:t>
      </w:r>
      <w:r w:rsidR="00D451E4" w:rsidRPr="00BE6CB5">
        <w:t>38 786,7</w:t>
      </w:r>
      <w:r w:rsidRPr="00BE6CB5">
        <w:t xml:space="preserve"> тыс. руб. и </w:t>
      </w:r>
      <w:r w:rsidR="00F832D5" w:rsidRPr="00BE6CB5">
        <w:t xml:space="preserve">дополнительных сумм </w:t>
      </w:r>
      <w:r w:rsidRPr="00BE6CB5">
        <w:t>(% за пользование чужими денежными средствами, судебных расходов, пени</w:t>
      </w:r>
      <w:r w:rsidR="00712243" w:rsidRPr="00BE6CB5">
        <w:t xml:space="preserve"> и т.д.</w:t>
      </w:r>
      <w:r w:rsidRPr="00BE6CB5">
        <w:t xml:space="preserve">) в размере </w:t>
      </w:r>
      <w:r w:rsidR="00D451E4" w:rsidRPr="00BE6CB5">
        <w:t>38 168,9</w:t>
      </w:r>
      <w:r w:rsidRPr="00BE6CB5">
        <w:t xml:space="preserve"> тыс. рублей.</w:t>
      </w:r>
    </w:p>
    <w:bookmarkEnd w:id="2"/>
    <w:p w14:paraId="0730DB2D" w14:textId="77777777" w:rsidR="00AE74A3" w:rsidRPr="00A510BD" w:rsidRDefault="00AE74A3" w:rsidP="006F4BFB">
      <w:pPr>
        <w:jc w:val="both"/>
        <w:rPr>
          <w:bCs/>
          <w:color w:val="7030A0"/>
          <w:sz w:val="16"/>
          <w:szCs w:val="16"/>
          <w:highlight w:val="yellow"/>
        </w:rPr>
      </w:pPr>
    </w:p>
    <w:p w14:paraId="78550BE9" w14:textId="77777777" w:rsidR="001265F6" w:rsidRPr="00E97ABA" w:rsidRDefault="001265F6" w:rsidP="002A09CD">
      <w:pPr>
        <w:ind w:firstLine="709"/>
        <w:jc w:val="center"/>
        <w:rPr>
          <w:b/>
          <w:bCs/>
          <w:i/>
          <w:lang w:eastAsia="en-US"/>
        </w:rPr>
      </w:pPr>
      <w:r w:rsidRPr="00E97ABA">
        <w:rPr>
          <w:b/>
          <w:bCs/>
          <w:i/>
          <w:lang w:eastAsia="en-US"/>
        </w:rPr>
        <w:t>Расходование средств резервного фонда</w:t>
      </w:r>
    </w:p>
    <w:p w14:paraId="70B779A5" w14:textId="7C343DB3" w:rsidR="006C61DD" w:rsidRDefault="00D6783A" w:rsidP="006C61DD">
      <w:pPr>
        <w:ind w:firstLine="709"/>
        <w:jc w:val="both"/>
      </w:pPr>
      <w:r w:rsidRPr="00E97ABA">
        <w:t>Законом</w:t>
      </w:r>
      <w:r w:rsidRPr="00E97ABA">
        <w:rPr>
          <w:lang w:eastAsia="en-US"/>
        </w:rPr>
        <w:t xml:space="preserve"> </w:t>
      </w:r>
      <w:r w:rsidRPr="00E97ABA">
        <w:t xml:space="preserve">об областном бюджете на 2020 год по подразделу 0111 «Резервные фонды» </w:t>
      </w:r>
      <w:proofErr w:type="spellStart"/>
      <w:r w:rsidRPr="00E97ABA">
        <w:t>Облфину</w:t>
      </w:r>
      <w:proofErr w:type="spellEnd"/>
      <w:r w:rsidRPr="00E97ABA">
        <w:t xml:space="preserve"> предусмотрены бюджетные ассигнования в размере 109 439,9 тыс. рублей.</w:t>
      </w:r>
      <w:r w:rsidR="006C61DD" w:rsidRPr="006C61DD">
        <w:t xml:space="preserve"> </w:t>
      </w:r>
      <w:r w:rsidR="006C61DD" w:rsidRPr="00411D73">
        <w:t xml:space="preserve">Согласно отчету </w:t>
      </w:r>
      <w:proofErr w:type="spellStart"/>
      <w:r w:rsidR="006C61DD">
        <w:t>Облфина</w:t>
      </w:r>
      <w:proofErr w:type="spellEnd"/>
      <w:r w:rsidR="006C61DD" w:rsidRPr="00411D73">
        <w:t xml:space="preserve"> об исполнении бюджета (ф. 0503127) бюджетные назначения по данному разделу </w:t>
      </w:r>
      <w:r w:rsidR="006C61DD">
        <w:t>утверждены в сумме</w:t>
      </w:r>
      <w:r w:rsidR="006C61DD" w:rsidRPr="00411D73">
        <w:t xml:space="preserve"> </w:t>
      </w:r>
      <w:r w:rsidR="006C61DD">
        <w:t xml:space="preserve">37 649,1 </w:t>
      </w:r>
      <w:r w:rsidR="006C61DD" w:rsidRPr="00A250C3">
        <w:t>тыс.</w:t>
      </w:r>
      <w:r w:rsidR="006C61DD" w:rsidRPr="00411D73">
        <w:t> руб</w:t>
      </w:r>
      <w:r w:rsidR="006C61DD">
        <w:t>лей.</w:t>
      </w:r>
    </w:p>
    <w:p w14:paraId="08467243" w14:textId="5F86C567" w:rsidR="007E2F01" w:rsidRPr="00E97ABA" w:rsidRDefault="003F2EBD" w:rsidP="007E2F01">
      <w:pPr>
        <w:ind w:firstLine="709"/>
        <w:jc w:val="both"/>
      </w:pPr>
      <w:r>
        <w:t>С</w:t>
      </w:r>
      <w:r w:rsidR="007E2F01" w:rsidRPr="00E97ABA">
        <w:t xml:space="preserve">умма распределения средств резервного фонда по постановлениям </w:t>
      </w:r>
      <w:r>
        <w:t>А</w:t>
      </w:r>
      <w:r w:rsidR="007E2F01" w:rsidRPr="00E97ABA">
        <w:t xml:space="preserve">дминистрации Волгоградской области составила </w:t>
      </w:r>
      <w:bookmarkStart w:id="3" w:name="_Hlk67574430"/>
      <w:r w:rsidR="007E2F01" w:rsidRPr="00E97ABA">
        <w:t xml:space="preserve">551 027,0 </w:t>
      </w:r>
      <w:bookmarkEnd w:id="3"/>
      <w:r w:rsidR="007E2F01" w:rsidRPr="00E97ABA">
        <w:t>тыс. руб., что в 5 раз больше бюджетных ассигнований, утвержденных Законом об областном бюджете на 2020 год.</w:t>
      </w:r>
    </w:p>
    <w:p w14:paraId="06DA6250" w14:textId="1BEFFA73" w:rsidR="007E2F01" w:rsidRPr="00E97ABA" w:rsidRDefault="007E2F01" w:rsidP="007E2F01">
      <w:pPr>
        <w:ind w:firstLine="709"/>
        <w:jc w:val="both"/>
        <w:rPr>
          <w:bCs/>
        </w:rPr>
      </w:pPr>
      <w:r w:rsidRPr="00E97ABA">
        <w:t>Увеличение резервного фонда Администрации Волгоградской области осуществл</w:t>
      </w:r>
      <w:r w:rsidR="003F2EBD">
        <w:t>ялось без внесения изменений в Закон об областном бюджете</w:t>
      </w:r>
      <w:r w:rsidRPr="00E97ABA">
        <w:t xml:space="preserve"> в связи с реализацией мер по предупреждению возникновения и распространения коронавирусной инфекции. Согласно отчету об использовании средств резервного фонда на указанные мероприятия направлено 508 801,7 тыс. рублей.</w:t>
      </w:r>
    </w:p>
    <w:p w14:paraId="6056D664" w14:textId="77777777" w:rsidR="007016CC" w:rsidRPr="00E97ABA" w:rsidRDefault="007016CC" w:rsidP="007016CC">
      <w:pPr>
        <w:ind w:firstLine="709"/>
        <w:jc w:val="both"/>
      </w:pPr>
      <w:r>
        <w:t>Н</w:t>
      </w:r>
      <w:r w:rsidRPr="00E97ABA">
        <w:t xml:space="preserve">а основании постановлений </w:t>
      </w:r>
      <w:r>
        <w:t>А</w:t>
      </w:r>
      <w:r w:rsidRPr="00E97ABA">
        <w:t>дминистрации Волгоградской области</w:t>
      </w:r>
      <w:r>
        <w:t xml:space="preserve"> средства резервного фонда перемещены </w:t>
      </w:r>
      <w:r w:rsidRPr="00E97ABA">
        <w:t>другим главным распорядителям средств областного бюджета и на подраздел 1403 «Иные межбюджетные трансферты», в том числе:</w:t>
      </w:r>
    </w:p>
    <w:p w14:paraId="7E6BA852" w14:textId="54FF85A0" w:rsidR="007016CC" w:rsidRPr="00E97ABA" w:rsidRDefault="007016CC" w:rsidP="007016CC">
      <w:pPr>
        <w:ind w:firstLine="709"/>
        <w:jc w:val="both"/>
      </w:pPr>
      <w:r w:rsidRPr="00E97ABA">
        <w:t>-518 444,</w:t>
      </w:r>
      <w:r w:rsidR="00854DB3">
        <w:t>2</w:t>
      </w:r>
      <w:r w:rsidRPr="00E97ABA">
        <w:t xml:space="preserve"> тыс. руб. – главным распорядителям средств областного бюджета, исполнены в сумме 509 969,5 тыс. руб</w:t>
      </w:r>
      <w:r>
        <w:t>.</w:t>
      </w:r>
      <w:r w:rsidRPr="00E97ABA">
        <w:t>;</w:t>
      </w:r>
    </w:p>
    <w:p w14:paraId="03254482" w14:textId="77777777" w:rsidR="007016CC" w:rsidRPr="00E97ABA" w:rsidRDefault="007016CC" w:rsidP="007016CC">
      <w:pPr>
        <w:ind w:firstLine="709"/>
        <w:jc w:val="both"/>
      </w:pPr>
      <w:r w:rsidRPr="00E97ABA">
        <w:t xml:space="preserve">-32 582,8 тыс. руб. – </w:t>
      </w:r>
      <w:proofErr w:type="spellStart"/>
      <w:r w:rsidRPr="00E97ABA">
        <w:t>Облфину</w:t>
      </w:r>
      <w:proofErr w:type="spellEnd"/>
      <w:r w:rsidRPr="00E97ABA">
        <w:t xml:space="preserve"> на подраздел 1403 «Иные межбюджетные трансферты», исполнены в сумме 30 256,4 тыс. рублей.</w:t>
      </w:r>
    </w:p>
    <w:p w14:paraId="2EED329F" w14:textId="77777777" w:rsidR="0018749E" w:rsidRPr="00E97ABA" w:rsidRDefault="0018749E" w:rsidP="00590E0E">
      <w:pPr>
        <w:autoSpaceDE w:val="0"/>
        <w:autoSpaceDN w:val="0"/>
        <w:adjustRightInd w:val="0"/>
        <w:jc w:val="both"/>
        <w:rPr>
          <w:color w:val="7030A0"/>
          <w:sz w:val="16"/>
          <w:szCs w:val="16"/>
        </w:rPr>
      </w:pPr>
    </w:p>
    <w:p w14:paraId="7F9B8D0D" w14:textId="77777777" w:rsidR="004D5057" w:rsidRDefault="004D5057" w:rsidP="00AD2D82">
      <w:pPr>
        <w:jc w:val="center"/>
        <w:rPr>
          <w:b/>
          <w:iCs/>
          <w:szCs w:val="18"/>
        </w:rPr>
      </w:pPr>
    </w:p>
    <w:p w14:paraId="645A4288" w14:textId="77777777" w:rsidR="004D5057" w:rsidRDefault="004D5057" w:rsidP="00AD2D82">
      <w:pPr>
        <w:jc w:val="center"/>
        <w:rPr>
          <w:b/>
          <w:iCs/>
          <w:szCs w:val="18"/>
        </w:rPr>
      </w:pPr>
    </w:p>
    <w:p w14:paraId="7ED1EE6A" w14:textId="228A254B" w:rsidR="00AD2D82" w:rsidRPr="00FB5C3C" w:rsidRDefault="00AD2D82" w:rsidP="00AD2D82">
      <w:pPr>
        <w:jc w:val="center"/>
        <w:rPr>
          <w:b/>
          <w:iCs/>
          <w:szCs w:val="18"/>
        </w:rPr>
      </w:pPr>
      <w:r w:rsidRPr="00FB5C3C">
        <w:rPr>
          <w:b/>
          <w:iCs/>
          <w:szCs w:val="18"/>
        </w:rPr>
        <w:lastRenderedPageBreak/>
        <w:t xml:space="preserve">Сравнительный анализ показателей исполнения </w:t>
      </w:r>
    </w:p>
    <w:p w14:paraId="56B45410" w14:textId="50B59461" w:rsidR="00EA1C07" w:rsidRPr="00FB5C3C" w:rsidRDefault="00AD2D82" w:rsidP="007F2B32">
      <w:pPr>
        <w:jc w:val="center"/>
        <w:rPr>
          <w:b/>
          <w:iCs/>
          <w:szCs w:val="18"/>
        </w:rPr>
      </w:pPr>
      <w:r w:rsidRPr="00FB5C3C">
        <w:rPr>
          <w:b/>
          <w:iCs/>
          <w:szCs w:val="18"/>
        </w:rPr>
        <w:t>расходов</w:t>
      </w:r>
      <w:r w:rsidR="00EA1C07" w:rsidRPr="00FB5C3C">
        <w:rPr>
          <w:b/>
          <w:iCs/>
          <w:szCs w:val="18"/>
        </w:rPr>
        <w:t xml:space="preserve"> областного бюджета за </w:t>
      </w:r>
      <w:r w:rsidR="009E5B83" w:rsidRPr="00FB5C3C">
        <w:rPr>
          <w:b/>
          <w:iCs/>
          <w:szCs w:val="18"/>
        </w:rPr>
        <w:t>2019-2020</w:t>
      </w:r>
      <w:r w:rsidRPr="00FB5C3C">
        <w:rPr>
          <w:b/>
          <w:iCs/>
          <w:szCs w:val="18"/>
        </w:rPr>
        <w:t xml:space="preserve"> годы</w:t>
      </w:r>
    </w:p>
    <w:p w14:paraId="16816DC7" w14:textId="2D010E74" w:rsidR="00BD781D" w:rsidRPr="006F4A3A" w:rsidRDefault="00EA1C07" w:rsidP="00BA29FB">
      <w:pPr>
        <w:tabs>
          <w:tab w:val="left" w:pos="7088"/>
        </w:tabs>
        <w:ind w:firstLine="709"/>
        <w:jc w:val="both"/>
      </w:pPr>
      <w:r w:rsidRPr="006F4A3A">
        <w:t>К уровню 201</w:t>
      </w:r>
      <w:r w:rsidR="003A0F94" w:rsidRPr="006F4A3A">
        <w:t>9</w:t>
      </w:r>
      <w:r w:rsidRPr="006F4A3A">
        <w:t xml:space="preserve"> года в отчетном периоде расходы </w:t>
      </w:r>
      <w:proofErr w:type="spellStart"/>
      <w:r w:rsidR="00400EA2" w:rsidRPr="006F4A3A">
        <w:t>Облфина</w:t>
      </w:r>
      <w:proofErr w:type="spellEnd"/>
      <w:r w:rsidRPr="006F4A3A">
        <w:t xml:space="preserve"> увеличились на </w:t>
      </w:r>
      <w:r w:rsidR="003A0F94" w:rsidRPr="006F4A3A">
        <w:t>373 433,1</w:t>
      </w:r>
      <w:r w:rsidR="006E2D77" w:rsidRPr="006F4A3A">
        <w:t xml:space="preserve"> тыс. руб.</w:t>
      </w:r>
      <w:r w:rsidR="00091893" w:rsidRPr="006F4A3A">
        <w:t xml:space="preserve">, или на </w:t>
      </w:r>
      <w:r w:rsidR="003A0F94" w:rsidRPr="006F4A3A">
        <w:t>4,3</w:t>
      </w:r>
      <w:r w:rsidR="002C5BD8" w:rsidRPr="006F4A3A">
        <w:t xml:space="preserve"> </w:t>
      </w:r>
      <w:r w:rsidR="00BD781D" w:rsidRPr="006F4A3A">
        <w:t>процента.</w:t>
      </w:r>
      <w:r w:rsidR="004D5057" w:rsidRPr="004D5057">
        <w:t xml:space="preserve"> Анализ показателей исполнения расходов </w:t>
      </w:r>
      <w:proofErr w:type="spellStart"/>
      <w:r w:rsidR="004D5057" w:rsidRPr="004D5057">
        <w:t>Облфина</w:t>
      </w:r>
      <w:proofErr w:type="spellEnd"/>
      <w:r w:rsidR="004D5057" w:rsidRPr="004D5057">
        <w:t xml:space="preserve"> за 2020 год в сравнении с 2019 годом приведен в приложении № 3.</w:t>
      </w:r>
    </w:p>
    <w:p w14:paraId="1BFA5CB0" w14:textId="0065D724" w:rsidR="00BD781D" w:rsidRDefault="00BD781D" w:rsidP="00BA29FB">
      <w:pPr>
        <w:tabs>
          <w:tab w:val="left" w:pos="7088"/>
        </w:tabs>
        <w:ind w:firstLine="709"/>
        <w:jc w:val="both"/>
      </w:pPr>
      <w:r w:rsidRPr="006F4A3A">
        <w:t>В абсолютных значениях наибольший рост расходов сложился по:</w:t>
      </w:r>
    </w:p>
    <w:p w14:paraId="5DFB40E4" w14:textId="44D93024" w:rsidR="002B73C4" w:rsidRPr="006F4A3A" w:rsidRDefault="002B73C4" w:rsidP="00B04FA9">
      <w:pPr>
        <w:tabs>
          <w:tab w:val="left" w:pos="7088"/>
        </w:tabs>
        <w:ind w:firstLine="567"/>
        <w:jc w:val="both"/>
      </w:pPr>
      <w:r>
        <w:t xml:space="preserve">-расходам </w:t>
      </w:r>
      <w:r w:rsidR="0000388B">
        <w:t xml:space="preserve">на обеспечение деятельности </w:t>
      </w:r>
      <w:proofErr w:type="spellStart"/>
      <w:r w:rsidR="0000388B">
        <w:t>Облфина</w:t>
      </w:r>
      <w:proofErr w:type="spellEnd"/>
      <w:r>
        <w:t xml:space="preserve"> (+</w:t>
      </w:r>
      <w:r w:rsidR="0000388B">
        <w:t>10 109,2</w:t>
      </w:r>
      <w:r>
        <w:t xml:space="preserve"> тыс. руб.);</w:t>
      </w:r>
    </w:p>
    <w:p w14:paraId="7C454980" w14:textId="07E977E6" w:rsidR="00BD781D" w:rsidRPr="006F4A3A" w:rsidRDefault="00BD781D" w:rsidP="00B04FA9">
      <w:pPr>
        <w:tabs>
          <w:tab w:val="left" w:pos="7088"/>
        </w:tabs>
        <w:ind w:firstLine="567"/>
        <w:jc w:val="both"/>
      </w:pPr>
      <w:r w:rsidRPr="006F4A3A">
        <w:t>-дотациям на поддержку мер по обеспечению сбалансированности местных бюджетов (+1 024 671,4 тыс. руб</w:t>
      </w:r>
      <w:r w:rsidR="005364D8" w:rsidRPr="006F4A3A">
        <w:t>.</w:t>
      </w:r>
      <w:r w:rsidRPr="006F4A3A">
        <w:t>);</w:t>
      </w:r>
    </w:p>
    <w:p w14:paraId="6AB645C5" w14:textId="3CE69BB3" w:rsidR="00BD781D" w:rsidRPr="006F4A3A" w:rsidRDefault="00BD781D" w:rsidP="00B04FA9">
      <w:pPr>
        <w:tabs>
          <w:tab w:val="left" w:pos="7088"/>
        </w:tabs>
        <w:ind w:firstLine="567"/>
        <w:jc w:val="both"/>
      </w:pPr>
      <w:r w:rsidRPr="006F4A3A">
        <w:t>-</w:t>
      </w:r>
      <w:r w:rsidR="004D5057">
        <w:t xml:space="preserve">субсидиям местным бюджетам на </w:t>
      </w:r>
      <w:r w:rsidRPr="006F4A3A">
        <w:t xml:space="preserve">мероприятия </w:t>
      </w:r>
      <w:r w:rsidRPr="006F4A3A">
        <w:rPr>
          <w:rFonts w:eastAsiaTheme="minorHAnsi"/>
          <w:lang w:eastAsia="en-US"/>
        </w:rPr>
        <w:t xml:space="preserve">в сфере дорожной деятельности </w:t>
      </w:r>
      <w:r w:rsidRPr="006F4A3A">
        <w:t>(+106 033,1 тыс. руб.);</w:t>
      </w:r>
    </w:p>
    <w:p w14:paraId="4AA9F97D" w14:textId="7F3FF3B5" w:rsidR="00BD781D" w:rsidRDefault="00BD781D" w:rsidP="00B04FA9">
      <w:pPr>
        <w:tabs>
          <w:tab w:val="left" w:pos="7088"/>
        </w:tabs>
        <w:ind w:firstLine="567"/>
        <w:jc w:val="both"/>
      </w:pPr>
      <w:r w:rsidRPr="006F4A3A">
        <w:t>-субсидиям бюджетам муниципальных образований на проведение мероприятий по повышению финансовой грамотности населения (+22 684,8 тыс. руб.)</w:t>
      </w:r>
      <w:r w:rsidR="009E21FA">
        <w:t>;</w:t>
      </w:r>
    </w:p>
    <w:p w14:paraId="537565E8" w14:textId="2F2FD0A6" w:rsidR="009E21FA" w:rsidRPr="002B73C4" w:rsidRDefault="009E21FA" w:rsidP="00B04FA9">
      <w:pPr>
        <w:tabs>
          <w:tab w:val="left" w:pos="7088"/>
        </w:tabs>
        <w:ind w:firstLine="567"/>
        <w:jc w:val="both"/>
      </w:pPr>
      <w:r w:rsidRPr="002B73C4">
        <w:t>-по субсидиям местным бюджетам на реализацию проектов местных инициатив (+68 595,4 тыс. рублей).</w:t>
      </w:r>
    </w:p>
    <w:p w14:paraId="5B33C599" w14:textId="4D431301" w:rsidR="008063F8" w:rsidRDefault="006E2D77" w:rsidP="00A948E6">
      <w:pPr>
        <w:autoSpaceDE w:val="0"/>
        <w:autoSpaceDN w:val="0"/>
        <w:adjustRightInd w:val="0"/>
        <w:ind w:firstLine="709"/>
        <w:jc w:val="both"/>
      </w:pPr>
      <w:r w:rsidRPr="006F4A3A">
        <w:t>Наибольшее с</w:t>
      </w:r>
      <w:r w:rsidR="00AD2D82" w:rsidRPr="006F4A3A">
        <w:t>нижение расходов произошло</w:t>
      </w:r>
      <w:r w:rsidR="008063F8" w:rsidRPr="006F4A3A">
        <w:t>:</w:t>
      </w:r>
    </w:p>
    <w:p w14:paraId="213CE39C" w14:textId="2D089296" w:rsidR="002B73C4" w:rsidRPr="006F4A3A" w:rsidRDefault="002B73C4" w:rsidP="00B04FA9">
      <w:pPr>
        <w:autoSpaceDE w:val="0"/>
        <w:autoSpaceDN w:val="0"/>
        <w:adjustRightInd w:val="0"/>
        <w:ind w:firstLine="567"/>
        <w:jc w:val="both"/>
      </w:pPr>
      <w:r>
        <w:t xml:space="preserve">-по расходам </w:t>
      </w:r>
      <w:r w:rsidR="0000388B">
        <w:t>на реализацию мероприятий в рамках подпрограммы «</w:t>
      </w:r>
      <w:r w:rsidR="0000388B" w:rsidRPr="0000388B">
        <w:t>Создание и развитие информационных систем в сфере управления общественными финансами Волгоградской области</w:t>
      </w:r>
      <w:r w:rsidR="0000388B">
        <w:t>» государственной программы «</w:t>
      </w:r>
      <w:r w:rsidR="0000388B" w:rsidRPr="000B2B84">
        <w:t>Управление государственными финансами Волгоградской области</w:t>
      </w:r>
      <w:r w:rsidR="0000388B" w:rsidRPr="000B2B84">
        <w:rPr>
          <w:bCs/>
          <w:iCs/>
        </w:rPr>
        <w:t>»</w:t>
      </w:r>
      <w:r>
        <w:t xml:space="preserve"> (-49 524,0 тыс. руб.);</w:t>
      </w:r>
    </w:p>
    <w:p w14:paraId="6410D4B6" w14:textId="137FD7EA" w:rsidR="00F24B45" w:rsidRPr="006F4A3A" w:rsidRDefault="008063F8" w:rsidP="00B04FA9">
      <w:pPr>
        <w:autoSpaceDE w:val="0"/>
        <w:autoSpaceDN w:val="0"/>
        <w:adjustRightInd w:val="0"/>
        <w:ind w:firstLine="567"/>
        <w:jc w:val="both"/>
      </w:pPr>
      <w:r w:rsidRPr="006F4A3A">
        <w:t>-</w:t>
      </w:r>
      <w:r w:rsidR="009815D4" w:rsidRPr="006F4A3A">
        <w:t xml:space="preserve">по </w:t>
      </w:r>
      <w:r w:rsidR="00F24B45" w:rsidRPr="006F4A3A">
        <w:t>субсидии бюджету городского округа город-герой Волгоград на решение вопросов местного значения в сфере транспортного обслуживания на 463 999,4 тыс. руб.</w:t>
      </w:r>
      <w:r w:rsidRPr="006F4A3A">
        <w:t>;</w:t>
      </w:r>
    </w:p>
    <w:p w14:paraId="77D8E445" w14:textId="50AF5B96" w:rsidR="008063F8" w:rsidRDefault="008063F8" w:rsidP="00B04FA9">
      <w:pPr>
        <w:autoSpaceDE w:val="0"/>
        <w:autoSpaceDN w:val="0"/>
        <w:adjustRightInd w:val="0"/>
        <w:ind w:firstLine="567"/>
        <w:jc w:val="both"/>
      </w:pPr>
      <w:r w:rsidRPr="006F4A3A">
        <w:t xml:space="preserve">-по </w:t>
      </w:r>
      <w:r w:rsidR="009E21FA">
        <w:t>расходам на о</w:t>
      </w:r>
      <w:r w:rsidRPr="006F4A3A">
        <w:t>бслуживание государственного внутреннего долга</w:t>
      </w:r>
      <w:r w:rsidR="00534825" w:rsidRPr="006F4A3A">
        <w:t xml:space="preserve"> на 343</w:t>
      </w:r>
      <w:r w:rsidR="003D1094" w:rsidRPr="006F4A3A">
        <w:t> </w:t>
      </w:r>
      <w:r w:rsidR="00534825" w:rsidRPr="006F4A3A">
        <w:t>986</w:t>
      </w:r>
      <w:r w:rsidR="003D1094" w:rsidRPr="006F4A3A">
        <w:t>,1 тыс. руб</w:t>
      </w:r>
      <w:r w:rsidR="009E21FA">
        <w:t>лей</w:t>
      </w:r>
      <w:r w:rsidR="003D1094" w:rsidRPr="006F4A3A">
        <w:t>.</w:t>
      </w:r>
    </w:p>
    <w:p w14:paraId="04BAF38E" w14:textId="77777777" w:rsidR="00F24B45" w:rsidRPr="00A510BD" w:rsidRDefault="00F24B45" w:rsidP="002128E1">
      <w:pPr>
        <w:jc w:val="center"/>
        <w:rPr>
          <w:b/>
          <w:bCs/>
          <w:i/>
          <w:color w:val="7030A0"/>
        </w:rPr>
      </w:pPr>
    </w:p>
    <w:p w14:paraId="202FDB27" w14:textId="77777777" w:rsidR="00552103" w:rsidRPr="005A1F35" w:rsidRDefault="00552103" w:rsidP="00552103">
      <w:pPr>
        <w:jc w:val="center"/>
        <w:rPr>
          <w:b/>
          <w:bCs/>
          <w:iCs/>
        </w:rPr>
      </w:pPr>
      <w:bookmarkStart w:id="4" w:name="_Hlk68606797"/>
      <w:r w:rsidRPr="005A1F35">
        <w:rPr>
          <w:b/>
          <w:bCs/>
          <w:iCs/>
        </w:rPr>
        <w:t xml:space="preserve">Исполнение бюджетных назначений </w:t>
      </w:r>
    </w:p>
    <w:p w14:paraId="66F73517" w14:textId="77777777" w:rsidR="00552103" w:rsidRPr="005A1F35" w:rsidRDefault="00552103" w:rsidP="00552103">
      <w:pPr>
        <w:jc w:val="center"/>
        <w:rPr>
          <w:b/>
          <w:bCs/>
          <w:iCs/>
        </w:rPr>
      </w:pPr>
      <w:r w:rsidRPr="005A1F35">
        <w:rPr>
          <w:b/>
          <w:bCs/>
          <w:iCs/>
        </w:rPr>
        <w:t>по источникам финансирования дефицита бюджета</w:t>
      </w:r>
    </w:p>
    <w:p w14:paraId="3B0267AA" w14:textId="75B123E5" w:rsidR="005D3162" w:rsidRPr="005A1F35" w:rsidRDefault="00552103" w:rsidP="00552103">
      <w:pPr>
        <w:ind w:firstLine="709"/>
        <w:jc w:val="both"/>
      </w:pPr>
      <w:r w:rsidRPr="005A1F35">
        <w:t>Законом об областном бюджете на 2020 год источники внутреннего финансирования дефицита областного бюджета утверждены в сумме 4 850 000,0 тыс. руб</w:t>
      </w:r>
      <w:r w:rsidR="001F43A4" w:rsidRPr="005A1F35">
        <w:t xml:space="preserve">лей. По данным бюджетной отчетности </w:t>
      </w:r>
      <w:proofErr w:type="spellStart"/>
      <w:r w:rsidR="001F43A4" w:rsidRPr="005A1F35">
        <w:t>Облфина</w:t>
      </w:r>
      <w:proofErr w:type="spellEnd"/>
      <w:r w:rsidR="001F43A4" w:rsidRPr="005A1F35">
        <w:t xml:space="preserve"> </w:t>
      </w:r>
      <w:r w:rsidRPr="005A1F35">
        <w:t>за 2020 год бюджетные назначения по источникам</w:t>
      </w:r>
      <w:r w:rsidR="005364D8" w:rsidRPr="005A1F35">
        <w:t xml:space="preserve"> внутреннего</w:t>
      </w:r>
      <w:r w:rsidRPr="005A1F35">
        <w:t xml:space="preserve"> финансирования</w:t>
      </w:r>
      <w:r w:rsidR="00404E41" w:rsidRPr="005A1F35">
        <w:t xml:space="preserve"> дефицита</w:t>
      </w:r>
      <w:r w:rsidRPr="005A1F35">
        <w:t xml:space="preserve"> бюджета исполнены в сумме 4 400 744,8 тыс. руб., или на 90,7 процента.</w:t>
      </w:r>
      <w:r w:rsidR="007E4338" w:rsidRPr="007E4338">
        <w:t xml:space="preserve"> Сведения о выполнении показателей бюджета по источникам внутреннего финансирования дефицита бюджета представлены в приложении № 4.</w:t>
      </w:r>
    </w:p>
    <w:p w14:paraId="4082B27C" w14:textId="76149C1C" w:rsidR="005D3162" w:rsidRPr="005A1F35" w:rsidRDefault="005D3162" w:rsidP="005D3162">
      <w:pPr>
        <w:ind w:firstLine="709"/>
        <w:jc w:val="both"/>
      </w:pPr>
      <w:r w:rsidRPr="005A1F35">
        <w:t xml:space="preserve">В 2020 году сложилось перевыполнение бюджетных назначений по заимствованиям на 1 400 000,0 тыс. руб. в связи с дополнительным привлечением в декабре 2020 года незапланированного бюджетного кредита из федерального бюджета в сумме 5 000 000,0 тыс. руб. со сроком погашения в 2021 году, а также </w:t>
      </w:r>
      <w:r w:rsidR="007E4338">
        <w:t>не</w:t>
      </w:r>
      <w:r w:rsidRPr="005A1F35">
        <w:t>использовани</w:t>
      </w:r>
      <w:r w:rsidR="0066792C">
        <w:t>ем</w:t>
      </w:r>
      <w:r w:rsidRPr="005A1F35">
        <w:t xml:space="preserve"> возобновляемой кредитной линии и несостоявшимися торгами на предоставление кредитов кредитными организациями для нужд областного бюджета.</w:t>
      </w:r>
    </w:p>
    <w:p w14:paraId="710614E9" w14:textId="0FB5C859" w:rsidR="005D3162" w:rsidRPr="005A1F35" w:rsidRDefault="005D3162" w:rsidP="005D3162">
      <w:pPr>
        <w:ind w:firstLine="709"/>
        <w:jc w:val="both"/>
      </w:pPr>
      <w:r w:rsidRPr="005A1F35">
        <w:t>Основным фактором, повлиявшим на неисполнение показателей по иным источникам финансирования</w:t>
      </w:r>
      <w:r w:rsidR="00775959">
        <w:t>,</w:t>
      </w:r>
      <w:r w:rsidRPr="005A1F35">
        <w:t xml:space="preserve"> явился возврат средств бюджетных (автономных) учреждений в сумме 1 853 702,1 тыс. руб., перечисленных на единый счет областного бюджета в 2020 году. В течение 2020 года задолженность перед бюджетными и автономными учреждениями сократилась с 2 453 702,1 тыс. руб. до 600 000,0 тыс. руб., или в 4,1 раза. На 01.04.2021 задолженность перед учреждениями в сумме 600 000,0 тыс. руб. погашена. </w:t>
      </w:r>
    </w:p>
    <w:p w14:paraId="6261A081" w14:textId="77777777" w:rsidR="0066792C" w:rsidRDefault="005D3162" w:rsidP="005D3162">
      <w:pPr>
        <w:ind w:firstLine="709"/>
        <w:jc w:val="both"/>
      </w:pPr>
      <w:r w:rsidRPr="005A1F35">
        <w:t xml:space="preserve">Законом об областном бюджете на 2020 год (ст. 45) предусмотрено предоставление бюджетных кредитов муниципальным образованиям в сумме до 40 000,0 тыс. руб. на срок, не выходящий за пределы 2020 года. Фактически в 2020 году бюджетные кредиты муниципальным образованиям не предоставлялись. </w:t>
      </w:r>
    </w:p>
    <w:p w14:paraId="115D34FE" w14:textId="66522CBA" w:rsidR="005D3162" w:rsidRDefault="0066792C" w:rsidP="005D3162">
      <w:pPr>
        <w:ind w:firstLine="709"/>
        <w:jc w:val="both"/>
      </w:pPr>
      <w:r>
        <w:lastRenderedPageBreak/>
        <w:t xml:space="preserve">В 2020 году </w:t>
      </w:r>
      <w:r w:rsidRPr="005A1F35">
        <w:t xml:space="preserve">по бюджетным кредитам, предоставленным </w:t>
      </w:r>
      <w:r w:rsidR="00775959" w:rsidRPr="005A1F35">
        <w:t xml:space="preserve">юридическим лицам </w:t>
      </w:r>
      <w:r w:rsidRPr="005A1F35">
        <w:t>в 2000-2004 годах</w:t>
      </w:r>
      <w:r w:rsidR="000B5859">
        <w:t>,</w:t>
      </w:r>
      <w:r w:rsidRPr="005A1F35">
        <w:t xml:space="preserve"> произведен </w:t>
      </w:r>
      <w:r>
        <w:t>в</w:t>
      </w:r>
      <w:r w:rsidR="005D3162" w:rsidRPr="005A1F35">
        <w:t>озврат в сумме 4 446,9 тыс. руб</w:t>
      </w:r>
      <w:r w:rsidR="00775959">
        <w:t>.</w:t>
      </w:r>
      <w:r w:rsidR="00775959" w:rsidRPr="00775959">
        <w:t xml:space="preserve"> </w:t>
      </w:r>
      <w:r w:rsidR="00775959" w:rsidRPr="005A1F35">
        <w:t>ОАО «Волгоградское» по племенной работе»</w:t>
      </w:r>
      <w:r>
        <w:t>.</w:t>
      </w:r>
    </w:p>
    <w:p w14:paraId="5927EFFD" w14:textId="6C2E9CD1" w:rsidR="00390980" w:rsidRDefault="00390980" w:rsidP="005D3162">
      <w:pPr>
        <w:ind w:firstLine="709"/>
        <w:jc w:val="both"/>
      </w:pPr>
    </w:p>
    <w:p w14:paraId="49A9B479" w14:textId="77777777" w:rsidR="002A09CD" w:rsidRPr="00910083" w:rsidRDefault="002A09CD" w:rsidP="002A09CD">
      <w:pPr>
        <w:jc w:val="center"/>
        <w:rPr>
          <w:b/>
        </w:rPr>
      </w:pPr>
      <w:r w:rsidRPr="00910083">
        <w:rPr>
          <w:b/>
        </w:rPr>
        <w:t>Государственный долг</w:t>
      </w:r>
    </w:p>
    <w:p w14:paraId="0EB06202" w14:textId="77777777" w:rsidR="00B50863" w:rsidRDefault="0001654E" w:rsidP="002A09CD">
      <w:pPr>
        <w:ind w:firstLine="708"/>
        <w:jc w:val="both"/>
      </w:pPr>
      <w:bookmarkStart w:id="5" w:name="_Hlk69734341"/>
      <w:r w:rsidRPr="00910083">
        <w:t xml:space="preserve">Объем государственного долга Волгоградской области на 01.01.2021 составил </w:t>
      </w:r>
      <w:r w:rsidR="002A09CD" w:rsidRPr="00910083">
        <w:t>53 273 812,9 тыс. руб</w:t>
      </w:r>
      <w:r w:rsidR="00B64199">
        <w:t>лей</w:t>
      </w:r>
      <w:r w:rsidR="002A09CD" w:rsidRPr="00910083">
        <w:t>.</w:t>
      </w:r>
      <w:r w:rsidRPr="00910083">
        <w:t xml:space="preserve"> </w:t>
      </w:r>
    </w:p>
    <w:p w14:paraId="230C348D" w14:textId="568E0946" w:rsidR="00B50863" w:rsidRPr="00E010B7" w:rsidRDefault="00B50863" w:rsidP="00B50863">
      <w:pPr>
        <w:ind w:right="-1" w:firstLine="708"/>
        <w:jc w:val="right"/>
        <w:rPr>
          <w:sz w:val="22"/>
          <w:szCs w:val="22"/>
        </w:rPr>
      </w:pPr>
      <w:r w:rsidRPr="00E010B7">
        <w:rPr>
          <w:i/>
          <w:sz w:val="22"/>
          <w:szCs w:val="22"/>
        </w:rPr>
        <w:t>тыс. руб.</w:t>
      </w:r>
    </w:p>
    <w:tbl>
      <w:tblPr>
        <w:tblW w:w="9443" w:type="dxa"/>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3227"/>
        <w:gridCol w:w="1130"/>
        <w:gridCol w:w="989"/>
        <w:gridCol w:w="1130"/>
        <w:gridCol w:w="989"/>
        <w:gridCol w:w="1130"/>
        <w:gridCol w:w="848"/>
      </w:tblGrid>
      <w:tr w:rsidR="00B50863" w:rsidRPr="00E010B7" w14:paraId="0CEDC5D5" w14:textId="77777777" w:rsidTr="007E4DF4">
        <w:trPr>
          <w:trHeight w:val="20"/>
        </w:trPr>
        <w:tc>
          <w:tcPr>
            <w:tcW w:w="3227" w:type="dxa"/>
            <w:vMerge w:val="restart"/>
            <w:tcBorders>
              <w:top w:val="double" w:sz="4" w:space="0" w:color="auto"/>
              <w:bottom w:val="dotted" w:sz="4" w:space="0" w:color="auto"/>
            </w:tcBorders>
            <w:shd w:val="clear" w:color="auto" w:fill="DEEAF6" w:themeFill="accent1" w:themeFillTint="33"/>
            <w:vAlign w:val="center"/>
            <w:hideMark/>
          </w:tcPr>
          <w:p w14:paraId="2648D34D" w14:textId="77777777" w:rsidR="00B50863" w:rsidRPr="00E010B7" w:rsidRDefault="00B50863" w:rsidP="007E4DF4">
            <w:pPr>
              <w:jc w:val="center"/>
              <w:rPr>
                <w:rFonts w:eastAsia="Times New Roman"/>
                <w:b/>
                <w:bCs/>
                <w:sz w:val="18"/>
                <w:szCs w:val="18"/>
              </w:rPr>
            </w:pPr>
            <w:r w:rsidRPr="00E010B7">
              <w:rPr>
                <w:rFonts w:eastAsia="Times New Roman"/>
                <w:b/>
                <w:bCs/>
                <w:sz w:val="18"/>
                <w:szCs w:val="18"/>
              </w:rPr>
              <w:t>Вид обязательств</w:t>
            </w:r>
          </w:p>
        </w:tc>
        <w:tc>
          <w:tcPr>
            <w:tcW w:w="2119" w:type="dxa"/>
            <w:gridSpan w:val="2"/>
            <w:tcBorders>
              <w:top w:val="double" w:sz="4" w:space="0" w:color="auto"/>
              <w:bottom w:val="dotted" w:sz="4" w:space="0" w:color="auto"/>
            </w:tcBorders>
            <w:shd w:val="clear" w:color="auto" w:fill="DEEAF6" w:themeFill="accent1" w:themeFillTint="33"/>
            <w:vAlign w:val="center"/>
            <w:hideMark/>
          </w:tcPr>
          <w:p w14:paraId="52DEEECA" w14:textId="77777777" w:rsidR="00B50863" w:rsidRPr="00E010B7" w:rsidRDefault="00B50863" w:rsidP="007E4DF4">
            <w:pPr>
              <w:jc w:val="center"/>
              <w:rPr>
                <w:rFonts w:eastAsia="Times New Roman"/>
                <w:b/>
                <w:bCs/>
                <w:sz w:val="18"/>
                <w:szCs w:val="18"/>
              </w:rPr>
            </w:pPr>
            <w:r w:rsidRPr="00E010B7">
              <w:rPr>
                <w:rFonts w:eastAsia="Times New Roman"/>
                <w:b/>
                <w:bCs/>
                <w:sz w:val="18"/>
                <w:szCs w:val="18"/>
              </w:rPr>
              <w:t>01.01.2020</w:t>
            </w:r>
          </w:p>
        </w:tc>
        <w:tc>
          <w:tcPr>
            <w:tcW w:w="2119" w:type="dxa"/>
            <w:gridSpan w:val="2"/>
            <w:tcBorders>
              <w:top w:val="double" w:sz="4" w:space="0" w:color="auto"/>
              <w:bottom w:val="dotted" w:sz="4" w:space="0" w:color="auto"/>
            </w:tcBorders>
            <w:shd w:val="clear" w:color="auto" w:fill="DEEAF6" w:themeFill="accent1" w:themeFillTint="33"/>
            <w:vAlign w:val="center"/>
            <w:hideMark/>
          </w:tcPr>
          <w:p w14:paraId="4D7B8F9A" w14:textId="77777777" w:rsidR="00B50863" w:rsidRPr="00E010B7" w:rsidRDefault="00B50863" w:rsidP="007E4DF4">
            <w:pPr>
              <w:jc w:val="center"/>
              <w:rPr>
                <w:rFonts w:eastAsia="Times New Roman"/>
                <w:b/>
                <w:bCs/>
                <w:sz w:val="18"/>
                <w:szCs w:val="18"/>
              </w:rPr>
            </w:pPr>
            <w:r w:rsidRPr="00E010B7">
              <w:rPr>
                <w:rFonts w:eastAsia="Times New Roman"/>
                <w:b/>
                <w:bCs/>
                <w:sz w:val="18"/>
                <w:szCs w:val="18"/>
              </w:rPr>
              <w:t>01.01.2021</w:t>
            </w:r>
          </w:p>
        </w:tc>
        <w:tc>
          <w:tcPr>
            <w:tcW w:w="1978" w:type="dxa"/>
            <w:gridSpan w:val="2"/>
            <w:tcBorders>
              <w:top w:val="double" w:sz="4" w:space="0" w:color="auto"/>
              <w:bottom w:val="dotted" w:sz="4" w:space="0" w:color="auto"/>
            </w:tcBorders>
            <w:shd w:val="clear" w:color="auto" w:fill="DEEAF6" w:themeFill="accent1" w:themeFillTint="33"/>
            <w:vAlign w:val="center"/>
            <w:hideMark/>
          </w:tcPr>
          <w:p w14:paraId="1840E715" w14:textId="77777777" w:rsidR="00B50863" w:rsidRPr="00E010B7" w:rsidRDefault="00B50863" w:rsidP="007E4DF4">
            <w:pPr>
              <w:jc w:val="center"/>
              <w:rPr>
                <w:rFonts w:eastAsia="Times New Roman"/>
                <w:b/>
                <w:bCs/>
                <w:sz w:val="18"/>
                <w:szCs w:val="18"/>
              </w:rPr>
            </w:pPr>
            <w:r w:rsidRPr="00E010B7">
              <w:rPr>
                <w:rFonts w:eastAsia="Times New Roman"/>
                <w:b/>
                <w:bCs/>
                <w:sz w:val="18"/>
                <w:szCs w:val="18"/>
              </w:rPr>
              <w:t xml:space="preserve">Увеличение (+), </w:t>
            </w:r>
            <w:r w:rsidRPr="00E010B7">
              <w:rPr>
                <w:rFonts w:eastAsia="Times New Roman"/>
                <w:b/>
                <w:bCs/>
                <w:sz w:val="18"/>
                <w:szCs w:val="18"/>
              </w:rPr>
              <w:br/>
              <w:t>снижение (-) долга</w:t>
            </w:r>
          </w:p>
        </w:tc>
      </w:tr>
      <w:tr w:rsidR="00B50863" w:rsidRPr="00E010B7" w14:paraId="4FC586C1" w14:textId="77777777" w:rsidTr="007E4DF4">
        <w:trPr>
          <w:trHeight w:val="20"/>
        </w:trPr>
        <w:tc>
          <w:tcPr>
            <w:tcW w:w="3227" w:type="dxa"/>
            <w:vMerge/>
            <w:tcBorders>
              <w:top w:val="dotted" w:sz="4" w:space="0" w:color="auto"/>
              <w:bottom w:val="double" w:sz="4" w:space="0" w:color="auto"/>
            </w:tcBorders>
            <w:vAlign w:val="center"/>
            <w:hideMark/>
          </w:tcPr>
          <w:p w14:paraId="18CB2E82" w14:textId="77777777" w:rsidR="00B50863" w:rsidRPr="00E010B7" w:rsidRDefault="00B50863" w:rsidP="007E4DF4">
            <w:pPr>
              <w:rPr>
                <w:rFonts w:eastAsia="Times New Roman"/>
                <w:b/>
                <w:bCs/>
                <w:sz w:val="18"/>
                <w:szCs w:val="18"/>
              </w:rPr>
            </w:pPr>
          </w:p>
        </w:tc>
        <w:tc>
          <w:tcPr>
            <w:tcW w:w="1130" w:type="dxa"/>
            <w:tcBorders>
              <w:top w:val="dotted" w:sz="4" w:space="0" w:color="auto"/>
              <w:bottom w:val="double" w:sz="4" w:space="0" w:color="auto"/>
            </w:tcBorders>
            <w:shd w:val="clear" w:color="auto" w:fill="DEEAF6" w:themeFill="accent1" w:themeFillTint="33"/>
            <w:vAlign w:val="center"/>
            <w:hideMark/>
          </w:tcPr>
          <w:p w14:paraId="45C3F88F" w14:textId="77777777" w:rsidR="00B50863" w:rsidRPr="00E010B7" w:rsidRDefault="00B50863" w:rsidP="007E4DF4">
            <w:pPr>
              <w:jc w:val="center"/>
              <w:rPr>
                <w:rFonts w:eastAsia="Times New Roman"/>
                <w:sz w:val="18"/>
                <w:szCs w:val="18"/>
              </w:rPr>
            </w:pPr>
            <w:r w:rsidRPr="00E010B7">
              <w:rPr>
                <w:rFonts w:eastAsia="Times New Roman"/>
                <w:sz w:val="18"/>
                <w:szCs w:val="18"/>
              </w:rPr>
              <w:t>тыс. руб.</w:t>
            </w:r>
          </w:p>
        </w:tc>
        <w:tc>
          <w:tcPr>
            <w:tcW w:w="989" w:type="dxa"/>
            <w:tcBorders>
              <w:top w:val="dotted" w:sz="4" w:space="0" w:color="auto"/>
              <w:bottom w:val="double" w:sz="4" w:space="0" w:color="auto"/>
            </w:tcBorders>
            <w:shd w:val="clear" w:color="auto" w:fill="DEEAF6" w:themeFill="accent1" w:themeFillTint="33"/>
            <w:vAlign w:val="center"/>
            <w:hideMark/>
          </w:tcPr>
          <w:p w14:paraId="0A235CCB" w14:textId="77777777" w:rsidR="00B50863" w:rsidRPr="00E010B7" w:rsidRDefault="00B50863" w:rsidP="007E4DF4">
            <w:pPr>
              <w:jc w:val="center"/>
              <w:rPr>
                <w:rFonts w:eastAsia="Times New Roman"/>
                <w:sz w:val="18"/>
                <w:szCs w:val="18"/>
              </w:rPr>
            </w:pPr>
            <w:r w:rsidRPr="00E010B7">
              <w:rPr>
                <w:rFonts w:eastAsia="Times New Roman"/>
                <w:sz w:val="18"/>
                <w:szCs w:val="18"/>
              </w:rPr>
              <w:t>доля, %</w:t>
            </w:r>
          </w:p>
        </w:tc>
        <w:tc>
          <w:tcPr>
            <w:tcW w:w="1130" w:type="dxa"/>
            <w:tcBorders>
              <w:top w:val="dotted" w:sz="4" w:space="0" w:color="auto"/>
              <w:bottom w:val="double" w:sz="4" w:space="0" w:color="auto"/>
            </w:tcBorders>
            <w:shd w:val="clear" w:color="auto" w:fill="DEEAF6" w:themeFill="accent1" w:themeFillTint="33"/>
            <w:vAlign w:val="center"/>
            <w:hideMark/>
          </w:tcPr>
          <w:p w14:paraId="09AB9F3B" w14:textId="77777777" w:rsidR="00B50863" w:rsidRPr="00E010B7" w:rsidRDefault="00B50863" w:rsidP="007E4DF4">
            <w:pPr>
              <w:jc w:val="center"/>
              <w:rPr>
                <w:rFonts w:eastAsia="Times New Roman"/>
                <w:sz w:val="18"/>
                <w:szCs w:val="18"/>
              </w:rPr>
            </w:pPr>
            <w:r w:rsidRPr="00E010B7">
              <w:rPr>
                <w:rFonts w:eastAsia="Times New Roman"/>
                <w:sz w:val="18"/>
                <w:szCs w:val="18"/>
              </w:rPr>
              <w:t>тыс. руб.</w:t>
            </w:r>
          </w:p>
        </w:tc>
        <w:tc>
          <w:tcPr>
            <w:tcW w:w="989" w:type="dxa"/>
            <w:tcBorders>
              <w:top w:val="dotted" w:sz="4" w:space="0" w:color="auto"/>
              <w:bottom w:val="double" w:sz="4" w:space="0" w:color="auto"/>
            </w:tcBorders>
            <w:shd w:val="clear" w:color="auto" w:fill="DEEAF6" w:themeFill="accent1" w:themeFillTint="33"/>
            <w:vAlign w:val="center"/>
            <w:hideMark/>
          </w:tcPr>
          <w:p w14:paraId="180858DA" w14:textId="77777777" w:rsidR="00B50863" w:rsidRPr="00E010B7" w:rsidRDefault="00B50863" w:rsidP="007E4DF4">
            <w:pPr>
              <w:jc w:val="center"/>
              <w:rPr>
                <w:rFonts w:eastAsia="Times New Roman"/>
                <w:sz w:val="18"/>
                <w:szCs w:val="18"/>
              </w:rPr>
            </w:pPr>
            <w:r w:rsidRPr="00E010B7">
              <w:rPr>
                <w:rFonts w:eastAsia="Times New Roman"/>
                <w:sz w:val="18"/>
                <w:szCs w:val="18"/>
              </w:rPr>
              <w:t>доля, %</w:t>
            </w:r>
          </w:p>
        </w:tc>
        <w:tc>
          <w:tcPr>
            <w:tcW w:w="1130" w:type="dxa"/>
            <w:tcBorders>
              <w:top w:val="dotted" w:sz="4" w:space="0" w:color="auto"/>
              <w:bottom w:val="double" w:sz="4" w:space="0" w:color="auto"/>
            </w:tcBorders>
            <w:shd w:val="clear" w:color="auto" w:fill="DEEAF6" w:themeFill="accent1" w:themeFillTint="33"/>
            <w:vAlign w:val="center"/>
            <w:hideMark/>
          </w:tcPr>
          <w:p w14:paraId="13456270" w14:textId="77777777" w:rsidR="00B50863" w:rsidRPr="00E010B7" w:rsidRDefault="00B50863" w:rsidP="007E4DF4">
            <w:pPr>
              <w:jc w:val="center"/>
              <w:rPr>
                <w:rFonts w:eastAsia="Times New Roman"/>
                <w:sz w:val="18"/>
                <w:szCs w:val="18"/>
              </w:rPr>
            </w:pPr>
            <w:r w:rsidRPr="00E010B7">
              <w:rPr>
                <w:rFonts w:eastAsia="Times New Roman"/>
                <w:sz w:val="18"/>
                <w:szCs w:val="18"/>
              </w:rPr>
              <w:t>тыс. руб.</w:t>
            </w:r>
          </w:p>
        </w:tc>
        <w:tc>
          <w:tcPr>
            <w:tcW w:w="848" w:type="dxa"/>
            <w:tcBorders>
              <w:top w:val="dotted" w:sz="4" w:space="0" w:color="auto"/>
              <w:bottom w:val="double" w:sz="4" w:space="0" w:color="auto"/>
            </w:tcBorders>
            <w:shd w:val="clear" w:color="auto" w:fill="DEEAF6" w:themeFill="accent1" w:themeFillTint="33"/>
            <w:vAlign w:val="center"/>
            <w:hideMark/>
          </w:tcPr>
          <w:p w14:paraId="67DE21DA" w14:textId="77777777" w:rsidR="00B50863" w:rsidRPr="00E010B7" w:rsidRDefault="00B50863" w:rsidP="007E4DF4">
            <w:pPr>
              <w:jc w:val="center"/>
              <w:rPr>
                <w:rFonts w:eastAsia="Times New Roman"/>
                <w:sz w:val="18"/>
                <w:szCs w:val="18"/>
              </w:rPr>
            </w:pPr>
            <w:r w:rsidRPr="00E010B7">
              <w:rPr>
                <w:rFonts w:eastAsia="Times New Roman"/>
                <w:sz w:val="18"/>
                <w:szCs w:val="18"/>
              </w:rPr>
              <w:t>%</w:t>
            </w:r>
          </w:p>
        </w:tc>
      </w:tr>
      <w:tr w:rsidR="00B50863" w:rsidRPr="00E010B7" w14:paraId="5B4ACD39" w14:textId="77777777" w:rsidTr="007E4DF4">
        <w:trPr>
          <w:trHeight w:val="20"/>
        </w:trPr>
        <w:tc>
          <w:tcPr>
            <w:tcW w:w="3227" w:type="dxa"/>
            <w:tcBorders>
              <w:top w:val="double" w:sz="4" w:space="0" w:color="auto"/>
            </w:tcBorders>
            <w:shd w:val="clear" w:color="auto" w:fill="auto"/>
            <w:vAlign w:val="center"/>
            <w:hideMark/>
          </w:tcPr>
          <w:p w14:paraId="67CF7CCB" w14:textId="77777777" w:rsidR="00B50863" w:rsidRPr="00E010B7" w:rsidRDefault="00B50863" w:rsidP="007E4DF4">
            <w:pPr>
              <w:rPr>
                <w:rFonts w:eastAsia="Times New Roman"/>
                <w:sz w:val="18"/>
                <w:szCs w:val="18"/>
              </w:rPr>
            </w:pPr>
            <w:r w:rsidRPr="00E010B7">
              <w:rPr>
                <w:rFonts w:eastAsia="Times New Roman"/>
                <w:sz w:val="18"/>
                <w:szCs w:val="18"/>
              </w:rPr>
              <w:t xml:space="preserve">Государственные ценные бумаги </w:t>
            </w:r>
          </w:p>
          <w:p w14:paraId="1DF35A0E" w14:textId="77777777" w:rsidR="00B50863" w:rsidRPr="00E010B7" w:rsidRDefault="00B50863" w:rsidP="007E4DF4">
            <w:pPr>
              <w:rPr>
                <w:rFonts w:eastAsia="Times New Roman"/>
                <w:sz w:val="18"/>
                <w:szCs w:val="18"/>
              </w:rPr>
            </w:pPr>
            <w:r w:rsidRPr="00E010B7">
              <w:rPr>
                <w:rFonts w:eastAsia="Times New Roman"/>
                <w:sz w:val="18"/>
                <w:szCs w:val="18"/>
              </w:rPr>
              <w:t>по номинальной стоимости</w:t>
            </w:r>
          </w:p>
        </w:tc>
        <w:tc>
          <w:tcPr>
            <w:tcW w:w="1130" w:type="dxa"/>
            <w:tcBorders>
              <w:top w:val="double" w:sz="4" w:space="0" w:color="auto"/>
            </w:tcBorders>
            <w:shd w:val="clear" w:color="auto" w:fill="auto"/>
            <w:vAlign w:val="center"/>
            <w:hideMark/>
          </w:tcPr>
          <w:p w14:paraId="1BD28A8E" w14:textId="77777777" w:rsidR="00B50863" w:rsidRPr="00E010B7" w:rsidRDefault="00B50863" w:rsidP="007E4DF4">
            <w:pPr>
              <w:ind w:left="-113" w:right="-57"/>
              <w:jc w:val="right"/>
              <w:rPr>
                <w:rFonts w:eastAsia="Times New Roman"/>
                <w:sz w:val="18"/>
                <w:szCs w:val="18"/>
              </w:rPr>
            </w:pPr>
            <w:r w:rsidRPr="00E010B7">
              <w:rPr>
                <w:rFonts w:eastAsia="Times New Roman"/>
                <w:sz w:val="18"/>
                <w:szCs w:val="18"/>
              </w:rPr>
              <w:t>11 250 000,0</w:t>
            </w:r>
          </w:p>
        </w:tc>
        <w:tc>
          <w:tcPr>
            <w:tcW w:w="989" w:type="dxa"/>
            <w:tcBorders>
              <w:top w:val="double" w:sz="4" w:space="0" w:color="auto"/>
            </w:tcBorders>
            <w:shd w:val="clear" w:color="auto" w:fill="auto"/>
            <w:vAlign w:val="center"/>
            <w:hideMark/>
          </w:tcPr>
          <w:p w14:paraId="771A174A" w14:textId="77777777" w:rsidR="00B50863" w:rsidRPr="00E010B7" w:rsidRDefault="00B50863" w:rsidP="007E4DF4">
            <w:pPr>
              <w:jc w:val="right"/>
              <w:rPr>
                <w:rFonts w:eastAsia="Times New Roman"/>
                <w:sz w:val="18"/>
                <w:szCs w:val="18"/>
              </w:rPr>
            </w:pPr>
            <w:r w:rsidRPr="00E010B7">
              <w:rPr>
                <w:rFonts w:eastAsia="Times New Roman"/>
                <w:sz w:val="18"/>
                <w:szCs w:val="18"/>
              </w:rPr>
              <w:t>23,9%</w:t>
            </w:r>
          </w:p>
        </w:tc>
        <w:tc>
          <w:tcPr>
            <w:tcW w:w="1130" w:type="dxa"/>
            <w:tcBorders>
              <w:top w:val="double" w:sz="4" w:space="0" w:color="auto"/>
            </w:tcBorders>
            <w:shd w:val="clear" w:color="auto" w:fill="auto"/>
            <w:vAlign w:val="center"/>
            <w:hideMark/>
          </w:tcPr>
          <w:p w14:paraId="3EFC6A71" w14:textId="77777777" w:rsidR="00B50863" w:rsidRPr="00E010B7" w:rsidRDefault="00B50863" w:rsidP="007E4DF4">
            <w:pPr>
              <w:ind w:left="-113" w:right="-57"/>
              <w:jc w:val="right"/>
              <w:rPr>
                <w:rFonts w:eastAsia="Times New Roman"/>
                <w:sz w:val="18"/>
                <w:szCs w:val="18"/>
              </w:rPr>
            </w:pPr>
            <w:r w:rsidRPr="00E010B7">
              <w:rPr>
                <w:rFonts w:eastAsia="Times New Roman"/>
                <w:sz w:val="18"/>
                <w:szCs w:val="18"/>
              </w:rPr>
              <w:t>10 000 000,0</w:t>
            </w:r>
          </w:p>
        </w:tc>
        <w:tc>
          <w:tcPr>
            <w:tcW w:w="989" w:type="dxa"/>
            <w:tcBorders>
              <w:top w:val="double" w:sz="4" w:space="0" w:color="auto"/>
            </w:tcBorders>
            <w:shd w:val="clear" w:color="auto" w:fill="auto"/>
            <w:vAlign w:val="center"/>
            <w:hideMark/>
          </w:tcPr>
          <w:p w14:paraId="748C54ED" w14:textId="77777777" w:rsidR="00B50863" w:rsidRPr="00E010B7" w:rsidRDefault="00B50863" w:rsidP="007E4DF4">
            <w:pPr>
              <w:jc w:val="right"/>
              <w:rPr>
                <w:rFonts w:eastAsia="Times New Roman"/>
                <w:sz w:val="18"/>
                <w:szCs w:val="18"/>
              </w:rPr>
            </w:pPr>
            <w:r w:rsidRPr="00E010B7">
              <w:rPr>
                <w:rFonts w:eastAsia="Times New Roman"/>
                <w:sz w:val="18"/>
                <w:szCs w:val="18"/>
              </w:rPr>
              <w:t>18,8%</w:t>
            </w:r>
          </w:p>
        </w:tc>
        <w:tc>
          <w:tcPr>
            <w:tcW w:w="1130" w:type="dxa"/>
            <w:tcBorders>
              <w:top w:val="double" w:sz="4" w:space="0" w:color="auto"/>
            </w:tcBorders>
            <w:shd w:val="clear" w:color="auto" w:fill="auto"/>
            <w:vAlign w:val="center"/>
            <w:hideMark/>
          </w:tcPr>
          <w:p w14:paraId="46A30D2C" w14:textId="77777777" w:rsidR="00B50863" w:rsidRPr="00E010B7" w:rsidRDefault="00B50863" w:rsidP="007E4DF4">
            <w:pPr>
              <w:ind w:left="-113" w:right="-57"/>
              <w:jc w:val="right"/>
              <w:rPr>
                <w:rFonts w:eastAsia="Times New Roman"/>
                <w:sz w:val="18"/>
                <w:szCs w:val="18"/>
              </w:rPr>
            </w:pPr>
            <w:r w:rsidRPr="00E010B7">
              <w:rPr>
                <w:rFonts w:eastAsia="Times New Roman"/>
                <w:sz w:val="18"/>
                <w:szCs w:val="18"/>
              </w:rPr>
              <w:t>-1 250 000,0</w:t>
            </w:r>
          </w:p>
        </w:tc>
        <w:tc>
          <w:tcPr>
            <w:tcW w:w="848" w:type="dxa"/>
            <w:tcBorders>
              <w:top w:val="double" w:sz="4" w:space="0" w:color="auto"/>
            </w:tcBorders>
            <w:shd w:val="clear" w:color="auto" w:fill="auto"/>
            <w:vAlign w:val="center"/>
            <w:hideMark/>
          </w:tcPr>
          <w:p w14:paraId="783D1B3C" w14:textId="77777777" w:rsidR="00B50863" w:rsidRPr="00E010B7" w:rsidRDefault="00B50863" w:rsidP="007E4DF4">
            <w:pPr>
              <w:jc w:val="right"/>
              <w:rPr>
                <w:rFonts w:eastAsia="Times New Roman"/>
                <w:sz w:val="18"/>
                <w:szCs w:val="18"/>
              </w:rPr>
            </w:pPr>
            <w:r w:rsidRPr="00E010B7">
              <w:rPr>
                <w:rFonts w:eastAsia="Times New Roman"/>
                <w:sz w:val="18"/>
                <w:szCs w:val="18"/>
              </w:rPr>
              <w:t>-11,1%</w:t>
            </w:r>
          </w:p>
        </w:tc>
      </w:tr>
      <w:tr w:rsidR="00B50863" w:rsidRPr="00E010B7" w14:paraId="11774E21" w14:textId="77777777" w:rsidTr="007E4DF4">
        <w:trPr>
          <w:trHeight w:val="20"/>
        </w:trPr>
        <w:tc>
          <w:tcPr>
            <w:tcW w:w="3227" w:type="dxa"/>
            <w:shd w:val="clear" w:color="auto" w:fill="auto"/>
            <w:vAlign w:val="center"/>
            <w:hideMark/>
          </w:tcPr>
          <w:p w14:paraId="5FAFEA6F" w14:textId="77777777" w:rsidR="00B50863" w:rsidRPr="00E010B7" w:rsidRDefault="00B50863" w:rsidP="007E4DF4">
            <w:pPr>
              <w:rPr>
                <w:rFonts w:eastAsia="Times New Roman"/>
                <w:sz w:val="18"/>
                <w:szCs w:val="18"/>
              </w:rPr>
            </w:pPr>
            <w:r w:rsidRPr="00E010B7">
              <w:rPr>
                <w:rFonts w:eastAsia="Times New Roman"/>
                <w:sz w:val="18"/>
                <w:szCs w:val="18"/>
              </w:rPr>
              <w:t>Кредиты коммерческих банков</w:t>
            </w:r>
          </w:p>
        </w:tc>
        <w:tc>
          <w:tcPr>
            <w:tcW w:w="1130" w:type="dxa"/>
            <w:shd w:val="clear" w:color="auto" w:fill="auto"/>
            <w:vAlign w:val="center"/>
            <w:hideMark/>
          </w:tcPr>
          <w:p w14:paraId="7AC17F49" w14:textId="77777777" w:rsidR="00B50863" w:rsidRPr="00E010B7" w:rsidRDefault="00B50863" w:rsidP="007E4DF4">
            <w:pPr>
              <w:ind w:left="-113" w:right="-57"/>
              <w:jc w:val="right"/>
              <w:rPr>
                <w:rFonts w:eastAsia="Times New Roman"/>
                <w:sz w:val="18"/>
                <w:szCs w:val="18"/>
              </w:rPr>
            </w:pPr>
            <w:r w:rsidRPr="00E010B7">
              <w:rPr>
                <w:rFonts w:eastAsia="Times New Roman"/>
                <w:sz w:val="18"/>
                <w:szCs w:val="18"/>
              </w:rPr>
              <w:t>14 500 000,0</w:t>
            </w:r>
          </w:p>
        </w:tc>
        <w:tc>
          <w:tcPr>
            <w:tcW w:w="989" w:type="dxa"/>
            <w:shd w:val="clear" w:color="auto" w:fill="auto"/>
            <w:vAlign w:val="center"/>
            <w:hideMark/>
          </w:tcPr>
          <w:p w14:paraId="6C3D00FD" w14:textId="77777777" w:rsidR="00B50863" w:rsidRPr="00E010B7" w:rsidRDefault="00B50863" w:rsidP="007E4DF4">
            <w:pPr>
              <w:jc w:val="right"/>
              <w:rPr>
                <w:rFonts w:eastAsia="Times New Roman"/>
                <w:sz w:val="18"/>
                <w:szCs w:val="18"/>
              </w:rPr>
            </w:pPr>
            <w:r w:rsidRPr="00E010B7">
              <w:rPr>
                <w:rFonts w:eastAsia="Times New Roman"/>
                <w:sz w:val="18"/>
                <w:szCs w:val="18"/>
              </w:rPr>
              <w:t>30,8%</w:t>
            </w:r>
          </w:p>
        </w:tc>
        <w:tc>
          <w:tcPr>
            <w:tcW w:w="1130" w:type="dxa"/>
            <w:shd w:val="clear" w:color="auto" w:fill="auto"/>
            <w:vAlign w:val="center"/>
            <w:hideMark/>
          </w:tcPr>
          <w:p w14:paraId="7B5BD248" w14:textId="77777777" w:rsidR="00B50863" w:rsidRPr="00E010B7" w:rsidRDefault="00B50863" w:rsidP="007E4DF4">
            <w:pPr>
              <w:ind w:left="-113" w:right="-57"/>
              <w:jc w:val="right"/>
              <w:rPr>
                <w:rFonts w:eastAsia="Times New Roman"/>
                <w:sz w:val="18"/>
                <w:szCs w:val="18"/>
              </w:rPr>
            </w:pPr>
            <w:r w:rsidRPr="00E010B7">
              <w:rPr>
                <w:rFonts w:eastAsia="Times New Roman"/>
                <w:sz w:val="18"/>
                <w:szCs w:val="18"/>
              </w:rPr>
              <w:t>17 000 000,0</w:t>
            </w:r>
          </w:p>
        </w:tc>
        <w:tc>
          <w:tcPr>
            <w:tcW w:w="989" w:type="dxa"/>
            <w:shd w:val="clear" w:color="auto" w:fill="auto"/>
            <w:vAlign w:val="center"/>
            <w:hideMark/>
          </w:tcPr>
          <w:p w14:paraId="0C9F1569" w14:textId="77777777" w:rsidR="00B50863" w:rsidRPr="00E010B7" w:rsidRDefault="00B50863" w:rsidP="007E4DF4">
            <w:pPr>
              <w:jc w:val="right"/>
              <w:rPr>
                <w:rFonts w:eastAsia="Times New Roman"/>
                <w:sz w:val="18"/>
                <w:szCs w:val="18"/>
              </w:rPr>
            </w:pPr>
            <w:r w:rsidRPr="00E010B7">
              <w:rPr>
                <w:rFonts w:eastAsia="Times New Roman"/>
                <w:sz w:val="18"/>
                <w:szCs w:val="18"/>
              </w:rPr>
              <w:t>31,9%</w:t>
            </w:r>
          </w:p>
        </w:tc>
        <w:tc>
          <w:tcPr>
            <w:tcW w:w="1130" w:type="dxa"/>
            <w:shd w:val="clear" w:color="auto" w:fill="auto"/>
            <w:vAlign w:val="center"/>
            <w:hideMark/>
          </w:tcPr>
          <w:p w14:paraId="4E051D5C" w14:textId="77777777" w:rsidR="00B50863" w:rsidRPr="00E010B7" w:rsidRDefault="00B50863" w:rsidP="007E4DF4">
            <w:pPr>
              <w:ind w:left="-113" w:right="-57"/>
              <w:jc w:val="right"/>
              <w:rPr>
                <w:rFonts w:eastAsia="Times New Roman"/>
                <w:sz w:val="18"/>
                <w:szCs w:val="18"/>
              </w:rPr>
            </w:pPr>
            <w:r w:rsidRPr="00E010B7">
              <w:rPr>
                <w:rFonts w:eastAsia="Times New Roman"/>
                <w:sz w:val="18"/>
                <w:szCs w:val="18"/>
              </w:rPr>
              <w:t>2 500 000,0</w:t>
            </w:r>
          </w:p>
        </w:tc>
        <w:tc>
          <w:tcPr>
            <w:tcW w:w="848" w:type="dxa"/>
            <w:shd w:val="clear" w:color="auto" w:fill="auto"/>
            <w:vAlign w:val="center"/>
            <w:hideMark/>
          </w:tcPr>
          <w:p w14:paraId="35441F73" w14:textId="77777777" w:rsidR="00B50863" w:rsidRPr="00E010B7" w:rsidRDefault="00B50863" w:rsidP="007E4DF4">
            <w:pPr>
              <w:jc w:val="right"/>
              <w:rPr>
                <w:rFonts w:eastAsia="Times New Roman"/>
                <w:sz w:val="18"/>
                <w:szCs w:val="18"/>
              </w:rPr>
            </w:pPr>
            <w:r w:rsidRPr="00E010B7">
              <w:rPr>
                <w:rFonts w:eastAsia="Times New Roman"/>
                <w:sz w:val="18"/>
                <w:szCs w:val="18"/>
              </w:rPr>
              <w:t>17,2%</w:t>
            </w:r>
          </w:p>
        </w:tc>
      </w:tr>
      <w:tr w:rsidR="00B50863" w:rsidRPr="00E010B7" w14:paraId="5DFA816F" w14:textId="77777777" w:rsidTr="007E4DF4">
        <w:trPr>
          <w:trHeight w:val="20"/>
        </w:trPr>
        <w:tc>
          <w:tcPr>
            <w:tcW w:w="3227" w:type="dxa"/>
            <w:tcBorders>
              <w:bottom w:val="double" w:sz="4" w:space="0" w:color="auto"/>
            </w:tcBorders>
            <w:shd w:val="clear" w:color="auto" w:fill="auto"/>
            <w:vAlign w:val="center"/>
            <w:hideMark/>
          </w:tcPr>
          <w:p w14:paraId="28FD092D" w14:textId="77777777" w:rsidR="00B50863" w:rsidRPr="00E010B7" w:rsidRDefault="00B50863" w:rsidP="007E4DF4">
            <w:pPr>
              <w:rPr>
                <w:rFonts w:eastAsia="Times New Roman"/>
                <w:sz w:val="18"/>
                <w:szCs w:val="18"/>
              </w:rPr>
            </w:pPr>
            <w:r w:rsidRPr="00E010B7">
              <w:rPr>
                <w:rFonts w:eastAsia="Times New Roman"/>
                <w:sz w:val="18"/>
                <w:szCs w:val="18"/>
              </w:rPr>
              <w:t xml:space="preserve">Бюджетные кредиты </w:t>
            </w:r>
          </w:p>
          <w:p w14:paraId="0E55DE3D" w14:textId="77777777" w:rsidR="00B50863" w:rsidRPr="00E010B7" w:rsidRDefault="00B50863" w:rsidP="007E4DF4">
            <w:pPr>
              <w:rPr>
                <w:rFonts w:eastAsia="Times New Roman"/>
                <w:sz w:val="18"/>
                <w:szCs w:val="18"/>
              </w:rPr>
            </w:pPr>
            <w:r w:rsidRPr="00E010B7">
              <w:rPr>
                <w:rFonts w:eastAsia="Times New Roman"/>
                <w:sz w:val="18"/>
                <w:szCs w:val="18"/>
              </w:rPr>
              <w:t>из федерального бюджета</w:t>
            </w:r>
          </w:p>
        </w:tc>
        <w:tc>
          <w:tcPr>
            <w:tcW w:w="1130" w:type="dxa"/>
            <w:tcBorders>
              <w:bottom w:val="double" w:sz="4" w:space="0" w:color="auto"/>
            </w:tcBorders>
            <w:shd w:val="clear" w:color="auto" w:fill="auto"/>
            <w:vAlign w:val="center"/>
            <w:hideMark/>
          </w:tcPr>
          <w:p w14:paraId="0F3B8A4D" w14:textId="77777777" w:rsidR="00B50863" w:rsidRPr="00E010B7" w:rsidRDefault="00B50863" w:rsidP="007E4DF4">
            <w:pPr>
              <w:ind w:left="-113" w:right="-57"/>
              <w:jc w:val="right"/>
              <w:rPr>
                <w:rFonts w:eastAsia="Times New Roman"/>
                <w:sz w:val="18"/>
                <w:szCs w:val="18"/>
              </w:rPr>
            </w:pPr>
            <w:r w:rsidRPr="00E010B7">
              <w:rPr>
                <w:rFonts w:eastAsia="Times New Roman"/>
                <w:sz w:val="18"/>
                <w:szCs w:val="18"/>
              </w:rPr>
              <w:t>21 273 812,9</w:t>
            </w:r>
          </w:p>
        </w:tc>
        <w:tc>
          <w:tcPr>
            <w:tcW w:w="989" w:type="dxa"/>
            <w:tcBorders>
              <w:bottom w:val="double" w:sz="4" w:space="0" w:color="auto"/>
            </w:tcBorders>
            <w:shd w:val="clear" w:color="auto" w:fill="auto"/>
            <w:vAlign w:val="center"/>
            <w:hideMark/>
          </w:tcPr>
          <w:p w14:paraId="7A357207" w14:textId="77777777" w:rsidR="00B50863" w:rsidRPr="00E010B7" w:rsidRDefault="00B50863" w:rsidP="007E4DF4">
            <w:pPr>
              <w:jc w:val="right"/>
              <w:rPr>
                <w:rFonts w:eastAsia="Times New Roman"/>
                <w:sz w:val="18"/>
                <w:szCs w:val="18"/>
              </w:rPr>
            </w:pPr>
            <w:r w:rsidRPr="00E010B7">
              <w:rPr>
                <w:rFonts w:eastAsia="Times New Roman"/>
                <w:sz w:val="18"/>
                <w:szCs w:val="18"/>
              </w:rPr>
              <w:t>45,2%</w:t>
            </w:r>
          </w:p>
        </w:tc>
        <w:tc>
          <w:tcPr>
            <w:tcW w:w="1130" w:type="dxa"/>
            <w:tcBorders>
              <w:bottom w:val="double" w:sz="4" w:space="0" w:color="auto"/>
            </w:tcBorders>
            <w:shd w:val="clear" w:color="auto" w:fill="auto"/>
            <w:vAlign w:val="center"/>
            <w:hideMark/>
          </w:tcPr>
          <w:p w14:paraId="6F647060" w14:textId="77777777" w:rsidR="00B50863" w:rsidRPr="00E010B7" w:rsidRDefault="00B50863" w:rsidP="007E4DF4">
            <w:pPr>
              <w:ind w:left="-113" w:right="-57"/>
              <w:jc w:val="right"/>
              <w:rPr>
                <w:rFonts w:eastAsia="Times New Roman"/>
                <w:sz w:val="18"/>
                <w:szCs w:val="18"/>
              </w:rPr>
            </w:pPr>
            <w:r w:rsidRPr="00E010B7">
              <w:rPr>
                <w:rFonts w:eastAsia="Times New Roman"/>
                <w:sz w:val="18"/>
                <w:szCs w:val="18"/>
              </w:rPr>
              <w:t>26 273 812,9</w:t>
            </w:r>
          </w:p>
        </w:tc>
        <w:tc>
          <w:tcPr>
            <w:tcW w:w="989" w:type="dxa"/>
            <w:tcBorders>
              <w:bottom w:val="double" w:sz="4" w:space="0" w:color="auto"/>
            </w:tcBorders>
            <w:shd w:val="clear" w:color="auto" w:fill="auto"/>
            <w:vAlign w:val="center"/>
            <w:hideMark/>
          </w:tcPr>
          <w:p w14:paraId="7B37FA33" w14:textId="77777777" w:rsidR="00B50863" w:rsidRPr="00E010B7" w:rsidRDefault="00B50863" w:rsidP="007E4DF4">
            <w:pPr>
              <w:jc w:val="right"/>
              <w:rPr>
                <w:rFonts w:eastAsia="Times New Roman"/>
                <w:sz w:val="18"/>
                <w:szCs w:val="18"/>
              </w:rPr>
            </w:pPr>
            <w:r w:rsidRPr="00E010B7">
              <w:rPr>
                <w:rFonts w:eastAsia="Times New Roman"/>
                <w:sz w:val="18"/>
                <w:szCs w:val="18"/>
              </w:rPr>
              <w:t>49,3%</w:t>
            </w:r>
          </w:p>
        </w:tc>
        <w:tc>
          <w:tcPr>
            <w:tcW w:w="1130" w:type="dxa"/>
            <w:tcBorders>
              <w:bottom w:val="double" w:sz="4" w:space="0" w:color="auto"/>
            </w:tcBorders>
            <w:shd w:val="clear" w:color="auto" w:fill="auto"/>
            <w:vAlign w:val="center"/>
            <w:hideMark/>
          </w:tcPr>
          <w:p w14:paraId="2D8662F3" w14:textId="77777777" w:rsidR="00B50863" w:rsidRPr="00E010B7" w:rsidRDefault="00B50863" w:rsidP="007E4DF4">
            <w:pPr>
              <w:ind w:left="-113" w:right="-57"/>
              <w:jc w:val="right"/>
              <w:rPr>
                <w:rFonts w:eastAsia="Times New Roman"/>
                <w:sz w:val="18"/>
                <w:szCs w:val="18"/>
              </w:rPr>
            </w:pPr>
            <w:r w:rsidRPr="00E010B7">
              <w:rPr>
                <w:rFonts w:eastAsia="Times New Roman"/>
                <w:sz w:val="18"/>
                <w:szCs w:val="18"/>
              </w:rPr>
              <w:t>5 000 000,0</w:t>
            </w:r>
          </w:p>
        </w:tc>
        <w:tc>
          <w:tcPr>
            <w:tcW w:w="848" w:type="dxa"/>
            <w:tcBorders>
              <w:bottom w:val="double" w:sz="4" w:space="0" w:color="auto"/>
            </w:tcBorders>
            <w:shd w:val="clear" w:color="auto" w:fill="auto"/>
            <w:vAlign w:val="center"/>
            <w:hideMark/>
          </w:tcPr>
          <w:p w14:paraId="178ED7D3" w14:textId="77777777" w:rsidR="00B50863" w:rsidRPr="00E010B7" w:rsidRDefault="00B50863" w:rsidP="007E4DF4">
            <w:pPr>
              <w:jc w:val="right"/>
              <w:rPr>
                <w:rFonts w:eastAsia="Times New Roman"/>
                <w:sz w:val="18"/>
                <w:szCs w:val="18"/>
              </w:rPr>
            </w:pPr>
            <w:r w:rsidRPr="00E010B7">
              <w:rPr>
                <w:rFonts w:eastAsia="Times New Roman"/>
                <w:sz w:val="18"/>
                <w:szCs w:val="18"/>
              </w:rPr>
              <w:t>23,5%</w:t>
            </w:r>
          </w:p>
        </w:tc>
      </w:tr>
      <w:tr w:rsidR="00B50863" w:rsidRPr="00E010B7" w14:paraId="7CB6CB26" w14:textId="77777777" w:rsidTr="007E4DF4">
        <w:trPr>
          <w:trHeight w:val="20"/>
        </w:trPr>
        <w:tc>
          <w:tcPr>
            <w:tcW w:w="3227" w:type="dxa"/>
            <w:tcBorders>
              <w:top w:val="double" w:sz="4" w:space="0" w:color="auto"/>
              <w:bottom w:val="double" w:sz="4" w:space="0" w:color="auto"/>
            </w:tcBorders>
            <w:shd w:val="clear" w:color="auto" w:fill="DEEAF6" w:themeFill="accent1" w:themeFillTint="33"/>
            <w:vAlign w:val="center"/>
            <w:hideMark/>
          </w:tcPr>
          <w:p w14:paraId="6E44599C" w14:textId="77777777" w:rsidR="00B50863" w:rsidRPr="00E010B7" w:rsidRDefault="00B50863" w:rsidP="007E4DF4">
            <w:pPr>
              <w:rPr>
                <w:rFonts w:eastAsia="Times New Roman"/>
                <w:b/>
                <w:bCs/>
                <w:sz w:val="18"/>
                <w:szCs w:val="18"/>
              </w:rPr>
            </w:pPr>
            <w:r w:rsidRPr="00E010B7">
              <w:rPr>
                <w:rFonts w:eastAsia="Times New Roman"/>
                <w:b/>
                <w:bCs/>
                <w:sz w:val="18"/>
                <w:szCs w:val="18"/>
              </w:rPr>
              <w:t>Итого государственный долг</w:t>
            </w:r>
          </w:p>
        </w:tc>
        <w:tc>
          <w:tcPr>
            <w:tcW w:w="1130" w:type="dxa"/>
            <w:tcBorders>
              <w:top w:val="double" w:sz="4" w:space="0" w:color="auto"/>
              <w:bottom w:val="double" w:sz="4" w:space="0" w:color="auto"/>
            </w:tcBorders>
            <w:shd w:val="clear" w:color="auto" w:fill="DEEAF6" w:themeFill="accent1" w:themeFillTint="33"/>
            <w:vAlign w:val="center"/>
            <w:hideMark/>
          </w:tcPr>
          <w:p w14:paraId="4F2EB127" w14:textId="77777777" w:rsidR="00B50863" w:rsidRPr="00E010B7" w:rsidRDefault="00B50863" w:rsidP="007E4DF4">
            <w:pPr>
              <w:ind w:left="-113" w:right="-57"/>
              <w:jc w:val="right"/>
              <w:rPr>
                <w:rFonts w:eastAsia="Times New Roman"/>
                <w:b/>
                <w:bCs/>
                <w:sz w:val="18"/>
                <w:szCs w:val="18"/>
              </w:rPr>
            </w:pPr>
            <w:r w:rsidRPr="00E010B7">
              <w:rPr>
                <w:rFonts w:eastAsia="Times New Roman"/>
                <w:b/>
                <w:bCs/>
                <w:sz w:val="18"/>
                <w:szCs w:val="18"/>
              </w:rPr>
              <w:t>47 023 812,9</w:t>
            </w:r>
          </w:p>
        </w:tc>
        <w:tc>
          <w:tcPr>
            <w:tcW w:w="989" w:type="dxa"/>
            <w:tcBorders>
              <w:top w:val="double" w:sz="4" w:space="0" w:color="auto"/>
              <w:bottom w:val="double" w:sz="4" w:space="0" w:color="auto"/>
            </w:tcBorders>
            <w:shd w:val="clear" w:color="auto" w:fill="DEEAF6" w:themeFill="accent1" w:themeFillTint="33"/>
            <w:vAlign w:val="center"/>
            <w:hideMark/>
          </w:tcPr>
          <w:p w14:paraId="4D4F0C32" w14:textId="77777777" w:rsidR="00B50863" w:rsidRPr="00E010B7" w:rsidRDefault="00B50863" w:rsidP="007E4DF4">
            <w:pPr>
              <w:jc w:val="right"/>
              <w:rPr>
                <w:rFonts w:eastAsia="Times New Roman"/>
                <w:b/>
                <w:bCs/>
                <w:sz w:val="18"/>
                <w:szCs w:val="18"/>
              </w:rPr>
            </w:pPr>
            <w:r w:rsidRPr="00E010B7">
              <w:rPr>
                <w:rFonts w:eastAsia="Times New Roman"/>
                <w:b/>
                <w:bCs/>
                <w:sz w:val="18"/>
                <w:szCs w:val="18"/>
              </w:rPr>
              <w:t>100,0%</w:t>
            </w:r>
          </w:p>
        </w:tc>
        <w:tc>
          <w:tcPr>
            <w:tcW w:w="1130" w:type="dxa"/>
            <w:tcBorders>
              <w:top w:val="double" w:sz="4" w:space="0" w:color="auto"/>
              <w:bottom w:val="double" w:sz="4" w:space="0" w:color="auto"/>
            </w:tcBorders>
            <w:shd w:val="clear" w:color="auto" w:fill="DEEAF6" w:themeFill="accent1" w:themeFillTint="33"/>
            <w:vAlign w:val="center"/>
            <w:hideMark/>
          </w:tcPr>
          <w:p w14:paraId="6C93AAA2" w14:textId="77777777" w:rsidR="00B50863" w:rsidRPr="00E010B7" w:rsidRDefault="00B50863" w:rsidP="007E4DF4">
            <w:pPr>
              <w:ind w:left="-113" w:right="-57"/>
              <w:jc w:val="right"/>
              <w:rPr>
                <w:rFonts w:eastAsia="Times New Roman"/>
                <w:b/>
                <w:bCs/>
                <w:sz w:val="18"/>
                <w:szCs w:val="18"/>
              </w:rPr>
            </w:pPr>
            <w:r w:rsidRPr="00E010B7">
              <w:rPr>
                <w:rFonts w:eastAsia="Times New Roman"/>
                <w:b/>
                <w:bCs/>
                <w:sz w:val="18"/>
                <w:szCs w:val="18"/>
              </w:rPr>
              <w:t>53 273 812,9</w:t>
            </w:r>
          </w:p>
        </w:tc>
        <w:tc>
          <w:tcPr>
            <w:tcW w:w="989" w:type="dxa"/>
            <w:tcBorders>
              <w:top w:val="double" w:sz="4" w:space="0" w:color="auto"/>
              <w:bottom w:val="double" w:sz="4" w:space="0" w:color="auto"/>
            </w:tcBorders>
            <w:shd w:val="clear" w:color="auto" w:fill="DEEAF6" w:themeFill="accent1" w:themeFillTint="33"/>
            <w:vAlign w:val="center"/>
            <w:hideMark/>
          </w:tcPr>
          <w:p w14:paraId="78060C33" w14:textId="77777777" w:rsidR="00B50863" w:rsidRPr="00E010B7" w:rsidRDefault="00B50863" w:rsidP="007E4DF4">
            <w:pPr>
              <w:jc w:val="right"/>
              <w:rPr>
                <w:rFonts w:eastAsia="Times New Roman"/>
                <w:b/>
                <w:bCs/>
                <w:sz w:val="18"/>
                <w:szCs w:val="18"/>
              </w:rPr>
            </w:pPr>
            <w:r w:rsidRPr="00E010B7">
              <w:rPr>
                <w:rFonts w:eastAsia="Times New Roman"/>
                <w:b/>
                <w:bCs/>
                <w:sz w:val="18"/>
                <w:szCs w:val="18"/>
              </w:rPr>
              <w:t>100,0%</w:t>
            </w:r>
          </w:p>
        </w:tc>
        <w:tc>
          <w:tcPr>
            <w:tcW w:w="1130" w:type="dxa"/>
            <w:tcBorders>
              <w:top w:val="double" w:sz="4" w:space="0" w:color="auto"/>
              <w:bottom w:val="double" w:sz="4" w:space="0" w:color="auto"/>
            </w:tcBorders>
            <w:shd w:val="clear" w:color="auto" w:fill="DEEAF6" w:themeFill="accent1" w:themeFillTint="33"/>
            <w:vAlign w:val="center"/>
            <w:hideMark/>
          </w:tcPr>
          <w:p w14:paraId="1B0EEA67" w14:textId="77777777" w:rsidR="00B50863" w:rsidRPr="00E010B7" w:rsidRDefault="00B50863" w:rsidP="007E4DF4">
            <w:pPr>
              <w:ind w:left="-113" w:right="-57"/>
              <w:jc w:val="right"/>
              <w:rPr>
                <w:rFonts w:eastAsia="Times New Roman"/>
                <w:b/>
                <w:bCs/>
                <w:sz w:val="18"/>
                <w:szCs w:val="18"/>
              </w:rPr>
            </w:pPr>
            <w:r w:rsidRPr="00E010B7">
              <w:rPr>
                <w:rFonts w:eastAsia="Times New Roman"/>
                <w:b/>
                <w:bCs/>
                <w:sz w:val="18"/>
                <w:szCs w:val="18"/>
              </w:rPr>
              <w:t>6 250 000,0</w:t>
            </w:r>
          </w:p>
        </w:tc>
        <w:tc>
          <w:tcPr>
            <w:tcW w:w="848" w:type="dxa"/>
            <w:tcBorders>
              <w:top w:val="double" w:sz="4" w:space="0" w:color="auto"/>
              <w:bottom w:val="double" w:sz="4" w:space="0" w:color="auto"/>
            </w:tcBorders>
            <w:shd w:val="clear" w:color="auto" w:fill="DEEAF6" w:themeFill="accent1" w:themeFillTint="33"/>
            <w:vAlign w:val="center"/>
            <w:hideMark/>
          </w:tcPr>
          <w:p w14:paraId="26433E39" w14:textId="77777777" w:rsidR="00B50863" w:rsidRPr="00E010B7" w:rsidRDefault="00B50863" w:rsidP="007E4DF4">
            <w:pPr>
              <w:jc w:val="right"/>
              <w:rPr>
                <w:rFonts w:eastAsia="Times New Roman"/>
                <w:b/>
                <w:bCs/>
                <w:sz w:val="18"/>
                <w:szCs w:val="18"/>
              </w:rPr>
            </w:pPr>
            <w:r w:rsidRPr="00E010B7">
              <w:rPr>
                <w:rFonts w:eastAsia="Times New Roman"/>
                <w:b/>
                <w:bCs/>
                <w:sz w:val="18"/>
                <w:szCs w:val="18"/>
              </w:rPr>
              <w:t>13,3%</w:t>
            </w:r>
          </w:p>
        </w:tc>
      </w:tr>
    </w:tbl>
    <w:p w14:paraId="0B9C64B9" w14:textId="77777777" w:rsidR="00B50863" w:rsidRPr="005C4428" w:rsidRDefault="00B50863" w:rsidP="00B50863">
      <w:pPr>
        <w:ind w:firstLine="708"/>
        <w:jc w:val="both"/>
        <w:rPr>
          <w:sz w:val="16"/>
          <w:szCs w:val="16"/>
        </w:rPr>
      </w:pPr>
    </w:p>
    <w:p w14:paraId="0E7D5409" w14:textId="1FACA1D9" w:rsidR="002A09CD" w:rsidRPr="00910083" w:rsidRDefault="00477F26" w:rsidP="002A09CD">
      <w:pPr>
        <w:ind w:firstLine="708"/>
        <w:jc w:val="both"/>
      </w:pPr>
      <w:r w:rsidRPr="00910083">
        <w:t>В течение</w:t>
      </w:r>
      <w:r w:rsidR="0001654E" w:rsidRPr="00910083">
        <w:t xml:space="preserve"> 2020 год</w:t>
      </w:r>
      <w:r w:rsidRPr="00910083">
        <w:t>а</w:t>
      </w:r>
      <w:r w:rsidR="0001654E" w:rsidRPr="00910083">
        <w:t xml:space="preserve"> объем долга увеличился на 6 250 000,0 тыс. руб., или на 13,3 </w:t>
      </w:r>
      <w:r w:rsidRPr="00910083">
        <w:t>%</w:t>
      </w:r>
      <w:bookmarkEnd w:id="5"/>
      <w:r w:rsidRPr="00910083">
        <w:t xml:space="preserve"> за счет:</w:t>
      </w:r>
    </w:p>
    <w:p w14:paraId="2FBB3B8D" w14:textId="77777777" w:rsidR="002A09CD" w:rsidRPr="00910083" w:rsidRDefault="002A09CD" w:rsidP="002A09CD">
      <w:pPr>
        <w:ind w:firstLine="708"/>
        <w:jc w:val="both"/>
      </w:pPr>
      <w:r w:rsidRPr="00910083">
        <w:rPr>
          <w:i/>
          <w:u w:val="single"/>
        </w:rPr>
        <w:t>увеличения долга</w:t>
      </w:r>
      <w:r w:rsidRPr="00910083">
        <w:t xml:space="preserve"> на 7 500 000,0 тыс. руб., в том числе:</w:t>
      </w:r>
    </w:p>
    <w:p w14:paraId="3CE849D8" w14:textId="77777777" w:rsidR="002A09CD" w:rsidRPr="00910083" w:rsidRDefault="002A09CD" w:rsidP="002A09CD">
      <w:pPr>
        <w:jc w:val="both"/>
      </w:pPr>
      <w:r w:rsidRPr="00910083">
        <w:t>-по кредитам коммерческих банков - на 2 500 000,0 тыс. руб. (+17,2%);</w:t>
      </w:r>
    </w:p>
    <w:p w14:paraId="3665B118" w14:textId="35B55593" w:rsidR="002A09CD" w:rsidRPr="00910083" w:rsidRDefault="002A09CD" w:rsidP="002A09CD">
      <w:pPr>
        <w:jc w:val="both"/>
      </w:pPr>
      <w:r w:rsidRPr="00910083">
        <w:t>-по бюджетным кредитам из федерального бюджета - на 5 000 000,0 тыс. руб. (+23,5%)</w:t>
      </w:r>
      <w:r w:rsidR="003146C7">
        <w:t>.</w:t>
      </w:r>
    </w:p>
    <w:p w14:paraId="7647C673" w14:textId="77777777" w:rsidR="002A09CD" w:rsidRPr="00910083" w:rsidRDefault="002A09CD" w:rsidP="002A09CD">
      <w:pPr>
        <w:ind w:firstLine="708"/>
        <w:jc w:val="both"/>
      </w:pPr>
      <w:r w:rsidRPr="00910083">
        <w:rPr>
          <w:i/>
          <w:u w:val="single"/>
        </w:rPr>
        <w:t>уменьшения долга</w:t>
      </w:r>
      <w:r w:rsidRPr="00910083">
        <w:t xml:space="preserve"> на 1 250 000,0 тыс. руб., или на 11,1% по областным облигациям.</w:t>
      </w:r>
    </w:p>
    <w:p w14:paraId="3A9516B9" w14:textId="727B902C" w:rsidR="002A09CD" w:rsidRPr="00910083" w:rsidRDefault="002A09CD" w:rsidP="002A09CD">
      <w:pPr>
        <w:ind w:firstLine="708"/>
        <w:jc w:val="both"/>
      </w:pPr>
      <w:r w:rsidRPr="00910083">
        <w:t xml:space="preserve">Основная доля в общем объеме государственного долга приходится на долг по </w:t>
      </w:r>
      <w:r w:rsidR="00A86C19" w:rsidRPr="00910083">
        <w:t xml:space="preserve">бюджетным кредитам из федерального бюджета </w:t>
      </w:r>
      <w:r w:rsidRPr="00910083">
        <w:t xml:space="preserve">(49,3%) и </w:t>
      </w:r>
      <w:r w:rsidR="00A86C19" w:rsidRPr="00910083">
        <w:t xml:space="preserve">кредитам коммерческих банков </w:t>
      </w:r>
      <w:r w:rsidRPr="00910083">
        <w:t>(31,9%).</w:t>
      </w:r>
    </w:p>
    <w:p w14:paraId="0495953F" w14:textId="4550815B" w:rsidR="002A09CD" w:rsidRPr="00910083" w:rsidRDefault="00A86C19" w:rsidP="002A09CD">
      <w:pPr>
        <w:ind w:firstLine="708"/>
        <w:jc w:val="both"/>
      </w:pPr>
      <w:bookmarkStart w:id="6" w:name="_Hlk69741539"/>
      <w:r w:rsidRPr="00910083">
        <w:t>Фактический о</w:t>
      </w:r>
      <w:r w:rsidR="002A09CD" w:rsidRPr="00910083">
        <w:t>бъем государственного долга Волгоградской области на 01.01.2021 превысил утвержденный Законом об областном бюджете на 2020 год верхний предел государственного внутреннего долга (51 873 813,0 тыс. руб.) на 1 399 999,9 тыс. руб., или на 2,7 процента.</w:t>
      </w:r>
    </w:p>
    <w:bookmarkEnd w:id="6"/>
    <w:p w14:paraId="5DCBAC97" w14:textId="00AD9DAD" w:rsidR="00477F26" w:rsidRPr="00910083" w:rsidRDefault="002A09CD" w:rsidP="002A09CD">
      <w:pPr>
        <w:ind w:firstLine="708"/>
        <w:jc w:val="both"/>
      </w:pPr>
      <w:r w:rsidRPr="00910083">
        <w:t xml:space="preserve">Превышение верхнего предела государственного долга обусловлено </w:t>
      </w:r>
      <w:r w:rsidR="00477F26" w:rsidRPr="00910083">
        <w:t>привлечением</w:t>
      </w:r>
      <w:r w:rsidRPr="00910083">
        <w:t xml:space="preserve"> 14.12.2020 бюджетного кредита из федерального бюджета в сумме 5 000 000,0 тыс. руб. </w:t>
      </w:r>
      <w:r w:rsidR="00477F26" w:rsidRPr="00910083">
        <w:t>со сроком погашения</w:t>
      </w:r>
      <w:r w:rsidR="00F922C5" w:rsidRPr="00910083">
        <w:t xml:space="preserve"> 01.07.2021. </w:t>
      </w:r>
      <w:r w:rsidR="001C4988" w:rsidRPr="00910083">
        <w:t>Согласно данным государственной долговой книги Волгоградской области 15.12.2020</w:t>
      </w:r>
      <w:r w:rsidR="00DA5A41" w:rsidRPr="00910083">
        <w:t xml:space="preserve"> средства</w:t>
      </w:r>
      <w:r w:rsidR="001C4988" w:rsidRPr="00910083">
        <w:t xml:space="preserve"> в сумме 5 000 000,0 тыс. руб.</w:t>
      </w:r>
      <w:r w:rsidR="00DA5A41" w:rsidRPr="00910083">
        <w:t xml:space="preserve"> направлены на погашение долгового обязательства по бюджетному кредиту, предоставленному УФК по Волгоградской области за счет средств федерального бюджета 11.12.2020 в сумме 5 000 000,0 тыс. руб. со сроком погашения 15.12.2020.</w:t>
      </w:r>
    </w:p>
    <w:p w14:paraId="2710DB05" w14:textId="77777777" w:rsidR="00B50863" w:rsidRDefault="002A09CD" w:rsidP="000E0239">
      <w:pPr>
        <w:ind w:firstLine="708"/>
        <w:jc w:val="both"/>
      </w:pPr>
      <w:r w:rsidRPr="00910083">
        <w:t xml:space="preserve">В соответствии с п. 4 ст. 107 БК РФ объем государственного долга субъекта РФ не должен превышать утвержденный законом субъекта РФ о бюджете общий объем доходов без учета утвержденного объема безвозмездных поступлений. </w:t>
      </w:r>
    </w:p>
    <w:p w14:paraId="31DEB2A6" w14:textId="7789E421" w:rsidR="00910083" w:rsidRPr="00910083" w:rsidRDefault="002A09CD" w:rsidP="00B50863">
      <w:pPr>
        <w:ind w:firstLine="708"/>
        <w:jc w:val="both"/>
      </w:pPr>
      <w:r w:rsidRPr="00910083">
        <w:t>Законом об областном бюджете на 2020 год (ред. от 26.11.2020) общий объем доходов областного бюджета без учета утвержденного объема безвозмездных поступлений утвержден в сумме 78 155 348,8 тыс. рублей.</w:t>
      </w:r>
      <w:bookmarkStart w:id="7" w:name="_Hlk69734150"/>
      <w:r w:rsidR="00B50863">
        <w:t xml:space="preserve"> </w:t>
      </w:r>
      <w:r w:rsidR="00910083" w:rsidRPr="00910083">
        <w:t>Объем государственного долга по отношению к общему объему доходов областного бюджета без учета безвозмездных поступлений увеличился</w:t>
      </w:r>
      <w:r w:rsidR="00B50863">
        <w:t xml:space="preserve"> в 2020 году</w:t>
      </w:r>
      <w:r w:rsidR="00910083" w:rsidRPr="00910083">
        <w:t xml:space="preserve"> с 64,6% до 69,4 процента.</w:t>
      </w:r>
    </w:p>
    <w:p w14:paraId="25059ABA" w14:textId="08A0A7F9" w:rsidR="000E0239" w:rsidRDefault="000E0239" w:rsidP="000E0239">
      <w:pPr>
        <w:ind w:firstLine="708"/>
        <w:jc w:val="both"/>
      </w:pPr>
      <w:r w:rsidRPr="00910083">
        <w:t>Объем государственного долга Волгоградской области на 01.01.2021 не превысил ограничения, установленные бюджетным законодательством.</w:t>
      </w:r>
    </w:p>
    <w:p w14:paraId="710B4F39" w14:textId="33214781" w:rsidR="00437271" w:rsidRPr="008D46DB" w:rsidRDefault="008D46DB" w:rsidP="008D46DB">
      <w:pPr>
        <w:ind w:firstLine="680"/>
        <w:jc w:val="both"/>
      </w:pPr>
      <w:r w:rsidRPr="008D46DB">
        <w:t>В соответствии с соглашениями</w:t>
      </w:r>
      <w:r w:rsidR="00EB0ED8">
        <w:t xml:space="preserve"> с Министерством финансов РФ (далее – Минфин РФ)</w:t>
      </w:r>
      <w:r w:rsidRPr="008D46DB">
        <w:t xml:space="preserve"> на получение Волгоградской областью в </w:t>
      </w:r>
      <w:r w:rsidR="00C45313">
        <w:t>2016-</w:t>
      </w:r>
      <w:r w:rsidRPr="008D46DB">
        <w:t xml:space="preserve">2017 годах бюджетных кредитов Волгоградская область обязалась обеспечить на 01.01.2021 долю общего объема государственного долга не более 79% суммы доходов областного бюджета без учета безвозмездных поступлений за 2020 год, в том числе общую долю рыночных заимствований не более 50% доходов областного бюджета без учета безвозмездных </w:t>
      </w:r>
      <w:r w:rsidRPr="008D46DB">
        <w:lastRenderedPageBreak/>
        <w:t>поступлений за 2019 год. На 01.01.2021 принятые обязательства Волгоградской областью выполнены.</w:t>
      </w:r>
    </w:p>
    <w:bookmarkEnd w:id="7"/>
    <w:bookmarkEnd w:id="4"/>
    <w:p w14:paraId="21FC90E1" w14:textId="77777777" w:rsidR="00897D7C" w:rsidRDefault="00897D7C" w:rsidP="00AD2D82">
      <w:pPr>
        <w:jc w:val="center"/>
        <w:rPr>
          <w:b/>
          <w:iCs/>
        </w:rPr>
      </w:pPr>
    </w:p>
    <w:p w14:paraId="0FE72F6F" w14:textId="6A71920B" w:rsidR="00AD2D82" w:rsidRPr="0050749B" w:rsidRDefault="00AD2D82" w:rsidP="00AD2D82">
      <w:pPr>
        <w:jc w:val="center"/>
        <w:rPr>
          <w:b/>
          <w:iCs/>
        </w:rPr>
      </w:pPr>
      <w:r w:rsidRPr="0050749B">
        <w:rPr>
          <w:b/>
          <w:iCs/>
        </w:rPr>
        <w:t>Состояние дебиторской и кредиторской задолженностей</w:t>
      </w:r>
    </w:p>
    <w:p w14:paraId="1D37C31A" w14:textId="51547CD6" w:rsidR="00897D7C" w:rsidRDefault="00897D7C" w:rsidP="00897D7C">
      <w:pPr>
        <w:autoSpaceDE w:val="0"/>
        <w:autoSpaceDN w:val="0"/>
        <w:adjustRightInd w:val="0"/>
        <w:ind w:firstLine="709"/>
        <w:jc w:val="both"/>
      </w:pPr>
      <w:r w:rsidRPr="00897D7C">
        <w:t xml:space="preserve">Информация о динамике дебиторской и кредиторской задолженностей по состоянию на начало и конец 2020 года представлена в приложении № </w:t>
      </w:r>
      <w:r w:rsidR="0058102A">
        <w:t>5</w:t>
      </w:r>
      <w:r w:rsidRPr="00897D7C">
        <w:t>.</w:t>
      </w:r>
    </w:p>
    <w:p w14:paraId="6FC3A079" w14:textId="423242C1" w:rsidR="00B500A6" w:rsidRPr="0050749B" w:rsidRDefault="00AD2D82" w:rsidP="00897D7C">
      <w:pPr>
        <w:autoSpaceDE w:val="0"/>
        <w:autoSpaceDN w:val="0"/>
        <w:adjustRightInd w:val="0"/>
        <w:ind w:firstLine="709"/>
        <w:jc w:val="both"/>
      </w:pPr>
      <w:r w:rsidRPr="0050749B">
        <w:t xml:space="preserve">В </w:t>
      </w:r>
      <w:r w:rsidR="00822D3A" w:rsidRPr="0050749B">
        <w:t>течение 2020 года</w:t>
      </w:r>
      <w:r w:rsidRPr="0050749B">
        <w:t xml:space="preserve"> дебиторская задолженность </w:t>
      </w:r>
      <w:r w:rsidR="005838EE" w:rsidRPr="0050749B">
        <w:t>увеличи</w:t>
      </w:r>
      <w:r w:rsidR="00CF0784" w:rsidRPr="0050749B">
        <w:t>лась</w:t>
      </w:r>
      <w:r w:rsidR="00BD11CD" w:rsidRPr="0050749B">
        <w:t xml:space="preserve"> с 13 497,3 тыс. руб. до 613 615,7 тыс. руб., или</w:t>
      </w:r>
      <w:r w:rsidRPr="0050749B">
        <w:t xml:space="preserve"> </w:t>
      </w:r>
      <w:r w:rsidR="00CF0784" w:rsidRPr="0050749B">
        <w:t xml:space="preserve">на </w:t>
      </w:r>
      <w:bookmarkStart w:id="8" w:name="_Hlk66970616"/>
      <w:r w:rsidR="005838EE" w:rsidRPr="0050749B">
        <w:t>600 118,4</w:t>
      </w:r>
      <w:r w:rsidR="00CF0784" w:rsidRPr="0050749B">
        <w:t xml:space="preserve"> </w:t>
      </w:r>
      <w:bookmarkEnd w:id="8"/>
      <w:r w:rsidR="00CF0784" w:rsidRPr="0050749B">
        <w:t xml:space="preserve">тыс. </w:t>
      </w:r>
      <w:r w:rsidRPr="0050749B">
        <w:t>рублей.</w:t>
      </w:r>
      <w:r w:rsidR="00931A55" w:rsidRPr="0050749B">
        <w:t xml:space="preserve"> </w:t>
      </w:r>
      <w:r w:rsidRPr="0050749B">
        <w:t>Ос</w:t>
      </w:r>
      <w:r w:rsidR="00CF0784" w:rsidRPr="0050749B">
        <w:t xml:space="preserve">новная сумма задолженности </w:t>
      </w:r>
      <w:r w:rsidRPr="0050749B">
        <w:t>приходится на</w:t>
      </w:r>
      <w:r w:rsidR="00B500A6" w:rsidRPr="0050749B">
        <w:t>:</w:t>
      </w:r>
    </w:p>
    <w:p w14:paraId="01DDFB9E" w14:textId="5FEFAA3C" w:rsidR="00BD11CD" w:rsidRPr="0050749B" w:rsidRDefault="00B500A6" w:rsidP="00897D7C">
      <w:pPr>
        <w:ind w:firstLine="709"/>
        <w:jc w:val="both"/>
      </w:pPr>
      <w:r w:rsidRPr="0050749B">
        <w:t>-</w:t>
      </w:r>
      <w:r w:rsidR="00BD11CD" w:rsidRPr="0050749B">
        <w:t>объем межбюджетных трансфертов</w:t>
      </w:r>
      <w:r w:rsidRPr="0050749B">
        <w:t>,</w:t>
      </w:r>
      <w:r w:rsidR="00BD11CD" w:rsidRPr="0050749B">
        <w:t xml:space="preserve"> </w:t>
      </w:r>
      <w:r w:rsidRPr="0050749B">
        <w:t xml:space="preserve">предусмотренных к получению в 2021-2023 годах </w:t>
      </w:r>
      <w:r w:rsidR="00BD11CD" w:rsidRPr="0050749B">
        <w:t>из федерального бюджета</w:t>
      </w:r>
      <w:r w:rsidR="00A5503F" w:rsidRPr="0050749B">
        <w:t xml:space="preserve"> в сумме 588 685,3 тыс. руб.</w:t>
      </w:r>
      <w:r w:rsidR="00814324" w:rsidRPr="0050749B">
        <w:t xml:space="preserve"> </w:t>
      </w:r>
      <w:r w:rsidR="00A5503F" w:rsidRPr="0050749B">
        <w:t>и</w:t>
      </w:r>
      <w:r w:rsidR="00BD11CD" w:rsidRPr="0050749B">
        <w:t xml:space="preserve"> из местн</w:t>
      </w:r>
      <w:r w:rsidRPr="0050749B">
        <w:t>ых</w:t>
      </w:r>
      <w:r w:rsidR="00BD11CD" w:rsidRPr="0050749B">
        <w:t xml:space="preserve"> бюджет</w:t>
      </w:r>
      <w:r w:rsidRPr="0050749B">
        <w:t>ов</w:t>
      </w:r>
      <w:r w:rsidR="00BD11CD" w:rsidRPr="0050749B">
        <w:t xml:space="preserve"> (обратный трансферт)</w:t>
      </w:r>
      <w:r w:rsidRPr="0050749B">
        <w:t xml:space="preserve"> в сумме</w:t>
      </w:r>
      <w:r w:rsidR="00BD11CD" w:rsidRPr="0050749B">
        <w:t xml:space="preserve"> 10 530,0 тыс. руб</w:t>
      </w:r>
      <w:r w:rsidRPr="0050749B">
        <w:t>.;</w:t>
      </w:r>
    </w:p>
    <w:p w14:paraId="2EAB1D86" w14:textId="77BAECC7" w:rsidR="001E6138" w:rsidRPr="0050749B" w:rsidRDefault="00B500A6" w:rsidP="00897D7C">
      <w:pPr>
        <w:ind w:firstLine="709"/>
        <w:jc w:val="both"/>
        <w:rPr>
          <w:rFonts w:eastAsia="Times New Roman"/>
        </w:rPr>
      </w:pPr>
      <w:r w:rsidRPr="0050749B">
        <w:t>-</w:t>
      </w:r>
      <w:r w:rsidR="00AD2D82" w:rsidRPr="0050749B">
        <w:rPr>
          <w:rFonts w:eastAsia="Times New Roman"/>
        </w:rPr>
        <w:t>задолженност</w:t>
      </w:r>
      <w:r w:rsidRPr="0050749B">
        <w:rPr>
          <w:rFonts w:eastAsia="Times New Roman"/>
        </w:rPr>
        <w:t>ь</w:t>
      </w:r>
      <w:r w:rsidR="00606ADD" w:rsidRPr="0050749B">
        <w:rPr>
          <w:rFonts w:eastAsia="Times New Roman"/>
        </w:rPr>
        <w:t xml:space="preserve"> по </w:t>
      </w:r>
      <w:r w:rsidR="00B865A0" w:rsidRPr="0050749B">
        <w:rPr>
          <w:rFonts w:eastAsia="Times New Roman"/>
        </w:rPr>
        <w:t xml:space="preserve">подлежащим возврату в областной бюджет </w:t>
      </w:r>
      <w:r w:rsidR="00656815" w:rsidRPr="0050749B">
        <w:rPr>
          <w:rFonts w:eastAsia="Times New Roman"/>
        </w:rPr>
        <w:t>остатк</w:t>
      </w:r>
      <w:r w:rsidR="008765CD">
        <w:rPr>
          <w:rFonts w:eastAsia="Times New Roman"/>
        </w:rPr>
        <w:t>ов</w:t>
      </w:r>
      <w:r w:rsidR="00656815" w:rsidRPr="0050749B">
        <w:rPr>
          <w:rFonts w:eastAsia="Times New Roman"/>
        </w:rPr>
        <w:t xml:space="preserve"> </w:t>
      </w:r>
      <w:r w:rsidR="00AC3F3D" w:rsidRPr="0050749B">
        <w:rPr>
          <w:rFonts w:eastAsia="Times New Roman"/>
        </w:rPr>
        <w:t xml:space="preserve">предоставленных в 2020 году </w:t>
      </w:r>
      <w:r w:rsidRPr="0050749B">
        <w:rPr>
          <w:rFonts w:eastAsia="Times New Roman"/>
        </w:rPr>
        <w:t>межбюджетных трансфертов</w:t>
      </w:r>
      <w:r w:rsidR="00606ADD" w:rsidRPr="0050749B">
        <w:rPr>
          <w:rFonts w:eastAsia="Times New Roman"/>
        </w:rPr>
        <w:t xml:space="preserve"> бюджетам муниципальных образований из </w:t>
      </w:r>
      <w:r w:rsidR="00A32AEF" w:rsidRPr="0050749B">
        <w:rPr>
          <w:rFonts w:eastAsia="Times New Roman"/>
        </w:rPr>
        <w:t xml:space="preserve">областного </w:t>
      </w:r>
      <w:r w:rsidR="00606ADD" w:rsidRPr="0050749B">
        <w:rPr>
          <w:rFonts w:eastAsia="Times New Roman"/>
        </w:rPr>
        <w:t xml:space="preserve">бюджета в </w:t>
      </w:r>
      <w:r w:rsidRPr="0050749B">
        <w:rPr>
          <w:rFonts w:eastAsia="Times New Roman"/>
        </w:rPr>
        <w:t>сумме</w:t>
      </w:r>
      <w:r w:rsidR="00606ADD" w:rsidRPr="0050749B">
        <w:rPr>
          <w:rFonts w:eastAsia="Times New Roman"/>
        </w:rPr>
        <w:t xml:space="preserve"> </w:t>
      </w:r>
      <w:r w:rsidR="00D66010" w:rsidRPr="0050749B">
        <w:rPr>
          <w:rFonts w:eastAsia="Times New Roman"/>
        </w:rPr>
        <w:t>11</w:t>
      </w:r>
      <w:r w:rsidR="00BA1B03" w:rsidRPr="0050749B">
        <w:rPr>
          <w:rFonts w:eastAsia="Times New Roman"/>
        </w:rPr>
        <w:t> 340,7</w:t>
      </w:r>
      <w:r w:rsidR="00606ADD" w:rsidRPr="0050749B">
        <w:rPr>
          <w:rFonts w:eastAsia="Times New Roman"/>
        </w:rPr>
        <w:t xml:space="preserve"> тыс.</w:t>
      </w:r>
      <w:r w:rsidR="00421F57" w:rsidRPr="0050749B">
        <w:rPr>
          <w:rFonts w:eastAsia="Times New Roman"/>
        </w:rPr>
        <w:t xml:space="preserve"> </w:t>
      </w:r>
      <w:r w:rsidR="00606ADD" w:rsidRPr="0050749B">
        <w:rPr>
          <w:rFonts w:eastAsia="Times New Roman"/>
        </w:rPr>
        <w:t>руб</w:t>
      </w:r>
      <w:r w:rsidR="00AC3F3D" w:rsidRPr="0050749B">
        <w:rPr>
          <w:rFonts w:eastAsia="Times New Roman"/>
        </w:rPr>
        <w:t>лей. На 19.04.2021</w:t>
      </w:r>
      <w:r w:rsidR="0050749B" w:rsidRPr="0050749B">
        <w:rPr>
          <w:rFonts w:eastAsia="Times New Roman"/>
        </w:rPr>
        <w:t xml:space="preserve"> возврат остатков</w:t>
      </w:r>
      <w:r w:rsidR="00AC3F3D" w:rsidRPr="0050749B">
        <w:rPr>
          <w:rFonts w:eastAsia="Times New Roman"/>
        </w:rPr>
        <w:t xml:space="preserve"> в доход областного бюджета</w:t>
      </w:r>
      <w:r w:rsidR="0050749B" w:rsidRPr="0050749B">
        <w:rPr>
          <w:rFonts w:eastAsia="Times New Roman"/>
        </w:rPr>
        <w:t xml:space="preserve"> осуществлен в полном объеме.</w:t>
      </w:r>
    </w:p>
    <w:p w14:paraId="2B4462E1" w14:textId="13F3EDCD" w:rsidR="00943F24" w:rsidRPr="00F66DDB" w:rsidRDefault="001145F3" w:rsidP="00897D7C">
      <w:pPr>
        <w:ind w:firstLine="709"/>
        <w:jc w:val="both"/>
        <w:rPr>
          <w:rFonts w:eastAsiaTheme="minorHAnsi"/>
          <w:lang w:eastAsia="en-US"/>
        </w:rPr>
      </w:pPr>
      <w:r w:rsidRPr="00F314D1">
        <w:rPr>
          <w:rFonts w:eastAsiaTheme="minorHAnsi"/>
          <w:lang w:eastAsia="en-US"/>
        </w:rPr>
        <w:t xml:space="preserve">Объем просроченной </w:t>
      </w:r>
      <w:r w:rsidRPr="00F66DDB">
        <w:rPr>
          <w:rFonts w:eastAsiaTheme="minorHAnsi"/>
          <w:lang w:eastAsia="en-US"/>
        </w:rPr>
        <w:t xml:space="preserve">дебиторской задолженности на </w:t>
      </w:r>
      <w:r w:rsidR="00931A55" w:rsidRPr="00F66DDB">
        <w:rPr>
          <w:rFonts w:eastAsiaTheme="minorHAnsi"/>
          <w:lang w:eastAsia="en-US"/>
        </w:rPr>
        <w:t>01</w:t>
      </w:r>
      <w:r w:rsidRPr="00F66DDB">
        <w:rPr>
          <w:rFonts w:eastAsiaTheme="minorHAnsi"/>
          <w:lang w:eastAsia="en-US"/>
        </w:rPr>
        <w:t>.</w:t>
      </w:r>
      <w:r w:rsidR="00931A55" w:rsidRPr="00F66DDB">
        <w:rPr>
          <w:rFonts w:eastAsiaTheme="minorHAnsi"/>
          <w:lang w:eastAsia="en-US"/>
        </w:rPr>
        <w:t>01</w:t>
      </w:r>
      <w:r w:rsidRPr="00F66DDB">
        <w:rPr>
          <w:rFonts w:eastAsiaTheme="minorHAnsi"/>
          <w:lang w:eastAsia="en-US"/>
        </w:rPr>
        <w:t>.20</w:t>
      </w:r>
      <w:r w:rsidR="00F86F79" w:rsidRPr="00F66DDB">
        <w:rPr>
          <w:rFonts w:eastAsiaTheme="minorHAnsi"/>
          <w:lang w:eastAsia="en-US"/>
        </w:rPr>
        <w:t>2</w:t>
      </w:r>
      <w:r w:rsidR="00931A55" w:rsidRPr="00F66DDB">
        <w:rPr>
          <w:rFonts w:eastAsiaTheme="minorHAnsi"/>
          <w:lang w:eastAsia="en-US"/>
        </w:rPr>
        <w:t>1</w:t>
      </w:r>
      <w:r w:rsidRPr="00F66DDB">
        <w:rPr>
          <w:rFonts w:eastAsiaTheme="minorHAnsi"/>
          <w:lang w:eastAsia="en-US"/>
        </w:rPr>
        <w:t xml:space="preserve"> составил </w:t>
      </w:r>
      <w:r w:rsidR="00F86F79" w:rsidRPr="00F66DDB">
        <w:rPr>
          <w:rFonts w:eastAsiaTheme="minorHAnsi"/>
          <w:lang w:eastAsia="en-US"/>
        </w:rPr>
        <w:t>313,7</w:t>
      </w:r>
      <w:r w:rsidRPr="00F66DDB">
        <w:rPr>
          <w:rFonts w:eastAsiaTheme="minorHAnsi"/>
          <w:lang w:eastAsia="en-US"/>
        </w:rPr>
        <w:t xml:space="preserve"> тыс. руб. и </w:t>
      </w:r>
      <w:r w:rsidR="00943F24" w:rsidRPr="00F66DDB">
        <w:rPr>
          <w:rFonts w:eastAsiaTheme="minorHAnsi"/>
          <w:lang w:eastAsia="en-US"/>
        </w:rPr>
        <w:t>сложился</w:t>
      </w:r>
      <w:r w:rsidRPr="00F66DDB">
        <w:rPr>
          <w:rFonts w:eastAsiaTheme="minorHAnsi"/>
          <w:lang w:eastAsia="en-US"/>
        </w:rPr>
        <w:t xml:space="preserve"> </w:t>
      </w:r>
      <w:r w:rsidR="00943F24" w:rsidRPr="00F66DDB">
        <w:rPr>
          <w:rFonts w:eastAsiaTheme="minorHAnsi"/>
          <w:lang w:eastAsia="en-US"/>
        </w:rPr>
        <w:t>по</w:t>
      </w:r>
      <w:r w:rsidRPr="00F66DDB">
        <w:rPr>
          <w:rFonts w:eastAsiaTheme="minorHAnsi"/>
          <w:lang w:eastAsia="en-US"/>
        </w:rPr>
        <w:t xml:space="preserve"> </w:t>
      </w:r>
      <w:r w:rsidR="00462EEC" w:rsidRPr="00F66DDB">
        <w:rPr>
          <w:rFonts w:eastAsiaTheme="minorHAnsi"/>
          <w:lang w:eastAsia="en-US"/>
        </w:rPr>
        <w:t>задолженности по возмещению денежных средств (выплаты опекунских пособий), взысканных за счет казны Волгоградской области (исполнительный лист № ФС 019212536 от 02.08.2017), в размере 218,4 тыс. руб. и задолженности по административным штрафам</w:t>
      </w:r>
      <w:r w:rsidR="005364D8" w:rsidRPr="00F66DDB">
        <w:rPr>
          <w:rFonts w:eastAsiaTheme="minorHAnsi"/>
          <w:lang w:eastAsia="en-US"/>
        </w:rPr>
        <w:t xml:space="preserve"> в сумме 95,3 тыс. руб.</w:t>
      </w:r>
      <w:r w:rsidR="00462EEC" w:rsidRPr="00F66DDB">
        <w:rPr>
          <w:rFonts w:eastAsiaTheme="minorHAnsi"/>
          <w:lang w:eastAsia="en-US"/>
        </w:rPr>
        <w:t xml:space="preserve"> (на исполнении в службе судебных приставов).</w:t>
      </w:r>
    </w:p>
    <w:p w14:paraId="11716132" w14:textId="30C0B7C1" w:rsidR="00F66DDB" w:rsidRPr="00F66DDB" w:rsidRDefault="00681B1D" w:rsidP="00897D7C">
      <w:pPr>
        <w:ind w:firstLine="709"/>
        <w:jc w:val="both"/>
      </w:pPr>
      <w:r w:rsidRPr="00F66DDB">
        <w:t>Объем к</w:t>
      </w:r>
      <w:r w:rsidR="00AD2D82" w:rsidRPr="00F66DDB">
        <w:t>редиторск</w:t>
      </w:r>
      <w:r w:rsidRPr="00F66DDB">
        <w:t>ой</w:t>
      </w:r>
      <w:r w:rsidR="00AD2D82" w:rsidRPr="00F66DDB">
        <w:t xml:space="preserve"> задолженност</w:t>
      </w:r>
      <w:r w:rsidRPr="00F66DDB">
        <w:t>и</w:t>
      </w:r>
      <w:r w:rsidR="00AD2D82" w:rsidRPr="00F66DDB">
        <w:t xml:space="preserve"> </w:t>
      </w:r>
      <w:r w:rsidR="00AF7C62" w:rsidRPr="00F66DDB">
        <w:t>у</w:t>
      </w:r>
      <w:r w:rsidR="00D96510" w:rsidRPr="00F66DDB">
        <w:t>меньш</w:t>
      </w:r>
      <w:r w:rsidR="00AF7C62" w:rsidRPr="00F66DDB">
        <w:t>ил</w:t>
      </w:r>
      <w:r w:rsidRPr="00F66DDB">
        <w:t>ся</w:t>
      </w:r>
      <w:r w:rsidR="00AD2D82" w:rsidRPr="00F66DDB">
        <w:t xml:space="preserve"> </w:t>
      </w:r>
      <w:r w:rsidR="00AF7C62" w:rsidRPr="00F66DDB">
        <w:t>на 1</w:t>
      </w:r>
      <w:r w:rsidR="00D96510" w:rsidRPr="00F66DDB">
        <w:t> 853 661,6</w:t>
      </w:r>
      <w:r w:rsidR="00AF7C62" w:rsidRPr="00F66DDB">
        <w:t xml:space="preserve"> тыс. руб. (</w:t>
      </w:r>
      <w:r w:rsidR="00D96510" w:rsidRPr="00F66DDB">
        <w:t>-75,5%</w:t>
      </w:r>
      <w:r w:rsidR="00AF7C62" w:rsidRPr="00F66DDB">
        <w:t xml:space="preserve">) и составил </w:t>
      </w:r>
      <w:r w:rsidR="00D96510" w:rsidRPr="00F66DDB">
        <w:t>600 041,2</w:t>
      </w:r>
      <w:r w:rsidR="00AD2D82" w:rsidRPr="00F66DDB">
        <w:t xml:space="preserve"> тыс. рублей.</w:t>
      </w:r>
      <w:r w:rsidR="00F314D1" w:rsidRPr="00F66DDB">
        <w:t xml:space="preserve"> </w:t>
      </w:r>
      <w:r w:rsidR="00AF7C62" w:rsidRPr="00F66DDB">
        <w:t xml:space="preserve">Основная сумма </w:t>
      </w:r>
      <w:r w:rsidRPr="00F66DDB">
        <w:t>задолженности</w:t>
      </w:r>
      <w:r w:rsidR="00AF7C62" w:rsidRPr="00F66DDB">
        <w:t xml:space="preserve"> на 01.01.20</w:t>
      </w:r>
      <w:r w:rsidR="00421F57" w:rsidRPr="00F66DDB">
        <w:t>2</w:t>
      </w:r>
      <w:r w:rsidR="00D96510" w:rsidRPr="00F66DDB">
        <w:t>1</w:t>
      </w:r>
      <w:r w:rsidR="00AF7C62" w:rsidRPr="00F66DDB">
        <w:t xml:space="preserve"> </w:t>
      </w:r>
      <w:r w:rsidR="00AD2D82" w:rsidRPr="00F66DDB">
        <w:t>числи</w:t>
      </w:r>
      <w:r w:rsidR="00F314D1" w:rsidRPr="00F66DDB">
        <w:t>лась</w:t>
      </w:r>
      <w:r w:rsidR="00AD2D82" w:rsidRPr="00F66DDB">
        <w:t xml:space="preserve"> перед бюджетными и автономными учреждениями</w:t>
      </w:r>
      <w:r w:rsidR="0050749B" w:rsidRPr="00F66DDB">
        <w:t xml:space="preserve"> в сумме 600 000,0 тыс. руб.</w:t>
      </w:r>
      <w:r w:rsidR="00AD2D82" w:rsidRPr="00F66DDB">
        <w:t xml:space="preserve"> за счет </w:t>
      </w:r>
      <w:r w:rsidR="00AD2D82" w:rsidRPr="00F66DDB">
        <w:rPr>
          <w:rFonts w:eastAsia="Times New Roman"/>
        </w:rPr>
        <w:t>привлечения</w:t>
      </w:r>
      <w:r w:rsidR="00F66DDB" w:rsidRPr="00F66DDB">
        <w:rPr>
          <w:rFonts w:eastAsia="Times New Roman"/>
        </w:rPr>
        <w:t xml:space="preserve"> в течение года</w:t>
      </w:r>
      <w:r w:rsidR="00AD2D82" w:rsidRPr="00F66DDB">
        <w:rPr>
          <w:rFonts w:eastAsia="Times New Roman"/>
        </w:rPr>
        <w:t xml:space="preserve"> средств государственных учреждений Волгоградской области</w:t>
      </w:r>
      <w:r w:rsidR="00FF46B4" w:rsidRPr="00F66DDB">
        <w:t>.</w:t>
      </w:r>
      <w:r w:rsidR="00F66DDB">
        <w:t xml:space="preserve"> </w:t>
      </w:r>
      <w:r w:rsidR="00F66DDB" w:rsidRPr="00F66DDB">
        <w:t xml:space="preserve">На 01.04.2021 задолженность перед учреждениями в сумме 600 000,0 тыс. руб. погашена. </w:t>
      </w:r>
    </w:p>
    <w:p w14:paraId="1AAFE487" w14:textId="6905E0EC" w:rsidR="00AD2D82" w:rsidRPr="00F66DDB" w:rsidRDefault="00724D8C" w:rsidP="00897D7C">
      <w:pPr>
        <w:autoSpaceDE w:val="0"/>
        <w:autoSpaceDN w:val="0"/>
        <w:adjustRightInd w:val="0"/>
        <w:ind w:firstLine="709"/>
        <w:jc w:val="both"/>
      </w:pPr>
      <w:r w:rsidRPr="00F66DDB">
        <w:rPr>
          <w:rFonts w:eastAsiaTheme="minorHAnsi"/>
          <w:lang w:eastAsia="en-US"/>
        </w:rPr>
        <w:t>Просроченная кредиторская задолженность на 01.01.202</w:t>
      </w:r>
      <w:r w:rsidR="006A23F8" w:rsidRPr="00F66DDB">
        <w:rPr>
          <w:rFonts w:eastAsiaTheme="minorHAnsi"/>
          <w:lang w:eastAsia="en-US"/>
        </w:rPr>
        <w:t>1</w:t>
      </w:r>
      <w:r w:rsidRPr="00F66DDB">
        <w:rPr>
          <w:rFonts w:eastAsiaTheme="minorHAnsi"/>
          <w:lang w:eastAsia="en-US"/>
        </w:rPr>
        <w:t xml:space="preserve"> отсутств</w:t>
      </w:r>
      <w:r w:rsidR="00681B1D" w:rsidRPr="00F66DDB">
        <w:rPr>
          <w:rFonts w:eastAsiaTheme="minorHAnsi"/>
          <w:lang w:eastAsia="en-US"/>
        </w:rPr>
        <w:t>овала</w:t>
      </w:r>
      <w:r w:rsidRPr="00F66DDB">
        <w:rPr>
          <w:rFonts w:eastAsiaTheme="minorHAnsi"/>
          <w:lang w:eastAsia="en-US"/>
        </w:rPr>
        <w:t>.</w:t>
      </w:r>
    </w:p>
    <w:p w14:paraId="372CBEA9" w14:textId="77777777" w:rsidR="005E6EB7" w:rsidRPr="00A510BD" w:rsidRDefault="005E6EB7" w:rsidP="00AD2D82">
      <w:pPr>
        <w:tabs>
          <w:tab w:val="left" w:pos="851"/>
        </w:tabs>
        <w:jc w:val="center"/>
        <w:rPr>
          <w:b/>
          <w:color w:val="7030A0"/>
        </w:rPr>
      </w:pPr>
    </w:p>
    <w:p w14:paraId="68DEC2BE" w14:textId="33BB655F" w:rsidR="00AD2D82" w:rsidRPr="007B098F" w:rsidRDefault="00AD2D82" w:rsidP="00AD2D82">
      <w:pPr>
        <w:tabs>
          <w:tab w:val="left" w:pos="851"/>
        </w:tabs>
        <w:jc w:val="center"/>
        <w:rPr>
          <w:b/>
        </w:rPr>
      </w:pPr>
      <w:r w:rsidRPr="007B098F">
        <w:rPr>
          <w:b/>
        </w:rPr>
        <w:t>ГКУ «Центр бюджетного учета»</w:t>
      </w:r>
    </w:p>
    <w:p w14:paraId="44E1D99A" w14:textId="4D03FC07" w:rsidR="00E26D69" w:rsidRPr="000A60FB" w:rsidRDefault="003E3D83" w:rsidP="003E3D83">
      <w:pPr>
        <w:pStyle w:val="Standard"/>
        <w:ind w:firstLine="709"/>
        <w:jc w:val="both"/>
      </w:pPr>
      <w:r w:rsidRPr="00B9702A">
        <w:t xml:space="preserve">ГКУ «ЦБУ» создано в соответствии с постановлением Администрации Волгоградской области от 09.02.2015 № 49-п. </w:t>
      </w:r>
      <w:r w:rsidR="00E26D69" w:rsidRPr="000A60FB">
        <w:t>Целями деятельности ГКУ «ЦБУ» являются ведение бюджетного учета и отчетности в соответствии с соглашениями о передаче полномочий бюджетного учета и отчетности на выполнение работ, оказание услуг по договорам бухгалтерского обслуживания.</w:t>
      </w:r>
    </w:p>
    <w:p w14:paraId="7FB8B03A" w14:textId="77777777" w:rsidR="00417435" w:rsidRPr="000A60FB" w:rsidRDefault="00CD005A" w:rsidP="003E3D83">
      <w:pPr>
        <w:autoSpaceDE w:val="0"/>
        <w:autoSpaceDN w:val="0"/>
        <w:adjustRightInd w:val="0"/>
        <w:ind w:firstLine="709"/>
        <w:jc w:val="both"/>
        <w:rPr>
          <w:rFonts w:eastAsia="Times New Roman"/>
        </w:rPr>
      </w:pPr>
      <w:r w:rsidRPr="000A60FB">
        <w:t xml:space="preserve">В 2020 году ГКУ «ЦБУ» </w:t>
      </w:r>
      <w:r w:rsidRPr="000A60FB">
        <w:rPr>
          <w:rFonts w:eastAsia="Times New Roman"/>
        </w:rPr>
        <w:t>осуществляло функции по ведению бюджетного учета 18-ти органов исполнительной власти Волгоградской области и 5-ти государственных казенных учреждений. По сравнению с 2019 годом количество казенных учреждений, передавших полномочия по ведению бюджетного учета, увеличилось на 3 единицы</w:t>
      </w:r>
      <w:r w:rsidR="00417435" w:rsidRPr="000A60FB">
        <w:rPr>
          <w:rFonts w:eastAsia="Times New Roman"/>
        </w:rPr>
        <w:t>:</w:t>
      </w:r>
    </w:p>
    <w:p w14:paraId="5E79A855" w14:textId="2F44F5B9" w:rsidR="00417435" w:rsidRPr="000A60FB" w:rsidRDefault="00417435" w:rsidP="003E3D83">
      <w:pPr>
        <w:autoSpaceDE w:val="0"/>
        <w:autoSpaceDN w:val="0"/>
        <w:adjustRightInd w:val="0"/>
        <w:ind w:firstLine="709"/>
        <w:jc w:val="both"/>
      </w:pPr>
      <w:r w:rsidRPr="000A60FB">
        <w:t>-</w:t>
      </w:r>
      <w:r w:rsidR="000A60FB" w:rsidRPr="000A60FB">
        <w:t>ГКУ</w:t>
      </w:r>
      <w:r w:rsidRPr="000A60FB">
        <w:t xml:space="preserve"> «Аналитический центр»</w:t>
      </w:r>
      <w:r w:rsidR="008765CD">
        <w:t xml:space="preserve"> (подведомственное комитету экономической политики и развития Волгоградской области)</w:t>
      </w:r>
      <w:r w:rsidRPr="000A60FB">
        <w:t>;</w:t>
      </w:r>
    </w:p>
    <w:p w14:paraId="7C3BAA54" w14:textId="63F1350A" w:rsidR="00417435" w:rsidRPr="000A60FB" w:rsidRDefault="00417435" w:rsidP="003E3D83">
      <w:pPr>
        <w:autoSpaceDE w:val="0"/>
        <w:autoSpaceDN w:val="0"/>
        <w:adjustRightInd w:val="0"/>
        <w:ind w:firstLine="709"/>
        <w:jc w:val="both"/>
      </w:pPr>
      <w:r w:rsidRPr="000A60FB">
        <w:t>-</w:t>
      </w:r>
      <w:r w:rsidR="000A60FB" w:rsidRPr="000A60FB">
        <w:t>ГКУ</w:t>
      </w:r>
      <w:r w:rsidRPr="000A60FB">
        <w:t xml:space="preserve"> «Центр промышленности и торговли»</w:t>
      </w:r>
      <w:r w:rsidR="008765CD">
        <w:t xml:space="preserve"> (</w:t>
      </w:r>
      <w:r w:rsidR="00854DB3">
        <w:t>подведомственное к</w:t>
      </w:r>
      <w:r w:rsidR="00854DB3" w:rsidRPr="00854DB3">
        <w:t>омитет</w:t>
      </w:r>
      <w:r w:rsidR="00854DB3">
        <w:t>у</w:t>
      </w:r>
      <w:r w:rsidR="00854DB3" w:rsidRPr="00854DB3">
        <w:t xml:space="preserve"> промышленной политики, торговли и топливно-энергетического комплекса Волгоградской области</w:t>
      </w:r>
      <w:r w:rsidR="008765CD">
        <w:t>)</w:t>
      </w:r>
      <w:r w:rsidRPr="000A60FB">
        <w:t>;</w:t>
      </w:r>
    </w:p>
    <w:p w14:paraId="18025679" w14:textId="70994900" w:rsidR="00417435" w:rsidRPr="000A60FB" w:rsidRDefault="00417435" w:rsidP="003E3D83">
      <w:pPr>
        <w:autoSpaceDE w:val="0"/>
        <w:autoSpaceDN w:val="0"/>
        <w:adjustRightInd w:val="0"/>
        <w:ind w:firstLine="709"/>
        <w:jc w:val="both"/>
      </w:pPr>
      <w:r w:rsidRPr="000A60FB">
        <w:t>-</w:t>
      </w:r>
      <w:r w:rsidR="000A60FB" w:rsidRPr="000A60FB">
        <w:t>ГКУ</w:t>
      </w:r>
      <w:r w:rsidRPr="000A60FB">
        <w:t xml:space="preserve"> «Казачий центр государственной службы»</w:t>
      </w:r>
      <w:r w:rsidR="00854DB3">
        <w:t xml:space="preserve"> (подведомственное комитету по делам национальностей и казачества Волгоградской области)</w:t>
      </w:r>
      <w:r w:rsidRPr="000A60FB">
        <w:t>.</w:t>
      </w:r>
    </w:p>
    <w:p w14:paraId="1878C37D" w14:textId="77777777" w:rsidR="0023399E" w:rsidRPr="000A60FB" w:rsidRDefault="0023399E" w:rsidP="0023399E">
      <w:pPr>
        <w:autoSpaceDE w:val="0"/>
        <w:autoSpaceDN w:val="0"/>
        <w:adjustRightInd w:val="0"/>
        <w:ind w:firstLine="709"/>
        <w:jc w:val="both"/>
        <w:rPr>
          <w:rFonts w:eastAsia="Times New Roman"/>
        </w:rPr>
      </w:pPr>
      <w:r w:rsidRPr="000A60FB">
        <w:t>На 01.01.2021 штатная численность учреждения состав</w:t>
      </w:r>
      <w:r>
        <w:t>и</w:t>
      </w:r>
      <w:r w:rsidRPr="000A60FB">
        <w:t xml:space="preserve">ла </w:t>
      </w:r>
      <w:r>
        <w:t>64</w:t>
      </w:r>
      <w:r w:rsidRPr="000A60FB">
        <w:t xml:space="preserve"> единиц</w:t>
      </w:r>
      <w:r>
        <w:t>ы</w:t>
      </w:r>
      <w:r w:rsidRPr="000A60FB">
        <w:t xml:space="preserve">, фактическая численность – 54 человека, из них 3 сотрудника </w:t>
      </w:r>
      <w:r w:rsidRPr="000A60FB">
        <w:rPr>
          <w:rFonts w:eastAsia="Times New Roman"/>
        </w:rPr>
        <w:t>выполняли работу на 0,5 ставки на условиях внешнего совместительства).</w:t>
      </w:r>
    </w:p>
    <w:p w14:paraId="718DDBFB" w14:textId="5EFD45C5" w:rsidR="002D1156" w:rsidRPr="00497DB3" w:rsidRDefault="0023399E" w:rsidP="00654C70">
      <w:pPr>
        <w:autoSpaceDE w:val="0"/>
        <w:autoSpaceDN w:val="0"/>
        <w:adjustRightInd w:val="0"/>
        <w:ind w:firstLine="708"/>
        <w:jc w:val="both"/>
      </w:pPr>
      <w:r>
        <w:t>Ш</w:t>
      </w:r>
      <w:r w:rsidR="002D1156" w:rsidRPr="00497DB3">
        <w:t xml:space="preserve">татная численность учреждения увеличена до 64 единиц </w:t>
      </w:r>
      <w:r>
        <w:t>с</w:t>
      </w:r>
      <w:r w:rsidRPr="00497DB3">
        <w:t xml:space="preserve"> 01.12.2020</w:t>
      </w:r>
      <w:r>
        <w:t xml:space="preserve"> </w:t>
      </w:r>
      <w:r w:rsidR="002D1156" w:rsidRPr="00497DB3">
        <w:t xml:space="preserve">за счет создания </w:t>
      </w:r>
      <w:r w:rsidR="00362E65" w:rsidRPr="00497DB3">
        <w:t xml:space="preserve">отдела ведения нормативно-справочной информации в количестве 5 специалистов и увеличения численности </w:t>
      </w:r>
      <w:r w:rsidR="001434C1">
        <w:t>3</w:t>
      </w:r>
      <w:r w:rsidR="00362E65" w:rsidRPr="00497DB3">
        <w:t xml:space="preserve"> отделов по </w:t>
      </w:r>
      <w:r w:rsidR="001434C1">
        <w:t>1</w:t>
      </w:r>
      <w:r w:rsidR="00362E65" w:rsidRPr="00497DB3">
        <w:t xml:space="preserve"> специалисту (отдел расчетов по оплате труда, </w:t>
      </w:r>
      <w:r w:rsidR="00362E65" w:rsidRPr="00497DB3">
        <w:lastRenderedPageBreak/>
        <w:t>финансово-экономический отдел и отдел методологии и технического обеспечения бюджетного учета).</w:t>
      </w:r>
      <w:r>
        <w:t xml:space="preserve"> Фактическая численность в 2020 году увеличилась на </w:t>
      </w:r>
      <w:r w:rsidR="00BB6565">
        <w:t>одну единицу</w:t>
      </w:r>
      <w:r>
        <w:t>.</w:t>
      </w:r>
    </w:p>
    <w:p w14:paraId="742C1464" w14:textId="1701908B" w:rsidR="00362E65" w:rsidRPr="00497DB3" w:rsidRDefault="00362E65" w:rsidP="00654C70">
      <w:pPr>
        <w:autoSpaceDE w:val="0"/>
        <w:autoSpaceDN w:val="0"/>
        <w:adjustRightInd w:val="0"/>
        <w:ind w:firstLine="708"/>
        <w:jc w:val="both"/>
      </w:pPr>
      <w:r w:rsidRPr="00497DB3">
        <w:t>В качестве обоснования увеличения штатной численности ГКУ «ЦБУ» приводит передачу с 2021 года полномочий по ведению бюджетного учета двух казенных учреждений (ГКУ ВО «Управление имуществом»</w:t>
      </w:r>
      <w:r w:rsidR="008765CD">
        <w:t>, подведомственное комитету по управлению государственным имуществом Волгоградской области</w:t>
      </w:r>
      <w:r w:rsidRPr="00497DB3">
        <w:t xml:space="preserve"> и ГКУ ВО «Экспертный центр»</w:t>
      </w:r>
      <w:r w:rsidR="008765CD">
        <w:t xml:space="preserve">, подведомственное </w:t>
      </w:r>
      <w:r w:rsidR="00854DB3">
        <w:t>комитету тарифного регулирования Волгоградской области</w:t>
      </w:r>
      <w:r w:rsidRPr="00497DB3">
        <w:t xml:space="preserve">), а также </w:t>
      </w:r>
      <w:r w:rsidR="00CD005A" w:rsidRPr="00497DB3">
        <w:t>«необходимость постоянного управления нормативно-справочной информацией для нормализации данных на уровне учетных систем».</w:t>
      </w:r>
    </w:p>
    <w:p w14:paraId="0C951058" w14:textId="77777777" w:rsidR="0023399E" w:rsidRPr="0075099F" w:rsidRDefault="0023399E" w:rsidP="0023399E">
      <w:pPr>
        <w:pStyle w:val="Standard"/>
        <w:shd w:val="clear" w:color="auto" w:fill="FFFFFF"/>
        <w:tabs>
          <w:tab w:val="left" w:pos="0"/>
        </w:tabs>
        <w:ind w:firstLine="709"/>
        <w:jc w:val="both"/>
        <w:rPr>
          <w:rFonts w:eastAsia="Times New Roman"/>
          <w:szCs w:val="18"/>
          <w:shd w:val="clear" w:color="auto" w:fill="FFFF00"/>
        </w:rPr>
      </w:pPr>
      <w:r w:rsidRPr="0075099F">
        <w:rPr>
          <w:rFonts w:eastAsia="Times New Roman"/>
          <w:szCs w:val="18"/>
          <w:highlight w:val="white"/>
          <w:shd w:val="clear" w:color="auto" w:fill="FFFF00"/>
        </w:rPr>
        <w:t xml:space="preserve">Сравнительный анализ основных показателей </w:t>
      </w:r>
      <w:r w:rsidRPr="0075099F">
        <w:rPr>
          <w:rFonts w:eastAsia="Times New Roman" w:cs="Calibri"/>
          <w:szCs w:val="18"/>
          <w:highlight w:val="white"/>
          <w:shd w:val="clear" w:color="auto" w:fill="FFFF00"/>
          <w:lang w:eastAsia="en-US"/>
        </w:rPr>
        <w:t>ГКУ «ЦБУ»</w:t>
      </w:r>
      <w:r w:rsidRPr="0075099F">
        <w:rPr>
          <w:rFonts w:eastAsia="Times New Roman"/>
          <w:szCs w:val="18"/>
          <w:highlight w:val="white"/>
          <w:shd w:val="clear" w:color="auto" w:fill="FFFF00"/>
        </w:rPr>
        <w:t xml:space="preserve"> с момента создания учреждения представлен в следующей таблице.</w:t>
      </w:r>
    </w:p>
    <w:p w14:paraId="4DA0A4FC" w14:textId="77777777" w:rsidR="0023399E" w:rsidRDefault="0023399E" w:rsidP="0023399E">
      <w:pPr>
        <w:pStyle w:val="Standard"/>
        <w:shd w:val="clear" w:color="auto" w:fill="FFFFFF"/>
        <w:tabs>
          <w:tab w:val="left" w:pos="0"/>
        </w:tabs>
        <w:ind w:firstLine="709"/>
        <w:jc w:val="both"/>
        <w:rPr>
          <w:rFonts w:eastAsia="Times New Roman"/>
          <w:color w:val="7030A0"/>
          <w:szCs w:val="18"/>
          <w:shd w:val="clear" w:color="auto" w:fill="FFFF00"/>
        </w:rPr>
      </w:pPr>
    </w:p>
    <w:tbl>
      <w:tblPr>
        <w:tblW w:w="9341"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1244"/>
        <w:gridCol w:w="726"/>
        <w:gridCol w:w="1417"/>
        <w:gridCol w:w="1081"/>
        <w:gridCol w:w="1134"/>
        <w:gridCol w:w="993"/>
        <w:gridCol w:w="992"/>
        <w:gridCol w:w="1754"/>
      </w:tblGrid>
      <w:tr w:rsidR="0023399E" w:rsidRPr="0043132E" w14:paraId="19E65092" w14:textId="77777777" w:rsidTr="0023399E">
        <w:trPr>
          <w:trHeight w:val="20"/>
        </w:trPr>
        <w:tc>
          <w:tcPr>
            <w:tcW w:w="1970" w:type="dxa"/>
            <w:gridSpan w:val="2"/>
            <w:vMerge w:val="restart"/>
            <w:shd w:val="clear" w:color="auto" w:fill="auto"/>
            <w:vAlign w:val="center"/>
            <w:hideMark/>
          </w:tcPr>
          <w:p w14:paraId="26E6270C" w14:textId="77777777" w:rsidR="0023399E" w:rsidRPr="0043132E" w:rsidRDefault="0023399E" w:rsidP="00857539">
            <w:pPr>
              <w:jc w:val="center"/>
              <w:rPr>
                <w:rFonts w:eastAsia="Times New Roman"/>
                <w:sz w:val="20"/>
                <w:szCs w:val="20"/>
              </w:rPr>
            </w:pPr>
            <w:r w:rsidRPr="0043132E">
              <w:rPr>
                <w:rFonts w:eastAsia="Times New Roman"/>
                <w:sz w:val="20"/>
                <w:szCs w:val="20"/>
              </w:rPr>
              <w:t>Наименование показателя</w:t>
            </w:r>
          </w:p>
          <w:p w14:paraId="6674C67B" w14:textId="77777777" w:rsidR="0023399E" w:rsidRPr="0043132E" w:rsidRDefault="0023399E" w:rsidP="00857539">
            <w:pPr>
              <w:jc w:val="center"/>
              <w:rPr>
                <w:rFonts w:eastAsia="Times New Roman"/>
                <w:sz w:val="20"/>
                <w:szCs w:val="20"/>
              </w:rPr>
            </w:pPr>
            <w:r w:rsidRPr="0043132E">
              <w:rPr>
                <w:rFonts w:eastAsia="Times New Roman"/>
                <w:sz w:val="20"/>
                <w:szCs w:val="20"/>
              </w:rPr>
              <w:t> </w:t>
            </w:r>
          </w:p>
        </w:tc>
        <w:tc>
          <w:tcPr>
            <w:tcW w:w="1417" w:type="dxa"/>
            <w:vMerge w:val="restart"/>
            <w:shd w:val="clear" w:color="auto" w:fill="auto"/>
            <w:vAlign w:val="center"/>
            <w:hideMark/>
          </w:tcPr>
          <w:p w14:paraId="28EF55B2" w14:textId="77777777" w:rsidR="0023399E" w:rsidRPr="0043132E" w:rsidRDefault="0023399E" w:rsidP="0023399E">
            <w:pPr>
              <w:ind w:left="-57" w:right="-57"/>
              <w:jc w:val="center"/>
              <w:rPr>
                <w:rFonts w:eastAsia="Times New Roman"/>
                <w:sz w:val="20"/>
                <w:szCs w:val="20"/>
              </w:rPr>
            </w:pPr>
            <w:r w:rsidRPr="0043132E">
              <w:rPr>
                <w:rFonts w:eastAsia="Times New Roman"/>
                <w:sz w:val="20"/>
                <w:szCs w:val="20"/>
              </w:rPr>
              <w:t>Фактическая численность сотрудников на конец года</w:t>
            </w:r>
          </w:p>
        </w:tc>
        <w:tc>
          <w:tcPr>
            <w:tcW w:w="3208" w:type="dxa"/>
            <w:gridSpan w:val="3"/>
            <w:shd w:val="clear" w:color="auto" w:fill="auto"/>
            <w:vAlign w:val="center"/>
            <w:hideMark/>
          </w:tcPr>
          <w:p w14:paraId="00B74E8E" w14:textId="77777777" w:rsidR="0023399E" w:rsidRPr="0043132E" w:rsidRDefault="0023399E" w:rsidP="0023399E">
            <w:pPr>
              <w:ind w:left="-57" w:right="-57"/>
              <w:jc w:val="center"/>
              <w:rPr>
                <w:rFonts w:eastAsia="Times New Roman"/>
                <w:sz w:val="20"/>
                <w:szCs w:val="20"/>
              </w:rPr>
            </w:pPr>
            <w:r w:rsidRPr="0043132E">
              <w:rPr>
                <w:rFonts w:eastAsia="Times New Roman"/>
                <w:sz w:val="20"/>
                <w:szCs w:val="20"/>
              </w:rPr>
              <w:t>Количество соглашений о передаче полномочий по ведению учета</w:t>
            </w:r>
          </w:p>
        </w:tc>
        <w:tc>
          <w:tcPr>
            <w:tcW w:w="2746" w:type="dxa"/>
            <w:gridSpan w:val="2"/>
            <w:shd w:val="clear" w:color="auto" w:fill="auto"/>
            <w:vAlign w:val="center"/>
            <w:hideMark/>
          </w:tcPr>
          <w:p w14:paraId="134D5C9B" w14:textId="77777777" w:rsidR="0023399E" w:rsidRPr="0043132E" w:rsidRDefault="0023399E" w:rsidP="00857539">
            <w:pPr>
              <w:jc w:val="center"/>
              <w:rPr>
                <w:rFonts w:eastAsia="Times New Roman"/>
                <w:color w:val="000000"/>
                <w:sz w:val="20"/>
                <w:szCs w:val="20"/>
              </w:rPr>
            </w:pPr>
            <w:r w:rsidRPr="0043132E">
              <w:rPr>
                <w:rFonts w:eastAsia="Times New Roman"/>
                <w:color w:val="000000"/>
                <w:sz w:val="20"/>
                <w:szCs w:val="20"/>
              </w:rPr>
              <w:t xml:space="preserve">Расходы на содержание ГКУ </w:t>
            </w:r>
            <w:r>
              <w:rPr>
                <w:rFonts w:eastAsia="Times New Roman"/>
                <w:color w:val="000000"/>
                <w:sz w:val="20"/>
                <w:szCs w:val="20"/>
              </w:rPr>
              <w:t>«</w:t>
            </w:r>
            <w:r w:rsidRPr="0043132E">
              <w:rPr>
                <w:rFonts w:eastAsia="Times New Roman"/>
                <w:color w:val="000000"/>
                <w:sz w:val="20"/>
                <w:szCs w:val="20"/>
              </w:rPr>
              <w:t>ЦБУ</w:t>
            </w:r>
            <w:r>
              <w:rPr>
                <w:rFonts w:eastAsia="Times New Roman"/>
                <w:color w:val="000000"/>
                <w:sz w:val="20"/>
                <w:szCs w:val="20"/>
              </w:rPr>
              <w:t>», тыс. руб.</w:t>
            </w:r>
          </w:p>
        </w:tc>
      </w:tr>
      <w:tr w:rsidR="0023399E" w:rsidRPr="0043132E" w14:paraId="6A18635E" w14:textId="77777777" w:rsidTr="0023399E">
        <w:trPr>
          <w:trHeight w:val="20"/>
        </w:trPr>
        <w:tc>
          <w:tcPr>
            <w:tcW w:w="1970" w:type="dxa"/>
            <w:gridSpan w:val="2"/>
            <w:vMerge/>
            <w:tcBorders>
              <w:bottom w:val="double" w:sz="4" w:space="0" w:color="auto"/>
            </w:tcBorders>
            <w:shd w:val="clear" w:color="auto" w:fill="auto"/>
            <w:vAlign w:val="center"/>
            <w:hideMark/>
          </w:tcPr>
          <w:p w14:paraId="33ADC11A" w14:textId="77777777" w:rsidR="0023399E" w:rsidRPr="0043132E" w:rsidRDefault="0023399E" w:rsidP="00857539">
            <w:pPr>
              <w:jc w:val="center"/>
              <w:rPr>
                <w:rFonts w:eastAsia="Times New Roman"/>
                <w:sz w:val="20"/>
                <w:szCs w:val="20"/>
              </w:rPr>
            </w:pPr>
          </w:p>
        </w:tc>
        <w:tc>
          <w:tcPr>
            <w:tcW w:w="1417" w:type="dxa"/>
            <w:vMerge/>
            <w:tcBorders>
              <w:bottom w:val="double" w:sz="4" w:space="0" w:color="auto"/>
            </w:tcBorders>
            <w:shd w:val="clear" w:color="auto" w:fill="auto"/>
            <w:vAlign w:val="center"/>
            <w:hideMark/>
          </w:tcPr>
          <w:p w14:paraId="2BD5CC4A" w14:textId="77777777" w:rsidR="0023399E" w:rsidRPr="0043132E" w:rsidRDefault="0023399E" w:rsidP="00857539">
            <w:pPr>
              <w:rPr>
                <w:rFonts w:eastAsia="Times New Roman"/>
                <w:sz w:val="20"/>
                <w:szCs w:val="20"/>
              </w:rPr>
            </w:pPr>
          </w:p>
        </w:tc>
        <w:tc>
          <w:tcPr>
            <w:tcW w:w="1081" w:type="dxa"/>
            <w:tcBorders>
              <w:bottom w:val="double" w:sz="4" w:space="0" w:color="auto"/>
            </w:tcBorders>
            <w:shd w:val="clear" w:color="auto" w:fill="auto"/>
            <w:vAlign w:val="center"/>
            <w:hideMark/>
          </w:tcPr>
          <w:p w14:paraId="440AF9CD" w14:textId="77777777" w:rsidR="0023399E" w:rsidRPr="0043132E" w:rsidRDefault="0023399E" w:rsidP="00857539">
            <w:pPr>
              <w:jc w:val="center"/>
              <w:rPr>
                <w:rFonts w:eastAsia="Times New Roman"/>
                <w:sz w:val="20"/>
                <w:szCs w:val="20"/>
              </w:rPr>
            </w:pPr>
            <w:r w:rsidRPr="0043132E">
              <w:rPr>
                <w:rFonts w:eastAsia="Times New Roman"/>
                <w:sz w:val="20"/>
                <w:szCs w:val="20"/>
              </w:rPr>
              <w:t>всего</w:t>
            </w:r>
          </w:p>
        </w:tc>
        <w:tc>
          <w:tcPr>
            <w:tcW w:w="1134" w:type="dxa"/>
            <w:tcBorders>
              <w:bottom w:val="double" w:sz="4" w:space="0" w:color="auto"/>
            </w:tcBorders>
            <w:shd w:val="clear" w:color="auto" w:fill="auto"/>
            <w:vAlign w:val="center"/>
            <w:hideMark/>
          </w:tcPr>
          <w:p w14:paraId="741E1788"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ОИВ</w:t>
            </w:r>
          </w:p>
        </w:tc>
        <w:tc>
          <w:tcPr>
            <w:tcW w:w="993" w:type="dxa"/>
            <w:tcBorders>
              <w:bottom w:val="double" w:sz="4" w:space="0" w:color="auto"/>
            </w:tcBorders>
            <w:shd w:val="clear" w:color="auto" w:fill="auto"/>
            <w:vAlign w:val="center"/>
            <w:hideMark/>
          </w:tcPr>
          <w:p w14:paraId="4179ADB3"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ГКУ</w:t>
            </w:r>
          </w:p>
        </w:tc>
        <w:tc>
          <w:tcPr>
            <w:tcW w:w="992" w:type="dxa"/>
            <w:tcBorders>
              <w:bottom w:val="double" w:sz="4" w:space="0" w:color="auto"/>
            </w:tcBorders>
            <w:shd w:val="clear" w:color="auto" w:fill="auto"/>
            <w:vAlign w:val="center"/>
            <w:hideMark/>
          </w:tcPr>
          <w:p w14:paraId="74097814" w14:textId="77777777" w:rsidR="0023399E" w:rsidRPr="0043132E" w:rsidRDefault="0023399E" w:rsidP="00857539">
            <w:pPr>
              <w:jc w:val="center"/>
              <w:rPr>
                <w:rFonts w:eastAsia="Times New Roman"/>
                <w:color w:val="000000"/>
                <w:sz w:val="20"/>
                <w:szCs w:val="20"/>
              </w:rPr>
            </w:pPr>
            <w:r w:rsidRPr="0043132E">
              <w:rPr>
                <w:rFonts w:eastAsia="Times New Roman"/>
                <w:color w:val="000000"/>
                <w:sz w:val="20"/>
                <w:szCs w:val="20"/>
              </w:rPr>
              <w:t>всего</w:t>
            </w:r>
          </w:p>
        </w:tc>
        <w:tc>
          <w:tcPr>
            <w:tcW w:w="1754" w:type="dxa"/>
            <w:tcBorders>
              <w:bottom w:val="double" w:sz="4" w:space="0" w:color="auto"/>
            </w:tcBorders>
            <w:shd w:val="clear" w:color="auto" w:fill="auto"/>
            <w:vAlign w:val="center"/>
            <w:hideMark/>
          </w:tcPr>
          <w:p w14:paraId="7C078BE3" w14:textId="7B833B9E" w:rsidR="0023399E" w:rsidRDefault="0023399E" w:rsidP="0023399E">
            <w:pPr>
              <w:ind w:left="-57" w:right="-57"/>
              <w:jc w:val="center"/>
              <w:rPr>
                <w:rFonts w:eastAsia="Times New Roman"/>
                <w:color w:val="000000"/>
                <w:sz w:val="20"/>
                <w:szCs w:val="20"/>
              </w:rPr>
            </w:pPr>
            <w:r w:rsidRPr="0043132E">
              <w:rPr>
                <w:rFonts w:eastAsia="Times New Roman"/>
                <w:color w:val="000000"/>
                <w:sz w:val="20"/>
                <w:szCs w:val="20"/>
              </w:rPr>
              <w:t>в т.ч.</w:t>
            </w:r>
            <w:r>
              <w:rPr>
                <w:rFonts w:eastAsia="Times New Roman"/>
                <w:color w:val="000000"/>
                <w:sz w:val="20"/>
                <w:szCs w:val="20"/>
              </w:rPr>
              <w:t xml:space="preserve"> </w:t>
            </w:r>
            <w:r w:rsidRPr="0043132E">
              <w:rPr>
                <w:rFonts w:eastAsia="Times New Roman"/>
                <w:color w:val="000000"/>
                <w:sz w:val="20"/>
                <w:szCs w:val="20"/>
              </w:rPr>
              <w:t>оплата труда</w:t>
            </w:r>
            <w:r>
              <w:rPr>
                <w:rFonts w:eastAsia="Times New Roman"/>
                <w:color w:val="000000"/>
                <w:sz w:val="20"/>
                <w:szCs w:val="20"/>
              </w:rPr>
              <w:t xml:space="preserve"> </w:t>
            </w:r>
          </w:p>
          <w:p w14:paraId="6D297272" w14:textId="730AAFCF" w:rsidR="0023399E" w:rsidRPr="0043132E" w:rsidRDefault="0023399E" w:rsidP="0023399E">
            <w:pPr>
              <w:ind w:left="-57" w:right="-57"/>
              <w:jc w:val="center"/>
              <w:rPr>
                <w:rFonts w:eastAsia="Times New Roman"/>
                <w:color w:val="000000"/>
                <w:sz w:val="20"/>
                <w:szCs w:val="20"/>
              </w:rPr>
            </w:pPr>
            <w:r>
              <w:rPr>
                <w:rFonts w:eastAsia="Times New Roman"/>
                <w:color w:val="000000"/>
                <w:sz w:val="20"/>
                <w:szCs w:val="20"/>
              </w:rPr>
              <w:t>с начислениями</w:t>
            </w:r>
          </w:p>
        </w:tc>
      </w:tr>
      <w:tr w:rsidR="0023399E" w:rsidRPr="0043132E" w14:paraId="76A5B0E5" w14:textId="77777777" w:rsidTr="0023399E">
        <w:trPr>
          <w:trHeight w:val="20"/>
        </w:trPr>
        <w:tc>
          <w:tcPr>
            <w:tcW w:w="1970" w:type="dxa"/>
            <w:gridSpan w:val="2"/>
            <w:tcBorders>
              <w:top w:val="double" w:sz="4" w:space="0" w:color="auto"/>
            </w:tcBorders>
            <w:shd w:val="clear" w:color="auto" w:fill="auto"/>
            <w:noWrap/>
            <w:vAlign w:val="center"/>
            <w:hideMark/>
          </w:tcPr>
          <w:p w14:paraId="44A8F2FA" w14:textId="77777777" w:rsidR="0023399E" w:rsidRPr="0043132E" w:rsidRDefault="0023399E" w:rsidP="00857539">
            <w:pPr>
              <w:rPr>
                <w:rFonts w:eastAsia="Times New Roman"/>
                <w:sz w:val="20"/>
                <w:szCs w:val="20"/>
              </w:rPr>
            </w:pPr>
            <w:r w:rsidRPr="0043132E">
              <w:rPr>
                <w:rFonts w:eastAsia="Times New Roman"/>
                <w:sz w:val="20"/>
                <w:szCs w:val="20"/>
              </w:rPr>
              <w:t>2015</w:t>
            </w:r>
            <w:r>
              <w:rPr>
                <w:rFonts w:eastAsia="Times New Roman"/>
                <w:sz w:val="20"/>
                <w:szCs w:val="20"/>
              </w:rPr>
              <w:t xml:space="preserve"> год</w:t>
            </w:r>
          </w:p>
        </w:tc>
        <w:tc>
          <w:tcPr>
            <w:tcW w:w="1417" w:type="dxa"/>
            <w:tcBorders>
              <w:top w:val="double" w:sz="4" w:space="0" w:color="auto"/>
            </w:tcBorders>
            <w:shd w:val="clear" w:color="auto" w:fill="auto"/>
            <w:noWrap/>
            <w:vAlign w:val="center"/>
            <w:hideMark/>
          </w:tcPr>
          <w:p w14:paraId="207E34E4" w14:textId="77777777" w:rsidR="0023399E" w:rsidRPr="0043132E" w:rsidRDefault="0023399E" w:rsidP="00857539">
            <w:pPr>
              <w:jc w:val="center"/>
              <w:rPr>
                <w:rFonts w:eastAsia="Times New Roman"/>
                <w:sz w:val="20"/>
                <w:szCs w:val="20"/>
              </w:rPr>
            </w:pPr>
            <w:r w:rsidRPr="0043132E">
              <w:rPr>
                <w:rFonts w:eastAsia="Times New Roman"/>
                <w:sz w:val="20"/>
                <w:szCs w:val="20"/>
              </w:rPr>
              <w:t>22</w:t>
            </w:r>
          </w:p>
        </w:tc>
        <w:tc>
          <w:tcPr>
            <w:tcW w:w="1081" w:type="dxa"/>
            <w:tcBorders>
              <w:top w:val="double" w:sz="4" w:space="0" w:color="auto"/>
            </w:tcBorders>
            <w:shd w:val="clear" w:color="auto" w:fill="auto"/>
            <w:noWrap/>
            <w:vAlign w:val="center"/>
            <w:hideMark/>
          </w:tcPr>
          <w:p w14:paraId="24BFE107" w14:textId="77777777" w:rsidR="0023399E" w:rsidRPr="0043132E" w:rsidRDefault="0023399E" w:rsidP="00857539">
            <w:pPr>
              <w:jc w:val="center"/>
              <w:rPr>
                <w:rFonts w:eastAsia="Times New Roman"/>
                <w:sz w:val="20"/>
                <w:szCs w:val="20"/>
              </w:rPr>
            </w:pPr>
            <w:r w:rsidRPr="0043132E">
              <w:rPr>
                <w:rFonts w:eastAsia="Times New Roman"/>
                <w:sz w:val="20"/>
                <w:szCs w:val="20"/>
              </w:rPr>
              <w:t>10</w:t>
            </w:r>
          </w:p>
        </w:tc>
        <w:tc>
          <w:tcPr>
            <w:tcW w:w="1134" w:type="dxa"/>
            <w:tcBorders>
              <w:top w:val="double" w:sz="4" w:space="0" w:color="auto"/>
            </w:tcBorders>
            <w:shd w:val="clear" w:color="auto" w:fill="auto"/>
            <w:noWrap/>
            <w:vAlign w:val="center"/>
            <w:hideMark/>
          </w:tcPr>
          <w:p w14:paraId="702886FB"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10</w:t>
            </w:r>
          </w:p>
        </w:tc>
        <w:tc>
          <w:tcPr>
            <w:tcW w:w="993" w:type="dxa"/>
            <w:tcBorders>
              <w:top w:val="double" w:sz="4" w:space="0" w:color="auto"/>
            </w:tcBorders>
            <w:shd w:val="clear" w:color="auto" w:fill="auto"/>
            <w:noWrap/>
            <w:vAlign w:val="center"/>
            <w:hideMark/>
          </w:tcPr>
          <w:p w14:paraId="5DCF4949"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0</w:t>
            </w:r>
          </w:p>
        </w:tc>
        <w:tc>
          <w:tcPr>
            <w:tcW w:w="992" w:type="dxa"/>
            <w:tcBorders>
              <w:top w:val="double" w:sz="4" w:space="0" w:color="auto"/>
            </w:tcBorders>
            <w:shd w:val="clear" w:color="auto" w:fill="auto"/>
            <w:noWrap/>
            <w:vAlign w:val="bottom"/>
            <w:hideMark/>
          </w:tcPr>
          <w:p w14:paraId="743B6A54"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16</w:t>
            </w:r>
            <w:r>
              <w:rPr>
                <w:rFonts w:eastAsia="Times New Roman"/>
                <w:color w:val="000000"/>
                <w:sz w:val="20"/>
                <w:szCs w:val="20"/>
              </w:rPr>
              <w:t xml:space="preserve"> </w:t>
            </w:r>
            <w:r w:rsidRPr="0043132E">
              <w:rPr>
                <w:rFonts w:eastAsia="Times New Roman"/>
                <w:color w:val="000000"/>
                <w:sz w:val="20"/>
                <w:szCs w:val="20"/>
              </w:rPr>
              <w:t>481,7</w:t>
            </w:r>
          </w:p>
        </w:tc>
        <w:tc>
          <w:tcPr>
            <w:tcW w:w="1754" w:type="dxa"/>
            <w:tcBorders>
              <w:top w:val="double" w:sz="4" w:space="0" w:color="auto"/>
            </w:tcBorders>
            <w:shd w:val="clear" w:color="auto" w:fill="auto"/>
            <w:noWrap/>
            <w:vAlign w:val="bottom"/>
            <w:hideMark/>
          </w:tcPr>
          <w:p w14:paraId="266B1F8A"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7</w:t>
            </w:r>
            <w:r>
              <w:rPr>
                <w:rFonts w:eastAsia="Times New Roman"/>
                <w:color w:val="000000"/>
                <w:sz w:val="20"/>
                <w:szCs w:val="20"/>
              </w:rPr>
              <w:t xml:space="preserve"> </w:t>
            </w:r>
            <w:r w:rsidRPr="0043132E">
              <w:rPr>
                <w:rFonts w:eastAsia="Times New Roman"/>
                <w:color w:val="000000"/>
                <w:sz w:val="20"/>
                <w:szCs w:val="20"/>
              </w:rPr>
              <w:t>091,7</w:t>
            </w:r>
          </w:p>
        </w:tc>
      </w:tr>
      <w:tr w:rsidR="0023399E" w:rsidRPr="0043132E" w14:paraId="7F03A1AF" w14:textId="77777777" w:rsidTr="0023399E">
        <w:trPr>
          <w:trHeight w:val="20"/>
        </w:trPr>
        <w:tc>
          <w:tcPr>
            <w:tcW w:w="1970" w:type="dxa"/>
            <w:gridSpan w:val="2"/>
            <w:shd w:val="clear" w:color="auto" w:fill="auto"/>
            <w:noWrap/>
            <w:vAlign w:val="center"/>
            <w:hideMark/>
          </w:tcPr>
          <w:p w14:paraId="4D803122" w14:textId="77777777" w:rsidR="0023399E" w:rsidRPr="0043132E" w:rsidRDefault="0023399E" w:rsidP="00857539">
            <w:pPr>
              <w:rPr>
                <w:rFonts w:eastAsia="Times New Roman"/>
                <w:sz w:val="20"/>
                <w:szCs w:val="20"/>
              </w:rPr>
            </w:pPr>
            <w:r w:rsidRPr="0043132E">
              <w:rPr>
                <w:rFonts w:eastAsia="Times New Roman"/>
                <w:sz w:val="20"/>
                <w:szCs w:val="20"/>
              </w:rPr>
              <w:t>2016</w:t>
            </w:r>
            <w:r>
              <w:rPr>
                <w:rFonts w:eastAsia="Times New Roman"/>
                <w:sz w:val="20"/>
                <w:szCs w:val="20"/>
              </w:rPr>
              <w:t xml:space="preserve"> год</w:t>
            </w:r>
          </w:p>
        </w:tc>
        <w:tc>
          <w:tcPr>
            <w:tcW w:w="1417" w:type="dxa"/>
            <w:shd w:val="clear" w:color="auto" w:fill="auto"/>
            <w:noWrap/>
            <w:vAlign w:val="center"/>
            <w:hideMark/>
          </w:tcPr>
          <w:p w14:paraId="49E9CD94" w14:textId="77777777" w:rsidR="0023399E" w:rsidRPr="0043132E" w:rsidRDefault="0023399E" w:rsidP="00857539">
            <w:pPr>
              <w:jc w:val="center"/>
              <w:rPr>
                <w:rFonts w:eastAsia="Times New Roman"/>
                <w:sz w:val="20"/>
                <w:szCs w:val="20"/>
              </w:rPr>
            </w:pPr>
            <w:r w:rsidRPr="0043132E">
              <w:rPr>
                <w:rFonts w:eastAsia="Times New Roman"/>
                <w:sz w:val="20"/>
                <w:szCs w:val="20"/>
              </w:rPr>
              <w:t>37</w:t>
            </w:r>
          </w:p>
        </w:tc>
        <w:tc>
          <w:tcPr>
            <w:tcW w:w="1081" w:type="dxa"/>
            <w:shd w:val="clear" w:color="auto" w:fill="auto"/>
            <w:noWrap/>
            <w:vAlign w:val="center"/>
            <w:hideMark/>
          </w:tcPr>
          <w:p w14:paraId="298073A5" w14:textId="77777777" w:rsidR="0023399E" w:rsidRPr="0043132E" w:rsidRDefault="0023399E" w:rsidP="00857539">
            <w:pPr>
              <w:jc w:val="center"/>
              <w:rPr>
                <w:rFonts w:eastAsia="Times New Roman"/>
                <w:sz w:val="20"/>
                <w:szCs w:val="20"/>
              </w:rPr>
            </w:pPr>
            <w:r w:rsidRPr="0043132E">
              <w:rPr>
                <w:rFonts w:eastAsia="Times New Roman"/>
                <w:sz w:val="20"/>
                <w:szCs w:val="20"/>
              </w:rPr>
              <w:t>10</w:t>
            </w:r>
          </w:p>
        </w:tc>
        <w:tc>
          <w:tcPr>
            <w:tcW w:w="1134" w:type="dxa"/>
            <w:shd w:val="clear" w:color="auto" w:fill="auto"/>
            <w:noWrap/>
            <w:vAlign w:val="center"/>
            <w:hideMark/>
          </w:tcPr>
          <w:p w14:paraId="3FE1425B"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10</w:t>
            </w:r>
          </w:p>
        </w:tc>
        <w:tc>
          <w:tcPr>
            <w:tcW w:w="993" w:type="dxa"/>
            <w:shd w:val="clear" w:color="auto" w:fill="auto"/>
            <w:noWrap/>
            <w:vAlign w:val="center"/>
            <w:hideMark/>
          </w:tcPr>
          <w:p w14:paraId="3FBB667D"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0</w:t>
            </w:r>
          </w:p>
        </w:tc>
        <w:tc>
          <w:tcPr>
            <w:tcW w:w="992" w:type="dxa"/>
            <w:shd w:val="clear" w:color="auto" w:fill="auto"/>
            <w:noWrap/>
            <w:vAlign w:val="bottom"/>
            <w:hideMark/>
          </w:tcPr>
          <w:p w14:paraId="1357A38D"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25</w:t>
            </w:r>
            <w:r>
              <w:rPr>
                <w:rFonts w:eastAsia="Times New Roman"/>
                <w:color w:val="000000"/>
                <w:sz w:val="20"/>
                <w:szCs w:val="20"/>
              </w:rPr>
              <w:t xml:space="preserve"> </w:t>
            </w:r>
            <w:r w:rsidRPr="0043132E">
              <w:rPr>
                <w:rFonts w:eastAsia="Times New Roman"/>
                <w:color w:val="000000"/>
                <w:sz w:val="20"/>
                <w:szCs w:val="20"/>
              </w:rPr>
              <w:t>185,2</w:t>
            </w:r>
          </w:p>
        </w:tc>
        <w:tc>
          <w:tcPr>
            <w:tcW w:w="1754" w:type="dxa"/>
            <w:shd w:val="clear" w:color="auto" w:fill="auto"/>
            <w:noWrap/>
            <w:vAlign w:val="bottom"/>
            <w:hideMark/>
          </w:tcPr>
          <w:p w14:paraId="242A1F68"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18</w:t>
            </w:r>
            <w:r>
              <w:rPr>
                <w:rFonts w:eastAsia="Times New Roman"/>
                <w:color w:val="000000"/>
                <w:sz w:val="20"/>
                <w:szCs w:val="20"/>
              </w:rPr>
              <w:t xml:space="preserve"> </w:t>
            </w:r>
            <w:r w:rsidRPr="0043132E">
              <w:rPr>
                <w:rFonts w:eastAsia="Times New Roman"/>
                <w:color w:val="000000"/>
                <w:sz w:val="20"/>
                <w:szCs w:val="20"/>
              </w:rPr>
              <w:t>944,5</w:t>
            </w:r>
          </w:p>
        </w:tc>
      </w:tr>
      <w:tr w:rsidR="0023399E" w:rsidRPr="0043132E" w14:paraId="4B5DF093" w14:textId="77777777" w:rsidTr="0023399E">
        <w:trPr>
          <w:trHeight w:val="20"/>
        </w:trPr>
        <w:tc>
          <w:tcPr>
            <w:tcW w:w="1970" w:type="dxa"/>
            <w:gridSpan w:val="2"/>
            <w:shd w:val="clear" w:color="auto" w:fill="auto"/>
            <w:noWrap/>
            <w:vAlign w:val="center"/>
            <w:hideMark/>
          </w:tcPr>
          <w:p w14:paraId="495EACA9" w14:textId="77777777" w:rsidR="0023399E" w:rsidRPr="0043132E" w:rsidRDefault="0023399E" w:rsidP="00857539">
            <w:pPr>
              <w:rPr>
                <w:rFonts w:eastAsia="Times New Roman"/>
                <w:sz w:val="20"/>
                <w:szCs w:val="20"/>
              </w:rPr>
            </w:pPr>
            <w:r w:rsidRPr="0043132E">
              <w:rPr>
                <w:rFonts w:eastAsia="Times New Roman"/>
                <w:sz w:val="20"/>
                <w:szCs w:val="20"/>
              </w:rPr>
              <w:t>2017</w:t>
            </w:r>
            <w:r>
              <w:rPr>
                <w:rFonts w:eastAsia="Times New Roman"/>
                <w:sz w:val="20"/>
                <w:szCs w:val="20"/>
              </w:rPr>
              <w:t xml:space="preserve"> год</w:t>
            </w:r>
          </w:p>
        </w:tc>
        <w:tc>
          <w:tcPr>
            <w:tcW w:w="1417" w:type="dxa"/>
            <w:shd w:val="clear" w:color="auto" w:fill="auto"/>
            <w:noWrap/>
            <w:vAlign w:val="center"/>
            <w:hideMark/>
          </w:tcPr>
          <w:p w14:paraId="5012B36C" w14:textId="77777777" w:rsidR="0023399E" w:rsidRPr="0043132E" w:rsidRDefault="0023399E" w:rsidP="00857539">
            <w:pPr>
              <w:jc w:val="center"/>
              <w:rPr>
                <w:rFonts w:eastAsia="Times New Roman"/>
                <w:sz w:val="20"/>
                <w:szCs w:val="20"/>
              </w:rPr>
            </w:pPr>
            <w:r w:rsidRPr="0043132E">
              <w:rPr>
                <w:rFonts w:eastAsia="Times New Roman"/>
                <w:sz w:val="20"/>
                <w:szCs w:val="20"/>
              </w:rPr>
              <w:t>49</w:t>
            </w:r>
          </w:p>
        </w:tc>
        <w:tc>
          <w:tcPr>
            <w:tcW w:w="1081" w:type="dxa"/>
            <w:shd w:val="clear" w:color="auto" w:fill="auto"/>
            <w:noWrap/>
            <w:vAlign w:val="center"/>
            <w:hideMark/>
          </w:tcPr>
          <w:p w14:paraId="787A22E1" w14:textId="77777777" w:rsidR="0023399E" w:rsidRPr="0043132E" w:rsidRDefault="0023399E" w:rsidP="00857539">
            <w:pPr>
              <w:jc w:val="center"/>
              <w:rPr>
                <w:rFonts w:eastAsia="Times New Roman"/>
                <w:sz w:val="20"/>
                <w:szCs w:val="20"/>
              </w:rPr>
            </w:pPr>
            <w:r w:rsidRPr="0043132E">
              <w:rPr>
                <w:rFonts w:eastAsia="Times New Roman"/>
                <w:sz w:val="20"/>
                <w:szCs w:val="20"/>
              </w:rPr>
              <w:t>18</w:t>
            </w:r>
          </w:p>
        </w:tc>
        <w:tc>
          <w:tcPr>
            <w:tcW w:w="1134" w:type="dxa"/>
            <w:shd w:val="clear" w:color="auto" w:fill="auto"/>
            <w:noWrap/>
            <w:vAlign w:val="center"/>
            <w:hideMark/>
          </w:tcPr>
          <w:p w14:paraId="0098FA1E"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10</w:t>
            </w:r>
          </w:p>
        </w:tc>
        <w:tc>
          <w:tcPr>
            <w:tcW w:w="993" w:type="dxa"/>
            <w:shd w:val="clear" w:color="auto" w:fill="auto"/>
            <w:noWrap/>
            <w:vAlign w:val="center"/>
            <w:hideMark/>
          </w:tcPr>
          <w:p w14:paraId="07C0056D"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8</w:t>
            </w:r>
          </w:p>
        </w:tc>
        <w:tc>
          <w:tcPr>
            <w:tcW w:w="992" w:type="dxa"/>
            <w:shd w:val="clear" w:color="auto" w:fill="auto"/>
            <w:noWrap/>
            <w:vAlign w:val="bottom"/>
            <w:hideMark/>
          </w:tcPr>
          <w:p w14:paraId="6C9CE6BC"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29</w:t>
            </w:r>
            <w:r>
              <w:rPr>
                <w:rFonts w:eastAsia="Times New Roman"/>
                <w:color w:val="000000"/>
                <w:sz w:val="20"/>
                <w:szCs w:val="20"/>
              </w:rPr>
              <w:t xml:space="preserve"> </w:t>
            </w:r>
            <w:r w:rsidRPr="0043132E">
              <w:rPr>
                <w:rFonts w:eastAsia="Times New Roman"/>
                <w:color w:val="000000"/>
                <w:sz w:val="20"/>
                <w:szCs w:val="20"/>
              </w:rPr>
              <w:t>742,5</w:t>
            </w:r>
          </w:p>
        </w:tc>
        <w:tc>
          <w:tcPr>
            <w:tcW w:w="1754" w:type="dxa"/>
            <w:shd w:val="clear" w:color="auto" w:fill="auto"/>
            <w:noWrap/>
            <w:vAlign w:val="bottom"/>
            <w:hideMark/>
          </w:tcPr>
          <w:p w14:paraId="5A4CB238"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28</w:t>
            </w:r>
            <w:r>
              <w:rPr>
                <w:rFonts w:eastAsia="Times New Roman"/>
                <w:color w:val="000000"/>
                <w:sz w:val="20"/>
                <w:szCs w:val="20"/>
              </w:rPr>
              <w:t xml:space="preserve"> </w:t>
            </w:r>
            <w:r w:rsidRPr="0043132E">
              <w:rPr>
                <w:rFonts w:eastAsia="Times New Roman"/>
                <w:color w:val="000000"/>
                <w:sz w:val="20"/>
                <w:szCs w:val="20"/>
              </w:rPr>
              <w:t>586,9</w:t>
            </w:r>
          </w:p>
        </w:tc>
      </w:tr>
      <w:tr w:rsidR="0023399E" w:rsidRPr="0043132E" w14:paraId="6A68FDFC" w14:textId="77777777" w:rsidTr="0023399E">
        <w:trPr>
          <w:trHeight w:val="20"/>
        </w:trPr>
        <w:tc>
          <w:tcPr>
            <w:tcW w:w="1970" w:type="dxa"/>
            <w:gridSpan w:val="2"/>
            <w:shd w:val="clear" w:color="auto" w:fill="auto"/>
            <w:noWrap/>
            <w:vAlign w:val="center"/>
            <w:hideMark/>
          </w:tcPr>
          <w:p w14:paraId="6DE31642" w14:textId="77777777" w:rsidR="0023399E" w:rsidRPr="0043132E" w:rsidRDefault="0023399E" w:rsidP="00857539">
            <w:pPr>
              <w:rPr>
                <w:rFonts w:eastAsia="Times New Roman"/>
                <w:sz w:val="20"/>
                <w:szCs w:val="20"/>
              </w:rPr>
            </w:pPr>
            <w:r w:rsidRPr="0043132E">
              <w:rPr>
                <w:rFonts w:eastAsia="Times New Roman"/>
                <w:sz w:val="20"/>
                <w:szCs w:val="20"/>
              </w:rPr>
              <w:t>2018</w:t>
            </w:r>
            <w:r>
              <w:rPr>
                <w:rFonts w:eastAsia="Times New Roman"/>
                <w:sz w:val="20"/>
                <w:szCs w:val="20"/>
              </w:rPr>
              <w:t xml:space="preserve"> год</w:t>
            </w:r>
          </w:p>
        </w:tc>
        <w:tc>
          <w:tcPr>
            <w:tcW w:w="1417" w:type="dxa"/>
            <w:shd w:val="clear" w:color="auto" w:fill="auto"/>
            <w:noWrap/>
            <w:vAlign w:val="center"/>
            <w:hideMark/>
          </w:tcPr>
          <w:p w14:paraId="3BD9E088" w14:textId="77777777" w:rsidR="0023399E" w:rsidRPr="0043132E" w:rsidRDefault="0023399E" w:rsidP="00857539">
            <w:pPr>
              <w:jc w:val="center"/>
              <w:rPr>
                <w:rFonts w:eastAsia="Times New Roman"/>
                <w:sz w:val="20"/>
                <w:szCs w:val="20"/>
              </w:rPr>
            </w:pPr>
            <w:r w:rsidRPr="0043132E">
              <w:rPr>
                <w:rFonts w:eastAsia="Times New Roman"/>
                <w:sz w:val="20"/>
                <w:szCs w:val="20"/>
              </w:rPr>
              <w:t>51</w:t>
            </w:r>
          </w:p>
        </w:tc>
        <w:tc>
          <w:tcPr>
            <w:tcW w:w="1081" w:type="dxa"/>
            <w:shd w:val="clear" w:color="auto" w:fill="auto"/>
            <w:noWrap/>
            <w:vAlign w:val="center"/>
            <w:hideMark/>
          </w:tcPr>
          <w:p w14:paraId="3087934E" w14:textId="77777777" w:rsidR="0023399E" w:rsidRPr="0043132E" w:rsidRDefault="0023399E" w:rsidP="00857539">
            <w:pPr>
              <w:jc w:val="center"/>
              <w:rPr>
                <w:rFonts w:eastAsia="Times New Roman"/>
                <w:sz w:val="20"/>
                <w:szCs w:val="20"/>
              </w:rPr>
            </w:pPr>
            <w:r w:rsidRPr="0043132E">
              <w:rPr>
                <w:rFonts w:eastAsia="Times New Roman"/>
                <w:sz w:val="20"/>
                <w:szCs w:val="20"/>
              </w:rPr>
              <w:t>18</w:t>
            </w:r>
          </w:p>
        </w:tc>
        <w:tc>
          <w:tcPr>
            <w:tcW w:w="1134" w:type="dxa"/>
            <w:shd w:val="clear" w:color="auto" w:fill="auto"/>
            <w:noWrap/>
            <w:vAlign w:val="center"/>
            <w:hideMark/>
          </w:tcPr>
          <w:p w14:paraId="5C2ADF44"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16</w:t>
            </w:r>
          </w:p>
        </w:tc>
        <w:tc>
          <w:tcPr>
            <w:tcW w:w="993" w:type="dxa"/>
            <w:shd w:val="clear" w:color="auto" w:fill="auto"/>
            <w:noWrap/>
            <w:vAlign w:val="center"/>
            <w:hideMark/>
          </w:tcPr>
          <w:p w14:paraId="73C41BED"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2</w:t>
            </w:r>
          </w:p>
        </w:tc>
        <w:tc>
          <w:tcPr>
            <w:tcW w:w="992" w:type="dxa"/>
            <w:shd w:val="clear" w:color="auto" w:fill="auto"/>
            <w:noWrap/>
            <w:vAlign w:val="bottom"/>
            <w:hideMark/>
          </w:tcPr>
          <w:p w14:paraId="45704656"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39</w:t>
            </w:r>
            <w:r>
              <w:rPr>
                <w:rFonts w:eastAsia="Times New Roman"/>
                <w:color w:val="000000"/>
                <w:sz w:val="20"/>
                <w:szCs w:val="20"/>
              </w:rPr>
              <w:t xml:space="preserve"> </w:t>
            </w:r>
            <w:r w:rsidRPr="0043132E">
              <w:rPr>
                <w:rFonts w:eastAsia="Times New Roman"/>
                <w:color w:val="000000"/>
                <w:sz w:val="20"/>
                <w:szCs w:val="20"/>
              </w:rPr>
              <w:t>225,9</w:t>
            </w:r>
          </w:p>
        </w:tc>
        <w:tc>
          <w:tcPr>
            <w:tcW w:w="1754" w:type="dxa"/>
            <w:shd w:val="clear" w:color="auto" w:fill="auto"/>
            <w:noWrap/>
            <w:vAlign w:val="bottom"/>
            <w:hideMark/>
          </w:tcPr>
          <w:p w14:paraId="7F47392A"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34</w:t>
            </w:r>
            <w:r>
              <w:rPr>
                <w:rFonts w:eastAsia="Times New Roman"/>
                <w:color w:val="000000"/>
                <w:sz w:val="20"/>
                <w:szCs w:val="20"/>
              </w:rPr>
              <w:t xml:space="preserve"> </w:t>
            </w:r>
            <w:r w:rsidRPr="0043132E">
              <w:rPr>
                <w:rFonts w:eastAsia="Times New Roman"/>
                <w:color w:val="000000"/>
                <w:sz w:val="20"/>
                <w:szCs w:val="20"/>
              </w:rPr>
              <w:t>543,4</w:t>
            </w:r>
          </w:p>
        </w:tc>
      </w:tr>
      <w:tr w:rsidR="0023399E" w:rsidRPr="0043132E" w14:paraId="57A918E5" w14:textId="77777777" w:rsidTr="0023399E">
        <w:trPr>
          <w:trHeight w:val="20"/>
        </w:trPr>
        <w:tc>
          <w:tcPr>
            <w:tcW w:w="1970" w:type="dxa"/>
            <w:gridSpan w:val="2"/>
            <w:shd w:val="clear" w:color="auto" w:fill="auto"/>
            <w:noWrap/>
            <w:vAlign w:val="center"/>
            <w:hideMark/>
          </w:tcPr>
          <w:p w14:paraId="58E4A4F5" w14:textId="77777777" w:rsidR="0023399E" w:rsidRPr="0043132E" w:rsidRDefault="0023399E" w:rsidP="00857539">
            <w:pPr>
              <w:rPr>
                <w:rFonts w:eastAsia="Times New Roman"/>
                <w:sz w:val="20"/>
                <w:szCs w:val="20"/>
              </w:rPr>
            </w:pPr>
            <w:r w:rsidRPr="0043132E">
              <w:rPr>
                <w:rFonts w:eastAsia="Times New Roman"/>
                <w:sz w:val="20"/>
                <w:szCs w:val="20"/>
              </w:rPr>
              <w:t>2019</w:t>
            </w:r>
            <w:r>
              <w:rPr>
                <w:rFonts w:eastAsia="Times New Roman"/>
                <w:sz w:val="20"/>
                <w:szCs w:val="20"/>
              </w:rPr>
              <w:t xml:space="preserve"> год</w:t>
            </w:r>
          </w:p>
        </w:tc>
        <w:tc>
          <w:tcPr>
            <w:tcW w:w="1417" w:type="dxa"/>
            <w:shd w:val="clear" w:color="auto" w:fill="auto"/>
            <w:noWrap/>
            <w:vAlign w:val="center"/>
            <w:hideMark/>
          </w:tcPr>
          <w:p w14:paraId="569920DF" w14:textId="77777777" w:rsidR="0023399E" w:rsidRPr="0043132E" w:rsidRDefault="0023399E" w:rsidP="00857539">
            <w:pPr>
              <w:jc w:val="center"/>
              <w:rPr>
                <w:rFonts w:eastAsia="Times New Roman"/>
                <w:sz w:val="20"/>
                <w:szCs w:val="20"/>
              </w:rPr>
            </w:pPr>
            <w:r w:rsidRPr="0043132E">
              <w:rPr>
                <w:rFonts w:eastAsia="Times New Roman"/>
                <w:sz w:val="20"/>
                <w:szCs w:val="20"/>
              </w:rPr>
              <w:t>53</w:t>
            </w:r>
          </w:p>
        </w:tc>
        <w:tc>
          <w:tcPr>
            <w:tcW w:w="1081" w:type="dxa"/>
            <w:shd w:val="clear" w:color="auto" w:fill="auto"/>
            <w:noWrap/>
            <w:vAlign w:val="center"/>
            <w:hideMark/>
          </w:tcPr>
          <w:p w14:paraId="4B8EEAFF" w14:textId="77777777" w:rsidR="0023399E" w:rsidRPr="0043132E" w:rsidRDefault="0023399E" w:rsidP="00857539">
            <w:pPr>
              <w:jc w:val="center"/>
              <w:rPr>
                <w:rFonts w:eastAsia="Times New Roman"/>
                <w:sz w:val="20"/>
                <w:szCs w:val="20"/>
              </w:rPr>
            </w:pPr>
            <w:r w:rsidRPr="0043132E">
              <w:rPr>
                <w:rFonts w:eastAsia="Times New Roman"/>
                <w:sz w:val="20"/>
                <w:szCs w:val="20"/>
              </w:rPr>
              <w:t>20</w:t>
            </w:r>
          </w:p>
        </w:tc>
        <w:tc>
          <w:tcPr>
            <w:tcW w:w="1134" w:type="dxa"/>
            <w:shd w:val="clear" w:color="auto" w:fill="auto"/>
            <w:noWrap/>
            <w:vAlign w:val="center"/>
            <w:hideMark/>
          </w:tcPr>
          <w:p w14:paraId="44DA0643"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18</w:t>
            </w:r>
          </w:p>
        </w:tc>
        <w:tc>
          <w:tcPr>
            <w:tcW w:w="993" w:type="dxa"/>
            <w:shd w:val="clear" w:color="auto" w:fill="auto"/>
            <w:noWrap/>
            <w:vAlign w:val="center"/>
            <w:hideMark/>
          </w:tcPr>
          <w:p w14:paraId="7B2F1912"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2</w:t>
            </w:r>
          </w:p>
        </w:tc>
        <w:tc>
          <w:tcPr>
            <w:tcW w:w="992" w:type="dxa"/>
            <w:shd w:val="clear" w:color="auto" w:fill="auto"/>
            <w:noWrap/>
            <w:vAlign w:val="bottom"/>
            <w:hideMark/>
          </w:tcPr>
          <w:p w14:paraId="58E1B47C"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38</w:t>
            </w:r>
            <w:r>
              <w:rPr>
                <w:rFonts w:eastAsia="Times New Roman"/>
                <w:color w:val="000000"/>
                <w:sz w:val="20"/>
                <w:szCs w:val="20"/>
              </w:rPr>
              <w:t xml:space="preserve"> </w:t>
            </w:r>
            <w:r w:rsidRPr="0043132E">
              <w:rPr>
                <w:rFonts w:eastAsia="Times New Roman"/>
                <w:color w:val="000000"/>
                <w:sz w:val="20"/>
                <w:szCs w:val="20"/>
              </w:rPr>
              <w:t>196,2</w:t>
            </w:r>
          </w:p>
        </w:tc>
        <w:tc>
          <w:tcPr>
            <w:tcW w:w="1754" w:type="dxa"/>
            <w:shd w:val="clear" w:color="auto" w:fill="auto"/>
            <w:noWrap/>
            <w:vAlign w:val="bottom"/>
            <w:hideMark/>
          </w:tcPr>
          <w:p w14:paraId="65D5D714"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36</w:t>
            </w:r>
            <w:r>
              <w:rPr>
                <w:rFonts w:eastAsia="Times New Roman"/>
                <w:color w:val="000000"/>
                <w:sz w:val="20"/>
                <w:szCs w:val="20"/>
              </w:rPr>
              <w:t xml:space="preserve"> </w:t>
            </w:r>
            <w:r w:rsidRPr="0043132E">
              <w:rPr>
                <w:rFonts w:eastAsia="Times New Roman"/>
                <w:color w:val="000000"/>
                <w:sz w:val="20"/>
                <w:szCs w:val="20"/>
              </w:rPr>
              <w:t>441,6</w:t>
            </w:r>
          </w:p>
        </w:tc>
      </w:tr>
      <w:tr w:rsidR="0023399E" w:rsidRPr="0043132E" w14:paraId="68193A07" w14:textId="77777777" w:rsidTr="0023399E">
        <w:trPr>
          <w:trHeight w:val="20"/>
        </w:trPr>
        <w:tc>
          <w:tcPr>
            <w:tcW w:w="1970" w:type="dxa"/>
            <w:gridSpan w:val="2"/>
            <w:tcBorders>
              <w:bottom w:val="single" w:sz="4" w:space="0" w:color="auto"/>
            </w:tcBorders>
            <w:shd w:val="clear" w:color="auto" w:fill="auto"/>
            <w:noWrap/>
            <w:vAlign w:val="center"/>
            <w:hideMark/>
          </w:tcPr>
          <w:p w14:paraId="0D2CE1FC" w14:textId="77777777" w:rsidR="0023399E" w:rsidRPr="0043132E" w:rsidRDefault="0023399E" w:rsidP="00857539">
            <w:pPr>
              <w:rPr>
                <w:rFonts w:eastAsia="Times New Roman"/>
                <w:sz w:val="20"/>
                <w:szCs w:val="20"/>
              </w:rPr>
            </w:pPr>
            <w:r w:rsidRPr="0043132E">
              <w:rPr>
                <w:rFonts w:eastAsia="Times New Roman"/>
                <w:sz w:val="20"/>
                <w:szCs w:val="20"/>
              </w:rPr>
              <w:t>2020</w:t>
            </w:r>
            <w:r>
              <w:rPr>
                <w:rFonts w:eastAsia="Times New Roman"/>
                <w:sz w:val="20"/>
                <w:szCs w:val="20"/>
              </w:rPr>
              <w:t xml:space="preserve"> год</w:t>
            </w:r>
          </w:p>
        </w:tc>
        <w:tc>
          <w:tcPr>
            <w:tcW w:w="1417" w:type="dxa"/>
            <w:tcBorders>
              <w:bottom w:val="single" w:sz="4" w:space="0" w:color="auto"/>
            </w:tcBorders>
            <w:shd w:val="clear" w:color="auto" w:fill="auto"/>
            <w:noWrap/>
            <w:vAlign w:val="center"/>
            <w:hideMark/>
          </w:tcPr>
          <w:p w14:paraId="0DE63D64" w14:textId="77777777" w:rsidR="0023399E" w:rsidRPr="0043132E" w:rsidRDefault="0023399E" w:rsidP="00857539">
            <w:pPr>
              <w:jc w:val="center"/>
              <w:rPr>
                <w:rFonts w:eastAsia="Times New Roman"/>
                <w:sz w:val="20"/>
                <w:szCs w:val="20"/>
              </w:rPr>
            </w:pPr>
            <w:r w:rsidRPr="0043132E">
              <w:rPr>
                <w:rFonts w:eastAsia="Times New Roman"/>
                <w:sz w:val="20"/>
                <w:szCs w:val="20"/>
              </w:rPr>
              <w:t>54</w:t>
            </w:r>
          </w:p>
        </w:tc>
        <w:tc>
          <w:tcPr>
            <w:tcW w:w="1081" w:type="dxa"/>
            <w:tcBorders>
              <w:bottom w:val="single" w:sz="4" w:space="0" w:color="auto"/>
            </w:tcBorders>
            <w:shd w:val="clear" w:color="auto" w:fill="auto"/>
            <w:noWrap/>
            <w:vAlign w:val="center"/>
            <w:hideMark/>
          </w:tcPr>
          <w:p w14:paraId="54CDEBAF" w14:textId="77777777" w:rsidR="0023399E" w:rsidRPr="0043132E" w:rsidRDefault="0023399E" w:rsidP="00857539">
            <w:pPr>
              <w:jc w:val="center"/>
              <w:rPr>
                <w:rFonts w:eastAsia="Times New Roman"/>
                <w:sz w:val="20"/>
                <w:szCs w:val="20"/>
              </w:rPr>
            </w:pPr>
            <w:r w:rsidRPr="0043132E">
              <w:rPr>
                <w:rFonts w:eastAsia="Times New Roman"/>
                <w:sz w:val="20"/>
                <w:szCs w:val="20"/>
              </w:rPr>
              <w:t>23</w:t>
            </w:r>
          </w:p>
        </w:tc>
        <w:tc>
          <w:tcPr>
            <w:tcW w:w="1134" w:type="dxa"/>
            <w:tcBorders>
              <w:bottom w:val="single" w:sz="4" w:space="0" w:color="auto"/>
            </w:tcBorders>
            <w:shd w:val="clear" w:color="auto" w:fill="auto"/>
            <w:noWrap/>
            <w:vAlign w:val="center"/>
            <w:hideMark/>
          </w:tcPr>
          <w:p w14:paraId="7AD787EA"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18</w:t>
            </w:r>
          </w:p>
        </w:tc>
        <w:tc>
          <w:tcPr>
            <w:tcW w:w="993" w:type="dxa"/>
            <w:tcBorders>
              <w:bottom w:val="single" w:sz="4" w:space="0" w:color="auto"/>
            </w:tcBorders>
            <w:shd w:val="clear" w:color="auto" w:fill="auto"/>
            <w:noWrap/>
            <w:vAlign w:val="center"/>
            <w:hideMark/>
          </w:tcPr>
          <w:p w14:paraId="39861910" w14:textId="77777777" w:rsidR="0023399E" w:rsidRPr="0043132E" w:rsidRDefault="0023399E" w:rsidP="00857539">
            <w:pPr>
              <w:jc w:val="center"/>
              <w:rPr>
                <w:rFonts w:eastAsia="Times New Roman"/>
                <w:i/>
                <w:iCs/>
                <w:sz w:val="20"/>
                <w:szCs w:val="20"/>
              </w:rPr>
            </w:pPr>
            <w:r w:rsidRPr="0043132E">
              <w:rPr>
                <w:rFonts w:eastAsia="Times New Roman"/>
                <w:i/>
                <w:iCs/>
                <w:sz w:val="20"/>
                <w:szCs w:val="20"/>
              </w:rPr>
              <w:t>5</w:t>
            </w:r>
          </w:p>
        </w:tc>
        <w:tc>
          <w:tcPr>
            <w:tcW w:w="992" w:type="dxa"/>
            <w:tcBorders>
              <w:bottom w:val="single" w:sz="4" w:space="0" w:color="auto"/>
            </w:tcBorders>
            <w:shd w:val="clear" w:color="auto" w:fill="auto"/>
            <w:noWrap/>
            <w:vAlign w:val="bottom"/>
            <w:hideMark/>
          </w:tcPr>
          <w:p w14:paraId="687C5ACB"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38</w:t>
            </w:r>
            <w:r>
              <w:rPr>
                <w:rFonts w:eastAsia="Times New Roman"/>
                <w:color w:val="000000"/>
                <w:sz w:val="20"/>
                <w:szCs w:val="20"/>
              </w:rPr>
              <w:t xml:space="preserve"> </w:t>
            </w:r>
            <w:r w:rsidRPr="0043132E">
              <w:rPr>
                <w:rFonts w:eastAsia="Times New Roman"/>
                <w:color w:val="000000"/>
                <w:sz w:val="20"/>
                <w:szCs w:val="20"/>
              </w:rPr>
              <w:t>903,2</w:t>
            </w:r>
          </w:p>
        </w:tc>
        <w:tc>
          <w:tcPr>
            <w:tcW w:w="1754" w:type="dxa"/>
            <w:tcBorders>
              <w:bottom w:val="single" w:sz="4" w:space="0" w:color="auto"/>
            </w:tcBorders>
            <w:shd w:val="clear" w:color="auto" w:fill="auto"/>
            <w:noWrap/>
            <w:vAlign w:val="bottom"/>
            <w:hideMark/>
          </w:tcPr>
          <w:p w14:paraId="05B411BD" w14:textId="77777777" w:rsidR="0023399E" w:rsidRPr="0043132E" w:rsidRDefault="0023399E" w:rsidP="00857539">
            <w:pPr>
              <w:jc w:val="right"/>
              <w:rPr>
                <w:rFonts w:eastAsia="Times New Roman"/>
                <w:color w:val="000000"/>
                <w:sz w:val="20"/>
                <w:szCs w:val="20"/>
              </w:rPr>
            </w:pPr>
            <w:r w:rsidRPr="0043132E">
              <w:rPr>
                <w:rFonts w:eastAsia="Times New Roman"/>
                <w:color w:val="000000"/>
                <w:sz w:val="20"/>
                <w:szCs w:val="20"/>
              </w:rPr>
              <w:t>37</w:t>
            </w:r>
            <w:r>
              <w:rPr>
                <w:rFonts w:eastAsia="Times New Roman"/>
                <w:color w:val="000000"/>
                <w:sz w:val="20"/>
                <w:szCs w:val="20"/>
              </w:rPr>
              <w:t xml:space="preserve"> </w:t>
            </w:r>
            <w:r w:rsidRPr="0043132E">
              <w:rPr>
                <w:rFonts w:eastAsia="Times New Roman"/>
                <w:color w:val="000000"/>
                <w:sz w:val="20"/>
                <w:szCs w:val="20"/>
              </w:rPr>
              <w:t>280,7</w:t>
            </w:r>
          </w:p>
        </w:tc>
      </w:tr>
      <w:tr w:rsidR="0023399E" w:rsidRPr="0043132E" w14:paraId="7477460B" w14:textId="77777777" w:rsidTr="0023399E">
        <w:trPr>
          <w:trHeight w:val="20"/>
        </w:trPr>
        <w:tc>
          <w:tcPr>
            <w:tcW w:w="1244" w:type="dxa"/>
            <w:vMerge w:val="restart"/>
            <w:tcBorders>
              <w:top w:val="single" w:sz="4" w:space="0" w:color="auto"/>
            </w:tcBorders>
            <w:shd w:val="clear" w:color="auto" w:fill="auto"/>
            <w:noWrap/>
            <w:vAlign w:val="center"/>
            <w:hideMark/>
          </w:tcPr>
          <w:p w14:paraId="2AD40B7E" w14:textId="77777777" w:rsidR="0023399E" w:rsidRDefault="0023399E" w:rsidP="00857539">
            <w:pPr>
              <w:jc w:val="center"/>
              <w:rPr>
                <w:rFonts w:eastAsia="Times New Roman"/>
                <w:sz w:val="20"/>
                <w:szCs w:val="20"/>
              </w:rPr>
            </w:pPr>
            <w:r>
              <w:rPr>
                <w:rFonts w:eastAsia="Times New Roman"/>
                <w:sz w:val="20"/>
                <w:szCs w:val="20"/>
              </w:rPr>
              <w:t>Отклонение</w:t>
            </w:r>
          </w:p>
          <w:p w14:paraId="23C9984C" w14:textId="77777777" w:rsidR="0023399E" w:rsidRPr="0043132E" w:rsidRDefault="0023399E" w:rsidP="00857539">
            <w:pPr>
              <w:jc w:val="center"/>
              <w:rPr>
                <w:rFonts w:eastAsia="Times New Roman"/>
                <w:sz w:val="20"/>
                <w:szCs w:val="20"/>
              </w:rPr>
            </w:pPr>
            <w:r w:rsidRPr="0043132E">
              <w:rPr>
                <w:rFonts w:eastAsia="Times New Roman"/>
                <w:sz w:val="20"/>
                <w:szCs w:val="20"/>
              </w:rPr>
              <w:t>2020/2019</w:t>
            </w:r>
          </w:p>
        </w:tc>
        <w:tc>
          <w:tcPr>
            <w:tcW w:w="726" w:type="dxa"/>
            <w:tcBorders>
              <w:top w:val="single" w:sz="4" w:space="0" w:color="auto"/>
            </w:tcBorders>
            <w:shd w:val="clear" w:color="auto" w:fill="auto"/>
            <w:noWrap/>
            <w:vAlign w:val="center"/>
            <w:hideMark/>
          </w:tcPr>
          <w:p w14:paraId="07E465F1" w14:textId="77777777" w:rsidR="0023399E" w:rsidRPr="0043132E" w:rsidRDefault="0023399E" w:rsidP="00857539">
            <w:pPr>
              <w:ind w:left="-57" w:right="-57"/>
              <w:jc w:val="center"/>
              <w:rPr>
                <w:rFonts w:eastAsia="Times New Roman"/>
                <w:sz w:val="20"/>
                <w:szCs w:val="20"/>
              </w:rPr>
            </w:pPr>
            <w:proofErr w:type="spellStart"/>
            <w:r w:rsidRPr="0043132E">
              <w:rPr>
                <w:rFonts w:eastAsia="Times New Roman"/>
                <w:sz w:val="20"/>
                <w:szCs w:val="20"/>
              </w:rPr>
              <w:t>абсол</w:t>
            </w:r>
            <w:proofErr w:type="spellEnd"/>
            <w:r w:rsidRPr="0043132E">
              <w:rPr>
                <w:rFonts w:eastAsia="Times New Roman"/>
                <w:sz w:val="20"/>
                <w:szCs w:val="20"/>
              </w:rPr>
              <w:t>.</w:t>
            </w:r>
          </w:p>
        </w:tc>
        <w:tc>
          <w:tcPr>
            <w:tcW w:w="1417" w:type="dxa"/>
            <w:tcBorders>
              <w:top w:val="single" w:sz="4" w:space="0" w:color="auto"/>
            </w:tcBorders>
            <w:shd w:val="clear" w:color="auto" w:fill="auto"/>
            <w:noWrap/>
            <w:vAlign w:val="center"/>
            <w:hideMark/>
          </w:tcPr>
          <w:p w14:paraId="60278938" w14:textId="77777777" w:rsidR="0023399E" w:rsidRPr="0043132E" w:rsidRDefault="0023399E" w:rsidP="00857539">
            <w:pPr>
              <w:jc w:val="center"/>
              <w:rPr>
                <w:rFonts w:eastAsia="Times New Roman"/>
                <w:sz w:val="20"/>
                <w:szCs w:val="20"/>
              </w:rPr>
            </w:pPr>
            <w:r w:rsidRPr="0043132E">
              <w:rPr>
                <w:rFonts w:eastAsia="Times New Roman"/>
                <w:sz w:val="20"/>
                <w:szCs w:val="20"/>
              </w:rPr>
              <w:t>1</w:t>
            </w:r>
          </w:p>
        </w:tc>
        <w:tc>
          <w:tcPr>
            <w:tcW w:w="1081" w:type="dxa"/>
            <w:tcBorders>
              <w:top w:val="single" w:sz="4" w:space="0" w:color="auto"/>
            </w:tcBorders>
            <w:shd w:val="clear" w:color="auto" w:fill="auto"/>
            <w:noWrap/>
            <w:vAlign w:val="center"/>
            <w:hideMark/>
          </w:tcPr>
          <w:p w14:paraId="67C80BCC" w14:textId="77777777" w:rsidR="0023399E" w:rsidRPr="0043132E" w:rsidRDefault="0023399E" w:rsidP="00857539">
            <w:pPr>
              <w:jc w:val="center"/>
              <w:rPr>
                <w:rFonts w:eastAsia="Times New Roman"/>
                <w:sz w:val="20"/>
                <w:szCs w:val="20"/>
              </w:rPr>
            </w:pPr>
            <w:r w:rsidRPr="0043132E">
              <w:rPr>
                <w:rFonts w:eastAsia="Times New Roman"/>
                <w:sz w:val="20"/>
                <w:szCs w:val="20"/>
              </w:rPr>
              <w:t>3</w:t>
            </w:r>
          </w:p>
        </w:tc>
        <w:tc>
          <w:tcPr>
            <w:tcW w:w="1134" w:type="dxa"/>
            <w:tcBorders>
              <w:top w:val="single" w:sz="4" w:space="0" w:color="auto"/>
            </w:tcBorders>
            <w:shd w:val="clear" w:color="auto" w:fill="auto"/>
            <w:noWrap/>
            <w:vAlign w:val="center"/>
            <w:hideMark/>
          </w:tcPr>
          <w:p w14:paraId="007984E1" w14:textId="77777777" w:rsidR="0023399E" w:rsidRPr="0043132E" w:rsidRDefault="0023399E" w:rsidP="00857539">
            <w:pPr>
              <w:jc w:val="center"/>
              <w:rPr>
                <w:rFonts w:eastAsia="Times New Roman"/>
                <w:sz w:val="20"/>
                <w:szCs w:val="20"/>
              </w:rPr>
            </w:pPr>
            <w:r w:rsidRPr="0043132E">
              <w:rPr>
                <w:rFonts w:eastAsia="Times New Roman"/>
                <w:sz w:val="20"/>
                <w:szCs w:val="20"/>
              </w:rPr>
              <w:t>0</w:t>
            </w:r>
          </w:p>
        </w:tc>
        <w:tc>
          <w:tcPr>
            <w:tcW w:w="993" w:type="dxa"/>
            <w:tcBorders>
              <w:top w:val="single" w:sz="4" w:space="0" w:color="auto"/>
            </w:tcBorders>
            <w:shd w:val="clear" w:color="auto" w:fill="auto"/>
            <w:noWrap/>
            <w:vAlign w:val="center"/>
            <w:hideMark/>
          </w:tcPr>
          <w:p w14:paraId="50EB5134" w14:textId="77777777" w:rsidR="0023399E" w:rsidRPr="0043132E" w:rsidRDefault="0023399E" w:rsidP="00857539">
            <w:pPr>
              <w:jc w:val="center"/>
              <w:rPr>
                <w:rFonts w:eastAsia="Times New Roman"/>
                <w:sz w:val="20"/>
                <w:szCs w:val="20"/>
              </w:rPr>
            </w:pPr>
            <w:r w:rsidRPr="0043132E">
              <w:rPr>
                <w:rFonts w:eastAsia="Times New Roman"/>
                <w:sz w:val="20"/>
                <w:szCs w:val="20"/>
              </w:rPr>
              <w:t>3</w:t>
            </w:r>
          </w:p>
        </w:tc>
        <w:tc>
          <w:tcPr>
            <w:tcW w:w="992" w:type="dxa"/>
            <w:tcBorders>
              <w:top w:val="single" w:sz="4" w:space="0" w:color="auto"/>
            </w:tcBorders>
            <w:shd w:val="clear" w:color="auto" w:fill="auto"/>
            <w:noWrap/>
            <w:vAlign w:val="center"/>
            <w:hideMark/>
          </w:tcPr>
          <w:p w14:paraId="6E970AD6" w14:textId="77777777" w:rsidR="0023399E" w:rsidRPr="0043132E" w:rsidRDefault="0023399E" w:rsidP="00857539">
            <w:pPr>
              <w:jc w:val="right"/>
              <w:rPr>
                <w:rFonts w:eastAsia="Times New Roman"/>
                <w:sz w:val="20"/>
                <w:szCs w:val="20"/>
              </w:rPr>
            </w:pPr>
            <w:r w:rsidRPr="0043132E">
              <w:rPr>
                <w:rFonts w:eastAsia="Times New Roman"/>
                <w:sz w:val="20"/>
                <w:szCs w:val="20"/>
              </w:rPr>
              <w:t>707,0</w:t>
            </w:r>
          </w:p>
        </w:tc>
        <w:tc>
          <w:tcPr>
            <w:tcW w:w="1754" w:type="dxa"/>
            <w:tcBorders>
              <w:top w:val="single" w:sz="4" w:space="0" w:color="auto"/>
            </w:tcBorders>
            <w:shd w:val="clear" w:color="auto" w:fill="auto"/>
            <w:noWrap/>
            <w:vAlign w:val="center"/>
            <w:hideMark/>
          </w:tcPr>
          <w:p w14:paraId="33879BF8" w14:textId="77777777" w:rsidR="0023399E" w:rsidRPr="0043132E" w:rsidRDefault="0023399E" w:rsidP="00857539">
            <w:pPr>
              <w:jc w:val="right"/>
              <w:rPr>
                <w:rFonts w:eastAsia="Times New Roman"/>
                <w:sz w:val="20"/>
                <w:szCs w:val="20"/>
              </w:rPr>
            </w:pPr>
            <w:r w:rsidRPr="0043132E">
              <w:rPr>
                <w:rFonts w:eastAsia="Times New Roman"/>
                <w:sz w:val="20"/>
                <w:szCs w:val="20"/>
              </w:rPr>
              <w:t>839,1</w:t>
            </w:r>
          </w:p>
        </w:tc>
      </w:tr>
      <w:tr w:rsidR="0023399E" w:rsidRPr="0043132E" w14:paraId="5E96B373" w14:textId="77777777" w:rsidTr="0023399E">
        <w:trPr>
          <w:trHeight w:val="20"/>
        </w:trPr>
        <w:tc>
          <w:tcPr>
            <w:tcW w:w="1244" w:type="dxa"/>
            <w:vMerge/>
            <w:tcBorders>
              <w:bottom w:val="single" w:sz="4" w:space="0" w:color="auto"/>
            </w:tcBorders>
            <w:vAlign w:val="center"/>
            <w:hideMark/>
          </w:tcPr>
          <w:p w14:paraId="1EC702BE" w14:textId="77777777" w:rsidR="0023399E" w:rsidRPr="0043132E" w:rsidRDefault="0023399E" w:rsidP="00857539">
            <w:pPr>
              <w:rPr>
                <w:rFonts w:eastAsia="Times New Roman"/>
                <w:sz w:val="20"/>
                <w:szCs w:val="20"/>
              </w:rPr>
            </w:pPr>
          </w:p>
        </w:tc>
        <w:tc>
          <w:tcPr>
            <w:tcW w:w="726" w:type="dxa"/>
            <w:tcBorders>
              <w:bottom w:val="single" w:sz="4" w:space="0" w:color="auto"/>
            </w:tcBorders>
            <w:shd w:val="clear" w:color="auto" w:fill="auto"/>
            <w:noWrap/>
            <w:vAlign w:val="center"/>
            <w:hideMark/>
          </w:tcPr>
          <w:p w14:paraId="53C0F87B" w14:textId="77777777" w:rsidR="0023399E" w:rsidRPr="0043132E" w:rsidRDefault="0023399E" w:rsidP="00857539">
            <w:pPr>
              <w:ind w:left="-57" w:right="-57"/>
              <w:jc w:val="center"/>
              <w:rPr>
                <w:rFonts w:eastAsia="Times New Roman"/>
                <w:sz w:val="20"/>
                <w:szCs w:val="20"/>
              </w:rPr>
            </w:pPr>
            <w:r w:rsidRPr="0043132E">
              <w:rPr>
                <w:rFonts w:eastAsia="Times New Roman"/>
                <w:sz w:val="20"/>
                <w:szCs w:val="20"/>
              </w:rPr>
              <w:t>%</w:t>
            </w:r>
          </w:p>
        </w:tc>
        <w:tc>
          <w:tcPr>
            <w:tcW w:w="1417" w:type="dxa"/>
            <w:tcBorders>
              <w:bottom w:val="single" w:sz="4" w:space="0" w:color="auto"/>
            </w:tcBorders>
            <w:shd w:val="clear" w:color="auto" w:fill="auto"/>
            <w:noWrap/>
            <w:vAlign w:val="center"/>
            <w:hideMark/>
          </w:tcPr>
          <w:p w14:paraId="2D096F23" w14:textId="77777777" w:rsidR="0023399E" w:rsidRPr="0043132E" w:rsidRDefault="0023399E" w:rsidP="00857539">
            <w:pPr>
              <w:jc w:val="center"/>
              <w:rPr>
                <w:rFonts w:eastAsia="Times New Roman"/>
                <w:sz w:val="20"/>
                <w:szCs w:val="20"/>
              </w:rPr>
            </w:pPr>
            <w:r w:rsidRPr="0043132E">
              <w:rPr>
                <w:rFonts w:eastAsia="Times New Roman"/>
                <w:sz w:val="20"/>
                <w:szCs w:val="20"/>
              </w:rPr>
              <w:t>101,9%</w:t>
            </w:r>
          </w:p>
        </w:tc>
        <w:tc>
          <w:tcPr>
            <w:tcW w:w="1081" w:type="dxa"/>
            <w:tcBorders>
              <w:bottom w:val="single" w:sz="4" w:space="0" w:color="auto"/>
            </w:tcBorders>
            <w:shd w:val="clear" w:color="auto" w:fill="auto"/>
            <w:noWrap/>
            <w:vAlign w:val="center"/>
            <w:hideMark/>
          </w:tcPr>
          <w:p w14:paraId="5DF94D22" w14:textId="77777777" w:rsidR="0023399E" w:rsidRPr="0043132E" w:rsidRDefault="0023399E" w:rsidP="00857539">
            <w:pPr>
              <w:jc w:val="center"/>
              <w:rPr>
                <w:rFonts w:eastAsia="Times New Roman"/>
                <w:sz w:val="20"/>
                <w:szCs w:val="20"/>
              </w:rPr>
            </w:pPr>
            <w:r w:rsidRPr="0043132E">
              <w:rPr>
                <w:rFonts w:eastAsia="Times New Roman"/>
                <w:sz w:val="20"/>
                <w:szCs w:val="20"/>
              </w:rPr>
              <w:t>115,0%</w:t>
            </w:r>
          </w:p>
        </w:tc>
        <w:tc>
          <w:tcPr>
            <w:tcW w:w="1134" w:type="dxa"/>
            <w:tcBorders>
              <w:bottom w:val="single" w:sz="4" w:space="0" w:color="auto"/>
            </w:tcBorders>
            <w:shd w:val="clear" w:color="auto" w:fill="auto"/>
            <w:noWrap/>
            <w:vAlign w:val="center"/>
            <w:hideMark/>
          </w:tcPr>
          <w:p w14:paraId="4010ECC4" w14:textId="77777777" w:rsidR="0023399E" w:rsidRPr="0043132E" w:rsidRDefault="0023399E" w:rsidP="00857539">
            <w:pPr>
              <w:jc w:val="center"/>
              <w:rPr>
                <w:rFonts w:eastAsia="Times New Roman"/>
                <w:sz w:val="20"/>
                <w:szCs w:val="20"/>
              </w:rPr>
            </w:pPr>
            <w:r w:rsidRPr="0043132E">
              <w:rPr>
                <w:rFonts w:eastAsia="Times New Roman"/>
                <w:sz w:val="20"/>
                <w:szCs w:val="20"/>
              </w:rPr>
              <w:t>100,0%</w:t>
            </w:r>
          </w:p>
        </w:tc>
        <w:tc>
          <w:tcPr>
            <w:tcW w:w="993" w:type="dxa"/>
            <w:tcBorders>
              <w:bottom w:val="single" w:sz="4" w:space="0" w:color="auto"/>
            </w:tcBorders>
            <w:shd w:val="clear" w:color="auto" w:fill="auto"/>
            <w:noWrap/>
            <w:vAlign w:val="center"/>
            <w:hideMark/>
          </w:tcPr>
          <w:p w14:paraId="6457E5C1" w14:textId="77777777" w:rsidR="0023399E" w:rsidRPr="0043132E" w:rsidRDefault="0023399E" w:rsidP="00857539">
            <w:pPr>
              <w:jc w:val="center"/>
              <w:rPr>
                <w:rFonts w:eastAsia="Times New Roman"/>
                <w:sz w:val="20"/>
                <w:szCs w:val="20"/>
              </w:rPr>
            </w:pPr>
            <w:r w:rsidRPr="0043132E">
              <w:rPr>
                <w:rFonts w:eastAsia="Times New Roman"/>
                <w:sz w:val="20"/>
                <w:szCs w:val="20"/>
              </w:rPr>
              <w:t>250,0%</w:t>
            </w:r>
          </w:p>
        </w:tc>
        <w:tc>
          <w:tcPr>
            <w:tcW w:w="992" w:type="dxa"/>
            <w:tcBorders>
              <w:bottom w:val="single" w:sz="4" w:space="0" w:color="auto"/>
            </w:tcBorders>
            <w:shd w:val="clear" w:color="auto" w:fill="auto"/>
            <w:noWrap/>
            <w:vAlign w:val="center"/>
            <w:hideMark/>
          </w:tcPr>
          <w:p w14:paraId="1B16130E" w14:textId="77777777" w:rsidR="0023399E" w:rsidRPr="0043132E" w:rsidRDefault="0023399E" w:rsidP="00857539">
            <w:pPr>
              <w:jc w:val="right"/>
              <w:rPr>
                <w:rFonts w:eastAsia="Times New Roman"/>
                <w:sz w:val="20"/>
                <w:szCs w:val="20"/>
              </w:rPr>
            </w:pPr>
            <w:r w:rsidRPr="0043132E">
              <w:rPr>
                <w:rFonts w:eastAsia="Times New Roman"/>
                <w:sz w:val="20"/>
                <w:szCs w:val="20"/>
              </w:rPr>
              <w:t>101,9%</w:t>
            </w:r>
          </w:p>
        </w:tc>
        <w:tc>
          <w:tcPr>
            <w:tcW w:w="1754" w:type="dxa"/>
            <w:tcBorders>
              <w:bottom w:val="single" w:sz="4" w:space="0" w:color="auto"/>
            </w:tcBorders>
            <w:shd w:val="clear" w:color="auto" w:fill="auto"/>
            <w:noWrap/>
            <w:vAlign w:val="center"/>
            <w:hideMark/>
          </w:tcPr>
          <w:p w14:paraId="38E5AFD1" w14:textId="77777777" w:rsidR="0023399E" w:rsidRPr="0043132E" w:rsidRDefault="0023399E" w:rsidP="00857539">
            <w:pPr>
              <w:jc w:val="right"/>
              <w:rPr>
                <w:rFonts w:eastAsia="Times New Roman"/>
                <w:sz w:val="20"/>
                <w:szCs w:val="20"/>
              </w:rPr>
            </w:pPr>
            <w:r w:rsidRPr="0043132E">
              <w:rPr>
                <w:rFonts w:eastAsia="Times New Roman"/>
                <w:sz w:val="20"/>
                <w:szCs w:val="20"/>
              </w:rPr>
              <w:t>102,3%</w:t>
            </w:r>
          </w:p>
        </w:tc>
      </w:tr>
      <w:tr w:rsidR="0023399E" w:rsidRPr="0043132E" w14:paraId="1BAA947C" w14:textId="77777777" w:rsidTr="0023399E">
        <w:trPr>
          <w:trHeight w:val="20"/>
        </w:trPr>
        <w:tc>
          <w:tcPr>
            <w:tcW w:w="1244" w:type="dxa"/>
            <w:vMerge w:val="restart"/>
            <w:tcBorders>
              <w:top w:val="single" w:sz="4" w:space="0" w:color="auto"/>
            </w:tcBorders>
            <w:shd w:val="clear" w:color="auto" w:fill="auto"/>
            <w:noWrap/>
            <w:vAlign w:val="center"/>
            <w:hideMark/>
          </w:tcPr>
          <w:p w14:paraId="566F2A67" w14:textId="77777777" w:rsidR="0023399E" w:rsidRDefault="0023399E" w:rsidP="00857539">
            <w:pPr>
              <w:jc w:val="center"/>
              <w:rPr>
                <w:rFonts w:eastAsia="Times New Roman"/>
                <w:sz w:val="20"/>
                <w:szCs w:val="20"/>
              </w:rPr>
            </w:pPr>
            <w:r>
              <w:rPr>
                <w:rFonts w:eastAsia="Times New Roman"/>
                <w:sz w:val="20"/>
                <w:szCs w:val="20"/>
              </w:rPr>
              <w:t>Отклонение</w:t>
            </w:r>
          </w:p>
          <w:p w14:paraId="01BA9347" w14:textId="77777777" w:rsidR="0023399E" w:rsidRPr="0043132E" w:rsidRDefault="0023399E" w:rsidP="00857539">
            <w:pPr>
              <w:jc w:val="center"/>
              <w:rPr>
                <w:rFonts w:eastAsia="Times New Roman"/>
                <w:sz w:val="20"/>
                <w:szCs w:val="20"/>
              </w:rPr>
            </w:pPr>
            <w:r w:rsidRPr="0043132E">
              <w:rPr>
                <w:rFonts w:eastAsia="Times New Roman"/>
                <w:sz w:val="20"/>
                <w:szCs w:val="20"/>
              </w:rPr>
              <w:t>2020/2015</w:t>
            </w:r>
          </w:p>
        </w:tc>
        <w:tc>
          <w:tcPr>
            <w:tcW w:w="726" w:type="dxa"/>
            <w:tcBorders>
              <w:top w:val="single" w:sz="4" w:space="0" w:color="auto"/>
            </w:tcBorders>
            <w:shd w:val="clear" w:color="auto" w:fill="auto"/>
            <w:noWrap/>
            <w:vAlign w:val="center"/>
            <w:hideMark/>
          </w:tcPr>
          <w:p w14:paraId="6DB0C6CF" w14:textId="77777777" w:rsidR="0023399E" w:rsidRPr="0043132E" w:rsidRDefault="0023399E" w:rsidP="00857539">
            <w:pPr>
              <w:ind w:left="-57" w:right="-57"/>
              <w:jc w:val="center"/>
              <w:rPr>
                <w:rFonts w:eastAsia="Times New Roman"/>
                <w:sz w:val="20"/>
                <w:szCs w:val="20"/>
              </w:rPr>
            </w:pPr>
            <w:proofErr w:type="spellStart"/>
            <w:r w:rsidRPr="0043132E">
              <w:rPr>
                <w:rFonts w:eastAsia="Times New Roman"/>
                <w:sz w:val="20"/>
                <w:szCs w:val="20"/>
              </w:rPr>
              <w:t>абсол</w:t>
            </w:r>
            <w:proofErr w:type="spellEnd"/>
            <w:r w:rsidRPr="0043132E">
              <w:rPr>
                <w:rFonts w:eastAsia="Times New Roman"/>
                <w:sz w:val="20"/>
                <w:szCs w:val="20"/>
              </w:rPr>
              <w:t>.</w:t>
            </w:r>
          </w:p>
        </w:tc>
        <w:tc>
          <w:tcPr>
            <w:tcW w:w="1417" w:type="dxa"/>
            <w:tcBorders>
              <w:top w:val="single" w:sz="4" w:space="0" w:color="auto"/>
            </w:tcBorders>
            <w:shd w:val="clear" w:color="auto" w:fill="auto"/>
            <w:noWrap/>
            <w:vAlign w:val="center"/>
            <w:hideMark/>
          </w:tcPr>
          <w:p w14:paraId="31C7E000" w14:textId="77777777" w:rsidR="0023399E" w:rsidRPr="0043132E" w:rsidRDefault="0023399E" w:rsidP="00857539">
            <w:pPr>
              <w:jc w:val="center"/>
              <w:rPr>
                <w:rFonts w:eastAsia="Times New Roman"/>
                <w:sz w:val="20"/>
                <w:szCs w:val="20"/>
              </w:rPr>
            </w:pPr>
            <w:r w:rsidRPr="0043132E">
              <w:rPr>
                <w:rFonts w:eastAsia="Times New Roman"/>
                <w:sz w:val="20"/>
                <w:szCs w:val="20"/>
              </w:rPr>
              <w:t>32</w:t>
            </w:r>
          </w:p>
        </w:tc>
        <w:tc>
          <w:tcPr>
            <w:tcW w:w="1081" w:type="dxa"/>
            <w:tcBorders>
              <w:top w:val="single" w:sz="4" w:space="0" w:color="auto"/>
            </w:tcBorders>
            <w:shd w:val="clear" w:color="auto" w:fill="auto"/>
            <w:noWrap/>
            <w:vAlign w:val="center"/>
            <w:hideMark/>
          </w:tcPr>
          <w:p w14:paraId="5BE920A9" w14:textId="77777777" w:rsidR="0023399E" w:rsidRPr="0043132E" w:rsidRDefault="0023399E" w:rsidP="00857539">
            <w:pPr>
              <w:jc w:val="center"/>
              <w:rPr>
                <w:rFonts w:eastAsia="Times New Roman"/>
                <w:sz w:val="20"/>
                <w:szCs w:val="20"/>
              </w:rPr>
            </w:pPr>
            <w:r w:rsidRPr="0043132E">
              <w:rPr>
                <w:rFonts w:eastAsia="Times New Roman"/>
                <w:sz w:val="20"/>
                <w:szCs w:val="20"/>
              </w:rPr>
              <w:t>13</w:t>
            </w:r>
          </w:p>
        </w:tc>
        <w:tc>
          <w:tcPr>
            <w:tcW w:w="1134" w:type="dxa"/>
            <w:tcBorders>
              <w:top w:val="single" w:sz="4" w:space="0" w:color="auto"/>
            </w:tcBorders>
            <w:shd w:val="clear" w:color="auto" w:fill="auto"/>
            <w:noWrap/>
            <w:vAlign w:val="center"/>
            <w:hideMark/>
          </w:tcPr>
          <w:p w14:paraId="1996EA3C" w14:textId="77777777" w:rsidR="0023399E" w:rsidRPr="0043132E" w:rsidRDefault="0023399E" w:rsidP="00857539">
            <w:pPr>
              <w:jc w:val="center"/>
              <w:rPr>
                <w:rFonts w:eastAsia="Times New Roman"/>
                <w:sz w:val="20"/>
                <w:szCs w:val="20"/>
              </w:rPr>
            </w:pPr>
            <w:r w:rsidRPr="0043132E">
              <w:rPr>
                <w:rFonts w:eastAsia="Times New Roman"/>
                <w:sz w:val="20"/>
                <w:szCs w:val="20"/>
              </w:rPr>
              <w:t>8</w:t>
            </w:r>
          </w:p>
        </w:tc>
        <w:tc>
          <w:tcPr>
            <w:tcW w:w="993" w:type="dxa"/>
            <w:tcBorders>
              <w:top w:val="single" w:sz="4" w:space="0" w:color="auto"/>
            </w:tcBorders>
            <w:shd w:val="clear" w:color="auto" w:fill="auto"/>
            <w:noWrap/>
            <w:vAlign w:val="center"/>
            <w:hideMark/>
          </w:tcPr>
          <w:p w14:paraId="4DA4B66B" w14:textId="77777777" w:rsidR="0023399E" w:rsidRPr="0043132E" w:rsidRDefault="0023399E" w:rsidP="00857539">
            <w:pPr>
              <w:jc w:val="center"/>
              <w:rPr>
                <w:rFonts w:eastAsia="Times New Roman"/>
                <w:sz w:val="20"/>
                <w:szCs w:val="20"/>
              </w:rPr>
            </w:pPr>
            <w:r w:rsidRPr="0043132E">
              <w:rPr>
                <w:rFonts w:eastAsia="Times New Roman"/>
                <w:sz w:val="20"/>
                <w:szCs w:val="20"/>
              </w:rPr>
              <w:t>5</w:t>
            </w:r>
          </w:p>
        </w:tc>
        <w:tc>
          <w:tcPr>
            <w:tcW w:w="992" w:type="dxa"/>
            <w:tcBorders>
              <w:top w:val="single" w:sz="4" w:space="0" w:color="auto"/>
            </w:tcBorders>
            <w:shd w:val="clear" w:color="auto" w:fill="auto"/>
            <w:noWrap/>
            <w:vAlign w:val="center"/>
            <w:hideMark/>
          </w:tcPr>
          <w:p w14:paraId="42F710AC" w14:textId="77777777" w:rsidR="0023399E" w:rsidRPr="0043132E" w:rsidRDefault="0023399E" w:rsidP="00857539">
            <w:pPr>
              <w:jc w:val="right"/>
              <w:rPr>
                <w:rFonts w:eastAsia="Times New Roman"/>
                <w:sz w:val="20"/>
                <w:szCs w:val="20"/>
              </w:rPr>
            </w:pPr>
            <w:r w:rsidRPr="0043132E">
              <w:rPr>
                <w:rFonts w:eastAsia="Times New Roman"/>
                <w:sz w:val="20"/>
                <w:szCs w:val="20"/>
              </w:rPr>
              <w:t>22</w:t>
            </w:r>
            <w:r>
              <w:rPr>
                <w:rFonts w:eastAsia="Times New Roman"/>
                <w:sz w:val="20"/>
                <w:szCs w:val="20"/>
              </w:rPr>
              <w:t xml:space="preserve"> </w:t>
            </w:r>
            <w:r w:rsidRPr="0043132E">
              <w:rPr>
                <w:rFonts w:eastAsia="Times New Roman"/>
                <w:sz w:val="20"/>
                <w:szCs w:val="20"/>
              </w:rPr>
              <w:t>421,5</w:t>
            </w:r>
          </w:p>
        </w:tc>
        <w:tc>
          <w:tcPr>
            <w:tcW w:w="1754" w:type="dxa"/>
            <w:tcBorders>
              <w:top w:val="single" w:sz="4" w:space="0" w:color="auto"/>
            </w:tcBorders>
            <w:shd w:val="clear" w:color="auto" w:fill="auto"/>
            <w:noWrap/>
            <w:vAlign w:val="center"/>
            <w:hideMark/>
          </w:tcPr>
          <w:p w14:paraId="1B475C3F" w14:textId="77777777" w:rsidR="0023399E" w:rsidRPr="0043132E" w:rsidRDefault="0023399E" w:rsidP="00857539">
            <w:pPr>
              <w:jc w:val="right"/>
              <w:rPr>
                <w:rFonts w:eastAsia="Times New Roman"/>
                <w:sz w:val="20"/>
                <w:szCs w:val="20"/>
              </w:rPr>
            </w:pPr>
            <w:r w:rsidRPr="0043132E">
              <w:rPr>
                <w:rFonts w:eastAsia="Times New Roman"/>
                <w:sz w:val="20"/>
                <w:szCs w:val="20"/>
              </w:rPr>
              <w:t>30</w:t>
            </w:r>
            <w:r>
              <w:rPr>
                <w:rFonts w:eastAsia="Times New Roman"/>
                <w:sz w:val="20"/>
                <w:szCs w:val="20"/>
              </w:rPr>
              <w:t> </w:t>
            </w:r>
            <w:r w:rsidRPr="0043132E">
              <w:rPr>
                <w:rFonts w:eastAsia="Times New Roman"/>
                <w:sz w:val="20"/>
                <w:szCs w:val="20"/>
              </w:rPr>
              <w:t>189</w:t>
            </w:r>
            <w:r>
              <w:rPr>
                <w:rFonts w:eastAsia="Times New Roman"/>
                <w:sz w:val="20"/>
                <w:szCs w:val="20"/>
              </w:rPr>
              <w:t>,0</w:t>
            </w:r>
          </w:p>
        </w:tc>
      </w:tr>
      <w:tr w:rsidR="0023399E" w:rsidRPr="0043132E" w14:paraId="59160F4F" w14:textId="77777777" w:rsidTr="0023399E">
        <w:trPr>
          <w:trHeight w:val="20"/>
        </w:trPr>
        <w:tc>
          <w:tcPr>
            <w:tcW w:w="1244" w:type="dxa"/>
            <w:vMerge/>
            <w:vAlign w:val="center"/>
            <w:hideMark/>
          </w:tcPr>
          <w:p w14:paraId="7A0F2A57" w14:textId="77777777" w:rsidR="0023399E" w:rsidRPr="0043132E" w:rsidRDefault="0023399E" w:rsidP="00857539">
            <w:pPr>
              <w:rPr>
                <w:rFonts w:eastAsia="Times New Roman"/>
                <w:sz w:val="20"/>
                <w:szCs w:val="20"/>
              </w:rPr>
            </w:pPr>
          </w:p>
        </w:tc>
        <w:tc>
          <w:tcPr>
            <w:tcW w:w="726" w:type="dxa"/>
            <w:shd w:val="clear" w:color="auto" w:fill="auto"/>
            <w:noWrap/>
            <w:vAlign w:val="center"/>
            <w:hideMark/>
          </w:tcPr>
          <w:p w14:paraId="32D84EE2" w14:textId="77777777" w:rsidR="0023399E" w:rsidRPr="0043132E" w:rsidRDefault="0023399E" w:rsidP="00857539">
            <w:pPr>
              <w:ind w:left="-57" w:right="-57"/>
              <w:jc w:val="center"/>
              <w:rPr>
                <w:rFonts w:eastAsia="Times New Roman"/>
                <w:sz w:val="20"/>
                <w:szCs w:val="20"/>
              </w:rPr>
            </w:pPr>
            <w:r w:rsidRPr="0043132E">
              <w:rPr>
                <w:rFonts w:eastAsia="Times New Roman"/>
                <w:sz w:val="20"/>
                <w:szCs w:val="20"/>
              </w:rPr>
              <w:t>%</w:t>
            </w:r>
          </w:p>
        </w:tc>
        <w:tc>
          <w:tcPr>
            <w:tcW w:w="1417" w:type="dxa"/>
            <w:shd w:val="clear" w:color="auto" w:fill="auto"/>
            <w:noWrap/>
            <w:vAlign w:val="center"/>
            <w:hideMark/>
          </w:tcPr>
          <w:p w14:paraId="2F56F092" w14:textId="77777777" w:rsidR="0023399E" w:rsidRPr="0043132E" w:rsidRDefault="0023399E" w:rsidP="00857539">
            <w:pPr>
              <w:jc w:val="center"/>
              <w:rPr>
                <w:rFonts w:eastAsia="Times New Roman"/>
                <w:sz w:val="20"/>
                <w:szCs w:val="20"/>
              </w:rPr>
            </w:pPr>
            <w:r w:rsidRPr="0043132E">
              <w:rPr>
                <w:rFonts w:eastAsia="Times New Roman"/>
                <w:sz w:val="20"/>
                <w:szCs w:val="20"/>
              </w:rPr>
              <w:t>245,5%</w:t>
            </w:r>
          </w:p>
        </w:tc>
        <w:tc>
          <w:tcPr>
            <w:tcW w:w="1081" w:type="dxa"/>
            <w:shd w:val="clear" w:color="auto" w:fill="auto"/>
            <w:noWrap/>
            <w:vAlign w:val="center"/>
            <w:hideMark/>
          </w:tcPr>
          <w:p w14:paraId="3557DAEB" w14:textId="77777777" w:rsidR="0023399E" w:rsidRPr="0043132E" w:rsidRDefault="0023399E" w:rsidP="00857539">
            <w:pPr>
              <w:jc w:val="center"/>
              <w:rPr>
                <w:rFonts w:eastAsia="Times New Roman"/>
                <w:sz w:val="20"/>
                <w:szCs w:val="20"/>
              </w:rPr>
            </w:pPr>
            <w:r w:rsidRPr="0043132E">
              <w:rPr>
                <w:rFonts w:eastAsia="Times New Roman"/>
                <w:sz w:val="20"/>
                <w:szCs w:val="20"/>
              </w:rPr>
              <w:t>230,0%</w:t>
            </w:r>
          </w:p>
        </w:tc>
        <w:tc>
          <w:tcPr>
            <w:tcW w:w="1134" w:type="dxa"/>
            <w:shd w:val="clear" w:color="auto" w:fill="auto"/>
            <w:noWrap/>
            <w:vAlign w:val="center"/>
            <w:hideMark/>
          </w:tcPr>
          <w:p w14:paraId="067646F6" w14:textId="77777777" w:rsidR="0023399E" w:rsidRPr="0043132E" w:rsidRDefault="0023399E" w:rsidP="00857539">
            <w:pPr>
              <w:jc w:val="center"/>
              <w:rPr>
                <w:rFonts w:eastAsia="Times New Roman"/>
                <w:sz w:val="20"/>
                <w:szCs w:val="20"/>
              </w:rPr>
            </w:pPr>
            <w:r w:rsidRPr="0043132E">
              <w:rPr>
                <w:rFonts w:eastAsia="Times New Roman"/>
                <w:sz w:val="20"/>
                <w:szCs w:val="20"/>
              </w:rPr>
              <w:t>180,0%</w:t>
            </w:r>
          </w:p>
        </w:tc>
        <w:tc>
          <w:tcPr>
            <w:tcW w:w="993" w:type="dxa"/>
            <w:shd w:val="clear" w:color="auto" w:fill="auto"/>
            <w:noWrap/>
            <w:vAlign w:val="center"/>
            <w:hideMark/>
          </w:tcPr>
          <w:p w14:paraId="028CF9D4" w14:textId="77777777" w:rsidR="0023399E" w:rsidRPr="0043132E" w:rsidRDefault="0023399E" w:rsidP="00857539">
            <w:pPr>
              <w:jc w:val="center"/>
              <w:rPr>
                <w:rFonts w:eastAsia="Times New Roman"/>
                <w:sz w:val="20"/>
                <w:szCs w:val="20"/>
              </w:rPr>
            </w:pPr>
            <w:r w:rsidRPr="0043132E">
              <w:rPr>
                <w:rFonts w:eastAsia="Times New Roman"/>
                <w:sz w:val="20"/>
                <w:szCs w:val="20"/>
              </w:rPr>
              <w:t> </w:t>
            </w:r>
            <w:r>
              <w:rPr>
                <w:rFonts w:eastAsia="Times New Roman"/>
                <w:sz w:val="20"/>
                <w:szCs w:val="20"/>
              </w:rPr>
              <w:t>---</w:t>
            </w:r>
          </w:p>
        </w:tc>
        <w:tc>
          <w:tcPr>
            <w:tcW w:w="992" w:type="dxa"/>
            <w:shd w:val="clear" w:color="auto" w:fill="auto"/>
            <w:noWrap/>
            <w:vAlign w:val="center"/>
            <w:hideMark/>
          </w:tcPr>
          <w:p w14:paraId="7558DECD" w14:textId="77777777" w:rsidR="0023399E" w:rsidRPr="0043132E" w:rsidRDefault="0023399E" w:rsidP="00857539">
            <w:pPr>
              <w:jc w:val="right"/>
              <w:rPr>
                <w:rFonts w:eastAsia="Times New Roman"/>
                <w:sz w:val="20"/>
                <w:szCs w:val="20"/>
              </w:rPr>
            </w:pPr>
            <w:r w:rsidRPr="0043132E">
              <w:rPr>
                <w:rFonts w:eastAsia="Times New Roman"/>
                <w:sz w:val="20"/>
                <w:szCs w:val="20"/>
              </w:rPr>
              <w:t>236,0%</w:t>
            </w:r>
          </w:p>
        </w:tc>
        <w:tc>
          <w:tcPr>
            <w:tcW w:w="1754" w:type="dxa"/>
            <w:shd w:val="clear" w:color="auto" w:fill="auto"/>
            <w:noWrap/>
            <w:vAlign w:val="center"/>
            <w:hideMark/>
          </w:tcPr>
          <w:p w14:paraId="6D6865CB" w14:textId="77777777" w:rsidR="0023399E" w:rsidRPr="0043132E" w:rsidRDefault="0023399E" w:rsidP="00857539">
            <w:pPr>
              <w:jc w:val="right"/>
              <w:rPr>
                <w:rFonts w:eastAsia="Times New Roman"/>
                <w:sz w:val="20"/>
                <w:szCs w:val="20"/>
              </w:rPr>
            </w:pPr>
            <w:r w:rsidRPr="0043132E">
              <w:rPr>
                <w:rFonts w:eastAsia="Times New Roman"/>
                <w:sz w:val="20"/>
                <w:szCs w:val="20"/>
              </w:rPr>
              <w:t>525,7%</w:t>
            </w:r>
          </w:p>
        </w:tc>
      </w:tr>
    </w:tbl>
    <w:p w14:paraId="4D714761" w14:textId="77777777" w:rsidR="0023399E" w:rsidRPr="005C4428" w:rsidRDefault="0023399E" w:rsidP="0023399E">
      <w:pPr>
        <w:autoSpaceDE w:val="0"/>
        <w:autoSpaceDN w:val="0"/>
        <w:adjustRightInd w:val="0"/>
        <w:ind w:firstLine="708"/>
        <w:jc w:val="both"/>
        <w:rPr>
          <w:sz w:val="16"/>
          <w:szCs w:val="16"/>
        </w:rPr>
      </w:pPr>
    </w:p>
    <w:p w14:paraId="33F7CED2" w14:textId="10927BE0" w:rsidR="0023399E" w:rsidRPr="00497DB3" w:rsidRDefault="0023399E" w:rsidP="0023399E">
      <w:pPr>
        <w:autoSpaceDE w:val="0"/>
        <w:autoSpaceDN w:val="0"/>
        <w:adjustRightInd w:val="0"/>
        <w:ind w:firstLine="708"/>
        <w:jc w:val="both"/>
      </w:pPr>
      <w:r w:rsidRPr="00497DB3">
        <w:t>В 2020 году по сравнению с 2019 годом фактическая численность работников учреждения увеличилась на 1 единицу, расходы на оплату труда</w:t>
      </w:r>
      <w:r w:rsidR="00FE2655">
        <w:t xml:space="preserve"> с начислениями</w:t>
      </w:r>
      <w:r w:rsidRPr="00497DB3">
        <w:t xml:space="preserve"> увеличились на 839,1 тыс. руб</w:t>
      </w:r>
      <w:r>
        <w:t>.</w:t>
      </w:r>
      <w:r w:rsidRPr="00497DB3">
        <w:t>, или на 2,3 процента.</w:t>
      </w:r>
      <w:r>
        <w:t xml:space="preserve"> </w:t>
      </w:r>
      <w:r w:rsidRPr="00497DB3">
        <w:t>Расходы на оплату труда с начислениями в 2019-2020 годах занимали соответственно 95,4-95,8% в общем объеме расходов учреждения.</w:t>
      </w:r>
    </w:p>
    <w:p w14:paraId="00B94EC5" w14:textId="1078D643" w:rsidR="0023399E" w:rsidRPr="00497DB3" w:rsidRDefault="0023399E" w:rsidP="0023399E">
      <w:pPr>
        <w:autoSpaceDE w:val="0"/>
        <w:autoSpaceDN w:val="0"/>
        <w:adjustRightInd w:val="0"/>
        <w:ind w:firstLine="708"/>
        <w:jc w:val="both"/>
      </w:pPr>
      <w:r>
        <w:t xml:space="preserve">За период осуществления деятельности численность ГКУ «ЦБУ» увеличилась с 22 до 54 чел., или в 2,5 раза. Темпы роста численности работников учреждения (2,5 раза), количества соглашений о передаче полномочий по ведению бюджетного учета (в 2,3 раза) и расходов на обеспечение деятельности учреждения (в 2,4 раза) сопоставимы. </w:t>
      </w:r>
    </w:p>
    <w:p w14:paraId="370942D4" w14:textId="48E82135" w:rsidR="0023399E" w:rsidRPr="000865CF" w:rsidRDefault="000865CF" w:rsidP="00654C70">
      <w:pPr>
        <w:autoSpaceDE w:val="0"/>
        <w:autoSpaceDN w:val="0"/>
        <w:adjustRightInd w:val="0"/>
        <w:ind w:firstLine="708"/>
        <w:jc w:val="both"/>
      </w:pPr>
      <w:r w:rsidRPr="000865CF">
        <w:t xml:space="preserve">Расчетный фонд оплаты труда </w:t>
      </w:r>
      <w:r>
        <w:t xml:space="preserve">учреждения на 2020 год составил 40 482,5 тыс. руб., по сравнению с аналогичным показателем 2019 года увеличился на </w:t>
      </w:r>
      <w:r w:rsidR="001434C1">
        <w:t>1 349,7 тыс. руб., или на 3,4% за счет индексации заработной платы с 01.10.2019 на 4,3% и с 01.10.2020 на 3 процента. За счет увеличения штатной численности на 8 единиц расчетный фонд оплаты труда на 2021 год составляет 46 447,4 тыс. руб., или с увеличением к 2020 году на 5 964,9 тыс. руб. (+</w:t>
      </w:r>
      <w:r w:rsidR="00721619">
        <w:t>14,7</w:t>
      </w:r>
      <w:r w:rsidR="00FE2655">
        <w:t>%</w:t>
      </w:r>
      <w:r w:rsidR="00721619">
        <w:t>).</w:t>
      </w:r>
    </w:p>
    <w:p w14:paraId="4D33CDB4" w14:textId="2E63B557" w:rsidR="00CD005A" w:rsidRPr="00497DB3" w:rsidRDefault="00CD005A" w:rsidP="00654C70">
      <w:pPr>
        <w:autoSpaceDE w:val="0"/>
        <w:autoSpaceDN w:val="0"/>
        <w:adjustRightInd w:val="0"/>
        <w:ind w:firstLine="708"/>
        <w:jc w:val="both"/>
        <w:rPr>
          <w:rFonts w:eastAsia="Times New Roman"/>
        </w:rPr>
      </w:pPr>
      <w:r w:rsidRPr="00497DB3">
        <w:t>В связи с отсутствием достаточной полезной площади, занимаемой учреждением</w:t>
      </w:r>
      <w:r w:rsidR="00497DB3" w:rsidRPr="00497DB3">
        <w:t xml:space="preserve"> (224,2 </w:t>
      </w:r>
      <w:proofErr w:type="spellStart"/>
      <w:r w:rsidR="00497DB3" w:rsidRPr="00497DB3">
        <w:t>кв.м</w:t>
      </w:r>
      <w:proofErr w:type="spellEnd"/>
      <w:r w:rsidR="00497DB3" w:rsidRPr="00497DB3">
        <w:t>)</w:t>
      </w:r>
      <w:r w:rsidR="00FE2655">
        <w:t>,</w:t>
      </w:r>
      <w:r w:rsidRPr="00497DB3">
        <w:t xml:space="preserve"> и с учетом увеличения штатной численности на основании распоряжения </w:t>
      </w:r>
      <w:r w:rsidR="00022842" w:rsidRPr="00497DB3">
        <w:rPr>
          <w:rFonts w:eastAsia="Times New Roman"/>
        </w:rPr>
        <w:t xml:space="preserve">департамента муниципального имущества администрации Волгограда от 23.10.2020 </w:t>
      </w:r>
      <w:r w:rsidR="00AC2757" w:rsidRPr="00497DB3">
        <w:rPr>
          <w:rFonts w:eastAsia="Times New Roman"/>
        </w:rPr>
        <w:t>«</w:t>
      </w:r>
      <w:r w:rsidR="00022842" w:rsidRPr="00497DB3">
        <w:rPr>
          <w:rFonts w:eastAsia="Times New Roman"/>
        </w:rPr>
        <w:t>О передаче на хранение муниципального имущества муниципальной имущественной казны Волгограда государственному казенному учреждению Волгоградской области «Центр бюджетного учета и отчетности</w:t>
      </w:r>
      <w:r w:rsidR="00AC2757" w:rsidRPr="00497DB3">
        <w:rPr>
          <w:rFonts w:eastAsia="Times New Roman"/>
        </w:rPr>
        <w:t xml:space="preserve">» учреждению по договору от 23.10.2020 переданы помещения площадью 625,2 </w:t>
      </w:r>
      <w:proofErr w:type="spellStart"/>
      <w:r w:rsidR="00AC2757" w:rsidRPr="00497DB3">
        <w:rPr>
          <w:rFonts w:eastAsia="Times New Roman"/>
        </w:rPr>
        <w:t>кв</w:t>
      </w:r>
      <w:r w:rsidR="00307B0B">
        <w:rPr>
          <w:rFonts w:eastAsia="Times New Roman"/>
        </w:rPr>
        <w:t>.</w:t>
      </w:r>
      <w:r w:rsidR="00AC2757" w:rsidRPr="00497DB3">
        <w:rPr>
          <w:rFonts w:eastAsia="Times New Roman"/>
        </w:rPr>
        <w:t>м</w:t>
      </w:r>
      <w:proofErr w:type="spellEnd"/>
      <w:r w:rsidR="00AC2757" w:rsidRPr="00497DB3">
        <w:rPr>
          <w:rFonts w:eastAsia="Times New Roman"/>
        </w:rPr>
        <w:t xml:space="preserve"> по адресу г.</w:t>
      </w:r>
      <w:r w:rsidR="00815881" w:rsidRPr="00497DB3">
        <w:rPr>
          <w:rFonts w:eastAsia="Times New Roman"/>
        </w:rPr>
        <w:t xml:space="preserve"> </w:t>
      </w:r>
      <w:r w:rsidR="00AC2757" w:rsidRPr="00497DB3">
        <w:rPr>
          <w:rFonts w:eastAsia="Times New Roman"/>
        </w:rPr>
        <w:t>Волгоград, ул.</w:t>
      </w:r>
      <w:r w:rsidR="00815881" w:rsidRPr="00497DB3">
        <w:rPr>
          <w:rFonts w:eastAsia="Times New Roman"/>
        </w:rPr>
        <w:t xml:space="preserve"> </w:t>
      </w:r>
      <w:r w:rsidR="00AC2757" w:rsidRPr="00497DB3">
        <w:rPr>
          <w:rFonts w:eastAsia="Times New Roman"/>
        </w:rPr>
        <w:t>Советская, дом 19.</w:t>
      </w:r>
    </w:p>
    <w:p w14:paraId="25417F7B" w14:textId="6089AE73" w:rsidR="002775F6" w:rsidRDefault="005E3CC1" w:rsidP="00795449">
      <w:pPr>
        <w:autoSpaceDE w:val="0"/>
        <w:autoSpaceDN w:val="0"/>
        <w:adjustRightInd w:val="0"/>
        <w:ind w:firstLine="708"/>
        <w:jc w:val="both"/>
      </w:pPr>
      <w:r w:rsidRPr="00497DB3">
        <w:t>В 2020 году ГКУ «ЦБУ» заключен контракт от 14.12.2020 № 1-ЭА/2020 на</w:t>
      </w:r>
      <w:r w:rsidR="007911D1" w:rsidRPr="00497DB3">
        <w:t xml:space="preserve"> выполнение работ по текущему ремонту</w:t>
      </w:r>
      <w:r w:rsidRPr="00497DB3">
        <w:t xml:space="preserve"> переданных</w:t>
      </w:r>
      <w:r w:rsidR="007911D1" w:rsidRPr="00497DB3">
        <w:t xml:space="preserve"> помещений на сумму 5</w:t>
      </w:r>
      <w:r w:rsidR="00DA4600" w:rsidRPr="00497DB3">
        <w:t> </w:t>
      </w:r>
      <w:r w:rsidR="007911D1" w:rsidRPr="00497DB3">
        <w:t>960</w:t>
      </w:r>
      <w:r w:rsidR="00DA4600" w:rsidRPr="00497DB3">
        <w:t>,</w:t>
      </w:r>
      <w:r w:rsidR="007911D1" w:rsidRPr="00497DB3">
        <w:t>8</w:t>
      </w:r>
      <w:r w:rsidR="00DA4600" w:rsidRPr="00497DB3">
        <w:t xml:space="preserve"> тыс.</w:t>
      </w:r>
      <w:r w:rsidR="007911D1" w:rsidRPr="00497DB3">
        <w:t xml:space="preserve"> рублей.</w:t>
      </w:r>
      <w:bookmarkEnd w:id="0"/>
    </w:p>
    <w:p w14:paraId="1CF6694A" w14:textId="4A9BC966" w:rsidR="00795449" w:rsidRDefault="00795449" w:rsidP="00795449">
      <w:pPr>
        <w:autoSpaceDE w:val="0"/>
        <w:autoSpaceDN w:val="0"/>
        <w:adjustRightInd w:val="0"/>
        <w:ind w:firstLine="708"/>
        <w:jc w:val="both"/>
      </w:pPr>
    </w:p>
    <w:p w14:paraId="558A3920" w14:textId="32BE701F" w:rsidR="004A62D1" w:rsidRDefault="004A62D1" w:rsidP="00795449">
      <w:pPr>
        <w:autoSpaceDE w:val="0"/>
        <w:autoSpaceDN w:val="0"/>
        <w:adjustRightInd w:val="0"/>
        <w:ind w:firstLine="708"/>
        <w:jc w:val="both"/>
      </w:pPr>
    </w:p>
    <w:p w14:paraId="5CC451DA" w14:textId="77777777" w:rsidR="00AD2D82" w:rsidRPr="00390980" w:rsidRDefault="00AD2D82" w:rsidP="00AD2D82">
      <w:pPr>
        <w:autoSpaceDE w:val="0"/>
        <w:autoSpaceDN w:val="0"/>
        <w:adjustRightInd w:val="0"/>
        <w:jc w:val="center"/>
        <w:rPr>
          <w:b/>
          <w:iCs/>
        </w:rPr>
      </w:pPr>
      <w:r w:rsidRPr="00390980">
        <w:rPr>
          <w:b/>
          <w:iCs/>
        </w:rPr>
        <w:lastRenderedPageBreak/>
        <w:t>Анализ результатов деятельности в рамках государственных программ</w:t>
      </w:r>
    </w:p>
    <w:p w14:paraId="7284F12B" w14:textId="34786B8D" w:rsidR="0059748A" w:rsidRPr="00795449" w:rsidRDefault="00AD2D82" w:rsidP="00324DA7">
      <w:pPr>
        <w:ind w:firstLine="709"/>
        <w:jc w:val="both"/>
      </w:pPr>
      <w:r w:rsidRPr="00795449">
        <w:t xml:space="preserve">Облфин </w:t>
      </w:r>
      <w:r w:rsidR="00324DA7" w:rsidRPr="00795449">
        <w:t>определен</w:t>
      </w:r>
      <w:r w:rsidRPr="00795449">
        <w:t xml:space="preserve"> ответственным исполнителем государственной программы Волгоградской области «Управление государственными финансами Волгоградской области», утвержденной </w:t>
      </w:r>
      <w:r w:rsidRPr="00795449">
        <w:rPr>
          <w:bCs/>
        </w:rPr>
        <w:t>п</w:t>
      </w:r>
      <w:r w:rsidRPr="00795449">
        <w:t xml:space="preserve">остановлением Администрации Волгоградской области от 23.01.2017 № 10-п (далее </w:t>
      </w:r>
      <w:r w:rsidR="007B42CB" w:rsidRPr="00795449">
        <w:t>–</w:t>
      </w:r>
      <w:r w:rsidRPr="00795449">
        <w:t xml:space="preserve"> Г</w:t>
      </w:r>
      <w:r w:rsidR="005510B9" w:rsidRPr="00795449">
        <w:t>оспрограмма</w:t>
      </w:r>
      <w:r w:rsidR="007B42CB" w:rsidRPr="00795449">
        <w:t>, Постановление № 10-п</w:t>
      </w:r>
      <w:r w:rsidRPr="00795449">
        <w:t>).</w:t>
      </w:r>
      <w:r w:rsidR="006D28D3" w:rsidRPr="00795449">
        <w:t xml:space="preserve"> Соисполнителями Госпрограммы являются комитет образования, науки и молодежной политики Волгоградской области, комитет по делам территориальных образований, внутренней и информационной политики Волгоградской области, комитет экономической политики и развития Волгоградской области и комитет культуры Волгоградской области.</w:t>
      </w:r>
    </w:p>
    <w:p w14:paraId="39F2876C" w14:textId="11414836" w:rsidR="007B42CB" w:rsidRPr="00795449" w:rsidRDefault="007B42CB" w:rsidP="00D32A29">
      <w:pPr>
        <w:ind w:firstLine="709"/>
        <w:jc w:val="both"/>
        <w:rPr>
          <w:bCs/>
        </w:rPr>
      </w:pPr>
      <w:r w:rsidRPr="00795449">
        <w:t xml:space="preserve">Постановлением № 10-п объем финансирования Госпрограммы утвержден в сумме 6 888 064,4 </w:t>
      </w:r>
      <w:r w:rsidRPr="00795449">
        <w:rPr>
          <w:bCs/>
        </w:rPr>
        <w:t xml:space="preserve">тыс. руб. и соответствует </w:t>
      </w:r>
      <w:r w:rsidRPr="00795449">
        <w:t xml:space="preserve">объему бюджетных ассигнований, утвержденных </w:t>
      </w:r>
      <w:r w:rsidR="00324DA7" w:rsidRPr="00795449">
        <w:t>Законом об областном бюджете на 2020 год</w:t>
      </w:r>
      <w:r w:rsidR="00D32A29" w:rsidRPr="00795449">
        <w:rPr>
          <w:bCs/>
        </w:rPr>
        <w:t xml:space="preserve">. </w:t>
      </w:r>
      <w:r w:rsidR="005C4428">
        <w:rPr>
          <w:bCs/>
        </w:rPr>
        <w:t>О</w:t>
      </w:r>
      <w:r w:rsidR="00506085" w:rsidRPr="00795449">
        <w:rPr>
          <w:bCs/>
        </w:rPr>
        <w:t>бъем расходов в соответствии со сводной бюджетной росписью на 31.12.202</w:t>
      </w:r>
      <w:r w:rsidR="0079564C" w:rsidRPr="00795449">
        <w:rPr>
          <w:bCs/>
        </w:rPr>
        <w:t>0 составил 6 741 998,8 тыс. рублей.</w:t>
      </w:r>
    </w:p>
    <w:p w14:paraId="3C372E93" w14:textId="6534D56B" w:rsidR="00AD2D82" w:rsidRPr="005C4428" w:rsidRDefault="00AD2D82" w:rsidP="00AD2D82">
      <w:pPr>
        <w:autoSpaceDE w:val="0"/>
        <w:autoSpaceDN w:val="0"/>
        <w:adjustRightInd w:val="0"/>
        <w:ind w:firstLine="680"/>
        <w:jc w:val="both"/>
        <w:rPr>
          <w:lang w:eastAsia="en-US"/>
        </w:rPr>
      </w:pPr>
      <w:r w:rsidRPr="00795449">
        <w:rPr>
          <w:lang w:eastAsia="en-US"/>
        </w:rPr>
        <w:t xml:space="preserve">Информация о плановых и фактических расходах областного бюджета в разрезе подпрограмм </w:t>
      </w:r>
      <w:r w:rsidR="008405BC" w:rsidRPr="00795449">
        <w:rPr>
          <w:lang w:eastAsia="en-US"/>
        </w:rPr>
        <w:t>и программных мероприятий в 20</w:t>
      </w:r>
      <w:r w:rsidR="004D2F8F" w:rsidRPr="00795449">
        <w:rPr>
          <w:lang w:eastAsia="en-US"/>
        </w:rPr>
        <w:t>20</w:t>
      </w:r>
      <w:r w:rsidRPr="00795449">
        <w:rPr>
          <w:lang w:eastAsia="en-US"/>
        </w:rPr>
        <w:t xml:space="preserve"> году </w:t>
      </w:r>
      <w:r w:rsidRPr="005C4428">
        <w:rPr>
          <w:lang w:eastAsia="en-US"/>
        </w:rPr>
        <w:t xml:space="preserve">представлена в </w:t>
      </w:r>
      <w:r w:rsidR="00E97ABA" w:rsidRPr="005C4428">
        <w:rPr>
          <w:lang w:eastAsia="en-US"/>
        </w:rPr>
        <w:t>приложении №</w:t>
      </w:r>
      <w:r w:rsidR="00795449" w:rsidRPr="005C4428">
        <w:rPr>
          <w:lang w:eastAsia="en-US"/>
        </w:rPr>
        <w:t xml:space="preserve"> </w:t>
      </w:r>
      <w:r w:rsidR="0058102A">
        <w:rPr>
          <w:lang w:eastAsia="en-US"/>
        </w:rPr>
        <w:t>6</w:t>
      </w:r>
      <w:r w:rsidRPr="005C4428">
        <w:rPr>
          <w:lang w:eastAsia="en-US"/>
        </w:rPr>
        <w:t>.</w:t>
      </w:r>
    </w:p>
    <w:p w14:paraId="5403F7D6" w14:textId="6549A204" w:rsidR="00F936E1" w:rsidRPr="00795449" w:rsidRDefault="0075344F" w:rsidP="00355008">
      <w:pPr>
        <w:autoSpaceDE w:val="0"/>
        <w:autoSpaceDN w:val="0"/>
        <w:adjustRightInd w:val="0"/>
        <w:ind w:firstLine="680"/>
        <w:jc w:val="both"/>
        <w:rPr>
          <w:bCs/>
        </w:rPr>
      </w:pPr>
      <w:r w:rsidRPr="00795449">
        <w:rPr>
          <w:bCs/>
        </w:rPr>
        <w:t>Бюджетные назначения исполнены</w:t>
      </w:r>
      <w:r w:rsidR="00355008" w:rsidRPr="00795449">
        <w:rPr>
          <w:bCs/>
        </w:rPr>
        <w:t xml:space="preserve"> в сумме 6 681 57</w:t>
      </w:r>
      <w:r w:rsidR="00FE2655">
        <w:rPr>
          <w:bCs/>
        </w:rPr>
        <w:t>8</w:t>
      </w:r>
      <w:r w:rsidR="00355008" w:rsidRPr="00795449">
        <w:rPr>
          <w:bCs/>
        </w:rPr>
        <w:t>,</w:t>
      </w:r>
      <w:r w:rsidR="009B36A6">
        <w:rPr>
          <w:bCs/>
        </w:rPr>
        <w:t>0</w:t>
      </w:r>
      <w:r w:rsidR="00355008" w:rsidRPr="00795449">
        <w:rPr>
          <w:bCs/>
        </w:rPr>
        <w:t xml:space="preserve"> тыс. руб.</w:t>
      </w:r>
      <w:r w:rsidRPr="00795449">
        <w:rPr>
          <w:bCs/>
        </w:rPr>
        <w:t xml:space="preserve">, или на 99,1 процента. </w:t>
      </w:r>
      <w:r w:rsidR="00355008" w:rsidRPr="00795449">
        <w:rPr>
          <w:bCs/>
        </w:rPr>
        <w:t xml:space="preserve">Объем неисполненных бюджетных назначений </w:t>
      </w:r>
      <w:r w:rsidRPr="00795449">
        <w:rPr>
          <w:bCs/>
        </w:rPr>
        <w:t>сложился в сумме</w:t>
      </w:r>
      <w:r w:rsidR="00355008" w:rsidRPr="00795449">
        <w:rPr>
          <w:bCs/>
        </w:rPr>
        <w:t xml:space="preserve"> </w:t>
      </w:r>
      <w:r w:rsidR="00355008" w:rsidRPr="00795449">
        <w:t>60 420,</w:t>
      </w:r>
      <w:r w:rsidR="00854DB3">
        <w:t>8</w:t>
      </w:r>
      <w:r w:rsidR="00355008" w:rsidRPr="00795449">
        <w:rPr>
          <w:bCs/>
        </w:rPr>
        <w:t xml:space="preserve"> тыс. руб.</w:t>
      </w:r>
      <w:r w:rsidR="00D86738" w:rsidRPr="00795449">
        <w:rPr>
          <w:bCs/>
        </w:rPr>
        <w:t xml:space="preserve"> (0,9%)</w:t>
      </w:r>
      <w:r w:rsidRPr="00795449">
        <w:rPr>
          <w:bCs/>
        </w:rPr>
        <w:t xml:space="preserve"> в основном</w:t>
      </w:r>
      <w:r w:rsidR="00795449" w:rsidRPr="00795449">
        <w:rPr>
          <w:bCs/>
        </w:rPr>
        <w:t xml:space="preserve"> по двум мероприятиям</w:t>
      </w:r>
      <w:r w:rsidR="00F936E1" w:rsidRPr="00795449">
        <w:rPr>
          <w:bCs/>
        </w:rPr>
        <w:t>:</w:t>
      </w:r>
    </w:p>
    <w:p w14:paraId="3CC405B5" w14:textId="1D123A14" w:rsidR="00F936E1" w:rsidRPr="00795449" w:rsidRDefault="00F936E1" w:rsidP="00355008">
      <w:pPr>
        <w:autoSpaceDE w:val="0"/>
        <w:autoSpaceDN w:val="0"/>
        <w:adjustRightInd w:val="0"/>
        <w:ind w:firstLine="680"/>
        <w:jc w:val="both"/>
        <w:rPr>
          <w:bCs/>
        </w:rPr>
      </w:pPr>
      <w:r w:rsidRPr="00795449">
        <w:rPr>
          <w:bCs/>
        </w:rPr>
        <w:t>-</w:t>
      </w:r>
      <w:r w:rsidR="0075344F" w:rsidRPr="00795449">
        <w:rPr>
          <w:bCs/>
        </w:rPr>
        <w:t>«Обслуживание государственного долга» (46 496,6 тыс. руб.)</w:t>
      </w:r>
      <w:r w:rsidR="00B0583E" w:rsidRPr="00795449">
        <w:rPr>
          <w:bCs/>
        </w:rPr>
        <w:t>;</w:t>
      </w:r>
    </w:p>
    <w:p w14:paraId="429FD589" w14:textId="0E89A961" w:rsidR="00355008" w:rsidRPr="00795449" w:rsidRDefault="00F936E1" w:rsidP="004763BC">
      <w:pPr>
        <w:autoSpaceDE w:val="0"/>
        <w:autoSpaceDN w:val="0"/>
        <w:adjustRightInd w:val="0"/>
        <w:ind w:firstLine="709"/>
        <w:jc w:val="both"/>
        <w:rPr>
          <w:bCs/>
        </w:rPr>
      </w:pPr>
      <w:r w:rsidRPr="00795449">
        <w:rPr>
          <w:bCs/>
        </w:rPr>
        <w:t>-</w:t>
      </w:r>
      <w:r w:rsidR="0075344F" w:rsidRPr="00795449">
        <w:rPr>
          <w:bCs/>
        </w:rPr>
        <w:t>«</w:t>
      </w:r>
      <w:r w:rsidRPr="00795449">
        <w:rPr>
          <w:bCs/>
        </w:rPr>
        <w:t>П</w:t>
      </w:r>
      <w:r w:rsidR="0075344F" w:rsidRPr="00795449">
        <w:rPr>
          <w:bCs/>
        </w:rPr>
        <w:t>редоставление субсидий бюджетам муниципальных образований для решения отдельных вопросов местного значения в сфере дополнительного образования детей</w:t>
      </w:r>
      <w:r w:rsidRPr="00795449">
        <w:rPr>
          <w:bCs/>
        </w:rPr>
        <w:t>»</w:t>
      </w:r>
      <w:r w:rsidR="00B0583E" w:rsidRPr="00795449">
        <w:rPr>
          <w:bCs/>
        </w:rPr>
        <w:t xml:space="preserve"> (7 261,8 тыс. руб.)</w:t>
      </w:r>
      <w:r w:rsidRPr="00795449">
        <w:rPr>
          <w:bCs/>
        </w:rPr>
        <w:t xml:space="preserve"> в рамках подпрограммы «Повышение финансовой грамотности населения в Волгоградской области»</w:t>
      </w:r>
      <w:r w:rsidR="00D86738" w:rsidRPr="00795449">
        <w:rPr>
          <w:bCs/>
        </w:rPr>
        <w:t>, что обусловлено снижением</w:t>
      </w:r>
      <w:r w:rsidR="00B0583E" w:rsidRPr="00795449">
        <w:rPr>
          <w:bCs/>
        </w:rPr>
        <w:t xml:space="preserve"> количества мероприятий </w:t>
      </w:r>
      <w:r w:rsidR="00D86738" w:rsidRPr="00795449">
        <w:rPr>
          <w:bCs/>
        </w:rPr>
        <w:t xml:space="preserve">в связи с </w:t>
      </w:r>
      <w:r w:rsidR="00D86738" w:rsidRPr="00795449">
        <w:t>введением ограничительных мер в целях предотвращения распространения COVID-2019.</w:t>
      </w:r>
    </w:p>
    <w:p w14:paraId="0AA2E112" w14:textId="24020B5B" w:rsidR="00944CF7" w:rsidRPr="002969B7" w:rsidRDefault="00B46D3C" w:rsidP="004908E5">
      <w:pPr>
        <w:autoSpaceDE w:val="0"/>
        <w:autoSpaceDN w:val="0"/>
        <w:adjustRightInd w:val="0"/>
        <w:ind w:firstLine="709"/>
        <w:jc w:val="both"/>
        <w:rPr>
          <w:lang w:eastAsia="en-US"/>
        </w:rPr>
      </w:pPr>
      <w:r w:rsidRPr="002969B7">
        <w:rPr>
          <w:lang w:eastAsia="en-US"/>
        </w:rPr>
        <w:t xml:space="preserve">В 2020 году </w:t>
      </w:r>
      <w:r w:rsidR="00795449" w:rsidRPr="002969B7">
        <w:rPr>
          <w:lang w:eastAsia="en-US"/>
        </w:rPr>
        <w:t xml:space="preserve">не достигнуты </w:t>
      </w:r>
      <w:r w:rsidRPr="002969B7">
        <w:rPr>
          <w:lang w:eastAsia="en-US"/>
        </w:rPr>
        <w:t>плановые значения двух из двадцати семи целевых показателей</w:t>
      </w:r>
      <w:r w:rsidR="00BA0CC2">
        <w:rPr>
          <w:lang w:eastAsia="en-US"/>
        </w:rPr>
        <w:t xml:space="preserve"> (приложение № </w:t>
      </w:r>
      <w:r w:rsidR="0058102A">
        <w:rPr>
          <w:lang w:eastAsia="en-US"/>
        </w:rPr>
        <w:t>7</w:t>
      </w:r>
      <w:r w:rsidR="00BA0CC2">
        <w:rPr>
          <w:lang w:eastAsia="en-US"/>
        </w:rPr>
        <w:t>)</w:t>
      </w:r>
      <w:r w:rsidRPr="002969B7">
        <w:rPr>
          <w:lang w:eastAsia="en-US"/>
        </w:rPr>
        <w:t>:</w:t>
      </w:r>
    </w:p>
    <w:p w14:paraId="7A911EDE" w14:textId="676B89A0" w:rsidR="000E64FD" w:rsidRPr="009C33FC" w:rsidRDefault="00E44B53" w:rsidP="00DC6718">
      <w:pPr>
        <w:pStyle w:val="a6"/>
        <w:numPr>
          <w:ilvl w:val="0"/>
          <w:numId w:val="16"/>
        </w:numPr>
        <w:autoSpaceDE w:val="0"/>
        <w:autoSpaceDN w:val="0"/>
        <w:adjustRightInd w:val="0"/>
        <w:ind w:left="0" w:firstLine="709"/>
        <w:jc w:val="both"/>
        <w:rPr>
          <w:rFonts w:eastAsia="Times New Roman"/>
        </w:rPr>
      </w:pPr>
      <w:r w:rsidRPr="002969B7">
        <w:rPr>
          <w:rFonts w:eastAsia="Times New Roman"/>
        </w:rPr>
        <w:t>«С</w:t>
      </w:r>
      <w:r w:rsidR="007B1774" w:rsidRPr="002969B7">
        <w:rPr>
          <w:rFonts w:eastAsia="Times New Roman"/>
        </w:rPr>
        <w:t>оотношение суммы просроченной задолженности по кредитам, предоставленным физическим лицам Волгоградской области, в расчете на одного жителя к аналогичному показателю в среднем по Российской Федерации» (план – не более 90%, факт – 98%)</w:t>
      </w:r>
      <w:r w:rsidRPr="002969B7">
        <w:rPr>
          <w:rFonts w:eastAsia="Times New Roman"/>
        </w:rPr>
        <w:t>. Негативная динамика фактически достигнутых значений целевого показателя (2017 год – 91,5%, 2018 год – 91,5%, 2019 год – 93,6%, 2020 год – 98,0%) характеризует</w:t>
      </w:r>
      <w:r w:rsidR="00CB4311" w:rsidRPr="002969B7">
        <w:rPr>
          <w:rFonts w:eastAsia="Times New Roman"/>
        </w:rPr>
        <w:t xml:space="preserve"> недостижение цели подпрограммы «Повышение финансовой грамотности населения Волгоградской области» - формирование у граждан рационального финансового поведения при принятии решений по отношению к личным финансам и повышение эффективности </w:t>
      </w:r>
      <w:r w:rsidR="00CB4311" w:rsidRPr="009C33FC">
        <w:rPr>
          <w:rFonts w:eastAsia="Times New Roman"/>
        </w:rPr>
        <w:t>защиты их прав как потребителей финансовых услуг.</w:t>
      </w:r>
    </w:p>
    <w:p w14:paraId="0F2F8058" w14:textId="54D9559C" w:rsidR="002969B7" w:rsidRDefault="002969B7" w:rsidP="007C6290">
      <w:pPr>
        <w:pStyle w:val="a6"/>
        <w:numPr>
          <w:ilvl w:val="0"/>
          <w:numId w:val="16"/>
        </w:numPr>
        <w:autoSpaceDE w:val="0"/>
        <w:autoSpaceDN w:val="0"/>
        <w:adjustRightInd w:val="0"/>
        <w:ind w:left="0" w:firstLine="709"/>
        <w:jc w:val="both"/>
        <w:rPr>
          <w:rFonts w:eastAsia="Times New Roman"/>
        </w:rPr>
      </w:pPr>
      <w:r w:rsidRPr="009C33FC">
        <w:t>«</w:t>
      </w:r>
      <w:r w:rsidRPr="009C33FC">
        <w:rPr>
          <w:rFonts w:eastAsia="Times New Roman"/>
        </w:rPr>
        <w:t>Доля от налога на доходы физических лиц, поступающего в консолидированный бюджет ВО, передаваемая муниципальным образованиям при формировании межбюджетных отношений на очередной финансовый год</w:t>
      </w:r>
      <w:r w:rsidRPr="009C33FC">
        <w:t xml:space="preserve">» (план – не менее 20%, факт – 18,1%). </w:t>
      </w:r>
      <w:r w:rsidR="00BA0CC2">
        <w:t>З</w:t>
      </w:r>
      <w:r w:rsidRPr="009C33FC">
        <w:t xml:space="preserve">апланированное значение целевого показателя не достигнуто так же, как и в 2019 году (план – не менее 20%, факт – 18,2%), что обусловлено </w:t>
      </w:r>
      <w:r w:rsidRPr="009C33FC">
        <w:rPr>
          <w:rFonts w:eastAsia="Times New Roman"/>
        </w:rPr>
        <w:t xml:space="preserve">снижением с 2019 года расчетного объема дотации на выравнивание бюджетной обеспеченности муниципальных образований и соответственно </w:t>
      </w:r>
      <w:r w:rsidRPr="009C33FC">
        <w:t xml:space="preserve">сокращением объема </w:t>
      </w:r>
      <w:r w:rsidRPr="009C33FC">
        <w:rPr>
          <w:rFonts w:eastAsia="Times New Roman"/>
        </w:rPr>
        <w:t xml:space="preserve">НДФЛ, передаваемого муниципальным образованиям в виде дополнительного норматива отчислений взамен дотации. </w:t>
      </w:r>
      <w:r w:rsidR="00BA0CC2">
        <w:rPr>
          <w:rFonts w:eastAsia="Times New Roman"/>
        </w:rPr>
        <w:t>Полагаем, что д</w:t>
      </w:r>
      <w:r w:rsidRPr="009C33FC">
        <w:rPr>
          <w:rFonts w:eastAsia="Times New Roman"/>
        </w:rPr>
        <w:t xml:space="preserve">остижение значения целевого показателя, установленного Госпрограммой на 2021-2022 годы, в условиях действующего механизма межбюджетных отношений, возможно только при условии увеличения объема дотаций на выравнивание бюджетной обеспеченности. </w:t>
      </w:r>
      <w:bookmarkStart w:id="9" w:name="_Hlk69990114"/>
      <w:r w:rsidRPr="009C33FC">
        <w:rPr>
          <w:rFonts w:eastAsia="Times New Roman"/>
        </w:rPr>
        <w:t xml:space="preserve">В ходе подготовки настоящего заключения </w:t>
      </w:r>
      <w:bookmarkStart w:id="10" w:name="_Hlk69990074"/>
      <w:bookmarkEnd w:id="9"/>
      <w:proofErr w:type="spellStart"/>
      <w:r w:rsidRPr="009C33FC">
        <w:rPr>
          <w:rFonts w:eastAsia="Times New Roman"/>
        </w:rPr>
        <w:t>Облфином</w:t>
      </w:r>
      <w:proofErr w:type="spellEnd"/>
      <w:r w:rsidRPr="009C33FC">
        <w:rPr>
          <w:rFonts w:eastAsia="Times New Roman"/>
        </w:rPr>
        <w:t xml:space="preserve"> подготовлен и направлен</w:t>
      </w:r>
      <w:r w:rsidR="00915F48">
        <w:rPr>
          <w:rFonts w:eastAsia="Times New Roman"/>
        </w:rPr>
        <w:t xml:space="preserve"> на экспертизу</w:t>
      </w:r>
      <w:r w:rsidRPr="009C33FC">
        <w:rPr>
          <w:rFonts w:eastAsia="Times New Roman"/>
        </w:rPr>
        <w:t xml:space="preserve"> проект постановления Администрации Волгоградской области о внесении изменений в Г</w:t>
      </w:r>
      <w:r w:rsidR="009C33FC" w:rsidRPr="009C33FC">
        <w:rPr>
          <w:rFonts w:eastAsia="Times New Roman"/>
        </w:rPr>
        <w:t>оспрограмму в части корректировки плановых значений указанного целевого показателя.</w:t>
      </w:r>
      <w:bookmarkEnd w:id="10"/>
    </w:p>
    <w:p w14:paraId="45B4AEE4" w14:textId="77777777" w:rsidR="00521E73" w:rsidRPr="009C33FC" w:rsidRDefault="00521E73" w:rsidP="00795449">
      <w:pPr>
        <w:ind w:firstLine="680"/>
        <w:jc w:val="both"/>
      </w:pPr>
    </w:p>
    <w:p w14:paraId="28724097" w14:textId="77777777" w:rsidR="00AD2D82" w:rsidRPr="00390980" w:rsidRDefault="00AD2D82" w:rsidP="00333225">
      <w:pPr>
        <w:autoSpaceDE w:val="0"/>
        <w:autoSpaceDN w:val="0"/>
        <w:adjustRightInd w:val="0"/>
        <w:ind w:firstLine="720"/>
        <w:jc w:val="center"/>
        <w:rPr>
          <w:b/>
          <w:iCs/>
        </w:rPr>
      </w:pPr>
      <w:r w:rsidRPr="00390980">
        <w:rPr>
          <w:b/>
          <w:iCs/>
        </w:rPr>
        <w:lastRenderedPageBreak/>
        <w:t>Организация</w:t>
      </w:r>
      <w:r w:rsidRPr="00390980">
        <w:rPr>
          <w:iCs/>
        </w:rPr>
        <w:t xml:space="preserve"> </w:t>
      </w:r>
      <w:r w:rsidRPr="00390980">
        <w:rPr>
          <w:b/>
          <w:iCs/>
        </w:rPr>
        <w:t xml:space="preserve">внутреннего финансового аудита </w:t>
      </w:r>
    </w:p>
    <w:p w14:paraId="422497E4" w14:textId="28876404" w:rsidR="00AD2D82" w:rsidRPr="009C33FC" w:rsidRDefault="00D9232F" w:rsidP="00FC5603">
      <w:pPr>
        <w:pStyle w:val="ae"/>
        <w:ind w:left="0" w:firstLine="709"/>
        <w:rPr>
          <w:rFonts w:ascii="Times New Roman" w:eastAsia="Times New Roman" w:hAnsi="Times New Roman" w:cs="Times New Roman"/>
          <w:sz w:val="24"/>
          <w:szCs w:val="24"/>
          <w:lang w:eastAsia="ru-RU"/>
        </w:rPr>
      </w:pPr>
      <w:r w:rsidRPr="009C33FC">
        <w:rPr>
          <w:rFonts w:ascii="Times New Roman" w:eastAsia="Times New Roman" w:hAnsi="Times New Roman" w:cs="Times New Roman"/>
          <w:sz w:val="24"/>
          <w:szCs w:val="24"/>
          <w:lang w:eastAsia="ru-RU"/>
        </w:rPr>
        <w:t xml:space="preserve">В соответствии с пунктом 5 статьи 160.2-1 БК РФ </w:t>
      </w:r>
      <w:r w:rsidR="00FC5603" w:rsidRPr="009C33FC">
        <w:rPr>
          <w:rFonts w:ascii="Times New Roman" w:eastAsia="Times New Roman" w:hAnsi="Times New Roman" w:cs="Times New Roman"/>
          <w:sz w:val="24"/>
          <w:szCs w:val="24"/>
          <w:lang w:eastAsia="ru-RU"/>
        </w:rPr>
        <w:t>и на</w:t>
      </w:r>
      <w:r w:rsidR="00AD2D82" w:rsidRPr="009C33FC">
        <w:rPr>
          <w:rFonts w:ascii="Times New Roman" w:eastAsia="Times New Roman" w:hAnsi="Times New Roman" w:cs="Times New Roman"/>
          <w:sz w:val="24"/>
          <w:szCs w:val="24"/>
          <w:lang w:eastAsia="ru-RU"/>
        </w:rPr>
        <w:t xml:space="preserve"> основании приказа </w:t>
      </w:r>
      <w:proofErr w:type="spellStart"/>
      <w:r w:rsidR="00AD2D82" w:rsidRPr="009C33FC">
        <w:rPr>
          <w:rFonts w:ascii="Times New Roman" w:eastAsia="Times New Roman" w:hAnsi="Times New Roman" w:cs="Times New Roman"/>
          <w:sz w:val="24"/>
          <w:szCs w:val="24"/>
          <w:lang w:eastAsia="ru-RU"/>
        </w:rPr>
        <w:t>Облфина</w:t>
      </w:r>
      <w:proofErr w:type="spellEnd"/>
      <w:r w:rsidR="00AD2D82" w:rsidRPr="009C33FC">
        <w:rPr>
          <w:rFonts w:ascii="Times New Roman" w:eastAsia="Times New Roman" w:hAnsi="Times New Roman" w:cs="Times New Roman"/>
          <w:sz w:val="24"/>
          <w:szCs w:val="24"/>
          <w:lang w:eastAsia="ru-RU"/>
        </w:rPr>
        <w:t xml:space="preserve"> от </w:t>
      </w:r>
      <w:r w:rsidR="003A4D5B" w:rsidRPr="009C33FC">
        <w:rPr>
          <w:rFonts w:ascii="Times New Roman" w:eastAsia="Times New Roman" w:hAnsi="Times New Roman" w:cs="Times New Roman"/>
          <w:sz w:val="24"/>
          <w:szCs w:val="24"/>
          <w:lang w:eastAsia="ru-RU"/>
        </w:rPr>
        <w:t>03</w:t>
      </w:r>
      <w:r w:rsidR="00AD2D82" w:rsidRPr="009C33FC">
        <w:rPr>
          <w:rFonts w:ascii="Times New Roman" w:eastAsia="Times New Roman" w:hAnsi="Times New Roman" w:cs="Times New Roman"/>
          <w:sz w:val="24"/>
          <w:szCs w:val="24"/>
          <w:lang w:eastAsia="ru-RU"/>
        </w:rPr>
        <w:t>.0</w:t>
      </w:r>
      <w:r w:rsidR="003A4D5B" w:rsidRPr="009C33FC">
        <w:rPr>
          <w:rFonts w:ascii="Times New Roman" w:eastAsia="Times New Roman" w:hAnsi="Times New Roman" w:cs="Times New Roman"/>
          <w:sz w:val="24"/>
          <w:szCs w:val="24"/>
          <w:lang w:eastAsia="ru-RU"/>
        </w:rPr>
        <w:t>6</w:t>
      </w:r>
      <w:r w:rsidR="00AD2D82" w:rsidRPr="009C33FC">
        <w:rPr>
          <w:rFonts w:ascii="Times New Roman" w:eastAsia="Times New Roman" w:hAnsi="Times New Roman" w:cs="Times New Roman"/>
          <w:sz w:val="24"/>
          <w:szCs w:val="24"/>
          <w:lang w:eastAsia="ru-RU"/>
        </w:rPr>
        <w:t>.20</w:t>
      </w:r>
      <w:r w:rsidR="003A4D5B" w:rsidRPr="009C33FC">
        <w:rPr>
          <w:rFonts w:ascii="Times New Roman" w:eastAsia="Times New Roman" w:hAnsi="Times New Roman" w:cs="Times New Roman"/>
          <w:sz w:val="24"/>
          <w:szCs w:val="24"/>
          <w:lang w:eastAsia="ru-RU"/>
        </w:rPr>
        <w:t>20</w:t>
      </w:r>
      <w:r w:rsidR="00AD2D82" w:rsidRPr="009C33FC">
        <w:rPr>
          <w:rFonts w:ascii="Times New Roman" w:eastAsia="Times New Roman" w:hAnsi="Times New Roman" w:cs="Times New Roman"/>
          <w:sz w:val="24"/>
          <w:szCs w:val="24"/>
          <w:lang w:eastAsia="ru-RU"/>
        </w:rPr>
        <w:t xml:space="preserve"> № </w:t>
      </w:r>
      <w:r w:rsidR="003A4D5B" w:rsidRPr="009C33FC">
        <w:rPr>
          <w:rFonts w:ascii="Times New Roman" w:eastAsia="Times New Roman" w:hAnsi="Times New Roman" w:cs="Times New Roman"/>
          <w:sz w:val="24"/>
          <w:szCs w:val="24"/>
          <w:lang w:eastAsia="ru-RU"/>
        </w:rPr>
        <w:t>14</w:t>
      </w:r>
      <w:r w:rsidR="00AD2D82" w:rsidRPr="009C33FC">
        <w:rPr>
          <w:rFonts w:ascii="Times New Roman" w:eastAsia="Times New Roman" w:hAnsi="Times New Roman" w:cs="Times New Roman"/>
          <w:sz w:val="24"/>
          <w:szCs w:val="24"/>
          <w:lang w:eastAsia="ru-RU"/>
        </w:rPr>
        <w:t>4 «</w:t>
      </w:r>
      <w:r w:rsidR="003A4D5B" w:rsidRPr="009C33FC">
        <w:rPr>
          <w:rFonts w:ascii="Times New Roman" w:eastAsia="Times New Roman" w:hAnsi="Times New Roman" w:cs="Times New Roman"/>
          <w:sz w:val="24"/>
          <w:szCs w:val="24"/>
          <w:lang w:eastAsia="ru-RU"/>
        </w:rPr>
        <w:t xml:space="preserve">Об утверждении порядка осуществления внутреннего финансового аудита </w:t>
      </w:r>
      <w:r w:rsidR="00AD2D82" w:rsidRPr="009C33FC">
        <w:rPr>
          <w:rFonts w:ascii="Times New Roman" w:eastAsia="Times New Roman" w:hAnsi="Times New Roman" w:cs="Times New Roman"/>
          <w:sz w:val="24"/>
          <w:szCs w:val="24"/>
          <w:lang w:eastAsia="ru-RU"/>
        </w:rPr>
        <w:t xml:space="preserve">в комитете финансов Волгоградской области» </w:t>
      </w:r>
      <w:r w:rsidR="003A4D5B" w:rsidRPr="009C33FC">
        <w:rPr>
          <w:rFonts w:ascii="Times New Roman" w:eastAsia="Times New Roman" w:hAnsi="Times New Roman" w:cs="Times New Roman"/>
          <w:sz w:val="24"/>
          <w:szCs w:val="24"/>
          <w:lang w:eastAsia="ru-RU"/>
        </w:rPr>
        <w:t xml:space="preserve">внутренний финансовый аудит осуществляется </w:t>
      </w:r>
      <w:r w:rsidR="00AD2D82" w:rsidRPr="009C33FC">
        <w:rPr>
          <w:rFonts w:ascii="Times New Roman" w:eastAsia="Times New Roman" w:hAnsi="Times New Roman" w:cs="Times New Roman"/>
          <w:sz w:val="24"/>
          <w:szCs w:val="24"/>
          <w:lang w:eastAsia="ru-RU"/>
        </w:rPr>
        <w:t>контрольн</w:t>
      </w:r>
      <w:r w:rsidR="003A4D5B" w:rsidRPr="009C33FC">
        <w:rPr>
          <w:rFonts w:ascii="Times New Roman" w:eastAsia="Times New Roman" w:hAnsi="Times New Roman" w:cs="Times New Roman"/>
          <w:sz w:val="24"/>
          <w:szCs w:val="24"/>
          <w:lang w:eastAsia="ru-RU"/>
        </w:rPr>
        <w:t>ым</w:t>
      </w:r>
      <w:r w:rsidR="00AD2D82" w:rsidRPr="009C33FC">
        <w:rPr>
          <w:rFonts w:ascii="Times New Roman" w:eastAsia="Times New Roman" w:hAnsi="Times New Roman" w:cs="Times New Roman"/>
          <w:sz w:val="24"/>
          <w:szCs w:val="24"/>
          <w:lang w:eastAsia="ru-RU"/>
        </w:rPr>
        <w:t xml:space="preserve"> управление</w:t>
      </w:r>
      <w:r w:rsidR="003A4D5B" w:rsidRPr="009C33FC">
        <w:rPr>
          <w:rFonts w:ascii="Times New Roman" w:eastAsia="Times New Roman" w:hAnsi="Times New Roman" w:cs="Times New Roman"/>
          <w:sz w:val="24"/>
          <w:szCs w:val="24"/>
          <w:lang w:eastAsia="ru-RU"/>
        </w:rPr>
        <w:t>м</w:t>
      </w:r>
      <w:r w:rsidR="00AD2D82" w:rsidRPr="009C33FC">
        <w:rPr>
          <w:rFonts w:ascii="Times New Roman" w:eastAsia="Times New Roman" w:hAnsi="Times New Roman" w:cs="Times New Roman"/>
          <w:sz w:val="24"/>
          <w:szCs w:val="24"/>
          <w:lang w:eastAsia="ru-RU"/>
        </w:rPr>
        <w:t xml:space="preserve"> </w:t>
      </w:r>
      <w:proofErr w:type="spellStart"/>
      <w:r w:rsidR="00AD2D82" w:rsidRPr="009C33FC">
        <w:rPr>
          <w:rFonts w:ascii="Times New Roman" w:eastAsia="Times New Roman" w:hAnsi="Times New Roman" w:cs="Times New Roman"/>
          <w:sz w:val="24"/>
          <w:szCs w:val="24"/>
          <w:lang w:eastAsia="ru-RU"/>
        </w:rPr>
        <w:t>Облфина</w:t>
      </w:r>
      <w:proofErr w:type="spellEnd"/>
      <w:r w:rsidR="00FC5603" w:rsidRPr="009C33FC">
        <w:rPr>
          <w:rFonts w:ascii="Times New Roman" w:eastAsia="Times New Roman" w:hAnsi="Times New Roman" w:cs="Times New Roman"/>
          <w:sz w:val="24"/>
          <w:szCs w:val="24"/>
          <w:lang w:eastAsia="ru-RU"/>
        </w:rPr>
        <w:t>.</w:t>
      </w:r>
    </w:p>
    <w:p w14:paraId="22BFBA64" w14:textId="0E7CE80B" w:rsidR="00BB4350" w:rsidRPr="009C33FC" w:rsidRDefault="006405A7" w:rsidP="006405A7">
      <w:pPr>
        <w:pStyle w:val="a5"/>
        <w:ind w:firstLine="709"/>
        <w:jc w:val="both"/>
        <w:rPr>
          <w:rFonts w:ascii="Times New Roman" w:eastAsia="Times New Roman" w:hAnsi="Times New Roman" w:cs="Times New Roman"/>
          <w:sz w:val="24"/>
          <w:szCs w:val="24"/>
          <w:lang w:val="ru-RU" w:eastAsia="ru-RU"/>
        </w:rPr>
      </w:pPr>
      <w:r w:rsidRPr="009C33FC">
        <w:rPr>
          <w:rFonts w:ascii="Times New Roman" w:eastAsia="Times New Roman" w:hAnsi="Times New Roman" w:cs="Times New Roman"/>
          <w:sz w:val="24"/>
          <w:szCs w:val="24"/>
          <w:lang w:val="ru-RU" w:eastAsia="ru-RU"/>
        </w:rPr>
        <w:t>В 20</w:t>
      </w:r>
      <w:r w:rsidR="003A4D5B" w:rsidRPr="009C33FC">
        <w:rPr>
          <w:rFonts w:ascii="Times New Roman" w:eastAsia="Times New Roman" w:hAnsi="Times New Roman" w:cs="Times New Roman"/>
          <w:sz w:val="24"/>
          <w:szCs w:val="24"/>
          <w:lang w:val="ru-RU" w:eastAsia="ru-RU"/>
        </w:rPr>
        <w:t>20</w:t>
      </w:r>
      <w:r w:rsidRPr="009C33FC">
        <w:rPr>
          <w:rFonts w:ascii="Times New Roman" w:eastAsia="Times New Roman" w:hAnsi="Times New Roman" w:cs="Times New Roman"/>
          <w:sz w:val="24"/>
          <w:szCs w:val="24"/>
          <w:lang w:val="ru-RU" w:eastAsia="ru-RU"/>
        </w:rPr>
        <w:t xml:space="preserve"> году в соответствии с планом проведения аудиторских проверок в рамках осуществления внутреннего финансового аудита на 20</w:t>
      </w:r>
      <w:r w:rsidR="003A4D5B" w:rsidRPr="009C33FC">
        <w:rPr>
          <w:rFonts w:ascii="Times New Roman" w:eastAsia="Times New Roman" w:hAnsi="Times New Roman" w:cs="Times New Roman"/>
          <w:sz w:val="24"/>
          <w:szCs w:val="24"/>
          <w:lang w:val="ru-RU" w:eastAsia="ru-RU"/>
        </w:rPr>
        <w:t>20</w:t>
      </w:r>
      <w:r w:rsidRPr="009C33FC">
        <w:rPr>
          <w:rFonts w:ascii="Times New Roman" w:eastAsia="Times New Roman" w:hAnsi="Times New Roman" w:cs="Times New Roman"/>
          <w:sz w:val="24"/>
          <w:szCs w:val="24"/>
          <w:lang w:val="ru-RU" w:eastAsia="ru-RU"/>
        </w:rPr>
        <w:t xml:space="preserve"> год проведены </w:t>
      </w:r>
      <w:r w:rsidR="00BB4350" w:rsidRPr="009C33FC">
        <w:rPr>
          <w:rFonts w:ascii="Times New Roman" w:eastAsia="Times New Roman" w:hAnsi="Times New Roman" w:cs="Times New Roman"/>
          <w:sz w:val="24"/>
          <w:szCs w:val="24"/>
          <w:lang w:val="ru-RU" w:eastAsia="ru-RU"/>
        </w:rPr>
        <w:t>два</w:t>
      </w:r>
      <w:r w:rsidRPr="009C33FC">
        <w:rPr>
          <w:rFonts w:ascii="Times New Roman" w:eastAsia="Times New Roman" w:hAnsi="Times New Roman" w:cs="Times New Roman"/>
          <w:sz w:val="24"/>
          <w:szCs w:val="24"/>
          <w:lang w:val="ru-RU" w:eastAsia="ru-RU"/>
        </w:rPr>
        <w:t xml:space="preserve"> аудиторски</w:t>
      </w:r>
      <w:r w:rsidR="00BB4350" w:rsidRPr="009C33FC">
        <w:rPr>
          <w:rFonts w:ascii="Times New Roman" w:eastAsia="Times New Roman" w:hAnsi="Times New Roman" w:cs="Times New Roman"/>
          <w:sz w:val="24"/>
          <w:szCs w:val="24"/>
          <w:lang w:val="ru-RU" w:eastAsia="ru-RU"/>
        </w:rPr>
        <w:t>х</w:t>
      </w:r>
      <w:r w:rsidRPr="009C33FC">
        <w:rPr>
          <w:rFonts w:ascii="Times New Roman" w:eastAsia="Times New Roman" w:hAnsi="Times New Roman" w:cs="Times New Roman"/>
          <w:sz w:val="24"/>
          <w:szCs w:val="24"/>
          <w:lang w:val="ru-RU" w:eastAsia="ru-RU"/>
        </w:rPr>
        <w:t xml:space="preserve"> </w:t>
      </w:r>
      <w:r w:rsidR="00F5160C" w:rsidRPr="009C33FC">
        <w:rPr>
          <w:rFonts w:ascii="Times New Roman" w:eastAsia="Times New Roman" w:hAnsi="Times New Roman" w:cs="Times New Roman"/>
          <w:sz w:val="24"/>
          <w:szCs w:val="24"/>
          <w:lang w:val="ru-RU" w:eastAsia="ru-RU"/>
        </w:rPr>
        <w:t>мероприятия</w:t>
      </w:r>
      <w:r w:rsidR="00BB4350" w:rsidRPr="009C33FC">
        <w:rPr>
          <w:rFonts w:ascii="Times New Roman" w:eastAsia="Times New Roman" w:hAnsi="Times New Roman" w:cs="Times New Roman"/>
          <w:sz w:val="24"/>
          <w:szCs w:val="24"/>
          <w:lang w:val="ru-RU" w:eastAsia="ru-RU"/>
        </w:rPr>
        <w:t>:</w:t>
      </w:r>
    </w:p>
    <w:p w14:paraId="108B6A62" w14:textId="14BD0C09" w:rsidR="006405A7" w:rsidRPr="009C33FC" w:rsidRDefault="00BB4350" w:rsidP="006405A7">
      <w:pPr>
        <w:pStyle w:val="a5"/>
        <w:ind w:firstLine="709"/>
        <w:jc w:val="both"/>
        <w:rPr>
          <w:rFonts w:ascii="Times New Roman" w:eastAsia="Times New Roman" w:hAnsi="Times New Roman" w:cs="Times New Roman"/>
          <w:sz w:val="24"/>
          <w:szCs w:val="24"/>
          <w:lang w:val="ru-RU" w:eastAsia="ru-RU"/>
        </w:rPr>
      </w:pPr>
      <w:r w:rsidRPr="009C33FC">
        <w:rPr>
          <w:rFonts w:ascii="Times New Roman" w:eastAsia="Times New Roman" w:hAnsi="Times New Roman" w:cs="Times New Roman"/>
          <w:sz w:val="24"/>
          <w:szCs w:val="24"/>
          <w:lang w:val="ru-RU" w:eastAsia="ru-RU"/>
        </w:rPr>
        <w:t xml:space="preserve">-проверка </w:t>
      </w:r>
      <w:r w:rsidR="006405A7" w:rsidRPr="009C33FC">
        <w:rPr>
          <w:rFonts w:ascii="Times New Roman" w:eastAsia="Times New Roman" w:hAnsi="Times New Roman" w:cs="Times New Roman"/>
          <w:sz w:val="24"/>
          <w:szCs w:val="24"/>
          <w:lang w:val="ru-RU" w:eastAsia="ru-RU"/>
        </w:rPr>
        <w:t xml:space="preserve">достоверности бюджетной отчетности и соответствия порядка ведения бюджетного учета </w:t>
      </w:r>
      <w:r w:rsidR="005741DD" w:rsidRPr="009C33FC">
        <w:rPr>
          <w:rFonts w:ascii="Times New Roman" w:eastAsia="Times New Roman" w:hAnsi="Times New Roman" w:cs="Times New Roman"/>
          <w:sz w:val="24"/>
          <w:szCs w:val="24"/>
          <w:lang w:val="ru-RU" w:eastAsia="ru-RU"/>
        </w:rPr>
        <w:t xml:space="preserve">единой </w:t>
      </w:r>
      <w:r w:rsidR="006405A7" w:rsidRPr="009C33FC">
        <w:rPr>
          <w:rFonts w:ascii="Times New Roman" w:eastAsia="Times New Roman" w:hAnsi="Times New Roman" w:cs="Times New Roman"/>
          <w:sz w:val="24"/>
          <w:szCs w:val="24"/>
          <w:lang w:val="ru-RU" w:eastAsia="ru-RU"/>
        </w:rPr>
        <w:t xml:space="preserve">методологии </w:t>
      </w:r>
      <w:r w:rsidR="005741DD" w:rsidRPr="009C33FC">
        <w:rPr>
          <w:rFonts w:ascii="Times New Roman" w:eastAsia="Times New Roman" w:hAnsi="Times New Roman" w:cs="Times New Roman"/>
          <w:sz w:val="24"/>
          <w:szCs w:val="24"/>
          <w:lang w:val="ru-RU" w:eastAsia="ru-RU"/>
        </w:rPr>
        <w:t xml:space="preserve">бюджетного учета, составления, предоставления </w:t>
      </w:r>
      <w:r w:rsidR="006405A7" w:rsidRPr="009C33FC">
        <w:rPr>
          <w:rFonts w:ascii="Times New Roman" w:eastAsia="Times New Roman" w:hAnsi="Times New Roman" w:cs="Times New Roman"/>
          <w:sz w:val="24"/>
          <w:szCs w:val="24"/>
          <w:lang w:val="ru-RU" w:eastAsia="ru-RU"/>
        </w:rPr>
        <w:t xml:space="preserve">и </w:t>
      </w:r>
      <w:r w:rsidR="005741DD" w:rsidRPr="009C33FC">
        <w:rPr>
          <w:rFonts w:ascii="Times New Roman" w:eastAsia="Times New Roman" w:hAnsi="Times New Roman" w:cs="Times New Roman"/>
          <w:sz w:val="24"/>
          <w:szCs w:val="24"/>
          <w:lang w:val="ru-RU" w:eastAsia="ru-RU"/>
        </w:rPr>
        <w:t>утверждения бюджетной отчетности за 2019 год</w:t>
      </w:r>
      <w:r w:rsidR="006405A7" w:rsidRPr="009C33FC">
        <w:rPr>
          <w:rFonts w:ascii="Times New Roman" w:eastAsia="Times New Roman" w:hAnsi="Times New Roman" w:cs="Times New Roman"/>
          <w:sz w:val="24"/>
          <w:szCs w:val="24"/>
          <w:lang w:val="ru-RU" w:eastAsia="ru-RU"/>
        </w:rPr>
        <w:t>;</w:t>
      </w:r>
    </w:p>
    <w:p w14:paraId="4F7CFAF5" w14:textId="0D0041AB" w:rsidR="006405A7" w:rsidRPr="009C33FC" w:rsidRDefault="006405A7" w:rsidP="006405A7">
      <w:pPr>
        <w:pStyle w:val="a5"/>
        <w:ind w:firstLine="709"/>
        <w:jc w:val="both"/>
        <w:rPr>
          <w:rFonts w:ascii="Times New Roman" w:eastAsia="Calibri" w:hAnsi="Times New Roman" w:cs="Times New Roman"/>
          <w:sz w:val="24"/>
          <w:szCs w:val="24"/>
          <w:lang w:val="ru-RU"/>
        </w:rPr>
      </w:pPr>
      <w:r w:rsidRPr="009C33FC">
        <w:rPr>
          <w:rFonts w:ascii="Times New Roman" w:eastAsia="Calibri" w:hAnsi="Times New Roman" w:cs="Times New Roman"/>
          <w:sz w:val="24"/>
          <w:szCs w:val="24"/>
          <w:lang w:val="ru-RU"/>
        </w:rPr>
        <w:t>-</w:t>
      </w:r>
      <w:r w:rsidR="00F5160C" w:rsidRPr="009C33FC">
        <w:rPr>
          <w:rFonts w:ascii="Times New Roman" w:eastAsia="Calibri" w:hAnsi="Times New Roman" w:cs="Times New Roman"/>
          <w:sz w:val="24"/>
          <w:szCs w:val="24"/>
          <w:lang w:val="ru-RU"/>
        </w:rPr>
        <w:t xml:space="preserve">оценка </w:t>
      </w:r>
      <w:r w:rsidRPr="009C33FC">
        <w:rPr>
          <w:rFonts w:ascii="Times New Roman" w:eastAsia="Calibri" w:hAnsi="Times New Roman" w:cs="Times New Roman"/>
          <w:sz w:val="24"/>
          <w:szCs w:val="24"/>
          <w:lang w:val="ru-RU"/>
        </w:rPr>
        <w:t>надежности внутреннего финансового контроля в структурных подразделениях комитета финансов Волгоградской области за 9 месяцев 20</w:t>
      </w:r>
      <w:r w:rsidR="005741DD" w:rsidRPr="009C33FC">
        <w:rPr>
          <w:rFonts w:ascii="Times New Roman" w:eastAsia="Calibri" w:hAnsi="Times New Roman" w:cs="Times New Roman"/>
          <w:sz w:val="24"/>
          <w:szCs w:val="24"/>
          <w:lang w:val="ru-RU"/>
        </w:rPr>
        <w:t>20</w:t>
      </w:r>
      <w:r w:rsidRPr="009C33FC">
        <w:rPr>
          <w:rFonts w:ascii="Times New Roman" w:eastAsia="Calibri" w:hAnsi="Times New Roman" w:cs="Times New Roman"/>
          <w:sz w:val="24"/>
          <w:szCs w:val="24"/>
          <w:lang w:val="ru-RU"/>
        </w:rPr>
        <w:t xml:space="preserve"> года.</w:t>
      </w:r>
    </w:p>
    <w:p w14:paraId="2C4AF941" w14:textId="32EB2505" w:rsidR="0050746B" w:rsidRPr="009C33FC" w:rsidRDefault="00B148E6" w:rsidP="0050746B">
      <w:pPr>
        <w:pStyle w:val="a5"/>
        <w:ind w:firstLine="709"/>
        <w:jc w:val="both"/>
        <w:rPr>
          <w:rFonts w:ascii="Times New Roman" w:eastAsia="Calibri" w:hAnsi="Times New Roman" w:cs="Times New Roman"/>
          <w:sz w:val="24"/>
          <w:szCs w:val="24"/>
          <w:lang w:val="ru-RU"/>
        </w:rPr>
      </w:pPr>
      <w:r w:rsidRPr="009C33FC">
        <w:rPr>
          <w:rFonts w:ascii="Times New Roman" w:eastAsia="Calibri" w:hAnsi="Times New Roman" w:cs="Times New Roman"/>
          <w:sz w:val="24"/>
          <w:szCs w:val="24"/>
          <w:lang w:val="ru-RU"/>
        </w:rPr>
        <w:t xml:space="preserve">Согласно информации, представленной </w:t>
      </w:r>
      <w:proofErr w:type="spellStart"/>
      <w:r w:rsidRPr="009C33FC">
        <w:rPr>
          <w:rFonts w:ascii="Times New Roman" w:eastAsia="Calibri" w:hAnsi="Times New Roman" w:cs="Times New Roman"/>
          <w:sz w:val="24"/>
          <w:szCs w:val="24"/>
          <w:lang w:val="ru-RU"/>
        </w:rPr>
        <w:t>Облфином</w:t>
      </w:r>
      <w:proofErr w:type="spellEnd"/>
      <w:r w:rsidRPr="009C33FC">
        <w:rPr>
          <w:rFonts w:ascii="Times New Roman" w:eastAsia="Calibri" w:hAnsi="Times New Roman" w:cs="Times New Roman"/>
          <w:sz w:val="24"/>
          <w:szCs w:val="24"/>
          <w:lang w:val="ru-RU"/>
        </w:rPr>
        <w:t>,</w:t>
      </w:r>
      <w:r w:rsidR="00BB4350" w:rsidRPr="009C33FC">
        <w:rPr>
          <w:rFonts w:ascii="Times New Roman" w:eastAsia="Calibri" w:hAnsi="Times New Roman" w:cs="Times New Roman"/>
          <w:sz w:val="24"/>
          <w:szCs w:val="24"/>
          <w:lang w:val="ru-RU"/>
        </w:rPr>
        <w:t xml:space="preserve"> по результатам мероприятий нарушений не установлено. Р</w:t>
      </w:r>
      <w:r w:rsidR="006405A7" w:rsidRPr="009C33FC">
        <w:rPr>
          <w:rFonts w:ascii="Times New Roman" w:eastAsia="Calibri" w:hAnsi="Times New Roman" w:cs="Times New Roman"/>
          <w:sz w:val="24"/>
          <w:szCs w:val="24"/>
          <w:lang w:val="ru-RU"/>
        </w:rPr>
        <w:t>езультаты проведенных аудиторских проверок показали, что действующая система внутреннего финансового контроля позволяет обеспечить соблюдение требований бюджетного законодательства и иных нормативно-правовых актов при выполнении сотрудниками структурных подразделений комитета финансов бюджетных процедур, направленных на формирование и исполнение областного бюджета.</w:t>
      </w:r>
    </w:p>
    <w:p w14:paraId="6E228B19" w14:textId="77777777" w:rsidR="00CF07CE" w:rsidRDefault="00CF07CE" w:rsidP="00CF07CE">
      <w:pPr>
        <w:autoSpaceDE w:val="0"/>
        <w:autoSpaceDN w:val="0"/>
        <w:adjustRightInd w:val="0"/>
        <w:ind w:firstLine="709"/>
        <w:jc w:val="both"/>
        <w:rPr>
          <w:rFonts w:eastAsiaTheme="minorHAnsi"/>
          <w:b/>
          <w:bCs/>
          <w:lang w:eastAsia="en-US"/>
        </w:rPr>
      </w:pPr>
    </w:p>
    <w:p w14:paraId="194204DB" w14:textId="3B9F6CED" w:rsidR="00CF07CE" w:rsidRPr="00441C0A" w:rsidRDefault="00CF07CE" w:rsidP="00CF07CE">
      <w:pPr>
        <w:autoSpaceDE w:val="0"/>
        <w:autoSpaceDN w:val="0"/>
        <w:adjustRightInd w:val="0"/>
        <w:ind w:firstLine="709"/>
        <w:jc w:val="both"/>
        <w:rPr>
          <w:rFonts w:eastAsiaTheme="minorHAnsi"/>
          <w:b/>
          <w:bCs/>
          <w:lang w:eastAsia="en-US"/>
        </w:rPr>
      </w:pPr>
      <w:r w:rsidRPr="00441C0A">
        <w:rPr>
          <w:rFonts w:eastAsiaTheme="minorHAnsi"/>
          <w:b/>
          <w:bCs/>
          <w:lang w:eastAsia="en-US"/>
        </w:rPr>
        <w:t>Выводы:</w:t>
      </w:r>
    </w:p>
    <w:p w14:paraId="66AB4F6B" w14:textId="129BDA89" w:rsidR="00FE2655" w:rsidRPr="009B4DCE" w:rsidRDefault="00FE2655" w:rsidP="00CF07CE">
      <w:pPr>
        <w:pStyle w:val="a6"/>
        <w:numPr>
          <w:ilvl w:val="0"/>
          <w:numId w:val="17"/>
        </w:numPr>
        <w:autoSpaceDE w:val="0"/>
        <w:autoSpaceDN w:val="0"/>
        <w:adjustRightInd w:val="0"/>
        <w:ind w:left="0" w:firstLine="709"/>
        <w:jc w:val="both"/>
        <w:rPr>
          <w:rFonts w:eastAsiaTheme="minorHAnsi"/>
          <w:lang w:eastAsia="en-US"/>
        </w:rPr>
      </w:pPr>
      <w:r w:rsidRPr="00FE2655">
        <w:rPr>
          <w:rFonts w:eastAsiaTheme="minorHAnsi"/>
          <w:lang w:eastAsia="en-US"/>
        </w:rPr>
        <w:t xml:space="preserve">Администрируемые </w:t>
      </w:r>
      <w:proofErr w:type="spellStart"/>
      <w:r w:rsidRPr="00FE2655">
        <w:rPr>
          <w:rFonts w:eastAsiaTheme="minorHAnsi"/>
          <w:lang w:eastAsia="en-US"/>
        </w:rPr>
        <w:t>Облфином</w:t>
      </w:r>
      <w:proofErr w:type="spellEnd"/>
      <w:r w:rsidRPr="00FE2655">
        <w:rPr>
          <w:rFonts w:eastAsiaTheme="minorHAnsi"/>
          <w:lang w:eastAsia="en-US"/>
        </w:rPr>
        <w:t xml:space="preserve"> доходы в 2020 году исполнены в сумме </w:t>
      </w:r>
      <w:r w:rsidR="009B4DCE">
        <w:rPr>
          <w:rFonts w:eastAsiaTheme="minorHAnsi"/>
          <w:lang w:eastAsia="en-US"/>
        </w:rPr>
        <w:t xml:space="preserve">                    </w:t>
      </w:r>
      <w:r w:rsidRPr="00FE2655">
        <w:rPr>
          <w:rFonts w:eastAsiaTheme="minorHAnsi"/>
          <w:lang w:eastAsia="en-US"/>
        </w:rPr>
        <w:t xml:space="preserve">16 664 198,4 тыс. руб., </w:t>
      </w:r>
      <w:r w:rsidRPr="006C19AC">
        <w:rPr>
          <w:rFonts w:eastAsiaTheme="minorHAnsi"/>
          <w:lang w:eastAsia="en-US"/>
        </w:rPr>
        <w:t xml:space="preserve">что больше прогнозных назначений на 568 822,1 тыс. руб., или на 3,5 процента. </w:t>
      </w:r>
      <w:r w:rsidRPr="006C19AC">
        <w:t>Перевыполнение утвержденных бюджетных назначений</w:t>
      </w:r>
      <w:r w:rsidRPr="006C19AC">
        <w:rPr>
          <w:rFonts w:eastAsiaTheme="minorHAnsi"/>
          <w:lang w:eastAsia="en-US"/>
        </w:rPr>
        <w:t xml:space="preserve"> </w:t>
      </w:r>
      <w:r w:rsidRPr="006C19AC">
        <w:t xml:space="preserve">в основном сложилось по предоставленным бюджету Волгоградской области </w:t>
      </w:r>
      <w:r w:rsidR="00E70816" w:rsidRPr="006C19AC">
        <w:t>дотациям из федерального бюджета в сумме 564 794,7 тыс. руб.</w:t>
      </w:r>
      <w:r w:rsidRPr="006C19AC">
        <w:t>, не учтенных Законом об областном бюджете на 2020 год</w:t>
      </w:r>
      <w:r w:rsidR="00E70816" w:rsidRPr="006C19AC">
        <w:t>.</w:t>
      </w:r>
    </w:p>
    <w:p w14:paraId="001B87D9" w14:textId="5CBAB30F" w:rsidR="009B4DCE" w:rsidRPr="006C19AC" w:rsidRDefault="009B4DCE" w:rsidP="00CF07CE">
      <w:pPr>
        <w:pStyle w:val="a6"/>
        <w:numPr>
          <w:ilvl w:val="0"/>
          <w:numId w:val="17"/>
        </w:numPr>
        <w:autoSpaceDE w:val="0"/>
        <w:autoSpaceDN w:val="0"/>
        <w:adjustRightInd w:val="0"/>
        <w:ind w:left="0" w:firstLine="709"/>
        <w:jc w:val="both"/>
        <w:rPr>
          <w:rFonts w:eastAsiaTheme="minorHAnsi"/>
          <w:lang w:eastAsia="en-US"/>
        </w:rPr>
      </w:pPr>
      <w:r w:rsidRPr="00281939">
        <w:t>Согласно</w:t>
      </w:r>
      <w:r>
        <w:t xml:space="preserve"> </w:t>
      </w:r>
      <w:r w:rsidRPr="00281939">
        <w:t xml:space="preserve">бюджетной росписи </w:t>
      </w:r>
      <w:proofErr w:type="spellStart"/>
      <w:r>
        <w:t>Облфин</w:t>
      </w:r>
      <w:r>
        <w:t>а</w:t>
      </w:r>
      <w:proofErr w:type="spellEnd"/>
      <w:r w:rsidRPr="00281939">
        <w:t xml:space="preserve"> объем бюджетных назначений предусмотрен</w:t>
      </w:r>
      <w:r>
        <w:t xml:space="preserve"> </w:t>
      </w:r>
      <w:r w:rsidRPr="00281939">
        <w:t>в сумме 9 144 062,5 тыс. руб., что на 489 608,6 тыс. руб., или на 5,1% меньше утвержденного Законом об областном бюджете на 2020 год объема ассигнований.</w:t>
      </w:r>
      <w:r w:rsidRPr="009B4DCE">
        <w:rPr>
          <w:rFonts w:eastAsiaTheme="minorHAnsi"/>
          <w:lang w:eastAsia="en-US"/>
        </w:rPr>
        <w:t xml:space="preserve"> </w:t>
      </w:r>
      <w:r w:rsidRPr="006C19AC">
        <w:rPr>
          <w:rFonts w:eastAsiaTheme="minorHAnsi"/>
          <w:lang w:eastAsia="en-US"/>
        </w:rPr>
        <w:t xml:space="preserve">Расходы </w:t>
      </w:r>
      <w:proofErr w:type="spellStart"/>
      <w:r w:rsidRPr="006C19AC">
        <w:rPr>
          <w:rFonts w:eastAsiaTheme="minorHAnsi"/>
          <w:lang w:eastAsia="en-US"/>
        </w:rPr>
        <w:t>Облфина</w:t>
      </w:r>
      <w:proofErr w:type="spellEnd"/>
      <w:r w:rsidRPr="006C19AC">
        <w:rPr>
          <w:rFonts w:eastAsiaTheme="minorHAnsi"/>
          <w:lang w:eastAsia="en-US"/>
        </w:rPr>
        <w:t xml:space="preserve"> в 2020 году исполнены в сумме 9 010 013,1 тыс. руб., или на 98,5% к бюджетным назначениям</w:t>
      </w:r>
      <w:r>
        <w:rPr>
          <w:rFonts w:eastAsiaTheme="minorHAnsi"/>
          <w:lang w:eastAsia="en-US"/>
        </w:rPr>
        <w:t xml:space="preserve"> </w:t>
      </w:r>
      <w:r>
        <w:rPr>
          <w:rFonts w:eastAsiaTheme="minorHAnsi"/>
          <w:lang w:eastAsia="en-US"/>
        </w:rPr>
        <w:t>по бюджетной росписи</w:t>
      </w:r>
      <w:r w:rsidRPr="006C19AC">
        <w:rPr>
          <w:rFonts w:eastAsiaTheme="minorHAnsi"/>
          <w:lang w:eastAsia="en-US"/>
        </w:rPr>
        <w:t xml:space="preserve"> </w:t>
      </w:r>
      <w:r>
        <w:rPr>
          <w:rFonts w:eastAsiaTheme="minorHAnsi"/>
          <w:lang w:eastAsia="en-US"/>
        </w:rPr>
        <w:t>и</w:t>
      </w:r>
      <w:r w:rsidR="004231D6">
        <w:rPr>
          <w:rFonts w:eastAsiaTheme="minorHAnsi"/>
          <w:lang w:eastAsia="en-US"/>
        </w:rPr>
        <w:t xml:space="preserve"> на</w:t>
      </w:r>
      <w:r>
        <w:rPr>
          <w:rFonts w:eastAsiaTheme="minorHAnsi"/>
          <w:lang w:eastAsia="en-US"/>
        </w:rPr>
        <w:t xml:space="preserve"> 93,5% к бюджетным ассигнованиям по </w:t>
      </w:r>
      <w:r w:rsidRPr="00281939">
        <w:t>Закон</w:t>
      </w:r>
      <w:r>
        <w:t>у</w:t>
      </w:r>
      <w:r w:rsidRPr="00281939">
        <w:t xml:space="preserve"> об областном бюджете на 2020 год.</w:t>
      </w:r>
    </w:p>
    <w:p w14:paraId="578FF84A" w14:textId="1A0A278C" w:rsidR="00E70816" w:rsidRDefault="00E70816" w:rsidP="00CF07CE">
      <w:pPr>
        <w:pStyle w:val="a6"/>
        <w:numPr>
          <w:ilvl w:val="0"/>
          <w:numId w:val="17"/>
        </w:numPr>
        <w:autoSpaceDE w:val="0"/>
        <w:autoSpaceDN w:val="0"/>
        <w:adjustRightInd w:val="0"/>
        <w:ind w:left="0" w:firstLine="709"/>
        <w:jc w:val="both"/>
        <w:rPr>
          <w:rFonts w:eastAsiaTheme="minorHAnsi"/>
          <w:lang w:eastAsia="en-US"/>
        </w:rPr>
      </w:pPr>
      <w:r w:rsidRPr="006C19AC">
        <w:rPr>
          <w:rFonts w:eastAsiaTheme="minorHAnsi"/>
          <w:lang w:eastAsia="en-US"/>
        </w:rPr>
        <w:t xml:space="preserve">Общая сумма неисполненных назначений составила 134 049,4 тыс. руб., наибольшее неисполнение из которых сложилось по расходам на обслуживание государственного внутреннего долга (46 496,6 тыс. руб.), расходам резервного фонда </w:t>
      </w:r>
      <w:r w:rsidRPr="00E70816">
        <w:rPr>
          <w:rFonts w:eastAsiaTheme="minorHAnsi"/>
          <w:lang w:eastAsia="en-US"/>
        </w:rPr>
        <w:t>администрации Волгоградской области (37 649,1 тыс. руб.) и расходам на исполнение судебных актов в дорожной сфере (23 851,4 тыс. руб.).</w:t>
      </w:r>
    </w:p>
    <w:p w14:paraId="4AF6B2F3" w14:textId="647973DD" w:rsidR="009B4DCE" w:rsidRPr="00910083" w:rsidRDefault="009B4DCE" w:rsidP="00D35E4F">
      <w:pPr>
        <w:pStyle w:val="a6"/>
        <w:numPr>
          <w:ilvl w:val="0"/>
          <w:numId w:val="17"/>
        </w:numPr>
        <w:autoSpaceDE w:val="0"/>
        <w:autoSpaceDN w:val="0"/>
        <w:adjustRightInd w:val="0"/>
        <w:ind w:left="0" w:firstLine="708"/>
        <w:jc w:val="both"/>
      </w:pPr>
      <w:r w:rsidRPr="00441C0A">
        <w:t xml:space="preserve">Объем государственного долга Волгоградской области </w:t>
      </w:r>
      <w:r>
        <w:t>в</w:t>
      </w:r>
      <w:r w:rsidRPr="00441C0A">
        <w:t xml:space="preserve"> течение 2020 года увеличился на 6 250 000,0 тыс. руб.</w:t>
      </w:r>
      <w:r>
        <w:t xml:space="preserve"> и на</w:t>
      </w:r>
      <w:r w:rsidRPr="00441C0A">
        <w:t xml:space="preserve"> 01.01.2021 составил 53 273 812,9 тыс. рублей. </w:t>
      </w:r>
      <w:r w:rsidRPr="00910083">
        <w:t>Фактический объем государственного долга Волгоградской области на 01.01.2021 превысил утвержденный Законом об областном бюджете на 2020 год верхний предел государственного внутреннего долга (51 873 813,0 тыс. руб.) на 1 399 999,9 тыс. руб., или на 2,7 процента.</w:t>
      </w:r>
      <w:r w:rsidRPr="009B4DCE">
        <w:t xml:space="preserve"> </w:t>
      </w:r>
      <w:r>
        <w:t>П</w:t>
      </w:r>
      <w:r w:rsidRPr="00910083">
        <w:t>о отношению к общему объему доходов областного бюджета без учета безвозмездных поступлений увеличился с 64,6% до 69,4</w:t>
      </w:r>
      <w:r>
        <w:t xml:space="preserve"> процента.</w:t>
      </w:r>
    </w:p>
    <w:p w14:paraId="35FAB49F" w14:textId="753BFA2D" w:rsidR="0000658A" w:rsidRPr="009B4DCE" w:rsidRDefault="00CF07CE" w:rsidP="00742AA5">
      <w:pPr>
        <w:pStyle w:val="a6"/>
        <w:numPr>
          <w:ilvl w:val="0"/>
          <w:numId w:val="17"/>
        </w:numPr>
        <w:autoSpaceDE w:val="0"/>
        <w:autoSpaceDN w:val="0"/>
        <w:adjustRightInd w:val="0"/>
        <w:ind w:left="0" w:firstLine="709"/>
        <w:jc w:val="both"/>
        <w:rPr>
          <w:rFonts w:eastAsiaTheme="minorHAnsi"/>
          <w:lang w:eastAsia="en-US"/>
        </w:rPr>
      </w:pPr>
      <w:r w:rsidRPr="009B4DCE">
        <w:rPr>
          <w:rFonts w:eastAsiaTheme="minorHAnsi"/>
          <w:lang w:eastAsia="en-US"/>
        </w:rPr>
        <w:t>По результатам реализации государственной программы Волгоградской области «</w:t>
      </w:r>
      <w:r w:rsidRPr="00795449">
        <w:t>Управление государственными финансами Волгоградской области»</w:t>
      </w:r>
      <w:r>
        <w:t xml:space="preserve"> не достигнуты плановые значения двух из двадцати семи целевых показателей - </w:t>
      </w:r>
      <w:r w:rsidRPr="009B4DCE">
        <w:rPr>
          <w:rFonts w:eastAsia="Times New Roman"/>
        </w:rPr>
        <w:t xml:space="preserve">«соотношение суммы просроченной задолженности по кредитам, предоставленным физическим лицам Волгоградской области, в расчете на одного жителя к аналогичному показателю в среднем по Российской Федерации» (план – не более 90%, факт – 98%) и </w:t>
      </w:r>
      <w:r w:rsidRPr="009C33FC">
        <w:t>«</w:t>
      </w:r>
      <w:r w:rsidRPr="009B4DCE">
        <w:rPr>
          <w:rFonts w:eastAsia="Times New Roman"/>
        </w:rPr>
        <w:t xml:space="preserve">доля от налога на доходы физических лиц, поступающего в консолидированный бюджет ВО, передаваемая </w:t>
      </w:r>
      <w:r w:rsidRPr="009B4DCE">
        <w:rPr>
          <w:rFonts w:eastAsia="Times New Roman"/>
        </w:rPr>
        <w:lastRenderedPageBreak/>
        <w:t>муниципальным образованиям при формировании межбюджетных отношений на очередной финансовый год</w:t>
      </w:r>
      <w:r w:rsidRPr="009C33FC">
        <w:t>» (план – не менее 20%, факт – 18,1%)</w:t>
      </w:r>
      <w:r>
        <w:t>.</w:t>
      </w:r>
    </w:p>
    <w:p w14:paraId="5667B8B7" w14:textId="105C0A10" w:rsidR="00CF07CE" w:rsidRPr="0000658A" w:rsidRDefault="00CF07CE" w:rsidP="0000658A">
      <w:pPr>
        <w:pStyle w:val="a6"/>
        <w:autoSpaceDE w:val="0"/>
        <w:autoSpaceDN w:val="0"/>
        <w:adjustRightInd w:val="0"/>
        <w:ind w:left="0" w:firstLine="709"/>
        <w:jc w:val="both"/>
        <w:rPr>
          <w:rFonts w:eastAsiaTheme="minorHAnsi"/>
          <w:lang w:eastAsia="en-US"/>
        </w:rPr>
      </w:pPr>
      <w:r w:rsidRPr="0000658A">
        <w:rPr>
          <w:rFonts w:eastAsia="Times New Roman"/>
        </w:rPr>
        <w:t>Негативная динамика фактически достигнутых значений целевого показателя «соотношение суммы просроченной задолженности по кредитам, предоставленным физическим лицам Волгоградской области, в расчете на одного жителя к аналогичному показателю в среднем по Российской Федерации» (2017 год – 91,5%, 2018 год – 91,5%, 2019 год – 93,6%, 2020 год – 98,0%) указывает на недостижение цели подпрограммы «Повышение финансовой грамотности населения Волгоградской области» - формирование у граждан рационального финансового поведения при принятии решений по отношению к личным финансам и повышение эффективности защиты их прав как потребителей финансовых услуг.</w:t>
      </w:r>
    </w:p>
    <w:p w14:paraId="2623B8ED" w14:textId="77777777" w:rsidR="00CF07CE" w:rsidRDefault="00CF07CE" w:rsidP="00CF07CE">
      <w:pPr>
        <w:pStyle w:val="a6"/>
        <w:autoSpaceDE w:val="0"/>
        <w:autoSpaceDN w:val="0"/>
        <w:adjustRightInd w:val="0"/>
        <w:ind w:left="709"/>
        <w:jc w:val="both"/>
      </w:pPr>
    </w:p>
    <w:p w14:paraId="437A320A" w14:textId="60CD64E0" w:rsidR="00CF07CE" w:rsidRDefault="00CF07CE" w:rsidP="00CF07CE">
      <w:pPr>
        <w:pStyle w:val="a6"/>
        <w:autoSpaceDE w:val="0"/>
        <w:autoSpaceDN w:val="0"/>
        <w:adjustRightInd w:val="0"/>
        <w:ind w:left="709"/>
        <w:jc w:val="both"/>
        <w:rPr>
          <w:b/>
          <w:bCs/>
        </w:rPr>
      </w:pPr>
      <w:r w:rsidRPr="005F73E9">
        <w:rPr>
          <w:b/>
          <w:bCs/>
        </w:rPr>
        <w:t>Предложения:</w:t>
      </w:r>
    </w:p>
    <w:p w14:paraId="24E72A4C" w14:textId="77777777" w:rsidR="00CE31DE" w:rsidRDefault="00FD2957" w:rsidP="00FD2957">
      <w:pPr>
        <w:pStyle w:val="a6"/>
        <w:numPr>
          <w:ilvl w:val="0"/>
          <w:numId w:val="18"/>
        </w:numPr>
        <w:autoSpaceDE w:val="0"/>
        <w:autoSpaceDN w:val="0"/>
        <w:adjustRightInd w:val="0"/>
        <w:ind w:left="0" w:firstLine="709"/>
        <w:jc w:val="both"/>
      </w:pPr>
      <w:r>
        <w:t>В связи со значительным</w:t>
      </w:r>
      <w:r w:rsidR="004231D6">
        <w:t>и объемами</w:t>
      </w:r>
      <w:r>
        <w:t xml:space="preserve"> перевыполнени</w:t>
      </w:r>
      <w:r w:rsidR="004231D6">
        <w:t>я</w:t>
      </w:r>
      <w:r>
        <w:t xml:space="preserve"> прогнозных назначений по доходам </w:t>
      </w:r>
      <w:r w:rsidR="004231D6">
        <w:t>и отклонения между бюджетной росписью и Законом об областном бюджете по расходам</w:t>
      </w:r>
      <w:r>
        <w:t xml:space="preserve"> </w:t>
      </w:r>
      <w:r w:rsidR="00322BE2">
        <w:t>в целях соблюдения принципа полноты отражения доходов</w:t>
      </w:r>
      <w:r w:rsidR="00CE31DE">
        <w:t>, расходов и источников финансирования дефицитов бюджетов</w:t>
      </w:r>
      <w:r w:rsidR="00322BE2">
        <w:t xml:space="preserve">, определенного статьей 32 БК РФ, </w:t>
      </w:r>
      <w:r>
        <w:t>в ходе исполнения областного бюджета в 2021 году</w:t>
      </w:r>
      <w:r w:rsidR="00322BE2">
        <w:t xml:space="preserve"> обеспечить</w:t>
      </w:r>
      <w:r w:rsidR="00CE31DE">
        <w:t>:</w:t>
      </w:r>
    </w:p>
    <w:p w14:paraId="130A6F86" w14:textId="414C7B37" w:rsidR="0000658A" w:rsidRDefault="00CE31DE" w:rsidP="00CE31DE">
      <w:pPr>
        <w:pStyle w:val="a6"/>
        <w:numPr>
          <w:ilvl w:val="1"/>
          <w:numId w:val="18"/>
        </w:numPr>
        <w:autoSpaceDE w:val="0"/>
        <w:autoSpaceDN w:val="0"/>
        <w:adjustRightInd w:val="0"/>
        <w:ind w:left="0" w:firstLine="709"/>
        <w:jc w:val="both"/>
      </w:pPr>
      <w:r>
        <w:t>С</w:t>
      </w:r>
      <w:r w:rsidR="00322BE2">
        <w:t>воевременное</w:t>
      </w:r>
      <w:r w:rsidR="00FD2957">
        <w:t xml:space="preserve"> </w:t>
      </w:r>
      <w:r w:rsidR="00322BE2">
        <w:t>приведение</w:t>
      </w:r>
      <w:r w:rsidR="00FD2957">
        <w:t xml:space="preserve"> объем</w:t>
      </w:r>
      <w:r>
        <w:t>ов</w:t>
      </w:r>
      <w:r w:rsidR="00FD2957">
        <w:t xml:space="preserve"> доходов</w:t>
      </w:r>
      <w:r w:rsidR="004231D6">
        <w:t xml:space="preserve"> </w:t>
      </w:r>
      <w:r w:rsidR="00FD2957">
        <w:t xml:space="preserve">бюджета в части безвозмездных поступлений в соответствие с законом о федеральном бюджете и иными документами о выделении Волгоградской области </w:t>
      </w:r>
      <w:r w:rsidR="00FD2957" w:rsidRPr="00443C62">
        <w:t>межбюджетных трансфертов из федерального бюджета</w:t>
      </w:r>
      <w:r w:rsidR="00322BE2" w:rsidRPr="00443C62">
        <w:t>.</w:t>
      </w:r>
    </w:p>
    <w:p w14:paraId="7E9550DF" w14:textId="2708989E" w:rsidR="00CE31DE" w:rsidRPr="00443C62" w:rsidRDefault="00CE31DE" w:rsidP="00DD3127">
      <w:pPr>
        <w:pStyle w:val="a6"/>
        <w:numPr>
          <w:ilvl w:val="1"/>
          <w:numId w:val="18"/>
        </w:numPr>
        <w:autoSpaceDE w:val="0"/>
        <w:autoSpaceDN w:val="0"/>
        <w:adjustRightInd w:val="0"/>
        <w:ind w:left="0" w:firstLine="709"/>
        <w:jc w:val="both"/>
      </w:pPr>
      <w:r>
        <w:t>Сокращение отклонения объема бюджетных назначений</w:t>
      </w:r>
      <w:r w:rsidR="00DD3127">
        <w:t xml:space="preserve"> по бюджетной росписи расходов от объема бюджетных ассигнований, утвержденных Законом об областном бюджете.</w:t>
      </w:r>
    </w:p>
    <w:p w14:paraId="125D9400" w14:textId="0559F9B7" w:rsidR="00CF07CE" w:rsidRPr="00286A0F" w:rsidRDefault="00CF07CE" w:rsidP="00FD2957">
      <w:pPr>
        <w:pStyle w:val="a6"/>
        <w:numPr>
          <w:ilvl w:val="0"/>
          <w:numId w:val="18"/>
        </w:numPr>
        <w:autoSpaceDE w:val="0"/>
        <w:autoSpaceDN w:val="0"/>
        <w:adjustRightInd w:val="0"/>
        <w:ind w:left="0" w:firstLine="709"/>
        <w:jc w:val="both"/>
      </w:pPr>
      <w:r w:rsidRPr="00443C62">
        <w:t xml:space="preserve">В целях преодоления негативных </w:t>
      </w:r>
      <w:r>
        <w:t xml:space="preserve">тенденций по увеличению просроченной задолженности </w:t>
      </w:r>
      <w:r w:rsidRPr="00286A0F">
        <w:rPr>
          <w:rFonts w:eastAsia="Times New Roman"/>
        </w:rPr>
        <w:t>по кредитам, предоставленным физическим лицам Волгоградской области</w:t>
      </w:r>
      <w:r w:rsidR="004A62D1">
        <w:rPr>
          <w:rFonts w:eastAsia="Times New Roman"/>
        </w:rPr>
        <w:t>,</w:t>
      </w:r>
      <w:r w:rsidRPr="00286A0F">
        <w:rPr>
          <w:rFonts w:eastAsia="Times New Roman"/>
        </w:rPr>
        <w:t xml:space="preserve"> совместно с соисполнителями подпрограммы «Повышение финансовой грамотности населения Волгоградской области»</w:t>
      </w:r>
      <w:r>
        <w:rPr>
          <w:rFonts w:eastAsia="Times New Roman"/>
        </w:rPr>
        <w:t>:</w:t>
      </w:r>
    </w:p>
    <w:p w14:paraId="2B037EBF" w14:textId="22D6FE4D" w:rsidR="00CF07CE" w:rsidRPr="00286A0F" w:rsidRDefault="00CF07CE" w:rsidP="00FD2957">
      <w:pPr>
        <w:pStyle w:val="a6"/>
        <w:numPr>
          <w:ilvl w:val="1"/>
          <w:numId w:val="18"/>
        </w:numPr>
        <w:autoSpaceDE w:val="0"/>
        <w:autoSpaceDN w:val="0"/>
        <w:adjustRightInd w:val="0"/>
        <w:ind w:left="0" w:firstLine="709"/>
        <w:jc w:val="both"/>
      </w:pPr>
      <w:r>
        <w:t xml:space="preserve">Осуществить детальный анализ причин роста просроченной задолженности по кредитам, предоставленным </w:t>
      </w:r>
      <w:r w:rsidRPr="00286A0F">
        <w:rPr>
          <w:rFonts w:eastAsia="Times New Roman"/>
        </w:rPr>
        <w:t>физическим лицам Волгоградской области</w:t>
      </w:r>
      <w:r>
        <w:rPr>
          <w:rFonts w:eastAsia="Times New Roman"/>
        </w:rPr>
        <w:t>.</w:t>
      </w:r>
    </w:p>
    <w:p w14:paraId="40222873" w14:textId="77777777" w:rsidR="00CF07CE" w:rsidRPr="00286A0F" w:rsidRDefault="00CF07CE" w:rsidP="00FD2957">
      <w:pPr>
        <w:pStyle w:val="a6"/>
        <w:numPr>
          <w:ilvl w:val="1"/>
          <w:numId w:val="18"/>
        </w:numPr>
        <w:autoSpaceDE w:val="0"/>
        <w:autoSpaceDN w:val="0"/>
        <w:adjustRightInd w:val="0"/>
        <w:ind w:left="0" w:firstLine="709"/>
        <w:jc w:val="both"/>
      </w:pPr>
      <w:r>
        <w:rPr>
          <w:rFonts w:eastAsia="Times New Roman"/>
        </w:rPr>
        <w:t>При необходимости пересмотреть организационные подходы к реализации мероприятий подпрограммы.</w:t>
      </w:r>
    </w:p>
    <w:p w14:paraId="4F4F3609" w14:textId="3EA11378" w:rsidR="00FC5603" w:rsidRDefault="00FC5603" w:rsidP="00AD2D82">
      <w:pPr>
        <w:ind w:firstLine="680"/>
        <w:jc w:val="both"/>
      </w:pPr>
    </w:p>
    <w:p w14:paraId="4474C739" w14:textId="0E070349" w:rsidR="00CF07CE" w:rsidRDefault="00CF07CE" w:rsidP="00AD2D82">
      <w:pPr>
        <w:ind w:firstLine="680"/>
        <w:jc w:val="both"/>
      </w:pPr>
    </w:p>
    <w:p w14:paraId="3E15BEF8" w14:textId="634BF374" w:rsidR="00CF07CE" w:rsidRDefault="00CF07CE" w:rsidP="00AD2D82">
      <w:pPr>
        <w:ind w:firstLine="680"/>
        <w:jc w:val="both"/>
      </w:pPr>
    </w:p>
    <w:p w14:paraId="34FB2884" w14:textId="64029D45" w:rsidR="00CF07CE" w:rsidRPr="00CF07CE" w:rsidRDefault="00CF07CE" w:rsidP="00CF07CE">
      <w:pPr>
        <w:jc w:val="both"/>
        <w:rPr>
          <w:b/>
          <w:bCs/>
          <w:i/>
          <w:iCs/>
        </w:rPr>
      </w:pPr>
      <w:r w:rsidRPr="00CF07CE">
        <w:rPr>
          <w:b/>
          <w:bCs/>
          <w:i/>
          <w:iCs/>
        </w:rPr>
        <w:t xml:space="preserve">Аудитор                                                                                                                 Н.Л. </w:t>
      </w:r>
      <w:proofErr w:type="spellStart"/>
      <w:r w:rsidRPr="00CF07CE">
        <w:rPr>
          <w:b/>
          <w:bCs/>
          <w:i/>
          <w:iCs/>
        </w:rPr>
        <w:t>Ноздрюхина</w:t>
      </w:r>
      <w:proofErr w:type="spellEnd"/>
    </w:p>
    <w:sectPr w:rsidR="00CF07CE" w:rsidRPr="00CF07CE" w:rsidSect="00D07CBF">
      <w:headerReference w:type="default" r:id="rId8"/>
      <w:pgSz w:w="11906" w:h="16838"/>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E401" w14:textId="77777777" w:rsidR="00CF31E0" w:rsidRDefault="00CF31E0" w:rsidP="00D80AE7">
      <w:r>
        <w:separator/>
      </w:r>
    </w:p>
  </w:endnote>
  <w:endnote w:type="continuationSeparator" w:id="0">
    <w:p w14:paraId="6DC71FFC" w14:textId="77777777" w:rsidR="00CF31E0" w:rsidRDefault="00CF31E0" w:rsidP="00D8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E1BC" w14:textId="77777777" w:rsidR="00CF31E0" w:rsidRDefault="00CF31E0" w:rsidP="00D80AE7">
      <w:r>
        <w:separator/>
      </w:r>
    </w:p>
  </w:footnote>
  <w:footnote w:type="continuationSeparator" w:id="0">
    <w:p w14:paraId="3985F9F4" w14:textId="77777777" w:rsidR="00CF31E0" w:rsidRDefault="00CF31E0" w:rsidP="00D8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4CD8" w14:textId="77777777" w:rsidR="00944AC1" w:rsidRDefault="00944AC1" w:rsidP="00010DBA">
    <w:pPr>
      <w:pStyle w:val="af1"/>
      <w:tabs>
        <w:tab w:val="left" w:pos="5660"/>
      </w:tabs>
    </w:pPr>
    <w:r>
      <w:tab/>
    </w:r>
    <w:r>
      <w:fldChar w:fldCharType="begin"/>
    </w:r>
    <w:r>
      <w:instrText xml:space="preserve"> PAGE   \* MERGEFORMAT </w:instrText>
    </w:r>
    <w:r>
      <w:fldChar w:fldCharType="separate"/>
    </w:r>
    <w:r>
      <w:rPr>
        <w:noProof/>
      </w:rPr>
      <w:t>2</w:t>
    </w:r>
    <w:r>
      <w:rPr>
        <w:noProof/>
      </w:rPr>
      <w:fldChar w:fldCharType="end"/>
    </w:r>
  </w:p>
  <w:p w14:paraId="1576C28D" w14:textId="77777777" w:rsidR="00944AC1" w:rsidRDefault="00944AC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CFC82C8"/>
    <w:lvl w:ilvl="0">
      <w:numFmt w:val="bullet"/>
      <w:lvlText w:val="*"/>
      <w:lvlJc w:val="left"/>
    </w:lvl>
  </w:abstractNum>
  <w:abstractNum w:abstractNumId="1" w15:restartNumberingAfterBreak="0">
    <w:nsid w:val="06D07BAD"/>
    <w:multiLevelType w:val="hybridMultilevel"/>
    <w:tmpl w:val="CA3C0BC4"/>
    <w:lvl w:ilvl="0" w:tplc="0419000D">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211D64"/>
    <w:multiLevelType w:val="hybridMultilevel"/>
    <w:tmpl w:val="84FC268A"/>
    <w:lvl w:ilvl="0" w:tplc="0419000B">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A40E6"/>
    <w:multiLevelType w:val="hybridMultilevel"/>
    <w:tmpl w:val="9FC86788"/>
    <w:lvl w:ilvl="0" w:tplc="5F98A8E4">
      <w:start w:val="1"/>
      <w:numFmt w:val="decimal"/>
      <w:lvlText w:val="%1."/>
      <w:lvlJc w:val="left"/>
      <w:pPr>
        <w:ind w:left="928"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C616FC"/>
    <w:multiLevelType w:val="hybridMultilevel"/>
    <w:tmpl w:val="DD8CF0F6"/>
    <w:lvl w:ilvl="0" w:tplc="BB6238D0">
      <w:start w:val="1"/>
      <w:numFmt w:val="decimal"/>
      <w:lvlText w:val="%1."/>
      <w:lvlJc w:val="left"/>
      <w:pPr>
        <w:ind w:left="1494" w:hanging="360"/>
      </w:pPr>
      <w:rPr>
        <w:rFonts w:ascii="Times New Roman" w:hAnsi="Times New Roman" w:cs="Times New Roman" w:hint="default"/>
        <w:color w:val="000000"/>
        <w:sz w:val="24"/>
        <w:szCs w:val="24"/>
      </w:rPr>
    </w:lvl>
    <w:lvl w:ilvl="1" w:tplc="04190019">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5" w15:restartNumberingAfterBreak="0">
    <w:nsid w:val="12254414"/>
    <w:multiLevelType w:val="hybridMultilevel"/>
    <w:tmpl w:val="285CCEB6"/>
    <w:lvl w:ilvl="0" w:tplc="B9F8E2A4">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601" w:hanging="360"/>
      </w:pPr>
      <w:rPr>
        <w:rFonts w:ascii="Courier New" w:hAnsi="Courier New" w:hint="default"/>
      </w:rPr>
    </w:lvl>
    <w:lvl w:ilvl="2" w:tplc="04190005" w:tentative="1">
      <w:start w:val="1"/>
      <w:numFmt w:val="bullet"/>
      <w:lvlText w:val=""/>
      <w:lvlJc w:val="left"/>
      <w:pPr>
        <w:ind w:left="1321" w:hanging="360"/>
      </w:pPr>
      <w:rPr>
        <w:rFonts w:ascii="Wingdings" w:hAnsi="Wingdings" w:hint="default"/>
      </w:rPr>
    </w:lvl>
    <w:lvl w:ilvl="3" w:tplc="04190001" w:tentative="1">
      <w:start w:val="1"/>
      <w:numFmt w:val="bullet"/>
      <w:lvlText w:val=""/>
      <w:lvlJc w:val="left"/>
      <w:pPr>
        <w:ind w:left="2041" w:hanging="360"/>
      </w:pPr>
      <w:rPr>
        <w:rFonts w:ascii="Symbol" w:hAnsi="Symbol" w:hint="default"/>
      </w:rPr>
    </w:lvl>
    <w:lvl w:ilvl="4" w:tplc="04190003" w:tentative="1">
      <w:start w:val="1"/>
      <w:numFmt w:val="bullet"/>
      <w:lvlText w:val="o"/>
      <w:lvlJc w:val="left"/>
      <w:pPr>
        <w:ind w:left="2761" w:hanging="360"/>
      </w:pPr>
      <w:rPr>
        <w:rFonts w:ascii="Courier New" w:hAnsi="Courier New" w:hint="default"/>
      </w:rPr>
    </w:lvl>
    <w:lvl w:ilvl="5" w:tplc="04190005" w:tentative="1">
      <w:start w:val="1"/>
      <w:numFmt w:val="bullet"/>
      <w:lvlText w:val=""/>
      <w:lvlJc w:val="left"/>
      <w:pPr>
        <w:ind w:left="3481" w:hanging="360"/>
      </w:pPr>
      <w:rPr>
        <w:rFonts w:ascii="Wingdings" w:hAnsi="Wingdings" w:hint="default"/>
      </w:rPr>
    </w:lvl>
    <w:lvl w:ilvl="6" w:tplc="04190001" w:tentative="1">
      <w:start w:val="1"/>
      <w:numFmt w:val="bullet"/>
      <w:lvlText w:val=""/>
      <w:lvlJc w:val="left"/>
      <w:pPr>
        <w:ind w:left="4201" w:hanging="360"/>
      </w:pPr>
      <w:rPr>
        <w:rFonts w:ascii="Symbol" w:hAnsi="Symbol" w:hint="default"/>
      </w:rPr>
    </w:lvl>
    <w:lvl w:ilvl="7" w:tplc="04190003" w:tentative="1">
      <w:start w:val="1"/>
      <w:numFmt w:val="bullet"/>
      <w:lvlText w:val="o"/>
      <w:lvlJc w:val="left"/>
      <w:pPr>
        <w:ind w:left="4921" w:hanging="360"/>
      </w:pPr>
      <w:rPr>
        <w:rFonts w:ascii="Courier New" w:hAnsi="Courier New" w:hint="default"/>
      </w:rPr>
    </w:lvl>
    <w:lvl w:ilvl="8" w:tplc="04190005" w:tentative="1">
      <w:start w:val="1"/>
      <w:numFmt w:val="bullet"/>
      <w:lvlText w:val=""/>
      <w:lvlJc w:val="left"/>
      <w:pPr>
        <w:ind w:left="5641" w:hanging="360"/>
      </w:pPr>
      <w:rPr>
        <w:rFonts w:ascii="Wingdings" w:hAnsi="Wingdings" w:hint="default"/>
      </w:rPr>
    </w:lvl>
  </w:abstractNum>
  <w:abstractNum w:abstractNumId="6" w15:restartNumberingAfterBreak="0">
    <w:nsid w:val="2F700650"/>
    <w:multiLevelType w:val="hybridMultilevel"/>
    <w:tmpl w:val="524201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F9A6784"/>
    <w:multiLevelType w:val="multilevel"/>
    <w:tmpl w:val="FF32D6D2"/>
    <w:lvl w:ilvl="0">
      <w:start w:val="1"/>
      <w:numFmt w:val="decimal"/>
      <w:suff w:val="space"/>
      <w:lvlText w:val="%1."/>
      <w:lvlJc w:val="left"/>
      <w:pPr>
        <w:ind w:left="567" w:firstLine="142"/>
      </w:pPr>
      <w:rPr>
        <w:rFonts w:ascii="Times New Roman" w:eastAsia="Calibri" w:hAnsi="Times New Roman" w:cs="Times New Roman" w:hint="default"/>
        <w:b/>
        <w:bCs/>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C455995"/>
    <w:multiLevelType w:val="hybridMultilevel"/>
    <w:tmpl w:val="37201F00"/>
    <w:lvl w:ilvl="0" w:tplc="4D1231FE">
      <w:start w:val="1"/>
      <w:numFmt w:val="decimal"/>
      <w:suff w:val="space"/>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0951D7"/>
    <w:multiLevelType w:val="hybridMultilevel"/>
    <w:tmpl w:val="33582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9C67C64"/>
    <w:multiLevelType w:val="hybridMultilevel"/>
    <w:tmpl w:val="EE864174"/>
    <w:lvl w:ilvl="0" w:tplc="0C50CB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1A73B13"/>
    <w:multiLevelType w:val="hybridMultilevel"/>
    <w:tmpl w:val="A2D0898A"/>
    <w:lvl w:ilvl="0" w:tplc="FC365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7510E76"/>
    <w:multiLevelType w:val="hybridMultilevel"/>
    <w:tmpl w:val="12BAD1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022163C"/>
    <w:multiLevelType w:val="hybridMultilevel"/>
    <w:tmpl w:val="EFAE7B5A"/>
    <w:lvl w:ilvl="0" w:tplc="A7FC15D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3F72BBC"/>
    <w:multiLevelType w:val="hybridMultilevel"/>
    <w:tmpl w:val="C25E1656"/>
    <w:lvl w:ilvl="0" w:tplc="69E048C8">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AE32B65"/>
    <w:multiLevelType w:val="hybridMultilevel"/>
    <w:tmpl w:val="D67A80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C2B40A7"/>
    <w:multiLevelType w:val="hybridMultilevel"/>
    <w:tmpl w:val="4DBA45D4"/>
    <w:lvl w:ilvl="0" w:tplc="325C6AC6">
      <w:start w:val="1"/>
      <w:numFmt w:val="decimal"/>
      <w:suff w:val="space"/>
      <w:lvlText w:val="%1."/>
      <w:lvlJc w:val="left"/>
      <w:pPr>
        <w:ind w:left="643" w:hanging="360"/>
      </w:pPr>
      <w:rPr>
        <w:rFonts w:hint="default"/>
        <w:b/>
        <w:bC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15:restartNumberingAfterBreak="0">
    <w:nsid w:val="7C453B05"/>
    <w:multiLevelType w:val="hybridMultilevel"/>
    <w:tmpl w:val="F52AE1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3"/>
  </w:num>
  <w:num w:numId="2">
    <w:abstractNumId w:val="11"/>
  </w:num>
  <w:num w:numId="3">
    <w:abstractNumId w:val="4"/>
  </w:num>
  <w:num w:numId="4">
    <w:abstractNumId w:val="3"/>
  </w:num>
  <w:num w:numId="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6">
    <w:abstractNumId w:val="10"/>
  </w:num>
  <w:num w:numId="7">
    <w:abstractNumId w:val="2"/>
  </w:num>
  <w:num w:numId="8">
    <w:abstractNumId w:val="5"/>
  </w:num>
  <w:num w:numId="9">
    <w:abstractNumId w:val="1"/>
  </w:num>
  <w:num w:numId="10">
    <w:abstractNumId w:val="14"/>
  </w:num>
  <w:num w:numId="11">
    <w:abstractNumId w:val="6"/>
  </w:num>
  <w:num w:numId="12">
    <w:abstractNumId w:val="9"/>
  </w:num>
  <w:num w:numId="13">
    <w:abstractNumId w:val="17"/>
  </w:num>
  <w:num w:numId="14">
    <w:abstractNumId w:val="12"/>
  </w:num>
  <w:num w:numId="15">
    <w:abstractNumId w:val="15"/>
  </w:num>
  <w:num w:numId="16">
    <w:abstractNumId w:val="8"/>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82"/>
    <w:rsid w:val="0000388B"/>
    <w:rsid w:val="00003A59"/>
    <w:rsid w:val="00003DBE"/>
    <w:rsid w:val="0000658A"/>
    <w:rsid w:val="000106DC"/>
    <w:rsid w:val="00010DBA"/>
    <w:rsid w:val="00013CDD"/>
    <w:rsid w:val="000143FA"/>
    <w:rsid w:val="0001654E"/>
    <w:rsid w:val="00022025"/>
    <w:rsid w:val="00022842"/>
    <w:rsid w:val="00026329"/>
    <w:rsid w:val="00026BD2"/>
    <w:rsid w:val="000302A2"/>
    <w:rsid w:val="00030C5A"/>
    <w:rsid w:val="000327EA"/>
    <w:rsid w:val="00036A7A"/>
    <w:rsid w:val="00040F66"/>
    <w:rsid w:val="000420A3"/>
    <w:rsid w:val="00055438"/>
    <w:rsid w:val="00063AC0"/>
    <w:rsid w:val="000708CF"/>
    <w:rsid w:val="00071867"/>
    <w:rsid w:val="00072E6B"/>
    <w:rsid w:val="000808D1"/>
    <w:rsid w:val="000865CF"/>
    <w:rsid w:val="00087F05"/>
    <w:rsid w:val="00091893"/>
    <w:rsid w:val="000960DD"/>
    <w:rsid w:val="000A2F03"/>
    <w:rsid w:val="000A5F4E"/>
    <w:rsid w:val="000A60FB"/>
    <w:rsid w:val="000A720F"/>
    <w:rsid w:val="000A72F6"/>
    <w:rsid w:val="000B3667"/>
    <w:rsid w:val="000B5859"/>
    <w:rsid w:val="000C0F61"/>
    <w:rsid w:val="000C4977"/>
    <w:rsid w:val="000C663C"/>
    <w:rsid w:val="000D0F9F"/>
    <w:rsid w:val="000D19F2"/>
    <w:rsid w:val="000E0239"/>
    <w:rsid w:val="000E2B2D"/>
    <w:rsid w:val="000E64FD"/>
    <w:rsid w:val="000F0EB3"/>
    <w:rsid w:val="000F7717"/>
    <w:rsid w:val="00101399"/>
    <w:rsid w:val="0010276A"/>
    <w:rsid w:val="001030E3"/>
    <w:rsid w:val="00103D93"/>
    <w:rsid w:val="00104811"/>
    <w:rsid w:val="001108CA"/>
    <w:rsid w:val="00113548"/>
    <w:rsid w:val="001145F3"/>
    <w:rsid w:val="00115A6F"/>
    <w:rsid w:val="00115B7B"/>
    <w:rsid w:val="00117212"/>
    <w:rsid w:val="001265F6"/>
    <w:rsid w:val="00132A71"/>
    <w:rsid w:val="001358FF"/>
    <w:rsid w:val="00141F94"/>
    <w:rsid w:val="00143237"/>
    <w:rsid w:val="001434C1"/>
    <w:rsid w:val="00146AD1"/>
    <w:rsid w:val="00152F93"/>
    <w:rsid w:val="0015490F"/>
    <w:rsid w:val="001554B6"/>
    <w:rsid w:val="00155CE8"/>
    <w:rsid w:val="00157490"/>
    <w:rsid w:val="00160804"/>
    <w:rsid w:val="00173856"/>
    <w:rsid w:val="00174A45"/>
    <w:rsid w:val="001769DB"/>
    <w:rsid w:val="001774EE"/>
    <w:rsid w:val="00184128"/>
    <w:rsid w:val="0018539E"/>
    <w:rsid w:val="0018749E"/>
    <w:rsid w:val="001965AB"/>
    <w:rsid w:val="001A131E"/>
    <w:rsid w:val="001A28C1"/>
    <w:rsid w:val="001B023A"/>
    <w:rsid w:val="001B0D0F"/>
    <w:rsid w:val="001C27AD"/>
    <w:rsid w:val="001C4988"/>
    <w:rsid w:val="001C7403"/>
    <w:rsid w:val="001E3D59"/>
    <w:rsid w:val="001E46C3"/>
    <w:rsid w:val="001E6138"/>
    <w:rsid w:val="001F14B2"/>
    <w:rsid w:val="001F43A4"/>
    <w:rsid w:val="001F4400"/>
    <w:rsid w:val="002008B1"/>
    <w:rsid w:val="00204A88"/>
    <w:rsid w:val="00204E84"/>
    <w:rsid w:val="00207A47"/>
    <w:rsid w:val="002122A7"/>
    <w:rsid w:val="002128E1"/>
    <w:rsid w:val="002173BE"/>
    <w:rsid w:val="00220CB3"/>
    <w:rsid w:val="00224530"/>
    <w:rsid w:val="00226284"/>
    <w:rsid w:val="00226587"/>
    <w:rsid w:val="0023262F"/>
    <w:rsid w:val="002329A6"/>
    <w:rsid w:val="0023399E"/>
    <w:rsid w:val="0023692C"/>
    <w:rsid w:val="00240F2C"/>
    <w:rsid w:val="00250C80"/>
    <w:rsid w:val="00251380"/>
    <w:rsid w:val="002519A5"/>
    <w:rsid w:val="002540E1"/>
    <w:rsid w:val="00254783"/>
    <w:rsid w:val="002678B8"/>
    <w:rsid w:val="0027171B"/>
    <w:rsid w:val="002775F6"/>
    <w:rsid w:val="00280EB6"/>
    <w:rsid w:val="00281939"/>
    <w:rsid w:val="00283B71"/>
    <w:rsid w:val="00285F52"/>
    <w:rsid w:val="00295FDC"/>
    <w:rsid w:val="002969B7"/>
    <w:rsid w:val="002A09CD"/>
    <w:rsid w:val="002A0E86"/>
    <w:rsid w:val="002A440E"/>
    <w:rsid w:val="002A6132"/>
    <w:rsid w:val="002A6D05"/>
    <w:rsid w:val="002B5C72"/>
    <w:rsid w:val="002B73C4"/>
    <w:rsid w:val="002C0059"/>
    <w:rsid w:val="002C04BD"/>
    <w:rsid w:val="002C07C9"/>
    <w:rsid w:val="002C2105"/>
    <w:rsid w:val="002C2CAE"/>
    <w:rsid w:val="002C4F52"/>
    <w:rsid w:val="002C5BD8"/>
    <w:rsid w:val="002D1156"/>
    <w:rsid w:val="002D1EC3"/>
    <w:rsid w:val="002D4576"/>
    <w:rsid w:val="002E127C"/>
    <w:rsid w:val="002E458D"/>
    <w:rsid w:val="002E4F74"/>
    <w:rsid w:val="002E57F3"/>
    <w:rsid w:val="00302E41"/>
    <w:rsid w:val="003044ED"/>
    <w:rsid w:val="00304D0B"/>
    <w:rsid w:val="00307B0B"/>
    <w:rsid w:val="003129A3"/>
    <w:rsid w:val="003146C7"/>
    <w:rsid w:val="00314810"/>
    <w:rsid w:val="00315915"/>
    <w:rsid w:val="00321226"/>
    <w:rsid w:val="00322BE2"/>
    <w:rsid w:val="00323349"/>
    <w:rsid w:val="00324DA7"/>
    <w:rsid w:val="00333225"/>
    <w:rsid w:val="00340D2F"/>
    <w:rsid w:val="0034244E"/>
    <w:rsid w:val="00343D78"/>
    <w:rsid w:val="00352337"/>
    <w:rsid w:val="00355008"/>
    <w:rsid w:val="00362462"/>
    <w:rsid w:val="00362E65"/>
    <w:rsid w:val="003706E5"/>
    <w:rsid w:val="00370B44"/>
    <w:rsid w:val="0037295A"/>
    <w:rsid w:val="00375A55"/>
    <w:rsid w:val="00385727"/>
    <w:rsid w:val="00390960"/>
    <w:rsid w:val="00390980"/>
    <w:rsid w:val="00394166"/>
    <w:rsid w:val="00395178"/>
    <w:rsid w:val="003964D1"/>
    <w:rsid w:val="003A0238"/>
    <w:rsid w:val="003A0F94"/>
    <w:rsid w:val="003A2EA7"/>
    <w:rsid w:val="003A4D5B"/>
    <w:rsid w:val="003A7B09"/>
    <w:rsid w:val="003B2FED"/>
    <w:rsid w:val="003B6E05"/>
    <w:rsid w:val="003B7F21"/>
    <w:rsid w:val="003C06FC"/>
    <w:rsid w:val="003C3BD7"/>
    <w:rsid w:val="003C5293"/>
    <w:rsid w:val="003C5BA7"/>
    <w:rsid w:val="003C5C43"/>
    <w:rsid w:val="003D1094"/>
    <w:rsid w:val="003D2451"/>
    <w:rsid w:val="003D4F02"/>
    <w:rsid w:val="003E3D83"/>
    <w:rsid w:val="003E63C4"/>
    <w:rsid w:val="003F2EBD"/>
    <w:rsid w:val="003F5076"/>
    <w:rsid w:val="00400EA2"/>
    <w:rsid w:val="00400EF7"/>
    <w:rsid w:val="00404E41"/>
    <w:rsid w:val="00417435"/>
    <w:rsid w:val="00420EA8"/>
    <w:rsid w:val="00421F57"/>
    <w:rsid w:val="00422CDE"/>
    <w:rsid w:val="00422DB9"/>
    <w:rsid w:val="004231D6"/>
    <w:rsid w:val="00423D34"/>
    <w:rsid w:val="0043132E"/>
    <w:rsid w:val="0043135F"/>
    <w:rsid w:val="00436231"/>
    <w:rsid w:val="00437271"/>
    <w:rsid w:val="0044099B"/>
    <w:rsid w:val="0044129E"/>
    <w:rsid w:val="00441DA9"/>
    <w:rsid w:val="004430FF"/>
    <w:rsid w:val="00443319"/>
    <w:rsid w:val="00443380"/>
    <w:rsid w:val="00443C62"/>
    <w:rsid w:val="00451FEF"/>
    <w:rsid w:val="00453E11"/>
    <w:rsid w:val="00454136"/>
    <w:rsid w:val="004553F7"/>
    <w:rsid w:val="00462A90"/>
    <w:rsid w:val="00462EEC"/>
    <w:rsid w:val="00463300"/>
    <w:rsid w:val="004763BC"/>
    <w:rsid w:val="00476C06"/>
    <w:rsid w:val="00477F26"/>
    <w:rsid w:val="004815D0"/>
    <w:rsid w:val="00484097"/>
    <w:rsid w:val="004849D6"/>
    <w:rsid w:val="0048684C"/>
    <w:rsid w:val="00486AFC"/>
    <w:rsid w:val="004908E5"/>
    <w:rsid w:val="00492057"/>
    <w:rsid w:val="004951F7"/>
    <w:rsid w:val="004956CA"/>
    <w:rsid w:val="00497DB3"/>
    <w:rsid w:val="004A62D1"/>
    <w:rsid w:val="004C24CC"/>
    <w:rsid w:val="004C3EA7"/>
    <w:rsid w:val="004D2F8F"/>
    <w:rsid w:val="004D5057"/>
    <w:rsid w:val="004D5FDB"/>
    <w:rsid w:val="004D70F4"/>
    <w:rsid w:val="004E3E05"/>
    <w:rsid w:val="004E5FDF"/>
    <w:rsid w:val="004E7E71"/>
    <w:rsid w:val="004F5A26"/>
    <w:rsid w:val="004F7772"/>
    <w:rsid w:val="00501F84"/>
    <w:rsid w:val="00506085"/>
    <w:rsid w:val="0050735F"/>
    <w:rsid w:val="0050746B"/>
    <w:rsid w:val="0050749B"/>
    <w:rsid w:val="00511C28"/>
    <w:rsid w:val="00521E73"/>
    <w:rsid w:val="005239F4"/>
    <w:rsid w:val="005346C4"/>
    <w:rsid w:val="00534825"/>
    <w:rsid w:val="0053513D"/>
    <w:rsid w:val="005364D8"/>
    <w:rsid w:val="0053763A"/>
    <w:rsid w:val="005510B9"/>
    <w:rsid w:val="00551430"/>
    <w:rsid w:val="00552103"/>
    <w:rsid w:val="00553F19"/>
    <w:rsid w:val="00567544"/>
    <w:rsid w:val="00570A09"/>
    <w:rsid w:val="00572DDC"/>
    <w:rsid w:val="00572FCB"/>
    <w:rsid w:val="005741DD"/>
    <w:rsid w:val="0058102A"/>
    <w:rsid w:val="00582BAF"/>
    <w:rsid w:val="005831F3"/>
    <w:rsid w:val="005838EE"/>
    <w:rsid w:val="0058536D"/>
    <w:rsid w:val="00586854"/>
    <w:rsid w:val="00590E0E"/>
    <w:rsid w:val="0059334A"/>
    <w:rsid w:val="00595E4A"/>
    <w:rsid w:val="0059748A"/>
    <w:rsid w:val="005A1F35"/>
    <w:rsid w:val="005A3EDB"/>
    <w:rsid w:val="005A4FBF"/>
    <w:rsid w:val="005A6728"/>
    <w:rsid w:val="005B27C3"/>
    <w:rsid w:val="005B721E"/>
    <w:rsid w:val="005C4428"/>
    <w:rsid w:val="005C778F"/>
    <w:rsid w:val="005D3162"/>
    <w:rsid w:val="005D3B5C"/>
    <w:rsid w:val="005D5733"/>
    <w:rsid w:val="005D573F"/>
    <w:rsid w:val="005E3CC1"/>
    <w:rsid w:val="005E5D38"/>
    <w:rsid w:val="005E6EB7"/>
    <w:rsid w:val="006024AC"/>
    <w:rsid w:val="00603BA8"/>
    <w:rsid w:val="00606ADD"/>
    <w:rsid w:val="00614A0B"/>
    <w:rsid w:val="00616906"/>
    <w:rsid w:val="00617FFC"/>
    <w:rsid w:val="006200DB"/>
    <w:rsid w:val="006214B5"/>
    <w:rsid w:val="00623150"/>
    <w:rsid w:val="0063725B"/>
    <w:rsid w:val="00640386"/>
    <w:rsid w:val="006405A7"/>
    <w:rsid w:val="0064452D"/>
    <w:rsid w:val="006544DC"/>
    <w:rsid w:val="00654C70"/>
    <w:rsid w:val="0065614D"/>
    <w:rsid w:val="00656815"/>
    <w:rsid w:val="00657E5D"/>
    <w:rsid w:val="006663E3"/>
    <w:rsid w:val="0066792C"/>
    <w:rsid w:val="00674670"/>
    <w:rsid w:val="006751CF"/>
    <w:rsid w:val="00681B1D"/>
    <w:rsid w:val="00681FD2"/>
    <w:rsid w:val="006821B3"/>
    <w:rsid w:val="00682C8B"/>
    <w:rsid w:val="006836BE"/>
    <w:rsid w:val="00693566"/>
    <w:rsid w:val="00694F25"/>
    <w:rsid w:val="006A23F8"/>
    <w:rsid w:val="006A7167"/>
    <w:rsid w:val="006B339D"/>
    <w:rsid w:val="006B5795"/>
    <w:rsid w:val="006C19AC"/>
    <w:rsid w:val="006C2ACE"/>
    <w:rsid w:val="006C55B3"/>
    <w:rsid w:val="006C61DD"/>
    <w:rsid w:val="006D115E"/>
    <w:rsid w:val="006D28D3"/>
    <w:rsid w:val="006D75B5"/>
    <w:rsid w:val="006D77C6"/>
    <w:rsid w:val="006E2D77"/>
    <w:rsid w:val="006F4A3A"/>
    <w:rsid w:val="006F4BFB"/>
    <w:rsid w:val="007016CC"/>
    <w:rsid w:val="00712243"/>
    <w:rsid w:val="0071445E"/>
    <w:rsid w:val="00720826"/>
    <w:rsid w:val="00721619"/>
    <w:rsid w:val="00721D9D"/>
    <w:rsid w:val="00722083"/>
    <w:rsid w:val="00724D8C"/>
    <w:rsid w:val="00730571"/>
    <w:rsid w:val="007306FA"/>
    <w:rsid w:val="00730BD3"/>
    <w:rsid w:val="00732337"/>
    <w:rsid w:val="007324E7"/>
    <w:rsid w:val="007338A2"/>
    <w:rsid w:val="0073549D"/>
    <w:rsid w:val="007404DF"/>
    <w:rsid w:val="00747B22"/>
    <w:rsid w:val="0075099F"/>
    <w:rsid w:val="007528C3"/>
    <w:rsid w:val="0075344F"/>
    <w:rsid w:val="0075583C"/>
    <w:rsid w:val="007564A7"/>
    <w:rsid w:val="00760A4C"/>
    <w:rsid w:val="00773426"/>
    <w:rsid w:val="00775959"/>
    <w:rsid w:val="00783583"/>
    <w:rsid w:val="00785597"/>
    <w:rsid w:val="007856DD"/>
    <w:rsid w:val="00786099"/>
    <w:rsid w:val="007911D1"/>
    <w:rsid w:val="00795449"/>
    <w:rsid w:val="0079564C"/>
    <w:rsid w:val="007965C9"/>
    <w:rsid w:val="007A613F"/>
    <w:rsid w:val="007A70A7"/>
    <w:rsid w:val="007B098F"/>
    <w:rsid w:val="007B1774"/>
    <w:rsid w:val="007B42CB"/>
    <w:rsid w:val="007B68B6"/>
    <w:rsid w:val="007C1124"/>
    <w:rsid w:val="007C6290"/>
    <w:rsid w:val="007D030D"/>
    <w:rsid w:val="007E04B5"/>
    <w:rsid w:val="007E1FD6"/>
    <w:rsid w:val="007E2F01"/>
    <w:rsid w:val="007E4338"/>
    <w:rsid w:val="007F0F67"/>
    <w:rsid w:val="007F2009"/>
    <w:rsid w:val="007F2877"/>
    <w:rsid w:val="007F2B32"/>
    <w:rsid w:val="008063F8"/>
    <w:rsid w:val="00807006"/>
    <w:rsid w:val="00807335"/>
    <w:rsid w:val="00807DEB"/>
    <w:rsid w:val="00810E90"/>
    <w:rsid w:val="0081186E"/>
    <w:rsid w:val="00814324"/>
    <w:rsid w:val="00815881"/>
    <w:rsid w:val="00817535"/>
    <w:rsid w:val="00821DDB"/>
    <w:rsid w:val="00822D3A"/>
    <w:rsid w:val="008405BC"/>
    <w:rsid w:val="00844975"/>
    <w:rsid w:val="008508F2"/>
    <w:rsid w:val="008542C9"/>
    <w:rsid w:val="00854DB3"/>
    <w:rsid w:val="00860DA2"/>
    <w:rsid w:val="0086513F"/>
    <w:rsid w:val="0086753B"/>
    <w:rsid w:val="008700F4"/>
    <w:rsid w:val="0087093D"/>
    <w:rsid w:val="008709D1"/>
    <w:rsid w:val="00871678"/>
    <w:rsid w:val="00873840"/>
    <w:rsid w:val="008754C8"/>
    <w:rsid w:val="008765CD"/>
    <w:rsid w:val="0088164E"/>
    <w:rsid w:val="008832CA"/>
    <w:rsid w:val="0088438F"/>
    <w:rsid w:val="00884696"/>
    <w:rsid w:val="00885B51"/>
    <w:rsid w:val="00887835"/>
    <w:rsid w:val="008960D6"/>
    <w:rsid w:val="00897D7C"/>
    <w:rsid w:val="008A09AE"/>
    <w:rsid w:val="008A7A10"/>
    <w:rsid w:val="008B063E"/>
    <w:rsid w:val="008B159F"/>
    <w:rsid w:val="008B23B2"/>
    <w:rsid w:val="008B323A"/>
    <w:rsid w:val="008B5FAE"/>
    <w:rsid w:val="008C0572"/>
    <w:rsid w:val="008C069D"/>
    <w:rsid w:val="008C20C2"/>
    <w:rsid w:val="008C537F"/>
    <w:rsid w:val="008C6914"/>
    <w:rsid w:val="008D46DB"/>
    <w:rsid w:val="008E06D2"/>
    <w:rsid w:val="008E08C8"/>
    <w:rsid w:val="008F38A3"/>
    <w:rsid w:val="008F5AF8"/>
    <w:rsid w:val="008F794E"/>
    <w:rsid w:val="00900AFD"/>
    <w:rsid w:val="00902943"/>
    <w:rsid w:val="0090321F"/>
    <w:rsid w:val="009032D9"/>
    <w:rsid w:val="00910083"/>
    <w:rsid w:val="00915F48"/>
    <w:rsid w:val="00921995"/>
    <w:rsid w:val="00924CF7"/>
    <w:rsid w:val="009255EB"/>
    <w:rsid w:val="009265E8"/>
    <w:rsid w:val="00930D0D"/>
    <w:rsid w:val="00931A55"/>
    <w:rsid w:val="00933A1D"/>
    <w:rsid w:val="00934D4B"/>
    <w:rsid w:val="00943F24"/>
    <w:rsid w:val="00944AC1"/>
    <w:rsid w:val="00944CF7"/>
    <w:rsid w:val="00951215"/>
    <w:rsid w:val="009530FA"/>
    <w:rsid w:val="00954223"/>
    <w:rsid w:val="0095703E"/>
    <w:rsid w:val="009634E0"/>
    <w:rsid w:val="00963B26"/>
    <w:rsid w:val="00981059"/>
    <w:rsid w:val="009815D4"/>
    <w:rsid w:val="009818CE"/>
    <w:rsid w:val="00983908"/>
    <w:rsid w:val="00984B03"/>
    <w:rsid w:val="00985D7E"/>
    <w:rsid w:val="00986A0F"/>
    <w:rsid w:val="009911AB"/>
    <w:rsid w:val="00991A6C"/>
    <w:rsid w:val="00991C3B"/>
    <w:rsid w:val="00992813"/>
    <w:rsid w:val="009946CD"/>
    <w:rsid w:val="009A5530"/>
    <w:rsid w:val="009A5E69"/>
    <w:rsid w:val="009A7207"/>
    <w:rsid w:val="009B020E"/>
    <w:rsid w:val="009B0471"/>
    <w:rsid w:val="009B36A6"/>
    <w:rsid w:val="009B4300"/>
    <w:rsid w:val="009B4DCE"/>
    <w:rsid w:val="009B5D4C"/>
    <w:rsid w:val="009C0624"/>
    <w:rsid w:val="009C33FC"/>
    <w:rsid w:val="009C503E"/>
    <w:rsid w:val="009C63C0"/>
    <w:rsid w:val="009D65E9"/>
    <w:rsid w:val="009D6606"/>
    <w:rsid w:val="009E21FA"/>
    <w:rsid w:val="009E2F81"/>
    <w:rsid w:val="009E5065"/>
    <w:rsid w:val="009E5B83"/>
    <w:rsid w:val="009E62B5"/>
    <w:rsid w:val="009E6A57"/>
    <w:rsid w:val="009E7B17"/>
    <w:rsid w:val="009F7E39"/>
    <w:rsid w:val="00A05FE7"/>
    <w:rsid w:val="00A063AF"/>
    <w:rsid w:val="00A07F6A"/>
    <w:rsid w:val="00A12E0B"/>
    <w:rsid w:val="00A12FC2"/>
    <w:rsid w:val="00A26420"/>
    <w:rsid w:val="00A32AEF"/>
    <w:rsid w:val="00A3343F"/>
    <w:rsid w:val="00A33465"/>
    <w:rsid w:val="00A424B1"/>
    <w:rsid w:val="00A50F21"/>
    <w:rsid w:val="00A510BD"/>
    <w:rsid w:val="00A5503F"/>
    <w:rsid w:val="00A60E72"/>
    <w:rsid w:val="00A61A16"/>
    <w:rsid w:val="00A66805"/>
    <w:rsid w:val="00A727FC"/>
    <w:rsid w:val="00A76D59"/>
    <w:rsid w:val="00A77706"/>
    <w:rsid w:val="00A77C8E"/>
    <w:rsid w:val="00A81335"/>
    <w:rsid w:val="00A82FF8"/>
    <w:rsid w:val="00A86C19"/>
    <w:rsid w:val="00A86FB6"/>
    <w:rsid w:val="00A919BD"/>
    <w:rsid w:val="00A948E6"/>
    <w:rsid w:val="00A974A0"/>
    <w:rsid w:val="00AA2F49"/>
    <w:rsid w:val="00AA6D5F"/>
    <w:rsid w:val="00AB5134"/>
    <w:rsid w:val="00AB62F6"/>
    <w:rsid w:val="00AB77CB"/>
    <w:rsid w:val="00AC0BFA"/>
    <w:rsid w:val="00AC2757"/>
    <w:rsid w:val="00AC3F3D"/>
    <w:rsid w:val="00AC3FE8"/>
    <w:rsid w:val="00AC57A3"/>
    <w:rsid w:val="00AD062A"/>
    <w:rsid w:val="00AD10CD"/>
    <w:rsid w:val="00AD2D82"/>
    <w:rsid w:val="00AD624E"/>
    <w:rsid w:val="00AE1525"/>
    <w:rsid w:val="00AE62FF"/>
    <w:rsid w:val="00AE6D5C"/>
    <w:rsid w:val="00AE7315"/>
    <w:rsid w:val="00AE74A3"/>
    <w:rsid w:val="00AF0B85"/>
    <w:rsid w:val="00AF4734"/>
    <w:rsid w:val="00AF7C62"/>
    <w:rsid w:val="00B00905"/>
    <w:rsid w:val="00B04595"/>
    <w:rsid w:val="00B04FA9"/>
    <w:rsid w:val="00B05226"/>
    <w:rsid w:val="00B0583E"/>
    <w:rsid w:val="00B11328"/>
    <w:rsid w:val="00B148E6"/>
    <w:rsid w:val="00B247DD"/>
    <w:rsid w:val="00B25E64"/>
    <w:rsid w:val="00B275EE"/>
    <w:rsid w:val="00B2775D"/>
    <w:rsid w:val="00B31DCE"/>
    <w:rsid w:val="00B3215A"/>
    <w:rsid w:val="00B35A96"/>
    <w:rsid w:val="00B378F2"/>
    <w:rsid w:val="00B46D3C"/>
    <w:rsid w:val="00B47BDF"/>
    <w:rsid w:val="00B50015"/>
    <w:rsid w:val="00B500A6"/>
    <w:rsid w:val="00B50863"/>
    <w:rsid w:val="00B549F8"/>
    <w:rsid w:val="00B55F30"/>
    <w:rsid w:val="00B601D7"/>
    <w:rsid w:val="00B61EE9"/>
    <w:rsid w:val="00B64199"/>
    <w:rsid w:val="00B646A0"/>
    <w:rsid w:val="00B72C59"/>
    <w:rsid w:val="00B865A0"/>
    <w:rsid w:val="00B93D1B"/>
    <w:rsid w:val="00B9702A"/>
    <w:rsid w:val="00BA0CC2"/>
    <w:rsid w:val="00BA1857"/>
    <w:rsid w:val="00BA1B03"/>
    <w:rsid w:val="00BA29FB"/>
    <w:rsid w:val="00BA371C"/>
    <w:rsid w:val="00BB4350"/>
    <w:rsid w:val="00BB6565"/>
    <w:rsid w:val="00BB74EB"/>
    <w:rsid w:val="00BC50B5"/>
    <w:rsid w:val="00BC5CA8"/>
    <w:rsid w:val="00BC65C5"/>
    <w:rsid w:val="00BC6711"/>
    <w:rsid w:val="00BD11CD"/>
    <w:rsid w:val="00BD58B1"/>
    <w:rsid w:val="00BD781D"/>
    <w:rsid w:val="00BE3B56"/>
    <w:rsid w:val="00BE4F3F"/>
    <w:rsid w:val="00BE55A0"/>
    <w:rsid w:val="00BE5BE4"/>
    <w:rsid w:val="00BE6C86"/>
    <w:rsid w:val="00BE6CB5"/>
    <w:rsid w:val="00BF25F9"/>
    <w:rsid w:val="00BF3C11"/>
    <w:rsid w:val="00BF7FE0"/>
    <w:rsid w:val="00C04F89"/>
    <w:rsid w:val="00C07530"/>
    <w:rsid w:val="00C11C57"/>
    <w:rsid w:val="00C13A31"/>
    <w:rsid w:val="00C2101A"/>
    <w:rsid w:val="00C3657A"/>
    <w:rsid w:val="00C371EF"/>
    <w:rsid w:val="00C41B45"/>
    <w:rsid w:val="00C44F49"/>
    <w:rsid w:val="00C45262"/>
    <w:rsid w:val="00C45313"/>
    <w:rsid w:val="00C47681"/>
    <w:rsid w:val="00C54C89"/>
    <w:rsid w:val="00C649BA"/>
    <w:rsid w:val="00C658CD"/>
    <w:rsid w:val="00C71DC8"/>
    <w:rsid w:val="00C71F3F"/>
    <w:rsid w:val="00C7265E"/>
    <w:rsid w:val="00C85C11"/>
    <w:rsid w:val="00C87B7E"/>
    <w:rsid w:val="00C9021B"/>
    <w:rsid w:val="00CA04C9"/>
    <w:rsid w:val="00CA1F96"/>
    <w:rsid w:val="00CB4311"/>
    <w:rsid w:val="00CB7C7C"/>
    <w:rsid w:val="00CD005A"/>
    <w:rsid w:val="00CD760D"/>
    <w:rsid w:val="00CE06A1"/>
    <w:rsid w:val="00CE3076"/>
    <w:rsid w:val="00CE31DE"/>
    <w:rsid w:val="00CF0784"/>
    <w:rsid w:val="00CF07CE"/>
    <w:rsid w:val="00CF2AE1"/>
    <w:rsid w:val="00CF31E0"/>
    <w:rsid w:val="00D04736"/>
    <w:rsid w:val="00D07CBF"/>
    <w:rsid w:val="00D07EE6"/>
    <w:rsid w:val="00D10BC2"/>
    <w:rsid w:val="00D114F5"/>
    <w:rsid w:val="00D170CB"/>
    <w:rsid w:val="00D21333"/>
    <w:rsid w:val="00D2263E"/>
    <w:rsid w:val="00D26800"/>
    <w:rsid w:val="00D303A4"/>
    <w:rsid w:val="00D32A29"/>
    <w:rsid w:val="00D41F5E"/>
    <w:rsid w:val="00D43D84"/>
    <w:rsid w:val="00D451E4"/>
    <w:rsid w:val="00D457BA"/>
    <w:rsid w:val="00D4758A"/>
    <w:rsid w:val="00D52628"/>
    <w:rsid w:val="00D53C53"/>
    <w:rsid w:val="00D56EA6"/>
    <w:rsid w:val="00D63F3A"/>
    <w:rsid w:val="00D66010"/>
    <w:rsid w:val="00D6783A"/>
    <w:rsid w:val="00D70B68"/>
    <w:rsid w:val="00D80AE7"/>
    <w:rsid w:val="00D86738"/>
    <w:rsid w:val="00D879EE"/>
    <w:rsid w:val="00D9232F"/>
    <w:rsid w:val="00D94CA0"/>
    <w:rsid w:val="00D96510"/>
    <w:rsid w:val="00DA4600"/>
    <w:rsid w:val="00DA5A41"/>
    <w:rsid w:val="00DB6529"/>
    <w:rsid w:val="00DC49B9"/>
    <w:rsid w:val="00DC6299"/>
    <w:rsid w:val="00DD06F2"/>
    <w:rsid w:val="00DD2CBD"/>
    <w:rsid w:val="00DD3127"/>
    <w:rsid w:val="00DD54C1"/>
    <w:rsid w:val="00DF0EE7"/>
    <w:rsid w:val="00DF1357"/>
    <w:rsid w:val="00DF168C"/>
    <w:rsid w:val="00DF262F"/>
    <w:rsid w:val="00DF29B3"/>
    <w:rsid w:val="00DF3D11"/>
    <w:rsid w:val="00DF7A16"/>
    <w:rsid w:val="00E010B7"/>
    <w:rsid w:val="00E0242C"/>
    <w:rsid w:val="00E0609A"/>
    <w:rsid w:val="00E105EA"/>
    <w:rsid w:val="00E1203A"/>
    <w:rsid w:val="00E12C36"/>
    <w:rsid w:val="00E156D8"/>
    <w:rsid w:val="00E20AA2"/>
    <w:rsid w:val="00E25EC6"/>
    <w:rsid w:val="00E26D69"/>
    <w:rsid w:val="00E272C6"/>
    <w:rsid w:val="00E27473"/>
    <w:rsid w:val="00E3024F"/>
    <w:rsid w:val="00E3595A"/>
    <w:rsid w:val="00E442FA"/>
    <w:rsid w:val="00E44B53"/>
    <w:rsid w:val="00E54E49"/>
    <w:rsid w:val="00E56A0F"/>
    <w:rsid w:val="00E602A6"/>
    <w:rsid w:val="00E65088"/>
    <w:rsid w:val="00E66F63"/>
    <w:rsid w:val="00E671E2"/>
    <w:rsid w:val="00E70816"/>
    <w:rsid w:val="00E70F1F"/>
    <w:rsid w:val="00E71FFA"/>
    <w:rsid w:val="00E746E9"/>
    <w:rsid w:val="00E7566E"/>
    <w:rsid w:val="00E75789"/>
    <w:rsid w:val="00E75D64"/>
    <w:rsid w:val="00E84B1B"/>
    <w:rsid w:val="00E87824"/>
    <w:rsid w:val="00E92D57"/>
    <w:rsid w:val="00E953EC"/>
    <w:rsid w:val="00E969C6"/>
    <w:rsid w:val="00E97ABA"/>
    <w:rsid w:val="00EA1C07"/>
    <w:rsid w:val="00EA7825"/>
    <w:rsid w:val="00EB0ED8"/>
    <w:rsid w:val="00EB4680"/>
    <w:rsid w:val="00EC53FE"/>
    <w:rsid w:val="00ED19BC"/>
    <w:rsid w:val="00ED1C4B"/>
    <w:rsid w:val="00ED1CFD"/>
    <w:rsid w:val="00EE097A"/>
    <w:rsid w:val="00EE3608"/>
    <w:rsid w:val="00EE3DDE"/>
    <w:rsid w:val="00EE6281"/>
    <w:rsid w:val="00F0297E"/>
    <w:rsid w:val="00F02F5F"/>
    <w:rsid w:val="00F04B5F"/>
    <w:rsid w:val="00F052AE"/>
    <w:rsid w:val="00F06AE0"/>
    <w:rsid w:val="00F10D46"/>
    <w:rsid w:val="00F15F82"/>
    <w:rsid w:val="00F24B45"/>
    <w:rsid w:val="00F313A3"/>
    <w:rsid w:val="00F314D1"/>
    <w:rsid w:val="00F36EF0"/>
    <w:rsid w:val="00F378E5"/>
    <w:rsid w:val="00F37917"/>
    <w:rsid w:val="00F42EB1"/>
    <w:rsid w:val="00F5160C"/>
    <w:rsid w:val="00F54814"/>
    <w:rsid w:val="00F66DDB"/>
    <w:rsid w:val="00F673D4"/>
    <w:rsid w:val="00F70094"/>
    <w:rsid w:val="00F73E31"/>
    <w:rsid w:val="00F766EE"/>
    <w:rsid w:val="00F81CBF"/>
    <w:rsid w:val="00F832D5"/>
    <w:rsid w:val="00F83618"/>
    <w:rsid w:val="00F83B30"/>
    <w:rsid w:val="00F857ED"/>
    <w:rsid w:val="00F86F79"/>
    <w:rsid w:val="00F922C5"/>
    <w:rsid w:val="00F936E1"/>
    <w:rsid w:val="00FA12B3"/>
    <w:rsid w:val="00FA3C03"/>
    <w:rsid w:val="00FA753F"/>
    <w:rsid w:val="00FB0CA6"/>
    <w:rsid w:val="00FB1918"/>
    <w:rsid w:val="00FB5C3C"/>
    <w:rsid w:val="00FB6483"/>
    <w:rsid w:val="00FC0D87"/>
    <w:rsid w:val="00FC5603"/>
    <w:rsid w:val="00FD02E5"/>
    <w:rsid w:val="00FD2764"/>
    <w:rsid w:val="00FD2957"/>
    <w:rsid w:val="00FD48CB"/>
    <w:rsid w:val="00FD6524"/>
    <w:rsid w:val="00FD6534"/>
    <w:rsid w:val="00FE2655"/>
    <w:rsid w:val="00FE3281"/>
    <w:rsid w:val="00FE4D73"/>
    <w:rsid w:val="00FE5FF4"/>
    <w:rsid w:val="00FE60E8"/>
    <w:rsid w:val="00FE7B50"/>
    <w:rsid w:val="00FF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09BD"/>
  <w15:docId w15:val="{6283F037-22A9-491B-AEDF-9528B6A3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D82"/>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uiPriority w:val="9"/>
    <w:qFormat/>
    <w:rsid w:val="000A5F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A5F4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A5F4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F4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A5F4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0A5F4E"/>
    <w:rPr>
      <w:rFonts w:asciiTheme="majorHAnsi" w:eastAsiaTheme="majorEastAsia" w:hAnsiTheme="majorHAnsi" w:cstheme="majorBidi"/>
      <w:color w:val="1F4D78" w:themeColor="accent1" w:themeShade="7F"/>
      <w:sz w:val="24"/>
      <w:szCs w:val="24"/>
    </w:rPr>
  </w:style>
  <w:style w:type="character" w:styleId="a3">
    <w:name w:val="Strong"/>
    <w:basedOn w:val="a0"/>
    <w:uiPriority w:val="22"/>
    <w:qFormat/>
    <w:rsid w:val="000A5F4E"/>
    <w:rPr>
      <w:b/>
      <w:bCs/>
    </w:rPr>
  </w:style>
  <w:style w:type="character" w:styleId="a4">
    <w:name w:val="Emphasis"/>
    <w:basedOn w:val="a0"/>
    <w:uiPriority w:val="20"/>
    <w:qFormat/>
    <w:rsid w:val="000A5F4E"/>
    <w:rPr>
      <w:i/>
      <w:iCs/>
    </w:rPr>
  </w:style>
  <w:style w:type="paragraph" w:styleId="a5">
    <w:name w:val="No Spacing"/>
    <w:uiPriority w:val="1"/>
    <w:qFormat/>
    <w:rsid w:val="000A5F4E"/>
    <w:pPr>
      <w:spacing w:after="0" w:line="240" w:lineRule="auto"/>
    </w:pPr>
  </w:style>
  <w:style w:type="paragraph" w:styleId="a6">
    <w:name w:val="List Paragraph"/>
    <w:basedOn w:val="a"/>
    <w:uiPriority w:val="34"/>
    <w:qFormat/>
    <w:rsid w:val="000A5F4E"/>
    <w:pPr>
      <w:ind w:left="720"/>
      <w:contextualSpacing/>
    </w:pPr>
  </w:style>
  <w:style w:type="paragraph" w:styleId="a7">
    <w:name w:val="Body Text"/>
    <w:aliases w:val="Òàáë òåêñò, Знак,Знак"/>
    <w:basedOn w:val="a"/>
    <w:link w:val="a8"/>
    <w:uiPriority w:val="99"/>
    <w:rsid w:val="00AD2D82"/>
    <w:pPr>
      <w:spacing w:after="120"/>
    </w:pPr>
    <w:rPr>
      <w:rFonts w:eastAsia="Times New Roman"/>
    </w:rPr>
  </w:style>
  <w:style w:type="character" w:customStyle="1" w:styleId="a8">
    <w:name w:val="Основной текст Знак"/>
    <w:aliases w:val="Òàáë òåêñò Знак1, Знак Знак1,Знак Знак1"/>
    <w:basedOn w:val="a0"/>
    <w:link w:val="a7"/>
    <w:uiPriority w:val="99"/>
    <w:rsid w:val="00AD2D82"/>
    <w:rPr>
      <w:rFonts w:ascii="Times New Roman" w:eastAsia="Times New Roman" w:hAnsi="Times New Roman" w:cs="Times New Roman"/>
      <w:sz w:val="24"/>
      <w:szCs w:val="24"/>
      <w:lang w:val="ru-RU" w:eastAsia="ru-RU"/>
    </w:rPr>
  </w:style>
  <w:style w:type="paragraph" w:styleId="a9">
    <w:name w:val="Title"/>
    <w:basedOn w:val="a"/>
    <w:link w:val="aa"/>
    <w:qFormat/>
    <w:rsid w:val="00AD2D82"/>
    <w:pPr>
      <w:jc w:val="center"/>
    </w:pPr>
    <w:rPr>
      <w:rFonts w:eastAsia="Times New Roman"/>
      <w:b/>
      <w:szCs w:val="20"/>
    </w:rPr>
  </w:style>
  <w:style w:type="character" w:customStyle="1" w:styleId="aa">
    <w:name w:val="Заголовок Знак"/>
    <w:basedOn w:val="a0"/>
    <w:link w:val="a9"/>
    <w:rsid w:val="00AD2D82"/>
    <w:rPr>
      <w:rFonts w:ascii="Times New Roman" w:eastAsia="Times New Roman" w:hAnsi="Times New Roman" w:cs="Times New Roman"/>
      <w:b/>
      <w:sz w:val="24"/>
      <w:szCs w:val="20"/>
      <w:lang w:val="ru-RU" w:eastAsia="ru-RU"/>
    </w:rPr>
  </w:style>
  <w:style w:type="paragraph" w:styleId="ab">
    <w:name w:val="Body Text Indent"/>
    <w:basedOn w:val="a"/>
    <w:link w:val="ac"/>
    <w:uiPriority w:val="99"/>
    <w:rsid w:val="00AD2D82"/>
    <w:pPr>
      <w:spacing w:after="120"/>
      <w:ind w:left="283"/>
    </w:pPr>
    <w:rPr>
      <w:rFonts w:eastAsia="Times New Roman"/>
    </w:rPr>
  </w:style>
  <w:style w:type="character" w:customStyle="1" w:styleId="ac">
    <w:name w:val="Основной текст с отступом Знак"/>
    <w:basedOn w:val="a0"/>
    <w:link w:val="ab"/>
    <w:uiPriority w:val="99"/>
    <w:rsid w:val="00AD2D82"/>
    <w:rPr>
      <w:rFonts w:ascii="Times New Roman" w:eastAsia="Times New Roman" w:hAnsi="Times New Roman" w:cs="Times New Roman"/>
      <w:sz w:val="24"/>
      <w:szCs w:val="24"/>
      <w:lang w:val="ru-RU" w:eastAsia="ru-RU"/>
    </w:rPr>
  </w:style>
  <w:style w:type="paragraph" w:customStyle="1" w:styleId="ad">
    <w:name w:val="Прижатый влево"/>
    <w:basedOn w:val="a"/>
    <w:next w:val="a"/>
    <w:uiPriority w:val="99"/>
    <w:rsid w:val="00AD2D82"/>
    <w:pPr>
      <w:autoSpaceDE w:val="0"/>
      <w:autoSpaceDN w:val="0"/>
      <w:adjustRightInd w:val="0"/>
    </w:pPr>
    <w:rPr>
      <w:rFonts w:ascii="Arial" w:eastAsia="Times New Roman" w:hAnsi="Arial" w:cs="Arial"/>
    </w:rPr>
  </w:style>
  <w:style w:type="paragraph" w:customStyle="1" w:styleId="ae">
    <w:name w:val="Заголовок статьи"/>
    <w:basedOn w:val="a"/>
    <w:next w:val="a"/>
    <w:uiPriority w:val="99"/>
    <w:rsid w:val="00AD2D82"/>
    <w:pPr>
      <w:autoSpaceDE w:val="0"/>
      <w:autoSpaceDN w:val="0"/>
      <w:adjustRightInd w:val="0"/>
      <w:ind w:left="1612" w:hanging="892"/>
      <w:jc w:val="both"/>
    </w:pPr>
    <w:rPr>
      <w:rFonts w:ascii="Arial" w:hAnsi="Arial" w:cs="Arial"/>
      <w:sz w:val="20"/>
      <w:szCs w:val="20"/>
      <w:lang w:eastAsia="en-US"/>
    </w:rPr>
  </w:style>
  <w:style w:type="table" w:styleId="af">
    <w:name w:val="Table Grid"/>
    <w:basedOn w:val="a1"/>
    <w:rsid w:val="00AD2D82"/>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D2D82"/>
    <w:rPr>
      <w:color w:val="0000FF"/>
      <w:u w:val="single"/>
    </w:rPr>
  </w:style>
  <w:style w:type="paragraph" w:styleId="af1">
    <w:name w:val="header"/>
    <w:basedOn w:val="a"/>
    <w:link w:val="af2"/>
    <w:unhideWhenUsed/>
    <w:rsid w:val="00AD2D82"/>
    <w:pPr>
      <w:tabs>
        <w:tab w:val="center" w:pos="4677"/>
        <w:tab w:val="right" w:pos="9355"/>
      </w:tabs>
    </w:pPr>
  </w:style>
  <w:style w:type="character" w:customStyle="1" w:styleId="af2">
    <w:name w:val="Верхний колонтитул Знак"/>
    <w:basedOn w:val="a0"/>
    <w:link w:val="af1"/>
    <w:rsid w:val="00AD2D82"/>
    <w:rPr>
      <w:rFonts w:ascii="Times New Roman" w:eastAsia="Calibri" w:hAnsi="Times New Roman" w:cs="Times New Roman"/>
      <w:sz w:val="24"/>
      <w:szCs w:val="24"/>
      <w:lang w:val="ru-RU" w:eastAsia="ru-RU"/>
    </w:rPr>
  </w:style>
  <w:style w:type="paragraph" w:styleId="af3">
    <w:name w:val="footer"/>
    <w:basedOn w:val="a"/>
    <w:link w:val="af4"/>
    <w:uiPriority w:val="99"/>
    <w:semiHidden/>
    <w:unhideWhenUsed/>
    <w:rsid w:val="00AD2D82"/>
    <w:pPr>
      <w:tabs>
        <w:tab w:val="center" w:pos="4677"/>
        <w:tab w:val="right" w:pos="9355"/>
      </w:tabs>
    </w:pPr>
  </w:style>
  <w:style w:type="character" w:customStyle="1" w:styleId="af4">
    <w:name w:val="Нижний колонтитул Знак"/>
    <w:basedOn w:val="a0"/>
    <w:link w:val="af3"/>
    <w:uiPriority w:val="99"/>
    <w:semiHidden/>
    <w:rsid w:val="00AD2D82"/>
    <w:rPr>
      <w:rFonts w:ascii="Times New Roman" w:eastAsia="Calibri" w:hAnsi="Times New Roman" w:cs="Times New Roman"/>
      <w:sz w:val="24"/>
      <w:szCs w:val="24"/>
      <w:lang w:val="ru-RU" w:eastAsia="ru-RU"/>
    </w:rPr>
  </w:style>
  <w:style w:type="paragraph" w:customStyle="1" w:styleId="ConsPlusNormal">
    <w:name w:val="ConsPlusNormal"/>
    <w:link w:val="ConsPlusNormal0"/>
    <w:qFormat/>
    <w:rsid w:val="00AD2D82"/>
    <w:pPr>
      <w:autoSpaceDE w:val="0"/>
      <w:autoSpaceDN w:val="0"/>
      <w:adjustRightInd w:val="0"/>
      <w:spacing w:after="0" w:line="240" w:lineRule="auto"/>
    </w:pPr>
    <w:rPr>
      <w:rFonts w:ascii="Times New Roman" w:eastAsia="Calibri" w:hAnsi="Times New Roman" w:cs="Times New Roman"/>
      <w:sz w:val="24"/>
      <w:szCs w:val="24"/>
      <w:lang w:val="ru-RU" w:eastAsia="ru-RU"/>
    </w:rPr>
  </w:style>
  <w:style w:type="paragraph" w:customStyle="1" w:styleId="ConsPlusNonformat">
    <w:name w:val="ConsPlusNonformat"/>
    <w:uiPriority w:val="99"/>
    <w:rsid w:val="00AD2D82"/>
    <w:pPr>
      <w:autoSpaceDE w:val="0"/>
      <w:autoSpaceDN w:val="0"/>
      <w:adjustRightInd w:val="0"/>
      <w:spacing w:after="0" w:line="240" w:lineRule="auto"/>
    </w:pPr>
    <w:rPr>
      <w:rFonts w:ascii="Courier New" w:eastAsia="Calibri" w:hAnsi="Courier New" w:cs="Courier New"/>
      <w:sz w:val="20"/>
      <w:szCs w:val="20"/>
      <w:lang w:val="ru-RU" w:eastAsia="ru-RU"/>
    </w:rPr>
  </w:style>
  <w:style w:type="character" w:customStyle="1" w:styleId="a00">
    <w:name w:val="a0"/>
    <w:basedOn w:val="a0"/>
    <w:rsid w:val="00AD2D82"/>
  </w:style>
  <w:style w:type="character" w:styleId="af5">
    <w:name w:val="page number"/>
    <w:basedOn w:val="a0"/>
    <w:rsid w:val="00AD2D82"/>
  </w:style>
  <w:style w:type="paragraph" w:customStyle="1" w:styleId="11">
    <w:name w:val="1"/>
    <w:rsid w:val="00AD2D82"/>
    <w:pPr>
      <w:spacing w:after="0" w:line="240" w:lineRule="auto"/>
    </w:pPr>
    <w:rPr>
      <w:rFonts w:ascii="Times New Roman" w:eastAsia="Times New Roman" w:hAnsi="Times New Roman" w:cs="Times New Roman"/>
      <w:sz w:val="24"/>
      <w:szCs w:val="24"/>
      <w:lang w:val="ru-RU" w:eastAsia="ru-RU"/>
    </w:rPr>
  </w:style>
  <w:style w:type="paragraph" w:styleId="af6">
    <w:name w:val="endnote text"/>
    <w:basedOn w:val="a"/>
    <w:link w:val="af7"/>
    <w:rsid w:val="00AD2D82"/>
    <w:rPr>
      <w:sz w:val="20"/>
      <w:szCs w:val="20"/>
    </w:rPr>
  </w:style>
  <w:style w:type="character" w:customStyle="1" w:styleId="af7">
    <w:name w:val="Текст концевой сноски Знак"/>
    <w:basedOn w:val="a0"/>
    <w:link w:val="af6"/>
    <w:rsid w:val="00AD2D82"/>
    <w:rPr>
      <w:rFonts w:ascii="Times New Roman" w:eastAsia="Calibri" w:hAnsi="Times New Roman" w:cs="Times New Roman"/>
      <w:sz w:val="20"/>
      <w:szCs w:val="20"/>
      <w:lang w:val="ru-RU" w:eastAsia="ru-RU"/>
    </w:rPr>
  </w:style>
  <w:style w:type="character" w:customStyle="1" w:styleId="af8">
    <w:name w:val="Гипертекстовая ссылка"/>
    <w:basedOn w:val="a0"/>
    <w:uiPriority w:val="99"/>
    <w:rsid w:val="00AD2D82"/>
    <w:rPr>
      <w:color w:val="106BBE"/>
    </w:rPr>
  </w:style>
  <w:style w:type="paragraph" w:customStyle="1" w:styleId="af9">
    <w:name w:val="Комментарий"/>
    <w:basedOn w:val="a"/>
    <w:next w:val="a"/>
    <w:uiPriority w:val="99"/>
    <w:rsid w:val="00AD2D82"/>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a">
    <w:name w:val="Информация об изменениях документа"/>
    <w:basedOn w:val="af9"/>
    <w:next w:val="a"/>
    <w:uiPriority w:val="99"/>
    <w:rsid w:val="00AD2D82"/>
    <w:rPr>
      <w:i/>
      <w:iCs/>
    </w:rPr>
  </w:style>
  <w:style w:type="paragraph" w:styleId="afb">
    <w:name w:val="Normal (Web)"/>
    <w:basedOn w:val="a"/>
    <w:uiPriority w:val="99"/>
    <w:unhideWhenUsed/>
    <w:rsid w:val="00AD2D82"/>
    <w:pPr>
      <w:spacing w:before="100" w:beforeAutospacing="1" w:after="100" w:afterAutospacing="1"/>
    </w:pPr>
    <w:rPr>
      <w:rFonts w:eastAsia="Times New Roman"/>
    </w:rPr>
  </w:style>
  <w:style w:type="character" w:customStyle="1" w:styleId="afc">
    <w:name w:val="Цветовое выделение"/>
    <w:uiPriority w:val="99"/>
    <w:rsid w:val="00AD2D82"/>
    <w:rPr>
      <w:b/>
      <w:bCs/>
      <w:color w:val="26282F"/>
    </w:rPr>
  </w:style>
  <w:style w:type="paragraph" w:customStyle="1" w:styleId="ConsPlusTitle">
    <w:name w:val="ConsPlusTitle"/>
    <w:rsid w:val="00AD2D82"/>
    <w:pPr>
      <w:widowControl w:val="0"/>
      <w:autoSpaceDE w:val="0"/>
      <w:autoSpaceDN w:val="0"/>
      <w:spacing w:after="0" w:line="240" w:lineRule="auto"/>
    </w:pPr>
    <w:rPr>
      <w:rFonts w:ascii="Calibri" w:eastAsia="Times New Roman" w:hAnsi="Calibri" w:cs="Calibri"/>
      <w:b/>
      <w:szCs w:val="20"/>
      <w:lang w:val="ru-RU" w:eastAsia="ru-RU"/>
    </w:rPr>
  </w:style>
  <w:style w:type="paragraph" w:customStyle="1" w:styleId="afd">
    <w:name w:val="Нормальный (таблица)"/>
    <w:basedOn w:val="a"/>
    <w:next w:val="a"/>
    <w:uiPriority w:val="99"/>
    <w:rsid w:val="00AD2D82"/>
    <w:pPr>
      <w:autoSpaceDE w:val="0"/>
      <w:autoSpaceDN w:val="0"/>
      <w:adjustRightInd w:val="0"/>
      <w:jc w:val="both"/>
    </w:pPr>
    <w:rPr>
      <w:rFonts w:ascii="Arial" w:hAnsi="Arial" w:cs="Arial"/>
    </w:rPr>
  </w:style>
  <w:style w:type="character" w:customStyle="1" w:styleId="12">
    <w:name w:val="Основной текст Знак1"/>
    <w:aliases w:val="Òàáë òåêñò Знак, Знак Знак,Знак Знак"/>
    <w:uiPriority w:val="99"/>
    <w:locked/>
    <w:rsid w:val="00AD2D82"/>
    <w:rPr>
      <w:rFonts w:ascii="Times New Roman" w:eastAsia="Times New Roman" w:hAnsi="Times New Roman" w:cs="Times New Roman"/>
      <w:sz w:val="24"/>
      <w:szCs w:val="24"/>
      <w:lang w:eastAsia="ru-RU"/>
    </w:rPr>
  </w:style>
  <w:style w:type="character" w:customStyle="1" w:styleId="extended-textshort">
    <w:name w:val="extended-text__short"/>
    <w:basedOn w:val="a0"/>
    <w:rsid w:val="00AD2D82"/>
  </w:style>
  <w:style w:type="paragraph" w:styleId="afe">
    <w:name w:val="Balloon Text"/>
    <w:basedOn w:val="a"/>
    <w:link w:val="aff"/>
    <w:uiPriority w:val="99"/>
    <w:semiHidden/>
    <w:unhideWhenUsed/>
    <w:rsid w:val="00AD2D82"/>
    <w:rPr>
      <w:rFonts w:ascii="Tahoma" w:hAnsi="Tahoma" w:cs="Tahoma"/>
      <w:sz w:val="16"/>
      <w:szCs w:val="16"/>
    </w:rPr>
  </w:style>
  <w:style w:type="character" w:customStyle="1" w:styleId="aff">
    <w:name w:val="Текст выноски Знак"/>
    <w:basedOn w:val="a0"/>
    <w:link w:val="afe"/>
    <w:uiPriority w:val="99"/>
    <w:semiHidden/>
    <w:rsid w:val="00AD2D82"/>
    <w:rPr>
      <w:rFonts w:ascii="Tahoma" w:eastAsia="Calibri" w:hAnsi="Tahoma" w:cs="Tahoma"/>
      <w:sz w:val="16"/>
      <w:szCs w:val="16"/>
      <w:lang w:val="ru-RU" w:eastAsia="ru-RU"/>
    </w:rPr>
  </w:style>
  <w:style w:type="character" w:customStyle="1" w:styleId="ConsPlusNormal0">
    <w:name w:val="ConsPlusNormal Знак"/>
    <w:link w:val="ConsPlusNormal"/>
    <w:locked/>
    <w:rsid w:val="00AD2D82"/>
    <w:rPr>
      <w:rFonts w:ascii="Times New Roman" w:eastAsia="Calibri" w:hAnsi="Times New Roman" w:cs="Times New Roman"/>
      <w:sz w:val="24"/>
      <w:szCs w:val="24"/>
      <w:lang w:val="ru-RU" w:eastAsia="ru-RU"/>
    </w:rPr>
  </w:style>
  <w:style w:type="paragraph" w:customStyle="1" w:styleId="Standard">
    <w:name w:val="Standard"/>
    <w:rsid w:val="00E26D69"/>
    <w:pPr>
      <w:suppressAutoHyphens/>
      <w:autoSpaceDN w:val="0"/>
      <w:spacing w:after="0" w:line="240" w:lineRule="auto"/>
      <w:textAlignment w:val="baseline"/>
    </w:pPr>
    <w:rPr>
      <w:rFonts w:ascii="Times New Roman" w:eastAsia="Calibri" w:hAnsi="Times New Roman" w:cs="Times New Roman"/>
      <w:kern w:val="3"/>
      <w:sz w:val="24"/>
      <w:szCs w:val="24"/>
      <w:lang w:val="ru-RU" w:eastAsia="ru-RU"/>
    </w:rPr>
  </w:style>
  <w:style w:type="paragraph" w:customStyle="1" w:styleId="13">
    <w:name w:val="Обычный1"/>
    <w:rsid w:val="007B1774"/>
    <w:pPr>
      <w:widowControl w:val="0"/>
      <w:snapToGrid w:val="0"/>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935">
      <w:bodyDiv w:val="1"/>
      <w:marLeft w:val="0"/>
      <w:marRight w:val="0"/>
      <w:marTop w:val="0"/>
      <w:marBottom w:val="0"/>
      <w:divBdr>
        <w:top w:val="none" w:sz="0" w:space="0" w:color="auto"/>
        <w:left w:val="none" w:sz="0" w:space="0" w:color="auto"/>
        <w:bottom w:val="none" w:sz="0" w:space="0" w:color="auto"/>
        <w:right w:val="none" w:sz="0" w:space="0" w:color="auto"/>
      </w:divBdr>
    </w:div>
    <w:div w:id="74018332">
      <w:bodyDiv w:val="1"/>
      <w:marLeft w:val="0"/>
      <w:marRight w:val="0"/>
      <w:marTop w:val="0"/>
      <w:marBottom w:val="0"/>
      <w:divBdr>
        <w:top w:val="none" w:sz="0" w:space="0" w:color="auto"/>
        <w:left w:val="none" w:sz="0" w:space="0" w:color="auto"/>
        <w:bottom w:val="none" w:sz="0" w:space="0" w:color="auto"/>
        <w:right w:val="none" w:sz="0" w:space="0" w:color="auto"/>
      </w:divBdr>
    </w:div>
    <w:div w:id="97067415">
      <w:bodyDiv w:val="1"/>
      <w:marLeft w:val="0"/>
      <w:marRight w:val="0"/>
      <w:marTop w:val="0"/>
      <w:marBottom w:val="0"/>
      <w:divBdr>
        <w:top w:val="none" w:sz="0" w:space="0" w:color="auto"/>
        <w:left w:val="none" w:sz="0" w:space="0" w:color="auto"/>
        <w:bottom w:val="none" w:sz="0" w:space="0" w:color="auto"/>
        <w:right w:val="none" w:sz="0" w:space="0" w:color="auto"/>
      </w:divBdr>
    </w:div>
    <w:div w:id="107242845">
      <w:bodyDiv w:val="1"/>
      <w:marLeft w:val="0"/>
      <w:marRight w:val="0"/>
      <w:marTop w:val="0"/>
      <w:marBottom w:val="0"/>
      <w:divBdr>
        <w:top w:val="none" w:sz="0" w:space="0" w:color="auto"/>
        <w:left w:val="none" w:sz="0" w:space="0" w:color="auto"/>
        <w:bottom w:val="none" w:sz="0" w:space="0" w:color="auto"/>
        <w:right w:val="none" w:sz="0" w:space="0" w:color="auto"/>
      </w:divBdr>
    </w:div>
    <w:div w:id="108012618">
      <w:bodyDiv w:val="1"/>
      <w:marLeft w:val="0"/>
      <w:marRight w:val="0"/>
      <w:marTop w:val="0"/>
      <w:marBottom w:val="0"/>
      <w:divBdr>
        <w:top w:val="none" w:sz="0" w:space="0" w:color="auto"/>
        <w:left w:val="none" w:sz="0" w:space="0" w:color="auto"/>
        <w:bottom w:val="none" w:sz="0" w:space="0" w:color="auto"/>
        <w:right w:val="none" w:sz="0" w:space="0" w:color="auto"/>
      </w:divBdr>
    </w:div>
    <w:div w:id="147132994">
      <w:bodyDiv w:val="1"/>
      <w:marLeft w:val="0"/>
      <w:marRight w:val="0"/>
      <w:marTop w:val="0"/>
      <w:marBottom w:val="0"/>
      <w:divBdr>
        <w:top w:val="none" w:sz="0" w:space="0" w:color="auto"/>
        <w:left w:val="none" w:sz="0" w:space="0" w:color="auto"/>
        <w:bottom w:val="none" w:sz="0" w:space="0" w:color="auto"/>
        <w:right w:val="none" w:sz="0" w:space="0" w:color="auto"/>
      </w:divBdr>
    </w:div>
    <w:div w:id="191498840">
      <w:bodyDiv w:val="1"/>
      <w:marLeft w:val="0"/>
      <w:marRight w:val="0"/>
      <w:marTop w:val="0"/>
      <w:marBottom w:val="0"/>
      <w:divBdr>
        <w:top w:val="none" w:sz="0" w:space="0" w:color="auto"/>
        <w:left w:val="none" w:sz="0" w:space="0" w:color="auto"/>
        <w:bottom w:val="none" w:sz="0" w:space="0" w:color="auto"/>
        <w:right w:val="none" w:sz="0" w:space="0" w:color="auto"/>
      </w:divBdr>
    </w:div>
    <w:div w:id="213931969">
      <w:bodyDiv w:val="1"/>
      <w:marLeft w:val="0"/>
      <w:marRight w:val="0"/>
      <w:marTop w:val="0"/>
      <w:marBottom w:val="0"/>
      <w:divBdr>
        <w:top w:val="none" w:sz="0" w:space="0" w:color="auto"/>
        <w:left w:val="none" w:sz="0" w:space="0" w:color="auto"/>
        <w:bottom w:val="none" w:sz="0" w:space="0" w:color="auto"/>
        <w:right w:val="none" w:sz="0" w:space="0" w:color="auto"/>
      </w:divBdr>
    </w:div>
    <w:div w:id="255747865">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409275365">
      <w:bodyDiv w:val="1"/>
      <w:marLeft w:val="0"/>
      <w:marRight w:val="0"/>
      <w:marTop w:val="0"/>
      <w:marBottom w:val="0"/>
      <w:divBdr>
        <w:top w:val="none" w:sz="0" w:space="0" w:color="auto"/>
        <w:left w:val="none" w:sz="0" w:space="0" w:color="auto"/>
        <w:bottom w:val="none" w:sz="0" w:space="0" w:color="auto"/>
        <w:right w:val="none" w:sz="0" w:space="0" w:color="auto"/>
      </w:divBdr>
    </w:div>
    <w:div w:id="411122045">
      <w:bodyDiv w:val="1"/>
      <w:marLeft w:val="0"/>
      <w:marRight w:val="0"/>
      <w:marTop w:val="0"/>
      <w:marBottom w:val="0"/>
      <w:divBdr>
        <w:top w:val="none" w:sz="0" w:space="0" w:color="auto"/>
        <w:left w:val="none" w:sz="0" w:space="0" w:color="auto"/>
        <w:bottom w:val="none" w:sz="0" w:space="0" w:color="auto"/>
        <w:right w:val="none" w:sz="0" w:space="0" w:color="auto"/>
      </w:divBdr>
    </w:div>
    <w:div w:id="458493388">
      <w:bodyDiv w:val="1"/>
      <w:marLeft w:val="0"/>
      <w:marRight w:val="0"/>
      <w:marTop w:val="0"/>
      <w:marBottom w:val="0"/>
      <w:divBdr>
        <w:top w:val="none" w:sz="0" w:space="0" w:color="auto"/>
        <w:left w:val="none" w:sz="0" w:space="0" w:color="auto"/>
        <w:bottom w:val="none" w:sz="0" w:space="0" w:color="auto"/>
        <w:right w:val="none" w:sz="0" w:space="0" w:color="auto"/>
      </w:divBdr>
    </w:div>
    <w:div w:id="468136713">
      <w:bodyDiv w:val="1"/>
      <w:marLeft w:val="0"/>
      <w:marRight w:val="0"/>
      <w:marTop w:val="0"/>
      <w:marBottom w:val="0"/>
      <w:divBdr>
        <w:top w:val="none" w:sz="0" w:space="0" w:color="auto"/>
        <w:left w:val="none" w:sz="0" w:space="0" w:color="auto"/>
        <w:bottom w:val="none" w:sz="0" w:space="0" w:color="auto"/>
        <w:right w:val="none" w:sz="0" w:space="0" w:color="auto"/>
      </w:divBdr>
    </w:div>
    <w:div w:id="531386459">
      <w:bodyDiv w:val="1"/>
      <w:marLeft w:val="0"/>
      <w:marRight w:val="0"/>
      <w:marTop w:val="0"/>
      <w:marBottom w:val="0"/>
      <w:divBdr>
        <w:top w:val="none" w:sz="0" w:space="0" w:color="auto"/>
        <w:left w:val="none" w:sz="0" w:space="0" w:color="auto"/>
        <w:bottom w:val="none" w:sz="0" w:space="0" w:color="auto"/>
        <w:right w:val="none" w:sz="0" w:space="0" w:color="auto"/>
      </w:divBdr>
    </w:div>
    <w:div w:id="626542669">
      <w:bodyDiv w:val="1"/>
      <w:marLeft w:val="0"/>
      <w:marRight w:val="0"/>
      <w:marTop w:val="0"/>
      <w:marBottom w:val="0"/>
      <w:divBdr>
        <w:top w:val="none" w:sz="0" w:space="0" w:color="auto"/>
        <w:left w:val="none" w:sz="0" w:space="0" w:color="auto"/>
        <w:bottom w:val="none" w:sz="0" w:space="0" w:color="auto"/>
        <w:right w:val="none" w:sz="0" w:space="0" w:color="auto"/>
      </w:divBdr>
    </w:div>
    <w:div w:id="704141938">
      <w:bodyDiv w:val="1"/>
      <w:marLeft w:val="0"/>
      <w:marRight w:val="0"/>
      <w:marTop w:val="0"/>
      <w:marBottom w:val="0"/>
      <w:divBdr>
        <w:top w:val="none" w:sz="0" w:space="0" w:color="auto"/>
        <w:left w:val="none" w:sz="0" w:space="0" w:color="auto"/>
        <w:bottom w:val="none" w:sz="0" w:space="0" w:color="auto"/>
        <w:right w:val="none" w:sz="0" w:space="0" w:color="auto"/>
      </w:divBdr>
    </w:div>
    <w:div w:id="750353310">
      <w:bodyDiv w:val="1"/>
      <w:marLeft w:val="0"/>
      <w:marRight w:val="0"/>
      <w:marTop w:val="0"/>
      <w:marBottom w:val="0"/>
      <w:divBdr>
        <w:top w:val="none" w:sz="0" w:space="0" w:color="auto"/>
        <w:left w:val="none" w:sz="0" w:space="0" w:color="auto"/>
        <w:bottom w:val="none" w:sz="0" w:space="0" w:color="auto"/>
        <w:right w:val="none" w:sz="0" w:space="0" w:color="auto"/>
      </w:divBdr>
    </w:div>
    <w:div w:id="768622905">
      <w:bodyDiv w:val="1"/>
      <w:marLeft w:val="0"/>
      <w:marRight w:val="0"/>
      <w:marTop w:val="0"/>
      <w:marBottom w:val="0"/>
      <w:divBdr>
        <w:top w:val="none" w:sz="0" w:space="0" w:color="auto"/>
        <w:left w:val="none" w:sz="0" w:space="0" w:color="auto"/>
        <w:bottom w:val="none" w:sz="0" w:space="0" w:color="auto"/>
        <w:right w:val="none" w:sz="0" w:space="0" w:color="auto"/>
      </w:divBdr>
    </w:div>
    <w:div w:id="875896218">
      <w:bodyDiv w:val="1"/>
      <w:marLeft w:val="0"/>
      <w:marRight w:val="0"/>
      <w:marTop w:val="0"/>
      <w:marBottom w:val="0"/>
      <w:divBdr>
        <w:top w:val="none" w:sz="0" w:space="0" w:color="auto"/>
        <w:left w:val="none" w:sz="0" w:space="0" w:color="auto"/>
        <w:bottom w:val="none" w:sz="0" w:space="0" w:color="auto"/>
        <w:right w:val="none" w:sz="0" w:space="0" w:color="auto"/>
      </w:divBdr>
    </w:div>
    <w:div w:id="906958490">
      <w:bodyDiv w:val="1"/>
      <w:marLeft w:val="0"/>
      <w:marRight w:val="0"/>
      <w:marTop w:val="0"/>
      <w:marBottom w:val="0"/>
      <w:divBdr>
        <w:top w:val="none" w:sz="0" w:space="0" w:color="auto"/>
        <w:left w:val="none" w:sz="0" w:space="0" w:color="auto"/>
        <w:bottom w:val="none" w:sz="0" w:space="0" w:color="auto"/>
        <w:right w:val="none" w:sz="0" w:space="0" w:color="auto"/>
      </w:divBdr>
    </w:div>
    <w:div w:id="920872879">
      <w:bodyDiv w:val="1"/>
      <w:marLeft w:val="0"/>
      <w:marRight w:val="0"/>
      <w:marTop w:val="0"/>
      <w:marBottom w:val="0"/>
      <w:divBdr>
        <w:top w:val="none" w:sz="0" w:space="0" w:color="auto"/>
        <w:left w:val="none" w:sz="0" w:space="0" w:color="auto"/>
        <w:bottom w:val="none" w:sz="0" w:space="0" w:color="auto"/>
        <w:right w:val="none" w:sz="0" w:space="0" w:color="auto"/>
      </w:divBdr>
    </w:div>
    <w:div w:id="925043080">
      <w:bodyDiv w:val="1"/>
      <w:marLeft w:val="0"/>
      <w:marRight w:val="0"/>
      <w:marTop w:val="0"/>
      <w:marBottom w:val="0"/>
      <w:divBdr>
        <w:top w:val="none" w:sz="0" w:space="0" w:color="auto"/>
        <w:left w:val="none" w:sz="0" w:space="0" w:color="auto"/>
        <w:bottom w:val="none" w:sz="0" w:space="0" w:color="auto"/>
        <w:right w:val="none" w:sz="0" w:space="0" w:color="auto"/>
      </w:divBdr>
    </w:div>
    <w:div w:id="977687497">
      <w:bodyDiv w:val="1"/>
      <w:marLeft w:val="0"/>
      <w:marRight w:val="0"/>
      <w:marTop w:val="0"/>
      <w:marBottom w:val="0"/>
      <w:divBdr>
        <w:top w:val="none" w:sz="0" w:space="0" w:color="auto"/>
        <w:left w:val="none" w:sz="0" w:space="0" w:color="auto"/>
        <w:bottom w:val="none" w:sz="0" w:space="0" w:color="auto"/>
        <w:right w:val="none" w:sz="0" w:space="0" w:color="auto"/>
      </w:divBdr>
    </w:div>
    <w:div w:id="1095397169">
      <w:bodyDiv w:val="1"/>
      <w:marLeft w:val="0"/>
      <w:marRight w:val="0"/>
      <w:marTop w:val="0"/>
      <w:marBottom w:val="0"/>
      <w:divBdr>
        <w:top w:val="none" w:sz="0" w:space="0" w:color="auto"/>
        <w:left w:val="none" w:sz="0" w:space="0" w:color="auto"/>
        <w:bottom w:val="none" w:sz="0" w:space="0" w:color="auto"/>
        <w:right w:val="none" w:sz="0" w:space="0" w:color="auto"/>
      </w:divBdr>
    </w:div>
    <w:div w:id="1221401953">
      <w:bodyDiv w:val="1"/>
      <w:marLeft w:val="0"/>
      <w:marRight w:val="0"/>
      <w:marTop w:val="0"/>
      <w:marBottom w:val="0"/>
      <w:divBdr>
        <w:top w:val="none" w:sz="0" w:space="0" w:color="auto"/>
        <w:left w:val="none" w:sz="0" w:space="0" w:color="auto"/>
        <w:bottom w:val="none" w:sz="0" w:space="0" w:color="auto"/>
        <w:right w:val="none" w:sz="0" w:space="0" w:color="auto"/>
      </w:divBdr>
    </w:div>
    <w:div w:id="1252813060">
      <w:bodyDiv w:val="1"/>
      <w:marLeft w:val="0"/>
      <w:marRight w:val="0"/>
      <w:marTop w:val="0"/>
      <w:marBottom w:val="0"/>
      <w:divBdr>
        <w:top w:val="none" w:sz="0" w:space="0" w:color="auto"/>
        <w:left w:val="none" w:sz="0" w:space="0" w:color="auto"/>
        <w:bottom w:val="none" w:sz="0" w:space="0" w:color="auto"/>
        <w:right w:val="none" w:sz="0" w:space="0" w:color="auto"/>
      </w:divBdr>
    </w:div>
    <w:div w:id="1270039749">
      <w:bodyDiv w:val="1"/>
      <w:marLeft w:val="0"/>
      <w:marRight w:val="0"/>
      <w:marTop w:val="0"/>
      <w:marBottom w:val="0"/>
      <w:divBdr>
        <w:top w:val="none" w:sz="0" w:space="0" w:color="auto"/>
        <w:left w:val="none" w:sz="0" w:space="0" w:color="auto"/>
        <w:bottom w:val="none" w:sz="0" w:space="0" w:color="auto"/>
        <w:right w:val="none" w:sz="0" w:space="0" w:color="auto"/>
      </w:divBdr>
    </w:div>
    <w:div w:id="1282296880">
      <w:bodyDiv w:val="1"/>
      <w:marLeft w:val="0"/>
      <w:marRight w:val="0"/>
      <w:marTop w:val="0"/>
      <w:marBottom w:val="0"/>
      <w:divBdr>
        <w:top w:val="none" w:sz="0" w:space="0" w:color="auto"/>
        <w:left w:val="none" w:sz="0" w:space="0" w:color="auto"/>
        <w:bottom w:val="none" w:sz="0" w:space="0" w:color="auto"/>
        <w:right w:val="none" w:sz="0" w:space="0" w:color="auto"/>
      </w:divBdr>
    </w:div>
    <w:div w:id="1296981609">
      <w:bodyDiv w:val="1"/>
      <w:marLeft w:val="0"/>
      <w:marRight w:val="0"/>
      <w:marTop w:val="0"/>
      <w:marBottom w:val="0"/>
      <w:divBdr>
        <w:top w:val="none" w:sz="0" w:space="0" w:color="auto"/>
        <w:left w:val="none" w:sz="0" w:space="0" w:color="auto"/>
        <w:bottom w:val="none" w:sz="0" w:space="0" w:color="auto"/>
        <w:right w:val="none" w:sz="0" w:space="0" w:color="auto"/>
      </w:divBdr>
    </w:div>
    <w:div w:id="1324548489">
      <w:bodyDiv w:val="1"/>
      <w:marLeft w:val="0"/>
      <w:marRight w:val="0"/>
      <w:marTop w:val="0"/>
      <w:marBottom w:val="0"/>
      <w:divBdr>
        <w:top w:val="none" w:sz="0" w:space="0" w:color="auto"/>
        <w:left w:val="none" w:sz="0" w:space="0" w:color="auto"/>
        <w:bottom w:val="none" w:sz="0" w:space="0" w:color="auto"/>
        <w:right w:val="none" w:sz="0" w:space="0" w:color="auto"/>
      </w:divBdr>
    </w:div>
    <w:div w:id="1343893899">
      <w:bodyDiv w:val="1"/>
      <w:marLeft w:val="0"/>
      <w:marRight w:val="0"/>
      <w:marTop w:val="0"/>
      <w:marBottom w:val="0"/>
      <w:divBdr>
        <w:top w:val="none" w:sz="0" w:space="0" w:color="auto"/>
        <w:left w:val="none" w:sz="0" w:space="0" w:color="auto"/>
        <w:bottom w:val="none" w:sz="0" w:space="0" w:color="auto"/>
        <w:right w:val="none" w:sz="0" w:space="0" w:color="auto"/>
      </w:divBdr>
    </w:div>
    <w:div w:id="1454013760">
      <w:bodyDiv w:val="1"/>
      <w:marLeft w:val="0"/>
      <w:marRight w:val="0"/>
      <w:marTop w:val="0"/>
      <w:marBottom w:val="0"/>
      <w:divBdr>
        <w:top w:val="none" w:sz="0" w:space="0" w:color="auto"/>
        <w:left w:val="none" w:sz="0" w:space="0" w:color="auto"/>
        <w:bottom w:val="none" w:sz="0" w:space="0" w:color="auto"/>
        <w:right w:val="none" w:sz="0" w:space="0" w:color="auto"/>
      </w:divBdr>
    </w:div>
    <w:div w:id="1466510507">
      <w:bodyDiv w:val="1"/>
      <w:marLeft w:val="0"/>
      <w:marRight w:val="0"/>
      <w:marTop w:val="0"/>
      <w:marBottom w:val="0"/>
      <w:divBdr>
        <w:top w:val="none" w:sz="0" w:space="0" w:color="auto"/>
        <w:left w:val="none" w:sz="0" w:space="0" w:color="auto"/>
        <w:bottom w:val="none" w:sz="0" w:space="0" w:color="auto"/>
        <w:right w:val="none" w:sz="0" w:space="0" w:color="auto"/>
      </w:divBdr>
    </w:div>
    <w:div w:id="1531727609">
      <w:bodyDiv w:val="1"/>
      <w:marLeft w:val="0"/>
      <w:marRight w:val="0"/>
      <w:marTop w:val="0"/>
      <w:marBottom w:val="0"/>
      <w:divBdr>
        <w:top w:val="none" w:sz="0" w:space="0" w:color="auto"/>
        <w:left w:val="none" w:sz="0" w:space="0" w:color="auto"/>
        <w:bottom w:val="none" w:sz="0" w:space="0" w:color="auto"/>
        <w:right w:val="none" w:sz="0" w:space="0" w:color="auto"/>
      </w:divBdr>
    </w:div>
    <w:div w:id="1594431931">
      <w:bodyDiv w:val="1"/>
      <w:marLeft w:val="0"/>
      <w:marRight w:val="0"/>
      <w:marTop w:val="0"/>
      <w:marBottom w:val="0"/>
      <w:divBdr>
        <w:top w:val="none" w:sz="0" w:space="0" w:color="auto"/>
        <w:left w:val="none" w:sz="0" w:space="0" w:color="auto"/>
        <w:bottom w:val="none" w:sz="0" w:space="0" w:color="auto"/>
        <w:right w:val="none" w:sz="0" w:space="0" w:color="auto"/>
      </w:divBdr>
    </w:div>
    <w:div w:id="1678578990">
      <w:bodyDiv w:val="1"/>
      <w:marLeft w:val="0"/>
      <w:marRight w:val="0"/>
      <w:marTop w:val="0"/>
      <w:marBottom w:val="0"/>
      <w:divBdr>
        <w:top w:val="none" w:sz="0" w:space="0" w:color="auto"/>
        <w:left w:val="none" w:sz="0" w:space="0" w:color="auto"/>
        <w:bottom w:val="none" w:sz="0" w:space="0" w:color="auto"/>
        <w:right w:val="none" w:sz="0" w:space="0" w:color="auto"/>
      </w:divBdr>
    </w:div>
    <w:div w:id="1743678884">
      <w:bodyDiv w:val="1"/>
      <w:marLeft w:val="0"/>
      <w:marRight w:val="0"/>
      <w:marTop w:val="0"/>
      <w:marBottom w:val="0"/>
      <w:divBdr>
        <w:top w:val="none" w:sz="0" w:space="0" w:color="auto"/>
        <w:left w:val="none" w:sz="0" w:space="0" w:color="auto"/>
        <w:bottom w:val="none" w:sz="0" w:space="0" w:color="auto"/>
        <w:right w:val="none" w:sz="0" w:space="0" w:color="auto"/>
      </w:divBdr>
    </w:div>
    <w:div w:id="1803307984">
      <w:bodyDiv w:val="1"/>
      <w:marLeft w:val="0"/>
      <w:marRight w:val="0"/>
      <w:marTop w:val="0"/>
      <w:marBottom w:val="0"/>
      <w:divBdr>
        <w:top w:val="none" w:sz="0" w:space="0" w:color="auto"/>
        <w:left w:val="none" w:sz="0" w:space="0" w:color="auto"/>
        <w:bottom w:val="none" w:sz="0" w:space="0" w:color="auto"/>
        <w:right w:val="none" w:sz="0" w:space="0" w:color="auto"/>
      </w:divBdr>
    </w:div>
    <w:div w:id="1890409129">
      <w:bodyDiv w:val="1"/>
      <w:marLeft w:val="0"/>
      <w:marRight w:val="0"/>
      <w:marTop w:val="0"/>
      <w:marBottom w:val="0"/>
      <w:divBdr>
        <w:top w:val="none" w:sz="0" w:space="0" w:color="auto"/>
        <w:left w:val="none" w:sz="0" w:space="0" w:color="auto"/>
        <w:bottom w:val="none" w:sz="0" w:space="0" w:color="auto"/>
        <w:right w:val="none" w:sz="0" w:space="0" w:color="auto"/>
      </w:divBdr>
    </w:div>
    <w:div w:id="1902714780">
      <w:bodyDiv w:val="1"/>
      <w:marLeft w:val="0"/>
      <w:marRight w:val="0"/>
      <w:marTop w:val="0"/>
      <w:marBottom w:val="0"/>
      <w:divBdr>
        <w:top w:val="none" w:sz="0" w:space="0" w:color="auto"/>
        <w:left w:val="none" w:sz="0" w:space="0" w:color="auto"/>
        <w:bottom w:val="none" w:sz="0" w:space="0" w:color="auto"/>
        <w:right w:val="none" w:sz="0" w:space="0" w:color="auto"/>
      </w:divBdr>
    </w:div>
    <w:div w:id="1908684178">
      <w:bodyDiv w:val="1"/>
      <w:marLeft w:val="0"/>
      <w:marRight w:val="0"/>
      <w:marTop w:val="0"/>
      <w:marBottom w:val="0"/>
      <w:divBdr>
        <w:top w:val="none" w:sz="0" w:space="0" w:color="auto"/>
        <w:left w:val="none" w:sz="0" w:space="0" w:color="auto"/>
        <w:bottom w:val="none" w:sz="0" w:space="0" w:color="auto"/>
        <w:right w:val="none" w:sz="0" w:space="0" w:color="auto"/>
      </w:divBdr>
    </w:div>
    <w:div w:id="1944342023">
      <w:bodyDiv w:val="1"/>
      <w:marLeft w:val="0"/>
      <w:marRight w:val="0"/>
      <w:marTop w:val="0"/>
      <w:marBottom w:val="0"/>
      <w:divBdr>
        <w:top w:val="none" w:sz="0" w:space="0" w:color="auto"/>
        <w:left w:val="none" w:sz="0" w:space="0" w:color="auto"/>
        <w:bottom w:val="none" w:sz="0" w:space="0" w:color="auto"/>
        <w:right w:val="none" w:sz="0" w:space="0" w:color="auto"/>
      </w:divBdr>
    </w:div>
    <w:div w:id="2013139652">
      <w:bodyDiv w:val="1"/>
      <w:marLeft w:val="0"/>
      <w:marRight w:val="0"/>
      <w:marTop w:val="0"/>
      <w:marBottom w:val="0"/>
      <w:divBdr>
        <w:top w:val="none" w:sz="0" w:space="0" w:color="auto"/>
        <w:left w:val="none" w:sz="0" w:space="0" w:color="auto"/>
        <w:bottom w:val="none" w:sz="0" w:space="0" w:color="auto"/>
        <w:right w:val="none" w:sz="0" w:space="0" w:color="auto"/>
      </w:divBdr>
    </w:div>
    <w:div w:id="2056849022">
      <w:bodyDiv w:val="1"/>
      <w:marLeft w:val="0"/>
      <w:marRight w:val="0"/>
      <w:marTop w:val="0"/>
      <w:marBottom w:val="0"/>
      <w:divBdr>
        <w:top w:val="none" w:sz="0" w:space="0" w:color="auto"/>
        <w:left w:val="none" w:sz="0" w:space="0" w:color="auto"/>
        <w:bottom w:val="none" w:sz="0" w:space="0" w:color="auto"/>
        <w:right w:val="none" w:sz="0" w:space="0" w:color="auto"/>
      </w:divBdr>
    </w:div>
    <w:div w:id="2061007966">
      <w:bodyDiv w:val="1"/>
      <w:marLeft w:val="0"/>
      <w:marRight w:val="0"/>
      <w:marTop w:val="0"/>
      <w:marBottom w:val="0"/>
      <w:divBdr>
        <w:top w:val="none" w:sz="0" w:space="0" w:color="auto"/>
        <w:left w:val="none" w:sz="0" w:space="0" w:color="auto"/>
        <w:bottom w:val="none" w:sz="0" w:space="0" w:color="auto"/>
        <w:right w:val="none" w:sz="0" w:space="0" w:color="auto"/>
      </w:divBdr>
    </w:div>
    <w:div w:id="207253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67A5A-F016-4F9E-9C52-51A2CA7F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11</Pages>
  <Words>5358</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Зубрева</dc:creator>
  <cp:lastModifiedBy>Буряков Алексей Владимирович</cp:lastModifiedBy>
  <cp:revision>57</cp:revision>
  <cp:lastPrinted>2021-04-22T10:31:00Z</cp:lastPrinted>
  <dcterms:created xsi:type="dcterms:W3CDTF">2021-04-09T05:31:00Z</dcterms:created>
  <dcterms:modified xsi:type="dcterms:W3CDTF">2021-04-27T14:21:00Z</dcterms:modified>
</cp:coreProperties>
</file>