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4" w:rsidRPr="00C53F07" w:rsidRDefault="00BF6E94" w:rsidP="00B32132">
      <w:pPr>
        <w:pStyle w:val="a5"/>
        <w:tabs>
          <w:tab w:val="left" w:pos="8007"/>
        </w:tabs>
        <w:rPr>
          <w:color w:val="FF0000"/>
          <w:szCs w:val="24"/>
        </w:rPr>
      </w:pPr>
    </w:p>
    <w:p w:rsidR="00BF6E94" w:rsidRPr="00D6081D" w:rsidRDefault="00BF6E94" w:rsidP="00BF6E94">
      <w:pPr>
        <w:ind w:left="4956" w:firstLine="708"/>
        <w:rPr>
          <w:b/>
          <w:bCs/>
          <w:caps/>
        </w:rPr>
      </w:pPr>
      <w:r w:rsidRPr="00D6081D">
        <w:rPr>
          <w:b/>
          <w:bCs/>
          <w:caps/>
        </w:rPr>
        <w:t>УТВЕРЖДАЮ</w:t>
      </w:r>
    </w:p>
    <w:p w:rsidR="00BF6E94" w:rsidRPr="00D6081D" w:rsidRDefault="00BF6E94" w:rsidP="00BF6E94">
      <w:pPr>
        <w:ind w:left="5664"/>
        <w:rPr>
          <w:b/>
        </w:rPr>
      </w:pPr>
      <w:r w:rsidRPr="00D6081D">
        <w:rPr>
          <w:b/>
        </w:rPr>
        <w:t>Председатель контрольно-счетной палаты Волгоградской области</w:t>
      </w:r>
    </w:p>
    <w:p w:rsidR="00BF6E94" w:rsidRPr="00D6081D" w:rsidRDefault="00BF6E94" w:rsidP="00BF6E94">
      <w:pPr>
        <w:ind w:left="4956" w:firstLine="708"/>
        <w:rPr>
          <w:b/>
          <w:bCs/>
        </w:rPr>
      </w:pPr>
    </w:p>
    <w:p w:rsidR="00BF6E94" w:rsidRPr="00D6081D" w:rsidRDefault="00BF6E94" w:rsidP="00BF6E94">
      <w:pPr>
        <w:ind w:left="4956" w:firstLine="708"/>
        <w:rPr>
          <w:b/>
          <w:bCs/>
        </w:rPr>
      </w:pPr>
      <w:r w:rsidRPr="00D6081D">
        <w:rPr>
          <w:b/>
          <w:bCs/>
        </w:rPr>
        <w:t>____________ И.А. Дьяченко</w:t>
      </w:r>
    </w:p>
    <w:p w:rsidR="00BF6E94" w:rsidRPr="00D6081D" w:rsidRDefault="00BF6E94" w:rsidP="00BF6E94">
      <w:pPr>
        <w:ind w:left="4956" w:firstLine="708"/>
        <w:rPr>
          <w:b/>
          <w:bCs/>
        </w:rPr>
      </w:pPr>
    </w:p>
    <w:p w:rsidR="00BF6E94" w:rsidRPr="00D6081D" w:rsidRDefault="00BF6E94" w:rsidP="00BF6E94">
      <w:pPr>
        <w:ind w:left="4956" w:firstLine="708"/>
        <w:rPr>
          <w:b/>
          <w:bCs/>
        </w:rPr>
      </w:pPr>
      <w:r w:rsidRPr="00D6081D">
        <w:rPr>
          <w:b/>
          <w:bCs/>
        </w:rPr>
        <w:t>«______»  марта  20</w:t>
      </w:r>
      <w:r w:rsidR="0058687A" w:rsidRPr="00D6081D">
        <w:rPr>
          <w:b/>
          <w:bCs/>
        </w:rPr>
        <w:t>20</w:t>
      </w:r>
      <w:r w:rsidRPr="00D6081D">
        <w:rPr>
          <w:b/>
          <w:bCs/>
        </w:rPr>
        <w:t xml:space="preserve"> года</w:t>
      </w:r>
    </w:p>
    <w:p w:rsidR="00BF6E94" w:rsidRPr="00D6081D" w:rsidRDefault="00BF6E94" w:rsidP="00B32132">
      <w:pPr>
        <w:pStyle w:val="a5"/>
        <w:tabs>
          <w:tab w:val="left" w:pos="8007"/>
        </w:tabs>
        <w:rPr>
          <w:szCs w:val="24"/>
        </w:rPr>
      </w:pPr>
    </w:p>
    <w:p w:rsidR="00DD3278" w:rsidRPr="00D6081D" w:rsidRDefault="00BF6E94" w:rsidP="00B32132">
      <w:pPr>
        <w:pStyle w:val="a5"/>
        <w:tabs>
          <w:tab w:val="left" w:pos="8007"/>
        </w:tabs>
        <w:rPr>
          <w:szCs w:val="24"/>
        </w:rPr>
      </w:pPr>
      <w:r w:rsidRPr="00D6081D">
        <w:rPr>
          <w:szCs w:val="24"/>
        </w:rPr>
        <w:t>Заключение</w:t>
      </w:r>
    </w:p>
    <w:p w:rsidR="00DD3278" w:rsidRPr="00D6081D" w:rsidRDefault="00BF6E94" w:rsidP="00B32132">
      <w:pPr>
        <w:pStyle w:val="a5"/>
        <w:rPr>
          <w:i/>
          <w:szCs w:val="24"/>
        </w:rPr>
      </w:pPr>
      <w:r w:rsidRPr="00D6081D">
        <w:rPr>
          <w:i/>
          <w:szCs w:val="24"/>
        </w:rPr>
        <w:t xml:space="preserve">по результатам </w:t>
      </w:r>
      <w:r w:rsidR="00DD3278" w:rsidRPr="00D6081D">
        <w:rPr>
          <w:i/>
          <w:szCs w:val="24"/>
        </w:rPr>
        <w:t xml:space="preserve">внешней проверки бюджетной отчетности и </w:t>
      </w:r>
    </w:p>
    <w:p w:rsidR="00DD3278" w:rsidRPr="00D6081D" w:rsidRDefault="00DD3278" w:rsidP="00B32132">
      <w:pPr>
        <w:pStyle w:val="a5"/>
      </w:pPr>
      <w:r w:rsidRPr="00D6081D">
        <w:rPr>
          <w:i/>
          <w:szCs w:val="24"/>
        </w:rPr>
        <w:t>отдельных вопросов исполнения областного бюджета</w:t>
      </w:r>
      <w:r w:rsidR="009822FE" w:rsidRPr="00D6081D">
        <w:rPr>
          <w:i/>
        </w:rPr>
        <w:t xml:space="preserve"> за 201</w:t>
      </w:r>
      <w:r w:rsidR="004C6555" w:rsidRPr="00D6081D">
        <w:rPr>
          <w:i/>
        </w:rPr>
        <w:t>9</w:t>
      </w:r>
      <w:r w:rsidRPr="00D6081D">
        <w:rPr>
          <w:i/>
        </w:rPr>
        <w:t xml:space="preserve"> год главным администратором средств областного бюджета – </w:t>
      </w:r>
      <w:r w:rsidR="00D07502" w:rsidRPr="00D6081D">
        <w:rPr>
          <w:i/>
        </w:rPr>
        <w:t xml:space="preserve">комитетом по </w:t>
      </w:r>
      <w:r w:rsidR="004C6555" w:rsidRPr="00D6081D">
        <w:rPr>
          <w:i/>
        </w:rPr>
        <w:t xml:space="preserve">развитию туризма </w:t>
      </w:r>
      <w:r w:rsidR="00D07502" w:rsidRPr="00D6081D">
        <w:rPr>
          <w:i/>
        </w:rPr>
        <w:t>Волгоградской области</w:t>
      </w:r>
    </w:p>
    <w:p w:rsidR="00D07502" w:rsidRPr="00D6081D" w:rsidRDefault="00D07502" w:rsidP="00B32132">
      <w:pPr>
        <w:pStyle w:val="a5"/>
      </w:pPr>
    </w:p>
    <w:p w:rsidR="00BF6E94" w:rsidRPr="00D6081D" w:rsidRDefault="00BF6E94" w:rsidP="00BF6E94">
      <w:pPr>
        <w:ind w:firstLine="720"/>
        <w:jc w:val="both"/>
      </w:pPr>
      <w:r w:rsidRPr="00D6081D">
        <w:t xml:space="preserve">Камеральная проверка проведена в соответствии </w:t>
      </w:r>
      <w:r w:rsidRPr="00D6081D">
        <w:rPr>
          <w:snapToGrid w:val="0"/>
        </w:rPr>
        <w:t xml:space="preserve">со Стандартом финансового контроля </w:t>
      </w:r>
      <w:r w:rsidRPr="00D6081D">
        <w:t>«Последующий контроль за исполнением бюджета Волгоградской области»</w:t>
      </w:r>
      <w:r w:rsidRPr="00D6081D">
        <w:rPr>
          <w:snapToGrid w:val="0"/>
        </w:rPr>
        <w:t>, утвержденным постановлением коллегии КСП от 30.09.2008 № 37 (далее Стандарт финансового контроля КСП),</w:t>
      </w:r>
      <w:r w:rsidRPr="00D6081D">
        <w:t xml:space="preserve"> на основе бюджетной отчетности Комитета за 201</w:t>
      </w:r>
      <w:r w:rsidR="00ED6643" w:rsidRPr="00D6081D">
        <w:t>9</w:t>
      </w:r>
      <w:r w:rsidRPr="00D6081D">
        <w:t xml:space="preserve">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 191н).</w:t>
      </w:r>
    </w:p>
    <w:p w:rsidR="00E514E4" w:rsidRPr="00D6081D" w:rsidRDefault="00E514E4" w:rsidP="00E514E4">
      <w:pPr>
        <w:ind w:firstLine="709"/>
        <w:jc w:val="both"/>
      </w:pPr>
      <w:r w:rsidRPr="00D6081D">
        <w:t xml:space="preserve">В соответствии с Законом Волгоградской области от 15.03.2012 № 22-ОД «О системе органов исполнительной власти Волгоградской области» комитет по развитию туризма Волгоградской области (далее – Облтуризм, Комитет) входит в систему органов исполнительной власти Волгоградской области. </w:t>
      </w:r>
    </w:p>
    <w:p w:rsidR="00E514E4" w:rsidRPr="00D6081D" w:rsidRDefault="00E514E4" w:rsidP="00E514E4">
      <w:pPr>
        <w:ind w:firstLine="709"/>
        <w:jc w:val="both"/>
      </w:pPr>
      <w:r w:rsidRPr="00D6081D">
        <w:t>Положением о Комитете</w:t>
      </w:r>
      <w:r w:rsidR="00CF40B9" w:rsidRPr="00D6081D">
        <w:t>,</w:t>
      </w:r>
      <w:r w:rsidRPr="00D6081D">
        <w:t xml:space="preserve"> утв</w:t>
      </w:r>
      <w:r w:rsidR="00CF40B9" w:rsidRPr="00D6081D">
        <w:t>ержденным</w:t>
      </w:r>
      <w:r w:rsidRPr="00D6081D">
        <w:t xml:space="preserve"> постановлением Губернатора Волгоградской области от 25.10.2018 №703</w:t>
      </w:r>
      <w:r w:rsidR="00CF40B9" w:rsidRPr="00D6081D">
        <w:t>,</w:t>
      </w:r>
      <w:r w:rsidRPr="00D6081D">
        <w:t xml:space="preserve"> определено, что </w:t>
      </w:r>
      <w:r w:rsidR="00CF40B9" w:rsidRPr="00D6081D">
        <w:t>К</w:t>
      </w:r>
      <w:r w:rsidRPr="00D6081D">
        <w:t xml:space="preserve">омитет </w:t>
      </w:r>
      <w:r w:rsidR="00CF40B9" w:rsidRPr="00D6081D">
        <w:t xml:space="preserve">в 2019 году </w:t>
      </w:r>
      <w:r w:rsidRPr="00D6081D">
        <w:t>осуществля</w:t>
      </w:r>
      <w:r w:rsidR="00CF40B9" w:rsidRPr="00D6081D">
        <w:t>л</w:t>
      </w:r>
      <w:r w:rsidRPr="00D6081D">
        <w:t xml:space="preserve"> следующие полномочия:</w:t>
      </w:r>
    </w:p>
    <w:p w:rsidR="00E514E4" w:rsidRPr="00D6081D" w:rsidRDefault="00E514E4" w:rsidP="00E514E4">
      <w:pPr>
        <w:ind w:firstLine="709"/>
        <w:jc w:val="both"/>
      </w:pPr>
      <w:r w:rsidRPr="00D6081D">
        <w:t>-</w:t>
      </w:r>
      <w:r w:rsidR="00CF40B9" w:rsidRPr="00D6081D">
        <w:t xml:space="preserve"> </w:t>
      </w:r>
      <w:r w:rsidRPr="00D6081D">
        <w:t>реализ</w:t>
      </w:r>
      <w:r w:rsidR="004C33A8" w:rsidRPr="00D6081D">
        <w:t>овал</w:t>
      </w:r>
      <w:r w:rsidRPr="00D6081D">
        <w:t xml:space="preserve"> государственную политику Волгоградской области, направленную на создание благоприятных условий для развития туризма, туристкой индустрии и сохранение туристских ресурсов Волгоградской области;</w:t>
      </w:r>
    </w:p>
    <w:p w:rsidR="00E514E4" w:rsidRPr="00D6081D" w:rsidRDefault="00E514E4" w:rsidP="00E514E4">
      <w:pPr>
        <w:ind w:firstLine="709"/>
        <w:jc w:val="both"/>
      </w:pPr>
      <w:r w:rsidRPr="00D6081D">
        <w:t>-</w:t>
      </w:r>
      <w:r w:rsidR="004C33A8" w:rsidRPr="00D6081D">
        <w:t xml:space="preserve"> </w:t>
      </w:r>
      <w:r w:rsidRPr="00D6081D">
        <w:t>обеспечива</w:t>
      </w:r>
      <w:r w:rsidR="004C33A8" w:rsidRPr="00D6081D">
        <w:t>л</w:t>
      </w:r>
      <w:r w:rsidRPr="00D6081D">
        <w:t xml:space="preserve"> реализацию на территории Волгоградской области Концепции наследия чемпионата мира по футболу FIFA 2018 года, утвержденной распоряжением Правительства Российской Федерации от 24.07.2018 №1520-р (исключено с 28.11.2019 года);</w:t>
      </w:r>
    </w:p>
    <w:p w:rsidR="00E514E4" w:rsidRPr="00D6081D" w:rsidRDefault="00E514E4" w:rsidP="00E514E4">
      <w:pPr>
        <w:ind w:firstLine="709"/>
        <w:jc w:val="both"/>
      </w:pPr>
      <w:r w:rsidRPr="00D6081D">
        <w:t>-</w:t>
      </w:r>
      <w:r w:rsidR="004C33A8" w:rsidRPr="00D6081D">
        <w:t xml:space="preserve"> </w:t>
      </w:r>
      <w:r w:rsidRPr="00D6081D">
        <w:t>в соответствии с действующим законодательством осуществля</w:t>
      </w:r>
      <w:r w:rsidR="00552853" w:rsidRPr="00D6081D">
        <w:t>л</w:t>
      </w:r>
      <w:r w:rsidRPr="00D6081D">
        <w:t xml:space="preserve"> иные полномочия и функции.</w:t>
      </w:r>
    </w:p>
    <w:p w:rsidR="00E514E4" w:rsidRPr="00D6081D" w:rsidRDefault="00E514E4" w:rsidP="00E514E4">
      <w:pPr>
        <w:ind w:firstLine="709"/>
        <w:jc w:val="both"/>
      </w:pPr>
      <w:r w:rsidRPr="00D6081D">
        <w:t>По состоянию на 01.01.2020 Комитет имеет одно подведомственное учреждение – государственное автономное учреждение Волгоградской области «Агентство развития туризма» (далее – Агентство развития туризма).</w:t>
      </w:r>
    </w:p>
    <w:p w:rsidR="00E514E4" w:rsidRPr="00D6081D" w:rsidRDefault="00E514E4" w:rsidP="00E514E4">
      <w:pPr>
        <w:ind w:firstLine="709"/>
        <w:jc w:val="both"/>
      </w:pPr>
      <w:r w:rsidRPr="00D6081D">
        <w:t xml:space="preserve">Постановлением Губернатора Волгоградской области от 16.12.2019 №254 утверждена структура Комитета (далее Постановление №254). </w:t>
      </w:r>
    </w:p>
    <w:p w:rsidR="00E514E4" w:rsidRPr="00D6081D" w:rsidRDefault="00E514E4" w:rsidP="00E514E4">
      <w:pPr>
        <w:ind w:firstLine="709"/>
        <w:jc w:val="both"/>
      </w:pPr>
      <w:r w:rsidRPr="00D6081D">
        <w:t>Согласно Постановлению №254 Комитет состо</w:t>
      </w:r>
      <w:r w:rsidR="00DA6B2E" w:rsidRPr="00D6081D">
        <w:t>ял</w:t>
      </w:r>
      <w:r w:rsidRPr="00D6081D">
        <w:t xml:space="preserve"> из 5 отделов и 2 секторов. </w:t>
      </w:r>
    </w:p>
    <w:p w:rsidR="00E514E4" w:rsidRPr="00D6081D" w:rsidRDefault="00E514E4" w:rsidP="00E514E4">
      <w:pPr>
        <w:ind w:firstLine="709"/>
        <w:jc w:val="both"/>
      </w:pPr>
      <w:r w:rsidRPr="00D6081D">
        <w:t>Штатная численность Комитета по состоянию на 01.01.2020 - 27 единиц, фактическая – 23</w:t>
      </w:r>
      <w:r w:rsidR="00F11AE2" w:rsidRPr="00D6081D">
        <w:t>,</w:t>
      </w:r>
      <w:r w:rsidR="00552853" w:rsidRPr="00D6081D">
        <w:t xml:space="preserve"> Агентств</w:t>
      </w:r>
      <w:r w:rsidR="00F11AE2" w:rsidRPr="00D6081D">
        <w:t>а</w:t>
      </w:r>
      <w:r w:rsidR="00552853" w:rsidRPr="00D6081D">
        <w:t xml:space="preserve"> развития туризма – 26 и 20 соответственно.</w:t>
      </w:r>
    </w:p>
    <w:p w:rsidR="006209C0" w:rsidRPr="00D6081D" w:rsidRDefault="006209C0" w:rsidP="00B32132">
      <w:pPr>
        <w:ind w:firstLine="709"/>
        <w:jc w:val="center"/>
        <w:rPr>
          <w:b/>
          <w:i/>
        </w:rPr>
      </w:pPr>
    </w:p>
    <w:p w:rsidR="00DD3278" w:rsidRPr="00D6081D" w:rsidRDefault="00DD3278" w:rsidP="00B32132">
      <w:pPr>
        <w:ind w:firstLine="709"/>
        <w:jc w:val="center"/>
        <w:rPr>
          <w:b/>
          <w:i/>
        </w:rPr>
      </w:pPr>
      <w:r w:rsidRPr="00D6081D">
        <w:rPr>
          <w:b/>
          <w:i/>
        </w:rPr>
        <w:t>Проверка полноты бюджетной отчетности. Визуальный контроль бюджетной отчетности</w:t>
      </w:r>
    </w:p>
    <w:p w:rsidR="009538AC" w:rsidRPr="00D6081D" w:rsidRDefault="009538AC" w:rsidP="009538AC">
      <w:pPr>
        <w:ind w:firstLine="709"/>
        <w:jc w:val="both"/>
      </w:pPr>
      <w:r w:rsidRPr="00D6081D">
        <w:t>Сводная бюджетная отчетность Комитета за 2019 год представлена к проверке в составе, определенном ст. 264.1 БК РФ и Инструкци</w:t>
      </w:r>
      <w:r w:rsidR="00C677DC" w:rsidRPr="00D6081D">
        <w:t>ей</w:t>
      </w:r>
      <w:r w:rsidRPr="00D6081D">
        <w:t xml:space="preserve"> № 191н. Все формы отчетности подписаны председателем Комитета и начальником отдела бюджетного планирования и государственных закупок.</w:t>
      </w:r>
    </w:p>
    <w:p w:rsidR="009538AC" w:rsidRPr="00D6081D" w:rsidRDefault="009538AC" w:rsidP="009538AC">
      <w:pPr>
        <w:autoSpaceDE w:val="0"/>
        <w:autoSpaceDN w:val="0"/>
        <w:adjustRightInd w:val="0"/>
        <w:ind w:firstLine="709"/>
        <w:jc w:val="both"/>
      </w:pPr>
      <w:r w:rsidRPr="00D6081D">
        <w:lastRenderedPageBreak/>
        <w:t xml:space="preserve"> Бюджетная отчетность представлена в комитет финансов Волгоградской области в установленный срок - 07.02.2019, что подтверждается копией справки о проверке и рассмотрении годового отчета об исполнении бюджета. </w:t>
      </w:r>
    </w:p>
    <w:p w:rsidR="009538AC" w:rsidRPr="00D6081D" w:rsidRDefault="009538AC" w:rsidP="009538AC">
      <w:pPr>
        <w:ind w:firstLine="709"/>
        <w:jc w:val="both"/>
        <w:outlineLvl w:val="0"/>
      </w:pPr>
      <w:r w:rsidRPr="00D6081D">
        <w:t>Информация о комплектности и соответствии установленным формам бюджетной отчетности представлена в приложении 1.</w:t>
      </w:r>
    </w:p>
    <w:p w:rsidR="00DB036D" w:rsidRPr="00D6081D" w:rsidRDefault="009538AC" w:rsidP="00E41DCC">
      <w:pPr>
        <w:ind w:firstLine="709"/>
        <w:jc w:val="both"/>
        <w:rPr>
          <w:b/>
          <w:i/>
        </w:rPr>
      </w:pPr>
      <w:r w:rsidRPr="00D6081D">
        <w:t>Проверкой отчетности Комитета установлены 9 случаев нарушения требований Инструкции №191н, которые отражены в приложении 1. В ходе проверки нарушения устранены в установленном порядке.</w:t>
      </w:r>
      <w:r w:rsidR="004B67FA" w:rsidRPr="00D6081D">
        <w:tab/>
      </w:r>
      <w:r w:rsidR="00162649" w:rsidRPr="00D6081D">
        <w:t>П</w:t>
      </w:r>
      <w:r w:rsidR="0074769D" w:rsidRPr="00D6081D">
        <w:t xml:space="preserve">исьмом от 28.02.2020 №843Д-01/411 </w:t>
      </w:r>
      <w:r w:rsidR="00A71751" w:rsidRPr="00D6081D">
        <w:t xml:space="preserve">в КСП </w:t>
      </w:r>
      <w:r w:rsidR="00E55E4D" w:rsidRPr="00D6081D">
        <w:t>представлены уточненные формы бюджетной отчетности</w:t>
      </w:r>
      <w:r w:rsidR="00A71751" w:rsidRPr="00D6081D">
        <w:t>, сданные в комитет финансов Волгоградской области</w:t>
      </w:r>
      <w:r w:rsidR="00E55E4D" w:rsidRPr="00D6081D">
        <w:t>.</w:t>
      </w:r>
    </w:p>
    <w:p w:rsidR="0003532A" w:rsidRPr="00D6081D" w:rsidRDefault="0003532A" w:rsidP="00234D5A">
      <w:pPr>
        <w:pStyle w:val="ab"/>
        <w:spacing w:after="0"/>
        <w:ind w:left="0" w:firstLine="709"/>
        <w:jc w:val="center"/>
        <w:rPr>
          <w:b/>
          <w:i/>
        </w:rPr>
      </w:pPr>
      <w:r w:rsidRPr="00D6081D">
        <w:rPr>
          <w:b/>
          <w:i/>
        </w:rPr>
        <w:t>Основные показатели отчетности</w:t>
      </w:r>
    </w:p>
    <w:p w:rsidR="00DD3278" w:rsidRPr="00D6081D" w:rsidRDefault="00DD3278" w:rsidP="00234D5A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u w:val="single"/>
        </w:rPr>
      </w:pPr>
      <w:r w:rsidRPr="00D6081D">
        <w:rPr>
          <w:i/>
          <w:u w:val="single"/>
        </w:rPr>
        <w:t>Исполнение доход</w:t>
      </w:r>
      <w:r w:rsidR="0046518B" w:rsidRPr="00D6081D">
        <w:rPr>
          <w:i/>
          <w:u w:val="single"/>
        </w:rPr>
        <w:t>ов</w:t>
      </w:r>
    </w:p>
    <w:p w:rsidR="00AF6AD7" w:rsidRPr="00D6081D" w:rsidRDefault="00450426" w:rsidP="00AD56F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081D">
        <w:rPr>
          <w:rFonts w:eastAsiaTheme="minorHAnsi"/>
          <w:lang w:eastAsia="en-US"/>
        </w:rPr>
        <w:t xml:space="preserve">Законом Волгоградской области от 07.12.2018 № 134-ОД «Об областном бюджете на 2019 год и на плановый период 2020 и 2021 годов» (далее - </w:t>
      </w:r>
      <w:r w:rsidR="00AF6AD7" w:rsidRPr="00D6081D">
        <w:t>Закон об областном</w:t>
      </w:r>
      <w:r w:rsidR="00AF6AD7" w:rsidRPr="00D6081D">
        <w:rPr>
          <w:sz w:val="23"/>
          <w:szCs w:val="23"/>
        </w:rPr>
        <w:t xml:space="preserve"> бюджете на 2019 год</w:t>
      </w:r>
      <w:r w:rsidRPr="00D6081D">
        <w:rPr>
          <w:sz w:val="23"/>
          <w:szCs w:val="23"/>
        </w:rPr>
        <w:t>)</w:t>
      </w:r>
      <w:r w:rsidR="00AF6AD7" w:rsidRPr="00D6081D">
        <w:rPr>
          <w:sz w:val="23"/>
          <w:szCs w:val="23"/>
        </w:rPr>
        <w:t xml:space="preserve"> Облтуризм определен главным администратором доходов областного бюджета (далее ГАБС) без закрепления вида доходов областного бюджета. </w:t>
      </w:r>
    </w:p>
    <w:p w:rsidR="00AF6AD7" w:rsidRPr="00D6081D" w:rsidRDefault="00AF6AD7" w:rsidP="00AF6AD7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3"/>
          <w:szCs w:val="23"/>
        </w:rPr>
      </w:pPr>
      <w:r w:rsidRPr="00D6081D">
        <w:rPr>
          <w:rFonts w:ascii="Times New Roman" w:eastAsia="Calibri" w:hAnsi="Times New Roman"/>
          <w:b w:val="0"/>
          <w:bCs w:val="0"/>
          <w:color w:val="auto"/>
          <w:sz w:val="23"/>
          <w:szCs w:val="23"/>
        </w:rPr>
        <w:t xml:space="preserve">Данные об администрируемых Комитетом доходах и их фактическом поступлении за 2019 год </w:t>
      </w:r>
      <w:r w:rsidRPr="00D6081D">
        <w:rPr>
          <w:rFonts w:ascii="Times New Roman" w:hAnsi="Times New Roman"/>
          <w:b w:val="0"/>
          <w:color w:val="auto"/>
          <w:sz w:val="23"/>
          <w:szCs w:val="23"/>
        </w:rPr>
        <w:t xml:space="preserve">(ф. 0503127) </w:t>
      </w:r>
      <w:r w:rsidRPr="00D6081D">
        <w:rPr>
          <w:rFonts w:ascii="Times New Roman" w:eastAsia="Calibri" w:hAnsi="Times New Roman"/>
          <w:b w:val="0"/>
          <w:bCs w:val="0"/>
          <w:color w:val="auto"/>
          <w:sz w:val="23"/>
          <w:szCs w:val="23"/>
        </w:rPr>
        <w:t>отражены в таблице 1.</w:t>
      </w:r>
    </w:p>
    <w:p w:rsidR="00AF6AD7" w:rsidRPr="00D6081D" w:rsidRDefault="00AF6AD7" w:rsidP="00AF6AD7">
      <w:pPr>
        <w:jc w:val="right"/>
        <w:rPr>
          <w:rFonts w:eastAsia="Calibri"/>
          <w:i/>
          <w:sz w:val="18"/>
          <w:szCs w:val="18"/>
        </w:rPr>
      </w:pPr>
      <w:r w:rsidRPr="00D6081D">
        <w:rPr>
          <w:rFonts w:eastAsia="Calibri"/>
          <w:i/>
          <w:sz w:val="18"/>
          <w:szCs w:val="18"/>
        </w:rPr>
        <w:t>Таблица 1, тыс. руб.</w:t>
      </w:r>
    </w:p>
    <w:tbl>
      <w:tblPr>
        <w:tblW w:w="10075" w:type="dxa"/>
        <w:tblInd w:w="98" w:type="dxa"/>
        <w:tblLook w:val="04A0"/>
      </w:tblPr>
      <w:tblGrid>
        <w:gridCol w:w="5255"/>
        <w:gridCol w:w="1534"/>
        <w:gridCol w:w="1159"/>
        <w:gridCol w:w="1418"/>
        <w:gridCol w:w="709"/>
      </w:tblGrid>
      <w:tr w:rsidR="00AF6AD7" w:rsidRPr="00D6081D" w:rsidTr="001460A5">
        <w:trPr>
          <w:trHeight w:val="255"/>
          <w:tblHeader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Исполнено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  <w:r w:rsidRPr="00D6081D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AF6AD7" w:rsidRPr="00D6081D" w:rsidTr="001460A5">
        <w:trPr>
          <w:trHeight w:val="361"/>
          <w:tblHeader/>
        </w:trPr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B06B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B06B2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%</w:t>
            </w:r>
          </w:p>
        </w:tc>
      </w:tr>
      <w:tr w:rsidR="00AF6AD7" w:rsidRPr="00D6081D" w:rsidTr="001460A5">
        <w:trPr>
          <w:trHeight w:val="255"/>
          <w:tblHeader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5</w:t>
            </w:r>
          </w:p>
        </w:tc>
      </w:tr>
      <w:tr w:rsidR="00AF6AD7" w:rsidRPr="00D6081D" w:rsidTr="00DE463B">
        <w:trPr>
          <w:trHeight w:val="25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Доходы бюджета – всего, в том числе: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63071,7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+63071,7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-</w:t>
            </w:r>
          </w:p>
        </w:tc>
      </w:tr>
      <w:tr w:rsidR="00AF6AD7" w:rsidRPr="00D6081D" w:rsidTr="00DE463B">
        <w:trPr>
          <w:trHeight w:val="321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Безвозмездные поступления</w:t>
            </w:r>
          </w:p>
          <w:p w:rsidR="00AF6AD7" w:rsidRPr="00D6081D" w:rsidRDefault="00AF6AD7" w:rsidP="00B06B2B">
            <w:pPr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 xml:space="preserve"> (843 2 00 00000 00 0000 000)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63071,7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+63071,7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b/>
                <w:sz w:val="20"/>
                <w:szCs w:val="20"/>
              </w:rPr>
            </w:pPr>
            <w:r w:rsidRPr="00D6081D">
              <w:rPr>
                <w:b/>
                <w:sz w:val="20"/>
                <w:szCs w:val="20"/>
              </w:rPr>
              <w:t>-</w:t>
            </w:r>
          </w:p>
        </w:tc>
      </w:tr>
      <w:tr w:rsidR="00AF6AD7" w:rsidRPr="00D6081D" w:rsidTr="00DE463B">
        <w:trPr>
          <w:trHeight w:val="95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B06B2B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 xml:space="preserve"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 </w:t>
            </w:r>
          </w:p>
          <w:p w:rsidR="00AF6AD7" w:rsidRPr="00D6081D" w:rsidRDefault="00AF6AD7" w:rsidP="00B06B2B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(843 2 18 00000 00 0000 000)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102906,6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+102906,6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</w:t>
            </w:r>
          </w:p>
        </w:tc>
      </w:tr>
      <w:tr w:rsidR="00AF6AD7" w:rsidRPr="00D6081D" w:rsidTr="00DE463B">
        <w:trPr>
          <w:trHeight w:val="183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D7" w:rsidRPr="00D6081D" w:rsidRDefault="00AF6AD7" w:rsidP="001460A5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Возврат остатков иных межбюджетных трансфертов на софинансирование мероприятий по подготовке к проведению чемпионата мира по футболу FIFA 2018 года в РФ,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 из бюджетов субъектов РФ (843 2 19 45530 02 0000 150)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-39834,9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AF6AD7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-39834,9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D7" w:rsidRPr="00D6081D" w:rsidRDefault="00DE463B" w:rsidP="00DE463B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-</w:t>
            </w:r>
          </w:p>
        </w:tc>
      </w:tr>
    </w:tbl>
    <w:p w:rsidR="00EB514C" w:rsidRPr="00D6081D" w:rsidRDefault="00AF6AD7" w:rsidP="00381D72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D6081D">
        <w:t>В 2019 году автономной некоммерческой организацией «Арена-2018»</w:t>
      </w:r>
      <w:r w:rsidR="001F6515" w:rsidRPr="00D6081D">
        <w:t xml:space="preserve"> (далее - АНО «Арена-2018»)</w:t>
      </w:r>
      <w:r w:rsidRPr="00D6081D">
        <w:t xml:space="preserve"> на лицевой счет Облтуризма был возвращен неиспользованный остаток субсидии на финансовое обеспечение расходов на осуществление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г.Волгограде и на территории, прилегающей к нему</w:t>
      </w:r>
      <w:r w:rsidR="000C280C" w:rsidRPr="00D6081D">
        <w:t>,</w:t>
      </w:r>
      <w:r w:rsidRPr="00D6081D">
        <w:t xml:space="preserve"> в сумме 102906,6 тыс. рублей (средства федерального бюджета – 72034,6 тыс. руб., средства областного бюджета – 30872 тыс. рублей). </w:t>
      </w:r>
      <w:r w:rsidR="004A131D" w:rsidRPr="00D6081D">
        <w:t>Часть с</w:t>
      </w:r>
      <w:r w:rsidRPr="00D6081D">
        <w:t>редств федерального бюджета</w:t>
      </w:r>
      <w:r w:rsidR="001F6515" w:rsidRPr="00D6081D">
        <w:t xml:space="preserve">, поступившая от </w:t>
      </w:r>
      <w:r w:rsidR="00B4338D" w:rsidRPr="00D6081D">
        <w:t>АНО «Арена – 2018»,</w:t>
      </w:r>
      <w:r w:rsidRPr="00D6081D">
        <w:t xml:space="preserve"> в сумме </w:t>
      </w:r>
      <w:r w:rsidR="00756A21" w:rsidRPr="00D6081D">
        <w:t xml:space="preserve">        </w:t>
      </w:r>
      <w:r w:rsidRPr="00D6081D">
        <w:t>39834,9</w:t>
      </w:r>
      <w:r w:rsidR="00756A21" w:rsidRPr="00D6081D">
        <w:t xml:space="preserve"> </w:t>
      </w:r>
      <w:r w:rsidRPr="00D6081D">
        <w:t>тыс. руб. были возвращены Облтуризмом на лицевой счет Минспорта РФ</w:t>
      </w:r>
      <w:r w:rsidR="00B4338D" w:rsidRPr="00D6081D">
        <w:t xml:space="preserve"> в 2019 году</w:t>
      </w:r>
      <w:r w:rsidRPr="00D6081D">
        <w:t>.</w:t>
      </w:r>
      <w:r w:rsidR="00B4338D" w:rsidRPr="00D6081D">
        <w:t xml:space="preserve"> </w:t>
      </w:r>
      <w:r w:rsidR="003E5A7C" w:rsidRPr="00D6081D">
        <w:t>Невозвращенный остаток средств федерального бюджета в сумме 32199,7 тыс. руб.</w:t>
      </w:r>
      <w:r w:rsidR="006E1CBF" w:rsidRPr="00D6081D">
        <w:t xml:space="preserve"> включен в состав кредиторской задолженности Облтуризма на 01.01.2020.</w:t>
      </w:r>
    </w:p>
    <w:p w:rsidR="00A339B6" w:rsidRPr="00D6081D" w:rsidRDefault="00DD3278" w:rsidP="00381D72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D6081D">
        <w:rPr>
          <w:i/>
          <w:u w:val="single"/>
        </w:rPr>
        <w:t>Исполнение расходов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6081D">
        <w:rPr>
          <w:bCs/>
          <w:iCs/>
        </w:rPr>
        <w:t xml:space="preserve">Законом об областном бюджете на 2019 год (в окончательной редакции) Комитету предусмотрены бюджетные ассигнования в размере 159064,5 тыс. рублей. Утвержденный объем бюджетных ассигнований по бюджетной росписи составил 77556,9 тыс. руб., или на 81507,6 тыс. руб. (-51,2 %) меньше утвержденного объёма ассигнований, что является значительным отклонением. 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6081D">
        <w:rPr>
          <w:bCs/>
          <w:iCs/>
        </w:rPr>
        <w:t>Основной причиной расхождения бюджетных назначений явилось: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</w:pPr>
      <w:r w:rsidRPr="00D6081D">
        <w:rPr>
          <w:bCs/>
          <w:iCs/>
        </w:rPr>
        <w:lastRenderedPageBreak/>
        <w:t xml:space="preserve">-по разделу 0400 - увеличение ассигнований на 29422,0 тыс. руб. в рамках  исполнения п.2 перечня поручений </w:t>
      </w:r>
      <w:r w:rsidR="00F11AE2" w:rsidRPr="00D6081D">
        <w:rPr>
          <w:bCs/>
          <w:iCs/>
        </w:rPr>
        <w:t>в</w:t>
      </w:r>
      <w:r w:rsidRPr="00D6081D">
        <w:rPr>
          <w:bCs/>
          <w:iCs/>
        </w:rPr>
        <w:t>ице</w:t>
      </w:r>
      <w:r w:rsidR="00F11AE2" w:rsidRPr="00D6081D">
        <w:rPr>
          <w:bCs/>
          <w:iCs/>
        </w:rPr>
        <w:t>-г</w:t>
      </w:r>
      <w:r w:rsidRPr="00D6081D">
        <w:rPr>
          <w:bCs/>
          <w:iCs/>
        </w:rPr>
        <w:t xml:space="preserve">убернатора </w:t>
      </w:r>
      <w:r w:rsidR="00E97EFE" w:rsidRPr="00D6081D">
        <w:rPr>
          <w:bCs/>
          <w:iCs/>
        </w:rPr>
        <w:t xml:space="preserve">Волгоградской области, </w:t>
      </w:r>
      <w:r w:rsidRPr="00D6081D">
        <w:rPr>
          <w:bCs/>
          <w:iCs/>
        </w:rPr>
        <w:t xml:space="preserve">руководителя аппарата Губернатора от 14.08.2019 №10-15/10527 в связи </w:t>
      </w:r>
      <w:r w:rsidRPr="00D6081D">
        <w:t xml:space="preserve">с передачей в ведомственное подчинение Комитета </w:t>
      </w:r>
      <w:r w:rsidR="00B13F70" w:rsidRPr="00D6081D">
        <w:t>Агентства развития туризма</w:t>
      </w:r>
      <w:r w:rsidRPr="00D6081D">
        <w:t>;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D6081D">
        <w:t>-</w:t>
      </w:r>
      <w:r w:rsidRPr="00D6081D">
        <w:rPr>
          <w:bCs/>
          <w:iCs/>
        </w:rPr>
        <w:t xml:space="preserve">по подразделу 1100 – уменьшение ассигнований на 110929,6 тыс.руб. в рамках  исполнения постановления Администрации Волгоградской области от 28.10.2019 №542-п в связи </w:t>
      </w:r>
      <w:r w:rsidRPr="00D6081D">
        <w:t xml:space="preserve">с передачей в ведомственное подчинение комитета физической культуры и спорта </w:t>
      </w:r>
      <w:r w:rsidR="007B1E19" w:rsidRPr="00D6081D">
        <w:t>государственного автономного учреждения Волгоградской области</w:t>
      </w:r>
      <w:r w:rsidRPr="00D6081D">
        <w:t xml:space="preserve"> "Дирекция по эксплуатации стадиона "Волгоград</w:t>
      </w:r>
      <w:r w:rsidR="007B1E19" w:rsidRPr="00D6081D">
        <w:t xml:space="preserve"> Арена</w:t>
      </w:r>
      <w:r w:rsidRPr="00D6081D">
        <w:t>"</w:t>
      </w:r>
      <w:r w:rsidR="001A706B" w:rsidRPr="00D6081D">
        <w:t xml:space="preserve"> (далее – Дирекция по эксплуатации стадиона «Волгоград Арена»)</w:t>
      </w:r>
      <w:r w:rsidRPr="00D6081D">
        <w:t>.</w:t>
      </w:r>
    </w:p>
    <w:p w:rsidR="00B06B2B" w:rsidRPr="00D6081D" w:rsidRDefault="00B06B2B" w:rsidP="00B06B2B">
      <w:pPr>
        <w:ind w:firstLine="709"/>
        <w:jc w:val="both"/>
        <w:rPr>
          <w:bCs/>
          <w:iCs/>
        </w:rPr>
      </w:pPr>
      <w:r w:rsidRPr="00D6081D">
        <w:t xml:space="preserve">Лимиты бюджетных обязательств доведены в сумме </w:t>
      </w:r>
      <w:r w:rsidR="005A0A77" w:rsidRPr="00D6081D">
        <w:t>77453,3</w:t>
      </w:r>
      <w:r w:rsidRPr="00D6081D">
        <w:t xml:space="preserve"> тыс. руб., или </w:t>
      </w:r>
      <w:r w:rsidR="005A0A77" w:rsidRPr="00D6081D">
        <w:t>99,9</w:t>
      </w:r>
      <w:r w:rsidRPr="00D6081D">
        <w:t>% от утвержденных бюджетных назначений по бюджетной росписи</w:t>
      </w:r>
      <w:r w:rsidR="00F1716C" w:rsidRPr="00D6081D">
        <w:t xml:space="preserve"> (77556,9 тыс. руб</w:t>
      </w:r>
      <w:r w:rsidR="00132CDF" w:rsidRPr="00D6081D">
        <w:t>лей</w:t>
      </w:r>
      <w:r w:rsidR="00F1716C" w:rsidRPr="00D6081D">
        <w:t>)</w:t>
      </w:r>
      <w:r w:rsidRPr="00D6081D">
        <w:t xml:space="preserve">.  </w:t>
      </w:r>
    </w:p>
    <w:p w:rsidR="00B06B2B" w:rsidRPr="00D6081D" w:rsidRDefault="00B06B2B" w:rsidP="00B06B2B">
      <w:pPr>
        <w:pStyle w:val="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6081D">
        <w:rPr>
          <w:rFonts w:ascii="Times New Roman" w:hAnsi="Times New Roman"/>
          <w:sz w:val="24"/>
          <w:szCs w:val="24"/>
          <w:lang w:val="ru-RU"/>
        </w:rPr>
        <w:t xml:space="preserve">Информация об исполнении расходов представлена в </w:t>
      </w:r>
      <w:r w:rsidR="007E30A2" w:rsidRPr="00D6081D">
        <w:rPr>
          <w:rFonts w:ascii="Times New Roman" w:hAnsi="Times New Roman"/>
          <w:sz w:val="24"/>
          <w:szCs w:val="24"/>
          <w:lang w:val="ru-RU"/>
        </w:rPr>
        <w:t>приложении</w:t>
      </w:r>
      <w:r w:rsidRPr="00D6081D">
        <w:rPr>
          <w:rFonts w:ascii="Times New Roman" w:hAnsi="Times New Roman"/>
          <w:sz w:val="24"/>
          <w:szCs w:val="24"/>
          <w:lang w:val="ru-RU"/>
        </w:rPr>
        <w:t xml:space="preserve"> 2.</w:t>
      </w:r>
    </w:p>
    <w:p w:rsidR="00B06B2B" w:rsidRPr="00D6081D" w:rsidRDefault="00B06B2B" w:rsidP="00B06B2B">
      <w:pPr>
        <w:ind w:firstLine="709"/>
        <w:jc w:val="both"/>
      </w:pPr>
      <w:r w:rsidRPr="00D6081D">
        <w:t xml:space="preserve">В 2019 году комитетом расходы исполнены на </w:t>
      </w:r>
      <w:r w:rsidRPr="00D6081D">
        <w:rPr>
          <w:bCs/>
          <w:iCs/>
        </w:rPr>
        <w:t>72119</w:t>
      </w:r>
      <w:r w:rsidRPr="00D6081D">
        <w:rPr>
          <w:b/>
          <w:bCs/>
          <w:iCs/>
        </w:rPr>
        <w:t xml:space="preserve"> </w:t>
      </w:r>
      <w:r w:rsidRPr="00D6081D">
        <w:t>тыс. руб., или на 93,0% к назначениям, утвержденным бюджетной росписью, и на 9</w:t>
      </w:r>
      <w:r w:rsidR="00F64190" w:rsidRPr="00D6081D">
        <w:t>3</w:t>
      </w:r>
      <w:r w:rsidRPr="00D6081D">
        <w:t>,</w:t>
      </w:r>
      <w:r w:rsidR="00F64190" w:rsidRPr="00D6081D">
        <w:t>1</w:t>
      </w:r>
      <w:r w:rsidRPr="00D6081D">
        <w:t xml:space="preserve">% к доведенным лимитам бюджетных обязательств.  </w:t>
      </w:r>
    </w:p>
    <w:p w:rsidR="00B06B2B" w:rsidRPr="00D6081D" w:rsidRDefault="00B06B2B" w:rsidP="00B06B2B">
      <w:pPr>
        <w:ind w:firstLine="709"/>
        <w:jc w:val="both"/>
      </w:pPr>
      <w:r w:rsidRPr="00D6081D">
        <w:t>Вместе с тем по отдельным статьям расходов исполнение бюджетных назначений составляет от 85,2% до 100 процентов</w:t>
      </w:r>
      <w:r w:rsidR="002010E2" w:rsidRPr="00D6081D">
        <w:t xml:space="preserve"> от показателей бюджетной росписи</w:t>
      </w:r>
      <w:r w:rsidRPr="00D6081D">
        <w:t xml:space="preserve">. 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</w:pPr>
      <w:r w:rsidRPr="00D6081D">
        <w:t>Согласно данным формы 0503164 показатели, по которым исполнение на 1 января</w:t>
      </w:r>
      <w:r w:rsidR="00E2045C" w:rsidRPr="00D6081D">
        <w:t xml:space="preserve"> 2020</w:t>
      </w:r>
      <w:r w:rsidR="00AF7FFC" w:rsidRPr="00D6081D">
        <w:t xml:space="preserve"> года</w:t>
      </w:r>
      <w:r w:rsidRPr="00D6081D">
        <w:t xml:space="preserve"> составило менее 95% к бюджетной росписи, сложились по подразделу 0412 «Национальная экономика»: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</w:pPr>
      <w:r w:rsidRPr="00D6081D">
        <w:t xml:space="preserve">-целевой статье расходов «Непрограммные направления обеспечения деятельности государственных органов Волгоградской области» (900000) в сумме 2440,7 тыс. руб. в связи с экономией </w:t>
      </w:r>
      <w:r w:rsidR="00085216" w:rsidRPr="00D6081D">
        <w:t xml:space="preserve">средств </w:t>
      </w:r>
      <w:r w:rsidRPr="00D6081D">
        <w:t>при проведении штатных мероприятий</w:t>
      </w:r>
      <w:r w:rsidR="005C2440" w:rsidRPr="00D6081D">
        <w:t xml:space="preserve"> Комитета</w:t>
      </w:r>
      <w:r w:rsidRPr="00D6081D">
        <w:t>;</w:t>
      </w:r>
    </w:p>
    <w:p w:rsidR="00B06B2B" w:rsidRPr="00D6081D" w:rsidRDefault="00B06B2B" w:rsidP="00B06B2B">
      <w:pPr>
        <w:autoSpaceDE w:val="0"/>
        <w:autoSpaceDN w:val="0"/>
        <w:adjustRightInd w:val="0"/>
        <w:ind w:firstLine="709"/>
        <w:jc w:val="both"/>
      </w:pPr>
      <w:r w:rsidRPr="00D6081D">
        <w:t xml:space="preserve">-целевой статье расходов "Предоставление услуг (работ) в сфере туризма" (620000) в сумме 2054,3 тыс. руб. по основному мероприятию "Создание конкурентоспособного регионального туристского продукта и его продвижение на внутреннем туристском рынке" государственной программы "Развитие туризма в Волгоградской области" в связи с экономией </w:t>
      </w:r>
      <w:r w:rsidR="00085216" w:rsidRPr="00D6081D">
        <w:t xml:space="preserve">средств </w:t>
      </w:r>
      <w:r w:rsidRPr="00D6081D">
        <w:t xml:space="preserve">по результатам проведения конкурсных процедур. </w:t>
      </w:r>
    </w:p>
    <w:p w:rsidR="00442085" w:rsidRPr="00D6081D" w:rsidRDefault="00442085" w:rsidP="00442085">
      <w:pPr>
        <w:ind w:firstLine="709"/>
        <w:jc w:val="both"/>
        <w:rPr>
          <w:bCs/>
          <w:sz w:val="16"/>
          <w:szCs w:val="16"/>
        </w:rPr>
      </w:pPr>
      <w:r w:rsidRPr="00D6081D">
        <w:t xml:space="preserve">Сравнительный анализ показателей исполнения расходов областного бюджета за 2018 год и 2019 год представлен в нижеследующей таблице 2. </w:t>
      </w:r>
    </w:p>
    <w:p w:rsidR="00442085" w:rsidRPr="00D6081D" w:rsidRDefault="00442085" w:rsidP="00442085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D6081D">
        <w:rPr>
          <w:bCs/>
          <w:i/>
          <w:sz w:val="20"/>
          <w:szCs w:val="20"/>
        </w:rPr>
        <w:t>Таблица 2, тыс. руб</w:t>
      </w:r>
      <w:r w:rsidRPr="00D6081D">
        <w:rPr>
          <w:i/>
          <w:sz w:val="20"/>
          <w:szCs w:val="20"/>
        </w:rPr>
        <w:t>.</w:t>
      </w:r>
    </w:p>
    <w:tbl>
      <w:tblPr>
        <w:tblW w:w="10062" w:type="dxa"/>
        <w:tblInd w:w="93" w:type="dxa"/>
        <w:tblLook w:val="04A0"/>
      </w:tblPr>
      <w:tblGrid>
        <w:gridCol w:w="5827"/>
        <w:gridCol w:w="1149"/>
        <w:gridCol w:w="992"/>
        <w:gridCol w:w="1134"/>
        <w:gridCol w:w="960"/>
      </w:tblGrid>
      <w:tr w:rsidR="00442085" w:rsidRPr="00D6081D" w:rsidTr="00442085">
        <w:trPr>
          <w:trHeight w:val="222"/>
        </w:trPr>
        <w:tc>
          <w:tcPr>
            <w:tcW w:w="5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Наименование раздела (подраздела) расходов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442085" w:rsidRPr="00D6081D" w:rsidTr="00442085">
        <w:trPr>
          <w:trHeight w:val="420"/>
        </w:trPr>
        <w:tc>
          <w:tcPr>
            <w:tcW w:w="58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085" w:rsidRPr="00D6081D" w:rsidRDefault="00442085" w:rsidP="004A13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085" w:rsidRPr="00D6081D" w:rsidRDefault="00442085" w:rsidP="004A13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2085" w:rsidRPr="00D6081D" w:rsidRDefault="00442085" w:rsidP="004A13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тыс. руб., гр. 3 - гр.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29543F" w:rsidP="00132CDF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разы</w:t>
            </w:r>
          </w:p>
        </w:tc>
      </w:tr>
      <w:tr w:rsidR="00442085" w:rsidRPr="00D6081D" w:rsidTr="00442085">
        <w:trPr>
          <w:trHeight w:val="70"/>
        </w:trPr>
        <w:tc>
          <w:tcPr>
            <w:tcW w:w="5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4"/>
                <w:szCs w:val="14"/>
              </w:rPr>
            </w:pPr>
            <w:r w:rsidRPr="00D6081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4"/>
                <w:szCs w:val="14"/>
              </w:rPr>
            </w:pPr>
            <w:r w:rsidRPr="00D6081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4"/>
                <w:szCs w:val="14"/>
              </w:rPr>
            </w:pPr>
            <w:r w:rsidRPr="00D6081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4"/>
                <w:szCs w:val="14"/>
              </w:rPr>
            </w:pPr>
            <w:r w:rsidRPr="00D6081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4"/>
                <w:szCs w:val="14"/>
              </w:rPr>
            </w:pPr>
            <w:r w:rsidRPr="00D6081D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442085" w:rsidRPr="00D6081D" w:rsidTr="00442085">
        <w:trPr>
          <w:trHeight w:val="221"/>
        </w:trPr>
        <w:tc>
          <w:tcPr>
            <w:tcW w:w="5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Расходы - всего,  в т.ч.: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474022,7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72119,0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-401903,7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8197D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-6,6</w:t>
            </w:r>
          </w:p>
        </w:tc>
      </w:tr>
      <w:tr w:rsidR="00442085" w:rsidRPr="00D6081D" w:rsidTr="00442085">
        <w:trPr>
          <w:trHeight w:val="221"/>
        </w:trPr>
        <w:tc>
          <w:tcPr>
            <w:tcW w:w="5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Раздел 0400 "Национальная экономика"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3456,6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67833,4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64376,8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612C6B" w:rsidP="0048197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1</w:t>
            </w:r>
            <w:r w:rsidR="0048197D" w:rsidRPr="00D6081D">
              <w:rPr>
                <w:b/>
                <w:bCs/>
                <w:sz w:val="16"/>
                <w:szCs w:val="16"/>
              </w:rPr>
              <w:t>9</w:t>
            </w:r>
            <w:r w:rsidRPr="00D6081D">
              <w:rPr>
                <w:b/>
                <w:bCs/>
                <w:sz w:val="16"/>
                <w:szCs w:val="16"/>
              </w:rPr>
              <w:t xml:space="preserve">,6 </w:t>
            </w:r>
          </w:p>
        </w:tc>
      </w:tr>
      <w:tr w:rsidR="00442085" w:rsidRPr="00D6081D" w:rsidTr="00442085">
        <w:trPr>
          <w:trHeight w:val="198"/>
        </w:trPr>
        <w:tc>
          <w:tcPr>
            <w:tcW w:w="58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подраздел 0412 "Другие вопросы в области национальной экономики"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3456,6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67833,4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64376,8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612C6B" w:rsidP="0048197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1</w:t>
            </w:r>
            <w:r w:rsidR="0048197D" w:rsidRPr="00D6081D">
              <w:rPr>
                <w:bCs/>
                <w:sz w:val="16"/>
                <w:szCs w:val="16"/>
              </w:rPr>
              <w:t>9</w:t>
            </w:r>
            <w:r w:rsidRPr="00D6081D">
              <w:rPr>
                <w:bCs/>
                <w:sz w:val="16"/>
                <w:szCs w:val="16"/>
              </w:rPr>
              <w:t xml:space="preserve">,6 </w:t>
            </w:r>
          </w:p>
        </w:tc>
      </w:tr>
      <w:tr w:rsidR="00442085" w:rsidRPr="00D6081D" w:rsidTr="00442085">
        <w:trPr>
          <w:trHeight w:val="72"/>
        </w:trPr>
        <w:tc>
          <w:tcPr>
            <w:tcW w:w="58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D6081D">
              <w:rPr>
                <w:b/>
                <w:bCs/>
                <w:iCs/>
                <w:sz w:val="16"/>
                <w:szCs w:val="16"/>
              </w:rPr>
              <w:t>Раздел 1100 «Физическая культура и спорт»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6081D">
              <w:rPr>
                <w:b/>
                <w:bCs/>
                <w:iCs/>
                <w:sz w:val="16"/>
                <w:szCs w:val="16"/>
              </w:rPr>
              <w:t>470566,1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6081D">
              <w:rPr>
                <w:b/>
                <w:bCs/>
                <w:iCs/>
                <w:sz w:val="16"/>
                <w:szCs w:val="16"/>
              </w:rPr>
              <w:t>4285,6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-466280,5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3B4EAB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-110</w:t>
            </w:r>
          </w:p>
        </w:tc>
      </w:tr>
      <w:tr w:rsidR="00442085" w:rsidRPr="00D6081D" w:rsidTr="00442085">
        <w:trPr>
          <w:trHeight w:val="159"/>
        </w:trPr>
        <w:tc>
          <w:tcPr>
            <w:tcW w:w="58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подраздел 1103 «Спорт высших достижений»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448088,6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-448088,6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3B4EAB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-</w:t>
            </w:r>
          </w:p>
        </w:tc>
      </w:tr>
      <w:tr w:rsidR="00442085" w:rsidRPr="00D6081D" w:rsidTr="00442085">
        <w:trPr>
          <w:trHeight w:val="242"/>
        </w:trPr>
        <w:tc>
          <w:tcPr>
            <w:tcW w:w="58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85" w:rsidRPr="00D6081D" w:rsidRDefault="00442085" w:rsidP="004A131D">
            <w:pPr>
              <w:jc w:val="both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подраздел 1105 «Другие вопросы в области физической культуры и спорта»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22477,5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4285,6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442085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-18191,9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2085" w:rsidRPr="00D6081D" w:rsidRDefault="00D26D56" w:rsidP="004A131D">
            <w:pPr>
              <w:jc w:val="center"/>
              <w:rPr>
                <w:bCs/>
                <w:sz w:val="16"/>
                <w:szCs w:val="16"/>
              </w:rPr>
            </w:pPr>
            <w:r w:rsidRPr="00D6081D">
              <w:rPr>
                <w:bCs/>
                <w:sz w:val="16"/>
                <w:szCs w:val="16"/>
              </w:rPr>
              <w:t>-5,2</w:t>
            </w:r>
          </w:p>
        </w:tc>
      </w:tr>
    </w:tbl>
    <w:p w:rsidR="00442085" w:rsidRPr="00D6081D" w:rsidRDefault="00442085" w:rsidP="0044208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081D">
        <w:rPr>
          <w:sz w:val="23"/>
          <w:szCs w:val="23"/>
        </w:rPr>
        <w:t xml:space="preserve">В 2019 году по отношению к 2018 году расходы сократились на 401903,7 тыс. руб., или </w:t>
      </w:r>
      <w:r w:rsidR="00D26D56" w:rsidRPr="00D6081D">
        <w:rPr>
          <w:sz w:val="23"/>
          <w:szCs w:val="23"/>
        </w:rPr>
        <w:t>в 6,6 раза</w:t>
      </w:r>
      <w:r w:rsidRPr="00D6081D">
        <w:rPr>
          <w:sz w:val="23"/>
          <w:szCs w:val="23"/>
        </w:rPr>
        <w:t xml:space="preserve">. </w:t>
      </w:r>
    </w:p>
    <w:p w:rsidR="00442085" w:rsidRPr="00D6081D" w:rsidRDefault="00442085" w:rsidP="00442085">
      <w:pPr>
        <w:autoSpaceDE w:val="0"/>
        <w:autoSpaceDN w:val="0"/>
        <w:adjustRightInd w:val="0"/>
        <w:ind w:firstLine="709"/>
        <w:jc w:val="both"/>
        <w:rPr>
          <w:b/>
          <w:i/>
          <w:sz w:val="23"/>
          <w:szCs w:val="23"/>
        </w:rPr>
      </w:pPr>
      <w:r w:rsidRPr="00D6081D">
        <w:rPr>
          <w:sz w:val="23"/>
          <w:szCs w:val="23"/>
        </w:rPr>
        <w:t xml:space="preserve">Сокращение расходов по разделу 1100 «Физическая культура и спорт» в основном обусловлено завершением </w:t>
      </w:r>
      <w:r w:rsidR="00440CBE" w:rsidRPr="00D6081D">
        <w:rPr>
          <w:sz w:val="23"/>
          <w:szCs w:val="23"/>
        </w:rPr>
        <w:t xml:space="preserve">реализации мероприятий по проведению </w:t>
      </w:r>
      <w:r w:rsidRPr="00D6081D">
        <w:rPr>
          <w:sz w:val="23"/>
          <w:szCs w:val="23"/>
        </w:rPr>
        <w:t>чемпионата мира по футболу 2018 года и передачей в ведомственное подчинение комитета физической культуры и спорта Дирекци</w:t>
      </w:r>
      <w:r w:rsidR="00F52D72" w:rsidRPr="00D6081D">
        <w:rPr>
          <w:sz w:val="23"/>
          <w:szCs w:val="23"/>
        </w:rPr>
        <w:t>и</w:t>
      </w:r>
      <w:r w:rsidRPr="00D6081D">
        <w:rPr>
          <w:sz w:val="23"/>
          <w:szCs w:val="23"/>
        </w:rPr>
        <w:t xml:space="preserve"> по эксплуатации стадиона "Волгоград</w:t>
      </w:r>
      <w:r w:rsidR="00F52D72" w:rsidRPr="00D6081D">
        <w:rPr>
          <w:sz w:val="23"/>
          <w:szCs w:val="23"/>
        </w:rPr>
        <w:t xml:space="preserve"> Арена</w:t>
      </w:r>
      <w:r w:rsidRPr="00D6081D">
        <w:rPr>
          <w:sz w:val="23"/>
          <w:szCs w:val="23"/>
        </w:rPr>
        <w:t>" (-448088,6 тыс. руб.).</w:t>
      </w:r>
    </w:p>
    <w:p w:rsidR="00BD4C28" w:rsidRPr="00D6081D" w:rsidRDefault="00442085" w:rsidP="00442085">
      <w:pPr>
        <w:ind w:firstLine="709"/>
        <w:jc w:val="both"/>
        <w:rPr>
          <w:sz w:val="23"/>
          <w:szCs w:val="23"/>
        </w:rPr>
      </w:pPr>
      <w:r w:rsidRPr="00D6081D">
        <w:rPr>
          <w:sz w:val="23"/>
          <w:szCs w:val="23"/>
        </w:rPr>
        <w:t>Увеличение расходов</w:t>
      </w:r>
      <w:r w:rsidR="00767429" w:rsidRPr="00D6081D">
        <w:rPr>
          <w:sz w:val="23"/>
          <w:szCs w:val="23"/>
        </w:rPr>
        <w:t xml:space="preserve"> по разделу 0400</w:t>
      </w:r>
      <w:r w:rsidRPr="00D6081D">
        <w:rPr>
          <w:sz w:val="23"/>
          <w:szCs w:val="23"/>
        </w:rPr>
        <w:t xml:space="preserve"> </w:t>
      </w:r>
      <w:r w:rsidR="00250C8F" w:rsidRPr="00D6081D">
        <w:rPr>
          <w:sz w:val="23"/>
          <w:szCs w:val="23"/>
        </w:rPr>
        <w:t xml:space="preserve">на 64376,8 тыс. руб. </w:t>
      </w:r>
      <w:r w:rsidRPr="00D6081D">
        <w:rPr>
          <w:sz w:val="23"/>
          <w:szCs w:val="23"/>
        </w:rPr>
        <w:t>связано с передачей в ведомственное подчинение Комитета Агентств</w:t>
      </w:r>
      <w:r w:rsidR="00F52D72" w:rsidRPr="00D6081D">
        <w:rPr>
          <w:sz w:val="23"/>
          <w:szCs w:val="23"/>
        </w:rPr>
        <w:t>а развития</w:t>
      </w:r>
      <w:r w:rsidRPr="00D6081D">
        <w:rPr>
          <w:sz w:val="23"/>
          <w:szCs w:val="23"/>
        </w:rPr>
        <w:t xml:space="preserve"> туризма, что повлекло увеличение расходов по </w:t>
      </w:r>
      <w:r w:rsidR="00250C8F" w:rsidRPr="00D6081D">
        <w:rPr>
          <w:sz w:val="23"/>
          <w:szCs w:val="23"/>
        </w:rPr>
        <w:t>под</w:t>
      </w:r>
      <w:r w:rsidRPr="00D6081D">
        <w:rPr>
          <w:sz w:val="23"/>
          <w:szCs w:val="23"/>
        </w:rPr>
        <w:t>разделу 04</w:t>
      </w:r>
      <w:r w:rsidR="00250C8F" w:rsidRPr="00D6081D">
        <w:rPr>
          <w:sz w:val="23"/>
          <w:szCs w:val="23"/>
        </w:rPr>
        <w:t>12</w:t>
      </w:r>
      <w:r w:rsidRPr="00D6081D">
        <w:rPr>
          <w:sz w:val="23"/>
          <w:szCs w:val="23"/>
        </w:rPr>
        <w:t xml:space="preserve"> на предоставление субсидии на выполнение государственного задания (+10803,9 тыс. руб.) и субсидии на иные цели (+32597,2 тыс. руб.), </w:t>
      </w:r>
      <w:r w:rsidR="00245E63" w:rsidRPr="00D6081D">
        <w:rPr>
          <w:sz w:val="23"/>
          <w:szCs w:val="23"/>
        </w:rPr>
        <w:t xml:space="preserve">перемещения расходов по обеспечению деятельности Комитета из </w:t>
      </w:r>
      <w:r w:rsidR="00977519" w:rsidRPr="00D6081D">
        <w:rPr>
          <w:sz w:val="23"/>
          <w:szCs w:val="23"/>
        </w:rPr>
        <w:t>подраздела</w:t>
      </w:r>
      <w:r w:rsidR="00245E63" w:rsidRPr="00D6081D">
        <w:rPr>
          <w:sz w:val="23"/>
          <w:szCs w:val="23"/>
        </w:rPr>
        <w:t xml:space="preserve"> 11</w:t>
      </w:r>
      <w:r w:rsidR="00977519" w:rsidRPr="00D6081D">
        <w:rPr>
          <w:sz w:val="23"/>
          <w:szCs w:val="23"/>
        </w:rPr>
        <w:t>05</w:t>
      </w:r>
      <w:r w:rsidR="00245E63" w:rsidRPr="00D6081D">
        <w:rPr>
          <w:sz w:val="23"/>
          <w:szCs w:val="23"/>
        </w:rPr>
        <w:t xml:space="preserve"> в </w:t>
      </w:r>
      <w:r w:rsidR="00977519" w:rsidRPr="00D6081D">
        <w:rPr>
          <w:sz w:val="23"/>
          <w:szCs w:val="23"/>
        </w:rPr>
        <w:t>под</w:t>
      </w:r>
      <w:r w:rsidR="00245E63" w:rsidRPr="00D6081D">
        <w:rPr>
          <w:sz w:val="23"/>
          <w:szCs w:val="23"/>
        </w:rPr>
        <w:t>раздел 04</w:t>
      </w:r>
      <w:r w:rsidR="00977519" w:rsidRPr="00D6081D">
        <w:rPr>
          <w:sz w:val="23"/>
          <w:szCs w:val="23"/>
        </w:rPr>
        <w:t>12</w:t>
      </w:r>
      <w:r w:rsidR="00245E63" w:rsidRPr="00D6081D">
        <w:rPr>
          <w:sz w:val="23"/>
          <w:szCs w:val="23"/>
        </w:rPr>
        <w:t xml:space="preserve"> (+20975,7 тыс. руб.)</w:t>
      </w:r>
      <w:r w:rsidR="00994BB9" w:rsidRPr="00D6081D">
        <w:rPr>
          <w:sz w:val="23"/>
          <w:szCs w:val="23"/>
        </w:rPr>
        <w:t xml:space="preserve"> при сокращении </w:t>
      </w:r>
      <w:r w:rsidR="00245E63" w:rsidRPr="00D6081D">
        <w:rPr>
          <w:sz w:val="23"/>
          <w:szCs w:val="23"/>
        </w:rPr>
        <w:t>расход</w:t>
      </w:r>
      <w:r w:rsidR="00994BB9" w:rsidRPr="00D6081D">
        <w:rPr>
          <w:sz w:val="23"/>
          <w:szCs w:val="23"/>
        </w:rPr>
        <w:t>ов</w:t>
      </w:r>
      <w:r w:rsidR="00245E63" w:rsidRPr="00D6081D">
        <w:rPr>
          <w:sz w:val="23"/>
          <w:szCs w:val="23"/>
        </w:rPr>
        <w:t xml:space="preserve"> на обеспечение деятельности Комитета на 1501,8 тыс. руб., или 6,7 процентов</w:t>
      </w:r>
      <w:r w:rsidR="00C00077" w:rsidRPr="00D6081D">
        <w:rPr>
          <w:sz w:val="23"/>
          <w:szCs w:val="23"/>
        </w:rPr>
        <w:t>.</w:t>
      </w:r>
    </w:p>
    <w:p w:rsidR="00B06B2B" w:rsidRPr="00D6081D" w:rsidRDefault="00B06B2B" w:rsidP="00B06B2B">
      <w:pPr>
        <w:ind w:firstLine="709"/>
        <w:jc w:val="both"/>
      </w:pPr>
      <w:r w:rsidRPr="00D6081D">
        <w:t xml:space="preserve">Большая часть расходов (47686,7 тыс. руб., или 66,1% от общей суммы расходов) запланирована и исполнена в рамках государственной программы "Развитие туризма в </w:t>
      </w:r>
      <w:r w:rsidRPr="00D6081D">
        <w:lastRenderedPageBreak/>
        <w:t>Волгоградской области"</w:t>
      </w:r>
      <w:r w:rsidR="007964B9" w:rsidRPr="00D6081D">
        <w:t xml:space="preserve">,  </w:t>
      </w:r>
      <w:r w:rsidR="00E46219" w:rsidRPr="00D6081D">
        <w:t>утвержденной</w:t>
      </w:r>
      <w:r w:rsidR="007964B9" w:rsidRPr="00D6081D">
        <w:t xml:space="preserve"> постановлением Администрации Волгоградской области от 09.04.2019 № 168-п (далее ГП Развитие туризма, Постановление №168-п)</w:t>
      </w:r>
      <w:r w:rsidRPr="00D6081D">
        <w:t>.</w:t>
      </w:r>
    </w:p>
    <w:p w:rsidR="00B06B2B" w:rsidRPr="00D6081D" w:rsidRDefault="00E46219" w:rsidP="00B63C53">
      <w:pPr>
        <w:ind w:firstLine="709"/>
        <w:jc w:val="both"/>
        <w:rPr>
          <w:sz w:val="20"/>
          <w:szCs w:val="20"/>
        </w:rPr>
      </w:pPr>
      <w:r w:rsidRPr="00D6081D">
        <w:t>Также</w:t>
      </w:r>
      <w:r w:rsidR="00B06B2B" w:rsidRPr="00D6081D">
        <w:t xml:space="preserve"> Комитетом произведены расходы </w:t>
      </w:r>
      <w:r w:rsidR="00C47BEC" w:rsidRPr="00D6081D">
        <w:t xml:space="preserve">на обеспечение деятельности государственных органов Волгоградской области </w:t>
      </w:r>
      <w:r w:rsidR="00B06B2B" w:rsidRPr="00D6081D">
        <w:t>в сумме 24432,3 тыс. руб. или 33,9% от общей суммы расходов.</w:t>
      </w:r>
      <w:r w:rsidR="00B06B2B" w:rsidRPr="00D6081D">
        <w:rPr>
          <w:i/>
          <w:sz w:val="16"/>
          <w:szCs w:val="16"/>
        </w:rPr>
        <w:t xml:space="preserve"> </w:t>
      </w:r>
    </w:p>
    <w:p w:rsidR="00B06B2B" w:rsidRPr="00D6081D" w:rsidRDefault="00B06B2B" w:rsidP="00B06B2B">
      <w:pPr>
        <w:ind w:firstLine="709"/>
        <w:jc w:val="both"/>
      </w:pPr>
      <w:r w:rsidRPr="00D6081D">
        <w:t xml:space="preserve">Информация об исполнении расходов на содержание Облтуризма представлена в </w:t>
      </w:r>
      <w:r w:rsidR="00B63C53" w:rsidRPr="00D6081D">
        <w:t xml:space="preserve">   </w:t>
      </w:r>
      <w:r w:rsidRPr="00D6081D">
        <w:t xml:space="preserve">таблице </w:t>
      </w:r>
      <w:r w:rsidR="00B63C53" w:rsidRPr="00D6081D">
        <w:t>3</w:t>
      </w:r>
      <w:r w:rsidRPr="00D6081D">
        <w:t>.</w:t>
      </w:r>
    </w:p>
    <w:p w:rsidR="00B06B2B" w:rsidRPr="00D6081D" w:rsidRDefault="00B06B2B" w:rsidP="00B06B2B">
      <w:pPr>
        <w:jc w:val="right"/>
        <w:rPr>
          <w:i/>
          <w:sz w:val="18"/>
          <w:szCs w:val="18"/>
        </w:rPr>
      </w:pP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tab/>
      </w:r>
      <w:r w:rsidRPr="00D6081D">
        <w:rPr>
          <w:i/>
          <w:sz w:val="18"/>
          <w:szCs w:val="18"/>
        </w:rPr>
        <w:t xml:space="preserve">Таблица </w:t>
      </w:r>
      <w:r w:rsidR="00B63C53" w:rsidRPr="00D6081D">
        <w:rPr>
          <w:i/>
          <w:sz w:val="18"/>
          <w:szCs w:val="18"/>
        </w:rPr>
        <w:t>3</w:t>
      </w:r>
      <w:r w:rsidRPr="00D6081D">
        <w:rPr>
          <w:i/>
          <w:sz w:val="18"/>
          <w:szCs w:val="18"/>
        </w:rPr>
        <w:t>,</w:t>
      </w:r>
      <w:r w:rsidRPr="00D6081D">
        <w:t xml:space="preserve"> </w:t>
      </w:r>
      <w:r w:rsidRPr="00D6081D">
        <w:rPr>
          <w:i/>
          <w:sz w:val="18"/>
          <w:szCs w:val="18"/>
        </w:rPr>
        <w:t>тыс. руб.</w:t>
      </w:r>
    </w:p>
    <w:tbl>
      <w:tblPr>
        <w:tblW w:w="1006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1307"/>
        <w:gridCol w:w="1180"/>
        <w:gridCol w:w="1009"/>
        <w:gridCol w:w="848"/>
        <w:gridCol w:w="759"/>
        <w:gridCol w:w="848"/>
        <w:gridCol w:w="691"/>
      </w:tblGrid>
      <w:tr w:rsidR="00B06B2B" w:rsidRPr="00D6081D" w:rsidTr="00144E6B">
        <w:trPr>
          <w:trHeight w:val="273"/>
        </w:trPr>
        <w:tc>
          <w:tcPr>
            <w:tcW w:w="3421" w:type="dxa"/>
            <w:vMerge w:val="restart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Утвержденные бюджетные ассигнования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Исполнено расходов</w:t>
            </w:r>
          </w:p>
        </w:tc>
        <w:tc>
          <w:tcPr>
            <w:tcW w:w="3146" w:type="dxa"/>
            <w:gridSpan w:val="4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B06B2B" w:rsidRPr="00D6081D" w:rsidTr="00144E6B">
        <w:trPr>
          <w:trHeight w:val="300"/>
        </w:trPr>
        <w:tc>
          <w:tcPr>
            <w:tcW w:w="3421" w:type="dxa"/>
            <w:vMerge/>
            <w:vAlign w:val="center"/>
            <w:hideMark/>
          </w:tcPr>
          <w:p w:rsidR="00B06B2B" w:rsidRPr="00D6081D" w:rsidRDefault="00B06B2B" w:rsidP="00B06B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B06B2B" w:rsidRPr="00D6081D" w:rsidRDefault="00B06B2B" w:rsidP="00B06B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B06B2B" w:rsidRPr="00D6081D" w:rsidRDefault="00B06B2B" w:rsidP="00B06B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:rsidR="00B06B2B" w:rsidRPr="00D6081D" w:rsidRDefault="00B06B2B" w:rsidP="00B06B2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гр.4-гр.2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гр.4-гр.3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B06B2B" w:rsidRPr="00D6081D" w:rsidTr="00144E6B">
        <w:trPr>
          <w:trHeight w:val="111"/>
        </w:trPr>
        <w:tc>
          <w:tcPr>
            <w:tcW w:w="342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06B2B" w:rsidRPr="00D6081D" w:rsidTr="00144E6B">
        <w:trPr>
          <w:trHeight w:val="341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Обеспечение деятельности госорганов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26884,9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26781,3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24432,3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sz w:val="16"/>
                <w:szCs w:val="16"/>
              </w:rPr>
            </w:pPr>
            <w:r w:rsidRPr="00D6081D">
              <w:rPr>
                <w:b/>
                <w:sz w:val="16"/>
                <w:szCs w:val="16"/>
              </w:rPr>
              <w:t>-2452,6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sz w:val="16"/>
                <w:szCs w:val="16"/>
              </w:rPr>
            </w:pPr>
            <w:r w:rsidRPr="00D6081D">
              <w:rPr>
                <w:b/>
                <w:sz w:val="16"/>
                <w:szCs w:val="16"/>
              </w:rPr>
              <w:t>-9,1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sz w:val="16"/>
                <w:szCs w:val="16"/>
              </w:rPr>
            </w:pPr>
            <w:r w:rsidRPr="00D6081D">
              <w:rPr>
                <w:b/>
                <w:sz w:val="16"/>
                <w:szCs w:val="16"/>
              </w:rPr>
              <w:t>-2349,0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/>
                <w:sz w:val="16"/>
                <w:szCs w:val="16"/>
              </w:rPr>
            </w:pPr>
            <w:r w:rsidRPr="00D6081D">
              <w:rPr>
                <w:b/>
                <w:sz w:val="16"/>
                <w:szCs w:val="16"/>
              </w:rPr>
              <w:t>-8,8</w:t>
            </w:r>
          </w:p>
        </w:tc>
      </w:tr>
      <w:tr w:rsidR="00B06B2B" w:rsidRPr="00D6081D" w:rsidTr="00144E6B">
        <w:trPr>
          <w:trHeight w:val="388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Фонд оплаты труда государственных органов, из них: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17694,9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17694,9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16376,6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-1318,3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-7,5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-1318,3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-7,5</w:t>
            </w:r>
          </w:p>
        </w:tc>
      </w:tr>
      <w:tr w:rsidR="00B06B2B" w:rsidRPr="00D6081D" w:rsidTr="00144E6B">
        <w:trPr>
          <w:trHeight w:val="123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17326,9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17326,9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16011,6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-1315,3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-1315,3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-7,6</w:t>
            </w:r>
          </w:p>
        </w:tc>
      </w:tr>
      <w:tr w:rsidR="00B06B2B" w:rsidRPr="00D6081D" w:rsidTr="00144E6B">
        <w:trPr>
          <w:trHeight w:val="123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Социальные пособия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368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368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364,9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-3,1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-0,8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-3,1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-0,8</w:t>
            </w:r>
          </w:p>
        </w:tc>
      </w:tr>
      <w:tr w:rsidR="00B06B2B" w:rsidRPr="00D6081D" w:rsidTr="00144E6B">
        <w:trPr>
          <w:trHeight w:val="27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5343,1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5343,1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4593,4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-749,7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-14,0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-749,7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-14,0</w:t>
            </w:r>
          </w:p>
        </w:tc>
      </w:tr>
      <w:tr w:rsidR="00B06B2B" w:rsidRPr="00D6081D" w:rsidTr="00144E6B">
        <w:trPr>
          <w:trHeight w:val="543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767,0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767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707,7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-59,3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-59,3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-7,7</w:t>
            </w:r>
          </w:p>
        </w:tc>
      </w:tr>
      <w:tr w:rsidR="00B06B2B" w:rsidRPr="00D6081D" w:rsidTr="00144E6B">
        <w:trPr>
          <w:trHeight w:val="14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767,0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767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707,7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-59,3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-59,3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-7,7</w:t>
            </w:r>
          </w:p>
        </w:tc>
      </w:tr>
      <w:tr w:rsidR="00B06B2B" w:rsidRPr="00D6081D" w:rsidTr="00144E6B">
        <w:trPr>
          <w:trHeight w:val="14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154,0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154,0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-16,0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-9,4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37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Прочая закупка товаров, работ и услуг, в том числе: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535,1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448,3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237,7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-297,4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-55,6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-210,6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-47,0</w:t>
            </w:r>
          </w:p>
        </w:tc>
      </w:tr>
      <w:tr w:rsidR="00B06B2B" w:rsidRPr="00D6081D" w:rsidTr="00144E6B">
        <w:trPr>
          <w:trHeight w:val="119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0,7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-24,3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-97,2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-2,3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-76,7</w:t>
            </w:r>
          </w:p>
        </w:tc>
      </w:tr>
      <w:tr w:rsidR="00B06B2B" w:rsidRPr="00D6081D" w:rsidTr="00144E6B">
        <w:trPr>
          <w:trHeight w:val="208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12,5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-12,5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-100,0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100</w:t>
            </w:r>
          </w:p>
        </w:tc>
      </w:tr>
      <w:tr w:rsidR="00B06B2B" w:rsidRPr="00D6081D" w:rsidTr="00144E6B">
        <w:trPr>
          <w:trHeight w:val="14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380,0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380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210,8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-169,2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-44,5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-169,2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-44,5</w:t>
            </w:r>
          </w:p>
        </w:tc>
      </w:tr>
      <w:tr w:rsidR="00B06B2B" w:rsidRPr="00D6081D" w:rsidTr="00144E6B">
        <w:trPr>
          <w:trHeight w:val="14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39,9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39,9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0,8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-39,1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-98,0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-39,1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-98,0</w:t>
            </w:r>
          </w:p>
        </w:tc>
      </w:tr>
      <w:tr w:rsidR="00B06B2B" w:rsidRPr="00D6081D" w:rsidTr="00144E6B">
        <w:trPr>
          <w:trHeight w:val="85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77,5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25,3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25,3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-52,2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-67,4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228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316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Обеспечение деятельности органов ВО (по обязательствам прошлых лет)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50,9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50,9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50,9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138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Иные выплаты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34,4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34,4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34,4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325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Прочая закупка товаров, работ и услуг, в том числе: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12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  <w:tr w:rsidR="00B06B2B" w:rsidRPr="00D6081D" w:rsidTr="00144E6B">
        <w:trPr>
          <w:trHeight w:val="12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Премиальные выплаты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2150,3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2149,5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2138,4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-11,9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-0,6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-11,1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-0,5</w:t>
            </w:r>
          </w:p>
        </w:tc>
      </w:tr>
      <w:tr w:rsidR="00B06B2B" w:rsidRPr="00D6081D" w:rsidTr="00144E6B">
        <w:trPr>
          <w:trHeight w:val="120"/>
        </w:trPr>
        <w:tc>
          <w:tcPr>
            <w:tcW w:w="3421" w:type="dxa"/>
            <w:shd w:val="clear" w:color="auto" w:fill="auto"/>
            <w:hideMark/>
          </w:tcPr>
          <w:p w:rsidR="00B06B2B" w:rsidRPr="00D6081D" w:rsidRDefault="00B06B2B" w:rsidP="00B06B2B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171,2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171,2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6081D">
              <w:rPr>
                <w:bCs/>
                <w:iCs/>
                <w:sz w:val="16"/>
                <w:szCs w:val="16"/>
              </w:rPr>
              <w:t>171,2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B06B2B" w:rsidRPr="00D6081D" w:rsidRDefault="00B06B2B" w:rsidP="00B06B2B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0,0</w:t>
            </w:r>
          </w:p>
        </w:tc>
      </w:tr>
    </w:tbl>
    <w:p w:rsidR="00B06B2B" w:rsidRPr="00D6081D" w:rsidRDefault="00B06B2B" w:rsidP="00B06B2B">
      <w:pPr>
        <w:spacing w:before="120"/>
        <w:ind w:firstLine="567"/>
        <w:jc w:val="both"/>
      </w:pPr>
      <w:r w:rsidRPr="00D6081D">
        <w:t xml:space="preserve">На обеспечение деятельности Комитета доведены лимиты в сумме 26781,3 тыс. руб., из них на оплату труда с начислениями – </w:t>
      </w:r>
      <w:r w:rsidR="00634899" w:rsidRPr="00D6081D">
        <w:t>22670</w:t>
      </w:r>
      <w:r w:rsidRPr="00D6081D">
        <w:t xml:space="preserve"> тыс. руб., или </w:t>
      </w:r>
      <w:r w:rsidR="00634899" w:rsidRPr="00D6081D">
        <w:t>84,6</w:t>
      </w:r>
      <w:r w:rsidRPr="00D6081D">
        <w:t xml:space="preserve"> процентов. Кассовое исполнение на оплату труда сложилось в сумме </w:t>
      </w:r>
      <w:r w:rsidR="00634899" w:rsidRPr="00D6081D">
        <w:t>20605</w:t>
      </w:r>
      <w:r w:rsidRPr="00D6081D">
        <w:t xml:space="preserve"> тыс. руб., или </w:t>
      </w:r>
      <w:r w:rsidR="00CE74AD" w:rsidRPr="00D6081D">
        <w:t>90,9</w:t>
      </w:r>
      <w:r w:rsidRPr="00D6081D">
        <w:t>% от доведенных лимитов</w:t>
      </w:r>
      <w:r w:rsidR="00CE74AD" w:rsidRPr="00D6081D">
        <w:t>.</w:t>
      </w:r>
    </w:p>
    <w:p w:rsidR="00CE47EA" w:rsidRPr="00D6081D" w:rsidRDefault="00CE47EA" w:rsidP="00B32132">
      <w:pPr>
        <w:ind w:firstLine="709"/>
        <w:jc w:val="center"/>
        <w:rPr>
          <w:b/>
          <w:i/>
        </w:rPr>
      </w:pPr>
    </w:p>
    <w:p w:rsidR="00C80A3D" w:rsidRPr="00D6081D" w:rsidRDefault="00017482" w:rsidP="00B32132">
      <w:pPr>
        <w:ind w:firstLine="709"/>
        <w:jc w:val="center"/>
        <w:rPr>
          <w:b/>
          <w:i/>
        </w:rPr>
      </w:pPr>
      <w:r w:rsidRPr="00D6081D">
        <w:rPr>
          <w:b/>
          <w:i/>
        </w:rPr>
        <w:t>Анализ</w:t>
      </w:r>
      <w:r w:rsidR="00F43958" w:rsidRPr="00D6081D">
        <w:rPr>
          <w:b/>
          <w:i/>
        </w:rPr>
        <w:t xml:space="preserve"> дебиторской и кредиторской задолженности</w:t>
      </w:r>
    </w:p>
    <w:p w:rsidR="00BE7305" w:rsidRPr="00D6081D" w:rsidRDefault="004E4F08" w:rsidP="00BE730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081D">
        <w:rPr>
          <w:sz w:val="23"/>
          <w:szCs w:val="23"/>
        </w:rPr>
        <w:t xml:space="preserve">Информация о динамике дебиторской и кредиторской задолженности в 2019 году приведена в следующей таблице </w:t>
      </w:r>
      <w:r w:rsidR="00CE74AD" w:rsidRPr="00D6081D">
        <w:rPr>
          <w:sz w:val="23"/>
          <w:szCs w:val="23"/>
        </w:rPr>
        <w:t>4</w:t>
      </w:r>
      <w:r w:rsidRPr="00D6081D">
        <w:rPr>
          <w:sz w:val="23"/>
          <w:szCs w:val="23"/>
        </w:rPr>
        <w:t>.</w:t>
      </w:r>
    </w:p>
    <w:p w:rsidR="004E4F08" w:rsidRPr="00D6081D" w:rsidRDefault="004E4F08" w:rsidP="004E4F08">
      <w:pPr>
        <w:autoSpaceDE w:val="0"/>
        <w:autoSpaceDN w:val="0"/>
        <w:adjustRightInd w:val="0"/>
        <w:ind w:firstLine="709"/>
        <w:jc w:val="right"/>
        <w:rPr>
          <w:i/>
          <w:sz w:val="20"/>
          <w:szCs w:val="20"/>
        </w:rPr>
      </w:pPr>
      <w:r w:rsidRPr="00D6081D">
        <w:rPr>
          <w:i/>
          <w:sz w:val="22"/>
          <w:szCs w:val="22"/>
        </w:rPr>
        <w:t xml:space="preserve">                                                                    </w:t>
      </w:r>
      <w:r w:rsidRPr="00D6081D">
        <w:rPr>
          <w:i/>
          <w:sz w:val="20"/>
          <w:szCs w:val="20"/>
        </w:rPr>
        <w:t xml:space="preserve">Таблица </w:t>
      </w:r>
      <w:r w:rsidR="00CE74AD" w:rsidRPr="00D6081D">
        <w:rPr>
          <w:i/>
          <w:sz w:val="20"/>
          <w:szCs w:val="20"/>
        </w:rPr>
        <w:t>4</w:t>
      </w:r>
      <w:r w:rsidRPr="00D6081D">
        <w:rPr>
          <w:i/>
          <w:sz w:val="20"/>
          <w:szCs w:val="20"/>
        </w:rPr>
        <w:t>, тыс. руб.</w:t>
      </w:r>
    </w:p>
    <w:tbl>
      <w:tblPr>
        <w:tblW w:w="10002" w:type="dxa"/>
        <w:tblInd w:w="93" w:type="dxa"/>
        <w:tblLook w:val="04A0"/>
      </w:tblPr>
      <w:tblGrid>
        <w:gridCol w:w="5685"/>
        <w:gridCol w:w="960"/>
        <w:gridCol w:w="960"/>
        <w:gridCol w:w="1121"/>
        <w:gridCol w:w="1276"/>
      </w:tblGrid>
      <w:tr w:rsidR="004E4F08" w:rsidRPr="00D6081D" w:rsidTr="004E4F08">
        <w:trPr>
          <w:trHeight w:val="25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Сумма задолженности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Отклонение (+,-)</w:t>
            </w:r>
          </w:p>
        </w:tc>
      </w:tr>
      <w:tr w:rsidR="004E4F08" w:rsidRPr="00D6081D" w:rsidTr="004E4F08">
        <w:trPr>
          <w:trHeight w:val="43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F08" w:rsidRPr="00D6081D" w:rsidRDefault="004E4F08" w:rsidP="004A13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на 01.01.2019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на 01.01.2020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E4F08" w:rsidRPr="00D6081D" w:rsidTr="0032483D">
        <w:trPr>
          <w:trHeight w:val="2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Дебиторская  задолженность –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96445,3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1006,4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-95438,9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-99,0</w:t>
            </w:r>
          </w:p>
        </w:tc>
      </w:tr>
      <w:tr w:rsidR="004E4F08" w:rsidRPr="00D6081D" w:rsidTr="00234D5A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6,3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-100,0</w:t>
            </w:r>
          </w:p>
        </w:tc>
      </w:tr>
      <w:tr w:rsidR="004E4F08" w:rsidRPr="00D6081D" w:rsidTr="004E4F0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-100,0</w:t>
            </w:r>
          </w:p>
        </w:tc>
      </w:tr>
      <w:tr w:rsidR="004E4F08" w:rsidRPr="00D6081D" w:rsidTr="004E4F08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 xml:space="preserve">расчеты по выданным авансам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96418,1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1006,4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-95411,7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-99,0</w:t>
            </w:r>
          </w:p>
        </w:tc>
      </w:tr>
      <w:tr w:rsidR="004E4F08" w:rsidRPr="00D6081D" w:rsidTr="004E4F08">
        <w:trPr>
          <w:trHeight w:val="2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Кредиторская  задолженность –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6081D">
              <w:rPr>
                <w:b/>
                <w:bCs/>
                <w:i/>
                <w:iCs/>
                <w:sz w:val="16"/>
                <w:szCs w:val="16"/>
              </w:rPr>
              <w:t>32234,4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32183,5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8C28AB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63</w:t>
            </w:r>
            <w:r w:rsidR="008C28AB" w:rsidRPr="00D6081D">
              <w:rPr>
                <w:b/>
                <w:bCs/>
                <w:sz w:val="16"/>
                <w:szCs w:val="16"/>
              </w:rPr>
              <w:t>3</w:t>
            </w:r>
            <w:r w:rsidRPr="00D6081D">
              <w:rPr>
                <w:b/>
                <w:bCs/>
                <w:sz w:val="16"/>
                <w:szCs w:val="16"/>
              </w:rPr>
              <w:t xml:space="preserve"> раза</w:t>
            </w:r>
          </w:p>
        </w:tc>
      </w:tr>
      <w:tr w:rsidR="004E4F08" w:rsidRPr="00D6081D" w:rsidTr="004E4F08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по коммунальным услугам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22,1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33,9</w:t>
            </w:r>
          </w:p>
        </w:tc>
      </w:tr>
      <w:tr w:rsidR="004E4F08" w:rsidRPr="00D6081D" w:rsidTr="0032483D">
        <w:trPr>
          <w:trHeight w:val="1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jc w:val="both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по безвозмездным перечислениям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E4F08" w:rsidRPr="00D6081D" w:rsidTr="0032483D">
        <w:trPr>
          <w:trHeight w:val="2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11,2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E4F08" w:rsidRPr="00D6081D" w:rsidTr="00E41DCC">
        <w:trPr>
          <w:trHeight w:val="13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-100,0</w:t>
            </w:r>
          </w:p>
        </w:tc>
      </w:tr>
      <w:tr w:rsidR="004E4F08" w:rsidRPr="00D6081D" w:rsidTr="0032483D">
        <w:trPr>
          <w:trHeight w:val="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F08" w:rsidRPr="00D6081D" w:rsidRDefault="004E4F08" w:rsidP="004A131D">
            <w:pPr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sz w:val="16"/>
                <w:szCs w:val="16"/>
              </w:rPr>
            </w:pPr>
            <w:r w:rsidRPr="00D6081D">
              <w:rPr>
                <w:sz w:val="16"/>
                <w:szCs w:val="16"/>
              </w:rPr>
              <w:t>32199,7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32199,7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08" w:rsidRPr="00D6081D" w:rsidRDefault="004E4F08" w:rsidP="004A131D">
            <w:pPr>
              <w:jc w:val="center"/>
              <w:rPr>
                <w:b/>
                <w:bCs/>
                <w:sz w:val="16"/>
                <w:szCs w:val="16"/>
              </w:rPr>
            </w:pPr>
            <w:r w:rsidRPr="00D6081D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4E4F08" w:rsidRPr="00D6081D" w:rsidRDefault="004E4F08" w:rsidP="004E4F08">
      <w:pPr>
        <w:autoSpaceDE w:val="0"/>
        <w:autoSpaceDN w:val="0"/>
        <w:adjustRightInd w:val="0"/>
        <w:ind w:firstLine="709"/>
        <w:jc w:val="both"/>
      </w:pPr>
      <w:r w:rsidRPr="00D6081D">
        <w:lastRenderedPageBreak/>
        <w:t>Дебиторская задолженность Облтуризма значительно уменьшилась (на 99,0%) и по состоянию на 01.01.2020 состав</w:t>
      </w:r>
      <w:r w:rsidR="008C28AB" w:rsidRPr="00D6081D">
        <w:t>ила</w:t>
      </w:r>
      <w:r w:rsidRPr="00D6081D">
        <w:t xml:space="preserve"> 1006,4 тыс. рублей. Основной </w:t>
      </w:r>
      <w:r w:rsidR="00D85DF7" w:rsidRPr="00D6081D">
        <w:t>долей</w:t>
      </w:r>
      <w:r w:rsidRPr="00D6081D">
        <w:t xml:space="preserve"> дебиторской задолженности является неосвоение средств субсидии, выделенной АНО «Арена-2018» по соглашению от 23.03.2018 №1-18</w:t>
      </w:r>
      <w:r w:rsidR="00533ADC" w:rsidRPr="00D6081D">
        <w:t xml:space="preserve">, заключенного с </w:t>
      </w:r>
      <w:r w:rsidR="006B3A37" w:rsidRPr="00D6081D">
        <w:t>комитетом по подготовке и проведению матчей чемпионата мира по футболу 2018 года Волгоградской области,</w:t>
      </w:r>
      <w:r w:rsidRPr="00D6081D">
        <w:t xml:space="preserve">  на осуществление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 Волгограде и на территории, прилегающей к нему</w:t>
      </w:r>
      <w:r w:rsidR="00C12C37" w:rsidRPr="00D6081D">
        <w:t>,</w:t>
      </w:r>
      <w:r w:rsidRPr="00D6081D">
        <w:t xml:space="preserve"> в сумме 974,5 тыс. руб. (средства федерального бюджета – 682,1 тыс. руб., средства областного бюджета – 292,3 тыс. руб.), которые были возвращены на лицевой счет Облтуризма в январе 2020 года. Средства федерального бюджета в сумме 682,1 тыс. руб. перечислены Облтуризмом на лицевой счет Минспорта РФ 30.01.2020.</w:t>
      </w:r>
    </w:p>
    <w:p w:rsidR="004E4F08" w:rsidRPr="00D6081D" w:rsidRDefault="004E4F08" w:rsidP="004E4F08">
      <w:pPr>
        <w:autoSpaceDE w:val="0"/>
        <w:autoSpaceDN w:val="0"/>
        <w:adjustRightInd w:val="0"/>
        <w:ind w:firstLine="709"/>
        <w:jc w:val="both"/>
      </w:pPr>
      <w:r w:rsidRPr="00D6081D">
        <w:t>При этом кредиторская задолженность на 01.01.2020 по сравнению с началом 2019 года увеличилась в 63</w:t>
      </w:r>
      <w:r w:rsidR="001D3550" w:rsidRPr="00D6081D">
        <w:t>3</w:t>
      </w:r>
      <w:r w:rsidRPr="00D6081D">
        <w:t xml:space="preserve"> раза и составила 32234,4 тыс. рублей. Основная сумма задолженности (32199,7 тыс. руб.) приходится на задолженность перед Минспортом РФ по  возврату остатков иных межбюджетных трансфертов на софинансирование мероприятий по подготовке к проведению чемпионата мира по футболу FIFA 2018 года в РФ,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соревнований, перечисленных АНО «Арена-2018» на лицевой счет Облтуризма в 2019 году. Средства федерального бюджета в сумме 32199,7 тыс. руб. перечислены на лицевой счет Минспорта РФ 27.01.2020.</w:t>
      </w:r>
    </w:p>
    <w:p w:rsidR="004E4F08" w:rsidRPr="00D6081D" w:rsidRDefault="004E4F08" w:rsidP="004E4F08">
      <w:pPr>
        <w:autoSpaceDE w:val="0"/>
        <w:autoSpaceDN w:val="0"/>
        <w:adjustRightInd w:val="0"/>
        <w:ind w:firstLine="709"/>
        <w:jc w:val="both"/>
      </w:pPr>
      <w:r w:rsidRPr="00D6081D">
        <w:t xml:space="preserve">По данным бюджетной отчетности Комитета просроченная дебиторская и кредиторская задолженность на 01.01.2020 отсутствует. </w:t>
      </w:r>
    </w:p>
    <w:p w:rsidR="00DB036D" w:rsidRPr="00D6081D" w:rsidRDefault="00DB036D" w:rsidP="00D44433">
      <w:pPr>
        <w:autoSpaceDE w:val="0"/>
        <w:autoSpaceDN w:val="0"/>
        <w:adjustRightInd w:val="0"/>
        <w:ind w:firstLine="539"/>
        <w:jc w:val="center"/>
        <w:rPr>
          <w:b/>
          <w:i/>
        </w:rPr>
      </w:pPr>
    </w:p>
    <w:p w:rsidR="00DD3278" w:rsidRPr="00D6081D" w:rsidRDefault="00A81CA1" w:rsidP="00D44433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D6081D">
        <w:rPr>
          <w:b/>
          <w:i/>
        </w:rPr>
        <w:t xml:space="preserve">Исполнение </w:t>
      </w:r>
      <w:r w:rsidR="00CA5097" w:rsidRPr="00D6081D">
        <w:rPr>
          <w:b/>
          <w:i/>
        </w:rPr>
        <w:t>ГП Развитие туризма</w:t>
      </w:r>
    </w:p>
    <w:p w:rsidR="00285723" w:rsidRPr="00D6081D" w:rsidRDefault="00285723" w:rsidP="00285723">
      <w:pPr>
        <w:ind w:firstLine="567"/>
        <w:jc w:val="both"/>
      </w:pPr>
      <w:r w:rsidRPr="00D6081D">
        <w:t xml:space="preserve">Ответственным исполнителем государственной программы определен Комитет, соисполнителем мероприятий является комитет экономической политики и развития Волгоградской области. </w:t>
      </w:r>
    </w:p>
    <w:p w:rsidR="00285723" w:rsidRPr="00D6081D" w:rsidRDefault="00285723" w:rsidP="00285723">
      <w:pPr>
        <w:autoSpaceDE w:val="0"/>
        <w:autoSpaceDN w:val="0"/>
        <w:adjustRightInd w:val="0"/>
        <w:ind w:firstLine="567"/>
        <w:jc w:val="both"/>
      </w:pPr>
      <w:r w:rsidRPr="00D6081D">
        <w:t xml:space="preserve">Законом об областном бюджете на 2019 год Комитету на реализацию мероприятий данной программы утвержден объем ассигнований в сумме 114682,1 тыс. руб. на предоставление субсидий бюджетным, автономным учреждениям и иным некоммерческим организациям (таблица </w:t>
      </w:r>
      <w:r w:rsidR="0028373C" w:rsidRPr="00D6081D">
        <w:t>5</w:t>
      </w:r>
      <w:r w:rsidRPr="00D6081D">
        <w:t>).</w:t>
      </w:r>
    </w:p>
    <w:p w:rsidR="00285723" w:rsidRPr="00D6081D" w:rsidRDefault="00285723" w:rsidP="00285723">
      <w:pPr>
        <w:ind w:firstLine="567"/>
        <w:jc w:val="right"/>
        <w:rPr>
          <w:i/>
          <w:sz w:val="20"/>
          <w:szCs w:val="20"/>
        </w:rPr>
      </w:pPr>
      <w:r w:rsidRPr="00D6081D">
        <w:rPr>
          <w:i/>
          <w:sz w:val="20"/>
          <w:szCs w:val="20"/>
        </w:rPr>
        <w:t xml:space="preserve">Таблица </w:t>
      </w:r>
      <w:r w:rsidR="0028373C" w:rsidRPr="00D6081D">
        <w:rPr>
          <w:i/>
          <w:sz w:val="20"/>
          <w:szCs w:val="20"/>
        </w:rPr>
        <w:t>5</w:t>
      </w:r>
    </w:p>
    <w:tbl>
      <w:tblPr>
        <w:tblW w:w="999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1298"/>
        <w:gridCol w:w="891"/>
        <w:gridCol w:w="1276"/>
        <w:gridCol w:w="1211"/>
        <w:gridCol w:w="1202"/>
        <w:gridCol w:w="895"/>
        <w:gridCol w:w="800"/>
      </w:tblGrid>
      <w:tr w:rsidR="00285723" w:rsidRPr="00D6081D" w:rsidTr="007A0436">
        <w:trPr>
          <w:trHeight w:val="510"/>
        </w:trPr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Раздел (подраздел)</w:t>
            </w:r>
          </w:p>
        </w:tc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Закон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Бюджетная роспись</w:t>
            </w:r>
          </w:p>
        </w:tc>
        <w:tc>
          <w:tcPr>
            <w:tcW w:w="1211" w:type="dxa"/>
            <w:vMerge w:val="restart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Отклонение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Исполнение</w:t>
            </w:r>
          </w:p>
        </w:tc>
        <w:tc>
          <w:tcPr>
            <w:tcW w:w="1695" w:type="dxa"/>
            <w:gridSpan w:val="2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Отклонение</w:t>
            </w:r>
          </w:p>
        </w:tc>
      </w:tr>
      <w:tr w:rsidR="00285723" w:rsidRPr="00D6081D" w:rsidTr="007A0436">
        <w:trPr>
          <w:trHeight w:val="67"/>
        </w:trPr>
        <w:tc>
          <w:tcPr>
            <w:tcW w:w="2420" w:type="dxa"/>
            <w:vMerge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тыс.руб.</w:t>
            </w:r>
          </w:p>
        </w:tc>
        <w:tc>
          <w:tcPr>
            <w:tcW w:w="800" w:type="dxa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%</w:t>
            </w:r>
          </w:p>
        </w:tc>
      </w:tr>
      <w:tr w:rsidR="00285723" w:rsidRPr="00D6081D" w:rsidTr="007A0436">
        <w:trPr>
          <w:trHeight w:val="117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8</w:t>
            </w:r>
          </w:p>
        </w:tc>
      </w:tr>
      <w:tr w:rsidR="00285723" w:rsidRPr="00D6081D" w:rsidTr="007A0436">
        <w:trPr>
          <w:trHeight w:val="122"/>
        </w:trPr>
        <w:tc>
          <w:tcPr>
            <w:tcW w:w="3718" w:type="dxa"/>
            <w:gridSpan w:val="2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ВСЕГО, в т.ч.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114682,1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50672</w:t>
            </w:r>
          </w:p>
        </w:tc>
        <w:tc>
          <w:tcPr>
            <w:tcW w:w="1211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-64010,1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47686,7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2985,3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6,8%</w:t>
            </w:r>
          </w:p>
        </w:tc>
      </w:tr>
      <w:tr w:rsidR="00285723" w:rsidRPr="00D6081D" w:rsidTr="007A0436">
        <w:trPr>
          <w:trHeight w:val="413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Предоставление услуг (работ) в сфере туризма, из них: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 xml:space="preserve">0412 6200160330 000 </w:t>
            </w:r>
          </w:p>
        </w:tc>
        <w:tc>
          <w:tcPr>
            <w:tcW w:w="891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17422,1</w:t>
            </w:r>
          </w:p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25734,5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+28964,3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24803,5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931,0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3,6</w:t>
            </w:r>
          </w:p>
        </w:tc>
      </w:tr>
      <w:tr w:rsidR="00285723" w:rsidRPr="00D6081D" w:rsidTr="007A0436">
        <w:trPr>
          <w:trHeight w:val="737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 xml:space="preserve">0412 6200160330 621 </w:t>
            </w:r>
          </w:p>
        </w:tc>
        <w:tc>
          <w:tcPr>
            <w:tcW w:w="891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10803,9</w:t>
            </w:r>
          </w:p>
        </w:tc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10803,9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0</w:t>
            </w:r>
          </w:p>
        </w:tc>
      </w:tr>
      <w:tr w:rsidR="00285723" w:rsidRPr="00D6081D" w:rsidTr="007A0436">
        <w:trPr>
          <w:trHeight w:val="428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 xml:space="preserve">0412 6200160330 622 </w:t>
            </w:r>
          </w:p>
        </w:tc>
        <w:tc>
          <w:tcPr>
            <w:tcW w:w="891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14930,6</w:t>
            </w:r>
          </w:p>
        </w:tc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13999,6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931,0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sz w:val="18"/>
                <w:szCs w:val="18"/>
              </w:rPr>
            </w:pPr>
            <w:r w:rsidRPr="00D6081D">
              <w:rPr>
                <w:sz w:val="18"/>
                <w:szCs w:val="18"/>
              </w:rPr>
              <w:t>6,2</w:t>
            </w:r>
          </w:p>
        </w:tc>
      </w:tr>
      <w:tr w:rsidR="00285723" w:rsidRPr="00D6081D" w:rsidTr="007A0436">
        <w:trPr>
          <w:trHeight w:val="1245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Предоставление услуг (работ) в сфере туризма (</w:t>
            </w:r>
            <w:r w:rsidRPr="00D6081D">
              <w:rPr>
                <w:i/>
                <w:sz w:val="18"/>
                <w:szCs w:val="18"/>
              </w:rPr>
              <w:t>субсидии автономным учреждениям на иные цели)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 xml:space="preserve">0412 6200460330 000 </w:t>
            </w:r>
          </w:p>
        </w:tc>
        <w:tc>
          <w:tcPr>
            <w:tcW w:w="891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13911,9</w:t>
            </w:r>
          </w:p>
        </w:tc>
        <w:tc>
          <w:tcPr>
            <w:tcW w:w="1211" w:type="dxa"/>
            <w:vMerge/>
            <w:tcBorders>
              <w:bottom w:val="nil"/>
            </w:tcBorders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11857,6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2054,3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14,8</w:t>
            </w:r>
          </w:p>
        </w:tc>
      </w:tr>
      <w:tr w:rsidR="00285723" w:rsidRPr="00D6081D" w:rsidTr="007A0436">
        <w:trPr>
          <w:trHeight w:val="189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lastRenderedPageBreak/>
              <w:t xml:space="preserve">Предоставление услуг (работ) в сфере туризма </w:t>
            </w:r>
            <w:r w:rsidRPr="00D6081D">
              <w:rPr>
                <w:sz w:val="18"/>
                <w:szCs w:val="18"/>
              </w:rPr>
              <w:t xml:space="preserve">(Региональный проект «Экспорт услуг (Волгоградская область)» </w:t>
            </w:r>
            <w:r w:rsidRPr="00D6081D">
              <w:rPr>
                <w:i/>
                <w:sz w:val="18"/>
                <w:szCs w:val="18"/>
              </w:rPr>
              <w:t>субсидии автономным учреждениям на иные цели)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0412 620Т460330 000</w:t>
            </w: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6740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6740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0</w:t>
            </w:r>
          </w:p>
        </w:tc>
      </w:tr>
      <w:tr w:rsidR="00285723" w:rsidRPr="00D6081D" w:rsidTr="007A0436">
        <w:trPr>
          <w:trHeight w:val="329"/>
        </w:trPr>
        <w:tc>
          <w:tcPr>
            <w:tcW w:w="2420" w:type="dxa"/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both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Субсидии на обеспечение доступа к объектам спорта</w:t>
            </w:r>
            <w:r w:rsidRPr="00D6081D">
              <w:rPr>
                <w:i/>
                <w:sz w:val="18"/>
                <w:szCs w:val="18"/>
              </w:rPr>
              <w:t xml:space="preserve"> (субсидии автономным учреждениям на иные цели)</w:t>
            </w:r>
          </w:p>
        </w:tc>
        <w:tc>
          <w:tcPr>
            <w:tcW w:w="1298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 xml:space="preserve">1105 6200260980 000 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97260,0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4285,6</w:t>
            </w:r>
          </w:p>
        </w:tc>
        <w:tc>
          <w:tcPr>
            <w:tcW w:w="1211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-92974,4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4285,6</w:t>
            </w:r>
          </w:p>
        </w:tc>
        <w:tc>
          <w:tcPr>
            <w:tcW w:w="895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285723" w:rsidRPr="00D6081D" w:rsidRDefault="00285723" w:rsidP="004A131D">
            <w:pPr>
              <w:jc w:val="center"/>
              <w:rPr>
                <w:b/>
                <w:sz w:val="18"/>
                <w:szCs w:val="18"/>
              </w:rPr>
            </w:pPr>
            <w:r w:rsidRPr="00D6081D">
              <w:rPr>
                <w:b/>
                <w:sz w:val="18"/>
                <w:szCs w:val="18"/>
              </w:rPr>
              <w:t>0</w:t>
            </w:r>
          </w:p>
        </w:tc>
      </w:tr>
    </w:tbl>
    <w:p w:rsidR="00285723" w:rsidRPr="00D6081D" w:rsidRDefault="00285723" w:rsidP="00285723">
      <w:pPr>
        <w:ind w:firstLine="567"/>
        <w:jc w:val="both"/>
      </w:pPr>
      <w:r w:rsidRPr="00D6081D">
        <w:t xml:space="preserve">В 2019 году Облтуризмом было заключено 5 соглашений </w:t>
      </w:r>
      <w:r w:rsidR="00802C7D" w:rsidRPr="00D6081D">
        <w:t xml:space="preserve">на сумму 48617,7 тыс. руб. </w:t>
      </w:r>
      <w:r w:rsidRPr="00D6081D">
        <w:t xml:space="preserve">о предоставлении субсидии, в том числе с </w:t>
      </w:r>
      <w:r w:rsidR="00D97664" w:rsidRPr="00D6081D">
        <w:t>Агентством развития туризма</w:t>
      </w:r>
      <w:r w:rsidRPr="00D6081D">
        <w:t xml:space="preserve"> 4 соглашения </w:t>
      </w:r>
      <w:r w:rsidR="00802C7D" w:rsidRPr="00D6081D">
        <w:t xml:space="preserve">на сумму 44332,1 тыс. руб. </w:t>
      </w:r>
      <w:r w:rsidRPr="00D6081D">
        <w:t>и одно соглашение с Дирекци</w:t>
      </w:r>
      <w:r w:rsidR="00D97664" w:rsidRPr="00D6081D">
        <w:t>ей</w:t>
      </w:r>
      <w:r w:rsidRPr="00D6081D">
        <w:t xml:space="preserve"> по эксплуатации стадиона «Волгоград Арена»</w:t>
      </w:r>
      <w:r w:rsidR="00802C7D" w:rsidRPr="00D6081D">
        <w:t xml:space="preserve"> на сумму 4285,6 тыс. рублей</w:t>
      </w:r>
      <w:r w:rsidRPr="00D6081D">
        <w:t>.</w:t>
      </w:r>
    </w:p>
    <w:p w:rsidR="00285723" w:rsidRPr="00D6081D" w:rsidRDefault="00285723" w:rsidP="00285723">
      <w:pPr>
        <w:ind w:firstLine="567"/>
        <w:jc w:val="both"/>
      </w:pPr>
      <w:r w:rsidRPr="00D6081D">
        <w:t xml:space="preserve">Информация о заключенных соглашениях и реализованных мероприятиях представлена в приложении </w:t>
      </w:r>
      <w:r w:rsidR="00EF4163" w:rsidRPr="00D6081D">
        <w:t>3</w:t>
      </w:r>
      <w:r w:rsidRPr="00D6081D">
        <w:t>.</w:t>
      </w:r>
    </w:p>
    <w:p w:rsidR="00285723" w:rsidRPr="00D6081D" w:rsidRDefault="00285723" w:rsidP="00285723">
      <w:pPr>
        <w:autoSpaceDE w:val="0"/>
        <w:autoSpaceDN w:val="0"/>
        <w:adjustRightInd w:val="0"/>
        <w:ind w:firstLine="567"/>
        <w:jc w:val="both"/>
      </w:pPr>
      <w:r w:rsidRPr="00D6081D">
        <w:t xml:space="preserve">В 2019 году Комитетом были заключены 2 соглашения о предоставлении субсидии на иные цели </w:t>
      </w:r>
      <w:r w:rsidR="00EF4163" w:rsidRPr="00D6081D">
        <w:t xml:space="preserve">с Агентством развития туризма </w:t>
      </w:r>
      <w:r w:rsidRPr="00D6081D">
        <w:t>на общую сумму 26788,2 тыс. руб. (от 13.06.2019 №2Ц</w:t>
      </w:r>
      <w:r w:rsidR="00E9332E" w:rsidRPr="00D6081D">
        <w:t xml:space="preserve"> на сумму 14930,6 тыс. руб.</w:t>
      </w:r>
      <w:r w:rsidRPr="00D6081D">
        <w:t>, от 19.09.2019 №4Ц</w:t>
      </w:r>
      <w:r w:rsidR="00E9332E" w:rsidRPr="00D6081D">
        <w:t xml:space="preserve"> на сумму 11857,6 тыс. руб.</w:t>
      </w:r>
      <w:r w:rsidRPr="00D6081D">
        <w:t xml:space="preserve">) в целях реализации мероприятий ГП Развитие туризма, финансирование которых в 2019 году не </w:t>
      </w:r>
      <w:r w:rsidR="00005C82" w:rsidRPr="00D6081D">
        <w:t xml:space="preserve">было </w:t>
      </w:r>
      <w:r w:rsidRPr="00D6081D">
        <w:t xml:space="preserve">предусмотрено Постановлением №168-п, что является нарушением раздела 4 ГП Развитие туризма. Данное нарушение стало следствием несоблюдения Комитетом требований п.3.9 Порядка разработки, реализации и оценки эффективности реализации государственных программ Волгоградской области, утвержденного постановлением Правительства Волгоградской обл. от 27.08.2013 № 423-п, в соответствии с которым ответственный исполнитель государственной программы при уточнении объема финансового обеспечения на реализацию государственной программы при необходимости инициирует внесение изменений в государственную программу. Ассигнования на реализацию данных мероприятий в 2019 году были утверждены только сводной бюджетной росписью. </w:t>
      </w:r>
    </w:p>
    <w:p w:rsidR="00285723" w:rsidRPr="00D6081D" w:rsidRDefault="00BF15B8" w:rsidP="00BC2EAB">
      <w:pPr>
        <w:ind w:firstLine="567"/>
        <w:jc w:val="both"/>
      </w:pPr>
      <w:r w:rsidRPr="00D6081D">
        <w:t>Так, в</w:t>
      </w:r>
      <w:r w:rsidR="00285723" w:rsidRPr="00D6081D">
        <w:t xml:space="preserve"> 2019 году на основании соглашения о предоставлении субсидии на иные цели от 13.06.2019 №2Ц </w:t>
      </w:r>
      <w:r w:rsidR="004A75BE" w:rsidRPr="00D6081D">
        <w:t>на сумму 14930,6 тыс. руб.</w:t>
      </w:r>
      <w:r w:rsidR="00285723" w:rsidRPr="00D6081D">
        <w:t xml:space="preserve"> </w:t>
      </w:r>
      <w:r w:rsidR="001919BD" w:rsidRPr="00D6081D">
        <w:t>Агентству развития туризма</w:t>
      </w:r>
      <w:r w:rsidR="00285723" w:rsidRPr="00D6081D">
        <w:t xml:space="preserve"> были выделены средства в сумме 9532,9 тыс. руб. на реализацию мероприятия ГП Развитие туризма </w:t>
      </w:r>
      <w:r w:rsidR="00285723" w:rsidRPr="00D6081D">
        <w:rPr>
          <w:i/>
        </w:rPr>
        <w:t xml:space="preserve">«Предоставление субсидий на иные цели государственному автономному учреждению Волгоградской области "Агентство развития туризма" на ремонт помещений в здании центрального универмага». </w:t>
      </w:r>
      <w:r w:rsidR="00285723" w:rsidRPr="00D6081D">
        <w:t xml:space="preserve">На основании договора от 11.07.2019 №02 </w:t>
      </w:r>
      <w:r w:rsidR="00585584" w:rsidRPr="00D6081D">
        <w:t>государственным бюджетным учреждением культуры «</w:t>
      </w:r>
      <w:r w:rsidR="000C2842" w:rsidRPr="00D6081D">
        <w:t>Волгоградский областной краеведческий музей</w:t>
      </w:r>
      <w:r w:rsidR="00585584" w:rsidRPr="00D6081D">
        <w:t xml:space="preserve">» </w:t>
      </w:r>
      <w:r w:rsidR="00285723" w:rsidRPr="00D6081D">
        <w:t xml:space="preserve">в безвозмездное пользование </w:t>
      </w:r>
      <w:r w:rsidR="000C2842" w:rsidRPr="00D6081D">
        <w:t xml:space="preserve">Агентства развития туризма </w:t>
      </w:r>
      <w:r w:rsidR="00285723" w:rsidRPr="00D6081D">
        <w:t xml:space="preserve">были переданы помещения в здании центрального универмага общей площадью 927,4 кв.м. для осуществления </w:t>
      </w:r>
      <w:r w:rsidR="000C2842" w:rsidRPr="00D6081D">
        <w:t>Агентством развития туризма</w:t>
      </w:r>
      <w:r w:rsidR="00285723" w:rsidRPr="00D6081D">
        <w:t xml:space="preserve"> уставных видов деятельности. В соответствии с отчетом о ходе реализации государственных программ Волгоградской области в 2019 году был произведен ремонт помещений на 4 и 5 этажах центрального универмага. </w:t>
      </w:r>
      <w:r w:rsidR="004500D8" w:rsidRPr="00D6081D">
        <w:t>Однако, д</w:t>
      </w:r>
      <w:r w:rsidR="00285723" w:rsidRPr="00D6081D">
        <w:t xml:space="preserve">оговор от 11.07.2019 №02 был расторгнут 16.12.2019 (Соглашение о расторжении от 16.12.2019). </w:t>
      </w:r>
      <w:r w:rsidR="00727018" w:rsidRPr="00D6081D">
        <w:t>Агентство развития туризма</w:t>
      </w:r>
      <w:r w:rsidR="00285723" w:rsidRPr="00D6081D">
        <w:t xml:space="preserve"> уставную деятельность в здании центрального универмага не осуществляет.</w:t>
      </w:r>
      <w:r w:rsidR="002858A8" w:rsidRPr="00D6081D">
        <w:t xml:space="preserve"> По данным официальных источников (</w:t>
      </w:r>
      <w:hyperlink r:id="rId8" w:history="1">
        <w:r w:rsidR="00BC2EAB" w:rsidRPr="00D6081D">
          <w:rPr>
            <w:rStyle w:val="af6"/>
          </w:rPr>
          <w:t>http://www.volgograd.ru/gubernator/tekush/272951</w:t>
        </w:r>
      </w:hyperlink>
      <w:r w:rsidR="00BC2EAB" w:rsidRPr="00D6081D">
        <w:t xml:space="preserve">) </w:t>
      </w:r>
      <w:r w:rsidR="009A25A6" w:rsidRPr="00D6081D">
        <w:t>помещения здания центрального универмага</w:t>
      </w:r>
      <w:r w:rsidR="004C7E8D" w:rsidRPr="00D6081D">
        <w:t xml:space="preserve"> будут использоваться для создания современного выставочного комплекса</w:t>
      </w:r>
      <w:r w:rsidR="000468EB" w:rsidRPr="00D6081D">
        <w:t>, основой которого станут выставочные фонды музея изобразительного искус</w:t>
      </w:r>
      <w:r w:rsidR="00C1477B" w:rsidRPr="00D6081D">
        <w:t>с</w:t>
      </w:r>
      <w:r w:rsidR="000468EB" w:rsidRPr="00D6081D">
        <w:t>тва</w:t>
      </w:r>
      <w:r w:rsidR="00C1477B" w:rsidRPr="00D6081D">
        <w:t xml:space="preserve"> имени Ильи Машкова</w:t>
      </w:r>
      <w:r w:rsidR="002858A8" w:rsidRPr="00D6081D">
        <w:t>.</w:t>
      </w:r>
      <w:r w:rsidR="00285723" w:rsidRPr="00D6081D">
        <w:t xml:space="preserve"> </w:t>
      </w:r>
      <w:r w:rsidR="009532EA" w:rsidRPr="00D6081D">
        <w:t xml:space="preserve">Проведенные работы </w:t>
      </w:r>
      <w:r w:rsidR="002E4E11" w:rsidRPr="00D6081D">
        <w:t xml:space="preserve">по ремонту служебных кабинетов </w:t>
      </w:r>
      <w:r w:rsidR="00E65AF2" w:rsidRPr="00D6081D">
        <w:t xml:space="preserve">не соответствуют концепции </w:t>
      </w:r>
      <w:r w:rsidR="00596AAC" w:rsidRPr="00D6081D">
        <w:t>использования помещений</w:t>
      </w:r>
      <w:r w:rsidR="00BD28F6" w:rsidRPr="00D6081D">
        <w:t xml:space="preserve"> выставочного комплекса</w:t>
      </w:r>
      <w:r w:rsidR="00E41DCC" w:rsidRPr="00D6081D">
        <w:t>, расположению различных зон и экспозиций</w:t>
      </w:r>
      <w:r w:rsidR="00596AAC" w:rsidRPr="00D6081D">
        <w:t xml:space="preserve">. </w:t>
      </w:r>
      <w:r w:rsidR="00285723" w:rsidRPr="00D6081D">
        <w:t>Исходя из вышеизложенного, следует, что Комитетом при исполнении областного бюджета не соблюден принцип результативности использования бюджетных средств, закрепленн</w:t>
      </w:r>
      <w:r w:rsidR="00322223" w:rsidRPr="00D6081D">
        <w:t xml:space="preserve">ый ст.34 Бюджетного кодекса РФ, и как следствие может привести к риску неэффективного расходования </w:t>
      </w:r>
      <w:r w:rsidR="003A4026" w:rsidRPr="00D6081D">
        <w:t>бюджетных средств.</w:t>
      </w:r>
    </w:p>
    <w:p w:rsidR="00285723" w:rsidRPr="00D6081D" w:rsidRDefault="00285723" w:rsidP="00285723">
      <w:pPr>
        <w:ind w:firstLine="567"/>
        <w:jc w:val="both"/>
      </w:pPr>
      <w:r w:rsidRPr="00D6081D">
        <w:t xml:space="preserve">Информация об исполнении целевых показателей в 2019 году представлена в таблице </w:t>
      </w:r>
      <w:r w:rsidR="00BE3DAD" w:rsidRPr="00D6081D">
        <w:t>5</w:t>
      </w:r>
      <w:r w:rsidRPr="00D6081D">
        <w:t>.</w:t>
      </w:r>
    </w:p>
    <w:p w:rsidR="00CE47EA" w:rsidRPr="00D6081D" w:rsidRDefault="00CE47EA" w:rsidP="00285723">
      <w:pPr>
        <w:ind w:firstLine="567"/>
        <w:jc w:val="right"/>
        <w:rPr>
          <w:i/>
          <w:sz w:val="20"/>
          <w:szCs w:val="20"/>
        </w:rPr>
      </w:pPr>
    </w:p>
    <w:p w:rsidR="00CE47EA" w:rsidRPr="00D6081D" w:rsidRDefault="00CE47EA" w:rsidP="00285723">
      <w:pPr>
        <w:ind w:firstLine="567"/>
        <w:jc w:val="right"/>
        <w:rPr>
          <w:i/>
          <w:sz w:val="20"/>
          <w:szCs w:val="20"/>
        </w:rPr>
      </w:pPr>
    </w:p>
    <w:p w:rsidR="00285723" w:rsidRPr="00D6081D" w:rsidRDefault="00285723" w:rsidP="00285723">
      <w:pPr>
        <w:ind w:firstLine="567"/>
        <w:jc w:val="right"/>
        <w:rPr>
          <w:i/>
          <w:sz w:val="20"/>
          <w:szCs w:val="20"/>
        </w:rPr>
      </w:pPr>
      <w:r w:rsidRPr="00D6081D">
        <w:rPr>
          <w:i/>
          <w:sz w:val="20"/>
          <w:szCs w:val="20"/>
        </w:rPr>
        <w:t xml:space="preserve">Таблица </w:t>
      </w:r>
      <w:r w:rsidR="00BE3DAD" w:rsidRPr="00D6081D">
        <w:rPr>
          <w:i/>
          <w:sz w:val="20"/>
          <w:szCs w:val="20"/>
        </w:rPr>
        <w:t>5</w:t>
      </w:r>
    </w:p>
    <w:tbl>
      <w:tblPr>
        <w:tblW w:w="10049" w:type="dxa"/>
        <w:tblInd w:w="108" w:type="dxa"/>
        <w:tblLayout w:type="fixed"/>
        <w:tblLook w:val="04A0"/>
      </w:tblPr>
      <w:tblGrid>
        <w:gridCol w:w="620"/>
        <w:gridCol w:w="5192"/>
        <w:gridCol w:w="1176"/>
        <w:gridCol w:w="960"/>
        <w:gridCol w:w="960"/>
        <w:gridCol w:w="1141"/>
      </w:tblGrid>
      <w:tr w:rsidR="00285723" w:rsidRPr="00D6081D" w:rsidTr="00CE47EA">
        <w:trPr>
          <w:trHeight w:val="5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 xml:space="preserve">Единица </w:t>
            </w:r>
            <w:r w:rsidRPr="00D6081D">
              <w:rPr>
                <w:b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b/>
                <w:bCs/>
                <w:sz w:val="20"/>
                <w:szCs w:val="20"/>
              </w:rPr>
            </w:pPr>
            <w:r w:rsidRPr="00D6081D">
              <w:rPr>
                <w:b/>
                <w:bCs/>
                <w:sz w:val="20"/>
                <w:szCs w:val="20"/>
              </w:rPr>
              <w:t>Исполнение, %</w:t>
            </w:r>
          </w:p>
        </w:tc>
      </w:tr>
      <w:tr w:rsidR="00285723" w:rsidRPr="00D6081D" w:rsidTr="00CE47EA">
        <w:trPr>
          <w:trHeight w:val="3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Объем туристического потока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1155,7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96,4</w:t>
            </w:r>
          </w:p>
        </w:tc>
      </w:tr>
      <w:tr w:rsidR="00285723" w:rsidRPr="00D6081D" w:rsidTr="00CE47EA">
        <w:trPr>
          <w:trHeight w:val="4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Объем платных туристических услуг, оказанных населению на территории Волгоградской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млн. 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2600,4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2643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101,6</w:t>
            </w:r>
          </w:p>
        </w:tc>
      </w:tr>
      <w:tr w:rsidR="00285723" w:rsidRPr="00D6081D" w:rsidTr="00CE47EA">
        <w:trPr>
          <w:trHeight w:val="5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Объем платных услуг гостиниц и аналогичных коллективных средств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млн. 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2167,6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1957,7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90,3</w:t>
            </w:r>
          </w:p>
        </w:tc>
      </w:tr>
      <w:tr w:rsidR="00285723" w:rsidRPr="00D6081D" w:rsidTr="00CE47EA">
        <w:trPr>
          <w:trHeight w:val="6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Численность граждан Российской Федерации, размещенных в коллективных средствах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695,4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624,2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89,8</w:t>
            </w:r>
          </w:p>
        </w:tc>
      </w:tr>
      <w:tr w:rsidR="00285723" w:rsidRPr="00D6081D" w:rsidTr="00CE47EA">
        <w:trPr>
          <w:trHeight w:val="6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Численность граждан иностранных государств, размещенных в коллективных средствах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26,7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23" w:rsidRPr="00D6081D" w:rsidRDefault="00285723" w:rsidP="004A131D">
            <w:pPr>
              <w:jc w:val="center"/>
              <w:rPr>
                <w:sz w:val="20"/>
                <w:szCs w:val="20"/>
              </w:rPr>
            </w:pPr>
            <w:r w:rsidRPr="00D6081D">
              <w:rPr>
                <w:sz w:val="20"/>
                <w:szCs w:val="20"/>
              </w:rPr>
              <w:t>85,9</w:t>
            </w:r>
          </w:p>
        </w:tc>
      </w:tr>
    </w:tbl>
    <w:p w:rsidR="00285723" w:rsidRPr="00D6081D" w:rsidRDefault="00285723" w:rsidP="00897CF2">
      <w:pPr>
        <w:autoSpaceDE w:val="0"/>
        <w:autoSpaceDN w:val="0"/>
        <w:adjustRightInd w:val="0"/>
        <w:ind w:firstLine="709"/>
        <w:jc w:val="both"/>
      </w:pPr>
      <w:r w:rsidRPr="00D6081D">
        <w:rPr>
          <w:rFonts w:eastAsia="Calibri"/>
          <w:iCs/>
        </w:rPr>
        <w:t>ГП</w:t>
      </w:r>
      <w:r w:rsidRPr="00D6081D">
        <w:rPr>
          <w:rFonts w:eastAsia="Calibri"/>
        </w:rPr>
        <w:t xml:space="preserve"> </w:t>
      </w:r>
      <w:r w:rsidRPr="00D6081D">
        <w:t xml:space="preserve">Развитие туризма </w:t>
      </w:r>
      <w:r w:rsidRPr="00D6081D">
        <w:rPr>
          <w:rFonts w:eastAsia="Calibri"/>
        </w:rPr>
        <w:t>определены 5 целевых показателей</w:t>
      </w:r>
      <w:r w:rsidR="00897CF2" w:rsidRPr="00D6081D">
        <w:rPr>
          <w:rFonts w:eastAsia="Calibri"/>
        </w:rPr>
        <w:t>,</w:t>
      </w:r>
      <w:r w:rsidRPr="00D6081D">
        <w:rPr>
          <w:rFonts w:eastAsia="Calibri"/>
        </w:rPr>
        <w:t xml:space="preserve"> подлежащих достижению в 2019 году. По данным таблицы №1 к годовому докладу о ходе реализации в 2019 году </w:t>
      </w:r>
      <w:r w:rsidRPr="00D6081D">
        <w:rPr>
          <w:rFonts w:eastAsia="Calibri"/>
          <w:iCs/>
        </w:rPr>
        <w:t>ГП</w:t>
      </w:r>
      <w:r w:rsidRPr="00D6081D">
        <w:rPr>
          <w:rFonts w:eastAsia="Calibri"/>
        </w:rPr>
        <w:t xml:space="preserve"> </w:t>
      </w:r>
      <w:r w:rsidRPr="00D6081D">
        <w:t xml:space="preserve">Развитие туризма 1 целевой показатель перевыполнен, 4 не выполнены </w:t>
      </w:r>
      <w:r w:rsidR="00734EA1" w:rsidRPr="00D6081D">
        <w:t>«</w:t>
      </w:r>
      <w:r w:rsidRPr="00D6081D">
        <w:t>по причине сокращения объемов финансирования государственной программы</w:t>
      </w:r>
      <w:r w:rsidR="00734EA1" w:rsidRPr="00D6081D">
        <w:t>»</w:t>
      </w:r>
      <w:r w:rsidRPr="00D6081D">
        <w:t>.</w:t>
      </w:r>
      <w:r w:rsidR="00776058" w:rsidRPr="00D6081D">
        <w:t xml:space="preserve"> </w:t>
      </w:r>
      <w:r w:rsidR="00734EA1" w:rsidRPr="00D6081D">
        <w:t>Вместе с тем указанн</w:t>
      </w:r>
      <w:r w:rsidR="00770ADD" w:rsidRPr="00D6081D">
        <w:t>ая</w:t>
      </w:r>
      <w:r w:rsidR="00734EA1" w:rsidRPr="00D6081D">
        <w:t xml:space="preserve"> Комитетом в докладе </w:t>
      </w:r>
      <w:r w:rsidR="00770ADD" w:rsidRPr="00D6081D">
        <w:t>причина неисполнения показателей не является объективной</w:t>
      </w:r>
      <w:r w:rsidR="00B11131" w:rsidRPr="00D6081D">
        <w:t xml:space="preserve">, так как в 2019 году объемы финансирования уменьшались только по одному мероприятию </w:t>
      </w:r>
      <w:r w:rsidR="00B11131" w:rsidRPr="00D6081D">
        <w:rPr>
          <w:i/>
        </w:rPr>
        <w:t>«</w:t>
      </w:r>
      <w:r w:rsidR="009C2533" w:rsidRPr="00D6081D">
        <w:rPr>
          <w:i/>
        </w:rPr>
        <w:t xml:space="preserve">Предоставление субсидии на иные цели </w:t>
      </w:r>
      <w:r w:rsidR="00524F78" w:rsidRPr="00D6081D">
        <w:rPr>
          <w:i/>
        </w:rPr>
        <w:t>Дирекции по эксплуатации стадиона «Волгоград Арена» на эксплуатацию стадиона «Волгоград Арена»</w:t>
      </w:r>
      <w:r w:rsidR="00B11131" w:rsidRPr="00D6081D">
        <w:rPr>
          <w:i/>
        </w:rPr>
        <w:t>»</w:t>
      </w:r>
      <w:r w:rsidR="00531A38" w:rsidRPr="00D6081D">
        <w:rPr>
          <w:i/>
        </w:rPr>
        <w:t xml:space="preserve">, </w:t>
      </w:r>
      <w:r w:rsidR="00531A38" w:rsidRPr="00D6081D">
        <w:t>исполнение которого не оказывает влияния на</w:t>
      </w:r>
      <w:r w:rsidR="00D054E9" w:rsidRPr="00D6081D">
        <w:t xml:space="preserve"> достижения целевых показателей.</w:t>
      </w:r>
      <w:r w:rsidR="00B11131" w:rsidRPr="00D6081D">
        <w:t xml:space="preserve"> </w:t>
      </w:r>
      <w:r w:rsidR="00D054E9" w:rsidRPr="00D6081D">
        <w:t>Также с</w:t>
      </w:r>
      <w:r w:rsidR="00776058" w:rsidRPr="00D6081D">
        <w:t xml:space="preserve">ледует отметить, что в обосновании отклонений </w:t>
      </w:r>
      <w:r w:rsidR="009D3F9F" w:rsidRPr="00D6081D">
        <w:t>в</w:t>
      </w:r>
      <w:r w:rsidR="00776058" w:rsidRPr="00D6081D">
        <w:t xml:space="preserve"> таблице №1</w:t>
      </w:r>
      <w:r w:rsidR="009D3F9F" w:rsidRPr="00D6081D">
        <w:t xml:space="preserve"> к годовому докладу</w:t>
      </w:r>
      <w:r w:rsidR="00776058" w:rsidRPr="00D6081D">
        <w:t xml:space="preserve"> </w:t>
      </w:r>
      <w:r w:rsidR="008B0011" w:rsidRPr="00D6081D">
        <w:t xml:space="preserve">также </w:t>
      </w:r>
      <w:r w:rsidR="00B035B6" w:rsidRPr="00D6081D">
        <w:t>указано</w:t>
      </w:r>
      <w:r w:rsidR="00F86709" w:rsidRPr="00D6081D">
        <w:t>,</w:t>
      </w:r>
      <w:r w:rsidR="009D3F9F" w:rsidRPr="00D6081D">
        <w:t xml:space="preserve"> что </w:t>
      </w:r>
      <w:r w:rsidR="00B8636D" w:rsidRPr="00D6081D">
        <w:t>фактическое исполнение показателей</w:t>
      </w:r>
      <w:r w:rsidR="00F86709" w:rsidRPr="00D6081D">
        <w:t xml:space="preserve"> отражено по оперативным данным Волгоградстата</w:t>
      </w:r>
      <w:r w:rsidR="008B0011" w:rsidRPr="00D6081D">
        <w:t xml:space="preserve">. В соответствии с </w:t>
      </w:r>
      <w:r w:rsidR="00F86709" w:rsidRPr="00D6081D">
        <w:t xml:space="preserve"> </w:t>
      </w:r>
      <w:r w:rsidR="008B0011" w:rsidRPr="00D6081D">
        <w:t>федеральным планом статистических работ, утвержденным</w:t>
      </w:r>
      <w:r w:rsidR="008B0011" w:rsidRPr="00D6081D">
        <w:rPr>
          <w:rFonts w:eastAsiaTheme="minorHAnsi"/>
          <w:lang w:eastAsia="en-US"/>
        </w:rPr>
        <w:t xml:space="preserve"> </w:t>
      </w:r>
      <w:r w:rsidR="0054559A" w:rsidRPr="00D6081D">
        <w:rPr>
          <w:rFonts w:eastAsiaTheme="minorHAnsi"/>
          <w:lang w:eastAsia="en-US"/>
        </w:rPr>
        <w:t>р</w:t>
      </w:r>
      <w:r w:rsidR="008B0011" w:rsidRPr="00D6081D">
        <w:rPr>
          <w:rFonts w:eastAsiaTheme="minorHAnsi"/>
          <w:lang w:eastAsia="en-US"/>
        </w:rPr>
        <w:t>аспоряжение</w:t>
      </w:r>
      <w:r w:rsidR="0054559A" w:rsidRPr="00D6081D">
        <w:rPr>
          <w:rFonts w:eastAsiaTheme="minorHAnsi"/>
          <w:lang w:eastAsia="en-US"/>
        </w:rPr>
        <w:t>м</w:t>
      </w:r>
      <w:r w:rsidR="008B0011" w:rsidRPr="00D6081D">
        <w:rPr>
          <w:rFonts w:eastAsiaTheme="minorHAnsi"/>
          <w:lang w:eastAsia="en-US"/>
        </w:rPr>
        <w:t xml:space="preserve"> Правительства РФ от 06.05.2008 N 671-р</w:t>
      </w:r>
      <w:r w:rsidR="00BF7983" w:rsidRPr="00D6081D">
        <w:rPr>
          <w:rFonts w:eastAsiaTheme="minorHAnsi"/>
          <w:lang w:eastAsia="en-US"/>
        </w:rPr>
        <w:t>,</w:t>
      </w:r>
      <w:r w:rsidR="008B0011" w:rsidRPr="00D6081D">
        <w:t xml:space="preserve"> </w:t>
      </w:r>
      <w:r w:rsidR="00BF7983" w:rsidRPr="00D6081D">
        <w:t>итоговые данные по показател</w:t>
      </w:r>
      <w:r w:rsidR="0097215A" w:rsidRPr="00D6081D">
        <w:t xml:space="preserve">ям </w:t>
      </w:r>
      <w:r w:rsidR="0097215A" w:rsidRPr="00D6081D">
        <w:rPr>
          <w:i/>
        </w:rPr>
        <w:t>«Объем платных туристических услуг, оказанных населению на территории Волгоградской области»</w:t>
      </w:r>
      <w:r w:rsidR="0097215A" w:rsidRPr="00D6081D">
        <w:t xml:space="preserve"> и </w:t>
      </w:r>
      <w:r w:rsidR="00BF7983" w:rsidRPr="00D6081D">
        <w:t xml:space="preserve"> </w:t>
      </w:r>
      <w:r w:rsidR="0097215A" w:rsidRPr="00D6081D">
        <w:rPr>
          <w:i/>
        </w:rPr>
        <w:t>«Объем платных услуг гостиниц и аналогичных коллективных средств размещения на территории Волгоградской области»</w:t>
      </w:r>
      <w:r w:rsidR="0097215A" w:rsidRPr="00D6081D">
        <w:t xml:space="preserve"> </w:t>
      </w:r>
      <w:r w:rsidR="00F86709" w:rsidRPr="00D6081D">
        <w:t>будут уточнены до</w:t>
      </w:r>
      <w:r w:rsidR="0033720E" w:rsidRPr="00D6081D">
        <w:t xml:space="preserve"> 20.06.2020</w:t>
      </w:r>
      <w:r w:rsidR="00BF7983" w:rsidRPr="00D6081D">
        <w:t xml:space="preserve">, по показателям </w:t>
      </w:r>
      <w:r w:rsidR="00AA2C56" w:rsidRPr="00D6081D">
        <w:rPr>
          <w:i/>
        </w:rPr>
        <w:t>«</w:t>
      </w:r>
      <w:r w:rsidR="0097215A" w:rsidRPr="00D6081D">
        <w:rPr>
          <w:i/>
        </w:rPr>
        <w:t>Численность граждан Российской Федерации, размещенных в коллективных средствах размещения на территории Волгоградской области</w:t>
      </w:r>
      <w:r w:rsidR="00AA2C56" w:rsidRPr="00D6081D">
        <w:rPr>
          <w:i/>
        </w:rPr>
        <w:t>»</w:t>
      </w:r>
      <w:r w:rsidR="00AA2C56" w:rsidRPr="00D6081D">
        <w:t xml:space="preserve"> и </w:t>
      </w:r>
      <w:r w:rsidR="00AA2C56" w:rsidRPr="00D6081D">
        <w:rPr>
          <w:i/>
        </w:rPr>
        <w:t>«Численность граждан иностранных государств, размещенных в коллективных средствах размещения на территории Волгоградской области»</w:t>
      </w:r>
      <w:r w:rsidR="0097215A" w:rsidRPr="00D6081D">
        <w:t xml:space="preserve"> </w:t>
      </w:r>
      <w:r w:rsidR="00BF7983" w:rsidRPr="00D6081D">
        <w:t>-</w:t>
      </w:r>
      <w:r w:rsidR="0033720E" w:rsidRPr="00D6081D">
        <w:t xml:space="preserve"> </w:t>
      </w:r>
      <w:r w:rsidR="00BA2A7C" w:rsidRPr="00D6081D">
        <w:t xml:space="preserve"> до 07.07.2020</w:t>
      </w:r>
      <w:r w:rsidR="00BF7983" w:rsidRPr="00D6081D">
        <w:t>.</w:t>
      </w:r>
      <w:r w:rsidR="00236873" w:rsidRPr="00D6081D">
        <w:t xml:space="preserve"> Показатель </w:t>
      </w:r>
      <w:r w:rsidR="00236873" w:rsidRPr="00D6081D">
        <w:rPr>
          <w:i/>
        </w:rPr>
        <w:t>«Объем туристического потока на территории Волгоградской области»</w:t>
      </w:r>
      <w:r w:rsidR="00236873" w:rsidRPr="00D6081D">
        <w:t xml:space="preserve"> </w:t>
      </w:r>
      <w:r w:rsidR="00D160B7" w:rsidRPr="00D6081D">
        <w:t xml:space="preserve">также будет пересчитан </w:t>
      </w:r>
      <w:r w:rsidR="0080390C" w:rsidRPr="00D6081D">
        <w:t>Агентством развития туризма после опубликования итоговых результатов федерального статистического набл</w:t>
      </w:r>
      <w:r w:rsidR="00E06AF1" w:rsidRPr="00D6081D">
        <w:t>юдения.</w:t>
      </w:r>
    </w:p>
    <w:p w:rsidR="00DB036D" w:rsidRPr="00D6081D" w:rsidRDefault="00DB036D" w:rsidP="00B32132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DA2BBD" w:rsidRPr="00D6081D" w:rsidRDefault="00DA2BBD" w:rsidP="00B32132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D6081D">
        <w:rPr>
          <w:b/>
          <w:i/>
        </w:rPr>
        <w:t xml:space="preserve">Состояние внутреннего финансового аудита </w:t>
      </w:r>
    </w:p>
    <w:p w:rsidR="009660BF" w:rsidRPr="00D6081D" w:rsidRDefault="009660BF" w:rsidP="009660BF">
      <w:pPr>
        <w:autoSpaceDE w:val="0"/>
        <w:autoSpaceDN w:val="0"/>
        <w:adjustRightInd w:val="0"/>
        <w:ind w:firstLine="709"/>
        <w:jc w:val="both"/>
      </w:pPr>
      <w:r w:rsidRPr="00D6081D">
        <w:t>В соответствии с п.3 ст.160.2-1 БК РФ внутренний финансовый аудит осуществляется на основе принципа функциональной независимости структурными подразделениями,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аудита.</w:t>
      </w:r>
    </w:p>
    <w:p w:rsidR="009660BF" w:rsidRPr="00D6081D" w:rsidRDefault="007D374B" w:rsidP="009660BF">
      <w:pPr>
        <w:autoSpaceDE w:val="0"/>
        <w:autoSpaceDN w:val="0"/>
        <w:adjustRightInd w:val="0"/>
        <w:ind w:firstLine="709"/>
        <w:jc w:val="both"/>
      </w:pPr>
      <w:hyperlink r:id="rId9" w:history="1">
        <w:r w:rsidR="009660BF" w:rsidRPr="00D6081D">
          <w:t>Постановлением</w:t>
        </w:r>
      </w:hyperlink>
      <w:r w:rsidR="009660BF" w:rsidRPr="00D6081D">
        <w:t xml:space="preserve"> Правительства Волгоградской области от 26.05.2014 №266-п утвержден Порядок осуществления внутреннего финансового контроля и внутреннего финансового аудита на территории Волгоградской области (далее Порядок №266-п).</w:t>
      </w:r>
    </w:p>
    <w:p w:rsidR="009660BF" w:rsidRPr="00D6081D" w:rsidRDefault="009660BF" w:rsidP="009660BF">
      <w:pPr>
        <w:autoSpaceDE w:val="0"/>
        <w:autoSpaceDN w:val="0"/>
        <w:adjustRightInd w:val="0"/>
        <w:ind w:firstLine="709"/>
        <w:jc w:val="both"/>
      </w:pPr>
      <w:r w:rsidRPr="00D6081D">
        <w:t xml:space="preserve">В структуре Комитета предусмотрен сектор внутреннего финансового аудита, который в соответствии с п.2 приказа Облтуризма от 24.06.2019 №78-ОД «О мерах по реализации постановления Правительства Волгоградской области от 26.05.2014 №266-п «Об утверждении порядка осуществления внутреннего финансового контроля и внутреннего финансового аудита на территории Волгоградской области» в комитете по развитию туризма Волгоградской области» (далее Приказ №78-ОД), наделен полномочиями по осуществлению внутреннего финансового </w:t>
      </w:r>
      <w:r w:rsidRPr="00D6081D">
        <w:lastRenderedPageBreak/>
        <w:t xml:space="preserve">аудита. В соответствии с Положением о секторе внутреннего финансового аудита, утвержденным приказом Облтуризма от 01.11.2018 №3-ОД, сектор подчиняется непосредственно председателю Комитета. </w:t>
      </w:r>
    </w:p>
    <w:p w:rsidR="009660BF" w:rsidRPr="00D6081D" w:rsidRDefault="009660BF" w:rsidP="009660BF">
      <w:pPr>
        <w:autoSpaceDE w:val="0"/>
        <w:autoSpaceDN w:val="0"/>
        <w:adjustRightInd w:val="0"/>
        <w:ind w:firstLine="709"/>
        <w:jc w:val="both"/>
      </w:pPr>
      <w:r w:rsidRPr="00D6081D">
        <w:t>В 2019 году в соответствии с планом аудиторских проверок, утвержденн</w:t>
      </w:r>
      <w:r w:rsidR="004F72C9" w:rsidRPr="00D6081D">
        <w:t>ым</w:t>
      </w:r>
      <w:r w:rsidRPr="00D6081D">
        <w:t xml:space="preserve"> приказом Комитета от 04.02.2019 № 20-ОД «О плане внутреннего финансового аудита комитета по развитию туризма Волгоградской области на 2019 год», проведено 4 плановых аудиторских провер</w:t>
      </w:r>
      <w:r w:rsidR="0083095D" w:rsidRPr="00D6081D">
        <w:t>ки</w:t>
      </w:r>
      <w:r w:rsidRPr="00D6081D">
        <w:t xml:space="preserve"> в отношении отдела бюджетного планирования и государственных закупок. В соответствии с отчетом о результатах осуществления внутреннего финансового аудита нарушений не установлено. </w:t>
      </w:r>
    </w:p>
    <w:p w:rsidR="009660BF" w:rsidRPr="00D6081D" w:rsidRDefault="009660BF" w:rsidP="009660BF">
      <w:pPr>
        <w:autoSpaceDE w:val="0"/>
        <w:autoSpaceDN w:val="0"/>
        <w:adjustRightInd w:val="0"/>
        <w:ind w:firstLine="709"/>
        <w:jc w:val="both"/>
      </w:pPr>
      <w:r w:rsidRPr="00D6081D">
        <w:t>Информация о состоянии внутреннего финансового аудита представлена в приложении 4.</w:t>
      </w:r>
    </w:p>
    <w:p w:rsidR="006D52A0" w:rsidRPr="00D6081D" w:rsidRDefault="006D52A0" w:rsidP="00EB514C">
      <w:pPr>
        <w:ind w:firstLine="709"/>
        <w:jc w:val="center"/>
        <w:rPr>
          <w:b/>
          <w:i/>
        </w:rPr>
      </w:pPr>
    </w:p>
    <w:p w:rsidR="00004146" w:rsidRPr="00D6081D" w:rsidRDefault="00004146" w:rsidP="00EB514C">
      <w:pPr>
        <w:ind w:firstLine="709"/>
        <w:jc w:val="center"/>
        <w:rPr>
          <w:b/>
          <w:i/>
        </w:rPr>
      </w:pPr>
      <w:r w:rsidRPr="00D6081D">
        <w:rPr>
          <w:b/>
          <w:i/>
        </w:rPr>
        <w:t>Выводы</w:t>
      </w:r>
    </w:p>
    <w:p w:rsidR="00004146" w:rsidRPr="00D6081D" w:rsidRDefault="00004146" w:rsidP="00EB514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6081D">
        <w:t xml:space="preserve">Проверкой состава и содержания бюджетной отчетности установлено </w:t>
      </w:r>
      <w:r w:rsidR="000217BB" w:rsidRPr="00D6081D">
        <w:t>9</w:t>
      </w:r>
      <w:r w:rsidRPr="00D6081D">
        <w:t xml:space="preserve"> случа</w:t>
      </w:r>
      <w:r w:rsidR="00800754" w:rsidRPr="00D6081D">
        <w:t>ев</w:t>
      </w:r>
      <w:r w:rsidRPr="00D6081D">
        <w:t xml:space="preserve"> нарушения положений Инструкции № 191н,  которые устранены в ходе проверки. </w:t>
      </w:r>
    </w:p>
    <w:p w:rsidR="00120FCF" w:rsidRPr="00D6081D" w:rsidRDefault="004833C7" w:rsidP="004E60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6081D">
        <w:rPr>
          <w:rFonts w:ascii="Times New Roman" w:hAnsi="Times New Roman" w:cs="Times New Roman"/>
          <w:bCs/>
          <w:iCs/>
          <w:sz w:val="24"/>
          <w:szCs w:val="24"/>
        </w:rPr>
        <w:t xml:space="preserve">Утвержденный объем бюджетных ассигнований по бюджетной росписи составил 77556,9 тыс. руб., или на 81507,6 тыс. руб. (-51,2 %) меньше утвержденного </w:t>
      </w:r>
      <w:r w:rsidR="00D9508F" w:rsidRPr="00D6081D">
        <w:rPr>
          <w:rFonts w:ascii="Times New Roman" w:hAnsi="Times New Roman" w:cs="Times New Roman"/>
          <w:bCs/>
          <w:iCs/>
          <w:sz w:val="24"/>
          <w:szCs w:val="24"/>
        </w:rPr>
        <w:t xml:space="preserve">Законом об областном бюджете на 2019 год </w:t>
      </w:r>
      <w:r w:rsidRPr="00D6081D">
        <w:rPr>
          <w:rFonts w:ascii="Times New Roman" w:hAnsi="Times New Roman" w:cs="Times New Roman"/>
          <w:bCs/>
          <w:iCs/>
          <w:sz w:val="24"/>
          <w:szCs w:val="24"/>
        </w:rPr>
        <w:t>объёма ассигнований, что является значительным отклонением.</w:t>
      </w:r>
      <w:r w:rsidR="00BA4E3B" w:rsidRPr="00D6081D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Основной причиной отклонения является </w:t>
      </w:r>
      <w:r w:rsidR="00BA4E3B" w:rsidRPr="00D6081D">
        <w:rPr>
          <w:rFonts w:ascii="Times New Roman" w:hAnsi="Times New Roman" w:cs="Times New Roman"/>
          <w:sz w:val="24"/>
          <w:szCs w:val="24"/>
        </w:rPr>
        <w:t xml:space="preserve">передача в ведомственное подчинение комитета физической культуры и спорта </w:t>
      </w:r>
      <w:r w:rsidR="00503EE0" w:rsidRPr="00D6081D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BA4E3B" w:rsidRPr="00D6081D">
        <w:rPr>
          <w:rFonts w:ascii="Times New Roman" w:hAnsi="Times New Roman" w:cs="Times New Roman"/>
          <w:sz w:val="24"/>
          <w:szCs w:val="24"/>
        </w:rPr>
        <w:t>Дирекци</w:t>
      </w:r>
      <w:r w:rsidR="00503EE0" w:rsidRPr="00D6081D">
        <w:rPr>
          <w:rFonts w:ascii="Times New Roman" w:hAnsi="Times New Roman" w:cs="Times New Roman"/>
          <w:sz w:val="24"/>
          <w:szCs w:val="24"/>
        </w:rPr>
        <w:t>и</w:t>
      </w:r>
      <w:r w:rsidR="00BA4E3B" w:rsidRPr="00D6081D">
        <w:rPr>
          <w:rFonts w:ascii="Times New Roman" w:hAnsi="Times New Roman" w:cs="Times New Roman"/>
          <w:sz w:val="24"/>
          <w:szCs w:val="24"/>
        </w:rPr>
        <w:t xml:space="preserve"> по эксплуатации стадиона </w:t>
      </w:r>
      <w:r w:rsidR="00503EE0" w:rsidRPr="00D6081D">
        <w:rPr>
          <w:rFonts w:ascii="Times New Roman" w:hAnsi="Times New Roman" w:cs="Times New Roman"/>
          <w:sz w:val="24"/>
          <w:szCs w:val="24"/>
        </w:rPr>
        <w:t>«</w:t>
      </w:r>
      <w:r w:rsidR="00BA4E3B" w:rsidRPr="00D6081D">
        <w:rPr>
          <w:rFonts w:ascii="Times New Roman" w:hAnsi="Times New Roman" w:cs="Times New Roman"/>
          <w:sz w:val="24"/>
          <w:szCs w:val="24"/>
        </w:rPr>
        <w:t>Волгоград Арена</w:t>
      </w:r>
      <w:r w:rsidR="00503EE0" w:rsidRPr="00D6081D">
        <w:rPr>
          <w:rFonts w:ascii="Times New Roman" w:hAnsi="Times New Roman" w:cs="Times New Roman"/>
          <w:sz w:val="24"/>
          <w:szCs w:val="24"/>
        </w:rPr>
        <w:t>».</w:t>
      </w:r>
    </w:p>
    <w:p w:rsidR="00004146" w:rsidRPr="00D6081D" w:rsidRDefault="008A174D" w:rsidP="004E60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6081D">
        <w:rPr>
          <w:rFonts w:ascii="Times New Roman" w:hAnsi="Times New Roman" w:cs="Times New Roman"/>
          <w:sz w:val="24"/>
          <w:szCs w:val="24"/>
        </w:rPr>
        <w:t xml:space="preserve">В 2019 году комитетом расходы исполнены на </w:t>
      </w:r>
      <w:r w:rsidRPr="00D6081D">
        <w:rPr>
          <w:rFonts w:ascii="Times New Roman" w:hAnsi="Times New Roman" w:cs="Times New Roman"/>
          <w:bCs/>
          <w:iCs/>
          <w:sz w:val="24"/>
          <w:szCs w:val="24"/>
        </w:rPr>
        <w:t>72119</w:t>
      </w:r>
      <w:r w:rsidRPr="00D608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6081D">
        <w:rPr>
          <w:rFonts w:ascii="Times New Roman" w:hAnsi="Times New Roman" w:cs="Times New Roman"/>
          <w:sz w:val="24"/>
          <w:szCs w:val="24"/>
        </w:rPr>
        <w:t>тыс. руб., или на 93,0% к назначениям, утвержденным бюджетной росписью, и на 9</w:t>
      </w:r>
      <w:r w:rsidR="00DA7D32" w:rsidRPr="00D6081D">
        <w:rPr>
          <w:rFonts w:ascii="Times New Roman" w:hAnsi="Times New Roman" w:cs="Times New Roman"/>
          <w:sz w:val="24"/>
          <w:szCs w:val="24"/>
        </w:rPr>
        <w:t>3,1</w:t>
      </w:r>
      <w:r w:rsidRPr="00D6081D">
        <w:rPr>
          <w:rFonts w:ascii="Times New Roman" w:hAnsi="Times New Roman" w:cs="Times New Roman"/>
          <w:sz w:val="24"/>
          <w:szCs w:val="24"/>
        </w:rPr>
        <w:t>% к доведенным лимитам бюджетных обязательств.</w:t>
      </w:r>
    </w:p>
    <w:p w:rsidR="00827091" w:rsidRPr="00D6081D" w:rsidRDefault="001E3A94" w:rsidP="001E3A94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081D">
        <w:rPr>
          <w:rFonts w:ascii="Times New Roman" w:hAnsi="Times New Roman"/>
          <w:sz w:val="24"/>
          <w:szCs w:val="24"/>
        </w:rPr>
        <w:t>Дебиторская задолженность Облтуризма значительно уменьшилась (на 99,0%) и по состоянию на 01.01.2020 составля</w:t>
      </w:r>
      <w:r w:rsidR="00DA7D32" w:rsidRPr="00D6081D">
        <w:rPr>
          <w:rFonts w:ascii="Times New Roman" w:hAnsi="Times New Roman"/>
          <w:sz w:val="24"/>
          <w:szCs w:val="24"/>
        </w:rPr>
        <w:t>ла</w:t>
      </w:r>
      <w:r w:rsidRPr="00D6081D">
        <w:rPr>
          <w:rFonts w:ascii="Times New Roman" w:hAnsi="Times New Roman"/>
          <w:sz w:val="24"/>
          <w:szCs w:val="24"/>
        </w:rPr>
        <w:t xml:space="preserve"> 1006,4 тыс. рублей.</w:t>
      </w:r>
      <w:r w:rsidR="004E60D2" w:rsidRPr="00D608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0275" w:rsidRPr="00D6081D" w:rsidRDefault="0048216E" w:rsidP="004E60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6081D">
        <w:rPr>
          <w:rFonts w:ascii="Times New Roman" w:hAnsi="Times New Roman"/>
          <w:sz w:val="24"/>
          <w:szCs w:val="24"/>
        </w:rPr>
        <w:t>Кредиторская задолженность на 01.01.2020 по сравнению с началом 2019 года увеличилась в 63</w:t>
      </w:r>
      <w:r w:rsidR="00DA7D32" w:rsidRPr="00D6081D">
        <w:rPr>
          <w:rFonts w:ascii="Times New Roman" w:hAnsi="Times New Roman"/>
          <w:sz w:val="24"/>
          <w:szCs w:val="24"/>
        </w:rPr>
        <w:t>3</w:t>
      </w:r>
      <w:r w:rsidRPr="00D6081D">
        <w:rPr>
          <w:rFonts w:ascii="Times New Roman" w:hAnsi="Times New Roman"/>
          <w:sz w:val="24"/>
          <w:szCs w:val="24"/>
        </w:rPr>
        <w:t xml:space="preserve"> раза и составила 32234,4 тыс. рублей. Основная сумма задолженности (32199,7 тыс. руб.) приходится на задолженность перед Минспортом РФ по  в</w:t>
      </w:r>
      <w:r w:rsidRPr="00D6081D">
        <w:rPr>
          <w:rFonts w:ascii="Times New Roman" w:hAnsi="Times New Roman"/>
          <w:sz w:val="24"/>
          <w:szCs w:val="24"/>
          <w:lang w:eastAsia="ru-RU"/>
        </w:rPr>
        <w:t xml:space="preserve">озврату остатков иных межбюджетных трансфертов на софинансирование мероприятий по подготовке к проведению </w:t>
      </w:r>
      <w:r w:rsidRPr="00D6081D">
        <w:rPr>
          <w:rFonts w:ascii="Times New Roman" w:hAnsi="Times New Roman" w:cs="Times New Roman"/>
          <w:sz w:val="24"/>
          <w:szCs w:val="24"/>
          <w:lang w:eastAsia="ru-RU"/>
        </w:rPr>
        <w:t>чемпионата мира по футболу FIFA 2018 года в РФ</w:t>
      </w:r>
      <w:r w:rsidR="00424B56"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были перечислены </w:t>
      </w:r>
      <w:r w:rsidR="00994AEB"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АНО «Арена-2018» </w:t>
      </w:r>
      <w:r w:rsidR="00424B56" w:rsidRPr="00D6081D">
        <w:rPr>
          <w:rFonts w:ascii="Times New Roman" w:hAnsi="Times New Roman" w:cs="Times New Roman"/>
          <w:sz w:val="24"/>
          <w:szCs w:val="24"/>
          <w:lang w:eastAsia="ru-RU"/>
        </w:rPr>
        <w:t>на лицевой счет Облтуризма</w:t>
      </w:r>
      <w:r w:rsidR="00994AEB"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 в 2019 году</w:t>
      </w:r>
      <w:r w:rsidR="00E80275" w:rsidRPr="00D6081D">
        <w:rPr>
          <w:rFonts w:ascii="Times New Roman" w:hAnsi="Times New Roman" w:cs="Times New Roman"/>
          <w:sz w:val="24"/>
          <w:szCs w:val="24"/>
        </w:rPr>
        <w:t>.</w:t>
      </w:r>
    </w:p>
    <w:p w:rsidR="00C258F3" w:rsidRPr="00D6081D" w:rsidRDefault="00AA474B" w:rsidP="004E60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Комитетом были заключены 2 соглашения о предоставлении субсидии на иные цели </w:t>
      </w:r>
      <w:r w:rsidRPr="00D6081D">
        <w:rPr>
          <w:rFonts w:ascii="Times New Roman" w:hAnsi="Times New Roman" w:cs="Times New Roman"/>
          <w:sz w:val="24"/>
          <w:szCs w:val="24"/>
        </w:rPr>
        <w:t xml:space="preserve">с Агентством развития туризма </w:t>
      </w:r>
      <w:r w:rsidRPr="00D6081D">
        <w:rPr>
          <w:rFonts w:ascii="Times New Roman" w:hAnsi="Times New Roman" w:cs="Times New Roman"/>
          <w:sz w:val="24"/>
          <w:szCs w:val="24"/>
          <w:lang w:eastAsia="ru-RU"/>
        </w:rPr>
        <w:t>на общую сумму 26788,2 тыс. руб., в целях реализации мероприятий ГП Развитие туризма, финансирование которых в 2019 году не</w:t>
      </w:r>
      <w:r w:rsidR="000334E0"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 было</w:t>
      </w:r>
      <w:r w:rsidRPr="00D6081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предусмотрено Законом об областном бюджете на 2019 год и Постановлением №168-п, что является нарушением раздела 4 ГП Развитие туризма.</w:t>
      </w:r>
    </w:p>
    <w:p w:rsidR="007A7605" w:rsidRPr="00D6081D" w:rsidRDefault="007A7605" w:rsidP="004E60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D6081D">
        <w:rPr>
          <w:rFonts w:ascii="Times New Roman" w:hAnsi="Times New Roman"/>
          <w:sz w:val="24"/>
          <w:szCs w:val="24"/>
          <w:lang w:eastAsia="ru-RU"/>
        </w:rPr>
        <w:t>Комитетом при исполнении областного бюджета не соблюден принцип результативности использования бюджетных средств, закрепленный ст.34 Бюджетного кодекса РФ</w:t>
      </w:r>
      <w:r w:rsidR="00EB2A20" w:rsidRPr="00D6081D">
        <w:rPr>
          <w:rFonts w:ascii="Times New Roman" w:hAnsi="Times New Roman"/>
          <w:sz w:val="24"/>
          <w:szCs w:val="24"/>
          <w:lang w:eastAsia="ru-RU"/>
        </w:rPr>
        <w:t xml:space="preserve">, при реализации мероприятия ГП Развитие туризма </w:t>
      </w:r>
      <w:r w:rsidR="00EB2A20" w:rsidRPr="00D6081D">
        <w:rPr>
          <w:rFonts w:ascii="Times New Roman" w:hAnsi="Times New Roman"/>
          <w:i/>
          <w:sz w:val="24"/>
          <w:szCs w:val="24"/>
          <w:lang w:eastAsia="ru-RU"/>
        </w:rPr>
        <w:t xml:space="preserve">«Предоставление субсидий на иные цели государственному автономному учреждению Волгоградской области "Агентство развития туризма" на ремонт помещений в здании центрального универмага» </w:t>
      </w:r>
      <w:r w:rsidR="00EB2A20" w:rsidRPr="00D6081D">
        <w:rPr>
          <w:rFonts w:ascii="Times New Roman" w:hAnsi="Times New Roman"/>
          <w:sz w:val="24"/>
          <w:szCs w:val="24"/>
          <w:lang w:eastAsia="ru-RU"/>
        </w:rPr>
        <w:t xml:space="preserve">по причине расторжения 16.12.2019 года </w:t>
      </w:r>
      <w:r w:rsidR="00243793" w:rsidRPr="00D6081D">
        <w:rPr>
          <w:rFonts w:ascii="Times New Roman" w:hAnsi="Times New Roman"/>
          <w:sz w:val="24"/>
          <w:szCs w:val="24"/>
          <w:lang w:eastAsia="ru-RU"/>
        </w:rPr>
        <w:t>договора от 11.07.2019 №02</w:t>
      </w:r>
      <w:r w:rsidR="002C47F8" w:rsidRPr="00D6081D">
        <w:rPr>
          <w:rFonts w:ascii="Times New Roman" w:hAnsi="Times New Roman"/>
          <w:sz w:val="24"/>
          <w:szCs w:val="24"/>
          <w:lang w:eastAsia="ru-RU"/>
        </w:rPr>
        <w:t xml:space="preserve"> о передаче в безвозмездное пользование Агентству развития туризма помещений в здании центрального универмага для </w:t>
      </w:r>
      <w:r w:rsidR="00F25B2A" w:rsidRPr="00D6081D">
        <w:rPr>
          <w:rFonts w:ascii="Times New Roman" w:hAnsi="Times New Roman"/>
          <w:sz w:val="24"/>
          <w:szCs w:val="24"/>
          <w:lang w:eastAsia="ru-RU"/>
        </w:rPr>
        <w:t>осуществления его уставной деятельности</w:t>
      </w:r>
      <w:r w:rsidR="004478B1" w:rsidRPr="00D6081D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E85DEB" w:rsidRPr="00D6081D">
        <w:rPr>
          <w:rFonts w:ascii="Times New Roman" w:hAnsi="Times New Roman"/>
          <w:sz w:val="24"/>
          <w:szCs w:val="24"/>
          <w:lang w:eastAsia="ru-RU"/>
        </w:rPr>
        <w:t>может привести к риску</w:t>
      </w:r>
      <w:r w:rsidR="004478B1" w:rsidRPr="00D6081D">
        <w:rPr>
          <w:rFonts w:ascii="Times New Roman" w:hAnsi="Times New Roman"/>
          <w:sz w:val="24"/>
          <w:szCs w:val="24"/>
          <w:lang w:eastAsia="ru-RU"/>
        </w:rPr>
        <w:t xml:space="preserve"> неэффективно</w:t>
      </w:r>
      <w:r w:rsidR="00E85DEB" w:rsidRPr="00D6081D">
        <w:rPr>
          <w:rFonts w:ascii="Times New Roman" w:hAnsi="Times New Roman"/>
          <w:sz w:val="24"/>
          <w:szCs w:val="24"/>
          <w:lang w:eastAsia="ru-RU"/>
        </w:rPr>
        <w:t>го</w:t>
      </w:r>
      <w:r w:rsidR="004478B1" w:rsidRPr="00D6081D">
        <w:rPr>
          <w:rFonts w:ascii="Times New Roman" w:hAnsi="Times New Roman"/>
          <w:sz w:val="24"/>
          <w:szCs w:val="24"/>
          <w:lang w:eastAsia="ru-RU"/>
        </w:rPr>
        <w:t xml:space="preserve"> расходовани</w:t>
      </w:r>
      <w:r w:rsidR="00E85DEB" w:rsidRPr="00D6081D">
        <w:rPr>
          <w:rFonts w:ascii="Times New Roman" w:hAnsi="Times New Roman"/>
          <w:sz w:val="24"/>
          <w:szCs w:val="24"/>
          <w:lang w:eastAsia="ru-RU"/>
        </w:rPr>
        <w:t>я</w:t>
      </w:r>
      <w:r w:rsidR="004478B1" w:rsidRPr="00D6081D">
        <w:rPr>
          <w:rFonts w:ascii="Times New Roman" w:hAnsi="Times New Roman"/>
          <w:sz w:val="24"/>
          <w:szCs w:val="24"/>
          <w:lang w:eastAsia="ru-RU"/>
        </w:rPr>
        <w:t xml:space="preserve"> бюджетных средств в сумме </w:t>
      </w:r>
      <w:r w:rsidR="00BE369F" w:rsidRPr="00D6081D">
        <w:rPr>
          <w:rFonts w:ascii="Times New Roman" w:hAnsi="Times New Roman"/>
          <w:sz w:val="24"/>
          <w:szCs w:val="24"/>
          <w:lang w:eastAsia="ru-RU"/>
        </w:rPr>
        <w:t>9532,9 тыс. рублей</w:t>
      </w:r>
      <w:r w:rsidR="00F25B2A" w:rsidRPr="00D6081D">
        <w:rPr>
          <w:rFonts w:ascii="Times New Roman" w:hAnsi="Times New Roman"/>
          <w:sz w:val="24"/>
          <w:szCs w:val="24"/>
          <w:lang w:eastAsia="ru-RU"/>
        </w:rPr>
        <w:t>.</w:t>
      </w:r>
    </w:p>
    <w:p w:rsidR="003560BF" w:rsidRPr="00D6081D" w:rsidRDefault="003560BF" w:rsidP="00FC5C39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8C0092" w:rsidRPr="00D6081D" w:rsidRDefault="008C0092" w:rsidP="00FC5C39">
      <w:pPr>
        <w:ind w:firstLine="708"/>
        <w:jc w:val="both"/>
      </w:pPr>
    </w:p>
    <w:p w:rsidR="008E173D" w:rsidRPr="006D52A0" w:rsidRDefault="004D6F3C" w:rsidP="00B3213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D6081D">
        <w:rPr>
          <w:b/>
          <w:noProof/>
        </w:rPr>
        <w:t>Аудитор                                                                                                М.Е.Татаринцев</w:t>
      </w:r>
    </w:p>
    <w:sectPr w:rsidR="008E173D" w:rsidRPr="006D52A0" w:rsidSect="00D20EF3">
      <w:headerReference w:type="even" r:id="rId10"/>
      <w:headerReference w:type="default" r:id="rId11"/>
      <w:pgSz w:w="11906" w:h="16838" w:code="9"/>
      <w:pgMar w:top="1135" w:right="70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0F" w:rsidRDefault="00B5000F" w:rsidP="00223DA8">
      <w:r>
        <w:separator/>
      </w:r>
    </w:p>
  </w:endnote>
  <w:endnote w:type="continuationSeparator" w:id="1">
    <w:p w:rsidR="00B5000F" w:rsidRDefault="00B5000F" w:rsidP="0022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0F" w:rsidRDefault="00B5000F" w:rsidP="00223DA8">
      <w:r>
        <w:separator/>
      </w:r>
    </w:p>
  </w:footnote>
  <w:footnote w:type="continuationSeparator" w:id="1">
    <w:p w:rsidR="00B5000F" w:rsidRDefault="00B5000F" w:rsidP="00223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23" w:rsidRDefault="00322223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2223" w:rsidRDefault="003222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23" w:rsidRDefault="00322223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46E4">
      <w:rPr>
        <w:rStyle w:val="a9"/>
        <w:noProof/>
      </w:rPr>
      <w:t>8</w:t>
    </w:r>
    <w:r>
      <w:rPr>
        <w:rStyle w:val="a9"/>
      </w:rPr>
      <w:fldChar w:fldCharType="end"/>
    </w:r>
  </w:p>
  <w:p w:rsidR="00322223" w:rsidRDefault="003222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41F03"/>
    <w:multiLevelType w:val="hybridMultilevel"/>
    <w:tmpl w:val="E9D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4795"/>
    <w:multiLevelType w:val="hybridMultilevel"/>
    <w:tmpl w:val="C6B487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3A6D1D"/>
    <w:multiLevelType w:val="hybridMultilevel"/>
    <w:tmpl w:val="75C22F8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5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706E15"/>
    <w:multiLevelType w:val="hybridMultilevel"/>
    <w:tmpl w:val="0AB05B94"/>
    <w:lvl w:ilvl="0" w:tplc="D6F053D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DC6E06"/>
    <w:multiLevelType w:val="hybridMultilevel"/>
    <w:tmpl w:val="54F2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65EDB"/>
    <w:multiLevelType w:val="hybridMultilevel"/>
    <w:tmpl w:val="89E00092"/>
    <w:lvl w:ilvl="0" w:tplc="E4CADF5C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26BC8"/>
    <w:multiLevelType w:val="hybridMultilevel"/>
    <w:tmpl w:val="E20C9C66"/>
    <w:lvl w:ilvl="0" w:tplc="90582DF6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3218D"/>
    <w:multiLevelType w:val="hybridMultilevel"/>
    <w:tmpl w:val="90244E7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58601B82"/>
    <w:multiLevelType w:val="hybridMultilevel"/>
    <w:tmpl w:val="DC7CFC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F63503"/>
    <w:multiLevelType w:val="hybridMultilevel"/>
    <w:tmpl w:val="D6CCD6E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65D4778"/>
    <w:multiLevelType w:val="hybridMultilevel"/>
    <w:tmpl w:val="4CCE04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C6FCF"/>
    <w:multiLevelType w:val="hybridMultilevel"/>
    <w:tmpl w:val="71F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/>
  <w:rsids>
    <w:rsidRoot w:val="00DD3278"/>
    <w:rsid w:val="0000228C"/>
    <w:rsid w:val="000035B0"/>
    <w:rsid w:val="00004146"/>
    <w:rsid w:val="00005C82"/>
    <w:rsid w:val="00006320"/>
    <w:rsid w:val="0000661F"/>
    <w:rsid w:val="00007A61"/>
    <w:rsid w:val="0001026D"/>
    <w:rsid w:val="00010B0A"/>
    <w:rsid w:val="00014D26"/>
    <w:rsid w:val="0001528C"/>
    <w:rsid w:val="00015588"/>
    <w:rsid w:val="00016A9C"/>
    <w:rsid w:val="00017353"/>
    <w:rsid w:val="00017482"/>
    <w:rsid w:val="00020B0D"/>
    <w:rsid w:val="000217BB"/>
    <w:rsid w:val="00022B3B"/>
    <w:rsid w:val="00022E2A"/>
    <w:rsid w:val="00023A44"/>
    <w:rsid w:val="00024578"/>
    <w:rsid w:val="00026922"/>
    <w:rsid w:val="00027206"/>
    <w:rsid w:val="00027577"/>
    <w:rsid w:val="000334E0"/>
    <w:rsid w:val="000337F6"/>
    <w:rsid w:val="00033925"/>
    <w:rsid w:val="00034DCA"/>
    <w:rsid w:val="0003532A"/>
    <w:rsid w:val="0003539D"/>
    <w:rsid w:val="00041499"/>
    <w:rsid w:val="00041DC1"/>
    <w:rsid w:val="00041FE3"/>
    <w:rsid w:val="00042FD4"/>
    <w:rsid w:val="00043204"/>
    <w:rsid w:val="000435E1"/>
    <w:rsid w:val="000438F5"/>
    <w:rsid w:val="00043F8E"/>
    <w:rsid w:val="00044F46"/>
    <w:rsid w:val="00045A77"/>
    <w:rsid w:val="000468EB"/>
    <w:rsid w:val="00052BF7"/>
    <w:rsid w:val="0005604B"/>
    <w:rsid w:val="0006057C"/>
    <w:rsid w:val="000607BC"/>
    <w:rsid w:val="00062502"/>
    <w:rsid w:val="0006410F"/>
    <w:rsid w:val="00066955"/>
    <w:rsid w:val="000675FF"/>
    <w:rsid w:val="00075972"/>
    <w:rsid w:val="000806D4"/>
    <w:rsid w:val="00081DC9"/>
    <w:rsid w:val="00082EF2"/>
    <w:rsid w:val="00084B08"/>
    <w:rsid w:val="00084EBA"/>
    <w:rsid w:val="00085216"/>
    <w:rsid w:val="00087945"/>
    <w:rsid w:val="0009075A"/>
    <w:rsid w:val="000908AB"/>
    <w:rsid w:val="00091185"/>
    <w:rsid w:val="00095185"/>
    <w:rsid w:val="000953AB"/>
    <w:rsid w:val="00095BEC"/>
    <w:rsid w:val="0009778B"/>
    <w:rsid w:val="000A0166"/>
    <w:rsid w:val="000A04C4"/>
    <w:rsid w:val="000A19D0"/>
    <w:rsid w:val="000A203B"/>
    <w:rsid w:val="000A4034"/>
    <w:rsid w:val="000A4E6F"/>
    <w:rsid w:val="000B0EFF"/>
    <w:rsid w:val="000B4857"/>
    <w:rsid w:val="000B5441"/>
    <w:rsid w:val="000B7722"/>
    <w:rsid w:val="000C06DC"/>
    <w:rsid w:val="000C1D5A"/>
    <w:rsid w:val="000C280C"/>
    <w:rsid w:val="000C2842"/>
    <w:rsid w:val="000C2AD2"/>
    <w:rsid w:val="000C441F"/>
    <w:rsid w:val="000C497E"/>
    <w:rsid w:val="000C4A32"/>
    <w:rsid w:val="000C5102"/>
    <w:rsid w:val="000C680E"/>
    <w:rsid w:val="000C79C7"/>
    <w:rsid w:val="000D2936"/>
    <w:rsid w:val="000D305B"/>
    <w:rsid w:val="000D3FCA"/>
    <w:rsid w:val="000D5266"/>
    <w:rsid w:val="000D6246"/>
    <w:rsid w:val="000E0DA1"/>
    <w:rsid w:val="000E12F0"/>
    <w:rsid w:val="000E3675"/>
    <w:rsid w:val="000E4E87"/>
    <w:rsid w:val="000F5A9A"/>
    <w:rsid w:val="000F792A"/>
    <w:rsid w:val="0010063D"/>
    <w:rsid w:val="00101CF7"/>
    <w:rsid w:val="00104AF5"/>
    <w:rsid w:val="001063D4"/>
    <w:rsid w:val="00106CC5"/>
    <w:rsid w:val="001072DA"/>
    <w:rsid w:val="001075E3"/>
    <w:rsid w:val="001124B8"/>
    <w:rsid w:val="0011292D"/>
    <w:rsid w:val="001135BE"/>
    <w:rsid w:val="001169E4"/>
    <w:rsid w:val="00120FCF"/>
    <w:rsid w:val="00123597"/>
    <w:rsid w:val="001242F9"/>
    <w:rsid w:val="001251C7"/>
    <w:rsid w:val="00127F2A"/>
    <w:rsid w:val="00132CDF"/>
    <w:rsid w:val="0013432C"/>
    <w:rsid w:val="001357BE"/>
    <w:rsid w:val="00136500"/>
    <w:rsid w:val="001365D7"/>
    <w:rsid w:val="0013690E"/>
    <w:rsid w:val="001422C4"/>
    <w:rsid w:val="001424E4"/>
    <w:rsid w:val="00144E6B"/>
    <w:rsid w:val="001458E7"/>
    <w:rsid w:val="001460A5"/>
    <w:rsid w:val="00146BD2"/>
    <w:rsid w:val="001479D7"/>
    <w:rsid w:val="001515A1"/>
    <w:rsid w:val="001542BE"/>
    <w:rsid w:val="0015780D"/>
    <w:rsid w:val="00162649"/>
    <w:rsid w:val="00164289"/>
    <w:rsid w:val="00166202"/>
    <w:rsid w:val="001671C3"/>
    <w:rsid w:val="0016773D"/>
    <w:rsid w:val="001719B4"/>
    <w:rsid w:val="00172168"/>
    <w:rsid w:val="00173AC4"/>
    <w:rsid w:val="00174040"/>
    <w:rsid w:val="00185EA8"/>
    <w:rsid w:val="001919BD"/>
    <w:rsid w:val="00192206"/>
    <w:rsid w:val="00192C42"/>
    <w:rsid w:val="00194F7B"/>
    <w:rsid w:val="00196A12"/>
    <w:rsid w:val="001978BC"/>
    <w:rsid w:val="00197A80"/>
    <w:rsid w:val="001A0B5F"/>
    <w:rsid w:val="001A1528"/>
    <w:rsid w:val="001A2034"/>
    <w:rsid w:val="001A2DFE"/>
    <w:rsid w:val="001A2E23"/>
    <w:rsid w:val="001A444C"/>
    <w:rsid w:val="001A5B4B"/>
    <w:rsid w:val="001A6C2D"/>
    <w:rsid w:val="001A706B"/>
    <w:rsid w:val="001A7C28"/>
    <w:rsid w:val="001B094F"/>
    <w:rsid w:val="001C27AE"/>
    <w:rsid w:val="001C3231"/>
    <w:rsid w:val="001C3389"/>
    <w:rsid w:val="001C4785"/>
    <w:rsid w:val="001C6F48"/>
    <w:rsid w:val="001D0833"/>
    <w:rsid w:val="001D3550"/>
    <w:rsid w:val="001D356C"/>
    <w:rsid w:val="001D3B12"/>
    <w:rsid w:val="001D4F42"/>
    <w:rsid w:val="001D5D83"/>
    <w:rsid w:val="001D7E35"/>
    <w:rsid w:val="001E0D69"/>
    <w:rsid w:val="001E3A94"/>
    <w:rsid w:val="001E4F32"/>
    <w:rsid w:val="001E7143"/>
    <w:rsid w:val="001F0393"/>
    <w:rsid w:val="001F0BDB"/>
    <w:rsid w:val="001F0DDB"/>
    <w:rsid w:val="001F36C4"/>
    <w:rsid w:val="001F4A84"/>
    <w:rsid w:val="001F6515"/>
    <w:rsid w:val="001F6BE5"/>
    <w:rsid w:val="001F7140"/>
    <w:rsid w:val="002010E2"/>
    <w:rsid w:val="00201F95"/>
    <w:rsid w:val="002031C8"/>
    <w:rsid w:val="00207C52"/>
    <w:rsid w:val="00210137"/>
    <w:rsid w:val="00211D57"/>
    <w:rsid w:val="00217638"/>
    <w:rsid w:val="00221722"/>
    <w:rsid w:val="00222690"/>
    <w:rsid w:val="002234E0"/>
    <w:rsid w:val="00223DA8"/>
    <w:rsid w:val="00224D18"/>
    <w:rsid w:val="002303A6"/>
    <w:rsid w:val="002315AF"/>
    <w:rsid w:val="00234694"/>
    <w:rsid w:val="00234D5A"/>
    <w:rsid w:val="0023533C"/>
    <w:rsid w:val="00236873"/>
    <w:rsid w:val="00242958"/>
    <w:rsid w:val="00242B17"/>
    <w:rsid w:val="00243793"/>
    <w:rsid w:val="00244E5C"/>
    <w:rsid w:val="00245E63"/>
    <w:rsid w:val="0025062C"/>
    <w:rsid w:val="00250C8F"/>
    <w:rsid w:val="00253AB4"/>
    <w:rsid w:val="002543A2"/>
    <w:rsid w:val="002553C3"/>
    <w:rsid w:val="002553D4"/>
    <w:rsid w:val="00255A15"/>
    <w:rsid w:val="00256FA2"/>
    <w:rsid w:val="00261F1B"/>
    <w:rsid w:val="00263D59"/>
    <w:rsid w:val="002641CD"/>
    <w:rsid w:val="00264788"/>
    <w:rsid w:val="002657D0"/>
    <w:rsid w:val="00265C99"/>
    <w:rsid w:val="00267260"/>
    <w:rsid w:val="00267685"/>
    <w:rsid w:val="00272442"/>
    <w:rsid w:val="00272C22"/>
    <w:rsid w:val="00273DCE"/>
    <w:rsid w:val="00274371"/>
    <w:rsid w:val="00274C33"/>
    <w:rsid w:val="00274FFC"/>
    <w:rsid w:val="00281D73"/>
    <w:rsid w:val="002825AB"/>
    <w:rsid w:val="00283043"/>
    <w:rsid w:val="00283094"/>
    <w:rsid w:val="0028373C"/>
    <w:rsid w:val="00283A3C"/>
    <w:rsid w:val="00284ED4"/>
    <w:rsid w:val="00285723"/>
    <w:rsid w:val="002858A8"/>
    <w:rsid w:val="00286D80"/>
    <w:rsid w:val="002875E5"/>
    <w:rsid w:val="00287A1A"/>
    <w:rsid w:val="00290E1B"/>
    <w:rsid w:val="00294253"/>
    <w:rsid w:val="0029543F"/>
    <w:rsid w:val="00297F49"/>
    <w:rsid w:val="002A2A1E"/>
    <w:rsid w:val="002A5423"/>
    <w:rsid w:val="002A5A1D"/>
    <w:rsid w:val="002A7A47"/>
    <w:rsid w:val="002B0379"/>
    <w:rsid w:val="002B2F80"/>
    <w:rsid w:val="002B33EB"/>
    <w:rsid w:val="002B3C2F"/>
    <w:rsid w:val="002B51D3"/>
    <w:rsid w:val="002C1862"/>
    <w:rsid w:val="002C2421"/>
    <w:rsid w:val="002C44DC"/>
    <w:rsid w:val="002C47F8"/>
    <w:rsid w:val="002D06EB"/>
    <w:rsid w:val="002D42E9"/>
    <w:rsid w:val="002D4D59"/>
    <w:rsid w:val="002E0669"/>
    <w:rsid w:val="002E0F8A"/>
    <w:rsid w:val="002E48FF"/>
    <w:rsid w:val="002E4E11"/>
    <w:rsid w:val="002E73C7"/>
    <w:rsid w:val="002F6664"/>
    <w:rsid w:val="002F7D0D"/>
    <w:rsid w:val="00301861"/>
    <w:rsid w:val="00305D9C"/>
    <w:rsid w:val="0030643F"/>
    <w:rsid w:val="003109E6"/>
    <w:rsid w:val="003126F3"/>
    <w:rsid w:val="003129D5"/>
    <w:rsid w:val="00316F5D"/>
    <w:rsid w:val="00322223"/>
    <w:rsid w:val="00322D77"/>
    <w:rsid w:val="00323480"/>
    <w:rsid w:val="0032483D"/>
    <w:rsid w:val="0032633D"/>
    <w:rsid w:val="003301D8"/>
    <w:rsid w:val="00331AF8"/>
    <w:rsid w:val="00332091"/>
    <w:rsid w:val="00332D1B"/>
    <w:rsid w:val="003339CB"/>
    <w:rsid w:val="00333B18"/>
    <w:rsid w:val="00333EE5"/>
    <w:rsid w:val="0033720E"/>
    <w:rsid w:val="00337771"/>
    <w:rsid w:val="00341C5B"/>
    <w:rsid w:val="00347C62"/>
    <w:rsid w:val="00350C67"/>
    <w:rsid w:val="00353615"/>
    <w:rsid w:val="0035565A"/>
    <w:rsid w:val="00355EF1"/>
    <w:rsid w:val="003560BF"/>
    <w:rsid w:val="00357BB3"/>
    <w:rsid w:val="0036221F"/>
    <w:rsid w:val="00362A01"/>
    <w:rsid w:val="00365EC6"/>
    <w:rsid w:val="00366AF4"/>
    <w:rsid w:val="00370C4F"/>
    <w:rsid w:val="00371177"/>
    <w:rsid w:val="00372256"/>
    <w:rsid w:val="00375949"/>
    <w:rsid w:val="00376660"/>
    <w:rsid w:val="00377754"/>
    <w:rsid w:val="00381D72"/>
    <w:rsid w:val="00381E05"/>
    <w:rsid w:val="003820F3"/>
    <w:rsid w:val="003830F3"/>
    <w:rsid w:val="00383192"/>
    <w:rsid w:val="00383A48"/>
    <w:rsid w:val="00383A6C"/>
    <w:rsid w:val="003842D6"/>
    <w:rsid w:val="00385785"/>
    <w:rsid w:val="00385A1D"/>
    <w:rsid w:val="00386BD2"/>
    <w:rsid w:val="00386E61"/>
    <w:rsid w:val="00387FFC"/>
    <w:rsid w:val="00391780"/>
    <w:rsid w:val="00391B96"/>
    <w:rsid w:val="00393FCD"/>
    <w:rsid w:val="0039504A"/>
    <w:rsid w:val="0039527B"/>
    <w:rsid w:val="003960EF"/>
    <w:rsid w:val="003967CE"/>
    <w:rsid w:val="0039717A"/>
    <w:rsid w:val="003A05F9"/>
    <w:rsid w:val="003A25C0"/>
    <w:rsid w:val="003A4026"/>
    <w:rsid w:val="003A4A5D"/>
    <w:rsid w:val="003B3908"/>
    <w:rsid w:val="003B4EAB"/>
    <w:rsid w:val="003C6FA6"/>
    <w:rsid w:val="003E2071"/>
    <w:rsid w:val="003E5A7C"/>
    <w:rsid w:val="003E61A2"/>
    <w:rsid w:val="003E6AD0"/>
    <w:rsid w:val="003F01BE"/>
    <w:rsid w:val="003F0396"/>
    <w:rsid w:val="003F19E8"/>
    <w:rsid w:val="003F222D"/>
    <w:rsid w:val="003F23C4"/>
    <w:rsid w:val="003F34D5"/>
    <w:rsid w:val="003F76BC"/>
    <w:rsid w:val="004005AF"/>
    <w:rsid w:val="004008C4"/>
    <w:rsid w:val="004028FB"/>
    <w:rsid w:val="00402AD5"/>
    <w:rsid w:val="00403B6B"/>
    <w:rsid w:val="00410761"/>
    <w:rsid w:val="004141CA"/>
    <w:rsid w:val="00420252"/>
    <w:rsid w:val="00424536"/>
    <w:rsid w:val="00424B56"/>
    <w:rsid w:val="004314E9"/>
    <w:rsid w:val="004317BE"/>
    <w:rsid w:val="004319CE"/>
    <w:rsid w:val="00432A12"/>
    <w:rsid w:val="00432F2F"/>
    <w:rsid w:val="0043332F"/>
    <w:rsid w:val="00440CBE"/>
    <w:rsid w:val="00442085"/>
    <w:rsid w:val="00442AC3"/>
    <w:rsid w:val="00447094"/>
    <w:rsid w:val="004478B1"/>
    <w:rsid w:val="004500D8"/>
    <w:rsid w:val="00450426"/>
    <w:rsid w:val="004509EB"/>
    <w:rsid w:val="00451012"/>
    <w:rsid w:val="00452147"/>
    <w:rsid w:val="0045354F"/>
    <w:rsid w:val="00454789"/>
    <w:rsid w:val="00460AD9"/>
    <w:rsid w:val="004610C3"/>
    <w:rsid w:val="0046518B"/>
    <w:rsid w:val="00471E33"/>
    <w:rsid w:val="00474B91"/>
    <w:rsid w:val="004755FC"/>
    <w:rsid w:val="0047577B"/>
    <w:rsid w:val="00480894"/>
    <w:rsid w:val="0048197D"/>
    <w:rsid w:val="0048216E"/>
    <w:rsid w:val="004831C2"/>
    <w:rsid w:val="004833C7"/>
    <w:rsid w:val="0048381D"/>
    <w:rsid w:val="004846D6"/>
    <w:rsid w:val="00484868"/>
    <w:rsid w:val="00484D01"/>
    <w:rsid w:val="004861EC"/>
    <w:rsid w:val="00486A5D"/>
    <w:rsid w:val="00487D78"/>
    <w:rsid w:val="00491577"/>
    <w:rsid w:val="00495E2C"/>
    <w:rsid w:val="00497844"/>
    <w:rsid w:val="004A0BE2"/>
    <w:rsid w:val="004A131D"/>
    <w:rsid w:val="004A340C"/>
    <w:rsid w:val="004A3EE6"/>
    <w:rsid w:val="004A414C"/>
    <w:rsid w:val="004A4FD3"/>
    <w:rsid w:val="004A75BE"/>
    <w:rsid w:val="004A7B69"/>
    <w:rsid w:val="004B11C4"/>
    <w:rsid w:val="004B1463"/>
    <w:rsid w:val="004B23E4"/>
    <w:rsid w:val="004B67FA"/>
    <w:rsid w:val="004B717F"/>
    <w:rsid w:val="004C03C5"/>
    <w:rsid w:val="004C33A8"/>
    <w:rsid w:val="004C6555"/>
    <w:rsid w:val="004C70AF"/>
    <w:rsid w:val="004C7734"/>
    <w:rsid w:val="004C7E8D"/>
    <w:rsid w:val="004D001A"/>
    <w:rsid w:val="004D17CA"/>
    <w:rsid w:val="004D19C4"/>
    <w:rsid w:val="004D6D38"/>
    <w:rsid w:val="004D6F3C"/>
    <w:rsid w:val="004E059D"/>
    <w:rsid w:val="004E174D"/>
    <w:rsid w:val="004E21E9"/>
    <w:rsid w:val="004E4110"/>
    <w:rsid w:val="004E4580"/>
    <w:rsid w:val="004E4F08"/>
    <w:rsid w:val="004E4FA7"/>
    <w:rsid w:val="004E584F"/>
    <w:rsid w:val="004E5C81"/>
    <w:rsid w:val="004E5D4D"/>
    <w:rsid w:val="004E60D2"/>
    <w:rsid w:val="004E7963"/>
    <w:rsid w:val="004F4514"/>
    <w:rsid w:val="004F4B1A"/>
    <w:rsid w:val="004F4B98"/>
    <w:rsid w:val="004F5331"/>
    <w:rsid w:val="004F5534"/>
    <w:rsid w:val="004F72C9"/>
    <w:rsid w:val="00500DDA"/>
    <w:rsid w:val="00500FC1"/>
    <w:rsid w:val="00502693"/>
    <w:rsid w:val="00503757"/>
    <w:rsid w:val="00503EE0"/>
    <w:rsid w:val="00504A65"/>
    <w:rsid w:val="005050A4"/>
    <w:rsid w:val="00506C7F"/>
    <w:rsid w:val="00506DD0"/>
    <w:rsid w:val="00507203"/>
    <w:rsid w:val="00507ABC"/>
    <w:rsid w:val="00507BF9"/>
    <w:rsid w:val="00510C18"/>
    <w:rsid w:val="00515DF2"/>
    <w:rsid w:val="00516E60"/>
    <w:rsid w:val="00524F78"/>
    <w:rsid w:val="00525F47"/>
    <w:rsid w:val="00527AA0"/>
    <w:rsid w:val="0053131A"/>
    <w:rsid w:val="00531A38"/>
    <w:rsid w:val="005329CE"/>
    <w:rsid w:val="00533ADC"/>
    <w:rsid w:val="005348B4"/>
    <w:rsid w:val="0053575B"/>
    <w:rsid w:val="005376CA"/>
    <w:rsid w:val="00537A88"/>
    <w:rsid w:val="00540C56"/>
    <w:rsid w:val="0054131C"/>
    <w:rsid w:val="00544B40"/>
    <w:rsid w:val="0054559A"/>
    <w:rsid w:val="00545B6B"/>
    <w:rsid w:val="00551709"/>
    <w:rsid w:val="005520B0"/>
    <w:rsid w:val="00552853"/>
    <w:rsid w:val="005566CF"/>
    <w:rsid w:val="005602B7"/>
    <w:rsid w:val="00560DA8"/>
    <w:rsid w:val="00561D14"/>
    <w:rsid w:val="00562DAD"/>
    <w:rsid w:val="00565772"/>
    <w:rsid w:val="005664BC"/>
    <w:rsid w:val="00573C49"/>
    <w:rsid w:val="005748EB"/>
    <w:rsid w:val="005753E0"/>
    <w:rsid w:val="005772A4"/>
    <w:rsid w:val="00581471"/>
    <w:rsid w:val="00582D8D"/>
    <w:rsid w:val="00585584"/>
    <w:rsid w:val="0058687A"/>
    <w:rsid w:val="00590A02"/>
    <w:rsid w:val="00592984"/>
    <w:rsid w:val="005951F3"/>
    <w:rsid w:val="00595DAF"/>
    <w:rsid w:val="00596AAC"/>
    <w:rsid w:val="00597629"/>
    <w:rsid w:val="00597B36"/>
    <w:rsid w:val="00597EC7"/>
    <w:rsid w:val="005A0A77"/>
    <w:rsid w:val="005A0DE1"/>
    <w:rsid w:val="005A3A35"/>
    <w:rsid w:val="005A4E1D"/>
    <w:rsid w:val="005A5160"/>
    <w:rsid w:val="005B173E"/>
    <w:rsid w:val="005B25A3"/>
    <w:rsid w:val="005B25D6"/>
    <w:rsid w:val="005B2E45"/>
    <w:rsid w:val="005B31FB"/>
    <w:rsid w:val="005B36AB"/>
    <w:rsid w:val="005B3804"/>
    <w:rsid w:val="005B7F0A"/>
    <w:rsid w:val="005C20B6"/>
    <w:rsid w:val="005C2440"/>
    <w:rsid w:val="005C3310"/>
    <w:rsid w:val="005C3F19"/>
    <w:rsid w:val="005C42CB"/>
    <w:rsid w:val="005C6DC5"/>
    <w:rsid w:val="005D246C"/>
    <w:rsid w:val="005D2B03"/>
    <w:rsid w:val="005D5AE9"/>
    <w:rsid w:val="005D7226"/>
    <w:rsid w:val="005D7261"/>
    <w:rsid w:val="005E1480"/>
    <w:rsid w:val="005E2A3F"/>
    <w:rsid w:val="005E4A2C"/>
    <w:rsid w:val="005E5D51"/>
    <w:rsid w:val="005F279C"/>
    <w:rsid w:val="005F2DFC"/>
    <w:rsid w:val="005F3C4F"/>
    <w:rsid w:val="005F4A58"/>
    <w:rsid w:val="005F7B2D"/>
    <w:rsid w:val="00601CA8"/>
    <w:rsid w:val="0060470C"/>
    <w:rsid w:val="0061068E"/>
    <w:rsid w:val="0061087E"/>
    <w:rsid w:val="00612C6B"/>
    <w:rsid w:val="00613F70"/>
    <w:rsid w:val="0062069F"/>
    <w:rsid w:val="006209C0"/>
    <w:rsid w:val="0062355D"/>
    <w:rsid w:val="00626D0C"/>
    <w:rsid w:val="00630BF1"/>
    <w:rsid w:val="00631B20"/>
    <w:rsid w:val="00634620"/>
    <w:rsid w:val="00634899"/>
    <w:rsid w:val="006351B3"/>
    <w:rsid w:val="00636AD7"/>
    <w:rsid w:val="006415E0"/>
    <w:rsid w:val="00642E68"/>
    <w:rsid w:val="006461FE"/>
    <w:rsid w:val="006521F7"/>
    <w:rsid w:val="00652250"/>
    <w:rsid w:val="00652359"/>
    <w:rsid w:val="00655FAC"/>
    <w:rsid w:val="00660CAB"/>
    <w:rsid w:val="006660B4"/>
    <w:rsid w:val="0066704C"/>
    <w:rsid w:val="006704BE"/>
    <w:rsid w:val="006735C5"/>
    <w:rsid w:val="00675E9E"/>
    <w:rsid w:val="0068349C"/>
    <w:rsid w:val="00683D86"/>
    <w:rsid w:val="00685176"/>
    <w:rsid w:val="00686658"/>
    <w:rsid w:val="0068722B"/>
    <w:rsid w:val="006904B3"/>
    <w:rsid w:val="006904EE"/>
    <w:rsid w:val="0069360A"/>
    <w:rsid w:val="00694A88"/>
    <w:rsid w:val="006978B6"/>
    <w:rsid w:val="006A0CAB"/>
    <w:rsid w:val="006A35B9"/>
    <w:rsid w:val="006A3898"/>
    <w:rsid w:val="006A54AB"/>
    <w:rsid w:val="006A6FE5"/>
    <w:rsid w:val="006B3425"/>
    <w:rsid w:val="006B3A37"/>
    <w:rsid w:val="006B3C4F"/>
    <w:rsid w:val="006B5748"/>
    <w:rsid w:val="006B6D9C"/>
    <w:rsid w:val="006C0A80"/>
    <w:rsid w:val="006C1DAE"/>
    <w:rsid w:val="006C2726"/>
    <w:rsid w:val="006C2E78"/>
    <w:rsid w:val="006C4783"/>
    <w:rsid w:val="006C4FBC"/>
    <w:rsid w:val="006C57B6"/>
    <w:rsid w:val="006C75E8"/>
    <w:rsid w:val="006D0918"/>
    <w:rsid w:val="006D1ECE"/>
    <w:rsid w:val="006D3803"/>
    <w:rsid w:val="006D52A0"/>
    <w:rsid w:val="006D5DA4"/>
    <w:rsid w:val="006D655D"/>
    <w:rsid w:val="006D733E"/>
    <w:rsid w:val="006D791F"/>
    <w:rsid w:val="006E04FF"/>
    <w:rsid w:val="006E0A3A"/>
    <w:rsid w:val="006E154B"/>
    <w:rsid w:val="006E19A7"/>
    <w:rsid w:val="006E1CBF"/>
    <w:rsid w:val="006E3533"/>
    <w:rsid w:val="006F0452"/>
    <w:rsid w:val="006F0504"/>
    <w:rsid w:val="006F1263"/>
    <w:rsid w:val="006F2E77"/>
    <w:rsid w:val="006F2EC9"/>
    <w:rsid w:val="006F33A2"/>
    <w:rsid w:val="00700334"/>
    <w:rsid w:val="007022FC"/>
    <w:rsid w:val="00705269"/>
    <w:rsid w:val="00706F66"/>
    <w:rsid w:val="007072CA"/>
    <w:rsid w:val="00707B60"/>
    <w:rsid w:val="00710E48"/>
    <w:rsid w:val="00712690"/>
    <w:rsid w:val="007127A3"/>
    <w:rsid w:val="00714D5B"/>
    <w:rsid w:val="00715AF1"/>
    <w:rsid w:val="00717C60"/>
    <w:rsid w:val="00721B9C"/>
    <w:rsid w:val="00722946"/>
    <w:rsid w:val="00722E34"/>
    <w:rsid w:val="00726362"/>
    <w:rsid w:val="00727018"/>
    <w:rsid w:val="0073099F"/>
    <w:rsid w:val="007318E1"/>
    <w:rsid w:val="00732A47"/>
    <w:rsid w:val="007349AB"/>
    <w:rsid w:val="00734EA1"/>
    <w:rsid w:val="007354A0"/>
    <w:rsid w:val="0073587A"/>
    <w:rsid w:val="007361C4"/>
    <w:rsid w:val="00736477"/>
    <w:rsid w:val="007377B7"/>
    <w:rsid w:val="00740B6F"/>
    <w:rsid w:val="007424F0"/>
    <w:rsid w:val="00745873"/>
    <w:rsid w:val="0074769D"/>
    <w:rsid w:val="007520E7"/>
    <w:rsid w:val="00752EBB"/>
    <w:rsid w:val="00753340"/>
    <w:rsid w:val="00756A21"/>
    <w:rsid w:val="00761FFB"/>
    <w:rsid w:val="0076461D"/>
    <w:rsid w:val="007659D7"/>
    <w:rsid w:val="00767429"/>
    <w:rsid w:val="0076749D"/>
    <w:rsid w:val="0077090B"/>
    <w:rsid w:val="00770A85"/>
    <w:rsid w:val="00770ADD"/>
    <w:rsid w:val="00775B3A"/>
    <w:rsid w:val="00776058"/>
    <w:rsid w:val="00776330"/>
    <w:rsid w:val="00781819"/>
    <w:rsid w:val="00781D1C"/>
    <w:rsid w:val="00786201"/>
    <w:rsid w:val="0078787E"/>
    <w:rsid w:val="0078793B"/>
    <w:rsid w:val="007927A2"/>
    <w:rsid w:val="0079357C"/>
    <w:rsid w:val="00794F97"/>
    <w:rsid w:val="0079511F"/>
    <w:rsid w:val="007964B9"/>
    <w:rsid w:val="00796E02"/>
    <w:rsid w:val="007A0436"/>
    <w:rsid w:val="007A2CAE"/>
    <w:rsid w:val="007A31B0"/>
    <w:rsid w:val="007A34D8"/>
    <w:rsid w:val="007A51C2"/>
    <w:rsid w:val="007A730C"/>
    <w:rsid w:val="007A7605"/>
    <w:rsid w:val="007B1E19"/>
    <w:rsid w:val="007B3CA4"/>
    <w:rsid w:val="007B4105"/>
    <w:rsid w:val="007B41DA"/>
    <w:rsid w:val="007B5E37"/>
    <w:rsid w:val="007B6EC8"/>
    <w:rsid w:val="007C104C"/>
    <w:rsid w:val="007C3A69"/>
    <w:rsid w:val="007C3CCC"/>
    <w:rsid w:val="007C4960"/>
    <w:rsid w:val="007C5924"/>
    <w:rsid w:val="007D0ECD"/>
    <w:rsid w:val="007D11FB"/>
    <w:rsid w:val="007D1390"/>
    <w:rsid w:val="007D1C17"/>
    <w:rsid w:val="007D374B"/>
    <w:rsid w:val="007D3877"/>
    <w:rsid w:val="007D3ABD"/>
    <w:rsid w:val="007D499F"/>
    <w:rsid w:val="007D4BCC"/>
    <w:rsid w:val="007D64FD"/>
    <w:rsid w:val="007E235F"/>
    <w:rsid w:val="007E30A2"/>
    <w:rsid w:val="007E5E92"/>
    <w:rsid w:val="007F02D1"/>
    <w:rsid w:val="007F0714"/>
    <w:rsid w:val="007F0AE5"/>
    <w:rsid w:val="007F2157"/>
    <w:rsid w:val="007F3081"/>
    <w:rsid w:val="007F3F97"/>
    <w:rsid w:val="007F40D2"/>
    <w:rsid w:val="007F4599"/>
    <w:rsid w:val="007F68DB"/>
    <w:rsid w:val="007F6BE4"/>
    <w:rsid w:val="00800754"/>
    <w:rsid w:val="00802C7D"/>
    <w:rsid w:val="0080305F"/>
    <w:rsid w:val="0080390C"/>
    <w:rsid w:val="00804F35"/>
    <w:rsid w:val="00807858"/>
    <w:rsid w:val="0081109C"/>
    <w:rsid w:val="00811FD9"/>
    <w:rsid w:val="00815B48"/>
    <w:rsid w:val="0081688F"/>
    <w:rsid w:val="00816915"/>
    <w:rsid w:val="008211AC"/>
    <w:rsid w:val="00821A31"/>
    <w:rsid w:val="00823647"/>
    <w:rsid w:val="008257B0"/>
    <w:rsid w:val="00825EBA"/>
    <w:rsid w:val="00827091"/>
    <w:rsid w:val="008275E9"/>
    <w:rsid w:val="0083095D"/>
    <w:rsid w:val="008321B0"/>
    <w:rsid w:val="00835D04"/>
    <w:rsid w:val="00840A88"/>
    <w:rsid w:val="00840AF2"/>
    <w:rsid w:val="00841C69"/>
    <w:rsid w:val="008429C7"/>
    <w:rsid w:val="0084379D"/>
    <w:rsid w:val="008526F1"/>
    <w:rsid w:val="00852FE1"/>
    <w:rsid w:val="00853AC5"/>
    <w:rsid w:val="008554EC"/>
    <w:rsid w:val="00855816"/>
    <w:rsid w:val="008569C6"/>
    <w:rsid w:val="008569FF"/>
    <w:rsid w:val="0085789D"/>
    <w:rsid w:val="00861D02"/>
    <w:rsid w:val="00864B4D"/>
    <w:rsid w:val="00865331"/>
    <w:rsid w:val="0087044A"/>
    <w:rsid w:val="0087163B"/>
    <w:rsid w:val="008726BB"/>
    <w:rsid w:val="00873D5B"/>
    <w:rsid w:val="00874BD4"/>
    <w:rsid w:val="00874E9C"/>
    <w:rsid w:val="00880C21"/>
    <w:rsid w:val="008811B2"/>
    <w:rsid w:val="00883E2F"/>
    <w:rsid w:val="00886A46"/>
    <w:rsid w:val="008903B7"/>
    <w:rsid w:val="00891883"/>
    <w:rsid w:val="00891A85"/>
    <w:rsid w:val="00893D64"/>
    <w:rsid w:val="0089539A"/>
    <w:rsid w:val="00897986"/>
    <w:rsid w:val="00897CF2"/>
    <w:rsid w:val="008A049C"/>
    <w:rsid w:val="008A1313"/>
    <w:rsid w:val="008A174D"/>
    <w:rsid w:val="008A3EF8"/>
    <w:rsid w:val="008A4DD7"/>
    <w:rsid w:val="008A5D3F"/>
    <w:rsid w:val="008A6BBC"/>
    <w:rsid w:val="008B0011"/>
    <w:rsid w:val="008B5100"/>
    <w:rsid w:val="008B6BBF"/>
    <w:rsid w:val="008C0092"/>
    <w:rsid w:val="008C0B34"/>
    <w:rsid w:val="008C1A52"/>
    <w:rsid w:val="008C28AB"/>
    <w:rsid w:val="008C34B0"/>
    <w:rsid w:val="008C67CE"/>
    <w:rsid w:val="008C7309"/>
    <w:rsid w:val="008D0334"/>
    <w:rsid w:val="008D1930"/>
    <w:rsid w:val="008D19A3"/>
    <w:rsid w:val="008D286E"/>
    <w:rsid w:val="008D54D9"/>
    <w:rsid w:val="008D56D9"/>
    <w:rsid w:val="008D57B6"/>
    <w:rsid w:val="008E173D"/>
    <w:rsid w:val="008E330D"/>
    <w:rsid w:val="008E3AC8"/>
    <w:rsid w:val="008E5037"/>
    <w:rsid w:val="008E7761"/>
    <w:rsid w:val="008E7987"/>
    <w:rsid w:val="008F47CA"/>
    <w:rsid w:val="008F646F"/>
    <w:rsid w:val="00902885"/>
    <w:rsid w:val="00903CC6"/>
    <w:rsid w:val="00906521"/>
    <w:rsid w:val="009070DA"/>
    <w:rsid w:val="00911A87"/>
    <w:rsid w:val="00912FAC"/>
    <w:rsid w:val="00916F24"/>
    <w:rsid w:val="00922367"/>
    <w:rsid w:val="009305E3"/>
    <w:rsid w:val="009315EF"/>
    <w:rsid w:val="00931CE2"/>
    <w:rsid w:val="00934731"/>
    <w:rsid w:val="00936CF8"/>
    <w:rsid w:val="00942DA0"/>
    <w:rsid w:val="0094387E"/>
    <w:rsid w:val="00943BFC"/>
    <w:rsid w:val="00945A62"/>
    <w:rsid w:val="00950AA0"/>
    <w:rsid w:val="009532EA"/>
    <w:rsid w:val="009538AC"/>
    <w:rsid w:val="009547BE"/>
    <w:rsid w:val="009547E1"/>
    <w:rsid w:val="009548E3"/>
    <w:rsid w:val="00954B80"/>
    <w:rsid w:val="009577C2"/>
    <w:rsid w:val="00957855"/>
    <w:rsid w:val="009632C9"/>
    <w:rsid w:val="009660BF"/>
    <w:rsid w:val="009675FE"/>
    <w:rsid w:val="009701B5"/>
    <w:rsid w:val="0097215A"/>
    <w:rsid w:val="00973A63"/>
    <w:rsid w:val="00977519"/>
    <w:rsid w:val="009822FE"/>
    <w:rsid w:val="00987BB7"/>
    <w:rsid w:val="009901BF"/>
    <w:rsid w:val="00990920"/>
    <w:rsid w:val="00992C5C"/>
    <w:rsid w:val="00992E78"/>
    <w:rsid w:val="00994AEB"/>
    <w:rsid w:val="00994BB9"/>
    <w:rsid w:val="00995696"/>
    <w:rsid w:val="00996608"/>
    <w:rsid w:val="009A190C"/>
    <w:rsid w:val="009A25A6"/>
    <w:rsid w:val="009A3107"/>
    <w:rsid w:val="009A3AED"/>
    <w:rsid w:val="009A4617"/>
    <w:rsid w:val="009A4865"/>
    <w:rsid w:val="009A6AEE"/>
    <w:rsid w:val="009B1A35"/>
    <w:rsid w:val="009B610D"/>
    <w:rsid w:val="009B6171"/>
    <w:rsid w:val="009B662F"/>
    <w:rsid w:val="009B69BB"/>
    <w:rsid w:val="009C2533"/>
    <w:rsid w:val="009C2D28"/>
    <w:rsid w:val="009C6B6B"/>
    <w:rsid w:val="009D1653"/>
    <w:rsid w:val="009D2F11"/>
    <w:rsid w:val="009D363C"/>
    <w:rsid w:val="009D3F9F"/>
    <w:rsid w:val="009D4102"/>
    <w:rsid w:val="009D51C5"/>
    <w:rsid w:val="009D53A1"/>
    <w:rsid w:val="009E110F"/>
    <w:rsid w:val="009E1DCF"/>
    <w:rsid w:val="009E212E"/>
    <w:rsid w:val="009F3081"/>
    <w:rsid w:val="009F30C4"/>
    <w:rsid w:val="009F456C"/>
    <w:rsid w:val="009F5F85"/>
    <w:rsid w:val="009F7048"/>
    <w:rsid w:val="009F73AC"/>
    <w:rsid w:val="009F77B7"/>
    <w:rsid w:val="00A0110C"/>
    <w:rsid w:val="00A03B92"/>
    <w:rsid w:val="00A046EA"/>
    <w:rsid w:val="00A11B81"/>
    <w:rsid w:val="00A1243E"/>
    <w:rsid w:val="00A12E90"/>
    <w:rsid w:val="00A12EF1"/>
    <w:rsid w:val="00A17AD5"/>
    <w:rsid w:val="00A20D69"/>
    <w:rsid w:val="00A2240A"/>
    <w:rsid w:val="00A274D7"/>
    <w:rsid w:val="00A27D5B"/>
    <w:rsid w:val="00A3374C"/>
    <w:rsid w:val="00A339B6"/>
    <w:rsid w:val="00A3600E"/>
    <w:rsid w:val="00A36CBC"/>
    <w:rsid w:val="00A401B1"/>
    <w:rsid w:val="00A411A0"/>
    <w:rsid w:val="00A411EF"/>
    <w:rsid w:val="00A41814"/>
    <w:rsid w:val="00A4299E"/>
    <w:rsid w:val="00A4391D"/>
    <w:rsid w:val="00A43A4B"/>
    <w:rsid w:val="00A43E79"/>
    <w:rsid w:val="00A446FF"/>
    <w:rsid w:val="00A44826"/>
    <w:rsid w:val="00A47034"/>
    <w:rsid w:val="00A47068"/>
    <w:rsid w:val="00A47347"/>
    <w:rsid w:val="00A54012"/>
    <w:rsid w:val="00A567A1"/>
    <w:rsid w:val="00A56BDF"/>
    <w:rsid w:val="00A577D2"/>
    <w:rsid w:val="00A60A75"/>
    <w:rsid w:val="00A71751"/>
    <w:rsid w:val="00A81CA1"/>
    <w:rsid w:val="00A81FE4"/>
    <w:rsid w:val="00A82793"/>
    <w:rsid w:val="00A83DAE"/>
    <w:rsid w:val="00A875D2"/>
    <w:rsid w:val="00A92B22"/>
    <w:rsid w:val="00A94D51"/>
    <w:rsid w:val="00A96BF9"/>
    <w:rsid w:val="00AA16C2"/>
    <w:rsid w:val="00AA2C56"/>
    <w:rsid w:val="00AA474B"/>
    <w:rsid w:val="00AA47A8"/>
    <w:rsid w:val="00AA7D79"/>
    <w:rsid w:val="00AB02EE"/>
    <w:rsid w:val="00AB0572"/>
    <w:rsid w:val="00AB1769"/>
    <w:rsid w:val="00AB21C4"/>
    <w:rsid w:val="00AB545B"/>
    <w:rsid w:val="00AB5AFF"/>
    <w:rsid w:val="00AB6666"/>
    <w:rsid w:val="00AB6AD5"/>
    <w:rsid w:val="00AC13C9"/>
    <w:rsid w:val="00AC484F"/>
    <w:rsid w:val="00AC732E"/>
    <w:rsid w:val="00AD56F1"/>
    <w:rsid w:val="00AD729B"/>
    <w:rsid w:val="00AE0514"/>
    <w:rsid w:val="00AE363B"/>
    <w:rsid w:val="00AE4AB9"/>
    <w:rsid w:val="00AF302B"/>
    <w:rsid w:val="00AF6AD7"/>
    <w:rsid w:val="00AF6E4A"/>
    <w:rsid w:val="00AF7FFC"/>
    <w:rsid w:val="00B01173"/>
    <w:rsid w:val="00B014D1"/>
    <w:rsid w:val="00B021B0"/>
    <w:rsid w:val="00B035B6"/>
    <w:rsid w:val="00B05830"/>
    <w:rsid w:val="00B061BB"/>
    <w:rsid w:val="00B06B2B"/>
    <w:rsid w:val="00B074ED"/>
    <w:rsid w:val="00B10C9F"/>
    <w:rsid w:val="00B11131"/>
    <w:rsid w:val="00B13B5D"/>
    <w:rsid w:val="00B13F70"/>
    <w:rsid w:val="00B14CC5"/>
    <w:rsid w:val="00B1565C"/>
    <w:rsid w:val="00B15F28"/>
    <w:rsid w:val="00B21320"/>
    <w:rsid w:val="00B216FF"/>
    <w:rsid w:val="00B21FE5"/>
    <w:rsid w:val="00B261D5"/>
    <w:rsid w:val="00B3080C"/>
    <w:rsid w:val="00B32132"/>
    <w:rsid w:val="00B336CA"/>
    <w:rsid w:val="00B37017"/>
    <w:rsid w:val="00B37924"/>
    <w:rsid w:val="00B37DE2"/>
    <w:rsid w:val="00B41853"/>
    <w:rsid w:val="00B423D8"/>
    <w:rsid w:val="00B4338D"/>
    <w:rsid w:val="00B4398B"/>
    <w:rsid w:val="00B441AB"/>
    <w:rsid w:val="00B451F0"/>
    <w:rsid w:val="00B46FC0"/>
    <w:rsid w:val="00B5000F"/>
    <w:rsid w:val="00B522FE"/>
    <w:rsid w:val="00B542B3"/>
    <w:rsid w:val="00B542B8"/>
    <w:rsid w:val="00B5486C"/>
    <w:rsid w:val="00B60B11"/>
    <w:rsid w:val="00B62233"/>
    <w:rsid w:val="00B63C53"/>
    <w:rsid w:val="00B63D2D"/>
    <w:rsid w:val="00B708C4"/>
    <w:rsid w:val="00B7220C"/>
    <w:rsid w:val="00B77107"/>
    <w:rsid w:val="00B8232D"/>
    <w:rsid w:val="00B826C7"/>
    <w:rsid w:val="00B828CE"/>
    <w:rsid w:val="00B84934"/>
    <w:rsid w:val="00B8636D"/>
    <w:rsid w:val="00B90C7F"/>
    <w:rsid w:val="00B916EB"/>
    <w:rsid w:val="00B92125"/>
    <w:rsid w:val="00B93997"/>
    <w:rsid w:val="00B96AA9"/>
    <w:rsid w:val="00BA2A7C"/>
    <w:rsid w:val="00BA4E3B"/>
    <w:rsid w:val="00BA501E"/>
    <w:rsid w:val="00BB14C6"/>
    <w:rsid w:val="00BB6B01"/>
    <w:rsid w:val="00BB722C"/>
    <w:rsid w:val="00BC298B"/>
    <w:rsid w:val="00BC2EAB"/>
    <w:rsid w:val="00BC48A3"/>
    <w:rsid w:val="00BC61E5"/>
    <w:rsid w:val="00BC6D62"/>
    <w:rsid w:val="00BC7AA7"/>
    <w:rsid w:val="00BD1577"/>
    <w:rsid w:val="00BD28F6"/>
    <w:rsid w:val="00BD4C28"/>
    <w:rsid w:val="00BD676D"/>
    <w:rsid w:val="00BD6A61"/>
    <w:rsid w:val="00BD6FBD"/>
    <w:rsid w:val="00BD70B2"/>
    <w:rsid w:val="00BD70F7"/>
    <w:rsid w:val="00BE0CAA"/>
    <w:rsid w:val="00BE1A46"/>
    <w:rsid w:val="00BE369F"/>
    <w:rsid w:val="00BE3DAD"/>
    <w:rsid w:val="00BE4B2A"/>
    <w:rsid w:val="00BE7305"/>
    <w:rsid w:val="00BE735C"/>
    <w:rsid w:val="00BF13A4"/>
    <w:rsid w:val="00BF15B8"/>
    <w:rsid w:val="00BF221C"/>
    <w:rsid w:val="00BF6245"/>
    <w:rsid w:val="00BF6E94"/>
    <w:rsid w:val="00BF7983"/>
    <w:rsid w:val="00C00077"/>
    <w:rsid w:val="00C03726"/>
    <w:rsid w:val="00C0391F"/>
    <w:rsid w:val="00C04811"/>
    <w:rsid w:val="00C07037"/>
    <w:rsid w:val="00C07A8A"/>
    <w:rsid w:val="00C12164"/>
    <w:rsid w:val="00C12C37"/>
    <w:rsid w:val="00C138B3"/>
    <w:rsid w:val="00C1477B"/>
    <w:rsid w:val="00C14EC5"/>
    <w:rsid w:val="00C1598F"/>
    <w:rsid w:val="00C16ADE"/>
    <w:rsid w:val="00C17930"/>
    <w:rsid w:val="00C23208"/>
    <w:rsid w:val="00C2468D"/>
    <w:rsid w:val="00C24DCF"/>
    <w:rsid w:val="00C258F3"/>
    <w:rsid w:val="00C27F9B"/>
    <w:rsid w:val="00C31508"/>
    <w:rsid w:val="00C317A3"/>
    <w:rsid w:val="00C3272E"/>
    <w:rsid w:val="00C34FC4"/>
    <w:rsid w:val="00C35287"/>
    <w:rsid w:val="00C35663"/>
    <w:rsid w:val="00C459D4"/>
    <w:rsid w:val="00C46599"/>
    <w:rsid w:val="00C47BEC"/>
    <w:rsid w:val="00C53E18"/>
    <w:rsid w:val="00C53E4E"/>
    <w:rsid w:val="00C53F07"/>
    <w:rsid w:val="00C54118"/>
    <w:rsid w:val="00C54BE3"/>
    <w:rsid w:val="00C60DAE"/>
    <w:rsid w:val="00C6247F"/>
    <w:rsid w:val="00C642F7"/>
    <w:rsid w:val="00C64832"/>
    <w:rsid w:val="00C652EC"/>
    <w:rsid w:val="00C6556A"/>
    <w:rsid w:val="00C66FCD"/>
    <w:rsid w:val="00C6707E"/>
    <w:rsid w:val="00C677DC"/>
    <w:rsid w:val="00C67C15"/>
    <w:rsid w:val="00C703F5"/>
    <w:rsid w:val="00C717B3"/>
    <w:rsid w:val="00C738A1"/>
    <w:rsid w:val="00C76CD0"/>
    <w:rsid w:val="00C77997"/>
    <w:rsid w:val="00C80A3D"/>
    <w:rsid w:val="00C908D9"/>
    <w:rsid w:val="00C910CF"/>
    <w:rsid w:val="00C9164B"/>
    <w:rsid w:val="00C92F1F"/>
    <w:rsid w:val="00C95078"/>
    <w:rsid w:val="00C9561B"/>
    <w:rsid w:val="00C95824"/>
    <w:rsid w:val="00C95E91"/>
    <w:rsid w:val="00CA5097"/>
    <w:rsid w:val="00CA5679"/>
    <w:rsid w:val="00CA79DE"/>
    <w:rsid w:val="00CB0772"/>
    <w:rsid w:val="00CB0A6E"/>
    <w:rsid w:val="00CB1303"/>
    <w:rsid w:val="00CB17F2"/>
    <w:rsid w:val="00CB3D19"/>
    <w:rsid w:val="00CB40C4"/>
    <w:rsid w:val="00CB47CC"/>
    <w:rsid w:val="00CB4B47"/>
    <w:rsid w:val="00CB5C20"/>
    <w:rsid w:val="00CB67A9"/>
    <w:rsid w:val="00CB7E17"/>
    <w:rsid w:val="00CC07B2"/>
    <w:rsid w:val="00CC1985"/>
    <w:rsid w:val="00CC30B6"/>
    <w:rsid w:val="00CC589F"/>
    <w:rsid w:val="00CC63D5"/>
    <w:rsid w:val="00CC79E3"/>
    <w:rsid w:val="00CD14A6"/>
    <w:rsid w:val="00CD3275"/>
    <w:rsid w:val="00CD4CFA"/>
    <w:rsid w:val="00CE1F8E"/>
    <w:rsid w:val="00CE47EA"/>
    <w:rsid w:val="00CE47F0"/>
    <w:rsid w:val="00CE4E82"/>
    <w:rsid w:val="00CE74AD"/>
    <w:rsid w:val="00CF0F61"/>
    <w:rsid w:val="00CF40B9"/>
    <w:rsid w:val="00CF4F7C"/>
    <w:rsid w:val="00CF7885"/>
    <w:rsid w:val="00D0320C"/>
    <w:rsid w:val="00D042DA"/>
    <w:rsid w:val="00D053E1"/>
    <w:rsid w:val="00D054E9"/>
    <w:rsid w:val="00D07502"/>
    <w:rsid w:val="00D07B24"/>
    <w:rsid w:val="00D102D4"/>
    <w:rsid w:val="00D10342"/>
    <w:rsid w:val="00D11447"/>
    <w:rsid w:val="00D12AF0"/>
    <w:rsid w:val="00D160B7"/>
    <w:rsid w:val="00D17284"/>
    <w:rsid w:val="00D20EF3"/>
    <w:rsid w:val="00D215C6"/>
    <w:rsid w:val="00D22534"/>
    <w:rsid w:val="00D23F5C"/>
    <w:rsid w:val="00D24DA8"/>
    <w:rsid w:val="00D25C68"/>
    <w:rsid w:val="00D26D56"/>
    <w:rsid w:val="00D3299B"/>
    <w:rsid w:val="00D339B7"/>
    <w:rsid w:val="00D3620E"/>
    <w:rsid w:val="00D37557"/>
    <w:rsid w:val="00D43C17"/>
    <w:rsid w:val="00D44433"/>
    <w:rsid w:val="00D4668D"/>
    <w:rsid w:val="00D47A11"/>
    <w:rsid w:val="00D508EF"/>
    <w:rsid w:val="00D52B10"/>
    <w:rsid w:val="00D536A9"/>
    <w:rsid w:val="00D562B2"/>
    <w:rsid w:val="00D566EF"/>
    <w:rsid w:val="00D57692"/>
    <w:rsid w:val="00D602F7"/>
    <w:rsid w:val="00D6081D"/>
    <w:rsid w:val="00D63384"/>
    <w:rsid w:val="00D64FCF"/>
    <w:rsid w:val="00D6508D"/>
    <w:rsid w:val="00D66BAE"/>
    <w:rsid w:val="00D730A9"/>
    <w:rsid w:val="00D747A7"/>
    <w:rsid w:val="00D75BAA"/>
    <w:rsid w:val="00D76085"/>
    <w:rsid w:val="00D76AF1"/>
    <w:rsid w:val="00D834E3"/>
    <w:rsid w:val="00D85D6B"/>
    <w:rsid w:val="00D85DF7"/>
    <w:rsid w:val="00D8608E"/>
    <w:rsid w:val="00D8683E"/>
    <w:rsid w:val="00D869B6"/>
    <w:rsid w:val="00D8733D"/>
    <w:rsid w:val="00D875D0"/>
    <w:rsid w:val="00D87C5C"/>
    <w:rsid w:val="00D91D4C"/>
    <w:rsid w:val="00D91E2C"/>
    <w:rsid w:val="00D92324"/>
    <w:rsid w:val="00D93689"/>
    <w:rsid w:val="00D9508F"/>
    <w:rsid w:val="00D950E7"/>
    <w:rsid w:val="00D97664"/>
    <w:rsid w:val="00DA2BBD"/>
    <w:rsid w:val="00DA539D"/>
    <w:rsid w:val="00DA6B2E"/>
    <w:rsid w:val="00DA70BF"/>
    <w:rsid w:val="00DA7D32"/>
    <w:rsid w:val="00DB036D"/>
    <w:rsid w:val="00DB12CB"/>
    <w:rsid w:val="00DB1FD7"/>
    <w:rsid w:val="00DB4989"/>
    <w:rsid w:val="00DB5406"/>
    <w:rsid w:val="00DB5AE4"/>
    <w:rsid w:val="00DB5DB2"/>
    <w:rsid w:val="00DB7B51"/>
    <w:rsid w:val="00DC04EA"/>
    <w:rsid w:val="00DC468A"/>
    <w:rsid w:val="00DC555B"/>
    <w:rsid w:val="00DD0223"/>
    <w:rsid w:val="00DD323A"/>
    <w:rsid w:val="00DD3278"/>
    <w:rsid w:val="00DD3BCA"/>
    <w:rsid w:val="00DD46E4"/>
    <w:rsid w:val="00DD4A49"/>
    <w:rsid w:val="00DD4DA6"/>
    <w:rsid w:val="00DD68F7"/>
    <w:rsid w:val="00DD6A12"/>
    <w:rsid w:val="00DD7231"/>
    <w:rsid w:val="00DE463B"/>
    <w:rsid w:val="00DE5BAC"/>
    <w:rsid w:val="00DE6988"/>
    <w:rsid w:val="00DE6D63"/>
    <w:rsid w:val="00DF33B1"/>
    <w:rsid w:val="00DF7FFB"/>
    <w:rsid w:val="00E02F1C"/>
    <w:rsid w:val="00E02F49"/>
    <w:rsid w:val="00E05DB0"/>
    <w:rsid w:val="00E06AF1"/>
    <w:rsid w:val="00E10D98"/>
    <w:rsid w:val="00E10F1D"/>
    <w:rsid w:val="00E11CF8"/>
    <w:rsid w:val="00E12348"/>
    <w:rsid w:val="00E13ABD"/>
    <w:rsid w:val="00E14450"/>
    <w:rsid w:val="00E17523"/>
    <w:rsid w:val="00E20391"/>
    <w:rsid w:val="00E2045C"/>
    <w:rsid w:val="00E20E46"/>
    <w:rsid w:val="00E23A0E"/>
    <w:rsid w:val="00E25A7D"/>
    <w:rsid w:val="00E310A9"/>
    <w:rsid w:val="00E33ACA"/>
    <w:rsid w:val="00E341A5"/>
    <w:rsid w:val="00E355CB"/>
    <w:rsid w:val="00E3568A"/>
    <w:rsid w:val="00E360B4"/>
    <w:rsid w:val="00E37C30"/>
    <w:rsid w:val="00E41DCC"/>
    <w:rsid w:val="00E442CF"/>
    <w:rsid w:val="00E44798"/>
    <w:rsid w:val="00E44D2E"/>
    <w:rsid w:val="00E45FE9"/>
    <w:rsid w:val="00E46219"/>
    <w:rsid w:val="00E514E4"/>
    <w:rsid w:val="00E52267"/>
    <w:rsid w:val="00E55714"/>
    <w:rsid w:val="00E55E4D"/>
    <w:rsid w:val="00E562C6"/>
    <w:rsid w:val="00E57305"/>
    <w:rsid w:val="00E6002F"/>
    <w:rsid w:val="00E63AE9"/>
    <w:rsid w:val="00E64CA0"/>
    <w:rsid w:val="00E65AF2"/>
    <w:rsid w:val="00E713DD"/>
    <w:rsid w:val="00E72FF6"/>
    <w:rsid w:val="00E73F5C"/>
    <w:rsid w:val="00E775E1"/>
    <w:rsid w:val="00E80275"/>
    <w:rsid w:val="00E80566"/>
    <w:rsid w:val="00E82618"/>
    <w:rsid w:val="00E82C0F"/>
    <w:rsid w:val="00E85DEB"/>
    <w:rsid w:val="00E9170A"/>
    <w:rsid w:val="00E92A79"/>
    <w:rsid w:val="00E9332E"/>
    <w:rsid w:val="00E93696"/>
    <w:rsid w:val="00E94C66"/>
    <w:rsid w:val="00E94F39"/>
    <w:rsid w:val="00E97EFE"/>
    <w:rsid w:val="00EA03C0"/>
    <w:rsid w:val="00EA5868"/>
    <w:rsid w:val="00EB2A20"/>
    <w:rsid w:val="00EB2A6B"/>
    <w:rsid w:val="00EB2B16"/>
    <w:rsid w:val="00EB3395"/>
    <w:rsid w:val="00EB39EA"/>
    <w:rsid w:val="00EB3F7D"/>
    <w:rsid w:val="00EB514C"/>
    <w:rsid w:val="00EB5EAF"/>
    <w:rsid w:val="00EC1802"/>
    <w:rsid w:val="00EC5312"/>
    <w:rsid w:val="00EC65EF"/>
    <w:rsid w:val="00EC6CDC"/>
    <w:rsid w:val="00ED0370"/>
    <w:rsid w:val="00ED1539"/>
    <w:rsid w:val="00ED346F"/>
    <w:rsid w:val="00ED40E2"/>
    <w:rsid w:val="00ED6643"/>
    <w:rsid w:val="00ED6F3E"/>
    <w:rsid w:val="00ED74AA"/>
    <w:rsid w:val="00EE5236"/>
    <w:rsid w:val="00EF253C"/>
    <w:rsid w:val="00EF2A22"/>
    <w:rsid w:val="00EF3778"/>
    <w:rsid w:val="00EF412E"/>
    <w:rsid w:val="00EF4163"/>
    <w:rsid w:val="00EF5D22"/>
    <w:rsid w:val="00F00276"/>
    <w:rsid w:val="00F02CD6"/>
    <w:rsid w:val="00F03E1A"/>
    <w:rsid w:val="00F118F1"/>
    <w:rsid w:val="00F11AE2"/>
    <w:rsid w:val="00F11E19"/>
    <w:rsid w:val="00F120C3"/>
    <w:rsid w:val="00F12645"/>
    <w:rsid w:val="00F13AB4"/>
    <w:rsid w:val="00F141B9"/>
    <w:rsid w:val="00F15E12"/>
    <w:rsid w:val="00F1716C"/>
    <w:rsid w:val="00F17BA4"/>
    <w:rsid w:val="00F200B4"/>
    <w:rsid w:val="00F22462"/>
    <w:rsid w:val="00F24C6D"/>
    <w:rsid w:val="00F25544"/>
    <w:rsid w:val="00F25828"/>
    <w:rsid w:val="00F25B2A"/>
    <w:rsid w:val="00F27A03"/>
    <w:rsid w:val="00F30D60"/>
    <w:rsid w:val="00F31D6C"/>
    <w:rsid w:val="00F35FE1"/>
    <w:rsid w:val="00F43958"/>
    <w:rsid w:val="00F43AA7"/>
    <w:rsid w:val="00F43E52"/>
    <w:rsid w:val="00F443A1"/>
    <w:rsid w:val="00F5134D"/>
    <w:rsid w:val="00F51AA8"/>
    <w:rsid w:val="00F52D72"/>
    <w:rsid w:val="00F53B10"/>
    <w:rsid w:val="00F53D66"/>
    <w:rsid w:val="00F5408F"/>
    <w:rsid w:val="00F55033"/>
    <w:rsid w:val="00F56768"/>
    <w:rsid w:val="00F56A68"/>
    <w:rsid w:val="00F6020B"/>
    <w:rsid w:val="00F611AB"/>
    <w:rsid w:val="00F64190"/>
    <w:rsid w:val="00F64FF0"/>
    <w:rsid w:val="00F742AB"/>
    <w:rsid w:val="00F7736B"/>
    <w:rsid w:val="00F80257"/>
    <w:rsid w:val="00F806AB"/>
    <w:rsid w:val="00F809A3"/>
    <w:rsid w:val="00F83164"/>
    <w:rsid w:val="00F83A1E"/>
    <w:rsid w:val="00F85361"/>
    <w:rsid w:val="00F85E64"/>
    <w:rsid w:val="00F86709"/>
    <w:rsid w:val="00F874C0"/>
    <w:rsid w:val="00F87752"/>
    <w:rsid w:val="00F915F2"/>
    <w:rsid w:val="00F930A3"/>
    <w:rsid w:val="00F97324"/>
    <w:rsid w:val="00FA12A2"/>
    <w:rsid w:val="00FA12D7"/>
    <w:rsid w:val="00FA3295"/>
    <w:rsid w:val="00FA490D"/>
    <w:rsid w:val="00FA72CF"/>
    <w:rsid w:val="00FB2844"/>
    <w:rsid w:val="00FC0C19"/>
    <w:rsid w:val="00FC334A"/>
    <w:rsid w:val="00FC5C39"/>
    <w:rsid w:val="00FD02B3"/>
    <w:rsid w:val="00FD0D87"/>
    <w:rsid w:val="00FD1858"/>
    <w:rsid w:val="00FD2344"/>
    <w:rsid w:val="00FD2C15"/>
    <w:rsid w:val="00FD61FC"/>
    <w:rsid w:val="00FD6E83"/>
    <w:rsid w:val="00FD6EE9"/>
    <w:rsid w:val="00FE183F"/>
    <w:rsid w:val="00FE1D18"/>
    <w:rsid w:val="00FE21B9"/>
    <w:rsid w:val="00FE3B57"/>
    <w:rsid w:val="00FE4DC1"/>
    <w:rsid w:val="00FE65EF"/>
    <w:rsid w:val="00FE6EB1"/>
    <w:rsid w:val="00FE705A"/>
    <w:rsid w:val="00FE7064"/>
    <w:rsid w:val="00FE78C2"/>
    <w:rsid w:val="00FF1A01"/>
    <w:rsid w:val="00F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2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2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3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D3278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DD3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D3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D3278"/>
    <w:rPr>
      <w:rFonts w:cs="Times New Roman"/>
    </w:rPr>
  </w:style>
  <w:style w:type="paragraph" w:customStyle="1" w:styleId="aa">
    <w:name w:val="Заголовок статьи"/>
    <w:basedOn w:val="a"/>
    <w:next w:val="a"/>
    <w:uiPriority w:val="99"/>
    <w:rsid w:val="00DD327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 Indent"/>
    <w:basedOn w:val="a"/>
    <w:link w:val="ac"/>
    <w:unhideWhenUsed/>
    <w:rsid w:val="004B67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B6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0"/>
    <w:rsid w:val="004B67FA"/>
    <w:rPr>
      <w:rFonts w:ascii="Arial" w:hAnsi="Arial" w:cs="Arial" w:hint="default"/>
      <w:color w:val="666666"/>
      <w:sz w:val="14"/>
      <w:szCs w:val="14"/>
    </w:rPr>
  </w:style>
  <w:style w:type="paragraph" w:styleId="ad">
    <w:name w:val="List Paragraph"/>
    <w:basedOn w:val="a"/>
    <w:uiPriority w:val="99"/>
    <w:qFormat/>
    <w:rsid w:val="00A6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60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522F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4E059D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5E14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"/>
    <w:rsid w:val="00903CC6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357B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7B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75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E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5520B0"/>
    <w:rPr>
      <w:color w:val="0000FF"/>
      <w:u w:val="single"/>
    </w:rPr>
  </w:style>
  <w:style w:type="paragraph" w:customStyle="1" w:styleId="ConsPlusTitle">
    <w:name w:val="ConsPlusTitle"/>
    <w:uiPriority w:val="99"/>
    <w:rsid w:val="0039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E02F4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06B2B"/>
    <w:pPr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B06B2B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.ru/gubernator/tekush/2729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831CC3150DC1765BE1CBB227F57989FA4D3FFE2A148FD580F75FBEA3399284FL6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EEA5-7EAB-40AD-B8AC-232B89F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P_Nazarov</cp:lastModifiedBy>
  <cp:revision>2</cp:revision>
  <cp:lastPrinted>2020-03-17T12:37:00Z</cp:lastPrinted>
  <dcterms:created xsi:type="dcterms:W3CDTF">2020-03-17T12:39:00Z</dcterms:created>
  <dcterms:modified xsi:type="dcterms:W3CDTF">2020-03-17T12:39:00Z</dcterms:modified>
</cp:coreProperties>
</file>