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720"/>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09"/>
        <w:gridCol w:w="5090"/>
      </w:tblGrid>
      <w:tr w:rsidR="00E80303" w:rsidRPr="00A27310">
        <w:trPr>
          <w:cantSplit/>
        </w:trPr>
        <w:tc>
          <w:tcPr>
            <w:tcW w:w="9999" w:type="dxa"/>
            <w:gridSpan w:val="2"/>
            <w:tcBorders>
              <w:top w:val="nil"/>
              <w:left w:val="nil"/>
              <w:bottom w:val="nil"/>
              <w:right w:val="nil"/>
            </w:tcBorders>
            <w:shd w:val="clear" w:color="auto" w:fill="auto"/>
          </w:tcPr>
          <w:p w:rsidR="00E80303" w:rsidRPr="00A27310" w:rsidRDefault="00C46A9E" w:rsidP="00510C77">
            <w:pPr>
              <w:jc w:val="center"/>
            </w:pPr>
            <w:r>
              <w:rPr>
                <w:noProof/>
              </w:rPr>
              <w:drawing>
                <wp:inline distT="0" distB="0" distL="0" distR="0">
                  <wp:extent cx="569595" cy="724535"/>
                  <wp:effectExtent l="19050" t="0" r="1905" b="0"/>
                  <wp:docPr id="1" name="Рисунок 1" descr="Изображение Герба Волгоградской области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Герба Волгоградской области для бланков"/>
                          <pic:cNvPicPr>
                            <a:picLocks noChangeAspect="1" noChangeArrowheads="1"/>
                          </pic:cNvPicPr>
                        </pic:nvPicPr>
                        <pic:blipFill>
                          <a:blip r:embed="rId7" cstate="print"/>
                          <a:srcRect/>
                          <a:stretch>
                            <a:fillRect/>
                          </a:stretch>
                        </pic:blipFill>
                        <pic:spPr bwMode="auto">
                          <a:xfrm>
                            <a:off x="0" y="0"/>
                            <a:ext cx="569595" cy="724535"/>
                          </a:xfrm>
                          <a:prstGeom prst="rect">
                            <a:avLst/>
                          </a:prstGeom>
                          <a:noFill/>
                          <a:ln w="9525">
                            <a:noFill/>
                            <a:miter lim="800000"/>
                            <a:headEnd/>
                            <a:tailEnd/>
                          </a:ln>
                        </pic:spPr>
                      </pic:pic>
                    </a:graphicData>
                  </a:graphic>
                </wp:inline>
              </w:drawing>
            </w:r>
          </w:p>
        </w:tc>
      </w:tr>
      <w:tr w:rsidR="00E80303" w:rsidRPr="00A27310">
        <w:trPr>
          <w:cantSplit/>
          <w:trHeight w:val="401"/>
        </w:trPr>
        <w:tc>
          <w:tcPr>
            <w:tcW w:w="9999" w:type="dxa"/>
            <w:gridSpan w:val="2"/>
            <w:tcBorders>
              <w:top w:val="nil"/>
              <w:left w:val="nil"/>
              <w:bottom w:val="nil"/>
              <w:right w:val="nil"/>
            </w:tcBorders>
            <w:shd w:val="clear" w:color="auto" w:fill="auto"/>
          </w:tcPr>
          <w:p w:rsidR="00E80303" w:rsidRPr="00A27310" w:rsidRDefault="00E80303" w:rsidP="00510C77">
            <w:pPr>
              <w:pStyle w:val="21"/>
              <w:rPr>
                <w:sz w:val="24"/>
                <w:szCs w:val="24"/>
              </w:rPr>
            </w:pPr>
            <w:r w:rsidRPr="00A27310">
              <w:rPr>
                <w:sz w:val="24"/>
                <w:szCs w:val="24"/>
              </w:rPr>
              <w:t>КОНТРОЛЬНО-СЧЕТНАЯ ПАЛАТА Волгоградской области</w:t>
            </w:r>
          </w:p>
        </w:tc>
      </w:tr>
      <w:tr w:rsidR="00E80303" w:rsidRPr="00A27310">
        <w:trPr>
          <w:cantSplit/>
        </w:trPr>
        <w:tc>
          <w:tcPr>
            <w:tcW w:w="9999" w:type="dxa"/>
            <w:gridSpan w:val="2"/>
            <w:tcBorders>
              <w:top w:val="nil"/>
              <w:left w:val="nil"/>
              <w:bottom w:val="thinThickSmallGap" w:sz="18" w:space="0" w:color="auto"/>
              <w:right w:val="nil"/>
            </w:tcBorders>
            <w:shd w:val="clear" w:color="auto" w:fill="auto"/>
          </w:tcPr>
          <w:p w:rsidR="00E80303" w:rsidRPr="00A27310" w:rsidRDefault="00E80303" w:rsidP="00510C77">
            <w:pPr>
              <w:jc w:val="both"/>
            </w:pPr>
          </w:p>
        </w:tc>
      </w:tr>
      <w:tr w:rsidR="00E80303" w:rsidRPr="00A27310">
        <w:tc>
          <w:tcPr>
            <w:tcW w:w="4909" w:type="dxa"/>
            <w:tcBorders>
              <w:top w:val="thinThickSmallGap" w:sz="18" w:space="0" w:color="auto"/>
              <w:left w:val="nil"/>
              <w:bottom w:val="nil"/>
              <w:right w:val="nil"/>
            </w:tcBorders>
            <w:shd w:val="clear" w:color="auto" w:fill="auto"/>
          </w:tcPr>
          <w:p w:rsidR="00E80303" w:rsidRPr="00A27310" w:rsidRDefault="000A74FB" w:rsidP="00280B37">
            <w:pPr>
              <w:pStyle w:val="12"/>
              <w:rPr>
                <w:szCs w:val="24"/>
              </w:rPr>
            </w:pPr>
            <w:r>
              <w:rPr>
                <w:szCs w:val="24"/>
              </w:rPr>
              <w:t>№ 01КСП-02-02/</w:t>
            </w:r>
          </w:p>
        </w:tc>
        <w:tc>
          <w:tcPr>
            <w:tcW w:w="5090" w:type="dxa"/>
            <w:tcBorders>
              <w:top w:val="thinThickSmallGap" w:sz="18" w:space="0" w:color="auto"/>
              <w:left w:val="nil"/>
              <w:bottom w:val="nil"/>
              <w:right w:val="nil"/>
            </w:tcBorders>
            <w:shd w:val="clear" w:color="auto" w:fill="auto"/>
          </w:tcPr>
          <w:p w:rsidR="00E80303" w:rsidRPr="00A27310" w:rsidRDefault="00E80303" w:rsidP="00453858">
            <w:pPr>
              <w:jc w:val="right"/>
            </w:pPr>
            <w:r w:rsidRPr="00A27310">
              <w:t>«</w:t>
            </w:r>
            <w:r w:rsidR="00720D49">
              <w:t xml:space="preserve"> </w:t>
            </w:r>
            <w:r w:rsidR="00453858">
              <w:t>13</w:t>
            </w:r>
            <w:r w:rsidR="001939F2">
              <w:t xml:space="preserve"> </w:t>
            </w:r>
            <w:r w:rsidRPr="00A27310">
              <w:t>»</w:t>
            </w:r>
            <w:r w:rsidR="00CD122F" w:rsidRPr="00A27310">
              <w:t xml:space="preserve"> </w:t>
            </w:r>
            <w:r w:rsidR="006F2AB3">
              <w:t>ноя</w:t>
            </w:r>
            <w:r w:rsidR="00CD0086" w:rsidRPr="00A27310">
              <w:t>бря</w:t>
            </w:r>
            <w:r w:rsidRPr="00A27310">
              <w:t xml:space="preserve"> </w:t>
            </w:r>
            <w:r w:rsidR="00621582" w:rsidRPr="00A27310">
              <w:t xml:space="preserve"> </w:t>
            </w:r>
            <w:r w:rsidRPr="00A27310">
              <w:t>20</w:t>
            </w:r>
            <w:r w:rsidR="00CD122F" w:rsidRPr="00A27310">
              <w:t>1</w:t>
            </w:r>
            <w:r w:rsidR="00720D49">
              <w:t>7</w:t>
            </w:r>
            <w:r w:rsidRPr="00A27310">
              <w:t xml:space="preserve"> г.</w:t>
            </w:r>
          </w:p>
        </w:tc>
      </w:tr>
    </w:tbl>
    <w:p w:rsidR="00E80303" w:rsidRDefault="00E80303" w:rsidP="00E80303">
      <w:pPr>
        <w:pStyle w:val="11"/>
        <w:jc w:val="center"/>
        <w:outlineLvl w:val="0"/>
        <w:rPr>
          <w:caps/>
          <w:sz w:val="24"/>
          <w:szCs w:val="24"/>
        </w:rPr>
      </w:pPr>
    </w:p>
    <w:p w:rsidR="00E80303" w:rsidRPr="00A27310" w:rsidRDefault="00E80303" w:rsidP="00E80303">
      <w:pPr>
        <w:pStyle w:val="11"/>
        <w:jc w:val="center"/>
        <w:outlineLvl w:val="0"/>
        <w:rPr>
          <w:b/>
          <w:i/>
          <w:caps/>
          <w:sz w:val="24"/>
          <w:szCs w:val="24"/>
        </w:rPr>
      </w:pPr>
      <w:bookmarkStart w:id="0" w:name="OLE_LINK2"/>
      <w:r w:rsidRPr="00A27310">
        <w:rPr>
          <w:b/>
          <w:i/>
          <w:caps/>
          <w:sz w:val="24"/>
          <w:szCs w:val="24"/>
        </w:rPr>
        <w:t>ЭКСПЕРТНОЕ  заКЛЮЧЕНИЕ</w:t>
      </w:r>
    </w:p>
    <w:p w:rsidR="00E80303" w:rsidRPr="00A27310" w:rsidRDefault="00E80303" w:rsidP="00E80303">
      <w:pPr>
        <w:pStyle w:val="11"/>
        <w:jc w:val="center"/>
        <w:rPr>
          <w:b/>
          <w:i/>
          <w:sz w:val="24"/>
          <w:szCs w:val="24"/>
        </w:rPr>
      </w:pPr>
      <w:r w:rsidRPr="00A27310">
        <w:rPr>
          <w:b/>
          <w:i/>
          <w:sz w:val="24"/>
          <w:szCs w:val="24"/>
        </w:rPr>
        <w:t>к проекту закона Волгоградской области «Об областном бюджете на 20</w:t>
      </w:r>
      <w:r w:rsidR="00F14706" w:rsidRPr="00A27310">
        <w:rPr>
          <w:b/>
          <w:i/>
          <w:sz w:val="24"/>
          <w:szCs w:val="24"/>
        </w:rPr>
        <w:t>1</w:t>
      </w:r>
      <w:r w:rsidR="00720D49">
        <w:rPr>
          <w:b/>
          <w:i/>
          <w:sz w:val="24"/>
          <w:szCs w:val="24"/>
        </w:rPr>
        <w:t>8</w:t>
      </w:r>
      <w:r w:rsidRPr="00A27310">
        <w:rPr>
          <w:b/>
          <w:i/>
          <w:sz w:val="24"/>
          <w:szCs w:val="24"/>
        </w:rPr>
        <w:t xml:space="preserve"> год и на </w:t>
      </w:r>
      <w:r w:rsidR="00A84505" w:rsidRPr="00A27310">
        <w:rPr>
          <w:b/>
          <w:i/>
          <w:sz w:val="24"/>
          <w:szCs w:val="24"/>
        </w:rPr>
        <w:t xml:space="preserve">плановый </w:t>
      </w:r>
      <w:r w:rsidRPr="00A27310">
        <w:rPr>
          <w:b/>
          <w:i/>
          <w:sz w:val="24"/>
          <w:szCs w:val="24"/>
        </w:rPr>
        <w:t xml:space="preserve">период </w:t>
      </w:r>
      <w:r w:rsidR="00A84505" w:rsidRPr="00A27310">
        <w:rPr>
          <w:b/>
          <w:i/>
          <w:sz w:val="24"/>
          <w:szCs w:val="24"/>
        </w:rPr>
        <w:t>201</w:t>
      </w:r>
      <w:r w:rsidR="00720D49">
        <w:rPr>
          <w:b/>
          <w:i/>
          <w:sz w:val="24"/>
          <w:szCs w:val="24"/>
        </w:rPr>
        <w:t>9</w:t>
      </w:r>
      <w:r w:rsidR="00A84505" w:rsidRPr="00A27310">
        <w:rPr>
          <w:b/>
          <w:i/>
          <w:sz w:val="24"/>
          <w:szCs w:val="24"/>
        </w:rPr>
        <w:t xml:space="preserve"> и</w:t>
      </w:r>
      <w:r w:rsidRPr="00A27310">
        <w:rPr>
          <w:b/>
          <w:i/>
          <w:sz w:val="24"/>
          <w:szCs w:val="24"/>
        </w:rPr>
        <w:t xml:space="preserve"> 20</w:t>
      </w:r>
      <w:r w:rsidR="00720D49">
        <w:rPr>
          <w:b/>
          <w:i/>
          <w:sz w:val="24"/>
          <w:szCs w:val="24"/>
        </w:rPr>
        <w:t>20</w:t>
      </w:r>
      <w:r w:rsidRPr="00A27310">
        <w:rPr>
          <w:b/>
          <w:i/>
          <w:sz w:val="24"/>
          <w:szCs w:val="24"/>
        </w:rPr>
        <w:t xml:space="preserve"> год</w:t>
      </w:r>
      <w:r w:rsidR="00A84505" w:rsidRPr="00A27310">
        <w:rPr>
          <w:b/>
          <w:i/>
          <w:sz w:val="24"/>
          <w:szCs w:val="24"/>
        </w:rPr>
        <w:t>ов</w:t>
      </w:r>
      <w:r w:rsidRPr="00A27310">
        <w:rPr>
          <w:b/>
          <w:i/>
          <w:sz w:val="24"/>
          <w:szCs w:val="24"/>
        </w:rPr>
        <w:t>», представленному в Волгоградскую областную Думу</w:t>
      </w:r>
      <w:r w:rsidR="00A27310" w:rsidRPr="00A27310">
        <w:rPr>
          <w:b/>
          <w:i/>
          <w:sz w:val="24"/>
          <w:szCs w:val="24"/>
        </w:rPr>
        <w:t xml:space="preserve"> </w:t>
      </w:r>
      <w:r w:rsidRPr="00A27310">
        <w:rPr>
          <w:b/>
          <w:i/>
          <w:sz w:val="24"/>
          <w:szCs w:val="24"/>
        </w:rPr>
        <w:t>на первое чтение</w:t>
      </w:r>
      <w:bookmarkEnd w:id="0"/>
      <w:r w:rsidRPr="00A27310">
        <w:rPr>
          <w:b/>
          <w:i/>
          <w:sz w:val="24"/>
          <w:szCs w:val="24"/>
        </w:rPr>
        <w:t xml:space="preserve">. </w:t>
      </w:r>
    </w:p>
    <w:p w:rsidR="00E80303" w:rsidRPr="00A27310" w:rsidRDefault="00E80303" w:rsidP="00E80303">
      <w:pPr>
        <w:pStyle w:val="11"/>
        <w:jc w:val="center"/>
        <w:rPr>
          <w:b/>
          <w:sz w:val="24"/>
          <w:szCs w:val="24"/>
        </w:rPr>
      </w:pPr>
    </w:p>
    <w:p w:rsidR="00E80303" w:rsidRPr="00A27310" w:rsidRDefault="00E80303" w:rsidP="00E80303">
      <w:pPr>
        <w:pStyle w:val="3"/>
      </w:pPr>
      <w:r w:rsidRPr="00A27310">
        <w:t>Экспертное заключение на проект закона Волгоградской области «Об областном бюджете на 20</w:t>
      </w:r>
      <w:r w:rsidR="00F14706" w:rsidRPr="00A27310">
        <w:t>1</w:t>
      </w:r>
      <w:r w:rsidR="00720D49">
        <w:t>8</w:t>
      </w:r>
      <w:r w:rsidRPr="00A27310">
        <w:t xml:space="preserve"> год и на</w:t>
      </w:r>
      <w:r w:rsidR="00B04C08" w:rsidRPr="00A27310">
        <w:t xml:space="preserve"> плановый период</w:t>
      </w:r>
      <w:r w:rsidRPr="00A27310">
        <w:t xml:space="preserve"> 201</w:t>
      </w:r>
      <w:r w:rsidR="00212143">
        <w:t>8</w:t>
      </w:r>
      <w:r w:rsidR="00B04C08" w:rsidRPr="00A27310">
        <w:t xml:space="preserve"> и 201</w:t>
      </w:r>
      <w:r w:rsidR="00212143">
        <w:t>9</w:t>
      </w:r>
      <w:r w:rsidR="00B04C08" w:rsidRPr="00A27310">
        <w:t xml:space="preserve"> </w:t>
      </w:r>
      <w:r w:rsidRPr="00A27310">
        <w:t>год</w:t>
      </w:r>
      <w:r w:rsidR="00B04C08" w:rsidRPr="00A27310">
        <w:t>ов</w:t>
      </w:r>
      <w:r w:rsidRPr="00A27310">
        <w:t xml:space="preserve">» подготовлено с учетом требований Бюджетного кодекса РФ, </w:t>
      </w:r>
      <w:r w:rsidR="00387CD9" w:rsidRPr="00A27310">
        <w:t>З</w:t>
      </w:r>
      <w:r w:rsidRPr="00A27310">
        <w:t xml:space="preserve">аконов Волгоградской области </w:t>
      </w:r>
      <w:r w:rsidR="00387CD9" w:rsidRPr="00A27310">
        <w:t xml:space="preserve">от 11.06.2008 №1694-ОД </w:t>
      </w:r>
      <w:r w:rsidRPr="00A27310">
        <w:t xml:space="preserve">«О бюджетном процессе в Волгоградской области» и </w:t>
      </w:r>
      <w:r w:rsidR="00387CD9" w:rsidRPr="00A27310">
        <w:t xml:space="preserve">от 17.12.1999 №344-ОД </w:t>
      </w:r>
      <w:r w:rsidRPr="00A27310">
        <w:t xml:space="preserve">«О контрольно-счетной палате Волгоградской области». </w:t>
      </w:r>
    </w:p>
    <w:p w:rsidR="00514C8C" w:rsidRPr="00E93893" w:rsidRDefault="00514C8C" w:rsidP="00514C8C">
      <w:pPr>
        <w:pStyle w:val="11"/>
        <w:ind w:firstLine="708"/>
        <w:jc w:val="both"/>
        <w:rPr>
          <w:sz w:val="24"/>
          <w:szCs w:val="24"/>
        </w:rPr>
      </w:pPr>
      <w:r w:rsidRPr="00A27310">
        <w:rPr>
          <w:sz w:val="24"/>
          <w:szCs w:val="24"/>
        </w:rPr>
        <w:t xml:space="preserve">Согласно статье 24 Закона Волгоградской области «О бюджетном процессе в Волгоградской области» при рассмотрении Волгоградской областной Думой проекта закона об областном бюджете на очередной финансовый год и плановый период </w:t>
      </w:r>
      <w:r w:rsidRPr="00E93893">
        <w:rPr>
          <w:sz w:val="24"/>
          <w:szCs w:val="24"/>
          <w:u w:val="single"/>
        </w:rPr>
        <w:t>в первом чтении</w:t>
      </w:r>
      <w:r w:rsidRPr="00A27310">
        <w:rPr>
          <w:sz w:val="24"/>
          <w:szCs w:val="24"/>
        </w:rPr>
        <w:t xml:space="preserve"> обсуждаются его концепция</w:t>
      </w:r>
      <w:r w:rsidR="007753D5">
        <w:rPr>
          <w:sz w:val="24"/>
          <w:szCs w:val="24"/>
        </w:rPr>
        <w:t>,</w:t>
      </w:r>
      <w:r w:rsidRPr="00A27310">
        <w:rPr>
          <w:sz w:val="24"/>
          <w:szCs w:val="24"/>
        </w:rPr>
        <w:t xml:space="preserve"> прогноз социально-экономического развития</w:t>
      </w:r>
      <w:r w:rsidR="00783EE0">
        <w:rPr>
          <w:sz w:val="24"/>
          <w:szCs w:val="24"/>
        </w:rPr>
        <w:t>,</w:t>
      </w:r>
      <w:r w:rsidR="007753D5">
        <w:rPr>
          <w:sz w:val="24"/>
          <w:szCs w:val="24"/>
        </w:rPr>
        <w:t xml:space="preserve"> </w:t>
      </w:r>
      <w:r w:rsidR="007753D5" w:rsidRPr="007753D5">
        <w:rPr>
          <w:sz w:val="24"/>
          <w:szCs w:val="24"/>
        </w:rPr>
        <w:t>о</w:t>
      </w:r>
      <w:r w:rsidR="007753D5" w:rsidRPr="007753D5">
        <w:rPr>
          <w:color w:val="000000"/>
          <w:spacing w:val="1"/>
          <w:sz w:val="24"/>
          <w:szCs w:val="24"/>
        </w:rPr>
        <w:t>сновные направления бюджетной и налоговой политики</w:t>
      </w:r>
      <w:r w:rsidR="00783EE0">
        <w:rPr>
          <w:color w:val="000000"/>
          <w:spacing w:val="1"/>
          <w:sz w:val="24"/>
          <w:szCs w:val="24"/>
        </w:rPr>
        <w:t xml:space="preserve">, а также рассматриваются основные характеристики областного бюджета, </w:t>
      </w:r>
      <w:r w:rsidR="00783EE0" w:rsidRPr="00783EE0">
        <w:rPr>
          <w:sz w:val="24"/>
          <w:szCs w:val="24"/>
        </w:rPr>
        <w:t>объем межбюджетных трансфертов</w:t>
      </w:r>
      <w:r w:rsidR="00783EE0">
        <w:rPr>
          <w:sz w:val="24"/>
          <w:szCs w:val="24"/>
        </w:rPr>
        <w:t xml:space="preserve">, </w:t>
      </w:r>
      <w:r w:rsidR="00783EE0" w:rsidRPr="00E93893">
        <w:rPr>
          <w:sz w:val="24"/>
          <w:szCs w:val="24"/>
        </w:rPr>
        <w:t>верхний предел государственного внутреннего долга</w:t>
      </w:r>
      <w:r w:rsidR="00E93893">
        <w:rPr>
          <w:sz w:val="24"/>
          <w:szCs w:val="24"/>
        </w:rPr>
        <w:t xml:space="preserve"> и другие вопросы.</w:t>
      </w:r>
    </w:p>
    <w:p w:rsidR="00E80303" w:rsidRPr="00A27310" w:rsidRDefault="00E80303" w:rsidP="00E80303">
      <w:pPr>
        <w:pStyle w:val="3"/>
      </w:pPr>
    </w:p>
    <w:p w:rsidR="00E80303" w:rsidRPr="00A27310" w:rsidRDefault="00E80303" w:rsidP="00E80303">
      <w:pPr>
        <w:pStyle w:val="a5"/>
        <w:numPr>
          <w:ilvl w:val="0"/>
          <w:numId w:val="1"/>
        </w:numPr>
        <w:outlineLvl w:val="0"/>
        <w:rPr>
          <w:b/>
          <w:i/>
        </w:rPr>
      </w:pPr>
      <w:r w:rsidRPr="00A27310">
        <w:rPr>
          <w:b/>
          <w:i/>
        </w:rPr>
        <w:t>Концепция проекта закона Волгоградской области</w:t>
      </w:r>
    </w:p>
    <w:p w:rsidR="00E80303" w:rsidRPr="00A27310" w:rsidRDefault="00E80303" w:rsidP="00E80303">
      <w:pPr>
        <w:pStyle w:val="a5"/>
        <w:ind w:left="708"/>
        <w:outlineLvl w:val="0"/>
        <w:rPr>
          <w:b/>
          <w:i/>
        </w:rPr>
      </w:pPr>
      <w:r w:rsidRPr="00A27310">
        <w:rPr>
          <w:b/>
          <w:i/>
        </w:rPr>
        <w:t>об областном бюджете на 20</w:t>
      </w:r>
      <w:r w:rsidR="00F14706" w:rsidRPr="00A27310">
        <w:rPr>
          <w:b/>
          <w:i/>
        </w:rPr>
        <w:t>1</w:t>
      </w:r>
      <w:r w:rsidR="00720D49">
        <w:rPr>
          <w:b/>
          <w:i/>
        </w:rPr>
        <w:t>8</w:t>
      </w:r>
      <w:r w:rsidRPr="00A27310">
        <w:rPr>
          <w:b/>
          <w:i/>
        </w:rPr>
        <w:t xml:space="preserve"> год и на </w:t>
      </w:r>
      <w:r w:rsidR="008D51AF" w:rsidRPr="00A27310">
        <w:rPr>
          <w:b/>
          <w:i/>
        </w:rPr>
        <w:t xml:space="preserve">плановый </w:t>
      </w:r>
      <w:r w:rsidRPr="00A27310">
        <w:rPr>
          <w:b/>
          <w:i/>
        </w:rPr>
        <w:t>период</w:t>
      </w:r>
      <w:r w:rsidR="008D51AF" w:rsidRPr="00A27310">
        <w:rPr>
          <w:b/>
          <w:i/>
        </w:rPr>
        <w:t xml:space="preserve"> 201</w:t>
      </w:r>
      <w:r w:rsidR="00720D49">
        <w:rPr>
          <w:b/>
          <w:i/>
        </w:rPr>
        <w:t>9</w:t>
      </w:r>
      <w:r w:rsidR="008D51AF" w:rsidRPr="00A27310">
        <w:rPr>
          <w:b/>
          <w:i/>
        </w:rPr>
        <w:t xml:space="preserve"> и</w:t>
      </w:r>
      <w:r w:rsidRPr="00A27310">
        <w:rPr>
          <w:b/>
          <w:i/>
        </w:rPr>
        <w:t xml:space="preserve"> 20</w:t>
      </w:r>
      <w:r w:rsidR="00720D49">
        <w:rPr>
          <w:b/>
          <w:i/>
        </w:rPr>
        <w:t>20</w:t>
      </w:r>
      <w:r w:rsidR="00A948BE" w:rsidRPr="00A27310">
        <w:rPr>
          <w:b/>
          <w:i/>
        </w:rPr>
        <w:t xml:space="preserve"> </w:t>
      </w:r>
      <w:r w:rsidRPr="00A27310">
        <w:rPr>
          <w:b/>
          <w:i/>
        </w:rPr>
        <w:t>год</w:t>
      </w:r>
      <w:r w:rsidR="008D51AF" w:rsidRPr="00A27310">
        <w:rPr>
          <w:b/>
          <w:i/>
        </w:rPr>
        <w:t>ов</w:t>
      </w:r>
      <w:r w:rsidR="00A948BE" w:rsidRPr="00A27310">
        <w:rPr>
          <w:b/>
          <w:i/>
        </w:rPr>
        <w:t>.</w:t>
      </w:r>
    </w:p>
    <w:p w:rsidR="00995A28" w:rsidRDefault="00995A28" w:rsidP="00995A28">
      <w:pPr>
        <w:keepNext/>
        <w:keepLines/>
        <w:tabs>
          <w:tab w:val="left" w:pos="4620"/>
        </w:tabs>
        <w:autoSpaceDE w:val="0"/>
        <w:autoSpaceDN w:val="0"/>
        <w:adjustRightInd w:val="0"/>
      </w:pPr>
      <w:r>
        <w:tab/>
      </w:r>
    </w:p>
    <w:p w:rsidR="007765B5" w:rsidRDefault="007D752D" w:rsidP="00FC0A7C">
      <w:pPr>
        <w:ind w:firstLine="709"/>
        <w:jc w:val="both"/>
      </w:pPr>
      <w:r>
        <w:t>В числе</w:t>
      </w:r>
      <w:r w:rsidR="007765B5">
        <w:t xml:space="preserve"> концептуальны</w:t>
      </w:r>
      <w:r>
        <w:t>х</w:t>
      </w:r>
      <w:r w:rsidR="007765B5">
        <w:t xml:space="preserve"> особенност</w:t>
      </w:r>
      <w:r>
        <w:t>ей внесенного в областную Думу</w:t>
      </w:r>
      <w:r w:rsidR="007765B5">
        <w:t xml:space="preserve"> проекта бюджета на 2018 год и плановый период 2019</w:t>
      </w:r>
      <w:r w:rsidR="000B3019">
        <w:t>-</w:t>
      </w:r>
      <w:r w:rsidR="007765B5">
        <w:t xml:space="preserve">2020 годов следует отнести </w:t>
      </w:r>
      <w:r w:rsidR="007765B5" w:rsidRPr="00F62461">
        <w:rPr>
          <w:b/>
          <w:i/>
        </w:rPr>
        <w:t>планирование расходов на функционирование органов государственной власти и государственных органов Волгоградской области в размере 50% от необходимой потребности</w:t>
      </w:r>
      <w:r w:rsidR="000B3019">
        <w:rPr>
          <w:b/>
          <w:i/>
        </w:rPr>
        <w:t xml:space="preserve"> </w:t>
      </w:r>
      <w:r w:rsidR="000B3019">
        <w:t>(с незначительной дифференциацией данного процента по различным органам)</w:t>
      </w:r>
      <w:r w:rsidR="00F62461">
        <w:t>. Сравнительный анализ расходов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утвержденных законом о бюджете на текущий год и предусмотренных законопроектом на 2018 год</w:t>
      </w:r>
      <w:r w:rsidR="00440B12">
        <w:t>,</w:t>
      </w:r>
      <w:r w:rsidR="00F62461">
        <w:t xml:space="preserve"> в разрезе ведомств приведен </w:t>
      </w:r>
      <w:r w:rsidR="00F62461" w:rsidRPr="000B3019">
        <w:rPr>
          <w:b/>
          <w:i/>
          <w:u w:val="single"/>
        </w:rPr>
        <w:t>в приложении №1</w:t>
      </w:r>
      <w:r w:rsidR="00F62461">
        <w:t xml:space="preserve"> к настоящему заключению</w:t>
      </w:r>
      <w:r w:rsidR="00440B12">
        <w:t>. Из приложения</w:t>
      </w:r>
      <w:r w:rsidR="00DB10A4">
        <w:t xml:space="preserve"> </w:t>
      </w:r>
      <w:r w:rsidR="00440B12">
        <w:t>видно</w:t>
      </w:r>
      <w:r w:rsidR="00DB10A4">
        <w:t>, что для доведения</w:t>
      </w:r>
      <w:r w:rsidR="00440B12">
        <w:t xml:space="preserve"> расходов на оплату труда </w:t>
      </w:r>
      <w:r w:rsidR="000B3019">
        <w:t xml:space="preserve">сотрудников </w:t>
      </w:r>
      <w:r w:rsidR="00440B12">
        <w:t>органов</w:t>
      </w:r>
      <w:r w:rsidR="000B3019">
        <w:t xml:space="preserve"> госвласти</w:t>
      </w:r>
      <w:r w:rsidR="00440B12">
        <w:t xml:space="preserve"> и </w:t>
      </w:r>
      <w:r w:rsidR="00B43752">
        <w:t xml:space="preserve">подведомственных им </w:t>
      </w:r>
      <w:r w:rsidR="00440B12">
        <w:t xml:space="preserve">казенных учреждений до уровня текущего года необходимо </w:t>
      </w:r>
      <w:r w:rsidR="00440B12" w:rsidRPr="00DB63AE">
        <w:rPr>
          <w:b/>
          <w:i/>
        </w:rPr>
        <w:t>1204 млн. рублей</w:t>
      </w:r>
      <w:r w:rsidR="00440B12">
        <w:t>.</w:t>
      </w:r>
      <w:r w:rsidR="00DB10A4">
        <w:t xml:space="preserve"> При этом материалы, представленные в областную Думу и контрольно-счетную палату с законопроектом, не содержат информации о мероприятиях, планируемых</w:t>
      </w:r>
      <w:r w:rsidR="000B3019">
        <w:t xml:space="preserve"> </w:t>
      </w:r>
      <w:r w:rsidR="00440B12">
        <w:t xml:space="preserve">Администрацией области </w:t>
      </w:r>
      <w:r w:rsidR="00DB10A4">
        <w:t xml:space="preserve">с целью привлечения </w:t>
      </w:r>
      <w:r w:rsidR="00440B12">
        <w:t xml:space="preserve">дополнительных </w:t>
      </w:r>
      <w:r w:rsidR="00DB10A4">
        <w:t>источников</w:t>
      </w:r>
      <w:r w:rsidR="00440B12">
        <w:t xml:space="preserve"> компенсации недостающих ассигнований.</w:t>
      </w:r>
      <w:r w:rsidR="007B56BE">
        <w:t xml:space="preserve"> В результате руководители органов исполнительной власти и других госорганов </w:t>
      </w:r>
      <w:r w:rsidR="000B3019">
        <w:t xml:space="preserve">в настоящий момент </w:t>
      </w:r>
      <w:r w:rsidR="007B56BE">
        <w:t>должны либо начать процедуры по проведению организационно-штатных мероприятий</w:t>
      </w:r>
      <w:r w:rsidR="000B3019">
        <w:t xml:space="preserve"> </w:t>
      </w:r>
      <w:r w:rsidR="00DF77B3">
        <w:t>в целях</w:t>
      </w:r>
      <w:r w:rsidR="000B3019">
        <w:t xml:space="preserve"> сокращени</w:t>
      </w:r>
      <w:r w:rsidR="00DF77B3">
        <w:t>я</w:t>
      </w:r>
      <w:r w:rsidR="000B3019">
        <w:t xml:space="preserve"> численности персонала</w:t>
      </w:r>
      <w:r w:rsidR="007B56BE">
        <w:t xml:space="preserve">, либо </w:t>
      </w:r>
      <w:r w:rsidR="00DF77B3">
        <w:t xml:space="preserve">иметь </w:t>
      </w:r>
      <w:r w:rsidR="0032506B">
        <w:t>четко</w:t>
      </w:r>
      <w:r w:rsidR="00DF77B3">
        <w:t>е представление</w:t>
      </w:r>
      <w:r w:rsidR="007B56BE">
        <w:t xml:space="preserve"> насколько гарантированны </w:t>
      </w:r>
      <w:r w:rsidR="000B3019">
        <w:t xml:space="preserve">и реальны к получению </w:t>
      </w:r>
      <w:r w:rsidR="007B56BE">
        <w:t>доходные источники, за счет которых планируется увеличение ассигнований 2018 года до необходимых размеров.</w:t>
      </w:r>
      <w:r w:rsidR="00F62461">
        <w:t xml:space="preserve"> </w:t>
      </w:r>
      <w:r w:rsidR="00DF77B3" w:rsidRPr="00DF77B3">
        <w:rPr>
          <w:b/>
          <w:i/>
        </w:rPr>
        <w:t>Такая информация Администрацией области не представлена</w:t>
      </w:r>
      <w:r w:rsidR="00DF77B3">
        <w:t>.</w:t>
      </w:r>
    </w:p>
    <w:p w:rsidR="002E48A0" w:rsidRDefault="00DF77B3" w:rsidP="00FC0A7C">
      <w:pPr>
        <w:ind w:firstLine="709"/>
        <w:jc w:val="both"/>
      </w:pPr>
      <w:r>
        <w:t xml:space="preserve">В этой связи следует </w:t>
      </w:r>
      <w:r w:rsidR="005B0AB0">
        <w:t xml:space="preserve">также </w:t>
      </w:r>
      <w:r>
        <w:t>отметить, что в</w:t>
      </w:r>
      <w:r w:rsidR="002E48A0">
        <w:t xml:space="preserve"> настоящее время в Волгоградской области действует </w:t>
      </w:r>
      <w:r w:rsidR="00DB63AE">
        <w:t xml:space="preserve">Программа оптимизации расходов бюджета Волгоградской области на 2017-2019 годы, </w:t>
      </w:r>
      <w:r w:rsidR="00E379CF">
        <w:t xml:space="preserve">разработанная в соответствии с постановлением Правительства РФ от 27.12.2016 №1506 «О соглашениях, заключаемых Министерством финансов РФ с высшими </w:t>
      </w:r>
      <w:r w:rsidR="00E379CF">
        <w:lastRenderedPageBreak/>
        <w:t xml:space="preserve">должностными лицами субъектов РФ…» и </w:t>
      </w:r>
      <w:r w:rsidR="00DB63AE">
        <w:t xml:space="preserve">утвержденная постановлением Администрации Волгоградской области от 31.03.2017 №173-п, которой предусмотрен определенный перечень мероприятий. Общий бюджетный эффект от реализации мероприятий программы за 3 года должен составить 2590 млн. руб., из них в 2018-2019 годах – </w:t>
      </w:r>
      <w:r w:rsidR="008A4FBF">
        <w:t xml:space="preserve">лишь </w:t>
      </w:r>
      <w:r w:rsidR="00DB63AE">
        <w:t xml:space="preserve">775 млн. руб., которых явно недостаточно </w:t>
      </w:r>
      <w:r w:rsidR="008A4FBF">
        <w:t xml:space="preserve">даже </w:t>
      </w:r>
      <w:r w:rsidR="00DB63AE">
        <w:t>для покрытия дефицита бюджетных средств, необходимых для сохранения уровня оплаты труда персонал</w:t>
      </w:r>
      <w:r w:rsidR="00E379CF">
        <w:t>у</w:t>
      </w:r>
      <w:r w:rsidR="00DB63AE">
        <w:t xml:space="preserve"> органов </w:t>
      </w:r>
      <w:r w:rsidR="00E379CF">
        <w:t>гос</w:t>
      </w:r>
      <w:r w:rsidR="00DB63AE">
        <w:t>власти</w:t>
      </w:r>
      <w:r w:rsidR="008A4FBF">
        <w:t xml:space="preserve"> и государственных органов</w:t>
      </w:r>
      <w:r w:rsidR="00DB63AE">
        <w:t xml:space="preserve"> Волгоградской области. </w:t>
      </w:r>
    </w:p>
    <w:p w:rsidR="00F62461" w:rsidRDefault="00F62461" w:rsidP="00FC0A7C">
      <w:pPr>
        <w:ind w:firstLine="709"/>
        <w:jc w:val="both"/>
      </w:pPr>
    </w:p>
    <w:p w:rsidR="00C02B25" w:rsidRDefault="008A4FBF" w:rsidP="00FC0A7C">
      <w:pPr>
        <w:ind w:firstLine="709"/>
        <w:jc w:val="both"/>
      </w:pPr>
      <w:r>
        <w:t>При этом анализ бюджетных расходов, предусмотренных законопроектом, показал, что оплата труда госорганов – это далеко не единственное направление, по которому имеется острая нехватка бюджетных ассигнований.</w:t>
      </w:r>
    </w:p>
    <w:p w:rsidR="008A4FBF" w:rsidRDefault="008A4FBF" w:rsidP="00FC0A7C">
      <w:pPr>
        <w:ind w:firstLine="709"/>
        <w:jc w:val="both"/>
      </w:pPr>
      <w:r>
        <w:t>Поскольку одним из вопросов, рассматриваемых при утверждении закона о бюджете на очередной финансовый период</w:t>
      </w:r>
      <w:r w:rsidR="007F39E7">
        <w:t xml:space="preserve"> в первом чтении</w:t>
      </w:r>
      <w:r>
        <w:t xml:space="preserve">, является </w:t>
      </w:r>
      <w:r w:rsidRPr="005B0AB0">
        <w:rPr>
          <w:u w:val="single"/>
        </w:rPr>
        <w:t>общий объем межбюджетных трансфертов,</w:t>
      </w:r>
      <w:r>
        <w:t xml:space="preserve"> выделяемых из областного бюджета муниципальным образованиям, особое внимание </w:t>
      </w:r>
      <w:r w:rsidR="007F39E7">
        <w:t>при</w:t>
      </w:r>
      <w:r>
        <w:t xml:space="preserve"> экспертизе </w:t>
      </w:r>
      <w:r w:rsidR="007F39E7">
        <w:t xml:space="preserve">уделено </w:t>
      </w:r>
      <w:r>
        <w:t xml:space="preserve">достаточности средств, предусмотренных в </w:t>
      </w:r>
      <w:r w:rsidR="007F39E7">
        <w:t>законо</w:t>
      </w:r>
      <w:r>
        <w:t xml:space="preserve">проекте на финансовое обеспечение государственных полномочий, передаваемых областью на муниципальный уровень по отраслям социальной сферы (соответствующий анализ представлен </w:t>
      </w:r>
      <w:r w:rsidRPr="007F39E7">
        <w:rPr>
          <w:b/>
          <w:i/>
          <w:u w:val="single"/>
        </w:rPr>
        <w:t>в приложении №2</w:t>
      </w:r>
      <w:r>
        <w:t xml:space="preserve">). </w:t>
      </w:r>
    </w:p>
    <w:p w:rsidR="000A4186" w:rsidRPr="006E4BF9" w:rsidRDefault="000A4186" w:rsidP="000A4186">
      <w:pPr>
        <w:ind w:firstLine="709"/>
        <w:jc w:val="both"/>
      </w:pPr>
      <w:r w:rsidRPr="003E4C92">
        <w:t xml:space="preserve">Предусмотренный законопроектом </w:t>
      </w:r>
      <w:r>
        <w:t xml:space="preserve">общий объем межбюджетных трансфертов для обеспечения государственных полномочий Волгоградской области в отраслях социальной сферы </w:t>
      </w:r>
      <w:r w:rsidR="00484ECB">
        <w:t>составляет</w:t>
      </w:r>
      <w:r>
        <w:t xml:space="preserve"> 26125,3 млн. руб.</w:t>
      </w:r>
      <w:r w:rsidR="00484ECB">
        <w:t>, что</w:t>
      </w:r>
      <w:r>
        <w:t xml:space="preserve"> </w:t>
      </w:r>
      <w:r w:rsidRPr="00594734">
        <w:rPr>
          <w:b/>
          <w:i/>
        </w:rPr>
        <w:t>на 2891,2 млн. руб</w:t>
      </w:r>
      <w:r>
        <w:t>., или</w:t>
      </w:r>
      <w:r w:rsidR="0032157D">
        <w:t xml:space="preserve"> на</w:t>
      </w:r>
      <w:r>
        <w:t xml:space="preserve"> 1</w:t>
      </w:r>
      <w:r w:rsidR="00484ECB">
        <w:t>1</w:t>
      </w:r>
      <w:r>
        <w:t xml:space="preserve">% меньше расчетного размера субвенций (29016,5 млн. </w:t>
      </w:r>
      <w:r w:rsidRPr="006E4BF9">
        <w:t>руб.).</w:t>
      </w:r>
    </w:p>
    <w:p w:rsidR="000A4186" w:rsidRDefault="000A4186" w:rsidP="000A4186">
      <w:pPr>
        <w:ind w:firstLine="709"/>
        <w:jc w:val="both"/>
      </w:pPr>
      <w:r>
        <w:t xml:space="preserve">При этом обеспеченность по </w:t>
      </w:r>
      <w:r w:rsidRPr="003E4C92">
        <w:t>субвенци</w:t>
      </w:r>
      <w:r>
        <w:t>и</w:t>
      </w:r>
      <w:r w:rsidRPr="003E4C92">
        <w:t xml:space="preserve"> на финансовое обеспечение образовательного процесса</w:t>
      </w:r>
      <w:r>
        <w:t xml:space="preserve"> </w:t>
      </w:r>
      <w:r w:rsidRPr="003E4C92">
        <w:t>дошкольны</w:t>
      </w:r>
      <w:r>
        <w:t>м</w:t>
      </w:r>
      <w:r w:rsidRPr="003E4C92">
        <w:t xml:space="preserve"> и общеобразовательны</w:t>
      </w:r>
      <w:r>
        <w:t>м</w:t>
      </w:r>
      <w:r w:rsidRPr="003E4C92">
        <w:t xml:space="preserve"> организаци</w:t>
      </w:r>
      <w:r>
        <w:t xml:space="preserve">ям по видам расходов варьируется от 100% для категорий, предусмотренных </w:t>
      </w:r>
      <w:r w:rsidRPr="000C2E18">
        <w:t>Указ</w:t>
      </w:r>
      <w:r>
        <w:t>ом</w:t>
      </w:r>
      <w:r w:rsidRPr="000C2E18">
        <w:t xml:space="preserve"> Президента Р</w:t>
      </w:r>
      <w:r w:rsidR="0032157D">
        <w:t xml:space="preserve">оссийской </w:t>
      </w:r>
      <w:r w:rsidRPr="000C2E18">
        <w:t>Ф</w:t>
      </w:r>
      <w:r w:rsidR="0032157D">
        <w:t>едерации</w:t>
      </w:r>
      <w:r w:rsidRPr="000C2E18">
        <w:t xml:space="preserve"> от 07.05.2012 №597 «О мероприятиях по реализации госуд</w:t>
      </w:r>
      <w:r>
        <w:t xml:space="preserve">арственной социальной политики», а именно </w:t>
      </w:r>
      <w:r w:rsidRPr="003E4C92">
        <w:t>на оплату труда педагогически</w:t>
      </w:r>
      <w:r>
        <w:t>м</w:t>
      </w:r>
      <w:r w:rsidRPr="003E4C92">
        <w:t xml:space="preserve"> работник</w:t>
      </w:r>
      <w:r>
        <w:t>ам</w:t>
      </w:r>
      <w:r w:rsidR="0032157D">
        <w:t>,</w:t>
      </w:r>
      <w:r>
        <w:t xml:space="preserve"> до 8% </w:t>
      </w:r>
      <w:r w:rsidR="0032157D">
        <w:t xml:space="preserve">- </w:t>
      </w:r>
      <w:r w:rsidRPr="003E4C92">
        <w:t>на обеспечение учебного процесса</w:t>
      </w:r>
      <w:r>
        <w:t xml:space="preserve">. </w:t>
      </w:r>
    </w:p>
    <w:p w:rsidR="007F39E7" w:rsidRPr="007765B5" w:rsidRDefault="000A4186" w:rsidP="000A4186">
      <w:pPr>
        <w:ind w:firstLine="709"/>
        <w:jc w:val="both"/>
      </w:pPr>
      <w:r>
        <w:t xml:space="preserve">По иным субвенциям </w:t>
      </w:r>
      <w:r w:rsidRPr="0070043C">
        <w:t>обеспеченность от потребности варьируется</w:t>
      </w:r>
      <w:r>
        <w:t xml:space="preserve"> от 3</w:t>
      </w:r>
      <w:r w:rsidR="00C50F81">
        <w:t>2</w:t>
      </w:r>
      <w:r>
        <w:t xml:space="preserve">% </w:t>
      </w:r>
      <w:r w:rsidR="00C50F81">
        <w:t xml:space="preserve">(по субвенции на выплату компенсации части родительской платы за присмотр и уход за детьми в образовательных организациях) </w:t>
      </w:r>
      <w:r w:rsidRPr="0070043C">
        <w:t xml:space="preserve">до 62% </w:t>
      </w:r>
      <w:r w:rsidR="00C50F81">
        <w:t>(</w:t>
      </w:r>
      <w:r w:rsidRPr="0070043C">
        <w:t>по субвенции на оплату жилого помещения и отдельных видов коммунальных услуг, предоставляемых педагогическим работникам образовательных организаций, проживающим в Волгоградской области и работающим в сельских населенных пунктах, рабочих поселках (поселках городского типа) на территории Волгоградской области</w:t>
      </w:r>
      <w:r w:rsidR="00C50F81">
        <w:t>)</w:t>
      </w:r>
      <w:r w:rsidR="00CB6F99">
        <w:t>.</w:t>
      </w:r>
    </w:p>
    <w:p w:rsidR="00CB6F99" w:rsidRDefault="009277B1" w:rsidP="00FC0A7C">
      <w:pPr>
        <w:ind w:firstLine="709"/>
        <w:jc w:val="both"/>
      </w:pPr>
      <w:r w:rsidRPr="009277B1">
        <w:rPr>
          <w:b/>
          <w:i/>
        </w:rPr>
        <w:t xml:space="preserve">Предполагаемые источники дополнительных доходов для обеспечения финансирования субвенций муниципальным образованиям в социальной сфере </w:t>
      </w:r>
      <w:r>
        <w:rPr>
          <w:b/>
          <w:i/>
        </w:rPr>
        <w:t xml:space="preserve">в полном объеме </w:t>
      </w:r>
      <w:r w:rsidRPr="009277B1">
        <w:rPr>
          <w:b/>
          <w:i/>
        </w:rPr>
        <w:t>в материалах, представленных с законопроектом, не о</w:t>
      </w:r>
      <w:r w:rsidR="00964C81">
        <w:rPr>
          <w:b/>
          <w:i/>
        </w:rPr>
        <w:t>пределен</w:t>
      </w:r>
      <w:r w:rsidRPr="009277B1">
        <w:rPr>
          <w:b/>
          <w:i/>
        </w:rPr>
        <w:t>ы</w:t>
      </w:r>
      <w:r>
        <w:t>.</w:t>
      </w:r>
    </w:p>
    <w:p w:rsidR="003578C0" w:rsidRDefault="003578C0" w:rsidP="00FC0A7C">
      <w:pPr>
        <w:ind w:firstLine="709"/>
        <w:jc w:val="both"/>
      </w:pPr>
    </w:p>
    <w:p w:rsidR="009277B1" w:rsidRPr="009A3BFF" w:rsidRDefault="005B0AB0" w:rsidP="00FC0A7C">
      <w:pPr>
        <w:ind w:firstLine="709"/>
        <w:jc w:val="both"/>
        <w:rPr>
          <w:b/>
          <w:i/>
        </w:rPr>
      </w:pPr>
      <w:r>
        <w:t>В то же время</w:t>
      </w:r>
      <w:r w:rsidR="009A3BFF">
        <w:t xml:space="preserve"> </w:t>
      </w:r>
      <w:r w:rsidR="00416DF3">
        <w:t>по</w:t>
      </w:r>
      <w:r w:rsidR="009A3BFF">
        <w:t xml:space="preserve"> результат</w:t>
      </w:r>
      <w:r w:rsidR="00416DF3">
        <w:t>ам</w:t>
      </w:r>
      <w:r w:rsidR="009A3BFF">
        <w:t xml:space="preserve"> анализа формирования доходов </w:t>
      </w:r>
      <w:r w:rsidR="00770A0F">
        <w:t xml:space="preserve">и расходов </w:t>
      </w:r>
      <w:r w:rsidR="009A3BFF">
        <w:t xml:space="preserve">дорожного фонда Волгоградской области </w:t>
      </w:r>
      <w:r w:rsidR="00770A0F">
        <w:t>на 2018 год</w:t>
      </w:r>
      <w:r w:rsidR="009A3BFF">
        <w:t xml:space="preserve"> можно сделать вывод, что </w:t>
      </w:r>
      <w:r w:rsidR="0061602B" w:rsidRPr="0061602B">
        <w:rPr>
          <w:b/>
          <w:i/>
        </w:rPr>
        <w:t>на</w:t>
      </w:r>
      <w:r w:rsidR="0061602B">
        <w:t xml:space="preserve"> </w:t>
      </w:r>
      <w:r w:rsidR="009A3BFF" w:rsidRPr="009A3BFF">
        <w:rPr>
          <w:b/>
          <w:i/>
        </w:rPr>
        <w:t>недостающие ассигнования</w:t>
      </w:r>
      <w:r w:rsidR="0061602B">
        <w:rPr>
          <w:b/>
          <w:i/>
        </w:rPr>
        <w:t xml:space="preserve"> </w:t>
      </w:r>
      <w:r w:rsidR="00770A0F">
        <w:rPr>
          <w:b/>
          <w:i/>
        </w:rPr>
        <w:t>по</w:t>
      </w:r>
      <w:r w:rsidR="0061602B">
        <w:rPr>
          <w:b/>
          <w:i/>
        </w:rPr>
        <w:t xml:space="preserve"> общебюджетны</w:t>
      </w:r>
      <w:r w:rsidR="00770A0F">
        <w:rPr>
          <w:b/>
          <w:i/>
        </w:rPr>
        <w:t>м</w:t>
      </w:r>
      <w:r w:rsidR="0061602B">
        <w:rPr>
          <w:b/>
          <w:i/>
        </w:rPr>
        <w:t xml:space="preserve"> расход</w:t>
      </w:r>
      <w:r w:rsidR="00770A0F">
        <w:rPr>
          <w:b/>
          <w:i/>
        </w:rPr>
        <w:t>ам</w:t>
      </w:r>
      <w:r w:rsidR="009A3BFF">
        <w:rPr>
          <w:b/>
          <w:i/>
        </w:rPr>
        <w:t xml:space="preserve"> </w:t>
      </w:r>
      <w:r w:rsidR="0061602B">
        <w:rPr>
          <w:b/>
          <w:i/>
        </w:rPr>
        <w:t xml:space="preserve">в представленном законопроекте распределены </w:t>
      </w:r>
      <w:r w:rsidR="009A3BFF" w:rsidRPr="009A3BFF">
        <w:rPr>
          <w:b/>
          <w:i/>
        </w:rPr>
        <w:t>средства дорожного фонда в размере 2300 млн. рублей.</w:t>
      </w:r>
    </w:p>
    <w:p w:rsidR="007A49CA" w:rsidRDefault="004B0BEB" w:rsidP="007A49CA">
      <w:pPr>
        <w:autoSpaceDE w:val="0"/>
        <w:autoSpaceDN w:val="0"/>
        <w:adjustRightInd w:val="0"/>
        <w:ind w:firstLine="709"/>
        <w:jc w:val="both"/>
      </w:pPr>
      <w:r>
        <w:t>Так, с</w:t>
      </w:r>
      <w:r w:rsidR="00416DF3">
        <w:t xml:space="preserve">татьей  </w:t>
      </w:r>
      <w:r w:rsidR="007A49CA">
        <w:t>33</w:t>
      </w:r>
      <w:r w:rsidR="00416DF3">
        <w:t xml:space="preserve"> </w:t>
      </w:r>
      <w:r w:rsidR="007A49CA">
        <w:t xml:space="preserve"> </w:t>
      </w:r>
      <w:r w:rsidR="00416DF3">
        <w:t xml:space="preserve">законопроекта </w:t>
      </w:r>
      <w:r w:rsidR="007A49CA">
        <w:t xml:space="preserve">объем бюджетных ассигнований дорожного фонда </w:t>
      </w:r>
      <w:r w:rsidR="00EC308B">
        <w:t>п</w:t>
      </w:r>
      <w:r w:rsidR="007A49CA">
        <w:t xml:space="preserve">редлагается к утверждению в сумме 5564,4 млн. руб., что меньше прогнозируемого объема соответствующих доходов </w:t>
      </w:r>
      <w:r w:rsidR="00EC308B">
        <w:t xml:space="preserve">(7864,4 </w:t>
      </w:r>
      <w:r w:rsidR="007A49CA">
        <w:t>млн. руб.</w:t>
      </w:r>
      <w:r w:rsidR="00EC308B">
        <w:t>) на 2300 млн. руб.</w:t>
      </w:r>
      <w:r w:rsidR="00753E65">
        <w:t xml:space="preserve"> и является </w:t>
      </w:r>
      <w:r w:rsidR="00D006E9">
        <w:t xml:space="preserve">прямым </w:t>
      </w:r>
      <w:r w:rsidR="00753E65">
        <w:t xml:space="preserve">нарушением статьи </w:t>
      </w:r>
      <w:r w:rsidR="007A49CA">
        <w:t>179.4 БК РФ и ст</w:t>
      </w:r>
      <w:r w:rsidR="00753E65">
        <w:t>атьи</w:t>
      </w:r>
      <w:r w:rsidR="007A49CA">
        <w:t xml:space="preserve"> 4 Закона </w:t>
      </w:r>
      <w:r w:rsidR="00753E65">
        <w:t>Волгоградской области от 07.11.2011 №2246-ОД «О дорожном фонде Волгоградской области»</w:t>
      </w:r>
      <w:r w:rsidR="00B9490F">
        <w:t xml:space="preserve"> (далее Закон №2246-ОД)</w:t>
      </w:r>
      <w:r w:rsidR="00753E65">
        <w:t xml:space="preserve">. Согласно указанным нормам объем бюджетных ассигнований дорожного фонда утверждается законом субъекта РФ о бюджете на очередной финансовый год и плановый период </w:t>
      </w:r>
      <w:r w:rsidR="00753E65" w:rsidRPr="00753E65">
        <w:rPr>
          <w:u w:val="single"/>
        </w:rPr>
        <w:t>в размере не менее прогнозируемого объема установленных законом субъекта Р</w:t>
      </w:r>
      <w:r w:rsidR="00753E65">
        <w:rPr>
          <w:u w:val="single"/>
        </w:rPr>
        <w:t>Ф доходов дорожного фонда.</w:t>
      </w:r>
      <w:r w:rsidR="007A49CA" w:rsidRPr="00753E65">
        <w:rPr>
          <w:u w:val="single"/>
        </w:rPr>
        <w:t xml:space="preserve"> </w:t>
      </w:r>
    </w:p>
    <w:p w:rsidR="007A49CA" w:rsidRDefault="007A49CA" w:rsidP="007A49CA">
      <w:pPr>
        <w:ind w:firstLine="709"/>
        <w:jc w:val="both"/>
      </w:pPr>
      <w:r>
        <w:lastRenderedPageBreak/>
        <w:t xml:space="preserve">Статьей 34 </w:t>
      </w:r>
      <w:r w:rsidR="00ED206D">
        <w:t>з</w:t>
      </w:r>
      <w:r>
        <w:t>аконопроекта предлагается н</w:t>
      </w:r>
      <w:r w:rsidRPr="003A2395">
        <w:t xml:space="preserve">аправить бюджетные ассигнования дорожного фонда Волгоградской области, не использованные в 2018 году, в сумме 2300 </w:t>
      </w:r>
      <w:r>
        <w:t>млн. руб.</w:t>
      </w:r>
      <w:r w:rsidRPr="003A2395">
        <w:t xml:space="preserve"> на увеличение бюджетных ассигнований дорожного фонда Волгоградской области в 2019 году.</w:t>
      </w:r>
    </w:p>
    <w:p w:rsidR="007A49CA" w:rsidRPr="0071287E" w:rsidRDefault="007A49CA" w:rsidP="007A49CA">
      <w:pPr>
        <w:ind w:firstLine="709"/>
        <w:jc w:val="both"/>
      </w:pPr>
      <w:r>
        <w:t>Кроме того, п</w:t>
      </w:r>
      <w:r w:rsidR="00B9490F">
        <w:t xml:space="preserve">унктом </w:t>
      </w:r>
      <w:r>
        <w:t>4 ст</w:t>
      </w:r>
      <w:r w:rsidR="00B9490F">
        <w:t>атьи</w:t>
      </w:r>
      <w:r>
        <w:t xml:space="preserve"> 179.4 БК РФ, ст</w:t>
      </w:r>
      <w:r w:rsidR="00B9490F">
        <w:t>атьи</w:t>
      </w:r>
      <w:r>
        <w:t xml:space="preserve"> 6 Закона №2246-ОД установлено, что бюджетные ассигнования дорожного фонда субъекта РФ, не использованные в текущем финансовом году, направляются на увеличение бюджетных ассигнований дорожного фонда субъекта РФ в очередном финансовом году. В составе документов, одновременно представленных с </w:t>
      </w:r>
      <w:r w:rsidR="00A453F9">
        <w:t>з</w:t>
      </w:r>
      <w:r>
        <w:t xml:space="preserve">аконопроектом, содержится информация об оценке ожидаемого исполнения областного бюджета в 2017 году. Согласно этой информации ожидаемое исполнение бюджетных ассигнований в 2017 году, направляемых за счет дорожного фонда Волгоградской области на реализацию мероприятий подпрограммы «Совершенствование и развитие сети автомобильных дорог общего пользования Волгоградской области» </w:t>
      </w:r>
      <w:r w:rsidR="00A453F9">
        <w:t>госпрограммы</w:t>
      </w:r>
      <w:r>
        <w:t xml:space="preserve"> «Развитие транспортной системы» составит 85,4% (7612,9 млн. руб.) от плановых назначений (8912,9 млн. руб.). Т</w:t>
      </w:r>
      <w:r w:rsidR="00A453F9">
        <w:t>аким образом,</w:t>
      </w:r>
      <w:r>
        <w:t xml:space="preserve"> объем неиспользованных бюджетных ассигнований дорожного фонда в 2017 году оценочно составит 1300 млн. руб. и в соответствии с п</w:t>
      </w:r>
      <w:r w:rsidR="006A4E1D">
        <w:t>унктом</w:t>
      </w:r>
      <w:r>
        <w:t xml:space="preserve"> 4 ст</w:t>
      </w:r>
      <w:r w:rsidR="006A4E1D">
        <w:t>атьи</w:t>
      </w:r>
      <w:r>
        <w:t xml:space="preserve"> 179.4 БК РФ должен быть направлен на увеличение объема бюджетных ассигнований дорожного фонда Волгоградской области в 2018 году. </w:t>
      </w:r>
      <w:r w:rsidRPr="006A4E1D">
        <w:rPr>
          <w:b/>
          <w:i/>
        </w:rPr>
        <w:t xml:space="preserve">Такое увеличение </w:t>
      </w:r>
      <w:r w:rsidR="006A4E1D" w:rsidRPr="006A4E1D">
        <w:rPr>
          <w:b/>
          <w:i/>
        </w:rPr>
        <w:t>з</w:t>
      </w:r>
      <w:r w:rsidRPr="006A4E1D">
        <w:rPr>
          <w:b/>
          <w:i/>
        </w:rPr>
        <w:t>аконопроектом не предусмотрено</w:t>
      </w:r>
      <w:r w:rsidRPr="0071287E">
        <w:t>.</w:t>
      </w:r>
    </w:p>
    <w:p w:rsidR="007A49CA" w:rsidRDefault="007A49CA" w:rsidP="007A49CA">
      <w:pPr>
        <w:ind w:firstLine="709"/>
        <w:jc w:val="both"/>
      </w:pPr>
      <w:r w:rsidRPr="0071287E">
        <w:t xml:space="preserve">Также в соответствии с </w:t>
      </w:r>
      <w:r w:rsidR="006A4E1D">
        <w:t>пунктом</w:t>
      </w:r>
      <w:r w:rsidRPr="0071287E">
        <w:t xml:space="preserve"> 4 ст</w:t>
      </w:r>
      <w:r w:rsidR="006A4E1D">
        <w:t>атьи</w:t>
      </w:r>
      <w:r w:rsidRPr="0071287E">
        <w:t xml:space="preserve"> 179.4 БК РФ</w:t>
      </w:r>
      <w:r>
        <w:t>,</w:t>
      </w:r>
      <w:r w:rsidRPr="0071287E">
        <w:t xml:space="preserve"> </w:t>
      </w:r>
      <w:r>
        <w:t>ст</w:t>
      </w:r>
      <w:r w:rsidR="006A4E1D">
        <w:t>атьи</w:t>
      </w:r>
      <w:r>
        <w:t xml:space="preserve"> 6 Закона №2246-ОД </w:t>
      </w:r>
      <w:r w:rsidRPr="0071287E">
        <w:t xml:space="preserve">объем бюджетных ассигнований дорожного фонда подлежит увеличению в текущем финансовом году и (или) очередном финансовом году на положительную разницу между фактически поступившим и прогнозировавшимся объемом доходов бюджета, учитываемых при формировании дорожного фонда. </w:t>
      </w:r>
      <w:r w:rsidR="004515FA">
        <w:t>По оценке Администрации области в 2017 году в доходы дорожного фонда (акцизы на нефтепродукты и транспортный налог) поступит на 452,5 млн. руб. больше, чем запланировано в бюджете.</w:t>
      </w:r>
    </w:p>
    <w:p w:rsidR="007A49CA" w:rsidRPr="00581A1D" w:rsidRDefault="007A49CA" w:rsidP="007A49CA">
      <w:pPr>
        <w:ind w:firstLine="709"/>
        <w:jc w:val="both"/>
        <w:rPr>
          <w:b/>
          <w:i/>
        </w:rPr>
      </w:pPr>
      <w:r w:rsidRPr="0071287E">
        <w:t>В соответствии с п</w:t>
      </w:r>
      <w:r w:rsidR="00581A1D">
        <w:t>унктом</w:t>
      </w:r>
      <w:r w:rsidRPr="0071287E">
        <w:t xml:space="preserve"> 4 ст</w:t>
      </w:r>
      <w:r w:rsidR="00581A1D">
        <w:t>атьи</w:t>
      </w:r>
      <w:r w:rsidRPr="0071287E">
        <w:t xml:space="preserve"> 179.4 БК РФ объем бюджетных ассигнований дорожного фонда Волгоградской области подлежит увеличению в 2017 году и (или) </w:t>
      </w:r>
      <w:r w:rsidR="00581A1D">
        <w:t xml:space="preserve">в </w:t>
      </w:r>
      <w:r w:rsidRPr="0071287E">
        <w:t xml:space="preserve">2018 году оценочно на 452,5 млн. рублей. </w:t>
      </w:r>
      <w:r w:rsidR="00581A1D" w:rsidRPr="00581A1D">
        <w:rPr>
          <w:b/>
          <w:i/>
        </w:rPr>
        <w:t>Н</w:t>
      </w:r>
      <w:r w:rsidRPr="00581A1D">
        <w:rPr>
          <w:b/>
          <w:i/>
        </w:rPr>
        <w:t xml:space="preserve">а дату подготовки настоящего заключения такое увеличение областным бюджетом на 2017 год и (или) </w:t>
      </w:r>
      <w:r w:rsidR="00581A1D" w:rsidRPr="00581A1D">
        <w:rPr>
          <w:b/>
          <w:i/>
        </w:rPr>
        <w:t xml:space="preserve">2018 год </w:t>
      </w:r>
      <w:r w:rsidRPr="00581A1D">
        <w:rPr>
          <w:b/>
          <w:i/>
        </w:rPr>
        <w:t>не предусмотрено.</w:t>
      </w:r>
    </w:p>
    <w:p w:rsidR="007A49CA" w:rsidRPr="0071287E" w:rsidRDefault="007A49CA" w:rsidP="007A49CA">
      <w:pPr>
        <w:ind w:firstLine="709"/>
        <w:jc w:val="both"/>
      </w:pPr>
      <w:r>
        <w:t>Таким образом, обобщая вышеизложенное, в соответствии с положениями бюджетного законодательства</w:t>
      </w:r>
      <w:r w:rsidRPr="001D5ED5">
        <w:t xml:space="preserve"> </w:t>
      </w:r>
      <w:r>
        <w:t>о</w:t>
      </w:r>
      <w:r w:rsidRPr="001D5ED5">
        <w:t>бъем бюджетных ассигнований дорожного фонда</w:t>
      </w:r>
      <w:r>
        <w:t xml:space="preserve"> Волгоградской области на 2018 год должен составлять не менее 9616,9 млн. руб., что на 4052,5 млн. руб., или более чем в 1,7 раза больше объема, предлагаемого к утверждению </w:t>
      </w:r>
      <w:r w:rsidR="00581A1D">
        <w:t>з</w:t>
      </w:r>
      <w:r>
        <w:t>аконопроектом (5564,4 млн. руб.).</w:t>
      </w:r>
    </w:p>
    <w:p w:rsidR="009A3BFF" w:rsidRPr="007A49CA" w:rsidRDefault="009A3BFF" w:rsidP="00FC0A7C">
      <w:pPr>
        <w:ind w:firstLine="709"/>
        <w:jc w:val="both"/>
      </w:pPr>
    </w:p>
    <w:p w:rsidR="00FC0A7C" w:rsidRPr="007765B5" w:rsidRDefault="00FC0A7C" w:rsidP="00FC0A7C">
      <w:pPr>
        <w:ind w:firstLine="709"/>
        <w:jc w:val="both"/>
        <w:rPr>
          <w:b/>
          <w:i/>
        </w:rPr>
      </w:pPr>
      <w:r w:rsidRPr="007765B5">
        <w:rPr>
          <w:b/>
          <w:i/>
        </w:rPr>
        <w:t xml:space="preserve">Законопроектом не предусмотрена в 2018-2020 годах </w:t>
      </w:r>
      <w:r w:rsidR="001A63E5" w:rsidRPr="007765B5">
        <w:rPr>
          <w:b/>
          <w:i/>
        </w:rPr>
        <w:t xml:space="preserve">индексация </w:t>
      </w:r>
      <w:r w:rsidRPr="007765B5">
        <w:rPr>
          <w:b/>
          <w:i/>
        </w:rPr>
        <w:t>денежного содержания государственных гражданских служащих Волгоградской области.</w:t>
      </w:r>
    </w:p>
    <w:p w:rsidR="00FC0A7C" w:rsidRDefault="00A31FDD" w:rsidP="00FC0A7C">
      <w:pPr>
        <w:ind w:firstLine="709"/>
        <w:jc w:val="both"/>
      </w:pPr>
      <w:r>
        <w:t>Одновременно с проектом закона об областном бюджете на 2018 год и плановый период 2019 и 2020 годов в</w:t>
      </w:r>
      <w:r w:rsidR="00FC0A7C">
        <w:t xml:space="preserve"> Волгоградскую областную Думу внес</w:t>
      </w:r>
      <w:r>
        <w:t>е</w:t>
      </w:r>
      <w:r w:rsidR="00FC0A7C">
        <w:t>н</w:t>
      </w:r>
      <w:r w:rsidR="00FC0A7C" w:rsidRPr="00041BBD">
        <w:t xml:space="preserve"> проект Закона Волгоградской области </w:t>
      </w:r>
      <w:r w:rsidR="00FC0A7C">
        <w:t>«</w:t>
      </w:r>
      <w:r w:rsidR="00FC0A7C" w:rsidRPr="00041BBD">
        <w:t xml:space="preserve">О внесении изменений в статью 1 Закона Волгоградской области от 09.07.2015 № 89-ОД </w:t>
      </w:r>
      <w:r w:rsidR="00FC0A7C">
        <w:t>«</w:t>
      </w:r>
      <w:r w:rsidR="00FC0A7C" w:rsidRPr="00041BBD">
        <w:t>О приостановлении действия отдельных положений некоторых законодательных актов Волгоградской области</w:t>
      </w:r>
      <w:r w:rsidR="00FC0A7C">
        <w:t>»,</w:t>
      </w:r>
      <w:r w:rsidR="00FC0A7C" w:rsidRPr="00041BBD">
        <w:t xml:space="preserve"> </w:t>
      </w:r>
      <w:r w:rsidR="00FC0A7C" w:rsidRPr="00382B70">
        <w:t xml:space="preserve">согласно которому </w:t>
      </w:r>
      <w:r w:rsidR="00FC0A7C" w:rsidRPr="00041BBD">
        <w:t xml:space="preserve">до </w:t>
      </w:r>
      <w:r w:rsidR="00FC0A7C">
        <w:t>0</w:t>
      </w:r>
      <w:r w:rsidR="00FC0A7C" w:rsidRPr="00041BBD">
        <w:t>1</w:t>
      </w:r>
      <w:r w:rsidR="00FC0A7C">
        <w:t>.01.</w:t>
      </w:r>
      <w:r w:rsidR="00FC0A7C" w:rsidRPr="00041BBD">
        <w:t>2021 приостановлено действие Закона Волгоградской области от 10</w:t>
      </w:r>
      <w:r w:rsidR="00FC0A7C">
        <w:t>.10.</w:t>
      </w:r>
      <w:r w:rsidR="00FC0A7C" w:rsidRPr="00041BBD">
        <w:t xml:space="preserve">2005 №1114-ОД </w:t>
      </w:r>
      <w:r w:rsidR="00FC0A7C">
        <w:t>«</w:t>
      </w:r>
      <w:r w:rsidR="00FC0A7C" w:rsidRPr="00041BBD">
        <w:t>О денежном содержании государственных гражданских служащих Волгоградской области</w:t>
      </w:r>
      <w:r w:rsidR="00FC0A7C">
        <w:t>»</w:t>
      </w:r>
      <w:r w:rsidR="00FC0A7C" w:rsidRPr="00041BBD">
        <w:t xml:space="preserve"> и Закона Волгоградской области от 10</w:t>
      </w:r>
      <w:r w:rsidR="00FC0A7C">
        <w:t>.11.</w:t>
      </w:r>
      <w:r w:rsidR="00FC0A7C" w:rsidRPr="00041BBD">
        <w:t>2005 №</w:t>
      </w:r>
      <w:r w:rsidR="00FC0A7C">
        <w:t>1</w:t>
      </w:r>
      <w:r w:rsidR="00FC0A7C" w:rsidRPr="00041BBD">
        <w:t xml:space="preserve">115-ОД </w:t>
      </w:r>
      <w:r w:rsidR="00FC0A7C">
        <w:t>«</w:t>
      </w:r>
      <w:r w:rsidR="00FC0A7C" w:rsidRPr="00041BBD">
        <w:t>О денежном вознаграждении Губернатора Волгоградской области</w:t>
      </w:r>
      <w:r w:rsidR="00FC0A7C">
        <w:t>,</w:t>
      </w:r>
      <w:r w:rsidR="00FC0A7C" w:rsidRPr="00041BBD">
        <w:t xml:space="preserve"> лиц, замещающих государственные должности Волгоградской области</w:t>
      </w:r>
      <w:r w:rsidR="00FC0A7C">
        <w:t xml:space="preserve">». Необходимость принятия законопроекта обосновывается </w:t>
      </w:r>
      <w:r w:rsidR="00FC0A7C" w:rsidRPr="00543F26">
        <w:t xml:space="preserve">нормой </w:t>
      </w:r>
      <w:r w:rsidR="00FC0A7C">
        <w:t>пункта</w:t>
      </w:r>
      <w:r w:rsidR="00FC0A7C" w:rsidRPr="00543F26">
        <w:t xml:space="preserve"> 6 </w:t>
      </w:r>
      <w:r w:rsidR="00FC0A7C">
        <w:t>статьи</w:t>
      </w:r>
      <w:r w:rsidR="00FC0A7C" w:rsidRPr="00543F26">
        <w:t xml:space="preserve"> 13 Закона Волгоградской области от 11</w:t>
      </w:r>
      <w:r w:rsidR="00FC0A7C">
        <w:t>.06.2008</w:t>
      </w:r>
      <w:r w:rsidR="00FC0A7C" w:rsidRPr="00543F26">
        <w:t xml:space="preserve"> №1694-ОД </w:t>
      </w:r>
      <w:r w:rsidR="00FC0A7C">
        <w:t>«</w:t>
      </w:r>
      <w:r w:rsidR="00FC0A7C" w:rsidRPr="00543F26">
        <w:t>О бюджетном процес</w:t>
      </w:r>
      <w:r w:rsidR="00FC0A7C">
        <w:t>се в Волгоградской области»</w:t>
      </w:r>
      <w:r w:rsidR="00FC0A7C" w:rsidRPr="00543F26">
        <w:t xml:space="preserve">, согласно которой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Волгоградской области расходных обязательств Волгоградской области, Администрация Волгоградской области </w:t>
      </w:r>
      <w:r w:rsidR="00FC0A7C" w:rsidRPr="00543F26">
        <w:lastRenderedPageBreak/>
        <w:t xml:space="preserve">вносит в Волгоградскую областную Думу проекты законов Волгоградской области об изменении сроков вступления в силу (о приостановлении действия) в очередном финансовом году и плановом периоде отдельных положений законов Волгоградской области, не обеспеченных источниками финансирования в очередном финансовом году и (или) плановом периоде. Принятие </w:t>
      </w:r>
      <w:r w:rsidR="00FC0A7C">
        <w:t>законопроекта</w:t>
      </w:r>
      <w:r w:rsidR="00FC0A7C" w:rsidRPr="00543F26">
        <w:t xml:space="preserve"> позволит сэкономить средства областного бюджета в размере 322,7 млн.</w:t>
      </w:r>
      <w:r w:rsidR="00FC0A7C">
        <w:t xml:space="preserve"> </w:t>
      </w:r>
      <w:r w:rsidR="00FC0A7C" w:rsidRPr="00543F26">
        <w:t>руб</w:t>
      </w:r>
      <w:r w:rsidR="00FC0A7C">
        <w:t>., или 107,6 млн. руб. в год</w:t>
      </w:r>
      <w:r w:rsidR="00FC0A7C" w:rsidRPr="00543F26">
        <w:t>.</w:t>
      </w:r>
    </w:p>
    <w:p w:rsidR="00FC0A7C" w:rsidRDefault="00FC0A7C" w:rsidP="00FC0A7C">
      <w:pPr>
        <w:ind w:firstLine="709"/>
        <w:jc w:val="both"/>
      </w:pPr>
      <w:r>
        <w:t>В связи с изложенным необходимо отметить следующее.</w:t>
      </w:r>
    </w:p>
    <w:p w:rsidR="00FC0A7C" w:rsidRDefault="00FC0A7C" w:rsidP="00FC0A7C">
      <w:pPr>
        <w:ind w:firstLine="709"/>
        <w:jc w:val="both"/>
      </w:pPr>
      <w:r>
        <w:t>Положениями</w:t>
      </w:r>
      <w:r w:rsidRPr="001F0441">
        <w:t xml:space="preserve"> част</w:t>
      </w:r>
      <w:r>
        <w:t>и</w:t>
      </w:r>
      <w:r w:rsidRPr="001F0441">
        <w:t xml:space="preserve"> 1</w:t>
      </w:r>
      <w:r>
        <w:t>2</w:t>
      </w:r>
      <w:r w:rsidRPr="001F0441">
        <w:t xml:space="preserve"> статьи 50 Федерального закона от 27</w:t>
      </w:r>
      <w:r>
        <w:t>.06.</w:t>
      </w:r>
      <w:r w:rsidRPr="001F0441">
        <w:t>2004 №79-ФЗ «О государственной гражданской службе Российской Федерации» (дал</w:t>
      </w:r>
      <w:r>
        <w:t>ее Федеральный закон №79-ФЗ)</w:t>
      </w:r>
      <w:r w:rsidRPr="001F0441">
        <w:t xml:space="preserve"> предусм</w:t>
      </w:r>
      <w:r>
        <w:t>о</w:t>
      </w:r>
      <w:r w:rsidRPr="001F0441">
        <w:t>тр</w:t>
      </w:r>
      <w:r>
        <w:t>ено</w:t>
      </w:r>
      <w:r w:rsidRPr="001F0441">
        <w:t xml:space="preserve"> ежегодное увеличение размеров окладов денежного содержания по должностям гражданской службы субъекта РФ в соответствии с законом субъекта РФ</w:t>
      </w:r>
      <w:r>
        <w:t xml:space="preserve"> </w:t>
      </w:r>
      <w:r w:rsidRPr="001F0441">
        <w:t xml:space="preserve">о бюджете субъекта РФ на соответствующий год с учетом уровня инфляции (потребительских цен). </w:t>
      </w:r>
    </w:p>
    <w:p w:rsidR="00FC0A7C" w:rsidRDefault="00FC0A7C" w:rsidP="00FC0A7C">
      <w:pPr>
        <w:ind w:firstLine="709"/>
        <w:jc w:val="both"/>
      </w:pPr>
      <w:r>
        <w:t xml:space="preserve">В отношении </w:t>
      </w:r>
      <w:r w:rsidRPr="001F0441">
        <w:t>увеличени</w:t>
      </w:r>
      <w:r>
        <w:t>я</w:t>
      </w:r>
      <w:r w:rsidRPr="001F0441">
        <w:t xml:space="preserve"> размеров окладов денежного содержания по должностям </w:t>
      </w:r>
      <w:r w:rsidRPr="00980BB3">
        <w:t>федеральной государственной гражданской службы</w:t>
      </w:r>
      <w:r>
        <w:t xml:space="preserve"> подобные положения закреплены в части 11 статьи 50 Федерального закона №79-ФЗ.</w:t>
      </w:r>
    </w:p>
    <w:p w:rsidR="00FC0A7C" w:rsidRDefault="00FC0A7C" w:rsidP="00FC0A7C">
      <w:pPr>
        <w:ind w:firstLine="709"/>
        <w:jc w:val="both"/>
      </w:pPr>
      <w:r w:rsidRPr="00980BB3">
        <w:t>На федеральном уровне последняя индексация окладов денежного содержания государственных гражданских служащих была произведена в октябре 2013 г</w:t>
      </w:r>
      <w:r>
        <w:t>ода, в Волгоградской области - в октябре 2012 года.</w:t>
      </w:r>
      <w:r w:rsidRPr="00980BB3">
        <w:t xml:space="preserve"> </w:t>
      </w:r>
    </w:p>
    <w:p w:rsidR="00FC0A7C" w:rsidRPr="00980BB3" w:rsidRDefault="00FC0A7C" w:rsidP="00FC0A7C">
      <w:pPr>
        <w:ind w:firstLine="709"/>
        <w:jc w:val="both"/>
      </w:pPr>
      <w:r w:rsidRPr="00980BB3">
        <w:t xml:space="preserve">В дальнейшем на основании федеральных законов от </w:t>
      </w:r>
      <w:r>
        <w:t>0</w:t>
      </w:r>
      <w:r w:rsidRPr="00980BB3">
        <w:t>2</w:t>
      </w:r>
      <w:r>
        <w:t>.12.</w:t>
      </w:r>
      <w:r w:rsidRPr="00980BB3">
        <w:t xml:space="preserve">2013 №350-ФЗ и от </w:t>
      </w:r>
      <w:r>
        <w:t>0</w:t>
      </w:r>
      <w:r w:rsidRPr="00980BB3">
        <w:t>6</w:t>
      </w:r>
      <w:r>
        <w:t>.04.</w:t>
      </w:r>
      <w:r w:rsidRPr="00980BB3">
        <w:t>2015 №68-ФЗ действие част</w:t>
      </w:r>
      <w:r>
        <w:t>ей</w:t>
      </w:r>
      <w:r w:rsidRPr="00980BB3">
        <w:t xml:space="preserve"> 11</w:t>
      </w:r>
      <w:r>
        <w:t xml:space="preserve"> и 12</w:t>
      </w:r>
      <w:r w:rsidRPr="00980BB3">
        <w:t xml:space="preserve"> статьи 50 Федерального закона №79-ФЗ приостановлено до </w:t>
      </w:r>
      <w:r>
        <w:t>0</w:t>
      </w:r>
      <w:r w:rsidRPr="00980BB3">
        <w:t>1</w:t>
      </w:r>
      <w:r>
        <w:t>.01.</w:t>
      </w:r>
      <w:r w:rsidRPr="00980BB3">
        <w:t>2018.</w:t>
      </w:r>
    </w:p>
    <w:p w:rsidR="00FC0A7C" w:rsidRDefault="00FC0A7C" w:rsidP="00FC0A7C">
      <w:pPr>
        <w:ind w:firstLine="709"/>
        <w:jc w:val="both"/>
      </w:pPr>
      <w:r w:rsidRPr="00980BB3">
        <w:t>Учитывая прогнозный уровень инфляции, в целях обеспечения социальных гарантий лицам, замещающим должности федеральной государственной гражданской службы</w:t>
      </w:r>
      <w:r>
        <w:t>,</w:t>
      </w:r>
      <w:r w:rsidRPr="00980BB3">
        <w:t xml:space="preserve"> </w:t>
      </w:r>
      <w:r>
        <w:t>У</w:t>
      </w:r>
      <w:r w:rsidRPr="00980BB3">
        <w:t>каз</w:t>
      </w:r>
      <w:r>
        <w:t>ом Президента РФ (по состоянию на 03.11.2017 находится на этапе принятия)</w:t>
      </w:r>
      <w:r w:rsidRPr="00980BB3">
        <w:t xml:space="preserve"> предусматривается повышение (индексация) окладов денежного содержания по должностям федеральной государственной службы с </w:t>
      </w:r>
      <w:r>
        <w:t>0</w:t>
      </w:r>
      <w:r w:rsidRPr="00980BB3">
        <w:t>1</w:t>
      </w:r>
      <w:r>
        <w:t>.01.</w:t>
      </w:r>
      <w:r w:rsidRPr="00980BB3">
        <w:t>2018 на 4 процента.</w:t>
      </w:r>
    </w:p>
    <w:p w:rsidR="00FC0A7C" w:rsidRPr="00D15BB0" w:rsidRDefault="00FC0A7C" w:rsidP="00FC0A7C">
      <w:pPr>
        <w:ind w:firstLine="709"/>
        <w:jc w:val="both"/>
        <w:rPr>
          <w:b/>
          <w:i/>
        </w:rPr>
      </w:pPr>
      <w:r>
        <w:t>Таким образом, в условиях действующей с</w:t>
      </w:r>
      <w:r w:rsidRPr="00980BB3">
        <w:t xml:space="preserve"> </w:t>
      </w:r>
      <w:r>
        <w:t>0</w:t>
      </w:r>
      <w:r w:rsidRPr="00980BB3">
        <w:t>1</w:t>
      </w:r>
      <w:r>
        <w:t>.01.</w:t>
      </w:r>
      <w:r w:rsidRPr="00980BB3">
        <w:t>2018</w:t>
      </w:r>
      <w:r>
        <w:t xml:space="preserve"> нормы прямого действия, установленной </w:t>
      </w:r>
      <w:r w:rsidRPr="00F31D0D">
        <w:t>част</w:t>
      </w:r>
      <w:r>
        <w:t xml:space="preserve">ью </w:t>
      </w:r>
      <w:r w:rsidRPr="00F31D0D">
        <w:t>1</w:t>
      </w:r>
      <w:r>
        <w:t>2</w:t>
      </w:r>
      <w:r w:rsidRPr="00F31D0D">
        <w:t xml:space="preserve"> статьи 50 Федерального закона №79-ФЗ</w:t>
      </w:r>
      <w:r>
        <w:t xml:space="preserve">, </w:t>
      </w:r>
      <w:r w:rsidRPr="00D15BB0">
        <w:rPr>
          <w:b/>
          <w:i/>
        </w:rPr>
        <w:t>приостановление до 01.01.2021 действия норм законодательного акта Волгоградской области об индексации денежного содержания государственных гражданских служащих не соответствует федеральному законодательству.</w:t>
      </w:r>
    </w:p>
    <w:p w:rsidR="00FC0A7C" w:rsidRDefault="001A63E5" w:rsidP="00FC0A7C">
      <w:pPr>
        <w:jc w:val="both"/>
      </w:pPr>
      <w:bookmarkStart w:id="1" w:name="_GoBack"/>
      <w:bookmarkEnd w:id="1"/>
      <w:r>
        <w:tab/>
        <w:t xml:space="preserve">Кроме того, отсутствие индексации денежного содержания государственных гражданских служащих в течение 8 лет при ежегодном росте потребительских цен неминуемо </w:t>
      </w:r>
      <w:r w:rsidRPr="001A63E5">
        <w:rPr>
          <w:b/>
          <w:i/>
        </w:rPr>
        <w:t>приведет к оттоку из органов государственной власти Волгоградской области высокопрофессиональных кадров,</w:t>
      </w:r>
      <w:r>
        <w:t xml:space="preserve"> что в свою очередь негативно скажется на </w:t>
      </w:r>
      <w:r w:rsidR="00BE7A42">
        <w:t>качестве</w:t>
      </w:r>
      <w:r>
        <w:t xml:space="preserve"> принимаемых управленческих решений и выполнении поставленных задач.</w:t>
      </w:r>
    </w:p>
    <w:p w:rsidR="00C81877" w:rsidRPr="001A63E5" w:rsidRDefault="00C81877" w:rsidP="00C81877">
      <w:pPr>
        <w:ind w:firstLine="709"/>
        <w:jc w:val="both"/>
        <w:rPr>
          <w:b/>
          <w:i/>
        </w:rPr>
      </w:pPr>
      <w:r>
        <w:t xml:space="preserve">Формирование проекта областного бюджета на очередной трехлетний период в части оплаты труда лиц, </w:t>
      </w:r>
      <w:r w:rsidRPr="00041BBD">
        <w:t>замещающих государственные должности Волгоградской области</w:t>
      </w:r>
      <w:r>
        <w:t xml:space="preserve">, а также государственных гражданских служащих Волгоградской области в отсутствии утвержденного в установленном порядке нормативного правового акта, устанавливающего ежегодную индексацию их денежного содержания, </w:t>
      </w:r>
      <w:r w:rsidRPr="001A63E5">
        <w:rPr>
          <w:b/>
          <w:i/>
        </w:rPr>
        <w:t>следует отнести к концептуальным недостаткам внесенного законопроекта.</w:t>
      </w:r>
    </w:p>
    <w:p w:rsidR="00894346" w:rsidRDefault="00C81877" w:rsidP="00FC0A7C">
      <w:pPr>
        <w:jc w:val="both"/>
      </w:pPr>
      <w:r>
        <w:tab/>
      </w:r>
    </w:p>
    <w:p w:rsidR="001A63E5" w:rsidRPr="00894346" w:rsidRDefault="00C81877" w:rsidP="00894346">
      <w:pPr>
        <w:ind w:firstLine="708"/>
        <w:jc w:val="both"/>
        <w:rPr>
          <w:b/>
          <w:i/>
        </w:rPr>
      </w:pPr>
      <w:r w:rsidRPr="00894346">
        <w:rPr>
          <w:b/>
          <w:i/>
        </w:rPr>
        <w:t xml:space="preserve">Аналогичный недостаток допущен и при формировании межбюджетных отношений </w:t>
      </w:r>
      <w:r w:rsidR="00F977DE">
        <w:rPr>
          <w:b/>
          <w:i/>
        </w:rPr>
        <w:t xml:space="preserve">в Волгоградской области </w:t>
      </w:r>
      <w:r w:rsidRPr="00894346">
        <w:rPr>
          <w:b/>
          <w:i/>
        </w:rPr>
        <w:t>на 2018-2020 годы.</w:t>
      </w:r>
    </w:p>
    <w:p w:rsidR="00894346" w:rsidRPr="001925DA" w:rsidRDefault="00894346" w:rsidP="00894346">
      <w:pPr>
        <w:ind w:firstLine="708"/>
        <w:jc w:val="both"/>
      </w:pPr>
      <w:r w:rsidRPr="001925DA">
        <w:t>В соответствии с п</w:t>
      </w:r>
      <w:r>
        <w:t>унктом</w:t>
      </w:r>
      <w:r w:rsidRPr="001925DA">
        <w:t xml:space="preserve"> 3 ст</w:t>
      </w:r>
      <w:r>
        <w:t>атьи</w:t>
      </w:r>
      <w:r w:rsidRPr="001925DA">
        <w:t xml:space="preserve"> 137 БК РФ дотации на выравнивание бюджетной обеспеченности </w:t>
      </w:r>
      <w:r w:rsidRPr="00894346">
        <w:rPr>
          <w:u w:val="single"/>
        </w:rPr>
        <w:t>не предоставляются</w:t>
      </w:r>
      <w:r w:rsidRPr="001925DA">
        <w:t xml:space="preserve"> городским поселениям (включая городские округа), в которых согласно п</w:t>
      </w:r>
      <w:r>
        <w:t>ункту</w:t>
      </w:r>
      <w:r w:rsidRPr="001925DA">
        <w:t xml:space="preserve"> 1 ст</w:t>
      </w:r>
      <w:r>
        <w:t>атьи</w:t>
      </w:r>
      <w:r w:rsidRPr="001925DA">
        <w:t xml:space="preserve"> 142</w:t>
      </w:r>
      <w:r w:rsidR="00185F0B">
        <w:t>.2</w:t>
      </w:r>
      <w:r w:rsidRPr="001925DA">
        <w:t xml:space="preserve"> БК РФ в отчетном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РФ.</w:t>
      </w:r>
    </w:p>
    <w:p w:rsidR="00894346" w:rsidRPr="001925DA" w:rsidRDefault="00894346" w:rsidP="00894346">
      <w:pPr>
        <w:ind w:firstLine="851"/>
        <w:jc w:val="both"/>
      </w:pPr>
      <w:r>
        <w:t xml:space="preserve">В связи с этим </w:t>
      </w:r>
      <w:r w:rsidRPr="00C81877">
        <w:rPr>
          <w:b/>
          <w:i/>
        </w:rPr>
        <w:t>городской округ Волгоград в 2018 году не будет являться получателем дотации на выравнивание  бюджетной обеспеченности  из ФФПП (ГО)</w:t>
      </w:r>
      <w:r>
        <w:rPr>
          <w:b/>
          <w:i/>
        </w:rPr>
        <w:t xml:space="preserve"> </w:t>
      </w:r>
      <w:r>
        <w:t xml:space="preserve">в </w:t>
      </w:r>
      <w:r>
        <w:lastRenderedPageBreak/>
        <w:t xml:space="preserve">то время как в 2017 году расчетный размер дотации на выравнивание </w:t>
      </w:r>
      <w:r w:rsidRPr="009C283F">
        <w:t xml:space="preserve">бюджетной обеспеченности из ФФПП (ГО) </w:t>
      </w:r>
      <w:r>
        <w:t xml:space="preserve">составлял по Волгограду </w:t>
      </w:r>
      <w:r w:rsidRPr="009C283F">
        <w:t>1168,6 млн.</w:t>
      </w:r>
      <w:r>
        <w:t xml:space="preserve"> </w:t>
      </w:r>
      <w:r w:rsidRPr="009C283F">
        <w:t>руб</w:t>
      </w:r>
      <w:r>
        <w:t>лей</w:t>
      </w:r>
      <w:r w:rsidRPr="009C283F">
        <w:t>.</w:t>
      </w:r>
    </w:p>
    <w:p w:rsidR="00894346" w:rsidRPr="00DB6FBD" w:rsidRDefault="00894346" w:rsidP="00894346">
      <w:pPr>
        <w:ind w:firstLine="851"/>
        <w:jc w:val="both"/>
      </w:pPr>
      <w:r w:rsidRPr="00E71060">
        <w:t>В связи с тем,</w:t>
      </w:r>
      <w:r>
        <w:t xml:space="preserve"> что</w:t>
      </w:r>
      <w:r w:rsidRPr="00E71060">
        <w:t xml:space="preserve"> по городскому округу Волгоград в отчетном финансовом году расчетные налоговые доходы бюджета (без учета налоговых доходов по дополнительным нормативам отчислений) </w:t>
      </w:r>
      <w:r>
        <w:t xml:space="preserve">превысили </w:t>
      </w:r>
      <w:r w:rsidRPr="00E71060">
        <w:t>1,3-кратн</w:t>
      </w:r>
      <w:r>
        <w:t>ый</w:t>
      </w:r>
      <w:r w:rsidRPr="00E71060">
        <w:t xml:space="preserve"> средн</w:t>
      </w:r>
      <w:r>
        <w:t>ий</w:t>
      </w:r>
      <w:r w:rsidRPr="00E71060">
        <w:t xml:space="preserve"> уров</w:t>
      </w:r>
      <w:r>
        <w:t>е</w:t>
      </w:r>
      <w:r w:rsidRPr="00E71060">
        <w:t>н</w:t>
      </w:r>
      <w:r>
        <w:t>ь</w:t>
      </w:r>
      <w:r w:rsidRPr="00E71060">
        <w:t xml:space="preserve"> по муниципальным районам (городским округам) в расчете на одного жителя</w:t>
      </w:r>
      <w:r>
        <w:t>,</w:t>
      </w:r>
      <w:r w:rsidRPr="00E71060">
        <w:t xml:space="preserve"> </w:t>
      </w:r>
      <w:r>
        <w:t>з</w:t>
      </w:r>
      <w:r w:rsidRPr="00E71060">
        <w:t xml:space="preserve">аконопроектом предусмотрено предоставление областному бюджету из бюджета городского округа Волгоград </w:t>
      </w:r>
      <w:r>
        <w:t xml:space="preserve">субсидии </w:t>
      </w:r>
      <w:r w:rsidRPr="00E71060">
        <w:t>в размере 4,6 млн.</w:t>
      </w:r>
      <w:r>
        <w:t xml:space="preserve"> </w:t>
      </w:r>
      <w:r w:rsidRPr="00E71060">
        <w:t>руб.</w:t>
      </w:r>
      <w:r>
        <w:t xml:space="preserve"> (так называемый «отрицательный трансферт»).</w:t>
      </w:r>
      <w:r w:rsidRPr="00E71060">
        <w:t xml:space="preserve"> </w:t>
      </w:r>
      <w:r>
        <w:t>Данная субсидия</w:t>
      </w:r>
      <w:r w:rsidRPr="00E71060">
        <w:t xml:space="preserve"> направлена на увеличение критерия выравнивания расчетной бюджетной обеспеченности муниципальных районов (городских округов), равного 1,001  на 2018-2020 годы.</w:t>
      </w:r>
      <w:r w:rsidRPr="00DB6FBD">
        <w:t xml:space="preserve"> </w:t>
      </w:r>
    </w:p>
    <w:p w:rsidR="00894346" w:rsidRPr="00DB6FBD" w:rsidRDefault="00894346" w:rsidP="00894346">
      <w:pPr>
        <w:pStyle w:val="p5"/>
        <w:spacing w:before="0" w:beforeAutospacing="0" w:after="0" w:afterAutospacing="0"/>
        <w:ind w:firstLine="851"/>
        <w:jc w:val="both"/>
      </w:pPr>
      <w:r>
        <w:t>Следует отметить, что исходя из расчета</w:t>
      </w:r>
      <w:r w:rsidRPr="00DB6FBD">
        <w:t xml:space="preserve"> субсидии, подлежащей перечислению из бюджета муниципального района (городского округа) в областной бюджет</w:t>
      </w:r>
      <w:r>
        <w:t xml:space="preserve"> согласно изменениям, внесенным в октябре текущего года в Закон</w:t>
      </w:r>
      <w:r w:rsidRPr="00DB6FBD">
        <w:t xml:space="preserve"> о межбюджетных отношениях №1093-ОД</w:t>
      </w:r>
      <w:r>
        <w:t>,</w:t>
      </w:r>
      <w:r w:rsidRPr="00DB6FBD">
        <w:t xml:space="preserve"> объем субсидии из бюджета городского округа Волгоград </w:t>
      </w:r>
      <w:r>
        <w:t xml:space="preserve">областному </w:t>
      </w:r>
      <w:r w:rsidRPr="00DB6FBD">
        <w:t xml:space="preserve">бюджету  должен </w:t>
      </w:r>
      <w:r w:rsidR="0065759C">
        <w:t xml:space="preserve">был </w:t>
      </w:r>
      <w:r w:rsidRPr="00DB6FBD">
        <w:t xml:space="preserve">составить </w:t>
      </w:r>
      <w:r>
        <w:t xml:space="preserve">не 4,6 млн. руб., а </w:t>
      </w:r>
      <w:r w:rsidRPr="00DB6FBD">
        <w:t>462,3 млн. рублей.</w:t>
      </w:r>
    </w:p>
    <w:p w:rsidR="00894346" w:rsidRDefault="00894346" w:rsidP="00894346">
      <w:pPr>
        <w:pStyle w:val="p5"/>
        <w:spacing w:before="0" w:beforeAutospacing="0" w:after="0" w:afterAutospacing="0"/>
        <w:ind w:firstLine="851"/>
        <w:jc w:val="both"/>
      </w:pPr>
      <w:r>
        <w:t xml:space="preserve"> Однако в пакете </w:t>
      </w:r>
      <w:r w:rsidRPr="00DB6FBD">
        <w:t>материал</w:t>
      </w:r>
      <w:r>
        <w:t>ов, представленных с</w:t>
      </w:r>
      <w:r w:rsidRPr="00DB6FBD">
        <w:t xml:space="preserve"> проект</w:t>
      </w:r>
      <w:r>
        <w:t>ом закона о бюджете,</w:t>
      </w:r>
      <w:r w:rsidRPr="00DB6FBD">
        <w:t xml:space="preserve"> пр</w:t>
      </w:r>
      <w:r>
        <w:t>едставлен</w:t>
      </w:r>
      <w:r w:rsidRPr="00DB6FBD">
        <w:t xml:space="preserve"> законопроект «О внесении изменений в Закон Волгоградской области от 26.07.2005</w:t>
      </w:r>
      <w:r>
        <w:t xml:space="preserve"> </w:t>
      </w:r>
      <w:r w:rsidRPr="00DB6FBD">
        <w:t>№1093-ОД «О межбюджетных отнош</w:t>
      </w:r>
      <w:r>
        <w:t>ениях в Волгоградской области». Последним</w:t>
      </w:r>
      <w:r w:rsidRPr="00DB6FBD">
        <w:t xml:space="preserve">  предлагается </w:t>
      </w:r>
      <w:r>
        <w:t>внести изменения в формулу расчета</w:t>
      </w:r>
      <w:r w:rsidRPr="005D77C3">
        <w:rPr>
          <w:sz w:val="28"/>
          <w:szCs w:val="28"/>
        </w:rPr>
        <w:t xml:space="preserve"> </w:t>
      </w:r>
      <w:r w:rsidRPr="005D77C3">
        <w:t>субсидии, подлежащей перечислению из бюджета муниципального района (городского округа) в областной бюджет</w:t>
      </w:r>
      <w:r>
        <w:t>, в результате чего сокращен</w:t>
      </w:r>
      <w:r w:rsidRPr="00DB6FBD">
        <w:t xml:space="preserve"> объем </w:t>
      </w:r>
      <w:r>
        <w:t>субсидии областному бюджету</w:t>
      </w:r>
      <w:r w:rsidRPr="00DB6FBD">
        <w:t xml:space="preserve"> в расчете</w:t>
      </w:r>
      <w:r>
        <w:t xml:space="preserve"> на одного жителя с 50% до 0,5%</w:t>
      </w:r>
      <w:r w:rsidRPr="00DB6FBD">
        <w:t xml:space="preserve"> разницы между расчетными налоговыми доходами местного бюджета (без учета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 </w:t>
      </w:r>
      <w:r>
        <w:t xml:space="preserve">И если законопроект о внесении изменений в Закон </w:t>
      </w:r>
      <w:r w:rsidRPr="001925DA">
        <w:t>о межбюджетных отношениях №1093-ОД</w:t>
      </w:r>
      <w:r>
        <w:t xml:space="preserve">, принятый Волгоградской областной Думой в октябре текущего года, прошел экспертизу в КСП и по ее результатам палата предупреждала о возможных выпадающих доходах бюджета Волгограда в случае его принятия ориентировочно на 500 млн. руб., то </w:t>
      </w:r>
      <w:r w:rsidRPr="00497D17">
        <w:rPr>
          <w:b/>
          <w:i/>
        </w:rPr>
        <w:t>законопроект, внесенный одновременно с проектом бюджета, на заключение в КСП не поступал</w:t>
      </w:r>
      <w:r>
        <w:t xml:space="preserve">. </w:t>
      </w:r>
    </w:p>
    <w:p w:rsidR="00894346" w:rsidRPr="00CB55DB" w:rsidRDefault="00894346" w:rsidP="00894346">
      <w:pPr>
        <w:pStyle w:val="p5"/>
        <w:spacing w:before="0" w:beforeAutospacing="0" w:after="0" w:afterAutospacing="0"/>
        <w:ind w:firstLine="851"/>
        <w:jc w:val="both"/>
      </w:pPr>
      <w:r>
        <w:t xml:space="preserve">Таким образом, </w:t>
      </w:r>
      <w:r w:rsidRPr="00497D17">
        <w:rPr>
          <w:b/>
          <w:i/>
        </w:rPr>
        <w:t xml:space="preserve">межбюджетные отношения на 2018-2020 годы сформированы </w:t>
      </w:r>
      <w:r w:rsidR="0065759C">
        <w:rPr>
          <w:b/>
          <w:i/>
        </w:rPr>
        <w:t xml:space="preserve">в </w:t>
      </w:r>
      <w:r w:rsidRPr="00497D17">
        <w:rPr>
          <w:b/>
          <w:i/>
        </w:rPr>
        <w:t xml:space="preserve">отсутствии утвержденного </w:t>
      </w:r>
      <w:r w:rsidR="00BD4E67">
        <w:rPr>
          <w:b/>
          <w:i/>
        </w:rPr>
        <w:t xml:space="preserve">в установленном </w:t>
      </w:r>
      <w:r w:rsidRPr="00497D17">
        <w:rPr>
          <w:b/>
          <w:i/>
        </w:rPr>
        <w:t>порядк</w:t>
      </w:r>
      <w:r w:rsidR="00BD4E67">
        <w:rPr>
          <w:b/>
          <w:i/>
        </w:rPr>
        <w:t>е размера изъятия в областной бюджет отрицательного межбюджетного трансферта</w:t>
      </w:r>
      <w:r w:rsidRPr="00497D17">
        <w:rPr>
          <w:b/>
          <w:i/>
        </w:rPr>
        <w:t xml:space="preserve">, </w:t>
      </w:r>
      <w:r w:rsidRPr="00CB55DB">
        <w:t xml:space="preserve">что в </w:t>
      </w:r>
      <w:r w:rsidR="00BD4E67">
        <w:t>итоге привело к снижению доходов</w:t>
      </w:r>
      <w:r w:rsidRPr="00CB55DB">
        <w:t xml:space="preserve"> бюджета городского округа Волгоград более чем на 1000 млн. рублей.  </w:t>
      </w:r>
    </w:p>
    <w:p w:rsidR="00C81877" w:rsidRDefault="00C81877" w:rsidP="00FC0A7C">
      <w:pPr>
        <w:jc w:val="both"/>
      </w:pPr>
    </w:p>
    <w:p w:rsidR="006A3F52" w:rsidRPr="00A27310" w:rsidRDefault="006A3F52" w:rsidP="006A3F52">
      <w:pPr>
        <w:pStyle w:val="a5"/>
        <w:numPr>
          <w:ilvl w:val="0"/>
          <w:numId w:val="1"/>
        </w:numPr>
        <w:outlineLvl w:val="0"/>
        <w:rPr>
          <w:b/>
          <w:i/>
        </w:rPr>
      </w:pPr>
      <w:r w:rsidRPr="00A27310">
        <w:rPr>
          <w:b/>
          <w:i/>
        </w:rPr>
        <w:t>Прогноз социально-экономического развития Волгоградской области</w:t>
      </w:r>
    </w:p>
    <w:p w:rsidR="006A3F52" w:rsidRDefault="006A3F52" w:rsidP="006A3F52">
      <w:pPr>
        <w:pStyle w:val="a5"/>
        <w:ind w:left="708"/>
        <w:outlineLvl w:val="0"/>
        <w:rPr>
          <w:b/>
          <w:i/>
        </w:rPr>
      </w:pPr>
      <w:r w:rsidRPr="00A27310">
        <w:rPr>
          <w:b/>
          <w:i/>
        </w:rPr>
        <w:t>на 20</w:t>
      </w:r>
      <w:r w:rsidR="00BC4973" w:rsidRPr="00A27310">
        <w:rPr>
          <w:b/>
          <w:i/>
        </w:rPr>
        <w:t>1</w:t>
      </w:r>
      <w:r w:rsidR="00720D49">
        <w:rPr>
          <w:b/>
          <w:i/>
        </w:rPr>
        <w:t>8</w:t>
      </w:r>
      <w:r w:rsidRPr="00A27310">
        <w:rPr>
          <w:b/>
          <w:i/>
        </w:rPr>
        <w:t>-20</w:t>
      </w:r>
      <w:r w:rsidR="00720D49">
        <w:rPr>
          <w:b/>
          <w:i/>
        </w:rPr>
        <w:t>20</w:t>
      </w:r>
      <w:r w:rsidRPr="00A27310">
        <w:rPr>
          <w:b/>
          <w:i/>
        </w:rPr>
        <w:t xml:space="preserve"> годы.</w:t>
      </w:r>
    </w:p>
    <w:p w:rsidR="00416DF3" w:rsidRDefault="00416DF3" w:rsidP="006A3F52">
      <w:pPr>
        <w:pStyle w:val="a5"/>
        <w:ind w:left="708"/>
        <w:outlineLvl w:val="0"/>
        <w:rPr>
          <w:b/>
          <w:i/>
        </w:rPr>
      </w:pPr>
    </w:p>
    <w:p w:rsidR="00CD1B94" w:rsidRPr="00DE0FB7" w:rsidRDefault="00CD1B94" w:rsidP="00CD1B94">
      <w:pPr>
        <w:ind w:firstLine="680"/>
        <w:jc w:val="both"/>
      </w:pPr>
      <w:r w:rsidRPr="00DE0FB7">
        <w:t>Прогноз социально-экономического развития Волгоградской области на 2018</w:t>
      </w:r>
      <w:r>
        <w:t xml:space="preserve"> год и на плановый период 2019 и 2020 годов, одобренный постановлением Администрации Волгоградской области от 26.10.2017 №553-п </w:t>
      </w:r>
      <w:r w:rsidRPr="00DE0FB7">
        <w:t>(далее Прогноз СЭР)</w:t>
      </w:r>
      <w:r>
        <w:t>,</w:t>
      </w:r>
      <w:r w:rsidRPr="00DE0FB7">
        <w:t xml:space="preserve"> разработан по трем вариантам: консервативн</w:t>
      </w:r>
      <w:r w:rsidR="00591E07">
        <w:t>ому</w:t>
      </w:r>
      <w:r w:rsidRPr="00DE0FB7">
        <w:t>, базов</w:t>
      </w:r>
      <w:r w:rsidR="00591E07">
        <w:t>ому</w:t>
      </w:r>
      <w:r w:rsidRPr="00DE0FB7">
        <w:t xml:space="preserve"> и целево</w:t>
      </w:r>
      <w:r w:rsidR="00591E07">
        <w:t>му</w:t>
      </w:r>
      <w:r w:rsidRPr="00DE0FB7">
        <w:t>.</w:t>
      </w:r>
    </w:p>
    <w:p w:rsidR="00CD1B94" w:rsidRDefault="00CD1B94" w:rsidP="00CD1B94">
      <w:pPr>
        <w:pStyle w:val="ConsNonformat"/>
        <w:widowControl/>
        <w:ind w:firstLine="680"/>
        <w:jc w:val="both"/>
        <w:rPr>
          <w:rFonts w:ascii="Times New Roman" w:hAnsi="Times New Roman"/>
          <w:sz w:val="24"/>
          <w:szCs w:val="24"/>
        </w:rPr>
      </w:pPr>
      <w:r>
        <w:rPr>
          <w:rFonts w:ascii="Times New Roman" w:hAnsi="Times New Roman"/>
          <w:sz w:val="24"/>
          <w:szCs w:val="24"/>
        </w:rPr>
        <w:t>Согласно</w:t>
      </w:r>
      <w:r w:rsidRPr="00F52123">
        <w:rPr>
          <w:rFonts w:ascii="Times New Roman" w:hAnsi="Times New Roman"/>
          <w:sz w:val="24"/>
          <w:szCs w:val="24"/>
        </w:rPr>
        <w:t xml:space="preserve"> пояснительной записк</w:t>
      </w:r>
      <w:r>
        <w:rPr>
          <w:rFonts w:ascii="Times New Roman" w:hAnsi="Times New Roman"/>
          <w:sz w:val="24"/>
          <w:szCs w:val="24"/>
        </w:rPr>
        <w:t>е</w:t>
      </w:r>
      <w:r w:rsidRPr="00F52123">
        <w:rPr>
          <w:rFonts w:ascii="Times New Roman" w:hAnsi="Times New Roman"/>
          <w:sz w:val="24"/>
          <w:szCs w:val="24"/>
        </w:rPr>
        <w:t xml:space="preserve"> к </w:t>
      </w:r>
      <w:r w:rsidR="00EB4C61">
        <w:rPr>
          <w:rFonts w:ascii="Times New Roman" w:hAnsi="Times New Roman"/>
          <w:sz w:val="24"/>
          <w:szCs w:val="24"/>
        </w:rPr>
        <w:t>з</w:t>
      </w:r>
      <w:r w:rsidRPr="00F52123">
        <w:rPr>
          <w:rFonts w:ascii="Times New Roman" w:hAnsi="Times New Roman"/>
          <w:sz w:val="24"/>
          <w:szCs w:val="24"/>
        </w:rPr>
        <w:t>аконопроекту расчет прогнозных показателей поступления налоговых и неналоговых доходов в областной бюджет осуществлен исходя из отдельных основных макроэкономических показателей социально</w:t>
      </w:r>
      <w:r w:rsidR="00BD531F">
        <w:rPr>
          <w:rFonts w:ascii="Times New Roman" w:hAnsi="Times New Roman"/>
          <w:sz w:val="24"/>
          <w:szCs w:val="24"/>
        </w:rPr>
        <w:t>-</w:t>
      </w:r>
      <w:r w:rsidRPr="00F52123">
        <w:rPr>
          <w:rFonts w:ascii="Times New Roman" w:hAnsi="Times New Roman"/>
          <w:sz w:val="24"/>
          <w:szCs w:val="24"/>
        </w:rPr>
        <w:t xml:space="preserve">экономического развития Волгоградской области на 2018 год и на плановый период 2019 и 2020 годов </w:t>
      </w:r>
      <w:r w:rsidRPr="00F40E5A">
        <w:rPr>
          <w:rFonts w:ascii="Times New Roman" w:hAnsi="Times New Roman"/>
          <w:sz w:val="24"/>
          <w:szCs w:val="24"/>
          <w:u w:val="single"/>
        </w:rPr>
        <w:t>по базовому варианту</w:t>
      </w:r>
      <w:r w:rsidRPr="00F52123">
        <w:rPr>
          <w:rFonts w:ascii="Times New Roman" w:hAnsi="Times New Roman"/>
          <w:sz w:val="24"/>
          <w:szCs w:val="24"/>
        </w:rPr>
        <w:t xml:space="preserve">, в связи с чем </w:t>
      </w:r>
      <w:r w:rsidR="00F40E5A">
        <w:rPr>
          <w:rFonts w:ascii="Times New Roman" w:hAnsi="Times New Roman"/>
          <w:sz w:val="24"/>
          <w:szCs w:val="24"/>
        </w:rPr>
        <w:t>в настоящем заключении</w:t>
      </w:r>
      <w:r w:rsidRPr="00F52123">
        <w:rPr>
          <w:rFonts w:ascii="Times New Roman" w:hAnsi="Times New Roman"/>
          <w:sz w:val="24"/>
          <w:szCs w:val="24"/>
        </w:rPr>
        <w:t xml:space="preserve"> анализ макроэкономических показателей </w:t>
      </w:r>
      <w:r w:rsidR="00F40E5A">
        <w:rPr>
          <w:rFonts w:ascii="Times New Roman" w:hAnsi="Times New Roman"/>
          <w:sz w:val="24"/>
          <w:szCs w:val="24"/>
        </w:rPr>
        <w:t>осуществлен в соответствии со вторым</w:t>
      </w:r>
      <w:r w:rsidRPr="00F52123">
        <w:rPr>
          <w:rFonts w:ascii="Times New Roman" w:hAnsi="Times New Roman"/>
          <w:sz w:val="24"/>
          <w:szCs w:val="24"/>
        </w:rPr>
        <w:t xml:space="preserve"> </w:t>
      </w:r>
      <w:r w:rsidRPr="00E52E62">
        <w:rPr>
          <w:rFonts w:ascii="Times New Roman" w:hAnsi="Times New Roman"/>
          <w:sz w:val="24"/>
          <w:szCs w:val="24"/>
        </w:rPr>
        <w:t>вариант</w:t>
      </w:r>
      <w:r w:rsidR="00F40E5A">
        <w:rPr>
          <w:rFonts w:ascii="Times New Roman" w:hAnsi="Times New Roman"/>
          <w:sz w:val="24"/>
          <w:szCs w:val="24"/>
        </w:rPr>
        <w:t>ом</w:t>
      </w:r>
      <w:r w:rsidRPr="00E52E62">
        <w:rPr>
          <w:rFonts w:ascii="Times New Roman" w:hAnsi="Times New Roman"/>
          <w:sz w:val="24"/>
          <w:szCs w:val="24"/>
        </w:rPr>
        <w:t xml:space="preserve">. </w:t>
      </w:r>
    </w:p>
    <w:p w:rsidR="00CD1B94" w:rsidRDefault="00CD1B94" w:rsidP="00CD1B94">
      <w:pPr>
        <w:ind w:firstLine="680"/>
        <w:jc w:val="both"/>
      </w:pPr>
      <w:r w:rsidRPr="00DE0FB7">
        <w:t xml:space="preserve">Исходя из сценарных условий и основных макроэкономических параметров РФ </w:t>
      </w:r>
      <w:r>
        <w:t xml:space="preserve">в базовый вариант прогноза закладывается сохранение цен на нефть вблизи текущих уровней до окончания срока действия соглашения об ограничении добычи (предположительно до марта 2018 г.). В этих условиях прогнозируется постепенное снижение цен на нефть марки «Юралс» </w:t>
      </w:r>
      <w:r w:rsidR="00FB0A21">
        <w:t xml:space="preserve">- </w:t>
      </w:r>
      <w:r>
        <w:t xml:space="preserve">к концу 2018 г. до уровня чуть выше 40 дол. США за баррель, который </w:t>
      </w:r>
      <w:r>
        <w:lastRenderedPageBreak/>
        <w:t xml:space="preserve">оценивается, как равновесный. В 2019 и 2020 </w:t>
      </w:r>
      <w:r w:rsidR="00FB0A21">
        <w:t>годах</w:t>
      </w:r>
      <w:r>
        <w:t xml:space="preserve"> ожидается сохранение цен на нефть вблизи указанного уровня. В рамках базового сценария прогнозируется постепенное увеличение те</w:t>
      </w:r>
      <w:r w:rsidR="00AC6323">
        <w:t xml:space="preserve">мпов роста российской экономики - </w:t>
      </w:r>
      <w:r>
        <w:t>с 2,1% в 2017 г</w:t>
      </w:r>
      <w:r w:rsidR="00AC6323">
        <w:t>оду</w:t>
      </w:r>
      <w:r>
        <w:t xml:space="preserve"> до 2,3% к 2020 году.</w:t>
      </w:r>
    </w:p>
    <w:p w:rsidR="00CD1B94" w:rsidRPr="00E52E62" w:rsidRDefault="00CD1B94" w:rsidP="00CD1B94">
      <w:pPr>
        <w:pStyle w:val="ConsNonformat"/>
        <w:widowControl/>
        <w:ind w:firstLine="680"/>
        <w:jc w:val="both"/>
        <w:rPr>
          <w:rFonts w:ascii="Times New Roman" w:hAnsi="Times New Roman"/>
          <w:sz w:val="24"/>
          <w:szCs w:val="24"/>
        </w:rPr>
      </w:pPr>
      <w:r>
        <w:rPr>
          <w:rFonts w:ascii="Times New Roman" w:hAnsi="Times New Roman"/>
          <w:sz w:val="24"/>
          <w:szCs w:val="24"/>
        </w:rPr>
        <w:t xml:space="preserve">Следует отметить, что, как и в предыдущем году, </w:t>
      </w:r>
      <w:r w:rsidRPr="00E52E62">
        <w:rPr>
          <w:rFonts w:ascii="Times New Roman" w:hAnsi="Times New Roman"/>
          <w:sz w:val="24"/>
          <w:szCs w:val="24"/>
        </w:rPr>
        <w:t xml:space="preserve">существенным недостатком Прогноза СЭР является отсутствие в нем показателей прибыли прибыльных </w:t>
      </w:r>
      <w:r>
        <w:rPr>
          <w:rFonts w:ascii="Times New Roman" w:hAnsi="Times New Roman"/>
          <w:sz w:val="24"/>
          <w:szCs w:val="24"/>
        </w:rPr>
        <w:t>предприятий</w:t>
      </w:r>
      <w:r w:rsidRPr="00E52E62">
        <w:rPr>
          <w:rFonts w:ascii="Times New Roman" w:hAnsi="Times New Roman"/>
          <w:sz w:val="24"/>
          <w:szCs w:val="24"/>
        </w:rPr>
        <w:t xml:space="preserve"> и стоимости основных фондов, являющихся основополагающими для расчета прогнозных назначений поступлений налога на прибыль и налога на имущество организаций. Указанные показатели приведены в </w:t>
      </w:r>
      <w:r>
        <w:rPr>
          <w:rFonts w:ascii="Times New Roman" w:hAnsi="Times New Roman"/>
          <w:sz w:val="24"/>
          <w:szCs w:val="24"/>
        </w:rPr>
        <w:t xml:space="preserve">другом документе - </w:t>
      </w:r>
      <w:r w:rsidRPr="00E52E62">
        <w:rPr>
          <w:rFonts w:ascii="Times New Roman" w:hAnsi="Times New Roman"/>
          <w:sz w:val="24"/>
          <w:szCs w:val="24"/>
        </w:rPr>
        <w:t>Предварительных итогах социально-экономического развития Волгоградской области за январь-сентябрь 2017 года и ожидаемых итогах социально-экономического развития Волгоградской области за 2017</w:t>
      </w:r>
      <w:r>
        <w:rPr>
          <w:rFonts w:ascii="Times New Roman" w:hAnsi="Times New Roman"/>
          <w:sz w:val="24"/>
          <w:szCs w:val="24"/>
        </w:rPr>
        <w:t xml:space="preserve"> год </w:t>
      </w:r>
      <w:r w:rsidRPr="00E52E62">
        <w:rPr>
          <w:rFonts w:ascii="Times New Roman" w:hAnsi="Times New Roman"/>
          <w:sz w:val="24"/>
          <w:szCs w:val="24"/>
        </w:rPr>
        <w:t>по состоянию на 23.10.2017</w:t>
      </w:r>
      <w:r>
        <w:rPr>
          <w:rFonts w:ascii="Times New Roman" w:hAnsi="Times New Roman"/>
          <w:sz w:val="24"/>
          <w:szCs w:val="24"/>
        </w:rPr>
        <w:t xml:space="preserve"> (далее Предварительные итоги СЭР)</w:t>
      </w:r>
      <w:r w:rsidRPr="00E52E62">
        <w:rPr>
          <w:rFonts w:ascii="Times New Roman" w:hAnsi="Times New Roman"/>
          <w:sz w:val="24"/>
          <w:szCs w:val="24"/>
        </w:rPr>
        <w:t>, а также расчетах доходов областного бюджета.</w:t>
      </w:r>
      <w:r>
        <w:rPr>
          <w:rFonts w:ascii="Times New Roman" w:hAnsi="Times New Roman"/>
          <w:sz w:val="24"/>
          <w:szCs w:val="24"/>
        </w:rPr>
        <w:t xml:space="preserve"> Отсутствие названных показателей в Прогнозе СЭР не позволяет проанализировать динамику изменения показателей за предыдущие годы, так как в </w:t>
      </w:r>
      <w:r w:rsidRPr="00E52E62">
        <w:rPr>
          <w:rFonts w:ascii="Times New Roman" w:hAnsi="Times New Roman"/>
          <w:sz w:val="24"/>
          <w:szCs w:val="24"/>
        </w:rPr>
        <w:t xml:space="preserve">Предварительных итогах </w:t>
      </w:r>
      <w:r>
        <w:rPr>
          <w:rFonts w:ascii="Times New Roman" w:hAnsi="Times New Roman"/>
          <w:sz w:val="24"/>
          <w:szCs w:val="24"/>
        </w:rPr>
        <w:t>СЭР фактические данные</w:t>
      </w:r>
      <w:r w:rsidR="00170061">
        <w:rPr>
          <w:rFonts w:ascii="Times New Roman" w:hAnsi="Times New Roman"/>
          <w:sz w:val="24"/>
          <w:szCs w:val="24"/>
        </w:rPr>
        <w:t xml:space="preserve"> приведены</w:t>
      </w:r>
      <w:r>
        <w:rPr>
          <w:rFonts w:ascii="Times New Roman" w:hAnsi="Times New Roman"/>
          <w:sz w:val="24"/>
          <w:szCs w:val="24"/>
        </w:rPr>
        <w:t xml:space="preserve"> только за 2016 год. Причем, если сравнивать показатель прибыли прибыльных предприятий, указанный в Предварительных итогах СЭР, представленных к бюджету на 2017-2019 годы, и Предварительных итогах СЭР к бюджету на 2018-2020 годы, то размер прибыли существенно отличается (на 2017-2019 годы факт за 2015 год отражен  в</w:t>
      </w:r>
      <w:r w:rsidR="00AC6323">
        <w:rPr>
          <w:rFonts w:ascii="Times New Roman" w:hAnsi="Times New Roman"/>
          <w:sz w:val="24"/>
          <w:szCs w:val="24"/>
        </w:rPr>
        <w:t xml:space="preserve"> </w:t>
      </w:r>
      <w:r>
        <w:rPr>
          <w:rFonts w:ascii="Times New Roman" w:hAnsi="Times New Roman"/>
          <w:sz w:val="24"/>
          <w:szCs w:val="24"/>
        </w:rPr>
        <w:t xml:space="preserve">размере 132600 млн. руб., оценка 2016 года </w:t>
      </w:r>
      <w:r w:rsidR="00170061">
        <w:rPr>
          <w:rFonts w:ascii="Times New Roman" w:hAnsi="Times New Roman"/>
          <w:sz w:val="24"/>
          <w:szCs w:val="24"/>
        </w:rPr>
        <w:t>-</w:t>
      </w:r>
      <w:r>
        <w:rPr>
          <w:rFonts w:ascii="Times New Roman" w:hAnsi="Times New Roman"/>
          <w:sz w:val="24"/>
          <w:szCs w:val="24"/>
        </w:rPr>
        <w:t xml:space="preserve"> 142400 млн. руб., на 2018-2020 годы факт за 2016 год </w:t>
      </w:r>
      <w:r w:rsidR="00170061">
        <w:rPr>
          <w:rFonts w:ascii="Times New Roman" w:hAnsi="Times New Roman"/>
          <w:sz w:val="24"/>
          <w:szCs w:val="24"/>
        </w:rPr>
        <w:t>-</w:t>
      </w:r>
      <w:r>
        <w:rPr>
          <w:rFonts w:ascii="Times New Roman" w:hAnsi="Times New Roman"/>
          <w:sz w:val="24"/>
          <w:szCs w:val="24"/>
        </w:rPr>
        <w:t xml:space="preserve"> 94106 млн. руб., оценка 2017 года </w:t>
      </w:r>
      <w:r w:rsidR="00170061">
        <w:rPr>
          <w:rFonts w:ascii="Times New Roman" w:hAnsi="Times New Roman"/>
          <w:sz w:val="24"/>
          <w:szCs w:val="24"/>
        </w:rPr>
        <w:t>-</w:t>
      </w:r>
      <w:r>
        <w:rPr>
          <w:rFonts w:ascii="Times New Roman" w:hAnsi="Times New Roman"/>
          <w:sz w:val="24"/>
          <w:szCs w:val="24"/>
        </w:rPr>
        <w:t xml:space="preserve"> 99100 млн. руб.).</w:t>
      </w:r>
    </w:p>
    <w:p w:rsidR="00CD1B94" w:rsidRDefault="00CD1B94" w:rsidP="00CD1B94">
      <w:pPr>
        <w:pStyle w:val="ConsNonformat"/>
        <w:widowControl/>
        <w:ind w:firstLine="680"/>
        <w:jc w:val="both"/>
        <w:rPr>
          <w:rFonts w:ascii="Times New Roman" w:hAnsi="Times New Roman"/>
          <w:sz w:val="24"/>
          <w:szCs w:val="24"/>
        </w:rPr>
      </w:pPr>
      <w:r>
        <w:rPr>
          <w:rFonts w:ascii="Times New Roman" w:hAnsi="Times New Roman"/>
          <w:sz w:val="24"/>
          <w:szCs w:val="24"/>
        </w:rPr>
        <w:t xml:space="preserve">Статьей 35 </w:t>
      </w:r>
      <w:r w:rsidRPr="00040E36">
        <w:rPr>
          <w:rFonts w:ascii="Times New Roman" w:hAnsi="Times New Roman"/>
          <w:sz w:val="24"/>
          <w:szCs w:val="24"/>
        </w:rPr>
        <w:t xml:space="preserve">Федерального закона от 28.06.2014 </w:t>
      </w:r>
      <w:r>
        <w:rPr>
          <w:rFonts w:ascii="Times New Roman" w:hAnsi="Times New Roman"/>
          <w:sz w:val="24"/>
          <w:szCs w:val="24"/>
        </w:rPr>
        <w:t>№</w:t>
      </w:r>
      <w:r w:rsidRPr="00040E36">
        <w:rPr>
          <w:rFonts w:ascii="Times New Roman" w:hAnsi="Times New Roman"/>
          <w:sz w:val="24"/>
          <w:szCs w:val="24"/>
        </w:rPr>
        <w:t xml:space="preserve">172-ФЗ </w:t>
      </w:r>
      <w:r w:rsidRPr="00040E36">
        <w:rPr>
          <w:rFonts w:ascii="Times New Roman" w:eastAsia="Calibri" w:hAnsi="Times New Roman"/>
          <w:sz w:val="24"/>
          <w:szCs w:val="24"/>
          <w:lang w:eastAsia="en-US"/>
        </w:rPr>
        <w:t>«О стратегическом планировании в Российской Федерации»</w:t>
      </w:r>
      <w:r>
        <w:rPr>
          <w:rFonts w:ascii="Times New Roman" w:eastAsia="Calibri" w:hAnsi="Times New Roman"/>
          <w:sz w:val="24"/>
          <w:szCs w:val="24"/>
          <w:lang w:eastAsia="en-US"/>
        </w:rPr>
        <w:t xml:space="preserve"> (далее Закон РФ о стратегическом планировании)</w:t>
      </w:r>
      <w:r w:rsidRPr="00040E36">
        <w:rPr>
          <w:rFonts w:ascii="Times New Roman" w:eastAsia="Calibri" w:hAnsi="Times New Roman"/>
          <w:sz w:val="24"/>
          <w:szCs w:val="24"/>
          <w:lang w:eastAsia="en-US"/>
        </w:rPr>
        <w:t>,</w:t>
      </w:r>
      <w:r>
        <w:rPr>
          <w:rFonts w:ascii="Times New Roman" w:eastAsia="Calibri" w:hAnsi="Times New Roman"/>
          <w:sz w:val="24"/>
          <w:szCs w:val="24"/>
          <w:lang w:eastAsia="en-US"/>
        </w:rPr>
        <w:t xml:space="preserve"> ст</w:t>
      </w:r>
      <w:r w:rsidR="00170061">
        <w:rPr>
          <w:rFonts w:ascii="Times New Roman" w:eastAsia="Calibri" w:hAnsi="Times New Roman"/>
          <w:sz w:val="24"/>
          <w:szCs w:val="24"/>
          <w:lang w:eastAsia="en-US"/>
        </w:rPr>
        <w:t>атьей</w:t>
      </w:r>
      <w:r w:rsidRPr="00515DA9">
        <w:rPr>
          <w:rFonts w:ascii="Times New Roman" w:hAnsi="Times New Roman"/>
          <w:sz w:val="24"/>
          <w:szCs w:val="24"/>
        </w:rPr>
        <w:t xml:space="preserve"> 12 Закона </w:t>
      </w:r>
      <w:r w:rsidRPr="00515DA9">
        <w:rPr>
          <w:rFonts w:ascii="Times New Roman" w:hAnsi="Times New Roman"/>
          <w:bCs/>
          <w:sz w:val="24"/>
          <w:szCs w:val="24"/>
        </w:rPr>
        <w:t xml:space="preserve">Волгоградской области от 31.12.2015 №247-ОД «О стратегическом планировании в Волгоградской области» (далее Закон </w:t>
      </w:r>
      <w:r w:rsidR="00170061">
        <w:rPr>
          <w:rFonts w:ascii="Times New Roman" w:hAnsi="Times New Roman"/>
          <w:bCs/>
          <w:sz w:val="24"/>
          <w:szCs w:val="24"/>
        </w:rPr>
        <w:t xml:space="preserve">ВО </w:t>
      </w:r>
      <w:r w:rsidRPr="00515DA9">
        <w:rPr>
          <w:rFonts w:ascii="Times New Roman" w:hAnsi="Times New Roman"/>
          <w:bCs/>
          <w:sz w:val="24"/>
          <w:szCs w:val="24"/>
        </w:rPr>
        <w:t>о стратегическом планировании), а также п</w:t>
      </w:r>
      <w:r w:rsidR="00170061">
        <w:rPr>
          <w:rFonts w:ascii="Times New Roman" w:hAnsi="Times New Roman"/>
          <w:bCs/>
          <w:sz w:val="24"/>
          <w:szCs w:val="24"/>
        </w:rPr>
        <w:t>унктом</w:t>
      </w:r>
      <w:r w:rsidRPr="00515DA9">
        <w:rPr>
          <w:rFonts w:ascii="Times New Roman" w:hAnsi="Times New Roman"/>
          <w:bCs/>
          <w:sz w:val="24"/>
          <w:szCs w:val="24"/>
        </w:rPr>
        <w:t xml:space="preserve"> 2.1 Порядка разработки, корректировки, осуществления мониторинга и контроля реализации Прогноза социально-экономического развития Волгоградской области на среднесрочный период, утвержденного постановлением Администрации Волгоградской области от 30.12.2015 №829-п</w:t>
      </w:r>
      <w:r>
        <w:rPr>
          <w:rFonts w:ascii="Times New Roman" w:hAnsi="Times New Roman"/>
          <w:bCs/>
          <w:sz w:val="24"/>
          <w:szCs w:val="24"/>
        </w:rPr>
        <w:t xml:space="preserve"> (далее Порядок разработки Прогноза)</w:t>
      </w:r>
      <w:r w:rsidRPr="00515DA9">
        <w:rPr>
          <w:rFonts w:ascii="Times New Roman" w:hAnsi="Times New Roman"/>
          <w:bCs/>
          <w:sz w:val="24"/>
          <w:szCs w:val="24"/>
        </w:rPr>
        <w:t xml:space="preserve">, </w:t>
      </w:r>
      <w:r w:rsidRPr="00515DA9">
        <w:rPr>
          <w:rFonts w:ascii="Times New Roman" w:hAnsi="Times New Roman"/>
          <w:sz w:val="24"/>
          <w:szCs w:val="24"/>
        </w:rPr>
        <w:t xml:space="preserve">предусмотрено, что прогноз социально-экономического развития Волгоградской области на среднесрочный период разрабатывается ежегодно на основе прогноза социально-экономического развития РФ на среднесрочный период, а также с учетом </w:t>
      </w:r>
      <w:r w:rsidRPr="00515DA9">
        <w:rPr>
          <w:rFonts w:ascii="Times New Roman" w:eastAsiaTheme="minorHAnsi" w:hAnsi="Times New Roman"/>
          <w:sz w:val="24"/>
          <w:szCs w:val="24"/>
          <w:lang w:eastAsia="en-US"/>
        </w:rPr>
        <w:t xml:space="preserve">основных параметров прогноза социально-экономического развития РФ на среднесрочный период, разрабатываемых Министерством экономического развития </w:t>
      </w:r>
      <w:r w:rsidRPr="00E52E62">
        <w:rPr>
          <w:rFonts w:ascii="Times New Roman" w:eastAsiaTheme="minorHAnsi" w:hAnsi="Times New Roman"/>
          <w:sz w:val="24"/>
          <w:szCs w:val="24"/>
          <w:lang w:eastAsia="en-US"/>
        </w:rPr>
        <w:t xml:space="preserve">РФ. </w:t>
      </w:r>
      <w:r w:rsidRPr="00E52E62">
        <w:rPr>
          <w:rFonts w:ascii="Times New Roman" w:hAnsi="Times New Roman"/>
          <w:sz w:val="24"/>
          <w:szCs w:val="24"/>
        </w:rPr>
        <w:t>При этом прогноз социально-экономического развития РФ на 2018 год и плановый период 2019 и 2020 годов содержит показатели прибыли прибыльных организаций и среднегодовой стоимости амортизируемого имущества.</w:t>
      </w:r>
    </w:p>
    <w:p w:rsidR="00CD1B94" w:rsidRPr="000009EF" w:rsidRDefault="00CD1B94" w:rsidP="00CD1B94">
      <w:pPr>
        <w:pStyle w:val="Style20"/>
        <w:widowControl/>
        <w:ind w:firstLine="680"/>
        <w:jc w:val="both"/>
        <w:rPr>
          <w:sz w:val="26"/>
          <w:szCs w:val="26"/>
          <w:highlight w:val="cyan"/>
        </w:rPr>
      </w:pPr>
      <w:r w:rsidRPr="00040E36">
        <w:t>Также недостатком Прогноза СЭР является отсутствие оценк</w:t>
      </w:r>
      <w:r>
        <w:t>и</w:t>
      </w:r>
      <w:r w:rsidRPr="00040E36">
        <w:t xml:space="preserve"> факторов и ограничений экономического роста </w:t>
      </w:r>
      <w:r w:rsidR="00170061">
        <w:t>Волгоградской области</w:t>
      </w:r>
      <w:r w:rsidRPr="00040E36">
        <w:t xml:space="preserve"> на среднесрочный период </w:t>
      </w:r>
      <w:r>
        <w:t>(</w:t>
      </w:r>
      <w:r w:rsidRPr="00040E36">
        <w:t xml:space="preserve">за исключением </w:t>
      </w:r>
      <w:r>
        <w:t>направлений развития сельского хозяйства, трудовых ресурсов, внешнеэкономической деятельности)</w:t>
      </w:r>
      <w:r w:rsidRPr="00040E36">
        <w:t xml:space="preserve">, </w:t>
      </w:r>
      <w:r>
        <w:t>наличие которых п</w:t>
      </w:r>
      <w:r w:rsidRPr="00040E36">
        <w:t>редусмотрено ст</w:t>
      </w:r>
      <w:r w:rsidR="00170061">
        <w:t>атьей</w:t>
      </w:r>
      <w:r w:rsidRPr="00040E36">
        <w:t xml:space="preserve"> 35 </w:t>
      </w:r>
      <w:r>
        <w:rPr>
          <w:rFonts w:eastAsia="Calibri"/>
          <w:lang w:eastAsia="en-US"/>
        </w:rPr>
        <w:t>Закон</w:t>
      </w:r>
      <w:r w:rsidR="00170061">
        <w:rPr>
          <w:rFonts w:eastAsia="Calibri"/>
          <w:lang w:eastAsia="en-US"/>
        </w:rPr>
        <w:t>а</w:t>
      </w:r>
      <w:r>
        <w:rPr>
          <w:rFonts w:eastAsia="Calibri"/>
          <w:lang w:eastAsia="en-US"/>
        </w:rPr>
        <w:t xml:space="preserve"> РФ о стратегическом планировании</w:t>
      </w:r>
      <w:r>
        <w:t>,</w:t>
      </w:r>
      <w:r>
        <w:rPr>
          <w:rFonts w:eastAsia="Calibri"/>
          <w:lang w:eastAsia="en-US"/>
        </w:rPr>
        <w:t xml:space="preserve"> ст</w:t>
      </w:r>
      <w:r w:rsidR="00170061">
        <w:rPr>
          <w:rFonts w:eastAsia="Calibri"/>
          <w:lang w:eastAsia="en-US"/>
        </w:rPr>
        <w:t>атьей</w:t>
      </w:r>
      <w:r>
        <w:rPr>
          <w:rFonts w:eastAsia="Calibri"/>
          <w:lang w:eastAsia="en-US"/>
        </w:rPr>
        <w:t xml:space="preserve"> 12 Закона </w:t>
      </w:r>
      <w:r w:rsidR="00870122">
        <w:rPr>
          <w:rFonts w:eastAsia="Calibri"/>
          <w:lang w:eastAsia="en-US"/>
        </w:rPr>
        <w:t xml:space="preserve">ВО </w:t>
      </w:r>
      <w:r>
        <w:rPr>
          <w:rFonts w:eastAsia="Calibri"/>
          <w:lang w:eastAsia="en-US"/>
        </w:rPr>
        <w:t xml:space="preserve">о стратегическом планировании и </w:t>
      </w:r>
      <w:r w:rsidRPr="00040E36">
        <w:rPr>
          <w:rFonts w:eastAsia="Calibri"/>
          <w:lang w:eastAsia="en-US"/>
        </w:rPr>
        <w:t>п</w:t>
      </w:r>
      <w:r w:rsidR="00170061">
        <w:rPr>
          <w:rFonts w:eastAsia="Calibri"/>
          <w:lang w:eastAsia="en-US"/>
        </w:rPr>
        <w:t>унктом</w:t>
      </w:r>
      <w:r w:rsidRPr="00040E36">
        <w:rPr>
          <w:rFonts w:eastAsia="Calibri"/>
          <w:lang w:eastAsia="en-US"/>
        </w:rPr>
        <w:t xml:space="preserve"> 2.2 Порядка разработки Прогноза.</w:t>
      </w:r>
    </w:p>
    <w:p w:rsidR="00CD1B94" w:rsidRDefault="00CD1B94" w:rsidP="00CD1B94">
      <w:pPr>
        <w:ind w:firstLine="680"/>
        <w:jc w:val="both"/>
      </w:pPr>
    </w:p>
    <w:p w:rsidR="00581BA4" w:rsidRDefault="00CD1B94" w:rsidP="00581BA4">
      <w:pPr>
        <w:ind w:firstLine="680"/>
        <w:jc w:val="both"/>
      </w:pPr>
      <w:r w:rsidRPr="00B539DC">
        <w:t>Согласно Прогнозу СЭР макроэкономические условия развития Волгоградской об</w:t>
      </w:r>
      <w:r>
        <w:t>ласти характеризуются следующим</w:t>
      </w:r>
      <w:r w:rsidRPr="00B539DC">
        <w:t>:</w:t>
      </w:r>
    </w:p>
    <w:p w:rsidR="00581BA4" w:rsidRDefault="00581BA4" w:rsidP="00581BA4">
      <w:pPr>
        <w:ind w:firstLine="680"/>
        <w:jc w:val="both"/>
      </w:pPr>
      <w:r>
        <w:t>-</w:t>
      </w:r>
      <w:r w:rsidR="00CD1B94" w:rsidRPr="00C0090D">
        <w:t>сохранением темпа роста валового регионального продукта (далее ВРП)</w:t>
      </w:r>
      <w:r w:rsidR="00CD1B94">
        <w:t xml:space="preserve"> и индекса промышленного производства в 2018-2020 годах в размере 101,5% и 102% соответственно; </w:t>
      </w:r>
    </w:p>
    <w:p w:rsidR="00CD1B94" w:rsidRPr="00B539DC" w:rsidRDefault="00581BA4" w:rsidP="00581BA4">
      <w:pPr>
        <w:ind w:firstLine="680"/>
        <w:jc w:val="both"/>
      </w:pPr>
      <w:r>
        <w:t>-</w:t>
      </w:r>
      <w:r w:rsidR="00CD1B94" w:rsidRPr="00B539DC">
        <w:t>ростом в 2018-2020 годах следующих показателей:</w:t>
      </w:r>
    </w:p>
    <w:p w:rsidR="00CD1B94" w:rsidRDefault="00CD1B94" w:rsidP="00CD1B94">
      <w:pPr>
        <w:ind w:firstLine="680"/>
        <w:jc w:val="both"/>
      </w:pPr>
      <w:r w:rsidRPr="00C0090D">
        <w:t>оборота розничной торговли (в % к предыдущ</w:t>
      </w:r>
      <w:r>
        <w:t>ему году в сопоставимых ценах) -</w:t>
      </w:r>
      <w:r w:rsidRPr="00C0090D">
        <w:t xml:space="preserve"> в среднем на 2,</w:t>
      </w:r>
      <w:r>
        <w:t>5</w:t>
      </w:r>
      <w:r w:rsidRPr="00C0090D">
        <w:t>% (</w:t>
      </w:r>
      <w:r w:rsidR="00581BA4">
        <w:t>в 2018 году -</w:t>
      </w:r>
      <w:r w:rsidRPr="00C0090D">
        <w:t xml:space="preserve"> 10</w:t>
      </w:r>
      <w:r>
        <w:t>2</w:t>
      </w:r>
      <w:r w:rsidRPr="00C0090D">
        <w:t>,</w:t>
      </w:r>
      <w:r>
        <w:t>3</w:t>
      </w:r>
      <w:r w:rsidRPr="00C0090D">
        <w:t xml:space="preserve">; </w:t>
      </w:r>
      <w:r w:rsidR="00581BA4">
        <w:t xml:space="preserve">в 2019 году - </w:t>
      </w:r>
      <w:r w:rsidRPr="00C0090D">
        <w:t>102,</w:t>
      </w:r>
      <w:r>
        <w:t>5</w:t>
      </w:r>
      <w:r w:rsidR="00581BA4">
        <w:t>%; в 2020 году -</w:t>
      </w:r>
      <w:r w:rsidRPr="00C0090D">
        <w:t>10</w:t>
      </w:r>
      <w:r>
        <w:t>2,8</w:t>
      </w:r>
      <w:r w:rsidR="00581BA4">
        <w:t>%</w:t>
      </w:r>
      <w:r w:rsidRPr="00C0090D">
        <w:t xml:space="preserve">); </w:t>
      </w:r>
    </w:p>
    <w:p w:rsidR="00CD1B94" w:rsidRDefault="00CD1B94" w:rsidP="00CD1B94">
      <w:pPr>
        <w:ind w:firstLine="680"/>
        <w:jc w:val="both"/>
      </w:pPr>
      <w:r>
        <w:t>объема платных услуг населению - в среднем на 0,2% (</w:t>
      </w:r>
      <w:r w:rsidRPr="00C0090D">
        <w:t>темп роста состави</w:t>
      </w:r>
      <w:r>
        <w:t>т</w:t>
      </w:r>
      <w:r w:rsidRPr="00C0090D">
        <w:t xml:space="preserve"> 10</w:t>
      </w:r>
      <w:r>
        <w:t>0</w:t>
      </w:r>
      <w:r w:rsidRPr="00C0090D">
        <w:t>; 10</w:t>
      </w:r>
      <w:r>
        <w:t>0,3</w:t>
      </w:r>
      <w:r w:rsidRPr="00C0090D">
        <w:t xml:space="preserve"> и 10</w:t>
      </w:r>
      <w:r>
        <w:t>0,4</w:t>
      </w:r>
      <w:r w:rsidRPr="00C0090D">
        <w:t>% соответственно)</w:t>
      </w:r>
      <w:r>
        <w:t>;</w:t>
      </w:r>
    </w:p>
    <w:p w:rsidR="00CD1B94" w:rsidRPr="007C13C4" w:rsidRDefault="00581BA4" w:rsidP="00CD1B94">
      <w:pPr>
        <w:ind w:firstLine="680"/>
        <w:jc w:val="both"/>
      </w:pPr>
      <w:r>
        <w:t>п</w:t>
      </w:r>
      <w:r w:rsidR="00CD1B94" w:rsidRPr="007C13C4">
        <w:t xml:space="preserve">рибыли прибыльных организаций </w:t>
      </w:r>
      <w:r>
        <w:t>-</w:t>
      </w:r>
      <w:r w:rsidR="00CD1B94" w:rsidRPr="007C13C4">
        <w:t xml:space="preserve"> в среднем на 4,2% (темп роста составит 101,1; 105,6 и 105,9%);</w:t>
      </w:r>
    </w:p>
    <w:p w:rsidR="00581BA4" w:rsidRDefault="00CD1B94" w:rsidP="00581BA4">
      <w:pPr>
        <w:ind w:firstLine="680"/>
        <w:jc w:val="both"/>
      </w:pPr>
      <w:r w:rsidRPr="00F730C9">
        <w:lastRenderedPageBreak/>
        <w:t xml:space="preserve">индекса физического объема инвестиций в основной капитал </w:t>
      </w:r>
      <w:r w:rsidR="00581BA4">
        <w:t>-</w:t>
      </w:r>
      <w:r w:rsidRPr="00F730C9">
        <w:t xml:space="preserve"> в среднем на 1,4% (в 2018-2020 годах </w:t>
      </w:r>
      <w:r w:rsidR="00581BA4">
        <w:t xml:space="preserve">индекс </w:t>
      </w:r>
      <w:r w:rsidRPr="00F730C9">
        <w:t>составит 100,1; 102,0 и 102,1%</w:t>
      </w:r>
      <w:r w:rsidR="00581BA4">
        <w:t xml:space="preserve"> соответственно</w:t>
      </w:r>
      <w:r w:rsidRPr="00F730C9">
        <w:t>);</w:t>
      </w:r>
    </w:p>
    <w:p w:rsidR="00581BA4" w:rsidRDefault="00581BA4" w:rsidP="00581BA4">
      <w:pPr>
        <w:ind w:firstLine="680"/>
        <w:jc w:val="both"/>
      </w:pPr>
      <w:r>
        <w:t>-</w:t>
      </w:r>
      <w:r w:rsidR="00CD1B94" w:rsidRPr="00F730C9">
        <w:t xml:space="preserve">снижением индекса производства продукции сельского хозяйства в 2018 году на 5,8% и сохранением темпа роста в 2019-2020 годах в размере 100,7%; </w:t>
      </w:r>
    </w:p>
    <w:p w:rsidR="00CD1B94" w:rsidRPr="00F730C9" w:rsidRDefault="00581BA4" w:rsidP="00581BA4">
      <w:pPr>
        <w:ind w:firstLine="680"/>
        <w:jc w:val="both"/>
      </w:pPr>
      <w:r>
        <w:t>-</w:t>
      </w:r>
      <w:r w:rsidR="00CD1B94" w:rsidRPr="00F730C9">
        <w:t>снижением следующих показателей:</w:t>
      </w:r>
    </w:p>
    <w:p w:rsidR="00581BA4" w:rsidRDefault="00CD1B94" w:rsidP="00581BA4">
      <w:pPr>
        <w:pStyle w:val="af0"/>
        <w:spacing w:line="240" w:lineRule="auto"/>
        <w:ind w:left="680" w:firstLine="28"/>
        <w:jc w:val="both"/>
        <w:rPr>
          <w:sz w:val="24"/>
          <w:szCs w:val="24"/>
        </w:rPr>
      </w:pPr>
      <w:r w:rsidRPr="00F730C9">
        <w:rPr>
          <w:sz w:val="24"/>
          <w:szCs w:val="24"/>
        </w:rPr>
        <w:t xml:space="preserve">уровня инфляции </w:t>
      </w:r>
      <w:r w:rsidR="00581BA4">
        <w:rPr>
          <w:sz w:val="24"/>
          <w:szCs w:val="24"/>
        </w:rPr>
        <w:t xml:space="preserve">- </w:t>
      </w:r>
      <w:r w:rsidRPr="00F730C9">
        <w:rPr>
          <w:sz w:val="24"/>
          <w:szCs w:val="24"/>
        </w:rPr>
        <w:t>со 103,8% в 2018 году до 103% в 2020 году;</w:t>
      </w:r>
    </w:p>
    <w:p w:rsidR="00581BA4" w:rsidRDefault="00CD1B94" w:rsidP="00581BA4">
      <w:pPr>
        <w:pStyle w:val="af0"/>
        <w:spacing w:line="240" w:lineRule="auto"/>
        <w:ind w:left="680" w:firstLine="28"/>
        <w:jc w:val="both"/>
        <w:rPr>
          <w:sz w:val="24"/>
          <w:szCs w:val="24"/>
        </w:rPr>
      </w:pPr>
      <w:r w:rsidRPr="00F730C9">
        <w:rPr>
          <w:sz w:val="24"/>
          <w:szCs w:val="24"/>
        </w:rPr>
        <w:t xml:space="preserve">уровня безработицы </w:t>
      </w:r>
      <w:r w:rsidR="00581BA4">
        <w:rPr>
          <w:sz w:val="24"/>
          <w:szCs w:val="24"/>
        </w:rPr>
        <w:t xml:space="preserve">- </w:t>
      </w:r>
      <w:r w:rsidRPr="00F730C9">
        <w:rPr>
          <w:sz w:val="24"/>
          <w:szCs w:val="24"/>
        </w:rPr>
        <w:t xml:space="preserve">с 6,4% до 5,8%; </w:t>
      </w:r>
    </w:p>
    <w:p w:rsidR="00CD1B94" w:rsidRPr="00581BA4" w:rsidRDefault="00870122" w:rsidP="00870122">
      <w:pPr>
        <w:pStyle w:val="af0"/>
        <w:spacing w:line="240" w:lineRule="auto"/>
        <w:ind w:left="0" w:firstLine="28"/>
        <w:jc w:val="both"/>
      </w:pPr>
      <w:r>
        <w:rPr>
          <w:sz w:val="24"/>
          <w:szCs w:val="24"/>
        </w:rPr>
        <w:tab/>
        <w:t xml:space="preserve">-снижением реальных денежных доходов населения в 2018-2019 годах на 0,9% и 0,4% </w:t>
      </w:r>
      <w:r w:rsidR="00CD1B94" w:rsidRPr="00870122">
        <w:rPr>
          <w:sz w:val="24"/>
          <w:szCs w:val="24"/>
        </w:rPr>
        <w:t>соответственно и их ростом в 2020 году на 0,8 процента</w:t>
      </w:r>
      <w:r w:rsidR="00CD1B94" w:rsidRPr="00581BA4">
        <w:t>.</w:t>
      </w:r>
    </w:p>
    <w:p w:rsidR="00CD1B94" w:rsidRPr="00A20B14" w:rsidRDefault="00CD1B94" w:rsidP="00CD1B94">
      <w:pPr>
        <w:pStyle w:val="af4"/>
        <w:spacing w:before="0" w:beforeAutospacing="0" w:after="0" w:afterAutospacing="0"/>
        <w:ind w:firstLine="680"/>
        <w:jc w:val="both"/>
      </w:pPr>
      <w:r w:rsidRPr="00A579E3">
        <w:t>Анализ макроэкономических показателей развития Волгоградской области, прогнозируемых на 2018-2020 годы, проведен на предмет достоверности основных параметров Прогноза СЭР, а также проведено сравнение с показателями Прогноза социально-экономического развития Российской Федерации на 2018 год и плановый период 2019 и 2020 годов (далее Прогноз РФ).</w:t>
      </w:r>
      <w:r w:rsidRPr="00A20B14">
        <w:t xml:space="preserve"> </w:t>
      </w:r>
    </w:p>
    <w:p w:rsidR="00CD1B94" w:rsidRDefault="00CD1B94" w:rsidP="00CD1B94">
      <w:pPr>
        <w:pStyle w:val="2"/>
        <w:spacing w:after="0" w:line="240" w:lineRule="auto"/>
        <w:ind w:firstLine="680"/>
        <w:jc w:val="both"/>
      </w:pPr>
      <w:r w:rsidRPr="00615416">
        <w:t>Динамика макроэкономических показателей СЭР ВО за 2016-2018 годы представлена в следующей таблице.</w:t>
      </w:r>
    </w:p>
    <w:p w:rsidR="00C02B25" w:rsidRDefault="00C02B25" w:rsidP="00CD1B94">
      <w:pPr>
        <w:pStyle w:val="2"/>
        <w:spacing w:after="0" w:line="240" w:lineRule="auto"/>
        <w:ind w:firstLine="680"/>
        <w:jc w:val="both"/>
      </w:pPr>
    </w:p>
    <w:tbl>
      <w:tblPr>
        <w:tblW w:w="9781" w:type="dxa"/>
        <w:tblInd w:w="-34" w:type="dxa"/>
        <w:tblLayout w:type="fixed"/>
        <w:tblLook w:val="04A0"/>
      </w:tblPr>
      <w:tblGrid>
        <w:gridCol w:w="3828"/>
        <w:gridCol w:w="992"/>
        <w:gridCol w:w="1276"/>
        <w:gridCol w:w="992"/>
        <w:gridCol w:w="992"/>
        <w:gridCol w:w="851"/>
        <w:gridCol w:w="850"/>
      </w:tblGrid>
      <w:tr w:rsidR="00057F16" w:rsidRPr="00FB0A21" w:rsidTr="00057F16">
        <w:trPr>
          <w:trHeight w:val="193"/>
          <w:tblHeader/>
        </w:trPr>
        <w:tc>
          <w:tcPr>
            <w:tcW w:w="3828" w:type="dxa"/>
            <w:tcBorders>
              <w:top w:val="single" w:sz="4" w:space="0" w:color="auto"/>
              <w:left w:val="single" w:sz="12" w:space="0" w:color="auto"/>
              <w:bottom w:val="nil"/>
              <w:right w:val="single" w:sz="8" w:space="0" w:color="auto"/>
            </w:tcBorders>
            <w:shd w:val="clear" w:color="auto" w:fill="FFFFCC"/>
            <w:hideMark/>
          </w:tcPr>
          <w:p w:rsidR="00057F16" w:rsidRPr="00057F16" w:rsidRDefault="00057F16" w:rsidP="00057F16">
            <w:pPr>
              <w:jc w:val="center"/>
              <w:rPr>
                <w:b/>
                <w:i/>
                <w:iCs/>
                <w:sz w:val="18"/>
                <w:szCs w:val="18"/>
              </w:rPr>
            </w:pPr>
            <w:r w:rsidRPr="004465FB">
              <w:rPr>
                <w:b/>
                <w:i/>
                <w:iCs/>
                <w:sz w:val="18"/>
                <w:szCs w:val="18"/>
              </w:rPr>
              <w:t>Наименование показателей</w:t>
            </w:r>
          </w:p>
        </w:tc>
        <w:tc>
          <w:tcPr>
            <w:tcW w:w="992" w:type="dxa"/>
            <w:tcBorders>
              <w:top w:val="single" w:sz="4" w:space="0" w:color="auto"/>
              <w:left w:val="nil"/>
              <w:bottom w:val="nil"/>
              <w:right w:val="single" w:sz="8" w:space="0" w:color="auto"/>
            </w:tcBorders>
            <w:shd w:val="clear" w:color="auto" w:fill="FFFFCC"/>
            <w:hideMark/>
          </w:tcPr>
          <w:p w:rsidR="00057F16" w:rsidRPr="004465FB" w:rsidRDefault="00057F16" w:rsidP="00057F16">
            <w:pPr>
              <w:jc w:val="center"/>
              <w:rPr>
                <w:b/>
                <w:i/>
                <w:iCs/>
                <w:sz w:val="18"/>
                <w:szCs w:val="18"/>
              </w:rPr>
            </w:pPr>
            <w:r w:rsidRPr="004465FB">
              <w:rPr>
                <w:b/>
                <w:i/>
                <w:iCs/>
                <w:sz w:val="18"/>
                <w:szCs w:val="18"/>
              </w:rPr>
              <w:t>Отчет                 2016 год</w:t>
            </w:r>
          </w:p>
        </w:tc>
        <w:tc>
          <w:tcPr>
            <w:tcW w:w="1276" w:type="dxa"/>
            <w:tcBorders>
              <w:top w:val="single" w:sz="4" w:space="0" w:color="auto"/>
              <w:left w:val="nil"/>
              <w:bottom w:val="nil"/>
              <w:right w:val="single" w:sz="8" w:space="0" w:color="auto"/>
            </w:tcBorders>
            <w:shd w:val="clear" w:color="auto" w:fill="FFFFCC"/>
            <w:hideMark/>
          </w:tcPr>
          <w:p w:rsidR="00057F16" w:rsidRPr="004465FB" w:rsidRDefault="00057F16" w:rsidP="00057F16">
            <w:pPr>
              <w:jc w:val="center"/>
              <w:rPr>
                <w:b/>
                <w:i/>
                <w:iCs/>
                <w:sz w:val="18"/>
                <w:szCs w:val="18"/>
              </w:rPr>
            </w:pPr>
            <w:r w:rsidRPr="004465FB">
              <w:rPr>
                <w:b/>
                <w:i/>
                <w:iCs/>
                <w:sz w:val="18"/>
                <w:szCs w:val="18"/>
              </w:rPr>
              <w:t>Факт за 9 мес. 2017 г.</w:t>
            </w:r>
          </w:p>
        </w:tc>
        <w:tc>
          <w:tcPr>
            <w:tcW w:w="992" w:type="dxa"/>
            <w:tcBorders>
              <w:top w:val="single" w:sz="4" w:space="0" w:color="auto"/>
              <w:left w:val="nil"/>
              <w:bottom w:val="nil"/>
              <w:right w:val="single" w:sz="8" w:space="0" w:color="auto"/>
            </w:tcBorders>
            <w:shd w:val="clear" w:color="auto" w:fill="FFFFCC"/>
            <w:hideMark/>
          </w:tcPr>
          <w:p w:rsidR="00057F16" w:rsidRPr="004465FB" w:rsidRDefault="00057F16" w:rsidP="00057F16">
            <w:pPr>
              <w:jc w:val="center"/>
              <w:rPr>
                <w:b/>
                <w:i/>
                <w:iCs/>
                <w:sz w:val="18"/>
                <w:szCs w:val="18"/>
              </w:rPr>
            </w:pPr>
            <w:r w:rsidRPr="004465FB">
              <w:rPr>
                <w:b/>
                <w:i/>
                <w:iCs/>
                <w:sz w:val="18"/>
                <w:szCs w:val="18"/>
              </w:rPr>
              <w:t>Оценка                           2017 года</w:t>
            </w:r>
          </w:p>
        </w:tc>
        <w:tc>
          <w:tcPr>
            <w:tcW w:w="992" w:type="dxa"/>
            <w:tcBorders>
              <w:top w:val="single" w:sz="4" w:space="0" w:color="auto"/>
              <w:left w:val="nil"/>
              <w:bottom w:val="nil"/>
              <w:right w:val="single" w:sz="8" w:space="0" w:color="auto"/>
            </w:tcBorders>
            <w:shd w:val="clear" w:color="auto" w:fill="FFFFCC"/>
            <w:hideMark/>
          </w:tcPr>
          <w:p w:rsidR="00057F16" w:rsidRPr="004465FB" w:rsidRDefault="00057F16" w:rsidP="00057F16">
            <w:pPr>
              <w:jc w:val="center"/>
              <w:rPr>
                <w:b/>
                <w:i/>
                <w:iCs/>
                <w:sz w:val="18"/>
                <w:szCs w:val="18"/>
              </w:rPr>
            </w:pPr>
            <w:r w:rsidRPr="004465FB">
              <w:rPr>
                <w:b/>
                <w:i/>
                <w:iCs/>
                <w:sz w:val="18"/>
                <w:szCs w:val="18"/>
              </w:rPr>
              <w:t>Прогноз  2018 год (базовый вариант)</w:t>
            </w:r>
          </w:p>
        </w:tc>
        <w:tc>
          <w:tcPr>
            <w:tcW w:w="851" w:type="dxa"/>
            <w:tcBorders>
              <w:top w:val="single" w:sz="4" w:space="0" w:color="auto"/>
              <w:left w:val="nil"/>
              <w:bottom w:val="nil"/>
              <w:right w:val="single" w:sz="8" w:space="0" w:color="auto"/>
            </w:tcBorders>
            <w:shd w:val="clear" w:color="auto" w:fill="FFFFCC"/>
            <w:hideMark/>
          </w:tcPr>
          <w:p w:rsidR="00057F16" w:rsidRPr="004465FB" w:rsidRDefault="00057F16" w:rsidP="00057F16">
            <w:pPr>
              <w:jc w:val="center"/>
              <w:rPr>
                <w:b/>
                <w:i/>
                <w:iCs/>
                <w:sz w:val="18"/>
                <w:szCs w:val="18"/>
              </w:rPr>
            </w:pPr>
            <w:r w:rsidRPr="004465FB">
              <w:rPr>
                <w:b/>
                <w:i/>
                <w:iCs/>
                <w:sz w:val="18"/>
                <w:szCs w:val="18"/>
              </w:rPr>
              <w:t>Откл. 2018 г.  от 2017 г.</w:t>
            </w:r>
          </w:p>
        </w:tc>
        <w:tc>
          <w:tcPr>
            <w:tcW w:w="850" w:type="dxa"/>
            <w:tcBorders>
              <w:top w:val="single" w:sz="4" w:space="0" w:color="auto"/>
              <w:left w:val="nil"/>
              <w:bottom w:val="nil"/>
              <w:right w:val="single" w:sz="12" w:space="0" w:color="auto"/>
            </w:tcBorders>
            <w:shd w:val="clear" w:color="auto" w:fill="FFFFCC"/>
            <w:noWrap/>
            <w:hideMark/>
          </w:tcPr>
          <w:p w:rsidR="00057F16" w:rsidRPr="004465FB" w:rsidRDefault="00057F16" w:rsidP="00057F16">
            <w:pPr>
              <w:jc w:val="center"/>
              <w:rPr>
                <w:b/>
                <w:i/>
                <w:iCs/>
                <w:sz w:val="18"/>
                <w:szCs w:val="18"/>
              </w:rPr>
            </w:pPr>
            <w:r w:rsidRPr="004465FB">
              <w:rPr>
                <w:b/>
                <w:i/>
                <w:iCs/>
                <w:sz w:val="18"/>
                <w:szCs w:val="18"/>
              </w:rPr>
              <w:t>Откл. 2017 г  от 2016 г.</w:t>
            </w:r>
          </w:p>
        </w:tc>
      </w:tr>
      <w:tr w:rsidR="00057F16" w:rsidRPr="00FB0A21" w:rsidTr="00057F16">
        <w:trPr>
          <w:trHeight w:val="193"/>
        </w:trPr>
        <w:tc>
          <w:tcPr>
            <w:tcW w:w="3828" w:type="dxa"/>
            <w:tcBorders>
              <w:top w:val="single" w:sz="4" w:space="0" w:color="auto"/>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ВРП, млн. руб.,</w:t>
            </w:r>
          </w:p>
        </w:tc>
        <w:tc>
          <w:tcPr>
            <w:tcW w:w="992" w:type="dxa"/>
            <w:tcBorders>
              <w:top w:val="single" w:sz="4"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771285,7</w:t>
            </w:r>
          </w:p>
        </w:tc>
        <w:tc>
          <w:tcPr>
            <w:tcW w:w="1276" w:type="dxa"/>
            <w:tcBorders>
              <w:top w:val="single" w:sz="4"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4"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819753,3</w:t>
            </w:r>
          </w:p>
        </w:tc>
        <w:tc>
          <w:tcPr>
            <w:tcW w:w="992" w:type="dxa"/>
            <w:tcBorders>
              <w:top w:val="single" w:sz="4"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865331,6</w:t>
            </w:r>
          </w:p>
        </w:tc>
        <w:tc>
          <w:tcPr>
            <w:tcW w:w="851" w:type="dxa"/>
            <w:tcBorders>
              <w:top w:val="single" w:sz="4"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45578,3</w:t>
            </w:r>
          </w:p>
        </w:tc>
        <w:tc>
          <w:tcPr>
            <w:tcW w:w="850" w:type="dxa"/>
            <w:tcBorders>
              <w:top w:val="single" w:sz="4" w:space="0" w:color="auto"/>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48467,6</w:t>
            </w:r>
          </w:p>
        </w:tc>
      </w:tr>
      <w:tr w:rsidR="00057F16" w:rsidRPr="00FB0A21" w:rsidTr="00FB0A21">
        <w:trPr>
          <w:trHeight w:val="317"/>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 индекс физического объема в % к предыдущему году в сопоставимых ценах</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101,25</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101,5</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-0,5</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0,75</w:t>
            </w:r>
          </w:p>
        </w:tc>
      </w:tr>
      <w:tr w:rsidR="00057F16" w:rsidRPr="00FB0A21" w:rsidTr="00FB0A21">
        <w:trPr>
          <w:trHeight w:val="487"/>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Объем отгруженных товаров собственного производства, выполненных работ и услуг собственными силами, млн. руб.</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724 737,2</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600 101,1</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772 100,0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828 600,0</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56 500,0</w:t>
            </w:r>
          </w:p>
        </w:tc>
        <w:tc>
          <w:tcPr>
            <w:tcW w:w="850" w:type="dxa"/>
            <w:tcBorders>
              <w:top w:val="nil"/>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47 362,8</w:t>
            </w:r>
          </w:p>
        </w:tc>
      </w:tr>
      <w:tr w:rsidR="00057F16" w:rsidRPr="00FB0A21" w:rsidTr="00FB0A21">
        <w:trPr>
          <w:trHeight w:val="269"/>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Индекс</w:t>
            </w:r>
            <w:r w:rsidRPr="00FB0A21">
              <w:rPr>
                <w:i/>
                <w:iCs/>
                <w:sz w:val="18"/>
                <w:szCs w:val="18"/>
              </w:rPr>
              <w:t xml:space="preserve"> </w:t>
            </w:r>
            <w:r w:rsidRPr="00FB0A21">
              <w:rPr>
                <w:sz w:val="18"/>
                <w:szCs w:val="18"/>
              </w:rPr>
              <w:t>промышленного производства,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102,2</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98,0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101,2</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102,0</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0,8</w:t>
            </w:r>
          </w:p>
        </w:tc>
        <w:tc>
          <w:tcPr>
            <w:tcW w:w="850" w:type="dxa"/>
            <w:tcBorders>
              <w:top w:val="single" w:sz="8" w:space="0" w:color="auto"/>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-1,0</w:t>
            </w:r>
          </w:p>
        </w:tc>
      </w:tr>
      <w:tr w:rsidR="00057F16" w:rsidRPr="00FB0A21" w:rsidTr="00FB0A21">
        <w:trPr>
          <w:trHeight w:val="400"/>
        </w:trPr>
        <w:tc>
          <w:tcPr>
            <w:tcW w:w="3828" w:type="dxa"/>
            <w:tcBorders>
              <w:top w:val="nil"/>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Продукция сельского хозяйства в действующих ценах, млн. руб.,</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144 599,8</w:t>
            </w:r>
          </w:p>
        </w:tc>
        <w:tc>
          <w:tcPr>
            <w:tcW w:w="1276" w:type="dxa"/>
            <w:tcBorders>
              <w:top w:val="nil"/>
              <w:left w:val="nil"/>
              <w:bottom w:val="nil"/>
              <w:right w:val="single" w:sz="8" w:space="0" w:color="auto"/>
            </w:tcBorders>
            <w:shd w:val="clear" w:color="auto" w:fill="auto"/>
            <w:noWrap/>
            <w:hideMark/>
          </w:tcPr>
          <w:p w:rsidR="00057F16" w:rsidRPr="00FB0A21" w:rsidRDefault="00057F16" w:rsidP="0079410B">
            <w:pPr>
              <w:jc w:val="center"/>
              <w:rPr>
                <w:color w:val="000000"/>
                <w:sz w:val="18"/>
                <w:szCs w:val="18"/>
              </w:rPr>
            </w:pPr>
            <w:r w:rsidRPr="00FB0A21">
              <w:rPr>
                <w:color w:val="000000"/>
                <w:sz w:val="18"/>
                <w:szCs w:val="18"/>
              </w:rPr>
              <w:t>111 561,80</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158 200,0</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157 200,0</w:t>
            </w:r>
          </w:p>
        </w:tc>
        <w:tc>
          <w:tcPr>
            <w:tcW w:w="851"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-1 000,0</w:t>
            </w:r>
          </w:p>
        </w:tc>
        <w:tc>
          <w:tcPr>
            <w:tcW w:w="850" w:type="dxa"/>
            <w:tcBorders>
              <w:top w:val="nil"/>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13 600,2</w:t>
            </w:r>
          </w:p>
        </w:tc>
      </w:tr>
      <w:tr w:rsidR="00057F16" w:rsidRPr="00FB0A21" w:rsidTr="00FB0A21">
        <w:trPr>
          <w:trHeight w:val="243"/>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-индекс пр-ва продукции сельского хозяйства,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112,8</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105,7</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105,3</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94,2</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-11,1</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-7,5</w:t>
            </w:r>
          </w:p>
        </w:tc>
      </w:tr>
      <w:tr w:rsidR="00057F16" w:rsidRPr="00FB0A21" w:rsidTr="00FB0A21">
        <w:trPr>
          <w:trHeight w:val="268"/>
        </w:trPr>
        <w:tc>
          <w:tcPr>
            <w:tcW w:w="3828" w:type="dxa"/>
            <w:tcBorders>
              <w:top w:val="nil"/>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Оборот розничной торговли в действующих ценах, млн. руб.</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345 656,8</w:t>
            </w:r>
          </w:p>
        </w:tc>
        <w:tc>
          <w:tcPr>
            <w:tcW w:w="1276"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263 268,3</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359 829,0</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382 829,0</w:t>
            </w:r>
          </w:p>
        </w:tc>
        <w:tc>
          <w:tcPr>
            <w:tcW w:w="851"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19 630,3</w:t>
            </w:r>
          </w:p>
        </w:tc>
        <w:tc>
          <w:tcPr>
            <w:tcW w:w="850" w:type="dxa"/>
            <w:tcBorders>
              <w:top w:val="nil"/>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16 623,8</w:t>
            </w:r>
          </w:p>
        </w:tc>
      </w:tr>
      <w:tr w:rsidR="00057F16" w:rsidRPr="00FB0A21" w:rsidTr="00FB0A21">
        <w:trPr>
          <w:trHeight w:val="239"/>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w:t>
            </w:r>
            <w:r w:rsidRPr="00FB0A21">
              <w:rPr>
                <w:i/>
                <w:iCs/>
                <w:sz w:val="18"/>
                <w:szCs w:val="18"/>
              </w:rPr>
              <w:t>в % к предыдущему году в сопоставимых ценах</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93,4</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99,7</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100,0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102,3</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2,7</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6,5</w:t>
            </w:r>
          </w:p>
        </w:tc>
      </w:tr>
      <w:tr w:rsidR="00057F16" w:rsidRPr="00FB0A21" w:rsidTr="00FB0A21">
        <w:trPr>
          <w:trHeight w:val="265"/>
        </w:trPr>
        <w:tc>
          <w:tcPr>
            <w:tcW w:w="3828" w:type="dxa"/>
            <w:tcBorders>
              <w:top w:val="nil"/>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Объем платных услуг населению, млн. руб.</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125 911,0</w:t>
            </w:r>
          </w:p>
        </w:tc>
        <w:tc>
          <w:tcPr>
            <w:tcW w:w="1276"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99 162,7</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123 024,0</w:t>
            </w:r>
          </w:p>
        </w:tc>
        <w:tc>
          <w:tcPr>
            <w:tcW w:w="992"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128 683,0</w:t>
            </w:r>
          </w:p>
        </w:tc>
        <w:tc>
          <w:tcPr>
            <w:tcW w:w="851" w:type="dxa"/>
            <w:tcBorders>
              <w:top w:val="nil"/>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5 659,0</w:t>
            </w:r>
          </w:p>
        </w:tc>
        <w:tc>
          <w:tcPr>
            <w:tcW w:w="850" w:type="dxa"/>
            <w:tcBorders>
              <w:top w:val="nil"/>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-2 887,0</w:t>
            </w:r>
          </w:p>
        </w:tc>
      </w:tr>
      <w:tr w:rsidR="00057F16" w:rsidRPr="00FB0A21" w:rsidTr="00FB0A21">
        <w:trPr>
          <w:trHeight w:val="235"/>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 </w:t>
            </w:r>
            <w:r w:rsidRPr="00FB0A21">
              <w:rPr>
                <w:i/>
                <w:iCs/>
                <w:sz w:val="18"/>
                <w:szCs w:val="18"/>
              </w:rPr>
              <w:t>в % к предыдущему году в сопоставимых ценах</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91,3</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91,3</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93,5</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100,0</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6,5</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2,2</w:t>
            </w:r>
          </w:p>
        </w:tc>
      </w:tr>
      <w:tr w:rsidR="00057F16" w:rsidRPr="00FB0A21" w:rsidTr="00FB0A21">
        <w:trPr>
          <w:trHeight w:val="480"/>
        </w:trPr>
        <w:tc>
          <w:tcPr>
            <w:tcW w:w="3828" w:type="dxa"/>
            <w:tcBorders>
              <w:top w:val="single" w:sz="8" w:space="0" w:color="auto"/>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Инвестиции в основной капитал, млн. руб.,</w:t>
            </w:r>
          </w:p>
        </w:tc>
        <w:tc>
          <w:tcPr>
            <w:tcW w:w="992" w:type="dxa"/>
            <w:tcBorders>
              <w:top w:val="single" w:sz="8"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181 484,7</w:t>
            </w:r>
          </w:p>
        </w:tc>
        <w:tc>
          <w:tcPr>
            <w:tcW w:w="1276" w:type="dxa"/>
            <w:tcBorders>
              <w:top w:val="single" w:sz="8" w:space="0" w:color="auto"/>
              <w:left w:val="nil"/>
              <w:bottom w:val="nil"/>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49701,5** (янв</w:t>
            </w:r>
            <w:r>
              <w:rPr>
                <w:sz w:val="18"/>
                <w:szCs w:val="18"/>
              </w:rPr>
              <w:t>.</w:t>
            </w:r>
            <w:r w:rsidRPr="00FB0A21">
              <w:rPr>
                <w:sz w:val="18"/>
                <w:szCs w:val="18"/>
              </w:rPr>
              <w:t>-июнь 2017г.)</w:t>
            </w:r>
          </w:p>
        </w:tc>
        <w:tc>
          <w:tcPr>
            <w:tcW w:w="992" w:type="dxa"/>
            <w:tcBorders>
              <w:top w:val="single" w:sz="8"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190 000,0</w:t>
            </w:r>
          </w:p>
        </w:tc>
        <w:tc>
          <w:tcPr>
            <w:tcW w:w="992" w:type="dxa"/>
            <w:tcBorders>
              <w:top w:val="single" w:sz="8"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198 656,7</w:t>
            </w:r>
          </w:p>
        </w:tc>
        <w:tc>
          <w:tcPr>
            <w:tcW w:w="851" w:type="dxa"/>
            <w:tcBorders>
              <w:top w:val="single" w:sz="8"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8 656,7</w:t>
            </w:r>
          </w:p>
        </w:tc>
        <w:tc>
          <w:tcPr>
            <w:tcW w:w="850" w:type="dxa"/>
            <w:tcBorders>
              <w:top w:val="single" w:sz="8" w:space="0" w:color="auto"/>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8 515,3</w:t>
            </w:r>
          </w:p>
        </w:tc>
      </w:tr>
      <w:tr w:rsidR="00057F16" w:rsidRPr="00FB0A21" w:rsidTr="00FB0A21">
        <w:trPr>
          <w:trHeight w:val="353"/>
        </w:trPr>
        <w:tc>
          <w:tcPr>
            <w:tcW w:w="3828" w:type="dxa"/>
            <w:tcBorders>
              <w:top w:val="nil"/>
              <w:left w:val="single" w:sz="12" w:space="0" w:color="auto"/>
              <w:bottom w:val="single" w:sz="12"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 индекс физического объема инвестиций в % к предыдущему году в сопоставимых ценах</w:t>
            </w:r>
          </w:p>
        </w:tc>
        <w:tc>
          <w:tcPr>
            <w:tcW w:w="992" w:type="dxa"/>
            <w:tcBorders>
              <w:top w:val="nil"/>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90,9</w:t>
            </w:r>
          </w:p>
        </w:tc>
        <w:tc>
          <w:tcPr>
            <w:tcW w:w="1276" w:type="dxa"/>
            <w:tcBorders>
              <w:top w:val="nil"/>
              <w:left w:val="nil"/>
              <w:bottom w:val="single" w:sz="12" w:space="0" w:color="auto"/>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99,1** (янв</w:t>
            </w:r>
            <w:r>
              <w:rPr>
                <w:sz w:val="18"/>
                <w:szCs w:val="18"/>
              </w:rPr>
              <w:t>.</w:t>
            </w:r>
            <w:r w:rsidRPr="00FB0A21">
              <w:rPr>
                <w:sz w:val="18"/>
                <w:szCs w:val="18"/>
              </w:rPr>
              <w:t>-июнь 2017г.)</w:t>
            </w:r>
          </w:p>
        </w:tc>
        <w:tc>
          <w:tcPr>
            <w:tcW w:w="992" w:type="dxa"/>
            <w:tcBorders>
              <w:top w:val="nil"/>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99,4</w:t>
            </w:r>
          </w:p>
        </w:tc>
        <w:tc>
          <w:tcPr>
            <w:tcW w:w="992" w:type="dxa"/>
            <w:tcBorders>
              <w:top w:val="nil"/>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100,1</w:t>
            </w:r>
          </w:p>
        </w:tc>
        <w:tc>
          <w:tcPr>
            <w:tcW w:w="851" w:type="dxa"/>
            <w:tcBorders>
              <w:top w:val="nil"/>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0,7</w:t>
            </w:r>
          </w:p>
        </w:tc>
        <w:tc>
          <w:tcPr>
            <w:tcW w:w="850" w:type="dxa"/>
            <w:tcBorders>
              <w:top w:val="nil"/>
              <w:left w:val="nil"/>
              <w:bottom w:val="single" w:sz="12"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8,5</w:t>
            </w:r>
          </w:p>
        </w:tc>
      </w:tr>
      <w:tr w:rsidR="00057F16" w:rsidRPr="00FB0A21" w:rsidTr="00FB0A21">
        <w:trPr>
          <w:trHeight w:val="962"/>
        </w:trPr>
        <w:tc>
          <w:tcPr>
            <w:tcW w:w="3828" w:type="dxa"/>
            <w:tcBorders>
              <w:top w:val="single" w:sz="12" w:space="0" w:color="auto"/>
              <w:left w:val="single" w:sz="12" w:space="0" w:color="auto"/>
              <w:bottom w:val="nil"/>
              <w:right w:val="single" w:sz="8" w:space="0" w:color="auto"/>
            </w:tcBorders>
            <w:shd w:val="clear" w:color="auto" w:fill="auto"/>
            <w:hideMark/>
          </w:tcPr>
          <w:p w:rsidR="00057F16" w:rsidRPr="00FB0A21" w:rsidRDefault="00057F16" w:rsidP="0079410B">
            <w:pPr>
              <w:rPr>
                <w:sz w:val="18"/>
                <w:szCs w:val="18"/>
              </w:rPr>
            </w:pPr>
            <w:r w:rsidRPr="00FB0A21">
              <w:rPr>
                <w:sz w:val="18"/>
                <w:szCs w:val="18"/>
              </w:rPr>
              <w:t>Прибыль прибыльных организаций (по полному кругу организаций), млн. руб.*</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94 106,0</w:t>
            </w:r>
          </w:p>
        </w:tc>
        <w:tc>
          <w:tcPr>
            <w:tcW w:w="1276" w:type="dxa"/>
            <w:tcBorders>
              <w:top w:val="single" w:sz="12" w:space="0" w:color="auto"/>
              <w:left w:val="nil"/>
              <w:bottom w:val="nil"/>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42 926,9 (по крупным и средним за янв</w:t>
            </w:r>
            <w:r>
              <w:rPr>
                <w:sz w:val="18"/>
                <w:szCs w:val="18"/>
              </w:rPr>
              <w:t>.</w:t>
            </w:r>
            <w:r w:rsidRPr="00FB0A21">
              <w:rPr>
                <w:sz w:val="18"/>
                <w:szCs w:val="18"/>
              </w:rPr>
              <w:t>-авг</w:t>
            </w:r>
            <w:r>
              <w:rPr>
                <w:sz w:val="18"/>
                <w:szCs w:val="18"/>
              </w:rPr>
              <w:t>.</w:t>
            </w:r>
            <w:r w:rsidRPr="00FB0A21">
              <w:rPr>
                <w:sz w:val="18"/>
                <w:szCs w:val="18"/>
              </w:rPr>
              <w:t xml:space="preserve"> 2017г.)</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99 100,0</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100 200,0</w:t>
            </w:r>
          </w:p>
        </w:tc>
        <w:tc>
          <w:tcPr>
            <w:tcW w:w="851"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1 100,0</w:t>
            </w:r>
          </w:p>
        </w:tc>
        <w:tc>
          <w:tcPr>
            <w:tcW w:w="850" w:type="dxa"/>
            <w:tcBorders>
              <w:top w:val="single" w:sz="12" w:space="0" w:color="auto"/>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4 994,0</w:t>
            </w:r>
          </w:p>
        </w:tc>
      </w:tr>
      <w:tr w:rsidR="00057F16" w:rsidRPr="00FB0A21" w:rsidTr="00FB0A21">
        <w:trPr>
          <w:trHeight w:val="465"/>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-в действующих ценах к предыдущему году,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71,8</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99,2 (янв</w:t>
            </w:r>
            <w:r>
              <w:rPr>
                <w:sz w:val="18"/>
                <w:szCs w:val="18"/>
              </w:rPr>
              <w:t>.</w:t>
            </w:r>
            <w:r w:rsidRPr="00FB0A21">
              <w:rPr>
                <w:sz w:val="18"/>
                <w:szCs w:val="18"/>
              </w:rPr>
              <w:t>-авг</w:t>
            </w:r>
            <w:r>
              <w:rPr>
                <w:sz w:val="18"/>
                <w:szCs w:val="18"/>
              </w:rPr>
              <w:t>.</w:t>
            </w:r>
            <w:r w:rsidRPr="00FB0A21">
              <w:rPr>
                <w:sz w:val="18"/>
                <w:szCs w:val="18"/>
              </w:rPr>
              <w:t xml:space="preserve"> 2017г.)</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105,3</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101,1</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-4,2</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33,5</w:t>
            </w:r>
          </w:p>
        </w:tc>
      </w:tr>
      <w:tr w:rsidR="00057F16" w:rsidRPr="00FB0A21" w:rsidTr="00FB0A21">
        <w:trPr>
          <w:trHeight w:val="585"/>
        </w:trPr>
        <w:tc>
          <w:tcPr>
            <w:tcW w:w="3828" w:type="dxa"/>
            <w:tcBorders>
              <w:top w:val="nil"/>
              <w:left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Денежные доходы населения, млн. руб.</w:t>
            </w:r>
          </w:p>
        </w:tc>
        <w:tc>
          <w:tcPr>
            <w:tcW w:w="992" w:type="dxa"/>
            <w:tcBorders>
              <w:top w:val="nil"/>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654 410,0</w:t>
            </w:r>
          </w:p>
        </w:tc>
        <w:tc>
          <w:tcPr>
            <w:tcW w:w="1276" w:type="dxa"/>
            <w:tcBorders>
              <w:top w:val="nil"/>
              <w:left w:val="nil"/>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407 100 (янв</w:t>
            </w:r>
            <w:r>
              <w:rPr>
                <w:sz w:val="18"/>
                <w:szCs w:val="18"/>
              </w:rPr>
              <w:t>.</w:t>
            </w:r>
            <w:r w:rsidRPr="00FB0A21">
              <w:rPr>
                <w:sz w:val="18"/>
                <w:szCs w:val="18"/>
              </w:rPr>
              <w:t>-авг</w:t>
            </w:r>
            <w:r>
              <w:rPr>
                <w:sz w:val="18"/>
                <w:szCs w:val="18"/>
              </w:rPr>
              <w:t>.</w:t>
            </w:r>
            <w:r w:rsidRPr="00FB0A21">
              <w:rPr>
                <w:sz w:val="18"/>
                <w:szCs w:val="18"/>
              </w:rPr>
              <w:t>2017г.)</w:t>
            </w:r>
          </w:p>
        </w:tc>
        <w:tc>
          <w:tcPr>
            <w:tcW w:w="992" w:type="dxa"/>
            <w:tcBorders>
              <w:top w:val="nil"/>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670 770,3</w:t>
            </w:r>
          </w:p>
        </w:tc>
        <w:tc>
          <w:tcPr>
            <w:tcW w:w="992" w:type="dxa"/>
            <w:tcBorders>
              <w:top w:val="nil"/>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696 594,9</w:t>
            </w:r>
          </w:p>
        </w:tc>
        <w:tc>
          <w:tcPr>
            <w:tcW w:w="851" w:type="dxa"/>
            <w:tcBorders>
              <w:top w:val="nil"/>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25 824,6</w:t>
            </w:r>
          </w:p>
        </w:tc>
        <w:tc>
          <w:tcPr>
            <w:tcW w:w="850" w:type="dxa"/>
            <w:tcBorders>
              <w:top w:val="nil"/>
              <w:left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16 360,3</w:t>
            </w:r>
          </w:p>
        </w:tc>
      </w:tr>
      <w:tr w:rsidR="00057F16" w:rsidRPr="00FB0A21" w:rsidTr="00613CC8">
        <w:trPr>
          <w:trHeight w:val="465"/>
        </w:trPr>
        <w:tc>
          <w:tcPr>
            <w:tcW w:w="3828" w:type="dxa"/>
            <w:tcBorders>
              <w:top w:val="nil"/>
              <w:left w:val="single" w:sz="12" w:space="0" w:color="auto"/>
              <w:bottom w:val="single" w:sz="2"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 роста к предыдущему году</w:t>
            </w:r>
          </w:p>
        </w:tc>
        <w:tc>
          <w:tcPr>
            <w:tcW w:w="992" w:type="dxa"/>
            <w:tcBorders>
              <w:top w:val="nil"/>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98,4</w:t>
            </w:r>
          </w:p>
        </w:tc>
        <w:tc>
          <w:tcPr>
            <w:tcW w:w="1276" w:type="dxa"/>
            <w:tcBorders>
              <w:top w:val="nil"/>
              <w:left w:val="nil"/>
              <w:bottom w:val="single" w:sz="2" w:space="0" w:color="auto"/>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97,8 (янв</w:t>
            </w:r>
            <w:r>
              <w:rPr>
                <w:sz w:val="18"/>
                <w:szCs w:val="18"/>
              </w:rPr>
              <w:t>.</w:t>
            </w:r>
            <w:r w:rsidRPr="00FB0A21">
              <w:rPr>
                <w:sz w:val="18"/>
                <w:szCs w:val="18"/>
              </w:rPr>
              <w:t>-авг</w:t>
            </w:r>
            <w:r>
              <w:rPr>
                <w:sz w:val="18"/>
                <w:szCs w:val="18"/>
              </w:rPr>
              <w:t>.</w:t>
            </w:r>
            <w:r w:rsidRPr="00FB0A21">
              <w:rPr>
                <w:sz w:val="18"/>
                <w:szCs w:val="18"/>
              </w:rPr>
              <w:t xml:space="preserve"> 2017г.)</w:t>
            </w:r>
          </w:p>
        </w:tc>
        <w:tc>
          <w:tcPr>
            <w:tcW w:w="992" w:type="dxa"/>
            <w:tcBorders>
              <w:top w:val="nil"/>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102,5</w:t>
            </w:r>
          </w:p>
        </w:tc>
        <w:tc>
          <w:tcPr>
            <w:tcW w:w="992" w:type="dxa"/>
            <w:tcBorders>
              <w:top w:val="nil"/>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103,8</w:t>
            </w:r>
          </w:p>
        </w:tc>
        <w:tc>
          <w:tcPr>
            <w:tcW w:w="851" w:type="dxa"/>
            <w:tcBorders>
              <w:top w:val="nil"/>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1,5</w:t>
            </w:r>
          </w:p>
        </w:tc>
        <w:tc>
          <w:tcPr>
            <w:tcW w:w="850" w:type="dxa"/>
            <w:tcBorders>
              <w:top w:val="nil"/>
              <w:left w:val="nil"/>
              <w:bottom w:val="single" w:sz="2"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-12,1</w:t>
            </w:r>
          </w:p>
        </w:tc>
      </w:tr>
      <w:tr w:rsidR="00057F16" w:rsidRPr="00FB0A21" w:rsidTr="00613CC8">
        <w:trPr>
          <w:trHeight w:val="206"/>
        </w:trPr>
        <w:tc>
          <w:tcPr>
            <w:tcW w:w="3828" w:type="dxa"/>
            <w:tcBorders>
              <w:top w:val="single" w:sz="2" w:space="0" w:color="auto"/>
              <w:left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в т.ч. оплата труда, млн. руб.</w:t>
            </w:r>
          </w:p>
        </w:tc>
        <w:tc>
          <w:tcPr>
            <w:tcW w:w="992" w:type="dxa"/>
            <w:tcBorders>
              <w:top w:val="single" w:sz="2"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225 244,7</w:t>
            </w:r>
          </w:p>
        </w:tc>
        <w:tc>
          <w:tcPr>
            <w:tcW w:w="1276" w:type="dxa"/>
            <w:tcBorders>
              <w:top w:val="single" w:sz="2"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2"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232 440,0</w:t>
            </w:r>
          </w:p>
        </w:tc>
        <w:tc>
          <w:tcPr>
            <w:tcW w:w="992" w:type="dxa"/>
            <w:tcBorders>
              <w:top w:val="single" w:sz="2"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242 288,9</w:t>
            </w:r>
          </w:p>
        </w:tc>
        <w:tc>
          <w:tcPr>
            <w:tcW w:w="851" w:type="dxa"/>
            <w:tcBorders>
              <w:top w:val="single" w:sz="2"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9 848,9</w:t>
            </w:r>
          </w:p>
        </w:tc>
        <w:tc>
          <w:tcPr>
            <w:tcW w:w="850" w:type="dxa"/>
            <w:tcBorders>
              <w:top w:val="single" w:sz="2" w:space="0" w:color="auto"/>
              <w:left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7 195,3</w:t>
            </w:r>
          </w:p>
        </w:tc>
      </w:tr>
      <w:tr w:rsidR="00057F16" w:rsidRPr="00FB0A21" w:rsidTr="00613CC8">
        <w:trPr>
          <w:trHeight w:val="286"/>
        </w:trPr>
        <w:tc>
          <w:tcPr>
            <w:tcW w:w="3828" w:type="dxa"/>
            <w:tcBorders>
              <w:top w:val="nil"/>
              <w:left w:val="single" w:sz="12" w:space="0" w:color="auto"/>
              <w:bottom w:val="single" w:sz="4" w:space="0" w:color="auto"/>
              <w:right w:val="single" w:sz="8" w:space="0" w:color="auto"/>
            </w:tcBorders>
            <w:shd w:val="clear" w:color="auto" w:fill="auto"/>
            <w:hideMark/>
          </w:tcPr>
          <w:p w:rsidR="00057F16" w:rsidRPr="00FB0A21" w:rsidRDefault="00057F16" w:rsidP="0079410B">
            <w:pPr>
              <w:rPr>
                <w:i/>
                <w:iCs/>
                <w:sz w:val="18"/>
                <w:szCs w:val="18"/>
              </w:rPr>
            </w:pPr>
            <w:r w:rsidRPr="00FB0A21">
              <w:rPr>
                <w:i/>
                <w:iCs/>
                <w:sz w:val="18"/>
                <w:szCs w:val="18"/>
              </w:rPr>
              <w:t>- % роста к предыдущему году</w:t>
            </w:r>
          </w:p>
        </w:tc>
        <w:tc>
          <w:tcPr>
            <w:tcW w:w="992" w:type="dxa"/>
            <w:tcBorders>
              <w:top w:val="nil"/>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108,0</w:t>
            </w:r>
          </w:p>
        </w:tc>
        <w:tc>
          <w:tcPr>
            <w:tcW w:w="1276" w:type="dxa"/>
            <w:tcBorders>
              <w:top w:val="nil"/>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nil"/>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103,2</w:t>
            </w:r>
          </w:p>
        </w:tc>
        <w:tc>
          <w:tcPr>
            <w:tcW w:w="992" w:type="dxa"/>
            <w:tcBorders>
              <w:top w:val="nil"/>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104,2</w:t>
            </w:r>
          </w:p>
        </w:tc>
        <w:tc>
          <w:tcPr>
            <w:tcW w:w="851" w:type="dxa"/>
            <w:tcBorders>
              <w:top w:val="nil"/>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w:t>
            </w:r>
          </w:p>
        </w:tc>
        <w:tc>
          <w:tcPr>
            <w:tcW w:w="850" w:type="dxa"/>
            <w:tcBorders>
              <w:top w:val="nil"/>
              <w:left w:val="nil"/>
              <w:bottom w:val="single" w:sz="4"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-4,8</w:t>
            </w:r>
          </w:p>
        </w:tc>
      </w:tr>
      <w:tr w:rsidR="00057F16" w:rsidRPr="00FB0A21" w:rsidTr="00613CC8">
        <w:trPr>
          <w:trHeight w:val="437"/>
        </w:trPr>
        <w:tc>
          <w:tcPr>
            <w:tcW w:w="3828" w:type="dxa"/>
            <w:tcBorders>
              <w:top w:val="single" w:sz="4" w:space="0" w:color="auto"/>
              <w:left w:val="single" w:sz="12" w:space="0" w:color="auto"/>
              <w:bottom w:val="single" w:sz="4"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 xml:space="preserve">Рост реальных денежных доходов населения в % к предыдущему году </w:t>
            </w:r>
          </w:p>
        </w:tc>
        <w:tc>
          <w:tcPr>
            <w:tcW w:w="992" w:type="dxa"/>
            <w:tcBorders>
              <w:top w:val="single" w:sz="4" w:space="0" w:color="auto"/>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92,0</w:t>
            </w:r>
          </w:p>
        </w:tc>
        <w:tc>
          <w:tcPr>
            <w:tcW w:w="1276" w:type="dxa"/>
            <w:tcBorders>
              <w:top w:val="single" w:sz="4" w:space="0" w:color="auto"/>
              <w:left w:val="nil"/>
              <w:bottom w:val="single" w:sz="4" w:space="0" w:color="auto"/>
              <w:right w:val="single" w:sz="8" w:space="0" w:color="auto"/>
            </w:tcBorders>
            <w:shd w:val="clear" w:color="000000" w:fill="FFFFFF"/>
            <w:hideMark/>
          </w:tcPr>
          <w:p w:rsidR="00057F16" w:rsidRPr="00FB0A21" w:rsidRDefault="00057F16" w:rsidP="00613CC8">
            <w:pPr>
              <w:jc w:val="center"/>
              <w:rPr>
                <w:sz w:val="18"/>
                <w:szCs w:val="18"/>
              </w:rPr>
            </w:pPr>
            <w:r w:rsidRPr="00FB0A21">
              <w:rPr>
                <w:sz w:val="18"/>
                <w:szCs w:val="18"/>
              </w:rPr>
              <w:t>94,0 (янв</w:t>
            </w:r>
            <w:r>
              <w:rPr>
                <w:sz w:val="18"/>
                <w:szCs w:val="18"/>
              </w:rPr>
              <w:t>.</w:t>
            </w:r>
            <w:r w:rsidRPr="00FB0A21">
              <w:rPr>
                <w:sz w:val="18"/>
                <w:szCs w:val="18"/>
              </w:rPr>
              <w:t>-авг</w:t>
            </w:r>
            <w:r>
              <w:rPr>
                <w:sz w:val="18"/>
                <w:szCs w:val="18"/>
              </w:rPr>
              <w:t>.</w:t>
            </w:r>
            <w:r w:rsidRPr="00FB0A21">
              <w:rPr>
                <w:sz w:val="18"/>
                <w:szCs w:val="18"/>
              </w:rPr>
              <w:t>)</w:t>
            </w:r>
          </w:p>
        </w:tc>
        <w:tc>
          <w:tcPr>
            <w:tcW w:w="992" w:type="dxa"/>
            <w:tcBorders>
              <w:top w:val="single" w:sz="4" w:space="0" w:color="auto"/>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96,7</w:t>
            </w:r>
          </w:p>
        </w:tc>
        <w:tc>
          <w:tcPr>
            <w:tcW w:w="992" w:type="dxa"/>
            <w:tcBorders>
              <w:top w:val="single" w:sz="4" w:space="0" w:color="auto"/>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99,1</w:t>
            </w:r>
          </w:p>
        </w:tc>
        <w:tc>
          <w:tcPr>
            <w:tcW w:w="851" w:type="dxa"/>
            <w:tcBorders>
              <w:top w:val="single" w:sz="4" w:space="0" w:color="auto"/>
              <w:left w:val="nil"/>
              <w:bottom w:val="single" w:sz="4"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2,4</w:t>
            </w:r>
          </w:p>
        </w:tc>
        <w:tc>
          <w:tcPr>
            <w:tcW w:w="850" w:type="dxa"/>
            <w:tcBorders>
              <w:top w:val="single" w:sz="4" w:space="0" w:color="auto"/>
              <w:left w:val="nil"/>
              <w:bottom w:val="single" w:sz="4"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4,7</w:t>
            </w:r>
          </w:p>
        </w:tc>
      </w:tr>
      <w:tr w:rsidR="00057F16" w:rsidRPr="00FB0A21" w:rsidTr="00613CC8">
        <w:trPr>
          <w:trHeight w:val="272"/>
        </w:trPr>
        <w:tc>
          <w:tcPr>
            <w:tcW w:w="3828" w:type="dxa"/>
            <w:tcBorders>
              <w:top w:val="single" w:sz="4" w:space="0" w:color="auto"/>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Среднегодовая численность занятых в экономике, тыс. чел.</w:t>
            </w:r>
          </w:p>
        </w:tc>
        <w:tc>
          <w:tcPr>
            <w:tcW w:w="992" w:type="dxa"/>
            <w:tcBorders>
              <w:top w:val="single" w:sz="4" w:space="0" w:color="auto"/>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1212,7</w:t>
            </w:r>
          </w:p>
        </w:tc>
        <w:tc>
          <w:tcPr>
            <w:tcW w:w="1276" w:type="dxa"/>
            <w:tcBorders>
              <w:top w:val="single" w:sz="4" w:space="0" w:color="auto"/>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4" w:space="0" w:color="auto"/>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1205,8</w:t>
            </w:r>
          </w:p>
        </w:tc>
        <w:tc>
          <w:tcPr>
            <w:tcW w:w="992" w:type="dxa"/>
            <w:tcBorders>
              <w:top w:val="single" w:sz="4" w:space="0" w:color="auto"/>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1205,6</w:t>
            </w:r>
          </w:p>
        </w:tc>
        <w:tc>
          <w:tcPr>
            <w:tcW w:w="851" w:type="dxa"/>
            <w:tcBorders>
              <w:top w:val="single" w:sz="4" w:space="0" w:color="auto"/>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-0,2</w:t>
            </w:r>
          </w:p>
        </w:tc>
        <w:tc>
          <w:tcPr>
            <w:tcW w:w="850" w:type="dxa"/>
            <w:tcBorders>
              <w:top w:val="single" w:sz="4" w:space="0" w:color="auto"/>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-6,9</w:t>
            </w:r>
          </w:p>
        </w:tc>
      </w:tr>
      <w:tr w:rsidR="00057F16" w:rsidRPr="00FB0A21" w:rsidTr="00FB0A21">
        <w:trPr>
          <w:trHeight w:val="237"/>
        </w:trPr>
        <w:tc>
          <w:tcPr>
            <w:tcW w:w="3828" w:type="dxa"/>
            <w:tcBorders>
              <w:top w:val="single" w:sz="8" w:space="0" w:color="auto"/>
              <w:left w:val="single" w:sz="12" w:space="0" w:color="auto"/>
              <w:bottom w:val="single" w:sz="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lastRenderedPageBreak/>
              <w:t>Уровень безработицы (по методологии МОТ), %</w:t>
            </w:r>
          </w:p>
        </w:tc>
        <w:tc>
          <w:tcPr>
            <w:tcW w:w="992" w:type="dxa"/>
            <w:tcBorders>
              <w:top w:val="single" w:sz="8" w:space="0" w:color="auto"/>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6,8</w:t>
            </w:r>
          </w:p>
        </w:tc>
        <w:tc>
          <w:tcPr>
            <w:tcW w:w="1276" w:type="dxa"/>
            <w:tcBorders>
              <w:top w:val="single" w:sz="8" w:space="0" w:color="auto"/>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8" w:space="0" w:color="auto"/>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6,8</w:t>
            </w:r>
          </w:p>
        </w:tc>
        <w:tc>
          <w:tcPr>
            <w:tcW w:w="992" w:type="dxa"/>
            <w:tcBorders>
              <w:top w:val="single" w:sz="8" w:space="0" w:color="auto"/>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6,4</w:t>
            </w:r>
          </w:p>
        </w:tc>
        <w:tc>
          <w:tcPr>
            <w:tcW w:w="851" w:type="dxa"/>
            <w:tcBorders>
              <w:top w:val="single" w:sz="8" w:space="0" w:color="auto"/>
              <w:left w:val="nil"/>
              <w:bottom w:val="single" w:sz="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-0,4</w:t>
            </w:r>
          </w:p>
        </w:tc>
        <w:tc>
          <w:tcPr>
            <w:tcW w:w="850" w:type="dxa"/>
            <w:tcBorders>
              <w:top w:val="single" w:sz="8" w:space="0" w:color="auto"/>
              <w:left w:val="nil"/>
              <w:bottom w:val="single" w:sz="2"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0,0</w:t>
            </w:r>
          </w:p>
        </w:tc>
      </w:tr>
      <w:tr w:rsidR="00057F16" w:rsidRPr="00FB0A21" w:rsidTr="00FB0A21">
        <w:trPr>
          <w:trHeight w:val="394"/>
        </w:trPr>
        <w:tc>
          <w:tcPr>
            <w:tcW w:w="3828" w:type="dxa"/>
            <w:tcBorders>
              <w:top w:val="single" w:sz="2" w:space="0" w:color="auto"/>
              <w:left w:val="single" w:sz="12" w:space="0" w:color="auto"/>
              <w:bottom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Уровень зарегистрированной безработицы (на конец года),%</w:t>
            </w:r>
          </w:p>
        </w:tc>
        <w:tc>
          <w:tcPr>
            <w:tcW w:w="992" w:type="dxa"/>
            <w:tcBorders>
              <w:top w:val="single" w:sz="2" w:space="0" w:color="auto"/>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w:t>
            </w:r>
          </w:p>
        </w:tc>
        <w:tc>
          <w:tcPr>
            <w:tcW w:w="1276" w:type="dxa"/>
            <w:tcBorders>
              <w:top w:val="single" w:sz="2" w:space="0" w:color="auto"/>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2" w:space="0" w:color="auto"/>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w:t>
            </w:r>
          </w:p>
        </w:tc>
        <w:tc>
          <w:tcPr>
            <w:tcW w:w="992" w:type="dxa"/>
            <w:tcBorders>
              <w:top w:val="single" w:sz="2" w:space="0" w:color="auto"/>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w:t>
            </w:r>
          </w:p>
        </w:tc>
        <w:tc>
          <w:tcPr>
            <w:tcW w:w="851" w:type="dxa"/>
            <w:tcBorders>
              <w:top w:val="single" w:sz="2" w:space="0" w:color="auto"/>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0,0</w:t>
            </w:r>
          </w:p>
        </w:tc>
        <w:tc>
          <w:tcPr>
            <w:tcW w:w="850" w:type="dxa"/>
            <w:tcBorders>
              <w:top w:val="single" w:sz="2" w:space="0" w:color="auto"/>
              <w:left w:val="nil"/>
              <w:bottom w:val="single" w:sz="12"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0,02</w:t>
            </w:r>
          </w:p>
        </w:tc>
      </w:tr>
      <w:tr w:rsidR="00057F16" w:rsidRPr="00FB0A21" w:rsidTr="00FB0A21">
        <w:trPr>
          <w:trHeight w:val="258"/>
        </w:trPr>
        <w:tc>
          <w:tcPr>
            <w:tcW w:w="3828" w:type="dxa"/>
            <w:tcBorders>
              <w:top w:val="single" w:sz="12" w:space="0" w:color="auto"/>
              <w:left w:val="single" w:sz="12" w:space="0" w:color="auto"/>
              <w:bottom w:val="nil"/>
              <w:right w:val="single" w:sz="8" w:space="0" w:color="auto"/>
            </w:tcBorders>
            <w:shd w:val="clear" w:color="auto" w:fill="auto"/>
            <w:noWrap/>
            <w:vAlign w:val="bottom"/>
            <w:hideMark/>
          </w:tcPr>
          <w:p w:rsidR="00057F16" w:rsidRPr="00FB0A21" w:rsidRDefault="00057F16" w:rsidP="0079410B">
            <w:pPr>
              <w:jc w:val="both"/>
              <w:rPr>
                <w:sz w:val="18"/>
                <w:szCs w:val="18"/>
              </w:rPr>
            </w:pPr>
            <w:r w:rsidRPr="00FB0A21">
              <w:rPr>
                <w:sz w:val="18"/>
                <w:szCs w:val="18"/>
              </w:rPr>
              <w:t>Оборот малых и средних предприятий, включая микропредприятия, млрд. руб.</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411,4</w:t>
            </w:r>
          </w:p>
        </w:tc>
        <w:tc>
          <w:tcPr>
            <w:tcW w:w="1276"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431,97</w:t>
            </w:r>
          </w:p>
        </w:tc>
        <w:tc>
          <w:tcPr>
            <w:tcW w:w="992"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440,61</w:t>
            </w:r>
          </w:p>
        </w:tc>
        <w:tc>
          <w:tcPr>
            <w:tcW w:w="851" w:type="dxa"/>
            <w:tcBorders>
              <w:top w:val="single" w:sz="12" w:space="0" w:color="auto"/>
              <w:left w:val="nil"/>
              <w:bottom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8,64</w:t>
            </w:r>
          </w:p>
        </w:tc>
        <w:tc>
          <w:tcPr>
            <w:tcW w:w="850" w:type="dxa"/>
            <w:tcBorders>
              <w:top w:val="single" w:sz="12" w:space="0" w:color="auto"/>
              <w:left w:val="nil"/>
              <w:bottom w:val="nil"/>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20,57</w:t>
            </w:r>
          </w:p>
        </w:tc>
      </w:tr>
      <w:tr w:rsidR="00057F16" w:rsidRPr="00FB0A21" w:rsidTr="00FB0A21">
        <w:trPr>
          <w:trHeight w:val="171"/>
        </w:trPr>
        <w:tc>
          <w:tcPr>
            <w:tcW w:w="3828" w:type="dxa"/>
            <w:tcBorders>
              <w:top w:val="nil"/>
              <w:left w:val="single" w:sz="12" w:space="0" w:color="auto"/>
              <w:bottom w:val="single" w:sz="8" w:space="0" w:color="auto"/>
              <w:right w:val="single" w:sz="8" w:space="0" w:color="auto"/>
            </w:tcBorders>
            <w:shd w:val="clear" w:color="auto" w:fill="auto"/>
            <w:vAlign w:val="bottom"/>
            <w:hideMark/>
          </w:tcPr>
          <w:p w:rsidR="00057F16" w:rsidRPr="00FB0A21" w:rsidRDefault="00057F16" w:rsidP="0079410B">
            <w:pPr>
              <w:rPr>
                <w:i/>
                <w:iCs/>
                <w:sz w:val="18"/>
                <w:szCs w:val="18"/>
              </w:rPr>
            </w:pPr>
            <w:r w:rsidRPr="00FB0A21">
              <w:rPr>
                <w:i/>
                <w:iCs/>
                <w:sz w:val="18"/>
                <w:szCs w:val="18"/>
              </w:rPr>
              <w:t>в действующих ценах к предыдущему году,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114,5</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rPr>
                <w:rFonts w:ascii="Calibri" w:hAnsi="Calibri"/>
                <w:sz w:val="18"/>
                <w:szCs w:val="18"/>
              </w:rPr>
            </w:pPr>
            <w:r w:rsidRPr="00FB0A21">
              <w:rPr>
                <w:rFonts w:ascii="Calibri" w:hAnsi="Calibri"/>
                <w:sz w:val="18"/>
                <w:szCs w:val="18"/>
              </w:rPr>
              <w:t>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105,0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102,0</w:t>
            </w:r>
          </w:p>
        </w:tc>
        <w:tc>
          <w:tcPr>
            <w:tcW w:w="851"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-3,0</w:t>
            </w:r>
          </w:p>
        </w:tc>
        <w:tc>
          <w:tcPr>
            <w:tcW w:w="850" w:type="dxa"/>
            <w:tcBorders>
              <w:top w:val="nil"/>
              <w:left w:val="nil"/>
              <w:bottom w:val="single" w:sz="8" w:space="0" w:color="auto"/>
              <w:right w:val="single" w:sz="12" w:space="0" w:color="auto"/>
            </w:tcBorders>
            <w:shd w:val="clear" w:color="000000" w:fill="FFFFFF"/>
            <w:noWrap/>
            <w:hideMark/>
          </w:tcPr>
          <w:p w:rsidR="00057F16" w:rsidRPr="00FB0A21" w:rsidRDefault="00057F16" w:rsidP="0079410B">
            <w:pPr>
              <w:jc w:val="center"/>
              <w:rPr>
                <w:sz w:val="18"/>
                <w:szCs w:val="18"/>
              </w:rPr>
            </w:pPr>
            <w:r w:rsidRPr="00FB0A21">
              <w:rPr>
                <w:sz w:val="18"/>
                <w:szCs w:val="18"/>
              </w:rPr>
              <w:t>-9,5</w:t>
            </w:r>
          </w:p>
        </w:tc>
      </w:tr>
      <w:tr w:rsidR="00057F16" w:rsidRPr="00FB0A21" w:rsidTr="00FB0A21">
        <w:trPr>
          <w:trHeight w:val="380"/>
        </w:trPr>
        <w:tc>
          <w:tcPr>
            <w:tcW w:w="3828" w:type="dxa"/>
            <w:tcBorders>
              <w:top w:val="nil"/>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 xml:space="preserve">Индекс потребительских цен (за период с начала года), % </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106,9</w:t>
            </w:r>
          </w:p>
        </w:tc>
        <w:tc>
          <w:tcPr>
            <w:tcW w:w="1276"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103,9</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105,0</w:t>
            </w:r>
          </w:p>
        </w:tc>
        <w:tc>
          <w:tcPr>
            <w:tcW w:w="992" w:type="dxa"/>
            <w:tcBorders>
              <w:top w:val="nil"/>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103,8</w:t>
            </w:r>
          </w:p>
        </w:tc>
        <w:tc>
          <w:tcPr>
            <w:tcW w:w="851" w:type="dxa"/>
            <w:tcBorders>
              <w:top w:val="nil"/>
              <w:left w:val="nil"/>
              <w:bottom w:val="single" w:sz="8" w:space="0" w:color="auto"/>
              <w:right w:val="single" w:sz="8" w:space="0" w:color="auto"/>
            </w:tcBorders>
            <w:shd w:val="clear" w:color="auto" w:fill="auto"/>
            <w:hideMark/>
          </w:tcPr>
          <w:p w:rsidR="00057F16" w:rsidRPr="00FB0A21" w:rsidRDefault="00057F16" w:rsidP="0079410B">
            <w:pPr>
              <w:jc w:val="center"/>
              <w:rPr>
                <w:sz w:val="18"/>
                <w:szCs w:val="18"/>
              </w:rPr>
            </w:pPr>
            <w:r w:rsidRPr="00FB0A21">
              <w:rPr>
                <w:sz w:val="18"/>
                <w:szCs w:val="18"/>
              </w:rPr>
              <w:t>-1,2</w:t>
            </w:r>
          </w:p>
        </w:tc>
        <w:tc>
          <w:tcPr>
            <w:tcW w:w="850" w:type="dxa"/>
            <w:tcBorders>
              <w:top w:val="nil"/>
              <w:left w:val="nil"/>
              <w:bottom w:val="single" w:sz="8" w:space="0" w:color="auto"/>
              <w:right w:val="single" w:sz="12" w:space="0" w:color="auto"/>
            </w:tcBorders>
            <w:shd w:val="clear" w:color="auto" w:fill="auto"/>
            <w:noWrap/>
            <w:hideMark/>
          </w:tcPr>
          <w:p w:rsidR="00057F16" w:rsidRPr="00FB0A21" w:rsidRDefault="00057F16" w:rsidP="0079410B">
            <w:pPr>
              <w:jc w:val="center"/>
              <w:rPr>
                <w:sz w:val="18"/>
                <w:szCs w:val="18"/>
              </w:rPr>
            </w:pPr>
            <w:r w:rsidRPr="00FB0A21">
              <w:rPr>
                <w:sz w:val="18"/>
                <w:szCs w:val="18"/>
              </w:rPr>
              <w:t>-1,9</w:t>
            </w:r>
          </w:p>
        </w:tc>
      </w:tr>
      <w:tr w:rsidR="00057F16" w:rsidRPr="00FB0A21" w:rsidTr="00FB0A21">
        <w:trPr>
          <w:trHeight w:val="337"/>
        </w:trPr>
        <w:tc>
          <w:tcPr>
            <w:tcW w:w="3828" w:type="dxa"/>
            <w:tcBorders>
              <w:top w:val="single" w:sz="8" w:space="0" w:color="auto"/>
              <w:left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Экспорт товаров, млн. долл. США</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1 315,5</w:t>
            </w:r>
          </w:p>
        </w:tc>
        <w:tc>
          <w:tcPr>
            <w:tcW w:w="1276" w:type="dxa"/>
            <w:tcBorders>
              <w:top w:val="single" w:sz="8" w:space="0" w:color="auto"/>
              <w:left w:val="nil"/>
              <w:right w:val="single" w:sz="8" w:space="0" w:color="auto"/>
            </w:tcBorders>
            <w:shd w:val="clear" w:color="000000" w:fill="FFFFFF"/>
            <w:hideMark/>
          </w:tcPr>
          <w:p w:rsidR="00057F16" w:rsidRPr="00FB0A21" w:rsidRDefault="00057F16" w:rsidP="00B57FC9">
            <w:pPr>
              <w:jc w:val="center"/>
              <w:rPr>
                <w:sz w:val="18"/>
                <w:szCs w:val="18"/>
              </w:rPr>
            </w:pPr>
            <w:r w:rsidRPr="00FB0A21">
              <w:rPr>
                <w:sz w:val="18"/>
                <w:szCs w:val="18"/>
              </w:rPr>
              <w:t>694,9  (за I полуг</w:t>
            </w:r>
            <w:r>
              <w:rPr>
                <w:sz w:val="18"/>
                <w:szCs w:val="18"/>
              </w:rPr>
              <w:t>оди</w:t>
            </w:r>
            <w:r w:rsidRPr="00FB0A21">
              <w:rPr>
                <w:sz w:val="18"/>
                <w:szCs w:val="18"/>
              </w:rPr>
              <w:t>е 2017г.)</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1 586,1</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1 557,4</w:t>
            </w:r>
          </w:p>
        </w:tc>
        <w:tc>
          <w:tcPr>
            <w:tcW w:w="851" w:type="dxa"/>
            <w:tcBorders>
              <w:top w:val="single" w:sz="8" w:space="0" w:color="auto"/>
              <w:left w:val="nil"/>
              <w:right w:val="single" w:sz="8" w:space="0" w:color="auto"/>
            </w:tcBorders>
            <w:shd w:val="clear" w:color="auto" w:fill="auto"/>
            <w:hideMark/>
          </w:tcPr>
          <w:p w:rsidR="00057F16" w:rsidRPr="00FB0A21" w:rsidRDefault="00057F16" w:rsidP="0079410B">
            <w:pPr>
              <w:jc w:val="center"/>
              <w:rPr>
                <w:sz w:val="18"/>
                <w:szCs w:val="18"/>
              </w:rPr>
            </w:pPr>
            <w:r w:rsidRPr="00FB0A21">
              <w:rPr>
                <w:sz w:val="18"/>
                <w:szCs w:val="18"/>
              </w:rPr>
              <w:t>-28,7</w:t>
            </w:r>
          </w:p>
        </w:tc>
        <w:tc>
          <w:tcPr>
            <w:tcW w:w="850" w:type="dxa"/>
            <w:tcBorders>
              <w:top w:val="single" w:sz="8" w:space="0" w:color="auto"/>
              <w:left w:val="nil"/>
              <w:right w:val="single" w:sz="12" w:space="0" w:color="auto"/>
            </w:tcBorders>
            <w:shd w:val="clear" w:color="auto" w:fill="auto"/>
            <w:noWrap/>
            <w:hideMark/>
          </w:tcPr>
          <w:p w:rsidR="00057F16" w:rsidRPr="00FB0A21" w:rsidRDefault="00057F16" w:rsidP="0079410B">
            <w:pPr>
              <w:jc w:val="center"/>
              <w:rPr>
                <w:sz w:val="18"/>
                <w:szCs w:val="18"/>
              </w:rPr>
            </w:pPr>
            <w:r w:rsidRPr="00FB0A21">
              <w:rPr>
                <w:sz w:val="18"/>
                <w:szCs w:val="18"/>
              </w:rPr>
              <w:t>270,6</w:t>
            </w:r>
          </w:p>
        </w:tc>
      </w:tr>
      <w:tr w:rsidR="00057F16" w:rsidRPr="00FB0A21" w:rsidTr="00FB0A21">
        <w:trPr>
          <w:trHeight w:val="290"/>
        </w:trPr>
        <w:tc>
          <w:tcPr>
            <w:tcW w:w="3828" w:type="dxa"/>
            <w:tcBorders>
              <w:left w:val="single" w:sz="12" w:space="0" w:color="auto"/>
              <w:bottom w:val="single" w:sz="8"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в % к соответствующему периоду предыдущего года</w:t>
            </w:r>
          </w:p>
        </w:tc>
        <w:tc>
          <w:tcPr>
            <w:tcW w:w="992" w:type="dxa"/>
            <w:tcBorders>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64,1</w:t>
            </w:r>
          </w:p>
        </w:tc>
        <w:tc>
          <w:tcPr>
            <w:tcW w:w="1276" w:type="dxa"/>
            <w:tcBorders>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118,6</w:t>
            </w:r>
          </w:p>
        </w:tc>
        <w:tc>
          <w:tcPr>
            <w:tcW w:w="992" w:type="dxa"/>
            <w:tcBorders>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120,6</w:t>
            </w:r>
          </w:p>
        </w:tc>
        <w:tc>
          <w:tcPr>
            <w:tcW w:w="992" w:type="dxa"/>
            <w:tcBorders>
              <w:left w:val="nil"/>
              <w:bottom w:val="single" w:sz="8"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98,2</w:t>
            </w:r>
          </w:p>
        </w:tc>
        <w:tc>
          <w:tcPr>
            <w:tcW w:w="851" w:type="dxa"/>
            <w:tcBorders>
              <w:left w:val="nil"/>
              <w:bottom w:val="single" w:sz="8" w:space="0" w:color="auto"/>
              <w:right w:val="single" w:sz="8" w:space="0" w:color="auto"/>
            </w:tcBorders>
            <w:shd w:val="clear" w:color="auto" w:fill="auto"/>
            <w:hideMark/>
          </w:tcPr>
          <w:p w:rsidR="00057F16" w:rsidRPr="00FB0A21" w:rsidRDefault="00057F16" w:rsidP="0079410B">
            <w:pPr>
              <w:jc w:val="center"/>
              <w:rPr>
                <w:sz w:val="18"/>
                <w:szCs w:val="18"/>
              </w:rPr>
            </w:pPr>
            <w:r w:rsidRPr="00FB0A21">
              <w:rPr>
                <w:sz w:val="18"/>
                <w:szCs w:val="18"/>
              </w:rPr>
              <w:t>-22,4</w:t>
            </w:r>
          </w:p>
        </w:tc>
        <w:tc>
          <w:tcPr>
            <w:tcW w:w="850" w:type="dxa"/>
            <w:tcBorders>
              <w:left w:val="nil"/>
              <w:bottom w:val="single" w:sz="8" w:space="0" w:color="auto"/>
              <w:right w:val="single" w:sz="12" w:space="0" w:color="auto"/>
            </w:tcBorders>
            <w:shd w:val="clear" w:color="auto" w:fill="auto"/>
            <w:noWrap/>
            <w:hideMark/>
          </w:tcPr>
          <w:p w:rsidR="00057F16" w:rsidRPr="00FB0A21" w:rsidRDefault="00057F16" w:rsidP="0079410B">
            <w:pPr>
              <w:jc w:val="center"/>
              <w:rPr>
                <w:sz w:val="18"/>
                <w:szCs w:val="18"/>
              </w:rPr>
            </w:pPr>
            <w:r w:rsidRPr="00FB0A21">
              <w:rPr>
                <w:sz w:val="18"/>
                <w:szCs w:val="18"/>
              </w:rPr>
              <w:t>56,5</w:t>
            </w:r>
          </w:p>
        </w:tc>
      </w:tr>
      <w:tr w:rsidR="00057F16" w:rsidRPr="00FB0A21" w:rsidTr="00FB0A21">
        <w:trPr>
          <w:trHeight w:val="276"/>
        </w:trPr>
        <w:tc>
          <w:tcPr>
            <w:tcW w:w="3828" w:type="dxa"/>
            <w:tcBorders>
              <w:top w:val="single" w:sz="8" w:space="0" w:color="auto"/>
              <w:left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Импорт товаров, млн. долл. США</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670,7</w:t>
            </w:r>
          </w:p>
        </w:tc>
        <w:tc>
          <w:tcPr>
            <w:tcW w:w="1276" w:type="dxa"/>
            <w:tcBorders>
              <w:top w:val="single" w:sz="8" w:space="0" w:color="auto"/>
              <w:left w:val="nil"/>
              <w:right w:val="single" w:sz="8" w:space="0" w:color="auto"/>
            </w:tcBorders>
            <w:shd w:val="clear" w:color="000000" w:fill="FFFFFF"/>
            <w:hideMark/>
          </w:tcPr>
          <w:p w:rsidR="00057F16" w:rsidRPr="00FB0A21" w:rsidRDefault="00057F16" w:rsidP="00B57FC9">
            <w:pPr>
              <w:jc w:val="center"/>
              <w:rPr>
                <w:sz w:val="18"/>
                <w:szCs w:val="18"/>
              </w:rPr>
            </w:pPr>
            <w:r w:rsidRPr="00FB0A21">
              <w:rPr>
                <w:sz w:val="18"/>
                <w:szCs w:val="18"/>
              </w:rPr>
              <w:t xml:space="preserve">    351,7 (за I полу</w:t>
            </w:r>
            <w:r>
              <w:rPr>
                <w:sz w:val="18"/>
                <w:szCs w:val="18"/>
              </w:rPr>
              <w:t>годи</w:t>
            </w:r>
            <w:r w:rsidRPr="00FB0A21">
              <w:rPr>
                <w:sz w:val="18"/>
                <w:szCs w:val="18"/>
              </w:rPr>
              <w:t>е 2017 г.)</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811,8</w:t>
            </w:r>
          </w:p>
        </w:tc>
        <w:tc>
          <w:tcPr>
            <w:tcW w:w="992" w:type="dxa"/>
            <w:tcBorders>
              <w:top w:val="single" w:sz="8" w:space="0" w:color="auto"/>
              <w:left w:val="nil"/>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835,3</w:t>
            </w:r>
          </w:p>
        </w:tc>
        <w:tc>
          <w:tcPr>
            <w:tcW w:w="851" w:type="dxa"/>
            <w:tcBorders>
              <w:top w:val="single" w:sz="8" w:space="0" w:color="auto"/>
              <w:left w:val="nil"/>
              <w:right w:val="single" w:sz="8" w:space="0" w:color="auto"/>
            </w:tcBorders>
            <w:shd w:val="clear" w:color="auto" w:fill="auto"/>
            <w:hideMark/>
          </w:tcPr>
          <w:p w:rsidR="00057F16" w:rsidRPr="00FB0A21" w:rsidRDefault="00057F16" w:rsidP="0079410B">
            <w:pPr>
              <w:jc w:val="center"/>
              <w:rPr>
                <w:sz w:val="18"/>
                <w:szCs w:val="18"/>
              </w:rPr>
            </w:pPr>
            <w:r w:rsidRPr="00FB0A21">
              <w:rPr>
                <w:sz w:val="18"/>
                <w:szCs w:val="18"/>
              </w:rPr>
              <w:t>23,5</w:t>
            </w:r>
          </w:p>
        </w:tc>
        <w:tc>
          <w:tcPr>
            <w:tcW w:w="850" w:type="dxa"/>
            <w:tcBorders>
              <w:top w:val="single" w:sz="8" w:space="0" w:color="auto"/>
              <w:left w:val="nil"/>
              <w:right w:val="single" w:sz="12" w:space="0" w:color="auto"/>
            </w:tcBorders>
            <w:shd w:val="clear" w:color="auto" w:fill="auto"/>
            <w:noWrap/>
            <w:hideMark/>
          </w:tcPr>
          <w:p w:rsidR="00057F16" w:rsidRPr="00FB0A21" w:rsidRDefault="00057F16" w:rsidP="0079410B">
            <w:pPr>
              <w:jc w:val="center"/>
              <w:rPr>
                <w:sz w:val="18"/>
                <w:szCs w:val="18"/>
              </w:rPr>
            </w:pPr>
            <w:r w:rsidRPr="00FB0A21">
              <w:rPr>
                <w:sz w:val="18"/>
                <w:szCs w:val="18"/>
              </w:rPr>
              <w:t>141,1</w:t>
            </w:r>
          </w:p>
        </w:tc>
      </w:tr>
      <w:tr w:rsidR="00057F16" w:rsidRPr="00FB0A21" w:rsidTr="00FB0A21">
        <w:trPr>
          <w:trHeight w:val="213"/>
        </w:trPr>
        <w:tc>
          <w:tcPr>
            <w:tcW w:w="3828" w:type="dxa"/>
            <w:tcBorders>
              <w:left w:val="single" w:sz="12" w:space="0" w:color="auto"/>
              <w:bottom w:val="single" w:sz="12" w:space="0" w:color="auto"/>
              <w:right w:val="single" w:sz="8" w:space="0" w:color="auto"/>
            </w:tcBorders>
            <w:shd w:val="clear" w:color="auto" w:fill="auto"/>
            <w:hideMark/>
          </w:tcPr>
          <w:p w:rsidR="00057F16" w:rsidRPr="00FB0A21" w:rsidRDefault="00057F16" w:rsidP="0079410B">
            <w:pPr>
              <w:rPr>
                <w:sz w:val="18"/>
                <w:szCs w:val="18"/>
              </w:rPr>
            </w:pPr>
            <w:r w:rsidRPr="00FB0A21">
              <w:rPr>
                <w:sz w:val="18"/>
                <w:szCs w:val="18"/>
              </w:rPr>
              <w:t>в % к соответствующему периоду предыдущего года</w:t>
            </w:r>
          </w:p>
        </w:tc>
        <w:tc>
          <w:tcPr>
            <w:tcW w:w="992" w:type="dxa"/>
            <w:tcBorders>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64,5</w:t>
            </w:r>
          </w:p>
        </w:tc>
        <w:tc>
          <w:tcPr>
            <w:tcW w:w="1276" w:type="dxa"/>
            <w:tcBorders>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110,4</w:t>
            </w:r>
          </w:p>
          <w:p w:rsidR="00057F16" w:rsidRPr="00FB0A21" w:rsidRDefault="00057F16" w:rsidP="0079410B">
            <w:pPr>
              <w:jc w:val="center"/>
              <w:rPr>
                <w:sz w:val="18"/>
                <w:szCs w:val="18"/>
              </w:rPr>
            </w:pPr>
          </w:p>
        </w:tc>
        <w:tc>
          <w:tcPr>
            <w:tcW w:w="992" w:type="dxa"/>
            <w:tcBorders>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121,0</w:t>
            </w:r>
          </w:p>
        </w:tc>
        <w:tc>
          <w:tcPr>
            <w:tcW w:w="992" w:type="dxa"/>
            <w:tcBorders>
              <w:left w:val="nil"/>
              <w:bottom w:val="single" w:sz="12" w:space="0" w:color="auto"/>
              <w:right w:val="single" w:sz="8" w:space="0" w:color="auto"/>
            </w:tcBorders>
            <w:shd w:val="clear" w:color="000000" w:fill="FFFFFF"/>
            <w:hideMark/>
          </w:tcPr>
          <w:p w:rsidR="00057F16" w:rsidRPr="00FB0A21" w:rsidRDefault="00057F16" w:rsidP="0079410B">
            <w:pPr>
              <w:jc w:val="center"/>
              <w:rPr>
                <w:sz w:val="18"/>
                <w:szCs w:val="18"/>
              </w:rPr>
            </w:pPr>
            <w:r w:rsidRPr="00FB0A21">
              <w:rPr>
                <w:sz w:val="18"/>
                <w:szCs w:val="18"/>
              </w:rPr>
              <w:t>102,9</w:t>
            </w:r>
          </w:p>
        </w:tc>
        <w:tc>
          <w:tcPr>
            <w:tcW w:w="851" w:type="dxa"/>
            <w:tcBorders>
              <w:left w:val="nil"/>
              <w:bottom w:val="single" w:sz="12" w:space="0" w:color="auto"/>
              <w:right w:val="single" w:sz="8" w:space="0" w:color="auto"/>
            </w:tcBorders>
            <w:shd w:val="clear" w:color="auto" w:fill="auto"/>
            <w:hideMark/>
          </w:tcPr>
          <w:p w:rsidR="00057F16" w:rsidRPr="00FB0A21" w:rsidRDefault="00057F16" w:rsidP="0079410B">
            <w:pPr>
              <w:jc w:val="center"/>
              <w:rPr>
                <w:sz w:val="18"/>
                <w:szCs w:val="18"/>
              </w:rPr>
            </w:pPr>
            <w:r w:rsidRPr="00FB0A21">
              <w:rPr>
                <w:sz w:val="18"/>
                <w:szCs w:val="18"/>
              </w:rPr>
              <w:t>-18,1</w:t>
            </w:r>
          </w:p>
        </w:tc>
        <w:tc>
          <w:tcPr>
            <w:tcW w:w="850" w:type="dxa"/>
            <w:tcBorders>
              <w:left w:val="nil"/>
              <w:bottom w:val="single" w:sz="12" w:space="0" w:color="auto"/>
              <w:right w:val="single" w:sz="12" w:space="0" w:color="auto"/>
            </w:tcBorders>
            <w:shd w:val="clear" w:color="auto" w:fill="auto"/>
            <w:noWrap/>
            <w:hideMark/>
          </w:tcPr>
          <w:p w:rsidR="00057F16" w:rsidRPr="00FB0A21" w:rsidRDefault="00057F16" w:rsidP="0079410B">
            <w:pPr>
              <w:jc w:val="center"/>
              <w:rPr>
                <w:sz w:val="18"/>
                <w:szCs w:val="18"/>
              </w:rPr>
            </w:pPr>
            <w:r w:rsidRPr="00FB0A21">
              <w:rPr>
                <w:sz w:val="18"/>
                <w:szCs w:val="18"/>
              </w:rPr>
              <w:t>56,5</w:t>
            </w:r>
          </w:p>
        </w:tc>
      </w:tr>
    </w:tbl>
    <w:p w:rsidR="00CD1B94" w:rsidRPr="00B57FC9" w:rsidRDefault="00CD1B94" w:rsidP="00CD1B94">
      <w:pPr>
        <w:pStyle w:val="ConsNonformat"/>
        <w:widowControl/>
        <w:ind w:firstLine="567"/>
        <w:jc w:val="both"/>
        <w:rPr>
          <w:rFonts w:ascii="Times New Roman" w:hAnsi="Times New Roman"/>
          <w:sz w:val="18"/>
          <w:szCs w:val="18"/>
        </w:rPr>
      </w:pPr>
      <w:r w:rsidRPr="00B57FC9">
        <w:rPr>
          <w:rFonts w:ascii="Times New Roman" w:hAnsi="Times New Roman"/>
          <w:sz w:val="18"/>
          <w:szCs w:val="18"/>
        </w:rPr>
        <w:t>*значения показателя приведены</w:t>
      </w:r>
      <w:r w:rsidRPr="00B57FC9">
        <w:rPr>
          <w:sz w:val="18"/>
          <w:szCs w:val="18"/>
        </w:rPr>
        <w:t xml:space="preserve"> </w:t>
      </w:r>
      <w:r w:rsidRPr="00B57FC9">
        <w:rPr>
          <w:rFonts w:ascii="Times New Roman" w:hAnsi="Times New Roman"/>
          <w:sz w:val="18"/>
          <w:szCs w:val="18"/>
        </w:rPr>
        <w:t>в предварительных итогах СЭР за январь-сентябрь 2017 года и ожидаемых итогах СЭР за 2017 год (по состоянию на 23.10.2017), а также расчетах доходов областного бюджета;</w:t>
      </w:r>
    </w:p>
    <w:p w:rsidR="00CD1B94" w:rsidRPr="00B57FC9" w:rsidRDefault="00CD1B94" w:rsidP="00CD1B94">
      <w:pPr>
        <w:ind w:firstLine="567"/>
        <w:jc w:val="both"/>
        <w:rPr>
          <w:color w:val="000000"/>
          <w:sz w:val="18"/>
          <w:szCs w:val="18"/>
        </w:rPr>
      </w:pPr>
      <w:r w:rsidRPr="00B57FC9">
        <w:rPr>
          <w:color w:val="000000"/>
          <w:sz w:val="18"/>
          <w:szCs w:val="18"/>
        </w:rPr>
        <w:t>**без субъектов малого предпринимательства и объема инвестиций, не наблюдаемых прямыми статистическими методами.</w:t>
      </w:r>
    </w:p>
    <w:p w:rsidR="00CD1B94" w:rsidRPr="00B57FC9" w:rsidRDefault="00CD1B94" w:rsidP="00CD1B94">
      <w:pPr>
        <w:pStyle w:val="2"/>
        <w:spacing w:after="0" w:line="240" w:lineRule="auto"/>
        <w:ind w:firstLine="680"/>
        <w:jc w:val="both"/>
        <w:rPr>
          <w:sz w:val="18"/>
          <w:szCs w:val="18"/>
        </w:rPr>
      </w:pPr>
    </w:p>
    <w:p w:rsidR="00CD1B94" w:rsidRPr="00DA4B48" w:rsidRDefault="00CD1B94" w:rsidP="00CD1B94">
      <w:pPr>
        <w:pStyle w:val="Style5"/>
        <w:spacing w:line="247" w:lineRule="auto"/>
        <w:jc w:val="both"/>
      </w:pPr>
      <w:r w:rsidRPr="00DA4B48">
        <w:t>Из данных, приведенных в таблице, видно, что в 2017 году в сравнении с предыдущим годом по отдельным показателям ожидается снижение в сопоставимых ценах: объем</w:t>
      </w:r>
      <w:r>
        <w:t>у</w:t>
      </w:r>
      <w:r w:rsidRPr="00DA4B48">
        <w:t xml:space="preserve"> платных услуг населению (-6,5%)</w:t>
      </w:r>
      <w:r w:rsidR="006807D0">
        <w:t>,</w:t>
      </w:r>
      <w:r w:rsidRPr="00DA4B48">
        <w:t xml:space="preserve"> инвестици</w:t>
      </w:r>
      <w:r>
        <w:t>ям</w:t>
      </w:r>
      <w:r w:rsidRPr="00DA4B48">
        <w:t xml:space="preserve"> в основной капитал </w:t>
      </w:r>
      <w:r>
        <w:t xml:space="preserve">(-0,6%), реальным </w:t>
      </w:r>
      <w:r w:rsidRPr="00DA4B48">
        <w:t>денежны</w:t>
      </w:r>
      <w:r>
        <w:t>м</w:t>
      </w:r>
      <w:r w:rsidRPr="00DA4B48">
        <w:t xml:space="preserve"> доход</w:t>
      </w:r>
      <w:r>
        <w:t>ам</w:t>
      </w:r>
      <w:r w:rsidRPr="00DA4B48">
        <w:t xml:space="preserve"> населения (-3,3%). Также прогнозируется снижение среднегодовой численности занятых в экономике на 6,9 тыс. чел. (-0,6%). </w:t>
      </w:r>
    </w:p>
    <w:p w:rsidR="00CD1B94" w:rsidRPr="00DA4B48" w:rsidRDefault="00CD1B94" w:rsidP="00CD1B94">
      <w:pPr>
        <w:pStyle w:val="2"/>
        <w:spacing w:after="0" w:line="240" w:lineRule="auto"/>
        <w:ind w:firstLine="680"/>
        <w:jc w:val="both"/>
      </w:pPr>
      <w:r w:rsidRPr="00DA4B48">
        <w:t>На 2018 год п</w:t>
      </w:r>
      <w:r>
        <w:t xml:space="preserve">о большинству </w:t>
      </w:r>
      <w:r w:rsidRPr="00DA4B48">
        <w:t>макроэкономически</w:t>
      </w:r>
      <w:r>
        <w:t>х</w:t>
      </w:r>
      <w:r w:rsidRPr="00DA4B48">
        <w:t xml:space="preserve"> показател</w:t>
      </w:r>
      <w:r>
        <w:t>ей</w:t>
      </w:r>
      <w:r w:rsidRPr="00DA4B48">
        <w:t xml:space="preserve"> предусмотрен рост в сопоставимой оценке к 2017 году. Снижение наблюдается по объему продукции сельского хозяйства (индекс производства продукции сельского хозяйства запланирован со снижением на 5,8%), </w:t>
      </w:r>
      <w:r>
        <w:t xml:space="preserve">темпу роста реальных </w:t>
      </w:r>
      <w:r w:rsidRPr="00DA4B48">
        <w:t>денежны</w:t>
      </w:r>
      <w:r>
        <w:t>х</w:t>
      </w:r>
      <w:r w:rsidRPr="00DA4B48">
        <w:t xml:space="preserve"> доход</w:t>
      </w:r>
      <w:r>
        <w:t>ов</w:t>
      </w:r>
      <w:r w:rsidRPr="00DA4B48">
        <w:t xml:space="preserve"> населения (-0,9%), среднегодовой численности занятых в экономике </w:t>
      </w:r>
      <w:r w:rsidR="006807D0">
        <w:t>-</w:t>
      </w:r>
      <w:r w:rsidRPr="00DA4B48">
        <w:t xml:space="preserve"> на 0,2 тыс. чел., объем</w:t>
      </w:r>
      <w:r>
        <w:t>у экспорта</w:t>
      </w:r>
      <w:r w:rsidRPr="00DA4B48">
        <w:t xml:space="preserve"> товаров </w:t>
      </w:r>
      <w:r w:rsidR="006807D0">
        <w:t>-</w:t>
      </w:r>
      <w:r w:rsidRPr="00DA4B48">
        <w:t xml:space="preserve"> на 2</w:t>
      </w:r>
      <w:r>
        <w:t>8,7</w:t>
      </w:r>
      <w:r w:rsidRPr="00DA4B48">
        <w:t xml:space="preserve"> млн. долл. США</w:t>
      </w:r>
      <w:r>
        <w:t xml:space="preserve"> (-1,8%)</w:t>
      </w:r>
      <w:r w:rsidRPr="00DA4B48">
        <w:t xml:space="preserve">. </w:t>
      </w:r>
    </w:p>
    <w:p w:rsidR="00CD1B94" w:rsidRDefault="00CD1B94" w:rsidP="00CD1B94">
      <w:pPr>
        <w:ind w:firstLine="720"/>
        <w:jc w:val="both"/>
        <w:rPr>
          <w:rFonts w:cs="Arial"/>
        </w:rPr>
      </w:pPr>
      <w:r w:rsidRPr="00BC428A">
        <w:t>Определяющее влияние на формирование индекса производства продукции сельского хозяйства оказывает производство продукции растениеводства, котор</w:t>
      </w:r>
      <w:r>
        <w:t>ое</w:t>
      </w:r>
      <w:r w:rsidRPr="00BC428A">
        <w:t xml:space="preserve"> составляет </w:t>
      </w:r>
      <w:r>
        <w:t>более</w:t>
      </w:r>
      <w:r w:rsidRPr="00BC428A">
        <w:t xml:space="preserve"> 70% валовой продукции сельского хозяйства. </w:t>
      </w:r>
      <w:r w:rsidRPr="003B622A">
        <w:t>В 2016 году сложился существенный рост указанного показателя (116,9%), в 2017 году ожидается также рост продукции растениеводства на 6,7%, что объясняется благоприятными погодными условиями, сложившимися в 2016-2017 годах. Так, в</w:t>
      </w:r>
      <w:r w:rsidRPr="003B622A">
        <w:rPr>
          <w:rFonts w:cs="Arial"/>
        </w:rPr>
        <w:t xml:space="preserve">аловой сбор зерновых и зернобобовых культур (без кукурузы) на 01.10.2017 составил 5423,5 тыс. тонн (в первоначально-оприходованном весе), или 127,6% к аналогичной дате предыдущего года. </w:t>
      </w:r>
    </w:p>
    <w:p w:rsidR="00CD1B94" w:rsidRPr="003B622A" w:rsidRDefault="00CD1B94" w:rsidP="00CD1B94">
      <w:pPr>
        <w:ind w:firstLine="720"/>
        <w:jc w:val="both"/>
      </w:pPr>
      <w:r w:rsidRPr="003B622A">
        <w:t>С учетом погодных условий предыдущих лет абсолютный показатель объема сельскохозяйственной продукции на 201</w:t>
      </w:r>
      <w:r>
        <w:t>8</w:t>
      </w:r>
      <w:r w:rsidRPr="003B622A">
        <w:t xml:space="preserve"> год незначительно снижен (на </w:t>
      </w:r>
      <w:r>
        <w:t>1000 млн. руб.)</w:t>
      </w:r>
      <w:r w:rsidRPr="003B622A">
        <w:t>, что повлияло на уменьшение индекса производства.</w:t>
      </w:r>
      <w:r>
        <w:t xml:space="preserve"> На 2019-2020 годы запланирован рост указанного показателя.</w:t>
      </w:r>
    </w:p>
    <w:p w:rsidR="00CD1B94" w:rsidRPr="002E3067" w:rsidRDefault="00CD1B94" w:rsidP="00CD1B94">
      <w:pPr>
        <w:ind w:firstLine="720"/>
        <w:jc w:val="both"/>
        <w:rPr>
          <w:bCs/>
          <w:szCs w:val="28"/>
        </w:rPr>
      </w:pPr>
      <w:r w:rsidRPr="002E3067">
        <w:rPr>
          <w:bCs/>
          <w:szCs w:val="28"/>
        </w:rPr>
        <w:t>Снижение реальных денежных доходов населения связано с ростом цен на товары и услуги (индекс потребительских цен на 2017 и 2018 год предусмотрен в размере 105</w:t>
      </w:r>
      <w:r w:rsidR="000E1F6C">
        <w:rPr>
          <w:bCs/>
          <w:szCs w:val="28"/>
        </w:rPr>
        <w:t>%</w:t>
      </w:r>
      <w:r w:rsidRPr="002E3067">
        <w:rPr>
          <w:bCs/>
          <w:szCs w:val="28"/>
        </w:rPr>
        <w:t xml:space="preserve"> и 103,8%). При этом по денежным доходам населения запланирован рост на 2017-2020 годы.</w:t>
      </w:r>
    </w:p>
    <w:p w:rsidR="00CD1B94" w:rsidRPr="003C0772" w:rsidRDefault="00CD1B94" w:rsidP="00CD1B94">
      <w:pPr>
        <w:ind w:firstLine="720"/>
        <w:jc w:val="both"/>
        <w:rPr>
          <w:bCs/>
          <w:szCs w:val="28"/>
        </w:rPr>
      </w:pPr>
      <w:r w:rsidRPr="003C0772">
        <w:t>На</w:t>
      </w:r>
      <w:r>
        <w:t xml:space="preserve"> уменьшение</w:t>
      </w:r>
      <w:r w:rsidRPr="003C0772">
        <w:t xml:space="preserve"> среднегодовой численности занятых в экономике оказывает влияние </w:t>
      </w:r>
      <w:r w:rsidRPr="003C0772">
        <w:rPr>
          <w:bCs/>
          <w:szCs w:val="28"/>
        </w:rPr>
        <w:t>тенденция к снижению численности насе</w:t>
      </w:r>
      <w:r>
        <w:rPr>
          <w:bCs/>
          <w:szCs w:val="28"/>
        </w:rPr>
        <w:t>ления в трудоспособном возрасте - п</w:t>
      </w:r>
      <w:r w:rsidRPr="003C0772">
        <w:rPr>
          <w:bCs/>
          <w:szCs w:val="28"/>
        </w:rPr>
        <w:t xml:space="preserve">рогнозируется снижение численности экономически активного населения с 1308 тыс. чел. в 2015 году до 1265,1 тыс. чел. в 2018 году, или на 42,9 тыс. чел. (-3,3%), на что оказывает влияние </w:t>
      </w:r>
      <w:r>
        <w:rPr>
          <w:bCs/>
          <w:szCs w:val="28"/>
        </w:rPr>
        <w:t>уменьшение</w:t>
      </w:r>
      <w:r w:rsidRPr="003C0772">
        <w:rPr>
          <w:bCs/>
          <w:szCs w:val="28"/>
        </w:rPr>
        <w:t xml:space="preserve"> естественного и миграционного прироста населения.</w:t>
      </w:r>
    </w:p>
    <w:p w:rsidR="00CD1B94" w:rsidRDefault="00CD1B94" w:rsidP="00CD1B94">
      <w:pPr>
        <w:pStyle w:val="af4"/>
        <w:spacing w:before="0" w:beforeAutospacing="0" w:after="0" w:afterAutospacing="0"/>
        <w:ind w:firstLine="680"/>
        <w:jc w:val="both"/>
        <w:rPr>
          <w:b/>
          <w:color w:val="76923C" w:themeColor="accent3" w:themeShade="BF"/>
        </w:rPr>
      </w:pPr>
    </w:p>
    <w:p w:rsidR="00195375" w:rsidRDefault="00195375" w:rsidP="00CD1B94">
      <w:pPr>
        <w:pStyle w:val="af4"/>
        <w:spacing w:before="0" w:beforeAutospacing="0" w:after="0" w:afterAutospacing="0"/>
        <w:ind w:firstLine="680"/>
        <w:jc w:val="both"/>
        <w:rPr>
          <w:b/>
          <w:color w:val="76923C" w:themeColor="accent3" w:themeShade="BF"/>
        </w:rPr>
      </w:pPr>
    </w:p>
    <w:p w:rsidR="00CD1B94" w:rsidRPr="00BB2D8D" w:rsidRDefault="00CD1B94" w:rsidP="00CD1B94">
      <w:pPr>
        <w:pStyle w:val="af4"/>
        <w:spacing w:before="0" w:beforeAutospacing="0" w:after="0" w:afterAutospacing="0"/>
        <w:ind w:firstLine="680"/>
        <w:jc w:val="both"/>
      </w:pPr>
      <w:r w:rsidRPr="00613CC8">
        <w:rPr>
          <w:b/>
          <w:i/>
        </w:rPr>
        <w:t>Анализ</w:t>
      </w:r>
      <w:r w:rsidRPr="00613CC8">
        <w:rPr>
          <w:i/>
        </w:rPr>
        <w:t xml:space="preserve"> </w:t>
      </w:r>
      <w:r w:rsidRPr="00613CC8">
        <w:rPr>
          <w:b/>
          <w:i/>
        </w:rPr>
        <w:t>достоверности основных показателей социально-экономического развития на 2018-2020</w:t>
      </w:r>
      <w:r w:rsidRPr="00613CC8">
        <w:rPr>
          <w:i/>
        </w:rPr>
        <w:t xml:space="preserve"> </w:t>
      </w:r>
      <w:r w:rsidRPr="00613CC8">
        <w:rPr>
          <w:b/>
          <w:i/>
        </w:rPr>
        <w:t>годы</w:t>
      </w:r>
      <w:r w:rsidRPr="00BB2D8D">
        <w:rPr>
          <w:b/>
          <w:i/>
        </w:rPr>
        <w:t xml:space="preserve"> </w:t>
      </w:r>
      <w:r w:rsidRPr="00BB2D8D">
        <w:t>показал следующее.</w:t>
      </w:r>
    </w:p>
    <w:p w:rsidR="00CD1B94" w:rsidRPr="009376BF" w:rsidRDefault="00CD1B94" w:rsidP="00CD1B94">
      <w:pPr>
        <w:pStyle w:val="af4"/>
        <w:spacing w:before="0" w:beforeAutospacing="0" w:after="0" w:afterAutospacing="0"/>
        <w:ind w:firstLine="680"/>
        <w:jc w:val="both"/>
      </w:pPr>
      <w:r w:rsidRPr="009376BF">
        <w:t>В основном оценка параметров ключевых показателей социально-экономического развития Волгоградской области соответствует наблюдаемой с начала 2017 года тенденции изменения этих показателей с учетом текущих статистических данных Волгоградстата.</w:t>
      </w:r>
    </w:p>
    <w:p w:rsidR="00CD1B94" w:rsidRPr="001102FF" w:rsidRDefault="00CD1B94" w:rsidP="00CD1B94">
      <w:pPr>
        <w:pStyle w:val="af4"/>
        <w:spacing w:before="0" w:beforeAutospacing="0" w:after="0" w:afterAutospacing="0"/>
        <w:ind w:firstLine="680"/>
        <w:jc w:val="both"/>
      </w:pPr>
      <w:r w:rsidRPr="001102FF">
        <w:t xml:space="preserve">Вместе с тем, </w:t>
      </w:r>
      <w:r w:rsidRPr="004F7EA2">
        <w:rPr>
          <w:b/>
          <w:i/>
        </w:rPr>
        <w:t>по мнению КСП</w:t>
      </w:r>
      <w:r w:rsidR="004F7EA2" w:rsidRPr="004F7EA2">
        <w:rPr>
          <w:b/>
          <w:i/>
        </w:rPr>
        <w:t>,</w:t>
      </w:r>
      <w:r w:rsidRPr="004F7EA2">
        <w:rPr>
          <w:b/>
          <w:i/>
        </w:rPr>
        <w:t xml:space="preserve"> показатель</w:t>
      </w:r>
      <w:r w:rsidRPr="004F7EA2">
        <w:rPr>
          <w:b/>
        </w:rPr>
        <w:t xml:space="preserve"> </w:t>
      </w:r>
      <w:r w:rsidRPr="004F7EA2">
        <w:rPr>
          <w:b/>
          <w:i/>
        </w:rPr>
        <w:t>прибыли прибыльных организаций</w:t>
      </w:r>
      <w:r w:rsidRPr="004F7EA2">
        <w:rPr>
          <w:b/>
        </w:rPr>
        <w:t xml:space="preserve"> </w:t>
      </w:r>
      <w:r w:rsidRPr="004F7EA2">
        <w:t xml:space="preserve">(по полному кругу организаций) </w:t>
      </w:r>
      <w:r w:rsidRPr="004F7EA2">
        <w:rPr>
          <w:b/>
          <w:i/>
        </w:rPr>
        <w:t>завышен по оценке 2017 года</w:t>
      </w:r>
      <w:r>
        <w:t>. По указанному показателю</w:t>
      </w:r>
      <w:r w:rsidRPr="001102FF">
        <w:t xml:space="preserve"> планируется рост на 5,3% (прибыль составит 99100 млн. руб.). </w:t>
      </w:r>
    </w:p>
    <w:p w:rsidR="00CD1B94" w:rsidRDefault="00CD1B94" w:rsidP="00CD1B94">
      <w:pPr>
        <w:pStyle w:val="af4"/>
        <w:spacing w:before="0" w:beforeAutospacing="0" w:after="0" w:afterAutospacing="0"/>
        <w:ind w:firstLine="680"/>
        <w:jc w:val="both"/>
        <w:rPr>
          <w:rFonts w:cs="Arial"/>
        </w:rPr>
      </w:pPr>
      <w:r w:rsidRPr="001D23CE">
        <w:t xml:space="preserve">В 2015-2016 годах наметилась тенденция снижения </w:t>
      </w:r>
      <w:r>
        <w:t>сальдированного финансового результата (прибыль минус убыток)</w:t>
      </w:r>
      <w:r w:rsidRPr="001D23CE">
        <w:t>. Согласно статистическим данным за 2016 г</w:t>
      </w:r>
      <w:r w:rsidR="004F7EA2">
        <w:t>од</w:t>
      </w:r>
      <w:r w:rsidRPr="001D23CE">
        <w:t xml:space="preserve"> сальдированный финансовый результат организаций Волгоградской области (без субъектов малого предпринимательства, банков, страховых организаций, государственных, муниципальных учреждений) составил 46565 млн. руб. (- 8609 млн. руб. к 2015 году), за 2015 год – 55174,0 млн. руб. (-10572,0 млн. руб. к 2014 году). </w:t>
      </w:r>
      <w:r>
        <w:t xml:space="preserve">При этом в 2016 году наблюдается снижение прибыли крупных и средних предприятий - </w:t>
      </w:r>
      <w:r w:rsidRPr="001D23CE">
        <w:rPr>
          <w:rFonts w:cs="Arial"/>
        </w:rPr>
        <w:t>497 организаций получили прибыль в размере 56584 млн. руб</w:t>
      </w:r>
      <w:r>
        <w:rPr>
          <w:rFonts w:cs="Arial"/>
        </w:rPr>
        <w:t>., что ниже показателя 2015 года</w:t>
      </w:r>
      <w:r w:rsidR="00F6286B">
        <w:rPr>
          <w:rFonts w:cs="Arial"/>
        </w:rPr>
        <w:t xml:space="preserve"> (96684 млн. руб.) на 42 процента</w:t>
      </w:r>
      <w:r>
        <w:rPr>
          <w:rFonts w:cs="Arial"/>
        </w:rPr>
        <w:t xml:space="preserve">. </w:t>
      </w:r>
      <w:r w:rsidRPr="001D23CE">
        <w:rPr>
          <w:rFonts w:cs="Arial"/>
        </w:rPr>
        <w:t>Значительное снижение прибыли отмечено в производстве нефтепродуктов</w:t>
      </w:r>
      <w:r w:rsidR="004F7EA2">
        <w:rPr>
          <w:rFonts w:cs="Arial"/>
        </w:rPr>
        <w:t>,</w:t>
      </w:r>
      <w:r w:rsidRPr="001D23CE">
        <w:rPr>
          <w:rFonts w:cs="Arial"/>
        </w:rPr>
        <w:t xml:space="preserve"> металлургическом производстве и производстве готовых металлических изделий</w:t>
      </w:r>
      <w:r w:rsidR="004F7EA2">
        <w:rPr>
          <w:rFonts w:cs="Arial"/>
        </w:rPr>
        <w:t>,</w:t>
      </w:r>
      <w:r w:rsidRPr="001D23CE">
        <w:rPr>
          <w:rFonts w:cs="Arial"/>
        </w:rPr>
        <w:t xml:space="preserve"> производстве пищевых продуктов, включая напитки, и табака. </w:t>
      </w:r>
    </w:p>
    <w:p w:rsidR="00CD1B94" w:rsidRPr="001102FF" w:rsidRDefault="00CD1B94" w:rsidP="00CD1B94">
      <w:pPr>
        <w:pStyle w:val="af4"/>
        <w:spacing w:before="0" w:beforeAutospacing="0" w:after="0" w:afterAutospacing="0"/>
        <w:ind w:firstLine="680"/>
        <w:jc w:val="both"/>
      </w:pPr>
      <w:r>
        <w:rPr>
          <w:rFonts w:cs="Arial"/>
        </w:rPr>
        <w:t>Согласно Предварительным итогам СЭР в</w:t>
      </w:r>
      <w:r w:rsidRPr="001102FF">
        <w:t xml:space="preserve"> 2016 году прибыль</w:t>
      </w:r>
      <w:r>
        <w:t xml:space="preserve"> прибыльных предприятий по полному кругу организаций </w:t>
      </w:r>
      <w:r w:rsidRPr="001102FF">
        <w:t>снижена на 28,2 процента.</w:t>
      </w:r>
    </w:p>
    <w:p w:rsidR="00CD1B94" w:rsidRDefault="00CD1B94" w:rsidP="00CD1B94">
      <w:pPr>
        <w:pStyle w:val="af4"/>
        <w:spacing w:before="0" w:beforeAutospacing="0" w:after="0" w:afterAutospacing="0"/>
        <w:ind w:firstLine="680"/>
        <w:jc w:val="both"/>
        <w:rPr>
          <w:rFonts w:cs="Arial"/>
        </w:rPr>
      </w:pPr>
      <w:r>
        <w:rPr>
          <w:rFonts w:cs="Arial"/>
        </w:rPr>
        <w:t xml:space="preserve">По данным </w:t>
      </w:r>
      <w:r w:rsidRPr="001D23CE">
        <w:rPr>
          <w:rFonts w:cs="Arial"/>
        </w:rPr>
        <w:t>Отчет</w:t>
      </w:r>
      <w:r>
        <w:rPr>
          <w:rFonts w:cs="Arial"/>
        </w:rPr>
        <w:t>а</w:t>
      </w:r>
      <w:r w:rsidRPr="001D23CE">
        <w:rPr>
          <w:rFonts w:cs="Arial"/>
        </w:rPr>
        <w:t xml:space="preserve"> о налоговой базе и структуре начислений по налогу на прибыль организаций (форма №5-П) также наблюдается снижение налоговой базы по налогу на прибыль организаций, что представлено на диаграмме.</w:t>
      </w:r>
    </w:p>
    <w:p w:rsidR="00CD1B94" w:rsidRDefault="00CD1B94" w:rsidP="00CD1B94">
      <w:pPr>
        <w:pStyle w:val="af4"/>
        <w:spacing w:before="0" w:beforeAutospacing="0" w:after="0" w:afterAutospacing="0"/>
        <w:ind w:firstLine="680"/>
        <w:jc w:val="both"/>
        <w:rPr>
          <w:rFonts w:cs="Arial"/>
        </w:rPr>
      </w:pPr>
    </w:p>
    <w:p w:rsidR="00CD1B94" w:rsidRDefault="00CD1B94" w:rsidP="00CD1B94">
      <w:pPr>
        <w:pStyle w:val="af4"/>
        <w:spacing w:before="0" w:beforeAutospacing="0" w:after="0" w:afterAutospacing="0"/>
        <w:jc w:val="both"/>
        <w:rPr>
          <w:rFonts w:cs="Arial"/>
          <w:i/>
          <w:sz w:val="22"/>
          <w:szCs w:val="22"/>
        </w:rPr>
      </w:pPr>
      <w:r w:rsidRPr="00F30662">
        <w:rPr>
          <w:rFonts w:cs="Arial"/>
          <w:i/>
          <w:noProof/>
          <w:sz w:val="22"/>
          <w:szCs w:val="22"/>
        </w:rPr>
        <w:drawing>
          <wp:inline distT="0" distB="0" distL="0" distR="0">
            <wp:extent cx="6144810" cy="2593074"/>
            <wp:effectExtent l="57150" t="19050" r="4644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D1B94" w:rsidRDefault="00CD1B94" w:rsidP="00CD1B94">
      <w:pPr>
        <w:pStyle w:val="af4"/>
        <w:spacing w:before="0" w:beforeAutospacing="0" w:after="0" w:afterAutospacing="0"/>
        <w:ind w:firstLine="680"/>
        <w:jc w:val="both"/>
        <w:rPr>
          <w:rFonts w:cs="Arial"/>
          <w:i/>
          <w:sz w:val="22"/>
          <w:szCs w:val="22"/>
        </w:rPr>
      </w:pPr>
    </w:p>
    <w:p w:rsidR="00CD1B94" w:rsidRPr="00F05645" w:rsidRDefault="00CD1B94" w:rsidP="00CD1B94">
      <w:pPr>
        <w:ind w:firstLine="680"/>
        <w:jc w:val="both"/>
        <w:rPr>
          <w:bCs/>
        </w:rPr>
      </w:pPr>
      <w:r w:rsidRPr="00F05645">
        <w:rPr>
          <w:bCs/>
        </w:rPr>
        <w:t xml:space="preserve">Из диаграммы видно, что за 2016 год в сравнении с предыдущим годом налоговая база уменьшилась на 12,8%, за </w:t>
      </w:r>
      <w:r w:rsidRPr="00F05645">
        <w:rPr>
          <w:bCs/>
          <w:lang w:val="en-US"/>
        </w:rPr>
        <w:t>I</w:t>
      </w:r>
      <w:r w:rsidRPr="00F05645">
        <w:rPr>
          <w:bCs/>
        </w:rPr>
        <w:t xml:space="preserve">  полугодие 2017 года в сравнении с </w:t>
      </w:r>
      <w:r w:rsidRPr="00F05645">
        <w:rPr>
          <w:bCs/>
          <w:lang w:val="en-US"/>
        </w:rPr>
        <w:t>I</w:t>
      </w:r>
      <w:r w:rsidRPr="00F05645">
        <w:rPr>
          <w:bCs/>
        </w:rPr>
        <w:t xml:space="preserve">  полугодием 2015 года снижение составило 36,4 процента.</w:t>
      </w:r>
    </w:p>
    <w:p w:rsidR="00CD1B94" w:rsidRPr="001F0463" w:rsidRDefault="00CD1B94" w:rsidP="00CD1B94">
      <w:pPr>
        <w:ind w:firstLine="709"/>
        <w:jc w:val="both"/>
      </w:pPr>
      <w:r>
        <w:t>Согласно статистическим данным з</w:t>
      </w:r>
      <w:r w:rsidRPr="005B2AFC">
        <w:t>а январь-август 2017 года в сравнении с аналогичным периодом прошлого года наблюдается снижение прибыли крупных и средних предприятий в действующих ценах на 0,8% (прибыль составила 42926,9 млн. руб.)</w:t>
      </w:r>
      <w:r>
        <w:t>, которое отмечается</w:t>
      </w:r>
      <w:r w:rsidRPr="005B2AFC">
        <w:rPr>
          <w:rFonts w:cs="Arial"/>
        </w:rPr>
        <w:t xml:space="preserve"> в сельском хозяйстве, добыче полезных ископаемых, производстве пищевых продуктов, производстве химических веществ и химических продуктов, резиновых и пластмассовых изделий, металлургическом производстве, в области информации и связи, торговле и в ряде других видов деятельности.</w:t>
      </w:r>
      <w:r>
        <w:rPr>
          <w:rFonts w:cs="Arial"/>
        </w:rPr>
        <w:t xml:space="preserve"> </w:t>
      </w:r>
      <w:r w:rsidRPr="001F0463">
        <w:t xml:space="preserve">Вместе с тем из текстовой части Прогноза </w:t>
      </w:r>
      <w:r w:rsidRPr="001F0463">
        <w:lastRenderedPageBreak/>
        <w:t>СЭР не усматривается за счет чего прогнозируется увеличение показателя прибыли на 2017</w:t>
      </w:r>
      <w:r w:rsidR="003E22C4">
        <w:t xml:space="preserve"> и </w:t>
      </w:r>
      <w:r w:rsidRPr="001F0463">
        <w:t>2018 годы соответственно на 5,3 и 1,1 процента.</w:t>
      </w:r>
    </w:p>
    <w:p w:rsidR="00CD1B94" w:rsidRDefault="00C438F7" w:rsidP="00CD1B94">
      <w:pPr>
        <w:pStyle w:val="a7"/>
        <w:spacing w:after="0"/>
        <w:ind w:firstLine="567"/>
        <w:jc w:val="both"/>
      </w:pPr>
      <w:r>
        <w:tab/>
      </w:r>
      <w:r w:rsidR="00CD1B94" w:rsidRPr="00CA7098">
        <w:t xml:space="preserve">Проведенный </w:t>
      </w:r>
      <w:r w:rsidR="00CD1B94" w:rsidRPr="00CA7098">
        <w:rPr>
          <w:b/>
          <w:i/>
        </w:rPr>
        <w:t>сравнительный анализ основных макроэкономических показателей развития Российской Федерации и Волгоградской области</w:t>
      </w:r>
      <w:r w:rsidR="00CD1B94" w:rsidRPr="00CA7098">
        <w:t xml:space="preserve"> </w:t>
      </w:r>
      <w:r w:rsidR="00CD1B94" w:rsidRPr="004F7EA2">
        <w:rPr>
          <w:b/>
          <w:i/>
          <w:u w:val="single"/>
        </w:rPr>
        <w:t>(приложение №</w:t>
      </w:r>
      <w:r w:rsidR="004F7EA2">
        <w:rPr>
          <w:b/>
          <w:i/>
          <w:u w:val="single"/>
        </w:rPr>
        <w:t>3</w:t>
      </w:r>
      <w:r w:rsidR="00CD1B94" w:rsidRPr="004F7EA2">
        <w:rPr>
          <w:b/>
          <w:i/>
          <w:u w:val="single"/>
        </w:rPr>
        <w:t>)</w:t>
      </w:r>
      <w:r w:rsidR="00CD1B94" w:rsidRPr="00CA7098">
        <w:t xml:space="preserve"> показал, что по оценке на 201</w:t>
      </w:r>
      <w:r w:rsidR="00CD1B94">
        <w:t>7</w:t>
      </w:r>
      <w:r w:rsidR="00CD1B94" w:rsidRPr="00CA7098">
        <w:t xml:space="preserve"> год темп роста по </w:t>
      </w:r>
      <w:r w:rsidR="00CD1B94">
        <w:t>4</w:t>
      </w:r>
      <w:r w:rsidR="00CD1B94" w:rsidRPr="00CA7098">
        <w:t>-м показателям (продукци</w:t>
      </w:r>
      <w:r w:rsidR="00CD1B94">
        <w:t>я</w:t>
      </w:r>
      <w:r w:rsidR="00CD1B94" w:rsidRPr="00CA7098">
        <w:t xml:space="preserve"> сельского хозяйства</w:t>
      </w:r>
      <w:r w:rsidR="00CD1B94">
        <w:t xml:space="preserve">, </w:t>
      </w:r>
      <w:r w:rsidR="00CD1B94" w:rsidRPr="00CA7098">
        <w:t>прибыл</w:t>
      </w:r>
      <w:r w:rsidR="00CD1B94">
        <w:t>ь</w:t>
      </w:r>
      <w:r w:rsidR="00CD1B94" w:rsidRPr="00CA7098">
        <w:t xml:space="preserve"> прибыльных организаций</w:t>
      </w:r>
      <w:r w:rsidR="00CD1B94">
        <w:t xml:space="preserve">, уровень безработицы и индекс потребительских цен) опережает показатели Российской Федерации. По другим основным макроэкономическим показателям темп роста сложился </w:t>
      </w:r>
      <w:r w:rsidR="00CD1B94" w:rsidRPr="00CA7098">
        <w:t>ниже среднероссийского уровня</w:t>
      </w:r>
      <w:r w:rsidR="00CD1B94">
        <w:t xml:space="preserve">. </w:t>
      </w:r>
    </w:p>
    <w:p w:rsidR="00CD1B94" w:rsidRDefault="00C438F7" w:rsidP="00CD1B94">
      <w:pPr>
        <w:pStyle w:val="a7"/>
        <w:spacing w:after="0"/>
        <w:ind w:firstLine="567"/>
        <w:jc w:val="both"/>
      </w:pPr>
      <w:r>
        <w:tab/>
      </w:r>
      <w:r w:rsidR="00CD1B94">
        <w:t>Причем положительным моментом является превышение среднероссийского уровня только по двум показателям (</w:t>
      </w:r>
      <w:r w:rsidR="00CD1B94" w:rsidRPr="00CA7098">
        <w:t>продукци</w:t>
      </w:r>
      <w:r w:rsidR="00CD1B94">
        <w:t>я</w:t>
      </w:r>
      <w:r w:rsidR="00CD1B94" w:rsidRPr="00CA7098">
        <w:t xml:space="preserve"> сельского хозяйства</w:t>
      </w:r>
      <w:r w:rsidR="00CD1B94">
        <w:t xml:space="preserve">, </w:t>
      </w:r>
      <w:r w:rsidR="00CD1B94" w:rsidRPr="00CA7098">
        <w:t>прибыл</w:t>
      </w:r>
      <w:r w:rsidR="00CD1B94">
        <w:t>ь</w:t>
      </w:r>
      <w:r w:rsidR="00CD1B94" w:rsidRPr="00CA7098">
        <w:t xml:space="preserve"> прибыльных организаций</w:t>
      </w:r>
      <w:r w:rsidR="00CD1B94">
        <w:t xml:space="preserve">). Уровень безработицы оказывает влияние на недопоступление доходов </w:t>
      </w:r>
      <w:r w:rsidR="004F7EA2">
        <w:t xml:space="preserve">в </w:t>
      </w:r>
      <w:r w:rsidR="00CD1B94">
        <w:t xml:space="preserve">бюджет (в частности НДФЛ), рост бюджетных расходов для </w:t>
      </w:r>
      <w:r w:rsidR="004F7EA2">
        <w:t xml:space="preserve">социальной </w:t>
      </w:r>
      <w:r w:rsidR="00CD1B94">
        <w:rPr>
          <w:rFonts w:ascii="Georgia" w:hAnsi="Georgia"/>
          <w:color w:val="222222"/>
        </w:rPr>
        <w:t>поддержки безработных (выплата пособий, финансирование профессиональной переподготовки и т. д.), снижение уровня жизни, недополучение объемов отгруженных товаров, работ, услуг (в результате неполного использования рабочей силы). П</w:t>
      </w:r>
      <w:r w:rsidR="00CD1B94">
        <w:t>о оценке Администрации Волгоградской области уровень безработицы в 2017 году составит 6,8%, что выше среднероссийского показателя на 1,6 процентных пункта.</w:t>
      </w:r>
    </w:p>
    <w:p w:rsidR="00CD1B94" w:rsidRDefault="00C438F7" w:rsidP="00CD1B94">
      <w:pPr>
        <w:pStyle w:val="a7"/>
        <w:spacing w:after="0"/>
        <w:ind w:firstLine="567"/>
        <w:jc w:val="both"/>
      </w:pPr>
      <w:r>
        <w:tab/>
      </w:r>
      <w:r w:rsidR="00CD1B94">
        <w:t>Индекс потребительских цен, характеризующий уровень инфляции, является важным показателем стоимости жизни населения.</w:t>
      </w:r>
      <w:r w:rsidR="00CD1B94" w:rsidRPr="00541D0D">
        <w:t xml:space="preserve"> </w:t>
      </w:r>
      <w:r w:rsidR="00CD1B94">
        <w:t>По оценке в 2017 году индекс потребительских цен составит 105,5%, что выше показателя по РФ на 1,1 пункта.</w:t>
      </w:r>
    </w:p>
    <w:p w:rsidR="00CD1B94" w:rsidRDefault="00C438F7" w:rsidP="00CD1B94">
      <w:pPr>
        <w:pStyle w:val="a7"/>
        <w:spacing w:after="0"/>
        <w:ind w:firstLine="567"/>
        <w:jc w:val="both"/>
      </w:pPr>
      <w:r>
        <w:tab/>
      </w:r>
      <w:r w:rsidR="00CD1B94">
        <w:t>Как видно из приложения №</w:t>
      </w:r>
      <w:r w:rsidR="00010BE2">
        <w:t>3</w:t>
      </w:r>
      <w:r w:rsidR="00FB0A21">
        <w:t>,</w:t>
      </w:r>
      <w:r w:rsidR="00CD1B94">
        <w:t xml:space="preserve"> н</w:t>
      </w:r>
      <w:r w:rsidR="00CD1B94" w:rsidRPr="00CA7098">
        <w:t>а 201</w:t>
      </w:r>
      <w:r w:rsidR="00CD1B94">
        <w:t>8</w:t>
      </w:r>
      <w:r w:rsidR="00CD1B94" w:rsidRPr="00CA7098">
        <w:t xml:space="preserve"> год п</w:t>
      </w:r>
      <w:r w:rsidR="00CD1B94">
        <w:t xml:space="preserve">рактически по всем показателям </w:t>
      </w:r>
      <w:r w:rsidR="00CD1B94" w:rsidRPr="00CA7098">
        <w:t xml:space="preserve">развития области темпы роста прогнозируются </w:t>
      </w:r>
      <w:r w:rsidR="00CD1B94">
        <w:t>ниже</w:t>
      </w:r>
      <w:r w:rsidR="00CD1B94" w:rsidRPr="00CA7098">
        <w:t xml:space="preserve"> уровня РФ</w:t>
      </w:r>
      <w:r w:rsidR="00CD1B94">
        <w:t xml:space="preserve">, за исключением индекса-дефлятора ВВП (ВРП), уровня безработицы и индекса потребительских цен. </w:t>
      </w:r>
    </w:p>
    <w:p w:rsidR="00CD1B94" w:rsidRDefault="00C438F7" w:rsidP="00CD1B94">
      <w:pPr>
        <w:pStyle w:val="a7"/>
        <w:spacing w:after="0"/>
        <w:ind w:firstLine="567"/>
        <w:jc w:val="both"/>
        <w:rPr>
          <w:color w:val="000000"/>
        </w:rPr>
      </w:pPr>
      <w:r>
        <w:rPr>
          <w:color w:val="000000"/>
        </w:rPr>
        <w:tab/>
      </w:r>
      <w:r w:rsidR="00CD1B94" w:rsidRPr="008016F1">
        <w:rPr>
          <w:color w:val="000000"/>
        </w:rPr>
        <w:t xml:space="preserve">Индекс-дефлятор ВВП является наиболее обобщенным показателем инфляции </w:t>
      </w:r>
      <w:r w:rsidR="00CD1B94">
        <w:rPr>
          <w:color w:val="000000"/>
        </w:rPr>
        <w:t xml:space="preserve">и характеризует </w:t>
      </w:r>
      <w:r w:rsidR="00CD1B94" w:rsidRPr="008016F1">
        <w:rPr>
          <w:color w:val="000000"/>
        </w:rPr>
        <w:t>динамику цен на все товары и услуги как потребительского, так и производственного назначения</w:t>
      </w:r>
      <w:r w:rsidR="00CD1B94">
        <w:rPr>
          <w:color w:val="000000"/>
        </w:rPr>
        <w:t xml:space="preserve">. Индекс-дефлятор ВРП запланирован в размере 104%, что выше российского показателя на 2,5 процентных пункта. </w:t>
      </w:r>
    </w:p>
    <w:p w:rsidR="00CD1B94" w:rsidRDefault="00C438F7" w:rsidP="00CD1B94">
      <w:pPr>
        <w:pStyle w:val="a7"/>
        <w:spacing w:after="0"/>
        <w:ind w:firstLine="567"/>
        <w:jc w:val="both"/>
      </w:pPr>
      <w:r>
        <w:tab/>
      </w:r>
      <w:r w:rsidR="00CD1B94" w:rsidRPr="00CA7098">
        <w:t>На плановый период 201</w:t>
      </w:r>
      <w:r w:rsidR="00CD1B94">
        <w:t>9</w:t>
      </w:r>
      <w:r w:rsidR="00CD1B94" w:rsidRPr="00CA7098">
        <w:t>-20</w:t>
      </w:r>
      <w:r w:rsidR="00CD1B94">
        <w:t>20</w:t>
      </w:r>
      <w:r w:rsidR="00CD1B94" w:rsidRPr="00CA7098">
        <w:t xml:space="preserve"> годов </w:t>
      </w:r>
      <w:r w:rsidR="00CD1B94">
        <w:t>прогнозные показатели</w:t>
      </w:r>
      <w:r w:rsidR="00CD1B94" w:rsidRPr="00922CCF">
        <w:t xml:space="preserve"> </w:t>
      </w:r>
      <w:r w:rsidR="00CD1B94">
        <w:t>в основном предусмотрены ниже среднероссийского уровня. Индекс-дефлятор ВРП в 2019 году превышае</w:t>
      </w:r>
      <w:r>
        <w:t>т российский показатель на 0,2 пункта</w:t>
      </w:r>
      <w:r w:rsidR="00CD1B94">
        <w:t>, уровень безработицы</w:t>
      </w:r>
      <w:r>
        <w:t xml:space="preserve"> -</w:t>
      </w:r>
      <w:r w:rsidR="00CD1B94">
        <w:t xml:space="preserve"> на 1 </w:t>
      </w:r>
      <w:r>
        <w:t>пункт</w:t>
      </w:r>
      <w:r w:rsidR="00CD1B94">
        <w:t xml:space="preserve"> в 2019 году и 1,1 </w:t>
      </w:r>
      <w:r>
        <w:t>пункта</w:t>
      </w:r>
      <w:r w:rsidR="00CD1B94">
        <w:t xml:space="preserve"> в 2020 году.</w:t>
      </w:r>
    </w:p>
    <w:p w:rsidR="00CD1B94" w:rsidRPr="00EB4E89" w:rsidRDefault="00CD1B94" w:rsidP="00CD1B94">
      <w:pPr>
        <w:ind w:firstLine="680"/>
        <w:jc w:val="both"/>
      </w:pPr>
      <w:r>
        <w:t>Следует отметить, что по итогам рейтинга</w:t>
      </w:r>
      <w:r w:rsidRPr="00690B16">
        <w:t xml:space="preserve"> социально-экономического положения субъектов РФ</w:t>
      </w:r>
      <w:r>
        <w:t xml:space="preserve"> за 2016 год</w:t>
      </w:r>
      <w:r w:rsidRPr="00690B16">
        <w:t xml:space="preserve"> </w:t>
      </w:r>
      <w:r>
        <w:t xml:space="preserve">позиция нашего региона ухудшилась - </w:t>
      </w:r>
      <w:r w:rsidRPr="00B00FF9">
        <w:t>Волгоградская область</w:t>
      </w:r>
      <w:r w:rsidR="00010BE2">
        <w:t>, хотя и осталась в первой половине из 85 субъектов РФ, но</w:t>
      </w:r>
      <w:r w:rsidRPr="00B00FF9">
        <w:t xml:space="preserve"> зан</w:t>
      </w:r>
      <w:r w:rsidR="00010BE2">
        <w:t>яла</w:t>
      </w:r>
      <w:r>
        <w:t xml:space="preserve"> 39 место</w:t>
      </w:r>
      <w:r w:rsidR="00010BE2">
        <w:t xml:space="preserve"> вместо 34</w:t>
      </w:r>
      <w:r w:rsidR="00640FDD">
        <w:t>, которое занимала</w:t>
      </w:r>
      <w:r>
        <w:t xml:space="preserve"> </w:t>
      </w:r>
      <w:r w:rsidRPr="00B00FF9">
        <w:t>по итогам 201</w:t>
      </w:r>
      <w:r>
        <w:t>5</w:t>
      </w:r>
      <w:r w:rsidRPr="00B00FF9">
        <w:t xml:space="preserve"> года.</w:t>
      </w:r>
      <w:r>
        <w:t xml:space="preserve"> </w:t>
      </w:r>
      <w:r w:rsidRPr="00EB4E89">
        <w:t>При проведении указанного рейтинга оценивались показатели, характеризующие масштаб экономики (объем производства товаров и услуг, объем доходов консолидированного бюджета, численность занятых в экономике), эффективность экономики (объем производства товаров и услуг на душу населения, объем инвестиций на душу населения, доля прибыльных предприятий, доля задолженности по налогам в суммарном объеме налоговых платежей), бюджетную сферу (объем доходов консолидированного бюджета на одного жителя, доля налоговых и неналоговых доходов в общем объеме доходов консолидированного бюджета, отношение профицита/дефицита консолидированного бюджета к объему налоговых и неналоговых доходов, отношение государственного и муниципального долга к объему налоговых и неналоговых доходов консолидированного бюджета)</w:t>
      </w:r>
      <w:r>
        <w:t xml:space="preserve"> и</w:t>
      </w:r>
      <w:r w:rsidRPr="00EB4E89">
        <w:t xml:space="preserve"> социальную сферу (отношение денежных доходов населения к стоимости фиксированного набора товаров и услуг, уровень безработицы, ожидаемая продолжительность жизни при рождении, уровень младенческой смерти). Ведущие позиции в рейтинге занимают г</w:t>
      </w:r>
      <w:r w:rsidR="000F0D40">
        <w:t xml:space="preserve">орода Москва, </w:t>
      </w:r>
      <w:r w:rsidRPr="00EB4E89">
        <w:t>Санкт-Петербург, Ханты-Мансийский авт</w:t>
      </w:r>
      <w:r w:rsidR="000F0D40">
        <w:t>ономный</w:t>
      </w:r>
      <w:r w:rsidRPr="00EB4E89">
        <w:t xml:space="preserve"> округ</w:t>
      </w:r>
      <w:r w:rsidR="00195375">
        <w:t xml:space="preserve"> </w:t>
      </w:r>
      <w:r w:rsidR="000F0D40">
        <w:t>-</w:t>
      </w:r>
      <w:r w:rsidR="00195375">
        <w:t xml:space="preserve"> </w:t>
      </w:r>
      <w:r w:rsidRPr="00EB4E89">
        <w:t>Югра, Московская область, Республика Татарстан, Ямало-Ненецкий автономный округ</w:t>
      </w:r>
      <w:r>
        <w:rPr>
          <w:sz w:val="20"/>
          <w:szCs w:val="20"/>
        </w:rPr>
        <w:t>,</w:t>
      </w:r>
      <w:r w:rsidRPr="00EB4E89">
        <w:t xml:space="preserve"> </w:t>
      </w:r>
      <w:r>
        <w:t xml:space="preserve">Ленинградская область, </w:t>
      </w:r>
      <w:r w:rsidRPr="00EB4E89">
        <w:t>Республика Башкортостан</w:t>
      </w:r>
      <w:r>
        <w:t xml:space="preserve">, </w:t>
      </w:r>
      <w:r w:rsidRPr="00EB4E89">
        <w:t xml:space="preserve">Сахалинская, </w:t>
      </w:r>
      <w:r>
        <w:t>Тюменская, Свердловская области</w:t>
      </w:r>
      <w:r w:rsidRPr="00EB4E89">
        <w:t>.</w:t>
      </w:r>
    </w:p>
    <w:p w:rsidR="009D7071" w:rsidRDefault="009D7071" w:rsidP="00D45F41">
      <w:pPr>
        <w:pStyle w:val="11"/>
        <w:ind w:firstLine="708"/>
        <w:jc w:val="center"/>
        <w:rPr>
          <w:b/>
          <w:i/>
          <w:sz w:val="24"/>
          <w:szCs w:val="24"/>
        </w:rPr>
      </w:pPr>
    </w:p>
    <w:p w:rsidR="00195375" w:rsidRDefault="00195375" w:rsidP="00D45F41">
      <w:pPr>
        <w:pStyle w:val="11"/>
        <w:ind w:firstLine="708"/>
        <w:jc w:val="center"/>
        <w:rPr>
          <w:b/>
          <w:i/>
          <w:sz w:val="24"/>
          <w:szCs w:val="24"/>
        </w:rPr>
      </w:pPr>
    </w:p>
    <w:p w:rsidR="00EF3CC9" w:rsidRPr="00A27310" w:rsidRDefault="00387CD9" w:rsidP="00D45F41">
      <w:pPr>
        <w:pStyle w:val="11"/>
        <w:ind w:firstLine="708"/>
        <w:jc w:val="center"/>
        <w:rPr>
          <w:b/>
          <w:i/>
          <w:sz w:val="24"/>
          <w:szCs w:val="24"/>
        </w:rPr>
      </w:pPr>
      <w:r w:rsidRPr="00A27310">
        <w:rPr>
          <w:b/>
          <w:i/>
          <w:sz w:val="24"/>
          <w:szCs w:val="24"/>
        </w:rPr>
        <w:lastRenderedPageBreak/>
        <w:t>3. Основные характеристики областного бюджета</w:t>
      </w:r>
      <w:r w:rsidR="00EF3334" w:rsidRPr="00A27310">
        <w:rPr>
          <w:b/>
          <w:i/>
          <w:sz w:val="24"/>
          <w:szCs w:val="24"/>
        </w:rPr>
        <w:t xml:space="preserve"> </w:t>
      </w:r>
      <w:r w:rsidRPr="00A27310">
        <w:rPr>
          <w:b/>
          <w:i/>
          <w:sz w:val="24"/>
          <w:szCs w:val="24"/>
        </w:rPr>
        <w:t>на 20</w:t>
      </w:r>
      <w:r w:rsidR="00EF3334" w:rsidRPr="00A27310">
        <w:rPr>
          <w:b/>
          <w:i/>
          <w:sz w:val="24"/>
          <w:szCs w:val="24"/>
        </w:rPr>
        <w:t>1</w:t>
      </w:r>
      <w:r w:rsidR="00720D49">
        <w:rPr>
          <w:b/>
          <w:i/>
          <w:sz w:val="24"/>
          <w:szCs w:val="24"/>
        </w:rPr>
        <w:t>8</w:t>
      </w:r>
      <w:r w:rsidRPr="00A27310">
        <w:rPr>
          <w:b/>
          <w:i/>
          <w:sz w:val="24"/>
          <w:szCs w:val="24"/>
        </w:rPr>
        <w:t xml:space="preserve"> год</w:t>
      </w:r>
    </w:p>
    <w:p w:rsidR="00387CD9" w:rsidRPr="00A27310" w:rsidRDefault="00387CD9" w:rsidP="00D45F41">
      <w:pPr>
        <w:pStyle w:val="11"/>
        <w:ind w:firstLine="708"/>
        <w:jc w:val="center"/>
        <w:rPr>
          <w:b/>
          <w:i/>
          <w:sz w:val="24"/>
          <w:szCs w:val="24"/>
        </w:rPr>
      </w:pPr>
      <w:r w:rsidRPr="00A27310">
        <w:rPr>
          <w:b/>
          <w:i/>
          <w:sz w:val="24"/>
          <w:szCs w:val="24"/>
        </w:rPr>
        <w:t xml:space="preserve">и на </w:t>
      </w:r>
      <w:r w:rsidR="00BA6704" w:rsidRPr="00A27310">
        <w:rPr>
          <w:b/>
          <w:i/>
          <w:sz w:val="24"/>
          <w:szCs w:val="24"/>
        </w:rPr>
        <w:t xml:space="preserve">плановый </w:t>
      </w:r>
      <w:r w:rsidRPr="00A27310">
        <w:rPr>
          <w:b/>
          <w:i/>
          <w:sz w:val="24"/>
          <w:szCs w:val="24"/>
        </w:rPr>
        <w:t xml:space="preserve">период </w:t>
      </w:r>
      <w:r w:rsidR="00BA6704" w:rsidRPr="00A27310">
        <w:rPr>
          <w:b/>
          <w:i/>
          <w:sz w:val="24"/>
          <w:szCs w:val="24"/>
        </w:rPr>
        <w:t>20</w:t>
      </w:r>
      <w:r w:rsidR="0022739A">
        <w:rPr>
          <w:b/>
          <w:i/>
          <w:sz w:val="24"/>
          <w:szCs w:val="24"/>
        </w:rPr>
        <w:t>1</w:t>
      </w:r>
      <w:r w:rsidR="00720D49">
        <w:rPr>
          <w:b/>
          <w:i/>
          <w:sz w:val="24"/>
          <w:szCs w:val="24"/>
        </w:rPr>
        <w:t>9</w:t>
      </w:r>
      <w:r w:rsidR="00BA6704" w:rsidRPr="00A27310">
        <w:rPr>
          <w:b/>
          <w:i/>
          <w:sz w:val="24"/>
          <w:szCs w:val="24"/>
        </w:rPr>
        <w:t xml:space="preserve"> и</w:t>
      </w:r>
      <w:r w:rsidRPr="00A27310">
        <w:rPr>
          <w:b/>
          <w:i/>
          <w:sz w:val="24"/>
          <w:szCs w:val="24"/>
        </w:rPr>
        <w:t xml:space="preserve"> 20</w:t>
      </w:r>
      <w:r w:rsidR="00720D49">
        <w:rPr>
          <w:b/>
          <w:i/>
          <w:sz w:val="24"/>
          <w:szCs w:val="24"/>
        </w:rPr>
        <w:t>20</w:t>
      </w:r>
      <w:r w:rsidRPr="00A27310">
        <w:rPr>
          <w:b/>
          <w:i/>
          <w:sz w:val="24"/>
          <w:szCs w:val="24"/>
        </w:rPr>
        <w:t xml:space="preserve"> год</w:t>
      </w:r>
      <w:r w:rsidR="00BA6704" w:rsidRPr="00A27310">
        <w:rPr>
          <w:b/>
          <w:i/>
          <w:sz w:val="24"/>
          <w:szCs w:val="24"/>
        </w:rPr>
        <w:t>ов</w:t>
      </w:r>
      <w:r w:rsidRPr="00A27310">
        <w:rPr>
          <w:b/>
          <w:i/>
          <w:sz w:val="24"/>
          <w:szCs w:val="24"/>
        </w:rPr>
        <w:t>.</w:t>
      </w:r>
    </w:p>
    <w:p w:rsidR="00387CD9" w:rsidRDefault="00387CD9"/>
    <w:p w:rsidR="00BB3EAE" w:rsidRPr="00A27310" w:rsidRDefault="00BB3EAE" w:rsidP="00BB3EAE">
      <w:pPr>
        <w:pStyle w:val="11"/>
        <w:ind w:firstLine="708"/>
        <w:jc w:val="both"/>
        <w:rPr>
          <w:sz w:val="24"/>
          <w:szCs w:val="24"/>
        </w:rPr>
      </w:pPr>
      <w:r w:rsidRPr="00A27310">
        <w:rPr>
          <w:sz w:val="24"/>
          <w:szCs w:val="24"/>
        </w:rPr>
        <w:t>Предметом рассмотрения проекта закона об областном бюджете на очередной финансовый год и плановый период в первом чтении являются основные характеристики областного бюджета, к которым относятся:</w:t>
      </w:r>
    </w:p>
    <w:p w:rsidR="00BB3EAE" w:rsidRPr="00A27310" w:rsidRDefault="00BB3EAE" w:rsidP="00BB3EAE">
      <w:pPr>
        <w:pStyle w:val="11"/>
        <w:ind w:firstLine="708"/>
        <w:jc w:val="both"/>
        <w:rPr>
          <w:sz w:val="24"/>
          <w:szCs w:val="24"/>
        </w:rPr>
      </w:pPr>
      <w:r w:rsidRPr="00A27310">
        <w:rPr>
          <w:sz w:val="24"/>
          <w:szCs w:val="24"/>
        </w:rPr>
        <w:t>-прогнозируемый общий объем доходов с указанием поступлений из других бюджетов бюджетной системы РФ;</w:t>
      </w:r>
    </w:p>
    <w:p w:rsidR="00BB3EAE" w:rsidRPr="00A27310" w:rsidRDefault="00BB3EAE" w:rsidP="00BB3EAE">
      <w:pPr>
        <w:ind w:firstLine="708"/>
        <w:jc w:val="both"/>
      </w:pPr>
      <w:r w:rsidRPr="00A27310">
        <w:t>-общий объем расходов;</w:t>
      </w:r>
    </w:p>
    <w:p w:rsidR="00BB3EAE" w:rsidRPr="00A27310" w:rsidRDefault="00BB3EAE" w:rsidP="00BB3EAE">
      <w:pPr>
        <w:ind w:firstLine="708"/>
        <w:jc w:val="both"/>
      </w:pPr>
      <w:r w:rsidRPr="00A27310">
        <w:t>-дефицит (профицит) областного бюджета;</w:t>
      </w:r>
    </w:p>
    <w:p w:rsidR="00BB3EAE" w:rsidRPr="00A27310" w:rsidRDefault="00BB3EAE" w:rsidP="00BB3EAE">
      <w:pPr>
        <w:ind w:firstLine="708"/>
        <w:jc w:val="both"/>
      </w:pPr>
      <w:r w:rsidRPr="00A27310">
        <w:t>а также:</w:t>
      </w:r>
    </w:p>
    <w:p w:rsidR="00BB3EAE" w:rsidRPr="00A27310" w:rsidRDefault="00BB3EAE" w:rsidP="00BB3EAE">
      <w:pPr>
        <w:ind w:firstLine="708"/>
        <w:jc w:val="both"/>
      </w:pPr>
      <w:r w:rsidRPr="00A27310">
        <w:t>-нормативы распределения доходов между областным</w:t>
      </w:r>
      <w:r w:rsidR="00783EE0">
        <w:t>,</w:t>
      </w:r>
      <w:r w:rsidRPr="00A27310">
        <w:t xml:space="preserve"> местными бюджетами</w:t>
      </w:r>
      <w:r w:rsidR="00783EE0">
        <w:t xml:space="preserve"> и бюджетом территориального фонда обязательного медицинского страхования,</w:t>
      </w:r>
      <w:r w:rsidRPr="00A27310">
        <w:t xml:space="preserve"> не утвержденные бюджетным законодательством РФ;</w:t>
      </w:r>
    </w:p>
    <w:p w:rsidR="00BB3EAE" w:rsidRPr="00A27310" w:rsidRDefault="00BB3EAE" w:rsidP="00BB3EAE">
      <w:pPr>
        <w:ind w:firstLine="708"/>
        <w:jc w:val="both"/>
      </w:pPr>
      <w:r w:rsidRPr="00A27310">
        <w:t>-дополнительные нормативы отчислений от налога на доходы физических лиц в местные бюджеты;</w:t>
      </w:r>
    </w:p>
    <w:p w:rsidR="00BB3EAE" w:rsidRPr="00A27310" w:rsidRDefault="00BB3EAE" w:rsidP="00BB3EAE">
      <w:pPr>
        <w:ind w:firstLine="708"/>
        <w:jc w:val="both"/>
      </w:pPr>
      <w:r w:rsidRPr="00A27310">
        <w:t>-условно утверждаемые расходы в объеме не менее 2,5% общего объема расходов областного бюджета на первый год планового периода и не менее 5% общего объема расходов областного бюджета на второй год планового периода;</w:t>
      </w:r>
    </w:p>
    <w:p w:rsidR="00BB3EAE" w:rsidRPr="00A27310" w:rsidRDefault="00BB3EAE" w:rsidP="00BB3EAE">
      <w:pPr>
        <w:ind w:firstLine="708"/>
        <w:jc w:val="both"/>
      </w:pPr>
      <w:r w:rsidRPr="00A27310">
        <w:t>-объем межбюджетных трансфертов;</w:t>
      </w:r>
    </w:p>
    <w:p w:rsidR="00BB3EAE" w:rsidRPr="00A27310" w:rsidRDefault="00BB3EAE" w:rsidP="00BB3EAE">
      <w:pPr>
        <w:ind w:firstLine="708"/>
        <w:jc w:val="both"/>
      </w:pPr>
      <w:r w:rsidRPr="00A27310">
        <w:t>-коэффициенты индексации, применяемые при расчетах объемов областного фонда финансовой поддержки поселений и областного фонда финансовой поддержки муниципальных районов (городских округов); размеры областного фонда финансовой поддержки поселений, областного фонда финансовой поддержки муниципальных районов (городских округов), иных дотаций и субсидий;</w:t>
      </w:r>
    </w:p>
    <w:p w:rsidR="00BB3EAE" w:rsidRDefault="00BB3EAE" w:rsidP="00BB3EAE">
      <w:pPr>
        <w:ind w:firstLine="708"/>
        <w:jc w:val="both"/>
      </w:pPr>
      <w:r w:rsidRPr="00A27310">
        <w:t>-верхний предел государственного внутреннего долга по состоянию на первое января года, следующего за очередным финансовым годом и</w:t>
      </w:r>
      <w:r w:rsidR="00DB7193">
        <w:t xml:space="preserve"> каждым годом планового периода</w:t>
      </w:r>
      <w:r>
        <w:t>;</w:t>
      </w:r>
    </w:p>
    <w:p w:rsidR="00BB3EAE" w:rsidRDefault="00BB3EAE" w:rsidP="00BB3EAE">
      <w:pPr>
        <w:ind w:firstLine="708"/>
        <w:jc w:val="both"/>
      </w:pPr>
      <w:r>
        <w:t>-прогноз поступлений по налогам, сборам, платежам и поступлений из других бюджетов бюджетной системы РФ.</w:t>
      </w:r>
    </w:p>
    <w:p w:rsidR="00BB3EAE" w:rsidRDefault="00BB3EAE" w:rsidP="00BB3EAE">
      <w:pPr>
        <w:ind w:firstLine="708"/>
        <w:jc w:val="both"/>
      </w:pPr>
    </w:p>
    <w:p w:rsidR="003F443D" w:rsidRPr="00A27310" w:rsidRDefault="003F443D" w:rsidP="003F443D">
      <w:pPr>
        <w:pStyle w:val="11"/>
        <w:ind w:firstLine="708"/>
        <w:jc w:val="center"/>
        <w:rPr>
          <w:b/>
          <w:i/>
          <w:sz w:val="24"/>
          <w:szCs w:val="24"/>
        </w:rPr>
      </w:pPr>
      <w:r w:rsidRPr="00A27310">
        <w:rPr>
          <w:b/>
          <w:i/>
          <w:sz w:val="24"/>
          <w:szCs w:val="24"/>
        </w:rPr>
        <w:t>3.1. Прогнозируемый общий объем доходов</w:t>
      </w:r>
    </w:p>
    <w:p w:rsidR="003F443D" w:rsidRPr="00A27310" w:rsidRDefault="003F443D" w:rsidP="003F443D">
      <w:pPr>
        <w:pStyle w:val="11"/>
        <w:ind w:firstLine="708"/>
        <w:jc w:val="center"/>
        <w:rPr>
          <w:b/>
          <w:i/>
          <w:sz w:val="24"/>
          <w:szCs w:val="24"/>
        </w:rPr>
      </w:pPr>
      <w:r w:rsidRPr="00A27310">
        <w:rPr>
          <w:b/>
          <w:i/>
          <w:sz w:val="24"/>
          <w:szCs w:val="24"/>
        </w:rPr>
        <w:t xml:space="preserve"> с указанием поступлений из других бюджетов бюджетной системы РФ.</w:t>
      </w:r>
    </w:p>
    <w:p w:rsidR="00255FCA" w:rsidRDefault="00255FCA" w:rsidP="006C4F6B">
      <w:pPr>
        <w:pStyle w:val="11"/>
        <w:ind w:firstLine="708"/>
        <w:jc w:val="both"/>
        <w:rPr>
          <w:sz w:val="24"/>
          <w:szCs w:val="24"/>
        </w:rPr>
      </w:pPr>
    </w:p>
    <w:p w:rsidR="00453858" w:rsidRPr="00453858" w:rsidRDefault="00453858" w:rsidP="00453858">
      <w:pPr>
        <w:pStyle w:val="a5"/>
        <w:tabs>
          <w:tab w:val="num" w:pos="0"/>
        </w:tabs>
        <w:ind w:firstLine="709"/>
        <w:jc w:val="both"/>
        <w:outlineLvl w:val="0"/>
      </w:pPr>
      <w:r w:rsidRPr="00453858">
        <w:t xml:space="preserve">Доходы областного бюджета на 2018 год прогнозируются в сумме 78512,4 млн. руб., что ниже плана 2017 года на 7678,7 млн. руб., или на 8,9%, на 2019 год </w:t>
      </w:r>
      <w:r w:rsidR="00DB7193">
        <w:t>-</w:t>
      </w:r>
      <w:r w:rsidRPr="00453858">
        <w:t xml:space="preserve"> 77419,1 млн. руб., на 2020 год </w:t>
      </w:r>
      <w:r w:rsidR="00DB7193">
        <w:t>-</w:t>
      </w:r>
      <w:r w:rsidRPr="00453858">
        <w:t xml:space="preserve"> 79684 млн. рублей. </w:t>
      </w:r>
    </w:p>
    <w:p w:rsidR="00453858" w:rsidRPr="00453858" w:rsidRDefault="00453858" w:rsidP="00453858">
      <w:pPr>
        <w:pStyle w:val="a5"/>
        <w:tabs>
          <w:tab w:val="num" w:pos="0"/>
        </w:tabs>
        <w:ind w:firstLine="709"/>
        <w:jc w:val="both"/>
        <w:outlineLvl w:val="0"/>
      </w:pPr>
      <w:r w:rsidRPr="00453858">
        <w:t>В общем объеме доходов консолидированного бюджета на 2018 год доля доходов областного бюджета составит 79,2%, на 2019 год – 78,7%, на 2020 год – 78,8 процента.</w:t>
      </w:r>
    </w:p>
    <w:p w:rsidR="00453858" w:rsidRPr="00453858" w:rsidRDefault="00453858" w:rsidP="00453858">
      <w:pPr>
        <w:ind w:firstLine="720"/>
        <w:jc w:val="both"/>
      </w:pPr>
      <w:r w:rsidRPr="00453858">
        <w:t>По оценке Администрации Волгоградской области утвержденные назначения по налоговым и неналоговым доходам текущего года не будут выполнены ориентировочно на 3972,8 млн. рублей. В связи с этим в настоящем заключении приводится изменение структуры доходной части областного бюджета на 2018-2020 годы относительно оценки выполнения доходной части за 2017 год.</w:t>
      </w:r>
    </w:p>
    <w:p w:rsidR="00453858" w:rsidRPr="00453858" w:rsidRDefault="00453858" w:rsidP="00453858">
      <w:pPr>
        <w:pStyle w:val="a5"/>
        <w:tabs>
          <w:tab w:val="num" w:pos="0"/>
        </w:tabs>
        <w:ind w:firstLine="709"/>
        <w:jc w:val="both"/>
        <w:outlineLvl w:val="0"/>
      </w:pPr>
      <w:r w:rsidRPr="00453858">
        <w:t>Структура доходной части областного бюджета на 2018-2020 годы выглядит следующим образом:</w:t>
      </w:r>
    </w:p>
    <w:p w:rsidR="00453858" w:rsidRPr="00C237F6" w:rsidRDefault="00453858" w:rsidP="00453858">
      <w:pPr>
        <w:pStyle w:val="a5"/>
        <w:tabs>
          <w:tab w:val="num" w:pos="0"/>
        </w:tabs>
        <w:ind w:firstLine="709"/>
        <w:jc w:val="right"/>
        <w:outlineLvl w:val="0"/>
        <w:rPr>
          <w:sz w:val="20"/>
          <w:szCs w:val="20"/>
        </w:rPr>
      </w:pPr>
      <w:r w:rsidRPr="00C237F6">
        <w:rPr>
          <w:sz w:val="20"/>
          <w:szCs w:val="20"/>
        </w:rPr>
        <w:t>млн. руб.</w:t>
      </w:r>
    </w:p>
    <w:tbl>
      <w:tblPr>
        <w:tblW w:w="9654" w:type="dxa"/>
        <w:tblInd w:w="93" w:type="dxa"/>
        <w:tblLayout w:type="fixed"/>
        <w:tblLook w:val="04A0"/>
      </w:tblPr>
      <w:tblGrid>
        <w:gridCol w:w="1716"/>
        <w:gridCol w:w="993"/>
        <w:gridCol w:w="992"/>
        <w:gridCol w:w="992"/>
        <w:gridCol w:w="996"/>
        <w:gridCol w:w="993"/>
        <w:gridCol w:w="988"/>
        <w:gridCol w:w="992"/>
        <w:gridCol w:w="992"/>
      </w:tblGrid>
      <w:tr w:rsidR="00453858" w:rsidRPr="00453858" w:rsidTr="004465FB">
        <w:trPr>
          <w:trHeight w:val="207"/>
          <w:tblHeader/>
        </w:trPr>
        <w:tc>
          <w:tcPr>
            <w:tcW w:w="1716" w:type="dxa"/>
            <w:vMerge w:val="restart"/>
            <w:tcBorders>
              <w:top w:val="single" w:sz="8" w:space="0" w:color="auto"/>
              <w:left w:val="single" w:sz="8" w:space="0" w:color="auto"/>
              <w:bottom w:val="single" w:sz="8" w:space="0" w:color="000000"/>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Показатели</w:t>
            </w:r>
          </w:p>
        </w:tc>
        <w:tc>
          <w:tcPr>
            <w:tcW w:w="1985" w:type="dxa"/>
            <w:gridSpan w:val="2"/>
            <w:tcBorders>
              <w:top w:val="single" w:sz="8" w:space="0" w:color="auto"/>
              <w:left w:val="nil"/>
              <w:bottom w:val="single" w:sz="8" w:space="0" w:color="auto"/>
              <w:right w:val="single" w:sz="8" w:space="0" w:color="000000"/>
            </w:tcBorders>
            <w:shd w:val="clear" w:color="auto" w:fill="FDFAB5"/>
            <w:hideMark/>
          </w:tcPr>
          <w:p w:rsidR="00453858" w:rsidRPr="00352815" w:rsidRDefault="00241C89" w:rsidP="00352815">
            <w:pPr>
              <w:spacing w:line="276" w:lineRule="auto"/>
              <w:jc w:val="center"/>
              <w:rPr>
                <w:b/>
                <w:bCs/>
                <w:sz w:val="20"/>
                <w:szCs w:val="20"/>
              </w:rPr>
            </w:pPr>
            <w:r>
              <w:rPr>
                <w:b/>
                <w:bCs/>
                <w:sz w:val="20"/>
                <w:szCs w:val="20"/>
              </w:rPr>
              <w:t>2017 год (оценка</w:t>
            </w:r>
            <w:r w:rsidR="00453858" w:rsidRPr="00352815">
              <w:rPr>
                <w:b/>
                <w:bCs/>
                <w:sz w:val="20"/>
                <w:szCs w:val="20"/>
              </w:rPr>
              <w:t>)</w:t>
            </w:r>
          </w:p>
        </w:tc>
        <w:tc>
          <w:tcPr>
            <w:tcW w:w="1988" w:type="dxa"/>
            <w:gridSpan w:val="2"/>
            <w:tcBorders>
              <w:top w:val="single" w:sz="8" w:space="0" w:color="auto"/>
              <w:left w:val="nil"/>
              <w:bottom w:val="single" w:sz="8" w:space="0" w:color="auto"/>
              <w:right w:val="single" w:sz="8" w:space="0" w:color="000000"/>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2018 год</w:t>
            </w:r>
          </w:p>
        </w:tc>
        <w:tc>
          <w:tcPr>
            <w:tcW w:w="1981" w:type="dxa"/>
            <w:gridSpan w:val="2"/>
            <w:tcBorders>
              <w:top w:val="single" w:sz="8" w:space="0" w:color="auto"/>
              <w:left w:val="nil"/>
              <w:bottom w:val="single" w:sz="8" w:space="0" w:color="auto"/>
              <w:right w:val="single" w:sz="8" w:space="0" w:color="000000"/>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2019 год</w:t>
            </w:r>
          </w:p>
        </w:tc>
        <w:tc>
          <w:tcPr>
            <w:tcW w:w="1984" w:type="dxa"/>
            <w:gridSpan w:val="2"/>
            <w:tcBorders>
              <w:top w:val="single" w:sz="8" w:space="0" w:color="auto"/>
              <w:left w:val="nil"/>
              <w:bottom w:val="single" w:sz="8" w:space="0" w:color="auto"/>
              <w:right w:val="single" w:sz="8" w:space="0" w:color="000000"/>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2020 год</w:t>
            </w:r>
          </w:p>
        </w:tc>
      </w:tr>
      <w:tr w:rsidR="00453858" w:rsidRPr="00453858" w:rsidTr="004465FB">
        <w:trPr>
          <w:trHeight w:val="315"/>
          <w:tblHeader/>
        </w:trPr>
        <w:tc>
          <w:tcPr>
            <w:tcW w:w="1716" w:type="dxa"/>
            <w:vMerge/>
            <w:tcBorders>
              <w:top w:val="single" w:sz="8" w:space="0" w:color="auto"/>
              <w:left w:val="single" w:sz="8" w:space="0" w:color="auto"/>
              <w:bottom w:val="single" w:sz="8" w:space="0" w:color="000000"/>
              <w:right w:val="single" w:sz="8" w:space="0" w:color="auto"/>
            </w:tcBorders>
            <w:shd w:val="clear" w:color="auto" w:fill="FDFAB5"/>
            <w:vAlign w:val="center"/>
            <w:hideMark/>
          </w:tcPr>
          <w:p w:rsidR="00453858" w:rsidRPr="00352815" w:rsidRDefault="00453858">
            <w:pPr>
              <w:rPr>
                <w:b/>
                <w:bCs/>
                <w:sz w:val="20"/>
                <w:szCs w:val="20"/>
              </w:rPr>
            </w:pPr>
          </w:p>
        </w:tc>
        <w:tc>
          <w:tcPr>
            <w:tcW w:w="993"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сумма</w:t>
            </w:r>
          </w:p>
        </w:tc>
        <w:tc>
          <w:tcPr>
            <w:tcW w:w="992"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доля, %</w:t>
            </w:r>
          </w:p>
        </w:tc>
        <w:tc>
          <w:tcPr>
            <w:tcW w:w="992"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сумма</w:t>
            </w:r>
          </w:p>
        </w:tc>
        <w:tc>
          <w:tcPr>
            <w:tcW w:w="996"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доля, %</w:t>
            </w:r>
          </w:p>
        </w:tc>
        <w:tc>
          <w:tcPr>
            <w:tcW w:w="993"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сумма</w:t>
            </w:r>
          </w:p>
        </w:tc>
        <w:tc>
          <w:tcPr>
            <w:tcW w:w="988"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доля, %</w:t>
            </w:r>
          </w:p>
        </w:tc>
        <w:tc>
          <w:tcPr>
            <w:tcW w:w="992"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сумма</w:t>
            </w:r>
          </w:p>
        </w:tc>
        <w:tc>
          <w:tcPr>
            <w:tcW w:w="992" w:type="dxa"/>
            <w:tcBorders>
              <w:top w:val="nil"/>
              <w:left w:val="nil"/>
              <w:bottom w:val="single" w:sz="8" w:space="0" w:color="auto"/>
              <w:right w:val="single" w:sz="8" w:space="0" w:color="auto"/>
            </w:tcBorders>
            <w:shd w:val="clear" w:color="auto" w:fill="FDFAB5"/>
            <w:hideMark/>
          </w:tcPr>
          <w:p w:rsidR="00453858" w:rsidRPr="00352815" w:rsidRDefault="00453858">
            <w:pPr>
              <w:spacing w:line="276" w:lineRule="auto"/>
              <w:jc w:val="center"/>
              <w:rPr>
                <w:b/>
                <w:bCs/>
                <w:sz w:val="20"/>
                <w:szCs w:val="20"/>
              </w:rPr>
            </w:pPr>
            <w:r w:rsidRPr="00352815">
              <w:rPr>
                <w:b/>
                <w:bCs/>
                <w:sz w:val="20"/>
                <w:szCs w:val="20"/>
              </w:rPr>
              <w:t>доля, %</w:t>
            </w:r>
          </w:p>
        </w:tc>
      </w:tr>
      <w:tr w:rsidR="00453858" w:rsidRPr="00453858" w:rsidTr="00DB0278">
        <w:trPr>
          <w:trHeight w:val="77"/>
        </w:trPr>
        <w:tc>
          <w:tcPr>
            <w:tcW w:w="1716" w:type="dxa"/>
            <w:tcBorders>
              <w:top w:val="nil"/>
              <w:left w:val="single" w:sz="8" w:space="0" w:color="auto"/>
              <w:bottom w:val="single" w:sz="4"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Налоговые доходы</w:t>
            </w:r>
          </w:p>
        </w:tc>
        <w:tc>
          <w:tcPr>
            <w:tcW w:w="993" w:type="dxa"/>
            <w:tcBorders>
              <w:top w:val="nil"/>
              <w:left w:val="nil"/>
              <w:bottom w:val="single" w:sz="4"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56 397,8</w:t>
            </w:r>
          </w:p>
        </w:tc>
        <w:tc>
          <w:tcPr>
            <w:tcW w:w="992" w:type="dxa"/>
            <w:tcBorders>
              <w:top w:val="nil"/>
              <w:left w:val="nil"/>
              <w:bottom w:val="single" w:sz="4"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69,0</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58 296,7</w:t>
            </w:r>
          </w:p>
        </w:tc>
        <w:tc>
          <w:tcPr>
            <w:tcW w:w="996" w:type="dxa"/>
            <w:tcBorders>
              <w:top w:val="nil"/>
              <w:left w:val="nil"/>
              <w:bottom w:val="single" w:sz="4"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74,3</w:t>
            </w:r>
          </w:p>
        </w:tc>
        <w:tc>
          <w:tcPr>
            <w:tcW w:w="993" w:type="dxa"/>
            <w:tcBorders>
              <w:top w:val="nil"/>
              <w:left w:val="nil"/>
              <w:bottom w:val="single" w:sz="4"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62 715,9</w:t>
            </w:r>
          </w:p>
        </w:tc>
        <w:tc>
          <w:tcPr>
            <w:tcW w:w="988" w:type="dxa"/>
            <w:tcBorders>
              <w:top w:val="nil"/>
              <w:left w:val="nil"/>
              <w:bottom w:val="single" w:sz="4"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81,0</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66 060,6</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82,9</w:t>
            </w:r>
          </w:p>
        </w:tc>
      </w:tr>
      <w:tr w:rsidR="00453858" w:rsidRPr="00453858" w:rsidTr="00DB0278">
        <w:trPr>
          <w:trHeight w:val="351"/>
        </w:trPr>
        <w:tc>
          <w:tcPr>
            <w:tcW w:w="1716" w:type="dxa"/>
            <w:tcBorders>
              <w:top w:val="single" w:sz="4" w:space="0" w:color="auto"/>
              <w:left w:val="single" w:sz="8" w:space="0" w:color="auto"/>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Неналоговые доходы</w:t>
            </w:r>
          </w:p>
        </w:tc>
        <w:tc>
          <w:tcPr>
            <w:tcW w:w="993" w:type="dxa"/>
            <w:tcBorders>
              <w:top w:val="single" w:sz="4"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1 637,3</w:t>
            </w:r>
          </w:p>
        </w:tc>
        <w:tc>
          <w:tcPr>
            <w:tcW w:w="992" w:type="dxa"/>
            <w:tcBorders>
              <w:top w:val="single" w:sz="4"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2,0</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1 666,8</w:t>
            </w:r>
          </w:p>
        </w:tc>
        <w:tc>
          <w:tcPr>
            <w:tcW w:w="996"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2,1</w:t>
            </w:r>
          </w:p>
        </w:tc>
        <w:tc>
          <w:tcPr>
            <w:tcW w:w="993"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1 677,2</w:t>
            </w:r>
          </w:p>
        </w:tc>
        <w:tc>
          <w:tcPr>
            <w:tcW w:w="988"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2,2</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1 687,2</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color w:val="4F6228"/>
                <w:sz w:val="20"/>
                <w:szCs w:val="20"/>
              </w:rPr>
            </w:pPr>
            <w:r w:rsidRPr="00352815">
              <w:rPr>
                <w:color w:val="4F6228"/>
                <w:sz w:val="20"/>
                <w:szCs w:val="20"/>
              </w:rPr>
              <w:t>2,1</w:t>
            </w:r>
          </w:p>
        </w:tc>
      </w:tr>
      <w:tr w:rsidR="00453858" w:rsidRPr="00453858" w:rsidTr="00F55E79">
        <w:trPr>
          <w:trHeight w:val="231"/>
        </w:trPr>
        <w:tc>
          <w:tcPr>
            <w:tcW w:w="1716" w:type="dxa"/>
            <w:tcBorders>
              <w:top w:val="nil"/>
              <w:left w:val="single" w:sz="8" w:space="0" w:color="auto"/>
              <w:bottom w:val="single" w:sz="4" w:space="0" w:color="auto"/>
              <w:right w:val="single" w:sz="8" w:space="0" w:color="auto"/>
            </w:tcBorders>
            <w:hideMark/>
          </w:tcPr>
          <w:p w:rsidR="00453858" w:rsidRPr="00352815" w:rsidRDefault="00453858" w:rsidP="00DB7193">
            <w:pPr>
              <w:spacing w:line="276" w:lineRule="auto"/>
              <w:jc w:val="center"/>
              <w:rPr>
                <w:b/>
                <w:bCs/>
                <w:sz w:val="20"/>
                <w:szCs w:val="20"/>
              </w:rPr>
            </w:pPr>
            <w:r w:rsidRPr="00352815">
              <w:rPr>
                <w:b/>
                <w:bCs/>
                <w:sz w:val="20"/>
                <w:szCs w:val="20"/>
              </w:rPr>
              <w:t>Итого</w:t>
            </w:r>
          </w:p>
        </w:tc>
        <w:tc>
          <w:tcPr>
            <w:tcW w:w="993" w:type="dxa"/>
            <w:tcBorders>
              <w:top w:val="nil"/>
              <w:left w:val="nil"/>
              <w:bottom w:val="single" w:sz="4" w:space="0" w:color="auto"/>
              <w:right w:val="single" w:sz="8" w:space="0" w:color="auto"/>
            </w:tcBorders>
            <w:shd w:val="clear" w:color="auto" w:fill="FFFFFF"/>
            <w:hideMark/>
          </w:tcPr>
          <w:p w:rsidR="00453858" w:rsidRPr="00352815" w:rsidRDefault="00453858">
            <w:pPr>
              <w:spacing w:line="276" w:lineRule="auto"/>
              <w:jc w:val="center"/>
              <w:rPr>
                <w:b/>
                <w:bCs/>
                <w:sz w:val="20"/>
                <w:szCs w:val="20"/>
              </w:rPr>
            </w:pPr>
            <w:r w:rsidRPr="00352815">
              <w:rPr>
                <w:b/>
                <w:bCs/>
                <w:sz w:val="20"/>
                <w:szCs w:val="20"/>
              </w:rPr>
              <w:t>58 035,1</w:t>
            </w:r>
          </w:p>
        </w:tc>
        <w:tc>
          <w:tcPr>
            <w:tcW w:w="992" w:type="dxa"/>
            <w:tcBorders>
              <w:top w:val="nil"/>
              <w:left w:val="nil"/>
              <w:bottom w:val="single" w:sz="4" w:space="0" w:color="auto"/>
              <w:right w:val="single" w:sz="8" w:space="0" w:color="auto"/>
            </w:tcBorders>
            <w:shd w:val="clear" w:color="auto" w:fill="FFFFFF"/>
            <w:hideMark/>
          </w:tcPr>
          <w:p w:rsidR="00453858" w:rsidRPr="00352815" w:rsidRDefault="00453858">
            <w:pPr>
              <w:spacing w:line="276" w:lineRule="auto"/>
              <w:jc w:val="center"/>
              <w:rPr>
                <w:b/>
                <w:bCs/>
                <w:sz w:val="20"/>
                <w:szCs w:val="20"/>
              </w:rPr>
            </w:pPr>
            <w:r w:rsidRPr="00352815">
              <w:rPr>
                <w:b/>
                <w:bCs/>
                <w:sz w:val="20"/>
                <w:szCs w:val="20"/>
              </w:rPr>
              <w:t>71,0</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59 963,5</w:t>
            </w:r>
          </w:p>
        </w:tc>
        <w:tc>
          <w:tcPr>
            <w:tcW w:w="996"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76,4</w:t>
            </w:r>
          </w:p>
        </w:tc>
        <w:tc>
          <w:tcPr>
            <w:tcW w:w="993"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64 393,1</w:t>
            </w:r>
          </w:p>
        </w:tc>
        <w:tc>
          <w:tcPr>
            <w:tcW w:w="988"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83,2</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67 747,8</w:t>
            </w:r>
          </w:p>
        </w:tc>
        <w:tc>
          <w:tcPr>
            <w:tcW w:w="992" w:type="dxa"/>
            <w:tcBorders>
              <w:top w:val="nil"/>
              <w:left w:val="nil"/>
              <w:bottom w:val="single" w:sz="4"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85,0</w:t>
            </w:r>
          </w:p>
        </w:tc>
      </w:tr>
      <w:tr w:rsidR="00453858" w:rsidRPr="00453858" w:rsidTr="00F55E79">
        <w:trPr>
          <w:trHeight w:val="376"/>
        </w:trPr>
        <w:tc>
          <w:tcPr>
            <w:tcW w:w="1716" w:type="dxa"/>
            <w:tcBorders>
              <w:top w:val="single" w:sz="4" w:space="0" w:color="auto"/>
              <w:left w:val="single" w:sz="8" w:space="0" w:color="auto"/>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lastRenderedPageBreak/>
              <w:t>Безвозмездные поступления</w:t>
            </w:r>
          </w:p>
        </w:tc>
        <w:tc>
          <w:tcPr>
            <w:tcW w:w="993" w:type="dxa"/>
            <w:tcBorders>
              <w:top w:val="single" w:sz="4"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23 686,6</w:t>
            </w:r>
          </w:p>
        </w:tc>
        <w:tc>
          <w:tcPr>
            <w:tcW w:w="992" w:type="dxa"/>
            <w:tcBorders>
              <w:top w:val="single" w:sz="4"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sz w:val="20"/>
                <w:szCs w:val="20"/>
              </w:rPr>
            </w:pPr>
            <w:r w:rsidRPr="00352815">
              <w:rPr>
                <w:sz w:val="20"/>
                <w:szCs w:val="20"/>
              </w:rPr>
              <w:t>29,0</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18 548,9</w:t>
            </w:r>
          </w:p>
        </w:tc>
        <w:tc>
          <w:tcPr>
            <w:tcW w:w="996"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23,6</w:t>
            </w:r>
          </w:p>
        </w:tc>
        <w:tc>
          <w:tcPr>
            <w:tcW w:w="993"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13 026,0</w:t>
            </w:r>
          </w:p>
        </w:tc>
        <w:tc>
          <w:tcPr>
            <w:tcW w:w="988"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16,8</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11 936,2</w:t>
            </w:r>
          </w:p>
        </w:tc>
        <w:tc>
          <w:tcPr>
            <w:tcW w:w="992" w:type="dxa"/>
            <w:tcBorders>
              <w:top w:val="single" w:sz="4" w:space="0" w:color="auto"/>
              <w:left w:val="nil"/>
              <w:bottom w:val="single" w:sz="8" w:space="0" w:color="auto"/>
              <w:right w:val="single" w:sz="8" w:space="0" w:color="auto"/>
            </w:tcBorders>
            <w:hideMark/>
          </w:tcPr>
          <w:p w:rsidR="00453858" w:rsidRPr="00352815" w:rsidRDefault="00453858">
            <w:pPr>
              <w:spacing w:line="276" w:lineRule="auto"/>
              <w:jc w:val="center"/>
              <w:rPr>
                <w:sz w:val="20"/>
                <w:szCs w:val="20"/>
              </w:rPr>
            </w:pPr>
            <w:r w:rsidRPr="00352815">
              <w:rPr>
                <w:sz w:val="20"/>
                <w:szCs w:val="20"/>
              </w:rPr>
              <w:t>15,0</w:t>
            </w:r>
          </w:p>
        </w:tc>
      </w:tr>
      <w:tr w:rsidR="00453858" w:rsidRPr="00453858" w:rsidTr="00F55E79">
        <w:trPr>
          <w:trHeight w:val="115"/>
        </w:trPr>
        <w:tc>
          <w:tcPr>
            <w:tcW w:w="1716" w:type="dxa"/>
            <w:tcBorders>
              <w:top w:val="single" w:sz="8" w:space="0" w:color="auto"/>
              <w:left w:val="single" w:sz="8" w:space="0" w:color="auto"/>
              <w:bottom w:val="single" w:sz="8" w:space="0" w:color="auto"/>
              <w:right w:val="single" w:sz="8" w:space="0" w:color="auto"/>
            </w:tcBorders>
            <w:hideMark/>
          </w:tcPr>
          <w:p w:rsidR="00453858" w:rsidRPr="00352815" w:rsidRDefault="00453858" w:rsidP="00241C89">
            <w:pPr>
              <w:spacing w:line="276" w:lineRule="auto"/>
              <w:jc w:val="center"/>
              <w:rPr>
                <w:b/>
                <w:bCs/>
                <w:sz w:val="20"/>
                <w:szCs w:val="20"/>
              </w:rPr>
            </w:pPr>
            <w:r w:rsidRPr="00352815">
              <w:rPr>
                <w:b/>
                <w:bCs/>
                <w:sz w:val="20"/>
                <w:szCs w:val="20"/>
              </w:rPr>
              <w:t>Всего</w:t>
            </w:r>
          </w:p>
        </w:tc>
        <w:tc>
          <w:tcPr>
            <w:tcW w:w="993" w:type="dxa"/>
            <w:tcBorders>
              <w:top w:val="single" w:sz="8"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b/>
                <w:bCs/>
                <w:sz w:val="20"/>
                <w:szCs w:val="20"/>
              </w:rPr>
            </w:pPr>
            <w:r w:rsidRPr="00352815">
              <w:rPr>
                <w:b/>
                <w:bCs/>
                <w:sz w:val="20"/>
                <w:szCs w:val="20"/>
              </w:rPr>
              <w:t>81 721,7</w:t>
            </w:r>
          </w:p>
        </w:tc>
        <w:tc>
          <w:tcPr>
            <w:tcW w:w="992" w:type="dxa"/>
            <w:tcBorders>
              <w:top w:val="single" w:sz="8" w:space="0" w:color="auto"/>
              <w:left w:val="nil"/>
              <w:bottom w:val="single" w:sz="8" w:space="0" w:color="auto"/>
              <w:right w:val="single" w:sz="8" w:space="0" w:color="auto"/>
            </w:tcBorders>
            <w:shd w:val="clear" w:color="auto" w:fill="FFFFFF"/>
            <w:hideMark/>
          </w:tcPr>
          <w:p w:rsidR="00453858" w:rsidRPr="00352815" w:rsidRDefault="00453858">
            <w:pPr>
              <w:spacing w:line="276" w:lineRule="auto"/>
              <w:jc w:val="center"/>
              <w:rPr>
                <w:b/>
                <w:bCs/>
                <w:sz w:val="20"/>
                <w:szCs w:val="20"/>
              </w:rPr>
            </w:pPr>
            <w:r w:rsidRPr="00352815">
              <w:rPr>
                <w:b/>
                <w:bCs/>
                <w:sz w:val="20"/>
                <w:szCs w:val="20"/>
              </w:rPr>
              <w:t>100,0</w:t>
            </w:r>
          </w:p>
        </w:tc>
        <w:tc>
          <w:tcPr>
            <w:tcW w:w="992"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78 512,4</w:t>
            </w:r>
          </w:p>
        </w:tc>
        <w:tc>
          <w:tcPr>
            <w:tcW w:w="996"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100,0</w:t>
            </w:r>
          </w:p>
        </w:tc>
        <w:tc>
          <w:tcPr>
            <w:tcW w:w="993"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77 419,1</w:t>
            </w:r>
          </w:p>
        </w:tc>
        <w:tc>
          <w:tcPr>
            <w:tcW w:w="988"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100,0</w:t>
            </w:r>
          </w:p>
        </w:tc>
        <w:tc>
          <w:tcPr>
            <w:tcW w:w="992"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79 684,0</w:t>
            </w:r>
          </w:p>
        </w:tc>
        <w:tc>
          <w:tcPr>
            <w:tcW w:w="992" w:type="dxa"/>
            <w:tcBorders>
              <w:top w:val="single" w:sz="8" w:space="0" w:color="auto"/>
              <w:left w:val="nil"/>
              <w:bottom w:val="single" w:sz="8" w:space="0" w:color="auto"/>
              <w:right w:val="single" w:sz="8" w:space="0" w:color="auto"/>
            </w:tcBorders>
            <w:hideMark/>
          </w:tcPr>
          <w:p w:rsidR="00453858" w:rsidRPr="00352815" w:rsidRDefault="00453858">
            <w:pPr>
              <w:spacing w:line="276" w:lineRule="auto"/>
              <w:jc w:val="center"/>
              <w:rPr>
                <w:b/>
                <w:bCs/>
                <w:sz w:val="20"/>
                <w:szCs w:val="20"/>
              </w:rPr>
            </w:pPr>
            <w:r w:rsidRPr="00352815">
              <w:rPr>
                <w:b/>
                <w:bCs/>
                <w:sz w:val="20"/>
                <w:szCs w:val="20"/>
              </w:rPr>
              <w:t>100,0</w:t>
            </w:r>
          </w:p>
        </w:tc>
      </w:tr>
    </w:tbl>
    <w:p w:rsidR="00453858" w:rsidRPr="00453858" w:rsidRDefault="00453858" w:rsidP="00453858">
      <w:pPr>
        <w:jc w:val="both"/>
      </w:pPr>
    </w:p>
    <w:p w:rsidR="00453858" w:rsidRPr="00453858" w:rsidRDefault="00453858" w:rsidP="00453858">
      <w:pPr>
        <w:ind w:firstLine="720"/>
        <w:jc w:val="both"/>
      </w:pPr>
      <w:r w:rsidRPr="00453858">
        <w:t xml:space="preserve">Согласно приведенным данным в 2018 году прогнозируется снижение доходной части областного бюджета на общую сумму 3209,3 млн. руб. (-3,9%). При этом увеличение по налоговым доходам составляет 1898,9 млн. руб. (+3,4%), по неналоговым </w:t>
      </w:r>
      <w:r w:rsidR="00DB7193">
        <w:t>доходам -</w:t>
      </w:r>
      <w:r w:rsidRPr="00453858">
        <w:t xml:space="preserve"> 29,5 млн. руб. (+1,8%), </w:t>
      </w:r>
      <w:r w:rsidR="00DB7193">
        <w:t xml:space="preserve">снижение </w:t>
      </w:r>
      <w:r w:rsidRPr="00453858">
        <w:t xml:space="preserve">по безвозмездным поступлениям </w:t>
      </w:r>
      <w:r w:rsidR="00DB7193">
        <w:t xml:space="preserve">- </w:t>
      </w:r>
      <w:r w:rsidRPr="00453858">
        <w:t>5137,7 млн. руб. (-21,7%).</w:t>
      </w:r>
    </w:p>
    <w:p w:rsidR="00453858" w:rsidRPr="00453858" w:rsidRDefault="00453858" w:rsidP="00453858">
      <w:pPr>
        <w:ind w:firstLine="720"/>
        <w:jc w:val="both"/>
      </w:pPr>
      <w:r w:rsidRPr="00453858">
        <w:t xml:space="preserve">По налоговым и неналоговым доходам на 2019 год прогнозируется увеличение </w:t>
      </w:r>
      <w:r w:rsidR="00DB7193" w:rsidRPr="00453858">
        <w:t xml:space="preserve">относительно 2018 года </w:t>
      </w:r>
      <w:r w:rsidRPr="00453858">
        <w:t xml:space="preserve">на 4429,6 млн. руб. (+7,4%) при росте налоговых доходов на 7,6%, неналоговых - на 0,6 процента. На 2020 год прогнозируется увеличение налоговых и неналоговых доходов </w:t>
      </w:r>
      <w:r w:rsidR="00DB7193" w:rsidRPr="00453858">
        <w:t xml:space="preserve">относительно 2019 года </w:t>
      </w:r>
      <w:r w:rsidRPr="00453858">
        <w:t xml:space="preserve">на 3354,6 млн. руб. (+5,2%) за счет роста налоговых доходов на 5,3%, неналоговых – на 0,6 процента. </w:t>
      </w:r>
    </w:p>
    <w:p w:rsidR="00453858" w:rsidRPr="00453858" w:rsidRDefault="00453858" w:rsidP="00453858">
      <w:pPr>
        <w:pStyle w:val="a5"/>
        <w:tabs>
          <w:tab w:val="num" w:pos="0"/>
        </w:tabs>
        <w:ind w:firstLine="708"/>
        <w:jc w:val="both"/>
        <w:outlineLvl w:val="0"/>
      </w:pPr>
      <w:r w:rsidRPr="00453858">
        <w:t xml:space="preserve">Проанализировав представленные расчеты по налоговым доходам и планируемые поступления неналоговых доходов,  </w:t>
      </w:r>
      <w:r w:rsidRPr="00453858">
        <w:rPr>
          <w:b/>
          <w:i/>
        </w:rPr>
        <w:t>КСП пришла к выводу, что в основном доход</w:t>
      </w:r>
      <w:r w:rsidR="007122D8">
        <w:rPr>
          <w:b/>
          <w:i/>
        </w:rPr>
        <w:t>ы на 2018</w:t>
      </w:r>
      <w:r w:rsidRPr="00453858">
        <w:rPr>
          <w:b/>
          <w:i/>
        </w:rPr>
        <w:t xml:space="preserve"> </w:t>
      </w:r>
      <w:r w:rsidR="007122D8">
        <w:rPr>
          <w:b/>
          <w:i/>
        </w:rPr>
        <w:t xml:space="preserve">год спрогнозированы </w:t>
      </w:r>
      <w:r w:rsidRPr="00453858">
        <w:rPr>
          <w:b/>
          <w:i/>
        </w:rPr>
        <w:t xml:space="preserve">обоснованно. </w:t>
      </w:r>
      <w:r w:rsidRPr="007122D8">
        <w:rPr>
          <w:b/>
          <w:i/>
        </w:rPr>
        <w:t>Вместе с тем</w:t>
      </w:r>
      <w:r w:rsidR="007122D8" w:rsidRPr="007122D8">
        <w:rPr>
          <w:b/>
          <w:i/>
        </w:rPr>
        <w:t xml:space="preserve"> по оценке КСП имеются риски завышения прогноза поступлений по акцизам на пиво.</w:t>
      </w:r>
    </w:p>
    <w:p w:rsidR="00453858" w:rsidRPr="00453858" w:rsidRDefault="00453858" w:rsidP="00453858">
      <w:pPr>
        <w:tabs>
          <w:tab w:val="num" w:pos="0"/>
        </w:tabs>
        <w:ind w:firstLine="708"/>
        <w:jc w:val="both"/>
        <w:outlineLvl w:val="0"/>
      </w:pPr>
      <w:r w:rsidRPr="00453858">
        <w:t xml:space="preserve">Законопроектом предусматриваются прогнозные назначения по акцизам на пиво на </w:t>
      </w:r>
      <w:r w:rsidR="008C0976">
        <w:t xml:space="preserve">  </w:t>
      </w:r>
      <w:r w:rsidRPr="00453858">
        <w:t xml:space="preserve">2018 год в размере 2549,7 млн. руб. (-20,9% к утвержденным назначениям 2017 года), на 2019 год </w:t>
      </w:r>
      <w:r w:rsidR="008C0976">
        <w:t>-</w:t>
      </w:r>
      <w:r w:rsidRPr="00453858">
        <w:t xml:space="preserve"> 2549,4 млн. руб. (практически на уровне 2018 года), на 2020 год</w:t>
      </w:r>
      <w:r w:rsidR="008C0976">
        <w:t xml:space="preserve"> -</w:t>
      </w:r>
      <w:r w:rsidRPr="00453858">
        <w:t xml:space="preserve"> 2660,7 млн. руб. (+4,4% к 2019 году).  </w:t>
      </w:r>
    </w:p>
    <w:p w:rsidR="00453858" w:rsidRPr="00453858" w:rsidRDefault="00453858" w:rsidP="00453858">
      <w:pPr>
        <w:tabs>
          <w:tab w:val="num" w:pos="0"/>
        </w:tabs>
        <w:ind w:firstLine="708"/>
        <w:jc w:val="both"/>
        <w:outlineLvl w:val="0"/>
      </w:pPr>
      <w:r w:rsidRPr="00453858">
        <w:t xml:space="preserve">Ожидаемые поступления акцизов на пиво </w:t>
      </w:r>
      <w:r w:rsidR="008C0976">
        <w:t>в</w:t>
      </w:r>
      <w:r w:rsidRPr="00453858">
        <w:t xml:space="preserve"> 2017 год</w:t>
      </w:r>
      <w:r w:rsidR="008C0976">
        <w:t>у</w:t>
      </w:r>
      <w:r w:rsidRPr="00453858">
        <w:t xml:space="preserve"> </w:t>
      </w:r>
      <w:r w:rsidR="008C0976">
        <w:t>к</w:t>
      </w:r>
      <w:r w:rsidRPr="00453858">
        <w:t xml:space="preserve">омитетом финансов </w:t>
      </w:r>
      <w:r w:rsidR="008C0976">
        <w:t xml:space="preserve">Волгоградской области </w:t>
      </w:r>
      <w:r w:rsidRPr="00453858">
        <w:t xml:space="preserve">не представлены. По </w:t>
      </w:r>
      <w:r w:rsidR="008C0976">
        <w:t>расчетам</w:t>
      </w:r>
      <w:r w:rsidRPr="00453858">
        <w:t xml:space="preserve"> КСП, исходя из фактических поступлений акцизов на пиво за 10 месяцев </w:t>
      </w:r>
      <w:r w:rsidR="008C0976">
        <w:t>текущего</w:t>
      </w:r>
      <w:r w:rsidRPr="00453858">
        <w:t xml:space="preserve"> года в сумме 1586,2 млн. руб., ожидаемые поступления их за 2017 год состав</w:t>
      </w:r>
      <w:r w:rsidR="008C0976">
        <w:t>л</w:t>
      </w:r>
      <w:r w:rsidRPr="00453858">
        <w:t>я</w:t>
      </w:r>
      <w:r w:rsidR="008C0976">
        <w:t>ю</w:t>
      </w:r>
      <w:r w:rsidRPr="00453858">
        <w:t>т 1823,8 млн. руб., что на 1400 млн. руб.</w:t>
      </w:r>
      <w:r w:rsidR="008C0976">
        <w:t xml:space="preserve">, или на </w:t>
      </w:r>
      <w:r w:rsidRPr="00453858">
        <w:t>43,4%</w:t>
      </w:r>
      <w:r w:rsidR="008C0976">
        <w:t xml:space="preserve"> </w:t>
      </w:r>
      <w:r w:rsidR="008C0976" w:rsidRPr="00453858">
        <w:t>ниже</w:t>
      </w:r>
      <w:r w:rsidRPr="00453858">
        <w:t xml:space="preserve"> утвержденных прогнозных назначений. </w:t>
      </w:r>
    </w:p>
    <w:p w:rsidR="008C0976" w:rsidRPr="008C0976" w:rsidRDefault="00453858" w:rsidP="00453858">
      <w:pPr>
        <w:tabs>
          <w:tab w:val="num" w:pos="0"/>
        </w:tabs>
        <w:ind w:firstLine="708"/>
        <w:jc w:val="both"/>
        <w:outlineLvl w:val="0"/>
      </w:pPr>
      <w:r w:rsidRPr="00453858">
        <w:t xml:space="preserve"> </w:t>
      </w:r>
      <w:r w:rsidRPr="008C0976">
        <w:rPr>
          <w:b/>
          <w:i/>
        </w:rPr>
        <w:t>Полагаем, что основания для столь существенного роста акцизов на пиво в 2018 году отсутствуют</w:t>
      </w:r>
      <w:r w:rsidR="008C0976" w:rsidRPr="008C0976">
        <w:rPr>
          <w:b/>
          <w:i/>
        </w:rPr>
        <w:t>.</w:t>
      </w:r>
      <w:r w:rsidR="008C0976">
        <w:t xml:space="preserve"> К такому выводу КСП пришла, исходя из следующих доводов:</w:t>
      </w:r>
    </w:p>
    <w:p w:rsidR="00453858" w:rsidRPr="00453858" w:rsidRDefault="008C0976" w:rsidP="00453858">
      <w:pPr>
        <w:tabs>
          <w:tab w:val="num" w:pos="0"/>
        </w:tabs>
        <w:ind w:firstLine="708"/>
        <w:jc w:val="both"/>
        <w:outlineLvl w:val="0"/>
      </w:pPr>
      <w:r>
        <w:t>-с</w:t>
      </w:r>
      <w:r w:rsidR="00453858" w:rsidRPr="00453858">
        <w:t xml:space="preserve">тавка акциза на пиво в 2018 году планируется на уровне </w:t>
      </w:r>
      <w:r>
        <w:t>текущего</w:t>
      </w:r>
      <w:r w:rsidR="00453858" w:rsidRPr="00453858">
        <w:t xml:space="preserve"> года</w:t>
      </w:r>
      <w:r>
        <w:t xml:space="preserve">, а именно </w:t>
      </w:r>
      <w:r w:rsidR="00453858" w:rsidRPr="00453858">
        <w:t>21 рубль за 1 литр</w:t>
      </w:r>
      <w:r>
        <w:t>;</w:t>
      </w:r>
    </w:p>
    <w:p w:rsidR="00453858" w:rsidRPr="00453858" w:rsidRDefault="008C0976" w:rsidP="00453858">
      <w:pPr>
        <w:tabs>
          <w:tab w:val="num" w:pos="0"/>
        </w:tabs>
        <w:ind w:firstLine="708"/>
        <w:jc w:val="both"/>
        <w:outlineLvl w:val="0"/>
      </w:pPr>
      <w:r>
        <w:t>-ожидаемый рост производства и потребления пива в период</w:t>
      </w:r>
      <w:r w:rsidR="00453858" w:rsidRPr="00453858">
        <w:t xml:space="preserve"> про</w:t>
      </w:r>
      <w:r>
        <w:t>ведения в Волгограде</w:t>
      </w:r>
      <w:r w:rsidR="00453858" w:rsidRPr="00453858">
        <w:t xml:space="preserve"> матч</w:t>
      </w:r>
      <w:r>
        <w:t>ей</w:t>
      </w:r>
      <w:r w:rsidR="00453858" w:rsidRPr="00453858">
        <w:t xml:space="preserve"> группового турнира </w:t>
      </w:r>
      <w:r w:rsidR="001D5C7A">
        <w:t>ч</w:t>
      </w:r>
      <w:r w:rsidR="00453858" w:rsidRPr="00453858">
        <w:t>емпионата мира по футболу (18, 22, 25 и 28 июня</w:t>
      </w:r>
      <w:r w:rsidR="001D5C7A">
        <w:t xml:space="preserve"> 2018 года</w:t>
      </w:r>
      <w:r w:rsidR="00453858" w:rsidRPr="00453858">
        <w:t>)</w:t>
      </w:r>
      <w:r w:rsidR="001D5C7A">
        <w:t>, по оценке КСП, при прогнозировании поступлений акцизов сильно завышен</w:t>
      </w:r>
      <w:r w:rsidR="00453858" w:rsidRPr="00453858">
        <w:t xml:space="preserve">. По статистике рост продаж пивного рынка в период проведения </w:t>
      </w:r>
      <w:r w:rsidR="001D5C7A">
        <w:t>подобных мероприятий</w:t>
      </w:r>
      <w:r w:rsidR="00453858" w:rsidRPr="00453858">
        <w:t xml:space="preserve"> возрастает на 5-6 процентов. При увеличении</w:t>
      </w:r>
      <w:r w:rsidR="001D5C7A">
        <w:t xml:space="preserve"> же </w:t>
      </w:r>
      <w:r w:rsidR="00453858" w:rsidRPr="00453858">
        <w:t xml:space="preserve"> объемов производства </w:t>
      </w:r>
      <w:r w:rsidR="001D5C7A">
        <w:t xml:space="preserve">и потребления </w:t>
      </w:r>
      <w:r w:rsidR="00453858" w:rsidRPr="00453858">
        <w:t xml:space="preserve">пива и </w:t>
      </w:r>
      <w:r w:rsidR="001D5C7A">
        <w:t xml:space="preserve">соответственно </w:t>
      </w:r>
      <w:r w:rsidR="00453858" w:rsidRPr="00453858">
        <w:t xml:space="preserve">поступлений акцизов на пиво на 6% прогнозный показатель может составить ориентировочно 1933 млн. руб., что ниже предусмотренного </w:t>
      </w:r>
      <w:r w:rsidR="001D5C7A">
        <w:t>з</w:t>
      </w:r>
      <w:r w:rsidR="00453858" w:rsidRPr="00453858">
        <w:t xml:space="preserve">аконопроектом показателя на 616,7 млн. рублей.  </w:t>
      </w:r>
    </w:p>
    <w:p w:rsidR="00453858" w:rsidRPr="00453858" w:rsidRDefault="00453858" w:rsidP="00453858">
      <w:pPr>
        <w:tabs>
          <w:tab w:val="num" w:pos="0"/>
        </w:tabs>
        <w:ind w:firstLine="708"/>
        <w:jc w:val="both"/>
        <w:outlineLvl w:val="0"/>
        <w:rPr>
          <w:b/>
          <w:i/>
        </w:rPr>
      </w:pPr>
      <w:r w:rsidRPr="00453858">
        <w:t xml:space="preserve"> Таким образом, </w:t>
      </w:r>
      <w:r w:rsidRPr="00453858">
        <w:rPr>
          <w:b/>
          <w:i/>
        </w:rPr>
        <w:t>имеются риски завышения</w:t>
      </w:r>
      <w:r w:rsidRPr="00453858">
        <w:t xml:space="preserve"> </w:t>
      </w:r>
      <w:r w:rsidRPr="00453858">
        <w:rPr>
          <w:b/>
          <w:i/>
        </w:rPr>
        <w:t xml:space="preserve">прогнозного показателя по акцизам на пиво </w:t>
      </w:r>
      <w:r w:rsidR="001D5C7A">
        <w:rPr>
          <w:b/>
          <w:i/>
        </w:rPr>
        <w:t xml:space="preserve">на 2018 год </w:t>
      </w:r>
      <w:r w:rsidRPr="00453858">
        <w:rPr>
          <w:b/>
          <w:i/>
        </w:rPr>
        <w:t xml:space="preserve">на 616,7 млн. рублей.  </w:t>
      </w:r>
    </w:p>
    <w:p w:rsidR="00453858" w:rsidRPr="00453858" w:rsidRDefault="00453858" w:rsidP="00453858">
      <w:pPr>
        <w:shd w:val="clear" w:color="auto" w:fill="FFFFFF"/>
        <w:ind w:left="11" w:right="11" w:firstLine="680"/>
        <w:jc w:val="both"/>
        <w:rPr>
          <w:b/>
          <w:i/>
          <w:u w:val="single"/>
        </w:rPr>
      </w:pPr>
    </w:p>
    <w:p w:rsidR="00453858" w:rsidRPr="00453858" w:rsidRDefault="00453858" w:rsidP="00453858">
      <w:pPr>
        <w:shd w:val="clear" w:color="auto" w:fill="FFFFFF"/>
        <w:ind w:left="11" w:right="11" w:firstLine="680"/>
        <w:jc w:val="both"/>
        <w:rPr>
          <w:b/>
          <w:i/>
          <w:u w:val="single"/>
        </w:rPr>
      </w:pPr>
      <w:r w:rsidRPr="00453858">
        <w:rPr>
          <w:b/>
          <w:i/>
          <w:u w:val="single"/>
        </w:rPr>
        <w:t>Безвозмездные поступления</w:t>
      </w:r>
    </w:p>
    <w:p w:rsidR="001A47C5" w:rsidRPr="00CA6FDF" w:rsidRDefault="001A47C5" w:rsidP="00453858">
      <w:pPr>
        <w:pStyle w:val="Default"/>
        <w:ind w:firstLine="691"/>
        <w:jc w:val="both"/>
        <w:rPr>
          <w:color w:val="auto"/>
        </w:rPr>
      </w:pPr>
      <w:r w:rsidRPr="00CA6FDF">
        <w:rPr>
          <w:color w:val="auto"/>
        </w:rPr>
        <w:t xml:space="preserve">По оценке Администрации Волгоградской области, представленной с проектом областного бюджета на 2018-2020 годы, в 2017 году </w:t>
      </w:r>
      <w:r w:rsidR="00445391" w:rsidRPr="00CA6FDF">
        <w:rPr>
          <w:color w:val="auto"/>
        </w:rPr>
        <w:t xml:space="preserve">Волгоградская область получит </w:t>
      </w:r>
      <w:r w:rsidR="00CA6FDF">
        <w:rPr>
          <w:color w:val="auto"/>
        </w:rPr>
        <w:t>безвозмездных поступлений</w:t>
      </w:r>
      <w:r w:rsidR="00445391" w:rsidRPr="00CA6FDF">
        <w:rPr>
          <w:color w:val="auto"/>
        </w:rPr>
        <w:t xml:space="preserve"> на общую сумму 23686,6 млн. руб., что на </w:t>
      </w:r>
      <w:r w:rsidR="00CA6FDF">
        <w:rPr>
          <w:color w:val="auto"/>
        </w:rPr>
        <w:t>496,6</w:t>
      </w:r>
      <w:r w:rsidR="00445391" w:rsidRPr="00CA6FDF">
        <w:rPr>
          <w:color w:val="auto"/>
        </w:rPr>
        <w:t xml:space="preserve"> млн. руб. меньше, чем предусмотрено законом о бюджете. Снижение прогноза безвозмездных поступлений относительно </w:t>
      </w:r>
      <w:r w:rsidR="00CA6FDF">
        <w:rPr>
          <w:color w:val="auto"/>
        </w:rPr>
        <w:t xml:space="preserve">утвержденного </w:t>
      </w:r>
      <w:r w:rsidR="00445391" w:rsidRPr="00CA6FDF">
        <w:rPr>
          <w:color w:val="auto"/>
        </w:rPr>
        <w:t>плана обусловлено в основном ожидаемым недопоступлени</w:t>
      </w:r>
      <w:r w:rsidR="00FD1DCC">
        <w:rPr>
          <w:color w:val="auto"/>
        </w:rPr>
        <w:t>ем</w:t>
      </w:r>
      <w:r w:rsidR="00445391" w:rsidRPr="00CA6FDF">
        <w:rPr>
          <w:color w:val="auto"/>
        </w:rPr>
        <w:t xml:space="preserve"> субвенций</w:t>
      </w:r>
      <w:r w:rsidR="00CA6FDF">
        <w:rPr>
          <w:color w:val="auto"/>
        </w:rPr>
        <w:t xml:space="preserve"> </w:t>
      </w:r>
      <w:r w:rsidR="00FD1DCC">
        <w:rPr>
          <w:color w:val="auto"/>
        </w:rPr>
        <w:t xml:space="preserve">из федерального бюджета </w:t>
      </w:r>
      <w:r w:rsidR="00CA6FDF">
        <w:rPr>
          <w:color w:val="auto"/>
        </w:rPr>
        <w:t>на оплату жилищно-коммунальных услуг</w:t>
      </w:r>
      <w:r w:rsidR="00445391" w:rsidRPr="00CA6FDF">
        <w:rPr>
          <w:color w:val="auto"/>
        </w:rPr>
        <w:t xml:space="preserve"> </w:t>
      </w:r>
      <w:r w:rsidR="00CA6FDF">
        <w:rPr>
          <w:color w:val="auto"/>
        </w:rPr>
        <w:t>отдельным категориям граждан (-395 млн. руб.)</w:t>
      </w:r>
    </w:p>
    <w:p w:rsidR="00453858" w:rsidRPr="00453858" w:rsidRDefault="00453858" w:rsidP="00453858">
      <w:pPr>
        <w:pStyle w:val="Default"/>
        <w:ind w:firstLine="691"/>
        <w:jc w:val="both"/>
      </w:pPr>
      <w:r w:rsidRPr="00453858">
        <w:lastRenderedPageBreak/>
        <w:t xml:space="preserve">Согласно </w:t>
      </w:r>
      <w:r w:rsidR="002206A2">
        <w:t>з</w:t>
      </w:r>
      <w:r w:rsidRPr="00453858">
        <w:t xml:space="preserve">аконопроекту прогноз безвозмездных поступлений на 2018 год </w:t>
      </w:r>
      <w:r w:rsidR="002206A2">
        <w:t>составляет</w:t>
      </w:r>
      <w:r w:rsidRPr="00453858">
        <w:t xml:space="preserve"> </w:t>
      </w:r>
      <w:r w:rsidRPr="00453858">
        <w:rPr>
          <w:bCs/>
        </w:rPr>
        <w:t xml:space="preserve">18548,9 </w:t>
      </w:r>
      <w:r w:rsidRPr="00453858">
        <w:t>млн. руб., что на 21,7% меньше оценки 2017 года (23686,6 млн. руб.), из них:</w:t>
      </w:r>
    </w:p>
    <w:p w:rsidR="00453858" w:rsidRPr="00453858" w:rsidRDefault="00453858" w:rsidP="00453858">
      <w:pPr>
        <w:pStyle w:val="Default"/>
        <w:ind w:firstLine="691"/>
        <w:jc w:val="both"/>
      </w:pPr>
      <w:r w:rsidRPr="00453858">
        <w:t>-дотации</w:t>
      </w:r>
      <w:r w:rsidR="002E67BA">
        <w:t xml:space="preserve"> -</w:t>
      </w:r>
      <w:r w:rsidRPr="00453858">
        <w:t xml:space="preserve"> </w:t>
      </w:r>
      <w:r w:rsidRPr="00453858">
        <w:rPr>
          <w:bCs/>
        </w:rPr>
        <w:t>8288,7</w:t>
      </w:r>
      <w:r w:rsidRPr="00453858">
        <w:t xml:space="preserve"> млн. руб.</w:t>
      </w:r>
      <w:r w:rsidR="002E67BA">
        <w:t xml:space="preserve">, или на </w:t>
      </w:r>
      <w:r w:rsidRPr="00453858">
        <w:t>3,4% ниже оценки 2017 года (8586 млн. руб.);</w:t>
      </w:r>
    </w:p>
    <w:p w:rsidR="00453858" w:rsidRPr="00453858" w:rsidRDefault="00453858" w:rsidP="00453858">
      <w:pPr>
        <w:pStyle w:val="Default"/>
        <w:ind w:firstLine="691"/>
        <w:jc w:val="both"/>
      </w:pPr>
      <w:r w:rsidRPr="00453858">
        <w:t xml:space="preserve">-субсидии </w:t>
      </w:r>
      <w:r w:rsidR="002E67BA">
        <w:t>-</w:t>
      </w:r>
      <w:r w:rsidRPr="00453858">
        <w:t xml:space="preserve"> </w:t>
      </w:r>
      <w:r w:rsidRPr="00453858">
        <w:rPr>
          <w:bCs/>
        </w:rPr>
        <w:t xml:space="preserve">4756,1 </w:t>
      </w:r>
      <w:r w:rsidRPr="00453858">
        <w:t xml:space="preserve">млн. руб., </w:t>
      </w:r>
      <w:r w:rsidR="002E67BA">
        <w:t>или</w:t>
      </w:r>
      <w:r w:rsidRPr="00453858">
        <w:t xml:space="preserve"> на 46,8% меньше 2017 года (8946,2 млн. руб.);</w:t>
      </w:r>
    </w:p>
    <w:p w:rsidR="00453858" w:rsidRPr="00453858" w:rsidRDefault="00453858" w:rsidP="00453858">
      <w:pPr>
        <w:pStyle w:val="Default"/>
        <w:ind w:firstLine="691"/>
        <w:jc w:val="both"/>
      </w:pPr>
      <w:r w:rsidRPr="00453858">
        <w:t xml:space="preserve">-субвенции </w:t>
      </w:r>
      <w:r w:rsidR="002E67BA">
        <w:t>-</w:t>
      </w:r>
      <w:r w:rsidRPr="00453858">
        <w:t xml:space="preserve"> </w:t>
      </w:r>
      <w:r w:rsidRPr="00453858">
        <w:rPr>
          <w:bCs/>
        </w:rPr>
        <w:t xml:space="preserve">4429 </w:t>
      </w:r>
      <w:r w:rsidRPr="00453858">
        <w:t xml:space="preserve">млн. руб., </w:t>
      </w:r>
      <w:r w:rsidR="002E67BA">
        <w:t>или</w:t>
      </w:r>
      <w:r w:rsidRPr="00453858">
        <w:t xml:space="preserve"> на 9,2% меньше 2017 года (4054,4 млн. руб.);</w:t>
      </w:r>
    </w:p>
    <w:p w:rsidR="00453858" w:rsidRPr="00453858" w:rsidRDefault="00453858" w:rsidP="00453858">
      <w:pPr>
        <w:pStyle w:val="Default"/>
        <w:ind w:firstLine="691"/>
        <w:jc w:val="both"/>
      </w:pPr>
      <w:r w:rsidRPr="00453858">
        <w:t xml:space="preserve">-иные межбюджетные трансферты </w:t>
      </w:r>
      <w:r w:rsidR="002E67BA">
        <w:t>-</w:t>
      </w:r>
      <w:r w:rsidRPr="00453858">
        <w:t xml:space="preserve"> </w:t>
      </w:r>
      <w:r w:rsidRPr="00453858">
        <w:rPr>
          <w:bCs/>
        </w:rPr>
        <w:t xml:space="preserve">935 </w:t>
      </w:r>
      <w:r w:rsidRPr="00453858">
        <w:t>млн. руб., что на 51,8% меньше оценки 2017 года (1939,4 млн. руб.);</w:t>
      </w:r>
    </w:p>
    <w:p w:rsidR="00453858" w:rsidRPr="00453858" w:rsidRDefault="00453858" w:rsidP="00453858">
      <w:pPr>
        <w:pStyle w:val="Default"/>
        <w:ind w:firstLine="691"/>
        <w:jc w:val="both"/>
        <w:rPr>
          <w:bCs/>
        </w:rPr>
      </w:pPr>
      <w:r w:rsidRPr="00453858">
        <w:t xml:space="preserve">-безвозмездные поступления от негосударственных организаций </w:t>
      </w:r>
      <w:r w:rsidR="002E67BA">
        <w:t>-</w:t>
      </w:r>
      <w:r w:rsidRPr="00453858">
        <w:t xml:space="preserve"> </w:t>
      </w:r>
      <w:r w:rsidRPr="00453858">
        <w:rPr>
          <w:bCs/>
        </w:rPr>
        <w:t xml:space="preserve">10,7 </w:t>
      </w:r>
      <w:r w:rsidRPr="00453858">
        <w:t xml:space="preserve">млн. руб., </w:t>
      </w:r>
      <w:r w:rsidR="002E67BA">
        <w:t>или</w:t>
      </w:r>
      <w:r w:rsidRPr="00453858">
        <w:t xml:space="preserve"> на 48,6% меньше 2017 года (20,8 млн. руб.);</w:t>
      </w:r>
    </w:p>
    <w:p w:rsidR="00453858" w:rsidRPr="00453858" w:rsidRDefault="00453858" w:rsidP="00453858">
      <w:pPr>
        <w:pStyle w:val="Default"/>
        <w:ind w:firstLine="691"/>
        <w:jc w:val="both"/>
        <w:rPr>
          <w:bCs/>
        </w:rPr>
      </w:pPr>
      <w:r w:rsidRPr="00453858">
        <w:rPr>
          <w:bCs/>
        </w:rPr>
        <w:t>-прочие безвозмездные поступления</w:t>
      </w:r>
      <w:r w:rsidR="002E67BA">
        <w:rPr>
          <w:bCs/>
        </w:rPr>
        <w:t xml:space="preserve"> </w:t>
      </w:r>
      <w:r w:rsidRPr="00453858">
        <w:rPr>
          <w:bCs/>
        </w:rPr>
        <w:t>-</w:t>
      </w:r>
      <w:r w:rsidR="002E67BA">
        <w:rPr>
          <w:bCs/>
        </w:rPr>
        <w:t xml:space="preserve"> </w:t>
      </w:r>
      <w:r w:rsidRPr="00453858">
        <w:rPr>
          <w:bCs/>
        </w:rPr>
        <w:t xml:space="preserve">0,1 млн. руб., </w:t>
      </w:r>
      <w:r w:rsidR="002E67BA">
        <w:rPr>
          <w:bCs/>
        </w:rPr>
        <w:t>или</w:t>
      </w:r>
      <w:r w:rsidRPr="00453858">
        <w:rPr>
          <w:bCs/>
        </w:rPr>
        <w:t xml:space="preserve"> на 80%</w:t>
      </w:r>
      <w:r w:rsidRPr="00453858">
        <w:t xml:space="preserve"> меньше оценки 2017 года (0,5 млн. руб.);</w:t>
      </w:r>
    </w:p>
    <w:p w:rsidR="00453858" w:rsidRPr="00453858" w:rsidRDefault="00453858" w:rsidP="00453858">
      <w:pPr>
        <w:pStyle w:val="Default"/>
        <w:ind w:firstLine="691"/>
        <w:jc w:val="both"/>
      </w:pPr>
      <w:r w:rsidRPr="00453858">
        <w:t xml:space="preserve">-доходы от возврата остатков субсидий, субвенций и иных межбюджетных трансфертов </w:t>
      </w:r>
      <w:r w:rsidR="002E67BA">
        <w:t>-</w:t>
      </w:r>
      <w:r w:rsidRPr="00453858">
        <w:t xml:space="preserve"> </w:t>
      </w:r>
      <w:r w:rsidRPr="00453858">
        <w:rPr>
          <w:bCs/>
        </w:rPr>
        <w:t>129,3</w:t>
      </w:r>
      <w:r w:rsidRPr="00453858">
        <w:rPr>
          <w:b/>
          <w:bCs/>
        </w:rPr>
        <w:t xml:space="preserve"> </w:t>
      </w:r>
      <w:r w:rsidRPr="00453858">
        <w:t>млн. руб., что на 73,3% меньше оценки 2017 года (176,4 млн. руб.).</w:t>
      </w:r>
    </w:p>
    <w:p w:rsidR="00453858" w:rsidRPr="00453858" w:rsidRDefault="00453858" w:rsidP="00453858">
      <w:pPr>
        <w:pStyle w:val="Default"/>
        <w:jc w:val="both"/>
        <w:rPr>
          <w:bCs/>
        </w:rPr>
      </w:pPr>
      <w:r w:rsidRPr="00453858">
        <w:rPr>
          <w:b/>
          <w:bCs/>
        </w:rPr>
        <w:tab/>
      </w:r>
      <w:r w:rsidRPr="00453858">
        <w:rPr>
          <w:bCs/>
          <w:u w:val="single"/>
        </w:rPr>
        <w:t>На 2018 год не планируются</w:t>
      </w:r>
      <w:r w:rsidRPr="00453858">
        <w:rPr>
          <w:bCs/>
        </w:rPr>
        <w:t>:</w:t>
      </w:r>
    </w:p>
    <w:p w:rsidR="002E67BA" w:rsidRDefault="00453858" w:rsidP="00453858">
      <w:pPr>
        <w:autoSpaceDE w:val="0"/>
        <w:autoSpaceDN w:val="0"/>
        <w:adjustRightInd w:val="0"/>
        <w:ind w:firstLine="709"/>
        <w:jc w:val="both"/>
        <w:rPr>
          <w:bCs/>
        </w:rPr>
      </w:pPr>
      <w:r w:rsidRPr="00453858">
        <w:rPr>
          <w:bCs/>
        </w:rPr>
        <w:t>-безвозмездные поступления от государственных (муниципальных) организаций</w:t>
      </w:r>
      <w:r w:rsidR="002E67BA">
        <w:rPr>
          <w:bCs/>
        </w:rPr>
        <w:t>.</w:t>
      </w:r>
    </w:p>
    <w:p w:rsidR="00453858" w:rsidRPr="00453858" w:rsidRDefault="00FC6B39" w:rsidP="00453858">
      <w:pPr>
        <w:autoSpaceDE w:val="0"/>
        <w:autoSpaceDN w:val="0"/>
        <w:adjustRightInd w:val="0"/>
        <w:ind w:firstLine="709"/>
        <w:jc w:val="both"/>
        <w:rPr>
          <w:bCs/>
        </w:rPr>
      </w:pPr>
      <w:r>
        <w:rPr>
          <w:bCs/>
        </w:rPr>
        <w:t>В</w:t>
      </w:r>
      <w:r w:rsidR="00453858" w:rsidRPr="00453858">
        <w:rPr>
          <w:bCs/>
        </w:rPr>
        <w:t xml:space="preserve"> 2017 год</w:t>
      </w:r>
      <w:r>
        <w:rPr>
          <w:bCs/>
        </w:rPr>
        <w:t>у такие поступления</w:t>
      </w:r>
      <w:r w:rsidR="00453858" w:rsidRPr="00453858">
        <w:rPr>
          <w:bCs/>
        </w:rPr>
        <w:t xml:space="preserve"> ожидаются в сумме 21,1 млн. руб.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w:t>
      </w:r>
      <w:r>
        <w:rPr>
          <w:bCs/>
        </w:rPr>
        <w:t>Однако с</w:t>
      </w:r>
      <w:r w:rsidR="00453858" w:rsidRPr="00453858">
        <w:rPr>
          <w:bCs/>
        </w:rPr>
        <w:t xml:space="preserve"> 2018 года деятельность указанного </w:t>
      </w:r>
      <w:r>
        <w:rPr>
          <w:bCs/>
        </w:rPr>
        <w:t>Ф</w:t>
      </w:r>
      <w:r w:rsidR="00453858" w:rsidRPr="00453858">
        <w:rPr>
          <w:bCs/>
        </w:rPr>
        <w:t>онда прекращается в связи с завершением в 2017 году мероприятий, связанных с переселением граждан из жилья, признанного аварийным до 01.01.2012 (п</w:t>
      </w:r>
      <w:r>
        <w:rPr>
          <w:bCs/>
        </w:rPr>
        <w:t>ункт</w:t>
      </w:r>
      <w:r w:rsidR="00453858" w:rsidRPr="00453858">
        <w:rPr>
          <w:bCs/>
        </w:rPr>
        <w:t xml:space="preserve"> 1 ст</w:t>
      </w:r>
      <w:r>
        <w:rPr>
          <w:bCs/>
        </w:rPr>
        <w:t>атьи</w:t>
      </w:r>
      <w:r w:rsidR="00453858" w:rsidRPr="00453858">
        <w:rPr>
          <w:bCs/>
        </w:rPr>
        <w:t xml:space="preserve"> 25 </w:t>
      </w:r>
      <w:r w:rsidR="00453858" w:rsidRPr="00453858">
        <w:rPr>
          <w:rFonts w:eastAsia="Calibri"/>
          <w:bCs/>
        </w:rPr>
        <w:t>Федерального закона от 21.07.2007 №185-ФЗ «О Фонде содействия реформированию жилищно-коммунального хозяйства»</w:t>
      </w:r>
      <w:r w:rsidR="00453858" w:rsidRPr="00453858">
        <w:rPr>
          <w:bCs/>
        </w:rPr>
        <w:t>);</w:t>
      </w:r>
    </w:p>
    <w:p w:rsidR="00453858" w:rsidRPr="00453858" w:rsidRDefault="00453858" w:rsidP="00453858">
      <w:pPr>
        <w:pStyle w:val="Default"/>
        <w:ind w:firstLine="708"/>
        <w:jc w:val="both"/>
        <w:rPr>
          <w:bCs/>
        </w:rPr>
      </w:pPr>
      <w:r w:rsidRPr="00453858">
        <w:rPr>
          <w:bCs/>
        </w:rPr>
        <w:t>-</w:t>
      </w:r>
      <w:r w:rsidRPr="00453858">
        <w:t>п</w:t>
      </w:r>
      <w:r w:rsidRPr="00453858">
        <w:rPr>
          <w:bCs/>
        </w:rPr>
        <w:t>рочие безвозмездные поступления от других бюджетов бюджетной системы</w:t>
      </w:r>
      <w:r w:rsidR="00FC6B39">
        <w:rPr>
          <w:bCs/>
        </w:rPr>
        <w:t xml:space="preserve"> РФ. В</w:t>
      </w:r>
      <w:r w:rsidRPr="00453858">
        <w:rPr>
          <w:bCs/>
        </w:rPr>
        <w:t xml:space="preserve"> 2017 год</w:t>
      </w:r>
      <w:r w:rsidR="00FC6B39">
        <w:rPr>
          <w:bCs/>
        </w:rPr>
        <w:t>у эти поступления</w:t>
      </w:r>
      <w:r w:rsidRPr="00453858">
        <w:rPr>
          <w:bCs/>
        </w:rPr>
        <w:t xml:space="preserve"> ожидаются в сумме 0,8 млн. руб. за счет поступлений от бюджета Пенсионного фонда РФ.</w:t>
      </w:r>
    </w:p>
    <w:p w:rsidR="00453858" w:rsidRPr="00453858" w:rsidRDefault="00453858" w:rsidP="00453858">
      <w:pPr>
        <w:pStyle w:val="Default"/>
        <w:ind w:firstLine="708"/>
        <w:jc w:val="both"/>
      </w:pPr>
      <w:r w:rsidRPr="00453858">
        <w:t xml:space="preserve">Также необходимо отметить, что </w:t>
      </w:r>
      <w:r>
        <w:t>з</w:t>
      </w:r>
      <w:r w:rsidRPr="00453858">
        <w:t xml:space="preserve">аконопроектом не предусмотрены прогнозные назначения по безвозмездным </w:t>
      </w:r>
      <w:r w:rsidRPr="00453858">
        <w:rPr>
          <w:bCs/>
        </w:rPr>
        <w:t>поступлениям в виде в</w:t>
      </w:r>
      <w:r w:rsidRPr="00453858">
        <w:t xml:space="preserve">озврата </w:t>
      </w:r>
      <w:r w:rsidR="002E67BA">
        <w:t xml:space="preserve">в федеральный бюджет </w:t>
      </w:r>
      <w:r w:rsidRPr="00453858">
        <w:t>остатков</w:t>
      </w:r>
      <w:r w:rsidR="002E67BA">
        <w:t xml:space="preserve"> неиспользованных</w:t>
      </w:r>
      <w:r w:rsidRPr="00453858">
        <w:t xml:space="preserve"> субсидий, субвенций и иных межбюджетных трансфертов (по оценке на 2017 год </w:t>
      </w:r>
      <w:r>
        <w:t xml:space="preserve">такие возвраты </w:t>
      </w:r>
      <w:r w:rsidRPr="00453858">
        <w:t>составляют (-</w:t>
      </w:r>
      <w:r w:rsidR="00357858">
        <w:t>)</w:t>
      </w:r>
      <w:r w:rsidRPr="00453858">
        <w:t>59 млн. руб.</w:t>
      </w:r>
      <w:r w:rsidR="00357858">
        <w:t>)</w:t>
      </w:r>
      <w:r w:rsidR="002E67BA">
        <w:t>.</w:t>
      </w:r>
      <w:r w:rsidRPr="00453858">
        <w:t xml:space="preserve"> </w:t>
      </w:r>
      <w:r w:rsidR="00357858">
        <w:t xml:space="preserve">Данный факт </w:t>
      </w:r>
      <w:r w:rsidRPr="00453858">
        <w:rPr>
          <w:bCs/>
        </w:rPr>
        <w:t>свидетельствует о несоблюдении принципа полноты отражения доходов бюджета, определенного ст</w:t>
      </w:r>
      <w:r>
        <w:rPr>
          <w:bCs/>
        </w:rPr>
        <w:t>атьей</w:t>
      </w:r>
      <w:r w:rsidRPr="00453858">
        <w:rPr>
          <w:bCs/>
        </w:rPr>
        <w:t xml:space="preserve"> 32 БК РФ</w:t>
      </w:r>
      <w:r>
        <w:rPr>
          <w:bCs/>
        </w:rPr>
        <w:t>.</w:t>
      </w:r>
      <w:r w:rsidRPr="00453858">
        <w:rPr>
          <w:bCs/>
        </w:rPr>
        <w:t xml:space="preserve"> </w:t>
      </w:r>
      <w:r w:rsidR="000A66F7">
        <w:rPr>
          <w:bCs/>
        </w:rPr>
        <w:t>Кроме того, необходимо отметить, что н</w:t>
      </w:r>
      <w:r>
        <w:rPr>
          <w:bCs/>
        </w:rPr>
        <w:t xml:space="preserve">а </w:t>
      </w:r>
      <w:r w:rsidR="00357858">
        <w:rPr>
          <w:bCs/>
        </w:rPr>
        <w:t>это</w:t>
      </w:r>
      <w:r>
        <w:rPr>
          <w:bCs/>
        </w:rPr>
        <w:t xml:space="preserve"> нарушение КСП обращает внимание</w:t>
      </w:r>
      <w:r w:rsidRPr="00453858">
        <w:rPr>
          <w:bCs/>
        </w:rPr>
        <w:t xml:space="preserve"> на протяжении ряда лет при экспертизе </w:t>
      </w:r>
      <w:r>
        <w:rPr>
          <w:bCs/>
        </w:rPr>
        <w:t>з</w:t>
      </w:r>
      <w:r w:rsidRPr="00453858">
        <w:rPr>
          <w:bCs/>
        </w:rPr>
        <w:t>аконопроектов о бюджете Волгоградской области</w:t>
      </w:r>
      <w:r>
        <w:rPr>
          <w:bCs/>
        </w:rPr>
        <w:t xml:space="preserve">, однако оно не устранено и во внесенном </w:t>
      </w:r>
      <w:r w:rsidR="002E67BA">
        <w:rPr>
          <w:bCs/>
        </w:rPr>
        <w:t>законо</w:t>
      </w:r>
      <w:r>
        <w:rPr>
          <w:bCs/>
        </w:rPr>
        <w:t>проекте</w:t>
      </w:r>
      <w:r w:rsidRPr="00453858">
        <w:rPr>
          <w:bCs/>
        </w:rPr>
        <w:t>.</w:t>
      </w:r>
    </w:p>
    <w:p w:rsidR="00453858" w:rsidRPr="00352815" w:rsidRDefault="00453858" w:rsidP="00453858">
      <w:pPr>
        <w:jc w:val="both"/>
        <w:rPr>
          <w:b/>
          <w:i/>
          <w:color w:val="000000"/>
        </w:rPr>
      </w:pPr>
      <w:r w:rsidRPr="00453858">
        <w:tab/>
        <w:t xml:space="preserve">Объемы </w:t>
      </w:r>
      <w:r w:rsidR="00357858">
        <w:t>возвращенных межбюджетных трансфертов за</w:t>
      </w:r>
      <w:r w:rsidRPr="00453858">
        <w:t xml:space="preserve">  2015, 2016 и 9 мес</w:t>
      </w:r>
      <w:r w:rsidR="00357858">
        <w:t xml:space="preserve">яцев </w:t>
      </w:r>
      <w:r w:rsidRPr="00453858">
        <w:t>201</w:t>
      </w:r>
      <w:r w:rsidR="00357858">
        <w:t>7</w:t>
      </w:r>
      <w:r w:rsidRPr="00453858">
        <w:t xml:space="preserve"> года составили </w:t>
      </w:r>
      <w:r w:rsidR="00357858">
        <w:t xml:space="preserve">соответственно </w:t>
      </w:r>
      <w:r w:rsidRPr="00453858">
        <w:rPr>
          <w:color w:val="000000"/>
        </w:rPr>
        <w:t>(-)639,6 млн.</w:t>
      </w:r>
      <w:r w:rsidR="00357858">
        <w:rPr>
          <w:color w:val="000000"/>
        </w:rPr>
        <w:t xml:space="preserve"> </w:t>
      </w:r>
      <w:r w:rsidRPr="00453858">
        <w:rPr>
          <w:color w:val="000000"/>
        </w:rPr>
        <w:t>руб., (-</w:t>
      </w:r>
      <w:r w:rsidR="00357858">
        <w:rPr>
          <w:color w:val="000000"/>
        </w:rPr>
        <w:t>)268 млн. руб. и (-)59 млн. рублей</w:t>
      </w:r>
      <w:r w:rsidRPr="00453858">
        <w:rPr>
          <w:color w:val="000000"/>
        </w:rPr>
        <w:t xml:space="preserve">. </w:t>
      </w:r>
      <w:r w:rsidRPr="00352815">
        <w:rPr>
          <w:b/>
          <w:i/>
          <w:color w:val="000000"/>
        </w:rPr>
        <w:t xml:space="preserve">Указанные поступления со знаком «минус» уменьшают общую сумму доходов областного бюджета, соответственно нарушается сбалансированность доходов и расходов бюджета.  </w:t>
      </w:r>
    </w:p>
    <w:p w:rsidR="00A61FFB" w:rsidRDefault="00A61FFB" w:rsidP="001B2185">
      <w:pPr>
        <w:jc w:val="center"/>
        <w:rPr>
          <w:b/>
          <w:i/>
          <w:u w:val="single"/>
        </w:rPr>
      </w:pPr>
    </w:p>
    <w:p w:rsidR="001B2185" w:rsidRPr="001B2185" w:rsidRDefault="001B2185" w:rsidP="001B2185">
      <w:pPr>
        <w:jc w:val="center"/>
        <w:rPr>
          <w:b/>
          <w:i/>
          <w:u w:val="single"/>
        </w:rPr>
      </w:pPr>
      <w:r w:rsidRPr="001B2185">
        <w:rPr>
          <w:b/>
          <w:i/>
          <w:u w:val="single"/>
        </w:rPr>
        <w:t>Оценка налоговых льгот</w:t>
      </w:r>
    </w:p>
    <w:p w:rsidR="001B2185" w:rsidRPr="00DE7BD4" w:rsidRDefault="001B2185" w:rsidP="001B2185">
      <w:pPr>
        <w:spacing w:line="240" w:lineRule="atLeast"/>
        <w:ind w:firstLine="567"/>
        <w:jc w:val="both"/>
      </w:pPr>
      <w:r w:rsidRPr="00DE7BD4">
        <w:tab/>
        <w:t xml:space="preserve">Налоговые льготы, предоставляемые отдельным категориям налогоплательщиков как федеральным, так и областным законодательством оказывают существенное влияние на доходную часть областного бюджета. </w:t>
      </w:r>
    </w:p>
    <w:p w:rsidR="001B2185" w:rsidRPr="00DE7BD4" w:rsidRDefault="001B2185" w:rsidP="001B2185">
      <w:pPr>
        <w:spacing w:line="240" w:lineRule="atLeast"/>
        <w:ind w:firstLine="567"/>
        <w:jc w:val="both"/>
      </w:pPr>
      <w:r w:rsidRPr="00DE7BD4">
        <w:tab/>
        <w:t>По оценке Администрации области выпадающие доходы областного бюджета от предоставления налоговых льгот в 201</w:t>
      </w:r>
      <w:r>
        <w:t>8</w:t>
      </w:r>
      <w:r w:rsidRPr="00DE7BD4">
        <w:t xml:space="preserve"> году составят </w:t>
      </w:r>
      <w:r>
        <w:t>10250,6</w:t>
      </w:r>
      <w:r w:rsidRPr="00DE7BD4">
        <w:t xml:space="preserve"> млн. руб., </w:t>
      </w:r>
      <w:r>
        <w:t>в том числе</w:t>
      </w:r>
      <w:r w:rsidRPr="00DE7BD4">
        <w:t xml:space="preserve"> в соответствии с федеральным законодательством </w:t>
      </w:r>
      <w:r>
        <w:t>-</w:t>
      </w:r>
      <w:r w:rsidRPr="00DE7BD4">
        <w:t xml:space="preserve"> </w:t>
      </w:r>
      <w:r>
        <w:t>6314</w:t>
      </w:r>
      <w:r w:rsidRPr="00DE7BD4">
        <w:t xml:space="preserve"> млн. руб., или 6</w:t>
      </w:r>
      <w:r>
        <w:t>1</w:t>
      </w:r>
      <w:r w:rsidRPr="00DE7BD4">
        <w:t>,</w:t>
      </w:r>
      <w:r>
        <w:t>6</w:t>
      </w:r>
      <w:r w:rsidRPr="00DE7BD4">
        <w:t>% общей сум</w:t>
      </w:r>
      <w:r>
        <w:t>мы</w:t>
      </w:r>
      <w:r w:rsidRPr="00DE7BD4">
        <w:t>. В 201</w:t>
      </w:r>
      <w:r>
        <w:t>9</w:t>
      </w:r>
      <w:r w:rsidRPr="00DE7BD4">
        <w:t xml:space="preserve"> году общая сумма льгот прогнозируется в размере </w:t>
      </w:r>
      <w:r>
        <w:t>8409</w:t>
      </w:r>
      <w:r w:rsidRPr="00DE7BD4">
        <w:t>,</w:t>
      </w:r>
      <w:r>
        <w:t>3</w:t>
      </w:r>
      <w:r w:rsidRPr="00DE7BD4">
        <w:t xml:space="preserve"> млн. руб. (в том числе по федеральному законодательству </w:t>
      </w:r>
      <w:r>
        <w:t>-</w:t>
      </w:r>
      <w:r w:rsidRPr="00DE7BD4">
        <w:t xml:space="preserve"> </w:t>
      </w:r>
      <w:r>
        <w:t>4591</w:t>
      </w:r>
      <w:r w:rsidRPr="00DE7BD4">
        <w:t>,</w:t>
      </w:r>
      <w:r>
        <w:t>1</w:t>
      </w:r>
      <w:r w:rsidRPr="00DE7BD4">
        <w:t xml:space="preserve"> млн. руб., или 5</w:t>
      </w:r>
      <w:r>
        <w:t>4</w:t>
      </w:r>
      <w:r w:rsidRPr="00DE7BD4">
        <w:t>,</w:t>
      </w:r>
      <w:r>
        <w:t>6</w:t>
      </w:r>
      <w:r w:rsidRPr="00DE7BD4">
        <w:t>%), в 20</w:t>
      </w:r>
      <w:r>
        <w:t>20</w:t>
      </w:r>
      <w:r w:rsidRPr="00DE7BD4">
        <w:t xml:space="preserve"> году </w:t>
      </w:r>
      <w:r>
        <w:t>-</w:t>
      </w:r>
      <w:r w:rsidRPr="00DE7BD4">
        <w:t xml:space="preserve"> </w:t>
      </w:r>
      <w:r>
        <w:t>8 125,3</w:t>
      </w:r>
      <w:r w:rsidRPr="00DE7BD4">
        <w:t xml:space="preserve"> млн. руб. (в том числе по федеральному законодательству </w:t>
      </w:r>
      <w:r>
        <w:t>-</w:t>
      </w:r>
      <w:r w:rsidRPr="00DE7BD4">
        <w:t xml:space="preserve"> </w:t>
      </w:r>
      <w:r>
        <w:t>4107,2</w:t>
      </w:r>
      <w:r w:rsidRPr="00DE7BD4">
        <w:t xml:space="preserve"> млн. руб., или </w:t>
      </w:r>
      <w:r>
        <w:t>50,5</w:t>
      </w:r>
      <w:r w:rsidRPr="00DE7BD4">
        <w:t>%).</w:t>
      </w:r>
    </w:p>
    <w:p w:rsidR="001B2185" w:rsidRDefault="001B2185" w:rsidP="001B2185">
      <w:pPr>
        <w:spacing w:line="240" w:lineRule="atLeast"/>
        <w:ind w:firstLine="567"/>
        <w:jc w:val="both"/>
      </w:pPr>
      <w:r w:rsidRPr="00DE7BD4">
        <w:t xml:space="preserve">Наибольшую долю в объеме федеральных льгот </w:t>
      </w:r>
      <w:r>
        <w:t xml:space="preserve">в 2018 году занимают льготы по налогу на имущество организаций </w:t>
      </w:r>
      <w:r w:rsidR="00491AAF">
        <w:t>-</w:t>
      </w:r>
      <w:r>
        <w:t xml:space="preserve"> 2682,2 млн. руб. (42,5%) и по НДФЛ - 2010 млн. руб. </w:t>
      </w:r>
      <w:r>
        <w:lastRenderedPageBreak/>
        <w:t>(31,8%), в 2018-2019 годах - наибольшую долю занимает НДФЛ (2094,9 млн. руб., или 45,6% и 2182,6 млн. руб., или 53,1% соответственно).</w:t>
      </w:r>
    </w:p>
    <w:p w:rsidR="001B2185" w:rsidRPr="00DE7BD4" w:rsidRDefault="001B2185" w:rsidP="001B2185">
      <w:pPr>
        <w:autoSpaceDE w:val="0"/>
        <w:autoSpaceDN w:val="0"/>
        <w:adjustRightInd w:val="0"/>
        <w:spacing w:line="240" w:lineRule="atLeast"/>
        <w:ind w:firstLine="567"/>
        <w:jc w:val="both"/>
      </w:pPr>
      <w:r w:rsidRPr="00DE7BD4">
        <w:tab/>
        <w:t>Объем налоговых льгот, предоставленных законодательством Волгоградской области, на 201</w:t>
      </w:r>
      <w:r>
        <w:t>8</w:t>
      </w:r>
      <w:r w:rsidRPr="00DE7BD4">
        <w:t xml:space="preserve"> год прогнозируется в сумме </w:t>
      </w:r>
      <w:r>
        <w:t>3936</w:t>
      </w:r>
      <w:r w:rsidRPr="00DE7BD4">
        <w:t>,</w:t>
      </w:r>
      <w:r>
        <w:t>6</w:t>
      </w:r>
      <w:r w:rsidRPr="00DE7BD4">
        <w:t xml:space="preserve"> млн. руб., на 201</w:t>
      </w:r>
      <w:r>
        <w:t>9</w:t>
      </w:r>
      <w:r w:rsidRPr="00DE7BD4">
        <w:t xml:space="preserve"> год </w:t>
      </w:r>
      <w:r w:rsidR="00491AAF">
        <w:t>-</w:t>
      </w:r>
      <w:r w:rsidRPr="00DE7BD4">
        <w:t xml:space="preserve"> </w:t>
      </w:r>
      <w:r>
        <w:t>3818,2</w:t>
      </w:r>
      <w:r w:rsidRPr="00DE7BD4">
        <w:t xml:space="preserve"> млн. руб., на 20</w:t>
      </w:r>
      <w:r>
        <w:t>20</w:t>
      </w:r>
      <w:r w:rsidRPr="00DE7BD4">
        <w:t xml:space="preserve"> год </w:t>
      </w:r>
      <w:r w:rsidR="00491AAF">
        <w:t>-</w:t>
      </w:r>
      <w:r w:rsidRPr="00DE7BD4">
        <w:t xml:space="preserve"> </w:t>
      </w:r>
      <w:r>
        <w:t>4018,1</w:t>
      </w:r>
      <w:r w:rsidRPr="00DE7BD4">
        <w:t xml:space="preserve"> млн. руб., или соответственно </w:t>
      </w:r>
      <w:r>
        <w:t>6</w:t>
      </w:r>
      <w:r w:rsidRPr="00DE7BD4">
        <w:t>,</w:t>
      </w:r>
      <w:r>
        <w:t>8</w:t>
      </w:r>
      <w:r w:rsidRPr="00DE7BD4">
        <w:t xml:space="preserve">%, </w:t>
      </w:r>
      <w:r>
        <w:t>6,1</w:t>
      </w:r>
      <w:r w:rsidRPr="00DE7BD4">
        <w:t xml:space="preserve">% и </w:t>
      </w:r>
      <w:r>
        <w:t>6,1</w:t>
      </w:r>
      <w:r w:rsidRPr="00DE7BD4">
        <w:t>% от налоговых доходов областного бюджета.</w:t>
      </w:r>
    </w:p>
    <w:p w:rsidR="001B2185" w:rsidRDefault="001B2185" w:rsidP="001B2185">
      <w:pPr>
        <w:ind w:firstLine="708"/>
        <w:jc w:val="both"/>
      </w:pPr>
      <w:r>
        <w:t>Основная доля потерь бюджета образовалась от предоставления льготы по налогу на имущество</w:t>
      </w:r>
      <w:r w:rsidR="00491AAF">
        <w:t xml:space="preserve"> организаций</w:t>
      </w:r>
      <w:r>
        <w:t xml:space="preserve">. </w:t>
      </w:r>
      <w:r w:rsidR="00491AAF">
        <w:t>Так, о</w:t>
      </w:r>
      <w:r>
        <w:t xml:space="preserve">бъем налоговых льгот по налогу на имущество, предоставленных законодательством Волгоградской области, на 2018 год прогнозируется в сумме 3831,5 млн. руб., на 2019 год </w:t>
      </w:r>
      <w:r w:rsidR="00491AAF">
        <w:t>-</w:t>
      </w:r>
      <w:r>
        <w:t xml:space="preserve"> 3670 млн. руб., в 2020 году </w:t>
      </w:r>
      <w:r w:rsidR="00491AAF">
        <w:t>-</w:t>
      </w:r>
      <w:r>
        <w:t xml:space="preserve"> 3767,4 млн. руб., или соответственно 97,3%, 96,1 и 93,8% от общей суммы льгот, предоставленных региональным законодательством.</w:t>
      </w:r>
    </w:p>
    <w:p w:rsidR="001B2185" w:rsidRDefault="001B2185" w:rsidP="001B2185">
      <w:pPr>
        <w:ind w:firstLine="708"/>
        <w:jc w:val="both"/>
      </w:pPr>
      <w:r w:rsidRPr="00DE7BD4">
        <w:t xml:space="preserve">В целом при сравнении </w:t>
      </w:r>
      <w:r w:rsidRPr="00515637">
        <w:t>прогнозных показателей на 2018 год с оценкой потерь бюджета от предоставления льгот на 2017 год, представленной к бюджету на 2017-2019 годы, наблюдается увеличение выпадающих доходов бюджета от предоставления льгот в 2018 году на 5807,</w:t>
      </w:r>
      <w:r>
        <w:t>8 млн. руб. (+230,7%). В 2019-2020 годах прогнозируется снижение выпадающих доходов на 1841,3 млн. руб. (</w:t>
      </w:r>
      <w:r w:rsidR="00491AAF">
        <w:t>-</w:t>
      </w:r>
      <w:r>
        <w:t>82%) и на 284 млн. руб. (</w:t>
      </w:r>
      <w:r w:rsidR="00491AAF">
        <w:t>-</w:t>
      </w:r>
      <w:r>
        <w:t xml:space="preserve">96,6%). </w:t>
      </w:r>
    </w:p>
    <w:p w:rsidR="001B2185" w:rsidRPr="00FC3958" w:rsidRDefault="001B2185" w:rsidP="001B2185">
      <w:pPr>
        <w:ind w:firstLine="708"/>
        <w:jc w:val="both"/>
      </w:pPr>
      <w:r>
        <w:t xml:space="preserve">Из общей суммы увеличения выпадающих доходов в 2018 году потери по налогу на имущество организаций составляют 4254,8 млн. руб. (73,3%), </w:t>
      </w:r>
      <w:r w:rsidRPr="00FC3958">
        <w:t>что связано с внесением изменений в ст</w:t>
      </w:r>
      <w:r w:rsidR="00277EBB">
        <w:t>атью</w:t>
      </w:r>
      <w:r w:rsidRPr="00FC3958">
        <w:t xml:space="preserve"> 2 Закона Волгоградской области от 28.11.2003 №888-ОД «О налоге на имущество организаций» в части освобождения от налогообложения организаций, реализующих инвестиционные проекты, в отношении модернизированного</w:t>
      </w:r>
      <w:r w:rsidR="00277EBB">
        <w:t>,</w:t>
      </w:r>
      <w:r w:rsidRPr="00FC3958">
        <w:t xml:space="preserve"> и (или) реконструированного, и (или) технически перевооруженного имущества для реализации инвестиционного проекта, которые введены в действие Законом Волгоградской области от 06.02.2017 №11-ОД. В связи с указанным изменением регионального законодательства в 2018 году прогнозируется увеличение выпадающих доходов от предоставления льготы</w:t>
      </w:r>
      <w:r w:rsidR="00277EBB">
        <w:t xml:space="preserve"> по налогу на имущество организаций</w:t>
      </w:r>
      <w:r w:rsidRPr="00FC3958">
        <w:t xml:space="preserve"> на 2358,4 млн. рублей. </w:t>
      </w:r>
    </w:p>
    <w:p w:rsidR="001B2185" w:rsidRDefault="001B2185" w:rsidP="001B2185">
      <w:pPr>
        <w:ind w:firstLine="708"/>
        <w:jc w:val="both"/>
      </w:pPr>
      <w:r w:rsidRPr="00FC3958">
        <w:t xml:space="preserve">В 2019-2020 годах в сравнении с предыдущим годом прогнозируется уменьшение потерь по налогу на имущество на 2057,8 млн. руб. и 572,9 млн. руб. соответственно. Это объясняется отменой на федеральном уровне с </w:t>
      </w:r>
      <w:r w:rsidR="00277EBB">
        <w:t>0</w:t>
      </w:r>
      <w:r w:rsidRPr="00FC3958">
        <w:t>1</w:t>
      </w:r>
      <w:r w:rsidR="00277EBB">
        <w:t>.01.</w:t>
      </w:r>
      <w:r w:rsidRPr="00FC3958">
        <w:t xml:space="preserve">2019 налоговой льготы в отношении движимого имущества, принятого с </w:t>
      </w:r>
      <w:r w:rsidR="00277EBB">
        <w:t>0</w:t>
      </w:r>
      <w:r w:rsidRPr="00FC3958">
        <w:t>1</w:t>
      </w:r>
      <w:r w:rsidR="00277EBB">
        <w:t>.01.</w:t>
      </w:r>
      <w:r w:rsidRPr="00FC3958">
        <w:t>2013 на учет в качестве основных средств.</w:t>
      </w:r>
    </w:p>
    <w:p w:rsidR="001B2185" w:rsidRPr="00837983" w:rsidRDefault="001B2185" w:rsidP="001B2185">
      <w:pPr>
        <w:ind w:firstLine="708"/>
        <w:jc w:val="both"/>
      </w:pPr>
      <w:r>
        <w:t xml:space="preserve">Как следует из оценки эффективности налоговых льгот, предоставленных </w:t>
      </w:r>
      <w:r w:rsidRPr="000708A3">
        <w:t>законодательством Волгоградской области за 2016 год, основная сумма льгот приходится на</w:t>
      </w:r>
      <w:r w:rsidRPr="00837983">
        <w:t xml:space="preserve"> организации, реализующие инвестиционные проекты в соответствии с </w:t>
      </w:r>
      <w:hyperlink r:id="rId9" w:history="1">
        <w:r w:rsidRPr="00837983">
          <w:t>Законом</w:t>
        </w:r>
      </w:hyperlink>
      <w:r w:rsidRPr="00837983">
        <w:t xml:space="preserve"> Волгоградской области от 02</w:t>
      </w:r>
      <w:r>
        <w:t>.03.2010 №2010-ОД «</w:t>
      </w:r>
      <w:r w:rsidRPr="00837983">
        <w:t>О государственной поддержке инвестиционной деятельности на т</w:t>
      </w:r>
      <w:r>
        <w:t>ерритории Волгоградской области»</w:t>
      </w:r>
      <w:r w:rsidRPr="00837983">
        <w:t>, в отношении имущества, созданного в процессе реализации инвестиционного проекта.</w:t>
      </w:r>
    </w:p>
    <w:p w:rsidR="001B2185" w:rsidRPr="00382B32" w:rsidRDefault="00BA2BA8" w:rsidP="001B2185">
      <w:pPr>
        <w:ind w:firstLine="709"/>
        <w:jc w:val="both"/>
      </w:pPr>
      <w:r>
        <w:t>Н</w:t>
      </w:r>
      <w:r w:rsidR="001B2185" w:rsidRPr="00382B32">
        <w:t>а 201</w:t>
      </w:r>
      <w:r w:rsidR="001B2185">
        <w:t>8</w:t>
      </w:r>
      <w:r w:rsidR="001B2185" w:rsidRPr="00382B32">
        <w:t>-20</w:t>
      </w:r>
      <w:r w:rsidR="001B2185">
        <w:t>20</w:t>
      </w:r>
      <w:r w:rsidR="001B2185" w:rsidRPr="00382B32">
        <w:t xml:space="preserve"> годы прогнозируется значительное увеличение потерь бюджета от предоставления льгот по налогу на имущество организациям, реализующим инвестиционные проекты. Вместе с тем в документах, вн</w:t>
      </w:r>
      <w:r>
        <w:t>есенных</w:t>
      </w:r>
      <w:r w:rsidR="001B2185" w:rsidRPr="00382B32">
        <w:t xml:space="preserve"> с </w:t>
      </w:r>
      <w:r>
        <w:t>з</w:t>
      </w:r>
      <w:r w:rsidR="001B2185" w:rsidRPr="00382B32">
        <w:t>аконопроектом (</w:t>
      </w:r>
      <w:r>
        <w:t>п</w:t>
      </w:r>
      <w:r w:rsidR="001B2185" w:rsidRPr="00382B32">
        <w:t xml:space="preserve">рогноз СЭР, расчеты или обоснования по статьям </w:t>
      </w:r>
      <w:hyperlink r:id="rId10" w:history="1">
        <w:r w:rsidR="001B2185" w:rsidRPr="00382B32">
          <w:t>классификации</w:t>
        </w:r>
      </w:hyperlink>
      <w:r w:rsidR="001B2185" w:rsidRPr="00382B32">
        <w:t xml:space="preserve"> доходов областного бюджета, </w:t>
      </w:r>
      <w:r>
        <w:t>п</w:t>
      </w:r>
      <w:r w:rsidR="001B2185" w:rsidRPr="00382B32">
        <w:t>ояснительная записка)</w:t>
      </w:r>
      <w:r w:rsidR="001B2185">
        <w:t>,</w:t>
      </w:r>
      <w:r w:rsidR="001B2185" w:rsidRPr="00382B32">
        <w:t xml:space="preserve"> не приведены сведения о реализации инвесторами, заключившими инвестиционные соглашения с Администрацией Волгоградской области</w:t>
      </w:r>
      <w:r>
        <w:t>,</w:t>
      </w:r>
      <w:r w:rsidR="001B2185" w:rsidRPr="00382B32">
        <w:t xml:space="preserve"> инвестиционных проектов </w:t>
      </w:r>
      <w:r>
        <w:t>в</w:t>
      </w:r>
      <w:r w:rsidR="001B2185" w:rsidRPr="00382B32">
        <w:t xml:space="preserve"> 201</w:t>
      </w:r>
      <w:r w:rsidR="001B2185">
        <w:t>8</w:t>
      </w:r>
      <w:r w:rsidR="001B2185" w:rsidRPr="00382B32">
        <w:t>-20</w:t>
      </w:r>
      <w:r w:rsidR="001B2185">
        <w:t>20</w:t>
      </w:r>
      <w:r w:rsidR="001B2185" w:rsidRPr="00382B32">
        <w:t xml:space="preserve"> год</w:t>
      </w:r>
      <w:r>
        <w:t>ах</w:t>
      </w:r>
      <w:r w:rsidR="001B2185">
        <w:t xml:space="preserve"> с указанием предполагаемых сроков и объемов вводимых в действие мощностей, в связи с чем невозможно оценить обоснованность прогнозируемых потерь от предоставления льгот.</w:t>
      </w:r>
    </w:p>
    <w:p w:rsidR="001B2185" w:rsidRDefault="001B2185" w:rsidP="001B2185">
      <w:pPr>
        <w:ind w:firstLine="708"/>
        <w:jc w:val="both"/>
        <w:rPr>
          <w:b/>
          <w:i/>
          <w:color w:val="000000" w:themeColor="text1"/>
          <w:u w:val="single"/>
        </w:rPr>
      </w:pPr>
      <w:r w:rsidRPr="00DE7BD4">
        <w:t>Данные о выпадающих доходах бюджета Волгоградской области в результате предоставления налоговых льгот на 201</w:t>
      </w:r>
      <w:r>
        <w:t>8</w:t>
      </w:r>
      <w:r w:rsidRPr="00DE7BD4">
        <w:t>-20</w:t>
      </w:r>
      <w:r>
        <w:t>20</w:t>
      </w:r>
      <w:r w:rsidRPr="00DE7BD4">
        <w:t xml:space="preserve"> годы в разрезе конкретных видов налогов представлены в </w:t>
      </w:r>
      <w:r w:rsidRPr="00DB0278">
        <w:rPr>
          <w:b/>
          <w:i/>
          <w:color w:val="000000" w:themeColor="text1"/>
          <w:u w:val="single"/>
        </w:rPr>
        <w:t>приложении №</w:t>
      </w:r>
      <w:r w:rsidR="00E924B7">
        <w:rPr>
          <w:b/>
          <w:i/>
          <w:color w:val="000000" w:themeColor="text1"/>
          <w:u w:val="single"/>
        </w:rPr>
        <w:t>4</w:t>
      </w:r>
      <w:r w:rsidRPr="00DB0278">
        <w:rPr>
          <w:b/>
          <w:i/>
          <w:color w:val="000000" w:themeColor="text1"/>
          <w:u w:val="single"/>
        </w:rPr>
        <w:t xml:space="preserve">. </w:t>
      </w:r>
    </w:p>
    <w:p w:rsidR="00723926" w:rsidRDefault="00723926" w:rsidP="001B2185">
      <w:pPr>
        <w:ind w:firstLine="708"/>
        <w:jc w:val="both"/>
        <w:rPr>
          <w:b/>
          <w:i/>
          <w:color w:val="000000" w:themeColor="text1"/>
          <w:u w:val="single"/>
        </w:rPr>
      </w:pPr>
    </w:p>
    <w:p w:rsidR="00723926" w:rsidRDefault="00723926" w:rsidP="001B2185">
      <w:pPr>
        <w:ind w:firstLine="708"/>
        <w:jc w:val="both"/>
        <w:rPr>
          <w:b/>
          <w:i/>
          <w:color w:val="000000" w:themeColor="text1"/>
          <w:u w:val="single"/>
        </w:rPr>
      </w:pPr>
    </w:p>
    <w:p w:rsidR="00723926" w:rsidRPr="00DB0278" w:rsidRDefault="00723926" w:rsidP="001B2185">
      <w:pPr>
        <w:ind w:firstLine="708"/>
        <w:jc w:val="both"/>
        <w:rPr>
          <w:b/>
          <w:i/>
          <w:color w:val="000000" w:themeColor="text1"/>
          <w:highlight w:val="green"/>
        </w:rPr>
      </w:pPr>
    </w:p>
    <w:p w:rsidR="00C02B25" w:rsidRPr="00DB0278" w:rsidRDefault="00C02B25" w:rsidP="006C4F6B">
      <w:pPr>
        <w:pStyle w:val="11"/>
        <w:ind w:firstLine="708"/>
        <w:jc w:val="both"/>
        <w:rPr>
          <w:b/>
          <w:i/>
          <w:color w:val="000000" w:themeColor="text1"/>
          <w:sz w:val="24"/>
          <w:szCs w:val="24"/>
        </w:rPr>
      </w:pPr>
    </w:p>
    <w:p w:rsidR="002143F6" w:rsidRDefault="00514C8C" w:rsidP="00514C8C">
      <w:pPr>
        <w:ind w:firstLine="708"/>
        <w:jc w:val="center"/>
        <w:rPr>
          <w:b/>
          <w:i/>
        </w:rPr>
      </w:pPr>
      <w:r w:rsidRPr="00A27310">
        <w:rPr>
          <w:b/>
          <w:i/>
        </w:rPr>
        <w:lastRenderedPageBreak/>
        <w:t>3.2. Общий объем расходов областного бюджета</w:t>
      </w:r>
      <w:r w:rsidR="002143F6">
        <w:rPr>
          <w:b/>
          <w:i/>
        </w:rPr>
        <w:t xml:space="preserve"> на 201</w:t>
      </w:r>
      <w:r w:rsidR="00720D49">
        <w:rPr>
          <w:b/>
          <w:i/>
        </w:rPr>
        <w:t>8</w:t>
      </w:r>
      <w:r w:rsidR="002143F6">
        <w:rPr>
          <w:b/>
          <w:i/>
        </w:rPr>
        <w:t xml:space="preserve"> год</w:t>
      </w:r>
    </w:p>
    <w:p w:rsidR="00514C8C" w:rsidRPr="00A27310" w:rsidRDefault="002143F6" w:rsidP="00514C8C">
      <w:pPr>
        <w:ind w:firstLine="708"/>
        <w:jc w:val="center"/>
        <w:rPr>
          <w:b/>
          <w:i/>
        </w:rPr>
      </w:pPr>
      <w:r>
        <w:rPr>
          <w:b/>
          <w:i/>
        </w:rPr>
        <w:t>и плановый период 201</w:t>
      </w:r>
      <w:r w:rsidR="00720D49">
        <w:rPr>
          <w:b/>
          <w:i/>
        </w:rPr>
        <w:t>9</w:t>
      </w:r>
      <w:r>
        <w:rPr>
          <w:b/>
          <w:i/>
        </w:rPr>
        <w:t xml:space="preserve"> и 20</w:t>
      </w:r>
      <w:r w:rsidR="00720D49">
        <w:rPr>
          <w:b/>
          <w:i/>
        </w:rPr>
        <w:t>20</w:t>
      </w:r>
      <w:r>
        <w:rPr>
          <w:b/>
          <w:i/>
        </w:rPr>
        <w:t xml:space="preserve"> годов</w:t>
      </w:r>
      <w:r w:rsidR="005B12E1" w:rsidRPr="00A27310">
        <w:rPr>
          <w:b/>
          <w:i/>
        </w:rPr>
        <w:t>.</w:t>
      </w:r>
    </w:p>
    <w:p w:rsidR="00387CD9" w:rsidRDefault="00387CD9" w:rsidP="00514C8C">
      <w:pPr>
        <w:jc w:val="center"/>
      </w:pPr>
    </w:p>
    <w:p w:rsidR="005F7DAA" w:rsidRDefault="006655B5" w:rsidP="005F7DAA">
      <w:pPr>
        <w:autoSpaceDE w:val="0"/>
        <w:autoSpaceDN w:val="0"/>
        <w:adjustRightInd w:val="0"/>
        <w:ind w:firstLine="540"/>
        <w:jc w:val="both"/>
        <w:rPr>
          <w:rFonts w:eastAsia="Calibri"/>
        </w:rPr>
      </w:pPr>
      <w:r>
        <w:t xml:space="preserve"> </w:t>
      </w:r>
      <w:r w:rsidR="0090706E">
        <w:t xml:space="preserve"> </w:t>
      </w:r>
      <w:r w:rsidR="005F7DAA" w:rsidRPr="00CE6398">
        <w:t>В соответствии с частью 4 статьи 87 БК РФ реестр расходных обязательств субъекта Российской Федерации ведется в порядке, установленном высшим исполнительным органом государственной власти субъекта РФ. В Волгоградской области такой порядок установлен постановлением Администрации Волгоградской области от 22.12.2008 №204-п (</w:t>
      </w:r>
      <w:r w:rsidR="005F7DAA">
        <w:t xml:space="preserve">далее </w:t>
      </w:r>
      <w:r w:rsidR="00A61FFB">
        <w:t>П</w:t>
      </w:r>
      <w:r w:rsidR="005F7DAA">
        <w:t>орядок 204-п</w:t>
      </w:r>
      <w:r w:rsidR="005F7DAA" w:rsidRPr="00CE6398">
        <w:t xml:space="preserve">). Указанным </w:t>
      </w:r>
      <w:r w:rsidR="00A61FFB">
        <w:t>П</w:t>
      </w:r>
      <w:r w:rsidR="005F7DAA" w:rsidRPr="00CE6398">
        <w:t xml:space="preserve">орядком установлено, что реестр расходных обязательств Волгоградской области (далее Реестр) - это свод реестров расходных обязательств главных распорядителей средств областного бюджета. Этим же </w:t>
      </w:r>
      <w:r w:rsidR="00A61FFB">
        <w:t>П</w:t>
      </w:r>
      <w:r w:rsidR="005F7DAA" w:rsidRPr="00CE6398">
        <w:t>орядком установлена форма реестра главных распорядителей средств областного бюджета, которая не содержит пояснений относительно порядка отражения полномочий.</w:t>
      </w:r>
      <w:r w:rsidR="005F7DAA">
        <w:t xml:space="preserve"> Пунктом 3 порядка установлено, что р</w:t>
      </w:r>
      <w:r w:rsidR="005F7DAA">
        <w:rPr>
          <w:rFonts w:eastAsia="Calibri"/>
        </w:rPr>
        <w:t>еестр расходных обязательств главного распорядителя средств областного бюджета составляется в соответствии с методическими указаниями комитета финансов Волгоградской области. Методические указания доведены главным распорядителям бюджетных средств письмом комитета финансов 3 апреля 2017 года.</w:t>
      </w:r>
    </w:p>
    <w:p w:rsidR="005F7DAA" w:rsidRDefault="0090706E" w:rsidP="005F7DAA">
      <w:pPr>
        <w:autoSpaceDE w:val="0"/>
        <w:autoSpaceDN w:val="0"/>
        <w:adjustRightInd w:val="0"/>
        <w:ind w:firstLine="540"/>
        <w:jc w:val="both"/>
      </w:pPr>
      <w:r>
        <w:t xml:space="preserve">  </w:t>
      </w:r>
      <w:r w:rsidR="005F7DAA" w:rsidRPr="00CE6398">
        <w:t>Реестр ведется с целью учета расходных обязательств Волгоградской области и определения объема бюджетных ассигнований, необходимых для исполнения</w:t>
      </w:r>
      <w:r w:rsidR="009616DC">
        <w:t>.</w:t>
      </w:r>
      <w:r w:rsidR="005F7DAA" w:rsidRPr="00CE6398">
        <w:t xml:space="preserve"> </w:t>
      </w:r>
      <w:r w:rsidR="009616DC">
        <w:t>Д</w:t>
      </w:r>
      <w:r w:rsidR="005F7DAA" w:rsidRPr="00CE6398">
        <w:t>анные Реестра используются при разработке проекта закона об областном бюджете на очередной финансовый год и плановый период.</w:t>
      </w:r>
    </w:p>
    <w:p w:rsidR="005F7DAA" w:rsidRPr="00971724" w:rsidRDefault="005F7DAA" w:rsidP="005F7DAA">
      <w:pPr>
        <w:autoSpaceDE w:val="0"/>
        <w:autoSpaceDN w:val="0"/>
        <w:adjustRightInd w:val="0"/>
        <w:ind w:firstLine="709"/>
        <w:jc w:val="both"/>
        <w:outlineLvl w:val="0"/>
      </w:pPr>
      <w:r>
        <w:t xml:space="preserve">Следует отметить, что </w:t>
      </w:r>
      <w:r w:rsidR="0054057A">
        <w:t>П</w:t>
      </w:r>
      <w:r>
        <w:t xml:space="preserve">орядком </w:t>
      </w:r>
      <w:r w:rsidRPr="00971724">
        <w:t xml:space="preserve"> 204-п предусмотрено формирование 3-х реестров расходных обязательств - предварительного, планового и уточн</w:t>
      </w:r>
      <w:r w:rsidR="00913B5C">
        <w:t>е</w:t>
      </w:r>
      <w:r w:rsidRPr="00971724">
        <w:t>нного, которые соответственно учитывают:</w:t>
      </w:r>
    </w:p>
    <w:p w:rsidR="005F7DAA" w:rsidRPr="00971724" w:rsidRDefault="00913B5C" w:rsidP="005F7DAA">
      <w:pPr>
        <w:autoSpaceDE w:val="0"/>
        <w:autoSpaceDN w:val="0"/>
        <w:adjustRightInd w:val="0"/>
        <w:ind w:firstLine="709"/>
        <w:jc w:val="both"/>
      </w:pPr>
      <w:r>
        <w:t>-</w:t>
      </w:r>
      <w:r w:rsidR="005F7DAA" w:rsidRPr="00971724">
        <w:t xml:space="preserve">прогнозируемые объемы средств областного бюджета, </w:t>
      </w:r>
      <w:r w:rsidR="005F7DAA" w:rsidRPr="00971724">
        <w:rPr>
          <w:u w:val="single"/>
        </w:rPr>
        <w:t>необходимые</w:t>
      </w:r>
      <w:r w:rsidR="005F7DAA" w:rsidRPr="00971724">
        <w:t xml:space="preserve"> для исполнения соответствующих расходных обязательств;</w:t>
      </w:r>
    </w:p>
    <w:p w:rsidR="005F7DAA" w:rsidRPr="00971724" w:rsidRDefault="005F7DAA" w:rsidP="005F7DAA">
      <w:pPr>
        <w:autoSpaceDE w:val="0"/>
        <w:autoSpaceDN w:val="0"/>
        <w:adjustRightInd w:val="0"/>
        <w:ind w:firstLine="709"/>
        <w:jc w:val="both"/>
      </w:pPr>
      <w:r w:rsidRPr="00971724">
        <w:t xml:space="preserve">-прогнозируемые объемы средств областного бюджета, необходимые для исполнения расходных обязательств в очередном финансовом году и в плановом периоде, </w:t>
      </w:r>
      <w:r w:rsidRPr="00971724">
        <w:rPr>
          <w:u w:val="single"/>
        </w:rPr>
        <w:t>с учетом доведенных до главного распорядителя средств</w:t>
      </w:r>
      <w:r w:rsidRPr="00971724">
        <w:t xml:space="preserve"> областного бюджета основных показателей прогноза социально-экономического развития Волгоградской области;</w:t>
      </w:r>
    </w:p>
    <w:p w:rsidR="005F7DAA" w:rsidRPr="00971724" w:rsidRDefault="00913B5C" w:rsidP="005F7DAA">
      <w:pPr>
        <w:autoSpaceDE w:val="0"/>
        <w:autoSpaceDN w:val="0"/>
        <w:adjustRightInd w:val="0"/>
        <w:ind w:firstLine="709"/>
        <w:jc w:val="both"/>
      </w:pPr>
      <w:r>
        <w:t>-</w:t>
      </w:r>
      <w:r w:rsidR="005F7DAA" w:rsidRPr="00971724">
        <w:rPr>
          <w:u w:val="single"/>
        </w:rPr>
        <w:t>утвержденные законом Волгоградской области об областном бюджете</w:t>
      </w:r>
      <w:r w:rsidR="005F7DAA" w:rsidRPr="00971724">
        <w:t xml:space="preserve"> на очередной финансовый год и плановый период объемы средств областного бюджета на исполнение соответствующих расходных обязательств.</w:t>
      </w:r>
    </w:p>
    <w:p w:rsidR="005F7DAA" w:rsidRPr="00971724" w:rsidRDefault="005F7DAA" w:rsidP="005F7DAA">
      <w:pPr>
        <w:autoSpaceDE w:val="0"/>
        <w:autoSpaceDN w:val="0"/>
        <w:adjustRightInd w:val="0"/>
        <w:ind w:firstLine="709"/>
        <w:jc w:val="both"/>
      </w:pPr>
      <w:r w:rsidRPr="00971724">
        <w:t>Таким образом, понятию «реестр расходных обязательств», определ</w:t>
      </w:r>
      <w:r w:rsidR="00913B5C">
        <w:t>е</w:t>
      </w:r>
      <w:r w:rsidRPr="00971724">
        <w:t xml:space="preserve">нному в Бюджетном кодексе РФ и Законе </w:t>
      </w:r>
      <w:r w:rsidR="00913B5C">
        <w:t xml:space="preserve">Волгоградской области от 11.06.2008 </w:t>
      </w:r>
      <w:r w:rsidRPr="00971724">
        <w:t>№1694-ОД</w:t>
      </w:r>
      <w:r w:rsidR="00913B5C">
        <w:t xml:space="preserve"> «О бюджетном процессе в Волгоградской области</w:t>
      </w:r>
      <w:r w:rsidR="0054057A">
        <w:t>»</w:t>
      </w:r>
      <w:r w:rsidRPr="00971724">
        <w:t>, соответствует только «предварительный» реестр расходных обязательств.</w:t>
      </w:r>
    </w:p>
    <w:p w:rsidR="005F7DAA" w:rsidRPr="00971724" w:rsidRDefault="005F7DAA" w:rsidP="005F7DAA">
      <w:pPr>
        <w:autoSpaceDE w:val="0"/>
        <w:autoSpaceDN w:val="0"/>
        <w:adjustRightInd w:val="0"/>
        <w:ind w:firstLine="709"/>
        <w:jc w:val="both"/>
      </w:pPr>
      <w:r w:rsidRPr="00971724">
        <w:t xml:space="preserve">Вместе с тем </w:t>
      </w:r>
      <w:r w:rsidRPr="00913B5C">
        <w:rPr>
          <w:u w:val="single"/>
        </w:rPr>
        <w:t>с законопроектом представлен «плановый» реестр расходных обязательств</w:t>
      </w:r>
      <w:r w:rsidRPr="00971724">
        <w:t>, в котором объ</w:t>
      </w:r>
      <w:r w:rsidR="00913B5C">
        <w:t>е</w:t>
      </w:r>
      <w:r w:rsidRPr="00971724">
        <w:t>мы на исполнение расходных обязательств соответствуют проекту областного бюджета и не от</w:t>
      </w:r>
      <w:r w:rsidR="00913B5C">
        <w:t>ража</w:t>
      </w:r>
      <w:r w:rsidRPr="00971724">
        <w:t>ют объем</w:t>
      </w:r>
      <w:r w:rsidR="00913B5C">
        <w:t>ы</w:t>
      </w:r>
      <w:r w:rsidRPr="00971724">
        <w:t xml:space="preserve"> бюджетных ассигнований, необходимы</w:t>
      </w:r>
      <w:r w:rsidR="00913B5C">
        <w:t>х</w:t>
      </w:r>
      <w:r w:rsidRPr="00971724">
        <w:t xml:space="preserve"> для исполнения расходных обязательств.</w:t>
      </w:r>
    </w:p>
    <w:p w:rsidR="005F7DAA" w:rsidRPr="00971724" w:rsidRDefault="005F7DAA" w:rsidP="005F7DAA">
      <w:pPr>
        <w:ind w:firstLine="720"/>
        <w:jc w:val="both"/>
      </w:pPr>
      <w:r>
        <w:t>Основными направлениями бюджетной и налоговой политики Волгоградской области на 2018 год и на плановый период 201</w:t>
      </w:r>
      <w:r w:rsidR="00913B5C">
        <w:t>9</w:t>
      </w:r>
      <w:r>
        <w:t xml:space="preserve"> и 20</w:t>
      </w:r>
      <w:r w:rsidR="00913B5C">
        <w:t>20</w:t>
      </w:r>
      <w:r>
        <w:t xml:space="preserve"> годов определено, что «п</w:t>
      </w:r>
      <w:r w:rsidRPr="00971724">
        <w:t xml:space="preserve">ланирование расходов областного бюджета будет осуществляться в программном формате с выделением приоритетных проектов </w:t>
      </w:r>
      <w:r w:rsidRPr="00971724">
        <w:rPr>
          <w:u w:val="single"/>
        </w:rPr>
        <w:t>на основании предварительных реестров расходных обязательств</w:t>
      </w:r>
      <w:r w:rsidRPr="00971724">
        <w:t xml:space="preserve"> субъектов бюджетного планирования</w:t>
      </w:r>
      <w:r>
        <w:t>».</w:t>
      </w:r>
    </w:p>
    <w:p w:rsidR="005F7DAA" w:rsidRDefault="005F7DAA" w:rsidP="005F7DAA">
      <w:pPr>
        <w:ind w:firstLine="709"/>
        <w:jc w:val="both"/>
      </w:pPr>
      <w:r w:rsidRPr="00CE6398">
        <w:t>В соответствии со статьей 13 закона о бюджетном процессе в Волгоградской области одновременно с законопроектом о бюджете представлен Реестр</w:t>
      </w:r>
      <w:r>
        <w:t>.</w:t>
      </w:r>
    </w:p>
    <w:p w:rsidR="005F7DAA" w:rsidRDefault="005F7DAA" w:rsidP="005F7DAA">
      <w:pPr>
        <w:ind w:firstLine="709"/>
        <w:jc w:val="both"/>
      </w:pPr>
      <w:r>
        <w:t xml:space="preserve">Представленный Реестр </w:t>
      </w:r>
      <w:r w:rsidRPr="00B63188">
        <w:t xml:space="preserve">сформирован в соответствии с Порядком предоставления реестров расходных обязательств субъектов РФ и сводов реестров расходных обязательств муниципальных образований, входящих в состав субъекта РФ, утвержденным </w:t>
      </w:r>
      <w:r w:rsidR="00913B5C">
        <w:t>п</w:t>
      </w:r>
      <w:r w:rsidRPr="00B63188">
        <w:t>риказом Минфина России от 01.07.2015 №103</w:t>
      </w:r>
      <w:r w:rsidR="00B54130">
        <w:t>н</w:t>
      </w:r>
      <w:r w:rsidRPr="00B63188">
        <w:t>, в котором выделены 7 основных групп расходных обязательств (кодов):</w:t>
      </w:r>
    </w:p>
    <w:p w:rsidR="005F7DAA" w:rsidRPr="0054115E" w:rsidRDefault="005F7DAA" w:rsidP="005F7DAA">
      <w:pPr>
        <w:ind w:firstLine="709"/>
        <w:jc w:val="both"/>
        <w:rPr>
          <w:i/>
          <w:u w:val="single"/>
        </w:rPr>
      </w:pPr>
      <w:r>
        <w:lastRenderedPageBreak/>
        <w:t xml:space="preserve">- 1000 – расходные обязательства, возникшие в результате принятия НПА субъекта РФ, заключения договоров (соглашений) </w:t>
      </w:r>
      <w:r w:rsidRPr="00406152">
        <w:rPr>
          <w:i/>
          <w:u w:val="single"/>
        </w:rPr>
        <w:t xml:space="preserve">по предметам совместного </w:t>
      </w:r>
      <w:r w:rsidRPr="0054115E">
        <w:rPr>
          <w:i/>
          <w:u w:val="single"/>
        </w:rPr>
        <w:t>ведения РФ и субъектов РФ;</w:t>
      </w:r>
    </w:p>
    <w:p w:rsidR="005F7DAA" w:rsidRDefault="005F7DAA" w:rsidP="005F7DAA">
      <w:pPr>
        <w:ind w:firstLine="709"/>
        <w:jc w:val="both"/>
      </w:pPr>
      <w:r>
        <w:t xml:space="preserve">- 2000 - расходные обязательства, возникшие в результате принятия НПА субъекта РФ, </w:t>
      </w:r>
      <w:r w:rsidRPr="00406152">
        <w:rPr>
          <w:i/>
          <w:u w:val="single"/>
        </w:rPr>
        <w:t>по предметам ведения субъекта</w:t>
      </w:r>
      <w:r>
        <w:t xml:space="preserve"> РФ;</w:t>
      </w:r>
    </w:p>
    <w:p w:rsidR="005F7DAA" w:rsidRDefault="005F7DAA" w:rsidP="005F7DAA">
      <w:pPr>
        <w:ind w:firstLine="709"/>
        <w:jc w:val="both"/>
      </w:pPr>
      <w:r>
        <w:t xml:space="preserve">- 3000 - расходные обязательства, возникшие в результате принятия НПА субъекта РФ, </w:t>
      </w:r>
      <w:r w:rsidRPr="00406152">
        <w:rPr>
          <w:i/>
          <w:u w:val="single"/>
        </w:rPr>
        <w:t>предусматривающих предоставление из бюджета субъекта РФ межбюджетных трансфертов</w:t>
      </w:r>
      <w:r>
        <w:t>;</w:t>
      </w:r>
    </w:p>
    <w:p w:rsidR="005F7DAA" w:rsidRDefault="005F7DAA" w:rsidP="005F7DAA">
      <w:pPr>
        <w:ind w:firstLine="709"/>
        <w:jc w:val="both"/>
        <w:rPr>
          <w:u w:val="single"/>
        </w:rPr>
      </w:pPr>
      <w:r>
        <w:t xml:space="preserve">- 4000 - расходные обязательства, возникшие в результате принятия НПА субъекта РФ, </w:t>
      </w:r>
      <w:r w:rsidRPr="00406152">
        <w:rPr>
          <w:i/>
          <w:u w:val="single"/>
        </w:rPr>
        <w:t>предусматривающих реализацию субъектом РФ переданных полномочий за счет субвенций из федерального бюджета</w:t>
      </w:r>
      <w:r>
        <w:rPr>
          <w:u w:val="single"/>
        </w:rPr>
        <w:t>;</w:t>
      </w:r>
    </w:p>
    <w:p w:rsidR="005F7DAA" w:rsidRDefault="005F7DAA" w:rsidP="005F7DAA">
      <w:pPr>
        <w:ind w:firstLine="709"/>
        <w:jc w:val="both"/>
      </w:pPr>
      <w:r w:rsidRPr="00A562B1">
        <w:t xml:space="preserve">- 5000 – полномочия </w:t>
      </w:r>
      <w:r w:rsidRPr="00406152">
        <w:rPr>
          <w:i/>
          <w:u w:val="single"/>
        </w:rPr>
        <w:t>по предметам ведения РФ, а также совместного ведения</w:t>
      </w:r>
      <w:r w:rsidRPr="00406152">
        <w:rPr>
          <w:i/>
        </w:rPr>
        <w:t xml:space="preserve"> </w:t>
      </w:r>
      <w:r w:rsidRPr="00406152">
        <w:rPr>
          <w:i/>
          <w:u w:val="single"/>
        </w:rPr>
        <w:t>по решению вопросов, не указанных  в п</w:t>
      </w:r>
      <w:r w:rsidR="0054115E">
        <w:rPr>
          <w:i/>
          <w:u w:val="single"/>
        </w:rPr>
        <w:t xml:space="preserve">ункте </w:t>
      </w:r>
      <w:r w:rsidRPr="00406152">
        <w:rPr>
          <w:i/>
          <w:u w:val="single"/>
        </w:rPr>
        <w:t>2 ст</w:t>
      </w:r>
      <w:r w:rsidR="0054115E">
        <w:rPr>
          <w:i/>
          <w:u w:val="single"/>
        </w:rPr>
        <w:t>атьи</w:t>
      </w:r>
      <w:r w:rsidRPr="00406152">
        <w:rPr>
          <w:i/>
          <w:u w:val="single"/>
        </w:rPr>
        <w:t xml:space="preserve"> 26.3</w:t>
      </w:r>
      <w:r w:rsidRPr="00A562B1">
        <w:t xml:space="preserve"> Федерального закона </w:t>
      </w:r>
      <w:r>
        <w:t>от 06.10.1999 №184-ФЗ «Об общих принципах организации законодательных (представительных) и исполнительных органов государственной власти субъектов РФ», если возможность осуществления расходов субъектов РФ  на реализацию этих полномочий предусмотрена федеральными законами (в том числе полномочия этого кода делятся по источникам</w:t>
      </w:r>
      <w:r w:rsidR="0054115E">
        <w:t xml:space="preserve"> -</w:t>
      </w:r>
      <w:r>
        <w:t xml:space="preserve"> за счет средств субъекта </w:t>
      </w:r>
      <w:r w:rsidR="0054115E">
        <w:t xml:space="preserve">РФ </w:t>
      </w:r>
      <w:r>
        <w:t xml:space="preserve">и за счет </w:t>
      </w:r>
      <w:r w:rsidR="0054115E">
        <w:t xml:space="preserve">средств </w:t>
      </w:r>
      <w:r>
        <w:t>федерального бюджета);</w:t>
      </w:r>
    </w:p>
    <w:p w:rsidR="005F7DAA" w:rsidRDefault="005F7DAA" w:rsidP="005F7DAA">
      <w:pPr>
        <w:ind w:firstLine="709"/>
        <w:jc w:val="both"/>
      </w:pPr>
      <w:r>
        <w:t xml:space="preserve">- 6000 – </w:t>
      </w:r>
      <w:r w:rsidRPr="00406152">
        <w:rPr>
          <w:i/>
          <w:u w:val="single"/>
        </w:rPr>
        <w:t>установление дополнительных мер социальной поддержки и социальной помощи</w:t>
      </w:r>
      <w:r>
        <w:t xml:space="preserve"> для отдельных категорий граждан, </w:t>
      </w:r>
      <w:r w:rsidRPr="00A562B1">
        <w:rPr>
          <w:u w:val="single"/>
        </w:rPr>
        <w:t>не предусмотренные федеральными законами</w:t>
      </w:r>
      <w:r>
        <w:t>;</w:t>
      </w:r>
    </w:p>
    <w:p w:rsidR="005F7DAA" w:rsidRDefault="005F7DAA" w:rsidP="005F7DAA">
      <w:pPr>
        <w:ind w:firstLine="709"/>
        <w:jc w:val="both"/>
      </w:pPr>
      <w:r>
        <w:t xml:space="preserve">- 7000 – расходные обязательства, </w:t>
      </w:r>
      <w:r w:rsidRPr="00B313C8">
        <w:t xml:space="preserve">возникшие в результате принятия законов субъекта РФ </w:t>
      </w:r>
      <w:r w:rsidRPr="00406152">
        <w:rPr>
          <w:i/>
          <w:u w:val="single"/>
        </w:rPr>
        <w:t>по перераспределенным полномочиям между органами местного самоуправления  и органами государственной власти субъекта</w:t>
      </w:r>
      <w:r>
        <w:t xml:space="preserve"> РФ в соответствии с п</w:t>
      </w:r>
      <w:r w:rsidR="0054115E">
        <w:t>унктом</w:t>
      </w:r>
      <w:r>
        <w:t xml:space="preserve"> 6.1 ст</w:t>
      </w:r>
      <w:r w:rsidR="0054115E">
        <w:t>атьи</w:t>
      </w:r>
      <w:r>
        <w:t xml:space="preserve"> 26.3. </w:t>
      </w:r>
      <w:r w:rsidRPr="00A562B1">
        <w:t xml:space="preserve">Федерального закона </w:t>
      </w:r>
      <w:r>
        <w:t>от 06.10.1999 №184-ФЗ «Об общих принципах организации законодательных (представительных) и исполнительных органов государственной власти субъектов РФ».</w:t>
      </w:r>
    </w:p>
    <w:p w:rsidR="005F7DAA" w:rsidRDefault="005F7DAA" w:rsidP="005F7DAA">
      <w:pPr>
        <w:ind w:firstLine="708"/>
        <w:jc w:val="both"/>
      </w:pPr>
      <w:r w:rsidRPr="005B1A43">
        <w:t>В целях оценки общего объема расходов областного бюджета на 20</w:t>
      </w:r>
      <w:r>
        <w:t>18</w:t>
      </w:r>
      <w:r w:rsidRPr="005B1A43">
        <w:t>-20</w:t>
      </w:r>
      <w:r>
        <w:t>20</w:t>
      </w:r>
      <w:r w:rsidRPr="005B1A43">
        <w:t xml:space="preserve"> годы</w:t>
      </w:r>
      <w:r>
        <w:t xml:space="preserve"> </w:t>
      </w:r>
      <w:r w:rsidRPr="005B1A43">
        <w:t xml:space="preserve">палатой </w:t>
      </w:r>
      <w:r>
        <w:t xml:space="preserve">проведен </w:t>
      </w:r>
      <w:r w:rsidRPr="00175BE8">
        <w:t xml:space="preserve">анализ </w:t>
      </w:r>
      <w:r>
        <w:t>представленного Реестра.</w:t>
      </w:r>
    </w:p>
    <w:p w:rsidR="005F7DAA" w:rsidRDefault="005F7DAA" w:rsidP="005F7DAA">
      <w:pPr>
        <w:ind w:firstLine="708"/>
        <w:jc w:val="both"/>
        <w:rPr>
          <w:b/>
        </w:rPr>
      </w:pPr>
    </w:p>
    <w:tbl>
      <w:tblPr>
        <w:tblW w:w="9348" w:type="dxa"/>
        <w:tblInd w:w="96" w:type="dxa"/>
        <w:tblLook w:val="04A0"/>
      </w:tblPr>
      <w:tblGrid>
        <w:gridCol w:w="2076"/>
        <w:gridCol w:w="1338"/>
        <w:gridCol w:w="1134"/>
        <w:gridCol w:w="1134"/>
        <w:gridCol w:w="1418"/>
        <w:gridCol w:w="1124"/>
        <w:gridCol w:w="1124"/>
      </w:tblGrid>
      <w:tr w:rsidR="005F7DAA" w:rsidRPr="00A72619" w:rsidTr="004465FB">
        <w:trPr>
          <w:trHeight w:val="442"/>
        </w:trPr>
        <w:tc>
          <w:tcPr>
            <w:tcW w:w="2076" w:type="dxa"/>
            <w:vMerge w:val="restart"/>
            <w:tcBorders>
              <w:top w:val="single" w:sz="8" w:space="0" w:color="auto"/>
              <w:left w:val="single" w:sz="8" w:space="0" w:color="auto"/>
              <w:bottom w:val="single" w:sz="8" w:space="0" w:color="000000"/>
              <w:right w:val="single" w:sz="8" w:space="0" w:color="auto"/>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 xml:space="preserve">Код </w:t>
            </w:r>
            <w:r>
              <w:rPr>
                <w:b/>
                <w:bCs/>
                <w:color w:val="000000"/>
                <w:sz w:val="20"/>
                <w:szCs w:val="20"/>
              </w:rPr>
              <w:t xml:space="preserve">группы </w:t>
            </w:r>
            <w:r w:rsidRPr="00A72619">
              <w:rPr>
                <w:b/>
                <w:bCs/>
                <w:color w:val="000000"/>
                <w:sz w:val="20"/>
                <w:szCs w:val="20"/>
              </w:rPr>
              <w:t>расходн</w:t>
            </w:r>
            <w:r>
              <w:rPr>
                <w:b/>
                <w:bCs/>
                <w:color w:val="000000"/>
                <w:sz w:val="20"/>
                <w:szCs w:val="20"/>
              </w:rPr>
              <w:t>ых</w:t>
            </w:r>
            <w:r w:rsidRPr="00A72619">
              <w:rPr>
                <w:b/>
                <w:bCs/>
                <w:color w:val="000000"/>
                <w:sz w:val="20"/>
                <w:szCs w:val="20"/>
              </w:rPr>
              <w:t xml:space="preserve"> обязательств</w:t>
            </w:r>
          </w:p>
        </w:tc>
        <w:tc>
          <w:tcPr>
            <w:tcW w:w="5024" w:type="dxa"/>
            <w:gridSpan w:val="4"/>
            <w:tcBorders>
              <w:top w:val="single" w:sz="8" w:space="0" w:color="auto"/>
              <w:left w:val="nil"/>
              <w:bottom w:val="single" w:sz="8" w:space="0" w:color="auto"/>
              <w:right w:val="single" w:sz="8" w:space="0" w:color="000000"/>
            </w:tcBorders>
            <w:shd w:val="clear" w:color="auto" w:fill="FDFAB5"/>
            <w:hideMark/>
          </w:tcPr>
          <w:p w:rsidR="005F7DAA" w:rsidRPr="00A72619" w:rsidRDefault="005F7DAA" w:rsidP="00D760E8">
            <w:pPr>
              <w:jc w:val="center"/>
              <w:rPr>
                <w:b/>
                <w:bCs/>
                <w:color w:val="000000"/>
                <w:sz w:val="20"/>
                <w:szCs w:val="20"/>
              </w:rPr>
            </w:pPr>
            <w:r w:rsidRPr="00A72619">
              <w:rPr>
                <w:b/>
                <w:bCs/>
                <w:color w:val="000000"/>
                <w:sz w:val="20"/>
                <w:szCs w:val="20"/>
              </w:rPr>
              <w:t>Объем и структура средств на исполнение расходных обязательств (млн. руб</w:t>
            </w:r>
            <w:r w:rsidR="00D760E8">
              <w:rPr>
                <w:b/>
                <w:bCs/>
                <w:color w:val="000000"/>
                <w:sz w:val="20"/>
                <w:szCs w:val="20"/>
              </w:rPr>
              <w:t>.</w:t>
            </w:r>
            <w:r w:rsidRPr="00A72619">
              <w:rPr>
                <w:b/>
                <w:bCs/>
                <w:color w:val="000000"/>
                <w:sz w:val="20"/>
                <w:szCs w:val="20"/>
              </w:rPr>
              <w:t>)</w:t>
            </w:r>
          </w:p>
        </w:tc>
        <w:tc>
          <w:tcPr>
            <w:tcW w:w="2248" w:type="dxa"/>
            <w:gridSpan w:val="2"/>
            <w:tcBorders>
              <w:top w:val="single" w:sz="8" w:space="0" w:color="auto"/>
              <w:left w:val="nil"/>
              <w:bottom w:val="single" w:sz="8" w:space="0" w:color="auto"/>
              <w:right w:val="single" w:sz="4" w:space="0" w:color="000000"/>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Темпы роста, %</w:t>
            </w:r>
          </w:p>
        </w:tc>
      </w:tr>
      <w:tr w:rsidR="005F7DAA" w:rsidRPr="00A72619" w:rsidTr="004465FB">
        <w:trPr>
          <w:trHeight w:val="484"/>
        </w:trPr>
        <w:tc>
          <w:tcPr>
            <w:tcW w:w="2076" w:type="dxa"/>
            <w:vMerge/>
            <w:tcBorders>
              <w:top w:val="single" w:sz="8" w:space="0" w:color="auto"/>
              <w:left w:val="single" w:sz="8" w:space="0" w:color="auto"/>
              <w:bottom w:val="single" w:sz="8" w:space="0" w:color="000000"/>
              <w:right w:val="single" w:sz="8" w:space="0" w:color="auto"/>
            </w:tcBorders>
            <w:shd w:val="clear" w:color="auto" w:fill="FDFAB5"/>
            <w:vAlign w:val="center"/>
            <w:hideMark/>
          </w:tcPr>
          <w:p w:rsidR="005F7DAA" w:rsidRPr="00A72619" w:rsidRDefault="005F7DAA" w:rsidP="004465FB">
            <w:pPr>
              <w:rPr>
                <w:b/>
                <w:bCs/>
                <w:color w:val="000000"/>
                <w:sz w:val="20"/>
                <w:szCs w:val="20"/>
              </w:rPr>
            </w:pPr>
          </w:p>
        </w:tc>
        <w:tc>
          <w:tcPr>
            <w:tcW w:w="1338"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Pr>
                <w:b/>
                <w:bCs/>
                <w:color w:val="000000"/>
                <w:sz w:val="20"/>
                <w:szCs w:val="20"/>
              </w:rPr>
              <w:t>2017</w:t>
            </w:r>
            <w:r w:rsidRPr="00A72619">
              <w:rPr>
                <w:b/>
                <w:bCs/>
                <w:color w:val="000000"/>
                <w:sz w:val="20"/>
                <w:szCs w:val="20"/>
              </w:rPr>
              <w:t xml:space="preserve"> год </w:t>
            </w:r>
            <w:r w:rsidRPr="00A72619">
              <w:rPr>
                <w:color w:val="000000"/>
                <w:sz w:val="18"/>
                <w:szCs w:val="18"/>
              </w:rPr>
              <w:t>(справочно)</w:t>
            </w:r>
          </w:p>
        </w:tc>
        <w:tc>
          <w:tcPr>
            <w:tcW w:w="113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Pr>
                <w:b/>
                <w:bCs/>
                <w:color w:val="000000"/>
                <w:sz w:val="20"/>
                <w:szCs w:val="20"/>
              </w:rPr>
              <w:t>2018</w:t>
            </w:r>
            <w:r w:rsidRPr="00A72619">
              <w:rPr>
                <w:b/>
                <w:bCs/>
                <w:color w:val="000000"/>
                <w:sz w:val="20"/>
                <w:szCs w:val="20"/>
              </w:rPr>
              <w:t xml:space="preserve"> год</w:t>
            </w:r>
          </w:p>
        </w:tc>
        <w:tc>
          <w:tcPr>
            <w:tcW w:w="113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201</w:t>
            </w:r>
            <w:r>
              <w:rPr>
                <w:b/>
                <w:bCs/>
                <w:color w:val="000000"/>
                <w:sz w:val="20"/>
                <w:szCs w:val="20"/>
              </w:rPr>
              <w:t>9</w:t>
            </w:r>
            <w:r w:rsidRPr="00A72619">
              <w:rPr>
                <w:b/>
                <w:bCs/>
                <w:color w:val="000000"/>
                <w:sz w:val="20"/>
                <w:szCs w:val="20"/>
              </w:rPr>
              <w:t xml:space="preserve"> год</w:t>
            </w:r>
          </w:p>
        </w:tc>
        <w:tc>
          <w:tcPr>
            <w:tcW w:w="1418"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20</w:t>
            </w:r>
            <w:r>
              <w:rPr>
                <w:b/>
                <w:bCs/>
                <w:color w:val="000000"/>
                <w:sz w:val="20"/>
                <w:szCs w:val="20"/>
              </w:rPr>
              <w:t>20</w:t>
            </w:r>
            <w:r w:rsidRPr="00A72619">
              <w:rPr>
                <w:b/>
                <w:bCs/>
                <w:color w:val="000000"/>
                <w:sz w:val="20"/>
                <w:szCs w:val="20"/>
              </w:rPr>
              <w:t xml:space="preserve"> год</w:t>
            </w:r>
          </w:p>
        </w:tc>
        <w:tc>
          <w:tcPr>
            <w:tcW w:w="112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гр. 4/гр.3*100</w:t>
            </w:r>
          </w:p>
        </w:tc>
        <w:tc>
          <w:tcPr>
            <w:tcW w:w="112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b/>
                <w:bCs/>
                <w:color w:val="000000"/>
                <w:sz w:val="20"/>
                <w:szCs w:val="20"/>
              </w:rPr>
            </w:pPr>
            <w:r w:rsidRPr="00A72619">
              <w:rPr>
                <w:b/>
                <w:bCs/>
                <w:color w:val="000000"/>
                <w:sz w:val="20"/>
                <w:szCs w:val="20"/>
              </w:rPr>
              <w:t>гр. 5/гр.3*100</w:t>
            </w:r>
          </w:p>
        </w:tc>
      </w:tr>
      <w:tr w:rsidR="005F7DAA" w:rsidRPr="00A72619" w:rsidTr="004465FB">
        <w:trPr>
          <w:trHeight w:val="173"/>
        </w:trPr>
        <w:tc>
          <w:tcPr>
            <w:tcW w:w="2076" w:type="dxa"/>
            <w:tcBorders>
              <w:top w:val="nil"/>
              <w:left w:val="single" w:sz="8" w:space="0" w:color="auto"/>
              <w:bottom w:val="single" w:sz="8" w:space="0" w:color="auto"/>
              <w:right w:val="single" w:sz="8" w:space="0" w:color="auto"/>
            </w:tcBorders>
            <w:shd w:val="clear" w:color="auto" w:fill="FDFAB5"/>
            <w:hideMark/>
          </w:tcPr>
          <w:p w:rsidR="005F7DAA" w:rsidRPr="00A72619" w:rsidRDefault="005F7DAA" w:rsidP="004465FB">
            <w:pPr>
              <w:jc w:val="center"/>
              <w:rPr>
                <w:bCs/>
                <w:i/>
                <w:color w:val="000000"/>
                <w:sz w:val="20"/>
                <w:szCs w:val="20"/>
              </w:rPr>
            </w:pPr>
            <w:r w:rsidRPr="00A72619">
              <w:rPr>
                <w:bCs/>
                <w:i/>
                <w:color w:val="000000"/>
                <w:sz w:val="20"/>
                <w:szCs w:val="20"/>
              </w:rPr>
              <w:t>1</w:t>
            </w:r>
          </w:p>
        </w:tc>
        <w:tc>
          <w:tcPr>
            <w:tcW w:w="1338"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2</w:t>
            </w:r>
          </w:p>
        </w:tc>
        <w:tc>
          <w:tcPr>
            <w:tcW w:w="113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3</w:t>
            </w:r>
          </w:p>
        </w:tc>
        <w:tc>
          <w:tcPr>
            <w:tcW w:w="113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4</w:t>
            </w:r>
          </w:p>
        </w:tc>
        <w:tc>
          <w:tcPr>
            <w:tcW w:w="1418"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5</w:t>
            </w:r>
          </w:p>
        </w:tc>
        <w:tc>
          <w:tcPr>
            <w:tcW w:w="112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6</w:t>
            </w:r>
          </w:p>
        </w:tc>
        <w:tc>
          <w:tcPr>
            <w:tcW w:w="1124" w:type="dxa"/>
            <w:tcBorders>
              <w:top w:val="nil"/>
              <w:left w:val="nil"/>
              <w:bottom w:val="single" w:sz="8" w:space="0" w:color="auto"/>
              <w:right w:val="single" w:sz="8" w:space="0" w:color="auto"/>
            </w:tcBorders>
            <w:shd w:val="clear" w:color="auto" w:fill="FDFAB5"/>
            <w:hideMark/>
          </w:tcPr>
          <w:p w:rsidR="005F7DAA" w:rsidRPr="00A72619" w:rsidRDefault="005F7DAA" w:rsidP="004465FB">
            <w:pPr>
              <w:jc w:val="center"/>
              <w:rPr>
                <w:i/>
                <w:color w:val="000000"/>
                <w:sz w:val="20"/>
                <w:szCs w:val="20"/>
              </w:rPr>
            </w:pPr>
            <w:r w:rsidRPr="00A72619">
              <w:rPr>
                <w:i/>
                <w:color w:val="000000"/>
                <w:sz w:val="20"/>
                <w:szCs w:val="20"/>
              </w:rPr>
              <w:t>7</w:t>
            </w:r>
          </w:p>
        </w:tc>
      </w:tr>
      <w:tr w:rsidR="005F7DAA" w:rsidRPr="00A72619" w:rsidTr="00D760E8">
        <w:trPr>
          <w:trHeight w:val="205"/>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1000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54 281,0</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 xml:space="preserve">45 743,9 </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 xml:space="preserve">49 372,50 </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48 647,0</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107,9</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106,3</w:t>
            </w:r>
          </w:p>
        </w:tc>
      </w:tr>
      <w:tr w:rsidR="005F7DAA" w:rsidRPr="00A72619" w:rsidTr="00D760E8">
        <w:trPr>
          <w:trHeight w:val="95"/>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63,0</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58,3</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65,2</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64,9</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sidRPr="00A72619">
              <w:rPr>
                <w:color w:val="000000"/>
                <w:sz w:val="20"/>
                <w:szCs w:val="20"/>
              </w:rPr>
              <w:t> </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sidRPr="00A72619">
              <w:rPr>
                <w:color w:val="000000"/>
                <w:sz w:val="20"/>
                <w:szCs w:val="20"/>
              </w:rPr>
              <w:t> </w:t>
            </w:r>
          </w:p>
        </w:tc>
      </w:tr>
      <w:tr w:rsidR="005F7DAA" w:rsidRPr="00A72619" w:rsidTr="00D760E8">
        <w:trPr>
          <w:trHeight w:val="127"/>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2000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1 112,7</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1 099,7</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634,2</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599,8</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57,7</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54,5</w:t>
            </w:r>
          </w:p>
        </w:tc>
      </w:tr>
      <w:tr w:rsidR="005F7DAA" w:rsidRPr="00A72619" w:rsidTr="00D760E8">
        <w:trPr>
          <w:trHeight w:val="159"/>
        </w:trPr>
        <w:tc>
          <w:tcPr>
            <w:tcW w:w="2076" w:type="dxa"/>
            <w:tcBorders>
              <w:top w:val="nil"/>
              <w:left w:val="single" w:sz="8" w:space="0" w:color="auto"/>
              <w:bottom w:val="single" w:sz="4"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1,3</w:t>
            </w:r>
          </w:p>
        </w:tc>
        <w:tc>
          <w:tcPr>
            <w:tcW w:w="1134"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1,4</w:t>
            </w:r>
          </w:p>
        </w:tc>
        <w:tc>
          <w:tcPr>
            <w:tcW w:w="1134"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0,8</w:t>
            </w:r>
          </w:p>
        </w:tc>
        <w:tc>
          <w:tcPr>
            <w:tcW w:w="1418"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0,8</w:t>
            </w:r>
          </w:p>
        </w:tc>
        <w:tc>
          <w:tcPr>
            <w:tcW w:w="1124"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4"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201"/>
        </w:trPr>
        <w:tc>
          <w:tcPr>
            <w:tcW w:w="2076" w:type="dxa"/>
            <w:tcBorders>
              <w:top w:val="single" w:sz="4" w:space="0" w:color="auto"/>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3000</w:t>
            </w:r>
          </w:p>
        </w:tc>
        <w:tc>
          <w:tcPr>
            <w:tcW w:w="1338"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23 724,5</w:t>
            </w:r>
          </w:p>
        </w:tc>
        <w:tc>
          <w:tcPr>
            <w:tcW w:w="1134"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25 659,1</w:t>
            </w:r>
          </w:p>
        </w:tc>
        <w:tc>
          <w:tcPr>
            <w:tcW w:w="1134"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19 530,7</w:t>
            </w:r>
          </w:p>
        </w:tc>
        <w:tc>
          <w:tcPr>
            <w:tcW w:w="1418"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19 689,7</w:t>
            </w:r>
          </w:p>
        </w:tc>
        <w:tc>
          <w:tcPr>
            <w:tcW w:w="1124"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76,1</w:t>
            </w:r>
          </w:p>
        </w:tc>
        <w:tc>
          <w:tcPr>
            <w:tcW w:w="1124" w:type="dxa"/>
            <w:tcBorders>
              <w:top w:val="single" w:sz="4" w:space="0" w:color="auto"/>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76,7</w:t>
            </w:r>
          </w:p>
        </w:tc>
      </w:tr>
      <w:tr w:rsidR="005F7DAA" w:rsidRPr="00A72619" w:rsidTr="00D760E8">
        <w:trPr>
          <w:trHeight w:val="95"/>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27,5</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32,7</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25,8</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26,3</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127"/>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4000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4 516,4</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4 428,9</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4 533,2</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4 572,2</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102,4</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103,2</w:t>
            </w:r>
          </w:p>
        </w:tc>
      </w:tr>
      <w:tr w:rsidR="005F7DAA" w:rsidRPr="00A72619" w:rsidTr="00D760E8">
        <w:trPr>
          <w:trHeight w:val="122"/>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5,2</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5,6</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6,0</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6,1</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168"/>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5000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1 660,4</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1 032,2</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1 347,6</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1 156,6</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130,6</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112,1</w:t>
            </w:r>
          </w:p>
        </w:tc>
      </w:tr>
      <w:tr w:rsidR="005F7DAA" w:rsidRPr="00A72619" w:rsidTr="00D760E8">
        <w:trPr>
          <w:trHeight w:val="71"/>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1,9</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1,3</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1,8</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1,5</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104"/>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6000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368,4</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338,6</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250,5</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282,1</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74,0</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83,3</w:t>
            </w:r>
          </w:p>
        </w:tc>
      </w:tr>
      <w:tr w:rsidR="005F7DAA" w:rsidRPr="00A72619" w:rsidTr="00D760E8">
        <w:trPr>
          <w:trHeight w:val="135"/>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0,4</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0,4</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0,3</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0,4</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167"/>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7000</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527,7</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209,9</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29,4</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32,6</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14,0</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15,5</w:t>
            </w:r>
          </w:p>
        </w:tc>
      </w:tr>
      <w:tr w:rsidR="005F7DAA" w:rsidRPr="00A72619" w:rsidTr="00D760E8">
        <w:trPr>
          <w:trHeight w:val="198"/>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color w:val="000000"/>
                <w:sz w:val="20"/>
                <w:szCs w:val="20"/>
              </w:rPr>
            </w:pPr>
            <w:r w:rsidRPr="00A72619">
              <w:rPr>
                <w:color w:val="000000"/>
                <w:sz w:val="20"/>
                <w:szCs w:val="20"/>
              </w:rPr>
              <w:t>в % к общему объему</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0,6</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0,3</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0,04</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i/>
                <w:iCs/>
                <w:color w:val="000000"/>
                <w:sz w:val="20"/>
                <w:szCs w:val="20"/>
              </w:rPr>
            </w:pPr>
            <w:r>
              <w:rPr>
                <w:i/>
                <w:iCs/>
                <w:color w:val="000000"/>
                <w:sz w:val="20"/>
                <w:szCs w:val="20"/>
              </w:rPr>
              <w:t>0,04</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p>
        </w:tc>
      </w:tr>
      <w:tr w:rsidR="005F7DAA" w:rsidRPr="00A72619" w:rsidTr="00D760E8">
        <w:trPr>
          <w:trHeight w:val="89"/>
        </w:trPr>
        <w:tc>
          <w:tcPr>
            <w:tcW w:w="2076" w:type="dxa"/>
            <w:tcBorders>
              <w:top w:val="nil"/>
              <w:left w:val="single" w:sz="8" w:space="0" w:color="auto"/>
              <w:bottom w:val="single" w:sz="8" w:space="0" w:color="auto"/>
              <w:right w:val="single" w:sz="8" w:space="0" w:color="auto"/>
            </w:tcBorders>
            <w:shd w:val="clear" w:color="auto" w:fill="auto"/>
            <w:hideMark/>
          </w:tcPr>
          <w:p w:rsidR="005F7DAA" w:rsidRPr="00A72619" w:rsidRDefault="005F7DAA" w:rsidP="004465FB">
            <w:pPr>
              <w:rPr>
                <w:b/>
                <w:bCs/>
                <w:color w:val="000000"/>
                <w:sz w:val="20"/>
                <w:szCs w:val="20"/>
              </w:rPr>
            </w:pPr>
            <w:r w:rsidRPr="00A72619">
              <w:rPr>
                <w:b/>
                <w:bCs/>
                <w:color w:val="000000"/>
                <w:sz w:val="20"/>
                <w:szCs w:val="20"/>
              </w:rPr>
              <w:t>Итого</w:t>
            </w:r>
          </w:p>
        </w:tc>
        <w:tc>
          <w:tcPr>
            <w:tcW w:w="133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b/>
                <w:bCs/>
                <w:color w:val="000000"/>
                <w:sz w:val="20"/>
                <w:szCs w:val="20"/>
              </w:rPr>
            </w:pPr>
            <w:r>
              <w:rPr>
                <w:b/>
                <w:bCs/>
                <w:color w:val="000000"/>
                <w:sz w:val="20"/>
                <w:szCs w:val="20"/>
              </w:rPr>
              <w:t>86 191,1</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b/>
                <w:bCs/>
                <w:color w:val="000000"/>
                <w:sz w:val="20"/>
                <w:szCs w:val="20"/>
              </w:rPr>
            </w:pPr>
            <w:r>
              <w:rPr>
                <w:b/>
                <w:bCs/>
                <w:color w:val="000000"/>
                <w:sz w:val="20"/>
                <w:szCs w:val="20"/>
              </w:rPr>
              <w:t>78 512,3</w:t>
            </w:r>
          </w:p>
        </w:tc>
        <w:tc>
          <w:tcPr>
            <w:tcW w:w="113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b/>
                <w:bCs/>
                <w:color w:val="000000"/>
                <w:sz w:val="20"/>
                <w:szCs w:val="20"/>
              </w:rPr>
            </w:pPr>
            <w:r>
              <w:rPr>
                <w:b/>
                <w:bCs/>
                <w:color w:val="000000"/>
                <w:sz w:val="20"/>
                <w:szCs w:val="20"/>
              </w:rPr>
              <w:t>75 698,1</w:t>
            </w:r>
          </w:p>
        </w:tc>
        <w:tc>
          <w:tcPr>
            <w:tcW w:w="1418"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b/>
                <w:bCs/>
                <w:color w:val="000000"/>
                <w:sz w:val="20"/>
                <w:szCs w:val="20"/>
              </w:rPr>
            </w:pPr>
            <w:r>
              <w:rPr>
                <w:b/>
                <w:bCs/>
                <w:color w:val="000000"/>
                <w:sz w:val="20"/>
                <w:szCs w:val="20"/>
              </w:rPr>
              <w:t>74 980,0</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96,4</w:t>
            </w:r>
          </w:p>
        </w:tc>
        <w:tc>
          <w:tcPr>
            <w:tcW w:w="1124" w:type="dxa"/>
            <w:tcBorders>
              <w:top w:val="nil"/>
              <w:left w:val="nil"/>
              <w:bottom w:val="single" w:sz="8" w:space="0" w:color="auto"/>
              <w:right w:val="single" w:sz="8" w:space="0" w:color="auto"/>
            </w:tcBorders>
            <w:shd w:val="clear" w:color="auto" w:fill="auto"/>
            <w:hideMark/>
          </w:tcPr>
          <w:p w:rsidR="005F7DAA" w:rsidRPr="00A72619" w:rsidRDefault="005F7DAA" w:rsidP="004465FB">
            <w:pPr>
              <w:jc w:val="center"/>
              <w:rPr>
                <w:color w:val="000000"/>
                <w:sz w:val="20"/>
                <w:szCs w:val="20"/>
              </w:rPr>
            </w:pPr>
            <w:r>
              <w:rPr>
                <w:color w:val="000000"/>
                <w:sz w:val="20"/>
                <w:szCs w:val="20"/>
              </w:rPr>
              <w:t>95,5</w:t>
            </w:r>
          </w:p>
        </w:tc>
      </w:tr>
    </w:tbl>
    <w:p w:rsidR="005F7DAA" w:rsidRDefault="005F7DAA" w:rsidP="005F7DAA">
      <w:pPr>
        <w:ind w:firstLine="709"/>
        <w:jc w:val="both"/>
        <w:outlineLvl w:val="1"/>
        <w:rPr>
          <w:b/>
        </w:rPr>
      </w:pPr>
    </w:p>
    <w:p w:rsidR="005F7DAA" w:rsidRPr="000863F3" w:rsidRDefault="005F7DAA" w:rsidP="005F7DAA">
      <w:pPr>
        <w:ind w:firstLine="709"/>
        <w:jc w:val="both"/>
        <w:outlineLvl w:val="1"/>
      </w:pPr>
      <w:r w:rsidRPr="000863F3">
        <w:t>Проектом бюджета ассигнования на 201</w:t>
      </w:r>
      <w:r>
        <w:t>8</w:t>
      </w:r>
      <w:r w:rsidRPr="000863F3">
        <w:t xml:space="preserve"> год предусмотрены в объеме</w:t>
      </w:r>
      <w:r w:rsidR="00D760E8">
        <w:t>,</w:t>
      </w:r>
      <w:r w:rsidRPr="000863F3">
        <w:t xml:space="preserve"> равном Реестру на этот же период, на 201</w:t>
      </w:r>
      <w:r>
        <w:t>9</w:t>
      </w:r>
      <w:r w:rsidRPr="000863F3">
        <w:t xml:space="preserve"> и 20</w:t>
      </w:r>
      <w:r>
        <w:t>20</w:t>
      </w:r>
      <w:r w:rsidRPr="000863F3">
        <w:t xml:space="preserve"> годы объемы, предусмотренные проектом бюджета, без учета условно-утвержденных расходов  также соответствуют Реестру. </w:t>
      </w:r>
    </w:p>
    <w:p w:rsidR="005F7DAA" w:rsidRDefault="005F7DAA" w:rsidP="005F7DAA">
      <w:pPr>
        <w:ind w:firstLine="709"/>
        <w:jc w:val="both"/>
        <w:outlineLvl w:val="1"/>
      </w:pPr>
      <w:r w:rsidRPr="000863F3">
        <w:t xml:space="preserve">Анализ Реестра показал, что объем расходных обязательств Волгоградской области сокращается. Так, если на текущий год расходные обязательства составляют </w:t>
      </w:r>
      <w:r>
        <w:t>86,2</w:t>
      </w:r>
      <w:r w:rsidRPr="000863F3">
        <w:t xml:space="preserve"> млрд. </w:t>
      </w:r>
      <w:r w:rsidRPr="000863F3">
        <w:lastRenderedPageBreak/>
        <w:t>руб., то планируемые расходные обязательства на 201</w:t>
      </w:r>
      <w:r>
        <w:t>8</w:t>
      </w:r>
      <w:r w:rsidRPr="000863F3">
        <w:t xml:space="preserve"> год меньше на </w:t>
      </w:r>
      <w:r>
        <w:t>7,7</w:t>
      </w:r>
      <w:r w:rsidRPr="000863F3">
        <w:t xml:space="preserve"> млрд. руб., наибольшее сокращение расходных обязательств приходится на 20</w:t>
      </w:r>
      <w:r>
        <w:t>20</w:t>
      </w:r>
      <w:r w:rsidRPr="000863F3">
        <w:t xml:space="preserve"> год, которое меньше расходных обязательств 201</w:t>
      </w:r>
      <w:r>
        <w:t>7</w:t>
      </w:r>
      <w:r w:rsidRPr="000863F3">
        <w:t xml:space="preserve"> года на </w:t>
      </w:r>
      <w:r>
        <w:t>11,2</w:t>
      </w:r>
      <w:r w:rsidRPr="000863F3">
        <w:t xml:space="preserve"> млрд. рублей.</w:t>
      </w:r>
      <w:r>
        <w:t xml:space="preserve"> </w:t>
      </w:r>
    </w:p>
    <w:p w:rsidR="005F7DAA" w:rsidRDefault="005F7DAA" w:rsidP="005F7DAA">
      <w:pPr>
        <w:ind w:firstLine="709"/>
        <w:jc w:val="both"/>
        <w:outlineLvl w:val="1"/>
      </w:pPr>
      <w:r w:rsidRPr="00B63188">
        <w:t>При этом планируемое снижение расходных обязательств не конкретизировано и не обоснованно ни в основных направлениях бюджетной политики, ни в представленном проекте бюджета.</w:t>
      </w:r>
    </w:p>
    <w:p w:rsidR="005F7DAA" w:rsidRDefault="005F7DAA" w:rsidP="005F7DAA">
      <w:pPr>
        <w:pStyle w:val="Default"/>
        <w:ind w:firstLine="709"/>
        <w:jc w:val="both"/>
      </w:pPr>
      <w:r>
        <w:t>Определение объема средств на выполнение ряда полномочий согласно представленному Реестру вызывает сомнения.</w:t>
      </w:r>
    </w:p>
    <w:p w:rsidR="005F7DAA" w:rsidRPr="00B63188" w:rsidRDefault="00D760E8" w:rsidP="005F7DAA">
      <w:pPr>
        <w:ind w:firstLine="708"/>
        <w:jc w:val="both"/>
        <w:rPr>
          <w:rFonts w:eastAsia="Calibri"/>
          <w:color w:val="000000"/>
        </w:rPr>
      </w:pPr>
      <w:r>
        <w:rPr>
          <w:rFonts w:eastAsia="Calibri"/>
          <w:color w:val="000000"/>
        </w:rPr>
        <w:t>Н</w:t>
      </w:r>
      <w:r w:rsidR="005F7DAA" w:rsidRPr="00B63188">
        <w:rPr>
          <w:rFonts w:eastAsia="Calibri"/>
          <w:color w:val="000000"/>
        </w:rPr>
        <w:t>апример, законопроектом комитету жилищно-коммунального хозяйства и топливно-энергетического комплекса Волгоградской области предусмотрены средства областного бюджета на финансирование непрограм</w:t>
      </w:r>
      <w:r>
        <w:rPr>
          <w:rFonts w:eastAsia="Calibri"/>
          <w:color w:val="000000"/>
        </w:rPr>
        <w:t>м</w:t>
      </w:r>
      <w:r w:rsidR="005F7DAA" w:rsidRPr="00B63188">
        <w:rPr>
          <w:rFonts w:eastAsia="Calibri"/>
          <w:color w:val="000000"/>
        </w:rPr>
        <w:t xml:space="preserve">ных расходов в размере 28,1 млн. руб., предназначенных </w:t>
      </w:r>
      <w:r w:rsidR="00881ED2">
        <w:rPr>
          <w:rFonts w:eastAsia="Calibri"/>
          <w:color w:val="000000"/>
        </w:rPr>
        <w:t>для</w:t>
      </w:r>
      <w:r w:rsidR="005F7DAA" w:rsidRPr="00B63188">
        <w:rPr>
          <w:rFonts w:eastAsia="Calibri"/>
          <w:color w:val="000000"/>
        </w:rPr>
        <w:t xml:space="preserve"> субсидировани</w:t>
      </w:r>
      <w:r w:rsidR="00881ED2">
        <w:rPr>
          <w:rFonts w:eastAsia="Calibri"/>
          <w:color w:val="000000"/>
        </w:rPr>
        <w:t>я</w:t>
      </w:r>
      <w:r w:rsidR="005F7DAA" w:rsidRPr="00B63188">
        <w:rPr>
          <w:rFonts w:eastAsia="Calibri"/>
          <w:color w:val="000000"/>
        </w:rPr>
        <w:t xml:space="preserve"> органов местного самоуправления на обводнение населенных пунктов.</w:t>
      </w:r>
    </w:p>
    <w:p w:rsidR="005F7DAA" w:rsidRPr="00B63188" w:rsidRDefault="005F7DAA" w:rsidP="005F7DAA">
      <w:pPr>
        <w:ind w:firstLine="708"/>
        <w:jc w:val="both"/>
        <w:rPr>
          <w:rFonts w:eastAsia="Calibri"/>
          <w:color w:val="000000"/>
        </w:rPr>
      </w:pPr>
      <w:r w:rsidRPr="00B63188">
        <w:rPr>
          <w:rFonts w:eastAsia="Calibri"/>
          <w:color w:val="000000"/>
        </w:rPr>
        <w:t>Ежегодно субсидии на обводнение маловодных населенных пунктов Волгоградской области предоставляются из областного бюджета в целях софинансирования расходов органов местного самоуправления на осуществление полномочий по организации водоснабжения населения в соответствии с Порядками предоставления субсидии</w:t>
      </w:r>
      <w:r>
        <w:rPr>
          <w:rFonts w:eastAsia="Calibri"/>
          <w:color w:val="000000"/>
        </w:rPr>
        <w:t>, утверждаемыми при исполнени</w:t>
      </w:r>
      <w:r w:rsidR="004465FB">
        <w:rPr>
          <w:rFonts w:eastAsia="Calibri"/>
          <w:color w:val="000000"/>
        </w:rPr>
        <w:t>и</w:t>
      </w:r>
      <w:r>
        <w:rPr>
          <w:rFonts w:eastAsia="Calibri"/>
          <w:color w:val="000000"/>
        </w:rPr>
        <w:t xml:space="preserve"> бюджета, т</w:t>
      </w:r>
      <w:r w:rsidR="00881ED2">
        <w:rPr>
          <w:rFonts w:eastAsia="Calibri"/>
          <w:color w:val="000000"/>
        </w:rPr>
        <w:t>.</w:t>
      </w:r>
      <w:r>
        <w:rPr>
          <w:rFonts w:eastAsia="Calibri"/>
          <w:color w:val="000000"/>
        </w:rPr>
        <w:t xml:space="preserve"> е</w:t>
      </w:r>
      <w:r w:rsidR="00881ED2">
        <w:rPr>
          <w:rFonts w:eastAsia="Calibri"/>
          <w:color w:val="000000"/>
        </w:rPr>
        <w:t>.</w:t>
      </w:r>
      <w:r>
        <w:rPr>
          <w:rFonts w:eastAsia="Calibri"/>
          <w:color w:val="000000"/>
        </w:rPr>
        <w:t xml:space="preserve"> </w:t>
      </w:r>
      <w:r w:rsidR="00881ED2">
        <w:rPr>
          <w:rFonts w:eastAsia="Calibri"/>
          <w:color w:val="000000"/>
        </w:rPr>
        <w:t>после принятия закона об областном бюджете на соответствующий финансовый период. В</w:t>
      </w:r>
      <w:r w:rsidRPr="00B63188">
        <w:rPr>
          <w:rFonts w:eastAsia="Calibri"/>
          <w:color w:val="000000"/>
        </w:rPr>
        <w:t xml:space="preserve"> нарушение требований ст</w:t>
      </w:r>
      <w:r w:rsidR="00881ED2">
        <w:rPr>
          <w:rFonts w:eastAsia="Calibri"/>
          <w:color w:val="000000"/>
        </w:rPr>
        <w:t xml:space="preserve">атьи </w:t>
      </w:r>
      <w:r w:rsidRPr="00B63188">
        <w:rPr>
          <w:rFonts w:eastAsia="Calibri"/>
          <w:color w:val="000000"/>
        </w:rPr>
        <w:t xml:space="preserve">85 БК РФ нормативный правовой акт, являющийся основанием </w:t>
      </w:r>
      <w:r w:rsidRPr="00370605">
        <w:rPr>
          <w:rFonts w:eastAsia="Calibri"/>
          <w:color w:val="000000"/>
          <w:u w:val="single"/>
        </w:rPr>
        <w:t>возникновения</w:t>
      </w:r>
      <w:r w:rsidRPr="00B63188">
        <w:rPr>
          <w:rFonts w:eastAsia="Calibri"/>
          <w:color w:val="000000"/>
        </w:rPr>
        <w:t xml:space="preserve"> данного расходного обязательства области, отсутствует.</w:t>
      </w:r>
      <w:r>
        <w:rPr>
          <w:rFonts w:eastAsia="Calibri"/>
          <w:color w:val="000000"/>
        </w:rPr>
        <w:t xml:space="preserve"> </w:t>
      </w:r>
      <w:r w:rsidRPr="00B63188">
        <w:rPr>
          <w:rFonts w:eastAsia="Calibri"/>
          <w:color w:val="000000"/>
        </w:rPr>
        <w:t xml:space="preserve">Данное нарушение </w:t>
      </w:r>
      <w:r w:rsidR="00881ED2">
        <w:rPr>
          <w:rFonts w:eastAsia="Calibri"/>
          <w:color w:val="000000"/>
        </w:rPr>
        <w:t xml:space="preserve">отмечено </w:t>
      </w:r>
      <w:r w:rsidRPr="00B63188">
        <w:rPr>
          <w:rFonts w:eastAsia="Calibri"/>
          <w:color w:val="000000"/>
        </w:rPr>
        <w:t xml:space="preserve">в отчете </w:t>
      </w:r>
      <w:r w:rsidR="00881ED2">
        <w:rPr>
          <w:rFonts w:eastAsia="Calibri"/>
          <w:color w:val="000000"/>
        </w:rPr>
        <w:t xml:space="preserve">КСП </w:t>
      </w:r>
      <w:r w:rsidRPr="00B63188">
        <w:rPr>
          <w:rFonts w:eastAsia="Calibri"/>
          <w:color w:val="000000"/>
        </w:rPr>
        <w:t>по результатам проверки эффективности и целевого использования субсидий из областного бюджета, предоставленных комитетом жилищно-коммунального хозяйства и топливно-энергетического комплекса Волгоградской области муниципальным образованиям на обводнение населенных пунктов в 2015-2016 годах и истекшем периоде 2017 год.</w:t>
      </w:r>
      <w:r w:rsidR="00881ED2">
        <w:rPr>
          <w:rFonts w:eastAsia="Calibri"/>
          <w:color w:val="000000"/>
        </w:rPr>
        <w:t xml:space="preserve"> Однако </w:t>
      </w:r>
      <w:r w:rsidR="00881ED2" w:rsidRPr="00881ED2">
        <w:rPr>
          <w:rFonts w:eastAsia="Calibri"/>
          <w:color w:val="000000"/>
          <w:u w:val="single"/>
        </w:rPr>
        <w:t>при разработке Реестра на 2018-2020 года замечание палаты не учтено</w:t>
      </w:r>
      <w:r w:rsidR="00881ED2">
        <w:rPr>
          <w:rFonts w:eastAsia="Calibri"/>
          <w:color w:val="000000"/>
        </w:rPr>
        <w:t xml:space="preserve">. </w:t>
      </w:r>
    </w:p>
    <w:p w:rsidR="005F7DAA" w:rsidRDefault="005F7DAA" w:rsidP="005F7DAA">
      <w:pPr>
        <w:pStyle w:val="Default"/>
        <w:ind w:firstLine="709"/>
        <w:jc w:val="both"/>
      </w:pPr>
      <w:r>
        <w:t xml:space="preserve">Выборочный анализ Реестра показал, что </w:t>
      </w:r>
      <w:r w:rsidRPr="00D02B04">
        <w:t xml:space="preserve">по коду </w:t>
      </w:r>
      <w:r>
        <w:t xml:space="preserve">7001 обязательство </w:t>
      </w:r>
      <w:r w:rsidRPr="00D02B04">
        <w:t>«</w:t>
      </w:r>
      <w:r w:rsidRPr="00916D49">
        <w:t>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D02B04">
        <w:t>»</w:t>
      </w:r>
      <w:r>
        <w:t xml:space="preserve">, исходя из указанного объема средств </w:t>
      </w:r>
      <w:r w:rsidRPr="00D02B04">
        <w:t>согласно представленному Реестру распространяется только на 201</w:t>
      </w:r>
      <w:r>
        <w:t>8</w:t>
      </w:r>
      <w:r w:rsidRPr="00D02B04">
        <w:t xml:space="preserve"> год</w:t>
      </w:r>
      <w:r>
        <w:t>,</w:t>
      </w:r>
      <w:r w:rsidRPr="00D02B04">
        <w:t xml:space="preserve"> </w:t>
      </w:r>
      <w:r>
        <w:t xml:space="preserve">на 2019 -2020 годы средства на выполнение указанного расходного обязательства Реестром не определены. </w:t>
      </w:r>
      <w:r w:rsidR="00881ED2">
        <w:t>О</w:t>
      </w:r>
      <w:r>
        <w:t>бъем средств на исполнение указанного обязательства в 2018 году согласно Реестру составляет 181,1 млн. руб., что в 2,9 раза меньше объема средств на 2017 год (524,7 млн. рублей).</w:t>
      </w:r>
    </w:p>
    <w:p w:rsidR="005F7DAA" w:rsidRDefault="005F7DAA" w:rsidP="005F7DAA">
      <w:pPr>
        <w:pStyle w:val="Default"/>
        <w:ind w:firstLine="709"/>
        <w:jc w:val="both"/>
      </w:pPr>
      <w:r w:rsidRPr="00D02B04">
        <w:t xml:space="preserve"> </w:t>
      </w:r>
      <w:r>
        <w:t>Определение объема средств на выполнение ряда полномочий согласно представленному Реестру вызывает сомнения.</w:t>
      </w:r>
    </w:p>
    <w:p w:rsidR="005F7DAA" w:rsidRPr="00100872" w:rsidRDefault="005F7DAA" w:rsidP="005F7DAA">
      <w:pPr>
        <w:pStyle w:val="Default"/>
        <w:ind w:firstLine="709"/>
        <w:jc w:val="both"/>
      </w:pPr>
      <w:r>
        <w:t>Так, по полномочию 6209 «</w:t>
      </w:r>
      <w:r w:rsidRPr="00100872">
        <w:t>социальные выплаты гражданам, чьи денежные средства привлечены для строительства многоквартирных домов</w:t>
      </w:r>
      <w:r>
        <w:t>» объ</w:t>
      </w:r>
      <w:r w:rsidR="000573A6">
        <w:t>е</w:t>
      </w:r>
      <w:r>
        <w:t xml:space="preserve">м средств определен только на 2018 год в размере 14 млн. руб., при этом в обосновании указанного расходного обязательства указана статья 2 </w:t>
      </w:r>
      <w:r w:rsidRPr="00100872">
        <w:t>Федеральн</w:t>
      </w:r>
      <w:r>
        <w:t>ого</w:t>
      </w:r>
      <w:r w:rsidRPr="00100872">
        <w:t xml:space="preserve"> закон</w:t>
      </w:r>
      <w:r>
        <w:t>а</w:t>
      </w:r>
      <w:r w:rsidRPr="00100872">
        <w:t xml:space="preserve"> от 29.12.2004 №188-ФЗ</w:t>
      </w:r>
      <w:r>
        <w:t xml:space="preserve"> «</w:t>
      </w:r>
      <w:r w:rsidRPr="00100872">
        <w:t>Жилищный кодекс Российской Федерации</w:t>
      </w:r>
      <w:r>
        <w:t>» и</w:t>
      </w:r>
      <w:r w:rsidRPr="00100872">
        <w:t xml:space="preserve"> Федеральный закон</w:t>
      </w:r>
      <w:r w:rsidR="000573A6">
        <w:t xml:space="preserve"> </w:t>
      </w:r>
      <w:r w:rsidRPr="00100872">
        <w:t xml:space="preserve">от 06.10.1999 №184-ФЗ </w:t>
      </w:r>
      <w:r>
        <w:t>«</w:t>
      </w:r>
      <w:r w:rsidRPr="00100872">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t>»</w:t>
      </w:r>
      <w:r w:rsidR="000573A6">
        <w:t>. Д</w:t>
      </w:r>
      <w:r>
        <w:t xml:space="preserve">окументы, </w:t>
      </w:r>
      <w:r w:rsidR="00AE4ACF">
        <w:t xml:space="preserve">в соответствии с </w:t>
      </w:r>
      <w:r>
        <w:t xml:space="preserve">которыми </w:t>
      </w:r>
      <w:r w:rsidR="000573A6">
        <w:t xml:space="preserve">данное </w:t>
      </w:r>
      <w:r>
        <w:t>полномочие</w:t>
      </w:r>
      <w:r w:rsidR="00AE4ACF">
        <w:t xml:space="preserve"> действует</w:t>
      </w:r>
      <w:r>
        <w:t xml:space="preserve"> только на 2018 год</w:t>
      </w:r>
      <w:r w:rsidR="00AE4ACF">
        <w:t>, не приведены</w:t>
      </w:r>
      <w:r>
        <w:t>.</w:t>
      </w:r>
    </w:p>
    <w:p w:rsidR="005F7DAA" w:rsidRDefault="005F7DAA" w:rsidP="005F7DAA">
      <w:pPr>
        <w:ind w:firstLine="709"/>
        <w:jc w:val="both"/>
        <w:outlineLvl w:val="1"/>
      </w:pPr>
      <w:r w:rsidRPr="006F0857">
        <w:t>КСП в своих заключениях на проекты бюджетов неоднократно указывала на невозможность оценки достоверности Реестра</w:t>
      </w:r>
      <w:r w:rsidR="003C620E">
        <w:t>.</w:t>
      </w:r>
      <w:r w:rsidRPr="006F0857">
        <w:t xml:space="preserve"> </w:t>
      </w:r>
      <w:r w:rsidR="003C620E">
        <w:t>П</w:t>
      </w:r>
      <w:r w:rsidRPr="006F0857">
        <w:t>ривед</w:t>
      </w:r>
      <w:r w:rsidR="003C620E">
        <w:t>е</w:t>
      </w:r>
      <w:r w:rsidRPr="006F0857">
        <w:t xml:space="preserve">нные примеры в очередной раз </w:t>
      </w:r>
      <w:r w:rsidR="003C620E">
        <w:t>подтверждают</w:t>
      </w:r>
      <w:r w:rsidRPr="006F0857">
        <w:t xml:space="preserve"> данный вывод</w:t>
      </w:r>
      <w:r>
        <w:t>, а представленный Реестр противоречит одной из задач основных направлений бюджетной и налоговой политики</w:t>
      </w:r>
      <w:r w:rsidR="003920E5">
        <w:t xml:space="preserve"> Волгоградской област</w:t>
      </w:r>
      <w:r w:rsidR="005C7DA3">
        <w:t>и</w:t>
      </w:r>
      <w:r w:rsidR="003920E5">
        <w:t xml:space="preserve"> на 2018-2020 годы -</w:t>
      </w:r>
      <w:r>
        <w:t xml:space="preserve"> р</w:t>
      </w:r>
      <w:r w:rsidRPr="00370605">
        <w:t>еализаци</w:t>
      </w:r>
      <w:r>
        <w:t>и</w:t>
      </w:r>
      <w:r w:rsidRPr="00370605">
        <w:t xml:space="preserve"> принципов открытости и прозрачности управления государственными финансами</w:t>
      </w:r>
      <w:r w:rsidR="003920E5">
        <w:t>.</w:t>
      </w:r>
      <w:r>
        <w:t xml:space="preserve">  </w:t>
      </w:r>
    </w:p>
    <w:p w:rsidR="005D2A0A" w:rsidRDefault="005D2A0A" w:rsidP="00514C8C">
      <w:pPr>
        <w:jc w:val="center"/>
      </w:pPr>
    </w:p>
    <w:p w:rsidR="00D002BB" w:rsidRDefault="003824C5" w:rsidP="00CC4A98">
      <w:pPr>
        <w:jc w:val="center"/>
        <w:rPr>
          <w:b/>
          <w:i/>
        </w:rPr>
      </w:pPr>
      <w:r>
        <w:rPr>
          <w:b/>
          <w:i/>
        </w:rPr>
        <w:lastRenderedPageBreak/>
        <w:t>4</w:t>
      </w:r>
      <w:r w:rsidR="004A2777">
        <w:rPr>
          <w:b/>
          <w:i/>
        </w:rPr>
        <w:t xml:space="preserve">. </w:t>
      </w:r>
      <w:r w:rsidR="00D002BB">
        <w:rPr>
          <w:b/>
          <w:i/>
        </w:rPr>
        <w:t xml:space="preserve"> </w:t>
      </w:r>
      <w:r w:rsidR="00BB0CDC">
        <w:rPr>
          <w:b/>
          <w:i/>
        </w:rPr>
        <w:t xml:space="preserve">Дефицит (профицит) областного бюджета, </w:t>
      </w:r>
      <w:r w:rsidR="00B34847">
        <w:rPr>
          <w:b/>
          <w:i/>
        </w:rPr>
        <w:t xml:space="preserve">программа государственных внутренних заимствований, </w:t>
      </w:r>
      <w:r w:rsidR="00BB0CDC">
        <w:rPr>
          <w:b/>
          <w:i/>
        </w:rPr>
        <w:t>в</w:t>
      </w:r>
      <w:r w:rsidR="00D002BB" w:rsidRPr="00A97C74">
        <w:rPr>
          <w:b/>
          <w:i/>
        </w:rPr>
        <w:t>ерхний предел государственного внутреннего долга Волгоградской области</w:t>
      </w:r>
      <w:r w:rsidR="00BB0CDC">
        <w:rPr>
          <w:b/>
          <w:i/>
        </w:rPr>
        <w:t xml:space="preserve">, в том числе </w:t>
      </w:r>
      <w:r w:rsidR="00D002BB" w:rsidRPr="00A97C74">
        <w:rPr>
          <w:b/>
          <w:i/>
        </w:rPr>
        <w:t xml:space="preserve"> по государственным гарантиям.</w:t>
      </w:r>
    </w:p>
    <w:p w:rsidR="00764CB7" w:rsidRPr="00764CB7" w:rsidRDefault="00764CB7" w:rsidP="00764CB7">
      <w:pPr>
        <w:ind w:firstLine="720"/>
        <w:jc w:val="both"/>
      </w:pPr>
      <w:r w:rsidRPr="00764CB7">
        <w:t xml:space="preserve">Проект областного бюджета на 2018-2020 годы сформирован </w:t>
      </w:r>
      <w:r w:rsidR="006F0BE7">
        <w:t xml:space="preserve">без </w:t>
      </w:r>
      <w:r w:rsidRPr="00764CB7">
        <w:t xml:space="preserve">дефицита и </w:t>
      </w:r>
      <w:r w:rsidR="00733834">
        <w:t xml:space="preserve">без </w:t>
      </w:r>
      <w:r w:rsidRPr="00764CB7">
        <w:t>профицита</w:t>
      </w:r>
      <w:r w:rsidR="006F0BE7">
        <w:t xml:space="preserve"> в каждом из трех лет</w:t>
      </w:r>
      <w:r w:rsidRPr="00764CB7">
        <w:t>.</w:t>
      </w:r>
    </w:p>
    <w:p w:rsidR="00764CB7" w:rsidRDefault="00764CB7" w:rsidP="00764CB7">
      <w:pPr>
        <w:ind w:firstLine="708"/>
        <w:jc w:val="both"/>
      </w:pPr>
      <w:r w:rsidRPr="00764CB7">
        <w:t>Основные параметры областного бюджета и источники финансирования дефицита на 201</w:t>
      </w:r>
      <w:r w:rsidR="001F7ACC">
        <w:t>7</w:t>
      </w:r>
      <w:r w:rsidRPr="00764CB7">
        <w:t>-20</w:t>
      </w:r>
      <w:r w:rsidR="001F7ACC">
        <w:t>20</w:t>
      </w:r>
      <w:r w:rsidRPr="00764CB7">
        <w:t xml:space="preserve"> годы приведены в следующей таблице.</w:t>
      </w:r>
    </w:p>
    <w:p w:rsidR="00764CB7" w:rsidRDefault="00712224" w:rsidP="00764CB7">
      <w:pPr>
        <w:ind w:left="7788" w:firstLine="708"/>
        <w:jc w:val="both"/>
        <w:rPr>
          <w:sz w:val="20"/>
          <w:szCs w:val="20"/>
        </w:rPr>
      </w:pPr>
      <w:r>
        <w:rPr>
          <w:sz w:val="20"/>
          <w:szCs w:val="20"/>
        </w:rPr>
        <w:t xml:space="preserve">    </w:t>
      </w:r>
      <w:r w:rsidR="00764CB7" w:rsidRPr="0020248A">
        <w:rPr>
          <w:sz w:val="20"/>
          <w:szCs w:val="20"/>
        </w:rPr>
        <w:t>млн. руб.</w:t>
      </w:r>
    </w:p>
    <w:tbl>
      <w:tblPr>
        <w:tblW w:w="9585" w:type="dxa"/>
        <w:tblInd w:w="85" w:type="dxa"/>
        <w:tblLook w:val="04A0"/>
      </w:tblPr>
      <w:tblGrid>
        <w:gridCol w:w="3709"/>
        <w:gridCol w:w="2320"/>
        <w:gridCol w:w="1340"/>
        <w:gridCol w:w="1200"/>
        <w:gridCol w:w="1016"/>
      </w:tblGrid>
      <w:tr w:rsidR="00764CB7" w:rsidRPr="004465FB" w:rsidTr="004465FB">
        <w:trPr>
          <w:trHeight w:val="85"/>
        </w:trPr>
        <w:tc>
          <w:tcPr>
            <w:tcW w:w="3709" w:type="dxa"/>
            <w:vMerge w:val="restart"/>
            <w:tcBorders>
              <w:top w:val="double" w:sz="6" w:space="0" w:color="auto"/>
              <w:left w:val="double" w:sz="6" w:space="0" w:color="auto"/>
              <w:bottom w:val="double" w:sz="6" w:space="0" w:color="000000"/>
              <w:right w:val="single" w:sz="8" w:space="0" w:color="auto"/>
            </w:tcBorders>
            <w:shd w:val="clear" w:color="auto" w:fill="FDFAB5"/>
            <w:vAlign w:val="bottom"/>
            <w:hideMark/>
          </w:tcPr>
          <w:p w:rsidR="00764CB7" w:rsidRPr="004465FB" w:rsidRDefault="00764CB7" w:rsidP="00A4542C">
            <w:pPr>
              <w:jc w:val="center"/>
              <w:rPr>
                <w:b/>
                <w:bCs/>
                <w:i/>
                <w:color w:val="000000"/>
                <w:sz w:val="22"/>
                <w:szCs w:val="22"/>
              </w:rPr>
            </w:pPr>
            <w:r w:rsidRPr="004465FB">
              <w:rPr>
                <w:b/>
                <w:bCs/>
                <w:i/>
                <w:color w:val="000000"/>
                <w:sz w:val="22"/>
                <w:szCs w:val="22"/>
              </w:rPr>
              <w:t>Показатели</w:t>
            </w:r>
          </w:p>
        </w:tc>
        <w:tc>
          <w:tcPr>
            <w:tcW w:w="2320" w:type="dxa"/>
            <w:vMerge w:val="restart"/>
            <w:tcBorders>
              <w:top w:val="double" w:sz="6" w:space="0" w:color="auto"/>
              <w:left w:val="nil"/>
              <w:right w:val="single" w:sz="8" w:space="0" w:color="auto"/>
            </w:tcBorders>
            <w:shd w:val="clear" w:color="auto" w:fill="FDFAB5"/>
            <w:vAlign w:val="bottom"/>
            <w:hideMark/>
          </w:tcPr>
          <w:p w:rsidR="004465FB" w:rsidRDefault="00764CB7" w:rsidP="00A4542C">
            <w:pPr>
              <w:jc w:val="center"/>
              <w:rPr>
                <w:b/>
                <w:bCs/>
                <w:i/>
                <w:color w:val="000000"/>
                <w:sz w:val="22"/>
                <w:szCs w:val="22"/>
              </w:rPr>
            </w:pPr>
            <w:r w:rsidRPr="004465FB">
              <w:rPr>
                <w:b/>
                <w:bCs/>
                <w:i/>
                <w:color w:val="000000"/>
                <w:sz w:val="22"/>
                <w:szCs w:val="22"/>
              </w:rPr>
              <w:t xml:space="preserve">2017 год </w:t>
            </w:r>
          </w:p>
          <w:p w:rsidR="00764CB7" w:rsidRPr="004465FB" w:rsidRDefault="00764CB7" w:rsidP="004465FB">
            <w:pPr>
              <w:jc w:val="center"/>
              <w:rPr>
                <w:b/>
                <w:bCs/>
                <w:i/>
                <w:color w:val="000000"/>
                <w:sz w:val="22"/>
                <w:szCs w:val="22"/>
              </w:rPr>
            </w:pPr>
            <w:r w:rsidRPr="004465FB">
              <w:rPr>
                <w:b/>
                <w:bCs/>
                <w:i/>
                <w:color w:val="000000"/>
                <w:sz w:val="22"/>
                <w:szCs w:val="22"/>
              </w:rPr>
              <w:t>(в редакции 18.09.2017)</w:t>
            </w:r>
          </w:p>
        </w:tc>
        <w:tc>
          <w:tcPr>
            <w:tcW w:w="3556" w:type="dxa"/>
            <w:gridSpan w:val="3"/>
            <w:tcBorders>
              <w:top w:val="double" w:sz="6" w:space="0" w:color="auto"/>
              <w:left w:val="nil"/>
              <w:bottom w:val="single" w:sz="8" w:space="0" w:color="auto"/>
              <w:right w:val="double" w:sz="6" w:space="0" w:color="000000"/>
            </w:tcBorders>
            <w:shd w:val="clear" w:color="auto" w:fill="FDFAB5"/>
            <w:vAlign w:val="bottom"/>
            <w:hideMark/>
          </w:tcPr>
          <w:p w:rsidR="00764CB7" w:rsidRPr="004465FB" w:rsidRDefault="00764CB7" w:rsidP="00A4542C">
            <w:pPr>
              <w:jc w:val="center"/>
              <w:rPr>
                <w:b/>
                <w:bCs/>
                <w:i/>
                <w:color w:val="000000"/>
                <w:sz w:val="22"/>
                <w:szCs w:val="22"/>
              </w:rPr>
            </w:pPr>
            <w:r w:rsidRPr="004465FB">
              <w:rPr>
                <w:b/>
                <w:bCs/>
                <w:i/>
                <w:color w:val="000000"/>
                <w:sz w:val="22"/>
                <w:szCs w:val="22"/>
              </w:rPr>
              <w:t>Проект на 2018-2020 годы</w:t>
            </w:r>
          </w:p>
        </w:tc>
      </w:tr>
      <w:tr w:rsidR="00764CB7" w:rsidRPr="004465FB" w:rsidTr="004465FB">
        <w:trPr>
          <w:trHeight w:val="246"/>
        </w:trPr>
        <w:tc>
          <w:tcPr>
            <w:tcW w:w="3709" w:type="dxa"/>
            <w:vMerge/>
            <w:tcBorders>
              <w:top w:val="double" w:sz="6" w:space="0" w:color="auto"/>
              <w:left w:val="double" w:sz="6" w:space="0" w:color="auto"/>
              <w:bottom w:val="double" w:sz="6" w:space="0" w:color="000000"/>
              <w:right w:val="single" w:sz="8" w:space="0" w:color="auto"/>
            </w:tcBorders>
            <w:shd w:val="clear" w:color="auto" w:fill="FDFAB5"/>
            <w:vAlign w:val="center"/>
            <w:hideMark/>
          </w:tcPr>
          <w:p w:rsidR="00764CB7" w:rsidRPr="004465FB" w:rsidRDefault="00764CB7" w:rsidP="00A4542C">
            <w:pPr>
              <w:rPr>
                <w:b/>
                <w:bCs/>
                <w:i/>
                <w:color w:val="000000"/>
                <w:sz w:val="22"/>
                <w:szCs w:val="22"/>
              </w:rPr>
            </w:pPr>
          </w:p>
        </w:tc>
        <w:tc>
          <w:tcPr>
            <w:tcW w:w="2320" w:type="dxa"/>
            <w:vMerge/>
            <w:tcBorders>
              <w:left w:val="nil"/>
              <w:bottom w:val="double" w:sz="6" w:space="0" w:color="auto"/>
              <w:right w:val="single" w:sz="8" w:space="0" w:color="auto"/>
            </w:tcBorders>
            <w:shd w:val="clear" w:color="auto" w:fill="FDFAB5"/>
            <w:vAlign w:val="bottom"/>
            <w:hideMark/>
          </w:tcPr>
          <w:p w:rsidR="00764CB7" w:rsidRPr="004465FB" w:rsidRDefault="00764CB7" w:rsidP="00A4542C">
            <w:pPr>
              <w:jc w:val="center"/>
              <w:rPr>
                <w:b/>
                <w:bCs/>
                <w:i/>
                <w:color w:val="000000"/>
                <w:sz w:val="22"/>
                <w:szCs w:val="22"/>
              </w:rPr>
            </w:pPr>
          </w:p>
        </w:tc>
        <w:tc>
          <w:tcPr>
            <w:tcW w:w="1340" w:type="dxa"/>
            <w:tcBorders>
              <w:top w:val="nil"/>
              <w:left w:val="nil"/>
              <w:bottom w:val="double" w:sz="6" w:space="0" w:color="auto"/>
              <w:right w:val="single" w:sz="8" w:space="0" w:color="auto"/>
            </w:tcBorders>
            <w:shd w:val="clear" w:color="auto" w:fill="FDFAB5"/>
            <w:vAlign w:val="bottom"/>
            <w:hideMark/>
          </w:tcPr>
          <w:p w:rsidR="00764CB7" w:rsidRPr="004465FB" w:rsidRDefault="00764CB7" w:rsidP="00A4542C">
            <w:pPr>
              <w:jc w:val="center"/>
              <w:rPr>
                <w:b/>
                <w:bCs/>
                <w:i/>
                <w:color w:val="000000"/>
                <w:sz w:val="22"/>
                <w:szCs w:val="22"/>
              </w:rPr>
            </w:pPr>
            <w:r w:rsidRPr="004465FB">
              <w:rPr>
                <w:b/>
                <w:bCs/>
                <w:i/>
                <w:color w:val="000000"/>
                <w:sz w:val="22"/>
                <w:szCs w:val="22"/>
              </w:rPr>
              <w:t>2018</w:t>
            </w:r>
          </w:p>
        </w:tc>
        <w:tc>
          <w:tcPr>
            <w:tcW w:w="1200" w:type="dxa"/>
            <w:tcBorders>
              <w:top w:val="nil"/>
              <w:left w:val="nil"/>
              <w:bottom w:val="double" w:sz="6" w:space="0" w:color="auto"/>
              <w:right w:val="single" w:sz="8" w:space="0" w:color="auto"/>
            </w:tcBorders>
            <w:shd w:val="clear" w:color="auto" w:fill="FDFAB5"/>
            <w:vAlign w:val="bottom"/>
            <w:hideMark/>
          </w:tcPr>
          <w:p w:rsidR="00764CB7" w:rsidRPr="004465FB" w:rsidRDefault="00764CB7" w:rsidP="00A4542C">
            <w:pPr>
              <w:jc w:val="center"/>
              <w:rPr>
                <w:b/>
                <w:bCs/>
                <w:i/>
                <w:color w:val="000000"/>
                <w:sz w:val="22"/>
                <w:szCs w:val="22"/>
              </w:rPr>
            </w:pPr>
            <w:r w:rsidRPr="004465FB">
              <w:rPr>
                <w:b/>
                <w:bCs/>
                <w:i/>
                <w:color w:val="000000"/>
                <w:sz w:val="22"/>
                <w:szCs w:val="22"/>
              </w:rPr>
              <w:t>2019</w:t>
            </w:r>
          </w:p>
        </w:tc>
        <w:tc>
          <w:tcPr>
            <w:tcW w:w="1016" w:type="dxa"/>
            <w:tcBorders>
              <w:top w:val="nil"/>
              <w:left w:val="nil"/>
              <w:bottom w:val="double" w:sz="6" w:space="0" w:color="auto"/>
              <w:right w:val="double" w:sz="6" w:space="0" w:color="auto"/>
            </w:tcBorders>
            <w:shd w:val="clear" w:color="auto" w:fill="FDFAB5"/>
            <w:vAlign w:val="bottom"/>
            <w:hideMark/>
          </w:tcPr>
          <w:p w:rsidR="00764CB7" w:rsidRPr="004465FB" w:rsidRDefault="00764CB7" w:rsidP="00A4542C">
            <w:pPr>
              <w:jc w:val="center"/>
              <w:rPr>
                <w:b/>
                <w:bCs/>
                <w:i/>
                <w:color w:val="000000"/>
                <w:sz w:val="22"/>
                <w:szCs w:val="22"/>
              </w:rPr>
            </w:pPr>
            <w:r w:rsidRPr="004465FB">
              <w:rPr>
                <w:b/>
                <w:bCs/>
                <w:i/>
                <w:color w:val="000000"/>
                <w:sz w:val="22"/>
                <w:szCs w:val="22"/>
              </w:rPr>
              <w:t>2020</w:t>
            </w:r>
          </w:p>
        </w:tc>
      </w:tr>
      <w:tr w:rsidR="00764CB7" w:rsidRPr="004465FB" w:rsidTr="001F7ACC">
        <w:trPr>
          <w:trHeight w:val="192"/>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b/>
                <w:bCs/>
                <w:color w:val="000000"/>
                <w:sz w:val="22"/>
                <w:szCs w:val="22"/>
              </w:rPr>
            </w:pPr>
            <w:r w:rsidRPr="004465FB">
              <w:rPr>
                <w:b/>
                <w:bCs/>
                <w:color w:val="000000"/>
                <w:sz w:val="22"/>
                <w:szCs w:val="22"/>
              </w:rPr>
              <w:t>Доходы, всего</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86 191,1</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78 512,4</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77 419,1</w:t>
            </w: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79 684,0</w:t>
            </w:r>
          </w:p>
        </w:tc>
      </w:tr>
      <w:tr w:rsidR="00764CB7" w:rsidRPr="004465FB" w:rsidTr="001F7ACC">
        <w:trPr>
          <w:trHeight w:val="234"/>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b/>
                <w:bCs/>
                <w:color w:val="000000"/>
                <w:sz w:val="22"/>
                <w:szCs w:val="22"/>
              </w:rPr>
            </w:pPr>
            <w:r w:rsidRPr="004465FB">
              <w:rPr>
                <w:b/>
                <w:bCs/>
                <w:color w:val="000000"/>
                <w:sz w:val="22"/>
                <w:szCs w:val="22"/>
              </w:rPr>
              <w:t>Расходы всего</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86 191,1</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78 512,4</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77 419,1</w:t>
            </w: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79 684,0</w:t>
            </w:r>
          </w:p>
        </w:tc>
      </w:tr>
      <w:tr w:rsidR="00764CB7" w:rsidRPr="004465FB" w:rsidTr="001F7ACC">
        <w:trPr>
          <w:trHeight w:val="395"/>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b/>
                <w:bCs/>
                <w:color w:val="000000"/>
                <w:sz w:val="22"/>
                <w:szCs w:val="22"/>
              </w:rPr>
            </w:pPr>
            <w:r w:rsidRPr="004465FB">
              <w:rPr>
                <w:b/>
                <w:bCs/>
                <w:color w:val="000000"/>
                <w:sz w:val="22"/>
                <w:szCs w:val="22"/>
              </w:rPr>
              <w:t>Дефицит бюджета, источники финансирования</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0,0</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0,0</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0,0</w:t>
            </w:r>
          </w:p>
        </w:tc>
        <w:tc>
          <w:tcPr>
            <w:tcW w:w="1016"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r w:rsidRPr="004465FB">
              <w:rPr>
                <w:b/>
                <w:bCs/>
                <w:color w:val="000000"/>
                <w:sz w:val="22"/>
                <w:szCs w:val="22"/>
              </w:rPr>
              <w:t>0,0</w:t>
            </w:r>
          </w:p>
        </w:tc>
      </w:tr>
      <w:tr w:rsidR="00764CB7" w:rsidRPr="004465FB" w:rsidTr="001F7ACC">
        <w:trPr>
          <w:trHeight w:val="203"/>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b/>
                <w:bCs/>
                <w:color w:val="000000"/>
                <w:sz w:val="22"/>
                <w:szCs w:val="22"/>
              </w:rPr>
            </w:pPr>
            <w:r w:rsidRPr="004465FB">
              <w:rPr>
                <w:b/>
                <w:bCs/>
                <w:color w:val="000000"/>
                <w:sz w:val="22"/>
                <w:szCs w:val="22"/>
              </w:rPr>
              <w:t xml:space="preserve">в т. ч. за счет: </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b/>
                <w:bCs/>
                <w:color w:val="000000"/>
                <w:sz w:val="22"/>
                <w:szCs w:val="22"/>
              </w:rPr>
            </w:pP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b/>
                <w:bCs/>
                <w:color w:val="000000"/>
                <w:sz w:val="22"/>
                <w:szCs w:val="22"/>
              </w:rPr>
            </w:pPr>
          </w:p>
        </w:tc>
      </w:tr>
      <w:tr w:rsidR="00764CB7" w:rsidRPr="004465FB" w:rsidTr="001F7ACC">
        <w:trPr>
          <w:trHeight w:val="93"/>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 xml:space="preserve">-заимствований </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-50,0</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-40,0</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-52,4</w:t>
            </w: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-93,6</w:t>
            </w:r>
          </w:p>
        </w:tc>
      </w:tr>
      <w:tr w:rsidR="00764CB7" w:rsidRPr="004465FB" w:rsidTr="001F7ACC">
        <w:trPr>
          <w:trHeight w:val="69"/>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-изменения  остатков</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65,0</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211,2</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449,4</w:t>
            </w: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305,5</w:t>
            </w:r>
          </w:p>
        </w:tc>
      </w:tr>
      <w:tr w:rsidR="00764CB7" w:rsidRPr="004465FB" w:rsidTr="001F7ACC">
        <w:trPr>
          <w:trHeight w:val="315"/>
        </w:trPr>
        <w:tc>
          <w:tcPr>
            <w:tcW w:w="3709" w:type="dxa"/>
            <w:tcBorders>
              <w:top w:val="nil"/>
              <w:left w:val="double" w:sz="6" w:space="0" w:color="auto"/>
              <w:bottom w:val="single" w:sz="8" w:space="0" w:color="auto"/>
              <w:right w:val="single" w:sz="8" w:space="0" w:color="auto"/>
            </w:tcBorders>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 прочих источников (исполнение госгарантий, продажа акций и иных участий в капитале)</w:t>
            </w:r>
          </w:p>
        </w:tc>
        <w:tc>
          <w:tcPr>
            <w:tcW w:w="232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-15,0</w:t>
            </w:r>
          </w:p>
        </w:tc>
        <w:tc>
          <w:tcPr>
            <w:tcW w:w="134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-171,2</w:t>
            </w:r>
          </w:p>
        </w:tc>
        <w:tc>
          <w:tcPr>
            <w:tcW w:w="1200" w:type="dxa"/>
            <w:tcBorders>
              <w:top w:val="nil"/>
              <w:left w:val="nil"/>
              <w:bottom w:val="single" w:sz="8" w:space="0" w:color="auto"/>
              <w:right w:val="single" w:sz="8"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-397,0</w:t>
            </w:r>
          </w:p>
        </w:tc>
        <w:tc>
          <w:tcPr>
            <w:tcW w:w="1016" w:type="dxa"/>
            <w:tcBorders>
              <w:top w:val="nil"/>
              <w:left w:val="nil"/>
              <w:bottom w:val="single" w:sz="8" w:space="0" w:color="auto"/>
              <w:right w:val="double" w:sz="6" w:space="0" w:color="auto"/>
            </w:tcBorders>
            <w:shd w:val="clear" w:color="auto" w:fill="auto"/>
            <w:vAlign w:val="bottom"/>
            <w:hideMark/>
          </w:tcPr>
          <w:p w:rsidR="00764CB7" w:rsidRPr="004465FB" w:rsidRDefault="00764CB7" w:rsidP="00712224">
            <w:pPr>
              <w:jc w:val="center"/>
              <w:rPr>
                <w:color w:val="000000"/>
                <w:sz w:val="22"/>
                <w:szCs w:val="22"/>
              </w:rPr>
            </w:pPr>
            <w:r w:rsidRPr="004465FB">
              <w:rPr>
                <w:color w:val="000000"/>
                <w:sz w:val="22"/>
                <w:szCs w:val="22"/>
              </w:rPr>
              <w:t>-211,9</w:t>
            </w:r>
          </w:p>
        </w:tc>
      </w:tr>
    </w:tbl>
    <w:p w:rsidR="00764CB7" w:rsidRDefault="00764CB7" w:rsidP="00764CB7">
      <w:pPr>
        <w:ind w:firstLine="708"/>
        <w:jc w:val="both"/>
        <w:rPr>
          <w:b/>
          <w:bCs/>
          <w:color w:val="548DD4" w:themeColor="text2" w:themeTint="99"/>
          <w:sz w:val="20"/>
          <w:szCs w:val="20"/>
        </w:rPr>
      </w:pPr>
    </w:p>
    <w:p w:rsidR="00764CB7" w:rsidRPr="00733834" w:rsidRDefault="00764CB7" w:rsidP="00764CB7">
      <w:pPr>
        <w:ind w:firstLine="708"/>
        <w:jc w:val="both"/>
        <w:rPr>
          <w:b/>
          <w:i/>
        </w:rPr>
      </w:pPr>
      <w:r w:rsidRPr="00764CB7">
        <w:t xml:space="preserve">Как видно из представленных данных, </w:t>
      </w:r>
      <w:r w:rsidRPr="00733834">
        <w:rPr>
          <w:b/>
          <w:i/>
        </w:rPr>
        <w:t>расходы областного бюджета предполагается осуществлять за счет доходов, не привлекая на эти цели заимствования. Привлекаемые заимствования будут направлены на исполнение существующих обязательств.</w:t>
      </w:r>
    </w:p>
    <w:p w:rsidR="00BD18B2" w:rsidRPr="00764CB7" w:rsidRDefault="00764CB7" w:rsidP="00764CB7">
      <w:pPr>
        <w:ind w:firstLine="708"/>
        <w:jc w:val="both"/>
      </w:pPr>
      <w:r w:rsidRPr="00764CB7">
        <w:t xml:space="preserve">Структура заимствований и иных источников финансирования бюджета приведена в приложениях 23-24 к </w:t>
      </w:r>
      <w:r w:rsidR="001F7ACC">
        <w:t>з</w:t>
      </w:r>
      <w:r w:rsidRPr="00764CB7">
        <w:t>аконопроекту и представлена в следующей таблице.</w:t>
      </w:r>
    </w:p>
    <w:p w:rsidR="00764CB7" w:rsidRPr="00DE408D" w:rsidRDefault="00764CB7" w:rsidP="00764CB7">
      <w:pPr>
        <w:ind w:firstLine="708"/>
        <w:jc w:val="right"/>
        <w:rPr>
          <w:sz w:val="20"/>
          <w:szCs w:val="20"/>
        </w:rPr>
      </w:pPr>
      <w:r w:rsidRPr="00DE408D">
        <w:rPr>
          <w:sz w:val="20"/>
          <w:szCs w:val="20"/>
        </w:rPr>
        <w:t>млн. руб.</w:t>
      </w:r>
    </w:p>
    <w:tbl>
      <w:tblPr>
        <w:tblW w:w="9662" w:type="dxa"/>
        <w:tblInd w:w="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4A0"/>
      </w:tblPr>
      <w:tblGrid>
        <w:gridCol w:w="4985"/>
        <w:gridCol w:w="1540"/>
        <w:gridCol w:w="1578"/>
        <w:gridCol w:w="1559"/>
      </w:tblGrid>
      <w:tr w:rsidR="00764CB7" w:rsidRPr="00DE408D" w:rsidTr="001F7ACC">
        <w:trPr>
          <w:trHeight w:val="345"/>
        </w:trPr>
        <w:tc>
          <w:tcPr>
            <w:tcW w:w="4985" w:type="dxa"/>
            <w:shd w:val="clear" w:color="auto" w:fill="auto"/>
            <w:vAlign w:val="center"/>
            <w:hideMark/>
          </w:tcPr>
          <w:p w:rsidR="00764CB7" w:rsidRPr="004465FB" w:rsidRDefault="00764CB7" w:rsidP="00A4542C">
            <w:pPr>
              <w:jc w:val="center"/>
              <w:rPr>
                <w:b/>
                <w:bCs/>
                <w:color w:val="000000"/>
                <w:sz w:val="22"/>
                <w:szCs w:val="22"/>
              </w:rPr>
            </w:pPr>
            <w:r w:rsidRPr="004465FB">
              <w:rPr>
                <w:b/>
                <w:bCs/>
                <w:color w:val="000000"/>
                <w:sz w:val="22"/>
                <w:szCs w:val="22"/>
              </w:rPr>
              <w:t>Источники финансирования дефицита</w:t>
            </w:r>
          </w:p>
        </w:tc>
        <w:tc>
          <w:tcPr>
            <w:tcW w:w="1540" w:type="dxa"/>
            <w:shd w:val="clear" w:color="auto" w:fill="auto"/>
            <w:vAlign w:val="center"/>
            <w:hideMark/>
          </w:tcPr>
          <w:p w:rsidR="00764CB7" w:rsidRPr="004465FB" w:rsidRDefault="00764CB7" w:rsidP="00A4542C">
            <w:pPr>
              <w:jc w:val="center"/>
              <w:rPr>
                <w:b/>
                <w:bCs/>
                <w:color w:val="000000"/>
                <w:sz w:val="22"/>
                <w:szCs w:val="22"/>
              </w:rPr>
            </w:pPr>
            <w:r w:rsidRPr="004465FB">
              <w:rPr>
                <w:b/>
                <w:bCs/>
                <w:color w:val="000000"/>
                <w:sz w:val="22"/>
                <w:szCs w:val="22"/>
              </w:rPr>
              <w:t>2018</w:t>
            </w:r>
          </w:p>
        </w:tc>
        <w:tc>
          <w:tcPr>
            <w:tcW w:w="1578" w:type="dxa"/>
            <w:shd w:val="clear" w:color="auto" w:fill="auto"/>
            <w:vAlign w:val="center"/>
            <w:hideMark/>
          </w:tcPr>
          <w:p w:rsidR="00764CB7" w:rsidRPr="004465FB" w:rsidRDefault="00764CB7" w:rsidP="00A4542C">
            <w:pPr>
              <w:jc w:val="center"/>
              <w:rPr>
                <w:b/>
                <w:bCs/>
                <w:color w:val="000000"/>
                <w:sz w:val="22"/>
                <w:szCs w:val="22"/>
              </w:rPr>
            </w:pPr>
            <w:r w:rsidRPr="004465FB">
              <w:rPr>
                <w:b/>
                <w:bCs/>
                <w:color w:val="000000"/>
                <w:sz w:val="22"/>
                <w:szCs w:val="22"/>
              </w:rPr>
              <w:t>2019</w:t>
            </w:r>
          </w:p>
        </w:tc>
        <w:tc>
          <w:tcPr>
            <w:tcW w:w="1559" w:type="dxa"/>
            <w:shd w:val="clear" w:color="auto" w:fill="auto"/>
            <w:vAlign w:val="center"/>
            <w:hideMark/>
          </w:tcPr>
          <w:p w:rsidR="00764CB7" w:rsidRPr="004465FB" w:rsidRDefault="00764CB7" w:rsidP="00A4542C">
            <w:pPr>
              <w:jc w:val="center"/>
              <w:rPr>
                <w:b/>
                <w:bCs/>
                <w:color w:val="000000"/>
                <w:sz w:val="22"/>
                <w:szCs w:val="22"/>
              </w:rPr>
            </w:pPr>
            <w:r w:rsidRPr="004465FB">
              <w:rPr>
                <w:b/>
                <w:bCs/>
                <w:color w:val="000000"/>
                <w:sz w:val="22"/>
                <w:szCs w:val="22"/>
              </w:rPr>
              <w:t>2020</w:t>
            </w:r>
          </w:p>
        </w:tc>
      </w:tr>
      <w:tr w:rsidR="00764CB7" w:rsidRPr="00DE408D" w:rsidTr="001F7ACC">
        <w:trPr>
          <w:trHeight w:val="240"/>
        </w:trPr>
        <w:tc>
          <w:tcPr>
            <w:tcW w:w="4985" w:type="dxa"/>
            <w:shd w:val="clear" w:color="000000" w:fill="DBE5F1"/>
            <w:vAlign w:val="bottom"/>
            <w:hideMark/>
          </w:tcPr>
          <w:p w:rsidR="00764CB7" w:rsidRPr="004465FB" w:rsidRDefault="00764CB7" w:rsidP="00A4542C">
            <w:pPr>
              <w:rPr>
                <w:color w:val="000000"/>
                <w:sz w:val="22"/>
                <w:szCs w:val="22"/>
              </w:rPr>
            </w:pPr>
            <w:r w:rsidRPr="004465FB">
              <w:rPr>
                <w:color w:val="000000"/>
                <w:sz w:val="22"/>
                <w:szCs w:val="22"/>
              </w:rPr>
              <w:t>Государственные ценные бумаги</w:t>
            </w:r>
          </w:p>
        </w:tc>
        <w:tc>
          <w:tcPr>
            <w:tcW w:w="1540" w:type="dxa"/>
            <w:shd w:val="clear" w:color="000000" w:fill="DBE5F1"/>
            <w:noWrap/>
            <w:vAlign w:val="bottom"/>
            <w:hideMark/>
          </w:tcPr>
          <w:p w:rsidR="00764CB7" w:rsidRPr="004465FB" w:rsidRDefault="00764CB7" w:rsidP="00DE408D">
            <w:pPr>
              <w:jc w:val="center"/>
              <w:rPr>
                <w:color w:val="000000"/>
                <w:sz w:val="22"/>
                <w:szCs w:val="22"/>
              </w:rPr>
            </w:pPr>
            <w:r w:rsidRPr="004465FB">
              <w:rPr>
                <w:color w:val="000000"/>
                <w:sz w:val="22"/>
                <w:szCs w:val="22"/>
              </w:rPr>
              <w:t>-4 100,0</w:t>
            </w:r>
          </w:p>
        </w:tc>
        <w:tc>
          <w:tcPr>
            <w:tcW w:w="1578" w:type="dxa"/>
            <w:shd w:val="clear" w:color="000000" w:fill="DBE5F1"/>
            <w:noWrap/>
            <w:vAlign w:val="bottom"/>
            <w:hideMark/>
          </w:tcPr>
          <w:p w:rsidR="00764CB7" w:rsidRPr="004465FB" w:rsidRDefault="00764CB7" w:rsidP="00DE408D">
            <w:pPr>
              <w:jc w:val="center"/>
              <w:rPr>
                <w:color w:val="000000"/>
                <w:sz w:val="22"/>
                <w:szCs w:val="22"/>
              </w:rPr>
            </w:pPr>
            <w:r w:rsidRPr="004465FB">
              <w:rPr>
                <w:color w:val="000000"/>
                <w:sz w:val="22"/>
                <w:szCs w:val="22"/>
              </w:rPr>
              <w:t>3 000,0</w:t>
            </w:r>
          </w:p>
        </w:tc>
        <w:tc>
          <w:tcPr>
            <w:tcW w:w="1559" w:type="dxa"/>
            <w:shd w:val="clear" w:color="000000" w:fill="DBE5F1"/>
            <w:noWrap/>
            <w:vAlign w:val="bottom"/>
            <w:hideMark/>
          </w:tcPr>
          <w:p w:rsidR="00764CB7" w:rsidRPr="004465FB" w:rsidRDefault="00764CB7" w:rsidP="00DE408D">
            <w:pPr>
              <w:jc w:val="center"/>
              <w:rPr>
                <w:color w:val="000000"/>
                <w:sz w:val="22"/>
                <w:szCs w:val="22"/>
              </w:rPr>
            </w:pPr>
            <w:r w:rsidRPr="004465FB">
              <w:rPr>
                <w:color w:val="000000"/>
                <w:sz w:val="22"/>
                <w:szCs w:val="22"/>
              </w:rPr>
              <w:t>3 750,0</w:t>
            </w:r>
          </w:p>
        </w:tc>
      </w:tr>
      <w:tr w:rsidR="00764CB7" w:rsidRPr="00DE408D" w:rsidTr="001F7ACC">
        <w:trPr>
          <w:trHeight w:val="116"/>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привлечение средств</w:t>
            </w:r>
          </w:p>
        </w:tc>
        <w:tc>
          <w:tcPr>
            <w:tcW w:w="1540"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0,0</w:t>
            </w:r>
          </w:p>
        </w:tc>
        <w:tc>
          <w:tcPr>
            <w:tcW w:w="1578"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5 000,0</w:t>
            </w:r>
          </w:p>
        </w:tc>
        <w:tc>
          <w:tcPr>
            <w:tcW w:w="1559"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5 000,0</w:t>
            </w:r>
          </w:p>
        </w:tc>
      </w:tr>
      <w:tr w:rsidR="00764CB7" w:rsidRPr="00DE408D" w:rsidTr="001F7ACC">
        <w:trPr>
          <w:trHeight w:val="127"/>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погашение долга</w:t>
            </w:r>
          </w:p>
        </w:tc>
        <w:tc>
          <w:tcPr>
            <w:tcW w:w="1540"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4 100,0</w:t>
            </w:r>
          </w:p>
        </w:tc>
        <w:tc>
          <w:tcPr>
            <w:tcW w:w="1578"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2 000,0</w:t>
            </w:r>
          </w:p>
        </w:tc>
        <w:tc>
          <w:tcPr>
            <w:tcW w:w="1559" w:type="dxa"/>
            <w:shd w:val="clear" w:color="auto" w:fill="auto"/>
            <w:noWrap/>
            <w:vAlign w:val="bottom"/>
            <w:hideMark/>
          </w:tcPr>
          <w:p w:rsidR="00764CB7" w:rsidRPr="004465FB" w:rsidRDefault="00764CB7" w:rsidP="00DE408D">
            <w:pPr>
              <w:jc w:val="center"/>
              <w:rPr>
                <w:color w:val="000000"/>
                <w:sz w:val="22"/>
                <w:szCs w:val="22"/>
              </w:rPr>
            </w:pPr>
            <w:r w:rsidRPr="004465FB">
              <w:rPr>
                <w:color w:val="000000"/>
                <w:sz w:val="22"/>
                <w:szCs w:val="22"/>
              </w:rPr>
              <w:t>1 250,0</w:t>
            </w:r>
          </w:p>
        </w:tc>
      </w:tr>
      <w:tr w:rsidR="00764CB7" w:rsidRPr="00DE408D" w:rsidTr="001F7ACC">
        <w:trPr>
          <w:trHeight w:val="127"/>
        </w:trPr>
        <w:tc>
          <w:tcPr>
            <w:tcW w:w="4985" w:type="dxa"/>
            <w:shd w:val="clear" w:color="000000" w:fill="DBE5F1"/>
            <w:vAlign w:val="bottom"/>
            <w:hideMark/>
          </w:tcPr>
          <w:p w:rsidR="00764CB7" w:rsidRPr="004465FB" w:rsidRDefault="00764CB7" w:rsidP="00A4542C">
            <w:pPr>
              <w:rPr>
                <w:color w:val="000000"/>
                <w:sz w:val="22"/>
                <w:szCs w:val="22"/>
              </w:rPr>
            </w:pPr>
            <w:r w:rsidRPr="004465FB">
              <w:rPr>
                <w:color w:val="000000"/>
                <w:sz w:val="22"/>
                <w:szCs w:val="22"/>
              </w:rPr>
              <w:t>Кредиты кредитных организаций</w:t>
            </w:r>
          </w:p>
        </w:tc>
        <w:tc>
          <w:tcPr>
            <w:tcW w:w="1540"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4 500,0</w:t>
            </w:r>
          </w:p>
        </w:tc>
        <w:tc>
          <w:tcPr>
            <w:tcW w:w="1578"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7 900,0</w:t>
            </w:r>
          </w:p>
        </w:tc>
        <w:tc>
          <w:tcPr>
            <w:tcW w:w="1559"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-3 843,6</w:t>
            </w:r>
          </w:p>
        </w:tc>
      </w:tr>
      <w:tr w:rsidR="00764CB7" w:rsidRPr="00DE408D" w:rsidTr="001F7ACC">
        <w:trPr>
          <w:trHeight w:val="131"/>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привлечение средств</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10 500,0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17 500,0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14 900,0</w:t>
            </w:r>
          </w:p>
        </w:tc>
      </w:tr>
      <w:tr w:rsidR="00764CB7" w:rsidRPr="00DE408D" w:rsidTr="001F7ACC">
        <w:trPr>
          <w:trHeight w:val="163"/>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погашение долга</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6 000,0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9 600,0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18 743,6</w:t>
            </w:r>
          </w:p>
        </w:tc>
      </w:tr>
      <w:tr w:rsidR="00764CB7" w:rsidRPr="00DE408D" w:rsidTr="001F7ACC">
        <w:trPr>
          <w:trHeight w:val="209"/>
        </w:trPr>
        <w:tc>
          <w:tcPr>
            <w:tcW w:w="4985" w:type="dxa"/>
            <w:shd w:val="clear" w:color="000000" w:fill="DBE5F1"/>
            <w:vAlign w:val="bottom"/>
            <w:hideMark/>
          </w:tcPr>
          <w:p w:rsidR="00764CB7" w:rsidRPr="004465FB" w:rsidRDefault="00764CB7" w:rsidP="00A4542C">
            <w:pPr>
              <w:rPr>
                <w:color w:val="000000"/>
                <w:sz w:val="22"/>
                <w:szCs w:val="22"/>
              </w:rPr>
            </w:pPr>
            <w:r w:rsidRPr="004465FB">
              <w:rPr>
                <w:color w:val="000000"/>
                <w:sz w:val="22"/>
                <w:szCs w:val="22"/>
              </w:rPr>
              <w:t>Бюджетные кредиты</w:t>
            </w:r>
          </w:p>
        </w:tc>
        <w:tc>
          <w:tcPr>
            <w:tcW w:w="1540"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-440,0</w:t>
            </w:r>
          </w:p>
        </w:tc>
        <w:tc>
          <w:tcPr>
            <w:tcW w:w="1578"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-10 952,4</w:t>
            </w:r>
          </w:p>
        </w:tc>
        <w:tc>
          <w:tcPr>
            <w:tcW w:w="1559" w:type="dxa"/>
            <w:shd w:val="clear" w:color="000000" w:fill="DBE5F1"/>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r>
      <w:tr w:rsidR="00764CB7" w:rsidRPr="00DE408D" w:rsidTr="001F7ACC">
        <w:trPr>
          <w:trHeight w:val="98"/>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привлечение средств</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5 000,0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5 000,0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5 000,0</w:t>
            </w:r>
          </w:p>
        </w:tc>
      </w:tr>
      <w:tr w:rsidR="00764CB7" w:rsidRPr="00DE408D" w:rsidTr="001F7ACC">
        <w:trPr>
          <w:trHeight w:val="144"/>
        </w:trPr>
        <w:tc>
          <w:tcPr>
            <w:tcW w:w="4985" w:type="dxa"/>
            <w:shd w:val="clear" w:color="auto" w:fill="auto"/>
            <w:vAlign w:val="bottom"/>
            <w:hideMark/>
          </w:tcPr>
          <w:p w:rsidR="00764CB7" w:rsidRPr="004465FB" w:rsidRDefault="00764CB7" w:rsidP="00A4542C">
            <w:pPr>
              <w:rPr>
                <w:i/>
                <w:iCs/>
                <w:color w:val="000000"/>
                <w:sz w:val="22"/>
                <w:szCs w:val="22"/>
              </w:rPr>
            </w:pPr>
            <w:r w:rsidRPr="004465FB">
              <w:rPr>
                <w:i/>
                <w:iCs/>
                <w:color w:val="000000"/>
                <w:sz w:val="22"/>
                <w:szCs w:val="22"/>
              </w:rPr>
              <w:t>погашение долга</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5 440,0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15 952,4</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5 000,0</w:t>
            </w:r>
          </w:p>
        </w:tc>
      </w:tr>
      <w:tr w:rsidR="00764CB7" w:rsidRPr="00DE408D" w:rsidTr="001F7ACC">
        <w:trPr>
          <w:trHeight w:val="232"/>
        </w:trPr>
        <w:tc>
          <w:tcPr>
            <w:tcW w:w="4985" w:type="dxa"/>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Изменение остатков средств на счетах бюджета</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211,2</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449,4</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305,5</w:t>
            </w:r>
          </w:p>
        </w:tc>
      </w:tr>
      <w:tr w:rsidR="00764CB7" w:rsidRPr="00DE408D" w:rsidTr="001F7ACC">
        <w:trPr>
          <w:trHeight w:val="135"/>
        </w:trPr>
        <w:tc>
          <w:tcPr>
            <w:tcW w:w="4985" w:type="dxa"/>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Исполнение государственных гарантий</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-176,2</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-397,0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-211,9</w:t>
            </w:r>
          </w:p>
        </w:tc>
      </w:tr>
      <w:tr w:rsidR="00764CB7" w:rsidRPr="00DE408D" w:rsidTr="001F7ACC">
        <w:trPr>
          <w:trHeight w:val="254"/>
        </w:trPr>
        <w:tc>
          <w:tcPr>
            <w:tcW w:w="4985" w:type="dxa"/>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Поступления от продажи акций и иных форм участия в капитале</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5,0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r>
      <w:tr w:rsidR="00764CB7" w:rsidRPr="00DE408D" w:rsidTr="001F7ACC">
        <w:trPr>
          <w:trHeight w:val="204"/>
        </w:trPr>
        <w:tc>
          <w:tcPr>
            <w:tcW w:w="4985" w:type="dxa"/>
            <w:shd w:val="clear" w:color="auto" w:fill="auto"/>
            <w:vAlign w:val="bottom"/>
            <w:hideMark/>
          </w:tcPr>
          <w:p w:rsidR="00764CB7" w:rsidRPr="004465FB" w:rsidRDefault="00764CB7" w:rsidP="00A4542C">
            <w:pPr>
              <w:rPr>
                <w:color w:val="000000"/>
                <w:sz w:val="22"/>
                <w:szCs w:val="22"/>
              </w:rPr>
            </w:pPr>
            <w:r w:rsidRPr="004465FB">
              <w:rPr>
                <w:color w:val="000000"/>
                <w:sz w:val="22"/>
                <w:szCs w:val="22"/>
              </w:rPr>
              <w:t>Итого источники финансирования дефицита бюджета</w:t>
            </w:r>
          </w:p>
        </w:tc>
        <w:tc>
          <w:tcPr>
            <w:tcW w:w="1540"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c>
          <w:tcPr>
            <w:tcW w:w="1578"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c>
          <w:tcPr>
            <w:tcW w:w="1559" w:type="dxa"/>
            <w:shd w:val="clear" w:color="auto" w:fill="auto"/>
            <w:noWrap/>
            <w:vAlign w:val="bottom"/>
            <w:hideMark/>
          </w:tcPr>
          <w:p w:rsidR="00764CB7" w:rsidRPr="004465FB" w:rsidRDefault="00764CB7" w:rsidP="00712224">
            <w:pPr>
              <w:jc w:val="center"/>
              <w:rPr>
                <w:color w:val="000000"/>
                <w:sz w:val="22"/>
                <w:szCs w:val="22"/>
              </w:rPr>
            </w:pPr>
            <w:r w:rsidRPr="004465FB">
              <w:rPr>
                <w:color w:val="000000"/>
                <w:sz w:val="22"/>
                <w:szCs w:val="22"/>
              </w:rPr>
              <w:t>0,0</w:t>
            </w:r>
          </w:p>
        </w:tc>
      </w:tr>
    </w:tbl>
    <w:p w:rsidR="00C209C2" w:rsidRDefault="00C209C2" w:rsidP="00764CB7">
      <w:pPr>
        <w:ind w:firstLine="708"/>
        <w:jc w:val="both"/>
      </w:pPr>
    </w:p>
    <w:p w:rsidR="00764CB7" w:rsidRPr="00764CB7" w:rsidRDefault="00764CB7" w:rsidP="00764CB7">
      <w:pPr>
        <w:ind w:firstLine="708"/>
        <w:jc w:val="both"/>
      </w:pPr>
      <w:r w:rsidRPr="00764CB7">
        <w:t>Как видно из представленных данных в проекте бюджета не предусмотрено получение в 2018-2020 годах бюджетных кредитов, за исключением бюджетных кредитов на пополнение остатков средств на счетах бюджетов (для финансирования кассовых разрывов). В соответствии со сложившейся п</w:t>
      </w:r>
      <w:r w:rsidR="001F7ACC">
        <w:t>рактикой в</w:t>
      </w:r>
      <w:r w:rsidRPr="00764CB7">
        <w:t xml:space="preserve"> Минфин</w:t>
      </w:r>
      <w:r w:rsidR="001F7ACC">
        <w:t>е</w:t>
      </w:r>
      <w:r w:rsidRPr="00764CB7">
        <w:t xml:space="preserve"> России бюджетные кредиты на финансирование дефицита бюджетов субъектов РФ включаются в закон о бюджете после принятия соответствующего решения о его выделении.</w:t>
      </w:r>
    </w:p>
    <w:p w:rsidR="00764CB7" w:rsidRPr="00764CB7" w:rsidRDefault="00764CB7" w:rsidP="00764CB7">
      <w:pPr>
        <w:ind w:firstLine="708"/>
        <w:jc w:val="both"/>
      </w:pPr>
      <w:r w:rsidRPr="00764CB7">
        <w:t>Основным видом привлечения заимствований в 2018-2020 годах планируется получение кредитов коммерческих банков. По мнению КСП</w:t>
      </w:r>
      <w:r w:rsidR="001F7ACC">
        <w:t>,</w:t>
      </w:r>
      <w:r w:rsidRPr="00764CB7">
        <w:t xml:space="preserve"> приоритет привлечения </w:t>
      </w:r>
      <w:r w:rsidRPr="00764CB7">
        <w:lastRenderedPageBreak/>
        <w:t xml:space="preserve">коммерческих заимствований в сторону банковских кредитов является вполне оправданным в свете практики заимствований, сложившейся в последнее время. Так, по размещенным </w:t>
      </w:r>
      <w:r w:rsidR="00175D22">
        <w:t xml:space="preserve">в </w:t>
      </w:r>
      <w:r w:rsidRPr="00764CB7">
        <w:t>июне 2017 года облигациям купонная ставка дохода (процент) составила 9,4% с постепенным снижением в течени</w:t>
      </w:r>
      <w:r w:rsidR="00E963B2">
        <w:t>е</w:t>
      </w:r>
      <w:r w:rsidRPr="00764CB7">
        <w:t xml:space="preserve"> 7 лет до 7,9 процента. По привлеченным в 2017 году кредитам коммерческих банков (согласно расчету на обслуживание государственного долга на 2018 год к </w:t>
      </w:r>
      <w:r w:rsidR="001F7ACC">
        <w:t>законоп</w:t>
      </w:r>
      <w:r w:rsidRPr="00764CB7">
        <w:t>роекту) средняя процентная ставка составляет 9,8%, причем в течение года она снижалась. В расчет расходов на обслуживание государственного долга по коммерческим кредитам, планируемым к привлечению в 2018-2020 годах, заложена ставка 9,5 процента. Таким образом, процентные ставки по ценным бумагам и банковским кредитам сопоставимы по своему размеру. При этом следует учитывать, что кредиты являются более «гибким» долговым инструментом</w:t>
      </w:r>
      <w:r w:rsidR="001F7ACC">
        <w:t>. И</w:t>
      </w:r>
      <w:r w:rsidRPr="00764CB7">
        <w:t>х привлечение осуществляется по мере потребности,</w:t>
      </w:r>
      <w:r w:rsidR="001F7ACC">
        <w:t xml:space="preserve"> а </w:t>
      </w:r>
      <w:r w:rsidRPr="00764CB7">
        <w:t>погашение возможно производить досрочно</w:t>
      </w:r>
      <w:r w:rsidR="001F7ACC">
        <w:t>,</w:t>
      </w:r>
      <w:r w:rsidRPr="00764CB7">
        <w:t xml:space="preserve"> по мере наличия средств в бюджете, в том числе и за счет выделяемых в течение года бюджетных кредитов. Данное обстоятельство позволяет иметь определенную экономию на сроках пользования заемными средствами даже при незначительно большем проценте пользования заемными средствами.</w:t>
      </w:r>
    </w:p>
    <w:p w:rsidR="00764CB7" w:rsidRPr="00764CB7" w:rsidRDefault="00764CB7" w:rsidP="00764CB7">
      <w:pPr>
        <w:ind w:firstLine="708"/>
        <w:jc w:val="both"/>
      </w:pPr>
      <w:r w:rsidRPr="00764CB7">
        <w:t>Параметры областного бюджета, прогнозируем</w:t>
      </w:r>
      <w:r w:rsidR="00175D22">
        <w:t>ые</w:t>
      </w:r>
      <w:r w:rsidRPr="00764CB7">
        <w:t xml:space="preserve"> по итогам 2017 года и предусмотренн</w:t>
      </w:r>
      <w:r w:rsidR="00175D22">
        <w:t>ые</w:t>
      </w:r>
      <w:r w:rsidRPr="00764CB7">
        <w:t xml:space="preserve"> </w:t>
      </w:r>
      <w:r w:rsidR="00175D22">
        <w:t>з</w:t>
      </w:r>
      <w:r w:rsidRPr="00764CB7">
        <w:t>аконопроектом на 2018-2020 годы</w:t>
      </w:r>
      <w:r w:rsidR="00175D22">
        <w:t>,</w:t>
      </w:r>
      <w:r w:rsidRPr="00764CB7">
        <w:t xml:space="preserve"> представлены в следующей таблице.</w:t>
      </w:r>
    </w:p>
    <w:p w:rsidR="00764CB7" w:rsidRPr="00175D22" w:rsidRDefault="00764CB7" w:rsidP="00764CB7">
      <w:pPr>
        <w:ind w:firstLine="708"/>
        <w:jc w:val="right"/>
        <w:rPr>
          <w:sz w:val="20"/>
          <w:szCs w:val="20"/>
        </w:rPr>
      </w:pPr>
      <w:r w:rsidRPr="00175D22">
        <w:rPr>
          <w:sz w:val="20"/>
          <w:szCs w:val="20"/>
        </w:rPr>
        <w:t>млн. руб.</w:t>
      </w:r>
    </w:p>
    <w:tbl>
      <w:tblPr>
        <w:tblW w:w="9512" w:type="dxa"/>
        <w:tblInd w:w="94" w:type="dxa"/>
        <w:tblLook w:val="04A0"/>
      </w:tblPr>
      <w:tblGrid>
        <w:gridCol w:w="3983"/>
        <w:gridCol w:w="1400"/>
        <w:gridCol w:w="1400"/>
        <w:gridCol w:w="1320"/>
        <w:gridCol w:w="1409"/>
      </w:tblGrid>
      <w:tr w:rsidR="00764CB7" w:rsidRPr="004465FB" w:rsidTr="004465FB">
        <w:trPr>
          <w:trHeight w:val="330"/>
        </w:trPr>
        <w:tc>
          <w:tcPr>
            <w:tcW w:w="3983" w:type="dxa"/>
            <w:tcBorders>
              <w:top w:val="double" w:sz="6" w:space="0" w:color="auto"/>
              <w:left w:val="double" w:sz="6" w:space="0" w:color="auto"/>
              <w:bottom w:val="single" w:sz="6" w:space="0" w:color="auto"/>
              <w:right w:val="single" w:sz="6" w:space="0" w:color="auto"/>
            </w:tcBorders>
            <w:shd w:val="clear" w:color="auto" w:fill="FDFAB5"/>
            <w:noWrap/>
            <w:hideMark/>
          </w:tcPr>
          <w:p w:rsidR="00764CB7" w:rsidRPr="004465FB" w:rsidRDefault="00764CB7" w:rsidP="00A4542C">
            <w:pPr>
              <w:jc w:val="center"/>
              <w:rPr>
                <w:b/>
                <w:sz w:val="22"/>
                <w:szCs w:val="22"/>
              </w:rPr>
            </w:pPr>
            <w:r w:rsidRPr="004465FB">
              <w:rPr>
                <w:b/>
                <w:sz w:val="22"/>
                <w:szCs w:val="22"/>
              </w:rPr>
              <w:t>Показатель</w:t>
            </w:r>
          </w:p>
          <w:p w:rsidR="00764CB7" w:rsidRPr="004465FB" w:rsidRDefault="00764CB7" w:rsidP="00A4542C">
            <w:pPr>
              <w:jc w:val="center"/>
              <w:rPr>
                <w:b/>
                <w:sz w:val="22"/>
                <w:szCs w:val="22"/>
              </w:rPr>
            </w:pPr>
          </w:p>
        </w:tc>
        <w:tc>
          <w:tcPr>
            <w:tcW w:w="1400" w:type="dxa"/>
            <w:tcBorders>
              <w:top w:val="double" w:sz="6" w:space="0" w:color="auto"/>
              <w:left w:val="single" w:sz="6" w:space="0" w:color="auto"/>
              <w:bottom w:val="single" w:sz="6" w:space="0" w:color="auto"/>
              <w:right w:val="single" w:sz="6" w:space="0" w:color="auto"/>
            </w:tcBorders>
            <w:shd w:val="clear" w:color="auto" w:fill="FDFAB5"/>
            <w:noWrap/>
            <w:hideMark/>
          </w:tcPr>
          <w:p w:rsidR="00764CB7" w:rsidRPr="004465FB" w:rsidRDefault="00764CB7" w:rsidP="00A4542C">
            <w:pPr>
              <w:jc w:val="center"/>
              <w:rPr>
                <w:b/>
                <w:sz w:val="22"/>
                <w:szCs w:val="22"/>
              </w:rPr>
            </w:pPr>
            <w:r w:rsidRPr="004465FB">
              <w:rPr>
                <w:b/>
                <w:sz w:val="22"/>
                <w:szCs w:val="22"/>
              </w:rPr>
              <w:t>01.01.2018</w:t>
            </w:r>
          </w:p>
        </w:tc>
        <w:tc>
          <w:tcPr>
            <w:tcW w:w="1400" w:type="dxa"/>
            <w:tcBorders>
              <w:top w:val="double" w:sz="6" w:space="0" w:color="auto"/>
              <w:left w:val="single" w:sz="6" w:space="0" w:color="auto"/>
              <w:bottom w:val="single" w:sz="6" w:space="0" w:color="auto"/>
              <w:right w:val="single" w:sz="6" w:space="0" w:color="auto"/>
            </w:tcBorders>
            <w:shd w:val="clear" w:color="auto" w:fill="FDFAB5"/>
            <w:noWrap/>
            <w:hideMark/>
          </w:tcPr>
          <w:p w:rsidR="00764CB7" w:rsidRPr="004465FB" w:rsidRDefault="00764CB7" w:rsidP="00A4542C">
            <w:pPr>
              <w:jc w:val="center"/>
              <w:rPr>
                <w:b/>
                <w:sz w:val="22"/>
                <w:szCs w:val="22"/>
              </w:rPr>
            </w:pPr>
            <w:r w:rsidRPr="004465FB">
              <w:rPr>
                <w:b/>
                <w:sz w:val="22"/>
                <w:szCs w:val="22"/>
              </w:rPr>
              <w:t>01.01.2019</w:t>
            </w:r>
          </w:p>
        </w:tc>
        <w:tc>
          <w:tcPr>
            <w:tcW w:w="1320" w:type="dxa"/>
            <w:tcBorders>
              <w:top w:val="double" w:sz="6" w:space="0" w:color="auto"/>
              <w:left w:val="single" w:sz="6" w:space="0" w:color="auto"/>
              <w:bottom w:val="single" w:sz="6" w:space="0" w:color="auto"/>
              <w:right w:val="single" w:sz="6" w:space="0" w:color="auto"/>
            </w:tcBorders>
            <w:shd w:val="clear" w:color="auto" w:fill="FDFAB5"/>
            <w:noWrap/>
            <w:hideMark/>
          </w:tcPr>
          <w:p w:rsidR="00764CB7" w:rsidRPr="004465FB" w:rsidRDefault="00764CB7" w:rsidP="00A4542C">
            <w:pPr>
              <w:jc w:val="center"/>
              <w:rPr>
                <w:b/>
                <w:sz w:val="22"/>
                <w:szCs w:val="22"/>
              </w:rPr>
            </w:pPr>
            <w:r w:rsidRPr="004465FB">
              <w:rPr>
                <w:b/>
                <w:sz w:val="22"/>
                <w:szCs w:val="22"/>
              </w:rPr>
              <w:t>01.01.2020</w:t>
            </w:r>
          </w:p>
        </w:tc>
        <w:tc>
          <w:tcPr>
            <w:tcW w:w="1409" w:type="dxa"/>
            <w:tcBorders>
              <w:top w:val="double" w:sz="6" w:space="0" w:color="auto"/>
              <w:left w:val="single" w:sz="6" w:space="0" w:color="auto"/>
              <w:bottom w:val="single" w:sz="6" w:space="0" w:color="auto"/>
              <w:right w:val="double" w:sz="6" w:space="0" w:color="auto"/>
            </w:tcBorders>
            <w:shd w:val="clear" w:color="auto" w:fill="FDFAB5"/>
            <w:noWrap/>
            <w:hideMark/>
          </w:tcPr>
          <w:p w:rsidR="00764CB7" w:rsidRPr="004465FB" w:rsidRDefault="00764CB7" w:rsidP="00A4542C">
            <w:pPr>
              <w:jc w:val="center"/>
              <w:rPr>
                <w:b/>
                <w:sz w:val="22"/>
                <w:szCs w:val="22"/>
              </w:rPr>
            </w:pPr>
            <w:r w:rsidRPr="004465FB">
              <w:rPr>
                <w:b/>
                <w:sz w:val="22"/>
                <w:szCs w:val="22"/>
              </w:rPr>
              <w:t>01.01.2021</w:t>
            </w:r>
          </w:p>
        </w:tc>
      </w:tr>
      <w:tr w:rsidR="00764CB7" w:rsidRPr="004465FB" w:rsidTr="00175D22">
        <w:trPr>
          <w:trHeight w:val="315"/>
        </w:trPr>
        <w:tc>
          <w:tcPr>
            <w:tcW w:w="3983"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4465FB" w:rsidRDefault="001F7ACC" w:rsidP="00A4542C">
            <w:pPr>
              <w:rPr>
                <w:sz w:val="22"/>
                <w:szCs w:val="22"/>
              </w:rPr>
            </w:pPr>
            <w:r w:rsidRPr="004465FB">
              <w:rPr>
                <w:sz w:val="22"/>
                <w:szCs w:val="22"/>
              </w:rPr>
              <w:t>Н</w:t>
            </w:r>
            <w:r w:rsidR="00764CB7" w:rsidRPr="004465FB">
              <w:rPr>
                <w:sz w:val="22"/>
                <w:szCs w:val="22"/>
              </w:rPr>
              <w:t>алоговые и неналоговые доходы</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62 007,9</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59 963,5</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64 393,1</w:t>
            </w:r>
          </w:p>
        </w:tc>
        <w:tc>
          <w:tcPr>
            <w:tcW w:w="1409" w:type="dxa"/>
            <w:tcBorders>
              <w:top w:val="single" w:sz="6" w:space="0" w:color="auto"/>
              <w:left w:val="single" w:sz="6" w:space="0" w:color="auto"/>
              <w:bottom w:val="single" w:sz="6" w:space="0" w:color="auto"/>
              <w:right w:val="doub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67 747,7</w:t>
            </w:r>
          </w:p>
        </w:tc>
      </w:tr>
      <w:tr w:rsidR="00764CB7" w:rsidRPr="004465FB" w:rsidTr="00175D22">
        <w:trPr>
          <w:trHeight w:val="124"/>
        </w:trPr>
        <w:tc>
          <w:tcPr>
            <w:tcW w:w="3983"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4465FB" w:rsidRDefault="001F7ACC" w:rsidP="00A4542C">
            <w:pPr>
              <w:rPr>
                <w:sz w:val="22"/>
                <w:szCs w:val="22"/>
              </w:rPr>
            </w:pPr>
            <w:r w:rsidRPr="004465FB">
              <w:rPr>
                <w:sz w:val="22"/>
                <w:szCs w:val="22"/>
              </w:rPr>
              <w:t>В</w:t>
            </w:r>
            <w:r w:rsidR="00764CB7" w:rsidRPr="004465FB">
              <w:rPr>
                <w:sz w:val="22"/>
                <w:szCs w:val="22"/>
              </w:rPr>
              <w:t>ерхний предел госдолга</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53 359,2*</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53 143,0</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52 693,6</w:t>
            </w:r>
          </w:p>
        </w:tc>
        <w:tc>
          <w:tcPr>
            <w:tcW w:w="1409" w:type="dxa"/>
            <w:tcBorders>
              <w:top w:val="single" w:sz="6" w:space="0" w:color="auto"/>
              <w:left w:val="single" w:sz="6" w:space="0" w:color="auto"/>
              <w:bottom w:val="single" w:sz="6" w:space="0" w:color="auto"/>
              <w:right w:val="doub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52 388,1</w:t>
            </w:r>
          </w:p>
        </w:tc>
      </w:tr>
      <w:tr w:rsidR="00764CB7" w:rsidRPr="004465FB" w:rsidTr="00175D22">
        <w:trPr>
          <w:trHeight w:val="311"/>
        </w:trPr>
        <w:tc>
          <w:tcPr>
            <w:tcW w:w="3983"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4465FB" w:rsidRDefault="001F7ACC" w:rsidP="00A4542C">
            <w:pPr>
              <w:rPr>
                <w:sz w:val="22"/>
                <w:szCs w:val="22"/>
              </w:rPr>
            </w:pPr>
            <w:r w:rsidRPr="004465FB">
              <w:rPr>
                <w:sz w:val="22"/>
                <w:szCs w:val="22"/>
              </w:rPr>
              <w:t>Д</w:t>
            </w:r>
            <w:r w:rsidR="00764CB7" w:rsidRPr="004465FB">
              <w:rPr>
                <w:sz w:val="22"/>
                <w:szCs w:val="22"/>
              </w:rPr>
              <w:t>олг к доходам без учета безвозмездных поступлений</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86,1%</w:t>
            </w:r>
          </w:p>
        </w:tc>
        <w:tc>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88,6%</w:t>
            </w:r>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81,8%</w:t>
            </w:r>
          </w:p>
        </w:tc>
        <w:tc>
          <w:tcPr>
            <w:tcW w:w="1409" w:type="dxa"/>
            <w:tcBorders>
              <w:top w:val="single" w:sz="6" w:space="0" w:color="auto"/>
              <w:left w:val="single" w:sz="6" w:space="0" w:color="auto"/>
              <w:bottom w:val="single" w:sz="6" w:space="0" w:color="auto"/>
              <w:right w:val="doub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77,3%</w:t>
            </w:r>
          </w:p>
        </w:tc>
      </w:tr>
      <w:tr w:rsidR="00764CB7" w:rsidRPr="004465FB" w:rsidTr="00175D22">
        <w:trPr>
          <w:trHeight w:val="262"/>
        </w:trPr>
        <w:tc>
          <w:tcPr>
            <w:tcW w:w="3983" w:type="dxa"/>
            <w:tcBorders>
              <w:top w:val="single" w:sz="6" w:space="0" w:color="auto"/>
              <w:left w:val="double" w:sz="6" w:space="0" w:color="auto"/>
              <w:bottom w:val="double" w:sz="6" w:space="0" w:color="auto"/>
              <w:right w:val="single" w:sz="6" w:space="0" w:color="auto"/>
            </w:tcBorders>
            <w:shd w:val="clear" w:color="auto" w:fill="auto"/>
            <w:vAlign w:val="bottom"/>
            <w:hideMark/>
          </w:tcPr>
          <w:p w:rsidR="00764CB7" w:rsidRPr="004465FB" w:rsidRDefault="001F7ACC" w:rsidP="00A4542C">
            <w:pPr>
              <w:rPr>
                <w:sz w:val="22"/>
                <w:szCs w:val="22"/>
              </w:rPr>
            </w:pPr>
            <w:r w:rsidRPr="004465FB">
              <w:rPr>
                <w:sz w:val="22"/>
                <w:szCs w:val="22"/>
              </w:rPr>
              <w:t>К</w:t>
            </w:r>
            <w:r w:rsidR="00764CB7" w:rsidRPr="004465FB">
              <w:rPr>
                <w:sz w:val="22"/>
                <w:szCs w:val="22"/>
              </w:rPr>
              <w:t>оммерческие заимствования к налоговым и неналоговым</w:t>
            </w:r>
            <w:r w:rsidR="00175D22" w:rsidRPr="004465FB">
              <w:rPr>
                <w:sz w:val="22"/>
                <w:szCs w:val="22"/>
              </w:rPr>
              <w:t xml:space="preserve"> доходам</w:t>
            </w:r>
          </w:p>
        </w:tc>
        <w:tc>
          <w:tcPr>
            <w:tcW w:w="1400" w:type="dxa"/>
            <w:tcBorders>
              <w:top w:val="single" w:sz="6" w:space="0" w:color="auto"/>
              <w:left w:val="single" w:sz="6" w:space="0" w:color="auto"/>
              <w:bottom w:val="doub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54,3%</w:t>
            </w:r>
          </w:p>
        </w:tc>
        <w:tc>
          <w:tcPr>
            <w:tcW w:w="1400" w:type="dxa"/>
            <w:tcBorders>
              <w:top w:val="single" w:sz="6" w:space="0" w:color="auto"/>
              <w:left w:val="single" w:sz="6" w:space="0" w:color="auto"/>
              <w:bottom w:val="doub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56,9%</w:t>
            </w:r>
          </w:p>
        </w:tc>
        <w:tc>
          <w:tcPr>
            <w:tcW w:w="1320" w:type="dxa"/>
            <w:tcBorders>
              <w:top w:val="single" w:sz="6" w:space="0" w:color="auto"/>
              <w:left w:val="single" w:sz="6" w:space="0" w:color="auto"/>
              <w:bottom w:val="double" w:sz="6" w:space="0" w:color="auto"/>
              <w:right w:val="sing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69,9%</w:t>
            </w:r>
          </w:p>
        </w:tc>
        <w:tc>
          <w:tcPr>
            <w:tcW w:w="1409" w:type="dxa"/>
            <w:tcBorders>
              <w:top w:val="single" w:sz="6" w:space="0" w:color="auto"/>
              <w:left w:val="single" w:sz="6" w:space="0" w:color="auto"/>
              <w:bottom w:val="double" w:sz="6" w:space="0" w:color="auto"/>
              <w:right w:val="double" w:sz="6" w:space="0" w:color="auto"/>
            </w:tcBorders>
            <w:shd w:val="clear" w:color="auto" w:fill="auto"/>
            <w:noWrap/>
            <w:vAlign w:val="bottom"/>
            <w:hideMark/>
          </w:tcPr>
          <w:p w:rsidR="00764CB7" w:rsidRPr="004465FB" w:rsidRDefault="00764CB7" w:rsidP="00A4542C">
            <w:pPr>
              <w:jc w:val="right"/>
              <w:rPr>
                <w:sz w:val="22"/>
                <w:szCs w:val="22"/>
              </w:rPr>
            </w:pPr>
            <w:r w:rsidRPr="004465FB">
              <w:rPr>
                <w:sz w:val="22"/>
                <w:szCs w:val="22"/>
              </w:rPr>
              <w:t>66,3%</w:t>
            </w:r>
          </w:p>
        </w:tc>
      </w:tr>
    </w:tbl>
    <w:p w:rsidR="00764CB7" w:rsidRPr="00175D22" w:rsidRDefault="00175D22" w:rsidP="00175D22">
      <w:pPr>
        <w:jc w:val="both"/>
        <w:rPr>
          <w:sz w:val="18"/>
          <w:szCs w:val="18"/>
        </w:rPr>
      </w:pPr>
      <w:r>
        <w:rPr>
          <w:color w:val="0070C0"/>
        </w:rPr>
        <w:t xml:space="preserve"> </w:t>
      </w:r>
      <w:r>
        <w:rPr>
          <w:color w:val="0070C0"/>
        </w:rPr>
        <w:tab/>
      </w:r>
      <w:r w:rsidR="00764CB7" w:rsidRPr="00175D22">
        <w:rPr>
          <w:sz w:val="18"/>
          <w:szCs w:val="18"/>
        </w:rPr>
        <w:t>*верхний предел государственного долга на 01.01.2018 выше утвержденного законом об областном бюджете на 2017 год на 15,0 млн. руб. в связи с тем, что на 01.10.2017 погашение государственных гарантий на эту сумму</w:t>
      </w:r>
      <w:r w:rsidR="001F7ACC">
        <w:rPr>
          <w:sz w:val="18"/>
          <w:szCs w:val="18"/>
        </w:rPr>
        <w:t xml:space="preserve">, </w:t>
      </w:r>
      <w:r w:rsidR="001F7ACC" w:rsidRPr="00175D22">
        <w:rPr>
          <w:sz w:val="18"/>
          <w:szCs w:val="18"/>
        </w:rPr>
        <w:t xml:space="preserve">предусмотренное </w:t>
      </w:r>
      <w:r w:rsidR="001F7ACC">
        <w:rPr>
          <w:sz w:val="18"/>
          <w:szCs w:val="18"/>
        </w:rPr>
        <w:t>на</w:t>
      </w:r>
      <w:r w:rsidR="001F7ACC" w:rsidRPr="00175D22">
        <w:rPr>
          <w:sz w:val="18"/>
          <w:szCs w:val="18"/>
        </w:rPr>
        <w:t xml:space="preserve"> 2017 </w:t>
      </w:r>
      <w:r w:rsidR="001F7ACC">
        <w:rPr>
          <w:sz w:val="18"/>
          <w:szCs w:val="18"/>
        </w:rPr>
        <w:t>год,</w:t>
      </w:r>
      <w:r w:rsidR="00764CB7" w:rsidRPr="00175D22">
        <w:rPr>
          <w:sz w:val="18"/>
          <w:szCs w:val="18"/>
        </w:rPr>
        <w:t xml:space="preserve"> еще не </w:t>
      </w:r>
      <w:r>
        <w:rPr>
          <w:sz w:val="18"/>
          <w:szCs w:val="18"/>
        </w:rPr>
        <w:t>осуществлено</w:t>
      </w:r>
      <w:r w:rsidR="00764CB7" w:rsidRPr="00175D22">
        <w:rPr>
          <w:sz w:val="18"/>
          <w:szCs w:val="18"/>
        </w:rPr>
        <w:t>.</w:t>
      </w:r>
    </w:p>
    <w:p w:rsidR="00764CB7" w:rsidRPr="00764CB7" w:rsidRDefault="00764CB7" w:rsidP="00764CB7">
      <w:pPr>
        <w:ind w:firstLine="720"/>
        <w:jc w:val="both"/>
      </w:pPr>
      <w:r w:rsidRPr="00764CB7">
        <w:t>Как видно из представленных данных, государственный долг Волгоградской области на 01.01.2019 по отношению к налоговым и неналоговым доходам незначительно вырастет с 86,1% до 88,6% за счет сокращения налоговых и неналоговых доходов. В дальнейшем запланировано поэтапное сокращение этого показателя и к 01.01.2021 отношение государственного долга к налоговым и неналоговым доходам составит 77,3%, что не превышает ограничение, установленное ст</w:t>
      </w:r>
      <w:r w:rsidR="001F7ACC">
        <w:t xml:space="preserve">атьей </w:t>
      </w:r>
      <w:r w:rsidRPr="00764CB7">
        <w:t>107 БК РФ на уровне 100 процентов.</w:t>
      </w:r>
    </w:p>
    <w:p w:rsidR="00764CB7" w:rsidRPr="00764CB7" w:rsidRDefault="00764CB7" w:rsidP="00764CB7">
      <w:pPr>
        <w:ind w:firstLine="720"/>
        <w:jc w:val="both"/>
      </w:pPr>
      <w:r w:rsidRPr="00764CB7">
        <w:t>Следует отметить, что в последнее время особое внимание в вопросах финансовой устойчивости регионов в РФ, в том числе и при предоставлении финансовой поддержки, уделяется отношению долга по ценным бумагам и коммерческим кредитам к налоговым и неналоговым доходам. Этот вопрос о</w:t>
      </w:r>
      <w:r w:rsidR="00A4542C">
        <w:t>бсуждался</w:t>
      </w:r>
      <w:r w:rsidRPr="00764CB7">
        <w:t>, в том числе на совещании Президента РФ с членами Правительства РФ, прошедше</w:t>
      </w:r>
      <w:r w:rsidR="00A4542C">
        <w:t>м</w:t>
      </w:r>
      <w:r w:rsidRPr="00764CB7">
        <w:t xml:space="preserve"> 31.10.2017 (</w:t>
      </w:r>
      <w:hyperlink r:id="rId11" w:tgtFrame="_blank" w:history="1">
        <w:r w:rsidRPr="00764CB7">
          <w:rPr>
            <w:rStyle w:val="afa"/>
          </w:rPr>
          <w:t>http://kremlin.ru/events/president/news/5597</w:t>
        </w:r>
      </w:hyperlink>
      <w:hyperlink r:id="rId12" w:tgtFrame="_blank" w:history="1">
        <w:r w:rsidRPr="00764CB7">
          <w:rPr>
            <w:rStyle w:val="afa"/>
          </w:rPr>
          <w:t>0</w:t>
        </w:r>
      </w:hyperlink>
      <w:r w:rsidRPr="00764CB7">
        <w:t>.). Волгоградская область названа среди «лидеров» по объ</w:t>
      </w:r>
      <w:r w:rsidR="00A4542C">
        <w:t>е</w:t>
      </w:r>
      <w:r w:rsidRPr="00764CB7">
        <w:t>мам долга по государственным ценным бумагам и кредитам в коммерческих банках. Отмечено, что при таком уровне долговой нагрузки регионы не смогут эффективно решать задачи развития, обеспечивать стандарты качества жизни граждан, проживающих на соответствующих территориях. Принято решение регионам, у которых по состоянию на 01.10.2017 долг по коммерческой задолженности превысил 50% собственных доходов</w:t>
      </w:r>
      <w:r w:rsidR="00A4542C">
        <w:t>,</w:t>
      </w:r>
      <w:r w:rsidRPr="00764CB7">
        <w:t xml:space="preserve"> в 4 квартале 2017 года предоставить целевой кредит из федерального бюджета на погашение части их рыночного долга. При этом было подчеркнуто, что такой шаг предпринимается в исключительном порядке. </w:t>
      </w:r>
    </w:p>
    <w:p w:rsidR="00764CB7" w:rsidRPr="00764CB7" w:rsidRDefault="00764CB7" w:rsidP="00764CB7">
      <w:pPr>
        <w:ind w:firstLine="720"/>
        <w:jc w:val="both"/>
      </w:pPr>
      <w:r w:rsidRPr="00764CB7">
        <w:t>Исходя из параметров государственного долга, предусмотренных рассматриваемым законопроектом, Волгоградской области в 2017 году выделен кредит из федерального бюджета в размере 15756,4 млн. руб. на погашение кредитов коммерческих банков</w:t>
      </w:r>
      <w:r w:rsidR="00A4542C">
        <w:t>.</w:t>
      </w:r>
      <w:r w:rsidRPr="00764CB7">
        <w:t xml:space="preserve"> </w:t>
      </w:r>
      <w:r w:rsidR="00A4542C">
        <w:t>П</w:t>
      </w:r>
      <w:r w:rsidRPr="00764CB7">
        <w:t xml:space="preserve">ри этом </w:t>
      </w:r>
      <w:r w:rsidRPr="00A4542C">
        <w:rPr>
          <w:b/>
          <w:i/>
        </w:rPr>
        <w:t xml:space="preserve">соответствующие поправки в закон о бюджете на 2017 год на </w:t>
      </w:r>
      <w:r w:rsidR="00F30626">
        <w:rPr>
          <w:b/>
          <w:i/>
        </w:rPr>
        <w:t xml:space="preserve">момент подготовки настоящего заключения </w:t>
      </w:r>
      <w:r w:rsidRPr="00A4542C">
        <w:rPr>
          <w:b/>
          <w:i/>
        </w:rPr>
        <w:t>не внесены</w:t>
      </w:r>
      <w:r w:rsidRPr="00764CB7">
        <w:t xml:space="preserve">. В результате долг по коммерческим </w:t>
      </w:r>
      <w:r w:rsidRPr="00764CB7">
        <w:lastRenderedPageBreak/>
        <w:t xml:space="preserve">заимствованиям </w:t>
      </w:r>
      <w:r w:rsidR="00A4542C">
        <w:t xml:space="preserve">на 01.01.2018 </w:t>
      </w:r>
      <w:r w:rsidRPr="00764CB7">
        <w:t xml:space="preserve">составит 54,3% к налоговым и неналоговым доходам. Без указанного замещения уровень коммерческих заимствований составил бы 79,7 процента. По итогам 2018 года этот показатель незначительно увеличится – до 56,9% за счет снижения налоговых и неналоговых доходов. В 2019-2020 годах доля коммерческих заимствований вырастет до 69,9% и 66,3% соответственно за счет предусмотренного в 2019 году погашения бюджетных кредитов практически на 11 млрд. рублей. </w:t>
      </w:r>
      <w:r w:rsidR="00A4542C">
        <w:t>Однако, учитывая</w:t>
      </w:r>
      <w:r w:rsidRPr="00764CB7">
        <w:t xml:space="preserve"> вводим</w:t>
      </w:r>
      <w:r w:rsidR="00A4542C">
        <w:t>ую</w:t>
      </w:r>
      <w:r w:rsidRPr="00764CB7">
        <w:t xml:space="preserve"> с 2018 года на федеральном уровне полити</w:t>
      </w:r>
      <w:r w:rsidR="00A4542C">
        <w:t>ку</w:t>
      </w:r>
      <w:r w:rsidRPr="00764CB7">
        <w:t xml:space="preserve"> реструктуризации бюджетных кредитов и снижение выдачи новых</w:t>
      </w:r>
      <w:r w:rsidR="00A4542C">
        <w:t xml:space="preserve"> кредитов</w:t>
      </w:r>
      <w:r w:rsidRPr="00764CB7">
        <w:t xml:space="preserve">, эти цифры с большой долей вероятности </w:t>
      </w:r>
      <w:r w:rsidR="00CE6984">
        <w:t>мог</w:t>
      </w:r>
      <w:r w:rsidRPr="00764CB7">
        <w:t xml:space="preserve">ут </w:t>
      </w:r>
      <w:r w:rsidR="00CE6984">
        <w:t xml:space="preserve">быть </w:t>
      </w:r>
      <w:r w:rsidRPr="00764CB7">
        <w:t>пересмотрены.</w:t>
      </w:r>
    </w:p>
    <w:p w:rsidR="00764CB7" w:rsidRDefault="00764CB7" w:rsidP="00764CB7">
      <w:pPr>
        <w:ind w:firstLine="708"/>
        <w:jc w:val="both"/>
      </w:pPr>
    </w:p>
    <w:p w:rsidR="00764CB7" w:rsidRPr="00764CB7" w:rsidRDefault="00764CB7" w:rsidP="00764CB7">
      <w:pPr>
        <w:jc w:val="center"/>
        <w:rPr>
          <w:b/>
          <w:i/>
        </w:rPr>
      </w:pPr>
      <w:r w:rsidRPr="00764CB7">
        <w:rPr>
          <w:b/>
          <w:i/>
        </w:rPr>
        <w:t>Верхний предел государственного внутреннего долга Волгоградской области</w:t>
      </w:r>
    </w:p>
    <w:p w:rsidR="00764CB7" w:rsidRPr="00764CB7" w:rsidRDefault="00764CB7" w:rsidP="00764CB7">
      <w:pPr>
        <w:ind w:firstLine="708"/>
        <w:jc w:val="center"/>
        <w:rPr>
          <w:b/>
          <w:i/>
        </w:rPr>
      </w:pPr>
      <w:r w:rsidRPr="00764CB7">
        <w:rPr>
          <w:b/>
          <w:i/>
        </w:rPr>
        <w:t>с указанием верхнего предела по государственным гарантиям.</w:t>
      </w:r>
    </w:p>
    <w:p w:rsidR="00CE6984" w:rsidRDefault="00CE6984" w:rsidP="00764CB7">
      <w:pPr>
        <w:ind w:firstLine="709"/>
        <w:jc w:val="both"/>
      </w:pPr>
    </w:p>
    <w:p w:rsidR="00764CB7" w:rsidRPr="00764CB7" w:rsidRDefault="00764CB7" w:rsidP="00764CB7">
      <w:pPr>
        <w:ind w:firstLine="709"/>
        <w:jc w:val="both"/>
      </w:pPr>
      <w:r w:rsidRPr="00764CB7">
        <w:t xml:space="preserve">Согласно Основным направлениям бюджетной политики Волгоградской области на 2018 год и на плановый период 2019 и 2020 годов основной целью проводимой долговой политики будет являться привлечение заемных средств на благоприятных условиях для нужд областного бюджета и погашение долговых обязательств Волгоградской области. </w:t>
      </w:r>
    </w:p>
    <w:p w:rsidR="00764CB7" w:rsidRPr="00764CB7" w:rsidRDefault="00764CB7" w:rsidP="00764CB7">
      <w:pPr>
        <w:ind w:firstLine="709"/>
        <w:jc w:val="both"/>
      </w:pPr>
      <w:r w:rsidRPr="00764CB7">
        <w:t>Для достижения поставленной цели на предстоящий период  необходимо:</w:t>
      </w:r>
    </w:p>
    <w:p w:rsidR="00764CB7" w:rsidRPr="00764CB7" w:rsidRDefault="00764CB7" w:rsidP="00764CB7">
      <w:pPr>
        <w:ind w:firstLine="709"/>
        <w:jc w:val="both"/>
      </w:pPr>
      <w:r w:rsidRPr="00764CB7">
        <w:t>поддерживать величину государственного долга Волгоградской области на уровне, не превышающем предельно допустимый уровень, установленный бюджетным законодательством Российской Федерации и Волгоградской области;</w:t>
      </w:r>
    </w:p>
    <w:p w:rsidR="00764CB7" w:rsidRPr="00764CB7" w:rsidRDefault="00764CB7" w:rsidP="00764CB7">
      <w:pPr>
        <w:ind w:firstLine="709"/>
        <w:jc w:val="both"/>
      </w:pPr>
      <w:r w:rsidRPr="00764CB7">
        <w:t>оптимально распределять во времени связанные с долгом платежи;</w:t>
      </w:r>
    </w:p>
    <w:p w:rsidR="00764CB7" w:rsidRPr="00764CB7" w:rsidRDefault="00764CB7" w:rsidP="00764CB7">
      <w:pPr>
        <w:ind w:firstLine="709"/>
        <w:jc w:val="both"/>
      </w:pPr>
      <w:r w:rsidRPr="00764CB7">
        <w:t>проводить максимально гибкую политику заимствований, позволяющую оперативно заменять одни долговые инструменты другими в зависимости от изменения условий на финансовых рынках  в интересах областного бюджета;</w:t>
      </w:r>
    </w:p>
    <w:p w:rsidR="00764CB7" w:rsidRPr="00764CB7" w:rsidRDefault="00764CB7" w:rsidP="00764CB7">
      <w:pPr>
        <w:ind w:firstLine="709"/>
        <w:jc w:val="both"/>
      </w:pPr>
      <w:r w:rsidRPr="00764CB7">
        <w:t>не допускать наличия просроченной задолженности по долговым обязательствам Волгоградской области;</w:t>
      </w:r>
    </w:p>
    <w:p w:rsidR="00764CB7" w:rsidRPr="00764CB7" w:rsidRDefault="00764CB7" w:rsidP="00764CB7">
      <w:pPr>
        <w:ind w:firstLine="709"/>
        <w:jc w:val="both"/>
      </w:pPr>
      <w:r w:rsidRPr="00764CB7">
        <w:t>сохранять мораторий на предоставление новых государственных гарантий Волгоградской области;</w:t>
      </w:r>
    </w:p>
    <w:p w:rsidR="00764CB7" w:rsidRPr="00764CB7" w:rsidRDefault="00764CB7" w:rsidP="00764CB7">
      <w:pPr>
        <w:ind w:firstLine="709"/>
        <w:jc w:val="both"/>
      </w:pPr>
      <w:r w:rsidRPr="00764CB7">
        <w:t>минимизировать стоимость заимствований.</w:t>
      </w:r>
    </w:p>
    <w:p w:rsidR="00764CB7" w:rsidRPr="00764CB7" w:rsidRDefault="00764CB7" w:rsidP="00764CB7">
      <w:pPr>
        <w:ind w:firstLine="720"/>
        <w:jc w:val="both"/>
      </w:pPr>
      <w:r w:rsidRPr="00764CB7">
        <w:t xml:space="preserve">Предельный объем государственного долга Волгоградской области на 2018-2020 годы планируется в размере 59000 млн. руб. в 2018 году, 63000 млн. руб. в 2019 году и 66000 млн. руб. в 2020 году. Размеры предельных объемов долга к объемам доходов областного бюджета без учета безвозмездных поступлений составляют по годам соответственно 98,4%, 97,8% и 97,4 процента. </w:t>
      </w:r>
    </w:p>
    <w:p w:rsidR="00764CB7" w:rsidRPr="00764CB7" w:rsidRDefault="00764CB7" w:rsidP="00764CB7">
      <w:pPr>
        <w:ind w:firstLine="720"/>
        <w:jc w:val="both"/>
      </w:pPr>
      <w:r w:rsidRPr="00764CB7">
        <w:t>Планируемые размеры предельных объемов государственного долга не превышают предельного значения, установленного пунктом 2 статьи 107 БК РФ, - утвержденный общий годовой объем доходов бюджета без учета утвержденного объема безвозмездных поступлений.</w:t>
      </w:r>
    </w:p>
    <w:p w:rsidR="00764CB7" w:rsidRPr="00764CB7" w:rsidRDefault="00764CB7" w:rsidP="00764CB7">
      <w:pPr>
        <w:ind w:firstLine="720"/>
        <w:jc w:val="both"/>
      </w:pPr>
      <w:r w:rsidRPr="00764CB7">
        <w:t xml:space="preserve">Исходя из сложившегося государственного внутреннего долга на 01.01.2017, прогноза государственного долга на конец 2017 года и программ заимствований на 2018-2020 годы произведен расчет государственного долга Волгоградской области до конца 2020 года. Динамика рассчитанного государственного внутреннего долга по видам долговых обязательств и структура долга по видам заимствований представлена в таблице. </w:t>
      </w:r>
    </w:p>
    <w:p w:rsidR="00764CB7" w:rsidRPr="00681FBB" w:rsidRDefault="00764CB7" w:rsidP="00764CB7">
      <w:pPr>
        <w:ind w:firstLine="720"/>
        <w:jc w:val="right"/>
        <w:rPr>
          <w:sz w:val="20"/>
          <w:szCs w:val="20"/>
        </w:rPr>
      </w:pPr>
      <w:r w:rsidRPr="00681FBB">
        <w:rPr>
          <w:sz w:val="20"/>
          <w:szCs w:val="20"/>
        </w:rPr>
        <w:t>млн. руб.</w:t>
      </w:r>
    </w:p>
    <w:tbl>
      <w:tblPr>
        <w:tblW w:w="10088" w:type="dxa"/>
        <w:tblInd w:w="85" w:type="dxa"/>
        <w:tblLayout w:type="fixed"/>
        <w:tblLook w:val="04A0"/>
      </w:tblPr>
      <w:tblGrid>
        <w:gridCol w:w="2150"/>
        <w:gridCol w:w="850"/>
        <w:gridCol w:w="709"/>
        <w:gridCol w:w="850"/>
        <w:gridCol w:w="743"/>
        <w:gridCol w:w="817"/>
        <w:gridCol w:w="708"/>
        <w:gridCol w:w="851"/>
        <w:gridCol w:w="709"/>
        <w:gridCol w:w="851"/>
        <w:gridCol w:w="850"/>
      </w:tblGrid>
      <w:tr w:rsidR="00764CB7" w:rsidRPr="00DA484C" w:rsidTr="004465FB">
        <w:trPr>
          <w:trHeight w:val="231"/>
          <w:tblHeader/>
        </w:trPr>
        <w:tc>
          <w:tcPr>
            <w:tcW w:w="2150" w:type="dxa"/>
            <w:vMerge w:val="restart"/>
            <w:tcBorders>
              <w:top w:val="double" w:sz="6" w:space="0" w:color="auto"/>
              <w:left w:val="double" w:sz="6" w:space="0" w:color="auto"/>
              <w:bottom w:val="double" w:sz="6" w:space="0" w:color="000000"/>
              <w:right w:val="single" w:sz="8" w:space="0" w:color="auto"/>
            </w:tcBorders>
            <w:shd w:val="clear" w:color="auto" w:fill="FDFAB5"/>
            <w:vAlign w:val="center"/>
            <w:hideMark/>
          </w:tcPr>
          <w:p w:rsidR="00764CB7" w:rsidRPr="00B359F8" w:rsidRDefault="00764CB7" w:rsidP="00A4542C">
            <w:pPr>
              <w:jc w:val="center"/>
              <w:rPr>
                <w:b/>
                <w:bCs/>
                <w:sz w:val="20"/>
                <w:szCs w:val="20"/>
              </w:rPr>
            </w:pPr>
            <w:r w:rsidRPr="00B359F8">
              <w:rPr>
                <w:b/>
                <w:bCs/>
                <w:sz w:val="20"/>
                <w:szCs w:val="20"/>
              </w:rPr>
              <w:t>Вид обязательств</w:t>
            </w:r>
          </w:p>
        </w:tc>
        <w:tc>
          <w:tcPr>
            <w:tcW w:w="1559" w:type="dxa"/>
            <w:gridSpan w:val="2"/>
            <w:tcBorders>
              <w:top w:val="double" w:sz="6" w:space="0" w:color="auto"/>
              <w:left w:val="nil"/>
              <w:bottom w:val="single" w:sz="8" w:space="0" w:color="auto"/>
              <w:right w:val="single" w:sz="8" w:space="0" w:color="000000"/>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01.01.2017</w:t>
            </w:r>
          </w:p>
        </w:tc>
        <w:tc>
          <w:tcPr>
            <w:tcW w:w="1593" w:type="dxa"/>
            <w:gridSpan w:val="2"/>
            <w:tcBorders>
              <w:top w:val="double" w:sz="6" w:space="0" w:color="auto"/>
              <w:left w:val="nil"/>
              <w:bottom w:val="single" w:sz="8" w:space="0" w:color="auto"/>
              <w:right w:val="single" w:sz="8" w:space="0" w:color="000000"/>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01.01.2018</w:t>
            </w:r>
          </w:p>
        </w:tc>
        <w:tc>
          <w:tcPr>
            <w:tcW w:w="1525" w:type="dxa"/>
            <w:gridSpan w:val="2"/>
            <w:tcBorders>
              <w:top w:val="double" w:sz="6" w:space="0" w:color="auto"/>
              <w:left w:val="nil"/>
              <w:bottom w:val="single" w:sz="8" w:space="0" w:color="auto"/>
              <w:right w:val="single" w:sz="8" w:space="0" w:color="000000"/>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01.01.2019</w:t>
            </w:r>
          </w:p>
        </w:tc>
        <w:tc>
          <w:tcPr>
            <w:tcW w:w="1560" w:type="dxa"/>
            <w:gridSpan w:val="2"/>
            <w:tcBorders>
              <w:top w:val="double" w:sz="6" w:space="0" w:color="auto"/>
              <w:left w:val="nil"/>
              <w:bottom w:val="single" w:sz="8" w:space="0" w:color="auto"/>
              <w:right w:val="single" w:sz="8" w:space="0" w:color="000000"/>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01.01.2020</w:t>
            </w:r>
          </w:p>
        </w:tc>
        <w:tc>
          <w:tcPr>
            <w:tcW w:w="1701" w:type="dxa"/>
            <w:gridSpan w:val="2"/>
            <w:tcBorders>
              <w:top w:val="double" w:sz="6" w:space="0" w:color="auto"/>
              <w:left w:val="nil"/>
              <w:bottom w:val="single" w:sz="8" w:space="0" w:color="auto"/>
              <w:right w:val="double" w:sz="6" w:space="0" w:color="000000"/>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01.01.2021</w:t>
            </w:r>
          </w:p>
        </w:tc>
      </w:tr>
      <w:tr w:rsidR="00764CB7" w:rsidRPr="00DA484C" w:rsidTr="004465FB">
        <w:trPr>
          <w:trHeight w:val="378"/>
          <w:tblHeader/>
        </w:trPr>
        <w:tc>
          <w:tcPr>
            <w:tcW w:w="2150" w:type="dxa"/>
            <w:vMerge/>
            <w:tcBorders>
              <w:top w:val="double" w:sz="6" w:space="0" w:color="auto"/>
              <w:left w:val="double" w:sz="6" w:space="0" w:color="auto"/>
              <w:bottom w:val="double" w:sz="6" w:space="0" w:color="auto"/>
              <w:right w:val="single" w:sz="8" w:space="0" w:color="auto"/>
            </w:tcBorders>
            <w:shd w:val="clear" w:color="auto" w:fill="FDFAB5"/>
            <w:vAlign w:val="center"/>
            <w:hideMark/>
          </w:tcPr>
          <w:p w:rsidR="00764CB7" w:rsidRPr="00B359F8" w:rsidRDefault="00764CB7" w:rsidP="00A4542C">
            <w:pPr>
              <w:rPr>
                <w:b/>
                <w:bCs/>
                <w:sz w:val="20"/>
                <w:szCs w:val="20"/>
              </w:rPr>
            </w:pPr>
          </w:p>
        </w:tc>
        <w:tc>
          <w:tcPr>
            <w:tcW w:w="850"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 xml:space="preserve">сумма       </w:t>
            </w:r>
          </w:p>
        </w:tc>
        <w:tc>
          <w:tcPr>
            <w:tcW w:w="709"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доля, %</w:t>
            </w:r>
          </w:p>
        </w:tc>
        <w:tc>
          <w:tcPr>
            <w:tcW w:w="850"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 xml:space="preserve">сумма       </w:t>
            </w:r>
          </w:p>
        </w:tc>
        <w:tc>
          <w:tcPr>
            <w:tcW w:w="743"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доля, %</w:t>
            </w:r>
          </w:p>
        </w:tc>
        <w:tc>
          <w:tcPr>
            <w:tcW w:w="817"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 xml:space="preserve">сумма       </w:t>
            </w:r>
          </w:p>
        </w:tc>
        <w:tc>
          <w:tcPr>
            <w:tcW w:w="708"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доля, %</w:t>
            </w:r>
          </w:p>
        </w:tc>
        <w:tc>
          <w:tcPr>
            <w:tcW w:w="851"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 xml:space="preserve">сумма       </w:t>
            </w:r>
          </w:p>
        </w:tc>
        <w:tc>
          <w:tcPr>
            <w:tcW w:w="709"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доля, %</w:t>
            </w:r>
          </w:p>
        </w:tc>
        <w:tc>
          <w:tcPr>
            <w:tcW w:w="851" w:type="dxa"/>
            <w:tcBorders>
              <w:top w:val="nil"/>
              <w:left w:val="nil"/>
              <w:bottom w:val="double" w:sz="6" w:space="0" w:color="auto"/>
              <w:right w:val="single" w:sz="8"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 xml:space="preserve">сумма       </w:t>
            </w:r>
          </w:p>
        </w:tc>
        <w:tc>
          <w:tcPr>
            <w:tcW w:w="850" w:type="dxa"/>
            <w:tcBorders>
              <w:top w:val="nil"/>
              <w:left w:val="nil"/>
              <w:bottom w:val="double" w:sz="6" w:space="0" w:color="auto"/>
              <w:right w:val="double" w:sz="6" w:space="0" w:color="auto"/>
            </w:tcBorders>
            <w:shd w:val="clear" w:color="auto" w:fill="FDFAB5"/>
            <w:vAlign w:val="center"/>
            <w:hideMark/>
          </w:tcPr>
          <w:p w:rsidR="00764CB7" w:rsidRPr="00B359F8" w:rsidRDefault="00764CB7" w:rsidP="00A4542C">
            <w:pPr>
              <w:jc w:val="center"/>
              <w:rPr>
                <w:b/>
                <w:bCs/>
                <w:sz w:val="18"/>
                <w:szCs w:val="18"/>
              </w:rPr>
            </w:pPr>
            <w:r w:rsidRPr="00B359F8">
              <w:rPr>
                <w:b/>
                <w:bCs/>
                <w:sz w:val="18"/>
                <w:szCs w:val="18"/>
              </w:rPr>
              <w:t>доля, %</w:t>
            </w:r>
          </w:p>
        </w:tc>
      </w:tr>
      <w:tr w:rsidR="00764CB7" w:rsidRPr="00DA484C" w:rsidTr="00A4542C">
        <w:trPr>
          <w:trHeight w:val="555"/>
        </w:trPr>
        <w:tc>
          <w:tcPr>
            <w:tcW w:w="2150" w:type="dxa"/>
            <w:tcBorders>
              <w:top w:val="double" w:sz="6" w:space="0" w:color="auto"/>
              <w:left w:val="double" w:sz="6" w:space="0" w:color="auto"/>
              <w:bottom w:val="single" w:sz="6" w:space="0" w:color="auto"/>
              <w:right w:val="single" w:sz="6" w:space="0" w:color="auto"/>
            </w:tcBorders>
            <w:shd w:val="clear" w:color="auto" w:fill="auto"/>
            <w:vAlign w:val="bottom"/>
            <w:hideMark/>
          </w:tcPr>
          <w:p w:rsidR="00764CB7" w:rsidRPr="00B359F8" w:rsidRDefault="00764CB7" w:rsidP="00A4542C">
            <w:pPr>
              <w:rPr>
                <w:sz w:val="20"/>
                <w:szCs w:val="20"/>
              </w:rPr>
            </w:pPr>
            <w:r w:rsidRPr="00B359F8">
              <w:rPr>
                <w:sz w:val="20"/>
                <w:szCs w:val="20"/>
              </w:rPr>
              <w:t>Государственные ценные бумаги по номинальной стоимости</w:t>
            </w:r>
          </w:p>
        </w:tc>
        <w:tc>
          <w:tcPr>
            <w:tcW w:w="850"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11 700,0</w:t>
            </w:r>
          </w:p>
        </w:tc>
        <w:tc>
          <w:tcPr>
            <w:tcW w:w="709"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21,9%</w:t>
            </w:r>
          </w:p>
        </w:tc>
        <w:tc>
          <w:tcPr>
            <w:tcW w:w="850"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17 350,0</w:t>
            </w:r>
          </w:p>
        </w:tc>
        <w:tc>
          <w:tcPr>
            <w:tcW w:w="743"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32,5%</w:t>
            </w:r>
          </w:p>
        </w:tc>
        <w:tc>
          <w:tcPr>
            <w:tcW w:w="817"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13 250,0</w:t>
            </w:r>
          </w:p>
        </w:tc>
        <w:tc>
          <w:tcPr>
            <w:tcW w:w="708"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24,9%</w:t>
            </w:r>
          </w:p>
        </w:tc>
        <w:tc>
          <w:tcPr>
            <w:tcW w:w="851"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16 250,0</w:t>
            </w:r>
          </w:p>
        </w:tc>
        <w:tc>
          <w:tcPr>
            <w:tcW w:w="709"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30,8%</w:t>
            </w:r>
          </w:p>
        </w:tc>
        <w:tc>
          <w:tcPr>
            <w:tcW w:w="851" w:type="dxa"/>
            <w:tcBorders>
              <w:top w:val="doub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20 000,0</w:t>
            </w:r>
          </w:p>
        </w:tc>
        <w:tc>
          <w:tcPr>
            <w:tcW w:w="850" w:type="dxa"/>
            <w:tcBorders>
              <w:top w:val="double" w:sz="6" w:space="0" w:color="auto"/>
              <w:left w:val="single" w:sz="6" w:space="0" w:color="auto"/>
              <w:bottom w:val="single" w:sz="6" w:space="0" w:color="auto"/>
              <w:right w:val="doub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38,2%</w:t>
            </w:r>
          </w:p>
        </w:tc>
      </w:tr>
      <w:tr w:rsidR="00764CB7" w:rsidRPr="00DA484C" w:rsidTr="00A4542C">
        <w:trPr>
          <w:trHeight w:val="315"/>
        </w:trPr>
        <w:tc>
          <w:tcPr>
            <w:tcW w:w="2150"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B359F8" w:rsidRDefault="00764CB7" w:rsidP="00A4542C">
            <w:pPr>
              <w:rPr>
                <w:sz w:val="20"/>
                <w:szCs w:val="20"/>
              </w:rPr>
            </w:pPr>
            <w:r w:rsidRPr="00B359F8">
              <w:rPr>
                <w:sz w:val="20"/>
                <w:szCs w:val="20"/>
              </w:rPr>
              <w:t>Кредиты коммерческих банков</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16 470,0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30,8%</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16 343,6</w:t>
            </w:r>
          </w:p>
        </w:tc>
        <w:tc>
          <w:tcPr>
            <w:tcW w:w="7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30,6%</w:t>
            </w:r>
          </w:p>
        </w:tc>
        <w:tc>
          <w:tcPr>
            <w:tcW w:w="81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20 843,6</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39,2%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28 743,6</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54,5%</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24 900,0</w:t>
            </w:r>
          </w:p>
        </w:tc>
        <w:tc>
          <w:tcPr>
            <w:tcW w:w="850" w:type="dxa"/>
            <w:tcBorders>
              <w:top w:val="single" w:sz="6" w:space="0" w:color="auto"/>
              <w:left w:val="single" w:sz="6" w:space="0" w:color="auto"/>
              <w:bottom w:val="single" w:sz="6" w:space="0" w:color="auto"/>
              <w:right w:val="doub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47,5%</w:t>
            </w:r>
          </w:p>
        </w:tc>
      </w:tr>
      <w:tr w:rsidR="00764CB7" w:rsidRPr="00DA484C" w:rsidTr="00A4542C">
        <w:trPr>
          <w:trHeight w:val="540"/>
        </w:trPr>
        <w:tc>
          <w:tcPr>
            <w:tcW w:w="2150"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B359F8" w:rsidRDefault="00764CB7" w:rsidP="00A4542C">
            <w:pPr>
              <w:rPr>
                <w:sz w:val="20"/>
                <w:szCs w:val="20"/>
              </w:rPr>
            </w:pPr>
            <w:r w:rsidRPr="00B359F8">
              <w:rPr>
                <w:sz w:val="20"/>
                <w:szCs w:val="20"/>
              </w:rPr>
              <w:lastRenderedPageBreak/>
              <w:t>Бюджетные кредиты из федерального бюджета</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24 454,1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45,8%</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18 880,5</w:t>
            </w:r>
          </w:p>
        </w:tc>
        <w:tc>
          <w:tcPr>
            <w:tcW w:w="7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35,4%</w:t>
            </w:r>
          </w:p>
        </w:tc>
        <w:tc>
          <w:tcPr>
            <w:tcW w:w="81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18 440,5</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34,7%</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7 488,1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14,2%</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7 488,1</w:t>
            </w:r>
          </w:p>
        </w:tc>
        <w:tc>
          <w:tcPr>
            <w:tcW w:w="850" w:type="dxa"/>
            <w:tcBorders>
              <w:top w:val="single" w:sz="6" w:space="0" w:color="auto"/>
              <w:left w:val="single" w:sz="6" w:space="0" w:color="auto"/>
              <w:bottom w:val="single" w:sz="6" w:space="0" w:color="auto"/>
              <w:right w:val="doub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14,3%</w:t>
            </w:r>
          </w:p>
        </w:tc>
      </w:tr>
      <w:tr w:rsidR="00764CB7" w:rsidRPr="00DA484C" w:rsidTr="00A4542C">
        <w:trPr>
          <w:trHeight w:val="315"/>
        </w:trPr>
        <w:tc>
          <w:tcPr>
            <w:tcW w:w="2150" w:type="dxa"/>
            <w:tcBorders>
              <w:top w:val="single" w:sz="6" w:space="0" w:color="auto"/>
              <w:left w:val="double" w:sz="6" w:space="0" w:color="auto"/>
              <w:bottom w:val="single" w:sz="6" w:space="0" w:color="auto"/>
              <w:right w:val="single" w:sz="6" w:space="0" w:color="auto"/>
            </w:tcBorders>
            <w:shd w:val="clear" w:color="auto" w:fill="auto"/>
            <w:vAlign w:val="bottom"/>
            <w:hideMark/>
          </w:tcPr>
          <w:p w:rsidR="00764CB7" w:rsidRPr="00B359F8" w:rsidRDefault="00764CB7" w:rsidP="00A4542C">
            <w:pPr>
              <w:rPr>
                <w:sz w:val="20"/>
                <w:szCs w:val="20"/>
              </w:rPr>
            </w:pPr>
            <w:r w:rsidRPr="00B359F8">
              <w:rPr>
                <w:sz w:val="20"/>
                <w:szCs w:val="20"/>
              </w:rPr>
              <w:t xml:space="preserve">Государственные гарантии </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785,1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1,5%</w:t>
            </w:r>
          </w:p>
        </w:tc>
        <w:tc>
          <w:tcPr>
            <w:tcW w:w="850"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785,1</w:t>
            </w:r>
          </w:p>
        </w:tc>
        <w:tc>
          <w:tcPr>
            <w:tcW w:w="7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1,5%</w:t>
            </w:r>
          </w:p>
        </w:tc>
        <w:tc>
          <w:tcPr>
            <w:tcW w:w="817"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608,9</w:t>
            </w:r>
          </w:p>
        </w:tc>
        <w:tc>
          <w:tcPr>
            <w:tcW w:w="708"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1,1%</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211,9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0,4%</w:t>
            </w:r>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0,0</w:t>
            </w:r>
          </w:p>
        </w:tc>
        <w:tc>
          <w:tcPr>
            <w:tcW w:w="850" w:type="dxa"/>
            <w:tcBorders>
              <w:top w:val="single" w:sz="6" w:space="0" w:color="auto"/>
              <w:left w:val="single" w:sz="6" w:space="0" w:color="auto"/>
              <w:bottom w:val="single" w:sz="6" w:space="0" w:color="auto"/>
              <w:right w:val="doub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0,0%</w:t>
            </w:r>
          </w:p>
        </w:tc>
      </w:tr>
      <w:tr w:rsidR="00764CB7" w:rsidRPr="00DA484C" w:rsidTr="00A4542C">
        <w:trPr>
          <w:trHeight w:val="330"/>
        </w:trPr>
        <w:tc>
          <w:tcPr>
            <w:tcW w:w="2150" w:type="dxa"/>
            <w:tcBorders>
              <w:top w:val="single" w:sz="6" w:space="0" w:color="auto"/>
              <w:left w:val="double" w:sz="6" w:space="0" w:color="auto"/>
              <w:bottom w:val="single" w:sz="6" w:space="0" w:color="auto"/>
              <w:right w:val="single" w:sz="6" w:space="0" w:color="auto"/>
            </w:tcBorders>
            <w:shd w:val="clear" w:color="000000" w:fill="F2F2F2"/>
            <w:vAlign w:val="bottom"/>
            <w:hideMark/>
          </w:tcPr>
          <w:p w:rsidR="00764CB7" w:rsidRPr="00B359F8" w:rsidRDefault="00764CB7" w:rsidP="00A4542C">
            <w:pPr>
              <w:rPr>
                <w:b/>
                <w:bCs/>
                <w:sz w:val="20"/>
                <w:szCs w:val="20"/>
              </w:rPr>
            </w:pPr>
            <w:r w:rsidRPr="00B359F8">
              <w:rPr>
                <w:b/>
                <w:bCs/>
                <w:sz w:val="20"/>
                <w:szCs w:val="20"/>
              </w:rPr>
              <w:t>Итого государственный долг</w:t>
            </w:r>
          </w:p>
        </w:tc>
        <w:tc>
          <w:tcPr>
            <w:tcW w:w="850"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53 409,2</w:t>
            </w:r>
          </w:p>
        </w:tc>
        <w:tc>
          <w:tcPr>
            <w:tcW w:w="709"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100,0%</w:t>
            </w:r>
          </w:p>
        </w:tc>
        <w:tc>
          <w:tcPr>
            <w:tcW w:w="850"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53 359,2</w:t>
            </w:r>
          </w:p>
        </w:tc>
        <w:tc>
          <w:tcPr>
            <w:tcW w:w="743" w:type="dxa"/>
            <w:tcBorders>
              <w:top w:val="single" w:sz="6" w:space="0" w:color="auto"/>
              <w:left w:val="single" w:sz="6" w:space="0" w:color="auto"/>
              <w:bottom w:val="sing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100,0%</w:t>
            </w:r>
          </w:p>
        </w:tc>
        <w:tc>
          <w:tcPr>
            <w:tcW w:w="817"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53 143,0</w:t>
            </w:r>
          </w:p>
        </w:tc>
        <w:tc>
          <w:tcPr>
            <w:tcW w:w="708"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100,0%</w:t>
            </w:r>
          </w:p>
        </w:tc>
        <w:tc>
          <w:tcPr>
            <w:tcW w:w="851"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52 693,6</w:t>
            </w:r>
          </w:p>
        </w:tc>
        <w:tc>
          <w:tcPr>
            <w:tcW w:w="709"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100,0%</w:t>
            </w:r>
          </w:p>
        </w:tc>
        <w:tc>
          <w:tcPr>
            <w:tcW w:w="851"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52 388,1</w:t>
            </w:r>
          </w:p>
        </w:tc>
        <w:tc>
          <w:tcPr>
            <w:tcW w:w="850" w:type="dxa"/>
            <w:tcBorders>
              <w:top w:val="single" w:sz="6" w:space="0" w:color="auto"/>
              <w:left w:val="single" w:sz="6" w:space="0" w:color="auto"/>
              <w:bottom w:val="single" w:sz="6" w:space="0" w:color="auto"/>
              <w:right w:val="doub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100,0%</w:t>
            </w:r>
          </w:p>
        </w:tc>
      </w:tr>
      <w:tr w:rsidR="00764CB7" w:rsidRPr="00DA484C" w:rsidTr="00A4542C">
        <w:trPr>
          <w:trHeight w:val="555"/>
        </w:trPr>
        <w:tc>
          <w:tcPr>
            <w:tcW w:w="2150" w:type="dxa"/>
            <w:tcBorders>
              <w:top w:val="single" w:sz="6" w:space="0" w:color="auto"/>
              <w:left w:val="double" w:sz="6" w:space="0" w:color="auto"/>
              <w:bottom w:val="single" w:sz="6" w:space="0" w:color="auto"/>
              <w:right w:val="single" w:sz="6" w:space="0" w:color="auto"/>
            </w:tcBorders>
            <w:shd w:val="clear" w:color="000000" w:fill="F2F2F2"/>
            <w:vAlign w:val="bottom"/>
            <w:hideMark/>
          </w:tcPr>
          <w:p w:rsidR="00764CB7" w:rsidRPr="00B359F8" w:rsidRDefault="00764CB7" w:rsidP="00B10D45">
            <w:pPr>
              <w:rPr>
                <w:b/>
                <w:bCs/>
                <w:sz w:val="20"/>
                <w:szCs w:val="20"/>
              </w:rPr>
            </w:pPr>
            <w:r w:rsidRPr="00B359F8">
              <w:rPr>
                <w:b/>
                <w:bCs/>
                <w:sz w:val="20"/>
                <w:szCs w:val="20"/>
              </w:rPr>
              <w:t>Верхний предел госдолга по проекту</w:t>
            </w:r>
          </w:p>
        </w:tc>
        <w:tc>
          <w:tcPr>
            <w:tcW w:w="850"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right="-108"/>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p>
        </w:tc>
        <w:tc>
          <w:tcPr>
            <w:tcW w:w="743"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p>
        </w:tc>
        <w:tc>
          <w:tcPr>
            <w:tcW w:w="817"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53 143,0</w:t>
            </w:r>
          </w:p>
        </w:tc>
        <w:tc>
          <w:tcPr>
            <w:tcW w:w="708"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p>
        </w:tc>
        <w:tc>
          <w:tcPr>
            <w:tcW w:w="851"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53 143,0</w:t>
            </w:r>
          </w:p>
        </w:tc>
        <w:tc>
          <w:tcPr>
            <w:tcW w:w="709"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p>
        </w:tc>
        <w:tc>
          <w:tcPr>
            <w:tcW w:w="851" w:type="dxa"/>
            <w:tcBorders>
              <w:top w:val="single" w:sz="6" w:space="0" w:color="auto"/>
              <w:left w:val="single" w:sz="6" w:space="0" w:color="auto"/>
              <w:bottom w:val="single" w:sz="6" w:space="0" w:color="auto"/>
              <w:right w:val="single" w:sz="6" w:space="0" w:color="auto"/>
            </w:tcBorders>
            <w:shd w:val="clear" w:color="000000" w:fill="F2F2F2"/>
            <w:vAlign w:val="bottom"/>
            <w:hideMark/>
          </w:tcPr>
          <w:p w:rsidR="00764CB7" w:rsidRPr="00811F6D" w:rsidRDefault="00764CB7" w:rsidP="00A4542C">
            <w:pPr>
              <w:ind w:left="-108" w:right="-108"/>
              <w:jc w:val="center"/>
              <w:rPr>
                <w:sz w:val="18"/>
                <w:szCs w:val="18"/>
              </w:rPr>
            </w:pPr>
            <w:r w:rsidRPr="00811F6D">
              <w:rPr>
                <w:sz w:val="18"/>
                <w:szCs w:val="18"/>
              </w:rPr>
              <w:t>52 490,9</w:t>
            </w:r>
          </w:p>
        </w:tc>
        <w:tc>
          <w:tcPr>
            <w:tcW w:w="850" w:type="dxa"/>
            <w:tcBorders>
              <w:top w:val="single" w:sz="6" w:space="0" w:color="auto"/>
              <w:left w:val="single" w:sz="6" w:space="0" w:color="auto"/>
              <w:bottom w:val="single" w:sz="6" w:space="0" w:color="auto"/>
              <w:right w:val="double" w:sz="6" w:space="0" w:color="auto"/>
            </w:tcBorders>
            <w:shd w:val="clear" w:color="000000" w:fill="F2F2F2"/>
            <w:vAlign w:val="bottom"/>
            <w:hideMark/>
          </w:tcPr>
          <w:p w:rsidR="00764CB7" w:rsidRPr="00811F6D" w:rsidRDefault="00764CB7" w:rsidP="00A4542C">
            <w:pPr>
              <w:ind w:left="-108" w:right="-108"/>
              <w:jc w:val="center"/>
              <w:rPr>
                <w:sz w:val="18"/>
                <w:szCs w:val="18"/>
              </w:rPr>
            </w:pPr>
          </w:p>
        </w:tc>
      </w:tr>
      <w:tr w:rsidR="00764CB7" w:rsidRPr="00DA484C" w:rsidTr="00A4542C">
        <w:trPr>
          <w:trHeight w:val="330"/>
        </w:trPr>
        <w:tc>
          <w:tcPr>
            <w:tcW w:w="2150" w:type="dxa"/>
            <w:tcBorders>
              <w:top w:val="single" w:sz="6" w:space="0" w:color="auto"/>
              <w:left w:val="double" w:sz="6" w:space="0" w:color="auto"/>
              <w:bottom w:val="double" w:sz="6" w:space="0" w:color="auto"/>
              <w:right w:val="single" w:sz="6" w:space="0" w:color="auto"/>
            </w:tcBorders>
            <w:shd w:val="clear" w:color="auto" w:fill="auto"/>
            <w:vAlign w:val="bottom"/>
            <w:hideMark/>
          </w:tcPr>
          <w:p w:rsidR="00764CB7" w:rsidRPr="00B359F8" w:rsidRDefault="003B6729" w:rsidP="00B10D45">
            <w:pPr>
              <w:rPr>
                <w:sz w:val="20"/>
                <w:szCs w:val="20"/>
              </w:rPr>
            </w:pPr>
            <w:r>
              <w:rPr>
                <w:sz w:val="20"/>
                <w:szCs w:val="20"/>
              </w:rPr>
              <w:t>в</w:t>
            </w:r>
            <w:r w:rsidR="00764CB7" w:rsidRPr="00B359F8">
              <w:rPr>
                <w:sz w:val="20"/>
                <w:szCs w:val="20"/>
              </w:rPr>
              <w:t xml:space="preserve"> т. ч. по гарантиям</w:t>
            </w:r>
          </w:p>
        </w:tc>
        <w:tc>
          <w:tcPr>
            <w:tcW w:w="850"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right="-108"/>
              <w:jc w:val="center"/>
              <w:rPr>
                <w:sz w:val="18"/>
                <w:szCs w:val="18"/>
              </w:rPr>
            </w:pPr>
          </w:p>
        </w:tc>
        <w:tc>
          <w:tcPr>
            <w:tcW w:w="709"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right="-108"/>
              <w:jc w:val="center"/>
              <w:rPr>
                <w:sz w:val="18"/>
                <w:szCs w:val="18"/>
              </w:rPr>
            </w:pPr>
          </w:p>
        </w:tc>
        <w:tc>
          <w:tcPr>
            <w:tcW w:w="850"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p>
        </w:tc>
        <w:tc>
          <w:tcPr>
            <w:tcW w:w="743"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p>
        </w:tc>
        <w:tc>
          <w:tcPr>
            <w:tcW w:w="817"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608,9</w:t>
            </w:r>
          </w:p>
        </w:tc>
        <w:tc>
          <w:tcPr>
            <w:tcW w:w="708"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p>
        </w:tc>
        <w:tc>
          <w:tcPr>
            <w:tcW w:w="851"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211,9</w:t>
            </w:r>
          </w:p>
        </w:tc>
        <w:tc>
          <w:tcPr>
            <w:tcW w:w="709"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p>
        </w:tc>
        <w:tc>
          <w:tcPr>
            <w:tcW w:w="851" w:type="dxa"/>
            <w:tcBorders>
              <w:top w:val="single" w:sz="6" w:space="0" w:color="auto"/>
              <w:left w:val="single" w:sz="6" w:space="0" w:color="auto"/>
              <w:bottom w:val="double" w:sz="6" w:space="0" w:color="auto"/>
              <w:right w:val="single" w:sz="6" w:space="0" w:color="auto"/>
            </w:tcBorders>
            <w:shd w:val="clear" w:color="auto" w:fill="auto"/>
            <w:vAlign w:val="bottom"/>
            <w:hideMark/>
          </w:tcPr>
          <w:p w:rsidR="00764CB7" w:rsidRPr="00811F6D" w:rsidRDefault="00764CB7" w:rsidP="00A4542C">
            <w:pPr>
              <w:ind w:left="-108" w:right="-108"/>
              <w:jc w:val="center"/>
              <w:rPr>
                <w:sz w:val="18"/>
                <w:szCs w:val="18"/>
              </w:rPr>
            </w:pPr>
            <w:r w:rsidRPr="00811F6D">
              <w:rPr>
                <w:sz w:val="18"/>
                <w:szCs w:val="18"/>
              </w:rPr>
              <w:t>0,0</w:t>
            </w:r>
          </w:p>
        </w:tc>
        <w:tc>
          <w:tcPr>
            <w:tcW w:w="850" w:type="dxa"/>
            <w:tcBorders>
              <w:top w:val="single" w:sz="6" w:space="0" w:color="auto"/>
              <w:left w:val="single" w:sz="6" w:space="0" w:color="auto"/>
              <w:bottom w:val="double" w:sz="6" w:space="0" w:color="auto"/>
              <w:right w:val="double" w:sz="6" w:space="0" w:color="auto"/>
            </w:tcBorders>
            <w:shd w:val="clear" w:color="auto" w:fill="auto"/>
            <w:vAlign w:val="bottom"/>
            <w:hideMark/>
          </w:tcPr>
          <w:p w:rsidR="00764CB7" w:rsidRPr="00811F6D" w:rsidRDefault="00764CB7" w:rsidP="00A4542C">
            <w:pPr>
              <w:ind w:left="-108" w:right="-108"/>
              <w:jc w:val="center"/>
              <w:rPr>
                <w:sz w:val="18"/>
                <w:szCs w:val="18"/>
              </w:rPr>
            </w:pPr>
          </w:p>
        </w:tc>
      </w:tr>
    </w:tbl>
    <w:p w:rsidR="00764CB7" w:rsidRPr="00681FBB" w:rsidRDefault="00764CB7" w:rsidP="00764CB7">
      <w:pPr>
        <w:ind w:firstLine="720"/>
        <w:jc w:val="both"/>
      </w:pPr>
      <w:r w:rsidRPr="00681FBB">
        <w:rPr>
          <w:bCs/>
        </w:rPr>
        <w:t xml:space="preserve">Из представленных в таблице данных видно, что показатели расчетного государственного внутреннего долга </w:t>
      </w:r>
      <w:r w:rsidR="005B4602">
        <w:rPr>
          <w:bCs/>
        </w:rPr>
        <w:t>не превышают</w:t>
      </w:r>
      <w:r w:rsidRPr="00681FBB">
        <w:rPr>
          <w:bCs/>
        </w:rPr>
        <w:t xml:space="preserve"> показател</w:t>
      </w:r>
      <w:r w:rsidR="005B4602">
        <w:rPr>
          <w:bCs/>
        </w:rPr>
        <w:t>и</w:t>
      </w:r>
      <w:r w:rsidRPr="00681FBB">
        <w:t xml:space="preserve"> верхнего предела государственного внутреннего долга, утверждаемые в статье 2 законопроекта. </w:t>
      </w:r>
    </w:p>
    <w:p w:rsidR="00764CB7" w:rsidRPr="00811F6D" w:rsidRDefault="00764CB7" w:rsidP="00764CB7">
      <w:pPr>
        <w:ind w:firstLine="720"/>
        <w:jc w:val="both"/>
        <w:rPr>
          <w:sz w:val="28"/>
          <w:szCs w:val="28"/>
        </w:rPr>
      </w:pPr>
    </w:p>
    <w:p w:rsidR="00893015" w:rsidRDefault="003824C5" w:rsidP="00893015">
      <w:pPr>
        <w:ind w:firstLine="708"/>
        <w:jc w:val="center"/>
        <w:rPr>
          <w:b/>
          <w:i/>
        </w:rPr>
      </w:pPr>
      <w:r>
        <w:rPr>
          <w:b/>
          <w:i/>
        </w:rPr>
        <w:t>5</w:t>
      </w:r>
      <w:r w:rsidR="00893015" w:rsidRPr="00A27310">
        <w:rPr>
          <w:b/>
          <w:i/>
        </w:rPr>
        <w:t>. Общий объем межбюджетных трансфертов.</w:t>
      </w:r>
    </w:p>
    <w:p w:rsidR="004F130A" w:rsidRPr="00A27310" w:rsidRDefault="004F130A" w:rsidP="00893015">
      <w:pPr>
        <w:ind w:firstLine="708"/>
        <w:jc w:val="center"/>
        <w:rPr>
          <w:b/>
          <w:i/>
        </w:rPr>
      </w:pPr>
    </w:p>
    <w:p w:rsidR="00D0511D" w:rsidRPr="00905350" w:rsidRDefault="00D0511D" w:rsidP="00D0511D">
      <w:pPr>
        <w:tabs>
          <w:tab w:val="left" w:pos="4820"/>
        </w:tabs>
        <w:ind w:firstLine="851"/>
        <w:jc w:val="both"/>
        <w:rPr>
          <w:rFonts w:eastAsia="TimesNewRomanPSMT"/>
        </w:rPr>
      </w:pPr>
      <w:r>
        <w:rPr>
          <w:rFonts w:eastAsia="TimesNewRomanPSMT"/>
        </w:rPr>
        <w:t xml:space="preserve">Объем межбюджетных трансфертов из областного бюджета местным бюджетам на 2018 год предусмотрен </w:t>
      </w:r>
      <w:r w:rsidRPr="00905350">
        <w:rPr>
          <w:rFonts w:eastAsia="TimesNewRomanPSMT"/>
        </w:rPr>
        <w:t xml:space="preserve">в сумме </w:t>
      </w:r>
      <w:r>
        <w:rPr>
          <w:rFonts w:eastAsia="TimesNewRomanPSMT"/>
        </w:rPr>
        <w:t>25966,1 млн. руб. с увеличением к уровню 2017 года на 2011,6</w:t>
      </w:r>
      <w:r w:rsidRPr="00905350">
        <w:rPr>
          <w:rFonts w:eastAsia="TimesNewRomanPSMT"/>
        </w:rPr>
        <w:t xml:space="preserve"> млн. руб., или </w:t>
      </w:r>
      <w:r>
        <w:rPr>
          <w:rFonts w:eastAsia="TimesNewRomanPSMT"/>
        </w:rPr>
        <w:t>8,4 процента</w:t>
      </w:r>
      <w:r w:rsidRPr="00905350">
        <w:rPr>
          <w:rFonts w:eastAsia="TimesNewRomanPSMT"/>
        </w:rPr>
        <w:t xml:space="preserve">. Показатели объемов межбюджетных трансфертов из областного </w:t>
      </w:r>
      <w:r>
        <w:rPr>
          <w:rFonts w:eastAsia="TimesNewRomanPSMT"/>
        </w:rPr>
        <w:t>бюджета местным бюджетам на 2018-2020</w:t>
      </w:r>
      <w:r w:rsidRPr="00905350">
        <w:rPr>
          <w:rFonts w:eastAsia="TimesNewRomanPSMT"/>
        </w:rPr>
        <w:t xml:space="preserve"> годы в сравнении </w:t>
      </w:r>
      <w:r>
        <w:rPr>
          <w:rFonts w:eastAsia="TimesNewRomanPSMT"/>
        </w:rPr>
        <w:t>с аналогичными показателями 2016-2017</w:t>
      </w:r>
      <w:r w:rsidRPr="00905350">
        <w:rPr>
          <w:rFonts w:eastAsia="TimesNewRomanPSMT"/>
        </w:rPr>
        <w:t xml:space="preserve"> годов приведены в таблице:</w:t>
      </w:r>
    </w:p>
    <w:p w:rsidR="00D0511D" w:rsidRPr="006608C5" w:rsidRDefault="00D0511D" w:rsidP="00D0511D">
      <w:pPr>
        <w:ind w:firstLine="720"/>
        <w:jc w:val="right"/>
        <w:rPr>
          <w:rFonts w:eastAsia="TimesNewRomanPSMT"/>
          <w:sz w:val="20"/>
          <w:szCs w:val="20"/>
        </w:rPr>
      </w:pPr>
      <w:r w:rsidRPr="006608C5">
        <w:rPr>
          <w:rFonts w:eastAsia="TimesNewRomanPSMT"/>
          <w:sz w:val="20"/>
          <w:szCs w:val="20"/>
        </w:rPr>
        <w:t>млн. руб.</w:t>
      </w:r>
    </w:p>
    <w:tbl>
      <w:tblPr>
        <w:tblW w:w="963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949"/>
        <w:gridCol w:w="28"/>
        <w:gridCol w:w="965"/>
        <w:gridCol w:w="35"/>
        <w:gridCol w:w="953"/>
        <w:gridCol w:w="42"/>
        <w:gridCol w:w="947"/>
        <w:gridCol w:w="49"/>
        <w:gridCol w:w="942"/>
        <w:gridCol w:w="56"/>
        <w:gridCol w:w="936"/>
        <w:gridCol w:w="63"/>
        <w:gridCol w:w="826"/>
        <w:gridCol w:w="69"/>
        <w:gridCol w:w="771"/>
      </w:tblGrid>
      <w:tr w:rsidR="00D0511D" w:rsidRPr="00E7654C" w:rsidTr="00BC6E75">
        <w:trPr>
          <w:trHeight w:val="255"/>
        </w:trPr>
        <w:tc>
          <w:tcPr>
            <w:tcW w:w="2977" w:type="dxa"/>
            <w:gridSpan w:val="2"/>
            <w:vMerge w:val="restart"/>
            <w:tcBorders>
              <w:top w:val="double" w:sz="4" w:space="0" w:color="auto"/>
              <w:left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МЕЖБЮДЖЕТНЫЕ ТРАНСФЕРТЫ</w:t>
            </w:r>
          </w:p>
        </w:tc>
        <w:tc>
          <w:tcPr>
            <w:tcW w:w="1000" w:type="dxa"/>
            <w:gridSpan w:val="2"/>
            <w:tcBorders>
              <w:top w:val="double" w:sz="4" w:space="0" w:color="auto"/>
              <w:left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2016 г.</w:t>
            </w:r>
          </w:p>
        </w:tc>
        <w:tc>
          <w:tcPr>
            <w:tcW w:w="995" w:type="dxa"/>
            <w:gridSpan w:val="2"/>
            <w:tcBorders>
              <w:top w:val="double" w:sz="4" w:space="0" w:color="auto"/>
              <w:left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2017 г.</w:t>
            </w:r>
          </w:p>
        </w:tc>
        <w:tc>
          <w:tcPr>
            <w:tcW w:w="996" w:type="dxa"/>
            <w:gridSpan w:val="2"/>
            <w:tcBorders>
              <w:top w:val="double" w:sz="4" w:space="0" w:color="auto"/>
              <w:lef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2018 г.</w:t>
            </w:r>
          </w:p>
        </w:tc>
        <w:tc>
          <w:tcPr>
            <w:tcW w:w="998" w:type="dxa"/>
            <w:gridSpan w:val="2"/>
            <w:tcBorders>
              <w:top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2019 г.</w:t>
            </w:r>
          </w:p>
        </w:tc>
        <w:tc>
          <w:tcPr>
            <w:tcW w:w="999" w:type="dxa"/>
            <w:gridSpan w:val="2"/>
            <w:tcBorders>
              <w:top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2020 г.</w:t>
            </w:r>
          </w:p>
        </w:tc>
        <w:tc>
          <w:tcPr>
            <w:tcW w:w="1666" w:type="dxa"/>
            <w:gridSpan w:val="3"/>
            <w:tcBorders>
              <w:top w:val="double" w:sz="4" w:space="0" w:color="auto"/>
              <w:left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2018 г. / 2017 г.</w:t>
            </w:r>
          </w:p>
        </w:tc>
      </w:tr>
      <w:tr w:rsidR="00D0511D" w:rsidRPr="00E7654C" w:rsidTr="00BC6E75">
        <w:trPr>
          <w:trHeight w:val="270"/>
        </w:trPr>
        <w:tc>
          <w:tcPr>
            <w:tcW w:w="2977" w:type="dxa"/>
            <w:gridSpan w:val="2"/>
            <w:vMerge/>
            <w:tcBorders>
              <w:left w:val="double" w:sz="4" w:space="0" w:color="auto"/>
              <w:bottom w:val="double" w:sz="4" w:space="0" w:color="auto"/>
              <w:right w:val="double" w:sz="4" w:space="0" w:color="auto"/>
            </w:tcBorders>
            <w:shd w:val="clear" w:color="auto" w:fill="FDFAB5"/>
            <w:vAlign w:val="center"/>
            <w:hideMark/>
          </w:tcPr>
          <w:p w:rsidR="00D0511D" w:rsidRPr="004465FB" w:rsidRDefault="00D0511D" w:rsidP="00D0511D">
            <w:pPr>
              <w:rPr>
                <w:sz w:val="22"/>
                <w:szCs w:val="22"/>
              </w:rPr>
            </w:pPr>
          </w:p>
        </w:tc>
        <w:tc>
          <w:tcPr>
            <w:tcW w:w="1000" w:type="dxa"/>
            <w:gridSpan w:val="2"/>
            <w:tcBorders>
              <w:left w:val="double" w:sz="4" w:space="0" w:color="auto"/>
              <w:bottom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факт</w:t>
            </w:r>
          </w:p>
        </w:tc>
        <w:tc>
          <w:tcPr>
            <w:tcW w:w="995" w:type="dxa"/>
            <w:gridSpan w:val="2"/>
            <w:tcBorders>
              <w:left w:val="double" w:sz="4" w:space="0" w:color="auto"/>
              <w:bottom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план</w:t>
            </w:r>
          </w:p>
        </w:tc>
        <w:tc>
          <w:tcPr>
            <w:tcW w:w="2993" w:type="dxa"/>
            <w:gridSpan w:val="6"/>
            <w:tcBorders>
              <w:left w:val="double" w:sz="4" w:space="0" w:color="auto"/>
              <w:bottom w:val="double" w:sz="4" w:space="0" w:color="auto"/>
              <w:right w:val="double" w:sz="4" w:space="0" w:color="auto"/>
            </w:tcBorders>
            <w:shd w:val="clear" w:color="auto" w:fill="FDFAB5"/>
            <w:vAlign w:val="center"/>
            <w:hideMark/>
          </w:tcPr>
          <w:p w:rsidR="00D0511D" w:rsidRPr="004465FB" w:rsidRDefault="00530205" w:rsidP="00D0511D">
            <w:pPr>
              <w:jc w:val="center"/>
              <w:rPr>
                <w:sz w:val="22"/>
                <w:szCs w:val="22"/>
              </w:rPr>
            </w:pPr>
            <w:r w:rsidRPr="004465FB">
              <w:rPr>
                <w:sz w:val="22"/>
                <w:szCs w:val="22"/>
              </w:rPr>
              <w:t>П</w:t>
            </w:r>
            <w:r w:rsidR="00D0511D" w:rsidRPr="004465FB">
              <w:rPr>
                <w:sz w:val="22"/>
                <w:szCs w:val="22"/>
              </w:rPr>
              <w:t>роект</w:t>
            </w:r>
          </w:p>
        </w:tc>
        <w:tc>
          <w:tcPr>
            <w:tcW w:w="895" w:type="dxa"/>
            <w:gridSpan w:val="2"/>
            <w:tcBorders>
              <w:left w:val="double" w:sz="4" w:space="0" w:color="auto"/>
              <w:bottom w:val="double" w:sz="4" w:space="0" w:color="auto"/>
            </w:tcBorders>
            <w:shd w:val="clear" w:color="auto" w:fill="FDFAB5"/>
            <w:vAlign w:val="center"/>
            <w:hideMark/>
          </w:tcPr>
          <w:p w:rsidR="00D0511D" w:rsidRPr="004465FB" w:rsidRDefault="00D0511D" w:rsidP="00D0511D">
            <w:pPr>
              <w:ind w:left="-50" w:right="-108"/>
              <w:jc w:val="center"/>
              <w:rPr>
                <w:sz w:val="22"/>
                <w:szCs w:val="22"/>
              </w:rPr>
            </w:pPr>
            <w:r w:rsidRPr="004465FB">
              <w:rPr>
                <w:sz w:val="22"/>
                <w:szCs w:val="22"/>
              </w:rPr>
              <w:t>млн. руб.</w:t>
            </w:r>
          </w:p>
        </w:tc>
        <w:tc>
          <w:tcPr>
            <w:tcW w:w="771" w:type="dxa"/>
            <w:tcBorders>
              <w:bottom w:val="double" w:sz="4" w:space="0" w:color="auto"/>
              <w:right w:val="double" w:sz="4" w:space="0" w:color="auto"/>
            </w:tcBorders>
            <w:shd w:val="clear" w:color="auto" w:fill="FDFAB5"/>
            <w:vAlign w:val="center"/>
            <w:hideMark/>
          </w:tcPr>
          <w:p w:rsidR="00D0511D" w:rsidRPr="004465FB" w:rsidRDefault="00D0511D" w:rsidP="00D0511D">
            <w:pPr>
              <w:jc w:val="center"/>
              <w:rPr>
                <w:sz w:val="22"/>
                <w:szCs w:val="22"/>
              </w:rPr>
            </w:pPr>
            <w:r w:rsidRPr="004465FB">
              <w:rPr>
                <w:sz w:val="22"/>
                <w:szCs w:val="22"/>
              </w:rPr>
              <w:t>%</w:t>
            </w:r>
          </w:p>
        </w:tc>
      </w:tr>
      <w:tr w:rsidR="00D0511D" w:rsidRPr="00E7654C" w:rsidTr="00BC6E75">
        <w:trPr>
          <w:trHeight w:val="232"/>
        </w:trPr>
        <w:tc>
          <w:tcPr>
            <w:tcW w:w="2949" w:type="dxa"/>
            <w:tcBorders>
              <w:top w:val="double" w:sz="4" w:space="0" w:color="auto"/>
              <w:left w:val="double" w:sz="4" w:space="0" w:color="auto"/>
              <w:bottom w:val="dotted" w:sz="4" w:space="0" w:color="auto"/>
              <w:right w:val="double" w:sz="4" w:space="0" w:color="auto"/>
            </w:tcBorders>
            <w:shd w:val="clear" w:color="auto" w:fill="auto"/>
            <w:vAlign w:val="center"/>
            <w:hideMark/>
          </w:tcPr>
          <w:p w:rsidR="00D0511D" w:rsidRPr="004465FB" w:rsidRDefault="00D0511D" w:rsidP="00D0511D">
            <w:pPr>
              <w:rPr>
                <w:b/>
                <w:bCs/>
                <w:sz w:val="22"/>
                <w:szCs w:val="22"/>
              </w:rPr>
            </w:pPr>
            <w:r w:rsidRPr="004465FB">
              <w:rPr>
                <w:b/>
                <w:bCs/>
                <w:sz w:val="22"/>
                <w:szCs w:val="22"/>
              </w:rPr>
              <w:t>Всего:</w:t>
            </w:r>
          </w:p>
        </w:tc>
        <w:tc>
          <w:tcPr>
            <w:tcW w:w="993" w:type="dxa"/>
            <w:gridSpan w:val="2"/>
            <w:tcBorders>
              <w:top w:val="double" w:sz="4" w:space="0" w:color="auto"/>
              <w:left w:val="double" w:sz="4" w:space="0" w:color="auto"/>
              <w:bottom w:val="dotted"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26 233,8</w:t>
            </w:r>
          </w:p>
        </w:tc>
        <w:tc>
          <w:tcPr>
            <w:tcW w:w="988" w:type="dxa"/>
            <w:gridSpan w:val="2"/>
            <w:tcBorders>
              <w:top w:val="double" w:sz="4" w:space="0" w:color="auto"/>
              <w:left w:val="double" w:sz="4" w:space="0" w:color="auto"/>
              <w:bottom w:val="dotted"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23 954,5</w:t>
            </w:r>
          </w:p>
        </w:tc>
        <w:tc>
          <w:tcPr>
            <w:tcW w:w="989" w:type="dxa"/>
            <w:gridSpan w:val="2"/>
            <w:tcBorders>
              <w:top w:val="double" w:sz="4" w:space="0" w:color="auto"/>
              <w:left w:val="double" w:sz="4" w:space="0" w:color="auto"/>
              <w:bottom w:val="dotted"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25 966,1</w:t>
            </w:r>
          </w:p>
        </w:tc>
        <w:tc>
          <w:tcPr>
            <w:tcW w:w="991" w:type="dxa"/>
            <w:gridSpan w:val="2"/>
            <w:tcBorders>
              <w:top w:val="double" w:sz="4" w:space="0" w:color="auto"/>
              <w:bottom w:val="dotted"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19 742,5</w:t>
            </w:r>
          </w:p>
        </w:tc>
        <w:tc>
          <w:tcPr>
            <w:tcW w:w="992" w:type="dxa"/>
            <w:gridSpan w:val="2"/>
            <w:tcBorders>
              <w:top w:val="double" w:sz="4" w:space="0" w:color="auto"/>
              <w:bottom w:val="dotted"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19 877,2</w:t>
            </w:r>
          </w:p>
        </w:tc>
        <w:tc>
          <w:tcPr>
            <w:tcW w:w="889" w:type="dxa"/>
            <w:gridSpan w:val="2"/>
            <w:tcBorders>
              <w:top w:val="double" w:sz="4" w:space="0" w:color="auto"/>
              <w:left w:val="double" w:sz="4" w:space="0" w:color="auto"/>
              <w:bottom w:val="dotted"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2 011,6</w:t>
            </w:r>
          </w:p>
        </w:tc>
        <w:tc>
          <w:tcPr>
            <w:tcW w:w="840" w:type="dxa"/>
            <w:gridSpan w:val="2"/>
            <w:tcBorders>
              <w:top w:val="double" w:sz="4" w:space="0" w:color="auto"/>
              <w:bottom w:val="dotted"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8,4%</w:t>
            </w:r>
          </w:p>
        </w:tc>
      </w:tr>
      <w:tr w:rsidR="00D0511D" w:rsidRPr="00EA385F" w:rsidTr="00BC6E75">
        <w:trPr>
          <w:trHeight w:val="20"/>
        </w:trPr>
        <w:tc>
          <w:tcPr>
            <w:tcW w:w="2949" w:type="dxa"/>
            <w:tcBorders>
              <w:top w:val="dotted"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rPr>
                <w:sz w:val="22"/>
                <w:szCs w:val="22"/>
              </w:rPr>
            </w:pPr>
            <w:r w:rsidRPr="004465FB">
              <w:rPr>
                <w:sz w:val="22"/>
                <w:szCs w:val="22"/>
              </w:rPr>
              <w:t>в том числе:</w:t>
            </w:r>
          </w:p>
        </w:tc>
        <w:tc>
          <w:tcPr>
            <w:tcW w:w="993" w:type="dxa"/>
            <w:gridSpan w:val="2"/>
            <w:tcBorders>
              <w:top w:val="dotted"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988" w:type="dxa"/>
            <w:gridSpan w:val="2"/>
            <w:tcBorders>
              <w:top w:val="dotted"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989" w:type="dxa"/>
            <w:gridSpan w:val="2"/>
            <w:tcBorders>
              <w:top w:val="dotted" w:sz="4" w:space="0" w:color="auto"/>
              <w:left w:val="double" w:sz="4" w:space="0" w:color="auto"/>
              <w:bottom w:val="sing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991" w:type="dxa"/>
            <w:gridSpan w:val="2"/>
            <w:tcBorders>
              <w:top w:val="dotted" w:sz="4" w:space="0" w:color="auto"/>
              <w:bottom w:val="sing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992" w:type="dxa"/>
            <w:gridSpan w:val="2"/>
            <w:tcBorders>
              <w:top w:val="dotted"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889" w:type="dxa"/>
            <w:gridSpan w:val="2"/>
            <w:tcBorders>
              <w:top w:val="dotted" w:sz="4" w:space="0" w:color="auto"/>
              <w:left w:val="double" w:sz="4" w:space="0" w:color="auto"/>
              <w:bottom w:val="sing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c>
          <w:tcPr>
            <w:tcW w:w="840" w:type="dxa"/>
            <w:gridSpan w:val="2"/>
            <w:tcBorders>
              <w:top w:val="dotted"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color w:val="FF0000"/>
                <w:sz w:val="22"/>
                <w:szCs w:val="22"/>
              </w:rPr>
            </w:pPr>
            <w:r w:rsidRPr="004465FB">
              <w:rPr>
                <w:color w:val="FF0000"/>
                <w:sz w:val="22"/>
                <w:szCs w:val="22"/>
              </w:rPr>
              <w:t> </w:t>
            </w:r>
          </w:p>
        </w:tc>
      </w:tr>
      <w:tr w:rsidR="00D0511D" w:rsidRPr="00E7654C" w:rsidTr="00BC6E75">
        <w:trPr>
          <w:trHeight w:val="20"/>
        </w:trPr>
        <w:tc>
          <w:tcPr>
            <w:tcW w:w="2949" w:type="dxa"/>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rPr>
                <w:b/>
                <w:bCs/>
                <w:sz w:val="22"/>
                <w:szCs w:val="22"/>
              </w:rPr>
            </w:pPr>
            <w:r w:rsidRPr="004465FB">
              <w:rPr>
                <w:b/>
                <w:bCs/>
                <w:sz w:val="22"/>
                <w:szCs w:val="22"/>
              </w:rPr>
              <w:t>Дотации:</w:t>
            </w:r>
          </w:p>
        </w:tc>
        <w:tc>
          <w:tcPr>
            <w:tcW w:w="993" w:type="dxa"/>
            <w:gridSpan w:val="2"/>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1 938,5</w:t>
            </w:r>
          </w:p>
        </w:tc>
        <w:tc>
          <w:tcPr>
            <w:tcW w:w="988" w:type="dxa"/>
            <w:gridSpan w:val="2"/>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2 052,2</w:t>
            </w:r>
          </w:p>
        </w:tc>
        <w:tc>
          <w:tcPr>
            <w:tcW w:w="989" w:type="dxa"/>
            <w:gridSpan w:val="2"/>
            <w:tcBorders>
              <w:top w:val="single" w:sz="4" w:space="0" w:color="auto"/>
              <w:lef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1 946,4</w:t>
            </w:r>
          </w:p>
        </w:tc>
        <w:tc>
          <w:tcPr>
            <w:tcW w:w="991" w:type="dxa"/>
            <w:gridSpan w:val="2"/>
            <w:tcBorders>
              <w:top w:val="sing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1 615,6</w:t>
            </w:r>
          </w:p>
        </w:tc>
        <w:tc>
          <w:tcPr>
            <w:tcW w:w="992" w:type="dxa"/>
            <w:gridSpan w:val="2"/>
            <w:tcBorders>
              <w:top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1 573,6</w:t>
            </w:r>
          </w:p>
        </w:tc>
        <w:tc>
          <w:tcPr>
            <w:tcW w:w="889" w:type="dxa"/>
            <w:gridSpan w:val="2"/>
            <w:tcBorders>
              <w:top w:val="single" w:sz="4" w:space="0" w:color="auto"/>
              <w:lef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-105,8</w:t>
            </w:r>
          </w:p>
        </w:tc>
        <w:tc>
          <w:tcPr>
            <w:tcW w:w="840" w:type="dxa"/>
            <w:gridSpan w:val="2"/>
            <w:tcBorders>
              <w:top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-5,2%</w:t>
            </w:r>
          </w:p>
        </w:tc>
      </w:tr>
      <w:tr w:rsidR="00D0511D" w:rsidRPr="00E7654C" w:rsidTr="00BC6E75">
        <w:trPr>
          <w:trHeight w:val="20"/>
        </w:trPr>
        <w:tc>
          <w:tcPr>
            <w:tcW w:w="2949" w:type="dxa"/>
            <w:tcBorders>
              <w:left w:val="double" w:sz="4" w:space="0" w:color="auto"/>
              <w:right w:val="double" w:sz="4" w:space="0" w:color="auto"/>
            </w:tcBorders>
            <w:shd w:val="clear" w:color="auto" w:fill="auto"/>
            <w:vAlign w:val="center"/>
            <w:hideMark/>
          </w:tcPr>
          <w:p w:rsidR="00D0511D" w:rsidRPr="004465FB" w:rsidRDefault="00D0511D" w:rsidP="00D0511D">
            <w:pPr>
              <w:rPr>
                <w:sz w:val="22"/>
                <w:szCs w:val="22"/>
              </w:rPr>
            </w:pPr>
            <w:r w:rsidRPr="004465FB">
              <w:rPr>
                <w:sz w:val="22"/>
                <w:szCs w:val="22"/>
              </w:rPr>
              <w:t>Дотации на выравнивание бюджетной обеспеченности</w:t>
            </w:r>
          </w:p>
        </w:tc>
        <w:tc>
          <w:tcPr>
            <w:tcW w:w="993"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1 128,4</w:t>
            </w:r>
          </w:p>
        </w:tc>
        <w:tc>
          <w:tcPr>
            <w:tcW w:w="988"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1 257,2</w:t>
            </w:r>
          </w:p>
        </w:tc>
        <w:tc>
          <w:tcPr>
            <w:tcW w:w="989" w:type="dxa"/>
            <w:gridSpan w:val="2"/>
            <w:tcBorders>
              <w:left w:val="double" w:sz="4" w:space="0" w:color="auto"/>
            </w:tcBorders>
            <w:shd w:val="clear" w:color="auto" w:fill="auto"/>
            <w:vAlign w:val="center"/>
            <w:hideMark/>
          </w:tcPr>
          <w:p w:rsidR="00D0511D" w:rsidRPr="004465FB" w:rsidRDefault="00D0511D" w:rsidP="00D0511D">
            <w:pPr>
              <w:jc w:val="right"/>
              <w:rPr>
                <w:sz w:val="22"/>
                <w:szCs w:val="22"/>
                <w:highlight w:val="yellow"/>
              </w:rPr>
            </w:pPr>
            <w:r w:rsidRPr="004465FB">
              <w:rPr>
                <w:sz w:val="22"/>
                <w:szCs w:val="22"/>
              </w:rPr>
              <w:t>1 258,4</w:t>
            </w:r>
          </w:p>
        </w:tc>
        <w:tc>
          <w:tcPr>
            <w:tcW w:w="991" w:type="dxa"/>
            <w:gridSpan w:val="2"/>
            <w:shd w:val="clear" w:color="auto" w:fill="auto"/>
            <w:vAlign w:val="center"/>
            <w:hideMark/>
          </w:tcPr>
          <w:p w:rsidR="00D0511D" w:rsidRPr="004465FB" w:rsidRDefault="00D0511D" w:rsidP="00D0511D">
            <w:pPr>
              <w:jc w:val="right"/>
              <w:rPr>
                <w:sz w:val="22"/>
                <w:szCs w:val="22"/>
                <w:highlight w:val="yellow"/>
              </w:rPr>
            </w:pPr>
            <w:r w:rsidRPr="004465FB">
              <w:rPr>
                <w:sz w:val="22"/>
                <w:szCs w:val="22"/>
              </w:rPr>
              <w:t>1 227,6</w:t>
            </w:r>
          </w:p>
        </w:tc>
        <w:tc>
          <w:tcPr>
            <w:tcW w:w="992" w:type="dxa"/>
            <w:gridSpan w:val="2"/>
            <w:tcBorders>
              <w:right w:val="double" w:sz="4" w:space="0" w:color="auto"/>
            </w:tcBorders>
            <w:shd w:val="clear" w:color="auto" w:fill="auto"/>
            <w:vAlign w:val="center"/>
            <w:hideMark/>
          </w:tcPr>
          <w:p w:rsidR="00D0511D" w:rsidRPr="004465FB" w:rsidRDefault="00D0511D" w:rsidP="00D0511D">
            <w:pPr>
              <w:jc w:val="right"/>
              <w:rPr>
                <w:sz w:val="22"/>
                <w:szCs w:val="22"/>
                <w:highlight w:val="yellow"/>
              </w:rPr>
            </w:pPr>
            <w:r w:rsidRPr="004465FB">
              <w:rPr>
                <w:sz w:val="22"/>
                <w:szCs w:val="22"/>
              </w:rPr>
              <w:t>1 185,6</w:t>
            </w:r>
          </w:p>
        </w:tc>
        <w:tc>
          <w:tcPr>
            <w:tcW w:w="889" w:type="dxa"/>
            <w:gridSpan w:val="2"/>
            <w:tcBorders>
              <w:lef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1,2</w:t>
            </w:r>
          </w:p>
        </w:tc>
        <w:tc>
          <w:tcPr>
            <w:tcW w:w="840" w:type="dxa"/>
            <w:gridSpan w:val="2"/>
            <w:tcBorders>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0,1%</w:t>
            </w:r>
          </w:p>
        </w:tc>
      </w:tr>
      <w:tr w:rsidR="00D0511D" w:rsidRPr="00E7654C" w:rsidTr="00BC6E75">
        <w:trPr>
          <w:trHeight w:val="20"/>
        </w:trPr>
        <w:tc>
          <w:tcPr>
            <w:tcW w:w="2949" w:type="dxa"/>
            <w:tcBorders>
              <w:left w:val="double" w:sz="4" w:space="0" w:color="auto"/>
              <w:right w:val="double" w:sz="4" w:space="0" w:color="auto"/>
            </w:tcBorders>
            <w:shd w:val="clear" w:color="auto" w:fill="auto"/>
            <w:vAlign w:val="center"/>
            <w:hideMark/>
          </w:tcPr>
          <w:p w:rsidR="00D0511D" w:rsidRPr="004465FB" w:rsidRDefault="00D0511D" w:rsidP="00D0511D">
            <w:pPr>
              <w:rPr>
                <w:i/>
                <w:iCs/>
                <w:sz w:val="22"/>
                <w:szCs w:val="22"/>
              </w:rPr>
            </w:pPr>
            <w:r w:rsidRPr="004465FB">
              <w:rPr>
                <w:i/>
                <w:iCs/>
                <w:sz w:val="22"/>
                <w:szCs w:val="22"/>
              </w:rPr>
              <w:t>ФФПП (в части гор. округов)</w:t>
            </w:r>
          </w:p>
        </w:tc>
        <w:tc>
          <w:tcPr>
            <w:tcW w:w="993"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988"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9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991" w:type="dxa"/>
            <w:gridSpan w:val="2"/>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992" w:type="dxa"/>
            <w:gridSpan w:val="2"/>
            <w:tcBorders>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8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840" w:type="dxa"/>
            <w:gridSpan w:val="2"/>
            <w:tcBorders>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w:t>
            </w:r>
          </w:p>
        </w:tc>
      </w:tr>
      <w:tr w:rsidR="00D0511D" w:rsidRPr="00E7654C" w:rsidTr="00BC6E75">
        <w:trPr>
          <w:trHeight w:val="20"/>
        </w:trPr>
        <w:tc>
          <w:tcPr>
            <w:tcW w:w="2949" w:type="dxa"/>
            <w:tcBorders>
              <w:left w:val="double" w:sz="4" w:space="0" w:color="auto"/>
              <w:right w:val="double" w:sz="4" w:space="0" w:color="auto"/>
            </w:tcBorders>
            <w:shd w:val="clear" w:color="auto" w:fill="auto"/>
            <w:vAlign w:val="center"/>
            <w:hideMark/>
          </w:tcPr>
          <w:p w:rsidR="00D0511D" w:rsidRPr="004465FB" w:rsidRDefault="00D0511D" w:rsidP="00D0511D">
            <w:pPr>
              <w:rPr>
                <w:i/>
                <w:iCs/>
                <w:sz w:val="22"/>
                <w:szCs w:val="22"/>
              </w:rPr>
            </w:pPr>
            <w:r w:rsidRPr="004465FB">
              <w:rPr>
                <w:i/>
                <w:iCs/>
                <w:sz w:val="22"/>
                <w:szCs w:val="22"/>
              </w:rPr>
              <w:t>ФФПП (в части поселений)</w:t>
            </w:r>
          </w:p>
        </w:tc>
        <w:tc>
          <w:tcPr>
            <w:tcW w:w="993"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991,1</w:t>
            </w:r>
          </w:p>
        </w:tc>
        <w:tc>
          <w:tcPr>
            <w:tcW w:w="988"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1 066,4</w:t>
            </w:r>
          </w:p>
        </w:tc>
        <w:tc>
          <w:tcPr>
            <w:tcW w:w="9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1 068,7</w:t>
            </w:r>
          </w:p>
        </w:tc>
        <w:tc>
          <w:tcPr>
            <w:tcW w:w="991" w:type="dxa"/>
            <w:gridSpan w:val="2"/>
            <w:shd w:val="clear" w:color="auto" w:fill="auto"/>
            <w:vAlign w:val="center"/>
            <w:hideMark/>
          </w:tcPr>
          <w:p w:rsidR="00D0511D" w:rsidRPr="004465FB" w:rsidRDefault="00D0511D" w:rsidP="00D0511D">
            <w:pPr>
              <w:jc w:val="right"/>
              <w:rPr>
                <w:i/>
                <w:iCs/>
                <w:sz w:val="22"/>
                <w:szCs w:val="22"/>
              </w:rPr>
            </w:pPr>
            <w:r w:rsidRPr="004465FB">
              <w:rPr>
                <w:i/>
                <w:iCs/>
                <w:sz w:val="22"/>
                <w:szCs w:val="22"/>
              </w:rPr>
              <w:t>1 067,4</w:t>
            </w:r>
          </w:p>
        </w:tc>
        <w:tc>
          <w:tcPr>
            <w:tcW w:w="992" w:type="dxa"/>
            <w:gridSpan w:val="2"/>
            <w:tcBorders>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1 055,3</w:t>
            </w:r>
          </w:p>
        </w:tc>
        <w:tc>
          <w:tcPr>
            <w:tcW w:w="8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2,3</w:t>
            </w:r>
          </w:p>
        </w:tc>
        <w:tc>
          <w:tcPr>
            <w:tcW w:w="840" w:type="dxa"/>
            <w:gridSpan w:val="2"/>
            <w:tcBorders>
              <w:righ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0,2%</w:t>
            </w:r>
          </w:p>
        </w:tc>
      </w:tr>
      <w:tr w:rsidR="00D0511D" w:rsidRPr="00F50C65" w:rsidTr="00BC6E75">
        <w:trPr>
          <w:trHeight w:val="20"/>
        </w:trPr>
        <w:tc>
          <w:tcPr>
            <w:tcW w:w="2949" w:type="dxa"/>
            <w:tcBorders>
              <w:left w:val="double" w:sz="4" w:space="0" w:color="auto"/>
              <w:right w:val="double" w:sz="4" w:space="0" w:color="auto"/>
            </w:tcBorders>
            <w:shd w:val="clear" w:color="auto" w:fill="auto"/>
            <w:vAlign w:val="center"/>
            <w:hideMark/>
          </w:tcPr>
          <w:p w:rsidR="00D0511D" w:rsidRPr="004465FB" w:rsidRDefault="00D0511D" w:rsidP="00D0511D">
            <w:pPr>
              <w:rPr>
                <w:i/>
                <w:iCs/>
                <w:sz w:val="22"/>
                <w:szCs w:val="22"/>
              </w:rPr>
            </w:pPr>
            <w:r w:rsidRPr="004465FB">
              <w:rPr>
                <w:i/>
                <w:iCs/>
                <w:sz w:val="22"/>
                <w:szCs w:val="22"/>
              </w:rPr>
              <w:t>ФФП МР (ГО)</w:t>
            </w:r>
          </w:p>
        </w:tc>
        <w:tc>
          <w:tcPr>
            <w:tcW w:w="993"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137,3</w:t>
            </w:r>
          </w:p>
        </w:tc>
        <w:tc>
          <w:tcPr>
            <w:tcW w:w="988" w:type="dxa"/>
            <w:gridSpan w:val="2"/>
            <w:tcBorders>
              <w:left w:val="doub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190,8</w:t>
            </w:r>
          </w:p>
        </w:tc>
        <w:tc>
          <w:tcPr>
            <w:tcW w:w="9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189,7</w:t>
            </w:r>
          </w:p>
        </w:tc>
        <w:tc>
          <w:tcPr>
            <w:tcW w:w="991" w:type="dxa"/>
            <w:gridSpan w:val="2"/>
            <w:shd w:val="clear" w:color="auto" w:fill="auto"/>
            <w:vAlign w:val="center"/>
            <w:hideMark/>
          </w:tcPr>
          <w:p w:rsidR="00D0511D" w:rsidRPr="004465FB" w:rsidRDefault="00D0511D" w:rsidP="00D0511D">
            <w:pPr>
              <w:jc w:val="right"/>
              <w:rPr>
                <w:i/>
                <w:iCs/>
                <w:sz w:val="22"/>
                <w:szCs w:val="22"/>
              </w:rPr>
            </w:pPr>
            <w:r w:rsidRPr="004465FB">
              <w:rPr>
                <w:i/>
                <w:iCs/>
                <w:sz w:val="22"/>
                <w:szCs w:val="22"/>
              </w:rPr>
              <w:t>160,2</w:t>
            </w:r>
          </w:p>
        </w:tc>
        <w:tc>
          <w:tcPr>
            <w:tcW w:w="992" w:type="dxa"/>
            <w:gridSpan w:val="2"/>
            <w:tcBorders>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130,3</w:t>
            </w:r>
          </w:p>
        </w:tc>
        <w:tc>
          <w:tcPr>
            <w:tcW w:w="889" w:type="dxa"/>
            <w:gridSpan w:val="2"/>
            <w:tcBorders>
              <w:lef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-1,1</w:t>
            </w:r>
          </w:p>
        </w:tc>
        <w:tc>
          <w:tcPr>
            <w:tcW w:w="840" w:type="dxa"/>
            <w:gridSpan w:val="2"/>
            <w:tcBorders>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-0,6%</w:t>
            </w:r>
          </w:p>
        </w:tc>
      </w:tr>
      <w:tr w:rsidR="00D0511D" w:rsidRPr="00E7654C" w:rsidTr="00BC6E75">
        <w:trPr>
          <w:trHeight w:val="20"/>
        </w:trPr>
        <w:tc>
          <w:tcPr>
            <w:tcW w:w="2949" w:type="dxa"/>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rPr>
                <w:sz w:val="22"/>
                <w:szCs w:val="22"/>
              </w:rPr>
            </w:pPr>
            <w:r w:rsidRPr="004465FB">
              <w:rPr>
                <w:sz w:val="22"/>
                <w:szCs w:val="22"/>
              </w:rPr>
              <w:t>Дотации на поддержку мер по обеспечению сбалансированности</w:t>
            </w:r>
          </w:p>
        </w:tc>
        <w:tc>
          <w:tcPr>
            <w:tcW w:w="993" w:type="dxa"/>
            <w:gridSpan w:val="2"/>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sz w:val="22"/>
                <w:szCs w:val="22"/>
                <w:highlight w:val="yellow"/>
              </w:rPr>
            </w:pPr>
            <w:r w:rsidRPr="004465FB">
              <w:rPr>
                <w:sz w:val="22"/>
                <w:szCs w:val="22"/>
              </w:rPr>
              <w:t>810,1</w:t>
            </w:r>
          </w:p>
        </w:tc>
        <w:tc>
          <w:tcPr>
            <w:tcW w:w="988" w:type="dxa"/>
            <w:gridSpan w:val="2"/>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sz w:val="22"/>
                <w:szCs w:val="22"/>
                <w:highlight w:val="yellow"/>
              </w:rPr>
            </w:pPr>
            <w:r w:rsidRPr="004465FB">
              <w:rPr>
                <w:sz w:val="22"/>
                <w:szCs w:val="22"/>
              </w:rPr>
              <w:t>795,0</w:t>
            </w:r>
          </w:p>
        </w:tc>
        <w:tc>
          <w:tcPr>
            <w:tcW w:w="989" w:type="dxa"/>
            <w:gridSpan w:val="2"/>
            <w:tcBorders>
              <w:left w:val="double" w:sz="4" w:space="0" w:color="auto"/>
              <w:bottom w:val="sing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688,0</w:t>
            </w:r>
          </w:p>
        </w:tc>
        <w:tc>
          <w:tcPr>
            <w:tcW w:w="991" w:type="dxa"/>
            <w:gridSpan w:val="2"/>
            <w:tcBorders>
              <w:bottom w:val="sing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388,0</w:t>
            </w:r>
          </w:p>
        </w:tc>
        <w:tc>
          <w:tcPr>
            <w:tcW w:w="992" w:type="dxa"/>
            <w:gridSpan w:val="2"/>
            <w:tcBorders>
              <w:bottom w:val="single" w:sz="4" w:space="0" w:color="auto"/>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388,0</w:t>
            </w:r>
          </w:p>
        </w:tc>
        <w:tc>
          <w:tcPr>
            <w:tcW w:w="889" w:type="dxa"/>
            <w:gridSpan w:val="2"/>
            <w:tcBorders>
              <w:left w:val="double" w:sz="4" w:space="0" w:color="auto"/>
              <w:bottom w:val="sing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-107,0</w:t>
            </w:r>
          </w:p>
        </w:tc>
        <w:tc>
          <w:tcPr>
            <w:tcW w:w="840" w:type="dxa"/>
            <w:gridSpan w:val="2"/>
            <w:tcBorders>
              <w:bottom w:val="single" w:sz="4" w:space="0" w:color="auto"/>
              <w:right w:val="double" w:sz="4" w:space="0" w:color="auto"/>
            </w:tcBorders>
            <w:shd w:val="clear" w:color="auto" w:fill="auto"/>
            <w:vAlign w:val="center"/>
            <w:hideMark/>
          </w:tcPr>
          <w:p w:rsidR="00D0511D" w:rsidRPr="004465FB" w:rsidRDefault="00D0511D" w:rsidP="00D0511D">
            <w:pPr>
              <w:jc w:val="right"/>
              <w:rPr>
                <w:sz w:val="22"/>
                <w:szCs w:val="22"/>
              </w:rPr>
            </w:pPr>
            <w:r w:rsidRPr="004465FB">
              <w:rPr>
                <w:sz w:val="22"/>
                <w:szCs w:val="22"/>
              </w:rPr>
              <w:t>-13,5%</w:t>
            </w:r>
          </w:p>
        </w:tc>
      </w:tr>
      <w:tr w:rsidR="00D0511D" w:rsidRPr="00E7654C" w:rsidTr="00BC6E75">
        <w:trPr>
          <w:trHeight w:val="20"/>
        </w:trPr>
        <w:tc>
          <w:tcPr>
            <w:tcW w:w="2949" w:type="dxa"/>
            <w:tcBorders>
              <w:top w:val="single"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rPr>
                <w:b/>
                <w:bCs/>
                <w:sz w:val="22"/>
                <w:szCs w:val="22"/>
              </w:rPr>
            </w:pPr>
            <w:r w:rsidRPr="004465FB">
              <w:rPr>
                <w:b/>
                <w:bCs/>
                <w:sz w:val="22"/>
                <w:szCs w:val="22"/>
              </w:rPr>
              <w:t>Субвенции</w:t>
            </w:r>
          </w:p>
        </w:tc>
        <w:tc>
          <w:tcPr>
            <w:tcW w:w="993" w:type="dxa"/>
            <w:gridSpan w:val="2"/>
            <w:tcBorders>
              <w:top w:val="single"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17 894,9</w:t>
            </w:r>
          </w:p>
        </w:tc>
        <w:tc>
          <w:tcPr>
            <w:tcW w:w="988" w:type="dxa"/>
            <w:gridSpan w:val="2"/>
            <w:tcBorders>
              <w:top w:val="single" w:sz="4" w:space="0" w:color="auto"/>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13 354,4</w:t>
            </w:r>
          </w:p>
        </w:tc>
        <w:tc>
          <w:tcPr>
            <w:tcW w:w="989" w:type="dxa"/>
            <w:gridSpan w:val="2"/>
            <w:tcBorders>
              <w:top w:val="single" w:sz="4" w:space="0" w:color="auto"/>
              <w:left w:val="double" w:sz="4" w:space="0" w:color="auto"/>
              <w:bottom w:val="sing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16 480,6</w:t>
            </w:r>
          </w:p>
        </w:tc>
        <w:tc>
          <w:tcPr>
            <w:tcW w:w="991" w:type="dxa"/>
            <w:gridSpan w:val="2"/>
            <w:tcBorders>
              <w:top w:val="single" w:sz="4" w:space="0" w:color="auto"/>
              <w:bottom w:val="sing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15 145,2</w:t>
            </w:r>
          </w:p>
        </w:tc>
        <w:tc>
          <w:tcPr>
            <w:tcW w:w="992" w:type="dxa"/>
            <w:gridSpan w:val="2"/>
            <w:tcBorders>
              <w:top w:val="sing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15 821,1</w:t>
            </w:r>
          </w:p>
        </w:tc>
        <w:tc>
          <w:tcPr>
            <w:tcW w:w="889" w:type="dxa"/>
            <w:gridSpan w:val="2"/>
            <w:tcBorders>
              <w:top w:val="single" w:sz="4" w:space="0" w:color="auto"/>
              <w:left w:val="double" w:sz="4" w:space="0" w:color="auto"/>
              <w:bottom w:val="sing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3 126,2</w:t>
            </w:r>
          </w:p>
        </w:tc>
        <w:tc>
          <w:tcPr>
            <w:tcW w:w="840" w:type="dxa"/>
            <w:gridSpan w:val="2"/>
            <w:tcBorders>
              <w:top w:val="sing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23,4%</w:t>
            </w:r>
          </w:p>
        </w:tc>
      </w:tr>
      <w:tr w:rsidR="00D0511D" w:rsidRPr="00E7654C" w:rsidTr="00BC6E75">
        <w:trPr>
          <w:trHeight w:val="20"/>
        </w:trPr>
        <w:tc>
          <w:tcPr>
            <w:tcW w:w="2949" w:type="dxa"/>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rPr>
                <w:b/>
                <w:bCs/>
                <w:sz w:val="22"/>
                <w:szCs w:val="22"/>
              </w:rPr>
            </w:pPr>
            <w:r w:rsidRPr="004465FB">
              <w:rPr>
                <w:b/>
                <w:bCs/>
                <w:sz w:val="22"/>
                <w:szCs w:val="22"/>
              </w:rPr>
              <w:t>Объем субсидий</w:t>
            </w:r>
          </w:p>
        </w:tc>
        <w:tc>
          <w:tcPr>
            <w:tcW w:w="993" w:type="dxa"/>
            <w:gridSpan w:val="2"/>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5 913,2</w:t>
            </w:r>
          </w:p>
        </w:tc>
        <w:tc>
          <w:tcPr>
            <w:tcW w:w="988" w:type="dxa"/>
            <w:gridSpan w:val="2"/>
            <w:tcBorders>
              <w:top w:val="single" w:sz="4" w:space="0" w:color="auto"/>
              <w:left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7 358,5</w:t>
            </w:r>
          </w:p>
        </w:tc>
        <w:tc>
          <w:tcPr>
            <w:tcW w:w="989" w:type="dxa"/>
            <w:gridSpan w:val="2"/>
            <w:tcBorders>
              <w:top w:val="single" w:sz="4" w:space="0" w:color="auto"/>
              <w:lef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6 886,9</w:t>
            </w:r>
          </w:p>
        </w:tc>
        <w:tc>
          <w:tcPr>
            <w:tcW w:w="991" w:type="dxa"/>
            <w:gridSpan w:val="2"/>
            <w:tcBorders>
              <w:top w:val="sing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2 979,5</w:t>
            </w:r>
          </w:p>
        </w:tc>
        <w:tc>
          <w:tcPr>
            <w:tcW w:w="992" w:type="dxa"/>
            <w:gridSpan w:val="2"/>
            <w:tcBorders>
              <w:top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2 480,3</w:t>
            </w:r>
          </w:p>
        </w:tc>
        <w:tc>
          <w:tcPr>
            <w:tcW w:w="889" w:type="dxa"/>
            <w:gridSpan w:val="2"/>
            <w:tcBorders>
              <w:top w:val="single" w:sz="4" w:space="0" w:color="auto"/>
              <w:lef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-471,6</w:t>
            </w:r>
          </w:p>
        </w:tc>
        <w:tc>
          <w:tcPr>
            <w:tcW w:w="840" w:type="dxa"/>
            <w:gridSpan w:val="2"/>
            <w:tcBorders>
              <w:top w:val="sing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-6,4%</w:t>
            </w:r>
          </w:p>
        </w:tc>
      </w:tr>
      <w:tr w:rsidR="00D0511D" w:rsidRPr="00E7654C" w:rsidTr="00BC6E75">
        <w:trPr>
          <w:trHeight w:val="20"/>
        </w:trPr>
        <w:tc>
          <w:tcPr>
            <w:tcW w:w="2949" w:type="dxa"/>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rPr>
                <w:sz w:val="22"/>
                <w:szCs w:val="22"/>
              </w:rPr>
            </w:pPr>
            <w:r w:rsidRPr="004465FB">
              <w:rPr>
                <w:sz w:val="22"/>
                <w:szCs w:val="22"/>
              </w:rPr>
              <w:t>в т.ч. субсидии на обеспечение сбалансированности</w:t>
            </w:r>
          </w:p>
        </w:tc>
        <w:tc>
          <w:tcPr>
            <w:tcW w:w="993" w:type="dxa"/>
            <w:gridSpan w:val="2"/>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1 261,6</w:t>
            </w:r>
          </w:p>
        </w:tc>
        <w:tc>
          <w:tcPr>
            <w:tcW w:w="988" w:type="dxa"/>
            <w:gridSpan w:val="2"/>
            <w:tcBorders>
              <w:left w:val="double" w:sz="4" w:space="0" w:color="auto"/>
              <w:bottom w:val="sing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highlight w:val="yellow"/>
              </w:rPr>
            </w:pPr>
            <w:r w:rsidRPr="004465FB">
              <w:rPr>
                <w:i/>
                <w:iCs/>
                <w:sz w:val="22"/>
                <w:szCs w:val="22"/>
              </w:rPr>
              <w:t>712,5</w:t>
            </w:r>
          </w:p>
        </w:tc>
        <w:tc>
          <w:tcPr>
            <w:tcW w:w="989" w:type="dxa"/>
            <w:gridSpan w:val="2"/>
            <w:tcBorders>
              <w:left w:val="double" w:sz="4" w:space="0" w:color="auto"/>
              <w:bottom w:val="sing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712,5</w:t>
            </w:r>
          </w:p>
        </w:tc>
        <w:tc>
          <w:tcPr>
            <w:tcW w:w="991" w:type="dxa"/>
            <w:gridSpan w:val="2"/>
            <w:tcBorders>
              <w:bottom w:val="sing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712,5</w:t>
            </w:r>
          </w:p>
        </w:tc>
        <w:tc>
          <w:tcPr>
            <w:tcW w:w="992" w:type="dxa"/>
            <w:gridSpan w:val="2"/>
            <w:tcBorders>
              <w:bottom w:val="sing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712,5</w:t>
            </w:r>
          </w:p>
        </w:tc>
        <w:tc>
          <w:tcPr>
            <w:tcW w:w="889" w:type="dxa"/>
            <w:gridSpan w:val="2"/>
            <w:tcBorders>
              <w:left w:val="double" w:sz="4" w:space="0" w:color="auto"/>
              <w:bottom w:val="sing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c>
          <w:tcPr>
            <w:tcW w:w="840" w:type="dxa"/>
            <w:gridSpan w:val="2"/>
            <w:tcBorders>
              <w:bottom w:val="single" w:sz="4" w:space="0" w:color="auto"/>
              <w:right w:val="double" w:sz="4" w:space="0" w:color="auto"/>
            </w:tcBorders>
            <w:shd w:val="clear" w:color="auto" w:fill="auto"/>
            <w:vAlign w:val="center"/>
            <w:hideMark/>
          </w:tcPr>
          <w:p w:rsidR="00D0511D" w:rsidRPr="004465FB" w:rsidRDefault="00D0511D" w:rsidP="00D0511D">
            <w:pPr>
              <w:jc w:val="right"/>
              <w:rPr>
                <w:i/>
                <w:iCs/>
                <w:sz w:val="22"/>
                <w:szCs w:val="22"/>
              </w:rPr>
            </w:pPr>
            <w:r w:rsidRPr="004465FB">
              <w:rPr>
                <w:i/>
                <w:iCs/>
                <w:sz w:val="22"/>
                <w:szCs w:val="22"/>
              </w:rPr>
              <w:t>0,0%</w:t>
            </w:r>
          </w:p>
        </w:tc>
      </w:tr>
      <w:tr w:rsidR="00D0511D" w:rsidRPr="00E7654C" w:rsidTr="00BC6E75">
        <w:trPr>
          <w:trHeight w:val="20"/>
        </w:trPr>
        <w:tc>
          <w:tcPr>
            <w:tcW w:w="2949" w:type="dxa"/>
            <w:tcBorders>
              <w:top w:val="single" w:sz="4" w:space="0" w:color="auto"/>
              <w:left w:val="double" w:sz="4" w:space="0" w:color="auto"/>
              <w:bottom w:val="double" w:sz="4" w:space="0" w:color="auto"/>
              <w:right w:val="double" w:sz="4" w:space="0" w:color="auto"/>
            </w:tcBorders>
            <w:shd w:val="clear" w:color="auto" w:fill="auto"/>
            <w:vAlign w:val="center"/>
            <w:hideMark/>
          </w:tcPr>
          <w:p w:rsidR="00D0511D" w:rsidRPr="004465FB" w:rsidRDefault="00D0511D" w:rsidP="00D0511D">
            <w:pPr>
              <w:rPr>
                <w:b/>
                <w:bCs/>
                <w:sz w:val="22"/>
                <w:szCs w:val="22"/>
              </w:rPr>
            </w:pPr>
            <w:r w:rsidRPr="004465FB">
              <w:rPr>
                <w:b/>
                <w:bCs/>
                <w:sz w:val="22"/>
                <w:szCs w:val="22"/>
              </w:rPr>
              <w:t>Иные межбюджетные трансферты</w:t>
            </w:r>
          </w:p>
        </w:tc>
        <w:tc>
          <w:tcPr>
            <w:tcW w:w="993" w:type="dxa"/>
            <w:gridSpan w:val="2"/>
            <w:tcBorders>
              <w:top w:val="single" w:sz="4" w:space="0" w:color="auto"/>
              <w:left w:val="double" w:sz="4" w:space="0" w:color="auto"/>
              <w:bottom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487,2</w:t>
            </w:r>
          </w:p>
        </w:tc>
        <w:tc>
          <w:tcPr>
            <w:tcW w:w="988" w:type="dxa"/>
            <w:gridSpan w:val="2"/>
            <w:tcBorders>
              <w:top w:val="single" w:sz="4" w:space="0" w:color="auto"/>
              <w:left w:val="double" w:sz="4" w:space="0" w:color="auto"/>
              <w:bottom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highlight w:val="yellow"/>
              </w:rPr>
            </w:pPr>
            <w:r w:rsidRPr="004465FB">
              <w:rPr>
                <w:b/>
                <w:bCs/>
                <w:sz w:val="22"/>
                <w:szCs w:val="22"/>
              </w:rPr>
              <w:t>1 189,4</w:t>
            </w:r>
          </w:p>
        </w:tc>
        <w:tc>
          <w:tcPr>
            <w:tcW w:w="989" w:type="dxa"/>
            <w:gridSpan w:val="2"/>
            <w:tcBorders>
              <w:top w:val="single" w:sz="4" w:space="0" w:color="auto"/>
              <w:left w:val="double" w:sz="4" w:space="0" w:color="auto"/>
              <w:bottom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652,2</w:t>
            </w:r>
          </w:p>
        </w:tc>
        <w:tc>
          <w:tcPr>
            <w:tcW w:w="991" w:type="dxa"/>
            <w:gridSpan w:val="2"/>
            <w:tcBorders>
              <w:top w:val="single" w:sz="4" w:space="0" w:color="auto"/>
              <w:bottom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2,2</w:t>
            </w:r>
          </w:p>
        </w:tc>
        <w:tc>
          <w:tcPr>
            <w:tcW w:w="992" w:type="dxa"/>
            <w:gridSpan w:val="2"/>
            <w:tcBorders>
              <w:top w:val="single" w:sz="4" w:space="0" w:color="auto"/>
              <w:bottom w:val="double" w:sz="4" w:space="0" w:color="auto"/>
              <w:right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2,2</w:t>
            </w:r>
          </w:p>
        </w:tc>
        <w:tc>
          <w:tcPr>
            <w:tcW w:w="889" w:type="dxa"/>
            <w:gridSpan w:val="2"/>
            <w:tcBorders>
              <w:top w:val="single" w:sz="4" w:space="0" w:color="auto"/>
              <w:left w:val="double" w:sz="4" w:space="0" w:color="auto"/>
              <w:bottom w:val="double" w:sz="4" w:space="0" w:color="auto"/>
            </w:tcBorders>
            <w:shd w:val="clear" w:color="auto" w:fill="auto"/>
            <w:vAlign w:val="center"/>
            <w:hideMark/>
          </w:tcPr>
          <w:p w:rsidR="00D0511D" w:rsidRPr="004465FB" w:rsidRDefault="00D0511D" w:rsidP="00D0511D">
            <w:pPr>
              <w:jc w:val="right"/>
              <w:rPr>
                <w:b/>
                <w:bCs/>
                <w:sz w:val="22"/>
                <w:szCs w:val="22"/>
              </w:rPr>
            </w:pPr>
            <w:r w:rsidRPr="004465FB">
              <w:rPr>
                <w:b/>
                <w:bCs/>
                <w:sz w:val="22"/>
                <w:szCs w:val="22"/>
              </w:rPr>
              <w:t>-537,2</w:t>
            </w:r>
          </w:p>
        </w:tc>
        <w:tc>
          <w:tcPr>
            <w:tcW w:w="840" w:type="dxa"/>
            <w:gridSpan w:val="2"/>
            <w:tcBorders>
              <w:top w:val="single" w:sz="4" w:space="0" w:color="auto"/>
              <w:bottom w:val="double" w:sz="4" w:space="0" w:color="auto"/>
              <w:right w:val="double" w:sz="4" w:space="0" w:color="auto"/>
            </w:tcBorders>
            <w:shd w:val="clear" w:color="auto" w:fill="auto"/>
            <w:vAlign w:val="center"/>
            <w:hideMark/>
          </w:tcPr>
          <w:p w:rsidR="00D0511D" w:rsidRPr="004465FB" w:rsidRDefault="00D0511D" w:rsidP="00D0511D">
            <w:pPr>
              <w:jc w:val="right"/>
              <w:rPr>
                <w:b/>
                <w:bCs/>
                <w:color w:val="FF0000"/>
                <w:sz w:val="22"/>
                <w:szCs w:val="22"/>
              </w:rPr>
            </w:pPr>
            <w:r w:rsidRPr="004465FB">
              <w:rPr>
                <w:b/>
                <w:bCs/>
                <w:color w:val="FF0000"/>
                <w:sz w:val="22"/>
                <w:szCs w:val="22"/>
              </w:rPr>
              <w:t>-</w:t>
            </w:r>
            <w:r w:rsidRPr="004465FB">
              <w:rPr>
                <w:b/>
                <w:bCs/>
                <w:sz w:val="22"/>
                <w:szCs w:val="22"/>
              </w:rPr>
              <w:t>45,2%</w:t>
            </w:r>
          </w:p>
        </w:tc>
      </w:tr>
    </w:tbl>
    <w:p w:rsidR="00D0511D" w:rsidRDefault="00D0511D" w:rsidP="00D0511D">
      <w:pPr>
        <w:ind w:firstLine="720"/>
        <w:jc w:val="both"/>
        <w:rPr>
          <w:rFonts w:eastAsia="TimesNewRomanPSMT"/>
          <w:color w:val="FF0000"/>
        </w:rPr>
      </w:pPr>
    </w:p>
    <w:p w:rsidR="00D0511D" w:rsidRDefault="00D0511D" w:rsidP="00D0511D">
      <w:pPr>
        <w:ind w:firstLine="851"/>
        <w:jc w:val="both"/>
      </w:pPr>
      <w:r w:rsidRPr="00825F8C">
        <w:t xml:space="preserve">Увеличение общего объема межбюджетных трансфертов местным бюджетам </w:t>
      </w:r>
      <w:r>
        <w:t xml:space="preserve">(на 2011,6 млн. руб.) </w:t>
      </w:r>
      <w:r w:rsidRPr="00825F8C">
        <w:t>сложил</w:t>
      </w:r>
      <w:r>
        <w:t>ось</w:t>
      </w:r>
      <w:r w:rsidRPr="00825F8C">
        <w:t xml:space="preserve"> в основном за счет увеличения объема субвенции с 13354,4  млн. руб. до 16480,6 млн. руб., или на 3126,2 млн. руб. (на 23,4%).</w:t>
      </w:r>
    </w:p>
    <w:p w:rsidR="00D0511D" w:rsidRPr="0090798C" w:rsidRDefault="00D0511D" w:rsidP="00D0511D">
      <w:pPr>
        <w:pStyle w:val="ConsPlusNormal"/>
        <w:ind w:firstLine="851"/>
        <w:jc w:val="both"/>
        <w:rPr>
          <w:rFonts w:ascii="Times New Roman" w:hAnsi="Times New Roman" w:cs="Times New Roman"/>
          <w:sz w:val="24"/>
          <w:szCs w:val="24"/>
        </w:rPr>
      </w:pPr>
      <w:r w:rsidRPr="00597836">
        <w:rPr>
          <w:rFonts w:ascii="Times New Roman" w:hAnsi="Times New Roman"/>
          <w:sz w:val="24"/>
          <w:szCs w:val="24"/>
        </w:rPr>
        <w:t xml:space="preserve">Сокращение объема иных межбюджетных трансфертов </w:t>
      </w:r>
      <w:r>
        <w:rPr>
          <w:rFonts w:ascii="Times New Roman" w:hAnsi="Times New Roman"/>
          <w:sz w:val="24"/>
          <w:szCs w:val="24"/>
        </w:rPr>
        <w:t>в 2018</w:t>
      </w:r>
      <w:r w:rsidRPr="00597836">
        <w:rPr>
          <w:rFonts w:ascii="Times New Roman" w:hAnsi="Times New Roman"/>
          <w:sz w:val="24"/>
          <w:szCs w:val="24"/>
        </w:rPr>
        <w:t xml:space="preserve"> году </w:t>
      </w:r>
      <w:r>
        <w:rPr>
          <w:rFonts w:ascii="Times New Roman" w:hAnsi="Times New Roman"/>
          <w:sz w:val="24"/>
          <w:szCs w:val="24"/>
        </w:rPr>
        <w:t>к объему 2017 года на 537,2 млн. руб., или на 45,2% в основно</w:t>
      </w:r>
      <w:r w:rsidRPr="005D77C3">
        <w:rPr>
          <w:rFonts w:ascii="Times New Roman" w:hAnsi="Times New Roman"/>
          <w:sz w:val="24"/>
          <w:szCs w:val="24"/>
        </w:rPr>
        <w:t xml:space="preserve">м обусловлено сокращением предоставления </w:t>
      </w:r>
      <w:r w:rsidRPr="005D77C3">
        <w:rPr>
          <w:rFonts w:ascii="Times New Roman" w:hAnsi="Times New Roman"/>
          <w:sz w:val="24"/>
          <w:szCs w:val="24"/>
        </w:rPr>
        <w:lastRenderedPageBreak/>
        <w:t>в 2018 году бюджету Волгограда</w:t>
      </w:r>
      <w:r w:rsidRPr="005D77C3">
        <w:rPr>
          <w:rFonts w:ascii="Times New Roman" w:eastAsia="Calibri" w:hAnsi="Times New Roman" w:cs="Times New Roman"/>
          <w:sz w:val="24"/>
          <w:szCs w:val="24"/>
        </w:rPr>
        <w:t xml:space="preserve"> </w:t>
      </w:r>
      <w:r w:rsidRPr="005D77C3">
        <w:rPr>
          <w:rFonts w:ascii="Times New Roman" w:hAnsi="Times New Roman"/>
          <w:sz w:val="24"/>
          <w:szCs w:val="24"/>
        </w:rPr>
        <w:t>и</w:t>
      </w:r>
      <w:r w:rsidRPr="005D77C3">
        <w:rPr>
          <w:rFonts w:ascii="Times New Roman" w:eastAsia="Calibri" w:hAnsi="Times New Roman"/>
          <w:sz w:val="24"/>
          <w:szCs w:val="24"/>
        </w:rPr>
        <w:t xml:space="preserve">ного межбюджетного трансферта за счет </w:t>
      </w:r>
      <w:r w:rsidR="00C611CE">
        <w:rPr>
          <w:rFonts w:ascii="Times New Roman" w:eastAsia="Calibri" w:hAnsi="Times New Roman"/>
          <w:sz w:val="24"/>
          <w:szCs w:val="24"/>
        </w:rPr>
        <w:t xml:space="preserve">средств </w:t>
      </w:r>
      <w:r w:rsidRPr="005D77C3">
        <w:rPr>
          <w:rFonts w:ascii="Times New Roman" w:eastAsia="Calibri" w:hAnsi="Times New Roman"/>
          <w:sz w:val="24"/>
          <w:szCs w:val="24"/>
        </w:rPr>
        <w:t xml:space="preserve">федерального бюджета на реализацию </w:t>
      </w:r>
      <w:r w:rsidRPr="005D77C3">
        <w:rPr>
          <w:rFonts w:ascii="Times New Roman" w:hAnsi="Times New Roman" w:cs="Times New Roman"/>
          <w:sz w:val="24"/>
          <w:szCs w:val="24"/>
        </w:rPr>
        <w:t>мероприятий программы комплексного развития транспортной инфраструктуры Волгоградской городской агломерации в рамках приоритетного проекта «Безопасные и качественные дороги»</w:t>
      </w:r>
      <w:r w:rsidRPr="005D77C3">
        <w:rPr>
          <w:rFonts w:ascii="Times New Roman" w:eastAsia="Calibri" w:hAnsi="Times New Roman" w:cs="Times New Roman"/>
          <w:sz w:val="24"/>
          <w:szCs w:val="24"/>
        </w:rPr>
        <w:t xml:space="preserve">  на 525 млн. руб. (с 1125 до 600 млн., или 1,9 раза).</w:t>
      </w:r>
      <w:r>
        <w:rPr>
          <w:rFonts w:ascii="Times New Roman" w:eastAsia="Calibri" w:hAnsi="Times New Roman" w:cs="Times New Roman"/>
          <w:sz w:val="24"/>
          <w:szCs w:val="24"/>
        </w:rPr>
        <w:t xml:space="preserve"> </w:t>
      </w:r>
    </w:p>
    <w:p w:rsidR="00D0511D" w:rsidRPr="00486CAC" w:rsidRDefault="00D0511D" w:rsidP="00D0511D">
      <w:pPr>
        <w:ind w:firstLine="851"/>
        <w:jc w:val="both"/>
      </w:pPr>
      <w:r w:rsidRPr="00CB7EB7">
        <w:t>Объемы и структура распределения межбюджетных трансфертов по формам их представления местным бюджетам в 2016-2018 годах наглядно представлена диаграммой.</w:t>
      </w:r>
    </w:p>
    <w:p w:rsidR="00D0511D" w:rsidRPr="00D0511D" w:rsidRDefault="00D0511D" w:rsidP="00D0511D">
      <w:pPr>
        <w:ind w:firstLine="720"/>
        <w:jc w:val="right"/>
        <w:rPr>
          <w:rFonts w:eastAsia="Calibri"/>
          <w:sz w:val="20"/>
          <w:szCs w:val="20"/>
        </w:rPr>
      </w:pPr>
      <w:r w:rsidRPr="00D0511D">
        <w:rPr>
          <w:rFonts w:eastAsia="Calibri"/>
          <w:sz w:val="20"/>
          <w:szCs w:val="20"/>
        </w:rPr>
        <w:t>млн. руб.</w:t>
      </w:r>
    </w:p>
    <w:p w:rsidR="00D0511D" w:rsidRPr="003A2CF1" w:rsidRDefault="00D0511D" w:rsidP="00D0511D">
      <w:pPr>
        <w:jc w:val="both"/>
      </w:pPr>
      <w:r w:rsidRPr="00FC46EA">
        <w:rPr>
          <w:rFonts w:eastAsia="Calibri"/>
          <w:noProof/>
        </w:rPr>
        <w:drawing>
          <wp:inline distT="0" distB="0" distL="0" distR="0">
            <wp:extent cx="6186055" cy="2694709"/>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75B09" w:rsidRDefault="00075B09" w:rsidP="00D0511D">
      <w:pPr>
        <w:autoSpaceDE w:val="0"/>
        <w:autoSpaceDN w:val="0"/>
        <w:adjustRightInd w:val="0"/>
        <w:jc w:val="center"/>
        <w:outlineLvl w:val="1"/>
        <w:rPr>
          <w:b/>
          <w:i/>
        </w:rPr>
      </w:pPr>
    </w:p>
    <w:p w:rsidR="00D0511D" w:rsidRPr="007751BE" w:rsidRDefault="00D0511D" w:rsidP="00D0511D">
      <w:pPr>
        <w:autoSpaceDE w:val="0"/>
        <w:autoSpaceDN w:val="0"/>
        <w:adjustRightInd w:val="0"/>
        <w:jc w:val="center"/>
        <w:outlineLvl w:val="1"/>
        <w:rPr>
          <w:b/>
          <w:i/>
        </w:rPr>
      </w:pPr>
      <w:r w:rsidRPr="007751BE">
        <w:rPr>
          <w:b/>
          <w:i/>
        </w:rPr>
        <w:t>Критерии выравнивания</w:t>
      </w:r>
      <w:r>
        <w:rPr>
          <w:b/>
          <w:i/>
        </w:rPr>
        <w:t xml:space="preserve"> </w:t>
      </w:r>
      <w:r w:rsidRPr="007751BE">
        <w:rPr>
          <w:b/>
          <w:i/>
        </w:rPr>
        <w:t xml:space="preserve">расчетной бюджетной обеспеченности МР (ГО) </w:t>
      </w:r>
    </w:p>
    <w:p w:rsidR="00D0511D" w:rsidRDefault="00D0511D" w:rsidP="00D0511D">
      <w:pPr>
        <w:autoSpaceDE w:val="0"/>
        <w:autoSpaceDN w:val="0"/>
        <w:adjustRightInd w:val="0"/>
        <w:jc w:val="center"/>
        <w:outlineLvl w:val="1"/>
        <w:rPr>
          <w:b/>
          <w:i/>
        </w:rPr>
      </w:pPr>
      <w:r w:rsidRPr="007751BE">
        <w:rPr>
          <w:b/>
          <w:i/>
        </w:rPr>
        <w:t>и финансовых возможностей поселений</w:t>
      </w:r>
    </w:p>
    <w:p w:rsidR="00D8789B" w:rsidRDefault="00D8789B" w:rsidP="00D0511D">
      <w:pPr>
        <w:autoSpaceDE w:val="0"/>
        <w:autoSpaceDN w:val="0"/>
        <w:adjustRightInd w:val="0"/>
        <w:jc w:val="center"/>
        <w:outlineLvl w:val="1"/>
        <w:rPr>
          <w:b/>
          <w:i/>
        </w:rPr>
      </w:pPr>
    </w:p>
    <w:p w:rsidR="00D0511D" w:rsidRPr="00E87870" w:rsidRDefault="00D0511D" w:rsidP="00D0511D">
      <w:pPr>
        <w:autoSpaceDE w:val="0"/>
        <w:autoSpaceDN w:val="0"/>
        <w:adjustRightInd w:val="0"/>
        <w:ind w:firstLine="851"/>
        <w:jc w:val="both"/>
        <w:outlineLvl w:val="1"/>
      </w:pPr>
      <w:r w:rsidRPr="00E87870">
        <w:t xml:space="preserve">Расчет объемов дотаций из областных </w:t>
      </w:r>
      <w:r w:rsidRPr="00E87870">
        <w:rPr>
          <w:b/>
          <w:i/>
        </w:rPr>
        <w:t xml:space="preserve">фондов финансовой поддержки </w:t>
      </w:r>
      <w:r w:rsidRPr="00E87870">
        <w:t>(</w:t>
      </w:r>
      <w:r w:rsidRPr="00E87870">
        <w:rPr>
          <w:i/>
        </w:rPr>
        <w:t>ФФПП (в части городских округов), ФФПП (в части городских и сельских поселений) и ФФП МР (ГО))</w:t>
      </w:r>
      <w:r w:rsidRPr="00E87870">
        <w:t xml:space="preserve"> осуществлялся по методике, утвержд</w:t>
      </w:r>
      <w:r w:rsidR="002B2EC9">
        <w:t>е</w:t>
      </w:r>
      <w:r w:rsidRPr="00E87870">
        <w:t xml:space="preserve">нной  Законом Волгоградской области </w:t>
      </w:r>
      <w:r w:rsidRPr="00E87870">
        <w:rPr>
          <w:bCs/>
        </w:rPr>
        <w:t xml:space="preserve">от 26.07.2005 №1093-ОД «О межбюджетных отношениях </w:t>
      </w:r>
      <w:r w:rsidRPr="00E87870">
        <w:t>в Волгоградской области»</w:t>
      </w:r>
      <w:r>
        <w:t xml:space="preserve"> (далее Закон о межбюджетных отношениях №1093-ОД)</w:t>
      </w:r>
      <w:r w:rsidRPr="00E87870">
        <w:t>.</w:t>
      </w:r>
    </w:p>
    <w:p w:rsidR="00D0511D" w:rsidRDefault="00D0511D" w:rsidP="00D0511D">
      <w:pPr>
        <w:autoSpaceDE w:val="0"/>
        <w:autoSpaceDN w:val="0"/>
        <w:adjustRightInd w:val="0"/>
        <w:ind w:firstLine="851"/>
        <w:jc w:val="both"/>
        <w:outlineLvl w:val="1"/>
        <w:rPr>
          <w:lang w:eastAsia="en-US"/>
        </w:rPr>
      </w:pPr>
      <w:r w:rsidRPr="00E87870">
        <w:rPr>
          <w:lang w:eastAsia="en-US"/>
        </w:rPr>
        <w:t xml:space="preserve">Значения критериев выравнивания установлены </w:t>
      </w:r>
      <w:r w:rsidRPr="005D3E26">
        <w:rPr>
          <w:lang w:eastAsia="en-US"/>
        </w:rPr>
        <w:t>статьей 36</w:t>
      </w:r>
      <w:r w:rsidRPr="00E87870">
        <w:rPr>
          <w:lang w:eastAsia="en-US"/>
        </w:rPr>
        <w:t xml:space="preserve"> законопроекта и </w:t>
      </w:r>
      <w:r w:rsidRPr="008958A5">
        <w:rPr>
          <w:lang w:eastAsia="en-US"/>
        </w:rPr>
        <w:t>представлены в таблице:</w:t>
      </w:r>
    </w:p>
    <w:p w:rsidR="00D0511D" w:rsidRPr="008958A5" w:rsidRDefault="00D0511D" w:rsidP="00D0511D">
      <w:pPr>
        <w:autoSpaceDE w:val="0"/>
        <w:autoSpaceDN w:val="0"/>
        <w:adjustRightInd w:val="0"/>
        <w:ind w:firstLine="720"/>
        <w:jc w:val="both"/>
        <w:outlineLvl w:val="1"/>
        <w:rPr>
          <w:lang w:eastAsia="en-US"/>
        </w:rPr>
      </w:pPr>
    </w:p>
    <w:tbl>
      <w:tblPr>
        <w:tblW w:w="9672"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3544"/>
        <w:gridCol w:w="1104"/>
        <w:gridCol w:w="1197"/>
        <w:gridCol w:w="1276"/>
        <w:gridCol w:w="1276"/>
        <w:gridCol w:w="1275"/>
      </w:tblGrid>
      <w:tr w:rsidR="00D0511D" w:rsidRPr="004465FB" w:rsidTr="004465FB">
        <w:trPr>
          <w:trHeight w:val="227"/>
        </w:trPr>
        <w:tc>
          <w:tcPr>
            <w:tcW w:w="3544" w:type="dxa"/>
            <w:vMerge w:val="restart"/>
            <w:tcBorders>
              <w:top w:val="double" w:sz="6" w:space="0" w:color="auto"/>
              <w:right w:val="dotted" w:sz="4" w:space="0" w:color="auto"/>
            </w:tcBorders>
            <w:shd w:val="clear" w:color="auto" w:fill="FDFAB5"/>
            <w:vAlign w:val="center"/>
          </w:tcPr>
          <w:p w:rsidR="00D0511D" w:rsidRPr="004465FB" w:rsidRDefault="00D0511D" w:rsidP="00D0511D">
            <w:pPr>
              <w:jc w:val="center"/>
              <w:rPr>
                <w:b/>
                <w:sz w:val="22"/>
                <w:szCs w:val="22"/>
              </w:rPr>
            </w:pPr>
            <w:r w:rsidRPr="004465FB">
              <w:rPr>
                <w:b/>
                <w:sz w:val="22"/>
                <w:szCs w:val="22"/>
              </w:rPr>
              <w:t>Фонды финансовой поддержки</w:t>
            </w:r>
          </w:p>
        </w:tc>
        <w:tc>
          <w:tcPr>
            <w:tcW w:w="1104" w:type="dxa"/>
            <w:vMerge w:val="restart"/>
            <w:tcBorders>
              <w:top w:val="double" w:sz="6" w:space="0" w:color="auto"/>
              <w:left w:val="dotted" w:sz="4" w:space="0" w:color="auto"/>
              <w:right w:val="dotted" w:sz="4" w:space="0" w:color="auto"/>
            </w:tcBorders>
            <w:shd w:val="clear" w:color="auto" w:fill="FDFAB5"/>
            <w:vAlign w:val="center"/>
          </w:tcPr>
          <w:p w:rsidR="00D0511D" w:rsidRPr="004465FB" w:rsidRDefault="00D0511D" w:rsidP="00D0511D">
            <w:pPr>
              <w:jc w:val="center"/>
              <w:rPr>
                <w:b/>
                <w:sz w:val="22"/>
                <w:szCs w:val="22"/>
              </w:rPr>
            </w:pPr>
            <w:r w:rsidRPr="004465FB">
              <w:rPr>
                <w:b/>
                <w:sz w:val="22"/>
                <w:szCs w:val="22"/>
              </w:rPr>
              <w:t>Ед. изм.</w:t>
            </w:r>
          </w:p>
        </w:tc>
        <w:tc>
          <w:tcPr>
            <w:tcW w:w="5024" w:type="dxa"/>
            <w:gridSpan w:val="4"/>
            <w:tcBorders>
              <w:top w:val="double" w:sz="6" w:space="0" w:color="auto"/>
              <w:left w:val="dotted" w:sz="4" w:space="0" w:color="auto"/>
              <w:bottom w:val="dotted" w:sz="4" w:space="0" w:color="auto"/>
            </w:tcBorders>
            <w:shd w:val="clear" w:color="auto" w:fill="FDFAB5"/>
            <w:vAlign w:val="center"/>
          </w:tcPr>
          <w:p w:rsidR="00D0511D" w:rsidRPr="004465FB" w:rsidRDefault="00D0511D" w:rsidP="00D0511D">
            <w:pPr>
              <w:jc w:val="center"/>
              <w:rPr>
                <w:b/>
                <w:sz w:val="22"/>
                <w:szCs w:val="22"/>
              </w:rPr>
            </w:pPr>
            <w:r w:rsidRPr="004465FB">
              <w:rPr>
                <w:b/>
                <w:sz w:val="22"/>
                <w:szCs w:val="22"/>
              </w:rPr>
              <w:t>критерий выравнивания на одного жителя</w:t>
            </w:r>
          </w:p>
        </w:tc>
      </w:tr>
      <w:tr w:rsidR="00D0511D" w:rsidRPr="004465FB" w:rsidTr="004465FB">
        <w:trPr>
          <w:trHeight w:val="227"/>
        </w:trPr>
        <w:tc>
          <w:tcPr>
            <w:tcW w:w="3544" w:type="dxa"/>
            <w:vMerge/>
            <w:tcBorders>
              <w:bottom w:val="dotted" w:sz="4" w:space="0" w:color="auto"/>
              <w:right w:val="dotted" w:sz="4" w:space="0" w:color="auto"/>
            </w:tcBorders>
            <w:shd w:val="clear" w:color="auto" w:fill="FDFAB5"/>
            <w:vAlign w:val="center"/>
          </w:tcPr>
          <w:p w:rsidR="00D0511D" w:rsidRPr="004465FB" w:rsidRDefault="00D0511D" w:rsidP="00D0511D">
            <w:pPr>
              <w:rPr>
                <w:b/>
                <w:sz w:val="22"/>
                <w:szCs w:val="22"/>
              </w:rPr>
            </w:pPr>
          </w:p>
        </w:tc>
        <w:tc>
          <w:tcPr>
            <w:tcW w:w="1104" w:type="dxa"/>
            <w:vMerge/>
            <w:tcBorders>
              <w:left w:val="dotted" w:sz="4" w:space="0" w:color="auto"/>
              <w:bottom w:val="dotted" w:sz="4" w:space="0" w:color="auto"/>
              <w:right w:val="dotted" w:sz="4" w:space="0" w:color="auto"/>
            </w:tcBorders>
            <w:shd w:val="clear" w:color="auto" w:fill="FDFAB5"/>
            <w:vAlign w:val="center"/>
          </w:tcPr>
          <w:p w:rsidR="00D0511D" w:rsidRPr="004465FB" w:rsidRDefault="00D0511D" w:rsidP="00D0511D">
            <w:pPr>
              <w:rPr>
                <w:b/>
                <w:sz w:val="22"/>
                <w:szCs w:val="22"/>
              </w:rPr>
            </w:pPr>
          </w:p>
        </w:tc>
        <w:tc>
          <w:tcPr>
            <w:tcW w:w="1197" w:type="dxa"/>
            <w:tcBorders>
              <w:top w:val="dotted" w:sz="4" w:space="0" w:color="auto"/>
              <w:left w:val="dotted" w:sz="4" w:space="0" w:color="auto"/>
              <w:bottom w:val="dotted" w:sz="4" w:space="0" w:color="auto"/>
              <w:right w:val="dotted" w:sz="4" w:space="0" w:color="auto"/>
            </w:tcBorders>
            <w:shd w:val="clear" w:color="auto" w:fill="FDFAB5"/>
            <w:vAlign w:val="bottom"/>
          </w:tcPr>
          <w:p w:rsidR="00D0511D" w:rsidRPr="004465FB" w:rsidRDefault="00D0511D" w:rsidP="00D0511D">
            <w:pPr>
              <w:jc w:val="center"/>
              <w:rPr>
                <w:b/>
                <w:sz w:val="22"/>
                <w:szCs w:val="22"/>
              </w:rPr>
            </w:pPr>
            <w:r w:rsidRPr="004465FB">
              <w:rPr>
                <w:b/>
                <w:sz w:val="22"/>
                <w:szCs w:val="22"/>
              </w:rPr>
              <w:t>2017 год</w:t>
            </w:r>
          </w:p>
        </w:tc>
        <w:tc>
          <w:tcPr>
            <w:tcW w:w="1276" w:type="dxa"/>
            <w:tcBorders>
              <w:top w:val="dotted" w:sz="4" w:space="0" w:color="auto"/>
              <w:left w:val="dotted" w:sz="4" w:space="0" w:color="auto"/>
              <w:bottom w:val="dotted" w:sz="4" w:space="0" w:color="auto"/>
              <w:right w:val="dotted" w:sz="4" w:space="0" w:color="auto"/>
            </w:tcBorders>
            <w:shd w:val="clear" w:color="auto" w:fill="FDFAB5"/>
            <w:vAlign w:val="bottom"/>
          </w:tcPr>
          <w:p w:rsidR="00D0511D" w:rsidRPr="004465FB" w:rsidRDefault="00D0511D" w:rsidP="00D0511D">
            <w:pPr>
              <w:jc w:val="center"/>
              <w:rPr>
                <w:b/>
                <w:sz w:val="22"/>
                <w:szCs w:val="22"/>
              </w:rPr>
            </w:pPr>
            <w:r w:rsidRPr="004465FB">
              <w:rPr>
                <w:b/>
                <w:sz w:val="22"/>
                <w:szCs w:val="22"/>
              </w:rPr>
              <w:t>2018 год</w:t>
            </w:r>
          </w:p>
        </w:tc>
        <w:tc>
          <w:tcPr>
            <w:tcW w:w="1276" w:type="dxa"/>
            <w:tcBorders>
              <w:top w:val="dotted" w:sz="4" w:space="0" w:color="auto"/>
              <w:left w:val="dotted" w:sz="4" w:space="0" w:color="auto"/>
              <w:bottom w:val="dotted" w:sz="4" w:space="0" w:color="auto"/>
              <w:right w:val="dotted" w:sz="4" w:space="0" w:color="auto"/>
            </w:tcBorders>
            <w:shd w:val="clear" w:color="auto" w:fill="FDFAB5"/>
            <w:vAlign w:val="bottom"/>
          </w:tcPr>
          <w:p w:rsidR="00D0511D" w:rsidRPr="004465FB" w:rsidRDefault="00D0511D" w:rsidP="00D0511D">
            <w:pPr>
              <w:jc w:val="center"/>
              <w:rPr>
                <w:b/>
                <w:sz w:val="22"/>
                <w:szCs w:val="22"/>
              </w:rPr>
            </w:pPr>
            <w:r w:rsidRPr="004465FB">
              <w:rPr>
                <w:b/>
                <w:sz w:val="22"/>
                <w:szCs w:val="22"/>
              </w:rPr>
              <w:t>2019 год</w:t>
            </w:r>
          </w:p>
        </w:tc>
        <w:tc>
          <w:tcPr>
            <w:tcW w:w="1275" w:type="dxa"/>
            <w:tcBorders>
              <w:top w:val="dotted" w:sz="4" w:space="0" w:color="auto"/>
              <w:left w:val="dotted" w:sz="4" w:space="0" w:color="auto"/>
              <w:bottom w:val="dotted" w:sz="4" w:space="0" w:color="auto"/>
            </w:tcBorders>
            <w:shd w:val="clear" w:color="auto" w:fill="FDFAB5"/>
            <w:vAlign w:val="bottom"/>
          </w:tcPr>
          <w:p w:rsidR="00D0511D" w:rsidRPr="004465FB" w:rsidRDefault="00D0511D" w:rsidP="00D0511D">
            <w:pPr>
              <w:jc w:val="center"/>
              <w:rPr>
                <w:b/>
                <w:sz w:val="22"/>
                <w:szCs w:val="22"/>
              </w:rPr>
            </w:pPr>
            <w:r w:rsidRPr="004465FB">
              <w:rPr>
                <w:b/>
                <w:sz w:val="22"/>
                <w:szCs w:val="22"/>
              </w:rPr>
              <w:t>2020 год</w:t>
            </w:r>
          </w:p>
        </w:tc>
      </w:tr>
      <w:tr w:rsidR="00D0511D" w:rsidRPr="004465FB" w:rsidTr="00D0511D">
        <w:trPr>
          <w:trHeight w:hRule="exact" w:val="255"/>
        </w:trPr>
        <w:tc>
          <w:tcPr>
            <w:tcW w:w="3544" w:type="dxa"/>
            <w:tcBorders>
              <w:top w:val="dotted" w:sz="4" w:space="0" w:color="auto"/>
              <w:bottom w:val="dotted" w:sz="4" w:space="0" w:color="auto"/>
              <w:right w:val="dotted" w:sz="4" w:space="0" w:color="auto"/>
            </w:tcBorders>
            <w:vAlign w:val="center"/>
          </w:tcPr>
          <w:p w:rsidR="00D0511D" w:rsidRPr="004465FB" w:rsidRDefault="00D0511D" w:rsidP="00D0511D">
            <w:pPr>
              <w:rPr>
                <w:sz w:val="22"/>
                <w:szCs w:val="22"/>
              </w:rPr>
            </w:pPr>
            <w:r w:rsidRPr="004465FB">
              <w:rPr>
                <w:sz w:val="22"/>
                <w:szCs w:val="22"/>
              </w:rPr>
              <w:t>ФФПП (в части ГО)</w:t>
            </w:r>
          </w:p>
        </w:tc>
        <w:tc>
          <w:tcPr>
            <w:tcW w:w="1104"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руб.</w:t>
            </w:r>
          </w:p>
        </w:tc>
        <w:tc>
          <w:tcPr>
            <w:tcW w:w="1197"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6"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6"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5" w:type="dxa"/>
            <w:tcBorders>
              <w:top w:val="dotted" w:sz="4" w:space="0" w:color="auto"/>
              <w:left w:val="dotted" w:sz="4" w:space="0" w:color="auto"/>
              <w:bottom w:val="dotted" w:sz="4" w:space="0" w:color="auto"/>
            </w:tcBorders>
            <w:vAlign w:val="center"/>
          </w:tcPr>
          <w:p w:rsidR="00D0511D" w:rsidRPr="004465FB" w:rsidRDefault="00D0511D" w:rsidP="00D0511D">
            <w:pPr>
              <w:jc w:val="center"/>
              <w:rPr>
                <w:sz w:val="22"/>
                <w:szCs w:val="22"/>
              </w:rPr>
            </w:pPr>
            <w:r w:rsidRPr="004465FB">
              <w:rPr>
                <w:sz w:val="22"/>
                <w:szCs w:val="22"/>
              </w:rPr>
              <w:t>1150</w:t>
            </w:r>
          </w:p>
        </w:tc>
      </w:tr>
      <w:tr w:rsidR="00D0511D" w:rsidRPr="004465FB" w:rsidTr="00D0511D">
        <w:trPr>
          <w:trHeight w:hRule="exact" w:val="255"/>
        </w:trPr>
        <w:tc>
          <w:tcPr>
            <w:tcW w:w="3544" w:type="dxa"/>
            <w:tcBorders>
              <w:top w:val="dotted" w:sz="4" w:space="0" w:color="auto"/>
              <w:bottom w:val="dotted" w:sz="4" w:space="0" w:color="auto"/>
              <w:right w:val="dotted" w:sz="4" w:space="0" w:color="auto"/>
            </w:tcBorders>
            <w:vAlign w:val="center"/>
          </w:tcPr>
          <w:p w:rsidR="00D0511D" w:rsidRPr="004465FB" w:rsidRDefault="00D0511D" w:rsidP="00D0511D">
            <w:pPr>
              <w:rPr>
                <w:sz w:val="22"/>
                <w:szCs w:val="22"/>
              </w:rPr>
            </w:pPr>
            <w:r w:rsidRPr="004465FB">
              <w:rPr>
                <w:sz w:val="22"/>
                <w:szCs w:val="22"/>
              </w:rPr>
              <w:t>ФФПП (в части поселений)</w:t>
            </w:r>
          </w:p>
        </w:tc>
        <w:tc>
          <w:tcPr>
            <w:tcW w:w="1104"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руб.</w:t>
            </w:r>
          </w:p>
        </w:tc>
        <w:tc>
          <w:tcPr>
            <w:tcW w:w="1197"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6"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6" w:type="dxa"/>
            <w:tcBorders>
              <w:top w:val="dotted" w:sz="4" w:space="0" w:color="auto"/>
              <w:left w:val="dotted" w:sz="4" w:space="0" w:color="auto"/>
              <w:bottom w:val="dotted" w:sz="4"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1150</w:t>
            </w:r>
          </w:p>
        </w:tc>
        <w:tc>
          <w:tcPr>
            <w:tcW w:w="1275" w:type="dxa"/>
            <w:tcBorders>
              <w:top w:val="dotted" w:sz="4" w:space="0" w:color="auto"/>
              <w:left w:val="dotted" w:sz="4" w:space="0" w:color="auto"/>
              <w:bottom w:val="dotted" w:sz="4" w:space="0" w:color="auto"/>
            </w:tcBorders>
            <w:vAlign w:val="center"/>
          </w:tcPr>
          <w:p w:rsidR="00D0511D" w:rsidRPr="004465FB" w:rsidRDefault="00D0511D" w:rsidP="00D0511D">
            <w:pPr>
              <w:jc w:val="center"/>
              <w:rPr>
                <w:sz w:val="22"/>
                <w:szCs w:val="22"/>
              </w:rPr>
            </w:pPr>
            <w:r w:rsidRPr="004465FB">
              <w:rPr>
                <w:sz w:val="22"/>
                <w:szCs w:val="22"/>
              </w:rPr>
              <w:t>1150</w:t>
            </w:r>
          </w:p>
        </w:tc>
      </w:tr>
      <w:tr w:rsidR="00D0511D" w:rsidRPr="004465FB" w:rsidTr="00D0511D">
        <w:trPr>
          <w:trHeight w:hRule="exact" w:val="255"/>
        </w:trPr>
        <w:tc>
          <w:tcPr>
            <w:tcW w:w="3544" w:type="dxa"/>
            <w:tcBorders>
              <w:top w:val="dotted" w:sz="4" w:space="0" w:color="auto"/>
              <w:bottom w:val="double" w:sz="6" w:space="0" w:color="auto"/>
              <w:right w:val="dotted" w:sz="4" w:space="0" w:color="auto"/>
            </w:tcBorders>
            <w:vAlign w:val="center"/>
          </w:tcPr>
          <w:p w:rsidR="00D0511D" w:rsidRPr="004465FB" w:rsidRDefault="00D0511D" w:rsidP="00D0511D">
            <w:pPr>
              <w:rPr>
                <w:sz w:val="22"/>
                <w:szCs w:val="22"/>
              </w:rPr>
            </w:pPr>
            <w:r w:rsidRPr="004465FB">
              <w:rPr>
                <w:sz w:val="22"/>
                <w:szCs w:val="22"/>
              </w:rPr>
              <w:t>ФФП МР (ГО)</w:t>
            </w:r>
          </w:p>
        </w:tc>
        <w:tc>
          <w:tcPr>
            <w:tcW w:w="1104" w:type="dxa"/>
            <w:tcBorders>
              <w:top w:val="dotted" w:sz="4" w:space="0" w:color="auto"/>
              <w:left w:val="dotted" w:sz="4" w:space="0" w:color="auto"/>
              <w:bottom w:val="double" w:sz="6" w:space="0" w:color="auto"/>
              <w:right w:val="dotted" w:sz="4" w:space="0" w:color="auto"/>
            </w:tcBorders>
            <w:vAlign w:val="center"/>
          </w:tcPr>
          <w:p w:rsidR="00D0511D" w:rsidRPr="004465FB" w:rsidRDefault="00D0511D" w:rsidP="00D0511D">
            <w:pPr>
              <w:rPr>
                <w:sz w:val="22"/>
                <w:szCs w:val="22"/>
              </w:rPr>
            </w:pPr>
            <w:r w:rsidRPr="004465FB">
              <w:rPr>
                <w:sz w:val="22"/>
                <w:szCs w:val="22"/>
              </w:rPr>
              <w:t>коэфф.-т</w:t>
            </w:r>
          </w:p>
        </w:tc>
        <w:tc>
          <w:tcPr>
            <w:tcW w:w="1197" w:type="dxa"/>
            <w:tcBorders>
              <w:top w:val="dotted" w:sz="4" w:space="0" w:color="auto"/>
              <w:left w:val="dotted" w:sz="4" w:space="0" w:color="auto"/>
              <w:bottom w:val="double" w:sz="6"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1,00</w:t>
            </w:r>
          </w:p>
        </w:tc>
        <w:tc>
          <w:tcPr>
            <w:tcW w:w="1276" w:type="dxa"/>
            <w:tcBorders>
              <w:top w:val="dotted" w:sz="4" w:space="0" w:color="auto"/>
              <w:left w:val="dotted" w:sz="4" w:space="0" w:color="auto"/>
              <w:bottom w:val="double" w:sz="6"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1,001</w:t>
            </w:r>
          </w:p>
        </w:tc>
        <w:tc>
          <w:tcPr>
            <w:tcW w:w="1276" w:type="dxa"/>
            <w:tcBorders>
              <w:top w:val="dotted" w:sz="4" w:space="0" w:color="auto"/>
              <w:left w:val="dotted" w:sz="4" w:space="0" w:color="auto"/>
              <w:bottom w:val="double" w:sz="6" w:space="0" w:color="auto"/>
              <w:right w:val="dotted" w:sz="4" w:space="0" w:color="auto"/>
            </w:tcBorders>
            <w:vAlign w:val="center"/>
          </w:tcPr>
          <w:p w:rsidR="00D0511D" w:rsidRPr="004465FB" w:rsidRDefault="00D0511D" w:rsidP="00D0511D">
            <w:pPr>
              <w:jc w:val="center"/>
              <w:rPr>
                <w:sz w:val="22"/>
                <w:szCs w:val="22"/>
              </w:rPr>
            </w:pPr>
            <w:r w:rsidRPr="004465FB">
              <w:rPr>
                <w:sz w:val="22"/>
                <w:szCs w:val="22"/>
              </w:rPr>
              <w:t>1,001</w:t>
            </w:r>
          </w:p>
        </w:tc>
        <w:tc>
          <w:tcPr>
            <w:tcW w:w="1275" w:type="dxa"/>
            <w:tcBorders>
              <w:top w:val="dotted" w:sz="4" w:space="0" w:color="auto"/>
              <w:left w:val="dotted" w:sz="4" w:space="0" w:color="auto"/>
              <w:bottom w:val="double" w:sz="6" w:space="0" w:color="auto"/>
            </w:tcBorders>
            <w:vAlign w:val="center"/>
          </w:tcPr>
          <w:p w:rsidR="00D0511D" w:rsidRPr="004465FB" w:rsidRDefault="00D0511D" w:rsidP="00D0511D">
            <w:pPr>
              <w:jc w:val="center"/>
              <w:rPr>
                <w:sz w:val="22"/>
                <w:szCs w:val="22"/>
              </w:rPr>
            </w:pPr>
            <w:r w:rsidRPr="004465FB">
              <w:rPr>
                <w:sz w:val="22"/>
                <w:szCs w:val="22"/>
              </w:rPr>
              <w:t>1,001</w:t>
            </w:r>
          </w:p>
        </w:tc>
      </w:tr>
    </w:tbl>
    <w:p w:rsidR="00D0511D" w:rsidRDefault="00D0511D" w:rsidP="00D0511D">
      <w:pPr>
        <w:autoSpaceDE w:val="0"/>
        <w:autoSpaceDN w:val="0"/>
        <w:adjustRightInd w:val="0"/>
        <w:ind w:firstLine="720"/>
        <w:jc w:val="both"/>
        <w:outlineLvl w:val="1"/>
      </w:pPr>
    </w:p>
    <w:p w:rsidR="00D8789B" w:rsidRPr="00BC6E75" w:rsidRDefault="00D8789B" w:rsidP="00D0511D">
      <w:pPr>
        <w:autoSpaceDE w:val="0"/>
        <w:autoSpaceDN w:val="0"/>
        <w:adjustRightInd w:val="0"/>
        <w:ind w:firstLine="720"/>
        <w:jc w:val="both"/>
        <w:outlineLvl w:val="1"/>
        <w:rPr>
          <w:sz w:val="16"/>
          <w:szCs w:val="16"/>
        </w:rPr>
      </w:pPr>
    </w:p>
    <w:p w:rsidR="00D0511D" w:rsidRDefault="00D0511D" w:rsidP="00D0511D">
      <w:pPr>
        <w:autoSpaceDE w:val="0"/>
        <w:autoSpaceDN w:val="0"/>
        <w:adjustRightInd w:val="0"/>
        <w:jc w:val="center"/>
        <w:outlineLvl w:val="1"/>
        <w:rPr>
          <w:b/>
          <w:i/>
        </w:rPr>
      </w:pPr>
      <w:r w:rsidRPr="007751BE">
        <w:rPr>
          <w:b/>
          <w:i/>
        </w:rPr>
        <w:t>Размеры областн</w:t>
      </w:r>
      <w:r>
        <w:rPr>
          <w:b/>
          <w:i/>
        </w:rPr>
        <w:t>ого</w:t>
      </w:r>
      <w:r w:rsidRPr="007751BE">
        <w:rPr>
          <w:b/>
          <w:i/>
        </w:rPr>
        <w:t xml:space="preserve"> фонд</w:t>
      </w:r>
      <w:r>
        <w:rPr>
          <w:b/>
          <w:i/>
        </w:rPr>
        <w:t>а</w:t>
      </w:r>
      <w:r w:rsidRPr="007751BE">
        <w:rPr>
          <w:b/>
          <w:i/>
        </w:rPr>
        <w:t xml:space="preserve"> финансовой поддержки</w:t>
      </w:r>
      <w:r>
        <w:rPr>
          <w:b/>
          <w:i/>
        </w:rPr>
        <w:t xml:space="preserve"> поселений </w:t>
      </w:r>
    </w:p>
    <w:p w:rsidR="00D0511D" w:rsidRDefault="00D0511D" w:rsidP="00D0511D">
      <w:pPr>
        <w:autoSpaceDE w:val="0"/>
        <w:autoSpaceDN w:val="0"/>
        <w:adjustRightInd w:val="0"/>
        <w:jc w:val="center"/>
        <w:outlineLvl w:val="1"/>
        <w:rPr>
          <w:b/>
          <w:i/>
        </w:rPr>
      </w:pPr>
      <w:r>
        <w:rPr>
          <w:b/>
          <w:i/>
        </w:rPr>
        <w:t xml:space="preserve">и </w:t>
      </w:r>
      <w:r w:rsidRPr="007751BE">
        <w:rPr>
          <w:b/>
          <w:i/>
        </w:rPr>
        <w:t>областн</w:t>
      </w:r>
      <w:r>
        <w:rPr>
          <w:b/>
          <w:i/>
        </w:rPr>
        <w:t>ого</w:t>
      </w:r>
      <w:r w:rsidRPr="007751BE">
        <w:rPr>
          <w:b/>
          <w:i/>
        </w:rPr>
        <w:t xml:space="preserve"> фонд</w:t>
      </w:r>
      <w:r>
        <w:rPr>
          <w:b/>
          <w:i/>
        </w:rPr>
        <w:t>а</w:t>
      </w:r>
      <w:r w:rsidRPr="007751BE">
        <w:rPr>
          <w:b/>
          <w:i/>
        </w:rPr>
        <w:t xml:space="preserve"> финансовой поддержки</w:t>
      </w:r>
      <w:r>
        <w:rPr>
          <w:b/>
          <w:i/>
        </w:rPr>
        <w:t xml:space="preserve"> МР (ГО)</w:t>
      </w:r>
    </w:p>
    <w:p w:rsidR="00D8789B" w:rsidRDefault="00D8789B" w:rsidP="00D0511D">
      <w:pPr>
        <w:autoSpaceDE w:val="0"/>
        <w:autoSpaceDN w:val="0"/>
        <w:adjustRightInd w:val="0"/>
        <w:jc w:val="center"/>
        <w:outlineLvl w:val="1"/>
        <w:rPr>
          <w:b/>
          <w:i/>
        </w:rPr>
      </w:pPr>
    </w:p>
    <w:p w:rsidR="00D0511D" w:rsidRPr="005D3E26" w:rsidRDefault="00D0511D" w:rsidP="00D0511D">
      <w:pPr>
        <w:ind w:firstLine="851"/>
        <w:jc w:val="both"/>
      </w:pPr>
      <w:r w:rsidRPr="005D3E26">
        <w:t xml:space="preserve">Данные о расчетных объемах ФФПП (в части городских округов), ФФПП (в части городских и сельских поселений) и ФФП МР (ГО) на 2016-2020 годы </w:t>
      </w:r>
      <w:r w:rsidRPr="005D3E26">
        <w:rPr>
          <w:u w:val="single"/>
        </w:rPr>
        <w:t>до замены части дотаций</w:t>
      </w:r>
      <w:r w:rsidRPr="005D3E26">
        <w:t xml:space="preserve"> дополнительными нормативами отчислений от НДФЛ представлены диаграммой.</w:t>
      </w:r>
    </w:p>
    <w:p w:rsidR="00D0511D" w:rsidRPr="00712A2D" w:rsidRDefault="00D0511D" w:rsidP="00D0511D">
      <w:pPr>
        <w:jc w:val="both"/>
        <w:rPr>
          <w:color w:val="FF0000"/>
          <w:highlight w:val="yellow"/>
        </w:rPr>
      </w:pPr>
      <w:r w:rsidRPr="00712A2D">
        <w:rPr>
          <w:noProof/>
          <w:color w:val="FF0000"/>
          <w:highlight w:val="yellow"/>
        </w:rPr>
        <w:lastRenderedPageBreak/>
        <w:drawing>
          <wp:inline distT="0" distB="0" distL="0" distR="0">
            <wp:extent cx="6144895" cy="2237509"/>
            <wp:effectExtent l="19050" t="0" r="825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0511D" w:rsidRPr="001925DA" w:rsidRDefault="00D0511D" w:rsidP="00D0511D">
      <w:pPr>
        <w:ind w:firstLine="851"/>
        <w:jc w:val="both"/>
      </w:pPr>
      <w:r w:rsidRPr="001925DA">
        <w:t>Из диаграммы видно, что в 2018 году относительно уровня 2017 года  произошло значительное уменьшение (на 1170,5 млн. руб., или на 62,8%)  расчетного объема ФФПП (в части ГО). Указанное уменьшение сложилось по городскому округу Волгоград, что обусловлено превышением в отчетном финансовом году расчетных налоговых доходов бюджета Волгограда (без учета налоговых доходов по дополнительным нормативам отчислений) 1,3-кратного среднего уровня по муниципальным районам (городским окру</w:t>
      </w:r>
      <w:r>
        <w:t>гам) в расчете на одного жителя, установленного изменениями</w:t>
      </w:r>
      <w:r w:rsidR="00C81877">
        <w:t>, внесенными</w:t>
      </w:r>
      <w:r>
        <w:t xml:space="preserve"> в Закон </w:t>
      </w:r>
      <w:r w:rsidRPr="001925DA">
        <w:t>о межбюджетных отношениях №1093-ОД</w:t>
      </w:r>
      <w:r>
        <w:t xml:space="preserve"> в октябре 2017 года. </w:t>
      </w:r>
      <w:r w:rsidR="00497D17">
        <w:t>Более подробно этот вопрос уже описан в разделе «Концепция проекта областного бюджета на 2018 год и плановый период 2019 и 2020 годов».</w:t>
      </w:r>
    </w:p>
    <w:p w:rsidR="00D0511D" w:rsidRPr="00685BE4" w:rsidRDefault="00D0511D" w:rsidP="00D0511D">
      <w:pPr>
        <w:ind w:firstLine="851"/>
        <w:jc w:val="both"/>
      </w:pPr>
      <w:r w:rsidRPr="00685BE4">
        <w:t>Часть дотаций на выравнивание уровня бюджетной обеспеченности из расчетных объемов ФФПП (в части городских округов) и ФФП МР (ГО) законопроектом предлагается заменить дополнительными нормативами отчислений от НДФЛ.</w:t>
      </w:r>
    </w:p>
    <w:p w:rsidR="00D0511D" w:rsidRPr="00685BE4" w:rsidRDefault="00D0511D" w:rsidP="00D0511D">
      <w:pPr>
        <w:autoSpaceDE w:val="0"/>
        <w:autoSpaceDN w:val="0"/>
        <w:adjustRightInd w:val="0"/>
        <w:ind w:firstLine="851"/>
        <w:jc w:val="both"/>
      </w:pPr>
      <w:r w:rsidRPr="00685BE4">
        <w:t xml:space="preserve">Согласно законопроекту замена дотаций дополнительными нормативами отчислений от НДФЛ </w:t>
      </w:r>
      <w:r w:rsidR="003B6729" w:rsidRPr="00685BE4">
        <w:t>произве</w:t>
      </w:r>
      <w:r w:rsidR="003B6729">
        <w:t>дена,</w:t>
      </w:r>
      <w:r w:rsidRPr="00685BE4">
        <w:t xml:space="preserve"> как и в 2017 году, всем муниципальным районам и городским округам области.</w:t>
      </w:r>
    </w:p>
    <w:p w:rsidR="00D0511D" w:rsidRDefault="00D0511D" w:rsidP="00D0511D">
      <w:pPr>
        <w:ind w:firstLine="851"/>
        <w:jc w:val="both"/>
      </w:pPr>
      <w:r w:rsidRPr="00743038">
        <w:t xml:space="preserve">В 2018 году расчетные дотации ФФП МР (ГО) и ФФПП (в части городских округов) предлагается заменить дополнительными нормативами отчислений от НДФЛ в сумме 4955,8 млн. руб. (в том числе ФФПП (в части городских округов) </w:t>
      </w:r>
      <w:r w:rsidR="00D22314">
        <w:t>-</w:t>
      </w:r>
      <w:r w:rsidRPr="00743038">
        <w:t xml:space="preserve"> 692,5 млн. руб. и ФФП МР (ГО) </w:t>
      </w:r>
      <w:r w:rsidR="00D22314">
        <w:t>-</w:t>
      </w:r>
      <w:r w:rsidRPr="00743038">
        <w:t xml:space="preserve"> 4263,3 млн. руб.), что составляет 96,3% от общего расчетного объема указанных фондов финансовой поддержки (5144,5 млн. руб.). Замена дотаций из ФФПП (в части городских и сельских поселений) на 2018 год и плановый период 2019 и 2020 годов дополнительными нормативами отчислений от налога на доходы физических лиц не осуществлялась.</w:t>
      </w:r>
    </w:p>
    <w:p w:rsidR="00D0511D" w:rsidRPr="002D6F18" w:rsidRDefault="00D0511D" w:rsidP="00D0511D">
      <w:pPr>
        <w:ind w:firstLine="720"/>
        <w:jc w:val="both"/>
      </w:pPr>
    </w:p>
    <w:p w:rsidR="00D0511D" w:rsidRPr="00B62248" w:rsidRDefault="00D0511D" w:rsidP="00D0511D">
      <w:pPr>
        <w:ind w:firstLine="720"/>
        <w:jc w:val="center"/>
        <w:rPr>
          <w:color w:val="FF0000"/>
        </w:rPr>
      </w:pPr>
      <w:r>
        <w:rPr>
          <w:rFonts w:eastAsia="Calibri"/>
          <w:b/>
          <w:bCs/>
          <w:i/>
          <w:iCs/>
        </w:rPr>
        <w:t>Размеры иных дотаций, субвенций, субсидий и иных межбюджетных трансфертов</w:t>
      </w:r>
    </w:p>
    <w:p w:rsidR="00D0511D" w:rsidRPr="00B62E4C" w:rsidRDefault="00D0511D" w:rsidP="00D0511D">
      <w:pPr>
        <w:autoSpaceDE w:val="0"/>
        <w:autoSpaceDN w:val="0"/>
        <w:adjustRightInd w:val="0"/>
        <w:ind w:firstLine="851"/>
        <w:jc w:val="both"/>
        <w:rPr>
          <w:rFonts w:eastAsia="Calibri"/>
          <w:iCs/>
        </w:rPr>
      </w:pPr>
      <w:r w:rsidRPr="00B62E4C">
        <w:t>В соответствии со статьей 139.1 БК РФ в случаях и порядке, предусмотренных законами субъектов РФ и принимаемыми в соответствии с ними иными нормативными правовыми актами органов государственной власти субъектов РФ, местным бюджетам могут быть предоставлены иные межбюджетные трансферты из бюджета субъекта РФ, в том числе в форме дотаций в пределах 10% общего объема межбюджетных трансфертов местным бюджетам из бюджета субъекта РФ (за исключением субвенций)</w:t>
      </w:r>
      <w:r w:rsidRPr="00B62E4C">
        <w:rPr>
          <w:rFonts w:eastAsia="Calibri"/>
          <w:iCs/>
        </w:rPr>
        <w:t xml:space="preserve">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w:t>
      </w:r>
    </w:p>
    <w:p w:rsidR="00D0511D" w:rsidRDefault="00D0511D" w:rsidP="00D0511D">
      <w:pPr>
        <w:ind w:firstLine="851"/>
        <w:jc w:val="both"/>
      </w:pPr>
      <w:r w:rsidRPr="002D6F18">
        <w:t xml:space="preserve">Законопроектом предусмотрен </w:t>
      </w:r>
      <w:r w:rsidRPr="002D6F18">
        <w:rPr>
          <w:b/>
          <w:i/>
        </w:rPr>
        <w:t xml:space="preserve">нераспределенный объем дотаций муниципальным образованиям на поддержку мер по обеспечению сбалансированности местных бюджетов </w:t>
      </w:r>
      <w:r>
        <w:t>на 201</w:t>
      </w:r>
      <w:r w:rsidR="00F300FC">
        <w:t>8</w:t>
      </w:r>
      <w:r>
        <w:t xml:space="preserve"> год в сумме 688</w:t>
      </w:r>
      <w:r w:rsidRPr="002D6F18">
        <w:t xml:space="preserve"> млн. рублей. Возможность предоставления таких дотаций предусмотрена Законом Волгоградской области от 09.02.2011 №2151-ОД «О </w:t>
      </w:r>
      <w:r w:rsidRPr="002D6F18">
        <w:lastRenderedPageBreak/>
        <w:t>дотациях бюджетам муниципальных образований Волгоградской области на поддержку мер по обеспечению сбалансированности местных бюджетов».</w:t>
      </w:r>
    </w:p>
    <w:p w:rsidR="00D0511D" w:rsidRPr="006C61A3" w:rsidRDefault="00D0511D" w:rsidP="00D0511D">
      <w:pPr>
        <w:autoSpaceDE w:val="0"/>
        <w:autoSpaceDN w:val="0"/>
        <w:adjustRightInd w:val="0"/>
        <w:ind w:firstLine="851"/>
        <w:jc w:val="both"/>
        <w:outlineLvl w:val="0"/>
      </w:pPr>
      <w:r w:rsidRPr="006C61A3">
        <w:t xml:space="preserve">Общий объем межбюджетных трансфертов местным бюджетам за исключением субвенций на 2018 год предусмотрен в общей сумме 9485,5 млн. руб. (дотации </w:t>
      </w:r>
      <w:r w:rsidR="00BC0C45">
        <w:t>-</w:t>
      </w:r>
      <w:r w:rsidRPr="006C61A3">
        <w:t xml:space="preserve"> 1946,4 млн. руб., субсидии </w:t>
      </w:r>
      <w:r w:rsidR="00BC0C45">
        <w:t>-</w:t>
      </w:r>
      <w:r w:rsidRPr="006C61A3">
        <w:t xml:space="preserve"> 6886,9 млн. руб. и иные межбюджетные трансферты </w:t>
      </w:r>
      <w:r w:rsidR="00BC0C45">
        <w:t>-</w:t>
      </w:r>
      <w:r w:rsidRPr="006C61A3">
        <w:t xml:space="preserve"> 652,2 млн. руб.). Расчетный объем дотации на выравнивание бюджетной обеспеченности, замененной дополнительными нормативами отчислений от НДФЛ, на 2018 год предусмотрен в сумме 4955,8 млн. рублей. Объем иных межбюджетных трансфертов в форме дотаций на сбалансированность бюджетов муниципальных образований на 2018 год </w:t>
      </w:r>
      <w:r w:rsidR="00F300FC">
        <w:t>запланирован</w:t>
      </w:r>
      <w:r w:rsidRPr="006C61A3">
        <w:t xml:space="preserve"> в размере 688 млн. руб., </w:t>
      </w:r>
      <w:r w:rsidR="00F300FC">
        <w:t>что составляет</w:t>
      </w:r>
      <w:r w:rsidRPr="006C61A3">
        <w:t xml:space="preserve"> 4,8% от общего объема межбюджетных трансфертов (за исключением субвенций)</w:t>
      </w:r>
      <w:r w:rsidRPr="006C61A3">
        <w:rPr>
          <w:rFonts w:eastAsia="Calibri"/>
          <w:iCs/>
        </w:rPr>
        <w:t xml:space="preserve"> и расчетного объема дотации на выравнивание бюджетной обеспеченности, замененной дополнительными нормативами отчислений</w:t>
      </w:r>
      <w:r w:rsidRPr="006C61A3">
        <w:t xml:space="preserve">, </w:t>
      </w:r>
      <w:r w:rsidR="00F300FC">
        <w:t>т. е.</w:t>
      </w:r>
      <w:r w:rsidRPr="006C61A3">
        <w:t xml:space="preserve"> не превышает предельный объем, установленный статьей 139.1 БК РФ.</w:t>
      </w:r>
    </w:p>
    <w:p w:rsidR="00D0511D" w:rsidRPr="00B86D4B" w:rsidRDefault="00D0511D" w:rsidP="00D0511D">
      <w:pPr>
        <w:ind w:firstLine="851"/>
        <w:jc w:val="both"/>
      </w:pPr>
      <w:r w:rsidRPr="00D824FC">
        <w:t xml:space="preserve">В соответствии со статьей 139 БК РФ в составе </w:t>
      </w:r>
      <w:r w:rsidR="00F300FC">
        <w:t xml:space="preserve">расходов </w:t>
      </w:r>
      <w:r w:rsidRPr="00D824FC">
        <w:t>областного бюджета предусмотрены субсидии,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530205" w:rsidRDefault="00530205" w:rsidP="00D0511D">
      <w:pPr>
        <w:ind w:firstLine="851"/>
        <w:jc w:val="both"/>
        <w:rPr>
          <w:rFonts w:eastAsia="TimesNewRomanPSMT"/>
          <w:b/>
          <w:i/>
        </w:rPr>
      </w:pPr>
    </w:p>
    <w:p w:rsidR="00D0511D" w:rsidRDefault="00D0511D" w:rsidP="00D0511D">
      <w:pPr>
        <w:ind w:firstLine="851"/>
        <w:jc w:val="both"/>
      </w:pPr>
      <w:r w:rsidRPr="00246177">
        <w:rPr>
          <w:rFonts w:eastAsia="TimesNewRomanPSMT"/>
          <w:b/>
          <w:i/>
        </w:rPr>
        <w:t>Общий объ</w:t>
      </w:r>
      <w:r w:rsidR="00F300FC">
        <w:rPr>
          <w:rFonts w:eastAsia="TimesNewRomanPSMT"/>
          <w:b/>
          <w:i/>
        </w:rPr>
        <w:t>е</w:t>
      </w:r>
      <w:r w:rsidRPr="00246177">
        <w:rPr>
          <w:rFonts w:eastAsia="TimesNewRomanPSMT"/>
          <w:b/>
          <w:i/>
        </w:rPr>
        <w:t xml:space="preserve">м субсидий </w:t>
      </w:r>
      <w:r w:rsidR="00CF6D86">
        <w:rPr>
          <w:rFonts w:eastAsia="TimesNewRomanPSMT"/>
          <w:b/>
          <w:i/>
        </w:rPr>
        <w:t xml:space="preserve">бюджетам муниципальных образований </w:t>
      </w:r>
      <w:r w:rsidRPr="00F300FC">
        <w:rPr>
          <w:rFonts w:eastAsia="TimesNewRomanPSMT"/>
        </w:rPr>
        <w:t>на 2018 год</w:t>
      </w:r>
      <w:r w:rsidRPr="00246177">
        <w:rPr>
          <w:rFonts w:eastAsia="TimesNewRomanPSMT"/>
        </w:rPr>
        <w:t xml:space="preserve"> предусмотрен в сумме 6886,9 млн. руб.</w:t>
      </w:r>
      <w:r w:rsidRPr="00246177">
        <w:t xml:space="preserve"> с уменьшением к объему 2017 года на 471,6 млн. руб., или на 6,4 процента.</w:t>
      </w:r>
    </w:p>
    <w:p w:rsidR="00D0511D" w:rsidRPr="00150672" w:rsidRDefault="00D0511D" w:rsidP="00D0511D">
      <w:pPr>
        <w:ind w:firstLine="851"/>
        <w:jc w:val="both"/>
      </w:pPr>
      <w:r>
        <w:t>Наибольшее уменьшение</w:t>
      </w:r>
      <w:r w:rsidRPr="00150672">
        <w:t xml:space="preserve"> объемов</w:t>
      </w:r>
      <w:r>
        <w:t xml:space="preserve"> субсидии</w:t>
      </w:r>
      <w:r w:rsidRPr="00150672">
        <w:t xml:space="preserve"> в абсолютных величинах отмечается </w:t>
      </w:r>
      <w:r>
        <w:t>по с</w:t>
      </w:r>
      <w:r w:rsidRPr="00C021EA">
        <w:t>убсидии местным бюджетам на софинансирование капитальных</w:t>
      </w:r>
      <w:r>
        <w:t xml:space="preserve"> </w:t>
      </w:r>
      <w:r w:rsidRPr="00C021EA">
        <w:t>вложений в объе</w:t>
      </w:r>
      <w:r>
        <w:t>кты муниципальной собственности</w:t>
      </w:r>
      <w:r w:rsidRPr="00C021EA">
        <w:t xml:space="preserve"> в рамках</w:t>
      </w:r>
      <w:r>
        <w:t xml:space="preserve"> </w:t>
      </w:r>
      <w:r w:rsidRPr="00C021EA">
        <w:t>реализации мероприятий по стимулированию программ развития</w:t>
      </w:r>
      <w:r>
        <w:t xml:space="preserve"> </w:t>
      </w:r>
      <w:r w:rsidRPr="00C021EA">
        <w:t>жилищного строительства, которые осуществляются из местных</w:t>
      </w:r>
      <w:r>
        <w:t xml:space="preserve"> </w:t>
      </w:r>
      <w:r w:rsidRPr="00C021EA">
        <w:t>бюджетов</w:t>
      </w:r>
      <w:r w:rsidR="00F300FC">
        <w:t>,</w:t>
      </w:r>
      <w:r w:rsidRPr="00150672">
        <w:rPr>
          <w:lang w:eastAsia="en-US"/>
        </w:rPr>
        <w:t xml:space="preserve"> - на </w:t>
      </w:r>
      <w:r>
        <w:rPr>
          <w:lang w:eastAsia="en-US"/>
        </w:rPr>
        <w:t>641,8 млн. руб. (с 712,5 до 70,7 млн. руб., или на 90,1%).</w:t>
      </w:r>
    </w:p>
    <w:p w:rsidR="00D0511D" w:rsidRDefault="00D0511D" w:rsidP="00D0511D">
      <w:pPr>
        <w:ind w:firstLine="851"/>
        <w:jc w:val="both"/>
      </w:pPr>
      <w:r>
        <w:t>Нераспределенный объем субсид</w:t>
      </w:r>
      <w:r w:rsidRPr="00D40A03">
        <w:t>ий на 2018 год</w:t>
      </w:r>
      <w:r>
        <w:t xml:space="preserve">, согласно информации, представленной комитетом финансов Волгоградской области, </w:t>
      </w:r>
      <w:r w:rsidRPr="00D348F0">
        <w:t xml:space="preserve">составляет </w:t>
      </w:r>
      <w:r>
        <w:t>2619,2</w:t>
      </w:r>
      <w:r w:rsidRPr="00D348F0">
        <w:t xml:space="preserve"> млн. руб., или </w:t>
      </w:r>
      <w:r>
        <w:t>38% от общего объема субсидий</w:t>
      </w:r>
      <w:r w:rsidRPr="00D348F0">
        <w:t xml:space="preserve">. </w:t>
      </w:r>
    </w:p>
    <w:p w:rsidR="00D0511D" w:rsidRPr="00413576" w:rsidRDefault="00D0511D" w:rsidP="00D0511D">
      <w:pPr>
        <w:ind w:firstLine="851"/>
        <w:jc w:val="both"/>
      </w:pPr>
      <w:r w:rsidRPr="00413576">
        <w:t>В суммовом выражении наибольшие нераспределенные объемы</w:t>
      </w:r>
      <w:r>
        <w:t xml:space="preserve"> (не распределены в полном объеме) </w:t>
      </w:r>
      <w:r w:rsidRPr="00413576">
        <w:t>сложились по следующим видам субсидий:</w:t>
      </w:r>
    </w:p>
    <w:p w:rsidR="00D0511D" w:rsidRPr="00413576" w:rsidRDefault="00D0511D" w:rsidP="00D0511D">
      <w:pPr>
        <w:ind w:firstLine="720"/>
        <w:jc w:val="both"/>
      </w:pPr>
      <w:r w:rsidRPr="00413576">
        <w:t>-1108,4 млн. руб. - субсидии бюджетам муниципальных образований на формирование муниципальных дорожных</w:t>
      </w:r>
      <w:r>
        <w:t xml:space="preserve"> фондов</w:t>
      </w:r>
      <w:r w:rsidRPr="00413576">
        <w:t>;</w:t>
      </w:r>
    </w:p>
    <w:p w:rsidR="00D0511D" w:rsidRPr="00413576" w:rsidRDefault="00D0511D" w:rsidP="00D0511D">
      <w:pPr>
        <w:ind w:firstLine="720"/>
        <w:jc w:val="both"/>
      </w:pPr>
      <w:r w:rsidRPr="00413576">
        <w:t xml:space="preserve">-921 млн. руб. </w:t>
      </w:r>
      <w:r w:rsidR="00F300FC">
        <w:t>-</w:t>
      </w:r>
      <w:r w:rsidRPr="00413576">
        <w:t xml:space="preserve"> субсидии из областного бюджета местным бюджетам в целях софинансирования муниципальных программ, направленных на реализацию мероприятий по благоустройству территори</w:t>
      </w:r>
      <w:r w:rsidR="00F300FC">
        <w:t>й</w:t>
      </w:r>
      <w:r w:rsidRPr="00413576">
        <w:t xml:space="preserve"> муниципальных образований;</w:t>
      </w:r>
    </w:p>
    <w:p w:rsidR="00D0511D" w:rsidRPr="00413576" w:rsidRDefault="00D0511D" w:rsidP="00D0511D">
      <w:pPr>
        <w:ind w:firstLine="720"/>
        <w:jc w:val="both"/>
        <w:rPr>
          <w:highlight w:val="yellow"/>
        </w:rPr>
      </w:pPr>
      <w:r w:rsidRPr="00413576">
        <w:t xml:space="preserve">-150 млн. руб. </w:t>
      </w:r>
      <w:r w:rsidR="00F300FC">
        <w:t>-</w:t>
      </w:r>
      <w:r w:rsidRPr="00413576">
        <w:t xml:space="preserve"> субсидии на приобретение и замену оконных блоков и выполнение необходимых для этого работ в зданиях муниципальных образовательных организаций Волгоградской области</w:t>
      </w:r>
      <w:r>
        <w:t>.</w:t>
      </w:r>
    </w:p>
    <w:p w:rsidR="00D0511D" w:rsidRPr="00666249" w:rsidRDefault="00D0511D" w:rsidP="00D0511D">
      <w:pPr>
        <w:ind w:firstLine="851"/>
        <w:jc w:val="both"/>
        <w:rPr>
          <w:rFonts w:eastAsia="TimesNewRomanPSMT"/>
        </w:rPr>
      </w:pPr>
      <w:r w:rsidRPr="00D958EC">
        <w:t xml:space="preserve">В составе субсидий местным </w:t>
      </w:r>
      <w:r w:rsidR="00F300FC">
        <w:t>бюджетам из областного бюджета з</w:t>
      </w:r>
      <w:r w:rsidRPr="00D958EC">
        <w:t xml:space="preserve">аконопроектом предусмотрены субсидии на обеспечение сбалансированности местных бюджетов в общей сумме 712,5 млн. </w:t>
      </w:r>
      <w:r w:rsidRPr="00666249">
        <w:t>руб</w:t>
      </w:r>
      <w:r w:rsidRPr="00666249">
        <w:rPr>
          <w:rFonts w:eastAsia="TimesNewRomanPSMT"/>
        </w:rPr>
        <w:t>лей.</w:t>
      </w:r>
      <w:r w:rsidRPr="00666249">
        <w:t xml:space="preserve"> </w:t>
      </w:r>
      <w:r w:rsidRPr="00493D51">
        <w:t xml:space="preserve">С </w:t>
      </w:r>
      <w:r w:rsidR="00B6164D">
        <w:t>з</w:t>
      </w:r>
      <w:r w:rsidRPr="00493D51">
        <w:t>аконопроектом представлен проект постановления Администрации Волгоградской области «</w:t>
      </w:r>
      <w:r w:rsidRPr="00493D51">
        <w:rPr>
          <w:bCs/>
        </w:rPr>
        <w:t>О предоставлении в 2018 году</w:t>
      </w:r>
      <w:r w:rsidRPr="00493D51">
        <w:rPr>
          <w:b/>
          <w:bCs/>
        </w:rPr>
        <w:t xml:space="preserve"> </w:t>
      </w:r>
      <w:r w:rsidRPr="00493D51">
        <w:rPr>
          <w:bCs/>
        </w:rPr>
        <w:t>из областного бюджета бюджетам муниципальных образований Волгоградской области субсидий на обеспечение сбалансированности местных бюджетов</w:t>
      </w:r>
      <w:r w:rsidRPr="00493D51">
        <w:t>».</w:t>
      </w:r>
      <w:r w:rsidRPr="00493D51">
        <w:rPr>
          <w:color w:val="FF0000"/>
        </w:rPr>
        <w:t xml:space="preserve"> </w:t>
      </w:r>
      <w:r w:rsidRPr="00493D51">
        <w:t xml:space="preserve">Проектом постановления предусмотрены порядок предоставления субсидий, методика распределения и методика оценки эффективности их предоставления. Право на получение субсидий в 2018 году предусмотрено муниципальным районам Волгоградской области, у которых отсутствуют обязательства по перечислению субсидий в областной бюджет в соответствии со статьей 142.2 БК РФ. </w:t>
      </w:r>
      <w:r>
        <w:t xml:space="preserve">Субсидии предоставляются в целях софинансирования расходных обязательств муниципальных образований, </w:t>
      </w:r>
      <w:r w:rsidRPr="00493D51">
        <w:t xml:space="preserve">возникающих при выполнении полномочий органов местного самоуправления по </w:t>
      </w:r>
      <w:r w:rsidRPr="00493D51">
        <w:rPr>
          <w:bCs/>
        </w:rPr>
        <w:t xml:space="preserve">вопросам местного значения. </w:t>
      </w:r>
      <w:r w:rsidRPr="003B3C86">
        <w:t xml:space="preserve">Объем субсидии конкретному муниципальному образованию </w:t>
      </w:r>
      <w:r w:rsidRPr="009A422F">
        <w:t xml:space="preserve">предлагается формировать как сумму субсидии </w:t>
      </w:r>
      <w:r w:rsidRPr="009A422F">
        <w:lastRenderedPageBreak/>
        <w:t>бюджетам поселений, входящих в состав соответствующих муниципальных районов Волгоградской области, предусмотренной на 2017 год в соответствии с таблицей 3 приложения 26 к Закону Волгоградской области от 26.12.2016 №126-ОД «Об областном бюджете на 2017 год и плановый период 2018 и 2019 годов».</w:t>
      </w:r>
      <w:r>
        <w:t xml:space="preserve"> </w:t>
      </w:r>
    </w:p>
    <w:p w:rsidR="00D0511D" w:rsidRPr="009A422F" w:rsidRDefault="00D0511D" w:rsidP="00D0511D">
      <w:pPr>
        <w:autoSpaceDE w:val="0"/>
        <w:autoSpaceDN w:val="0"/>
        <w:adjustRightInd w:val="0"/>
        <w:ind w:firstLine="851"/>
        <w:jc w:val="both"/>
        <w:rPr>
          <w:bCs/>
        </w:rPr>
      </w:pPr>
      <w:r w:rsidRPr="005F6ED5">
        <w:rPr>
          <w:b/>
          <w:i/>
        </w:rPr>
        <w:t xml:space="preserve">В </w:t>
      </w:r>
      <w:r w:rsidR="005F6ED5">
        <w:rPr>
          <w:b/>
          <w:i/>
        </w:rPr>
        <w:t>части субсидирования местных бюджетов</w:t>
      </w:r>
      <w:r w:rsidRPr="005F6ED5">
        <w:rPr>
          <w:b/>
          <w:i/>
        </w:rPr>
        <w:t xml:space="preserve"> </w:t>
      </w:r>
      <w:r w:rsidR="00CF6D86">
        <w:rPr>
          <w:b/>
          <w:i/>
        </w:rPr>
        <w:t xml:space="preserve">законопроектом </w:t>
      </w:r>
      <w:r w:rsidRPr="005F6ED5">
        <w:rPr>
          <w:b/>
          <w:i/>
        </w:rPr>
        <w:t>планируется ввести новации, смысл которых состоит в том, что весь объем субсидии, который представляется в 2017 году бюджетам поселений, в 2018 году в полном объеме будет передан муниципальным районам</w:t>
      </w:r>
      <w:r w:rsidR="00CF6D86">
        <w:rPr>
          <w:b/>
          <w:i/>
        </w:rPr>
        <w:t>.</w:t>
      </w:r>
      <w:r w:rsidRPr="005F6ED5">
        <w:rPr>
          <w:b/>
          <w:i/>
        </w:rPr>
        <w:t xml:space="preserve"> </w:t>
      </w:r>
      <w:r w:rsidR="00CF6D86">
        <w:t>Э</w:t>
      </w:r>
      <w:r>
        <w:t xml:space="preserve">то позволит муниципальным районам самостоятельно распределять средства между поселениями </w:t>
      </w:r>
      <w:r w:rsidR="002709B9">
        <w:t>с учетом</w:t>
      </w:r>
      <w:r>
        <w:t xml:space="preserve"> объективных обстоятельств. Из пояснений комитета финансов Волгоградской области данная новация создаст возможность учитывать при распределении субсидии особенности инфраструктуры, а также компенсировать разовые выпадающие доходы. </w:t>
      </w:r>
    </w:p>
    <w:p w:rsidR="009D1C66" w:rsidRDefault="00A06D82" w:rsidP="00530205">
      <w:pPr>
        <w:ind w:firstLine="851"/>
        <w:jc w:val="both"/>
        <w:rPr>
          <w:sz w:val="20"/>
          <w:szCs w:val="20"/>
        </w:rPr>
      </w:pPr>
      <w:r>
        <w:t xml:space="preserve">В ходе подготовки </w:t>
      </w:r>
      <w:r w:rsidR="00D0511D" w:rsidRPr="00B71DFF">
        <w:t>заключения осуществлено сопоставление объемов финансовой помощи муниципальным образованиям в 201</w:t>
      </w:r>
      <w:r w:rsidR="00D0511D">
        <w:t>7</w:t>
      </w:r>
      <w:r w:rsidR="00D0511D" w:rsidRPr="00B71DFF">
        <w:t>-201</w:t>
      </w:r>
      <w:r w:rsidR="00D0511D">
        <w:t>8</w:t>
      </w:r>
      <w:r w:rsidR="00D0511D" w:rsidRPr="00B71DFF">
        <w:t xml:space="preserve"> годах, не имеющей целевого характера (расчетные объемы ФФП и субсидии на обеспечение сбалансированности). Сопоставление выполнено без учета объемов отчислений от НДФЛ в местные бюджеты в связи с тем, что нормативы отчислений, установленные БК РФ, Законом области от 28.11.2014 №156-ОД и Законом области от 29.11.2011 №2258-ОД не изменяются. Результаты представлены в таблице.</w:t>
      </w:r>
      <w:r w:rsidR="00530205">
        <w:rPr>
          <w:sz w:val="20"/>
          <w:szCs w:val="20"/>
        </w:rPr>
        <w:t xml:space="preserve">       </w:t>
      </w:r>
    </w:p>
    <w:p w:rsidR="00D0511D" w:rsidRPr="003101E1" w:rsidRDefault="00530205" w:rsidP="00530205">
      <w:pPr>
        <w:ind w:firstLine="851"/>
        <w:jc w:val="both"/>
        <w:rPr>
          <w:sz w:val="20"/>
          <w:szCs w:val="20"/>
        </w:rPr>
      </w:pPr>
      <w:r>
        <w:rPr>
          <w:sz w:val="20"/>
          <w:szCs w:val="20"/>
        </w:rPr>
        <w:t xml:space="preserve">                                                                                                                                        </w:t>
      </w:r>
      <w:r w:rsidR="00D0511D" w:rsidRPr="003101E1">
        <w:rPr>
          <w:sz w:val="20"/>
          <w:szCs w:val="20"/>
        </w:rPr>
        <w:t>млн. руб.</w:t>
      </w:r>
    </w:p>
    <w:tbl>
      <w:tblPr>
        <w:tblW w:w="9369" w:type="dxa"/>
        <w:tblInd w:w="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tblPr>
      <w:tblGrid>
        <w:gridCol w:w="3132"/>
        <w:gridCol w:w="1537"/>
        <w:gridCol w:w="996"/>
        <w:gridCol w:w="1262"/>
        <w:gridCol w:w="1308"/>
        <w:gridCol w:w="1134"/>
      </w:tblGrid>
      <w:tr w:rsidR="00D0511D" w:rsidRPr="002C2791" w:rsidTr="00BC6E75">
        <w:trPr>
          <w:trHeight w:val="20"/>
        </w:trPr>
        <w:tc>
          <w:tcPr>
            <w:tcW w:w="4669" w:type="dxa"/>
            <w:gridSpan w:val="2"/>
            <w:tcBorders>
              <w:top w:val="double" w:sz="4" w:space="0" w:color="auto"/>
              <w:left w:val="double" w:sz="4" w:space="0" w:color="auto"/>
              <w:bottom w:val="double" w:sz="4" w:space="0" w:color="auto"/>
              <w:right w:val="double" w:sz="4" w:space="0" w:color="auto"/>
            </w:tcBorders>
            <w:shd w:val="clear" w:color="auto" w:fill="FFFFCC"/>
            <w:vAlign w:val="center"/>
          </w:tcPr>
          <w:p w:rsidR="00D0511D" w:rsidRPr="002C2791" w:rsidRDefault="00BC6E75" w:rsidP="00D0511D">
            <w:pPr>
              <w:jc w:val="center"/>
              <w:rPr>
                <w:b/>
                <w:sz w:val="22"/>
                <w:szCs w:val="22"/>
              </w:rPr>
            </w:pPr>
            <w:r>
              <w:rPr>
                <w:b/>
                <w:sz w:val="22"/>
                <w:szCs w:val="22"/>
              </w:rPr>
              <w:t>Вид</w:t>
            </w:r>
            <w:r w:rsidR="00D0511D" w:rsidRPr="002C2791">
              <w:rPr>
                <w:b/>
                <w:sz w:val="22"/>
                <w:szCs w:val="22"/>
              </w:rPr>
              <w:t xml:space="preserve"> муниципального образования</w:t>
            </w:r>
          </w:p>
        </w:tc>
        <w:tc>
          <w:tcPr>
            <w:tcW w:w="996" w:type="dxa"/>
            <w:tcBorders>
              <w:top w:val="double" w:sz="4" w:space="0" w:color="auto"/>
              <w:left w:val="double" w:sz="4" w:space="0" w:color="auto"/>
              <w:bottom w:val="double" w:sz="4" w:space="0" w:color="auto"/>
            </w:tcBorders>
            <w:shd w:val="clear" w:color="auto" w:fill="FFFFCC"/>
            <w:vAlign w:val="center"/>
          </w:tcPr>
          <w:p w:rsidR="00D0511D" w:rsidRPr="002C2791" w:rsidRDefault="00D0511D" w:rsidP="00D0511D">
            <w:pPr>
              <w:jc w:val="center"/>
              <w:rPr>
                <w:b/>
                <w:sz w:val="22"/>
                <w:szCs w:val="22"/>
              </w:rPr>
            </w:pPr>
            <w:r w:rsidRPr="002C2791">
              <w:rPr>
                <w:b/>
                <w:sz w:val="22"/>
                <w:szCs w:val="22"/>
              </w:rPr>
              <w:t>Районы</w:t>
            </w:r>
          </w:p>
        </w:tc>
        <w:tc>
          <w:tcPr>
            <w:tcW w:w="1262" w:type="dxa"/>
            <w:tcBorders>
              <w:top w:val="double" w:sz="4" w:space="0" w:color="auto"/>
              <w:bottom w:val="double" w:sz="4" w:space="0" w:color="auto"/>
            </w:tcBorders>
            <w:shd w:val="clear" w:color="auto" w:fill="FFFFCC"/>
            <w:vAlign w:val="center"/>
          </w:tcPr>
          <w:p w:rsidR="00D0511D" w:rsidRPr="002C2791" w:rsidRDefault="00D0511D" w:rsidP="00D0511D">
            <w:pPr>
              <w:jc w:val="center"/>
              <w:rPr>
                <w:b/>
                <w:sz w:val="22"/>
                <w:szCs w:val="22"/>
              </w:rPr>
            </w:pPr>
            <w:r w:rsidRPr="002C2791">
              <w:rPr>
                <w:b/>
                <w:sz w:val="22"/>
                <w:szCs w:val="22"/>
              </w:rPr>
              <w:t>Города</w:t>
            </w:r>
          </w:p>
        </w:tc>
        <w:tc>
          <w:tcPr>
            <w:tcW w:w="1308" w:type="dxa"/>
            <w:tcBorders>
              <w:top w:val="double" w:sz="4" w:space="0" w:color="auto"/>
              <w:bottom w:val="double" w:sz="4" w:space="0" w:color="auto"/>
            </w:tcBorders>
            <w:shd w:val="clear" w:color="auto" w:fill="FFFFCC"/>
            <w:vAlign w:val="center"/>
          </w:tcPr>
          <w:p w:rsidR="00D0511D" w:rsidRPr="002C2791" w:rsidRDefault="00D0511D" w:rsidP="00D0511D">
            <w:pPr>
              <w:jc w:val="center"/>
              <w:rPr>
                <w:b/>
                <w:sz w:val="22"/>
                <w:szCs w:val="22"/>
              </w:rPr>
            </w:pPr>
            <w:r w:rsidRPr="002C2791">
              <w:rPr>
                <w:b/>
                <w:sz w:val="22"/>
                <w:szCs w:val="22"/>
              </w:rPr>
              <w:t>Поселения</w:t>
            </w:r>
          </w:p>
        </w:tc>
        <w:tc>
          <w:tcPr>
            <w:tcW w:w="1134" w:type="dxa"/>
            <w:tcBorders>
              <w:top w:val="double" w:sz="4" w:space="0" w:color="auto"/>
              <w:bottom w:val="double" w:sz="4" w:space="0" w:color="auto"/>
              <w:right w:val="double" w:sz="4" w:space="0" w:color="auto"/>
            </w:tcBorders>
            <w:shd w:val="clear" w:color="auto" w:fill="FFFFCC"/>
            <w:vAlign w:val="center"/>
          </w:tcPr>
          <w:p w:rsidR="00D0511D" w:rsidRPr="002C2791" w:rsidRDefault="00D0511D" w:rsidP="00D0511D">
            <w:pPr>
              <w:ind w:left="-57" w:right="-57"/>
              <w:rPr>
                <w:b/>
                <w:sz w:val="22"/>
                <w:szCs w:val="22"/>
              </w:rPr>
            </w:pPr>
            <w:r w:rsidRPr="002C2791">
              <w:rPr>
                <w:b/>
                <w:sz w:val="22"/>
                <w:szCs w:val="22"/>
              </w:rPr>
              <w:t>Всего по области:</w:t>
            </w:r>
          </w:p>
        </w:tc>
      </w:tr>
      <w:tr w:rsidR="00D0511D" w:rsidRPr="002C2791" w:rsidTr="009D1C66">
        <w:trPr>
          <w:trHeight w:val="20"/>
        </w:trPr>
        <w:tc>
          <w:tcPr>
            <w:tcW w:w="3132" w:type="dxa"/>
            <w:vMerge w:val="restart"/>
            <w:tcBorders>
              <w:top w:val="double" w:sz="4" w:space="0" w:color="auto"/>
              <w:left w:val="double" w:sz="4" w:space="0" w:color="auto"/>
            </w:tcBorders>
            <w:vAlign w:val="center"/>
          </w:tcPr>
          <w:p w:rsidR="00D0511D" w:rsidRPr="002C2791" w:rsidRDefault="00D0511D" w:rsidP="00D0511D">
            <w:pPr>
              <w:jc w:val="center"/>
              <w:rPr>
                <w:sz w:val="22"/>
                <w:szCs w:val="22"/>
              </w:rPr>
            </w:pPr>
            <w:r w:rsidRPr="002C2791">
              <w:rPr>
                <w:sz w:val="22"/>
                <w:szCs w:val="22"/>
              </w:rPr>
              <w:t xml:space="preserve">Дотации из ФФП поселений </w:t>
            </w:r>
          </w:p>
          <w:p w:rsidR="00D0511D" w:rsidRPr="002C2791" w:rsidRDefault="00D0511D" w:rsidP="00D0511D">
            <w:pPr>
              <w:jc w:val="center"/>
              <w:rPr>
                <w:sz w:val="22"/>
                <w:szCs w:val="22"/>
              </w:rPr>
            </w:pPr>
            <w:r w:rsidRPr="002C2791">
              <w:rPr>
                <w:sz w:val="22"/>
                <w:szCs w:val="22"/>
              </w:rPr>
              <w:t>(расчетный объем.)</w:t>
            </w:r>
          </w:p>
        </w:tc>
        <w:tc>
          <w:tcPr>
            <w:tcW w:w="1537" w:type="dxa"/>
            <w:tcBorders>
              <w:top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2017 год</w:t>
            </w:r>
          </w:p>
        </w:tc>
        <w:tc>
          <w:tcPr>
            <w:tcW w:w="996" w:type="dxa"/>
            <w:tcBorders>
              <w:top w:val="double" w:sz="4" w:space="0" w:color="auto"/>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1 862,7</w:t>
            </w:r>
          </w:p>
        </w:tc>
        <w:tc>
          <w:tcPr>
            <w:tcW w:w="1308"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1 066,4</w:t>
            </w:r>
          </w:p>
        </w:tc>
        <w:tc>
          <w:tcPr>
            <w:tcW w:w="1134" w:type="dxa"/>
            <w:tcBorders>
              <w:top w:val="double" w:sz="4" w:space="0" w:color="auto"/>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2 929,1</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2018 год</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rPr>
            </w:pPr>
            <w:r w:rsidRPr="002C2791">
              <w:rPr>
                <w:sz w:val="22"/>
                <w:szCs w:val="22"/>
              </w:rPr>
              <w:t>692,2</w:t>
            </w:r>
          </w:p>
        </w:tc>
        <w:tc>
          <w:tcPr>
            <w:tcW w:w="1308" w:type="dxa"/>
            <w:noWrap/>
            <w:vAlign w:val="center"/>
          </w:tcPr>
          <w:p w:rsidR="00D0511D" w:rsidRPr="002C2791" w:rsidRDefault="00D0511D" w:rsidP="00D0511D">
            <w:pPr>
              <w:jc w:val="right"/>
              <w:rPr>
                <w:sz w:val="22"/>
                <w:szCs w:val="22"/>
              </w:rPr>
            </w:pPr>
            <w:r w:rsidRPr="002C2791">
              <w:rPr>
                <w:sz w:val="22"/>
                <w:szCs w:val="22"/>
              </w:rPr>
              <w:t>1 068,7</w:t>
            </w:r>
          </w:p>
        </w:tc>
        <w:tc>
          <w:tcPr>
            <w:tcW w:w="1134" w:type="dxa"/>
            <w:tcBorders>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1 760,9</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отклонение</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highlight w:val="yellow"/>
              </w:rPr>
            </w:pPr>
            <w:r w:rsidRPr="002C2791">
              <w:rPr>
                <w:sz w:val="22"/>
                <w:szCs w:val="22"/>
              </w:rPr>
              <w:t>- 1 170,5</w:t>
            </w:r>
          </w:p>
        </w:tc>
        <w:tc>
          <w:tcPr>
            <w:tcW w:w="1308" w:type="dxa"/>
            <w:noWrap/>
            <w:vAlign w:val="center"/>
          </w:tcPr>
          <w:p w:rsidR="00D0511D" w:rsidRPr="002C2791" w:rsidRDefault="00D0511D" w:rsidP="00D0511D">
            <w:pPr>
              <w:jc w:val="right"/>
              <w:rPr>
                <w:sz w:val="22"/>
                <w:szCs w:val="22"/>
                <w:highlight w:val="yellow"/>
              </w:rPr>
            </w:pPr>
            <w:r w:rsidRPr="002C2791">
              <w:rPr>
                <w:sz w:val="22"/>
                <w:szCs w:val="22"/>
              </w:rPr>
              <w:t>2,3</w:t>
            </w:r>
          </w:p>
        </w:tc>
        <w:tc>
          <w:tcPr>
            <w:tcW w:w="1134" w:type="dxa"/>
            <w:tcBorders>
              <w:right w:val="double" w:sz="4" w:space="0" w:color="auto"/>
            </w:tcBorders>
            <w:vAlign w:val="center"/>
          </w:tcPr>
          <w:p w:rsidR="00D0511D" w:rsidRPr="002C2791" w:rsidRDefault="00D0511D" w:rsidP="00D0511D">
            <w:pPr>
              <w:jc w:val="right"/>
              <w:rPr>
                <w:sz w:val="22"/>
                <w:szCs w:val="22"/>
              </w:rPr>
            </w:pPr>
            <w:r w:rsidRPr="002C2791">
              <w:rPr>
                <w:sz w:val="22"/>
                <w:szCs w:val="22"/>
              </w:rPr>
              <w:t>- 1 168,2</w:t>
            </w:r>
          </w:p>
        </w:tc>
      </w:tr>
      <w:tr w:rsidR="00D0511D" w:rsidRPr="002C2791" w:rsidTr="009D1C66">
        <w:trPr>
          <w:trHeight w:val="20"/>
        </w:trPr>
        <w:tc>
          <w:tcPr>
            <w:tcW w:w="3132" w:type="dxa"/>
            <w:vMerge/>
            <w:tcBorders>
              <w:left w:val="double" w:sz="4" w:space="0" w:color="auto"/>
              <w:bottom w:val="double" w:sz="4" w:space="0" w:color="auto"/>
            </w:tcBorders>
            <w:vAlign w:val="center"/>
          </w:tcPr>
          <w:p w:rsidR="00D0511D" w:rsidRPr="002C2791" w:rsidRDefault="00D0511D" w:rsidP="00D0511D">
            <w:pPr>
              <w:rPr>
                <w:sz w:val="22"/>
                <w:szCs w:val="22"/>
              </w:rPr>
            </w:pPr>
          </w:p>
        </w:tc>
        <w:tc>
          <w:tcPr>
            <w:tcW w:w="1537" w:type="dxa"/>
            <w:tcBorders>
              <w:bottom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w:t>
            </w:r>
          </w:p>
        </w:tc>
        <w:tc>
          <w:tcPr>
            <w:tcW w:w="996" w:type="dxa"/>
            <w:tcBorders>
              <w:left w:val="double" w:sz="4" w:space="0" w:color="auto"/>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bottom w:val="double" w:sz="4" w:space="0" w:color="auto"/>
            </w:tcBorders>
            <w:noWrap/>
            <w:vAlign w:val="center"/>
          </w:tcPr>
          <w:p w:rsidR="00D0511D" w:rsidRPr="002C2791" w:rsidRDefault="00D0511D" w:rsidP="00D0511D">
            <w:pPr>
              <w:jc w:val="right"/>
              <w:rPr>
                <w:sz w:val="22"/>
                <w:szCs w:val="22"/>
                <w:highlight w:val="yellow"/>
              </w:rPr>
            </w:pPr>
            <w:r w:rsidRPr="002C2791">
              <w:rPr>
                <w:sz w:val="22"/>
                <w:szCs w:val="22"/>
              </w:rPr>
              <w:t>-62,8%</w:t>
            </w:r>
          </w:p>
        </w:tc>
        <w:tc>
          <w:tcPr>
            <w:tcW w:w="1308" w:type="dxa"/>
            <w:tcBorders>
              <w:bottom w:val="double" w:sz="4" w:space="0" w:color="auto"/>
            </w:tcBorders>
            <w:noWrap/>
            <w:vAlign w:val="center"/>
          </w:tcPr>
          <w:p w:rsidR="00D0511D" w:rsidRPr="002C2791" w:rsidRDefault="00D0511D" w:rsidP="00D0511D">
            <w:pPr>
              <w:jc w:val="right"/>
              <w:rPr>
                <w:sz w:val="22"/>
                <w:szCs w:val="22"/>
                <w:highlight w:val="yellow"/>
              </w:rPr>
            </w:pPr>
            <w:r w:rsidRPr="002C2791">
              <w:rPr>
                <w:sz w:val="22"/>
                <w:szCs w:val="22"/>
              </w:rPr>
              <w:t>0,2%</w:t>
            </w:r>
          </w:p>
        </w:tc>
        <w:tc>
          <w:tcPr>
            <w:tcW w:w="1134" w:type="dxa"/>
            <w:tcBorders>
              <w:bottom w:val="double" w:sz="4" w:space="0" w:color="auto"/>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-39,9%</w:t>
            </w:r>
          </w:p>
        </w:tc>
      </w:tr>
      <w:tr w:rsidR="00D0511D" w:rsidRPr="002C2791" w:rsidTr="009D1C66">
        <w:trPr>
          <w:trHeight w:val="20"/>
        </w:trPr>
        <w:tc>
          <w:tcPr>
            <w:tcW w:w="3132" w:type="dxa"/>
            <w:vMerge w:val="restart"/>
            <w:tcBorders>
              <w:top w:val="double" w:sz="4" w:space="0" w:color="auto"/>
              <w:left w:val="double" w:sz="4" w:space="0" w:color="auto"/>
            </w:tcBorders>
            <w:vAlign w:val="center"/>
          </w:tcPr>
          <w:p w:rsidR="00D0511D" w:rsidRPr="002C2791" w:rsidRDefault="00D0511D" w:rsidP="00D0511D">
            <w:pPr>
              <w:jc w:val="center"/>
              <w:rPr>
                <w:sz w:val="22"/>
                <w:szCs w:val="22"/>
              </w:rPr>
            </w:pPr>
            <w:r w:rsidRPr="002C2791">
              <w:rPr>
                <w:sz w:val="22"/>
                <w:szCs w:val="22"/>
              </w:rPr>
              <w:t xml:space="preserve">Дотации из ФФП МР (ГО) </w:t>
            </w:r>
          </w:p>
          <w:p w:rsidR="00D0511D" w:rsidRPr="002C2791" w:rsidRDefault="00D0511D" w:rsidP="00D0511D">
            <w:pPr>
              <w:jc w:val="center"/>
              <w:rPr>
                <w:sz w:val="22"/>
                <w:szCs w:val="22"/>
              </w:rPr>
            </w:pPr>
            <w:r w:rsidRPr="002C2791">
              <w:rPr>
                <w:sz w:val="22"/>
                <w:szCs w:val="22"/>
              </w:rPr>
              <w:t>(расчетный объем)</w:t>
            </w:r>
          </w:p>
        </w:tc>
        <w:tc>
          <w:tcPr>
            <w:tcW w:w="1537" w:type="dxa"/>
            <w:tcBorders>
              <w:top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2017 год</w:t>
            </w:r>
          </w:p>
        </w:tc>
        <w:tc>
          <w:tcPr>
            <w:tcW w:w="996" w:type="dxa"/>
            <w:tcBorders>
              <w:top w:val="double" w:sz="4" w:space="0" w:color="auto"/>
              <w:left w:val="double" w:sz="4" w:space="0" w:color="auto"/>
            </w:tcBorders>
            <w:noWrap/>
            <w:vAlign w:val="center"/>
          </w:tcPr>
          <w:p w:rsidR="00D0511D" w:rsidRPr="002C2791" w:rsidRDefault="00D0511D" w:rsidP="00D0511D">
            <w:pPr>
              <w:jc w:val="right"/>
              <w:rPr>
                <w:sz w:val="22"/>
                <w:szCs w:val="22"/>
              </w:rPr>
            </w:pPr>
            <w:r w:rsidRPr="002C2791">
              <w:rPr>
                <w:sz w:val="22"/>
                <w:szCs w:val="22"/>
              </w:rPr>
              <w:t>3 527,4</w:t>
            </w:r>
          </w:p>
        </w:tc>
        <w:tc>
          <w:tcPr>
            <w:tcW w:w="1262"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911,3</w:t>
            </w:r>
          </w:p>
        </w:tc>
        <w:tc>
          <w:tcPr>
            <w:tcW w:w="1308"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134" w:type="dxa"/>
            <w:tcBorders>
              <w:top w:val="double" w:sz="4" w:space="0" w:color="auto"/>
              <w:right w:val="double" w:sz="4" w:space="0" w:color="auto"/>
            </w:tcBorders>
            <w:vAlign w:val="center"/>
          </w:tcPr>
          <w:p w:rsidR="00D0511D" w:rsidRPr="002C2791" w:rsidRDefault="00D0511D" w:rsidP="00D0511D">
            <w:pPr>
              <w:jc w:val="right"/>
              <w:rPr>
                <w:sz w:val="22"/>
                <w:szCs w:val="22"/>
              </w:rPr>
            </w:pPr>
            <w:r w:rsidRPr="002C2791">
              <w:rPr>
                <w:sz w:val="22"/>
                <w:szCs w:val="22"/>
              </w:rPr>
              <w:t>4 438,7</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2018 год</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3 527,4</w:t>
            </w:r>
          </w:p>
        </w:tc>
        <w:tc>
          <w:tcPr>
            <w:tcW w:w="1262" w:type="dxa"/>
            <w:noWrap/>
            <w:vAlign w:val="center"/>
          </w:tcPr>
          <w:p w:rsidR="00D0511D" w:rsidRPr="002C2791" w:rsidRDefault="00D0511D" w:rsidP="00D0511D">
            <w:pPr>
              <w:jc w:val="right"/>
              <w:rPr>
                <w:sz w:val="22"/>
                <w:szCs w:val="22"/>
              </w:rPr>
            </w:pPr>
            <w:r w:rsidRPr="002C2791">
              <w:rPr>
                <w:sz w:val="22"/>
                <w:szCs w:val="22"/>
              </w:rPr>
              <w:t>924,9</w:t>
            </w:r>
          </w:p>
        </w:tc>
        <w:tc>
          <w:tcPr>
            <w:tcW w:w="1308" w:type="dxa"/>
            <w:noWrap/>
            <w:vAlign w:val="center"/>
          </w:tcPr>
          <w:p w:rsidR="00D0511D" w:rsidRPr="002C2791" w:rsidRDefault="00D0511D" w:rsidP="00D0511D">
            <w:pPr>
              <w:jc w:val="right"/>
              <w:rPr>
                <w:sz w:val="22"/>
                <w:szCs w:val="22"/>
              </w:rPr>
            </w:pPr>
            <w:r w:rsidRPr="002C2791">
              <w:rPr>
                <w:sz w:val="22"/>
                <w:szCs w:val="22"/>
              </w:rPr>
              <w:t>0,0</w:t>
            </w:r>
          </w:p>
        </w:tc>
        <w:tc>
          <w:tcPr>
            <w:tcW w:w="1134" w:type="dxa"/>
            <w:tcBorders>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4 452,3</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отклонение</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rPr>
            </w:pPr>
            <w:r w:rsidRPr="002C2791">
              <w:rPr>
                <w:sz w:val="22"/>
                <w:szCs w:val="22"/>
              </w:rPr>
              <w:t>13,6</w:t>
            </w:r>
          </w:p>
        </w:tc>
        <w:tc>
          <w:tcPr>
            <w:tcW w:w="1308" w:type="dxa"/>
            <w:noWrap/>
            <w:vAlign w:val="center"/>
          </w:tcPr>
          <w:p w:rsidR="00D0511D" w:rsidRPr="002C2791" w:rsidRDefault="00D0511D" w:rsidP="00D0511D">
            <w:pPr>
              <w:jc w:val="right"/>
              <w:rPr>
                <w:sz w:val="22"/>
                <w:szCs w:val="22"/>
              </w:rPr>
            </w:pPr>
            <w:r w:rsidRPr="002C2791">
              <w:rPr>
                <w:sz w:val="22"/>
                <w:szCs w:val="22"/>
              </w:rPr>
              <w:t>0,0</w:t>
            </w:r>
          </w:p>
        </w:tc>
        <w:tc>
          <w:tcPr>
            <w:tcW w:w="1134" w:type="dxa"/>
            <w:tcBorders>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13,6</w:t>
            </w:r>
          </w:p>
        </w:tc>
      </w:tr>
      <w:tr w:rsidR="00D0511D" w:rsidRPr="002C2791" w:rsidTr="009D1C66">
        <w:trPr>
          <w:trHeight w:val="20"/>
        </w:trPr>
        <w:tc>
          <w:tcPr>
            <w:tcW w:w="3132" w:type="dxa"/>
            <w:vMerge/>
            <w:tcBorders>
              <w:left w:val="double" w:sz="4" w:space="0" w:color="auto"/>
              <w:bottom w:val="double" w:sz="4" w:space="0" w:color="auto"/>
            </w:tcBorders>
            <w:vAlign w:val="center"/>
          </w:tcPr>
          <w:p w:rsidR="00D0511D" w:rsidRPr="002C2791" w:rsidRDefault="00D0511D" w:rsidP="00D0511D">
            <w:pPr>
              <w:rPr>
                <w:sz w:val="22"/>
                <w:szCs w:val="22"/>
              </w:rPr>
            </w:pPr>
          </w:p>
        </w:tc>
        <w:tc>
          <w:tcPr>
            <w:tcW w:w="1537" w:type="dxa"/>
            <w:tcBorders>
              <w:bottom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w:t>
            </w:r>
          </w:p>
        </w:tc>
        <w:tc>
          <w:tcPr>
            <w:tcW w:w="996" w:type="dxa"/>
            <w:tcBorders>
              <w:left w:val="double" w:sz="4" w:space="0" w:color="auto"/>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1,5%</w:t>
            </w:r>
          </w:p>
        </w:tc>
        <w:tc>
          <w:tcPr>
            <w:tcW w:w="1308"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134" w:type="dxa"/>
            <w:tcBorders>
              <w:bottom w:val="double" w:sz="4" w:space="0" w:color="auto"/>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0,3%</w:t>
            </w:r>
          </w:p>
        </w:tc>
      </w:tr>
      <w:tr w:rsidR="00D0511D" w:rsidRPr="002C2791" w:rsidTr="009D1C66">
        <w:trPr>
          <w:trHeight w:val="20"/>
        </w:trPr>
        <w:tc>
          <w:tcPr>
            <w:tcW w:w="3132" w:type="dxa"/>
            <w:vMerge w:val="restart"/>
            <w:tcBorders>
              <w:top w:val="double" w:sz="4" w:space="0" w:color="auto"/>
              <w:left w:val="double" w:sz="4" w:space="0" w:color="auto"/>
            </w:tcBorders>
            <w:vAlign w:val="center"/>
          </w:tcPr>
          <w:p w:rsidR="00D0511D" w:rsidRPr="002C2791" w:rsidRDefault="00D0511D" w:rsidP="00D0511D">
            <w:pPr>
              <w:jc w:val="center"/>
              <w:rPr>
                <w:sz w:val="22"/>
                <w:szCs w:val="22"/>
              </w:rPr>
            </w:pPr>
            <w:r w:rsidRPr="002C2791">
              <w:rPr>
                <w:sz w:val="22"/>
                <w:szCs w:val="22"/>
              </w:rPr>
              <w:t>Субсидии на обеспечение сбалансированности местных бюджетов</w:t>
            </w:r>
          </w:p>
        </w:tc>
        <w:tc>
          <w:tcPr>
            <w:tcW w:w="1537" w:type="dxa"/>
            <w:tcBorders>
              <w:top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2017 год</w:t>
            </w:r>
          </w:p>
        </w:tc>
        <w:tc>
          <w:tcPr>
            <w:tcW w:w="996" w:type="dxa"/>
            <w:tcBorders>
              <w:top w:val="double" w:sz="4" w:space="0" w:color="auto"/>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308"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712,5</w:t>
            </w:r>
          </w:p>
        </w:tc>
        <w:tc>
          <w:tcPr>
            <w:tcW w:w="1134" w:type="dxa"/>
            <w:tcBorders>
              <w:top w:val="double" w:sz="4" w:space="0" w:color="auto"/>
              <w:right w:val="double" w:sz="4" w:space="0" w:color="auto"/>
            </w:tcBorders>
            <w:vAlign w:val="center"/>
          </w:tcPr>
          <w:p w:rsidR="00D0511D" w:rsidRPr="002C2791" w:rsidRDefault="00D0511D" w:rsidP="00D0511D">
            <w:pPr>
              <w:jc w:val="right"/>
              <w:rPr>
                <w:sz w:val="22"/>
                <w:szCs w:val="22"/>
              </w:rPr>
            </w:pPr>
            <w:r w:rsidRPr="002C2791">
              <w:rPr>
                <w:sz w:val="22"/>
                <w:szCs w:val="22"/>
              </w:rPr>
              <w:t>712,5</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color w:val="FF0000"/>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2018 год</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rPr>
            </w:pPr>
            <w:r w:rsidRPr="002C2791">
              <w:rPr>
                <w:sz w:val="22"/>
                <w:szCs w:val="22"/>
              </w:rPr>
              <w:t>0,0</w:t>
            </w:r>
          </w:p>
        </w:tc>
        <w:tc>
          <w:tcPr>
            <w:tcW w:w="1308" w:type="dxa"/>
            <w:noWrap/>
            <w:vAlign w:val="center"/>
          </w:tcPr>
          <w:p w:rsidR="00D0511D" w:rsidRPr="002C2791" w:rsidRDefault="00D0511D" w:rsidP="00D0511D">
            <w:pPr>
              <w:jc w:val="right"/>
              <w:rPr>
                <w:sz w:val="22"/>
                <w:szCs w:val="22"/>
              </w:rPr>
            </w:pPr>
            <w:r w:rsidRPr="002C2791">
              <w:rPr>
                <w:sz w:val="22"/>
                <w:szCs w:val="22"/>
              </w:rPr>
              <w:t>712,5</w:t>
            </w:r>
          </w:p>
        </w:tc>
        <w:tc>
          <w:tcPr>
            <w:tcW w:w="1134" w:type="dxa"/>
            <w:tcBorders>
              <w:right w:val="double" w:sz="4" w:space="0" w:color="auto"/>
            </w:tcBorders>
            <w:vAlign w:val="center"/>
          </w:tcPr>
          <w:p w:rsidR="00D0511D" w:rsidRPr="002C2791" w:rsidRDefault="00D0511D" w:rsidP="00D0511D">
            <w:pPr>
              <w:jc w:val="right"/>
              <w:rPr>
                <w:sz w:val="22"/>
                <w:szCs w:val="22"/>
              </w:rPr>
            </w:pPr>
            <w:r w:rsidRPr="002C2791">
              <w:rPr>
                <w:sz w:val="22"/>
                <w:szCs w:val="22"/>
              </w:rPr>
              <w:t>712,5</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color w:val="FF0000"/>
                <w:sz w:val="22"/>
                <w:szCs w:val="22"/>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отклонение</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rPr>
            </w:pPr>
            <w:r w:rsidRPr="002C2791">
              <w:rPr>
                <w:sz w:val="22"/>
                <w:szCs w:val="22"/>
              </w:rPr>
              <w:t>0,0</w:t>
            </w:r>
          </w:p>
        </w:tc>
        <w:tc>
          <w:tcPr>
            <w:tcW w:w="1308" w:type="dxa"/>
            <w:noWrap/>
            <w:vAlign w:val="center"/>
          </w:tcPr>
          <w:p w:rsidR="00D0511D" w:rsidRPr="002C2791" w:rsidRDefault="00D0511D" w:rsidP="00D0511D">
            <w:pPr>
              <w:jc w:val="right"/>
              <w:rPr>
                <w:sz w:val="22"/>
                <w:szCs w:val="22"/>
              </w:rPr>
            </w:pPr>
            <w:r w:rsidRPr="002C2791">
              <w:rPr>
                <w:sz w:val="22"/>
                <w:szCs w:val="22"/>
              </w:rPr>
              <w:t>0,0</w:t>
            </w:r>
          </w:p>
        </w:tc>
        <w:tc>
          <w:tcPr>
            <w:tcW w:w="1134" w:type="dxa"/>
            <w:tcBorders>
              <w:right w:val="double" w:sz="4" w:space="0" w:color="auto"/>
            </w:tcBorders>
            <w:vAlign w:val="center"/>
          </w:tcPr>
          <w:p w:rsidR="00D0511D" w:rsidRPr="002C2791" w:rsidRDefault="00D0511D" w:rsidP="00D0511D">
            <w:pPr>
              <w:jc w:val="right"/>
              <w:rPr>
                <w:sz w:val="22"/>
                <w:szCs w:val="22"/>
              </w:rPr>
            </w:pPr>
            <w:r w:rsidRPr="002C2791">
              <w:rPr>
                <w:sz w:val="22"/>
                <w:szCs w:val="22"/>
              </w:rPr>
              <w:t>0,0</w:t>
            </w:r>
          </w:p>
        </w:tc>
      </w:tr>
      <w:tr w:rsidR="00D0511D" w:rsidRPr="002C2791" w:rsidTr="009D1C66">
        <w:trPr>
          <w:trHeight w:val="20"/>
        </w:trPr>
        <w:tc>
          <w:tcPr>
            <w:tcW w:w="3132" w:type="dxa"/>
            <w:vMerge/>
            <w:tcBorders>
              <w:left w:val="double" w:sz="4" w:space="0" w:color="auto"/>
              <w:bottom w:val="double" w:sz="4" w:space="0" w:color="auto"/>
            </w:tcBorders>
            <w:vAlign w:val="center"/>
          </w:tcPr>
          <w:p w:rsidR="00D0511D" w:rsidRPr="002C2791" w:rsidRDefault="00D0511D" w:rsidP="00D0511D">
            <w:pPr>
              <w:rPr>
                <w:color w:val="FF0000"/>
                <w:sz w:val="22"/>
                <w:szCs w:val="22"/>
              </w:rPr>
            </w:pPr>
          </w:p>
        </w:tc>
        <w:tc>
          <w:tcPr>
            <w:tcW w:w="1537" w:type="dxa"/>
            <w:tcBorders>
              <w:bottom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w:t>
            </w:r>
          </w:p>
        </w:tc>
        <w:tc>
          <w:tcPr>
            <w:tcW w:w="996" w:type="dxa"/>
            <w:tcBorders>
              <w:left w:val="double" w:sz="4" w:space="0" w:color="auto"/>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308"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134" w:type="dxa"/>
            <w:tcBorders>
              <w:bottom w:val="double" w:sz="4" w:space="0" w:color="auto"/>
              <w:right w:val="double" w:sz="4" w:space="0" w:color="auto"/>
            </w:tcBorders>
            <w:vAlign w:val="center"/>
          </w:tcPr>
          <w:p w:rsidR="00D0511D" w:rsidRPr="002C2791" w:rsidRDefault="00D0511D" w:rsidP="00D0511D">
            <w:pPr>
              <w:jc w:val="right"/>
              <w:rPr>
                <w:sz w:val="22"/>
                <w:szCs w:val="22"/>
              </w:rPr>
            </w:pPr>
            <w:r w:rsidRPr="002C2791">
              <w:rPr>
                <w:sz w:val="22"/>
                <w:szCs w:val="22"/>
              </w:rPr>
              <w:t>0,0%</w:t>
            </w:r>
          </w:p>
        </w:tc>
      </w:tr>
      <w:tr w:rsidR="00D0511D" w:rsidRPr="002C2791" w:rsidTr="009D1C66">
        <w:trPr>
          <w:trHeight w:val="20"/>
        </w:trPr>
        <w:tc>
          <w:tcPr>
            <w:tcW w:w="3132" w:type="dxa"/>
            <w:vMerge w:val="restart"/>
            <w:tcBorders>
              <w:top w:val="double" w:sz="4" w:space="0" w:color="auto"/>
              <w:left w:val="double" w:sz="4" w:space="0" w:color="auto"/>
            </w:tcBorders>
            <w:vAlign w:val="center"/>
          </w:tcPr>
          <w:p w:rsidR="00D0511D" w:rsidRPr="002C2791" w:rsidRDefault="00D0511D" w:rsidP="00D0511D">
            <w:pPr>
              <w:jc w:val="center"/>
              <w:rPr>
                <w:sz w:val="22"/>
                <w:szCs w:val="22"/>
              </w:rPr>
            </w:pPr>
            <w:r w:rsidRPr="002C2791">
              <w:rPr>
                <w:sz w:val="22"/>
                <w:szCs w:val="22"/>
              </w:rPr>
              <w:t>ИТОГО                                             финансовая помощь</w:t>
            </w:r>
          </w:p>
        </w:tc>
        <w:tc>
          <w:tcPr>
            <w:tcW w:w="1537" w:type="dxa"/>
            <w:tcBorders>
              <w:top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2017 год</w:t>
            </w:r>
          </w:p>
        </w:tc>
        <w:tc>
          <w:tcPr>
            <w:tcW w:w="996" w:type="dxa"/>
            <w:tcBorders>
              <w:top w:val="double" w:sz="4" w:space="0" w:color="auto"/>
              <w:left w:val="double" w:sz="4" w:space="0" w:color="auto"/>
            </w:tcBorders>
            <w:noWrap/>
            <w:vAlign w:val="center"/>
          </w:tcPr>
          <w:p w:rsidR="00D0511D" w:rsidRPr="002C2791" w:rsidRDefault="00D0511D" w:rsidP="00D0511D">
            <w:pPr>
              <w:jc w:val="right"/>
              <w:rPr>
                <w:sz w:val="22"/>
                <w:szCs w:val="22"/>
              </w:rPr>
            </w:pPr>
            <w:r w:rsidRPr="002C2791">
              <w:rPr>
                <w:sz w:val="22"/>
                <w:szCs w:val="22"/>
              </w:rPr>
              <w:t>3 527,4</w:t>
            </w:r>
          </w:p>
        </w:tc>
        <w:tc>
          <w:tcPr>
            <w:tcW w:w="1262"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2 774,0</w:t>
            </w:r>
          </w:p>
        </w:tc>
        <w:tc>
          <w:tcPr>
            <w:tcW w:w="1308" w:type="dxa"/>
            <w:tcBorders>
              <w:top w:val="double" w:sz="4" w:space="0" w:color="auto"/>
            </w:tcBorders>
            <w:noWrap/>
            <w:vAlign w:val="center"/>
          </w:tcPr>
          <w:p w:rsidR="00D0511D" w:rsidRPr="002C2791" w:rsidRDefault="00D0511D" w:rsidP="00D0511D">
            <w:pPr>
              <w:jc w:val="right"/>
              <w:rPr>
                <w:sz w:val="22"/>
                <w:szCs w:val="22"/>
              </w:rPr>
            </w:pPr>
            <w:r w:rsidRPr="002C2791">
              <w:rPr>
                <w:sz w:val="22"/>
                <w:szCs w:val="22"/>
              </w:rPr>
              <w:t>1 778,9</w:t>
            </w:r>
          </w:p>
        </w:tc>
        <w:tc>
          <w:tcPr>
            <w:tcW w:w="1134" w:type="dxa"/>
            <w:tcBorders>
              <w:top w:val="double" w:sz="4" w:space="0" w:color="auto"/>
              <w:right w:val="double" w:sz="4" w:space="0" w:color="auto"/>
            </w:tcBorders>
            <w:vAlign w:val="center"/>
          </w:tcPr>
          <w:p w:rsidR="00D0511D" w:rsidRPr="002C2791" w:rsidRDefault="00D0511D" w:rsidP="00D0511D">
            <w:pPr>
              <w:jc w:val="right"/>
              <w:rPr>
                <w:sz w:val="22"/>
                <w:szCs w:val="22"/>
              </w:rPr>
            </w:pPr>
            <w:r w:rsidRPr="002C2791">
              <w:rPr>
                <w:sz w:val="22"/>
                <w:szCs w:val="22"/>
              </w:rPr>
              <w:t>8 080,3</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highlight w:val="yellow"/>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2018 год</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3 527,4</w:t>
            </w:r>
          </w:p>
        </w:tc>
        <w:tc>
          <w:tcPr>
            <w:tcW w:w="1262" w:type="dxa"/>
            <w:noWrap/>
            <w:vAlign w:val="center"/>
          </w:tcPr>
          <w:p w:rsidR="00D0511D" w:rsidRPr="002C2791" w:rsidRDefault="00D0511D" w:rsidP="00D0511D">
            <w:pPr>
              <w:jc w:val="right"/>
              <w:rPr>
                <w:sz w:val="22"/>
                <w:szCs w:val="22"/>
              </w:rPr>
            </w:pPr>
            <w:r w:rsidRPr="002C2791">
              <w:rPr>
                <w:sz w:val="22"/>
                <w:szCs w:val="22"/>
              </w:rPr>
              <w:t>1 617,1</w:t>
            </w:r>
          </w:p>
        </w:tc>
        <w:tc>
          <w:tcPr>
            <w:tcW w:w="1308" w:type="dxa"/>
            <w:noWrap/>
            <w:vAlign w:val="center"/>
          </w:tcPr>
          <w:p w:rsidR="00D0511D" w:rsidRPr="002C2791" w:rsidRDefault="00D0511D" w:rsidP="00D0511D">
            <w:pPr>
              <w:jc w:val="right"/>
              <w:rPr>
                <w:sz w:val="22"/>
                <w:szCs w:val="22"/>
              </w:rPr>
            </w:pPr>
            <w:r w:rsidRPr="002C2791">
              <w:rPr>
                <w:sz w:val="22"/>
                <w:szCs w:val="22"/>
              </w:rPr>
              <w:t>1 781,2</w:t>
            </w:r>
          </w:p>
        </w:tc>
        <w:tc>
          <w:tcPr>
            <w:tcW w:w="1134" w:type="dxa"/>
            <w:tcBorders>
              <w:right w:val="double" w:sz="4" w:space="0" w:color="auto"/>
            </w:tcBorders>
            <w:vAlign w:val="center"/>
          </w:tcPr>
          <w:p w:rsidR="00D0511D" w:rsidRPr="002C2791" w:rsidRDefault="00D0511D" w:rsidP="00D0511D">
            <w:pPr>
              <w:jc w:val="right"/>
              <w:rPr>
                <w:sz w:val="22"/>
                <w:szCs w:val="22"/>
                <w:highlight w:val="yellow"/>
              </w:rPr>
            </w:pPr>
            <w:r w:rsidRPr="002C2791">
              <w:rPr>
                <w:sz w:val="22"/>
                <w:szCs w:val="22"/>
              </w:rPr>
              <w:t>6 925,7</w:t>
            </w:r>
          </w:p>
        </w:tc>
      </w:tr>
      <w:tr w:rsidR="00D0511D" w:rsidRPr="002C2791" w:rsidTr="009D1C66">
        <w:trPr>
          <w:trHeight w:val="20"/>
        </w:trPr>
        <w:tc>
          <w:tcPr>
            <w:tcW w:w="3132" w:type="dxa"/>
            <w:vMerge/>
            <w:tcBorders>
              <w:left w:val="double" w:sz="4" w:space="0" w:color="auto"/>
            </w:tcBorders>
            <w:vAlign w:val="center"/>
          </w:tcPr>
          <w:p w:rsidR="00D0511D" w:rsidRPr="002C2791" w:rsidRDefault="00D0511D" w:rsidP="00D0511D">
            <w:pPr>
              <w:rPr>
                <w:sz w:val="22"/>
                <w:szCs w:val="22"/>
                <w:highlight w:val="yellow"/>
              </w:rPr>
            </w:pPr>
          </w:p>
        </w:tc>
        <w:tc>
          <w:tcPr>
            <w:tcW w:w="1537" w:type="dxa"/>
            <w:tcBorders>
              <w:right w:val="double" w:sz="4" w:space="0" w:color="auto"/>
            </w:tcBorders>
            <w:vAlign w:val="center"/>
          </w:tcPr>
          <w:p w:rsidR="00D0511D" w:rsidRPr="002C2791" w:rsidRDefault="00D0511D" w:rsidP="00D0511D">
            <w:pPr>
              <w:jc w:val="center"/>
              <w:rPr>
                <w:sz w:val="22"/>
                <w:szCs w:val="22"/>
              </w:rPr>
            </w:pPr>
            <w:r w:rsidRPr="002C2791">
              <w:rPr>
                <w:sz w:val="22"/>
                <w:szCs w:val="22"/>
              </w:rPr>
              <w:t>отклонение</w:t>
            </w:r>
          </w:p>
        </w:tc>
        <w:tc>
          <w:tcPr>
            <w:tcW w:w="996" w:type="dxa"/>
            <w:tcBorders>
              <w:left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noWrap/>
            <w:vAlign w:val="center"/>
          </w:tcPr>
          <w:p w:rsidR="00D0511D" w:rsidRPr="002C2791" w:rsidRDefault="00D0511D" w:rsidP="00D0511D">
            <w:pPr>
              <w:jc w:val="right"/>
              <w:rPr>
                <w:sz w:val="22"/>
                <w:szCs w:val="22"/>
              </w:rPr>
            </w:pPr>
            <w:r w:rsidRPr="002C2791">
              <w:rPr>
                <w:sz w:val="22"/>
                <w:szCs w:val="22"/>
              </w:rPr>
              <w:t>-1 156,9</w:t>
            </w:r>
          </w:p>
        </w:tc>
        <w:tc>
          <w:tcPr>
            <w:tcW w:w="1308" w:type="dxa"/>
            <w:noWrap/>
            <w:vAlign w:val="center"/>
          </w:tcPr>
          <w:p w:rsidR="00D0511D" w:rsidRPr="002C2791" w:rsidRDefault="00D0511D" w:rsidP="00D0511D">
            <w:pPr>
              <w:jc w:val="right"/>
              <w:rPr>
                <w:sz w:val="22"/>
                <w:szCs w:val="22"/>
              </w:rPr>
            </w:pPr>
            <w:r w:rsidRPr="002C2791">
              <w:rPr>
                <w:sz w:val="22"/>
                <w:szCs w:val="22"/>
              </w:rPr>
              <w:t>2,3</w:t>
            </w:r>
          </w:p>
        </w:tc>
        <w:tc>
          <w:tcPr>
            <w:tcW w:w="1134" w:type="dxa"/>
            <w:tcBorders>
              <w:right w:val="double" w:sz="4" w:space="0" w:color="auto"/>
            </w:tcBorders>
            <w:vAlign w:val="center"/>
          </w:tcPr>
          <w:p w:rsidR="00D0511D" w:rsidRPr="002C2791" w:rsidRDefault="00D0511D" w:rsidP="00D0511D">
            <w:pPr>
              <w:jc w:val="right"/>
              <w:rPr>
                <w:sz w:val="22"/>
                <w:szCs w:val="22"/>
              </w:rPr>
            </w:pPr>
            <w:r w:rsidRPr="002C2791">
              <w:rPr>
                <w:sz w:val="22"/>
                <w:szCs w:val="22"/>
              </w:rPr>
              <w:t>-1 154,6</w:t>
            </w:r>
          </w:p>
        </w:tc>
      </w:tr>
      <w:tr w:rsidR="00D0511D" w:rsidRPr="002C2791" w:rsidTr="009D1C66">
        <w:trPr>
          <w:trHeight w:val="20"/>
        </w:trPr>
        <w:tc>
          <w:tcPr>
            <w:tcW w:w="3132" w:type="dxa"/>
            <w:vMerge/>
            <w:tcBorders>
              <w:left w:val="double" w:sz="4" w:space="0" w:color="auto"/>
              <w:bottom w:val="double" w:sz="4" w:space="0" w:color="auto"/>
            </w:tcBorders>
            <w:vAlign w:val="center"/>
          </w:tcPr>
          <w:p w:rsidR="00D0511D" w:rsidRPr="002C2791" w:rsidRDefault="00D0511D" w:rsidP="00D0511D">
            <w:pPr>
              <w:rPr>
                <w:sz w:val="22"/>
                <w:szCs w:val="22"/>
                <w:highlight w:val="yellow"/>
              </w:rPr>
            </w:pPr>
          </w:p>
        </w:tc>
        <w:tc>
          <w:tcPr>
            <w:tcW w:w="1537" w:type="dxa"/>
            <w:tcBorders>
              <w:bottom w:val="double" w:sz="4" w:space="0" w:color="auto"/>
              <w:right w:val="double" w:sz="4" w:space="0" w:color="auto"/>
            </w:tcBorders>
            <w:vAlign w:val="center"/>
          </w:tcPr>
          <w:p w:rsidR="00D0511D" w:rsidRPr="002C2791" w:rsidRDefault="00D0511D" w:rsidP="00D0511D">
            <w:pPr>
              <w:jc w:val="center"/>
              <w:rPr>
                <w:sz w:val="22"/>
                <w:szCs w:val="22"/>
              </w:rPr>
            </w:pPr>
            <w:r w:rsidRPr="002C2791">
              <w:rPr>
                <w:sz w:val="22"/>
                <w:szCs w:val="22"/>
              </w:rPr>
              <w:t>%%</w:t>
            </w:r>
          </w:p>
        </w:tc>
        <w:tc>
          <w:tcPr>
            <w:tcW w:w="996" w:type="dxa"/>
            <w:tcBorders>
              <w:left w:val="double" w:sz="4" w:space="0" w:color="auto"/>
              <w:bottom w:val="double" w:sz="4" w:space="0" w:color="auto"/>
            </w:tcBorders>
            <w:noWrap/>
            <w:vAlign w:val="center"/>
          </w:tcPr>
          <w:p w:rsidR="00D0511D" w:rsidRPr="002C2791" w:rsidRDefault="00D0511D" w:rsidP="00D0511D">
            <w:pPr>
              <w:jc w:val="right"/>
              <w:rPr>
                <w:sz w:val="22"/>
                <w:szCs w:val="22"/>
              </w:rPr>
            </w:pPr>
            <w:r w:rsidRPr="002C2791">
              <w:rPr>
                <w:sz w:val="22"/>
                <w:szCs w:val="22"/>
              </w:rPr>
              <w:t>0,0%</w:t>
            </w:r>
          </w:p>
        </w:tc>
        <w:tc>
          <w:tcPr>
            <w:tcW w:w="1262"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-41,7%</w:t>
            </w:r>
          </w:p>
        </w:tc>
        <w:tc>
          <w:tcPr>
            <w:tcW w:w="1308" w:type="dxa"/>
            <w:tcBorders>
              <w:bottom w:val="double" w:sz="4" w:space="0" w:color="auto"/>
            </w:tcBorders>
            <w:noWrap/>
            <w:vAlign w:val="center"/>
          </w:tcPr>
          <w:p w:rsidR="00D0511D" w:rsidRPr="002C2791" w:rsidRDefault="00D0511D" w:rsidP="00D0511D">
            <w:pPr>
              <w:jc w:val="right"/>
              <w:rPr>
                <w:sz w:val="22"/>
                <w:szCs w:val="22"/>
              </w:rPr>
            </w:pPr>
            <w:r w:rsidRPr="002C2791">
              <w:rPr>
                <w:sz w:val="22"/>
                <w:szCs w:val="22"/>
              </w:rPr>
              <w:t>0,1%</w:t>
            </w:r>
          </w:p>
        </w:tc>
        <w:tc>
          <w:tcPr>
            <w:tcW w:w="1134" w:type="dxa"/>
            <w:tcBorders>
              <w:bottom w:val="double" w:sz="4" w:space="0" w:color="auto"/>
              <w:right w:val="double" w:sz="4" w:space="0" w:color="auto"/>
            </w:tcBorders>
            <w:vAlign w:val="center"/>
          </w:tcPr>
          <w:p w:rsidR="00D0511D" w:rsidRPr="002C2791" w:rsidRDefault="00D0511D" w:rsidP="00D0511D">
            <w:pPr>
              <w:jc w:val="right"/>
              <w:rPr>
                <w:sz w:val="22"/>
                <w:szCs w:val="22"/>
              </w:rPr>
            </w:pPr>
            <w:r w:rsidRPr="002C2791">
              <w:rPr>
                <w:sz w:val="22"/>
                <w:szCs w:val="22"/>
              </w:rPr>
              <w:t>-14,3%</w:t>
            </w:r>
          </w:p>
        </w:tc>
      </w:tr>
    </w:tbl>
    <w:p w:rsidR="003101E1" w:rsidRDefault="003101E1" w:rsidP="00D0511D">
      <w:pPr>
        <w:autoSpaceDE w:val="0"/>
        <w:autoSpaceDN w:val="0"/>
        <w:adjustRightInd w:val="0"/>
        <w:ind w:firstLine="851"/>
        <w:jc w:val="both"/>
      </w:pPr>
    </w:p>
    <w:p w:rsidR="00D0511D" w:rsidRDefault="00D0511D" w:rsidP="00D0511D">
      <w:pPr>
        <w:autoSpaceDE w:val="0"/>
        <w:autoSpaceDN w:val="0"/>
        <w:adjustRightInd w:val="0"/>
        <w:ind w:firstLine="851"/>
        <w:jc w:val="both"/>
      </w:pPr>
      <w:r w:rsidRPr="00A1076D">
        <w:t>В 2018 году о</w:t>
      </w:r>
      <w:r w:rsidRPr="00A1076D">
        <w:rPr>
          <w:bCs/>
        </w:rPr>
        <w:t xml:space="preserve">бщее изменение финансового положения местных бюджетов </w:t>
      </w:r>
      <w:r w:rsidRPr="00210D10">
        <w:rPr>
          <w:bCs/>
        </w:rPr>
        <w:t xml:space="preserve">характеризуется </w:t>
      </w:r>
      <w:r w:rsidRPr="00B86D4B">
        <w:rPr>
          <w:bCs/>
        </w:rPr>
        <w:t xml:space="preserve">уменьшением финансовых возможностей </w:t>
      </w:r>
      <w:r w:rsidRPr="00210D10">
        <w:rPr>
          <w:bCs/>
        </w:rPr>
        <w:t>муниципалитетов на 1154,6 млн.</w:t>
      </w:r>
      <w:r w:rsidRPr="00A1076D">
        <w:rPr>
          <w:bCs/>
        </w:rPr>
        <w:t xml:space="preserve"> руб., или на 14,3 процента. </w:t>
      </w:r>
      <w:r>
        <w:rPr>
          <w:bCs/>
        </w:rPr>
        <w:t>Финансовая помощь муниципальным районам в 2018 году по сравнению в 2017 годом не изменилась</w:t>
      </w:r>
      <w:r w:rsidRPr="00A1076D">
        <w:rPr>
          <w:bCs/>
        </w:rPr>
        <w:t>. Уменьшение финансовой помощи по городским округам составило 1156,9 млн. руб. (-41,7%</w:t>
      </w:r>
      <w:r>
        <w:rPr>
          <w:bCs/>
        </w:rPr>
        <w:t xml:space="preserve">) по причине </w:t>
      </w:r>
      <w:r>
        <w:t>превышения</w:t>
      </w:r>
      <w:r w:rsidRPr="006C61A3">
        <w:t xml:space="preserve"> в отчетном финансовом году расчетных налоговых доходов бюджета г.Волгограда (без учета налоговых доходов по дополнительным нормативам отчислений) 1,3-кратного среднего уровня по муниципальным районам (городским округам) в расчете на одного жителя</w:t>
      </w:r>
      <w:r>
        <w:t xml:space="preserve">. </w:t>
      </w:r>
      <w:r w:rsidRPr="00A1076D">
        <w:rPr>
          <w:bCs/>
        </w:rPr>
        <w:t>Объем финансовой помощи сельским поселениям увеличен на 2,3 млн. руб. (+0,1%)</w:t>
      </w:r>
      <w:r w:rsidRPr="00A1076D">
        <w:t>.</w:t>
      </w:r>
    </w:p>
    <w:p w:rsidR="0086621C" w:rsidRPr="0086621C" w:rsidRDefault="0086621C" w:rsidP="0086621C">
      <w:pPr>
        <w:autoSpaceDE w:val="0"/>
        <w:autoSpaceDN w:val="0"/>
        <w:adjustRightInd w:val="0"/>
        <w:ind w:firstLineChars="354" w:firstLine="850"/>
        <w:jc w:val="both"/>
      </w:pPr>
      <w:r w:rsidRPr="0086621C">
        <w:t xml:space="preserve">С </w:t>
      </w:r>
      <w:r>
        <w:t>з</w:t>
      </w:r>
      <w:r w:rsidRPr="0086621C">
        <w:t>аконопроектом представлены проекты постановлений Администрации Волгоградской области по двум новым видам финансовой поддержки:</w:t>
      </w:r>
    </w:p>
    <w:p w:rsidR="0086621C" w:rsidRPr="0086621C" w:rsidRDefault="0086621C" w:rsidP="0086621C">
      <w:pPr>
        <w:pStyle w:val="Default"/>
        <w:ind w:firstLine="708"/>
        <w:jc w:val="both"/>
      </w:pPr>
      <w:r w:rsidRPr="0086621C">
        <w:t xml:space="preserve">-дотации бюджетам муниципальных районов, городских округов Волгоградской области на поддержку мер по обеспечению сбалансированности местных бюджетов для решения отдельных вопросов местного значения в связи с проведением муниципальными </w:t>
      </w:r>
      <w:r w:rsidRPr="0086621C">
        <w:lastRenderedPageBreak/>
        <w:t>районами (городскими округами) мероприятий по увеличению поступлений от налога на доходы физических лиц в бюджет Волгоградской области</w:t>
      </w:r>
      <w:r>
        <w:t xml:space="preserve"> </w:t>
      </w:r>
      <w:r w:rsidRPr="0086621C">
        <w:t xml:space="preserve">с целью стимулирования органов местного самоуправления </w:t>
      </w:r>
      <w:r>
        <w:t>на</w:t>
      </w:r>
      <w:r w:rsidRPr="0086621C">
        <w:t xml:space="preserve"> увеличени</w:t>
      </w:r>
      <w:r>
        <w:t>е</w:t>
      </w:r>
      <w:r w:rsidRPr="0086621C">
        <w:t xml:space="preserve"> поступлений от НДФЛ в течени</w:t>
      </w:r>
      <w:r>
        <w:t>е</w:t>
      </w:r>
      <w:r w:rsidRPr="0086621C">
        <w:t xml:space="preserve"> финансового года. Инструментом стимулирования является предоставление в течени</w:t>
      </w:r>
      <w:r>
        <w:t>е</w:t>
      </w:r>
      <w:r w:rsidRPr="0086621C">
        <w:t xml:space="preserve"> финансового года муниципальным районам и городским округам дополнительной финансовой помощи </w:t>
      </w:r>
      <w:r>
        <w:t>-</w:t>
      </w:r>
      <w:r w:rsidRPr="0086621C">
        <w:t xml:space="preserve"> дотации на поддержку мер по обеспечению сбалансированности при условии перевыполнения </w:t>
      </w:r>
      <w:r>
        <w:t xml:space="preserve">ими </w:t>
      </w:r>
      <w:r w:rsidRPr="0086621C">
        <w:t xml:space="preserve">прогнозных показателей по НДФЛ, учитываемых при формировании бюджета, не менее, чем на 5%; </w:t>
      </w:r>
    </w:p>
    <w:p w:rsidR="0086621C" w:rsidRPr="00EC460D" w:rsidRDefault="0086621C" w:rsidP="0086621C">
      <w:pPr>
        <w:pStyle w:val="Default"/>
        <w:ind w:firstLine="708"/>
        <w:jc w:val="both"/>
      </w:pPr>
      <w:r w:rsidRPr="0086621C">
        <w:t xml:space="preserve">-субсидии бюджетам муниципальных районов, городских округов Волгоградской области на дорожную деятельность в связи с увеличением поступлений в областной бюджет по транспортному налогу с целью стимулирования органов местного самоуправления </w:t>
      </w:r>
      <w:r>
        <w:t>на</w:t>
      </w:r>
      <w:r w:rsidRPr="0086621C">
        <w:t xml:space="preserve"> снижени</w:t>
      </w:r>
      <w:r>
        <w:t>е</w:t>
      </w:r>
      <w:r w:rsidRPr="0086621C">
        <w:t xml:space="preserve"> на территории муниципального образования задолженности по транспортному налогу в течени</w:t>
      </w:r>
      <w:r>
        <w:t>е</w:t>
      </w:r>
      <w:r w:rsidRPr="0086621C">
        <w:t xml:space="preserve"> финансового года. Инструментом стимулирования является предоставление в течени</w:t>
      </w:r>
      <w:r>
        <w:t>е</w:t>
      </w:r>
      <w:r w:rsidRPr="0086621C">
        <w:t xml:space="preserve"> финансового года муниципальным районам и городским округам дополнительной финансовой помощи </w:t>
      </w:r>
      <w:r>
        <w:t>-</w:t>
      </w:r>
      <w:r w:rsidRPr="0086621C">
        <w:t xml:space="preserve"> субсидии из дорожного фонда при условии сокращения задолженности по транспортному налогу не менее, чем на 10 процентов.</w:t>
      </w:r>
      <w:r w:rsidRPr="00EC460D">
        <w:t xml:space="preserve"> </w:t>
      </w:r>
    </w:p>
    <w:p w:rsidR="00D0511D" w:rsidRPr="00D75330" w:rsidRDefault="00D0511D" w:rsidP="00D0511D">
      <w:pPr>
        <w:ind w:firstLine="851"/>
        <w:jc w:val="both"/>
      </w:pPr>
      <w:r w:rsidRPr="00D75330">
        <w:t xml:space="preserve">Законопроектом </w:t>
      </w:r>
      <w:r w:rsidRPr="00D75330">
        <w:rPr>
          <w:b/>
          <w:i/>
        </w:rPr>
        <w:t>общий объем субвенций бюджетам муниципальных образований</w:t>
      </w:r>
      <w:r w:rsidRPr="00D75330">
        <w:t xml:space="preserve"> на 201</w:t>
      </w:r>
      <w:r w:rsidR="00706F96">
        <w:t>8</w:t>
      </w:r>
      <w:r w:rsidRPr="00D75330">
        <w:t xml:space="preserve"> год предусмотрен в сумме </w:t>
      </w:r>
      <w:r>
        <w:t>16480,6 млн. руб. с увеличением</w:t>
      </w:r>
      <w:r w:rsidRPr="00D75330">
        <w:t xml:space="preserve"> к объему 201</w:t>
      </w:r>
      <w:r>
        <w:t>7</w:t>
      </w:r>
      <w:r w:rsidRPr="00D75330">
        <w:t xml:space="preserve"> года на </w:t>
      </w:r>
      <w:r>
        <w:t xml:space="preserve">3126,2 </w:t>
      </w:r>
      <w:r w:rsidRPr="00D75330">
        <w:t xml:space="preserve"> млн. руб., или на </w:t>
      </w:r>
      <w:r>
        <w:t>23,4</w:t>
      </w:r>
      <w:r w:rsidRPr="00D75330">
        <w:t xml:space="preserve"> процента.</w:t>
      </w:r>
      <w:r w:rsidRPr="00B62248">
        <w:rPr>
          <w:color w:val="FF0000"/>
        </w:rPr>
        <w:t xml:space="preserve"> </w:t>
      </w:r>
      <w:r w:rsidRPr="00D75330">
        <w:t>Субвенции предоставляются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переданных для осуществления органам местного самоуправления.</w:t>
      </w:r>
    </w:p>
    <w:p w:rsidR="00D0511D" w:rsidRDefault="00D0511D" w:rsidP="00D0511D">
      <w:pPr>
        <w:ind w:firstLine="851"/>
        <w:jc w:val="both"/>
      </w:pPr>
      <w:r w:rsidRPr="00F12A47">
        <w:t>В 201</w:t>
      </w:r>
      <w:r>
        <w:t>8</w:t>
      </w:r>
      <w:r w:rsidRPr="00F12A47">
        <w:t xml:space="preserve"> году планируется </w:t>
      </w:r>
      <w:r w:rsidRPr="00931187">
        <w:t xml:space="preserve">финансирование 28 субвенций. По сравнению с 2017 годом (24 субвенции) их количество увеличилось на 4 </w:t>
      </w:r>
      <w:r w:rsidR="00706F96">
        <w:t>с</w:t>
      </w:r>
      <w:r w:rsidRPr="00931187">
        <w:t xml:space="preserve">убвенции за </w:t>
      </w:r>
      <w:r w:rsidRPr="007017B6">
        <w:t>счет включения нов</w:t>
      </w:r>
      <w:r w:rsidR="00706F96">
        <w:t>ых</w:t>
      </w:r>
      <w:r w:rsidRPr="007017B6">
        <w:t xml:space="preserve"> вид</w:t>
      </w:r>
      <w:r w:rsidR="00706F96">
        <w:t>ов</w:t>
      </w:r>
      <w:r w:rsidRPr="007017B6">
        <w:t xml:space="preserve"> субвенци</w:t>
      </w:r>
      <w:r w:rsidR="00706F96">
        <w:t>й</w:t>
      </w:r>
      <w:r w:rsidRPr="007017B6">
        <w:t>:</w:t>
      </w:r>
    </w:p>
    <w:p w:rsidR="00D0511D" w:rsidRPr="00150672" w:rsidRDefault="00D0511D" w:rsidP="00D0511D">
      <w:pPr>
        <w:ind w:firstLine="720"/>
        <w:jc w:val="both"/>
      </w:pPr>
      <w:r w:rsidRPr="00150672">
        <w:t>-на осуществление образовательного процесса по реализации образовательных программ дошкольн</w:t>
      </w:r>
      <w:r w:rsidR="00280621">
        <w:t>ого образования муниципальными обще</w:t>
      </w:r>
      <w:r w:rsidRPr="00150672">
        <w:t>образовательными организациями в сумме 371,6 млн.</w:t>
      </w:r>
      <w:r w:rsidR="003B6729">
        <w:t xml:space="preserve"> </w:t>
      </w:r>
      <w:r w:rsidRPr="00150672">
        <w:t>руб.;</w:t>
      </w:r>
    </w:p>
    <w:p w:rsidR="00D0511D" w:rsidRPr="00150672" w:rsidRDefault="00D0511D" w:rsidP="00D0511D">
      <w:pPr>
        <w:ind w:firstLine="708"/>
        <w:jc w:val="both"/>
      </w:pPr>
      <w:r w:rsidRPr="00150672">
        <w:t>-на осуществление образовательного процесса по реализации образовательных программ дошкольного образования частными общеобразовательными организациями, имеющими государственную аккредитацию в сумме 11,6 млн</w:t>
      </w:r>
      <w:r w:rsidR="003B6729" w:rsidRPr="00150672">
        <w:t>. р</w:t>
      </w:r>
      <w:r w:rsidRPr="00150672">
        <w:t>уб.;</w:t>
      </w:r>
    </w:p>
    <w:p w:rsidR="00D0511D" w:rsidRPr="00150672" w:rsidRDefault="00D0511D" w:rsidP="00D0511D">
      <w:pPr>
        <w:ind w:firstLine="708"/>
        <w:jc w:val="both"/>
      </w:pPr>
      <w:r w:rsidRPr="00150672">
        <w:t>-на осуществление полномочий Волгоградской области, переданных органам местного самоуправления по предупреждению и ликвидации болезней животных, их лечению, защите населения от болезней, общих для человека и животных, в части реконструкции и содержания скотомогильников (биотермических ям) (поселения) в сумме 17 млн</w:t>
      </w:r>
      <w:r w:rsidR="003B6729" w:rsidRPr="00150672">
        <w:t>. р</w:t>
      </w:r>
      <w:r w:rsidRPr="00150672">
        <w:t>уб.;</w:t>
      </w:r>
    </w:p>
    <w:p w:rsidR="00D0511D" w:rsidRDefault="00D0511D" w:rsidP="00D0511D">
      <w:pPr>
        <w:ind w:firstLine="708"/>
        <w:jc w:val="both"/>
      </w:pPr>
      <w:r w:rsidRPr="00150672">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14,2 млн. рублей.</w:t>
      </w:r>
    </w:p>
    <w:p w:rsidR="00D0511D" w:rsidRPr="00150672" w:rsidRDefault="00D0511D" w:rsidP="00D0511D">
      <w:pPr>
        <w:ind w:firstLine="851"/>
        <w:jc w:val="both"/>
      </w:pPr>
      <w:r w:rsidRPr="00150672">
        <w:t>Наибольшее увеличение объемов в абсолютных величинах отмечается по следующим субвенциям:</w:t>
      </w:r>
    </w:p>
    <w:p w:rsidR="00D0511D" w:rsidRDefault="00D0511D" w:rsidP="00D0511D">
      <w:pPr>
        <w:ind w:firstLine="720"/>
        <w:jc w:val="both"/>
        <w:rPr>
          <w:lang w:eastAsia="en-US"/>
        </w:rPr>
      </w:pPr>
      <w:r w:rsidRPr="00150672">
        <w:t>-</w:t>
      </w:r>
      <w:r w:rsidRPr="00150672">
        <w:rPr>
          <w:lang w:eastAsia="en-US"/>
        </w:rPr>
        <w:t>осуществление образовательного процесса</w:t>
      </w:r>
      <w:r>
        <w:rPr>
          <w:lang w:eastAsia="en-US"/>
        </w:rPr>
        <w:t xml:space="preserve"> по реализации образовательных программ дошкольного образования </w:t>
      </w:r>
      <w:r w:rsidRPr="00150672">
        <w:rPr>
          <w:lang w:eastAsia="en-US"/>
        </w:rPr>
        <w:t xml:space="preserve">муниципальными </w:t>
      </w:r>
      <w:r>
        <w:rPr>
          <w:lang w:eastAsia="en-US"/>
        </w:rPr>
        <w:t xml:space="preserve">дошкольными </w:t>
      </w:r>
      <w:r w:rsidRPr="00150672">
        <w:rPr>
          <w:lang w:eastAsia="en-US"/>
        </w:rPr>
        <w:t>образовательными организациями - на  1463,7 млн. руб. (с 2977,3 до 4441 млн. руб., или на 49,2%);</w:t>
      </w:r>
    </w:p>
    <w:p w:rsidR="00D0511D" w:rsidRPr="00150672" w:rsidRDefault="00D0511D" w:rsidP="00D0511D">
      <w:pPr>
        <w:pStyle w:val="Default"/>
        <w:ind w:firstLine="708"/>
        <w:jc w:val="both"/>
      </w:pPr>
      <w:r>
        <w:rPr>
          <w:bCs/>
        </w:rPr>
        <w:t>-</w:t>
      </w:r>
      <w:r w:rsidRPr="00497AFA">
        <w:rPr>
          <w:bCs/>
        </w:rPr>
        <w:t xml:space="preserve">на осуществление образовательного процесса по реализации образовательных программ начального общего, основного общего, </w:t>
      </w:r>
      <w:r>
        <w:rPr>
          <w:bCs/>
        </w:rPr>
        <w:t xml:space="preserve">среднего общего образования </w:t>
      </w:r>
      <w:r w:rsidRPr="00497AFA">
        <w:rPr>
          <w:bCs/>
        </w:rPr>
        <w:t>муниципальными общеобразовательными организациями</w:t>
      </w:r>
      <w:r>
        <w:rPr>
          <w:bCs/>
        </w:rPr>
        <w:t xml:space="preserve"> </w:t>
      </w:r>
      <w:r w:rsidR="00706F96">
        <w:rPr>
          <w:bCs/>
        </w:rPr>
        <w:t>-</w:t>
      </w:r>
      <w:r w:rsidRPr="00150672">
        <w:t xml:space="preserve"> на 1718,0 млн. руб. (с 7467,2 до 9185,2 млн. руб., или на 23%)</w:t>
      </w:r>
      <w:r w:rsidR="00FA0544">
        <w:t>.</w:t>
      </w:r>
    </w:p>
    <w:p w:rsidR="00D0511D" w:rsidRPr="00150518" w:rsidRDefault="00D0511D" w:rsidP="00D0511D">
      <w:pPr>
        <w:pStyle w:val="ConsPlusNormal"/>
        <w:ind w:firstLine="851"/>
        <w:jc w:val="both"/>
        <w:rPr>
          <w:rFonts w:ascii="Times New Roman" w:hAnsi="Times New Roman" w:cs="Times New Roman"/>
          <w:sz w:val="24"/>
          <w:szCs w:val="24"/>
        </w:rPr>
      </w:pPr>
      <w:r w:rsidRPr="00150518">
        <w:rPr>
          <w:rFonts w:ascii="Times New Roman" w:hAnsi="Times New Roman" w:cs="Times New Roman"/>
          <w:sz w:val="24"/>
          <w:szCs w:val="24"/>
        </w:rPr>
        <w:t>Нераспределенный объем субвенций на 2018 год согласно П</w:t>
      </w:r>
      <w:r>
        <w:rPr>
          <w:rFonts w:ascii="Times New Roman" w:hAnsi="Times New Roman" w:cs="Times New Roman"/>
          <w:sz w:val="24"/>
          <w:szCs w:val="24"/>
        </w:rPr>
        <w:t xml:space="preserve">риложению </w:t>
      </w:r>
      <w:r w:rsidRPr="00150518">
        <w:rPr>
          <w:rFonts w:ascii="Times New Roman" w:hAnsi="Times New Roman" w:cs="Times New Roman"/>
          <w:sz w:val="24"/>
          <w:szCs w:val="24"/>
        </w:rPr>
        <w:t xml:space="preserve">20 к </w:t>
      </w:r>
      <w:r w:rsidR="00706F96">
        <w:rPr>
          <w:rFonts w:ascii="Times New Roman" w:hAnsi="Times New Roman" w:cs="Times New Roman"/>
          <w:sz w:val="24"/>
          <w:szCs w:val="24"/>
        </w:rPr>
        <w:t>з</w:t>
      </w:r>
      <w:r w:rsidRPr="00150518">
        <w:rPr>
          <w:rFonts w:ascii="Times New Roman" w:hAnsi="Times New Roman" w:cs="Times New Roman"/>
          <w:sz w:val="24"/>
          <w:szCs w:val="24"/>
        </w:rPr>
        <w:t xml:space="preserve">аконопроекту составляет 32,8 млн. руб., или 0,2% от общего объема субвенций. Весь нераспределенный объем субвенций приходится на субвенцию на предоставление субсидий гражданам на оплату жилья и коммунальных услуг (30,7 млн. руб.) в связи с заявочным принципом расходования и субвенцию на осуществление образовательного процесса </w:t>
      </w:r>
      <w:r w:rsidRPr="00150518">
        <w:rPr>
          <w:rFonts w:ascii="Times New Roman" w:hAnsi="Times New Roman" w:cs="Times New Roman"/>
          <w:sz w:val="24"/>
          <w:szCs w:val="24"/>
        </w:rPr>
        <w:lastRenderedPageBreak/>
        <w:t xml:space="preserve">муниципальными общеобразовательными организациями (2,1 млн. руб.). </w:t>
      </w:r>
    </w:p>
    <w:p w:rsidR="00D0511D" w:rsidRDefault="00D0511D" w:rsidP="00D0511D">
      <w:pPr>
        <w:ind w:firstLine="851"/>
        <w:jc w:val="both"/>
      </w:pPr>
      <w:r>
        <w:rPr>
          <w:lang w:eastAsia="en-US"/>
        </w:rPr>
        <w:t>Согласно ст</w:t>
      </w:r>
      <w:r w:rsidR="00706F96">
        <w:rPr>
          <w:lang w:eastAsia="en-US"/>
        </w:rPr>
        <w:t>атье</w:t>
      </w:r>
      <w:r>
        <w:rPr>
          <w:lang w:eastAsia="en-US"/>
        </w:rPr>
        <w:t xml:space="preserve"> 36 </w:t>
      </w:r>
      <w:r w:rsidR="00706F96">
        <w:rPr>
          <w:lang w:eastAsia="en-US"/>
        </w:rPr>
        <w:t>з</w:t>
      </w:r>
      <w:r>
        <w:rPr>
          <w:lang w:eastAsia="en-US"/>
        </w:rPr>
        <w:t>аконопроекта общий объем субвенци</w:t>
      </w:r>
      <w:r w:rsidR="00706F96">
        <w:rPr>
          <w:lang w:eastAsia="en-US"/>
        </w:rPr>
        <w:t>й</w:t>
      </w:r>
      <w:r>
        <w:rPr>
          <w:lang w:eastAsia="en-US"/>
        </w:rPr>
        <w:t xml:space="preserve"> на 2018 год предусмотрен в размере 16480,6 млн. руб., </w:t>
      </w:r>
      <w:r>
        <w:t xml:space="preserve">однако </w:t>
      </w:r>
      <w:r w:rsidRPr="008F0858">
        <w:t>в</w:t>
      </w:r>
      <w:r>
        <w:t xml:space="preserve"> Приложении </w:t>
      </w:r>
      <w:r w:rsidRPr="008F0858">
        <w:t>20</w:t>
      </w:r>
      <w:r w:rsidR="00706F96">
        <w:t xml:space="preserve"> общий объем субвенции состав</w:t>
      </w:r>
      <w:r>
        <w:t>л</w:t>
      </w:r>
      <w:r w:rsidR="00706F96">
        <w:t>яет</w:t>
      </w:r>
      <w:r>
        <w:t xml:space="preserve"> 16478,7 млн</w:t>
      </w:r>
      <w:r w:rsidR="003B6729">
        <w:t>. р</w:t>
      </w:r>
      <w:r>
        <w:t xml:space="preserve">уб., </w:t>
      </w:r>
      <w:r w:rsidR="00706F96">
        <w:t>т. е.</w:t>
      </w:r>
      <w:r>
        <w:t xml:space="preserve"> на 1,9 млн. руб.</w:t>
      </w:r>
      <w:r w:rsidR="00706F96">
        <w:t xml:space="preserve"> меньше.</w:t>
      </w:r>
      <w:r w:rsidRPr="008F0858">
        <w:t xml:space="preserve"> </w:t>
      </w:r>
    </w:p>
    <w:p w:rsidR="00D0511D" w:rsidRPr="00F62AD9" w:rsidRDefault="00D0511D" w:rsidP="00D0511D">
      <w:pPr>
        <w:ind w:firstLine="851"/>
        <w:jc w:val="both"/>
        <w:rPr>
          <w:bCs/>
        </w:rPr>
      </w:pPr>
      <w:r>
        <w:t>По</w:t>
      </w:r>
      <w:r w:rsidRPr="008F0858">
        <w:t xml:space="preserve"> представленной </w:t>
      </w:r>
      <w:r>
        <w:t>комитетом финансов Волгоградской области</w:t>
      </w:r>
      <w:r>
        <w:rPr>
          <w:color w:val="FF0000"/>
        </w:rPr>
        <w:t xml:space="preserve"> </w:t>
      </w:r>
      <w:r w:rsidRPr="00F62AD9">
        <w:t>информации,</w:t>
      </w:r>
      <w:r w:rsidRPr="00794732">
        <w:rPr>
          <w:bCs/>
        </w:rPr>
        <w:t xml:space="preserve"> </w:t>
      </w:r>
      <w:r>
        <w:rPr>
          <w:bCs/>
        </w:rPr>
        <w:t>в связи с технической ошибкой</w:t>
      </w:r>
      <w:r w:rsidR="00706F96">
        <w:rPr>
          <w:bCs/>
        </w:rPr>
        <w:t xml:space="preserve"> в Приложение 20</w:t>
      </w:r>
      <w:r>
        <w:rPr>
          <w:bCs/>
        </w:rPr>
        <w:t xml:space="preserve"> не </w:t>
      </w:r>
      <w:r w:rsidRPr="00F62AD9">
        <w:t xml:space="preserve"> </w:t>
      </w:r>
      <w:r>
        <w:t>включен</w:t>
      </w:r>
      <w:r w:rsidRPr="00F62AD9">
        <w:t xml:space="preserve"> объем</w:t>
      </w:r>
      <w:r>
        <w:t xml:space="preserve"> нераспределенной </w:t>
      </w:r>
      <w:r w:rsidRPr="00F62AD9">
        <w:t>субвенции</w:t>
      </w:r>
      <w:r>
        <w:t xml:space="preserve"> </w:t>
      </w:r>
      <w:r w:rsidRPr="00F62AD9">
        <w:rPr>
          <w:bCs/>
        </w:rPr>
        <w:t>на осуществление переданных органам местного самоуправления полномочий Российской Федерации на государственную регистрацию актов гражданского состояния.</w:t>
      </w:r>
      <w:r>
        <w:t xml:space="preserve">  Таким образом, н</w:t>
      </w:r>
      <w:r w:rsidRPr="00150518">
        <w:t>ераспределенный объем субвенций на 2018</w:t>
      </w:r>
      <w:r>
        <w:t xml:space="preserve"> год должен составить 34,7 млн. руб.</w:t>
      </w:r>
      <w:r w:rsidR="00706F96">
        <w:t xml:space="preserve"> вместо 32,8 млн. руб.</w:t>
      </w:r>
      <w:r>
        <w:t xml:space="preserve">, </w:t>
      </w:r>
      <w:r w:rsidR="00706F96">
        <w:t>в связи с чем</w:t>
      </w:r>
      <w:r w:rsidRPr="00150518">
        <w:t xml:space="preserve"> необходима корректировка</w:t>
      </w:r>
      <w:r w:rsidRPr="00F62AD9">
        <w:t xml:space="preserve"> </w:t>
      </w:r>
      <w:r>
        <w:t>Приложения 20 Таблицы 25 по с</w:t>
      </w:r>
      <w:r w:rsidRPr="00F62AD9">
        <w:rPr>
          <w:bCs/>
        </w:rPr>
        <w:t xml:space="preserve">убвенции на осуществление переданных органам местного самоуправления полномочий Российской Федерации на государственную регистрацию актов гражданского состояния </w:t>
      </w:r>
      <w:r w:rsidR="00706F96">
        <w:rPr>
          <w:bCs/>
        </w:rPr>
        <w:t xml:space="preserve">на </w:t>
      </w:r>
      <w:r w:rsidR="00671DB5">
        <w:rPr>
          <w:bCs/>
        </w:rPr>
        <w:t xml:space="preserve">сумму </w:t>
      </w:r>
      <w:r>
        <w:rPr>
          <w:bCs/>
        </w:rPr>
        <w:t>1,9 млн</w:t>
      </w:r>
      <w:r w:rsidR="003B6729">
        <w:rPr>
          <w:bCs/>
        </w:rPr>
        <w:t>. р</w:t>
      </w:r>
      <w:r>
        <w:rPr>
          <w:bCs/>
        </w:rPr>
        <w:t>ублей</w:t>
      </w:r>
      <w:r w:rsidRPr="00F62AD9">
        <w:rPr>
          <w:bCs/>
        </w:rPr>
        <w:t>.</w:t>
      </w:r>
    </w:p>
    <w:p w:rsidR="00A91DF0" w:rsidRDefault="00A91DF0" w:rsidP="000867CC">
      <w:pPr>
        <w:ind w:firstLine="720"/>
        <w:jc w:val="both"/>
        <w:rPr>
          <w:rFonts w:eastAsia="TimesNewRomanPSMT"/>
        </w:rPr>
      </w:pPr>
    </w:p>
    <w:p w:rsidR="00E47DBB" w:rsidRDefault="00E47DBB" w:rsidP="000867CC">
      <w:pPr>
        <w:ind w:firstLine="720"/>
        <w:jc w:val="both"/>
        <w:rPr>
          <w:rFonts w:eastAsia="TimesNewRomanPSMT"/>
        </w:rPr>
      </w:pPr>
    </w:p>
    <w:p w:rsidR="00F11552" w:rsidRPr="00A27310" w:rsidRDefault="00F11552" w:rsidP="00F11552">
      <w:pPr>
        <w:ind w:firstLine="709"/>
        <w:jc w:val="both"/>
        <w:rPr>
          <w:b/>
          <w:i/>
        </w:rPr>
      </w:pPr>
      <w:r w:rsidRPr="00A27310">
        <w:t>По результатам экспертизы законопроекта «Об областном бюджете на 201</w:t>
      </w:r>
      <w:r w:rsidR="00720D49">
        <w:t>8</w:t>
      </w:r>
      <w:r w:rsidRPr="00A27310">
        <w:t xml:space="preserve"> год и на плановый период 20</w:t>
      </w:r>
      <w:r w:rsidR="0094428F">
        <w:t>1</w:t>
      </w:r>
      <w:r w:rsidR="00720D49">
        <w:t>9</w:t>
      </w:r>
      <w:r w:rsidR="0094428F">
        <w:t xml:space="preserve"> </w:t>
      </w:r>
      <w:r w:rsidRPr="00A27310">
        <w:t>и 20</w:t>
      </w:r>
      <w:r w:rsidR="00720D49">
        <w:t>20</w:t>
      </w:r>
      <w:r w:rsidRPr="00A27310">
        <w:t xml:space="preserve"> годов», проведенной </w:t>
      </w:r>
      <w:r w:rsidR="008545B5">
        <w:t>КСП</w:t>
      </w:r>
      <w:r w:rsidRPr="00A27310">
        <w:t xml:space="preserve"> к 1 чтению, можно сделать </w:t>
      </w:r>
      <w:r w:rsidRPr="00A27310">
        <w:rPr>
          <w:b/>
          <w:i/>
          <w:u w:val="single"/>
        </w:rPr>
        <w:t>следующие выводы</w:t>
      </w:r>
      <w:r w:rsidRPr="00A27310">
        <w:rPr>
          <w:b/>
          <w:i/>
        </w:rPr>
        <w:t>:</w:t>
      </w:r>
    </w:p>
    <w:p w:rsidR="00F11552" w:rsidRPr="004C005C" w:rsidRDefault="00F11552" w:rsidP="00BA5F9E">
      <w:pPr>
        <w:ind w:firstLine="708"/>
        <w:jc w:val="center"/>
        <w:rPr>
          <w:b/>
          <w:i/>
          <w:sz w:val="16"/>
          <w:szCs w:val="16"/>
        </w:rPr>
      </w:pPr>
    </w:p>
    <w:p w:rsidR="00292C2A" w:rsidRDefault="00292C2A" w:rsidP="00292C2A">
      <w:pPr>
        <w:ind w:firstLine="708"/>
        <w:jc w:val="both"/>
        <w:rPr>
          <w:b/>
          <w:i/>
        </w:rPr>
      </w:pPr>
      <w:r w:rsidRPr="00A27310">
        <w:t>-</w:t>
      </w:r>
      <w:r w:rsidRPr="00A27310">
        <w:rPr>
          <w:b/>
          <w:i/>
        </w:rPr>
        <w:t>по концепции законопроекта</w:t>
      </w:r>
    </w:p>
    <w:p w:rsidR="00E61B64" w:rsidRDefault="001A63E5" w:rsidP="00E963B2">
      <w:pPr>
        <w:ind w:firstLine="709"/>
        <w:jc w:val="both"/>
      </w:pPr>
      <w:r w:rsidRPr="0065759C">
        <w:rPr>
          <w:b/>
        </w:rPr>
        <w:t>1.</w:t>
      </w:r>
      <w:r>
        <w:t xml:space="preserve"> </w:t>
      </w:r>
      <w:r w:rsidR="00E61B64">
        <w:t>П</w:t>
      </w:r>
      <w:r w:rsidR="00E61B64" w:rsidRPr="00E61B64">
        <w:t xml:space="preserve">ланирование расходов на функционирование органов государственной власти и государственных органов Волгоградской области </w:t>
      </w:r>
      <w:r w:rsidR="00E61B64">
        <w:t xml:space="preserve">на 2018 год произведено </w:t>
      </w:r>
      <w:r w:rsidR="00E61B64" w:rsidRPr="00E61B64">
        <w:t>в размере 50% от необходимой потребности</w:t>
      </w:r>
      <w:r w:rsidR="00E61B64">
        <w:rPr>
          <w:b/>
          <w:i/>
        </w:rPr>
        <w:t xml:space="preserve"> </w:t>
      </w:r>
      <w:r w:rsidR="00E61B64">
        <w:t xml:space="preserve">(с незначительной дифференциацией данного процента по различным органам). Сравнительный анализ расходов на «выплаты персоналу в целях обеспечения выполнения функций государственными органами, казенными учреждениями…», утвержденных на текущий год и предусмотренных законопроектом на 2018 год, в разрезе ведомств показал, что для доведения расходов на оплату труда сотрудников органов госвласти и подведомственных им казенных учреждений до уровня текущего года необходимо </w:t>
      </w:r>
      <w:r w:rsidR="00E61B64" w:rsidRPr="00E61B64">
        <w:t>1204 млн. рублей.</w:t>
      </w:r>
      <w:r w:rsidR="00E61B64">
        <w:t xml:space="preserve"> При этом материалы, представленные в областную Думу с законопроектом, не содержат информации о мероприятиях, планируемых Администрацией области с целью привлечения дополнительных источников компенсации недостающих ассигнований.</w:t>
      </w:r>
    </w:p>
    <w:p w:rsidR="00535F85" w:rsidRDefault="00535F85" w:rsidP="00E830F6">
      <w:pPr>
        <w:ind w:firstLine="709"/>
        <w:jc w:val="both"/>
        <w:rPr>
          <w:b/>
        </w:rPr>
      </w:pPr>
    </w:p>
    <w:p w:rsidR="00E830F6" w:rsidRDefault="00E830F6" w:rsidP="00E830F6">
      <w:pPr>
        <w:ind w:firstLine="709"/>
        <w:jc w:val="both"/>
      </w:pPr>
      <w:r w:rsidRPr="00E830F6">
        <w:rPr>
          <w:b/>
        </w:rPr>
        <w:t>2.</w:t>
      </w:r>
      <w:r>
        <w:t xml:space="preserve"> </w:t>
      </w:r>
      <w:r w:rsidRPr="003E4C92">
        <w:t xml:space="preserve">Предусмотренный законопроектом </w:t>
      </w:r>
      <w:r>
        <w:t xml:space="preserve">общий объем межбюджетных трансфертов для обеспечения государственных полномочий Волгоградской области в отраслях социальной сферы составляет 26125,3 млн. руб., что </w:t>
      </w:r>
      <w:r w:rsidRPr="00E830F6">
        <w:t>на 2891,2 млн. руб.,</w:t>
      </w:r>
      <w:r>
        <w:t xml:space="preserve"> или на 11% меньше расчетного размера субвенций (29016,5 млн. </w:t>
      </w:r>
      <w:r w:rsidRPr="006E4BF9">
        <w:t>руб.).</w:t>
      </w:r>
      <w:r>
        <w:t xml:space="preserve"> В их числе субвенции </w:t>
      </w:r>
      <w:r w:rsidR="006B3B42">
        <w:t xml:space="preserve">на осуществление образовательного процесса, в том числе на оплату труда прочего персона дошкольных и общеобразовательных учреждений, субвенции на выплату компенсации части родительской платы за присмотр и уход за детьми в образовательных организациях, субвенции на организацию питания детей и другие. </w:t>
      </w:r>
      <w:r w:rsidRPr="00E830F6">
        <w:t>Предполагаемые источники дополнительных доходов для обеспечения финансирования субвенций муниципальным образованиям в социальной сфере в полном объеме в материалах, представленных с законопроектом, не оп</w:t>
      </w:r>
      <w:r w:rsidR="00A01105">
        <w:t>ределе</w:t>
      </w:r>
      <w:r w:rsidRPr="00E830F6">
        <w:t>ны.</w:t>
      </w:r>
    </w:p>
    <w:p w:rsidR="00535F85" w:rsidRPr="00E830F6" w:rsidRDefault="00535F85" w:rsidP="00E830F6">
      <w:pPr>
        <w:ind w:firstLine="709"/>
        <w:jc w:val="both"/>
      </w:pPr>
    </w:p>
    <w:p w:rsidR="00BD1507" w:rsidRDefault="00535F85" w:rsidP="00BD1507">
      <w:pPr>
        <w:ind w:firstLine="709"/>
        <w:jc w:val="both"/>
      </w:pPr>
      <w:r w:rsidRPr="00535F85">
        <w:rPr>
          <w:b/>
        </w:rPr>
        <w:t>3.</w:t>
      </w:r>
      <w:r>
        <w:t xml:space="preserve"> В нарушение статьи 179.4 БК РФ и статьи 4 Закона Волгоградской области от 07.11.2011 №2246-ОД «О дорожном фонде Волгоградской области», согласно которым объем бюджетных ассигнований дорожного фонда утверждается законом субъекта РФ о бюджете на очередной финансовый год и плановый период </w:t>
      </w:r>
      <w:r w:rsidRPr="00535F85">
        <w:t>в размере не менее прогнозируемого объема установленных законом субъекта РФ доходов дорожного фонда</w:t>
      </w:r>
      <w:r>
        <w:t xml:space="preserve">,  объем бюджетных ассигнований дорожного фонда Волгоградской области на 2018 год предлагается утвердить в сумме 5564,4 млн. руб., что меньше прогнозируемого объема соответствующих доходов на 2300 млн. рублей. </w:t>
      </w:r>
      <w:r w:rsidR="00BD1507">
        <w:t xml:space="preserve">Учитывая, что статьей 34 законопроекта предлагается </w:t>
      </w:r>
      <w:r w:rsidR="00BD1507" w:rsidRPr="003A2395">
        <w:t xml:space="preserve">бюджетные ассигнования дорожного фонда Волгоградской области, не </w:t>
      </w:r>
      <w:r w:rsidR="00BD1507" w:rsidRPr="003A2395">
        <w:lastRenderedPageBreak/>
        <w:t xml:space="preserve">использованные в 2018 году, в сумме 2300 </w:t>
      </w:r>
      <w:r w:rsidR="00BD1507">
        <w:t>млн. руб.</w:t>
      </w:r>
      <w:r w:rsidR="00BD1507" w:rsidRPr="003A2395">
        <w:t xml:space="preserve"> </w:t>
      </w:r>
      <w:r w:rsidR="00BD1507">
        <w:t>н</w:t>
      </w:r>
      <w:r w:rsidR="00BD1507" w:rsidRPr="003A2395">
        <w:t>аправить на увеличение бюджетных ассигнований дорожного фонда в 2019 году</w:t>
      </w:r>
      <w:r w:rsidR="00BD1507">
        <w:t xml:space="preserve">, </w:t>
      </w:r>
      <w:r w:rsidR="00D8789B">
        <w:t>обоснован вывод</w:t>
      </w:r>
      <w:r w:rsidR="00BD1507">
        <w:t xml:space="preserve">, что средства дорожного фонда в указанной сумме </w:t>
      </w:r>
      <w:r w:rsidR="00D8789B">
        <w:t>в представленном законопроекте</w:t>
      </w:r>
      <w:r w:rsidR="00BD1507">
        <w:t xml:space="preserve"> в 2018 году </w:t>
      </w:r>
      <w:r w:rsidR="00D8789B">
        <w:t xml:space="preserve">распределены </w:t>
      </w:r>
      <w:r w:rsidR="00BD1507">
        <w:t xml:space="preserve">на общебюджетные </w:t>
      </w:r>
      <w:r w:rsidR="00D8789B">
        <w:t>расходы</w:t>
      </w:r>
      <w:r w:rsidR="00BD1507">
        <w:t>, что противоречит действующему законодательству</w:t>
      </w:r>
      <w:r w:rsidR="00BD1507" w:rsidRPr="003A2395">
        <w:t>.</w:t>
      </w:r>
    </w:p>
    <w:p w:rsidR="00535F85" w:rsidRDefault="00535F85" w:rsidP="00E963B2">
      <w:pPr>
        <w:ind w:firstLine="709"/>
        <w:jc w:val="both"/>
      </w:pPr>
    </w:p>
    <w:p w:rsidR="00E963B2" w:rsidRPr="00E963B2" w:rsidRDefault="00535F85" w:rsidP="00E963B2">
      <w:pPr>
        <w:ind w:firstLine="709"/>
        <w:jc w:val="both"/>
      </w:pPr>
      <w:r w:rsidRPr="00535F85">
        <w:rPr>
          <w:b/>
        </w:rPr>
        <w:t>4.</w:t>
      </w:r>
      <w:r>
        <w:t xml:space="preserve"> </w:t>
      </w:r>
      <w:r w:rsidR="00E963B2">
        <w:t>В условиях действующей с</w:t>
      </w:r>
      <w:r w:rsidR="00E963B2" w:rsidRPr="00980BB3">
        <w:t xml:space="preserve"> </w:t>
      </w:r>
      <w:r w:rsidR="00E963B2">
        <w:t>0</w:t>
      </w:r>
      <w:r w:rsidR="00E963B2" w:rsidRPr="00980BB3">
        <w:t>1</w:t>
      </w:r>
      <w:r w:rsidR="00E963B2">
        <w:t>.01.</w:t>
      </w:r>
      <w:r w:rsidR="00E963B2" w:rsidRPr="00980BB3">
        <w:t>2018</w:t>
      </w:r>
      <w:r w:rsidR="00E963B2">
        <w:t xml:space="preserve"> нормы прямого действия, установленной </w:t>
      </w:r>
      <w:r w:rsidR="00E963B2" w:rsidRPr="00F31D0D">
        <w:t>част</w:t>
      </w:r>
      <w:r w:rsidR="00E963B2">
        <w:t xml:space="preserve">ью </w:t>
      </w:r>
      <w:r w:rsidR="00E963B2" w:rsidRPr="00F31D0D">
        <w:t>1</w:t>
      </w:r>
      <w:r w:rsidR="00E963B2">
        <w:t>2</w:t>
      </w:r>
      <w:r w:rsidR="00E963B2" w:rsidRPr="00F31D0D">
        <w:t xml:space="preserve"> статьи 50 Федерального закона №79-ФЗ</w:t>
      </w:r>
      <w:r w:rsidR="00E963B2">
        <w:t xml:space="preserve"> «О государственной гражданской службе Российской Федерации», </w:t>
      </w:r>
      <w:r w:rsidR="00E963B2" w:rsidRPr="00E963B2">
        <w:t>приостановление до 01.01.2021 действия норм законодательного акта Волгоградской области об индексации денежного содержания государственных гражданских служащих не соответствует федеральному законодательству.</w:t>
      </w:r>
    </w:p>
    <w:p w:rsidR="00967529" w:rsidRDefault="00275505" w:rsidP="004F7C73">
      <w:pPr>
        <w:autoSpaceDE w:val="0"/>
        <w:autoSpaceDN w:val="0"/>
        <w:adjustRightInd w:val="0"/>
        <w:ind w:firstLine="709"/>
        <w:jc w:val="both"/>
      </w:pPr>
      <w:r>
        <w:t>По мнению КСП, о</w:t>
      </w:r>
      <w:r w:rsidR="001A63E5">
        <w:t xml:space="preserve">тсутствие индексации денежного содержания государственных гражданских служащих в течение 8 лет при ежегодном росте потребительских цен неминуемо </w:t>
      </w:r>
      <w:r w:rsidR="001A63E5" w:rsidRPr="001A63E5">
        <w:t xml:space="preserve">приведет к оттоку из органов государственной власти Волгоградской области высокопрофессиональных кадров, </w:t>
      </w:r>
      <w:r w:rsidR="001A63E5">
        <w:t>что в свою очередь негативно скажется на качестве принимаемых управленческих решений и поставленных задач.</w:t>
      </w:r>
    </w:p>
    <w:p w:rsidR="00535F85" w:rsidRDefault="00535F85" w:rsidP="0065759C">
      <w:pPr>
        <w:pStyle w:val="p5"/>
        <w:spacing w:before="0" w:beforeAutospacing="0" w:after="0" w:afterAutospacing="0"/>
        <w:ind w:firstLine="851"/>
        <w:jc w:val="both"/>
        <w:rPr>
          <w:b/>
        </w:rPr>
      </w:pPr>
    </w:p>
    <w:p w:rsidR="0065759C" w:rsidRPr="0065759C" w:rsidRDefault="00535F85" w:rsidP="0065759C">
      <w:pPr>
        <w:pStyle w:val="p5"/>
        <w:spacing w:before="0" w:beforeAutospacing="0" w:after="0" w:afterAutospacing="0"/>
        <w:ind w:firstLine="851"/>
        <w:jc w:val="both"/>
      </w:pPr>
      <w:r>
        <w:rPr>
          <w:b/>
        </w:rPr>
        <w:t>5</w:t>
      </w:r>
      <w:r w:rsidR="0065759C" w:rsidRPr="0065759C">
        <w:rPr>
          <w:b/>
        </w:rPr>
        <w:t>.</w:t>
      </w:r>
      <w:r w:rsidR="0065759C">
        <w:t xml:space="preserve"> М</w:t>
      </w:r>
      <w:r w:rsidR="0065759C" w:rsidRPr="0065759C">
        <w:t>ежбюджетные отношения на 2018</w:t>
      </w:r>
      <w:r w:rsidR="001923D0">
        <w:t xml:space="preserve"> год и плановый период 2019 и </w:t>
      </w:r>
      <w:r w:rsidR="0065759C" w:rsidRPr="0065759C">
        <w:t>2020 год</w:t>
      </w:r>
      <w:r w:rsidR="001923D0">
        <w:t>ов</w:t>
      </w:r>
      <w:r w:rsidR="0065759C" w:rsidRPr="0065759C">
        <w:t xml:space="preserve"> сформированы в Волгоградской области в отсутствии утвержденного </w:t>
      </w:r>
      <w:r w:rsidR="004737CD">
        <w:t xml:space="preserve">в установленном </w:t>
      </w:r>
      <w:r w:rsidR="0065759C" w:rsidRPr="0065759C">
        <w:t>порядк</w:t>
      </w:r>
      <w:r w:rsidR="004737CD">
        <w:t>е размера изъятия в областной бюджет отрицательных межбюджетных трансфертов</w:t>
      </w:r>
      <w:r w:rsidR="0065759C" w:rsidRPr="0065759C">
        <w:t xml:space="preserve">, что в итоге привело к снижению доходной части бюджета городского округа Волгоград более чем на 1000 млн. рублей.  </w:t>
      </w:r>
    </w:p>
    <w:p w:rsidR="0065759C" w:rsidRDefault="001923D0" w:rsidP="0065759C">
      <w:pPr>
        <w:jc w:val="both"/>
      </w:pPr>
      <w:r>
        <w:tab/>
        <w:t xml:space="preserve">Согласно внесенному в областную Думу законопроекту об областном бюджете на 2018-2020 годы </w:t>
      </w:r>
      <w:r w:rsidRPr="001923D0">
        <w:t>городской округ Волгоград в 2018 году не будет являться получателем дотации на выравнив</w:t>
      </w:r>
      <w:r w:rsidR="00275505">
        <w:t xml:space="preserve">ание  бюджетной обеспеченности </w:t>
      </w:r>
      <w:r w:rsidRPr="001923D0">
        <w:t xml:space="preserve">из </w:t>
      </w:r>
      <w:r>
        <w:t>фонда финансовой поддержки поселений</w:t>
      </w:r>
      <w:r w:rsidRPr="001923D0">
        <w:t xml:space="preserve"> (</w:t>
      </w:r>
      <w:r>
        <w:t>городских округов</w:t>
      </w:r>
      <w:r w:rsidRPr="001923D0">
        <w:t>)</w:t>
      </w:r>
      <w:r>
        <w:t>.</w:t>
      </w:r>
      <w:r w:rsidRPr="001923D0">
        <w:t xml:space="preserve"> </w:t>
      </w:r>
      <w:r>
        <w:t xml:space="preserve">В то же время в текущем году расчетный размер дотации </w:t>
      </w:r>
      <w:r w:rsidRPr="009C283F">
        <w:t xml:space="preserve">из </w:t>
      </w:r>
      <w:r>
        <w:t>указанного фонда</w:t>
      </w:r>
      <w:r w:rsidRPr="009C283F">
        <w:t xml:space="preserve"> </w:t>
      </w:r>
      <w:r>
        <w:t xml:space="preserve">составлял по Волгограду </w:t>
      </w:r>
      <w:r w:rsidRPr="009C283F">
        <w:t>1168,6 млн.</w:t>
      </w:r>
      <w:r>
        <w:t xml:space="preserve"> </w:t>
      </w:r>
      <w:r w:rsidRPr="009C283F">
        <w:t>руб</w:t>
      </w:r>
      <w:r>
        <w:t>лей</w:t>
      </w:r>
      <w:r w:rsidRPr="009C283F">
        <w:t>.</w:t>
      </w:r>
    </w:p>
    <w:p w:rsidR="00CD1B94" w:rsidRPr="00E963B2" w:rsidRDefault="00CD1B94" w:rsidP="004F7C73">
      <w:pPr>
        <w:autoSpaceDE w:val="0"/>
        <w:autoSpaceDN w:val="0"/>
        <w:adjustRightInd w:val="0"/>
        <w:ind w:firstLine="709"/>
        <w:jc w:val="both"/>
      </w:pPr>
    </w:p>
    <w:p w:rsidR="004F7C73" w:rsidRDefault="00AE3E25" w:rsidP="004F7C73">
      <w:pPr>
        <w:autoSpaceDE w:val="0"/>
        <w:autoSpaceDN w:val="0"/>
        <w:adjustRightInd w:val="0"/>
        <w:ind w:firstLine="709"/>
        <w:jc w:val="both"/>
        <w:rPr>
          <w:b/>
          <w:i/>
        </w:rPr>
      </w:pPr>
      <w:r w:rsidRPr="00A27310">
        <w:rPr>
          <w:b/>
          <w:i/>
        </w:rPr>
        <w:t>-по прогнозу социально-экономического развития Волгоградской области</w:t>
      </w:r>
    </w:p>
    <w:p w:rsidR="00CD1B94" w:rsidRPr="0087438A" w:rsidRDefault="00CD1B94" w:rsidP="00CD1B94">
      <w:pPr>
        <w:pStyle w:val="Style5"/>
        <w:spacing w:line="247" w:lineRule="auto"/>
        <w:jc w:val="both"/>
      </w:pPr>
      <w:r w:rsidRPr="00CD1B94">
        <w:rPr>
          <w:b/>
        </w:rPr>
        <w:t>6.</w:t>
      </w:r>
      <w:r w:rsidRPr="00F53FFE">
        <w:t xml:space="preserve"> Анализ </w:t>
      </w:r>
      <w:r>
        <w:t xml:space="preserve">основных </w:t>
      </w:r>
      <w:r w:rsidRPr="00F53FFE">
        <w:t>макроэкономических показателей</w:t>
      </w:r>
      <w:r>
        <w:t xml:space="preserve"> развития Волгоградской области показал, что в </w:t>
      </w:r>
      <w:r w:rsidRPr="00F53FFE">
        <w:t>2017 году по отдельным показателям ожидается снижение в сопоставимой оценке по отношению к 2016 году (объему платных услуг населению, инвестициям в основной капитал</w:t>
      </w:r>
      <w:r w:rsidRPr="0087438A">
        <w:t>, реальным денежным доходам населения, среднегодовой численности занятых в экономике).</w:t>
      </w:r>
    </w:p>
    <w:p w:rsidR="00CD1B94" w:rsidRDefault="00CD1B94" w:rsidP="004B0F7E">
      <w:pPr>
        <w:pStyle w:val="2"/>
        <w:spacing w:after="0" w:line="240" w:lineRule="auto"/>
        <w:ind w:firstLine="680"/>
        <w:jc w:val="both"/>
      </w:pPr>
      <w:r>
        <w:t>Н</w:t>
      </w:r>
      <w:r w:rsidRPr="00F53FFE">
        <w:t>а 2018 год п</w:t>
      </w:r>
      <w:r>
        <w:t>о большинству</w:t>
      </w:r>
      <w:r w:rsidRPr="00F53FFE">
        <w:t xml:space="preserve"> макроэкономически</w:t>
      </w:r>
      <w:r>
        <w:t>х</w:t>
      </w:r>
      <w:r w:rsidRPr="00F53FFE">
        <w:t xml:space="preserve"> показател</w:t>
      </w:r>
      <w:r>
        <w:t>ей</w:t>
      </w:r>
      <w:r w:rsidRPr="00F53FFE">
        <w:t xml:space="preserve"> (за исключением индекса производства продукции сельского хозяйства, среднегодовой численности занятых в экономике, </w:t>
      </w:r>
      <w:r>
        <w:t xml:space="preserve">темпа роста </w:t>
      </w:r>
      <w:r w:rsidRPr="00F53FFE">
        <w:t>реальных денежных доходов населения</w:t>
      </w:r>
      <w:r>
        <w:t>, объема</w:t>
      </w:r>
      <w:r w:rsidRPr="00F53FFE">
        <w:t xml:space="preserve"> экспорта товаров) предусмотрен рост в сопоставимой оценке к 2017 году.</w:t>
      </w:r>
      <w:r w:rsidR="004B0F7E">
        <w:t xml:space="preserve"> </w:t>
      </w:r>
      <w:r>
        <w:t>При этом по оценке КСП с</w:t>
      </w:r>
      <w:r w:rsidRPr="00411E3E">
        <w:t>уществу</w:t>
      </w:r>
      <w:r>
        <w:t>ет риск</w:t>
      </w:r>
      <w:r w:rsidRPr="00411E3E">
        <w:t xml:space="preserve"> недостижения прогнозного показателя </w:t>
      </w:r>
      <w:r>
        <w:t xml:space="preserve">по </w:t>
      </w:r>
      <w:r w:rsidRPr="00411E3E">
        <w:t>прибыли прибыльных предприятий в 2017 и 2018 год</w:t>
      </w:r>
      <w:r w:rsidR="0079410B">
        <w:t>ах</w:t>
      </w:r>
      <w:r>
        <w:t>, запланирован</w:t>
      </w:r>
      <w:r w:rsidR="0079410B">
        <w:t>ный</w:t>
      </w:r>
      <w:r>
        <w:t xml:space="preserve"> с ростом н</w:t>
      </w:r>
      <w:r w:rsidRPr="00411E3E">
        <w:t>а 5,3% и 1,1% к предыдущему году</w:t>
      </w:r>
      <w:r>
        <w:t xml:space="preserve"> соответственно</w:t>
      </w:r>
      <w:r w:rsidR="0079410B">
        <w:t>,</w:t>
      </w:r>
      <w:r w:rsidRPr="00411E3E">
        <w:t xml:space="preserve"> при </w:t>
      </w:r>
      <w:r w:rsidR="0079410B">
        <w:t xml:space="preserve">его </w:t>
      </w:r>
      <w:r w:rsidRPr="00411E3E">
        <w:t xml:space="preserve">снижении в 2016 году </w:t>
      </w:r>
      <w:r>
        <w:t>на 28,2%</w:t>
      </w:r>
      <w:r w:rsidR="0079410B">
        <w:t>,</w:t>
      </w:r>
      <w:r w:rsidRPr="00411E3E">
        <w:t xml:space="preserve"> за январь-август 2017 года (по крупным и средним предприятиям)</w:t>
      </w:r>
      <w:r>
        <w:t xml:space="preserve"> на 0,8 процента</w:t>
      </w:r>
      <w:r w:rsidRPr="00411E3E">
        <w:t>.</w:t>
      </w:r>
    </w:p>
    <w:p w:rsidR="003A6791" w:rsidRDefault="003A6791" w:rsidP="0079410B">
      <w:pPr>
        <w:tabs>
          <w:tab w:val="num" w:pos="928"/>
        </w:tabs>
        <w:ind w:firstLine="708"/>
        <w:jc w:val="both"/>
        <w:rPr>
          <w:b/>
        </w:rPr>
      </w:pPr>
    </w:p>
    <w:p w:rsidR="00CD1B94" w:rsidRPr="0079410B" w:rsidRDefault="0079410B" w:rsidP="0079410B">
      <w:pPr>
        <w:tabs>
          <w:tab w:val="num" w:pos="928"/>
        </w:tabs>
        <w:ind w:firstLine="708"/>
        <w:jc w:val="both"/>
      </w:pPr>
      <w:r w:rsidRPr="00C850F0">
        <w:rPr>
          <w:b/>
        </w:rPr>
        <w:t>7.</w:t>
      </w:r>
      <w:r>
        <w:t xml:space="preserve"> </w:t>
      </w:r>
      <w:r w:rsidRPr="0079410B">
        <w:t>С</w:t>
      </w:r>
      <w:r w:rsidR="00CD1B94" w:rsidRPr="0079410B">
        <w:t>равнительный анализ основных макроэкономических показателей развития Р</w:t>
      </w:r>
      <w:r>
        <w:t>оссийской Федерации</w:t>
      </w:r>
      <w:r w:rsidR="00CD1B94" w:rsidRPr="0079410B">
        <w:t xml:space="preserve"> и Волгоградской области показал, что на 2018 год практически по всем показателям развития области темпы роста прогнозируются ниже уровня РФ, за исключением индекса-дефлятора ВВП (ВРП), уровня безработицы и индекса потребительских цен. </w:t>
      </w:r>
    </w:p>
    <w:p w:rsidR="003A6791" w:rsidRDefault="003A6791" w:rsidP="00C850F0">
      <w:pPr>
        <w:tabs>
          <w:tab w:val="num" w:pos="928"/>
        </w:tabs>
        <w:ind w:firstLine="708"/>
        <w:jc w:val="both"/>
        <w:rPr>
          <w:b/>
        </w:rPr>
      </w:pPr>
    </w:p>
    <w:p w:rsidR="00CD1B94" w:rsidRPr="00C850F0" w:rsidRDefault="00C850F0" w:rsidP="00C850F0">
      <w:pPr>
        <w:tabs>
          <w:tab w:val="num" w:pos="928"/>
        </w:tabs>
        <w:ind w:firstLine="708"/>
        <w:jc w:val="both"/>
      </w:pPr>
      <w:r w:rsidRPr="00C850F0">
        <w:rPr>
          <w:b/>
        </w:rPr>
        <w:t>8.</w:t>
      </w:r>
      <w:r>
        <w:t xml:space="preserve"> </w:t>
      </w:r>
      <w:r w:rsidR="00CD1B94" w:rsidRPr="00C850F0">
        <w:t xml:space="preserve">Недостатком </w:t>
      </w:r>
      <w:r w:rsidR="003A6791">
        <w:t>п</w:t>
      </w:r>
      <w:r w:rsidR="00CD1B94" w:rsidRPr="00C850F0">
        <w:t xml:space="preserve">рогноза </w:t>
      </w:r>
      <w:r w:rsidR="00E006F9">
        <w:t>социально-экономического развития Волгоградской области на 2018-2020 годы</w:t>
      </w:r>
      <w:r w:rsidR="00CD1B94" w:rsidRPr="00C850F0">
        <w:t>, как и в предыдущи</w:t>
      </w:r>
      <w:r w:rsidR="00C07349">
        <w:t>й</w:t>
      </w:r>
      <w:r w:rsidR="00CD1B94" w:rsidRPr="00C850F0">
        <w:t xml:space="preserve"> год, является отсутствие в нем показателей прибыли прибыльных предприятий и стоимости основных фондов, являющихся базой для расчета прогнозируемых поступлений налога на прибыль и налога на имущество организаций, а также не</w:t>
      </w:r>
      <w:r w:rsidR="00670255">
        <w:t>отражение</w:t>
      </w:r>
      <w:r w:rsidR="00CD1B94" w:rsidRPr="00C850F0">
        <w:t xml:space="preserve"> факторов и ограничений экономического роста региона </w:t>
      </w:r>
      <w:r w:rsidR="00CD1B94" w:rsidRPr="00C850F0">
        <w:lastRenderedPageBreak/>
        <w:t>(за исключением направлений развития сельского хозяйства, трудовых ресурсов, внешнеэкономической деятельности), что не соответствует требованиям Закона РФ о стратегическом планировании.</w:t>
      </w:r>
    </w:p>
    <w:p w:rsidR="00D0557E" w:rsidRPr="00D0557E" w:rsidRDefault="00D0557E" w:rsidP="008D28EC">
      <w:pPr>
        <w:autoSpaceDE w:val="0"/>
        <w:autoSpaceDN w:val="0"/>
        <w:adjustRightInd w:val="0"/>
        <w:ind w:firstLine="720"/>
        <w:jc w:val="both"/>
        <w:outlineLvl w:val="0"/>
      </w:pPr>
    </w:p>
    <w:p w:rsidR="008D28EC" w:rsidRDefault="00CB7BDC" w:rsidP="008D28EC">
      <w:pPr>
        <w:autoSpaceDE w:val="0"/>
        <w:autoSpaceDN w:val="0"/>
        <w:adjustRightInd w:val="0"/>
        <w:ind w:firstLine="720"/>
        <w:jc w:val="both"/>
        <w:outlineLvl w:val="0"/>
        <w:rPr>
          <w:b/>
          <w:i/>
        </w:rPr>
      </w:pPr>
      <w:r w:rsidRPr="00A27310">
        <w:rPr>
          <w:b/>
          <w:i/>
        </w:rPr>
        <w:t>-по доходной части областного бюджета</w:t>
      </w:r>
    </w:p>
    <w:p w:rsidR="00235046" w:rsidRDefault="00C07349" w:rsidP="00235046">
      <w:pPr>
        <w:pStyle w:val="Default"/>
        <w:ind w:firstLine="708"/>
        <w:jc w:val="both"/>
      </w:pPr>
      <w:r w:rsidRPr="00B64264">
        <w:rPr>
          <w:b/>
        </w:rPr>
        <w:t>9.</w:t>
      </w:r>
      <w:r>
        <w:t xml:space="preserve"> </w:t>
      </w:r>
      <w:r w:rsidR="00235046" w:rsidRPr="00453858">
        <w:t xml:space="preserve">Проанализировав представленные расчеты по налоговым доходам и планируемые поступления неналоговых доходов,  </w:t>
      </w:r>
      <w:r w:rsidR="00235046" w:rsidRPr="00235046">
        <w:t>КСП пришла к выводу, что в основном доходы на 2018 год спрогнозированы обоснованно. Вместе с тем имеются риски завышения прогноза поступлений по акцизам на пиво</w:t>
      </w:r>
      <w:r w:rsidR="00235046">
        <w:t xml:space="preserve"> на 616,7 млн. рублей</w:t>
      </w:r>
      <w:r w:rsidR="00235046" w:rsidRPr="00235046">
        <w:t>.</w:t>
      </w:r>
      <w:r w:rsidR="00235046">
        <w:t xml:space="preserve"> </w:t>
      </w:r>
    </w:p>
    <w:p w:rsidR="00235046" w:rsidRPr="00235046" w:rsidRDefault="00235046" w:rsidP="00235046">
      <w:pPr>
        <w:pStyle w:val="Default"/>
        <w:ind w:firstLine="708"/>
        <w:jc w:val="both"/>
      </w:pPr>
      <w:r>
        <w:t>Кроме того, з</w:t>
      </w:r>
      <w:r w:rsidRPr="00453858">
        <w:t xml:space="preserve">аконопроектом не предусмотрены прогнозные назначения по </w:t>
      </w:r>
      <w:r w:rsidRPr="00453858">
        <w:rPr>
          <w:bCs/>
        </w:rPr>
        <w:t>в</w:t>
      </w:r>
      <w:r w:rsidRPr="00453858">
        <w:t>озврат</w:t>
      </w:r>
      <w:r w:rsidR="009720CD">
        <w:t>у</w:t>
      </w:r>
      <w:r w:rsidRPr="00453858">
        <w:t xml:space="preserve"> </w:t>
      </w:r>
      <w:r>
        <w:t xml:space="preserve">в федеральный бюджет </w:t>
      </w:r>
      <w:r w:rsidRPr="00453858">
        <w:t>остатков</w:t>
      </w:r>
      <w:r>
        <w:t xml:space="preserve"> неиспользованных</w:t>
      </w:r>
      <w:r w:rsidRPr="00453858">
        <w:t xml:space="preserve"> </w:t>
      </w:r>
      <w:r w:rsidR="009720CD">
        <w:t xml:space="preserve">в текущем году </w:t>
      </w:r>
      <w:r w:rsidRPr="00453858">
        <w:t>субсидий, субвенций и иных межбюджетных</w:t>
      </w:r>
      <w:r w:rsidR="009720CD">
        <w:t xml:space="preserve"> трансфертов</w:t>
      </w:r>
      <w:r>
        <w:t xml:space="preserve">, которые </w:t>
      </w:r>
      <w:r w:rsidRPr="00235046">
        <w:t>уменьшают общую сумму доходов областного бюджета</w:t>
      </w:r>
      <w:r w:rsidR="009720CD">
        <w:t>, что</w:t>
      </w:r>
      <w:r>
        <w:t xml:space="preserve"> </w:t>
      </w:r>
      <w:r w:rsidRPr="00235046">
        <w:t xml:space="preserve">соответственно </w:t>
      </w:r>
      <w:r w:rsidR="007D1524">
        <w:t xml:space="preserve">может </w:t>
      </w:r>
      <w:r>
        <w:t>привод</w:t>
      </w:r>
      <w:r w:rsidR="007D1524">
        <w:t xml:space="preserve">ить к </w:t>
      </w:r>
      <w:r w:rsidRPr="00235046">
        <w:t>наруш</w:t>
      </w:r>
      <w:r w:rsidR="007D1524">
        <w:t>ению</w:t>
      </w:r>
      <w:r w:rsidRPr="00235046">
        <w:t xml:space="preserve"> сбалансированност</w:t>
      </w:r>
      <w:r w:rsidR="007D1524">
        <w:t>и</w:t>
      </w:r>
      <w:r w:rsidRPr="00235046">
        <w:t xml:space="preserve"> бюджета.  </w:t>
      </w:r>
    </w:p>
    <w:p w:rsidR="000474E0" w:rsidRDefault="000474E0" w:rsidP="00C93A11">
      <w:pPr>
        <w:ind w:firstLine="720"/>
        <w:jc w:val="both"/>
      </w:pPr>
    </w:p>
    <w:p w:rsidR="00BD18B2" w:rsidRPr="00FC3958" w:rsidRDefault="00E50B3F" w:rsidP="00BD18B2">
      <w:pPr>
        <w:ind w:firstLine="708"/>
        <w:jc w:val="both"/>
      </w:pPr>
      <w:r w:rsidRPr="00E50B3F">
        <w:rPr>
          <w:b/>
        </w:rPr>
        <w:t>10.</w:t>
      </w:r>
      <w:r>
        <w:t xml:space="preserve"> </w:t>
      </w:r>
      <w:r w:rsidR="00BD18B2">
        <w:t xml:space="preserve">В целом на 2018 год потери областного бюджета от предоставления налоговых льгот составят 10250.6 млн. руб., что на 5807,8 млн.руб. больше, чем по оценке текущего года (4442,8 млн. руб.). Из общей суммы увеличения выпадающих доходов в 2018 году потери по налогу на имущество организаций составляют 4254,8 млн. руб. (73,3%), </w:t>
      </w:r>
      <w:r w:rsidR="00BD18B2" w:rsidRPr="00FC3958">
        <w:t>что связано с внесением изменений в ст</w:t>
      </w:r>
      <w:r w:rsidR="00BD18B2">
        <w:t>атью</w:t>
      </w:r>
      <w:r w:rsidR="00BD18B2" w:rsidRPr="00FC3958">
        <w:t xml:space="preserve"> 2 Закона Волгоградской области от 28.11.2003 №888-ОД «О налоге на имущество организаций» в части освобождения от налогообложения организаций, реализующих инвестиционные проекты, в отношении модернизированного</w:t>
      </w:r>
      <w:r w:rsidR="00BD18B2">
        <w:t>,</w:t>
      </w:r>
      <w:r w:rsidR="00BD18B2" w:rsidRPr="00FC3958">
        <w:t xml:space="preserve"> и (или) реконструированного, и (или) технически перевооруженного имущества для реализации инвестиционного проекта, которые введены в действие Законом Волгоградской области от 06.02.2017 №11-ОД. </w:t>
      </w:r>
    </w:p>
    <w:p w:rsidR="00BD18B2" w:rsidRDefault="00BD18B2" w:rsidP="00E50B3F">
      <w:pPr>
        <w:ind w:firstLine="709"/>
        <w:jc w:val="both"/>
      </w:pPr>
    </w:p>
    <w:p w:rsidR="00E50B3F" w:rsidRPr="00382B32" w:rsidRDefault="00BD18B2" w:rsidP="00E50B3F">
      <w:pPr>
        <w:ind w:firstLine="709"/>
        <w:jc w:val="both"/>
      </w:pPr>
      <w:r w:rsidRPr="00BD18B2">
        <w:rPr>
          <w:b/>
        </w:rPr>
        <w:t>11.</w:t>
      </w:r>
      <w:r>
        <w:t xml:space="preserve"> </w:t>
      </w:r>
      <w:r w:rsidR="00E50B3F">
        <w:t>Н</w:t>
      </w:r>
      <w:r w:rsidR="00E50B3F" w:rsidRPr="00382B32">
        <w:t>а 201</w:t>
      </w:r>
      <w:r w:rsidR="00E50B3F">
        <w:t>8</w:t>
      </w:r>
      <w:r w:rsidR="00E50B3F" w:rsidRPr="00382B32">
        <w:t>-20</w:t>
      </w:r>
      <w:r w:rsidR="00E50B3F">
        <w:t>20</w:t>
      </w:r>
      <w:r w:rsidR="00E50B3F" w:rsidRPr="00382B32">
        <w:t xml:space="preserve"> годы прогнозируется значительное увеличение потерь бюджета от предоставления льгот по налогу на имущество организациям, реализующим инвестиционные проекты. Вместе с тем в документах, вн</w:t>
      </w:r>
      <w:r w:rsidR="00E50B3F">
        <w:t>есенных</w:t>
      </w:r>
      <w:r w:rsidR="00E50B3F" w:rsidRPr="00382B32">
        <w:t xml:space="preserve"> с </w:t>
      </w:r>
      <w:r w:rsidR="00E50B3F">
        <w:t>з</w:t>
      </w:r>
      <w:r w:rsidR="00E50B3F" w:rsidRPr="00382B32">
        <w:t>аконопроектом</w:t>
      </w:r>
      <w:r w:rsidR="00E50B3F">
        <w:t>,</w:t>
      </w:r>
      <w:r w:rsidR="00E50B3F" w:rsidRPr="00382B32">
        <w:t xml:space="preserve"> не приведены сведения о реализации инвесторами, заключившими инвестиционные соглашения с Администрацией Волгоградской области</w:t>
      </w:r>
      <w:r w:rsidR="00E50B3F">
        <w:t>,</w:t>
      </w:r>
      <w:r w:rsidR="00E50B3F" w:rsidRPr="00382B32">
        <w:t xml:space="preserve"> инвестиционных проектов </w:t>
      </w:r>
      <w:r w:rsidR="00E50B3F">
        <w:t>в</w:t>
      </w:r>
      <w:r w:rsidR="00E50B3F" w:rsidRPr="00382B32">
        <w:t xml:space="preserve"> 201</w:t>
      </w:r>
      <w:r w:rsidR="00E50B3F">
        <w:t>8</w:t>
      </w:r>
      <w:r w:rsidR="00E50B3F" w:rsidRPr="00382B32">
        <w:t>-20</w:t>
      </w:r>
      <w:r w:rsidR="00E50B3F">
        <w:t>20</w:t>
      </w:r>
      <w:r w:rsidR="00E50B3F" w:rsidRPr="00382B32">
        <w:t xml:space="preserve"> год</w:t>
      </w:r>
      <w:r w:rsidR="00E50B3F">
        <w:t>ах с указанием предполагаемых сроков и объемов вводимых в действие мощностей, в связи с чем невозможно оценить обоснованность прогнозируемых потерь от предоставления льгот.</w:t>
      </w:r>
    </w:p>
    <w:p w:rsidR="00E50B3F" w:rsidRPr="0024325E" w:rsidRDefault="00E50B3F" w:rsidP="00C93A11">
      <w:pPr>
        <w:ind w:firstLine="720"/>
        <w:jc w:val="both"/>
      </w:pPr>
    </w:p>
    <w:p w:rsidR="00292C2A" w:rsidRDefault="00292C2A" w:rsidP="00C93A11">
      <w:pPr>
        <w:ind w:firstLine="720"/>
        <w:jc w:val="both"/>
        <w:rPr>
          <w:b/>
          <w:i/>
        </w:rPr>
      </w:pPr>
      <w:r w:rsidRPr="00A27310">
        <w:rPr>
          <w:b/>
          <w:i/>
        </w:rPr>
        <w:t xml:space="preserve">-по общему объему расходов </w:t>
      </w:r>
      <w:r w:rsidR="00CB7BDC" w:rsidRPr="00A27310">
        <w:rPr>
          <w:b/>
          <w:i/>
        </w:rPr>
        <w:t xml:space="preserve">областного </w:t>
      </w:r>
      <w:r w:rsidRPr="00A27310">
        <w:rPr>
          <w:b/>
          <w:i/>
        </w:rPr>
        <w:t>бюджета</w:t>
      </w:r>
    </w:p>
    <w:p w:rsidR="00A91DF0" w:rsidRPr="00971724" w:rsidRDefault="00A91DF0" w:rsidP="00A91DF0">
      <w:pPr>
        <w:autoSpaceDE w:val="0"/>
        <w:autoSpaceDN w:val="0"/>
        <w:adjustRightInd w:val="0"/>
        <w:ind w:firstLine="709"/>
        <w:jc w:val="both"/>
      </w:pPr>
      <w:r w:rsidRPr="00A91DF0">
        <w:rPr>
          <w:b/>
        </w:rPr>
        <w:t>12.</w:t>
      </w:r>
      <w:r>
        <w:t xml:space="preserve"> С </w:t>
      </w:r>
      <w:r w:rsidRPr="00A91DF0">
        <w:t>законопроектом представлен «плановый» реестр расходных обязательств</w:t>
      </w:r>
      <w:r w:rsidRPr="00971724">
        <w:t>, в котором объ</w:t>
      </w:r>
      <w:r>
        <w:t>е</w:t>
      </w:r>
      <w:r w:rsidRPr="00971724">
        <w:t xml:space="preserve">мы на исполнение расходных обязательств соответствуют </w:t>
      </w:r>
      <w:r>
        <w:t xml:space="preserve">ассигнованиям, предусмотренным в </w:t>
      </w:r>
      <w:r w:rsidRPr="00971724">
        <w:t>проект</w:t>
      </w:r>
      <w:r>
        <w:t>е</w:t>
      </w:r>
      <w:r w:rsidRPr="00971724">
        <w:t xml:space="preserve"> областного бюджета</w:t>
      </w:r>
      <w:r>
        <w:t>,</w:t>
      </w:r>
      <w:r w:rsidRPr="00971724">
        <w:t xml:space="preserve"> и</w:t>
      </w:r>
      <w:r>
        <w:t>, следовательно,</w:t>
      </w:r>
      <w:r w:rsidRPr="00971724">
        <w:t xml:space="preserve"> не от</w:t>
      </w:r>
      <w:r>
        <w:t>ража</w:t>
      </w:r>
      <w:r w:rsidRPr="00971724">
        <w:t>ют объем</w:t>
      </w:r>
      <w:r>
        <w:t>ы</w:t>
      </w:r>
      <w:r w:rsidRPr="00971724">
        <w:t xml:space="preserve"> бюджетных ассигнований, необходимы</w:t>
      </w:r>
      <w:r>
        <w:t>х</w:t>
      </w:r>
      <w:r w:rsidRPr="00971724">
        <w:t xml:space="preserve"> для исполнения расходных обязательств.</w:t>
      </w:r>
    </w:p>
    <w:p w:rsidR="00A91DF0" w:rsidRPr="00971724" w:rsidRDefault="00A91DF0" w:rsidP="00A91DF0">
      <w:pPr>
        <w:ind w:firstLine="720"/>
        <w:jc w:val="both"/>
      </w:pPr>
      <w:r>
        <w:t>Вместе с тем Основными направлениями бюджетной и налоговой политики Волгоградской области на 2018 год и плановый период 2019 и 2020 годов определено, что «п</w:t>
      </w:r>
      <w:r w:rsidRPr="00971724">
        <w:t xml:space="preserve">ланирование расходов областного бюджета будет осуществляться в программном формате с выделением приоритетных проектов </w:t>
      </w:r>
      <w:r w:rsidRPr="00A91DF0">
        <w:t xml:space="preserve">на основании предварительных реестров расходных обязательств </w:t>
      </w:r>
      <w:r w:rsidRPr="00971724">
        <w:t>субъектов бюджетного планирования</w:t>
      </w:r>
      <w:r>
        <w:t>».</w:t>
      </w:r>
    </w:p>
    <w:p w:rsidR="008960E5" w:rsidRPr="00F37790" w:rsidRDefault="008960E5" w:rsidP="00C93A11">
      <w:pPr>
        <w:ind w:firstLine="720"/>
        <w:jc w:val="both"/>
      </w:pPr>
    </w:p>
    <w:p w:rsidR="00A4618E" w:rsidRDefault="00650706" w:rsidP="00C93A11">
      <w:pPr>
        <w:ind w:firstLine="720"/>
        <w:jc w:val="both"/>
        <w:rPr>
          <w:b/>
          <w:i/>
        </w:rPr>
      </w:pPr>
      <w:r w:rsidRPr="00A27310">
        <w:rPr>
          <w:b/>
          <w:i/>
        </w:rPr>
        <w:t>-по дефициту областного бюджета</w:t>
      </w:r>
      <w:r w:rsidR="008E04A6">
        <w:rPr>
          <w:b/>
          <w:i/>
        </w:rPr>
        <w:t xml:space="preserve">, программе государственных внутренних заимствований </w:t>
      </w:r>
      <w:r w:rsidRPr="00A27310">
        <w:rPr>
          <w:b/>
          <w:i/>
        </w:rPr>
        <w:t xml:space="preserve"> и верхнему пределу государственного долга Волгоградской области</w:t>
      </w:r>
    </w:p>
    <w:p w:rsidR="00733834" w:rsidRPr="00764CB7" w:rsidRDefault="00BD18B2" w:rsidP="00733834">
      <w:pPr>
        <w:ind w:firstLine="720"/>
        <w:jc w:val="both"/>
      </w:pPr>
      <w:r w:rsidRPr="00BD18B2">
        <w:rPr>
          <w:b/>
        </w:rPr>
        <w:t>1</w:t>
      </w:r>
      <w:r w:rsidR="00097E95">
        <w:rPr>
          <w:b/>
        </w:rPr>
        <w:t>3</w:t>
      </w:r>
      <w:r>
        <w:t xml:space="preserve">. </w:t>
      </w:r>
      <w:r w:rsidR="00733834" w:rsidRPr="00764CB7">
        <w:t xml:space="preserve">Проект областного бюджета на 2018-2020 годы сформирован </w:t>
      </w:r>
      <w:r w:rsidR="00733834">
        <w:t xml:space="preserve">без </w:t>
      </w:r>
      <w:r w:rsidR="00733834" w:rsidRPr="00764CB7">
        <w:t xml:space="preserve">дефицита и </w:t>
      </w:r>
      <w:r w:rsidR="00733834">
        <w:t xml:space="preserve">без </w:t>
      </w:r>
      <w:r w:rsidR="00733834" w:rsidRPr="00764CB7">
        <w:t>профицита</w:t>
      </w:r>
      <w:r w:rsidR="00733834">
        <w:t xml:space="preserve"> в каждом из трех лет</w:t>
      </w:r>
      <w:r w:rsidR="00733834" w:rsidRPr="00764CB7">
        <w:t>.</w:t>
      </w:r>
    </w:p>
    <w:p w:rsidR="00733834" w:rsidRPr="00733834" w:rsidRDefault="00733834" w:rsidP="00733834">
      <w:pPr>
        <w:ind w:firstLine="708"/>
        <w:jc w:val="both"/>
        <w:rPr>
          <w:b/>
          <w:i/>
        </w:rPr>
      </w:pPr>
      <w:r>
        <w:t xml:space="preserve">Анализ основных параметров бюджета и источников финансирования его дефицита показал, что </w:t>
      </w:r>
      <w:r w:rsidRPr="00733834">
        <w:t xml:space="preserve">расходы областного бюджета предполагается осуществлять за счет доходов, не привлекая на эти цели заимствования. Привлекаемые заимствования будут направлены </w:t>
      </w:r>
      <w:r>
        <w:t xml:space="preserve">исключительно на </w:t>
      </w:r>
      <w:r w:rsidRPr="00733834">
        <w:t>исполнение существующих обязательств.</w:t>
      </w:r>
    </w:p>
    <w:p w:rsidR="00CB0180" w:rsidRPr="00764CB7" w:rsidRDefault="00CB0180" w:rsidP="00CB0180">
      <w:pPr>
        <w:ind w:firstLine="720"/>
        <w:jc w:val="both"/>
      </w:pPr>
      <w:r>
        <w:lastRenderedPageBreak/>
        <w:t>Г</w:t>
      </w:r>
      <w:r w:rsidRPr="00764CB7">
        <w:t>осударственный долг Волгоградской области на 01.01.2019 по отношению к налоговым и неналоговым доходам незначительно вырастет с 86,1% до 88,6% за счет сокращения налоговых и неналоговых доходов. В дальнейшем запланировано поэтапное сокращение этого показателя и к 01.01.2021 отношение государственного долга к налоговым и неналоговым доходам составит 77,3 процент</w:t>
      </w:r>
      <w:r>
        <w:t>а</w:t>
      </w:r>
      <w:r w:rsidRPr="00764CB7">
        <w:t>.</w:t>
      </w:r>
    </w:p>
    <w:p w:rsidR="00733834" w:rsidRDefault="00733834" w:rsidP="00796DD9">
      <w:pPr>
        <w:ind w:firstLine="720"/>
        <w:jc w:val="both"/>
      </w:pPr>
    </w:p>
    <w:p w:rsidR="001507E9" w:rsidRDefault="00650706" w:rsidP="001507E9">
      <w:pPr>
        <w:ind w:firstLine="720"/>
        <w:jc w:val="both"/>
        <w:rPr>
          <w:b/>
          <w:i/>
        </w:rPr>
      </w:pPr>
      <w:r w:rsidRPr="00A27310">
        <w:rPr>
          <w:b/>
          <w:i/>
        </w:rPr>
        <w:t>-по общему объему межбюджетных трансфертов</w:t>
      </w:r>
    </w:p>
    <w:p w:rsidR="001507E9" w:rsidRPr="001507E9" w:rsidRDefault="00BD18B2" w:rsidP="001507E9">
      <w:pPr>
        <w:ind w:firstLine="720"/>
        <w:jc w:val="both"/>
        <w:rPr>
          <w:b/>
          <w:i/>
        </w:rPr>
      </w:pPr>
      <w:r w:rsidRPr="00BD18B2">
        <w:rPr>
          <w:b/>
        </w:rPr>
        <w:t>1</w:t>
      </w:r>
      <w:r w:rsidR="009B48DC">
        <w:rPr>
          <w:b/>
        </w:rPr>
        <w:t>4</w:t>
      </w:r>
      <w:r w:rsidRPr="00BD18B2">
        <w:rPr>
          <w:b/>
        </w:rPr>
        <w:t>.</w:t>
      </w:r>
      <w:r>
        <w:t xml:space="preserve"> </w:t>
      </w:r>
      <w:r w:rsidR="001507E9">
        <w:t xml:space="preserve">В части субсидирования </w:t>
      </w:r>
      <w:r w:rsidR="006437B5">
        <w:t xml:space="preserve">из областного бюджета </w:t>
      </w:r>
      <w:r w:rsidR="001507E9">
        <w:t xml:space="preserve">местных бюджетов </w:t>
      </w:r>
      <w:r w:rsidR="006437B5">
        <w:t xml:space="preserve">законопроектом </w:t>
      </w:r>
      <w:r w:rsidR="001507E9">
        <w:t>планируется ввести новации, смысл которых состоит в том, что весь объем субсидии, который представляется в 2017 году бюджетам поселений, в 2018 году в полном объеме будет передан муниципальным районам, что позволит муниципальным районам самостоятельно распределять средства между поселениями в силу объективных обстоятельств</w:t>
      </w:r>
      <w:r w:rsidR="006437B5">
        <w:t>, т. е.</w:t>
      </w:r>
      <w:r w:rsidR="001507E9">
        <w:t xml:space="preserve"> более нуждающихся в финансовой поддержке. </w:t>
      </w:r>
    </w:p>
    <w:p w:rsidR="00E90FDC" w:rsidRPr="001507E9" w:rsidRDefault="00E90FDC" w:rsidP="00242DCA">
      <w:pPr>
        <w:jc w:val="both"/>
        <w:rPr>
          <w:color w:val="0070C0"/>
        </w:rPr>
      </w:pPr>
    </w:p>
    <w:p w:rsidR="00352F27" w:rsidRDefault="00352F27" w:rsidP="00242DCA">
      <w:pPr>
        <w:jc w:val="both"/>
        <w:rPr>
          <w:b/>
          <w:i/>
          <w:color w:val="0070C0"/>
        </w:rPr>
      </w:pPr>
    </w:p>
    <w:p w:rsidR="00330C07" w:rsidRDefault="00DB14DF" w:rsidP="00DB14DF">
      <w:pPr>
        <w:ind w:firstLine="720"/>
        <w:jc w:val="both"/>
      </w:pPr>
      <w:r>
        <w:t xml:space="preserve">На основании изложенного </w:t>
      </w:r>
      <w:r w:rsidRPr="00DB14DF">
        <w:rPr>
          <w:b/>
          <w:i/>
        </w:rPr>
        <w:t xml:space="preserve">контрольно-счетная палата Волгоградской области </w:t>
      </w:r>
      <w:r>
        <w:rPr>
          <w:b/>
          <w:i/>
        </w:rPr>
        <w:t>предлагает</w:t>
      </w:r>
      <w:r w:rsidRPr="00DB14DF">
        <w:rPr>
          <w:b/>
          <w:i/>
        </w:rPr>
        <w:t xml:space="preserve"> Волгоградской областной Думе принять законопроект в 1 чтении</w:t>
      </w:r>
      <w:r w:rsidR="00330C07">
        <w:rPr>
          <w:b/>
          <w:i/>
        </w:rPr>
        <w:t xml:space="preserve">, </w:t>
      </w:r>
      <w:r w:rsidR="00330C07" w:rsidRPr="005507B6">
        <w:t>рекомендовав Администрации Волгоградской области:</w:t>
      </w:r>
    </w:p>
    <w:p w:rsidR="00401AE0" w:rsidRDefault="000076C4" w:rsidP="000076C4">
      <w:pPr>
        <w:ind w:firstLine="720"/>
        <w:jc w:val="both"/>
      </w:pPr>
      <w:r>
        <w:t>-при внесении поправок в закон о бюджете на 2018-2020 годы</w:t>
      </w:r>
      <w:r w:rsidR="00401AE0">
        <w:t>:</w:t>
      </w:r>
    </w:p>
    <w:p w:rsidR="000076C4" w:rsidRDefault="000076C4" w:rsidP="000076C4">
      <w:pPr>
        <w:ind w:firstLine="720"/>
        <w:jc w:val="both"/>
      </w:pPr>
      <w:r>
        <w:t xml:space="preserve">уточнить доходную часть областного бюджета в части поступлений акцизов на пиво и </w:t>
      </w:r>
      <w:r w:rsidRPr="00800245">
        <w:t>возврат</w:t>
      </w:r>
      <w:r>
        <w:t>а</w:t>
      </w:r>
      <w:r w:rsidRPr="00800245">
        <w:t xml:space="preserve"> </w:t>
      </w:r>
      <w:r>
        <w:t xml:space="preserve">неиспользованных </w:t>
      </w:r>
      <w:r w:rsidRPr="00800245">
        <w:t xml:space="preserve">остатков </w:t>
      </w:r>
      <w:r>
        <w:t>меж</w:t>
      </w:r>
      <w:r w:rsidRPr="00800245">
        <w:t>бюджетных трансфертов</w:t>
      </w:r>
      <w:r>
        <w:t xml:space="preserve"> в федеральный бюджет с учетом замечаний КСП, изложенных в настоящем заключении;</w:t>
      </w:r>
    </w:p>
    <w:p w:rsidR="000076C4" w:rsidRDefault="000076C4" w:rsidP="000076C4">
      <w:pPr>
        <w:ind w:firstLine="720"/>
        <w:jc w:val="both"/>
      </w:pPr>
      <w:r>
        <w:t xml:space="preserve">в первоочередном порядке устранить концептуальные недостатки законопроекта, состоящие в недостаточности бюджетных ассигнований на субвенции </w:t>
      </w:r>
      <w:r w:rsidR="0047538D">
        <w:t>муниципальным образованиям н</w:t>
      </w:r>
      <w:r>
        <w:t xml:space="preserve">а </w:t>
      </w:r>
      <w:r w:rsidR="0047538D">
        <w:t xml:space="preserve">обеспечение государственных полномочий Волгоградской области в социальной сфере и на доведение ассигнований на оплату труда органам государственной власти </w:t>
      </w:r>
      <w:r w:rsidR="00D43BBE">
        <w:t xml:space="preserve">Волгоградской области </w:t>
      </w:r>
      <w:r w:rsidR="0047538D">
        <w:t xml:space="preserve">и государственным органам Волгоградской области до уровня </w:t>
      </w:r>
      <w:r w:rsidR="00D43BBE">
        <w:t xml:space="preserve">не ниже </w:t>
      </w:r>
      <w:r w:rsidR="0047538D">
        <w:t>текущего года</w:t>
      </w:r>
      <w:r>
        <w:t xml:space="preserve">;  </w:t>
      </w:r>
    </w:p>
    <w:p w:rsidR="000076C4" w:rsidRPr="00077234" w:rsidRDefault="00077234" w:rsidP="000076C4">
      <w:pPr>
        <w:jc w:val="both"/>
        <w:rPr>
          <w:color w:val="000000" w:themeColor="text1"/>
        </w:rPr>
      </w:pPr>
      <w:r>
        <w:rPr>
          <w:color w:val="0070C0"/>
        </w:rPr>
        <w:tab/>
      </w:r>
      <w:r w:rsidRPr="00077234">
        <w:rPr>
          <w:color w:val="000000" w:themeColor="text1"/>
        </w:rPr>
        <w:t>в статье 33</w:t>
      </w:r>
      <w:r>
        <w:rPr>
          <w:color w:val="000000" w:themeColor="text1"/>
        </w:rPr>
        <w:t xml:space="preserve"> законопроекта бюджетные ассигнования дорожного фонда Волгоградской области на 2018 год предусмотреть в сумме, эквивалентной прогнозируемым доходам дорожного фонда, при этом статью 34 законопроекта</w:t>
      </w:r>
      <w:r w:rsidR="0010388A">
        <w:rPr>
          <w:color w:val="000000" w:themeColor="text1"/>
        </w:rPr>
        <w:t xml:space="preserve"> исключить</w:t>
      </w:r>
      <w:r>
        <w:rPr>
          <w:color w:val="000000" w:themeColor="text1"/>
        </w:rPr>
        <w:t xml:space="preserve">;  </w:t>
      </w:r>
    </w:p>
    <w:p w:rsidR="000076C4" w:rsidRPr="008E252B" w:rsidRDefault="008E252B" w:rsidP="000076C4">
      <w:pPr>
        <w:jc w:val="both"/>
        <w:rPr>
          <w:color w:val="000000" w:themeColor="text1"/>
        </w:rPr>
      </w:pPr>
      <w:r>
        <w:rPr>
          <w:color w:val="0070C0"/>
        </w:rPr>
        <w:tab/>
        <w:t>-</w:t>
      </w:r>
      <w:r w:rsidRPr="008E252B">
        <w:rPr>
          <w:color w:val="000000" w:themeColor="text1"/>
        </w:rPr>
        <w:t>в целях</w:t>
      </w:r>
      <w:r>
        <w:rPr>
          <w:color w:val="000000" w:themeColor="text1"/>
        </w:rPr>
        <w:t xml:space="preserve"> выполнения положения </w:t>
      </w:r>
      <w:r w:rsidRPr="00E963B2">
        <w:t>об индексации денежного содержания государственных гражданских служащих</w:t>
      </w:r>
      <w:r>
        <w:t>, предусмотренного</w:t>
      </w:r>
      <w:r w:rsidRPr="00F31D0D">
        <w:t xml:space="preserve"> част</w:t>
      </w:r>
      <w:r>
        <w:t xml:space="preserve">ью </w:t>
      </w:r>
      <w:r w:rsidRPr="00F31D0D">
        <w:t>1</w:t>
      </w:r>
      <w:r>
        <w:t>2</w:t>
      </w:r>
      <w:r w:rsidRPr="00F31D0D">
        <w:t xml:space="preserve"> статьи 50 Федерального закона №79-ФЗ</w:t>
      </w:r>
      <w:r>
        <w:t xml:space="preserve"> «О государственной гражданской службе Российской Федерации», предусмотреть ассигнования на индексацию </w:t>
      </w:r>
      <w:r w:rsidR="003C54E1">
        <w:t xml:space="preserve">в последующих периодах </w:t>
      </w:r>
      <w:r>
        <w:t>с учетом приостановленной индексации.</w:t>
      </w:r>
    </w:p>
    <w:p w:rsidR="000076C4" w:rsidRDefault="000076C4" w:rsidP="000076C4">
      <w:pPr>
        <w:jc w:val="both"/>
        <w:rPr>
          <w:b/>
          <w:i/>
          <w:color w:val="0070C0"/>
        </w:rPr>
      </w:pPr>
    </w:p>
    <w:p w:rsidR="000076C4" w:rsidRDefault="000076C4" w:rsidP="000076C4">
      <w:pPr>
        <w:jc w:val="both"/>
        <w:rPr>
          <w:b/>
          <w:i/>
          <w:color w:val="0070C0"/>
        </w:rPr>
      </w:pPr>
    </w:p>
    <w:p w:rsidR="008E252B" w:rsidRDefault="008E252B" w:rsidP="000076C4">
      <w:pPr>
        <w:jc w:val="both"/>
        <w:rPr>
          <w:b/>
          <w:i/>
          <w:color w:val="0070C0"/>
        </w:rPr>
      </w:pPr>
    </w:p>
    <w:p w:rsidR="008E252B" w:rsidRDefault="008E252B" w:rsidP="000076C4">
      <w:pPr>
        <w:jc w:val="both"/>
        <w:rPr>
          <w:b/>
          <w:i/>
          <w:color w:val="0070C0"/>
        </w:rPr>
      </w:pPr>
    </w:p>
    <w:p w:rsidR="000076C4" w:rsidRDefault="000076C4" w:rsidP="000076C4">
      <w:pPr>
        <w:jc w:val="both"/>
        <w:rPr>
          <w:b/>
          <w:i/>
          <w:color w:val="0070C0"/>
        </w:rPr>
      </w:pPr>
    </w:p>
    <w:p w:rsidR="003C54E1" w:rsidRDefault="003C54E1" w:rsidP="000076C4">
      <w:pPr>
        <w:jc w:val="both"/>
        <w:rPr>
          <w:b/>
          <w:i/>
          <w:color w:val="0070C0"/>
        </w:rPr>
      </w:pPr>
    </w:p>
    <w:p w:rsidR="000076C4" w:rsidRDefault="000076C4" w:rsidP="000076C4">
      <w:pPr>
        <w:jc w:val="both"/>
        <w:rPr>
          <w:b/>
          <w:i/>
          <w:color w:val="0070C0"/>
        </w:rPr>
      </w:pPr>
    </w:p>
    <w:p w:rsidR="000076C4" w:rsidRPr="00A27310" w:rsidRDefault="000076C4" w:rsidP="000076C4">
      <w:pPr>
        <w:jc w:val="both"/>
        <w:rPr>
          <w:b/>
          <w:i/>
        </w:rPr>
      </w:pPr>
      <w:r w:rsidRPr="00A27310">
        <w:rPr>
          <w:b/>
          <w:i/>
        </w:rPr>
        <w:t>Председатель                                                                                                         И.А. Дьяченко</w:t>
      </w:r>
    </w:p>
    <w:p w:rsidR="000076C4" w:rsidRPr="005507B6" w:rsidRDefault="000076C4" w:rsidP="00DB14DF">
      <w:pPr>
        <w:ind w:firstLine="720"/>
        <w:jc w:val="both"/>
      </w:pPr>
    </w:p>
    <w:p w:rsidR="00CB55DB" w:rsidRDefault="00CB55DB" w:rsidP="00DB14DF">
      <w:pPr>
        <w:ind w:firstLine="720"/>
        <w:jc w:val="both"/>
      </w:pPr>
    </w:p>
    <w:p w:rsidR="00CB55DB" w:rsidRDefault="00CB55DB" w:rsidP="00DB14DF">
      <w:pPr>
        <w:ind w:firstLine="720"/>
        <w:jc w:val="both"/>
      </w:pPr>
    </w:p>
    <w:p w:rsidR="00CB55DB" w:rsidRPr="005507B6" w:rsidRDefault="00CB55DB" w:rsidP="00DB14DF">
      <w:pPr>
        <w:ind w:firstLine="720"/>
        <w:jc w:val="both"/>
      </w:pPr>
    </w:p>
    <w:p w:rsidR="00727ACB" w:rsidRDefault="00727ACB" w:rsidP="00242DCA">
      <w:pPr>
        <w:jc w:val="both"/>
        <w:rPr>
          <w:b/>
          <w:i/>
          <w:color w:val="0070C0"/>
        </w:rPr>
      </w:pPr>
    </w:p>
    <w:sectPr w:rsidR="00727ACB" w:rsidSect="00057F16">
      <w:headerReference w:type="even" r:id="rId15"/>
      <w:headerReference w:type="default" r:id="rId16"/>
      <w:footnotePr>
        <w:numFmt w:val="chicago"/>
      </w:footnotePr>
      <w:pgSz w:w="11906" w:h="16838"/>
      <w:pgMar w:top="1276" w:right="851" w:bottom="851"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5F4" w:rsidRDefault="000725F4">
      <w:r>
        <w:separator/>
      </w:r>
    </w:p>
  </w:endnote>
  <w:endnote w:type="continuationSeparator" w:id="0">
    <w:p w:rsidR="000725F4" w:rsidRDefault="000725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5F4" w:rsidRDefault="000725F4">
      <w:r>
        <w:separator/>
      </w:r>
    </w:p>
  </w:footnote>
  <w:footnote w:type="continuationSeparator" w:id="0">
    <w:p w:rsidR="000725F4" w:rsidRDefault="000725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0D8" w:rsidRDefault="005850D8" w:rsidP="00510C7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50D8" w:rsidRDefault="005850D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0D8" w:rsidRDefault="005850D8" w:rsidP="00510C7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A04F8">
      <w:rPr>
        <w:rStyle w:val="a4"/>
        <w:noProof/>
      </w:rPr>
      <w:t>22</w:t>
    </w:r>
    <w:r>
      <w:rPr>
        <w:rStyle w:val="a4"/>
      </w:rPr>
      <w:fldChar w:fldCharType="end"/>
    </w:r>
  </w:p>
  <w:p w:rsidR="005850D8" w:rsidRDefault="005850D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910"/>
    <w:multiLevelType w:val="hybridMultilevel"/>
    <w:tmpl w:val="031202F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4ED1E63"/>
    <w:multiLevelType w:val="hybridMultilevel"/>
    <w:tmpl w:val="42BA4B12"/>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712831"/>
    <w:multiLevelType w:val="hybridMultilevel"/>
    <w:tmpl w:val="FE3A97E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3">
    <w:nsid w:val="1ED214A3"/>
    <w:multiLevelType w:val="hybridMultilevel"/>
    <w:tmpl w:val="E33AAAC6"/>
    <w:lvl w:ilvl="0" w:tplc="0824A64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11267CE"/>
    <w:multiLevelType w:val="hybridMultilevel"/>
    <w:tmpl w:val="BF746FCA"/>
    <w:lvl w:ilvl="0" w:tplc="45DEECA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5">
    <w:nsid w:val="26747708"/>
    <w:multiLevelType w:val="hybridMultilevel"/>
    <w:tmpl w:val="7494F504"/>
    <w:lvl w:ilvl="0" w:tplc="6658A266">
      <w:start w:val="1"/>
      <w:numFmt w:val="decimal"/>
      <w:lvlText w:val="%1."/>
      <w:lvlJc w:val="left"/>
      <w:pPr>
        <w:tabs>
          <w:tab w:val="num" w:pos="3371"/>
        </w:tabs>
        <w:ind w:left="3371" w:hanging="1005"/>
      </w:pPr>
      <w:rPr>
        <w:rFonts w:cs="Times New Roman" w:hint="default"/>
      </w:rPr>
    </w:lvl>
    <w:lvl w:ilvl="1" w:tplc="04190019" w:tentative="1">
      <w:start w:val="1"/>
      <w:numFmt w:val="lowerLetter"/>
      <w:lvlText w:val="%2."/>
      <w:lvlJc w:val="left"/>
      <w:pPr>
        <w:ind w:left="3086" w:hanging="360"/>
      </w:pPr>
      <w:rPr>
        <w:rFonts w:cs="Times New Roman"/>
      </w:rPr>
    </w:lvl>
    <w:lvl w:ilvl="2" w:tplc="0419001B" w:tentative="1">
      <w:start w:val="1"/>
      <w:numFmt w:val="lowerRoman"/>
      <w:lvlText w:val="%3."/>
      <w:lvlJc w:val="right"/>
      <w:pPr>
        <w:ind w:left="3806" w:hanging="180"/>
      </w:pPr>
      <w:rPr>
        <w:rFonts w:cs="Times New Roman"/>
      </w:rPr>
    </w:lvl>
    <w:lvl w:ilvl="3" w:tplc="0419000F" w:tentative="1">
      <w:start w:val="1"/>
      <w:numFmt w:val="decimal"/>
      <w:lvlText w:val="%4."/>
      <w:lvlJc w:val="left"/>
      <w:pPr>
        <w:ind w:left="4526" w:hanging="360"/>
      </w:pPr>
      <w:rPr>
        <w:rFonts w:cs="Times New Roman"/>
      </w:rPr>
    </w:lvl>
    <w:lvl w:ilvl="4" w:tplc="04190019" w:tentative="1">
      <w:start w:val="1"/>
      <w:numFmt w:val="lowerLetter"/>
      <w:lvlText w:val="%5."/>
      <w:lvlJc w:val="left"/>
      <w:pPr>
        <w:ind w:left="5246" w:hanging="360"/>
      </w:pPr>
      <w:rPr>
        <w:rFonts w:cs="Times New Roman"/>
      </w:rPr>
    </w:lvl>
    <w:lvl w:ilvl="5" w:tplc="0419001B" w:tentative="1">
      <w:start w:val="1"/>
      <w:numFmt w:val="lowerRoman"/>
      <w:lvlText w:val="%6."/>
      <w:lvlJc w:val="right"/>
      <w:pPr>
        <w:ind w:left="5966" w:hanging="180"/>
      </w:pPr>
      <w:rPr>
        <w:rFonts w:cs="Times New Roman"/>
      </w:rPr>
    </w:lvl>
    <w:lvl w:ilvl="6" w:tplc="0419000F" w:tentative="1">
      <w:start w:val="1"/>
      <w:numFmt w:val="decimal"/>
      <w:lvlText w:val="%7."/>
      <w:lvlJc w:val="left"/>
      <w:pPr>
        <w:ind w:left="6686" w:hanging="360"/>
      </w:pPr>
      <w:rPr>
        <w:rFonts w:cs="Times New Roman"/>
      </w:rPr>
    </w:lvl>
    <w:lvl w:ilvl="7" w:tplc="04190019" w:tentative="1">
      <w:start w:val="1"/>
      <w:numFmt w:val="lowerLetter"/>
      <w:lvlText w:val="%8."/>
      <w:lvlJc w:val="left"/>
      <w:pPr>
        <w:ind w:left="7406" w:hanging="360"/>
      </w:pPr>
      <w:rPr>
        <w:rFonts w:cs="Times New Roman"/>
      </w:rPr>
    </w:lvl>
    <w:lvl w:ilvl="8" w:tplc="0419001B" w:tentative="1">
      <w:start w:val="1"/>
      <w:numFmt w:val="lowerRoman"/>
      <w:lvlText w:val="%9."/>
      <w:lvlJc w:val="right"/>
      <w:pPr>
        <w:ind w:left="8126" w:hanging="180"/>
      </w:pPr>
      <w:rPr>
        <w:rFonts w:cs="Times New Roman"/>
      </w:rPr>
    </w:lvl>
  </w:abstractNum>
  <w:abstractNum w:abstractNumId="6">
    <w:nsid w:val="274B30C0"/>
    <w:multiLevelType w:val="hybridMultilevel"/>
    <w:tmpl w:val="EC88B3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E801991"/>
    <w:multiLevelType w:val="hybridMultilevel"/>
    <w:tmpl w:val="C58E693A"/>
    <w:lvl w:ilvl="0" w:tplc="7B2A8CAA">
      <w:start w:val="1"/>
      <w:numFmt w:val="decimal"/>
      <w:lvlText w:val="%1."/>
      <w:lvlJc w:val="left"/>
      <w:pPr>
        <w:ind w:left="1065" w:hanging="360"/>
      </w:pPr>
      <w:rPr>
        <w:rFonts w:hint="default"/>
        <w:b w:val="0"/>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2F574D85"/>
    <w:multiLevelType w:val="hybridMultilevel"/>
    <w:tmpl w:val="CDA0E9B4"/>
    <w:lvl w:ilvl="0" w:tplc="6658A266">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5163E28"/>
    <w:multiLevelType w:val="hybridMultilevel"/>
    <w:tmpl w:val="029C5F12"/>
    <w:lvl w:ilvl="0" w:tplc="F85EF086">
      <w:start w:val="4"/>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0">
    <w:nsid w:val="3F4E4F35"/>
    <w:multiLevelType w:val="hybridMultilevel"/>
    <w:tmpl w:val="EA5A04BA"/>
    <w:lvl w:ilvl="0" w:tplc="7D3038CA">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58474A2"/>
    <w:multiLevelType w:val="hybridMultilevel"/>
    <w:tmpl w:val="81B2065A"/>
    <w:lvl w:ilvl="0" w:tplc="9510FBEC">
      <w:start w:val="1"/>
      <w:numFmt w:val="bullet"/>
      <w:lvlText w:val=""/>
      <w:lvlJc w:val="left"/>
      <w:pPr>
        <w:tabs>
          <w:tab w:val="num" w:pos="2880"/>
        </w:tabs>
        <w:ind w:left="2880" w:hanging="360"/>
      </w:pPr>
      <w:rPr>
        <w:rFonts w:ascii="Symbol" w:hAnsi="Symbol" w:hint="default"/>
        <w:color w:val="auto"/>
      </w:rPr>
    </w:lvl>
    <w:lvl w:ilvl="1" w:tplc="F9D60C12">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E7616BD"/>
    <w:multiLevelType w:val="hybridMultilevel"/>
    <w:tmpl w:val="82A6AA78"/>
    <w:lvl w:ilvl="0" w:tplc="625AA124">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5EE11EAE"/>
    <w:multiLevelType w:val="hybridMultilevel"/>
    <w:tmpl w:val="0388C560"/>
    <w:lvl w:ilvl="0" w:tplc="7108A67A">
      <w:start w:val="1"/>
      <w:numFmt w:val="decimal"/>
      <w:lvlText w:val="%1."/>
      <w:lvlJc w:val="left"/>
      <w:pPr>
        <w:ind w:left="928"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62913251"/>
    <w:multiLevelType w:val="hybridMultilevel"/>
    <w:tmpl w:val="2D14AE6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2BF1671"/>
    <w:multiLevelType w:val="hybridMultilevel"/>
    <w:tmpl w:val="DB1C77F6"/>
    <w:lvl w:ilvl="0" w:tplc="C66A6C5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680A1620"/>
    <w:multiLevelType w:val="hybridMultilevel"/>
    <w:tmpl w:val="AC4A20FE"/>
    <w:lvl w:ilvl="0" w:tplc="00D64EBA">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B001ABD"/>
    <w:multiLevelType w:val="hybridMultilevel"/>
    <w:tmpl w:val="188644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EC674C9"/>
    <w:multiLevelType w:val="hybridMultilevel"/>
    <w:tmpl w:val="1D4AF17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741E03D0"/>
    <w:multiLevelType w:val="hybridMultilevel"/>
    <w:tmpl w:val="1A1C00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5534E30"/>
    <w:multiLevelType w:val="hybridMultilevel"/>
    <w:tmpl w:val="2A6A6CA6"/>
    <w:lvl w:ilvl="0" w:tplc="A058C03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7A1969CF"/>
    <w:multiLevelType w:val="hybridMultilevel"/>
    <w:tmpl w:val="CCBCD28E"/>
    <w:lvl w:ilvl="0" w:tplc="BE2400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B48505B"/>
    <w:multiLevelType w:val="hybridMultilevel"/>
    <w:tmpl w:val="611A81D4"/>
    <w:lvl w:ilvl="0" w:tplc="A22018E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7B832F4B"/>
    <w:multiLevelType w:val="hybridMultilevel"/>
    <w:tmpl w:val="25B03C6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4">
    <w:nsid w:val="7E777B17"/>
    <w:multiLevelType w:val="hybridMultilevel"/>
    <w:tmpl w:val="D592F054"/>
    <w:lvl w:ilvl="0" w:tplc="A8EC143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6"/>
  </w:num>
  <w:num w:numId="4">
    <w:abstractNumId w:val="20"/>
  </w:num>
  <w:num w:numId="5">
    <w:abstractNumId w:val="17"/>
  </w:num>
  <w:num w:numId="6">
    <w:abstractNumId w:val="11"/>
  </w:num>
  <w:num w:numId="7">
    <w:abstractNumId w:val="18"/>
  </w:num>
  <w:num w:numId="8">
    <w:abstractNumId w:val="19"/>
  </w:num>
  <w:num w:numId="9">
    <w:abstractNumId w:val="1"/>
  </w:num>
  <w:num w:numId="10">
    <w:abstractNumId w:val="22"/>
  </w:num>
  <w:num w:numId="11">
    <w:abstractNumId w:val="7"/>
  </w:num>
  <w:num w:numId="12">
    <w:abstractNumId w:val="8"/>
  </w:num>
  <w:num w:numId="13">
    <w:abstractNumId w:val="5"/>
  </w:num>
  <w:num w:numId="14">
    <w:abstractNumId w:val="4"/>
  </w:num>
  <w:num w:numId="15">
    <w:abstractNumId w:val="21"/>
  </w:num>
  <w:num w:numId="16">
    <w:abstractNumId w:val="10"/>
  </w:num>
  <w:num w:numId="17">
    <w:abstractNumId w:val="9"/>
  </w:num>
  <w:num w:numId="18">
    <w:abstractNumId w:val="15"/>
  </w:num>
  <w:num w:numId="19">
    <w:abstractNumId w:val="14"/>
  </w:num>
  <w:num w:numId="20">
    <w:abstractNumId w:val="12"/>
  </w:num>
  <w:num w:numId="21">
    <w:abstractNumId w:val="13"/>
  </w:num>
  <w:num w:numId="22">
    <w:abstractNumId w:val="2"/>
  </w:num>
  <w:num w:numId="23">
    <w:abstractNumId w:val="24"/>
  </w:num>
  <w:num w:numId="24">
    <w:abstractNumId w:val="23"/>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characterSpacingControl w:val="doNotCompress"/>
  <w:footnotePr>
    <w:numFmt w:val="chicago"/>
    <w:footnote w:id="-1"/>
    <w:footnote w:id="0"/>
  </w:footnotePr>
  <w:endnotePr>
    <w:endnote w:id="-1"/>
    <w:endnote w:id="0"/>
  </w:endnotePr>
  <w:compat/>
  <w:rsids>
    <w:rsidRoot w:val="00F21DC2"/>
    <w:rsid w:val="000000CA"/>
    <w:rsid w:val="00000BE5"/>
    <w:rsid w:val="00001271"/>
    <w:rsid w:val="000020C9"/>
    <w:rsid w:val="00002117"/>
    <w:rsid w:val="00002CB4"/>
    <w:rsid w:val="0000310C"/>
    <w:rsid w:val="000040CC"/>
    <w:rsid w:val="00004B2A"/>
    <w:rsid w:val="00005342"/>
    <w:rsid w:val="00005398"/>
    <w:rsid w:val="0000590E"/>
    <w:rsid w:val="00005EB9"/>
    <w:rsid w:val="000076C4"/>
    <w:rsid w:val="000077B1"/>
    <w:rsid w:val="00007FBA"/>
    <w:rsid w:val="00010466"/>
    <w:rsid w:val="00010BE2"/>
    <w:rsid w:val="000112A8"/>
    <w:rsid w:val="0001136A"/>
    <w:rsid w:val="000124DF"/>
    <w:rsid w:val="000139BD"/>
    <w:rsid w:val="000142F7"/>
    <w:rsid w:val="00014F8D"/>
    <w:rsid w:val="00016D96"/>
    <w:rsid w:val="00016F0B"/>
    <w:rsid w:val="000174D6"/>
    <w:rsid w:val="00017758"/>
    <w:rsid w:val="00017EA5"/>
    <w:rsid w:val="00021147"/>
    <w:rsid w:val="0002271F"/>
    <w:rsid w:val="00022BBA"/>
    <w:rsid w:val="00023A20"/>
    <w:rsid w:val="00024A51"/>
    <w:rsid w:val="00024EC1"/>
    <w:rsid w:val="0002557B"/>
    <w:rsid w:val="00025E7E"/>
    <w:rsid w:val="000264B6"/>
    <w:rsid w:val="000265EB"/>
    <w:rsid w:val="00026D2E"/>
    <w:rsid w:val="00027D22"/>
    <w:rsid w:val="00030B77"/>
    <w:rsid w:val="0003209E"/>
    <w:rsid w:val="00033A9A"/>
    <w:rsid w:val="000368A5"/>
    <w:rsid w:val="00036A0F"/>
    <w:rsid w:val="00036D42"/>
    <w:rsid w:val="00040C8B"/>
    <w:rsid w:val="00041DA7"/>
    <w:rsid w:val="00042993"/>
    <w:rsid w:val="00042D29"/>
    <w:rsid w:val="00042F43"/>
    <w:rsid w:val="00043615"/>
    <w:rsid w:val="00044A11"/>
    <w:rsid w:val="00044B30"/>
    <w:rsid w:val="00045125"/>
    <w:rsid w:val="00045FCB"/>
    <w:rsid w:val="000465BD"/>
    <w:rsid w:val="0004667B"/>
    <w:rsid w:val="000474E0"/>
    <w:rsid w:val="0004773D"/>
    <w:rsid w:val="00050215"/>
    <w:rsid w:val="00051381"/>
    <w:rsid w:val="000518AF"/>
    <w:rsid w:val="0005234D"/>
    <w:rsid w:val="000523E4"/>
    <w:rsid w:val="00052A16"/>
    <w:rsid w:val="00052D34"/>
    <w:rsid w:val="00053734"/>
    <w:rsid w:val="00053B59"/>
    <w:rsid w:val="00054218"/>
    <w:rsid w:val="00054360"/>
    <w:rsid w:val="0005498E"/>
    <w:rsid w:val="00055303"/>
    <w:rsid w:val="00055AA7"/>
    <w:rsid w:val="00055CE8"/>
    <w:rsid w:val="00055DD5"/>
    <w:rsid w:val="00056244"/>
    <w:rsid w:val="00056EA3"/>
    <w:rsid w:val="00056F6F"/>
    <w:rsid w:val="000573A6"/>
    <w:rsid w:val="00057F16"/>
    <w:rsid w:val="00060972"/>
    <w:rsid w:val="00062E04"/>
    <w:rsid w:val="00064E7F"/>
    <w:rsid w:val="00064FDA"/>
    <w:rsid w:val="0006536C"/>
    <w:rsid w:val="0006647D"/>
    <w:rsid w:val="00066A4C"/>
    <w:rsid w:val="00071F30"/>
    <w:rsid w:val="00072345"/>
    <w:rsid w:val="000725F4"/>
    <w:rsid w:val="00073DDF"/>
    <w:rsid w:val="00073FEC"/>
    <w:rsid w:val="00074AF9"/>
    <w:rsid w:val="00074B8B"/>
    <w:rsid w:val="00074E3B"/>
    <w:rsid w:val="00075B09"/>
    <w:rsid w:val="00076928"/>
    <w:rsid w:val="00076C0E"/>
    <w:rsid w:val="00077234"/>
    <w:rsid w:val="00077FC5"/>
    <w:rsid w:val="0008075E"/>
    <w:rsid w:val="000807AD"/>
    <w:rsid w:val="00080EB0"/>
    <w:rsid w:val="00081612"/>
    <w:rsid w:val="00081AA4"/>
    <w:rsid w:val="00082A28"/>
    <w:rsid w:val="00082FC5"/>
    <w:rsid w:val="000830A7"/>
    <w:rsid w:val="0008382A"/>
    <w:rsid w:val="00085C06"/>
    <w:rsid w:val="00086169"/>
    <w:rsid w:val="0008625E"/>
    <w:rsid w:val="0008626D"/>
    <w:rsid w:val="0008668C"/>
    <w:rsid w:val="000867CC"/>
    <w:rsid w:val="000870CD"/>
    <w:rsid w:val="0008739B"/>
    <w:rsid w:val="0009055A"/>
    <w:rsid w:val="00091612"/>
    <w:rsid w:val="000917D3"/>
    <w:rsid w:val="00091EC6"/>
    <w:rsid w:val="00093074"/>
    <w:rsid w:val="00093294"/>
    <w:rsid w:val="000935C0"/>
    <w:rsid w:val="0009479F"/>
    <w:rsid w:val="000950F9"/>
    <w:rsid w:val="0009521D"/>
    <w:rsid w:val="00095252"/>
    <w:rsid w:val="000956B2"/>
    <w:rsid w:val="00095B43"/>
    <w:rsid w:val="000963A0"/>
    <w:rsid w:val="00096A90"/>
    <w:rsid w:val="00096ED2"/>
    <w:rsid w:val="00096F8C"/>
    <w:rsid w:val="00097E95"/>
    <w:rsid w:val="000A0235"/>
    <w:rsid w:val="000A2421"/>
    <w:rsid w:val="000A3ABA"/>
    <w:rsid w:val="000A4186"/>
    <w:rsid w:val="000A58A5"/>
    <w:rsid w:val="000A58BF"/>
    <w:rsid w:val="000A5BFF"/>
    <w:rsid w:val="000A5D44"/>
    <w:rsid w:val="000A66F7"/>
    <w:rsid w:val="000A74FB"/>
    <w:rsid w:val="000A7CBE"/>
    <w:rsid w:val="000A7F01"/>
    <w:rsid w:val="000B1309"/>
    <w:rsid w:val="000B1B8B"/>
    <w:rsid w:val="000B2F81"/>
    <w:rsid w:val="000B3019"/>
    <w:rsid w:val="000B3935"/>
    <w:rsid w:val="000B3AE6"/>
    <w:rsid w:val="000B485B"/>
    <w:rsid w:val="000B5597"/>
    <w:rsid w:val="000B5606"/>
    <w:rsid w:val="000B6FC1"/>
    <w:rsid w:val="000B7241"/>
    <w:rsid w:val="000B75D9"/>
    <w:rsid w:val="000B78BE"/>
    <w:rsid w:val="000B7F96"/>
    <w:rsid w:val="000C0647"/>
    <w:rsid w:val="000C0F4F"/>
    <w:rsid w:val="000C1631"/>
    <w:rsid w:val="000C3D3A"/>
    <w:rsid w:val="000C42E2"/>
    <w:rsid w:val="000C446A"/>
    <w:rsid w:val="000C5351"/>
    <w:rsid w:val="000C7211"/>
    <w:rsid w:val="000C7386"/>
    <w:rsid w:val="000C7A31"/>
    <w:rsid w:val="000D005F"/>
    <w:rsid w:val="000D095E"/>
    <w:rsid w:val="000D1C80"/>
    <w:rsid w:val="000D20BD"/>
    <w:rsid w:val="000D3371"/>
    <w:rsid w:val="000D368D"/>
    <w:rsid w:val="000D45DB"/>
    <w:rsid w:val="000D494D"/>
    <w:rsid w:val="000D561E"/>
    <w:rsid w:val="000D6410"/>
    <w:rsid w:val="000D646C"/>
    <w:rsid w:val="000D681E"/>
    <w:rsid w:val="000E0B3E"/>
    <w:rsid w:val="000E0CA4"/>
    <w:rsid w:val="000E1B05"/>
    <w:rsid w:val="000E1BD9"/>
    <w:rsid w:val="000E1C47"/>
    <w:rsid w:val="000E1F6C"/>
    <w:rsid w:val="000E1FC9"/>
    <w:rsid w:val="000E24C2"/>
    <w:rsid w:val="000E251D"/>
    <w:rsid w:val="000E317F"/>
    <w:rsid w:val="000E369F"/>
    <w:rsid w:val="000E4F64"/>
    <w:rsid w:val="000E5FA8"/>
    <w:rsid w:val="000E63F0"/>
    <w:rsid w:val="000E705F"/>
    <w:rsid w:val="000E720F"/>
    <w:rsid w:val="000E7A7E"/>
    <w:rsid w:val="000E7EE6"/>
    <w:rsid w:val="000F06F8"/>
    <w:rsid w:val="000F0D40"/>
    <w:rsid w:val="000F0D87"/>
    <w:rsid w:val="000F0F56"/>
    <w:rsid w:val="000F201A"/>
    <w:rsid w:val="000F3621"/>
    <w:rsid w:val="000F4441"/>
    <w:rsid w:val="000F445B"/>
    <w:rsid w:val="000F49BB"/>
    <w:rsid w:val="000F66A1"/>
    <w:rsid w:val="000F7FB9"/>
    <w:rsid w:val="00100F0A"/>
    <w:rsid w:val="0010108E"/>
    <w:rsid w:val="00101345"/>
    <w:rsid w:val="001015FD"/>
    <w:rsid w:val="00101A16"/>
    <w:rsid w:val="00101F2D"/>
    <w:rsid w:val="001020AC"/>
    <w:rsid w:val="00102891"/>
    <w:rsid w:val="0010388A"/>
    <w:rsid w:val="00103B53"/>
    <w:rsid w:val="00104487"/>
    <w:rsid w:val="001046B0"/>
    <w:rsid w:val="001052EF"/>
    <w:rsid w:val="00106B17"/>
    <w:rsid w:val="001071A4"/>
    <w:rsid w:val="00107418"/>
    <w:rsid w:val="00107FFC"/>
    <w:rsid w:val="00110604"/>
    <w:rsid w:val="00110B5F"/>
    <w:rsid w:val="00110D75"/>
    <w:rsid w:val="0011130A"/>
    <w:rsid w:val="00111555"/>
    <w:rsid w:val="00111651"/>
    <w:rsid w:val="0011190C"/>
    <w:rsid w:val="00111AC8"/>
    <w:rsid w:val="00111FFF"/>
    <w:rsid w:val="00112931"/>
    <w:rsid w:val="00113D26"/>
    <w:rsid w:val="00114688"/>
    <w:rsid w:val="0011761E"/>
    <w:rsid w:val="00117CE8"/>
    <w:rsid w:val="00117EE5"/>
    <w:rsid w:val="00117FDF"/>
    <w:rsid w:val="0012074C"/>
    <w:rsid w:val="00120F67"/>
    <w:rsid w:val="001211C1"/>
    <w:rsid w:val="00121B0D"/>
    <w:rsid w:val="00122277"/>
    <w:rsid w:val="00122572"/>
    <w:rsid w:val="001230E6"/>
    <w:rsid w:val="0012421D"/>
    <w:rsid w:val="00124BAF"/>
    <w:rsid w:val="00124E6B"/>
    <w:rsid w:val="00125771"/>
    <w:rsid w:val="0012664F"/>
    <w:rsid w:val="00126E5F"/>
    <w:rsid w:val="00126EF4"/>
    <w:rsid w:val="001272FA"/>
    <w:rsid w:val="001273A4"/>
    <w:rsid w:val="0012760A"/>
    <w:rsid w:val="00127828"/>
    <w:rsid w:val="00127F10"/>
    <w:rsid w:val="00130E76"/>
    <w:rsid w:val="00131868"/>
    <w:rsid w:val="001326C2"/>
    <w:rsid w:val="00132851"/>
    <w:rsid w:val="0013353F"/>
    <w:rsid w:val="0013399B"/>
    <w:rsid w:val="00136295"/>
    <w:rsid w:val="00137BD7"/>
    <w:rsid w:val="00140C0D"/>
    <w:rsid w:val="001411C2"/>
    <w:rsid w:val="001417ED"/>
    <w:rsid w:val="00141F10"/>
    <w:rsid w:val="00142268"/>
    <w:rsid w:val="00142BAE"/>
    <w:rsid w:val="00143181"/>
    <w:rsid w:val="001434FB"/>
    <w:rsid w:val="001439A7"/>
    <w:rsid w:val="00143E11"/>
    <w:rsid w:val="00143ED4"/>
    <w:rsid w:val="00144737"/>
    <w:rsid w:val="0014500F"/>
    <w:rsid w:val="00145A81"/>
    <w:rsid w:val="00145C57"/>
    <w:rsid w:val="0014768A"/>
    <w:rsid w:val="00147DC1"/>
    <w:rsid w:val="001507E9"/>
    <w:rsid w:val="0015152A"/>
    <w:rsid w:val="00152A7B"/>
    <w:rsid w:val="0015317B"/>
    <w:rsid w:val="00153807"/>
    <w:rsid w:val="00154142"/>
    <w:rsid w:val="00154522"/>
    <w:rsid w:val="00154C01"/>
    <w:rsid w:val="00156E24"/>
    <w:rsid w:val="00157A0E"/>
    <w:rsid w:val="00160485"/>
    <w:rsid w:val="0016071B"/>
    <w:rsid w:val="00160CA5"/>
    <w:rsid w:val="00160E21"/>
    <w:rsid w:val="001618E8"/>
    <w:rsid w:val="00161EC9"/>
    <w:rsid w:val="0016240E"/>
    <w:rsid w:val="00163015"/>
    <w:rsid w:val="0016353B"/>
    <w:rsid w:val="00163A64"/>
    <w:rsid w:val="00165287"/>
    <w:rsid w:val="0016593F"/>
    <w:rsid w:val="00165C83"/>
    <w:rsid w:val="001665CA"/>
    <w:rsid w:val="00166F17"/>
    <w:rsid w:val="00167D37"/>
    <w:rsid w:val="00170061"/>
    <w:rsid w:val="00170AEC"/>
    <w:rsid w:val="00170DC9"/>
    <w:rsid w:val="00171516"/>
    <w:rsid w:val="001716AD"/>
    <w:rsid w:val="00172772"/>
    <w:rsid w:val="00172D3E"/>
    <w:rsid w:val="00173D39"/>
    <w:rsid w:val="00174181"/>
    <w:rsid w:val="0017443A"/>
    <w:rsid w:val="00174982"/>
    <w:rsid w:val="00175A94"/>
    <w:rsid w:val="00175D22"/>
    <w:rsid w:val="00175F78"/>
    <w:rsid w:val="00176618"/>
    <w:rsid w:val="00176A13"/>
    <w:rsid w:val="00182B2E"/>
    <w:rsid w:val="00183992"/>
    <w:rsid w:val="001839BF"/>
    <w:rsid w:val="00183DF6"/>
    <w:rsid w:val="00184CA7"/>
    <w:rsid w:val="00184E02"/>
    <w:rsid w:val="001857E9"/>
    <w:rsid w:val="00185835"/>
    <w:rsid w:val="00185F0B"/>
    <w:rsid w:val="00185F8A"/>
    <w:rsid w:val="0018763A"/>
    <w:rsid w:val="00187EAA"/>
    <w:rsid w:val="00187EC9"/>
    <w:rsid w:val="0019018B"/>
    <w:rsid w:val="00190C24"/>
    <w:rsid w:val="00190D1F"/>
    <w:rsid w:val="00190E8B"/>
    <w:rsid w:val="001923D0"/>
    <w:rsid w:val="00192DAD"/>
    <w:rsid w:val="0019347B"/>
    <w:rsid w:val="00193570"/>
    <w:rsid w:val="0019363D"/>
    <w:rsid w:val="001939F2"/>
    <w:rsid w:val="001947D0"/>
    <w:rsid w:val="00194BF7"/>
    <w:rsid w:val="00195375"/>
    <w:rsid w:val="00195450"/>
    <w:rsid w:val="0019703E"/>
    <w:rsid w:val="001A1BD7"/>
    <w:rsid w:val="001A29C0"/>
    <w:rsid w:val="001A339A"/>
    <w:rsid w:val="001A3989"/>
    <w:rsid w:val="001A3EF0"/>
    <w:rsid w:val="001A4459"/>
    <w:rsid w:val="001A47C5"/>
    <w:rsid w:val="001A4846"/>
    <w:rsid w:val="001A4928"/>
    <w:rsid w:val="001A4A38"/>
    <w:rsid w:val="001A63E5"/>
    <w:rsid w:val="001A695C"/>
    <w:rsid w:val="001A6BC9"/>
    <w:rsid w:val="001B0016"/>
    <w:rsid w:val="001B00D6"/>
    <w:rsid w:val="001B07F3"/>
    <w:rsid w:val="001B0D19"/>
    <w:rsid w:val="001B168A"/>
    <w:rsid w:val="001B2185"/>
    <w:rsid w:val="001B2A98"/>
    <w:rsid w:val="001B31BB"/>
    <w:rsid w:val="001B4164"/>
    <w:rsid w:val="001B42CD"/>
    <w:rsid w:val="001B642D"/>
    <w:rsid w:val="001B6442"/>
    <w:rsid w:val="001B6AA5"/>
    <w:rsid w:val="001B7473"/>
    <w:rsid w:val="001B7E18"/>
    <w:rsid w:val="001C0730"/>
    <w:rsid w:val="001C0908"/>
    <w:rsid w:val="001C1290"/>
    <w:rsid w:val="001C1A12"/>
    <w:rsid w:val="001C25F4"/>
    <w:rsid w:val="001C27CF"/>
    <w:rsid w:val="001C4CC9"/>
    <w:rsid w:val="001C51B4"/>
    <w:rsid w:val="001C5464"/>
    <w:rsid w:val="001C5AA5"/>
    <w:rsid w:val="001C67AC"/>
    <w:rsid w:val="001C6821"/>
    <w:rsid w:val="001C7320"/>
    <w:rsid w:val="001C75F9"/>
    <w:rsid w:val="001D1140"/>
    <w:rsid w:val="001D1154"/>
    <w:rsid w:val="001D24B9"/>
    <w:rsid w:val="001D2DA0"/>
    <w:rsid w:val="001D410A"/>
    <w:rsid w:val="001D485F"/>
    <w:rsid w:val="001D5C7A"/>
    <w:rsid w:val="001D679B"/>
    <w:rsid w:val="001D6989"/>
    <w:rsid w:val="001D72B0"/>
    <w:rsid w:val="001D739B"/>
    <w:rsid w:val="001D7A8F"/>
    <w:rsid w:val="001E17FC"/>
    <w:rsid w:val="001E2527"/>
    <w:rsid w:val="001E2E61"/>
    <w:rsid w:val="001E3A38"/>
    <w:rsid w:val="001E4086"/>
    <w:rsid w:val="001E4CC8"/>
    <w:rsid w:val="001E63A1"/>
    <w:rsid w:val="001E6539"/>
    <w:rsid w:val="001E6F96"/>
    <w:rsid w:val="001F08E0"/>
    <w:rsid w:val="001F1004"/>
    <w:rsid w:val="001F105B"/>
    <w:rsid w:val="001F221A"/>
    <w:rsid w:val="001F24FB"/>
    <w:rsid w:val="001F4D10"/>
    <w:rsid w:val="001F519A"/>
    <w:rsid w:val="001F5F37"/>
    <w:rsid w:val="001F65FF"/>
    <w:rsid w:val="001F6868"/>
    <w:rsid w:val="001F7ACC"/>
    <w:rsid w:val="001F7E18"/>
    <w:rsid w:val="00200864"/>
    <w:rsid w:val="00200953"/>
    <w:rsid w:val="00200DA3"/>
    <w:rsid w:val="00201269"/>
    <w:rsid w:val="002026EC"/>
    <w:rsid w:val="00202730"/>
    <w:rsid w:val="00202815"/>
    <w:rsid w:val="002054D5"/>
    <w:rsid w:val="00206B69"/>
    <w:rsid w:val="00206D76"/>
    <w:rsid w:val="0020753A"/>
    <w:rsid w:val="002075BC"/>
    <w:rsid w:val="002079C0"/>
    <w:rsid w:val="00210100"/>
    <w:rsid w:val="002106BB"/>
    <w:rsid w:val="002106CD"/>
    <w:rsid w:val="00210863"/>
    <w:rsid w:val="002109CE"/>
    <w:rsid w:val="00212143"/>
    <w:rsid w:val="002134B5"/>
    <w:rsid w:val="00214274"/>
    <w:rsid w:val="002143F6"/>
    <w:rsid w:val="00215A49"/>
    <w:rsid w:val="00215A4D"/>
    <w:rsid w:val="00216D0A"/>
    <w:rsid w:val="00217614"/>
    <w:rsid w:val="0022031E"/>
    <w:rsid w:val="002206A2"/>
    <w:rsid w:val="00221CF1"/>
    <w:rsid w:val="002222A2"/>
    <w:rsid w:val="00222828"/>
    <w:rsid w:val="00222B69"/>
    <w:rsid w:val="00223677"/>
    <w:rsid w:val="00223737"/>
    <w:rsid w:val="00223988"/>
    <w:rsid w:val="0022442C"/>
    <w:rsid w:val="00224796"/>
    <w:rsid w:val="0022496C"/>
    <w:rsid w:val="00225C32"/>
    <w:rsid w:val="00225D55"/>
    <w:rsid w:val="00226600"/>
    <w:rsid w:val="0022739A"/>
    <w:rsid w:val="0022742F"/>
    <w:rsid w:val="00232213"/>
    <w:rsid w:val="0023283D"/>
    <w:rsid w:val="002329F9"/>
    <w:rsid w:val="002333FD"/>
    <w:rsid w:val="00234698"/>
    <w:rsid w:val="00234A16"/>
    <w:rsid w:val="00235046"/>
    <w:rsid w:val="00237FB6"/>
    <w:rsid w:val="00240330"/>
    <w:rsid w:val="002404DC"/>
    <w:rsid w:val="00241476"/>
    <w:rsid w:val="00241C89"/>
    <w:rsid w:val="00242DCA"/>
    <w:rsid w:val="0024325E"/>
    <w:rsid w:val="00243E3C"/>
    <w:rsid w:val="002440E5"/>
    <w:rsid w:val="0024450F"/>
    <w:rsid w:val="00245089"/>
    <w:rsid w:val="0024538E"/>
    <w:rsid w:val="002453D4"/>
    <w:rsid w:val="00245A63"/>
    <w:rsid w:val="00245DA9"/>
    <w:rsid w:val="002475D3"/>
    <w:rsid w:val="0024770A"/>
    <w:rsid w:val="00247F63"/>
    <w:rsid w:val="00250164"/>
    <w:rsid w:val="00251520"/>
    <w:rsid w:val="002528DD"/>
    <w:rsid w:val="00252CC9"/>
    <w:rsid w:val="0025304B"/>
    <w:rsid w:val="002532B2"/>
    <w:rsid w:val="002535E4"/>
    <w:rsid w:val="00253C87"/>
    <w:rsid w:val="00254A13"/>
    <w:rsid w:val="00254E04"/>
    <w:rsid w:val="00255E2A"/>
    <w:rsid w:val="00255F25"/>
    <w:rsid w:val="00255FCA"/>
    <w:rsid w:val="0025603C"/>
    <w:rsid w:val="002570DB"/>
    <w:rsid w:val="0026093A"/>
    <w:rsid w:val="00261745"/>
    <w:rsid w:val="0026347A"/>
    <w:rsid w:val="00264092"/>
    <w:rsid w:val="002640D3"/>
    <w:rsid w:val="0026470F"/>
    <w:rsid w:val="002653F0"/>
    <w:rsid w:val="00265407"/>
    <w:rsid w:val="00265BD0"/>
    <w:rsid w:val="002665EB"/>
    <w:rsid w:val="00270025"/>
    <w:rsid w:val="002709B9"/>
    <w:rsid w:val="00270D0B"/>
    <w:rsid w:val="00270F6F"/>
    <w:rsid w:val="00272675"/>
    <w:rsid w:val="00272C26"/>
    <w:rsid w:val="00275036"/>
    <w:rsid w:val="002750E9"/>
    <w:rsid w:val="00275505"/>
    <w:rsid w:val="002755D7"/>
    <w:rsid w:val="00276518"/>
    <w:rsid w:val="0027681B"/>
    <w:rsid w:val="002772A5"/>
    <w:rsid w:val="00277D62"/>
    <w:rsid w:val="00277DE3"/>
    <w:rsid w:val="00277EBB"/>
    <w:rsid w:val="00277FA3"/>
    <w:rsid w:val="00280581"/>
    <w:rsid w:val="00280621"/>
    <w:rsid w:val="002806AA"/>
    <w:rsid w:val="00280B37"/>
    <w:rsid w:val="002817BB"/>
    <w:rsid w:val="00281CCA"/>
    <w:rsid w:val="00282293"/>
    <w:rsid w:val="002826A4"/>
    <w:rsid w:val="00282BA8"/>
    <w:rsid w:val="002834DD"/>
    <w:rsid w:val="00283A5D"/>
    <w:rsid w:val="00287A35"/>
    <w:rsid w:val="00287D88"/>
    <w:rsid w:val="002906BB"/>
    <w:rsid w:val="00290824"/>
    <w:rsid w:val="00290867"/>
    <w:rsid w:val="00290FE1"/>
    <w:rsid w:val="00292C2A"/>
    <w:rsid w:val="00293FFF"/>
    <w:rsid w:val="002948AC"/>
    <w:rsid w:val="00294B22"/>
    <w:rsid w:val="0029505F"/>
    <w:rsid w:val="00295BFA"/>
    <w:rsid w:val="002A108F"/>
    <w:rsid w:val="002A198E"/>
    <w:rsid w:val="002A1D76"/>
    <w:rsid w:val="002A2EFD"/>
    <w:rsid w:val="002A2FDD"/>
    <w:rsid w:val="002A65E0"/>
    <w:rsid w:val="002A6648"/>
    <w:rsid w:val="002A6E72"/>
    <w:rsid w:val="002A797A"/>
    <w:rsid w:val="002B03C0"/>
    <w:rsid w:val="002B1438"/>
    <w:rsid w:val="002B15A6"/>
    <w:rsid w:val="002B1823"/>
    <w:rsid w:val="002B266D"/>
    <w:rsid w:val="002B2B71"/>
    <w:rsid w:val="002B2EC9"/>
    <w:rsid w:val="002B38B9"/>
    <w:rsid w:val="002B3B98"/>
    <w:rsid w:val="002B5BEA"/>
    <w:rsid w:val="002B5D9D"/>
    <w:rsid w:val="002B5FB8"/>
    <w:rsid w:val="002B666A"/>
    <w:rsid w:val="002B7651"/>
    <w:rsid w:val="002B7F8E"/>
    <w:rsid w:val="002C03E4"/>
    <w:rsid w:val="002C0774"/>
    <w:rsid w:val="002C2791"/>
    <w:rsid w:val="002C35AE"/>
    <w:rsid w:val="002C4D11"/>
    <w:rsid w:val="002C58DA"/>
    <w:rsid w:val="002C5EDC"/>
    <w:rsid w:val="002C652B"/>
    <w:rsid w:val="002C73E7"/>
    <w:rsid w:val="002C7422"/>
    <w:rsid w:val="002C7563"/>
    <w:rsid w:val="002C7B01"/>
    <w:rsid w:val="002C7E13"/>
    <w:rsid w:val="002D12D2"/>
    <w:rsid w:val="002D22C8"/>
    <w:rsid w:val="002D287E"/>
    <w:rsid w:val="002D352B"/>
    <w:rsid w:val="002D3B30"/>
    <w:rsid w:val="002D477C"/>
    <w:rsid w:val="002D49CB"/>
    <w:rsid w:val="002D49DF"/>
    <w:rsid w:val="002D669C"/>
    <w:rsid w:val="002E1907"/>
    <w:rsid w:val="002E1D83"/>
    <w:rsid w:val="002E2083"/>
    <w:rsid w:val="002E2627"/>
    <w:rsid w:val="002E2C83"/>
    <w:rsid w:val="002E323A"/>
    <w:rsid w:val="002E328D"/>
    <w:rsid w:val="002E392D"/>
    <w:rsid w:val="002E4003"/>
    <w:rsid w:val="002E43C4"/>
    <w:rsid w:val="002E48A0"/>
    <w:rsid w:val="002E4A60"/>
    <w:rsid w:val="002E50FA"/>
    <w:rsid w:val="002E56CA"/>
    <w:rsid w:val="002E5A8F"/>
    <w:rsid w:val="002E5D4B"/>
    <w:rsid w:val="002E67BA"/>
    <w:rsid w:val="002F04ED"/>
    <w:rsid w:val="002F0B7D"/>
    <w:rsid w:val="002F0E6D"/>
    <w:rsid w:val="002F1896"/>
    <w:rsid w:val="002F1C1B"/>
    <w:rsid w:val="002F2637"/>
    <w:rsid w:val="002F375F"/>
    <w:rsid w:val="002F4CBC"/>
    <w:rsid w:val="002F51CF"/>
    <w:rsid w:val="002F5DD5"/>
    <w:rsid w:val="002F5EE4"/>
    <w:rsid w:val="002F60AE"/>
    <w:rsid w:val="002F7EFD"/>
    <w:rsid w:val="003012D0"/>
    <w:rsid w:val="00301470"/>
    <w:rsid w:val="00301F40"/>
    <w:rsid w:val="0030381B"/>
    <w:rsid w:val="003039E9"/>
    <w:rsid w:val="00303BA3"/>
    <w:rsid w:val="00305811"/>
    <w:rsid w:val="00305B22"/>
    <w:rsid w:val="00305C65"/>
    <w:rsid w:val="00305F48"/>
    <w:rsid w:val="00306A25"/>
    <w:rsid w:val="00307BAB"/>
    <w:rsid w:val="00307F2F"/>
    <w:rsid w:val="003101E1"/>
    <w:rsid w:val="00310236"/>
    <w:rsid w:val="003102D8"/>
    <w:rsid w:val="0031031C"/>
    <w:rsid w:val="00310963"/>
    <w:rsid w:val="00310DA9"/>
    <w:rsid w:val="0031211F"/>
    <w:rsid w:val="003123DD"/>
    <w:rsid w:val="003127FD"/>
    <w:rsid w:val="00312CA9"/>
    <w:rsid w:val="00313130"/>
    <w:rsid w:val="0031355B"/>
    <w:rsid w:val="00313E21"/>
    <w:rsid w:val="003142D9"/>
    <w:rsid w:val="00315052"/>
    <w:rsid w:val="00315F1A"/>
    <w:rsid w:val="00316121"/>
    <w:rsid w:val="00316346"/>
    <w:rsid w:val="0031676D"/>
    <w:rsid w:val="00316FDC"/>
    <w:rsid w:val="003171D1"/>
    <w:rsid w:val="00317A12"/>
    <w:rsid w:val="00317AA6"/>
    <w:rsid w:val="00317D07"/>
    <w:rsid w:val="00320141"/>
    <w:rsid w:val="003207F0"/>
    <w:rsid w:val="00320C94"/>
    <w:rsid w:val="0032157D"/>
    <w:rsid w:val="003237EC"/>
    <w:rsid w:val="00323DFF"/>
    <w:rsid w:val="00324F6C"/>
    <w:rsid w:val="0032506B"/>
    <w:rsid w:val="00325169"/>
    <w:rsid w:val="00325585"/>
    <w:rsid w:val="0032674F"/>
    <w:rsid w:val="003270E2"/>
    <w:rsid w:val="003271E9"/>
    <w:rsid w:val="00327E87"/>
    <w:rsid w:val="00330127"/>
    <w:rsid w:val="00330399"/>
    <w:rsid w:val="00330C07"/>
    <w:rsid w:val="00330C85"/>
    <w:rsid w:val="00331166"/>
    <w:rsid w:val="00331497"/>
    <w:rsid w:val="00332D5F"/>
    <w:rsid w:val="003336D3"/>
    <w:rsid w:val="0033375B"/>
    <w:rsid w:val="003339C2"/>
    <w:rsid w:val="00333FF0"/>
    <w:rsid w:val="00334867"/>
    <w:rsid w:val="00335633"/>
    <w:rsid w:val="00337D3B"/>
    <w:rsid w:val="0034127E"/>
    <w:rsid w:val="00341673"/>
    <w:rsid w:val="003419AE"/>
    <w:rsid w:val="00343AFE"/>
    <w:rsid w:val="003444BE"/>
    <w:rsid w:val="00344F2F"/>
    <w:rsid w:val="003465B2"/>
    <w:rsid w:val="003468F0"/>
    <w:rsid w:val="00346AEF"/>
    <w:rsid w:val="00347C35"/>
    <w:rsid w:val="00347CFB"/>
    <w:rsid w:val="00347EDA"/>
    <w:rsid w:val="00350101"/>
    <w:rsid w:val="0035036B"/>
    <w:rsid w:val="00350B54"/>
    <w:rsid w:val="00350D2F"/>
    <w:rsid w:val="00351BDC"/>
    <w:rsid w:val="00352815"/>
    <w:rsid w:val="00352F27"/>
    <w:rsid w:val="0035431A"/>
    <w:rsid w:val="00355D9D"/>
    <w:rsid w:val="0035668C"/>
    <w:rsid w:val="00356D51"/>
    <w:rsid w:val="00357858"/>
    <w:rsid w:val="003578C0"/>
    <w:rsid w:val="00357C53"/>
    <w:rsid w:val="00360007"/>
    <w:rsid w:val="003614B7"/>
    <w:rsid w:val="0036173B"/>
    <w:rsid w:val="00361BB9"/>
    <w:rsid w:val="00361D55"/>
    <w:rsid w:val="003623E3"/>
    <w:rsid w:val="00363227"/>
    <w:rsid w:val="00363EF2"/>
    <w:rsid w:val="003653E3"/>
    <w:rsid w:val="00366C78"/>
    <w:rsid w:val="00370A3A"/>
    <w:rsid w:val="00371E2E"/>
    <w:rsid w:val="00371F59"/>
    <w:rsid w:val="003746A8"/>
    <w:rsid w:val="003750CC"/>
    <w:rsid w:val="003760A1"/>
    <w:rsid w:val="003760B2"/>
    <w:rsid w:val="00380E8C"/>
    <w:rsid w:val="003810C1"/>
    <w:rsid w:val="003824C5"/>
    <w:rsid w:val="0038310D"/>
    <w:rsid w:val="00383AAF"/>
    <w:rsid w:val="00384040"/>
    <w:rsid w:val="00384803"/>
    <w:rsid w:val="003854C9"/>
    <w:rsid w:val="00385B6D"/>
    <w:rsid w:val="00387910"/>
    <w:rsid w:val="00387CD9"/>
    <w:rsid w:val="00390464"/>
    <w:rsid w:val="00390C43"/>
    <w:rsid w:val="00390CCF"/>
    <w:rsid w:val="003912E5"/>
    <w:rsid w:val="00391F3C"/>
    <w:rsid w:val="003920E5"/>
    <w:rsid w:val="0039255C"/>
    <w:rsid w:val="00392654"/>
    <w:rsid w:val="0039329C"/>
    <w:rsid w:val="00393710"/>
    <w:rsid w:val="00393760"/>
    <w:rsid w:val="00394CCB"/>
    <w:rsid w:val="003961FB"/>
    <w:rsid w:val="00396DA0"/>
    <w:rsid w:val="00396E4D"/>
    <w:rsid w:val="00396FC3"/>
    <w:rsid w:val="00396FDB"/>
    <w:rsid w:val="00397CDA"/>
    <w:rsid w:val="003A04F8"/>
    <w:rsid w:val="003A2184"/>
    <w:rsid w:val="003A2781"/>
    <w:rsid w:val="003A2884"/>
    <w:rsid w:val="003A38B0"/>
    <w:rsid w:val="003A39C6"/>
    <w:rsid w:val="003A3EA5"/>
    <w:rsid w:val="003A4345"/>
    <w:rsid w:val="003A5DF3"/>
    <w:rsid w:val="003A6791"/>
    <w:rsid w:val="003A68AB"/>
    <w:rsid w:val="003A7F32"/>
    <w:rsid w:val="003B022A"/>
    <w:rsid w:val="003B0E4B"/>
    <w:rsid w:val="003B1993"/>
    <w:rsid w:val="003B31C7"/>
    <w:rsid w:val="003B3BDE"/>
    <w:rsid w:val="003B3FC0"/>
    <w:rsid w:val="003B5AA2"/>
    <w:rsid w:val="003B6195"/>
    <w:rsid w:val="003B6729"/>
    <w:rsid w:val="003C0922"/>
    <w:rsid w:val="003C1668"/>
    <w:rsid w:val="003C3E73"/>
    <w:rsid w:val="003C452B"/>
    <w:rsid w:val="003C54E1"/>
    <w:rsid w:val="003C620E"/>
    <w:rsid w:val="003C6598"/>
    <w:rsid w:val="003C7BAE"/>
    <w:rsid w:val="003D0AAE"/>
    <w:rsid w:val="003D0E66"/>
    <w:rsid w:val="003D2153"/>
    <w:rsid w:val="003D2CD1"/>
    <w:rsid w:val="003D3616"/>
    <w:rsid w:val="003D4B6A"/>
    <w:rsid w:val="003D728E"/>
    <w:rsid w:val="003E0E97"/>
    <w:rsid w:val="003E12A8"/>
    <w:rsid w:val="003E22C4"/>
    <w:rsid w:val="003E22EB"/>
    <w:rsid w:val="003E28EC"/>
    <w:rsid w:val="003E3A7E"/>
    <w:rsid w:val="003E4592"/>
    <w:rsid w:val="003E479D"/>
    <w:rsid w:val="003E6FC0"/>
    <w:rsid w:val="003E73B4"/>
    <w:rsid w:val="003E7B33"/>
    <w:rsid w:val="003E7D15"/>
    <w:rsid w:val="003F000D"/>
    <w:rsid w:val="003F01BA"/>
    <w:rsid w:val="003F1ABB"/>
    <w:rsid w:val="003F22D9"/>
    <w:rsid w:val="003F443D"/>
    <w:rsid w:val="003F4EAB"/>
    <w:rsid w:val="003F755B"/>
    <w:rsid w:val="003F78B4"/>
    <w:rsid w:val="00400051"/>
    <w:rsid w:val="004000B0"/>
    <w:rsid w:val="00400F0F"/>
    <w:rsid w:val="00401A58"/>
    <w:rsid w:val="00401AE0"/>
    <w:rsid w:val="00402215"/>
    <w:rsid w:val="00402A6D"/>
    <w:rsid w:val="0040315F"/>
    <w:rsid w:val="00403488"/>
    <w:rsid w:val="00404BD5"/>
    <w:rsid w:val="00406092"/>
    <w:rsid w:val="00406D11"/>
    <w:rsid w:val="0040735F"/>
    <w:rsid w:val="00407B56"/>
    <w:rsid w:val="004101F2"/>
    <w:rsid w:val="0041070D"/>
    <w:rsid w:val="00410AA9"/>
    <w:rsid w:val="00411CF4"/>
    <w:rsid w:val="00411D86"/>
    <w:rsid w:val="004137CA"/>
    <w:rsid w:val="00413BC0"/>
    <w:rsid w:val="004148C8"/>
    <w:rsid w:val="00415057"/>
    <w:rsid w:val="0041593B"/>
    <w:rsid w:val="00415EFB"/>
    <w:rsid w:val="0041696E"/>
    <w:rsid w:val="00416DF3"/>
    <w:rsid w:val="004170A0"/>
    <w:rsid w:val="00421A2A"/>
    <w:rsid w:val="004241B8"/>
    <w:rsid w:val="00424D26"/>
    <w:rsid w:val="00424EB4"/>
    <w:rsid w:val="00425D49"/>
    <w:rsid w:val="00425E98"/>
    <w:rsid w:val="004264C4"/>
    <w:rsid w:val="00426F1F"/>
    <w:rsid w:val="00427533"/>
    <w:rsid w:val="00427638"/>
    <w:rsid w:val="00427C21"/>
    <w:rsid w:val="004301FE"/>
    <w:rsid w:val="0043120E"/>
    <w:rsid w:val="0043161A"/>
    <w:rsid w:val="0043308F"/>
    <w:rsid w:val="00434253"/>
    <w:rsid w:val="004344AA"/>
    <w:rsid w:val="0043466E"/>
    <w:rsid w:val="004349A6"/>
    <w:rsid w:val="00434B9A"/>
    <w:rsid w:val="00434BCA"/>
    <w:rsid w:val="00434DC4"/>
    <w:rsid w:val="004355C4"/>
    <w:rsid w:val="0043682E"/>
    <w:rsid w:val="004371E2"/>
    <w:rsid w:val="00437778"/>
    <w:rsid w:val="00437795"/>
    <w:rsid w:val="00440B12"/>
    <w:rsid w:val="00440CD4"/>
    <w:rsid w:val="00443520"/>
    <w:rsid w:val="00443A6B"/>
    <w:rsid w:val="00443B09"/>
    <w:rsid w:val="004441FB"/>
    <w:rsid w:val="0044490C"/>
    <w:rsid w:val="0044519B"/>
    <w:rsid w:val="00445214"/>
    <w:rsid w:val="00445368"/>
    <w:rsid w:val="00445391"/>
    <w:rsid w:val="004465FB"/>
    <w:rsid w:val="004466C2"/>
    <w:rsid w:val="004472AE"/>
    <w:rsid w:val="004515FA"/>
    <w:rsid w:val="00452A90"/>
    <w:rsid w:val="004530D4"/>
    <w:rsid w:val="00453357"/>
    <w:rsid w:val="00453858"/>
    <w:rsid w:val="00454691"/>
    <w:rsid w:val="00455103"/>
    <w:rsid w:val="00455D96"/>
    <w:rsid w:val="00455DA7"/>
    <w:rsid w:val="004571B3"/>
    <w:rsid w:val="00457303"/>
    <w:rsid w:val="00457974"/>
    <w:rsid w:val="00457D1E"/>
    <w:rsid w:val="00460227"/>
    <w:rsid w:val="004603AC"/>
    <w:rsid w:val="00464BD6"/>
    <w:rsid w:val="00465B41"/>
    <w:rsid w:val="00466C99"/>
    <w:rsid w:val="004676A2"/>
    <w:rsid w:val="00470001"/>
    <w:rsid w:val="00470CFF"/>
    <w:rsid w:val="00470FBE"/>
    <w:rsid w:val="0047114F"/>
    <w:rsid w:val="004711C4"/>
    <w:rsid w:val="00471907"/>
    <w:rsid w:val="00471945"/>
    <w:rsid w:val="00471CEF"/>
    <w:rsid w:val="00471FC9"/>
    <w:rsid w:val="0047280A"/>
    <w:rsid w:val="00472B96"/>
    <w:rsid w:val="00472CAE"/>
    <w:rsid w:val="0047372F"/>
    <w:rsid w:val="004737CD"/>
    <w:rsid w:val="0047407B"/>
    <w:rsid w:val="0047538D"/>
    <w:rsid w:val="0047559F"/>
    <w:rsid w:val="00476429"/>
    <w:rsid w:val="00477314"/>
    <w:rsid w:val="0047749B"/>
    <w:rsid w:val="004778DE"/>
    <w:rsid w:val="00480074"/>
    <w:rsid w:val="004805A7"/>
    <w:rsid w:val="00481054"/>
    <w:rsid w:val="004817AD"/>
    <w:rsid w:val="00483826"/>
    <w:rsid w:val="00483CF2"/>
    <w:rsid w:val="00483D62"/>
    <w:rsid w:val="004844FC"/>
    <w:rsid w:val="00484ECB"/>
    <w:rsid w:val="00485848"/>
    <w:rsid w:val="004860DE"/>
    <w:rsid w:val="00486811"/>
    <w:rsid w:val="00487465"/>
    <w:rsid w:val="00487969"/>
    <w:rsid w:val="00487B0F"/>
    <w:rsid w:val="00487EE7"/>
    <w:rsid w:val="0049018C"/>
    <w:rsid w:val="00491AAF"/>
    <w:rsid w:val="00491E98"/>
    <w:rsid w:val="00491F19"/>
    <w:rsid w:val="0049411F"/>
    <w:rsid w:val="00494A6E"/>
    <w:rsid w:val="004963FD"/>
    <w:rsid w:val="0049762B"/>
    <w:rsid w:val="00497D17"/>
    <w:rsid w:val="004A0796"/>
    <w:rsid w:val="004A1B20"/>
    <w:rsid w:val="004A208B"/>
    <w:rsid w:val="004A233E"/>
    <w:rsid w:val="004A2777"/>
    <w:rsid w:val="004A3303"/>
    <w:rsid w:val="004A3613"/>
    <w:rsid w:val="004A5631"/>
    <w:rsid w:val="004A56BC"/>
    <w:rsid w:val="004A5D96"/>
    <w:rsid w:val="004A6528"/>
    <w:rsid w:val="004A7E75"/>
    <w:rsid w:val="004B0BEB"/>
    <w:rsid w:val="004B0F7E"/>
    <w:rsid w:val="004B1863"/>
    <w:rsid w:val="004B1ACF"/>
    <w:rsid w:val="004B1B6A"/>
    <w:rsid w:val="004B1E12"/>
    <w:rsid w:val="004B2112"/>
    <w:rsid w:val="004B4F79"/>
    <w:rsid w:val="004B4FA3"/>
    <w:rsid w:val="004B643A"/>
    <w:rsid w:val="004B6FFD"/>
    <w:rsid w:val="004B773C"/>
    <w:rsid w:val="004B7DBF"/>
    <w:rsid w:val="004B7FBC"/>
    <w:rsid w:val="004C005C"/>
    <w:rsid w:val="004C036A"/>
    <w:rsid w:val="004C053C"/>
    <w:rsid w:val="004C058A"/>
    <w:rsid w:val="004C1462"/>
    <w:rsid w:val="004C1479"/>
    <w:rsid w:val="004C1B3F"/>
    <w:rsid w:val="004C29DB"/>
    <w:rsid w:val="004C2A1C"/>
    <w:rsid w:val="004C53B2"/>
    <w:rsid w:val="004C5C8F"/>
    <w:rsid w:val="004C605D"/>
    <w:rsid w:val="004C77A5"/>
    <w:rsid w:val="004D04F8"/>
    <w:rsid w:val="004D1646"/>
    <w:rsid w:val="004D2B8B"/>
    <w:rsid w:val="004D4B67"/>
    <w:rsid w:val="004D59DE"/>
    <w:rsid w:val="004E0528"/>
    <w:rsid w:val="004E0860"/>
    <w:rsid w:val="004E094B"/>
    <w:rsid w:val="004E1069"/>
    <w:rsid w:val="004E129A"/>
    <w:rsid w:val="004E2B42"/>
    <w:rsid w:val="004E397A"/>
    <w:rsid w:val="004E4A2D"/>
    <w:rsid w:val="004E50C1"/>
    <w:rsid w:val="004E5D44"/>
    <w:rsid w:val="004E5D58"/>
    <w:rsid w:val="004E643B"/>
    <w:rsid w:val="004E6B6C"/>
    <w:rsid w:val="004E7310"/>
    <w:rsid w:val="004E7949"/>
    <w:rsid w:val="004F0AA2"/>
    <w:rsid w:val="004F130A"/>
    <w:rsid w:val="004F1C0F"/>
    <w:rsid w:val="004F21AE"/>
    <w:rsid w:val="004F2BBE"/>
    <w:rsid w:val="004F372A"/>
    <w:rsid w:val="004F3863"/>
    <w:rsid w:val="004F5396"/>
    <w:rsid w:val="004F676C"/>
    <w:rsid w:val="004F6AB4"/>
    <w:rsid w:val="004F6C1B"/>
    <w:rsid w:val="004F7C73"/>
    <w:rsid w:val="004F7EA2"/>
    <w:rsid w:val="005013AD"/>
    <w:rsid w:val="005029F1"/>
    <w:rsid w:val="00502DD3"/>
    <w:rsid w:val="00503AFF"/>
    <w:rsid w:val="00503DD1"/>
    <w:rsid w:val="00503E72"/>
    <w:rsid w:val="00503F1A"/>
    <w:rsid w:val="0050485A"/>
    <w:rsid w:val="005056E7"/>
    <w:rsid w:val="00506137"/>
    <w:rsid w:val="00506DC4"/>
    <w:rsid w:val="00506FD6"/>
    <w:rsid w:val="005072E3"/>
    <w:rsid w:val="00507973"/>
    <w:rsid w:val="00507CD3"/>
    <w:rsid w:val="00510282"/>
    <w:rsid w:val="00510984"/>
    <w:rsid w:val="00510C77"/>
    <w:rsid w:val="00510FD4"/>
    <w:rsid w:val="00511FC7"/>
    <w:rsid w:val="005122EE"/>
    <w:rsid w:val="005137C5"/>
    <w:rsid w:val="00514C8C"/>
    <w:rsid w:val="00515E58"/>
    <w:rsid w:val="005163F7"/>
    <w:rsid w:val="0051690D"/>
    <w:rsid w:val="00517181"/>
    <w:rsid w:val="005219B6"/>
    <w:rsid w:val="00521B25"/>
    <w:rsid w:val="005228FE"/>
    <w:rsid w:val="00522FB8"/>
    <w:rsid w:val="005230FA"/>
    <w:rsid w:val="005237F0"/>
    <w:rsid w:val="00523BBF"/>
    <w:rsid w:val="00524667"/>
    <w:rsid w:val="00525419"/>
    <w:rsid w:val="005264C7"/>
    <w:rsid w:val="00526A9E"/>
    <w:rsid w:val="00530205"/>
    <w:rsid w:val="00530C2F"/>
    <w:rsid w:val="00531EF9"/>
    <w:rsid w:val="00532299"/>
    <w:rsid w:val="00533517"/>
    <w:rsid w:val="005358DC"/>
    <w:rsid w:val="00535F85"/>
    <w:rsid w:val="00536FFE"/>
    <w:rsid w:val="0053703A"/>
    <w:rsid w:val="00537BCA"/>
    <w:rsid w:val="00537D6E"/>
    <w:rsid w:val="0054057A"/>
    <w:rsid w:val="00540D49"/>
    <w:rsid w:val="0054115E"/>
    <w:rsid w:val="005412AB"/>
    <w:rsid w:val="005427C7"/>
    <w:rsid w:val="005434A6"/>
    <w:rsid w:val="005439DD"/>
    <w:rsid w:val="00544308"/>
    <w:rsid w:val="0054451B"/>
    <w:rsid w:val="00544D73"/>
    <w:rsid w:val="00545A1A"/>
    <w:rsid w:val="00546268"/>
    <w:rsid w:val="005472DA"/>
    <w:rsid w:val="005472E6"/>
    <w:rsid w:val="00547AA4"/>
    <w:rsid w:val="005507B6"/>
    <w:rsid w:val="00550D0D"/>
    <w:rsid w:val="00553DEF"/>
    <w:rsid w:val="00554020"/>
    <w:rsid w:val="0055403E"/>
    <w:rsid w:val="005541D1"/>
    <w:rsid w:val="005551C2"/>
    <w:rsid w:val="00555EF9"/>
    <w:rsid w:val="0055659D"/>
    <w:rsid w:val="005577D9"/>
    <w:rsid w:val="005601BE"/>
    <w:rsid w:val="00562B64"/>
    <w:rsid w:val="00563F32"/>
    <w:rsid w:val="005661B7"/>
    <w:rsid w:val="00566D3F"/>
    <w:rsid w:val="00570AEC"/>
    <w:rsid w:val="00570D79"/>
    <w:rsid w:val="00570F4B"/>
    <w:rsid w:val="00570F68"/>
    <w:rsid w:val="00571261"/>
    <w:rsid w:val="00571C49"/>
    <w:rsid w:val="00571D0C"/>
    <w:rsid w:val="00572129"/>
    <w:rsid w:val="0057307B"/>
    <w:rsid w:val="005730D3"/>
    <w:rsid w:val="00573B3D"/>
    <w:rsid w:val="005766E9"/>
    <w:rsid w:val="00576872"/>
    <w:rsid w:val="005777DE"/>
    <w:rsid w:val="00580A26"/>
    <w:rsid w:val="0058183B"/>
    <w:rsid w:val="00581A1D"/>
    <w:rsid w:val="00581BA4"/>
    <w:rsid w:val="005833E0"/>
    <w:rsid w:val="005837B7"/>
    <w:rsid w:val="00584D06"/>
    <w:rsid w:val="00584E1A"/>
    <w:rsid w:val="005850D8"/>
    <w:rsid w:val="005858E9"/>
    <w:rsid w:val="00585D4B"/>
    <w:rsid w:val="00586FDF"/>
    <w:rsid w:val="00587470"/>
    <w:rsid w:val="005902CB"/>
    <w:rsid w:val="0059031A"/>
    <w:rsid w:val="005918FE"/>
    <w:rsid w:val="00591CCA"/>
    <w:rsid w:val="00591E07"/>
    <w:rsid w:val="00591EE5"/>
    <w:rsid w:val="00591F4B"/>
    <w:rsid w:val="005920BB"/>
    <w:rsid w:val="0059215A"/>
    <w:rsid w:val="0059228D"/>
    <w:rsid w:val="005926B9"/>
    <w:rsid w:val="00592860"/>
    <w:rsid w:val="00593561"/>
    <w:rsid w:val="005935D6"/>
    <w:rsid w:val="00594000"/>
    <w:rsid w:val="00594734"/>
    <w:rsid w:val="005964FB"/>
    <w:rsid w:val="0059669E"/>
    <w:rsid w:val="00596FC1"/>
    <w:rsid w:val="005974FB"/>
    <w:rsid w:val="00597E3A"/>
    <w:rsid w:val="005A046B"/>
    <w:rsid w:val="005A3497"/>
    <w:rsid w:val="005A4377"/>
    <w:rsid w:val="005A5694"/>
    <w:rsid w:val="005A5BE7"/>
    <w:rsid w:val="005A6A2C"/>
    <w:rsid w:val="005A6E23"/>
    <w:rsid w:val="005A71D4"/>
    <w:rsid w:val="005A7553"/>
    <w:rsid w:val="005B00F3"/>
    <w:rsid w:val="005B02FA"/>
    <w:rsid w:val="005B0AB0"/>
    <w:rsid w:val="005B12E1"/>
    <w:rsid w:val="005B20FB"/>
    <w:rsid w:val="005B2773"/>
    <w:rsid w:val="005B37E3"/>
    <w:rsid w:val="005B38C4"/>
    <w:rsid w:val="005B3D78"/>
    <w:rsid w:val="005B4602"/>
    <w:rsid w:val="005B65B2"/>
    <w:rsid w:val="005B65D0"/>
    <w:rsid w:val="005B66B7"/>
    <w:rsid w:val="005B6F43"/>
    <w:rsid w:val="005B7FFC"/>
    <w:rsid w:val="005C092A"/>
    <w:rsid w:val="005C0E55"/>
    <w:rsid w:val="005C1645"/>
    <w:rsid w:val="005C259F"/>
    <w:rsid w:val="005C2C6B"/>
    <w:rsid w:val="005C5536"/>
    <w:rsid w:val="005C6AB5"/>
    <w:rsid w:val="005C706C"/>
    <w:rsid w:val="005C7DA3"/>
    <w:rsid w:val="005D253E"/>
    <w:rsid w:val="005D2787"/>
    <w:rsid w:val="005D2A0A"/>
    <w:rsid w:val="005D2A3F"/>
    <w:rsid w:val="005D37DB"/>
    <w:rsid w:val="005D39BA"/>
    <w:rsid w:val="005D3B4B"/>
    <w:rsid w:val="005D4362"/>
    <w:rsid w:val="005D554A"/>
    <w:rsid w:val="005D6690"/>
    <w:rsid w:val="005D6703"/>
    <w:rsid w:val="005E13BF"/>
    <w:rsid w:val="005E23DF"/>
    <w:rsid w:val="005E2552"/>
    <w:rsid w:val="005E2B50"/>
    <w:rsid w:val="005E30CD"/>
    <w:rsid w:val="005E33DE"/>
    <w:rsid w:val="005E58A1"/>
    <w:rsid w:val="005E7B52"/>
    <w:rsid w:val="005F1C02"/>
    <w:rsid w:val="005F1CDC"/>
    <w:rsid w:val="005F30A5"/>
    <w:rsid w:val="005F3CBE"/>
    <w:rsid w:val="005F3D65"/>
    <w:rsid w:val="005F4307"/>
    <w:rsid w:val="005F499B"/>
    <w:rsid w:val="005F51E1"/>
    <w:rsid w:val="005F577A"/>
    <w:rsid w:val="005F636A"/>
    <w:rsid w:val="005F6ED5"/>
    <w:rsid w:val="005F720E"/>
    <w:rsid w:val="005F72A8"/>
    <w:rsid w:val="005F7484"/>
    <w:rsid w:val="005F7DAA"/>
    <w:rsid w:val="00601058"/>
    <w:rsid w:val="00601A12"/>
    <w:rsid w:val="00602586"/>
    <w:rsid w:val="0060355B"/>
    <w:rsid w:val="00603A16"/>
    <w:rsid w:val="00603F8C"/>
    <w:rsid w:val="00605713"/>
    <w:rsid w:val="0060667F"/>
    <w:rsid w:val="00607F31"/>
    <w:rsid w:val="006100BB"/>
    <w:rsid w:val="00611536"/>
    <w:rsid w:val="00612084"/>
    <w:rsid w:val="00612122"/>
    <w:rsid w:val="006125E9"/>
    <w:rsid w:val="006128FF"/>
    <w:rsid w:val="006130DC"/>
    <w:rsid w:val="00613710"/>
    <w:rsid w:val="00613B5A"/>
    <w:rsid w:val="00613C6E"/>
    <w:rsid w:val="00613CC8"/>
    <w:rsid w:val="00613F03"/>
    <w:rsid w:val="00614918"/>
    <w:rsid w:val="00614A2F"/>
    <w:rsid w:val="00614AC9"/>
    <w:rsid w:val="00614E04"/>
    <w:rsid w:val="00614ECB"/>
    <w:rsid w:val="0061602B"/>
    <w:rsid w:val="00616710"/>
    <w:rsid w:val="00617D1C"/>
    <w:rsid w:val="00620EED"/>
    <w:rsid w:val="00621582"/>
    <w:rsid w:val="006215B1"/>
    <w:rsid w:val="006220DB"/>
    <w:rsid w:val="006226B5"/>
    <w:rsid w:val="006228A9"/>
    <w:rsid w:val="00623BB0"/>
    <w:rsid w:val="00624279"/>
    <w:rsid w:val="00624403"/>
    <w:rsid w:val="00626407"/>
    <w:rsid w:val="00626487"/>
    <w:rsid w:val="00626976"/>
    <w:rsid w:val="0062705F"/>
    <w:rsid w:val="0063122F"/>
    <w:rsid w:val="00631B15"/>
    <w:rsid w:val="0063386E"/>
    <w:rsid w:val="00633CE4"/>
    <w:rsid w:val="00634368"/>
    <w:rsid w:val="00637717"/>
    <w:rsid w:val="00637743"/>
    <w:rsid w:val="00637B6C"/>
    <w:rsid w:val="00637C99"/>
    <w:rsid w:val="00640504"/>
    <w:rsid w:val="00640FDD"/>
    <w:rsid w:val="0064118D"/>
    <w:rsid w:val="00641850"/>
    <w:rsid w:val="00642329"/>
    <w:rsid w:val="006437B5"/>
    <w:rsid w:val="00643CD5"/>
    <w:rsid w:val="0064429C"/>
    <w:rsid w:val="00644A09"/>
    <w:rsid w:val="00645EC6"/>
    <w:rsid w:val="006463BC"/>
    <w:rsid w:val="00646DCD"/>
    <w:rsid w:val="00647FAA"/>
    <w:rsid w:val="00650706"/>
    <w:rsid w:val="006508BD"/>
    <w:rsid w:val="00650B7A"/>
    <w:rsid w:val="00651509"/>
    <w:rsid w:val="00651CA3"/>
    <w:rsid w:val="0065464D"/>
    <w:rsid w:val="00654991"/>
    <w:rsid w:val="006553AC"/>
    <w:rsid w:val="0065570B"/>
    <w:rsid w:val="00655834"/>
    <w:rsid w:val="00655EDB"/>
    <w:rsid w:val="00656BB1"/>
    <w:rsid w:val="0065759C"/>
    <w:rsid w:val="006600FC"/>
    <w:rsid w:val="006603FB"/>
    <w:rsid w:val="006608C5"/>
    <w:rsid w:val="006618C5"/>
    <w:rsid w:val="00662550"/>
    <w:rsid w:val="006639F6"/>
    <w:rsid w:val="00664D25"/>
    <w:rsid w:val="00664F04"/>
    <w:rsid w:val="006655B5"/>
    <w:rsid w:val="0066686B"/>
    <w:rsid w:val="006676AD"/>
    <w:rsid w:val="00670255"/>
    <w:rsid w:val="00670B52"/>
    <w:rsid w:val="00670FE0"/>
    <w:rsid w:val="0067153A"/>
    <w:rsid w:val="00671DB5"/>
    <w:rsid w:val="00671DD3"/>
    <w:rsid w:val="006721AD"/>
    <w:rsid w:val="006736F9"/>
    <w:rsid w:val="0067377A"/>
    <w:rsid w:val="006738E8"/>
    <w:rsid w:val="00673E74"/>
    <w:rsid w:val="00673F7F"/>
    <w:rsid w:val="00674749"/>
    <w:rsid w:val="00674BF6"/>
    <w:rsid w:val="00674D96"/>
    <w:rsid w:val="00675599"/>
    <w:rsid w:val="0067584B"/>
    <w:rsid w:val="006761E2"/>
    <w:rsid w:val="0067662D"/>
    <w:rsid w:val="006768E2"/>
    <w:rsid w:val="00676BDF"/>
    <w:rsid w:val="006807D0"/>
    <w:rsid w:val="00680EA1"/>
    <w:rsid w:val="006815D4"/>
    <w:rsid w:val="00681FBB"/>
    <w:rsid w:val="00682C0B"/>
    <w:rsid w:val="00682D04"/>
    <w:rsid w:val="006834DE"/>
    <w:rsid w:val="006842C5"/>
    <w:rsid w:val="006842C9"/>
    <w:rsid w:val="00685881"/>
    <w:rsid w:val="00686090"/>
    <w:rsid w:val="00687A1B"/>
    <w:rsid w:val="00690997"/>
    <w:rsid w:val="00690B0F"/>
    <w:rsid w:val="00690D71"/>
    <w:rsid w:val="0069155D"/>
    <w:rsid w:val="00691958"/>
    <w:rsid w:val="00691D16"/>
    <w:rsid w:val="00691F7E"/>
    <w:rsid w:val="00692214"/>
    <w:rsid w:val="00692357"/>
    <w:rsid w:val="006933B5"/>
    <w:rsid w:val="00694982"/>
    <w:rsid w:val="00694D4E"/>
    <w:rsid w:val="00696081"/>
    <w:rsid w:val="0069691C"/>
    <w:rsid w:val="00696A31"/>
    <w:rsid w:val="00697100"/>
    <w:rsid w:val="00697271"/>
    <w:rsid w:val="00697743"/>
    <w:rsid w:val="006A00DF"/>
    <w:rsid w:val="006A0A48"/>
    <w:rsid w:val="006A0B47"/>
    <w:rsid w:val="006A1076"/>
    <w:rsid w:val="006A1AD6"/>
    <w:rsid w:val="006A2C57"/>
    <w:rsid w:val="006A2C5C"/>
    <w:rsid w:val="006A35D1"/>
    <w:rsid w:val="006A372C"/>
    <w:rsid w:val="006A3ED2"/>
    <w:rsid w:val="006A3F52"/>
    <w:rsid w:val="006A4896"/>
    <w:rsid w:val="006A4B03"/>
    <w:rsid w:val="006A4E1D"/>
    <w:rsid w:val="006A5EDA"/>
    <w:rsid w:val="006A63E7"/>
    <w:rsid w:val="006A6D22"/>
    <w:rsid w:val="006A6FAE"/>
    <w:rsid w:val="006B069F"/>
    <w:rsid w:val="006B0C09"/>
    <w:rsid w:val="006B0DA1"/>
    <w:rsid w:val="006B1DA5"/>
    <w:rsid w:val="006B265B"/>
    <w:rsid w:val="006B27B3"/>
    <w:rsid w:val="006B3636"/>
    <w:rsid w:val="006B3A1F"/>
    <w:rsid w:val="006B3B42"/>
    <w:rsid w:val="006B4446"/>
    <w:rsid w:val="006B4A20"/>
    <w:rsid w:val="006B4A27"/>
    <w:rsid w:val="006B5A3F"/>
    <w:rsid w:val="006B7592"/>
    <w:rsid w:val="006B7C3B"/>
    <w:rsid w:val="006C0125"/>
    <w:rsid w:val="006C0A3D"/>
    <w:rsid w:val="006C1416"/>
    <w:rsid w:val="006C1420"/>
    <w:rsid w:val="006C148D"/>
    <w:rsid w:val="006C1A4C"/>
    <w:rsid w:val="006C1C75"/>
    <w:rsid w:val="006C1FA1"/>
    <w:rsid w:val="006C28BB"/>
    <w:rsid w:val="006C2AC9"/>
    <w:rsid w:val="006C2E06"/>
    <w:rsid w:val="006C3023"/>
    <w:rsid w:val="006C34F5"/>
    <w:rsid w:val="006C4F6B"/>
    <w:rsid w:val="006C5BCE"/>
    <w:rsid w:val="006C5C6D"/>
    <w:rsid w:val="006C7378"/>
    <w:rsid w:val="006C7A80"/>
    <w:rsid w:val="006D038F"/>
    <w:rsid w:val="006D06AA"/>
    <w:rsid w:val="006D0C8A"/>
    <w:rsid w:val="006D13F6"/>
    <w:rsid w:val="006D2038"/>
    <w:rsid w:val="006D210D"/>
    <w:rsid w:val="006D25FE"/>
    <w:rsid w:val="006D28D0"/>
    <w:rsid w:val="006D2CF3"/>
    <w:rsid w:val="006D33E6"/>
    <w:rsid w:val="006D3594"/>
    <w:rsid w:val="006D4AA5"/>
    <w:rsid w:val="006D51B6"/>
    <w:rsid w:val="006D6200"/>
    <w:rsid w:val="006D73FB"/>
    <w:rsid w:val="006E0B1F"/>
    <w:rsid w:val="006E17FC"/>
    <w:rsid w:val="006E2D68"/>
    <w:rsid w:val="006E30C6"/>
    <w:rsid w:val="006E3472"/>
    <w:rsid w:val="006E401C"/>
    <w:rsid w:val="006E431D"/>
    <w:rsid w:val="006E4886"/>
    <w:rsid w:val="006E4B15"/>
    <w:rsid w:val="006E4E97"/>
    <w:rsid w:val="006E7E53"/>
    <w:rsid w:val="006F0081"/>
    <w:rsid w:val="006F0347"/>
    <w:rsid w:val="006F03C5"/>
    <w:rsid w:val="006F04AB"/>
    <w:rsid w:val="006F0BE7"/>
    <w:rsid w:val="006F1550"/>
    <w:rsid w:val="006F16BE"/>
    <w:rsid w:val="006F2AB3"/>
    <w:rsid w:val="006F2D8D"/>
    <w:rsid w:val="006F33E4"/>
    <w:rsid w:val="006F342B"/>
    <w:rsid w:val="006F34D8"/>
    <w:rsid w:val="006F43B7"/>
    <w:rsid w:val="006F4696"/>
    <w:rsid w:val="006F505F"/>
    <w:rsid w:val="006F50B7"/>
    <w:rsid w:val="006F55E8"/>
    <w:rsid w:val="006F7A74"/>
    <w:rsid w:val="00700478"/>
    <w:rsid w:val="00700AFC"/>
    <w:rsid w:val="00701545"/>
    <w:rsid w:val="007015AE"/>
    <w:rsid w:val="00701C90"/>
    <w:rsid w:val="0070360F"/>
    <w:rsid w:val="007038A0"/>
    <w:rsid w:val="00703CBC"/>
    <w:rsid w:val="00703E93"/>
    <w:rsid w:val="00704BA9"/>
    <w:rsid w:val="00705EB0"/>
    <w:rsid w:val="007067B2"/>
    <w:rsid w:val="00706F96"/>
    <w:rsid w:val="00707402"/>
    <w:rsid w:val="0071030E"/>
    <w:rsid w:val="007106FA"/>
    <w:rsid w:val="007107BA"/>
    <w:rsid w:val="00711752"/>
    <w:rsid w:val="00711824"/>
    <w:rsid w:val="0071184F"/>
    <w:rsid w:val="00711919"/>
    <w:rsid w:val="00712206"/>
    <w:rsid w:val="00712224"/>
    <w:rsid w:val="007122D8"/>
    <w:rsid w:val="00712D1A"/>
    <w:rsid w:val="00713F1A"/>
    <w:rsid w:val="00713FB4"/>
    <w:rsid w:val="0071530D"/>
    <w:rsid w:val="00715620"/>
    <w:rsid w:val="0071567E"/>
    <w:rsid w:val="00716245"/>
    <w:rsid w:val="00717D93"/>
    <w:rsid w:val="00720D49"/>
    <w:rsid w:val="00722346"/>
    <w:rsid w:val="00722C6D"/>
    <w:rsid w:val="00722DCF"/>
    <w:rsid w:val="00723926"/>
    <w:rsid w:val="0072502A"/>
    <w:rsid w:val="0072548C"/>
    <w:rsid w:val="00726D18"/>
    <w:rsid w:val="00727ACB"/>
    <w:rsid w:val="00727DD9"/>
    <w:rsid w:val="00730102"/>
    <w:rsid w:val="00730481"/>
    <w:rsid w:val="00730DEA"/>
    <w:rsid w:val="007315C5"/>
    <w:rsid w:val="00732106"/>
    <w:rsid w:val="00732930"/>
    <w:rsid w:val="00732E3C"/>
    <w:rsid w:val="007332F5"/>
    <w:rsid w:val="0073359B"/>
    <w:rsid w:val="00733834"/>
    <w:rsid w:val="00734089"/>
    <w:rsid w:val="00734C99"/>
    <w:rsid w:val="00734FD0"/>
    <w:rsid w:val="00735B19"/>
    <w:rsid w:val="00736863"/>
    <w:rsid w:val="00736C31"/>
    <w:rsid w:val="007379B8"/>
    <w:rsid w:val="00737F18"/>
    <w:rsid w:val="00741AE5"/>
    <w:rsid w:val="007425B5"/>
    <w:rsid w:val="00742882"/>
    <w:rsid w:val="00742F86"/>
    <w:rsid w:val="007436AE"/>
    <w:rsid w:val="007444DB"/>
    <w:rsid w:val="007447C7"/>
    <w:rsid w:val="007458A3"/>
    <w:rsid w:val="007468AB"/>
    <w:rsid w:val="00746D52"/>
    <w:rsid w:val="00746FB8"/>
    <w:rsid w:val="007470A2"/>
    <w:rsid w:val="007508E6"/>
    <w:rsid w:val="007516C0"/>
    <w:rsid w:val="00751E4B"/>
    <w:rsid w:val="00752FBA"/>
    <w:rsid w:val="00753A9C"/>
    <w:rsid w:val="00753E65"/>
    <w:rsid w:val="0075461A"/>
    <w:rsid w:val="00754FFE"/>
    <w:rsid w:val="00756404"/>
    <w:rsid w:val="00756641"/>
    <w:rsid w:val="00756F18"/>
    <w:rsid w:val="0075775B"/>
    <w:rsid w:val="007578F1"/>
    <w:rsid w:val="007578F6"/>
    <w:rsid w:val="0076231C"/>
    <w:rsid w:val="007623A3"/>
    <w:rsid w:val="00762E96"/>
    <w:rsid w:val="007633B2"/>
    <w:rsid w:val="0076474F"/>
    <w:rsid w:val="00764CB7"/>
    <w:rsid w:val="00764EF8"/>
    <w:rsid w:val="00765C09"/>
    <w:rsid w:val="00765C41"/>
    <w:rsid w:val="00765CAD"/>
    <w:rsid w:val="007679C4"/>
    <w:rsid w:val="00770A0F"/>
    <w:rsid w:val="00772288"/>
    <w:rsid w:val="00772EED"/>
    <w:rsid w:val="0077385F"/>
    <w:rsid w:val="00773AC0"/>
    <w:rsid w:val="007744DB"/>
    <w:rsid w:val="00775194"/>
    <w:rsid w:val="007753D5"/>
    <w:rsid w:val="007765B5"/>
    <w:rsid w:val="007766A2"/>
    <w:rsid w:val="007771AC"/>
    <w:rsid w:val="00777F35"/>
    <w:rsid w:val="0078079F"/>
    <w:rsid w:val="00780ED4"/>
    <w:rsid w:val="007814FE"/>
    <w:rsid w:val="00781B8A"/>
    <w:rsid w:val="007828CD"/>
    <w:rsid w:val="00783A4C"/>
    <w:rsid w:val="00783A72"/>
    <w:rsid w:val="00783EE0"/>
    <w:rsid w:val="00784396"/>
    <w:rsid w:val="0078451C"/>
    <w:rsid w:val="00785FA3"/>
    <w:rsid w:val="007864F5"/>
    <w:rsid w:val="00786EEA"/>
    <w:rsid w:val="007871DB"/>
    <w:rsid w:val="00787716"/>
    <w:rsid w:val="00787BDA"/>
    <w:rsid w:val="00790AAC"/>
    <w:rsid w:val="00790C7E"/>
    <w:rsid w:val="00790ECA"/>
    <w:rsid w:val="007936FD"/>
    <w:rsid w:val="0079375C"/>
    <w:rsid w:val="00793868"/>
    <w:rsid w:val="00793ACB"/>
    <w:rsid w:val="0079410B"/>
    <w:rsid w:val="0079516B"/>
    <w:rsid w:val="0079600E"/>
    <w:rsid w:val="00796B52"/>
    <w:rsid w:val="00796DD9"/>
    <w:rsid w:val="00797005"/>
    <w:rsid w:val="0079791A"/>
    <w:rsid w:val="007A0DEA"/>
    <w:rsid w:val="007A1593"/>
    <w:rsid w:val="007A1919"/>
    <w:rsid w:val="007A1EA8"/>
    <w:rsid w:val="007A2CE0"/>
    <w:rsid w:val="007A32C9"/>
    <w:rsid w:val="007A36D6"/>
    <w:rsid w:val="007A3A88"/>
    <w:rsid w:val="007A49CA"/>
    <w:rsid w:val="007A54E9"/>
    <w:rsid w:val="007A55A0"/>
    <w:rsid w:val="007A5961"/>
    <w:rsid w:val="007A5ECC"/>
    <w:rsid w:val="007A6893"/>
    <w:rsid w:val="007A73FD"/>
    <w:rsid w:val="007A7A9A"/>
    <w:rsid w:val="007B0B4C"/>
    <w:rsid w:val="007B220E"/>
    <w:rsid w:val="007B2336"/>
    <w:rsid w:val="007B27FC"/>
    <w:rsid w:val="007B29BD"/>
    <w:rsid w:val="007B2E2C"/>
    <w:rsid w:val="007B3B78"/>
    <w:rsid w:val="007B5541"/>
    <w:rsid w:val="007B56BE"/>
    <w:rsid w:val="007B7144"/>
    <w:rsid w:val="007B7450"/>
    <w:rsid w:val="007C1F40"/>
    <w:rsid w:val="007C2125"/>
    <w:rsid w:val="007C2431"/>
    <w:rsid w:val="007C25CB"/>
    <w:rsid w:val="007C3187"/>
    <w:rsid w:val="007C358B"/>
    <w:rsid w:val="007C3AD6"/>
    <w:rsid w:val="007C3FC4"/>
    <w:rsid w:val="007C482E"/>
    <w:rsid w:val="007C4A89"/>
    <w:rsid w:val="007C55CE"/>
    <w:rsid w:val="007C58D1"/>
    <w:rsid w:val="007C5ECA"/>
    <w:rsid w:val="007C6248"/>
    <w:rsid w:val="007C723F"/>
    <w:rsid w:val="007C753E"/>
    <w:rsid w:val="007C7810"/>
    <w:rsid w:val="007D12E2"/>
    <w:rsid w:val="007D1524"/>
    <w:rsid w:val="007D15DA"/>
    <w:rsid w:val="007D1DA6"/>
    <w:rsid w:val="007D2226"/>
    <w:rsid w:val="007D2F9C"/>
    <w:rsid w:val="007D35A5"/>
    <w:rsid w:val="007D3852"/>
    <w:rsid w:val="007D3EF7"/>
    <w:rsid w:val="007D4BA7"/>
    <w:rsid w:val="007D513C"/>
    <w:rsid w:val="007D6C6D"/>
    <w:rsid w:val="007D6F32"/>
    <w:rsid w:val="007D752D"/>
    <w:rsid w:val="007E1400"/>
    <w:rsid w:val="007E16DE"/>
    <w:rsid w:val="007E19FF"/>
    <w:rsid w:val="007E2E82"/>
    <w:rsid w:val="007E39A6"/>
    <w:rsid w:val="007E5AFD"/>
    <w:rsid w:val="007E5D7F"/>
    <w:rsid w:val="007E5D91"/>
    <w:rsid w:val="007E5E5A"/>
    <w:rsid w:val="007E5F42"/>
    <w:rsid w:val="007E6029"/>
    <w:rsid w:val="007E6588"/>
    <w:rsid w:val="007E6689"/>
    <w:rsid w:val="007E6691"/>
    <w:rsid w:val="007E7DE2"/>
    <w:rsid w:val="007F0FA7"/>
    <w:rsid w:val="007F228C"/>
    <w:rsid w:val="007F3089"/>
    <w:rsid w:val="007F32A0"/>
    <w:rsid w:val="007F35D6"/>
    <w:rsid w:val="007F39E7"/>
    <w:rsid w:val="007F6724"/>
    <w:rsid w:val="007F7AAB"/>
    <w:rsid w:val="007F7D3D"/>
    <w:rsid w:val="00800245"/>
    <w:rsid w:val="00800306"/>
    <w:rsid w:val="00800875"/>
    <w:rsid w:val="00800A1D"/>
    <w:rsid w:val="008011D2"/>
    <w:rsid w:val="008014B7"/>
    <w:rsid w:val="008018C7"/>
    <w:rsid w:val="008029CB"/>
    <w:rsid w:val="0080386D"/>
    <w:rsid w:val="008038B6"/>
    <w:rsid w:val="00804387"/>
    <w:rsid w:val="00804746"/>
    <w:rsid w:val="008047DB"/>
    <w:rsid w:val="00804A1A"/>
    <w:rsid w:val="00804FEB"/>
    <w:rsid w:val="00805194"/>
    <w:rsid w:val="008070DC"/>
    <w:rsid w:val="00807119"/>
    <w:rsid w:val="008072B2"/>
    <w:rsid w:val="008075AF"/>
    <w:rsid w:val="008102D2"/>
    <w:rsid w:val="008107B1"/>
    <w:rsid w:val="008114F0"/>
    <w:rsid w:val="0081298D"/>
    <w:rsid w:val="008139B5"/>
    <w:rsid w:val="00813DA1"/>
    <w:rsid w:val="00814871"/>
    <w:rsid w:val="00814B8F"/>
    <w:rsid w:val="008156D3"/>
    <w:rsid w:val="008158B9"/>
    <w:rsid w:val="0081607D"/>
    <w:rsid w:val="00816930"/>
    <w:rsid w:val="00817008"/>
    <w:rsid w:val="00817C98"/>
    <w:rsid w:val="00820126"/>
    <w:rsid w:val="00820237"/>
    <w:rsid w:val="0082047C"/>
    <w:rsid w:val="00820D5D"/>
    <w:rsid w:val="00821497"/>
    <w:rsid w:val="00823027"/>
    <w:rsid w:val="00823046"/>
    <w:rsid w:val="00823ED0"/>
    <w:rsid w:val="0082468D"/>
    <w:rsid w:val="00824B92"/>
    <w:rsid w:val="00826824"/>
    <w:rsid w:val="008274FA"/>
    <w:rsid w:val="00827D88"/>
    <w:rsid w:val="0083083D"/>
    <w:rsid w:val="008308AC"/>
    <w:rsid w:val="0083138B"/>
    <w:rsid w:val="00831604"/>
    <w:rsid w:val="0083165B"/>
    <w:rsid w:val="00832483"/>
    <w:rsid w:val="0083280A"/>
    <w:rsid w:val="00833612"/>
    <w:rsid w:val="00835DD2"/>
    <w:rsid w:val="00836761"/>
    <w:rsid w:val="00837549"/>
    <w:rsid w:val="00841972"/>
    <w:rsid w:val="0084275C"/>
    <w:rsid w:val="008428C8"/>
    <w:rsid w:val="00842C7E"/>
    <w:rsid w:val="00843633"/>
    <w:rsid w:val="0084400C"/>
    <w:rsid w:val="00844562"/>
    <w:rsid w:val="008456C4"/>
    <w:rsid w:val="008463E0"/>
    <w:rsid w:val="008472A8"/>
    <w:rsid w:val="008474CB"/>
    <w:rsid w:val="008510A3"/>
    <w:rsid w:val="0085407A"/>
    <w:rsid w:val="008545B5"/>
    <w:rsid w:val="00854EA6"/>
    <w:rsid w:val="00854EDF"/>
    <w:rsid w:val="008552F9"/>
    <w:rsid w:val="008555A3"/>
    <w:rsid w:val="008574FE"/>
    <w:rsid w:val="00857D4E"/>
    <w:rsid w:val="0086073D"/>
    <w:rsid w:val="00860D47"/>
    <w:rsid w:val="00860E3C"/>
    <w:rsid w:val="00861EDA"/>
    <w:rsid w:val="0086252B"/>
    <w:rsid w:val="00863C08"/>
    <w:rsid w:val="0086441B"/>
    <w:rsid w:val="008645FF"/>
    <w:rsid w:val="0086544B"/>
    <w:rsid w:val="0086621C"/>
    <w:rsid w:val="00866F00"/>
    <w:rsid w:val="008673FA"/>
    <w:rsid w:val="008673FB"/>
    <w:rsid w:val="00867714"/>
    <w:rsid w:val="00867E86"/>
    <w:rsid w:val="0087006D"/>
    <w:rsid w:val="00870122"/>
    <w:rsid w:val="00871874"/>
    <w:rsid w:val="00872215"/>
    <w:rsid w:val="00872230"/>
    <w:rsid w:val="00873154"/>
    <w:rsid w:val="00873175"/>
    <w:rsid w:val="00873AC3"/>
    <w:rsid w:val="00874183"/>
    <w:rsid w:val="008751DA"/>
    <w:rsid w:val="0087523E"/>
    <w:rsid w:val="0087597F"/>
    <w:rsid w:val="008764EB"/>
    <w:rsid w:val="008771E4"/>
    <w:rsid w:val="00877790"/>
    <w:rsid w:val="008778CF"/>
    <w:rsid w:val="00877914"/>
    <w:rsid w:val="00877ADF"/>
    <w:rsid w:val="0088039F"/>
    <w:rsid w:val="008810CD"/>
    <w:rsid w:val="00881ED2"/>
    <w:rsid w:val="008848BE"/>
    <w:rsid w:val="00884EB3"/>
    <w:rsid w:val="00884FA7"/>
    <w:rsid w:val="0088540E"/>
    <w:rsid w:val="00886248"/>
    <w:rsid w:val="00886549"/>
    <w:rsid w:val="00886FDB"/>
    <w:rsid w:val="0088739B"/>
    <w:rsid w:val="0088780A"/>
    <w:rsid w:val="00887C95"/>
    <w:rsid w:val="00887CBB"/>
    <w:rsid w:val="008906F1"/>
    <w:rsid w:val="00891160"/>
    <w:rsid w:val="00892028"/>
    <w:rsid w:val="0089233F"/>
    <w:rsid w:val="00893015"/>
    <w:rsid w:val="00893815"/>
    <w:rsid w:val="00894346"/>
    <w:rsid w:val="00894F55"/>
    <w:rsid w:val="00895AF5"/>
    <w:rsid w:val="00895CB8"/>
    <w:rsid w:val="008960E5"/>
    <w:rsid w:val="008969FA"/>
    <w:rsid w:val="008A0444"/>
    <w:rsid w:val="008A08EE"/>
    <w:rsid w:val="008A1143"/>
    <w:rsid w:val="008A1A42"/>
    <w:rsid w:val="008A40EE"/>
    <w:rsid w:val="008A4F8D"/>
    <w:rsid w:val="008A4FBF"/>
    <w:rsid w:val="008A5075"/>
    <w:rsid w:val="008A518C"/>
    <w:rsid w:val="008A54C3"/>
    <w:rsid w:val="008A5579"/>
    <w:rsid w:val="008A6183"/>
    <w:rsid w:val="008A6812"/>
    <w:rsid w:val="008A692C"/>
    <w:rsid w:val="008A6DC0"/>
    <w:rsid w:val="008A78A3"/>
    <w:rsid w:val="008B17AA"/>
    <w:rsid w:val="008B1B67"/>
    <w:rsid w:val="008B2024"/>
    <w:rsid w:val="008B205A"/>
    <w:rsid w:val="008B2CA5"/>
    <w:rsid w:val="008B2F1E"/>
    <w:rsid w:val="008B30C9"/>
    <w:rsid w:val="008B31C5"/>
    <w:rsid w:val="008B411C"/>
    <w:rsid w:val="008B429B"/>
    <w:rsid w:val="008C057C"/>
    <w:rsid w:val="008C0976"/>
    <w:rsid w:val="008C0F9C"/>
    <w:rsid w:val="008C325D"/>
    <w:rsid w:val="008C327C"/>
    <w:rsid w:val="008C410C"/>
    <w:rsid w:val="008C4995"/>
    <w:rsid w:val="008C51AE"/>
    <w:rsid w:val="008C5C6C"/>
    <w:rsid w:val="008C6025"/>
    <w:rsid w:val="008C69D5"/>
    <w:rsid w:val="008C6A49"/>
    <w:rsid w:val="008C766E"/>
    <w:rsid w:val="008D17AF"/>
    <w:rsid w:val="008D2719"/>
    <w:rsid w:val="008D28EC"/>
    <w:rsid w:val="008D4A0F"/>
    <w:rsid w:val="008D51AF"/>
    <w:rsid w:val="008D58D6"/>
    <w:rsid w:val="008D5E54"/>
    <w:rsid w:val="008E04A6"/>
    <w:rsid w:val="008E0E68"/>
    <w:rsid w:val="008E252B"/>
    <w:rsid w:val="008E2701"/>
    <w:rsid w:val="008E2C26"/>
    <w:rsid w:val="008E31D7"/>
    <w:rsid w:val="008E3E68"/>
    <w:rsid w:val="008E4B9B"/>
    <w:rsid w:val="008E5915"/>
    <w:rsid w:val="008E601A"/>
    <w:rsid w:val="008E60A8"/>
    <w:rsid w:val="008E6D53"/>
    <w:rsid w:val="008E6E8F"/>
    <w:rsid w:val="008F02CB"/>
    <w:rsid w:val="008F15CC"/>
    <w:rsid w:val="008F1AC3"/>
    <w:rsid w:val="008F1B4E"/>
    <w:rsid w:val="008F26CF"/>
    <w:rsid w:val="008F2FC4"/>
    <w:rsid w:val="008F50E5"/>
    <w:rsid w:val="008F5653"/>
    <w:rsid w:val="008F5E34"/>
    <w:rsid w:val="008F6E6C"/>
    <w:rsid w:val="008F6EC5"/>
    <w:rsid w:val="008F7490"/>
    <w:rsid w:val="008F7FB6"/>
    <w:rsid w:val="009005BD"/>
    <w:rsid w:val="009010F2"/>
    <w:rsid w:val="009014A7"/>
    <w:rsid w:val="009014A9"/>
    <w:rsid w:val="00902458"/>
    <w:rsid w:val="00902833"/>
    <w:rsid w:val="00902F90"/>
    <w:rsid w:val="0090386F"/>
    <w:rsid w:val="00903AE7"/>
    <w:rsid w:val="00904632"/>
    <w:rsid w:val="009049B7"/>
    <w:rsid w:val="00905220"/>
    <w:rsid w:val="00905E5E"/>
    <w:rsid w:val="00906026"/>
    <w:rsid w:val="00906E04"/>
    <w:rsid w:val="0090706E"/>
    <w:rsid w:val="0091060D"/>
    <w:rsid w:val="00910965"/>
    <w:rsid w:val="00910F94"/>
    <w:rsid w:val="009111C9"/>
    <w:rsid w:val="00911785"/>
    <w:rsid w:val="0091219D"/>
    <w:rsid w:val="0091278A"/>
    <w:rsid w:val="0091351C"/>
    <w:rsid w:val="0091397D"/>
    <w:rsid w:val="00913B5C"/>
    <w:rsid w:val="00914012"/>
    <w:rsid w:val="0091451F"/>
    <w:rsid w:val="009160F4"/>
    <w:rsid w:val="009163A4"/>
    <w:rsid w:val="00916AF8"/>
    <w:rsid w:val="00917EFB"/>
    <w:rsid w:val="009221FB"/>
    <w:rsid w:val="00922210"/>
    <w:rsid w:val="00922A29"/>
    <w:rsid w:val="00922DC5"/>
    <w:rsid w:val="00923267"/>
    <w:rsid w:val="009233B2"/>
    <w:rsid w:val="00923F89"/>
    <w:rsid w:val="009248AB"/>
    <w:rsid w:val="009258CE"/>
    <w:rsid w:val="00925BF8"/>
    <w:rsid w:val="00925C58"/>
    <w:rsid w:val="009274FE"/>
    <w:rsid w:val="009277B1"/>
    <w:rsid w:val="009279B1"/>
    <w:rsid w:val="0093022A"/>
    <w:rsid w:val="009310CF"/>
    <w:rsid w:val="00934465"/>
    <w:rsid w:val="009348E0"/>
    <w:rsid w:val="0093519E"/>
    <w:rsid w:val="00935754"/>
    <w:rsid w:val="00935A9B"/>
    <w:rsid w:val="00936B45"/>
    <w:rsid w:val="009375CD"/>
    <w:rsid w:val="009376C4"/>
    <w:rsid w:val="00940A4F"/>
    <w:rsid w:val="00941040"/>
    <w:rsid w:val="00941610"/>
    <w:rsid w:val="00941D77"/>
    <w:rsid w:val="00941DAB"/>
    <w:rsid w:val="009423B5"/>
    <w:rsid w:val="0094246F"/>
    <w:rsid w:val="00942CA7"/>
    <w:rsid w:val="0094346C"/>
    <w:rsid w:val="00943B1B"/>
    <w:rsid w:val="00943C24"/>
    <w:rsid w:val="0094428F"/>
    <w:rsid w:val="00944348"/>
    <w:rsid w:val="00944592"/>
    <w:rsid w:val="009446FC"/>
    <w:rsid w:val="00945229"/>
    <w:rsid w:val="00945687"/>
    <w:rsid w:val="00946E6D"/>
    <w:rsid w:val="0094726E"/>
    <w:rsid w:val="00950352"/>
    <w:rsid w:val="009514D7"/>
    <w:rsid w:val="009523B4"/>
    <w:rsid w:val="0095275D"/>
    <w:rsid w:val="00952CAC"/>
    <w:rsid w:val="00953033"/>
    <w:rsid w:val="00953645"/>
    <w:rsid w:val="0095430C"/>
    <w:rsid w:val="009555C1"/>
    <w:rsid w:val="00955C08"/>
    <w:rsid w:val="00956201"/>
    <w:rsid w:val="00956B84"/>
    <w:rsid w:val="009575E9"/>
    <w:rsid w:val="009616BA"/>
    <w:rsid w:val="009616DC"/>
    <w:rsid w:val="009622CE"/>
    <w:rsid w:val="00962565"/>
    <w:rsid w:val="00962837"/>
    <w:rsid w:val="009628DE"/>
    <w:rsid w:val="009638CA"/>
    <w:rsid w:val="00963AD7"/>
    <w:rsid w:val="00963C8A"/>
    <w:rsid w:val="00964C81"/>
    <w:rsid w:val="00965D35"/>
    <w:rsid w:val="00967529"/>
    <w:rsid w:val="0096766A"/>
    <w:rsid w:val="00967AF9"/>
    <w:rsid w:val="00967C49"/>
    <w:rsid w:val="00967E55"/>
    <w:rsid w:val="009701AE"/>
    <w:rsid w:val="009720CD"/>
    <w:rsid w:val="00972ACA"/>
    <w:rsid w:val="00973478"/>
    <w:rsid w:val="0097368C"/>
    <w:rsid w:val="00973ACA"/>
    <w:rsid w:val="00973AE7"/>
    <w:rsid w:val="00973B54"/>
    <w:rsid w:val="00973ECC"/>
    <w:rsid w:val="009742A2"/>
    <w:rsid w:val="0097455C"/>
    <w:rsid w:val="00974CD2"/>
    <w:rsid w:val="00975239"/>
    <w:rsid w:val="00975C7E"/>
    <w:rsid w:val="00977BEB"/>
    <w:rsid w:val="00977D55"/>
    <w:rsid w:val="00981AC9"/>
    <w:rsid w:val="0098258C"/>
    <w:rsid w:val="009828B2"/>
    <w:rsid w:val="00982CDD"/>
    <w:rsid w:val="00982E42"/>
    <w:rsid w:val="00982ED7"/>
    <w:rsid w:val="00983CE4"/>
    <w:rsid w:val="00984306"/>
    <w:rsid w:val="009847A3"/>
    <w:rsid w:val="00984BA8"/>
    <w:rsid w:val="00984E3C"/>
    <w:rsid w:val="00985B10"/>
    <w:rsid w:val="009862BB"/>
    <w:rsid w:val="00986DBE"/>
    <w:rsid w:val="00987F18"/>
    <w:rsid w:val="009917CE"/>
    <w:rsid w:val="00993092"/>
    <w:rsid w:val="009939D1"/>
    <w:rsid w:val="00995A28"/>
    <w:rsid w:val="00995C39"/>
    <w:rsid w:val="00996191"/>
    <w:rsid w:val="00996379"/>
    <w:rsid w:val="009963FD"/>
    <w:rsid w:val="00996902"/>
    <w:rsid w:val="00996CB4"/>
    <w:rsid w:val="00997148"/>
    <w:rsid w:val="00997292"/>
    <w:rsid w:val="0099767F"/>
    <w:rsid w:val="0099782A"/>
    <w:rsid w:val="009A012A"/>
    <w:rsid w:val="009A1F4F"/>
    <w:rsid w:val="009A3284"/>
    <w:rsid w:val="009A36EE"/>
    <w:rsid w:val="009A3BFF"/>
    <w:rsid w:val="009A4B93"/>
    <w:rsid w:val="009A4C6A"/>
    <w:rsid w:val="009A63FB"/>
    <w:rsid w:val="009A6558"/>
    <w:rsid w:val="009A6FC2"/>
    <w:rsid w:val="009A74BC"/>
    <w:rsid w:val="009A771C"/>
    <w:rsid w:val="009A7D35"/>
    <w:rsid w:val="009B0208"/>
    <w:rsid w:val="009B04DA"/>
    <w:rsid w:val="009B0D88"/>
    <w:rsid w:val="009B0DB6"/>
    <w:rsid w:val="009B1181"/>
    <w:rsid w:val="009B27F5"/>
    <w:rsid w:val="009B39D1"/>
    <w:rsid w:val="009B48DC"/>
    <w:rsid w:val="009B53C5"/>
    <w:rsid w:val="009B5765"/>
    <w:rsid w:val="009B72E7"/>
    <w:rsid w:val="009B746E"/>
    <w:rsid w:val="009B75AF"/>
    <w:rsid w:val="009B7B99"/>
    <w:rsid w:val="009C2391"/>
    <w:rsid w:val="009C27BC"/>
    <w:rsid w:val="009C39C6"/>
    <w:rsid w:val="009C43C5"/>
    <w:rsid w:val="009C4AB8"/>
    <w:rsid w:val="009C4AEB"/>
    <w:rsid w:val="009C59F0"/>
    <w:rsid w:val="009C6C89"/>
    <w:rsid w:val="009C6E7F"/>
    <w:rsid w:val="009C7943"/>
    <w:rsid w:val="009D0884"/>
    <w:rsid w:val="009D0B1C"/>
    <w:rsid w:val="009D15FF"/>
    <w:rsid w:val="009D1609"/>
    <w:rsid w:val="009D1C66"/>
    <w:rsid w:val="009D257F"/>
    <w:rsid w:val="009D25A6"/>
    <w:rsid w:val="009D360B"/>
    <w:rsid w:val="009D3D17"/>
    <w:rsid w:val="009D550D"/>
    <w:rsid w:val="009D7071"/>
    <w:rsid w:val="009D7230"/>
    <w:rsid w:val="009D7696"/>
    <w:rsid w:val="009E0FA7"/>
    <w:rsid w:val="009E1672"/>
    <w:rsid w:val="009E173C"/>
    <w:rsid w:val="009E1A04"/>
    <w:rsid w:val="009E1CE3"/>
    <w:rsid w:val="009E3073"/>
    <w:rsid w:val="009E310C"/>
    <w:rsid w:val="009E325A"/>
    <w:rsid w:val="009E34A6"/>
    <w:rsid w:val="009E461B"/>
    <w:rsid w:val="009E52CA"/>
    <w:rsid w:val="009E5927"/>
    <w:rsid w:val="009E682A"/>
    <w:rsid w:val="009E6FB2"/>
    <w:rsid w:val="009E7572"/>
    <w:rsid w:val="009E791C"/>
    <w:rsid w:val="009E7E50"/>
    <w:rsid w:val="009F054D"/>
    <w:rsid w:val="009F0552"/>
    <w:rsid w:val="009F0E24"/>
    <w:rsid w:val="009F1763"/>
    <w:rsid w:val="009F1FFF"/>
    <w:rsid w:val="009F2756"/>
    <w:rsid w:val="009F3714"/>
    <w:rsid w:val="009F4FE9"/>
    <w:rsid w:val="009F69A9"/>
    <w:rsid w:val="00A00261"/>
    <w:rsid w:val="00A00EF8"/>
    <w:rsid w:val="00A01105"/>
    <w:rsid w:val="00A023F3"/>
    <w:rsid w:val="00A04119"/>
    <w:rsid w:val="00A0412A"/>
    <w:rsid w:val="00A041D6"/>
    <w:rsid w:val="00A051D6"/>
    <w:rsid w:val="00A055ED"/>
    <w:rsid w:val="00A06088"/>
    <w:rsid w:val="00A06702"/>
    <w:rsid w:val="00A06D82"/>
    <w:rsid w:val="00A07DD7"/>
    <w:rsid w:val="00A12C55"/>
    <w:rsid w:val="00A14655"/>
    <w:rsid w:val="00A15C52"/>
    <w:rsid w:val="00A15E37"/>
    <w:rsid w:val="00A163CE"/>
    <w:rsid w:val="00A16695"/>
    <w:rsid w:val="00A1686E"/>
    <w:rsid w:val="00A17A7E"/>
    <w:rsid w:val="00A203DB"/>
    <w:rsid w:val="00A213CB"/>
    <w:rsid w:val="00A21856"/>
    <w:rsid w:val="00A21FCB"/>
    <w:rsid w:val="00A22060"/>
    <w:rsid w:val="00A2220E"/>
    <w:rsid w:val="00A226E3"/>
    <w:rsid w:val="00A2271A"/>
    <w:rsid w:val="00A22BCB"/>
    <w:rsid w:val="00A23497"/>
    <w:rsid w:val="00A23DCF"/>
    <w:rsid w:val="00A24BD6"/>
    <w:rsid w:val="00A25DFF"/>
    <w:rsid w:val="00A26E51"/>
    <w:rsid w:val="00A26F70"/>
    <w:rsid w:val="00A27310"/>
    <w:rsid w:val="00A2767F"/>
    <w:rsid w:val="00A30068"/>
    <w:rsid w:val="00A31A18"/>
    <w:rsid w:val="00A31C24"/>
    <w:rsid w:val="00A31FB7"/>
    <w:rsid w:val="00A31FDD"/>
    <w:rsid w:val="00A3323D"/>
    <w:rsid w:val="00A341F7"/>
    <w:rsid w:val="00A34BB3"/>
    <w:rsid w:val="00A3523B"/>
    <w:rsid w:val="00A352A0"/>
    <w:rsid w:val="00A36F49"/>
    <w:rsid w:val="00A37891"/>
    <w:rsid w:val="00A378F3"/>
    <w:rsid w:val="00A40694"/>
    <w:rsid w:val="00A40BC6"/>
    <w:rsid w:val="00A41AA6"/>
    <w:rsid w:val="00A41F57"/>
    <w:rsid w:val="00A445A2"/>
    <w:rsid w:val="00A44A5F"/>
    <w:rsid w:val="00A453F9"/>
    <w:rsid w:val="00A4542C"/>
    <w:rsid w:val="00A45946"/>
    <w:rsid w:val="00A45E3F"/>
    <w:rsid w:val="00A460BE"/>
    <w:rsid w:val="00A4618E"/>
    <w:rsid w:val="00A46B4D"/>
    <w:rsid w:val="00A46FB1"/>
    <w:rsid w:val="00A47149"/>
    <w:rsid w:val="00A47654"/>
    <w:rsid w:val="00A47763"/>
    <w:rsid w:val="00A479AA"/>
    <w:rsid w:val="00A5028E"/>
    <w:rsid w:val="00A503EC"/>
    <w:rsid w:val="00A507C8"/>
    <w:rsid w:val="00A5162C"/>
    <w:rsid w:val="00A5206B"/>
    <w:rsid w:val="00A52B65"/>
    <w:rsid w:val="00A52D44"/>
    <w:rsid w:val="00A52F08"/>
    <w:rsid w:val="00A536C1"/>
    <w:rsid w:val="00A556F5"/>
    <w:rsid w:val="00A562BB"/>
    <w:rsid w:val="00A56A84"/>
    <w:rsid w:val="00A56B11"/>
    <w:rsid w:val="00A56D70"/>
    <w:rsid w:val="00A57544"/>
    <w:rsid w:val="00A6011F"/>
    <w:rsid w:val="00A60581"/>
    <w:rsid w:val="00A60972"/>
    <w:rsid w:val="00A611EB"/>
    <w:rsid w:val="00A61700"/>
    <w:rsid w:val="00A61915"/>
    <w:rsid w:val="00A61D85"/>
    <w:rsid w:val="00A61FFB"/>
    <w:rsid w:val="00A62552"/>
    <w:rsid w:val="00A63201"/>
    <w:rsid w:val="00A653CC"/>
    <w:rsid w:val="00A65BCE"/>
    <w:rsid w:val="00A65C7F"/>
    <w:rsid w:val="00A667D8"/>
    <w:rsid w:val="00A66831"/>
    <w:rsid w:val="00A67F0B"/>
    <w:rsid w:val="00A70AE4"/>
    <w:rsid w:val="00A70EEE"/>
    <w:rsid w:val="00A714BB"/>
    <w:rsid w:val="00A730F3"/>
    <w:rsid w:val="00A73A13"/>
    <w:rsid w:val="00A7475E"/>
    <w:rsid w:val="00A748FE"/>
    <w:rsid w:val="00A74A1D"/>
    <w:rsid w:val="00A751C8"/>
    <w:rsid w:val="00A75AE3"/>
    <w:rsid w:val="00A75FEA"/>
    <w:rsid w:val="00A76600"/>
    <w:rsid w:val="00A76D8D"/>
    <w:rsid w:val="00A80230"/>
    <w:rsid w:val="00A80265"/>
    <w:rsid w:val="00A8083E"/>
    <w:rsid w:val="00A80CB6"/>
    <w:rsid w:val="00A81538"/>
    <w:rsid w:val="00A81DDA"/>
    <w:rsid w:val="00A81EC5"/>
    <w:rsid w:val="00A81EFE"/>
    <w:rsid w:val="00A8235D"/>
    <w:rsid w:val="00A82361"/>
    <w:rsid w:val="00A84505"/>
    <w:rsid w:val="00A84A28"/>
    <w:rsid w:val="00A85737"/>
    <w:rsid w:val="00A85C0D"/>
    <w:rsid w:val="00A86A9D"/>
    <w:rsid w:val="00A903BA"/>
    <w:rsid w:val="00A90DF2"/>
    <w:rsid w:val="00A91103"/>
    <w:rsid w:val="00A918BF"/>
    <w:rsid w:val="00A91DF0"/>
    <w:rsid w:val="00A92475"/>
    <w:rsid w:val="00A92951"/>
    <w:rsid w:val="00A92BA3"/>
    <w:rsid w:val="00A946F4"/>
    <w:rsid w:val="00A948BE"/>
    <w:rsid w:val="00A9574F"/>
    <w:rsid w:val="00A96094"/>
    <w:rsid w:val="00A969EA"/>
    <w:rsid w:val="00A97339"/>
    <w:rsid w:val="00A97F2F"/>
    <w:rsid w:val="00A97F9F"/>
    <w:rsid w:val="00AA0066"/>
    <w:rsid w:val="00AA04AC"/>
    <w:rsid w:val="00AA0AF8"/>
    <w:rsid w:val="00AA14FE"/>
    <w:rsid w:val="00AA1E67"/>
    <w:rsid w:val="00AA229B"/>
    <w:rsid w:val="00AA238A"/>
    <w:rsid w:val="00AA2E32"/>
    <w:rsid w:val="00AA31F1"/>
    <w:rsid w:val="00AA3C31"/>
    <w:rsid w:val="00AA4287"/>
    <w:rsid w:val="00AA4482"/>
    <w:rsid w:val="00AA483F"/>
    <w:rsid w:val="00AA4B12"/>
    <w:rsid w:val="00AA5967"/>
    <w:rsid w:val="00AA6202"/>
    <w:rsid w:val="00AA6F53"/>
    <w:rsid w:val="00AA6F78"/>
    <w:rsid w:val="00AA70D6"/>
    <w:rsid w:val="00AA71C5"/>
    <w:rsid w:val="00AB1607"/>
    <w:rsid w:val="00AB1CA6"/>
    <w:rsid w:val="00AB29BB"/>
    <w:rsid w:val="00AB2D0F"/>
    <w:rsid w:val="00AB2DE4"/>
    <w:rsid w:val="00AB30E5"/>
    <w:rsid w:val="00AB3BBE"/>
    <w:rsid w:val="00AB47DA"/>
    <w:rsid w:val="00AB5744"/>
    <w:rsid w:val="00AC0D70"/>
    <w:rsid w:val="00AC13C8"/>
    <w:rsid w:val="00AC25B4"/>
    <w:rsid w:val="00AC2837"/>
    <w:rsid w:val="00AC2991"/>
    <w:rsid w:val="00AC2A78"/>
    <w:rsid w:val="00AC2CF3"/>
    <w:rsid w:val="00AC3328"/>
    <w:rsid w:val="00AC3F62"/>
    <w:rsid w:val="00AC4D95"/>
    <w:rsid w:val="00AC5010"/>
    <w:rsid w:val="00AC5736"/>
    <w:rsid w:val="00AC5D65"/>
    <w:rsid w:val="00AC6323"/>
    <w:rsid w:val="00AC6608"/>
    <w:rsid w:val="00AC69DB"/>
    <w:rsid w:val="00AC6CA4"/>
    <w:rsid w:val="00AC7245"/>
    <w:rsid w:val="00AC7D69"/>
    <w:rsid w:val="00AD03B3"/>
    <w:rsid w:val="00AD0764"/>
    <w:rsid w:val="00AD1B55"/>
    <w:rsid w:val="00AD2A20"/>
    <w:rsid w:val="00AD2B25"/>
    <w:rsid w:val="00AD4D42"/>
    <w:rsid w:val="00AD4E43"/>
    <w:rsid w:val="00AD5E49"/>
    <w:rsid w:val="00AD6C09"/>
    <w:rsid w:val="00AD722C"/>
    <w:rsid w:val="00AD7508"/>
    <w:rsid w:val="00AE059B"/>
    <w:rsid w:val="00AE0DD9"/>
    <w:rsid w:val="00AE183C"/>
    <w:rsid w:val="00AE198F"/>
    <w:rsid w:val="00AE19C1"/>
    <w:rsid w:val="00AE2356"/>
    <w:rsid w:val="00AE2654"/>
    <w:rsid w:val="00AE3CCF"/>
    <w:rsid w:val="00AE3E25"/>
    <w:rsid w:val="00AE40F5"/>
    <w:rsid w:val="00AE4ACF"/>
    <w:rsid w:val="00AE4C9C"/>
    <w:rsid w:val="00AE57BB"/>
    <w:rsid w:val="00AE5A45"/>
    <w:rsid w:val="00AE6505"/>
    <w:rsid w:val="00AE74AB"/>
    <w:rsid w:val="00AE7BDA"/>
    <w:rsid w:val="00AE7E0E"/>
    <w:rsid w:val="00AF0023"/>
    <w:rsid w:val="00AF103B"/>
    <w:rsid w:val="00AF1A7A"/>
    <w:rsid w:val="00AF20A3"/>
    <w:rsid w:val="00AF25CD"/>
    <w:rsid w:val="00AF2627"/>
    <w:rsid w:val="00AF2D03"/>
    <w:rsid w:val="00AF4CC7"/>
    <w:rsid w:val="00AF4D0C"/>
    <w:rsid w:val="00AF729F"/>
    <w:rsid w:val="00AF7B85"/>
    <w:rsid w:val="00B008AF"/>
    <w:rsid w:val="00B01626"/>
    <w:rsid w:val="00B042B7"/>
    <w:rsid w:val="00B04B0E"/>
    <w:rsid w:val="00B04C08"/>
    <w:rsid w:val="00B05296"/>
    <w:rsid w:val="00B05468"/>
    <w:rsid w:val="00B06ACC"/>
    <w:rsid w:val="00B07BB0"/>
    <w:rsid w:val="00B07CD3"/>
    <w:rsid w:val="00B10D45"/>
    <w:rsid w:val="00B11BE3"/>
    <w:rsid w:val="00B12BDC"/>
    <w:rsid w:val="00B13321"/>
    <w:rsid w:val="00B138A3"/>
    <w:rsid w:val="00B14059"/>
    <w:rsid w:val="00B14536"/>
    <w:rsid w:val="00B14934"/>
    <w:rsid w:val="00B16033"/>
    <w:rsid w:val="00B164A2"/>
    <w:rsid w:val="00B167DA"/>
    <w:rsid w:val="00B16F12"/>
    <w:rsid w:val="00B1775E"/>
    <w:rsid w:val="00B20A44"/>
    <w:rsid w:val="00B20B66"/>
    <w:rsid w:val="00B20F7C"/>
    <w:rsid w:val="00B21409"/>
    <w:rsid w:val="00B217D4"/>
    <w:rsid w:val="00B22459"/>
    <w:rsid w:val="00B22666"/>
    <w:rsid w:val="00B226B3"/>
    <w:rsid w:val="00B233CF"/>
    <w:rsid w:val="00B23979"/>
    <w:rsid w:val="00B23D3D"/>
    <w:rsid w:val="00B2431A"/>
    <w:rsid w:val="00B2438F"/>
    <w:rsid w:val="00B245C5"/>
    <w:rsid w:val="00B25635"/>
    <w:rsid w:val="00B25B2F"/>
    <w:rsid w:val="00B267AC"/>
    <w:rsid w:val="00B26A99"/>
    <w:rsid w:val="00B26F83"/>
    <w:rsid w:val="00B27454"/>
    <w:rsid w:val="00B2745D"/>
    <w:rsid w:val="00B277CA"/>
    <w:rsid w:val="00B27BBE"/>
    <w:rsid w:val="00B303DD"/>
    <w:rsid w:val="00B306F5"/>
    <w:rsid w:val="00B30B3D"/>
    <w:rsid w:val="00B31FEE"/>
    <w:rsid w:val="00B33150"/>
    <w:rsid w:val="00B33640"/>
    <w:rsid w:val="00B33AA7"/>
    <w:rsid w:val="00B3444E"/>
    <w:rsid w:val="00B34521"/>
    <w:rsid w:val="00B34550"/>
    <w:rsid w:val="00B347B2"/>
    <w:rsid w:val="00B34847"/>
    <w:rsid w:val="00B34D23"/>
    <w:rsid w:val="00B35CCE"/>
    <w:rsid w:val="00B3673F"/>
    <w:rsid w:val="00B36CFC"/>
    <w:rsid w:val="00B3730E"/>
    <w:rsid w:val="00B37784"/>
    <w:rsid w:val="00B37805"/>
    <w:rsid w:val="00B37C90"/>
    <w:rsid w:val="00B43752"/>
    <w:rsid w:val="00B43A2F"/>
    <w:rsid w:val="00B43EA1"/>
    <w:rsid w:val="00B44305"/>
    <w:rsid w:val="00B449BB"/>
    <w:rsid w:val="00B44D48"/>
    <w:rsid w:val="00B45362"/>
    <w:rsid w:val="00B45D5D"/>
    <w:rsid w:val="00B45EC2"/>
    <w:rsid w:val="00B4638E"/>
    <w:rsid w:val="00B50A59"/>
    <w:rsid w:val="00B51E17"/>
    <w:rsid w:val="00B53274"/>
    <w:rsid w:val="00B53A2C"/>
    <w:rsid w:val="00B54130"/>
    <w:rsid w:val="00B550CD"/>
    <w:rsid w:val="00B570DE"/>
    <w:rsid w:val="00B57FC9"/>
    <w:rsid w:val="00B613AC"/>
    <w:rsid w:val="00B6164D"/>
    <w:rsid w:val="00B61CAF"/>
    <w:rsid w:val="00B61F81"/>
    <w:rsid w:val="00B61FF7"/>
    <w:rsid w:val="00B62018"/>
    <w:rsid w:val="00B6218E"/>
    <w:rsid w:val="00B632BA"/>
    <w:rsid w:val="00B63384"/>
    <w:rsid w:val="00B64264"/>
    <w:rsid w:val="00B66CBD"/>
    <w:rsid w:val="00B66E68"/>
    <w:rsid w:val="00B67660"/>
    <w:rsid w:val="00B67867"/>
    <w:rsid w:val="00B707DD"/>
    <w:rsid w:val="00B715A7"/>
    <w:rsid w:val="00B7410D"/>
    <w:rsid w:val="00B74ED3"/>
    <w:rsid w:val="00B772B4"/>
    <w:rsid w:val="00B801F6"/>
    <w:rsid w:val="00B81BF9"/>
    <w:rsid w:val="00B81DEB"/>
    <w:rsid w:val="00B82917"/>
    <w:rsid w:val="00B837E6"/>
    <w:rsid w:val="00B840E8"/>
    <w:rsid w:val="00B841DD"/>
    <w:rsid w:val="00B8584B"/>
    <w:rsid w:val="00B8639F"/>
    <w:rsid w:val="00B872FF"/>
    <w:rsid w:val="00B8749A"/>
    <w:rsid w:val="00B91343"/>
    <w:rsid w:val="00B913A5"/>
    <w:rsid w:val="00B91BB5"/>
    <w:rsid w:val="00B929EC"/>
    <w:rsid w:val="00B930D7"/>
    <w:rsid w:val="00B9490F"/>
    <w:rsid w:val="00B94E7C"/>
    <w:rsid w:val="00B96097"/>
    <w:rsid w:val="00B9655B"/>
    <w:rsid w:val="00B973B4"/>
    <w:rsid w:val="00B97C40"/>
    <w:rsid w:val="00BA087D"/>
    <w:rsid w:val="00BA1F89"/>
    <w:rsid w:val="00BA2261"/>
    <w:rsid w:val="00BA2526"/>
    <w:rsid w:val="00BA2768"/>
    <w:rsid w:val="00BA2BA8"/>
    <w:rsid w:val="00BA2CE9"/>
    <w:rsid w:val="00BA4633"/>
    <w:rsid w:val="00BA474E"/>
    <w:rsid w:val="00BA485E"/>
    <w:rsid w:val="00BA4D99"/>
    <w:rsid w:val="00BA5159"/>
    <w:rsid w:val="00BA5CAB"/>
    <w:rsid w:val="00BA5F9E"/>
    <w:rsid w:val="00BA6129"/>
    <w:rsid w:val="00BA6704"/>
    <w:rsid w:val="00BA7946"/>
    <w:rsid w:val="00BA79EA"/>
    <w:rsid w:val="00BB0CDC"/>
    <w:rsid w:val="00BB1F91"/>
    <w:rsid w:val="00BB1FB5"/>
    <w:rsid w:val="00BB2013"/>
    <w:rsid w:val="00BB2116"/>
    <w:rsid w:val="00BB2484"/>
    <w:rsid w:val="00BB2755"/>
    <w:rsid w:val="00BB31D2"/>
    <w:rsid w:val="00BB345F"/>
    <w:rsid w:val="00BB3CA3"/>
    <w:rsid w:val="00BB3EAE"/>
    <w:rsid w:val="00BB459A"/>
    <w:rsid w:val="00BB5815"/>
    <w:rsid w:val="00BB586F"/>
    <w:rsid w:val="00BB5FEA"/>
    <w:rsid w:val="00BB6CE4"/>
    <w:rsid w:val="00BB6E5C"/>
    <w:rsid w:val="00BB71C0"/>
    <w:rsid w:val="00BB7FAD"/>
    <w:rsid w:val="00BC0012"/>
    <w:rsid w:val="00BC00BF"/>
    <w:rsid w:val="00BC0C45"/>
    <w:rsid w:val="00BC1F99"/>
    <w:rsid w:val="00BC22A2"/>
    <w:rsid w:val="00BC26FF"/>
    <w:rsid w:val="00BC2806"/>
    <w:rsid w:val="00BC2E25"/>
    <w:rsid w:val="00BC2EB4"/>
    <w:rsid w:val="00BC39B0"/>
    <w:rsid w:val="00BC4973"/>
    <w:rsid w:val="00BC4E17"/>
    <w:rsid w:val="00BC58B6"/>
    <w:rsid w:val="00BC6E75"/>
    <w:rsid w:val="00BD01CE"/>
    <w:rsid w:val="00BD0244"/>
    <w:rsid w:val="00BD1507"/>
    <w:rsid w:val="00BD18B2"/>
    <w:rsid w:val="00BD1A04"/>
    <w:rsid w:val="00BD1D12"/>
    <w:rsid w:val="00BD2257"/>
    <w:rsid w:val="00BD232D"/>
    <w:rsid w:val="00BD2FB8"/>
    <w:rsid w:val="00BD2FC5"/>
    <w:rsid w:val="00BD3590"/>
    <w:rsid w:val="00BD3FBF"/>
    <w:rsid w:val="00BD42B7"/>
    <w:rsid w:val="00BD4E67"/>
    <w:rsid w:val="00BD531F"/>
    <w:rsid w:val="00BD5C3D"/>
    <w:rsid w:val="00BD61BD"/>
    <w:rsid w:val="00BD7434"/>
    <w:rsid w:val="00BD7675"/>
    <w:rsid w:val="00BD78AE"/>
    <w:rsid w:val="00BD7D6D"/>
    <w:rsid w:val="00BE0106"/>
    <w:rsid w:val="00BE1C9E"/>
    <w:rsid w:val="00BE210B"/>
    <w:rsid w:val="00BE368B"/>
    <w:rsid w:val="00BE36A8"/>
    <w:rsid w:val="00BE63BA"/>
    <w:rsid w:val="00BE6FDB"/>
    <w:rsid w:val="00BE7A42"/>
    <w:rsid w:val="00BF0599"/>
    <w:rsid w:val="00BF0D0E"/>
    <w:rsid w:val="00BF103B"/>
    <w:rsid w:val="00BF11DD"/>
    <w:rsid w:val="00BF13C1"/>
    <w:rsid w:val="00BF1A77"/>
    <w:rsid w:val="00BF20E1"/>
    <w:rsid w:val="00BF281A"/>
    <w:rsid w:val="00BF2ACE"/>
    <w:rsid w:val="00BF2E93"/>
    <w:rsid w:val="00BF3369"/>
    <w:rsid w:val="00BF4229"/>
    <w:rsid w:val="00BF71DB"/>
    <w:rsid w:val="00BF7B51"/>
    <w:rsid w:val="00C001C5"/>
    <w:rsid w:val="00C01084"/>
    <w:rsid w:val="00C01786"/>
    <w:rsid w:val="00C02562"/>
    <w:rsid w:val="00C0295A"/>
    <w:rsid w:val="00C02B25"/>
    <w:rsid w:val="00C02D65"/>
    <w:rsid w:val="00C031EB"/>
    <w:rsid w:val="00C033E3"/>
    <w:rsid w:val="00C04C34"/>
    <w:rsid w:val="00C04E01"/>
    <w:rsid w:val="00C060CE"/>
    <w:rsid w:val="00C0698E"/>
    <w:rsid w:val="00C07349"/>
    <w:rsid w:val="00C079A3"/>
    <w:rsid w:val="00C115EE"/>
    <w:rsid w:val="00C119FF"/>
    <w:rsid w:val="00C11A89"/>
    <w:rsid w:val="00C12D44"/>
    <w:rsid w:val="00C134AB"/>
    <w:rsid w:val="00C135D1"/>
    <w:rsid w:val="00C1428F"/>
    <w:rsid w:val="00C146C0"/>
    <w:rsid w:val="00C16B37"/>
    <w:rsid w:val="00C17A02"/>
    <w:rsid w:val="00C209C2"/>
    <w:rsid w:val="00C20A53"/>
    <w:rsid w:val="00C20C93"/>
    <w:rsid w:val="00C219DD"/>
    <w:rsid w:val="00C21D4E"/>
    <w:rsid w:val="00C223DF"/>
    <w:rsid w:val="00C22E0D"/>
    <w:rsid w:val="00C23405"/>
    <w:rsid w:val="00C23642"/>
    <w:rsid w:val="00C237F6"/>
    <w:rsid w:val="00C23DD8"/>
    <w:rsid w:val="00C24FF1"/>
    <w:rsid w:val="00C259F6"/>
    <w:rsid w:val="00C25F97"/>
    <w:rsid w:val="00C26212"/>
    <w:rsid w:val="00C26637"/>
    <w:rsid w:val="00C2679E"/>
    <w:rsid w:val="00C27467"/>
    <w:rsid w:val="00C2779E"/>
    <w:rsid w:val="00C30116"/>
    <w:rsid w:val="00C31089"/>
    <w:rsid w:val="00C3162A"/>
    <w:rsid w:val="00C3177B"/>
    <w:rsid w:val="00C338C0"/>
    <w:rsid w:val="00C33D41"/>
    <w:rsid w:val="00C357B1"/>
    <w:rsid w:val="00C377D4"/>
    <w:rsid w:val="00C37DFF"/>
    <w:rsid w:val="00C401BD"/>
    <w:rsid w:val="00C402F9"/>
    <w:rsid w:val="00C419FA"/>
    <w:rsid w:val="00C41A92"/>
    <w:rsid w:val="00C42021"/>
    <w:rsid w:val="00C425D4"/>
    <w:rsid w:val="00C42D33"/>
    <w:rsid w:val="00C42EA0"/>
    <w:rsid w:val="00C43471"/>
    <w:rsid w:val="00C43512"/>
    <w:rsid w:val="00C438F7"/>
    <w:rsid w:val="00C43BE8"/>
    <w:rsid w:val="00C44AC8"/>
    <w:rsid w:val="00C4525C"/>
    <w:rsid w:val="00C45B22"/>
    <w:rsid w:val="00C4624C"/>
    <w:rsid w:val="00C4635C"/>
    <w:rsid w:val="00C4670E"/>
    <w:rsid w:val="00C46A9E"/>
    <w:rsid w:val="00C46B32"/>
    <w:rsid w:val="00C46CB7"/>
    <w:rsid w:val="00C46F5F"/>
    <w:rsid w:val="00C478A5"/>
    <w:rsid w:val="00C50B41"/>
    <w:rsid w:val="00C50F81"/>
    <w:rsid w:val="00C51127"/>
    <w:rsid w:val="00C5385F"/>
    <w:rsid w:val="00C54008"/>
    <w:rsid w:val="00C554CE"/>
    <w:rsid w:val="00C55587"/>
    <w:rsid w:val="00C55F21"/>
    <w:rsid w:val="00C570E5"/>
    <w:rsid w:val="00C57881"/>
    <w:rsid w:val="00C57ECD"/>
    <w:rsid w:val="00C60544"/>
    <w:rsid w:val="00C611CE"/>
    <w:rsid w:val="00C61973"/>
    <w:rsid w:val="00C61C61"/>
    <w:rsid w:val="00C61D43"/>
    <w:rsid w:val="00C61D78"/>
    <w:rsid w:val="00C6202E"/>
    <w:rsid w:val="00C62611"/>
    <w:rsid w:val="00C627B1"/>
    <w:rsid w:val="00C6284E"/>
    <w:rsid w:val="00C633C9"/>
    <w:rsid w:val="00C65672"/>
    <w:rsid w:val="00C65BB3"/>
    <w:rsid w:val="00C66691"/>
    <w:rsid w:val="00C66B4E"/>
    <w:rsid w:val="00C679B6"/>
    <w:rsid w:val="00C70A28"/>
    <w:rsid w:val="00C70BC7"/>
    <w:rsid w:val="00C7436D"/>
    <w:rsid w:val="00C74E46"/>
    <w:rsid w:val="00C76241"/>
    <w:rsid w:val="00C76C4A"/>
    <w:rsid w:val="00C76C80"/>
    <w:rsid w:val="00C7765F"/>
    <w:rsid w:val="00C778BD"/>
    <w:rsid w:val="00C807ED"/>
    <w:rsid w:val="00C81877"/>
    <w:rsid w:val="00C81B31"/>
    <w:rsid w:val="00C8215D"/>
    <w:rsid w:val="00C833D3"/>
    <w:rsid w:val="00C83698"/>
    <w:rsid w:val="00C850F0"/>
    <w:rsid w:val="00C85BA5"/>
    <w:rsid w:val="00C8610E"/>
    <w:rsid w:val="00C8618A"/>
    <w:rsid w:val="00C861EF"/>
    <w:rsid w:val="00C866F7"/>
    <w:rsid w:val="00C87AA0"/>
    <w:rsid w:val="00C87C35"/>
    <w:rsid w:val="00C87D8F"/>
    <w:rsid w:val="00C905B0"/>
    <w:rsid w:val="00C908AB"/>
    <w:rsid w:val="00C90BBD"/>
    <w:rsid w:val="00C90EB0"/>
    <w:rsid w:val="00C9167E"/>
    <w:rsid w:val="00C916D0"/>
    <w:rsid w:val="00C91BFB"/>
    <w:rsid w:val="00C92340"/>
    <w:rsid w:val="00C92AB8"/>
    <w:rsid w:val="00C935DF"/>
    <w:rsid w:val="00C93A11"/>
    <w:rsid w:val="00C940F6"/>
    <w:rsid w:val="00C9427A"/>
    <w:rsid w:val="00C94830"/>
    <w:rsid w:val="00C94F4E"/>
    <w:rsid w:val="00C95CA0"/>
    <w:rsid w:val="00C95CC0"/>
    <w:rsid w:val="00C96F8C"/>
    <w:rsid w:val="00CA03AD"/>
    <w:rsid w:val="00CA05E4"/>
    <w:rsid w:val="00CA06A4"/>
    <w:rsid w:val="00CA09DB"/>
    <w:rsid w:val="00CA0DC7"/>
    <w:rsid w:val="00CA22B0"/>
    <w:rsid w:val="00CA230F"/>
    <w:rsid w:val="00CA231A"/>
    <w:rsid w:val="00CA3763"/>
    <w:rsid w:val="00CA3CAF"/>
    <w:rsid w:val="00CA456B"/>
    <w:rsid w:val="00CA48F1"/>
    <w:rsid w:val="00CA52B3"/>
    <w:rsid w:val="00CA5F46"/>
    <w:rsid w:val="00CA6FDF"/>
    <w:rsid w:val="00CA7B0C"/>
    <w:rsid w:val="00CB0180"/>
    <w:rsid w:val="00CB0481"/>
    <w:rsid w:val="00CB061E"/>
    <w:rsid w:val="00CB1769"/>
    <w:rsid w:val="00CB27BD"/>
    <w:rsid w:val="00CB2B62"/>
    <w:rsid w:val="00CB2D8A"/>
    <w:rsid w:val="00CB2DDB"/>
    <w:rsid w:val="00CB305B"/>
    <w:rsid w:val="00CB3689"/>
    <w:rsid w:val="00CB4FA6"/>
    <w:rsid w:val="00CB55DB"/>
    <w:rsid w:val="00CB6566"/>
    <w:rsid w:val="00CB6F99"/>
    <w:rsid w:val="00CB74F8"/>
    <w:rsid w:val="00CB763D"/>
    <w:rsid w:val="00CB7BDC"/>
    <w:rsid w:val="00CC0165"/>
    <w:rsid w:val="00CC0410"/>
    <w:rsid w:val="00CC18B6"/>
    <w:rsid w:val="00CC2360"/>
    <w:rsid w:val="00CC2D8E"/>
    <w:rsid w:val="00CC2D93"/>
    <w:rsid w:val="00CC315E"/>
    <w:rsid w:val="00CC36A5"/>
    <w:rsid w:val="00CC4953"/>
    <w:rsid w:val="00CC4A98"/>
    <w:rsid w:val="00CC6B5B"/>
    <w:rsid w:val="00CC6B85"/>
    <w:rsid w:val="00CC6E4A"/>
    <w:rsid w:val="00CC6EFF"/>
    <w:rsid w:val="00CC73FE"/>
    <w:rsid w:val="00CC74C9"/>
    <w:rsid w:val="00CD0086"/>
    <w:rsid w:val="00CD071F"/>
    <w:rsid w:val="00CD080F"/>
    <w:rsid w:val="00CD09EF"/>
    <w:rsid w:val="00CD0E8B"/>
    <w:rsid w:val="00CD122F"/>
    <w:rsid w:val="00CD1691"/>
    <w:rsid w:val="00CD1B94"/>
    <w:rsid w:val="00CD3294"/>
    <w:rsid w:val="00CD4A83"/>
    <w:rsid w:val="00CD56FE"/>
    <w:rsid w:val="00CD60AB"/>
    <w:rsid w:val="00CD784F"/>
    <w:rsid w:val="00CE006B"/>
    <w:rsid w:val="00CE10A6"/>
    <w:rsid w:val="00CE45F6"/>
    <w:rsid w:val="00CE499C"/>
    <w:rsid w:val="00CE5620"/>
    <w:rsid w:val="00CE5946"/>
    <w:rsid w:val="00CE645A"/>
    <w:rsid w:val="00CE6984"/>
    <w:rsid w:val="00CE6D1E"/>
    <w:rsid w:val="00CE6EA9"/>
    <w:rsid w:val="00CF0758"/>
    <w:rsid w:val="00CF2A8B"/>
    <w:rsid w:val="00CF2CFA"/>
    <w:rsid w:val="00CF3ACC"/>
    <w:rsid w:val="00CF3D3D"/>
    <w:rsid w:val="00CF456F"/>
    <w:rsid w:val="00CF58DF"/>
    <w:rsid w:val="00CF6D86"/>
    <w:rsid w:val="00CF7489"/>
    <w:rsid w:val="00CF77DA"/>
    <w:rsid w:val="00D002BB"/>
    <w:rsid w:val="00D006E9"/>
    <w:rsid w:val="00D01284"/>
    <w:rsid w:val="00D013A3"/>
    <w:rsid w:val="00D019ED"/>
    <w:rsid w:val="00D01B60"/>
    <w:rsid w:val="00D01B9F"/>
    <w:rsid w:val="00D01DF9"/>
    <w:rsid w:val="00D022CC"/>
    <w:rsid w:val="00D0233C"/>
    <w:rsid w:val="00D028B3"/>
    <w:rsid w:val="00D029F3"/>
    <w:rsid w:val="00D0308F"/>
    <w:rsid w:val="00D031C7"/>
    <w:rsid w:val="00D045B6"/>
    <w:rsid w:val="00D04789"/>
    <w:rsid w:val="00D04CB3"/>
    <w:rsid w:val="00D0511D"/>
    <w:rsid w:val="00D05305"/>
    <w:rsid w:val="00D0557E"/>
    <w:rsid w:val="00D05B6D"/>
    <w:rsid w:val="00D07691"/>
    <w:rsid w:val="00D07E11"/>
    <w:rsid w:val="00D10512"/>
    <w:rsid w:val="00D10B08"/>
    <w:rsid w:val="00D12857"/>
    <w:rsid w:val="00D12C4F"/>
    <w:rsid w:val="00D1310B"/>
    <w:rsid w:val="00D14486"/>
    <w:rsid w:val="00D158E2"/>
    <w:rsid w:val="00D16509"/>
    <w:rsid w:val="00D16AA4"/>
    <w:rsid w:val="00D16EF4"/>
    <w:rsid w:val="00D203AE"/>
    <w:rsid w:val="00D20855"/>
    <w:rsid w:val="00D20AAC"/>
    <w:rsid w:val="00D21B31"/>
    <w:rsid w:val="00D21C57"/>
    <w:rsid w:val="00D22314"/>
    <w:rsid w:val="00D2281A"/>
    <w:rsid w:val="00D23E72"/>
    <w:rsid w:val="00D242F0"/>
    <w:rsid w:val="00D24BFC"/>
    <w:rsid w:val="00D25641"/>
    <w:rsid w:val="00D2606A"/>
    <w:rsid w:val="00D260C0"/>
    <w:rsid w:val="00D26B95"/>
    <w:rsid w:val="00D26D7B"/>
    <w:rsid w:val="00D2714E"/>
    <w:rsid w:val="00D277EE"/>
    <w:rsid w:val="00D27FBA"/>
    <w:rsid w:val="00D304F5"/>
    <w:rsid w:val="00D31687"/>
    <w:rsid w:val="00D31E45"/>
    <w:rsid w:val="00D31EB9"/>
    <w:rsid w:val="00D32CAA"/>
    <w:rsid w:val="00D3425A"/>
    <w:rsid w:val="00D348EB"/>
    <w:rsid w:val="00D349E4"/>
    <w:rsid w:val="00D35FB5"/>
    <w:rsid w:val="00D366B7"/>
    <w:rsid w:val="00D36EF9"/>
    <w:rsid w:val="00D3749F"/>
    <w:rsid w:val="00D37B7E"/>
    <w:rsid w:val="00D37E64"/>
    <w:rsid w:val="00D40BD3"/>
    <w:rsid w:val="00D40BFD"/>
    <w:rsid w:val="00D41FE0"/>
    <w:rsid w:val="00D423EA"/>
    <w:rsid w:val="00D42D20"/>
    <w:rsid w:val="00D42E27"/>
    <w:rsid w:val="00D42EDC"/>
    <w:rsid w:val="00D4372D"/>
    <w:rsid w:val="00D43918"/>
    <w:rsid w:val="00D43BBE"/>
    <w:rsid w:val="00D43CFC"/>
    <w:rsid w:val="00D43D5C"/>
    <w:rsid w:val="00D43F3C"/>
    <w:rsid w:val="00D44207"/>
    <w:rsid w:val="00D443EB"/>
    <w:rsid w:val="00D450E8"/>
    <w:rsid w:val="00D45F41"/>
    <w:rsid w:val="00D46A92"/>
    <w:rsid w:val="00D47949"/>
    <w:rsid w:val="00D51A23"/>
    <w:rsid w:val="00D5248D"/>
    <w:rsid w:val="00D53874"/>
    <w:rsid w:val="00D53E19"/>
    <w:rsid w:val="00D54296"/>
    <w:rsid w:val="00D5435A"/>
    <w:rsid w:val="00D55E14"/>
    <w:rsid w:val="00D56747"/>
    <w:rsid w:val="00D57B0A"/>
    <w:rsid w:val="00D63293"/>
    <w:rsid w:val="00D64FD8"/>
    <w:rsid w:val="00D65752"/>
    <w:rsid w:val="00D65C9A"/>
    <w:rsid w:val="00D66398"/>
    <w:rsid w:val="00D663B3"/>
    <w:rsid w:val="00D6715A"/>
    <w:rsid w:val="00D6762B"/>
    <w:rsid w:val="00D67794"/>
    <w:rsid w:val="00D706D6"/>
    <w:rsid w:val="00D72737"/>
    <w:rsid w:val="00D75059"/>
    <w:rsid w:val="00D760E8"/>
    <w:rsid w:val="00D76BE1"/>
    <w:rsid w:val="00D7723D"/>
    <w:rsid w:val="00D7752C"/>
    <w:rsid w:val="00D77B7C"/>
    <w:rsid w:val="00D77CA4"/>
    <w:rsid w:val="00D816D9"/>
    <w:rsid w:val="00D81A80"/>
    <w:rsid w:val="00D81B06"/>
    <w:rsid w:val="00D825F0"/>
    <w:rsid w:val="00D84AA9"/>
    <w:rsid w:val="00D84CD1"/>
    <w:rsid w:val="00D84ED4"/>
    <w:rsid w:val="00D8549A"/>
    <w:rsid w:val="00D86CF8"/>
    <w:rsid w:val="00D873AF"/>
    <w:rsid w:val="00D8789B"/>
    <w:rsid w:val="00D927AD"/>
    <w:rsid w:val="00D927FF"/>
    <w:rsid w:val="00D93E72"/>
    <w:rsid w:val="00D94A7D"/>
    <w:rsid w:val="00D951B8"/>
    <w:rsid w:val="00D95CCD"/>
    <w:rsid w:val="00D965AB"/>
    <w:rsid w:val="00D96C21"/>
    <w:rsid w:val="00D96FAE"/>
    <w:rsid w:val="00D97135"/>
    <w:rsid w:val="00D9721E"/>
    <w:rsid w:val="00D97AB0"/>
    <w:rsid w:val="00D97E27"/>
    <w:rsid w:val="00D97E4C"/>
    <w:rsid w:val="00DA0660"/>
    <w:rsid w:val="00DA09DC"/>
    <w:rsid w:val="00DA1257"/>
    <w:rsid w:val="00DA1721"/>
    <w:rsid w:val="00DA1993"/>
    <w:rsid w:val="00DA1BB8"/>
    <w:rsid w:val="00DA2460"/>
    <w:rsid w:val="00DA305E"/>
    <w:rsid w:val="00DA46A4"/>
    <w:rsid w:val="00DA4A0B"/>
    <w:rsid w:val="00DA5121"/>
    <w:rsid w:val="00DA7AC6"/>
    <w:rsid w:val="00DB00D6"/>
    <w:rsid w:val="00DB0278"/>
    <w:rsid w:val="00DB1087"/>
    <w:rsid w:val="00DB10A4"/>
    <w:rsid w:val="00DB14DF"/>
    <w:rsid w:val="00DB1C0E"/>
    <w:rsid w:val="00DB3175"/>
    <w:rsid w:val="00DB5249"/>
    <w:rsid w:val="00DB52AC"/>
    <w:rsid w:val="00DB597E"/>
    <w:rsid w:val="00DB63AE"/>
    <w:rsid w:val="00DB7193"/>
    <w:rsid w:val="00DB7477"/>
    <w:rsid w:val="00DC032A"/>
    <w:rsid w:val="00DC0366"/>
    <w:rsid w:val="00DC0E1A"/>
    <w:rsid w:val="00DC164C"/>
    <w:rsid w:val="00DC2333"/>
    <w:rsid w:val="00DC2901"/>
    <w:rsid w:val="00DC2F1C"/>
    <w:rsid w:val="00DC349E"/>
    <w:rsid w:val="00DC4C49"/>
    <w:rsid w:val="00DC4E9F"/>
    <w:rsid w:val="00DC4EE9"/>
    <w:rsid w:val="00DC5F79"/>
    <w:rsid w:val="00DC67BC"/>
    <w:rsid w:val="00DC6C94"/>
    <w:rsid w:val="00DC7238"/>
    <w:rsid w:val="00DC72E3"/>
    <w:rsid w:val="00DD002C"/>
    <w:rsid w:val="00DD0086"/>
    <w:rsid w:val="00DD04EA"/>
    <w:rsid w:val="00DD0746"/>
    <w:rsid w:val="00DD0EC2"/>
    <w:rsid w:val="00DD2784"/>
    <w:rsid w:val="00DD326A"/>
    <w:rsid w:val="00DD3CBF"/>
    <w:rsid w:val="00DD48E2"/>
    <w:rsid w:val="00DD4A56"/>
    <w:rsid w:val="00DD5604"/>
    <w:rsid w:val="00DD6048"/>
    <w:rsid w:val="00DD6B4C"/>
    <w:rsid w:val="00DD6E20"/>
    <w:rsid w:val="00DD7DD6"/>
    <w:rsid w:val="00DE2041"/>
    <w:rsid w:val="00DE372A"/>
    <w:rsid w:val="00DE38F0"/>
    <w:rsid w:val="00DE3C91"/>
    <w:rsid w:val="00DE408D"/>
    <w:rsid w:val="00DE413D"/>
    <w:rsid w:val="00DE4620"/>
    <w:rsid w:val="00DE492B"/>
    <w:rsid w:val="00DE516C"/>
    <w:rsid w:val="00DE6529"/>
    <w:rsid w:val="00DE7813"/>
    <w:rsid w:val="00DE7FE7"/>
    <w:rsid w:val="00DF012D"/>
    <w:rsid w:val="00DF1122"/>
    <w:rsid w:val="00DF143E"/>
    <w:rsid w:val="00DF1460"/>
    <w:rsid w:val="00DF2BF7"/>
    <w:rsid w:val="00DF3A50"/>
    <w:rsid w:val="00DF3F11"/>
    <w:rsid w:val="00DF4BBF"/>
    <w:rsid w:val="00DF5E8E"/>
    <w:rsid w:val="00DF60C4"/>
    <w:rsid w:val="00DF633F"/>
    <w:rsid w:val="00DF70D5"/>
    <w:rsid w:val="00DF77B3"/>
    <w:rsid w:val="00DF79C3"/>
    <w:rsid w:val="00E00480"/>
    <w:rsid w:val="00E006F9"/>
    <w:rsid w:val="00E01984"/>
    <w:rsid w:val="00E01A21"/>
    <w:rsid w:val="00E0295F"/>
    <w:rsid w:val="00E02DA7"/>
    <w:rsid w:val="00E03580"/>
    <w:rsid w:val="00E03C92"/>
    <w:rsid w:val="00E04161"/>
    <w:rsid w:val="00E04208"/>
    <w:rsid w:val="00E04E45"/>
    <w:rsid w:val="00E05392"/>
    <w:rsid w:val="00E053E9"/>
    <w:rsid w:val="00E055EF"/>
    <w:rsid w:val="00E05B16"/>
    <w:rsid w:val="00E06625"/>
    <w:rsid w:val="00E06FAE"/>
    <w:rsid w:val="00E075E3"/>
    <w:rsid w:val="00E07AFE"/>
    <w:rsid w:val="00E105D9"/>
    <w:rsid w:val="00E10AB8"/>
    <w:rsid w:val="00E11986"/>
    <w:rsid w:val="00E121FE"/>
    <w:rsid w:val="00E12D59"/>
    <w:rsid w:val="00E12E24"/>
    <w:rsid w:val="00E13EC5"/>
    <w:rsid w:val="00E14378"/>
    <w:rsid w:val="00E143A4"/>
    <w:rsid w:val="00E15461"/>
    <w:rsid w:val="00E15893"/>
    <w:rsid w:val="00E158A6"/>
    <w:rsid w:val="00E16E82"/>
    <w:rsid w:val="00E175EC"/>
    <w:rsid w:val="00E1778B"/>
    <w:rsid w:val="00E17F27"/>
    <w:rsid w:val="00E21CDE"/>
    <w:rsid w:val="00E22533"/>
    <w:rsid w:val="00E22BB9"/>
    <w:rsid w:val="00E23400"/>
    <w:rsid w:val="00E24407"/>
    <w:rsid w:val="00E2486A"/>
    <w:rsid w:val="00E25323"/>
    <w:rsid w:val="00E25341"/>
    <w:rsid w:val="00E26514"/>
    <w:rsid w:val="00E26A69"/>
    <w:rsid w:val="00E27288"/>
    <w:rsid w:val="00E2744C"/>
    <w:rsid w:val="00E30675"/>
    <w:rsid w:val="00E314E5"/>
    <w:rsid w:val="00E31591"/>
    <w:rsid w:val="00E31729"/>
    <w:rsid w:val="00E3246A"/>
    <w:rsid w:val="00E332BD"/>
    <w:rsid w:val="00E33C16"/>
    <w:rsid w:val="00E34A09"/>
    <w:rsid w:val="00E34D74"/>
    <w:rsid w:val="00E35026"/>
    <w:rsid w:val="00E35847"/>
    <w:rsid w:val="00E379CF"/>
    <w:rsid w:val="00E4073E"/>
    <w:rsid w:val="00E4137C"/>
    <w:rsid w:val="00E42C68"/>
    <w:rsid w:val="00E432D2"/>
    <w:rsid w:val="00E45B88"/>
    <w:rsid w:val="00E468E6"/>
    <w:rsid w:val="00E46A22"/>
    <w:rsid w:val="00E4706A"/>
    <w:rsid w:val="00E4710D"/>
    <w:rsid w:val="00E471EC"/>
    <w:rsid w:val="00E474B8"/>
    <w:rsid w:val="00E47918"/>
    <w:rsid w:val="00E47945"/>
    <w:rsid w:val="00E47CD5"/>
    <w:rsid w:val="00E47D8B"/>
    <w:rsid w:val="00E47DBB"/>
    <w:rsid w:val="00E50B3F"/>
    <w:rsid w:val="00E51336"/>
    <w:rsid w:val="00E51B12"/>
    <w:rsid w:val="00E526A0"/>
    <w:rsid w:val="00E52968"/>
    <w:rsid w:val="00E5331D"/>
    <w:rsid w:val="00E536BF"/>
    <w:rsid w:val="00E53CD4"/>
    <w:rsid w:val="00E540D1"/>
    <w:rsid w:val="00E56333"/>
    <w:rsid w:val="00E56BFF"/>
    <w:rsid w:val="00E57319"/>
    <w:rsid w:val="00E57453"/>
    <w:rsid w:val="00E60BD8"/>
    <w:rsid w:val="00E613EB"/>
    <w:rsid w:val="00E61B64"/>
    <w:rsid w:val="00E61DBD"/>
    <w:rsid w:val="00E62EBC"/>
    <w:rsid w:val="00E63785"/>
    <w:rsid w:val="00E637DA"/>
    <w:rsid w:val="00E64E04"/>
    <w:rsid w:val="00E65AE6"/>
    <w:rsid w:val="00E668A5"/>
    <w:rsid w:val="00E677C9"/>
    <w:rsid w:val="00E67E9D"/>
    <w:rsid w:val="00E67F89"/>
    <w:rsid w:val="00E70E46"/>
    <w:rsid w:val="00E72A59"/>
    <w:rsid w:val="00E72F72"/>
    <w:rsid w:val="00E73282"/>
    <w:rsid w:val="00E7360C"/>
    <w:rsid w:val="00E73C62"/>
    <w:rsid w:val="00E73F3D"/>
    <w:rsid w:val="00E7425C"/>
    <w:rsid w:val="00E74BEE"/>
    <w:rsid w:val="00E751DF"/>
    <w:rsid w:val="00E754E5"/>
    <w:rsid w:val="00E758B6"/>
    <w:rsid w:val="00E766D6"/>
    <w:rsid w:val="00E7696A"/>
    <w:rsid w:val="00E772C1"/>
    <w:rsid w:val="00E77929"/>
    <w:rsid w:val="00E80303"/>
    <w:rsid w:val="00E80BCC"/>
    <w:rsid w:val="00E8110F"/>
    <w:rsid w:val="00E82ECE"/>
    <w:rsid w:val="00E830F6"/>
    <w:rsid w:val="00E83421"/>
    <w:rsid w:val="00E835C2"/>
    <w:rsid w:val="00E84878"/>
    <w:rsid w:val="00E8575B"/>
    <w:rsid w:val="00E862AA"/>
    <w:rsid w:val="00E86399"/>
    <w:rsid w:val="00E86ABE"/>
    <w:rsid w:val="00E90A4A"/>
    <w:rsid w:val="00E90AC0"/>
    <w:rsid w:val="00E90FDC"/>
    <w:rsid w:val="00E911A2"/>
    <w:rsid w:val="00E9143F"/>
    <w:rsid w:val="00E924B7"/>
    <w:rsid w:val="00E9262C"/>
    <w:rsid w:val="00E92A71"/>
    <w:rsid w:val="00E93893"/>
    <w:rsid w:val="00E94047"/>
    <w:rsid w:val="00E9472C"/>
    <w:rsid w:val="00E9607B"/>
    <w:rsid w:val="00E963B2"/>
    <w:rsid w:val="00E9685D"/>
    <w:rsid w:val="00E9699E"/>
    <w:rsid w:val="00E97A66"/>
    <w:rsid w:val="00EA06A8"/>
    <w:rsid w:val="00EA0AC4"/>
    <w:rsid w:val="00EA0FE0"/>
    <w:rsid w:val="00EA1642"/>
    <w:rsid w:val="00EA20EB"/>
    <w:rsid w:val="00EA2C04"/>
    <w:rsid w:val="00EA3262"/>
    <w:rsid w:val="00EA388D"/>
    <w:rsid w:val="00EA3903"/>
    <w:rsid w:val="00EA3E7F"/>
    <w:rsid w:val="00EA42AC"/>
    <w:rsid w:val="00EA575F"/>
    <w:rsid w:val="00EA62DA"/>
    <w:rsid w:val="00EA7D0B"/>
    <w:rsid w:val="00EB225F"/>
    <w:rsid w:val="00EB26F8"/>
    <w:rsid w:val="00EB2CA9"/>
    <w:rsid w:val="00EB2E56"/>
    <w:rsid w:val="00EB2EA7"/>
    <w:rsid w:val="00EB3557"/>
    <w:rsid w:val="00EB425A"/>
    <w:rsid w:val="00EB43F5"/>
    <w:rsid w:val="00EB4C61"/>
    <w:rsid w:val="00EB4EAC"/>
    <w:rsid w:val="00EB5AE5"/>
    <w:rsid w:val="00EB5EF4"/>
    <w:rsid w:val="00EB5F09"/>
    <w:rsid w:val="00EB6286"/>
    <w:rsid w:val="00EB6340"/>
    <w:rsid w:val="00EB674F"/>
    <w:rsid w:val="00EB6DAC"/>
    <w:rsid w:val="00EB7828"/>
    <w:rsid w:val="00EC0495"/>
    <w:rsid w:val="00EC1530"/>
    <w:rsid w:val="00EC1ABD"/>
    <w:rsid w:val="00EC22E1"/>
    <w:rsid w:val="00EC2769"/>
    <w:rsid w:val="00EC308B"/>
    <w:rsid w:val="00EC371D"/>
    <w:rsid w:val="00EC403B"/>
    <w:rsid w:val="00EC44E1"/>
    <w:rsid w:val="00EC4BA0"/>
    <w:rsid w:val="00EC5820"/>
    <w:rsid w:val="00EC59DD"/>
    <w:rsid w:val="00EC5EA9"/>
    <w:rsid w:val="00EC6889"/>
    <w:rsid w:val="00EC688D"/>
    <w:rsid w:val="00EC6D47"/>
    <w:rsid w:val="00EC6EDB"/>
    <w:rsid w:val="00EC72B5"/>
    <w:rsid w:val="00ED1A52"/>
    <w:rsid w:val="00ED1FF4"/>
    <w:rsid w:val="00ED206D"/>
    <w:rsid w:val="00ED22E4"/>
    <w:rsid w:val="00ED35E3"/>
    <w:rsid w:val="00ED391F"/>
    <w:rsid w:val="00ED3B68"/>
    <w:rsid w:val="00ED4F31"/>
    <w:rsid w:val="00ED5953"/>
    <w:rsid w:val="00ED6384"/>
    <w:rsid w:val="00ED63B1"/>
    <w:rsid w:val="00ED7270"/>
    <w:rsid w:val="00ED7C69"/>
    <w:rsid w:val="00EE1256"/>
    <w:rsid w:val="00EE1886"/>
    <w:rsid w:val="00EE1A7B"/>
    <w:rsid w:val="00EE37EE"/>
    <w:rsid w:val="00EE3AAB"/>
    <w:rsid w:val="00EE50FB"/>
    <w:rsid w:val="00EE719B"/>
    <w:rsid w:val="00EE75D7"/>
    <w:rsid w:val="00EF0084"/>
    <w:rsid w:val="00EF121E"/>
    <w:rsid w:val="00EF1938"/>
    <w:rsid w:val="00EF3334"/>
    <w:rsid w:val="00EF3C0D"/>
    <w:rsid w:val="00EF3CC9"/>
    <w:rsid w:val="00EF429A"/>
    <w:rsid w:val="00EF4608"/>
    <w:rsid w:val="00EF4DAA"/>
    <w:rsid w:val="00EF613E"/>
    <w:rsid w:val="00EF7620"/>
    <w:rsid w:val="00F023FF"/>
    <w:rsid w:val="00F02742"/>
    <w:rsid w:val="00F033A6"/>
    <w:rsid w:val="00F03478"/>
    <w:rsid w:val="00F037AD"/>
    <w:rsid w:val="00F05916"/>
    <w:rsid w:val="00F06419"/>
    <w:rsid w:val="00F0678F"/>
    <w:rsid w:val="00F06D5A"/>
    <w:rsid w:val="00F075CC"/>
    <w:rsid w:val="00F11183"/>
    <w:rsid w:val="00F11552"/>
    <w:rsid w:val="00F11610"/>
    <w:rsid w:val="00F11788"/>
    <w:rsid w:val="00F1249C"/>
    <w:rsid w:val="00F129A9"/>
    <w:rsid w:val="00F13261"/>
    <w:rsid w:val="00F1364A"/>
    <w:rsid w:val="00F14040"/>
    <w:rsid w:val="00F14706"/>
    <w:rsid w:val="00F149C6"/>
    <w:rsid w:val="00F15020"/>
    <w:rsid w:val="00F151DB"/>
    <w:rsid w:val="00F15DCC"/>
    <w:rsid w:val="00F16D88"/>
    <w:rsid w:val="00F17F9F"/>
    <w:rsid w:val="00F21CED"/>
    <w:rsid w:val="00F21DC2"/>
    <w:rsid w:val="00F221A7"/>
    <w:rsid w:val="00F23957"/>
    <w:rsid w:val="00F243EC"/>
    <w:rsid w:val="00F2572A"/>
    <w:rsid w:val="00F25B2D"/>
    <w:rsid w:val="00F262B9"/>
    <w:rsid w:val="00F26340"/>
    <w:rsid w:val="00F27592"/>
    <w:rsid w:val="00F300FC"/>
    <w:rsid w:val="00F30626"/>
    <w:rsid w:val="00F310A5"/>
    <w:rsid w:val="00F312EF"/>
    <w:rsid w:val="00F32255"/>
    <w:rsid w:val="00F33321"/>
    <w:rsid w:val="00F35B6C"/>
    <w:rsid w:val="00F35D37"/>
    <w:rsid w:val="00F37790"/>
    <w:rsid w:val="00F379EB"/>
    <w:rsid w:val="00F37A0B"/>
    <w:rsid w:val="00F37A40"/>
    <w:rsid w:val="00F40988"/>
    <w:rsid w:val="00F40C8D"/>
    <w:rsid w:val="00F40E5A"/>
    <w:rsid w:val="00F411B0"/>
    <w:rsid w:val="00F415F4"/>
    <w:rsid w:val="00F41871"/>
    <w:rsid w:val="00F41B7E"/>
    <w:rsid w:val="00F41C1F"/>
    <w:rsid w:val="00F41D0E"/>
    <w:rsid w:val="00F42393"/>
    <w:rsid w:val="00F43368"/>
    <w:rsid w:val="00F45866"/>
    <w:rsid w:val="00F4593F"/>
    <w:rsid w:val="00F45D59"/>
    <w:rsid w:val="00F474FC"/>
    <w:rsid w:val="00F4761F"/>
    <w:rsid w:val="00F47EC3"/>
    <w:rsid w:val="00F50657"/>
    <w:rsid w:val="00F514D8"/>
    <w:rsid w:val="00F51552"/>
    <w:rsid w:val="00F51B40"/>
    <w:rsid w:val="00F52D62"/>
    <w:rsid w:val="00F53F08"/>
    <w:rsid w:val="00F544DE"/>
    <w:rsid w:val="00F54788"/>
    <w:rsid w:val="00F54795"/>
    <w:rsid w:val="00F54E9F"/>
    <w:rsid w:val="00F55E79"/>
    <w:rsid w:val="00F56CED"/>
    <w:rsid w:val="00F573E8"/>
    <w:rsid w:val="00F57F11"/>
    <w:rsid w:val="00F601DE"/>
    <w:rsid w:val="00F602EB"/>
    <w:rsid w:val="00F60549"/>
    <w:rsid w:val="00F60A11"/>
    <w:rsid w:val="00F60CF7"/>
    <w:rsid w:val="00F6141D"/>
    <w:rsid w:val="00F61455"/>
    <w:rsid w:val="00F616BD"/>
    <w:rsid w:val="00F61764"/>
    <w:rsid w:val="00F62461"/>
    <w:rsid w:val="00F6286B"/>
    <w:rsid w:val="00F64AD6"/>
    <w:rsid w:val="00F64CAD"/>
    <w:rsid w:val="00F64CDD"/>
    <w:rsid w:val="00F64E00"/>
    <w:rsid w:val="00F65467"/>
    <w:rsid w:val="00F66B46"/>
    <w:rsid w:val="00F6730B"/>
    <w:rsid w:val="00F70CC3"/>
    <w:rsid w:val="00F7142A"/>
    <w:rsid w:val="00F7210A"/>
    <w:rsid w:val="00F72188"/>
    <w:rsid w:val="00F72553"/>
    <w:rsid w:val="00F733C7"/>
    <w:rsid w:val="00F73426"/>
    <w:rsid w:val="00F75385"/>
    <w:rsid w:val="00F754C8"/>
    <w:rsid w:val="00F75573"/>
    <w:rsid w:val="00F75A5B"/>
    <w:rsid w:val="00F75FF2"/>
    <w:rsid w:val="00F76D20"/>
    <w:rsid w:val="00F7735D"/>
    <w:rsid w:val="00F7751E"/>
    <w:rsid w:val="00F775FA"/>
    <w:rsid w:val="00F77D7D"/>
    <w:rsid w:val="00F80412"/>
    <w:rsid w:val="00F80937"/>
    <w:rsid w:val="00F81942"/>
    <w:rsid w:val="00F81D7C"/>
    <w:rsid w:val="00F81FA9"/>
    <w:rsid w:val="00F82704"/>
    <w:rsid w:val="00F82724"/>
    <w:rsid w:val="00F829A1"/>
    <w:rsid w:val="00F82D39"/>
    <w:rsid w:val="00F830F2"/>
    <w:rsid w:val="00F85369"/>
    <w:rsid w:val="00F859C6"/>
    <w:rsid w:val="00F911E9"/>
    <w:rsid w:val="00F92032"/>
    <w:rsid w:val="00F92A3B"/>
    <w:rsid w:val="00F9314D"/>
    <w:rsid w:val="00F934BD"/>
    <w:rsid w:val="00F935EC"/>
    <w:rsid w:val="00F95034"/>
    <w:rsid w:val="00F960A7"/>
    <w:rsid w:val="00F9660A"/>
    <w:rsid w:val="00F967B8"/>
    <w:rsid w:val="00F96AE6"/>
    <w:rsid w:val="00F977DE"/>
    <w:rsid w:val="00F9781E"/>
    <w:rsid w:val="00FA0544"/>
    <w:rsid w:val="00FA3F24"/>
    <w:rsid w:val="00FA4677"/>
    <w:rsid w:val="00FA6312"/>
    <w:rsid w:val="00FA6CDD"/>
    <w:rsid w:val="00FA70A6"/>
    <w:rsid w:val="00FB0372"/>
    <w:rsid w:val="00FB03D8"/>
    <w:rsid w:val="00FB0490"/>
    <w:rsid w:val="00FB0A21"/>
    <w:rsid w:val="00FB0FE6"/>
    <w:rsid w:val="00FB12E3"/>
    <w:rsid w:val="00FB1835"/>
    <w:rsid w:val="00FB19AC"/>
    <w:rsid w:val="00FB2756"/>
    <w:rsid w:val="00FB34E8"/>
    <w:rsid w:val="00FB3DE9"/>
    <w:rsid w:val="00FB4C0D"/>
    <w:rsid w:val="00FB4F46"/>
    <w:rsid w:val="00FB54FF"/>
    <w:rsid w:val="00FB5A80"/>
    <w:rsid w:val="00FB5BA4"/>
    <w:rsid w:val="00FB6762"/>
    <w:rsid w:val="00FB6B18"/>
    <w:rsid w:val="00FB7DFD"/>
    <w:rsid w:val="00FC0540"/>
    <w:rsid w:val="00FC0A7C"/>
    <w:rsid w:val="00FC12A5"/>
    <w:rsid w:val="00FC1BB3"/>
    <w:rsid w:val="00FC6B39"/>
    <w:rsid w:val="00FC73F1"/>
    <w:rsid w:val="00FC7720"/>
    <w:rsid w:val="00FD0755"/>
    <w:rsid w:val="00FD0AC4"/>
    <w:rsid w:val="00FD1841"/>
    <w:rsid w:val="00FD1A89"/>
    <w:rsid w:val="00FD1DCC"/>
    <w:rsid w:val="00FD23E7"/>
    <w:rsid w:val="00FD2DBF"/>
    <w:rsid w:val="00FD3639"/>
    <w:rsid w:val="00FD4914"/>
    <w:rsid w:val="00FD5551"/>
    <w:rsid w:val="00FD66A6"/>
    <w:rsid w:val="00FD7948"/>
    <w:rsid w:val="00FD7BB8"/>
    <w:rsid w:val="00FD7EE0"/>
    <w:rsid w:val="00FE4A7E"/>
    <w:rsid w:val="00FE4F2B"/>
    <w:rsid w:val="00FE4FCE"/>
    <w:rsid w:val="00FE55E0"/>
    <w:rsid w:val="00FE5BEE"/>
    <w:rsid w:val="00FE7565"/>
    <w:rsid w:val="00FE75DE"/>
    <w:rsid w:val="00FE7930"/>
    <w:rsid w:val="00FF020E"/>
    <w:rsid w:val="00FF0A7B"/>
    <w:rsid w:val="00FF1692"/>
    <w:rsid w:val="00FF1A50"/>
    <w:rsid w:val="00FF1D6A"/>
    <w:rsid w:val="00FF1E43"/>
    <w:rsid w:val="00FF26B3"/>
    <w:rsid w:val="00FF4638"/>
    <w:rsid w:val="00FF5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Body Text 2" w:uiPriority="99"/>
    <w:lsdException w:name="Hyperlink" w:uiPriority="99"/>
    <w:lsdException w:name="Strong"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7F8E"/>
    <w:rPr>
      <w:sz w:val="24"/>
      <w:szCs w:val="24"/>
    </w:rPr>
  </w:style>
  <w:style w:type="paragraph" w:styleId="1">
    <w:name w:val="heading 1"/>
    <w:basedOn w:val="a"/>
    <w:next w:val="a"/>
    <w:link w:val="10"/>
    <w:uiPriority w:val="99"/>
    <w:qFormat/>
    <w:rsid w:val="00BC2E25"/>
    <w:pPr>
      <w:autoSpaceDE w:val="0"/>
      <w:autoSpaceDN w:val="0"/>
      <w:adjustRightInd w:val="0"/>
      <w:spacing w:before="108" w:after="108"/>
      <w:jc w:val="center"/>
      <w:outlineLvl w:val="0"/>
    </w:pPr>
    <w:rPr>
      <w:rFonts w:ascii="Arial" w:hAnsi="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80303"/>
    <w:pPr>
      <w:tabs>
        <w:tab w:val="center" w:pos="4677"/>
        <w:tab w:val="right" w:pos="9355"/>
      </w:tabs>
    </w:pPr>
  </w:style>
  <w:style w:type="character" w:styleId="a4">
    <w:name w:val="page number"/>
    <w:basedOn w:val="a0"/>
    <w:rsid w:val="00E80303"/>
  </w:style>
  <w:style w:type="paragraph" w:customStyle="1" w:styleId="11">
    <w:name w:val="Обычный1"/>
    <w:rsid w:val="00E80303"/>
    <w:pPr>
      <w:widowControl w:val="0"/>
      <w:snapToGrid w:val="0"/>
    </w:pPr>
  </w:style>
  <w:style w:type="paragraph" w:styleId="3">
    <w:name w:val="Body Text Indent 3"/>
    <w:basedOn w:val="a"/>
    <w:rsid w:val="00E80303"/>
    <w:pPr>
      <w:ind w:firstLine="708"/>
      <w:jc w:val="both"/>
    </w:pPr>
  </w:style>
  <w:style w:type="paragraph" w:styleId="a5">
    <w:name w:val="Title"/>
    <w:basedOn w:val="a"/>
    <w:link w:val="a6"/>
    <w:uiPriority w:val="10"/>
    <w:qFormat/>
    <w:rsid w:val="00E80303"/>
    <w:pPr>
      <w:jc w:val="center"/>
    </w:pPr>
  </w:style>
  <w:style w:type="paragraph" w:customStyle="1" w:styleId="12">
    <w:name w:val="1"/>
    <w:rsid w:val="00E80303"/>
    <w:rPr>
      <w:sz w:val="24"/>
    </w:rPr>
  </w:style>
  <w:style w:type="paragraph" w:customStyle="1" w:styleId="21">
    <w:name w:val="Заголовок 21"/>
    <w:basedOn w:val="a"/>
    <w:next w:val="a"/>
    <w:rsid w:val="00E80303"/>
    <w:pPr>
      <w:keepNext/>
      <w:jc w:val="center"/>
      <w:outlineLvl w:val="1"/>
    </w:pPr>
    <w:rPr>
      <w:b/>
      <w:caps/>
      <w:sz w:val="34"/>
      <w:szCs w:val="20"/>
    </w:rPr>
  </w:style>
  <w:style w:type="paragraph" w:styleId="a7">
    <w:name w:val="Body Text"/>
    <w:aliases w:val="Основной текст Знак"/>
    <w:basedOn w:val="a"/>
    <w:link w:val="13"/>
    <w:rsid w:val="006A3F52"/>
    <w:pPr>
      <w:spacing w:after="120"/>
    </w:pPr>
  </w:style>
  <w:style w:type="table" w:styleId="a8">
    <w:name w:val="Table Grid"/>
    <w:basedOn w:val="a1"/>
    <w:uiPriority w:val="59"/>
    <w:rsid w:val="003F44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Список_без_б"/>
    <w:basedOn w:val="a"/>
    <w:rsid w:val="008E31D7"/>
    <w:pPr>
      <w:spacing w:before="40" w:after="40"/>
      <w:ind w:left="357"/>
      <w:jc w:val="both"/>
    </w:pPr>
    <w:rPr>
      <w:sz w:val="22"/>
      <w:szCs w:val="20"/>
    </w:rPr>
  </w:style>
  <w:style w:type="paragraph" w:styleId="aa">
    <w:name w:val="caption"/>
    <w:basedOn w:val="a"/>
    <w:next w:val="a"/>
    <w:qFormat/>
    <w:rsid w:val="00C627B1"/>
    <w:rPr>
      <w:b/>
      <w:bCs/>
      <w:sz w:val="20"/>
      <w:szCs w:val="20"/>
    </w:rPr>
  </w:style>
  <w:style w:type="paragraph" w:styleId="ab">
    <w:name w:val="footer"/>
    <w:basedOn w:val="a"/>
    <w:rsid w:val="0051690D"/>
    <w:pPr>
      <w:tabs>
        <w:tab w:val="center" w:pos="4677"/>
        <w:tab w:val="right" w:pos="9355"/>
      </w:tabs>
    </w:pPr>
  </w:style>
  <w:style w:type="paragraph" w:customStyle="1" w:styleId="ConsPlusTitle">
    <w:name w:val="ConsPlusTitle"/>
    <w:rsid w:val="00F92032"/>
    <w:pPr>
      <w:autoSpaceDE w:val="0"/>
      <w:autoSpaceDN w:val="0"/>
      <w:adjustRightInd w:val="0"/>
    </w:pPr>
    <w:rPr>
      <w:b/>
      <w:bCs/>
      <w:sz w:val="24"/>
      <w:szCs w:val="24"/>
    </w:rPr>
  </w:style>
  <w:style w:type="paragraph" w:customStyle="1" w:styleId="ConsNormal">
    <w:name w:val="ConsNormal"/>
    <w:rsid w:val="00EF1938"/>
    <w:pPr>
      <w:autoSpaceDE w:val="0"/>
      <w:autoSpaceDN w:val="0"/>
      <w:adjustRightInd w:val="0"/>
      <w:ind w:firstLine="720"/>
    </w:pPr>
    <w:rPr>
      <w:rFonts w:ascii="Arial" w:hAnsi="Arial" w:cs="Arial"/>
    </w:rPr>
  </w:style>
  <w:style w:type="paragraph" w:customStyle="1" w:styleId="ConsPlusNormal">
    <w:name w:val="ConsPlusNormal"/>
    <w:link w:val="ConsPlusNormal0"/>
    <w:uiPriority w:val="99"/>
    <w:rsid w:val="0058183B"/>
    <w:pPr>
      <w:widowControl w:val="0"/>
      <w:autoSpaceDE w:val="0"/>
      <w:autoSpaceDN w:val="0"/>
      <w:adjustRightInd w:val="0"/>
      <w:ind w:firstLine="720"/>
    </w:pPr>
    <w:rPr>
      <w:rFonts w:ascii="Arial" w:hAnsi="Arial" w:cs="Arial"/>
    </w:rPr>
  </w:style>
  <w:style w:type="paragraph" w:styleId="ac">
    <w:name w:val="footnote text"/>
    <w:basedOn w:val="a"/>
    <w:semiHidden/>
    <w:rsid w:val="00EB5F09"/>
    <w:rPr>
      <w:sz w:val="20"/>
      <w:szCs w:val="20"/>
    </w:rPr>
  </w:style>
  <w:style w:type="character" w:styleId="ad">
    <w:name w:val="footnote reference"/>
    <w:basedOn w:val="a0"/>
    <w:semiHidden/>
    <w:rsid w:val="00EB5F09"/>
    <w:rPr>
      <w:vertAlign w:val="superscript"/>
    </w:rPr>
  </w:style>
  <w:style w:type="character" w:customStyle="1" w:styleId="ConsPlusNormal0">
    <w:name w:val="ConsPlusNormal Знак"/>
    <w:basedOn w:val="a0"/>
    <w:link w:val="ConsPlusNormal"/>
    <w:uiPriority w:val="99"/>
    <w:rsid w:val="00A12C55"/>
    <w:rPr>
      <w:rFonts w:ascii="Arial" w:hAnsi="Arial" w:cs="Arial"/>
      <w:lang w:val="ru-RU" w:eastAsia="ru-RU" w:bidi="ar-SA"/>
    </w:rPr>
  </w:style>
  <w:style w:type="character" w:customStyle="1" w:styleId="ae">
    <w:name w:val="Не вступил в силу"/>
    <w:basedOn w:val="a0"/>
    <w:uiPriority w:val="99"/>
    <w:rsid w:val="00A12C55"/>
    <w:rPr>
      <w:b/>
      <w:bCs/>
      <w:color w:val="008080"/>
      <w:sz w:val="20"/>
      <w:szCs w:val="20"/>
    </w:rPr>
  </w:style>
  <w:style w:type="paragraph" w:styleId="af">
    <w:name w:val="No Spacing"/>
    <w:qFormat/>
    <w:rsid w:val="00C30116"/>
    <w:rPr>
      <w:sz w:val="24"/>
      <w:szCs w:val="24"/>
    </w:rPr>
  </w:style>
  <w:style w:type="paragraph" w:styleId="af0">
    <w:name w:val="List Paragraph"/>
    <w:basedOn w:val="a"/>
    <w:uiPriority w:val="34"/>
    <w:qFormat/>
    <w:rsid w:val="0022442C"/>
    <w:pPr>
      <w:spacing w:line="360" w:lineRule="auto"/>
      <w:ind w:left="720" w:firstLine="720"/>
      <w:contextualSpacing/>
    </w:pPr>
    <w:rPr>
      <w:sz w:val="28"/>
      <w:szCs w:val="20"/>
    </w:rPr>
  </w:style>
  <w:style w:type="paragraph" w:customStyle="1" w:styleId="ConsPlusNonformat">
    <w:name w:val="ConsPlusNonformat"/>
    <w:rsid w:val="0018763A"/>
    <w:pPr>
      <w:autoSpaceDE w:val="0"/>
      <w:autoSpaceDN w:val="0"/>
      <w:adjustRightInd w:val="0"/>
    </w:pPr>
    <w:rPr>
      <w:rFonts w:ascii="Courier New" w:eastAsia="Calibri" w:hAnsi="Courier New" w:cs="Courier New"/>
    </w:rPr>
  </w:style>
  <w:style w:type="paragraph" w:customStyle="1" w:styleId="af1">
    <w:name w:val="Прижатый влево"/>
    <w:basedOn w:val="a"/>
    <w:next w:val="a"/>
    <w:uiPriority w:val="99"/>
    <w:rsid w:val="009E682A"/>
    <w:pPr>
      <w:autoSpaceDE w:val="0"/>
      <w:autoSpaceDN w:val="0"/>
      <w:adjustRightInd w:val="0"/>
    </w:pPr>
    <w:rPr>
      <w:rFonts w:ascii="Arial" w:hAnsi="Arial"/>
    </w:rPr>
  </w:style>
  <w:style w:type="paragraph" w:styleId="af2">
    <w:name w:val="Body Text Indent"/>
    <w:aliases w:val="Основной текст 1"/>
    <w:basedOn w:val="a"/>
    <w:link w:val="af3"/>
    <w:rsid w:val="005B2773"/>
    <w:pPr>
      <w:spacing w:after="120"/>
      <w:ind w:left="283"/>
    </w:pPr>
  </w:style>
  <w:style w:type="character" w:customStyle="1" w:styleId="13">
    <w:name w:val="Основной текст Знак1"/>
    <w:aliases w:val="Основной текст Знак Знак"/>
    <w:basedOn w:val="a0"/>
    <w:link w:val="a7"/>
    <w:rsid w:val="0076231C"/>
    <w:rPr>
      <w:sz w:val="24"/>
      <w:szCs w:val="24"/>
      <w:lang w:val="ru-RU" w:eastAsia="ru-RU" w:bidi="ar-SA"/>
    </w:rPr>
  </w:style>
  <w:style w:type="paragraph" w:styleId="af4">
    <w:name w:val="Normal (Web)"/>
    <w:basedOn w:val="a"/>
    <w:uiPriority w:val="99"/>
    <w:unhideWhenUsed/>
    <w:rsid w:val="0076231C"/>
    <w:pPr>
      <w:spacing w:before="100" w:beforeAutospacing="1" w:after="100" w:afterAutospacing="1"/>
    </w:pPr>
  </w:style>
  <w:style w:type="paragraph" w:styleId="2">
    <w:name w:val="Body Text 2"/>
    <w:basedOn w:val="a"/>
    <w:link w:val="20"/>
    <w:uiPriority w:val="99"/>
    <w:rsid w:val="0076231C"/>
    <w:pPr>
      <w:spacing w:after="120" w:line="480" w:lineRule="auto"/>
    </w:pPr>
  </w:style>
  <w:style w:type="character" w:customStyle="1" w:styleId="14">
    <w:name w:val="Основной текст Знак Знак Знак1"/>
    <w:basedOn w:val="a0"/>
    <w:semiHidden/>
    <w:locked/>
    <w:rsid w:val="00471945"/>
    <w:rPr>
      <w:sz w:val="24"/>
      <w:szCs w:val="24"/>
      <w:lang w:val="ru-RU" w:eastAsia="ru-RU" w:bidi="ar-SA"/>
    </w:rPr>
  </w:style>
  <w:style w:type="character" w:customStyle="1" w:styleId="af5">
    <w:name w:val="Гипертекстовая ссылка"/>
    <w:basedOn w:val="a0"/>
    <w:uiPriority w:val="99"/>
    <w:rsid w:val="000265EB"/>
    <w:rPr>
      <w:color w:val="008000"/>
    </w:rPr>
  </w:style>
  <w:style w:type="paragraph" w:customStyle="1" w:styleId="ConsPlusCell">
    <w:name w:val="ConsPlusCell"/>
    <w:uiPriority w:val="99"/>
    <w:rsid w:val="000265EB"/>
    <w:pPr>
      <w:autoSpaceDE w:val="0"/>
      <w:autoSpaceDN w:val="0"/>
      <w:adjustRightInd w:val="0"/>
    </w:pPr>
    <w:rPr>
      <w:sz w:val="24"/>
      <w:szCs w:val="24"/>
    </w:rPr>
  </w:style>
  <w:style w:type="character" w:customStyle="1" w:styleId="20">
    <w:name w:val="Основной текст 2 Знак"/>
    <w:basedOn w:val="a0"/>
    <w:link w:val="2"/>
    <w:uiPriority w:val="99"/>
    <w:rsid w:val="008274FA"/>
    <w:rPr>
      <w:sz w:val="24"/>
      <w:szCs w:val="24"/>
    </w:rPr>
  </w:style>
  <w:style w:type="character" w:customStyle="1" w:styleId="FontStyle25">
    <w:name w:val="Font Style25"/>
    <w:basedOn w:val="a0"/>
    <w:rsid w:val="00594000"/>
    <w:rPr>
      <w:rFonts w:ascii="Times New Roman" w:hAnsi="Times New Roman" w:cs="Times New Roman"/>
      <w:sz w:val="26"/>
      <w:szCs w:val="26"/>
    </w:rPr>
  </w:style>
  <w:style w:type="paragraph" w:customStyle="1" w:styleId="Style9">
    <w:name w:val="Style9"/>
    <w:basedOn w:val="a"/>
    <w:rsid w:val="00594000"/>
    <w:pPr>
      <w:widowControl w:val="0"/>
      <w:autoSpaceDE w:val="0"/>
      <w:autoSpaceDN w:val="0"/>
      <w:adjustRightInd w:val="0"/>
      <w:jc w:val="center"/>
    </w:pPr>
  </w:style>
  <w:style w:type="character" w:customStyle="1" w:styleId="FontStyle28">
    <w:name w:val="Font Style28"/>
    <w:basedOn w:val="a0"/>
    <w:rsid w:val="00594000"/>
    <w:rPr>
      <w:rFonts w:ascii="Times New Roman" w:hAnsi="Times New Roman" w:cs="Times New Roman"/>
      <w:b/>
      <w:bCs/>
      <w:sz w:val="26"/>
      <w:szCs w:val="26"/>
    </w:rPr>
  </w:style>
  <w:style w:type="character" w:customStyle="1" w:styleId="FontStyle13">
    <w:name w:val="Font Style13"/>
    <w:basedOn w:val="a0"/>
    <w:uiPriority w:val="99"/>
    <w:rsid w:val="002C73E7"/>
    <w:rPr>
      <w:rFonts w:ascii="Times New Roman" w:hAnsi="Times New Roman" w:cs="Times New Roman"/>
      <w:sz w:val="26"/>
      <w:szCs w:val="26"/>
    </w:rPr>
  </w:style>
  <w:style w:type="character" w:customStyle="1" w:styleId="CharAttribute2">
    <w:name w:val="CharAttribute2"/>
    <w:uiPriority w:val="99"/>
    <w:rsid w:val="0032674F"/>
    <w:rPr>
      <w:rFonts w:ascii="Times New Roman" w:eastAsia="Times New Roman"/>
      <w:sz w:val="24"/>
    </w:rPr>
  </w:style>
  <w:style w:type="character" w:customStyle="1" w:styleId="CharAttribute14">
    <w:name w:val="CharAttribute14"/>
    <w:uiPriority w:val="99"/>
    <w:rsid w:val="0032674F"/>
    <w:rPr>
      <w:rFonts w:ascii="Times New Roman" w:eastAsia="Times New Roman"/>
      <w:i/>
      <w:sz w:val="24"/>
      <w:u w:val="single"/>
    </w:rPr>
  </w:style>
  <w:style w:type="paragraph" w:customStyle="1" w:styleId="ParaAttribute2">
    <w:name w:val="ParaAttribute2"/>
    <w:uiPriority w:val="99"/>
    <w:rsid w:val="0032674F"/>
    <w:pPr>
      <w:jc w:val="center"/>
    </w:pPr>
  </w:style>
  <w:style w:type="character" w:customStyle="1" w:styleId="CharAttribute8">
    <w:name w:val="CharAttribute8"/>
    <w:uiPriority w:val="99"/>
    <w:rsid w:val="0032674F"/>
    <w:rPr>
      <w:rFonts w:ascii="Times New Roman" w:eastAsia="Times New Roman"/>
      <w:b/>
      <w:i/>
      <w:sz w:val="24"/>
    </w:rPr>
  </w:style>
  <w:style w:type="paragraph" w:styleId="af6">
    <w:name w:val="Balloon Text"/>
    <w:basedOn w:val="a"/>
    <w:link w:val="af7"/>
    <w:rsid w:val="00C46A9E"/>
    <w:rPr>
      <w:rFonts w:ascii="Tahoma" w:hAnsi="Tahoma" w:cs="Tahoma"/>
      <w:sz w:val="16"/>
      <w:szCs w:val="16"/>
    </w:rPr>
  </w:style>
  <w:style w:type="character" w:customStyle="1" w:styleId="af7">
    <w:name w:val="Текст выноски Знак"/>
    <w:basedOn w:val="a0"/>
    <w:link w:val="af6"/>
    <w:rsid w:val="00C46A9E"/>
    <w:rPr>
      <w:rFonts w:ascii="Tahoma" w:hAnsi="Tahoma" w:cs="Tahoma"/>
      <w:sz w:val="16"/>
      <w:szCs w:val="16"/>
    </w:rPr>
  </w:style>
  <w:style w:type="character" w:customStyle="1" w:styleId="af3">
    <w:name w:val="Основной текст с отступом Знак"/>
    <w:aliases w:val="Основной текст 1 Знак"/>
    <w:link w:val="af2"/>
    <w:rsid w:val="00AA238A"/>
    <w:rPr>
      <w:sz w:val="24"/>
      <w:szCs w:val="24"/>
    </w:rPr>
  </w:style>
  <w:style w:type="paragraph" w:customStyle="1" w:styleId="Style6">
    <w:name w:val="Style6"/>
    <w:basedOn w:val="a"/>
    <w:uiPriority w:val="99"/>
    <w:rsid w:val="00AA238A"/>
    <w:pPr>
      <w:widowControl w:val="0"/>
      <w:autoSpaceDE w:val="0"/>
      <w:autoSpaceDN w:val="0"/>
      <w:adjustRightInd w:val="0"/>
      <w:spacing w:line="670" w:lineRule="exact"/>
      <w:ind w:firstLine="1440"/>
      <w:jc w:val="both"/>
    </w:pPr>
  </w:style>
  <w:style w:type="character" w:customStyle="1" w:styleId="a6">
    <w:name w:val="Название Знак"/>
    <w:basedOn w:val="a0"/>
    <w:link w:val="a5"/>
    <w:uiPriority w:val="10"/>
    <w:locked/>
    <w:rsid w:val="002A108F"/>
    <w:rPr>
      <w:sz w:val="24"/>
      <w:szCs w:val="24"/>
    </w:rPr>
  </w:style>
  <w:style w:type="paragraph" w:customStyle="1" w:styleId="ConsNonformat">
    <w:name w:val="ConsNonformat"/>
    <w:uiPriority w:val="99"/>
    <w:rsid w:val="005F1C02"/>
    <w:pPr>
      <w:widowControl w:val="0"/>
      <w:autoSpaceDE w:val="0"/>
      <w:autoSpaceDN w:val="0"/>
      <w:adjustRightInd w:val="0"/>
    </w:pPr>
    <w:rPr>
      <w:rFonts w:ascii="Courier New" w:hAnsi="Courier New"/>
    </w:rPr>
  </w:style>
  <w:style w:type="character" w:styleId="af8">
    <w:name w:val="Emphasis"/>
    <w:basedOn w:val="a0"/>
    <w:uiPriority w:val="20"/>
    <w:qFormat/>
    <w:rsid w:val="005F1C02"/>
    <w:rPr>
      <w:i/>
      <w:iCs/>
    </w:rPr>
  </w:style>
  <w:style w:type="character" w:customStyle="1" w:styleId="10">
    <w:name w:val="Заголовок 1 Знак"/>
    <w:basedOn w:val="a0"/>
    <w:link w:val="1"/>
    <w:uiPriority w:val="99"/>
    <w:rsid w:val="00BB0CDC"/>
    <w:rPr>
      <w:rFonts w:ascii="Arial" w:hAnsi="Arial"/>
      <w:b/>
      <w:bCs/>
      <w:color w:val="000080"/>
      <w:sz w:val="22"/>
      <w:szCs w:val="22"/>
    </w:rPr>
  </w:style>
  <w:style w:type="character" w:styleId="af9">
    <w:name w:val="Strong"/>
    <w:basedOn w:val="a0"/>
    <w:qFormat/>
    <w:rsid w:val="00BB0CDC"/>
    <w:rPr>
      <w:rFonts w:cs="Times New Roman"/>
      <w:b/>
      <w:bCs/>
    </w:rPr>
  </w:style>
  <w:style w:type="character" w:styleId="afa">
    <w:name w:val="Hyperlink"/>
    <w:basedOn w:val="a0"/>
    <w:uiPriority w:val="99"/>
    <w:rsid w:val="00BB0CDC"/>
    <w:rPr>
      <w:rFonts w:cs="Times New Roman"/>
      <w:color w:val="0000FF"/>
      <w:u w:val="single"/>
    </w:rPr>
  </w:style>
  <w:style w:type="paragraph" w:customStyle="1" w:styleId="Style5">
    <w:name w:val="Style5"/>
    <w:basedOn w:val="a"/>
    <w:uiPriority w:val="99"/>
    <w:rsid w:val="00A31A18"/>
    <w:pPr>
      <w:widowControl w:val="0"/>
      <w:autoSpaceDE w:val="0"/>
      <w:autoSpaceDN w:val="0"/>
      <w:adjustRightInd w:val="0"/>
      <w:spacing w:line="348" w:lineRule="exact"/>
      <w:ind w:firstLine="701"/>
    </w:pPr>
  </w:style>
  <w:style w:type="paragraph" w:customStyle="1" w:styleId="Default">
    <w:name w:val="Default"/>
    <w:rsid w:val="00453858"/>
    <w:pPr>
      <w:autoSpaceDE w:val="0"/>
      <w:autoSpaceDN w:val="0"/>
      <w:adjustRightInd w:val="0"/>
    </w:pPr>
    <w:rPr>
      <w:rFonts w:eastAsiaTheme="minorHAnsi"/>
      <w:color w:val="000000"/>
      <w:sz w:val="24"/>
      <w:szCs w:val="24"/>
      <w:lang w:eastAsia="en-US"/>
    </w:rPr>
  </w:style>
  <w:style w:type="paragraph" w:customStyle="1" w:styleId="p5">
    <w:name w:val="p5"/>
    <w:basedOn w:val="a"/>
    <w:rsid w:val="00D0511D"/>
    <w:pPr>
      <w:spacing w:before="100" w:beforeAutospacing="1" w:after="100" w:afterAutospacing="1"/>
    </w:pPr>
  </w:style>
  <w:style w:type="paragraph" w:customStyle="1" w:styleId="Style20">
    <w:name w:val="Style20"/>
    <w:basedOn w:val="a"/>
    <w:uiPriority w:val="99"/>
    <w:rsid w:val="00CD1B94"/>
    <w:pPr>
      <w:widowControl w:val="0"/>
      <w:autoSpaceDE w:val="0"/>
      <w:autoSpaceDN w:val="0"/>
      <w:adjustRightInd w:val="0"/>
      <w:jc w:val="right"/>
    </w:pPr>
    <w:rPr>
      <w:rFonts w:eastAsiaTheme="minorEastAsia"/>
    </w:rPr>
  </w:style>
</w:styles>
</file>

<file path=word/webSettings.xml><?xml version="1.0" encoding="utf-8"?>
<w:webSettings xmlns:r="http://schemas.openxmlformats.org/officeDocument/2006/relationships" xmlns:w="http://schemas.openxmlformats.org/wordprocessingml/2006/main">
  <w:divs>
    <w:div w:id="143158245">
      <w:bodyDiv w:val="1"/>
      <w:marLeft w:val="0"/>
      <w:marRight w:val="0"/>
      <w:marTop w:val="0"/>
      <w:marBottom w:val="0"/>
      <w:divBdr>
        <w:top w:val="none" w:sz="0" w:space="0" w:color="auto"/>
        <w:left w:val="none" w:sz="0" w:space="0" w:color="auto"/>
        <w:bottom w:val="none" w:sz="0" w:space="0" w:color="auto"/>
        <w:right w:val="none" w:sz="0" w:space="0" w:color="auto"/>
      </w:divBdr>
    </w:div>
    <w:div w:id="985477675">
      <w:bodyDiv w:val="1"/>
      <w:marLeft w:val="0"/>
      <w:marRight w:val="0"/>
      <w:marTop w:val="0"/>
      <w:marBottom w:val="0"/>
      <w:divBdr>
        <w:top w:val="none" w:sz="0" w:space="0" w:color="auto"/>
        <w:left w:val="none" w:sz="0" w:space="0" w:color="auto"/>
        <w:bottom w:val="none" w:sz="0" w:space="0" w:color="auto"/>
        <w:right w:val="none" w:sz="0" w:space="0" w:color="auto"/>
      </w:divBdr>
    </w:div>
    <w:div w:id="1016078794">
      <w:bodyDiv w:val="1"/>
      <w:marLeft w:val="0"/>
      <w:marRight w:val="0"/>
      <w:marTop w:val="0"/>
      <w:marBottom w:val="0"/>
      <w:divBdr>
        <w:top w:val="none" w:sz="0" w:space="0" w:color="auto"/>
        <w:left w:val="none" w:sz="0" w:space="0" w:color="auto"/>
        <w:bottom w:val="none" w:sz="0" w:space="0" w:color="auto"/>
        <w:right w:val="none" w:sz="0" w:space="0" w:color="auto"/>
      </w:divBdr>
    </w:div>
    <w:div w:id="1114321799">
      <w:bodyDiv w:val="1"/>
      <w:marLeft w:val="0"/>
      <w:marRight w:val="0"/>
      <w:marTop w:val="0"/>
      <w:marBottom w:val="0"/>
      <w:divBdr>
        <w:top w:val="none" w:sz="0" w:space="0" w:color="auto"/>
        <w:left w:val="none" w:sz="0" w:space="0" w:color="auto"/>
        <w:bottom w:val="none" w:sz="0" w:space="0" w:color="auto"/>
        <w:right w:val="none" w:sz="0" w:space="0" w:color="auto"/>
      </w:divBdr>
    </w:div>
    <w:div w:id="1642273403">
      <w:bodyDiv w:val="1"/>
      <w:marLeft w:val="0"/>
      <w:marRight w:val="0"/>
      <w:marTop w:val="0"/>
      <w:marBottom w:val="0"/>
      <w:divBdr>
        <w:top w:val="none" w:sz="0" w:space="0" w:color="auto"/>
        <w:left w:val="none" w:sz="0" w:space="0" w:color="auto"/>
        <w:bottom w:val="none" w:sz="0" w:space="0" w:color="auto"/>
        <w:right w:val="none" w:sz="0" w:space="0" w:color="auto"/>
      </w:divBdr>
    </w:div>
    <w:div w:id="207253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kremlin.ru/events/president/news/5597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remlin.ru/events/president/news/5597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garantF1://70308460.100200" TargetMode="External"/><Relationship Id="rId4" Type="http://schemas.openxmlformats.org/officeDocument/2006/relationships/webSettings" Target="webSettings.xml"/><Relationship Id="rId9" Type="http://schemas.openxmlformats.org/officeDocument/2006/relationships/hyperlink" Target="garantF1://20049183.0" TargetMode="Externa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D:\&#1073;&#1102;&#1076;&#1078;&#1077;&#1090;%202018\&#1087;&#1088;&#1086;&#1085;&#1086;&#1079;%20&#1057;&#1069;&#1056;%202018\&#1076;&#1080;&#1085;&#1072;&#1084;&#1080;&#1082;&#1072;%20&#1087;&#1088;&#1080;&#1073;&#1099;&#1083;&#1080;.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0595638923871321"/>
          <c:y val="5.0925925925925999E-2"/>
          <c:w val="0.72670595185205078"/>
          <c:h val="0.83824074074074051"/>
        </c:manualLayout>
      </c:layout>
      <c:bar3DChart>
        <c:barDir val="bar"/>
        <c:grouping val="clustered"/>
        <c:ser>
          <c:idx val="0"/>
          <c:order val="0"/>
          <c:tx>
            <c:strRef>
              <c:f>'Лист1 (3)'!$B$5</c:f>
              <c:strCache>
                <c:ptCount val="1"/>
                <c:pt idx="0">
                  <c:v>Налоговая база</c:v>
                </c:pt>
              </c:strCache>
            </c:strRef>
          </c:tx>
          <c:dLbls>
            <c:dLbl>
              <c:idx val="2"/>
              <c:layout>
                <c:manualLayout>
                  <c:x val="1.0360129522828795E-2"/>
                  <c:y val="0"/>
                </c:manualLayout>
              </c:layout>
              <c:showVal val="1"/>
            </c:dLbl>
            <c:dLbl>
              <c:idx val="5"/>
              <c:layout>
                <c:manualLayout>
                  <c:x val="3.0491411126322416E-3"/>
                  <c:y val="-9.2592592592593333E-3"/>
                </c:manualLayout>
              </c:layout>
              <c:showVal val="1"/>
            </c:dLbl>
            <c:spPr>
              <a:effectLst>
                <a:outerShdw blurRad="50800" dist="50800" dir="5400000" algn="ctr" rotWithShape="0">
                  <a:schemeClr val="accent3">
                    <a:lumMod val="40000"/>
                    <a:lumOff val="60000"/>
                  </a:schemeClr>
                </a:outerShdw>
              </a:effectLst>
            </c:spPr>
            <c:txPr>
              <a:bodyPr/>
              <a:lstStyle/>
              <a:p>
                <a:pPr>
                  <a:defRPr sz="800" b="1">
                    <a:latin typeface="Times New Roman" pitchFamily="18" charset="0"/>
                    <a:cs typeface="Times New Roman" pitchFamily="18" charset="0"/>
                  </a:defRPr>
                </a:pPr>
                <a:endParaRPr lang="ru-RU"/>
              </a:p>
            </c:txPr>
            <c:showVal val="1"/>
          </c:dLbls>
          <c:cat>
            <c:strRef>
              <c:f>'Лист1 (3)'!$A$6:$A$11</c:f>
              <c:strCache>
                <c:ptCount val="6"/>
                <c:pt idx="0">
                  <c:v>на 01.07.15</c:v>
                </c:pt>
                <c:pt idx="1">
                  <c:v>на 01.07.16</c:v>
                </c:pt>
                <c:pt idx="2">
                  <c:v>на 01.07.17</c:v>
                </c:pt>
                <c:pt idx="4">
                  <c:v>на 01.01.16</c:v>
                </c:pt>
                <c:pt idx="5">
                  <c:v>на 01.01.17</c:v>
                </c:pt>
              </c:strCache>
            </c:strRef>
          </c:cat>
          <c:val>
            <c:numRef>
              <c:f>'Лист1 (3)'!$B$6:$B$11</c:f>
              <c:numCache>
                <c:formatCode>0.0</c:formatCode>
                <c:ptCount val="6"/>
                <c:pt idx="0">
                  <c:v>31395.3</c:v>
                </c:pt>
                <c:pt idx="1">
                  <c:v>30568.9</c:v>
                </c:pt>
                <c:pt idx="2">
                  <c:v>19974.400000000001</c:v>
                </c:pt>
                <c:pt idx="4">
                  <c:v>60456.5</c:v>
                </c:pt>
                <c:pt idx="5">
                  <c:v>52727.1</c:v>
                </c:pt>
              </c:numCache>
            </c:numRef>
          </c:val>
        </c:ser>
        <c:ser>
          <c:idx val="1"/>
          <c:order val="1"/>
          <c:tx>
            <c:strRef>
              <c:f>'Лист1 (3)'!$C$5</c:f>
              <c:strCache>
                <c:ptCount val="1"/>
                <c:pt idx="0">
                  <c:v>Налоговая база для исчисления налога (за исключением убытка, уменьшающего налоговую базу)</c:v>
                </c:pt>
              </c:strCache>
            </c:strRef>
          </c:tx>
          <c:spPr>
            <a:solidFill>
              <a:srgbClr val="FFFF00"/>
            </a:solidFill>
            <a:ln>
              <a:solidFill>
                <a:schemeClr val="tx1"/>
              </a:solidFill>
            </a:ln>
          </c:spPr>
          <c:dLbls>
            <c:dLbl>
              <c:idx val="0"/>
              <c:layout>
                <c:manualLayout>
                  <c:x val="2.7777777777778078E-3"/>
                  <c:y val="-2.3148148148148147E-2"/>
                </c:manualLayout>
              </c:layout>
              <c:showVal val="1"/>
            </c:dLbl>
            <c:dLbl>
              <c:idx val="1"/>
              <c:layout>
                <c:manualLayout>
                  <c:x val="2.7777777777778078E-3"/>
                  <c:y val="-1.8518518518518514E-2"/>
                </c:manualLayout>
              </c:layout>
              <c:showVal val="1"/>
            </c:dLbl>
            <c:dLbl>
              <c:idx val="2"/>
              <c:layout>
                <c:manualLayout>
                  <c:x val="1.2477348433344434E-2"/>
                  <c:y val="-2.7777777777778002E-2"/>
                </c:manualLayout>
              </c:layout>
              <c:showVal val="1"/>
            </c:dLbl>
            <c:dLbl>
              <c:idx val="4"/>
              <c:layout>
                <c:manualLayout>
                  <c:x val="2.2882670962123392E-2"/>
                  <c:y val="-3.2407407407407593E-2"/>
                </c:manualLayout>
              </c:layout>
              <c:showVal val="1"/>
            </c:dLbl>
            <c:dLbl>
              <c:idx val="5"/>
              <c:layout>
                <c:manualLayout>
                  <c:x val="-1.4504181331960325E-2"/>
                  <c:y val="-5.0925925925925999E-2"/>
                </c:manualLayout>
              </c:layout>
              <c:showVal val="1"/>
            </c:dLbl>
            <c:numFmt formatCode="#,##0.0" sourceLinked="0"/>
            <c:txPr>
              <a:bodyPr/>
              <a:lstStyle/>
              <a:p>
                <a:pPr>
                  <a:defRPr sz="800" b="1">
                    <a:latin typeface="Times New Roman" pitchFamily="18" charset="0"/>
                    <a:cs typeface="Times New Roman" pitchFamily="18" charset="0"/>
                  </a:defRPr>
                </a:pPr>
                <a:endParaRPr lang="ru-RU"/>
              </a:p>
            </c:txPr>
            <c:showVal val="1"/>
          </c:dLbls>
          <c:cat>
            <c:strRef>
              <c:f>'Лист1 (3)'!$A$6:$A$11</c:f>
              <c:strCache>
                <c:ptCount val="6"/>
                <c:pt idx="0">
                  <c:v>на 01.07.15</c:v>
                </c:pt>
                <c:pt idx="1">
                  <c:v>на 01.07.16</c:v>
                </c:pt>
                <c:pt idx="2">
                  <c:v>на 01.07.17</c:v>
                </c:pt>
                <c:pt idx="4">
                  <c:v>на 01.01.16</c:v>
                </c:pt>
                <c:pt idx="5">
                  <c:v>на 01.01.17</c:v>
                </c:pt>
              </c:strCache>
            </c:strRef>
          </c:cat>
          <c:val>
            <c:numRef>
              <c:f>'Лист1 (3)'!$C$6:$C$11</c:f>
              <c:numCache>
                <c:formatCode>0.0</c:formatCode>
                <c:ptCount val="6"/>
                <c:pt idx="0">
                  <c:v>26484.2</c:v>
                </c:pt>
                <c:pt idx="1">
                  <c:v>21112</c:v>
                </c:pt>
                <c:pt idx="2">
                  <c:v>18737.599999999929</c:v>
                </c:pt>
                <c:pt idx="4">
                  <c:v>57732.1</c:v>
                </c:pt>
                <c:pt idx="5">
                  <c:v>43987.8</c:v>
                </c:pt>
              </c:numCache>
            </c:numRef>
          </c:val>
        </c:ser>
        <c:shape val="box"/>
        <c:axId val="73201920"/>
        <c:axId val="73234304"/>
        <c:axId val="0"/>
      </c:bar3DChart>
      <c:catAx>
        <c:axId val="73201920"/>
        <c:scaling>
          <c:orientation val="minMax"/>
        </c:scaling>
        <c:axPos val="l"/>
        <c:tickLblPos val="nextTo"/>
        <c:txPr>
          <a:bodyPr/>
          <a:lstStyle/>
          <a:p>
            <a:pPr>
              <a:defRPr sz="850">
                <a:latin typeface="Times New Roman" pitchFamily="18" charset="0"/>
                <a:cs typeface="Times New Roman" pitchFamily="18" charset="0"/>
              </a:defRPr>
            </a:pPr>
            <a:endParaRPr lang="ru-RU"/>
          </a:p>
        </c:txPr>
        <c:crossAx val="73234304"/>
        <c:crosses val="autoZero"/>
        <c:auto val="1"/>
        <c:lblAlgn val="ctr"/>
        <c:lblOffset val="100"/>
      </c:catAx>
      <c:valAx>
        <c:axId val="73234304"/>
        <c:scaling>
          <c:orientation val="minMax"/>
        </c:scaling>
        <c:axPos val="b"/>
        <c:majorGridlines/>
        <c:numFmt formatCode="0" sourceLinked="0"/>
        <c:tickLblPos val="nextTo"/>
        <c:txPr>
          <a:bodyPr/>
          <a:lstStyle/>
          <a:p>
            <a:pPr>
              <a:defRPr sz="800">
                <a:latin typeface="Times New Roman" pitchFamily="18" charset="0"/>
                <a:cs typeface="Times New Roman" pitchFamily="18" charset="0"/>
              </a:defRPr>
            </a:pPr>
            <a:endParaRPr lang="ru-RU"/>
          </a:p>
        </c:txPr>
        <c:crossAx val="73201920"/>
        <c:crosses val="autoZero"/>
        <c:crossBetween val="between"/>
      </c:valAx>
    </c:plotArea>
    <c:legend>
      <c:legendPos val="r"/>
      <c:layout>
        <c:manualLayout>
          <c:xMode val="edge"/>
          <c:yMode val="edge"/>
          <c:x val="0.86478393961733568"/>
          <c:y val="3.8216032400155198E-2"/>
          <c:w val="0.12278394287211494"/>
          <c:h val="0.93879735017203525"/>
        </c:manualLayout>
      </c:layout>
      <c:txPr>
        <a:bodyPr/>
        <a:lstStyle/>
        <a:p>
          <a:pPr>
            <a:defRPr sz="800">
              <a:latin typeface="Times New Roman" pitchFamily="18" charset="0"/>
              <a:cs typeface="Times New Roman" pitchFamily="18" charset="0"/>
            </a:defRPr>
          </a:pPr>
          <a:endParaRPr lang="ru-RU"/>
        </a:p>
      </c:txPr>
    </c:legend>
    <c:plotVisOnly val="1"/>
  </c:chart>
  <c:spPr>
    <a:gradFill>
      <a:gsLst>
        <a:gs pos="100000">
          <a:schemeClr val="accent6">
            <a:lumMod val="20000"/>
            <a:lumOff val="80000"/>
          </a:schemeClr>
        </a:gs>
        <a:gs pos="64999">
          <a:srgbClr val="F0EBD5"/>
        </a:gs>
        <a:gs pos="100000">
          <a:srgbClr val="D1C39F"/>
        </a:gs>
      </a:gsLst>
      <a:lin ang="5400000" scaled="0"/>
    </a:gradFill>
    <a:ln>
      <a:solidFill>
        <a:sysClr val="windowText" lastClr="000000"/>
      </a:solidFill>
    </a:ln>
    <a:scene3d>
      <a:camera prst="orthographicFront"/>
      <a:lightRig rig="threePt" dir="t"/>
    </a:scene3d>
    <a:sp3d>
      <a:bevelT w="101600" prst="relaxedInset"/>
    </a:sp3d>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2278799459113755"/>
          <c:y val="5.5631038962666517E-2"/>
          <c:w val="0.84166118337637663"/>
          <c:h val="0.73748570886235942"/>
        </c:manualLayout>
      </c:layout>
      <c:barChart>
        <c:barDir val="bar"/>
        <c:grouping val="stacked"/>
        <c:ser>
          <c:idx val="0"/>
          <c:order val="0"/>
          <c:tx>
            <c:strRef>
              <c:f>Лист1!$B$1</c:f>
              <c:strCache>
                <c:ptCount val="1"/>
                <c:pt idx="0">
                  <c:v>Дотации</c:v>
                </c:pt>
              </c:strCache>
            </c:strRef>
          </c:tx>
          <c:spPr>
            <a:gradFill flip="none" rotWithShape="1">
              <a:gsLst>
                <a:gs pos="0">
                  <a:srgbClr val="DDEBCF"/>
                </a:gs>
                <a:gs pos="50000">
                  <a:srgbClr val="9CB86E"/>
                </a:gs>
                <a:gs pos="100000">
                  <a:srgbClr val="156B13"/>
                </a:gs>
              </a:gsLst>
              <a:lin ang="5400000" scaled="0"/>
              <a:tileRect r="-100000" b="-100000"/>
            </a:gradFill>
            <a:ln>
              <a:noFill/>
            </a:ln>
            <a:effectLst/>
            <a:scene3d>
              <a:camera prst="orthographicFront"/>
              <a:lightRig rig="threePt" dir="t">
                <a:rot lat="0" lon="0" rev="1200000"/>
              </a:lightRig>
            </a:scene3d>
            <a:sp3d>
              <a:bevelT w="88900" h="63500"/>
              <a:bevelB w="88900" h="63500" prst="artDeco"/>
            </a:sp3d>
          </c:spPr>
          <c:dLbls>
            <c:numFmt formatCode="#,##0.0" sourceLinked="0"/>
            <c:txPr>
              <a:bodyPr/>
              <a:lstStyle/>
              <a:p>
                <a:pPr>
                  <a:defRPr sz="1000" b="1"/>
                </a:pPr>
                <a:endParaRPr lang="ru-RU"/>
              </a:p>
            </c:txPr>
            <c:dLblPos val="ctr"/>
            <c:showVal val="1"/>
          </c:dLbls>
          <c:cat>
            <c:strRef>
              <c:f>Лист1!$A$2:$A$4</c:f>
              <c:strCache>
                <c:ptCount val="3"/>
                <c:pt idx="0">
                  <c:v>2016 год факт</c:v>
                </c:pt>
                <c:pt idx="1">
                  <c:v>2017 год план</c:v>
                </c:pt>
                <c:pt idx="2">
                  <c:v>2018 год проект</c:v>
                </c:pt>
              </c:strCache>
            </c:strRef>
          </c:cat>
          <c:val>
            <c:numRef>
              <c:f>Лист1!$B$2:$B$4</c:f>
              <c:numCache>
                <c:formatCode>0.0</c:formatCode>
                <c:ptCount val="3"/>
                <c:pt idx="0" formatCode="General">
                  <c:v>1938.5</c:v>
                </c:pt>
                <c:pt idx="1">
                  <c:v>2052.1999999999998</c:v>
                </c:pt>
                <c:pt idx="2" formatCode="General">
                  <c:v>1946.4</c:v>
                </c:pt>
              </c:numCache>
            </c:numRef>
          </c:val>
        </c:ser>
        <c:ser>
          <c:idx val="1"/>
          <c:order val="1"/>
          <c:tx>
            <c:strRef>
              <c:f>Лист1!$C$1</c:f>
              <c:strCache>
                <c:ptCount val="1"/>
                <c:pt idx="0">
                  <c:v>Субвенции</c:v>
                </c:pt>
              </c:strCache>
            </c:strRef>
          </c:tx>
          <c:spPr>
            <a:gradFill flip="none" rotWithShape="1">
              <a:gsLst>
                <a:gs pos="0">
                  <a:schemeClr val="tx2">
                    <a:lumMod val="20000"/>
                    <a:lumOff val="80000"/>
                  </a:schemeClr>
                </a:gs>
                <a:gs pos="25000">
                  <a:srgbClr val="21D6E0"/>
                </a:gs>
                <a:gs pos="75000">
                  <a:srgbClr val="0087E6"/>
                </a:gs>
                <a:gs pos="100000">
                  <a:srgbClr val="005CBF"/>
                </a:gs>
              </a:gsLst>
              <a:lin ang="5400000" scaled="1"/>
              <a:tileRect/>
            </a:gradFill>
            <a:effectLst/>
            <a:scene3d>
              <a:camera prst="orthographicFront"/>
              <a:lightRig rig="threePt" dir="t"/>
            </a:scene3d>
            <a:sp3d>
              <a:bevelT/>
              <a:bevelB w="114300" prst="artDeco"/>
            </a:sp3d>
          </c:spPr>
          <c:dLbls>
            <c:numFmt formatCode="#,##0.0" sourceLinked="0"/>
            <c:txPr>
              <a:bodyPr/>
              <a:lstStyle/>
              <a:p>
                <a:pPr>
                  <a:defRPr sz="1000" b="1"/>
                </a:pPr>
                <a:endParaRPr lang="ru-RU"/>
              </a:p>
            </c:txPr>
            <c:dLblPos val="ctr"/>
            <c:showVal val="1"/>
          </c:dLbls>
          <c:cat>
            <c:strRef>
              <c:f>Лист1!$A$2:$A$4</c:f>
              <c:strCache>
                <c:ptCount val="3"/>
                <c:pt idx="0">
                  <c:v>2016 год факт</c:v>
                </c:pt>
                <c:pt idx="1">
                  <c:v>2017 год план</c:v>
                </c:pt>
                <c:pt idx="2">
                  <c:v>2018 год проект</c:v>
                </c:pt>
              </c:strCache>
            </c:strRef>
          </c:cat>
          <c:val>
            <c:numRef>
              <c:f>Лист1!$C$2:$C$4</c:f>
              <c:numCache>
                <c:formatCode>General</c:formatCode>
                <c:ptCount val="3"/>
                <c:pt idx="0">
                  <c:v>17894.900000000001</c:v>
                </c:pt>
                <c:pt idx="1">
                  <c:v>13354.4</c:v>
                </c:pt>
                <c:pt idx="2">
                  <c:v>16480.599999999897</c:v>
                </c:pt>
              </c:numCache>
            </c:numRef>
          </c:val>
        </c:ser>
        <c:ser>
          <c:idx val="2"/>
          <c:order val="2"/>
          <c:tx>
            <c:strRef>
              <c:f>Лист1!$D$1</c:f>
              <c:strCache>
                <c:ptCount val="1"/>
                <c:pt idx="0">
                  <c:v>Субсидии</c:v>
                </c:pt>
              </c:strCache>
            </c:strRef>
          </c:tx>
          <c:spPr>
            <a:gradFill>
              <a:gsLst>
                <a:gs pos="0">
                  <a:srgbClr val="D6B19C"/>
                </a:gs>
                <a:gs pos="30000">
                  <a:srgbClr val="D49E6C"/>
                </a:gs>
                <a:gs pos="70000">
                  <a:srgbClr val="A65528"/>
                </a:gs>
                <a:gs pos="100000">
                  <a:srgbClr val="663012"/>
                </a:gs>
              </a:gsLst>
              <a:lin ang="5400000" scaled="0"/>
            </a:gradFill>
            <a:effectLst/>
            <a:scene3d>
              <a:camera prst="orthographicFront"/>
              <a:lightRig rig="threePt" dir="t"/>
            </a:scene3d>
            <a:sp3d>
              <a:bevelT/>
              <a:bevelB w="114300" prst="artDeco"/>
            </a:sp3d>
          </c:spPr>
          <c:dLbls>
            <c:numFmt formatCode="#,##0.0" sourceLinked="0"/>
            <c:txPr>
              <a:bodyPr/>
              <a:lstStyle/>
              <a:p>
                <a:pPr>
                  <a:defRPr sz="1000" b="1"/>
                </a:pPr>
                <a:endParaRPr lang="ru-RU"/>
              </a:p>
            </c:txPr>
            <c:dLblPos val="ctr"/>
            <c:showVal val="1"/>
          </c:dLbls>
          <c:cat>
            <c:strRef>
              <c:f>Лист1!$A$2:$A$4</c:f>
              <c:strCache>
                <c:ptCount val="3"/>
                <c:pt idx="0">
                  <c:v>2016 год факт</c:v>
                </c:pt>
                <c:pt idx="1">
                  <c:v>2017 год план</c:v>
                </c:pt>
                <c:pt idx="2">
                  <c:v>2018 год проект</c:v>
                </c:pt>
              </c:strCache>
            </c:strRef>
          </c:cat>
          <c:val>
            <c:numRef>
              <c:f>Лист1!$D$2:$D$4</c:f>
              <c:numCache>
                <c:formatCode>General</c:formatCode>
                <c:ptCount val="3"/>
                <c:pt idx="0">
                  <c:v>5913.2</c:v>
                </c:pt>
                <c:pt idx="1">
                  <c:v>7358.5</c:v>
                </c:pt>
                <c:pt idx="2">
                  <c:v>6886.9</c:v>
                </c:pt>
              </c:numCache>
            </c:numRef>
          </c:val>
        </c:ser>
        <c:ser>
          <c:idx val="3"/>
          <c:order val="3"/>
          <c:tx>
            <c:strRef>
              <c:f>Лист1!$E$1</c:f>
              <c:strCache>
                <c:ptCount val="1"/>
                <c:pt idx="0">
                  <c:v>Иные</c:v>
                </c:pt>
              </c:strCache>
            </c:strRef>
          </c:tx>
          <c:spPr>
            <a:gradFill>
              <a:gsLst>
                <a:gs pos="0">
                  <a:srgbClr val="8488C4"/>
                </a:gs>
                <a:gs pos="53000">
                  <a:srgbClr val="D4DEFF"/>
                </a:gs>
                <a:gs pos="83000">
                  <a:srgbClr val="D4DEFF"/>
                </a:gs>
                <a:gs pos="100000">
                  <a:srgbClr val="96AB94"/>
                </a:gs>
              </a:gsLst>
              <a:lin ang="5400000" scaled="0"/>
            </a:gradFill>
            <a:scene3d>
              <a:camera prst="orthographicFront"/>
              <a:lightRig rig="threePt" dir="t"/>
            </a:scene3d>
            <a:sp3d>
              <a:bevelT/>
              <a:bevelB w="114300" prst="artDeco"/>
            </a:sp3d>
          </c:spPr>
          <c:dLbls>
            <c:dLbl>
              <c:idx val="0"/>
              <c:layout>
                <c:manualLayout>
                  <c:x val="4.9279401921379334E-2"/>
                  <c:y val="0"/>
                </c:manualLayout>
              </c:layout>
              <c:dLblPos val="ctr"/>
              <c:showVal val="1"/>
            </c:dLbl>
            <c:dLbl>
              <c:idx val="1"/>
              <c:layout>
                <c:manualLayout>
                  <c:x val="5.1332710334770514E-2"/>
                  <c:y val="0"/>
                </c:manualLayout>
              </c:layout>
              <c:dLblPos val="ctr"/>
              <c:showVal val="1"/>
            </c:dLbl>
            <c:dLbl>
              <c:idx val="2"/>
              <c:layout>
                <c:manualLayout>
                  <c:x val="4.5172785094597712E-2"/>
                  <c:y val="-1.1368508872360385E-2"/>
                </c:manualLayout>
              </c:layout>
              <c:dLblPos val="ctr"/>
              <c:showVal val="1"/>
            </c:dLbl>
            <c:numFmt formatCode="#,##0.0" sourceLinked="0"/>
            <c:txPr>
              <a:bodyPr/>
              <a:lstStyle/>
              <a:p>
                <a:pPr>
                  <a:defRPr sz="1000" b="1"/>
                </a:pPr>
                <a:endParaRPr lang="ru-RU"/>
              </a:p>
            </c:txPr>
            <c:dLblPos val="ctr"/>
            <c:showVal val="1"/>
          </c:dLbls>
          <c:cat>
            <c:strRef>
              <c:f>Лист1!$A$2:$A$4</c:f>
              <c:strCache>
                <c:ptCount val="3"/>
                <c:pt idx="0">
                  <c:v>2016 год факт</c:v>
                </c:pt>
                <c:pt idx="1">
                  <c:v>2017 год план</c:v>
                </c:pt>
                <c:pt idx="2">
                  <c:v>2018 год проект</c:v>
                </c:pt>
              </c:strCache>
            </c:strRef>
          </c:cat>
          <c:val>
            <c:numRef>
              <c:f>Лист1!$E$2:$E$4</c:f>
              <c:numCache>
                <c:formatCode>General</c:formatCode>
                <c:ptCount val="3"/>
                <c:pt idx="0">
                  <c:v>487.2</c:v>
                </c:pt>
                <c:pt idx="1">
                  <c:v>1189.4000000000001</c:v>
                </c:pt>
                <c:pt idx="2">
                  <c:v>652.20000000000005</c:v>
                </c:pt>
              </c:numCache>
            </c:numRef>
          </c:val>
        </c:ser>
        <c:dLbls>
          <c:showVal val="1"/>
        </c:dLbls>
        <c:gapWidth val="53"/>
        <c:overlap val="100"/>
        <c:axId val="94902144"/>
        <c:axId val="106943232"/>
      </c:barChart>
      <c:catAx>
        <c:axId val="94902144"/>
        <c:scaling>
          <c:orientation val="minMax"/>
        </c:scaling>
        <c:axPos val="l"/>
        <c:tickLblPos val="nextTo"/>
        <c:spPr>
          <a:ln>
            <a:solidFill>
              <a:schemeClr val="bg1">
                <a:lumMod val="85000"/>
              </a:schemeClr>
            </a:solidFill>
          </a:ln>
        </c:spPr>
        <c:txPr>
          <a:bodyPr/>
          <a:lstStyle/>
          <a:p>
            <a:pPr>
              <a:defRPr sz="900" b="1"/>
            </a:pPr>
            <a:endParaRPr lang="ru-RU"/>
          </a:p>
        </c:txPr>
        <c:crossAx val="106943232"/>
        <c:crosses val="autoZero"/>
        <c:auto val="1"/>
        <c:lblAlgn val="ctr"/>
        <c:lblOffset val="100"/>
      </c:catAx>
      <c:valAx>
        <c:axId val="106943232"/>
        <c:scaling>
          <c:orientation val="minMax"/>
        </c:scaling>
        <c:axPos val="b"/>
        <c:majorGridlines>
          <c:spPr>
            <a:ln>
              <a:solidFill>
                <a:schemeClr val="bg1">
                  <a:lumMod val="85000"/>
                </a:schemeClr>
              </a:solidFill>
            </a:ln>
          </c:spPr>
        </c:majorGridlines>
        <c:numFmt formatCode="#,##0" sourceLinked="0"/>
        <c:tickLblPos val="nextTo"/>
        <c:spPr>
          <a:ln>
            <a:solidFill>
              <a:schemeClr val="bg1">
                <a:lumMod val="85000"/>
              </a:schemeClr>
            </a:solidFill>
          </a:ln>
        </c:spPr>
        <c:txPr>
          <a:bodyPr/>
          <a:lstStyle/>
          <a:p>
            <a:pPr>
              <a:defRPr sz="800"/>
            </a:pPr>
            <a:endParaRPr lang="ru-RU"/>
          </a:p>
        </c:txPr>
        <c:crossAx val="94902144"/>
        <c:crosses val="autoZero"/>
        <c:crossBetween val="between"/>
      </c:valAx>
      <c:spPr>
        <a:gradFill flip="none" rotWithShape="1">
          <a:gsLst>
            <a:gs pos="0">
              <a:sysClr val="window" lastClr="FFFFFF">
                <a:alpha val="50000"/>
              </a:sysClr>
            </a:gs>
            <a:gs pos="7001">
              <a:srgbClr val="E6E6E6">
                <a:alpha val="50000"/>
              </a:srgbClr>
            </a:gs>
            <a:gs pos="32001">
              <a:srgbClr val="7D8496">
                <a:alpha val="50000"/>
              </a:srgbClr>
            </a:gs>
            <a:gs pos="47000">
              <a:srgbClr val="E6E6E6">
                <a:alpha val="50000"/>
              </a:srgbClr>
            </a:gs>
            <a:gs pos="85001">
              <a:srgbClr val="7D8496">
                <a:alpha val="50000"/>
              </a:srgbClr>
            </a:gs>
            <a:gs pos="100000">
              <a:srgbClr val="E6E6E6">
                <a:alpha val="50000"/>
              </a:srgbClr>
            </a:gs>
          </a:gsLst>
          <a:lin ang="3000000" scaled="0"/>
          <a:tileRect/>
        </a:gradFill>
      </c:spPr>
    </c:plotArea>
    <c:legend>
      <c:legendPos val="b"/>
      <c:layout>
        <c:manualLayout>
          <c:xMode val="edge"/>
          <c:yMode val="edge"/>
          <c:x val="5.0399487233786337E-2"/>
          <c:y val="0.89985257248453054"/>
          <c:w val="0.90536091341505609"/>
          <c:h val="9.6428676929356805E-2"/>
        </c:manualLayout>
      </c:layou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50"/>
            </a:pPr>
            <a:r>
              <a:rPr lang="ru-RU" sz="1050"/>
              <a:t>Расчетные</a:t>
            </a:r>
            <a:r>
              <a:rPr lang="ru-RU" sz="1050" baseline="0"/>
              <a:t> размеры областных фондов финансовой поддержки</a:t>
            </a:r>
            <a:endParaRPr lang="ru-RU" sz="1050"/>
          </a:p>
        </c:rich>
      </c:tx>
      <c:layout>
        <c:manualLayout>
          <c:xMode val="edge"/>
          <c:yMode val="edge"/>
          <c:x val="0.14619374416213093"/>
          <c:y val="0"/>
        </c:manualLayout>
      </c:layout>
    </c:title>
    <c:plotArea>
      <c:layout>
        <c:manualLayout>
          <c:layoutTarget val="inner"/>
          <c:xMode val="edge"/>
          <c:yMode val="edge"/>
          <c:x val="8.1703597466280004E-2"/>
          <c:y val="0.12203762029746282"/>
          <c:w val="0.89284112756119616"/>
          <c:h val="0.67728390201224842"/>
        </c:manualLayout>
      </c:layout>
      <c:lineChart>
        <c:grouping val="standard"/>
        <c:ser>
          <c:idx val="0"/>
          <c:order val="0"/>
          <c:tx>
            <c:strRef>
              <c:f>Лист1!$B$1</c:f>
              <c:strCache>
                <c:ptCount val="1"/>
                <c:pt idx="0">
                  <c:v>ФФПП (в части ГО)</c:v>
                </c:pt>
              </c:strCache>
            </c:strRef>
          </c:tx>
          <c:spPr>
            <a:ln w="34925" cmpd="dbl">
              <a:solidFill>
                <a:srgbClr val="FF0000"/>
              </a:solidFill>
              <a:prstDash val="sysDash"/>
            </a:ln>
          </c:spPr>
          <c:marker>
            <c:symbol val="circle"/>
            <c:size val="5"/>
            <c:spPr>
              <a:solidFill>
                <a:srgbClr val="FF0000"/>
              </a:solidFill>
              <a:ln>
                <a:solidFill>
                  <a:schemeClr val="tx1"/>
                </a:solidFill>
              </a:ln>
            </c:spPr>
          </c:marker>
          <c:dLbls>
            <c:dLbl>
              <c:idx val="0"/>
              <c:layout>
                <c:manualLayout>
                  <c:x val="-6.0997976719987503E-2"/>
                  <c:y val="-3.9822409726131845E-2"/>
                </c:manualLayout>
              </c:layout>
              <c:dLblPos val="r"/>
              <c:showVal val="1"/>
            </c:dLbl>
            <c:dLbl>
              <c:idx val="2"/>
              <c:layout>
                <c:manualLayout>
                  <c:x val="-4.1354560488127091E-3"/>
                  <c:y val="0.15084246108383409"/>
                </c:manualLayout>
              </c:layout>
              <c:dLblPos val="t"/>
              <c:showVal val="1"/>
            </c:dLbl>
            <c:dLbl>
              <c:idx val="3"/>
              <c:layout>
                <c:manualLayout>
                  <c:x val="-8.2710749108556858E-3"/>
                  <c:y val="0.13434728508732113"/>
                </c:manualLayout>
              </c:layout>
              <c:dLblPos val="t"/>
              <c:showVal val="1"/>
            </c:dLbl>
            <c:dLbl>
              <c:idx val="4"/>
              <c:layout>
                <c:manualLayout>
                  <c:x val="-2.0677280244063762E-3"/>
                  <c:y val="0.12874948154201632"/>
                </c:manualLayout>
              </c:layout>
              <c:dLblPos val="t"/>
              <c:showVal val="1"/>
            </c:dLbl>
            <c:numFmt formatCode="#,##0.0" sourceLinked="0"/>
            <c:txPr>
              <a:bodyPr/>
              <a:lstStyle/>
              <a:p>
                <a:pPr>
                  <a:defRPr sz="1000" b="1"/>
                </a:pPr>
                <a:endParaRPr lang="ru-RU"/>
              </a:p>
            </c:txPr>
            <c:dLblPos val="t"/>
            <c:showVal val="1"/>
          </c:dLbls>
          <c:cat>
            <c:strRef>
              <c:f>Лист1!$A$2:$A$6</c:f>
              <c:strCache>
                <c:ptCount val="5"/>
                <c:pt idx="0">
                  <c:v>2016 год</c:v>
                </c:pt>
                <c:pt idx="1">
                  <c:v>2017 год</c:v>
                </c:pt>
                <c:pt idx="2">
                  <c:v>2018 год</c:v>
                </c:pt>
                <c:pt idx="3">
                  <c:v>2019 год</c:v>
                </c:pt>
                <c:pt idx="4">
                  <c:v>2020 год</c:v>
                </c:pt>
              </c:strCache>
            </c:strRef>
          </c:cat>
          <c:val>
            <c:numRef>
              <c:f>Лист1!$B$2:$B$6</c:f>
              <c:numCache>
                <c:formatCode>General</c:formatCode>
                <c:ptCount val="5"/>
                <c:pt idx="0">
                  <c:v>1704.7</c:v>
                </c:pt>
                <c:pt idx="1">
                  <c:v>1862.7</c:v>
                </c:pt>
                <c:pt idx="2">
                  <c:v>692.2</c:v>
                </c:pt>
                <c:pt idx="3">
                  <c:v>692.2</c:v>
                </c:pt>
                <c:pt idx="4">
                  <c:v>692.2</c:v>
                </c:pt>
              </c:numCache>
            </c:numRef>
          </c:val>
        </c:ser>
        <c:ser>
          <c:idx val="1"/>
          <c:order val="1"/>
          <c:tx>
            <c:strRef>
              <c:f>Лист1!$C$1</c:f>
              <c:strCache>
                <c:ptCount val="1"/>
                <c:pt idx="0">
                  <c:v>ФФПП (в части поселений)</c:v>
                </c:pt>
              </c:strCache>
            </c:strRef>
          </c:tx>
          <c:spPr>
            <a:ln w="34925" cmpd="dbl">
              <a:solidFill>
                <a:srgbClr val="0070C0"/>
              </a:solidFill>
              <a:prstDash val="solid"/>
            </a:ln>
          </c:spPr>
          <c:marker>
            <c:symbol val="circle"/>
            <c:size val="5"/>
            <c:spPr>
              <a:solidFill>
                <a:srgbClr val="0070C0"/>
              </a:solidFill>
              <a:ln>
                <a:solidFill>
                  <a:schemeClr val="tx1"/>
                </a:solidFill>
              </a:ln>
            </c:spPr>
          </c:marker>
          <c:dLbls>
            <c:dLbl>
              <c:idx val="0"/>
              <c:layout>
                <c:manualLayout>
                  <c:x val="-4.2388424500330812E-2"/>
                  <c:y val="7.1596788888316484E-2"/>
                </c:manualLayout>
              </c:layout>
              <c:dLblPos val="r"/>
              <c:showVal val="1"/>
            </c:dLbl>
            <c:dLbl>
              <c:idx val="2"/>
              <c:layout>
                <c:manualLayout>
                  <c:x val="-4.1354560488127091E-3"/>
                  <c:y val="-0.12670766731041952"/>
                </c:manualLayout>
              </c:layout>
              <c:dLblPos val="b"/>
              <c:showVal val="1"/>
            </c:dLbl>
            <c:dLbl>
              <c:idx val="3"/>
              <c:layout>
                <c:manualLayout>
                  <c:x val="0"/>
                  <c:y val="-0.1231516779967098"/>
                </c:manualLayout>
              </c:layout>
              <c:dLblPos val="b"/>
              <c:showVal val="1"/>
            </c:dLbl>
            <c:dLbl>
              <c:idx val="4"/>
              <c:layout>
                <c:manualLayout>
                  <c:x val="0"/>
                  <c:y val="-0.11755387445140426"/>
                </c:manualLayout>
              </c:layout>
              <c:dLblPos val="b"/>
              <c:showVal val="1"/>
            </c:dLbl>
            <c:numFmt formatCode="#,##0.0" sourceLinked="0"/>
            <c:txPr>
              <a:bodyPr/>
              <a:lstStyle/>
              <a:p>
                <a:pPr>
                  <a:defRPr sz="1000" b="1"/>
                </a:pPr>
                <a:endParaRPr lang="ru-RU"/>
              </a:p>
            </c:txPr>
            <c:dLblPos val="b"/>
            <c:showVal val="1"/>
          </c:dLbls>
          <c:cat>
            <c:strRef>
              <c:f>Лист1!$A$2:$A$6</c:f>
              <c:strCache>
                <c:ptCount val="5"/>
                <c:pt idx="0">
                  <c:v>2016 год</c:v>
                </c:pt>
                <c:pt idx="1">
                  <c:v>2017 год</c:v>
                </c:pt>
                <c:pt idx="2">
                  <c:v>2018 год</c:v>
                </c:pt>
                <c:pt idx="3">
                  <c:v>2019 год</c:v>
                </c:pt>
                <c:pt idx="4">
                  <c:v>2020 год</c:v>
                </c:pt>
              </c:strCache>
            </c:strRef>
          </c:cat>
          <c:val>
            <c:numRef>
              <c:f>Лист1!$C$2:$C$6</c:f>
              <c:numCache>
                <c:formatCode>General</c:formatCode>
                <c:ptCount val="5"/>
                <c:pt idx="0">
                  <c:v>991.1</c:v>
                </c:pt>
                <c:pt idx="1">
                  <c:v>1066.4000000000001</c:v>
                </c:pt>
                <c:pt idx="2">
                  <c:v>1068.7</c:v>
                </c:pt>
                <c:pt idx="3">
                  <c:v>1067.4000000000001</c:v>
                </c:pt>
                <c:pt idx="4">
                  <c:v>1055.3</c:v>
                </c:pt>
              </c:numCache>
            </c:numRef>
          </c:val>
        </c:ser>
        <c:ser>
          <c:idx val="2"/>
          <c:order val="2"/>
          <c:tx>
            <c:strRef>
              <c:f>Лист1!$D$1</c:f>
              <c:strCache>
                <c:ptCount val="1"/>
                <c:pt idx="0">
                  <c:v>ФФП МР(ГО)</c:v>
                </c:pt>
              </c:strCache>
            </c:strRef>
          </c:tx>
          <c:spPr>
            <a:ln w="34925">
              <a:solidFill>
                <a:srgbClr val="00B050"/>
              </a:solidFill>
              <a:prstDash val="solid"/>
            </a:ln>
          </c:spPr>
          <c:marker>
            <c:symbol val="circle"/>
            <c:size val="5"/>
            <c:spPr>
              <a:solidFill>
                <a:srgbClr val="00B050"/>
              </a:solidFill>
              <a:ln>
                <a:solidFill>
                  <a:schemeClr val="tx1"/>
                </a:solidFill>
              </a:ln>
            </c:spPr>
          </c:marker>
          <c:dLbls>
            <c:numFmt formatCode="#,##0.0" sourceLinked="0"/>
            <c:txPr>
              <a:bodyPr/>
              <a:lstStyle/>
              <a:p>
                <a:pPr>
                  <a:defRPr sz="1000" b="1"/>
                </a:pPr>
                <a:endParaRPr lang="ru-RU"/>
              </a:p>
            </c:txPr>
            <c:dLblPos val="t"/>
            <c:showVal val="1"/>
          </c:dLbls>
          <c:cat>
            <c:strRef>
              <c:f>Лист1!$A$2:$A$6</c:f>
              <c:strCache>
                <c:ptCount val="5"/>
                <c:pt idx="0">
                  <c:v>2016 год</c:v>
                </c:pt>
                <c:pt idx="1">
                  <c:v>2017 год</c:v>
                </c:pt>
                <c:pt idx="2">
                  <c:v>2018 год</c:v>
                </c:pt>
                <c:pt idx="3">
                  <c:v>2019 год</c:v>
                </c:pt>
                <c:pt idx="4">
                  <c:v>2020 год</c:v>
                </c:pt>
              </c:strCache>
            </c:strRef>
          </c:cat>
          <c:val>
            <c:numRef>
              <c:f>Лист1!$D$2:$D$6</c:f>
              <c:numCache>
                <c:formatCode>General</c:formatCode>
                <c:ptCount val="5"/>
                <c:pt idx="0">
                  <c:v>4497.4000000000005</c:v>
                </c:pt>
                <c:pt idx="1">
                  <c:v>4438.7</c:v>
                </c:pt>
                <c:pt idx="2">
                  <c:v>4452.3</c:v>
                </c:pt>
                <c:pt idx="3">
                  <c:v>4452.3</c:v>
                </c:pt>
                <c:pt idx="4">
                  <c:v>4452.3</c:v>
                </c:pt>
              </c:numCache>
            </c:numRef>
          </c:val>
        </c:ser>
        <c:dLbls>
          <c:showVal val="1"/>
        </c:dLbls>
        <c:marker val="1"/>
        <c:axId val="107067264"/>
        <c:axId val="73156864"/>
      </c:lineChart>
      <c:catAx>
        <c:axId val="107067264"/>
        <c:scaling>
          <c:orientation val="minMax"/>
        </c:scaling>
        <c:axPos val="b"/>
        <c:numFmt formatCode="dd/mm/yyyy" sourceLinked="1"/>
        <c:tickLblPos val="nextTo"/>
        <c:spPr>
          <a:ln>
            <a:solidFill>
              <a:schemeClr val="bg1">
                <a:lumMod val="85000"/>
              </a:schemeClr>
            </a:solidFill>
          </a:ln>
        </c:spPr>
        <c:txPr>
          <a:bodyPr/>
          <a:lstStyle/>
          <a:p>
            <a:pPr>
              <a:defRPr sz="800" b="1"/>
            </a:pPr>
            <a:endParaRPr lang="ru-RU"/>
          </a:p>
        </c:txPr>
        <c:crossAx val="73156864"/>
        <c:crosses val="autoZero"/>
        <c:lblAlgn val="ctr"/>
        <c:lblOffset val="100"/>
      </c:catAx>
      <c:valAx>
        <c:axId val="73156864"/>
        <c:scaling>
          <c:orientation val="minMax"/>
        </c:scaling>
        <c:axPos val="l"/>
        <c:majorGridlines>
          <c:spPr>
            <a:ln>
              <a:solidFill>
                <a:schemeClr val="bg1">
                  <a:lumMod val="85000"/>
                </a:schemeClr>
              </a:solidFill>
            </a:ln>
          </c:spPr>
        </c:majorGridlines>
        <c:title>
          <c:tx>
            <c:rich>
              <a:bodyPr rot="-5400000" vert="horz"/>
              <a:lstStyle/>
              <a:p>
                <a:pPr>
                  <a:defRPr sz="800" b="0">
                    <a:latin typeface="Times New Roman" pitchFamily="18" charset="0"/>
                    <a:cs typeface="Times New Roman" pitchFamily="18" charset="0"/>
                  </a:defRPr>
                </a:pPr>
                <a:r>
                  <a:rPr lang="ru-RU" sz="800" b="0">
                    <a:latin typeface="Times New Roman" pitchFamily="18" charset="0"/>
                    <a:cs typeface="Times New Roman" pitchFamily="18" charset="0"/>
                  </a:rPr>
                  <a:t>млн.</a:t>
                </a:r>
                <a:r>
                  <a:rPr lang="ru-RU" sz="800" b="0" baseline="0">
                    <a:latin typeface="Times New Roman" pitchFamily="18" charset="0"/>
                    <a:cs typeface="Times New Roman" pitchFamily="18" charset="0"/>
                  </a:rPr>
                  <a:t> руб.</a:t>
                </a:r>
                <a:endParaRPr lang="ru-RU" sz="800" b="0">
                  <a:latin typeface="Times New Roman" pitchFamily="18" charset="0"/>
                  <a:cs typeface="Times New Roman" pitchFamily="18" charset="0"/>
                </a:endParaRPr>
              </a:p>
            </c:rich>
          </c:tx>
        </c:title>
        <c:numFmt formatCode="#,##0" sourceLinked="0"/>
        <c:tickLblPos val="nextTo"/>
        <c:spPr>
          <a:ln>
            <a:solidFill>
              <a:schemeClr val="bg1">
                <a:lumMod val="85000"/>
              </a:schemeClr>
            </a:solidFill>
          </a:ln>
        </c:spPr>
        <c:txPr>
          <a:bodyPr/>
          <a:lstStyle/>
          <a:p>
            <a:pPr>
              <a:defRPr sz="800"/>
            </a:pPr>
            <a:endParaRPr lang="ru-RU"/>
          </a:p>
        </c:txPr>
        <c:crossAx val="107067264"/>
        <c:crossesAt val="1"/>
        <c:crossBetween val="between"/>
      </c:valAx>
      <c:spPr>
        <a:gradFill>
          <a:gsLst>
            <a:gs pos="75000">
              <a:srgbClr val="FFEFD1"/>
            </a:gs>
            <a:gs pos="64999">
              <a:srgbClr val="F0EBD5"/>
            </a:gs>
            <a:gs pos="100000">
              <a:srgbClr val="D1C39F"/>
            </a:gs>
          </a:gsLst>
          <a:lin ang="2700000" scaled="0"/>
        </a:gradFill>
        <a:ln>
          <a:noFill/>
        </a:ln>
      </c:spPr>
    </c:plotArea>
    <c:legend>
      <c:legendPos val="b"/>
      <c:layout>
        <c:manualLayout>
          <c:xMode val="edge"/>
          <c:yMode val="edge"/>
          <c:x val="6.9015225804855113E-2"/>
          <c:y val="0.86807104561143844"/>
          <c:w val="0.86196954839029005"/>
          <c:h val="0.13192895438856542"/>
        </c:manualLayout>
      </c:layout>
      <c:txPr>
        <a:bodyPr/>
        <a:lstStyle/>
        <a:p>
          <a:pPr>
            <a:defRPr sz="900" b="1"/>
          </a:pPr>
          <a:endParaRPr lang="ru-RU"/>
        </a:p>
      </c:txPr>
    </c:legend>
    <c:plotVisOnly val="1"/>
    <c:dispBlanksAs val="gap"/>
  </c:chart>
  <c:spPr>
    <a:gradFill>
      <a:gsLst>
        <a:gs pos="75000">
          <a:srgbClr val="FFEFD1"/>
        </a:gs>
        <a:gs pos="64999">
          <a:srgbClr val="F0EBD5"/>
        </a:gs>
        <a:gs pos="100000">
          <a:srgbClr val="D1C39F"/>
        </a:gs>
      </a:gsLst>
      <a:lin ang="2700000" scaled="0"/>
    </a:gradFill>
    <a:ln>
      <a:noFill/>
    </a:ln>
  </c:spPr>
  <c:txPr>
    <a:bodyPr/>
    <a:lstStyle/>
    <a:p>
      <a:pPr>
        <a:defRPr sz="10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2143</TotalTime>
  <Pages>30</Pages>
  <Words>15037</Words>
  <Characters>85713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Контрольно-счетная палата ВО</Company>
  <LinksUpToDate>false</LinksUpToDate>
  <CharactersWithSpaces>100549</CharactersWithSpaces>
  <SharedDoc>false</SharedDoc>
  <HLinks>
    <vt:vector size="24" baseType="variant">
      <vt:variant>
        <vt:i4>7143462</vt:i4>
      </vt:variant>
      <vt:variant>
        <vt:i4>9</vt:i4>
      </vt:variant>
      <vt:variant>
        <vt:i4>0</vt:i4>
      </vt:variant>
      <vt:variant>
        <vt:i4>5</vt:i4>
      </vt:variant>
      <vt:variant>
        <vt:lpwstr>garantf1://99799.0/</vt:lpwstr>
      </vt:variant>
      <vt:variant>
        <vt:lpwstr/>
      </vt:variant>
      <vt:variant>
        <vt:i4>6750256</vt:i4>
      </vt:variant>
      <vt:variant>
        <vt:i4>6</vt:i4>
      </vt:variant>
      <vt:variant>
        <vt:i4>0</vt:i4>
      </vt:variant>
      <vt:variant>
        <vt:i4>5</vt:i4>
      </vt:variant>
      <vt:variant>
        <vt:lpwstr>garantf1://55070694.80000/</vt:lpwstr>
      </vt:variant>
      <vt:variant>
        <vt:lpwstr/>
      </vt:variant>
      <vt:variant>
        <vt:i4>2752529</vt:i4>
      </vt:variant>
      <vt:variant>
        <vt:i4>3</vt:i4>
      </vt:variant>
      <vt:variant>
        <vt:i4>0</vt:i4>
      </vt:variant>
      <vt:variant>
        <vt:i4>5</vt:i4>
      </vt:variant>
      <vt:variant>
        <vt:lpwstr/>
      </vt:variant>
      <vt:variant>
        <vt:lpwstr>sub_0</vt:lpwstr>
      </vt:variant>
      <vt:variant>
        <vt:i4>3407968</vt:i4>
      </vt:variant>
      <vt:variant>
        <vt:i4>0</vt:i4>
      </vt:variant>
      <vt:variant>
        <vt:i4>0</vt:i4>
      </vt:variant>
      <vt:variant>
        <vt:i4>5</vt:i4>
      </vt:variant>
      <vt:variant>
        <vt:lpwstr>consultantplus://offline/main?base=LAW;n=111328;fld=134;dst=100010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Горгоцкая</dc:creator>
  <cp:lastModifiedBy>Горгоцкая</cp:lastModifiedBy>
  <cp:revision>196</cp:revision>
  <cp:lastPrinted>2017-11-09T12:28:00Z</cp:lastPrinted>
  <dcterms:created xsi:type="dcterms:W3CDTF">2017-10-13T04:28:00Z</dcterms:created>
  <dcterms:modified xsi:type="dcterms:W3CDTF">2017-11-13T05:46:00Z</dcterms:modified>
</cp:coreProperties>
</file>