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footer2.xml" ContentType="application/vnd.openxmlformats-officedocument.wordprocessingml.footer+xml"/>
  <Override PartName="/word/footer3.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47BE" w:rsidRPr="002E3ADD" w:rsidRDefault="000447BE" w:rsidP="000447BE">
      <w:pPr>
        <w:pStyle w:val="af4"/>
        <w:tabs>
          <w:tab w:val="left" w:pos="180"/>
          <w:tab w:val="left" w:pos="360"/>
        </w:tabs>
        <w:ind w:left="6120"/>
        <w:rPr>
          <w:b/>
        </w:rPr>
      </w:pPr>
      <w:r w:rsidRPr="002E3ADD">
        <w:rPr>
          <w:b/>
        </w:rPr>
        <w:t xml:space="preserve">УТВЕРЖДЕН </w:t>
      </w:r>
    </w:p>
    <w:p w:rsidR="000447BE" w:rsidRPr="002E3ADD" w:rsidRDefault="000447BE" w:rsidP="000447BE">
      <w:pPr>
        <w:pStyle w:val="af4"/>
        <w:tabs>
          <w:tab w:val="left" w:pos="180"/>
          <w:tab w:val="left" w:pos="360"/>
        </w:tabs>
        <w:jc w:val="center"/>
      </w:pPr>
      <w:r>
        <w:t xml:space="preserve">                                                                           </w:t>
      </w:r>
      <w:r w:rsidRPr="002E3ADD">
        <w:t>постановлением Коллегии контрольно-</w:t>
      </w:r>
    </w:p>
    <w:p w:rsidR="000447BE" w:rsidRPr="002E3ADD" w:rsidRDefault="000447BE" w:rsidP="000447BE">
      <w:pPr>
        <w:pStyle w:val="af4"/>
        <w:tabs>
          <w:tab w:val="left" w:pos="180"/>
          <w:tab w:val="left" w:pos="360"/>
        </w:tabs>
        <w:jc w:val="center"/>
      </w:pPr>
      <w:r>
        <w:t xml:space="preserve">                                                                            </w:t>
      </w:r>
      <w:r w:rsidRPr="002E3ADD">
        <w:t>счетной палаты Волгоградской области</w:t>
      </w:r>
    </w:p>
    <w:p w:rsidR="000447BE" w:rsidRPr="002E3ADD" w:rsidRDefault="000447BE" w:rsidP="000447BE">
      <w:pPr>
        <w:pStyle w:val="af4"/>
        <w:tabs>
          <w:tab w:val="left" w:pos="180"/>
          <w:tab w:val="left" w:pos="360"/>
        </w:tabs>
      </w:pPr>
      <w:r>
        <w:tab/>
      </w:r>
      <w:r>
        <w:tab/>
      </w:r>
      <w:r>
        <w:tab/>
      </w:r>
      <w:r>
        <w:tab/>
      </w:r>
      <w:r>
        <w:tab/>
      </w:r>
      <w:r>
        <w:tab/>
        <w:t xml:space="preserve">          </w:t>
      </w:r>
      <w:r w:rsidRPr="002E3ADD">
        <w:t xml:space="preserve">от </w:t>
      </w:r>
      <w:r w:rsidR="001B5880">
        <w:t>30</w:t>
      </w:r>
      <w:r w:rsidRPr="002E3ADD">
        <w:t xml:space="preserve"> </w:t>
      </w:r>
      <w:r>
        <w:t xml:space="preserve"> июля</w:t>
      </w:r>
      <w:r w:rsidRPr="002E3ADD">
        <w:t xml:space="preserve">  201</w:t>
      </w:r>
      <w:r>
        <w:t>8</w:t>
      </w:r>
      <w:r w:rsidRPr="002E3ADD">
        <w:t xml:space="preserve"> года  №</w:t>
      </w:r>
      <w:r w:rsidR="001B5880">
        <w:t>16/1</w:t>
      </w:r>
      <w:r w:rsidRPr="002E3ADD">
        <w:t xml:space="preserve"> </w:t>
      </w:r>
    </w:p>
    <w:p w:rsidR="000447BE" w:rsidRPr="004B7942" w:rsidRDefault="000447BE" w:rsidP="000447BE">
      <w:pPr>
        <w:jc w:val="center"/>
        <w:rPr>
          <w:b/>
          <w:i/>
          <w:color w:val="339966"/>
        </w:rPr>
      </w:pPr>
    </w:p>
    <w:p w:rsidR="000447BE" w:rsidRPr="00A06D1F" w:rsidRDefault="000447BE" w:rsidP="000447BE">
      <w:pPr>
        <w:jc w:val="center"/>
        <w:rPr>
          <w:b/>
          <w:i/>
        </w:rPr>
      </w:pPr>
      <w:r w:rsidRPr="00A06D1F">
        <w:rPr>
          <w:b/>
          <w:i/>
        </w:rPr>
        <w:t>ОТЧЕТ</w:t>
      </w:r>
    </w:p>
    <w:p w:rsidR="000447BE" w:rsidRPr="00292327" w:rsidRDefault="000447BE" w:rsidP="000447BE">
      <w:pPr>
        <w:pStyle w:val="21"/>
        <w:jc w:val="center"/>
        <w:rPr>
          <w:b/>
          <w:i/>
        </w:rPr>
      </w:pPr>
      <w:r w:rsidRPr="000447BE">
        <w:rPr>
          <w:b/>
          <w:i/>
          <w:szCs w:val="24"/>
        </w:rPr>
        <w:t>по результатам</w:t>
      </w:r>
      <w:r w:rsidRPr="000447BE">
        <w:rPr>
          <w:b/>
          <w:i/>
        </w:rPr>
        <w:t xml:space="preserve"> проверки реализации мероприятий подпрограммы «Развитие и поддержка малого и среднего предпринимательства в Волгоградской области» государственной программы Волгоградской области «Экономическое развитие и инновационная экономика» за 2017 год и текущий период 2018 года.</w:t>
      </w:r>
      <w:r>
        <w:rPr>
          <w:b/>
          <w:i/>
        </w:rPr>
        <w:t xml:space="preserve"> Анализ</w:t>
      </w:r>
      <w:r w:rsidRPr="00C94A7B">
        <w:rPr>
          <w:b/>
          <w:i/>
        </w:rPr>
        <w:t xml:space="preserve"> </w:t>
      </w:r>
      <w:r w:rsidRPr="00292327">
        <w:rPr>
          <w:b/>
          <w:i/>
        </w:rPr>
        <w:t>динамики целевых показателей подпрограммы, индивидуальных показателей результативности использования средств федерального бюджета, выделяемых на реализацию подпрограммы, а также показателей государственного задания на оказание государственных услуг (выполнение работ) ГАУ Волгоградской области «Волгоградский областной бизнес-инкубатор» за 2015-2017 годы</w:t>
      </w:r>
      <w:r>
        <w:rPr>
          <w:b/>
          <w:i/>
        </w:rPr>
        <w:t>.</w:t>
      </w:r>
    </w:p>
    <w:p w:rsidR="000447BE" w:rsidRDefault="000447BE" w:rsidP="000447BE">
      <w:pPr>
        <w:pStyle w:val="21"/>
        <w:jc w:val="center"/>
        <w:rPr>
          <w:b/>
          <w:szCs w:val="24"/>
        </w:rPr>
      </w:pPr>
    </w:p>
    <w:p w:rsidR="000447BE" w:rsidRDefault="000447BE" w:rsidP="00D61BF2">
      <w:pPr>
        <w:tabs>
          <w:tab w:val="left" w:pos="180"/>
          <w:tab w:val="left" w:pos="360"/>
        </w:tabs>
        <w:ind w:firstLine="680"/>
        <w:jc w:val="both"/>
      </w:pPr>
      <w:r w:rsidRPr="004A09B4">
        <w:rPr>
          <w:u w:val="single"/>
        </w:rPr>
        <w:t xml:space="preserve">Основание для проведения </w:t>
      </w:r>
      <w:r>
        <w:rPr>
          <w:u w:val="single"/>
        </w:rPr>
        <w:t>контрольного мероприятия</w:t>
      </w:r>
      <w:r w:rsidRPr="004A09B4">
        <w:t xml:space="preserve">: </w:t>
      </w:r>
      <w:r w:rsidRPr="004A09B4">
        <w:rPr>
          <w:color w:val="000000"/>
        </w:rPr>
        <w:t>план работы контрольно-счетной палаты Волгоградской области (далее – КСП) на 201</w:t>
      </w:r>
      <w:r>
        <w:rPr>
          <w:color w:val="000000"/>
        </w:rPr>
        <w:t>8</w:t>
      </w:r>
      <w:r w:rsidRPr="004A09B4">
        <w:rPr>
          <w:color w:val="000000"/>
        </w:rPr>
        <w:t xml:space="preserve"> год, утвержденный постановлением </w:t>
      </w:r>
      <w:r>
        <w:rPr>
          <w:color w:val="000000"/>
        </w:rPr>
        <w:t>к</w:t>
      </w:r>
      <w:r w:rsidRPr="004A09B4">
        <w:rPr>
          <w:color w:val="000000"/>
        </w:rPr>
        <w:t xml:space="preserve">оллегии КСП </w:t>
      </w:r>
      <w:r w:rsidRPr="00236788">
        <w:rPr>
          <w:color w:val="000000"/>
        </w:rPr>
        <w:t xml:space="preserve">от </w:t>
      </w:r>
      <w:r w:rsidRPr="00236788">
        <w:t>1</w:t>
      </w:r>
      <w:r>
        <w:t>9</w:t>
      </w:r>
      <w:r w:rsidRPr="00236788">
        <w:t>.12.201</w:t>
      </w:r>
      <w:r>
        <w:t>7</w:t>
      </w:r>
      <w:r w:rsidRPr="00236788">
        <w:t xml:space="preserve"> № </w:t>
      </w:r>
      <w:r>
        <w:t>20</w:t>
      </w:r>
      <w:r w:rsidRPr="00236788">
        <w:t>/</w:t>
      </w:r>
      <w:r>
        <w:t>2.</w:t>
      </w:r>
    </w:p>
    <w:p w:rsidR="000447BE" w:rsidRDefault="000447BE" w:rsidP="00D61BF2">
      <w:pPr>
        <w:pStyle w:val="21"/>
        <w:ind w:firstLine="680"/>
        <w:rPr>
          <w:szCs w:val="24"/>
        </w:rPr>
      </w:pPr>
      <w:r w:rsidRPr="00657EB0">
        <w:rPr>
          <w:szCs w:val="24"/>
          <w:u w:val="single"/>
        </w:rPr>
        <w:t>Цели проведения</w:t>
      </w:r>
      <w:r>
        <w:rPr>
          <w:szCs w:val="24"/>
          <w:u w:val="single"/>
        </w:rPr>
        <w:t xml:space="preserve"> контрольного мероприятия</w:t>
      </w:r>
      <w:r w:rsidRPr="00657EB0">
        <w:rPr>
          <w:szCs w:val="24"/>
        </w:rPr>
        <w:t xml:space="preserve">: </w:t>
      </w:r>
    </w:p>
    <w:p w:rsidR="000447BE" w:rsidRDefault="000447BE" w:rsidP="00D61BF2">
      <w:pPr>
        <w:pStyle w:val="1"/>
        <w:spacing w:before="0" w:after="0"/>
        <w:ind w:firstLine="680"/>
        <w:jc w:val="both"/>
        <w:rPr>
          <w:rFonts w:ascii="Times New Roman" w:hAnsi="Times New Roman"/>
          <w:b w:val="0"/>
          <w:color w:val="auto"/>
        </w:rPr>
      </w:pPr>
      <w:r w:rsidRPr="00E70112">
        <w:rPr>
          <w:rFonts w:ascii="Times New Roman" w:hAnsi="Times New Roman"/>
          <w:b w:val="0"/>
          <w:color w:val="auto"/>
        </w:rPr>
        <w:t xml:space="preserve">- анализ достижения цели и решения поставленных задач, определенных </w:t>
      </w:r>
      <w:hyperlink r:id="rId8" w:history="1">
        <w:r w:rsidRPr="00E70112">
          <w:rPr>
            <w:rFonts w:ascii="Times New Roman" w:hAnsi="Times New Roman"/>
            <w:b w:val="0"/>
            <w:color w:val="auto"/>
          </w:rPr>
          <w:t>подпрограммой</w:t>
        </w:r>
      </w:hyperlink>
      <w:r w:rsidRPr="00E70112">
        <w:rPr>
          <w:rFonts w:ascii="Times New Roman" w:hAnsi="Times New Roman"/>
          <w:b w:val="0"/>
          <w:color w:val="auto"/>
        </w:rPr>
        <w:t xml:space="preserve"> «Развитие и поддержка малого и среднего предпринимательства в Волгоградской области»</w:t>
      </w:r>
      <w:r>
        <w:rPr>
          <w:rFonts w:ascii="Times New Roman" w:hAnsi="Times New Roman"/>
          <w:b w:val="0"/>
          <w:color w:val="auto"/>
        </w:rPr>
        <w:t xml:space="preserve"> (далее – Подпрограмма)</w:t>
      </w:r>
      <w:r w:rsidRPr="00E70112">
        <w:rPr>
          <w:rFonts w:ascii="Times New Roman" w:hAnsi="Times New Roman"/>
          <w:b w:val="0"/>
          <w:color w:val="auto"/>
        </w:rPr>
        <w:t xml:space="preserve"> Государственной программы Волгоградской области «Экономическое развитие и инновационная экономика»</w:t>
      </w:r>
      <w:r>
        <w:rPr>
          <w:rFonts w:ascii="Times New Roman" w:hAnsi="Times New Roman"/>
          <w:b w:val="0"/>
          <w:color w:val="auto"/>
        </w:rPr>
        <w:t>, утвержденной постановлением Администрации Волгоградской области от 23.01.2017 № 14-п</w:t>
      </w:r>
      <w:r w:rsidR="004E6CBF">
        <w:rPr>
          <w:rFonts w:ascii="Times New Roman" w:hAnsi="Times New Roman"/>
          <w:b w:val="0"/>
          <w:color w:val="auto"/>
        </w:rPr>
        <w:t xml:space="preserve"> (далее – Госпрограмма № 14-п)</w:t>
      </w:r>
      <w:r>
        <w:rPr>
          <w:rFonts w:ascii="Times New Roman" w:hAnsi="Times New Roman"/>
          <w:b w:val="0"/>
          <w:color w:val="auto"/>
        </w:rPr>
        <w:t>;</w:t>
      </w:r>
    </w:p>
    <w:p w:rsidR="000447BE" w:rsidRPr="00D310A0" w:rsidRDefault="000447BE" w:rsidP="00D61BF2">
      <w:pPr>
        <w:pStyle w:val="1"/>
        <w:spacing w:before="0" w:after="0"/>
        <w:ind w:firstLine="680"/>
        <w:jc w:val="both"/>
        <w:rPr>
          <w:rFonts w:ascii="Times New Roman" w:hAnsi="Times New Roman"/>
          <w:b w:val="0"/>
          <w:color w:val="auto"/>
        </w:rPr>
      </w:pPr>
      <w:r w:rsidRPr="00E1169F">
        <w:rPr>
          <w:rFonts w:ascii="Times New Roman" w:hAnsi="Times New Roman"/>
          <w:b w:val="0"/>
          <w:color w:val="auto"/>
        </w:rPr>
        <w:t>- проверка эффективности использования бюджетных средств на исполнение мероприятий Подпрограммы за 2017 год и текущий период 2018 года</w:t>
      </w:r>
      <w:r w:rsidR="00537A16">
        <w:rPr>
          <w:rFonts w:ascii="Times New Roman" w:hAnsi="Times New Roman"/>
          <w:b w:val="0"/>
          <w:color w:val="auto"/>
        </w:rPr>
        <w:t xml:space="preserve">. </w:t>
      </w:r>
      <w:r>
        <w:rPr>
          <w:rFonts w:ascii="Times New Roman" w:hAnsi="Times New Roman"/>
          <w:b w:val="0"/>
          <w:color w:val="auto"/>
        </w:rPr>
        <w:t xml:space="preserve">Оценка </w:t>
      </w:r>
      <w:proofErr w:type="gramStart"/>
      <w:r w:rsidRPr="00D310A0">
        <w:rPr>
          <w:rFonts w:ascii="Times New Roman" w:hAnsi="Times New Roman"/>
          <w:b w:val="0"/>
          <w:color w:val="auto"/>
        </w:rPr>
        <w:t>эффективности деятельности организаций</w:t>
      </w:r>
      <w:r>
        <w:rPr>
          <w:rFonts w:ascii="Times New Roman" w:hAnsi="Times New Roman"/>
          <w:b w:val="0"/>
          <w:color w:val="auto"/>
        </w:rPr>
        <w:t xml:space="preserve"> инфраструктуры</w:t>
      </w:r>
      <w:r w:rsidRPr="00D310A0">
        <w:t xml:space="preserve"> </w:t>
      </w:r>
      <w:r w:rsidRPr="00D310A0">
        <w:rPr>
          <w:rFonts w:ascii="Times New Roman" w:hAnsi="Times New Roman"/>
          <w:b w:val="0"/>
          <w:color w:val="auto"/>
        </w:rPr>
        <w:t>поддержки субъектов малого</w:t>
      </w:r>
      <w:proofErr w:type="gramEnd"/>
      <w:r w:rsidRPr="00D310A0">
        <w:rPr>
          <w:rFonts w:ascii="Times New Roman" w:hAnsi="Times New Roman"/>
          <w:b w:val="0"/>
          <w:color w:val="auto"/>
        </w:rPr>
        <w:t xml:space="preserve"> и среднего предпринимательства </w:t>
      </w:r>
      <w:r w:rsidR="00506971">
        <w:rPr>
          <w:rFonts w:ascii="Times New Roman" w:hAnsi="Times New Roman"/>
          <w:b w:val="0"/>
          <w:color w:val="auto"/>
        </w:rPr>
        <w:t xml:space="preserve">(далее – СМСП) </w:t>
      </w:r>
      <w:r w:rsidRPr="00D310A0">
        <w:rPr>
          <w:rFonts w:ascii="Times New Roman" w:hAnsi="Times New Roman"/>
          <w:b w:val="0"/>
          <w:color w:val="auto"/>
        </w:rPr>
        <w:t xml:space="preserve">Волгоградской области; </w:t>
      </w:r>
    </w:p>
    <w:p w:rsidR="000447BE" w:rsidRPr="009F015B" w:rsidRDefault="000447BE" w:rsidP="00D61BF2">
      <w:pPr>
        <w:autoSpaceDE w:val="0"/>
        <w:autoSpaceDN w:val="0"/>
        <w:adjustRightInd w:val="0"/>
        <w:ind w:firstLine="680"/>
        <w:jc w:val="both"/>
        <w:rPr>
          <w:color w:val="00B050"/>
        </w:rPr>
      </w:pPr>
      <w:r>
        <w:t xml:space="preserve">- анализ динамики </w:t>
      </w:r>
      <w:r w:rsidRPr="009F015B">
        <w:t xml:space="preserve">целевых показателей </w:t>
      </w:r>
      <w:r w:rsidR="00506971">
        <w:t>П</w:t>
      </w:r>
      <w:r w:rsidRPr="009F015B">
        <w:t xml:space="preserve">одпрограммы, индивидуальных показателей результативности использования средств федерального бюджета, выделяемых на реализацию </w:t>
      </w:r>
      <w:r w:rsidR="00E50516">
        <w:t>П</w:t>
      </w:r>
      <w:r w:rsidRPr="009F015B">
        <w:t xml:space="preserve">одпрограммы, а также показателей государственного задания на оказание государственных услуг (выполнение работ) </w:t>
      </w:r>
      <w:r w:rsidR="00E50516" w:rsidRPr="00D61BF2">
        <w:t>государственно</w:t>
      </w:r>
      <w:r w:rsidR="00E50516">
        <w:t>го</w:t>
      </w:r>
      <w:r w:rsidR="00E50516" w:rsidRPr="00D61BF2">
        <w:t xml:space="preserve"> автономно</w:t>
      </w:r>
      <w:r w:rsidR="00E50516">
        <w:t xml:space="preserve">го учреждения </w:t>
      </w:r>
      <w:r w:rsidRPr="009F015B">
        <w:t>Волгоградской области «Волгоградский областной бизнес-инкубатор»</w:t>
      </w:r>
      <w:r w:rsidR="00E50516">
        <w:t xml:space="preserve"> (далее – ГАУ Бизнес-инкубатор)</w:t>
      </w:r>
      <w:r w:rsidRPr="009F015B">
        <w:t xml:space="preserve"> за 2015-2017 годы</w:t>
      </w:r>
      <w:r>
        <w:t>.</w:t>
      </w:r>
    </w:p>
    <w:p w:rsidR="000447BE" w:rsidRPr="004A09B4" w:rsidRDefault="000447BE" w:rsidP="00D61BF2">
      <w:pPr>
        <w:ind w:firstLine="680"/>
        <w:jc w:val="both"/>
      </w:pPr>
      <w:r w:rsidRPr="004A09B4">
        <w:rPr>
          <w:u w:val="single"/>
        </w:rPr>
        <w:t xml:space="preserve">Сроки проведения </w:t>
      </w:r>
      <w:r>
        <w:rPr>
          <w:u w:val="single"/>
        </w:rPr>
        <w:t>контрольного мероприятия</w:t>
      </w:r>
      <w:r w:rsidRPr="004A09B4">
        <w:t xml:space="preserve">: </w:t>
      </w:r>
      <w:r w:rsidRPr="00427C02">
        <w:t xml:space="preserve">с </w:t>
      </w:r>
      <w:r w:rsidR="00D61BF2" w:rsidRPr="00270DD3">
        <w:t>10.05.2018 по 20 06.2018.</w:t>
      </w:r>
    </w:p>
    <w:p w:rsidR="00D61BF2" w:rsidRDefault="000447BE" w:rsidP="00D61BF2">
      <w:pPr>
        <w:ind w:firstLine="680"/>
        <w:jc w:val="both"/>
      </w:pPr>
      <w:r w:rsidRPr="004A09B4">
        <w:rPr>
          <w:u w:val="single"/>
        </w:rPr>
        <w:t>Объекты контроля</w:t>
      </w:r>
      <w:r w:rsidRPr="004A09B4">
        <w:t xml:space="preserve">: </w:t>
      </w:r>
    </w:p>
    <w:p w:rsidR="00D61BF2" w:rsidRPr="00D61BF2" w:rsidRDefault="00D61BF2" w:rsidP="00D61BF2">
      <w:pPr>
        <w:widowControl w:val="0"/>
        <w:tabs>
          <w:tab w:val="left" w:pos="2552"/>
        </w:tabs>
        <w:ind w:firstLine="680"/>
        <w:jc w:val="both"/>
      </w:pPr>
      <w:r w:rsidRPr="00D61BF2">
        <w:rPr>
          <w:b/>
        </w:rPr>
        <w:t xml:space="preserve">- </w:t>
      </w:r>
      <w:r w:rsidRPr="00D61BF2">
        <w:t>комитет экономической политики и развития Волгоградской области</w:t>
      </w:r>
      <w:r w:rsidR="004E6CBF">
        <w:t xml:space="preserve"> (далее – </w:t>
      </w:r>
      <w:proofErr w:type="spellStart"/>
      <w:r w:rsidR="004E6CBF">
        <w:t>Облкомэкономразвития</w:t>
      </w:r>
      <w:proofErr w:type="spellEnd"/>
      <w:r w:rsidR="004E6CBF">
        <w:t>)</w:t>
      </w:r>
      <w:r w:rsidRPr="00D61BF2">
        <w:t xml:space="preserve">; </w:t>
      </w:r>
    </w:p>
    <w:p w:rsidR="00E1583D" w:rsidRPr="001C46A4" w:rsidRDefault="00E1583D" w:rsidP="00E1583D">
      <w:pPr>
        <w:pStyle w:val="ConsPlusNormal"/>
        <w:ind w:firstLine="68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w:t>
      </w:r>
      <w:r w:rsidRPr="001C46A4">
        <w:rPr>
          <w:rFonts w:ascii="Times New Roman" w:eastAsiaTheme="minorHAnsi" w:hAnsi="Times New Roman" w:cs="Times New Roman"/>
          <w:sz w:val="24"/>
          <w:szCs w:val="24"/>
          <w:lang w:eastAsia="en-US"/>
        </w:rPr>
        <w:t>комитет образования, науки и молодежной политики Волгоградской области</w:t>
      </w:r>
      <w:r w:rsidR="00676F79">
        <w:rPr>
          <w:rFonts w:ascii="Times New Roman" w:eastAsiaTheme="minorHAnsi" w:hAnsi="Times New Roman" w:cs="Times New Roman"/>
          <w:sz w:val="24"/>
          <w:szCs w:val="24"/>
          <w:lang w:eastAsia="en-US"/>
        </w:rPr>
        <w:t xml:space="preserve"> </w:t>
      </w:r>
      <w:r w:rsidR="001F071B">
        <w:rPr>
          <w:rFonts w:ascii="Times New Roman" w:eastAsiaTheme="minorHAnsi" w:hAnsi="Times New Roman" w:cs="Times New Roman"/>
          <w:sz w:val="24"/>
          <w:szCs w:val="24"/>
          <w:lang w:eastAsia="en-US"/>
        </w:rPr>
        <w:t>(</w:t>
      </w:r>
      <w:r w:rsidR="00676F79">
        <w:rPr>
          <w:rFonts w:ascii="Times New Roman" w:eastAsiaTheme="minorHAnsi" w:hAnsi="Times New Roman" w:cs="Times New Roman"/>
          <w:sz w:val="24"/>
          <w:szCs w:val="24"/>
          <w:lang w:eastAsia="en-US"/>
        </w:rPr>
        <w:t xml:space="preserve">далее – </w:t>
      </w:r>
      <w:proofErr w:type="spellStart"/>
      <w:r w:rsidR="00676F79">
        <w:rPr>
          <w:rFonts w:ascii="Times New Roman" w:eastAsiaTheme="minorHAnsi" w:hAnsi="Times New Roman" w:cs="Times New Roman"/>
          <w:sz w:val="24"/>
          <w:szCs w:val="24"/>
          <w:lang w:eastAsia="en-US"/>
        </w:rPr>
        <w:t>Облко</w:t>
      </w:r>
      <w:r w:rsidR="001F071B">
        <w:rPr>
          <w:rFonts w:ascii="Times New Roman" w:eastAsiaTheme="minorHAnsi" w:hAnsi="Times New Roman" w:cs="Times New Roman"/>
          <w:sz w:val="24"/>
          <w:szCs w:val="24"/>
          <w:lang w:eastAsia="en-US"/>
        </w:rPr>
        <w:t>м</w:t>
      </w:r>
      <w:r w:rsidR="00676F79">
        <w:rPr>
          <w:rFonts w:ascii="Times New Roman" w:eastAsiaTheme="minorHAnsi" w:hAnsi="Times New Roman" w:cs="Times New Roman"/>
          <w:sz w:val="24"/>
          <w:szCs w:val="24"/>
          <w:lang w:eastAsia="en-US"/>
        </w:rPr>
        <w:t>образования</w:t>
      </w:r>
      <w:proofErr w:type="spellEnd"/>
      <w:r w:rsidR="00676F79">
        <w:rPr>
          <w:rFonts w:ascii="Times New Roman" w:eastAsiaTheme="minorHAnsi" w:hAnsi="Times New Roman" w:cs="Times New Roman"/>
          <w:sz w:val="24"/>
          <w:szCs w:val="24"/>
          <w:lang w:eastAsia="en-US"/>
        </w:rPr>
        <w:t>)</w:t>
      </w:r>
      <w:r>
        <w:rPr>
          <w:rFonts w:ascii="Times New Roman" w:eastAsiaTheme="minorHAnsi" w:hAnsi="Times New Roman" w:cs="Times New Roman"/>
          <w:sz w:val="24"/>
          <w:szCs w:val="24"/>
          <w:lang w:eastAsia="en-US"/>
        </w:rPr>
        <w:t xml:space="preserve">, который с </w:t>
      </w:r>
      <w:r w:rsidRPr="001C46A4">
        <w:rPr>
          <w:rFonts w:ascii="Times New Roman" w:eastAsiaTheme="minorHAnsi" w:hAnsi="Times New Roman" w:cs="Times New Roman"/>
          <w:sz w:val="24"/>
          <w:szCs w:val="24"/>
          <w:lang w:eastAsia="en-US"/>
        </w:rPr>
        <w:t xml:space="preserve"> </w:t>
      </w:r>
      <w:r w:rsidRPr="001C46A4">
        <w:rPr>
          <w:rFonts w:ascii="Times New Roman" w:hAnsi="Times New Roman" w:cs="Times New Roman"/>
          <w:sz w:val="24"/>
          <w:szCs w:val="24"/>
        </w:rPr>
        <w:t xml:space="preserve">01.01.2018 </w:t>
      </w:r>
      <w:r w:rsidRPr="001C46A4">
        <w:rPr>
          <w:rFonts w:ascii="Times New Roman" w:eastAsiaTheme="minorHAnsi" w:hAnsi="Times New Roman" w:cs="Times New Roman"/>
          <w:sz w:val="24"/>
          <w:szCs w:val="24"/>
          <w:lang w:eastAsia="en-US"/>
        </w:rPr>
        <w:t>является правопреемником комитета молодежной</w:t>
      </w:r>
      <w:r>
        <w:rPr>
          <w:rFonts w:ascii="Times New Roman" w:eastAsiaTheme="minorHAnsi" w:hAnsi="Times New Roman" w:cs="Times New Roman"/>
          <w:sz w:val="24"/>
          <w:szCs w:val="24"/>
          <w:lang w:eastAsia="en-US"/>
        </w:rPr>
        <w:t xml:space="preserve"> политики Волгоградской области (далее – </w:t>
      </w:r>
      <w:proofErr w:type="spellStart"/>
      <w:r>
        <w:rPr>
          <w:rFonts w:ascii="Times New Roman" w:eastAsiaTheme="minorHAnsi" w:hAnsi="Times New Roman" w:cs="Times New Roman"/>
          <w:sz w:val="24"/>
          <w:szCs w:val="24"/>
          <w:lang w:eastAsia="en-US"/>
        </w:rPr>
        <w:t>Облкоммолодежи</w:t>
      </w:r>
      <w:proofErr w:type="spellEnd"/>
      <w:r>
        <w:rPr>
          <w:rFonts w:ascii="Times New Roman" w:eastAsiaTheme="minorHAnsi" w:hAnsi="Times New Roman" w:cs="Times New Roman"/>
          <w:sz w:val="24"/>
          <w:szCs w:val="24"/>
          <w:lang w:eastAsia="en-US"/>
        </w:rPr>
        <w:t>);</w:t>
      </w:r>
    </w:p>
    <w:p w:rsidR="00E50516" w:rsidRDefault="00D61BF2" w:rsidP="00E50516">
      <w:pPr>
        <w:autoSpaceDE w:val="0"/>
        <w:autoSpaceDN w:val="0"/>
        <w:adjustRightInd w:val="0"/>
        <w:ind w:firstLine="680"/>
        <w:jc w:val="both"/>
        <w:rPr>
          <w:rFonts w:eastAsiaTheme="minorHAnsi"/>
          <w:bCs/>
          <w:lang w:eastAsia="en-US"/>
        </w:rPr>
      </w:pPr>
      <w:r w:rsidRPr="00D61BF2">
        <w:rPr>
          <w:b/>
        </w:rPr>
        <w:t>-</w:t>
      </w:r>
      <w:r w:rsidRPr="00D61BF2">
        <w:t xml:space="preserve"> организации, образующие инфраструктуру поддержки </w:t>
      </w:r>
      <w:r w:rsidR="00E50516">
        <w:t>СМСП</w:t>
      </w:r>
      <w:r w:rsidRPr="00D61BF2">
        <w:t xml:space="preserve"> Волгоградской области: </w:t>
      </w:r>
      <w:proofErr w:type="gramStart"/>
      <w:r w:rsidR="00E50516">
        <w:t xml:space="preserve">ГАУ </w:t>
      </w:r>
      <w:r w:rsidRPr="008D1E32">
        <w:t>Бизнес-инкубатор</w:t>
      </w:r>
      <w:r w:rsidR="00E50516">
        <w:t>;</w:t>
      </w:r>
      <w:r w:rsidRPr="00A52468">
        <w:t xml:space="preserve"> ассоциация (некоммерческое партнерство) «Гарантийный фонд Волгоградской области» (далее – Гарантийный фонд), государственный фонд «Региональный </w:t>
      </w:r>
      <w:proofErr w:type="spellStart"/>
      <w:r w:rsidRPr="00A52468">
        <w:t>микрофинансовый</w:t>
      </w:r>
      <w:proofErr w:type="spellEnd"/>
      <w:r w:rsidRPr="00A52468">
        <w:t xml:space="preserve"> центр» (далее - Микрофинансовый центр), </w:t>
      </w:r>
      <w:r w:rsidRPr="00A52468">
        <w:rPr>
          <w:iCs/>
        </w:rPr>
        <w:t xml:space="preserve">Фонд </w:t>
      </w:r>
      <w:proofErr w:type="spellStart"/>
      <w:r w:rsidRPr="00A52468">
        <w:rPr>
          <w:iCs/>
        </w:rPr>
        <w:t>микрофинансирования</w:t>
      </w:r>
      <w:proofErr w:type="spellEnd"/>
      <w:r w:rsidRPr="00A52468">
        <w:rPr>
          <w:iCs/>
        </w:rPr>
        <w:t xml:space="preserve"> предпринимательства Волгоградской области (</w:t>
      </w:r>
      <w:proofErr w:type="spellStart"/>
      <w:r w:rsidRPr="00A52468">
        <w:rPr>
          <w:iCs/>
        </w:rPr>
        <w:t>микрокредитная</w:t>
      </w:r>
      <w:proofErr w:type="spellEnd"/>
      <w:r w:rsidRPr="00A52468">
        <w:rPr>
          <w:iCs/>
        </w:rPr>
        <w:t xml:space="preserve"> компания</w:t>
      </w:r>
      <w:r w:rsidRPr="00E50516">
        <w:rPr>
          <w:iCs/>
        </w:rPr>
        <w:t>)</w:t>
      </w:r>
      <w:r w:rsidR="00E50516">
        <w:rPr>
          <w:iCs/>
        </w:rPr>
        <w:t xml:space="preserve"> (далее – Фонд </w:t>
      </w:r>
      <w:proofErr w:type="spellStart"/>
      <w:r w:rsidR="00E50516">
        <w:rPr>
          <w:iCs/>
        </w:rPr>
        <w:t>микрофинансирования</w:t>
      </w:r>
      <w:proofErr w:type="spellEnd"/>
      <w:r w:rsidR="00E50516">
        <w:rPr>
          <w:iCs/>
        </w:rPr>
        <w:t>)</w:t>
      </w:r>
      <w:r w:rsidRPr="00E50516">
        <w:rPr>
          <w:iCs/>
        </w:rPr>
        <w:t>;</w:t>
      </w:r>
      <w:r w:rsidRPr="00E1169F">
        <w:rPr>
          <w:rFonts w:eastAsiaTheme="minorHAnsi"/>
          <w:bCs/>
          <w:lang w:eastAsia="en-US"/>
        </w:rPr>
        <w:t xml:space="preserve"> </w:t>
      </w:r>
      <w:proofErr w:type="gramEnd"/>
    </w:p>
    <w:p w:rsidR="00E50516" w:rsidRPr="00262EAF" w:rsidRDefault="00E50516" w:rsidP="00E50516">
      <w:pPr>
        <w:autoSpaceDE w:val="0"/>
        <w:autoSpaceDN w:val="0"/>
        <w:adjustRightInd w:val="0"/>
        <w:ind w:firstLine="680"/>
        <w:jc w:val="both"/>
        <w:rPr>
          <w:color w:val="00B050"/>
        </w:rPr>
      </w:pPr>
      <w:r>
        <w:rPr>
          <w:rFonts w:eastAsiaTheme="minorHAnsi"/>
          <w:bCs/>
          <w:lang w:eastAsia="en-US"/>
        </w:rPr>
        <w:t xml:space="preserve">- </w:t>
      </w:r>
      <w:r w:rsidRPr="00262EAF">
        <w:t>ГКУ Волгоградской области «Многофункциональный центр предоставления государственных и муниципальных услуг»</w:t>
      </w:r>
      <w:r w:rsidRPr="00F373F1">
        <w:t xml:space="preserve"> </w:t>
      </w:r>
      <w:r>
        <w:t xml:space="preserve">(в отношении </w:t>
      </w:r>
      <w:r w:rsidR="009F19CA">
        <w:t xml:space="preserve">многофункциональных центров </w:t>
      </w:r>
      <w:r w:rsidRPr="00262EAF">
        <w:t xml:space="preserve"> для бизнеса на базе Волжского филиала</w:t>
      </w:r>
      <w:r>
        <w:t xml:space="preserve"> учреждения)</w:t>
      </w:r>
      <w:r w:rsidRPr="00262EAF">
        <w:t>;</w:t>
      </w:r>
    </w:p>
    <w:p w:rsidR="00D61BF2" w:rsidRDefault="00D61BF2" w:rsidP="00D61BF2">
      <w:pPr>
        <w:autoSpaceDE w:val="0"/>
        <w:autoSpaceDN w:val="0"/>
        <w:adjustRightInd w:val="0"/>
        <w:ind w:firstLine="680"/>
        <w:jc w:val="both"/>
        <w:rPr>
          <w:color w:val="00B050"/>
        </w:rPr>
      </w:pPr>
      <w:r w:rsidRPr="00E1169F">
        <w:rPr>
          <w:iCs/>
        </w:rPr>
        <w:lastRenderedPageBreak/>
        <w:t>-</w:t>
      </w:r>
      <w:r w:rsidRPr="00A52468">
        <w:t xml:space="preserve"> ООО «Центр молодежного инновационного творчества  «Лаборатория юных конструкторов» </w:t>
      </w:r>
      <w:proofErr w:type="gramStart"/>
      <w:r w:rsidRPr="00A52468">
        <w:t>и ООО</w:t>
      </w:r>
      <w:proofErr w:type="gramEnd"/>
      <w:r w:rsidRPr="00A52468">
        <w:t xml:space="preserve"> «Моделирование и информационные технологии»</w:t>
      </w:r>
      <w:r>
        <w:t xml:space="preserve"> </w:t>
      </w:r>
      <w:r w:rsidR="00E50516">
        <w:t xml:space="preserve">(далее – </w:t>
      </w:r>
      <w:proofErr w:type="spellStart"/>
      <w:r w:rsidR="00E50516">
        <w:t>ЦМИТ</w:t>
      </w:r>
      <w:r w:rsidR="00B162E7">
        <w:t>ы</w:t>
      </w:r>
      <w:proofErr w:type="spellEnd"/>
      <w:r w:rsidR="00E50516">
        <w:t xml:space="preserve">) </w:t>
      </w:r>
      <w:r w:rsidRPr="00A52468">
        <w:t xml:space="preserve">в </w:t>
      </w:r>
      <w:r w:rsidR="001F071B">
        <w:t>отношении</w:t>
      </w:r>
      <w:r w:rsidRPr="00A52468">
        <w:t xml:space="preserve"> использования средств субсидии на финансовое обеспечение части затрат, связанных с созданием и (или) обеспечением деятельности центра молоде</w:t>
      </w:r>
      <w:r w:rsidR="00E50516">
        <w:t>жного инновационного творчества</w:t>
      </w:r>
      <w:r>
        <w:t xml:space="preserve">. </w:t>
      </w:r>
    </w:p>
    <w:p w:rsidR="00E50516" w:rsidRDefault="000447BE" w:rsidP="000447BE">
      <w:pPr>
        <w:pStyle w:val="3"/>
        <w:spacing w:after="0" w:line="240" w:lineRule="auto"/>
        <w:ind w:left="0" w:firstLine="680"/>
        <w:jc w:val="both"/>
        <w:rPr>
          <w:rFonts w:ascii="Times New Roman" w:hAnsi="Times New Roman"/>
          <w:sz w:val="24"/>
          <w:szCs w:val="24"/>
        </w:rPr>
      </w:pPr>
      <w:r w:rsidRPr="00860A7C">
        <w:rPr>
          <w:rFonts w:ascii="Times New Roman" w:hAnsi="Times New Roman"/>
          <w:sz w:val="24"/>
          <w:szCs w:val="24"/>
        </w:rPr>
        <w:t>По результатам мероприятия составлен</w:t>
      </w:r>
      <w:r w:rsidR="00E50516">
        <w:rPr>
          <w:rFonts w:ascii="Times New Roman" w:hAnsi="Times New Roman"/>
          <w:sz w:val="24"/>
          <w:szCs w:val="24"/>
        </w:rPr>
        <w:t xml:space="preserve">о </w:t>
      </w:r>
      <w:r w:rsidR="0020177A">
        <w:rPr>
          <w:rFonts w:ascii="Times New Roman" w:hAnsi="Times New Roman"/>
          <w:sz w:val="24"/>
          <w:szCs w:val="24"/>
        </w:rPr>
        <w:t>9</w:t>
      </w:r>
      <w:r w:rsidRPr="00860A7C">
        <w:rPr>
          <w:rFonts w:ascii="Times New Roman" w:hAnsi="Times New Roman"/>
          <w:sz w:val="24"/>
          <w:szCs w:val="24"/>
        </w:rPr>
        <w:t xml:space="preserve"> акт</w:t>
      </w:r>
      <w:r w:rsidR="00E50516">
        <w:rPr>
          <w:rFonts w:ascii="Times New Roman" w:hAnsi="Times New Roman"/>
          <w:sz w:val="24"/>
          <w:szCs w:val="24"/>
        </w:rPr>
        <w:t>ов проверок.</w:t>
      </w:r>
    </w:p>
    <w:p w:rsidR="00F7526F" w:rsidRPr="00D354DE" w:rsidRDefault="00F7526F" w:rsidP="00F7526F">
      <w:pPr>
        <w:autoSpaceDE w:val="0"/>
        <w:autoSpaceDN w:val="0"/>
        <w:adjustRightInd w:val="0"/>
        <w:ind w:firstLine="680"/>
        <w:jc w:val="both"/>
      </w:pPr>
      <w:r>
        <w:t xml:space="preserve">Развитие предпринимательства на территории Волгоградской области анализировалось ранее в ходе </w:t>
      </w:r>
      <w:r w:rsidRPr="00561095">
        <w:t>проведенного параллельного с контрольно-счетными органами муниципальных образований Волгоградской области контрольного мероприятия «Проверка эффективного и целевого использования бюджетных средств, направленных на развитие и поддержку малого и среднего предпринимательства в Волгоградской области в 2012-2014 годах»</w:t>
      </w:r>
      <w:r>
        <w:t xml:space="preserve"> (далее – Проверка КСП за 2012-2014 годы).</w:t>
      </w:r>
    </w:p>
    <w:p w:rsidR="000447BE" w:rsidRDefault="000447BE" w:rsidP="000447BE">
      <w:pPr>
        <w:pStyle w:val="3"/>
        <w:spacing w:after="0" w:line="240" w:lineRule="auto"/>
        <w:ind w:left="0" w:firstLine="680"/>
        <w:jc w:val="center"/>
        <w:rPr>
          <w:rFonts w:ascii="Times New Roman" w:hAnsi="Times New Roman"/>
          <w:b/>
          <w:sz w:val="24"/>
          <w:szCs w:val="24"/>
        </w:rPr>
      </w:pPr>
    </w:p>
    <w:p w:rsidR="000447BE" w:rsidRPr="00E227D2" w:rsidRDefault="000447BE" w:rsidP="000447BE">
      <w:pPr>
        <w:pStyle w:val="3"/>
        <w:spacing w:after="0" w:line="240" w:lineRule="auto"/>
        <w:ind w:left="0" w:firstLine="680"/>
        <w:jc w:val="center"/>
        <w:rPr>
          <w:rFonts w:ascii="Times New Roman" w:hAnsi="Times New Roman"/>
          <w:b/>
          <w:sz w:val="24"/>
          <w:szCs w:val="24"/>
        </w:rPr>
      </w:pPr>
      <w:r w:rsidRPr="00E227D2">
        <w:rPr>
          <w:rFonts w:ascii="Times New Roman" w:hAnsi="Times New Roman"/>
          <w:b/>
          <w:sz w:val="24"/>
          <w:szCs w:val="24"/>
        </w:rPr>
        <w:t>Общая часть</w:t>
      </w:r>
    </w:p>
    <w:p w:rsidR="00A06D1F" w:rsidRDefault="00A06D1F" w:rsidP="00A06D1F">
      <w:pPr>
        <w:pStyle w:val="1"/>
        <w:spacing w:before="0" w:after="0"/>
        <w:ind w:firstLine="680"/>
        <w:jc w:val="both"/>
        <w:rPr>
          <w:rFonts w:ascii="Times New Roman" w:eastAsiaTheme="minorHAnsi" w:hAnsi="Times New Roman" w:cs="Times New Roman"/>
          <w:b w:val="0"/>
          <w:color w:val="auto"/>
        </w:rPr>
      </w:pPr>
      <w:r w:rsidRPr="00A06D1F">
        <w:rPr>
          <w:rFonts w:ascii="Times New Roman" w:eastAsiaTheme="minorHAnsi" w:hAnsi="Times New Roman" w:cs="Times New Roman"/>
          <w:b w:val="0"/>
          <w:color w:val="auto"/>
        </w:rPr>
        <w:t>Гос</w:t>
      </w:r>
      <w:r w:rsidR="00E1583D">
        <w:rPr>
          <w:rFonts w:ascii="Times New Roman" w:eastAsiaTheme="minorHAnsi" w:hAnsi="Times New Roman" w:cs="Times New Roman"/>
          <w:b w:val="0"/>
          <w:color w:val="auto"/>
        </w:rPr>
        <w:t>ударственная поддержка (далее – гос</w:t>
      </w:r>
      <w:r w:rsidRPr="00A06D1F">
        <w:rPr>
          <w:rFonts w:ascii="Times New Roman" w:eastAsiaTheme="minorHAnsi" w:hAnsi="Times New Roman" w:cs="Times New Roman"/>
          <w:b w:val="0"/>
          <w:color w:val="auto"/>
        </w:rPr>
        <w:t>поддержка</w:t>
      </w:r>
      <w:r w:rsidR="00E1583D">
        <w:rPr>
          <w:rFonts w:ascii="Times New Roman" w:eastAsiaTheme="minorHAnsi" w:hAnsi="Times New Roman" w:cs="Times New Roman"/>
          <w:b w:val="0"/>
          <w:color w:val="auto"/>
        </w:rPr>
        <w:t>)</w:t>
      </w:r>
      <w:r w:rsidRPr="00A06D1F">
        <w:rPr>
          <w:rFonts w:ascii="Times New Roman" w:eastAsiaTheme="minorHAnsi" w:hAnsi="Times New Roman" w:cs="Times New Roman"/>
          <w:b w:val="0"/>
          <w:color w:val="auto"/>
        </w:rPr>
        <w:t xml:space="preserve"> СМСП </w:t>
      </w:r>
      <w:r>
        <w:rPr>
          <w:rFonts w:ascii="Times New Roman" w:eastAsiaTheme="minorHAnsi" w:hAnsi="Times New Roman" w:cs="Times New Roman"/>
          <w:b w:val="0"/>
          <w:color w:val="auto"/>
        </w:rPr>
        <w:t xml:space="preserve">в 2015-2016 годах осуществлялась в рамках реализации Подпрограммы </w:t>
      </w:r>
      <w:r w:rsidR="00373693" w:rsidRPr="00E70112">
        <w:rPr>
          <w:rFonts w:ascii="Times New Roman" w:hAnsi="Times New Roman"/>
          <w:b w:val="0"/>
          <w:color w:val="auto"/>
        </w:rPr>
        <w:t>Государственной программы Волгоградской области «Экономическое развитие и инновационная экономика»</w:t>
      </w:r>
      <w:r w:rsidR="00373693">
        <w:rPr>
          <w:rFonts w:ascii="Times New Roman" w:hAnsi="Times New Roman"/>
          <w:b w:val="0"/>
          <w:color w:val="auto"/>
        </w:rPr>
        <w:t xml:space="preserve"> на 2014-2016 годы, утвержденной постановлением Правительства Волгоградской области от 09.12.2013 № 696-п (далее – Госпрограмма № 696-п), </w:t>
      </w:r>
      <w:r>
        <w:rPr>
          <w:rFonts w:ascii="Times New Roman" w:eastAsiaTheme="minorHAnsi" w:hAnsi="Times New Roman" w:cs="Times New Roman"/>
          <w:b w:val="0"/>
          <w:color w:val="auto"/>
        </w:rPr>
        <w:t>с 2017 года осуществляется в рамках Подпрограммы Госпрограммы № 14-п.</w:t>
      </w:r>
    </w:p>
    <w:p w:rsidR="00A06D1F" w:rsidRDefault="00A06D1F" w:rsidP="00A06D1F">
      <w:pPr>
        <w:autoSpaceDE w:val="0"/>
        <w:autoSpaceDN w:val="0"/>
        <w:adjustRightInd w:val="0"/>
        <w:ind w:firstLine="680"/>
        <w:jc w:val="both"/>
        <w:rPr>
          <w:rFonts w:eastAsiaTheme="minorHAnsi"/>
          <w:lang w:eastAsia="en-US"/>
        </w:rPr>
      </w:pPr>
      <w:r w:rsidRPr="00E1583D">
        <w:rPr>
          <w:rFonts w:eastAsiaTheme="minorHAnsi"/>
          <w:u w:val="single"/>
          <w:lang w:eastAsia="en-US"/>
        </w:rPr>
        <w:t>Целью Подпрограммы</w:t>
      </w:r>
      <w:r>
        <w:rPr>
          <w:rFonts w:eastAsiaTheme="minorHAnsi"/>
          <w:lang w:eastAsia="en-US"/>
        </w:rPr>
        <w:t xml:space="preserve"> Госпрограммы № 14-п является </w:t>
      </w:r>
      <w:r w:rsidRPr="00445089">
        <w:rPr>
          <w:rFonts w:eastAsiaTheme="minorHAnsi"/>
          <w:lang w:eastAsia="en-US"/>
        </w:rPr>
        <w:t xml:space="preserve">увеличение доли </w:t>
      </w:r>
      <w:r>
        <w:rPr>
          <w:rFonts w:eastAsiaTheme="minorHAnsi"/>
          <w:lang w:eastAsia="en-US"/>
        </w:rPr>
        <w:t xml:space="preserve">СМСП </w:t>
      </w:r>
      <w:r w:rsidRPr="00445089">
        <w:rPr>
          <w:rFonts w:eastAsiaTheme="minorHAnsi"/>
          <w:lang w:eastAsia="en-US"/>
        </w:rPr>
        <w:t>в экономике Волгоградской области</w:t>
      </w:r>
      <w:r>
        <w:rPr>
          <w:rFonts w:eastAsiaTheme="minorHAnsi"/>
          <w:lang w:eastAsia="en-US"/>
        </w:rPr>
        <w:t xml:space="preserve">. </w:t>
      </w:r>
      <w:r w:rsidR="008931E8">
        <w:rPr>
          <w:rFonts w:eastAsiaTheme="minorHAnsi"/>
          <w:lang w:eastAsia="en-US"/>
        </w:rPr>
        <w:t>Подпрограммой Госпрограммы № 696-п определена цель в виде обеспечения устойчивого развития малого и среднего предпринимательства в Волгоградской области.</w:t>
      </w:r>
    </w:p>
    <w:p w:rsidR="00A06D1F" w:rsidRDefault="00A06D1F" w:rsidP="00A06D1F">
      <w:pPr>
        <w:autoSpaceDE w:val="0"/>
        <w:autoSpaceDN w:val="0"/>
        <w:adjustRightInd w:val="0"/>
        <w:ind w:firstLine="680"/>
        <w:jc w:val="both"/>
        <w:rPr>
          <w:rFonts w:eastAsiaTheme="minorHAnsi"/>
          <w:lang w:eastAsia="en-US"/>
        </w:rPr>
      </w:pPr>
      <w:r w:rsidRPr="00E1583D">
        <w:rPr>
          <w:rFonts w:eastAsiaTheme="minorHAnsi"/>
          <w:u w:val="single"/>
          <w:lang w:eastAsia="en-US"/>
        </w:rPr>
        <w:t>Задачами Подпрограммы</w:t>
      </w:r>
      <w:r w:rsidR="00004DD9">
        <w:rPr>
          <w:rFonts w:eastAsiaTheme="minorHAnsi"/>
          <w:u w:val="single"/>
          <w:lang w:eastAsia="en-US"/>
        </w:rPr>
        <w:t xml:space="preserve"> Госпрограммы № 14-</w:t>
      </w:r>
      <w:r w:rsidR="001E0BD7">
        <w:rPr>
          <w:rFonts w:eastAsiaTheme="minorHAnsi"/>
          <w:u w:val="single"/>
          <w:lang w:eastAsia="en-US"/>
        </w:rPr>
        <w:t>п</w:t>
      </w:r>
      <w:r w:rsidR="00152595">
        <w:rPr>
          <w:rFonts w:eastAsiaTheme="minorHAnsi"/>
          <w:u w:val="single"/>
          <w:lang w:eastAsia="en-US"/>
        </w:rPr>
        <w:t xml:space="preserve"> и</w:t>
      </w:r>
      <w:r w:rsidR="001E0BD7">
        <w:rPr>
          <w:rFonts w:eastAsiaTheme="minorHAnsi"/>
          <w:u w:val="single"/>
          <w:lang w:eastAsia="en-US"/>
        </w:rPr>
        <w:t xml:space="preserve"> Госпрограммы № 696-п</w:t>
      </w:r>
      <w:r>
        <w:rPr>
          <w:rFonts w:eastAsiaTheme="minorHAnsi"/>
          <w:lang w:eastAsia="en-US"/>
        </w:rPr>
        <w:t xml:space="preserve"> определены следующие:</w:t>
      </w:r>
    </w:p>
    <w:p w:rsidR="00A06D1F" w:rsidRPr="00445089" w:rsidRDefault="00A06D1F" w:rsidP="00A06D1F">
      <w:pPr>
        <w:autoSpaceDE w:val="0"/>
        <w:autoSpaceDN w:val="0"/>
        <w:adjustRightInd w:val="0"/>
        <w:ind w:firstLine="680"/>
        <w:jc w:val="both"/>
        <w:rPr>
          <w:rFonts w:eastAsiaTheme="minorHAnsi"/>
          <w:lang w:eastAsia="en-US"/>
        </w:rPr>
      </w:pPr>
      <w:r>
        <w:rPr>
          <w:rFonts w:eastAsiaTheme="minorHAnsi"/>
          <w:lang w:eastAsia="en-US"/>
        </w:rPr>
        <w:t xml:space="preserve">- </w:t>
      </w:r>
      <w:r w:rsidRPr="00445089">
        <w:rPr>
          <w:rFonts w:eastAsiaTheme="minorHAnsi"/>
          <w:lang w:eastAsia="en-US"/>
        </w:rPr>
        <w:t xml:space="preserve">сокращение издержек </w:t>
      </w:r>
      <w:r>
        <w:rPr>
          <w:rFonts w:eastAsiaTheme="minorHAnsi"/>
          <w:lang w:eastAsia="en-US"/>
        </w:rPr>
        <w:t>СМСП</w:t>
      </w:r>
      <w:r w:rsidRPr="00445089">
        <w:rPr>
          <w:rFonts w:eastAsiaTheme="minorHAnsi"/>
          <w:lang w:eastAsia="en-US"/>
        </w:rPr>
        <w:t xml:space="preserve"> на ведение предпринимательской деятельности;</w:t>
      </w:r>
    </w:p>
    <w:p w:rsidR="00A06D1F" w:rsidRPr="00445089" w:rsidRDefault="00A06D1F" w:rsidP="00A06D1F">
      <w:pPr>
        <w:autoSpaceDE w:val="0"/>
        <w:autoSpaceDN w:val="0"/>
        <w:adjustRightInd w:val="0"/>
        <w:ind w:firstLine="680"/>
        <w:jc w:val="both"/>
        <w:rPr>
          <w:rFonts w:eastAsiaTheme="minorHAnsi"/>
          <w:lang w:eastAsia="en-US"/>
        </w:rPr>
      </w:pPr>
      <w:r>
        <w:rPr>
          <w:rFonts w:eastAsiaTheme="minorHAnsi"/>
          <w:lang w:eastAsia="en-US"/>
        </w:rPr>
        <w:t xml:space="preserve">- </w:t>
      </w:r>
      <w:r w:rsidRPr="00445089">
        <w:rPr>
          <w:rFonts w:eastAsiaTheme="minorHAnsi"/>
          <w:lang w:eastAsia="en-US"/>
        </w:rPr>
        <w:t>развитие и повышение эффективности инфраструктуры поддержки малого и среднего предпринимательства;</w:t>
      </w:r>
    </w:p>
    <w:p w:rsidR="00A06D1F" w:rsidRPr="00445089" w:rsidRDefault="00A06D1F" w:rsidP="00A06D1F">
      <w:pPr>
        <w:autoSpaceDE w:val="0"/>
        <w:autoSpaceDN w:val="0"/>
        <w:adjustRightInd w:val="0"/>
        <w:ind w:firstLine="680"/>
        <w:jc w:val="both"/>
        <w:rPr>
          <w:rFonts w:eastAsiaTheme="minorHAnsi"/>
          <w:lang w:eastAsia="en-US"/>
        </w:rPr>
      </w:pPr>
      <w:r>
        <w:rPr>
          <w:rFonts w:eastAsiaTheme="minorHAnsi"/>
          <w:lang w:eastAsia="en-US"/>
        </w:rPr>
        <w:t xml:space="preserve">- </w:t>
      </w:r>
      <w:r w:rsidRPr="00445089">
        <w:rPr>
          <w:rFonts w:eastAsiaTheme="minorHAnsi"/>
          <w:lang w:eastAsia="en-US"/>
        </w:rPr>
        <w:t>развитие малого и среднего предпринимательства в муниципальных образованиях;</w:t>
      </w:r>
    </w:p>
    <w:p w:rsidR="001E0BD7" w:rsidRDefault="00A06D1F" w:rsidP="00A06D1F">
      <w:pPr>
        <w:autoSpaceDE w:val="0"/>
        <w:autoSpaceDN w:val="0"/>
        <w:adjustRightInd w:val="0"/>
        <w:ind w:firstLine="680"/>
        <w:jc w:val="both"/>
        <w:rPr>
          <w:rFonts w:eastAsiaTheme="minorHAnsi"/>
          <w:lang w:eastAsia="en-US"/>
        </w:rPr>
      </w:pPr>
      <w:r>
        <w:rPr>
          <w:rFonts w:eastAsiaTheme="minorHAnsi"/>
          <w:lang w:eastAsia="en-US"/>
        </w:rPr>
        <w:t xml:space="preserve">- </w:t>
      </w:r>
      <w:r w:rsidRPr="00445089">
        <w:rPr>
          <w:rFonts w:eastAsiaTheme="minorHAnsi"/>
          <w:lang w:eastAsia="en-US"/>
        </w:rPr>
        <w:t>развитие молодежного предпринимательства и подготовка кадров</w:t>
      </w:r>
      <w:r w:rsidR="001E0BD7">
        <w:rPr>
          <w:rFonts w:eastAsiaTheme="minorHAnsi"/>
          <w:lang w:eastAsia="en-US"/>
        </w:rPr>
        <w:t xml:space="preserve"> (Госпрограмма № 14-п);</w:t>
      </w:r>
    </w:p>
    <w:p w:rsidR="001E0BD7" w:rsidRDefault="001E0BD7" w:rsidP="00A06D1F">
      <w:pPr>
        <w:autoSpaceDE w:val="0"/>
        <w:autoSpaceDN w:val="0"/>
        <w:adjustRightInd w:val="0"/>
        <w:ind w:firstLine="680"/>
        <w:jc w:val="both"/>
        <w:rPr>
          <w:rFonts w:eastAsiaTheme="minorHAnsi"/>
          <w:bCs/>
          <w:lang w:eastAsia="en-US"/>
        </w:rPr>
      </w:pPr>
      <w:r>
        <w:rPr>
          <w:rFonts w:eastAsiaTheme="minorHAnsi"/>
          <w:lang w:eastAsia="en-US"/>
        </w:rPr>
        <w:t xml:space="preserve">- </w:t>
      </w:r>
      <w:r w:rsidRPr="008931E8">
        <w:rPr>
          <w:rFonts w:eastAsiaTheme="minorHAnsi"/>
          <w:bCs/>
          <w:lang w:eastAsia="en-US"/>
        </w:rPr>
        <w:t xml:space="preserve">содействие вовлечению жителей Волгоградской области в предпринимательскую деятельность, повышению общественной значимости и информированности </w:t>
      </w:r>
      <w:r>
        <w:rPr>
          <w:rFonts w:eastAsiaTheme="minorHAnsi"/>
          <w:bCs/>
          <w:lang w:eastAsia="en-US"/>
        </w:rPr>
        <w:t>СМСП (Подпрограмма № 696-п).</w:t>
      </w:r>
    </w:p>
    <w:p w:rsidR="00324F13" w:rsidRDefault="00324F13" w:rsidP="00324F13">
      <w:pPr>
        <w:autoSpaceDE w:val="0"/>
        <w:autoSpaceDN w:val="0"/>
        <w:adjustRightInd w:val="0"/>
        <w:ind w:firstLine="680"/>
        <w:jc w:val="both"/>
        <w:rPr>
          <w:rFonts w:eastAsiaTheme="minorHAnsi"/>
          <w:lang w:eastAsia="en-US"/>
        </w:rPr>
      </w:pPr>
      <w:r>
        <w:rPr>
          <w:rFonts w:eastAsiaTheme="minorHAnsi"/>
          <w:lang w:eastAsia="en-US"/>
        </w:rPr>
        <w:t xml:space="preserve">Ответственным исполнителем Подпрограммы является </w:t>
      </w:r>
      <w:proofErr w:type="spellStart"/>
      <w:r>
        <w:rPr>
          <w:rFonts w:eastAsiaTheme="minorHAnsi"/>
          <w:lang w:eastAsia="en-US"/>
        </w:rPr>
        <w:t>Облкомэкономразвития</w:t>
      </w:r>
      <w:proofErr w:type="spellEnd"/>
      <w:r>
        <w:rPr>
          <w:rFonts w:eastAsiaTheme="minorHAnsi"/>
          <w:lang w:eastAsia="en-US"/>
        </w:rPr>
        <w:t xml:space="preserve">, соисполнителями - </w:t>
      </w:r>
      <w:proofErr w:type="spellStart"/>
      <w:r>
        <w:rPr>
          <w:rFonts w:eastAsiaTheme="minorHAnsi"/>
          <w:lang w:eastAsia="en-US"/>
        </w:rPr>
        <w:t>Облкоммолодежи</w:t>
      </w:r>
      <w:proofErr w:type="spellEnd"/>
      <w:r>
        <w:rPr>
          <w:rFonts w:eastAsiaTheme="minorHAnsi"/>
          <w:lang w:eastAsia="en-US"/>
        </w:rPr>
        <w:t xml:space="preserve"> и </w:t>
      </w:r>
      <w:r w:rsidR="00FA6F7F">
        <w:rPr>
          <w:rFonts w:eastAsiaTheme="minorHAnsi"/>
          <w:lang w:eastAsia="en-US"/>
        </w:rPr>
        <w:t xml:space="preserve">комитет по управлению государственным имуществом Волгоградской области (далее – </w:t>
      </w:r>
      <w:proofErr w:type="spellStart"/>
      <w:r>
        <w:rPr>
          <w:rFonts w:eastAsiaTheme="minorHAnsi"/>
          <w:lang w:eastAsia="en-US"/>
        </w:rPr>
        <w:t>Облкомимущество</w:t>
      </w:r>
      <w:proofErr w:type="spellEnd"/>
      <w:r w:rsidR="00FA6F7F">
        <w:rPr>
          <w:rFonts w:eastAsiaTheme="minorHAnsi"/>
          <w:lang w:eastAsia="en-US"/>
        </w:rPr>
        <w:t>)</w:t>
      </w:r>
      <w:r>
        <w:rPr>
          <w:rFonts w:eastAsiaTheme="minorHAnsi"/>
          <w:lang w:eastAsia="en-US"/>
        </w:rPr>
        <w:t xml:space="preserve"> (по Госпрограмме № 14-п).</w:t>
      </w:r>
    </w:p>
    <w:p w:rsidR="00A06D1F" w:rsidRDefault="006A0EB7" w:rsidP="005E5CCF">
      <w:pPr>
        <w:ind w:firstLine="709"/>
        <w:jc w:val="both"/>
        <w:rPr>
          <w:rFonts w:eastAsiaTheme="minorHAnsi"/>
          <w:lang w:eastAsia="en-US"/>
        </w:rPr>
      </w:pPr>
      <w:r>
        <w:t xml:space="preserve">В проверяемый период </w:t>
      </w:r>
      <w:r w:rsidRPr="005E5CCF">
        <w:rPr>
          <w:u w:val="single"/>
        </w:rPr>
        <w:t>о</w:t>
      </w:r>
      <w:r w:rsidR="00A06D1F" w:rsidRPr="005E5CCF">
        <w:rPr>
          <w:rFonts w:eastAsiaTheme="minorHAnsi"/>
          <w:u w:val="single"/>
          <w:lang w:eastAsia="en-US"/>
        </w:rPr>
        <w:t>б</w:t>
      </w:r>
      <w:r w:rsidR="00A06D1F" w:rsidRPr="000D16B7">
        <w:rPr>
          <w:rFonts w:eastAsiaTheme="minorHAnsi"/>
          <w:u w:val="single"/>
          <w:lang w:eastAsia="en-US"/>
        </w:rPr>
        <w:t>щий объем финансирования мероприятий Подпрограммы</w:t>
      </w:r>
      <w:r w:rsidR="00324F13">
        <w:rPr>
          <w:rFonts w:eastAsiaTheme="minorHAnsi"/>
          <w:u w:val="single"/>
          <w:lang w:eastAsia="en-US"/>
        </w:rPr>
        <w:t xml:space="preserve"> </w:t>
      </w:r>
      <w:r w:rsidR="00A06D1F" w:rsidRPr="000D16B7">
        <w:rPr>
          <w:rFonts w:eastAsiaTheme="minorHAnsi"/>
          <w:u w:val="single"/>
          <w:lang w:eastAsia="en-US"/>
        </w:rPr>
        <w:t>составляет</w:t>
      </w:r>
      <w:r w:rsidR="00A06D1F">
        <w:rPr>
          <w:rFonts w:eastAsiaTheme="minorHAnsi"/>
          <w:lang w:eastAsia="en-US"/>
        </w:rPr>
        <w:t xml:space="preserve">: на 2017 год </w:t>
      </w:r>
      <w:r w:rsidR="00285C09">
        <w:rPr>
          <w:rFonts w:eastAsiaTheme="minorHAnsi"/>
          <w:lang w:eastAsia="en-US"/>
        </w:rPr>
        <w:t>–</w:t>
      </w:r>
      <w:r w:rsidR="00A06D1F">
        <w:rPr>
          <w:rFonts w:eastAsiaTheme="minorHAnsi"/>
          <w:lang w:eastAsia="en-US"/>
        </w:rPr>
        <w:t xml:space="preserve"> 16</w:t>
      </w:r>
      <w:r w:rsidR="00285C09">
        <w:rPr>
          <w:rFonts w:eastAsiaTheme="minorHAnsi"/>
          <w:lang w:eastAsia="en-US"/>
        </w:rPr>
        <w:t>1,0 млн.</w:t>
      </w:r>
      <w:r w:rsidR="00A06D1F">
        <w:rPr>
          <w:rFonts w:eastAsiaTheme="minorHAnsi"/>
          <w:lang w:eastAsia="en-US"/>
        </w:rPr>
        <w:t xml:space="preserve"> руб. (федеральный бюджет – 124</w:t>
      </w:r>
      <w:r w:rsidR="00285C09">
        <w:rPr>
          <w:rFonts w:eastAsiaTheme="minorHAnsi"/>
          <w:lang w:eastAsia="en-US"/>
        </w:rPr>
        <w:t>,4 млн.</w:t>
      </w:r>
      <w:r w:rsidR="00A06D1F">
        <w:rPr>
          <w:rFonts w:eastAsiaTheme="minorHAnsi"/>
          <w:lang w:eastAsia="en-US"/>
        </w:rPr>
        <w:t xml:space="preserve"> руб., областной бюджет – 35</w:t>
      </w:r>
      <w:r w:rsidR="00285C09">
        <w:rPr>
          <w:rFonts w:eastAsiaTheme="minorHAnsi"/>
          <w:lang w:eastAsia="en-US"/>
        </w:rPr>
        <w:t>,9 млн.</w:t>
      </w:r>
      <w:r w:rsidR="00A06D1F">
        <w:rPr>
          <w:rFonts w:eastAsiaTheme="minorHAnsi"/>
          <w:lang w:eastAsia="en-US"/>
        </w:rPr>
        <w:t xml:space="preserve"> руб., местный бюджет – </w:t>
      </w:r>
      <w:r w:rsidR="00285C09">
        <w:rPr>
          <w:rFonts w:eastAsiaTheme="minorHAnsi"/>
          <w:lang w:eastAsia="en-US"/>
        </w:rPr>
        <w:t>0,7 млн.</w:t>
      </w:r>
      <w:r w:rsidR="00A06D1F">
        <w:rPr>
          <w:rFonts w:eastAsiaTheme="minorHAnsi"/>
          <w:lang w:eastAsia="en-US"/>
        </w:rPr>
        <w:t xml:space="preserve"> руб.)</w:t>
      </w:r>
      <w:r w:rsidR="00EA56D1">
        <w:rPr>
          <w:rFonts w:eastAsiaTheme="minorHAnsi"/>
          <w:lang w:eastAsia="en-US"/>
        </w:rPr>
        <w:t>, или на 6,6% ниже объема предыдущего года без учета внебюджетных источников</w:t>
      </w:r>
      <w:r w:rsidR="00A06D1F">
        <w:rPr>
          <w:rFonts w:eastAsiaTheme="minorHAnsi"/>
          <w:lang w:eastAsia="en-US"/>
        </w:rPr>
        <w:t xml:space="preserve">; </w:t>
      </w:r>
      <w:proofErr w:type="gramStart"/>
      <w:r w:rsidR="00A06D1F">
        <w:rPr>
          <w:rFonts w:eastAsiaTheme="minorHAnsi"/>
          <w:lang w:eastAsia="en-US"/>
        </w:rPr>
        <w:t xml:space="preserve">на 2018 год – </w:t>
      </w:r>
      <w:r w:rsidR="00A06D1F" w:rsidRPr="00D27F84">
        <w:rPr>
          <w:rFonts w:eastAsiaTheme="minorHAnsi"/>
          <w:lang w:eastAsia="en-US"/>
        </w:rPr>
        <w:t>103</w:t>
      </w:r>
      <w:r w:rsidR="00285C09">
        <w:rPr>
          <w:rFonts w:eastAsiaTheme="minorHAnsi"/>
          <w:lang w:eastAsia="en-US"/>
        </w:rPr>
        <w:t>,8 млн.</w:t>
      </w:r>
      <w:r w:rsidR="00A06D1F">
        <w:rPr>
          <w:rFonts w:eastAsiaTheme="minorHAnsi"/>
          <w:lang w:eastAsia="en-US"/>
        </w:rPr>
        <w:t xml:space="preserve"> руб. (федеральный бюджет – </w:t>
      </w:r>
      <w:r w:rsidR="00A06D1F" w:rsidRPr="00D27F84">
        <w:rPr>
          <w:rFonts w:eastAsiaTheme="minorHAnsi"/>
          <w:lang w:eastAsia="en-US"/>
        </w:rPr>
        <w:t>47</w:t>
      </w:r>
      <w:r w:rsidR="00285C09">
        <w:rPr>
          <w:rFonts w:eastAsiaTheme="minorHAnsi"/>
          <w:lang w:eastAsia="en-US"/>
        </w:rPr>
        <w:t>,1 млн.</w:t>
      </w:r>
      <w:r w:rsidR="00A06D1F">
        <w:rPr>
          <w:rFonts w:eastAsiaTheme="minorHAnsi"/>
          <w:lang w:eastAsia="en-US"/>
        </w:rPr>
        <w:t xml:space="preserve"> руб., областной бюджет – </w:t>
      </w:r>
      <w:r w:rsidR="00A06D1F" w:rsidRPr="00D27F84">
        <w:rPr>
          <w:rFonts w:eastAsiaTheme="minorHAnsi"/>
          <w:lang w:eastAsia="en-US"/>
        </w:rPr>
        <w:t>55</w:t>
      </w:r>
      <w:r w:rsidR="00285C09">
        <w:rPr>
          <w:rFonts w:eastAsiaTheme="minorHAnsi"/>
          <w:lang w:eastAsia="en-US"/>
        </w:rPr>
        <w:t>,1 млн.</w:t>
      </w:r>
      <w:r w:rsidR="00A06D1F">
        <w:rPr>
          <w:rFonts w:eastAsiaTheme="minorHAnsi"/>
          <w:lang w:eastAsia="en-US"/>
        </w:rPr>
        <w:t xml:space="preserve"> руб., местный бюджет – 1</w:t>
      </w:r>
      <w:r w:rsidR="00285C09">
        <w:rPr>
          <w:rFonts w:eastAsiaTheme="minorHAnsi"/>
          <w:lang w:eastAsia="en-US"/>
        </w:rPr>
        <w:t>,6 млн.</w:t>
      </w:r>
      <w:r w:rsidR="00A06D1F">
        <w:rPr>
          <w:rFonts w:eastAsiaTheme="minorHAnsi"/>
          <w:lang w:eastAsia="en-US"/>
        </w:rPr>
        <w:t xml:space="preserve"> руб.).</w:t>
      </w:r>
      <w:proofErr w:type="gramEnd"/>
    </w:p>
    <w:p w:rsidR="00A06D1F" w:rsidRPr="00EA56D1" w:rsidRDefault="00A06D1F" w:rsidP="00EA56D1">
      <w:pPr>
        <w:pStyle w:val="ConsPlusNormal"/>
        <w:ind w:firstLine="680"/>
        <w:jc w:val="both"/>
        <w:rPr>
          <w:rFonts w:ascii="Times New Roman" w:eastAsiaTheme="minorHAnsi" w:hAnsi="Times New Roman" w:cs="Times New Roman"/>
          <w:sz w:val="24"/>
          <w:szCs w:val="24"/>
          <w:lang w:eastAsia="en-US"/>
        </w:rPr>
      </w:pPr>
      <w:proofErr w:type="gramStart"/>
      <w:r w:rsidRPr="002236F6">
        <w:rPr>
          <w:rFonts w:ascii="Times New Roman" w:eastAsiaTheme="minorHAnsi" w:hAnsi="Times New Roman" w:cs="Times New Roman"/>
          <w:sz w:val="24"/>
          <w:szCs w:val="24"/>
          <w:lang w:eastAsia="en-US"/>
        </w:rPr>
        <w:t>Средства федерального бюджета в 2017 году предоставлялись Волгоградской области на основании Соглашения</w:t>
      </w:r>
      <w:r w:rsidRPr="002236F6">
        <w:rPr>
          <w:rFonts w:ascii="Times New Roman" w:hAnsi="Times New Roman" w:cs="Times New Roman"/>
          <w:sz w:val="24"/>
          <w:szCs w:val="24"/>
        </w:rPr>
        <w:t xml:space="preserve"> с Минэкономразвития Р</w:t>
      </w:r>
      <w:r w:rsidR="005E5CCF">
        <w:rPr>
          <w:rFonts w:ascii="Times New Roman" w:hAnsi="Times New Roman" w:cs="Times New Roman"/>
          <w:sz w:val="24"/>
          <w:szCs w:val="24"/>
        </w:rPr>
        <w:t xml:space="preserve">Ф </w:t>
      </w:r>
      <w:r w:rsidRPr="002236F6">
        <w:rPr>
          <w:rFonts w:ascii="Times New Roman" w:hAnsi="Times New Roman" w:cs="Times New Roman"/>
          <w:sz w:val="24"/>
          <w:szCs w:val="24"/>
        </w:rPr>
        <w:t>о предоставлении субсидии на государственную поддержку малого и среднего предпринимательства, включая крестьянские (фермерские) хозяйства от 20.02.2017 (далее – Соглашение с Минэкономразвити</w:t>
      </w:r>
      <w:r>
        <w:rPr>
          <w:rFonts w:ascii="Times New Roman" w:hAnsi="Times New Roman" w:cs="Times New Roman"/>
          <w:sz w:val="24"/>
          <w:szCs w:val="24"/>
        </w:rPr>
        <w:t>я на 2017 год)</w:t>
      </w:r>
      <w:r w:rsidR="00656ED5">
        <w:rPr>
          <w:rFonts w:ascii="Times New Roman" w:hAnsi="Times New Roman" w:cs="Times New Roman"/>
          <w:sz w:val="24"/>
          <w:szCs w:val="24"/>
        </w:rPr>
        <w:t>, согласно которому объем финансового обеспечения на реализацию мероприятий  составляет 155,5 млн. руб., в т.ч. за счет субсидии из федерального бюджета – 124,4</w:t>
      </w:r>
      <w:proofErr w:type="gramEnd"/>
      <w:r w:rsidR="00656ED5">
        <w:rPr>
          <w:rFonts w:ascii="Times New Roman" w:hAnsi="Times New Roman" w:cs="Times New Roman"/>
          <w:sz w:val="24"/>
          <w:szCs w:val="24"/>
        </w:rPr>
        <w:t xml:space="preserve"> млн. руб. (</w:t>
      </w:r>
      <w:r w:rsidR="00AC5D0C">
        <w:rPr>
          <w:rFonts w:ascii="Times New Roman" w:hAnsi="Times New Roman" w:cs="Times New Roman"/>
          <w:sz w:val="24"/>
          <w:szCs w:val="24"/>
        </w:rPr>
        <w:t xml:space="preserve">уровень софинансирования из федерального бюджета - </w:t>
      </w:r>
      <w:r w:rsidR="00656ED5">
        <w:rPr>
          <w:rFonts w:ascii="Times New Roman" w:hAnsi="Times New Roman" w:cs="Times New Roman"/>
          <w:sz w:val="24"/>
          <w:szCs w:val="24"/>
        </w:rPr>
        <w:t>80%).</w:t>
      </w:r>
      <w:r w:rsidR="00EA56D1">
        <w:rPr>
          <w:rFonts w:ascii="Times New Roman" w:hAnsi="Times New Roman" w:cs="Times New Roman"/>
          <w:sz w:val="24"/>
          <w:szCs w:val="24"/>
        </w:rPr>
        <w:t xml:space="preserve"> </w:t>
      </w:r>
      <w:r w:rsidRPr="00EA56D1">
        <w:rPr>
          <w:rFonts w:ascii="Times New Roman" w:eastAsiaTheme="minorHAnsi" w:hAnsi="Times New Roman" w:cs="Times New Roman"/>
          <w:sz w:val="24"/>
          <w:szCs w:val="24"/>
          <w:lang w:eastAsia="en-US"/>
        </w:rPr>
        <w:t xml:space="preserve">Согласно Соглашению с Минэкономразвития </w:t>
      </w:r>
      <w:r w:rsidR="005E5CCF" w:rsidRPr="00EA56D1">
        <w:rPr>
          <w:rFonts w:ascii="Times New Roman" w:eastAsiaTheme="minorHAnsi" w:hAnsi="Times New Roman" w:cs="Times New Roman"/>
          <w:sz w:val="24"/>
          <w:szCs w:val="24"/>
          <w:lang w:eastAsia="en-US"/>
        </w:rPr>
        <w:t xml:space="preserve">РФ </w:t>
      </w:r>
      <w:r w:rsidRPr="00EA56D1">
        <w:rPr>
          <w:rFonts w:ascii="Times New Roman" w:eastAsiaTheme="minorHAnsi" w:hAnsi="Times New Roman" w:cs="Times New Roman"/>
          <w:sz w:val="24"/>
          <w:szCs w:val="24"/>
          <w:lang w:eastAsia="en-US"/>
        </w:rPr>
        <w:t>на 2018 год, заключенному 09.02.2018, объем финанс</w:t>
      </w:r>
      <w:r w:rsidR="00AC5D0C" w:rsidRPr="00EA56D1">
        <w:rPr>
          <w:rFonts w:ascii="Times New Roman" w:eastAsiaTheme="minorHAnsi" w:hAnsi="Times New Roman" w:cs="Times New Roman"/>
          <w:sz w:val="24"/>
          <w:szCs w:val="24"/>
          <w:lang w:eastAsia="en-US"/>
        </w:rPr>
        <w:t xml:space="preserve">ового </w:t>
      </w:r>
      <w:r w:rsidR="00AC5D0C" w:rsidRPr="00EA56D1">
        <w:rPr>
          <w:rFonts w:ascii="Times New Roman" w:eastAsiaTheme="minorHAnsi" w:hAnsi="Times New Roman" w:cs="Times New Roman"/>
          <w:sz w:val="24"/>
          <w:szCs w:val="24"/>
          <w:lang w:eastAsia="en-US"/>
        </w:rPr>
        <w:lastRenderedPageBreak/>
        <w:t xml:space="preserve">обеспечения </w:t>
      </w:r>
      <w:r w:rsidRPr="00EA56D1">
        <w:rPr>
          <w:rFonts w:ascii="Times New Roman" w:eastAsiaTheme="minorHAnsi" w:hAnsi="Times New Roman" w:cs="Times New Roman"/>
          <w:sz w:val="24"/>
          <w:szCs w:val="24"/>
          <w:lang w:eastAsia="en-US"/>
        </w:rPr>
        <w:t>составляет 54</w:t>
      </w:r>
      <w:r w:rsidR="008E11CD" w:rsidRPr="00EA56D1">
        <w:rPr>
          <w:rFonts w:ascii="Times New Roman" w:eastAsiaTheme="minorHAnsi" w:hAnsi="Times New Roman" w:cs="Times New Roman"/>
          <w:sz w:val="24"/>
          <w:szCs w:val="24"/>
          <w:lang w:eastAsia="en-US"/>
        </w:rPr>
        <w:t>,8 млн.</w:t>
      </w:r>
      <w:r w:rsidRPr="00EA56D1">
        <w:rPr>
          <w:rFonts w:ascii="Times New Roman" w:eastAsiaTheme="minorHAnsi" w:hAnsi="Times New Roman" w:cs="Times New Roman"/>
          <w:sz w:val="24"/>
          <w:szCs w:val="24"/>
          <w:lang w:eastAsia="en-US"/>
        </w:rPr>
        <w:t xml:space="preserve"> руб.</w:t>
      </w:r>
      <w:r w:rsidR="005E5CCF" w:rsidRPr="00EA56D1">
        <w:rPr>
          <w:rFonts w:ascii="Times New Roman" w:eastAsiaTheme="minorHAnsi" w:hAnsi="Times New Roman" w:cs="Times New Roman"/>
          <w:sz w:val="24"/>
          <w:szCs w:val="24"/>
          <w:lang w:eastAsia="en-US"/>
        </w:rPr>
        <w:t xml:space="preserve"> (-64,8% к предыдущему году)</w:t>
      </w:r>
      <w:r w:rsidRPr="00EA56D1">
        <w:rPr>
          <w:rFonts w:ascii="Times New Roman" w:eastAsiaTheme="minorHAnsi" w:hAnsi="Times New Roman" w:cs="Times New Roman"/>
          <w:sz w:val="24"/>
          <w:szCs w:val="24"/>
          <w:lang w:eastAsia="en-US"/>
        </w:rPr>
        <w:t>, в т.ч. за счет субсидии из федерального бюджета – 47</w:t>
      </w:r>
      <w:r w:rsidR="008E11CD" w:rsidRPr="00EA56D1">
        <w:rPr>
          <w:rFonts w:ascii="Times New Roman" w:eastAsiaTheme="minorHAnsi" w:hAnsi="Times New Roman" w:cs="Times New Roman"/>
          <w:sz w:val="24"/>
          <w:szCs w:val="24"/>
          <w:lang w:eastAsia="en-US"/>
        </w:rPr>
        <w:t>,1 млн. руб</w:t>
      </w:r>
      <w:r w:rsidR="00AC5D0C" w:rsidRPr="00EA56D1">
        <w:rPr>
          <w:rFonts w:ascii="Times New Roman" w:eastAsiaTheme="minorHAnsi" w:hAnsi="Times New Roman" w:cs="Times New Roman"/>
          <w:sz w:val="24"/>
          <w:szCs w:val="24"/>
          <w:lang w:eastAsia="en-US"/>
        </w:rPr>
        <w:t xml:space="preserve">. </w:t>
      </w:r>
      <w:r w:rsidR="00AC5D0C" w:rsidRPr="00EA56D1">
        <w:rPr>
          <w:rFonts w:ascii="Times New Roman" w:hAnsi="Times New Roman" w:cs="Times New Roman"/>
          <w:sz w:val="24"/>
          <w:szCs w:val="24"/>
        </w:rPr>
        <w:t>(уровень софинансирования из федерального бюджета – 86%).</w:t>
      </w:r>
    </w:p>
    <w:p w:rsidR="00B619DF" w:rsidRDefault="00B619DF" w:rsidP="00B619DF">
      <w:pPr>
        <w:autoSpaceDE w:val="0"/>
        <w:autoSpaceDN w:val="0"/>
        <w:adjustRightInd w:val="0"/>
        <w:ind w:firstLine="680"/>
        <w:jc w:val="both"/>
        <w:rPr>
          <w:rFonts w:eastAsiaTheme="minorHAnsi"/>
          <w:lang w:eastAsia="en-US"/>
        </w:rPr>
      </w:pPr>
      <w:r w:rsidRPr="00B619DF">
        <w:rPr>
          <w:rFonts w:eastAsiaTheme="minorHAnsi"/>
          <w:lang w:eastAsia="en-US"/>
        </w:rPr>
        <w:t>Фактические расходы на исполнение</w:t>
      </w:r>
      <w:r>
        <w:rPr>
          <w:rFonts w:eastAsiaTheme="minorHAnsi"/>
          <w:lang w:eastAsia="en-US"/>
        </w:rPr>
        <w:t xml:space="preserve"> Подпрограммы в 2017 году составили 159,4 млн. руб. (федеральный бюджет – 124,4 млн. руб., областной бюджет – 34,3 млн. руб., местный бюджет – 0,7 млн. руб.)</w:t>
      </w:r>
      <w:r w:rsidR="001F071B">
        <w:rPr>
          <w:rFonts w:eastAsiaTheme="minorHAnsi"/>
          <w:lang w:eastAsia="en-US"/>
        </w:rPr>
        <w:t>,</w:t>
      </w:r>
      <w:r w:rsidR="001F071B" w:rsidRPr="001F071B">
        <w:rPr>
          <w:rFonts w:eastAsiaTheme="minorHAnsi"/>
          <w:lang w:eastAsia="en-US"/>
        </w:rPr>
        <w:t xml:space="preserve"> </w:t>
      </w:r>
      <w:r w:rsidR="001F071B">
        <w:rPr>
          <w:rFonts w:eastAsiaTheme="minorHAnsi"/>
          <w:lang w:eastAsia="en-US"/>
        </w:rPr>
        <w:t>или 99% от планируемого объема финансирования.</w:t>
      </w:r>
    </w:p>
    <w:p w:rsidR="00490D3B" w:rsidRPr="00490D3B" w:rsidRDefault="002437CF" w:rsidP="00490D3B">
      <w:pPr>
        <w:autoSpaceDE w:val="0"/>
        <w:autoSpaceDN w:val="0"/>
        <w:adjustRightInd w:val="0"/>
        <w:ind w:firstLine="680"/>
        <w:jc w:val="both"/>
        <w:rPr>
          <w:rFonts w:eastAsiaTheme="minorHAnsi"/>
          <w:lang w:eastAsia="en-US"/>
        </w:rPr>
      </w:pPr>
      <w:r>
        <w:rPr>
          <w:rFonts w:eastAsiaTheme="minorHAnsi"/>
          <w:lang w:eastAsia="en-US"/>
        </w:rPr>
        <w:t xml:space="preserve">В анализируемый период </w:t>
      </w:r>
      <w:r w:rsidRPr="002E7B96">
        <w:rPr>
          <w:rFonts w:eastAsiaTheme="minorHAnsi"/>
          <w:lang w:eastAsia="en-US"/>
        </w:rPr>
        <w:t xml:space="preserve">наблюдается уменьшение расходов на исполнение мероприятий Подпрограммы </w:t>
      </w:r>
      <w:r w:rsidR="00A44886" w:rsidRPr="002E7B96">
        <w:rPr>
          <w:rFonts w:eastAsiaTheme="minorHAnsi"/>
          <w:lang w:eastAsia="en-US"/>
        </w:rPr>
        <w:t>(</w:t>
      </w:r>
      <w:r w:rsidR="00A44886">
        <w:rPr>
          <w:rFonts w:eastAsiaTheme="minorHAnsi"/>
          <w:lang w:eastAsia="en-US"/>
        </w:rPr>
        <w:t xml:space="preserve">без учета внебюджетных источников) </w:t>
      </w:r>
      <w:r>
        <w:rPr>
          <w:rFonts w:eastAsiaTheme="minorHAnsi"/>
          <w:lang w:eastAsia="en-US"/>
        </w:rPr>
        <w:t xml:space="preserve">с </w:t>
      </w:r>
      <w:r w:rsidR="00A44886">
        <w:rPr>
          <w:rFonts w:eastAsiaTheme="minorHAnsi"/>
          <w:lang w:eastAsia="en-US"/>
        </w:rPr>
        <w:t>484,5</w:t>
      </w:r>
      <w:r>
        <w:rPr>
          <w:rFonts w:eastAsiaTheme="minorHAnsi"/>
          <w:lang w:eastAsia="en-US"/>
        </w:rPr>
        <w:t xml:space="preserve"> млн. руб. в 2015 году до </w:t>
      </w:r>
      <w:r w:rsidR="00A44886">
        <w:rPr>
          <w:rFonts w:eastAsiaTheme="minorHAnsi"/>
          <w:bCs/>
          <w:lang w:eastAsia="en-US"/>
        </w:rPr>
        <w:t xml:space="preserve">172,3 млн. руб. в 2016 году (-64,4% к предыдущему году) </w:t>
      </w:r>
      <w:r>
        <w:rPr>
          <w:rFonts w:eastAsiaTheme="minorHAnsi"/>
          <w:lang w:eastAsia="en-US"/>
        </w:rPr>
        <w:t>и 159,4 млн. руб. в 2017 году</w:t>
      </w:r>
      <w:r w:rsidR="00A44886">
        <w:rPr>
          <w:rFonts w:eastAsiaTheme="minorHAnsi"/>
          <w:lang w:eastAsia="en-US"/>
        </w:rPr>
        <w:t xml:space="preserve"> (-7,5% к предыдущему году)</w:t>
      </w:r>
      <w:r w:rsidR="007B7FFA">
        <w:rPr>
          <w:rFonts w:eastAsiaTheme="minorHAnsi"/>
          <w:lang w:eastAsia="en-US"/>
        </w:rPr>
        <w:t>, что связано</w:t>
      </w:r>
      <w:r w:rsidR="007B7FFA">
        <w:rPr>
          <w:rFonts w:eastAsiaTheme="minorHAnsi"/>
          <w:bCs/>
          <w:lang w:eastAsia="en-US"/>
        </w:rPr>
        <w:t xml:space="preserve"> с изме</w:t>
      </w:r>
      <w:r w:rsidR="00490D3B">
        <w:rPr>
          <w:rFonts w:eastAsiaTheme="minorHAnsi"/>
          <w:bCs/>
          <w:lang w:eastAsia="en-US"/>
        </w:rPr>
        <w:t xml:space="preserve">нением мероприятий Подпрограммы. На значительное </w:t>
      </w:r>
      <w:r w:rsidR="00490D3B" w:rsidRPr="00490D3B">
        <w:rPr>
          <w:rFonts w:eastAsiaTheme="minorHAnsi"/>
          <w:lang w:eastAsia="en-US"/>
        </w:rPr>
        <w:t xml:space="preserve">сокращение объемов финансирования в основном повлияло уменьшение  </w:t>
      </w:r>
      <w:r w:rsidR="00490D3B">
        <w:rPr>
          <w:rFonts w:eastAsiaTheme="minorHAnsi"/>
          <w:lang w:eastAsia="en-US"/>
        </w:rPr>
        <w:t>расходов по</w:t>
      </w:r>
      <w:r w:rsidR="00490D3B" w:rsidRPr="00490D3B">
        <w:rPr>
          <w:rFonts w:eastAsiaTheme="minorHAnsi"/>
          <w:lang w:eastAsia="en-US"/>
        </w:rPr>
        <w:t xml:space="preserve"> субсидированию части затрат непосредственно СМСП на различные цели. Начиная с 2017 года, господдержка напрямую СМСП не оказывается, а осуществляется через организации инфраструктуры поддержки СМСП.</w:t>
      </w:r>
    </w:p>
    <w:p w:rsidR="007B7FFA" w:rsidRDefault="007B7FFA" w:rsidP="007B7FFA">
      <w:pPr>
        <w:autoSpaceDE w:val="0"/>
        <w:autoSpaceDN w:val="0"/>
        <w:adjustRightInd w:val="0"/>
        <w:ind w:firstLine="680"/>
        <w:jc w:val="both"/>
        <w:rPr>
          <w:rFonts w:eastAsiaTheme="minorHAnsi"/>
          <w:lang w:eastAsia="en-US"/>
        </w:rPr>
      </w:pPr>
      <w:r>
        <w:rPr>
          <w:rFonts w:eastAsiaTheme="minorHAnsi"/>
          <w:lang w:eastAsia="en-US"/>
        </w:rPr>
        <w:t>Гос</w:t>
      </w:r>
      <w:r w:rsidRPr="006F7A0A">
        <w:t>программ</w:t>
      </w:r>
      <w:r>
        <w:t>а</w:t>
      </w:r>
      <w:r w:rsidRPr="006F7A0A">
        <w:t xml:space="preserve"> № 14-п дополнена мероприяти</w:t>
      </w:r>
      <w:r>
        <w:t xml:space="preserve">ями </w:t>
      </w:r>
      <w:r w:rsidRPr="006F7A0A">
        <w:t>по созданию  многофункциональных центров для бизнеса</w:t>
      </w:r>
      <w:r>
        <w:t xml:space="preserve"> (далее – МФЦ для бизнеса),</w:t>
      </w:r>
      <w:r w:rsidRPr="00D66C97">
        <w:rPr>
          <w:rFonts w:eastAsiaTheme="minorHAnsi"/>
          <w:lang w:eastAsia="en-US"/>
        </w:rPr>
        <w:t xml:space="preserve"> </w:t>
      </w:r>
      <w:proofErr w:type="spellStart"/>
      <w:r>
        <w:rPr>
          <w:rFonts w:eastAsiaTheme="minorHAnsi"/>
          <w:lang w:eastAsia="en-US"/>
        </w:rPr>
        <w:t>ЦМИТов</w:t>
      </w:r>
      <w:proofErr w:type="spellEnd"/>
      <w:r w:rsidRPr="00D66C97">
        <w:t xml:space="preserve">, </w:t>
      </w:r>
      <w:proofErr w:type="spellStart"/>
      <w:r w:rsidRPr="00D66C97">
        <w:t>микрофинансовой</w:t>
      </w:r>
      <w:proofErr w:type="spellEnd"/>
      <w:r w:rsidRPr="006F7A0A">
        <w:t xml:space="preserve"> организации первого уровня</w:t>
      </w:r>
      <w:r>
        <w:t xml:space="preserve">, финансированию  муниципальных программ развития малого и среднего предпринимательства </w:t>
      </w:r>
      <w:proofErr w:type="spellStart"/>
      <w:r>
        <w:t>монопрофильных</w:t>
      </w:r>
      <w:proofErr w:type="spellEnd"/>
      <w:r>
        <w:t xml:space="preserve"> муниципальных образований. </w:t>
      </w:r>
    </w:p>
    <w:p w:rsidR="002E7B96" w:rsidRDefault="007B7FFA" w:rsidP="007B7FFA">
      <w:pPr>
        <w:ind w:firstLine="680"/>
        <w:jc w:val="both"/>
        <w:rPr>
          <w:rFonts w:eastAsiaTheme="minorHAnsi"/>
          <w:iCs/>
          <w:lang w:eastAsia="en-US"/>
        </w:rPr>
      </w:pPr>
      <w:r w:rsidRPr="00490D3B">
        <w:rPr>
          <w:rFonts w:eastAsia="Times New Roman"/>
        </w:rPr>
        <w:t>В Госпрограмму № 14-п внесены изменения от 22.01.2018, согласно которым Подпрограмма дополнена следующими мероприятиями:</w:t>
      </w:r>
      <w:r w:rsidR="00152595" w:rsidRPr="00490D3B">
        <w:rPr>
          <w:rFonts w:eastAsia="Times New Roman"/>
        </w:rPr>
        <w:t xml:space="preserve"> </w:t>
      </w:r>
      <w:r w:rsidRPr="00490D3B">
        <w:rPr>
          <w:rFonts w:eastAsia="Times New Roman"/>
        </w:rPr>
        <w:t>с</w:t>
      </w:r>
      <w:r w:rsidRPr="00490D3B">
        <w:rPr>
          <w:rFonts w:eastAsiaTheme="minorHAnsi"/>
          <w:lang w:eastAsia="en-US"/>
        </w:rPr>
        <w:t>оздание и (или) развитие центра инноваций социальной сферы</w:t>
      </w:r>
      <w:r w:rsidR="00632B4E" w:rsidRPr="00490D3B">
        <w:rPr>
          <w:rFonts w:eastAsiaTheme="minorHAnsi"/>
          <w:lang w:eastAsia="en-US"/>
        </w:rPr>
        <w:t xml:space="preserve">, </w:t>
      </w:r>
      <w:r w:rsidRPr="00490D3B">
        <w:rPr>
          <w:rFonts w:eastAsiaTheme="minorHAnsi"/>
          <w:lang w:eastAsia="en-US"/>
        </w:rPr>
        <w:t>центра народно-художественных промыслов</w:t>
      </w:r>
      <w:r w:rsidR="002E7B96" w:rsidRPr="00490D3B">
        <w:rPr>
          <w:rFonts w:eastAsiaTheme="minorHAnsi"/>
          <w:lang w:eastAsia="en-US"/>
        </w:rPr>
        <w:t>,</w:t>
      </w:r>
      <w:r w:rsidR="00632B4E" w:rsidRPr="00490D3B">
        <w:rPr>
          <w:rFonts w:eastAsiaTheme="minorHAnsi"/>
          <w:lang w:eastAsia="en-US"/>
        </w:rPr>
        <w:t xml:space="preserve"> центра кластерного развития</w:t>
      </w:r>
      <w:r w:rsidR="00152595" w:rsidRPr="00490D3B">
        <w:rPr>
          <w:rFonts w:eastAsiaTheme="minorHAnsi"/>
          <w:lang w:eastAsia="en-US"/>
        </w:rPr>
        <w:t xml:space="preserve"> и</w:t>
      </w:r>
      <w:r w:rsidR="00632B4E" w:rsidRPr="00490D3B">
        <w:rPr>
          <w:rFonts w:eastAsiaTheme="minorHAnsi"/>
          <w:lang w:eastAsia="en-US"/>
        </w:rPr>
        <w:t xml:space="preserve"> </w:t>
      </w:r>
      <w:r w:rsidRPr="00490D3B">
        <w:rPr>
          <w:rFonts w:eastAsiaTheme="minorHAnsi"/>
          <w:iCs/>
          <w:lang w:eastAsia="en-US"/>
        </w:rPr>
        <w:t xml:space="preserve">центра </w:t>
      </w:r>
      <w:proofErr w:type="spellStart"/>
      <w:r w:rsidRPr="00490D3B">
        <w:rPr>
          <w:rFonts w:eastAsiaTheme="minorHAnsi"/>
          <w:iCs/>
          <w:lang w:eastAsia="en-US"/>
        </w:rPr>
        <w:t>прототипирования</w:t>
      </w:r>
      <w:proofErr w:type="spellEnd"/>
      <w:r w:rsidRPr="00490D3B">
        <w:rPr>
          <w:rFonts w:eastAsiaTheme="minorHAnsi"/>
          <w:iCs/>
          <w:lang w:eastAsia="en-US"/>
        </w:rPr>
        <w:t xml:space="preserve"> В</w:t>
      </w:r>
      <w:r w:rsidR="00632B4E" w:rsidRPr="00490D3B">
        <w:rPr>
          <w:rFonts w:eastAsiaTheme="minorHAnsi"/>
          <w:iCs/>
          <w:lang w:eastAsia="en-US"/>
        </w:rPr>
        <w:t xml:space="preserve">олгоградской области. </w:t>
      </w:r>
      <w:r w:rsidR="002E7B96" w:rsidRPr="00490D3B">
        <w:rPr>
          <w:rFonts w:eastAsiaTheme="minorHAnsi"/>
          <w:iCs/>
          <w:lang w:eastAsia="en-US"/>
        </w:rPr>
        <w:t>При этом согласно С</w:t>
      </w:r>
      <w:r w:rsidR="00152595" w:rsidRPr="00490D3B">
        <w:rPr>
          <w:rFonts w:eastAsiaTheme="minorHAnsi"/>
          <w:iCs/>
          <w:lang w:eastAsia="en-US"/>
        </w:rPr>
        <w:t xml:space="preserve">оглашению с Минэкономразвития </w:t>
      </w:r>
      <w:r w:rsidR="00490D3B" w:rsidRPr="00490D3B">
        <w:rPr>
          <w:rFonts w:eastAsiaTheme="minorHAnsi"/>
          <w:iCs/>
          <w:lang w:eastAsia="en-US"/>
        </w:rPr>
        <w:t xml:space="preserve">РФ </w:t>
      </w:r>
      <w:r w:rsidR="00152595" w:rsidRPr="00490D3B">
        <w:rPr>
          <w:rFonts w:eastAsiaTheme="minorHAnsi"/>
          <w:iCs/>
          <w:lang w:eastAsia="en-US"/>
        </w:rPr>
        <w:t xml:space="preserve">на 2018 год финансирование предусмотрено только на </w:t>
      </w:r>
      <w:r w:rsidR="002E7B96" w:rsidRPr="00490D3B">
        <w:rPr>
          <w:rFonts w:eastAsiaTheme="minorHAnsi"/>
          <w:iCs/>
          <w:lang w:eastAsia="en-US"/>
        </w:rPr>
        <w:t>создани</w:t>
      </w:r>
      <w:r w:rsidR="00152595" w:rsidRPr="00490D3B">
        <w:rPr>
          <w:rFonts w:eastAsiaTheme="minorHAnsi"/>
          <w:iCs/>
          <w:lang w:eastAsia="en-US"/>
        </w:rPr>
        <w:t>е центра инноваций социальной сферы.</w:t>
      </w:r>
      <w:r w:rsidR="002E7B96" w:rsidRPr="00490D3B">
        <w:rPr>
          <w:rFonts w:eastAsiaTheme="minorHAnsi"/>
          <w:iCs/>
          <w:lang w:eastAsia="en-US"/>
        </w:rPr>
        <w:t xml:space="preserve"> Заявки в Минэкономразвития РФ на предоставление субсидии в части других центров не направлялись.</w:t>
      </w:r>
      <w:r w:rsidR="002E7B96">
        <w:rPr>
          <w:rFonts w:eastAsiaTheme="minorHAnsi"/>
          <w:iCs/>
          <w:lang w:eastAsia="en-US"/>
        </w:rPr>
        <w:t xml:space="preserve"> </w:t>
      </w:r>
    </w:p>
    <w:p w:rsidR="007B7FFA" w:rsidRDefault="007B7FFA" w:rsidP="007B7FFA">
      <w:pPr>
        <w:autoSpaceDE w:val="0"/>
        <w:autoSpaceDN w:val="0"/>
        <w:adjustRightInd w:val="0"/>
        <w:ind w:firstLine="680"/>
        <w:jc w:val="both"/>
        <w:rPr>
          <w:rFonts w:eastAsiaTheme="minorHAnsi"/>
          <w:lang w:eastAsia="en-US"/>
        </w:rPr>
      </w:pPr>
      <w:r>
        <w:rPr>
          <w:rFonts w:eastAsiaTheme="minorHAnsi"/>
          <w:lang w:eastAsia="en-US"/>
        </w:rPr>
        <w:t xml:space="preserve">Информация о плановых и фактических расходах в разрезе мероприятий Подпрограммы за 2015-2017 годы приведена в </w:t>
      </w:r>
      <w:r w:rsidRPr="00004DD9">
        <w:rPr>
          <w:rFonts w:eastAsiaTheme="minorHAnsi"/>
          <w:color w:val="17365D" w:themeColor="text2" w:themeShade="BF"/>
          <w:lang w:eastAsia="en-US"/>
        </w:rPr>
        <w:t>приложении № 1</w:t>
      </w:r>
      <w:r w:rsidRPr="00004DD9">
        <w:rPr>
          <w:rFonts w:eastAsiaTheme="minorHAnsi"/>
          <w:lang w:eastAsia="en-US"/>
        </w:rPr>
        <w:t xml:space="preserve"> к настоящему отчету.</w:t>
      </w:r>
    </w:p>
    <w:p w:rsidR="00A06D1F" w:rsidRDefault="000164FE" w:rsidP="00A06D1F">
      <w:pPr>
        <w:ind w:firstLine="680"/>
        <w:jc w:val="both"/>
        <w:rPr>
          <w:rFonts w:eastAsia="Times New Roman"/>
        </w:rPr>
      </w:pPr>
      <w:r>
        <w:rPr>
          <w:rFonts w:eastAsia="Times New Roman"/>
        </w:rPr>
        <w:t xml:space="preserve">Следует отметить, что </w:t>
      </w:r>
      <w:r w:rsidR="00A06D1F" w:rsidRPr="003878AC">
        <w:rPr>
          <w:rFonts w:eastAsia="Times New Roman"/>
        </w:rPr>
        <w:t>в объем финансовых ресурсов, необходимых для реализации Подпрограммы</w:t>
      </w:r>
      <w:r w:rsidR="00B619DF" w:rsidRPr="003878AC">
        <w:rPr>
          <w:rFonts w:eastAsia="Times New Roman"/>
        </w:rPr>
        <w:t xml:space="preserve"> Госпрограммы № 14-п</w:t>
      </w:r>
      <w:r w:rsidR="00A06D1F" w:rsidRPr="003878AC">
        <w:rPr>
          <w:rFonts w:eastAsia="Times New Roman"/>
        </w:rPr>
        <w:t>, не включены внебюджетные источники</w:t>
      </w:r>
      <w:r w:rsidR="00A06D1F">
        <w:rPr>
          <w:rFonts w:eastAsia="Times New Roman"/>
        </w:rPr>
        <w:t>, как того требует п. 2.8 Порядка разработки, реализации и оценки эффективности реализации государственных программ Волгоградской области, утвержденного постановлением Правительства Волгоградской области от 27.08.2013 № 423-п (далее – Порядок разработки госпрограмм).</w:t>
      </w:r>
      <w:r w:rsidR="008E11CD">
        <w:rPr>
          <w:rFonts w:eastAsia="Times New Roman"/>
        </w:rPr>
        <w:t xml:space="preserve"> При этом</w:t>
      </w:r>
      <w:r w:rsidR="002437CF">
        <w:rPr>
          <w:rFonts w:eastAsia="Times New Roman"/>
        </w:rPr>
        <w:t xml:space="preserve"> </w:t>
      </w:r>
      <w:r w:rsidR="008E11CD">
        <w:rPr>
          <w:rFonts w:eastAsia="Times New Roman"/>
        </w:rPr>
        <w:t xml:space="preserve">на содержание ГАУ </w:t>
      </w:r>
      <w:r w:rsidR="00A06D1F">
        <w:rPr>
          <w:rFonts w:eastAsia="Times New Roman"/>
        </w:rPr>
        <w:t>Бизнес-инкубатор,</w:t>
      </w:r>
      <w:r w:rsidR="00CA1820">
        <w:rPr>
          <w:rFonts w:eastAsia="Times New Roman"/>
        </w:rPr>
        <w:t xml:space="preserve"> принимающего</w:t>
      </w:r>
      <w:r w:rsidR="002437CF">
        <w:rPr>
          <w:rFonts w:eastAsia="Times New Roman"/>
        </w:rPr>
        <w:t xml:space="preserve"> участие в реализации мероприятий Подпрограммы, используются внебюджетные источники - </w:t>
      </w:r>
      <w:r w:rsidR="00A06D1F">
        <w:rPr>
          <w:rFonts w:eastAsia="Times New Roman"/>
        </w:rPr>
        <w:t xml:space="preserve"> средства от приносящей доход деятельности (в т.ч. от сдачи в аренду помещений).  </w:t>
      </w:r>
    </w:p>
    <w:p w:rsidR="002A6631" w:rsidRDefault="002A6631" w:rsidP="001F0692">
      <w:pPr>
        <w:ind w:firstLine="680"/>
        <w:jc w:val="center"/>
        <w:rPr>
          <w:rFonts w:eastAsia="Times New Roman"/>
          <w:b/>
        </w:rPr>
      </w:pPr>
    </w:p>
    <w:p w:rsidR="00A416EC" w:rsidRPr="001F0692" w:rsidRDefault="001F0692" w:rsidP="001F0692">
      <w:pPr>
        <w:ind w:firstLine="680"/>
        <w:jc w:val="center"/>
        <w:rPr>
          <w:rFonts w:eastAsia="Times New Roman"/>
          <w:b/>
        </w:rPr>
      </w:pPr>
      <w:r w:rsidRPr="001F0692">
        <w:rPr>
          <w:rFonts w:eastAsia="Times New Roman"/>
          <w:b/>
        </w:rPr>
        <w:t>Создание и развитие инфраструктуры поддержки малого и среднего предпринимательства</w:t>
      </w:r>
    </w:p>
    <w:p w:rsidR="008A710F" w:rsidRDefault="00A416EC" w:rsidP="008A710F">
      <w:pPr>
        <w:ind w:firstLine="680"/>
        <w:jc w:val="both"/>
        <w:rPr>
          <w:rFonts w:eastAsia="Times New Roman"/>
        </w:rPr>
      </w:pPr>
      <w:r>
        <w:rPr>
          <w:rFonts w:eastAsiaTheme="minorHAnsi"/>
          <w:bCs/>
          <w:iCs/>
          <w:lang w:eastAsia="en-US"/>
        </w:rPr>
        <w:t>И</w:t>
      </w:r>
      <w:r w:rsidRPr="00A416EC">
        <w:rPr>
          <w:rFonts w:eastAsiaTheme="minorHAnsi"/>
          <w:bCs/>
          <w:iCs/>
          <w:lang w:eastAsia="en-US"/>
        </w:rPr>
        <w:t xml:space="preserve">нфраструктура </w:t>
      </w:r>
      <w:r w:rsidR="002E7B96">
        <w:rPr>
          <w:rFonts w:eastAsiaTheme="minorHAnsi"/>
          <w:bCs/>
          <w:iCs/>
          <w:lang w:eastAsia="en-US"/>
        </w:rPr>
        <w:t xml:space="preserve">поддержки малого и среднего бизнеса </w:t>
      </w:r>
      <w:r w:rsidRPr="00A416EC">
        <w:rPr>
          <w:rFonts w:eastAsiaTheme="minorHAnsi"/>
          <w:bCs/>
          <w:iCs/>
          <w:lang w:eastAsia="en-US"/>
        </w:rPr>
        <w:t xml:space="preserve">представлена </w:t>
      </w:r>
      <w:r w:rsidR="001831C7">
        <w:t xml:space="preserve">Гарантийным фондом, Микрофинансовым центром, Фондом </w:t>
      </w:r>
      <w:proofErr w:type="spellStart"/>
      <w:r w:rsidR="001831C7">
        <w:t>микрофинансирования</w:t>
      </w:r>
      <w:proofErr w:type="spellEnd"/>
      <w:r w:rsidR="001831C7">
        <w:rPr>
          <w:rFonts w:eastAsiaTheme="minorHAnsi"/>
          <w:bCs/>
          <w:iCs/>
          <w:lang w:eastAsia="en-US"/>
        </w:rPr>
        <w:t xml:space="preserve"> и </w:t>
      </w:r>
      <w:r>
        <w:rPr>
          <w:rFonts w:eastAsiaTheme="minorHAnsi"/>
          <w:bCs/>
          <w:iCs/>
          <w:lang w:eastAsia="en-US"/>
        </w:rPr>
        <w:t>ГАУ Бизнес-инкубато</w:t>
      </w:r>
      <w:r w:rsidR="008A710F">
        <w:rPr>
          <w:rFonts w:eastAsiaTheme="minorHAnsi"/>
          <w:bCs/>
          <w:iCs/>
          <w:lang w:eastAsia="en-US"/>
        </w:rPr>
        <w:t xml:space="preserve">р, на базе которого созданы </w:t>
      </w:r>
      <w:r w:rsidR="001F0692">
        <w:rPr>
          <w:rFonts w:eastAsiaTheme="minorHAnsi"/>
          <w:bCs/>
          <w:iCs/>
          <w:lang w:eastAsia="en-US"/>
        </w:rPr>
        <w:t>ц</w:t>
      </w:r>
      <w:r w:rsidR="008A710F" w:rsidRPr="008D1E32">
        <w:t>ентр инжиниринга Волгоградской области</w:t>
      </w:r>
      <w:r w:rsidR="008A710F">
        <w:t xml:space="preserve"> (далее – ЦИВО)</w:t>
      </w:r>
      <w:r w:rsidR="008A710F" w:rsidRPr="008D1E32">
        <w:t xml:space="preserve">, </w:t>
      </w:r>
      <w:r w:rsidR="001F0692">
        <w:t>ц</w:t>
      </w:r>
      <w:r w:rsidR="008A710F" w:rsidRPr="008D1E32">
        <w:t>ентр поддержки предпринимательства Волгоградской области</w:t>
      </w:r>
      <w:r w:rsidR="008A710F">
        <w:t xml:space="preserve"> (далее – ЦПП)</w:t>
      </w:r>
      <w:r w:rsidR="008A710F" w:rsidRPr="008D1E32">
        <w:t xml:space="preserve">, </w:t>
      </w:r>
      <w:r w:rsidR="001F0692">
        <w:t>ц</w:t>
      </w:r>
      <w:r w:rsidR="008A710F" w:rsidRPr="008D1E32">
        <w:t xml:space="preserve">ентр поддержки экспорта </w:t>
      </w:r>
      <w:r w:rsidR="008A710F" w:rsidRPr="00A52468">
        <w:t>Волгоградской области</w:t>
      </w:r>
      <w:r w:rsidR="008A710F">
        <w:t xml:space="preserve"> (далее - ЦПЭ</w:t>
      </w:r>
      <w:r w:rsidR="008A710F" w:rsidRPr="00A52468">
        <w:t>)</w:t>
      </w:r>
      <w:r w:rsidR="008A00C0">
        <w:t>, многофункциональными центрами для бизнеса</w:t>
      </w:r>
      <w:r w:rsidR="008A710F">
        <w:t xml:space="preserve">. </w:t>
      </w:r>
    </w:p>
    <w:p w:rsidR="000E3EED" w:rsidRPr="00881241" w:rsidRDefault="000E3EED" w:rsidP="000E3EED">
      <w:pPr>
        <w:ind w:left="34"/>
        <w:jc w:val="center"/>
        <w:rPr>
          <w:b/>
          <w:u w:val="single"/>
        </w:rPr>
      </w:pPr>
      <w:r>
        <w:rPr>
          <w:b/>
          <w:i/>
          <w:u w:val="single"/>
        </w:rPr>
        <w:t xml:space="preserve"> </w:t>
      </w:r>
      <w:r w:rsidRPr="00881241">
        <w:rPr>
          <w:b/>
          <w:u w:val="single"/>
        </w:rPr>
        <w:t>ГАУ Бизнес-инкубатор</w:t>
      </w:r>
    </w:p>
    <w:p w:rsidR="007709CC" w:rsidRPr="007709CC" w:rsidRDefault="000E3EED" w:rsidP="00974115">
      <w:pPr>
        <w:ind w:firstLine="680"/>
        <w:jc w:val="both"/>
        <w:rPr>
          <w:rStyle w:val="af6"/>
          <w:b w:val="0"/>
        </w:rPr>
      </w:pPr>
      <w:r>
        <w:rPr>
          <w:rStyle w:val="af6"/>
          <w:b w:val="0"/>
        </w:rPr>
        <w:t xml:space="preserve">ГАУ </w:t>
      </w:r>
      <w:r w:rsidRPr="00AC06BE">
        <w:rPr>
          <w:rStyle w:val="af6"/>
          <w:b w:val="0"/>
        </w:rPr>
        <w:t>Бизнес-инкубатор</w:t>
      </w:r>
      <w:r>
        <w:rPr>
          <w:rStyle w:val="af6"/>
          <w:b w:val="0"/>
        </w:rPr>
        <w:t xml:space="preserve"> </w:t>
      </w:r>
      <w:r w:rsidRPr="00E74279">
        <w:rPr>
          <w:rStyle w:val="af6"/>
          <w:b w:val="0"/>
        </w:rPr>
        <w:t>учрежден в 2009 году</w:t>
      </w:r>
      <w:r w:rsidRPr="00E74279">
        <w:rPr>
          <w:rStyle w:val="a8"/>
          <w:rFonts w:ascii="Times New Roman" w:eastAsia="Calibri" w:hAnsi="Times New Roman"/>
          <w:b/>
          <w:sz w:val="24"/>
          <w:szCs w:val="24"/>
        </w:rPr>
        <w:t xml:space="preserve"> </w:t>
      </w:r>
      <w:r w:rsidRPr="00E74279">
        <w:rPr>
          <w:rStyle w:val="a8"/>
          <w:rFonts w:ascii="Times New Roman" w:eastAsia="Calibri" w:hAnsi="Times New Roman"/>
          <w:sz w:val="24"/>
          <w:szCs w:val="24"/>
        </w:rPr>
        <w:t>в целях</w:t>
      </w:r>
      <w:r w:rsidRPr="00E74279">
        <w:rPr>
          <w:rStyle w:val="a8"/>
          <w:rFonts w:ascii="Times New Roman" w:eastAsia="Calibri" w:hAnsi="Times New Roman"/>
          <w:b/>
          <w:sz w:val="24"/>
          <w:szCs w:val="24"/>
        </w:rPr>
        <w:t xml:space="preserve"> </w:t>
      </w:r>
      <w:r w:rsidRPr="00E74279">
        <w:rPr>
          <w:rStyle w:val="af6"/>
          <w:b w:val="0"/>
        </w:rPr>
        <w:t>создания благоприятных условий и оказани</w:t>
      </w:r>
      <w:r w:rsidR="00982F22">
        <w:rPr>
          <w:rStyle w:val="af6"/>
          <w:b w:val="0"/>
        </w:rPr>
        <w:t>я</w:t>
      </w:r>
      <w:r w:rsidRPr="00E74279">
        <w:rPr>
          <w:rStyle w:val="af6"/>
          <w:b w:val="0"/>
        </w:rPr>
        <w:t xml:space="preserve"> СМСП услуг, направленных на их поддержку</w:t>
      </w:r>
      <w:r w:rsidRPr="00E74279">
        <w:rPr>
          <w:rStyle w:val="af6"/>
        </w:rPr>
        <w:t>.</w:t>
      </w:r>
      <w:r w:rsidR="00974115">
        <w:rPr>
          <w:rStyle w:val="af6"/>
        </w:rPr>
        <w:t xml:space="preserve"> </w:t>
      </w:r>
      <w:proofErr w:type="gramStart"/>
      <w:r w:rsidR="00974115" w:rsidRPr="00974115">
        <w:rPr>
          <w:rStyle w:val="af6"/>
          <w:b w:val="0"/>
        </w:rPr>
        <w:t>Учреждение</w:t>
      </w:r>
      <w:r w:rsidR="007709CC" w:rsidRPr="00974115">
        <w:rPr>
          <w:b/>
        </w:rPr>
        <w:t xml:space="preserve"> </w:t>
      </w:r>
      <w:r w:rsidR="007709CC">
        <w:t xml:space="preserve">предоставляет в аренду </w:t>
      </w:r>
      <w:r w:rsidR="007709CC" w:rsidRPr="00D9442A">
        <w:t>нежилы</w:t>
      </w:r>
      <w:r w:rsidR="007709CC">
        <w:t>е</w:t>
      </w:r>
      <w:r w:rsidR="007709CC" w:rsidRPr="00D9442A">
        <w:t xml:space="preserve"> помещени</w:t>
      </w:r>
      <w:r w:rsidR="007709CC">
        <w:t>я, оборудованные</w:t>
      </w:r>
      <w:r w:rsidR="007709CC" w:rsidRPr="00D9442A">
        <w:t xml:space="preserve"> всей необходимой для работы техникой и мебелью на льготных условиях</w:t>
      </w:r>
      <w:r w:rsidR="007709CC">
        <w:t xml:space="preserve"> (40%, 50%,70% от рыночной стоимости за пользование объектом государственной собственности соответственно в 1, 2 и 3 год аренды), </w:t>
      </w:r>
      <w:r w:rsidR="007709CC">
        <w:lastRenderedPageBreak/>
        <w:t xml:space="preserve">а также в рамках деятельности центров оказывает </w:t>
      </w:r>
      <w:r w:rsidR="007709CC" w:rsidRPr="007709CC">
        <w:rPr>
          <w:rStyle w:val="af6"/>
          <w:b w:val="0"/>
        </w:rPr>
        <w:t>информационно-консультационные и экспертные услуги, направленны</w:t>
      </w:r>
      <w:r w:rsidR="00CA1820">
        <w:rPr>
          <w:rStyle w:val="af6"/>
          <w:b w:val="0"/>
        </w:rPr>
        <w:t>е</w:t>
      </w:r>
      <w:r w:rsidR="007709CC" w:rsidRPr="007709CC">
        <w:rPr>
          <w:rStyle w:val="af6"/>
          <w:b w:val="0"/>
        </w:rPr>
        <w:t xml:space="preserve"> на содействие развитию СМСП.  </w:t>
      </w:r>
      <w:proofErr w:type="gramEnd"/>
    </w:p>
    <w:p w:rsidR="00602F00" w:rsidRPr="00602F00" w:rsidRDefault="00602F00" w:rsidP="00602F00">
      <w:pPr>
        <w:ind w:firstLine="680"/>
        <w:jc w:val="both"/>
        <w:rPr>
          <w:rStyle w:val="af6"/>
          <w:b w:val="0"/>
        </w:rPr>
      </w:pPr>
      <w:proofErr w:type="gramStart"/>
      <w:r w:rsidRPr="00602F00">
        <w:rPr>
          <w:rStyle w:val="af6"/>
          <w:b w:val="0"/>
        </w:rPr>
        <w:t>Финансовое обеспечение деятельности ГАУ Бизнес-инкубатор в проверяемом периоде осуществлял</w:t>
      </w:r>
      <w:r w:rsidR="00CA1820">
        <w:rPr>
          <w:rStyle w:val="af6"/>
          <w:b w:val="0"/>
        </w:rPr>
        <w:t>о</w:t>
      </w:r>
      <w:r w:rsidRPr="00602F00">
        <w:rPr>
          <w:rStyle w:val="af6"/>
          <w:b w:val="0"/>
        </w:rPr>
        <w:t xml:space="preserve">сь за счет средств субсидий </w:t>
      </w:r>
      <w:r w:rsidRPr="00602F00">
        <w:t xml:space="preserve">из областного бюджета на финансовое обеспечение выполнения государственного задания (далее – госзадание) на оказание государственных услуг (далее – </w:t>
      </w:r>
      <w:proofErr w:type="spellStart"/>
      <w:r w:rsidRPr="00602F00">
        <w:t>госуслуг</w:t>
      </w:r>
      <w:proofErr w:type="spellEnd"/>
      <w:r w:rsidRPr="00602F00">
        <w:t>), выполнение работ</w:t>
      </w:r>
      <w:r w:rsidRPr="00602F00">
        <w:rPr>
          <w:b/>
        </w:rPr>
        <w:t>;</w:t>
      </w:r>
      <w:r w:rsidRPr="00602F00">
        <w:rPr>
          <w:rStyle w:val="af6"/>
          <w:b w:val="0"/>
        </w:rPr>
        <w:t xml:space="preserve"> средств </w:t>
      </w:r>
      <w:r w:rsidRPr="00602F00">
        <w:t xml:space="preserve">субсидий на иные цели, не связанные с финансовым обеспечением выполнения </w:t>
      </w:r>
      <w:proofErr w:type="spellStart"/>
      <w:r w:rsidRPr="00602F00">
        <w:t>госзадания</w:t>
      </w:r>
      <w:proofErr w:type="spellEnd"/>
      <w:r w:rsidRPr="00602F00">
        <w:t xml:space="preserve"> на оказание </w:t>
      </w:r>
      <w:proofErr w:type="spellStart"/>
      <w:r w:rsidRPr="00602F00">
        <w:t>госуслуг</w:t>
      </w:r>
      <w:proofErr w:type="spellEnd"/>
      <w:r w:rsidRPr="00602F00">
        <w:t xml:space="preserve"> (средства федерального бюджета) и</w:t>
      </w:r>
      <w:r w:rsidRPr="00602F00">
        <w:rPr>
          <w:rStyle w:val="af6"/>
        </w:rPr>
        <w:t xml:space="preserve"> </w:t>
      </w:r>
      <w:r w:rsidRPr="00602F00">
        <w:rPr>
          <w:rStyle w:val="af6"/>
          <w:b w:val="0"/>
        </w:rPr>
        <w:t>средств, полученных от приносящей доход деятельности.</w:t>
      </w:r>
      <w:proofErr w:type="gramEnd"/>
    </w:p>
    <w:p w:rsidR="000E3EED" w:rsidRDefault="000E3EED" w:rsidP="000E3EED">
      <w:pPr>
        <w:autoSpaceDE w:val="0"/>
        <w:autoSpaceDN w:val="0"/>
        <w:adjustRightInd w:val="0"/>
        <w:ind w:firstLine="680"/>
        <w:jc w:val="both"/>
      </w:pPr>
      <w:r w:rsidRPr="0007084A">
        <w:t>Информация об исполнении</w:t>
      </w:r>
      <w:r>
        <w:t xml:space="preserve"> в 2017 году ГАУ Бизнес-инкубатор</w:t>
      </w:r>
      <w:r w:rsidRPr="0007084A">
        <w:t xml:space="preserve"> плана финансово-хозяйственной деятельности представлена в таблице.</w:t>
      </w:r>
    </w:p>
    <w:p w:rsidR="000E3EED" w:rsidRPr="00C878B3" w:rsidRDefault="000E3EED" w:rsidP="000E3EED">
      <w:pPr>
        <w:autoSpaceDE w:val="0"/>
        <w:autoSpaceDN w:val="0"/>
        <w:adjustRightInd w:val="0"/>
        <w:ind w:firstLine="709"/>
        <w:jc w:val="center"/>
        <w:rPr>
          <w:sz w:val="20"/>
          <w:szCs w:val="20"/>
        </w:rPr>
      </w:pPr>
      <w:bookmarkStart w:id="0" w:name="OLE_LINK1"/>
      <w:bookmarkStart w:id="1" w:name="OLE_LINK2"/>
      <w:r>
        <w:rPr>
          <w:sz w:val="20"/>
          <w:szCs w:val="20"/>
        </w:rPr>
        <w:t xml:space="preserve">                                                                                                                                                </w:t>
      </w:r>
      <w:r w:rsidRPr="00C878B3">
        <w:rPr>
          <w:sz w:val="20"/>
          <w:szCs w:val="20"/>
        </w:rPr>
        <w:t>тыс. руб.</w:t>
      </w:r>
    </w:p>
    <w:tbl>
      <w:tblPr>
        <w:tblW w:w="9553" w:type="dxa"/>
        <w:tblInd w:w="85" w:type="dxa"/>
        <w:tblLook w:val="04A0"/>
      </w:tblPr>
      <w:tblGrid>
        <w:gridCol w:w="3425"/>
        <w:gridCol w:w="1019"/>
        <w:gridCol w:w="992"/>
        <w:gridCol w:w="1019"/>
        <w:gridCol w:w="1081"/>
        <w:gridCol w:w="981"/>
        <w:gridCol w:w="1048"/>
      </w:tblGrid>
      <w:tr w:rsidR="000E3EED" w:rsidRPr="000C7758" w:rsidTr="00681598">
        <w:trPr>
          <w:trHeight w:val="364"/>
          <w:tblHeader/>
        </w:trPr>
        <w:tc>
          <w:tcPr>
            <w:tcW w:w="3425" w:type="dxa"/>
            <w:vMerge w:val="restart"/>
            <w:tcBorders>
              <w:top w:val="double" w:sz="6" w:space="0" w:color="auto"/>
              <w:left w:val="double" w:sz="6" w:space="0" w:color="auto"/>
              <w:bottom w:val="double" w:sz="6" w:space="0" w:color="000000"/>
              <w:right w:val="double" w:sz="6" w:space="0" w:color="auto"/>
            </w:tcBorders>
            <w:shd w:val="clear" w:color="auto" w:fill="EAF1DD" w:themeFill="accent3" w:themeFillTint="33"/>
            <w:noWrap/>
            <w:vAlign w:val="center"/>
            <w:hideMark/>
          </w:tcPr>
          <w:bookmarkEnd w:id="0"/>
          <w:bookmarkEnd w:id="1"/>
          <w:p w:rsidR="000E3EED" w:rsidRPr="000C7758" w:rsidRDefault="000E3EED" w:rsidP="00681598">
            <w:pPr>
              <w:jc w:val="center"/>
              <w:rPr>
                <w:b/>
                <w:color w:val="000000"/>
                <w:sz w:val="18"/>
                <w:szCs w:val="18"/>
              </w:rPr>
            </w:pPr>
            <w:r w:rsidRPr="000C7758">
              <w:rPr>
                <w:b/>
                <w:color w:val="000000"/>
                <w:sz w:val="18"/>
                <w:szCs w:val="18"/>
              </w:rPr>
              <w:t>Наименование показателя</w:t>
            </w:r>
          </w:p>
        </w:tc>
        <w:tc>
          <w:tcPr>
            <w:tcW w:w="2011" w:type="dxa"/>
            <w:gridSpan w:val="2"/>
            <w:tcBorders>
              <w:top w:val="double" w:sz="6" w:space="0" w:color="auto"/>
              <w:left w:val="nil"/>
              <w:bottom w:val="single" w:sz="4" w:space="0" w:color="auto"/>
              <w:right w:val="single" w:sz="4" w:space="0" w:color="auto"/>
            </w:tcBorders>
            <w:shd w:val="clear" w:color="auto" w:fill="EAF1DD" w:themeFill="accent3" w:themeFillTint="33"/>
            <w:vAlign w:val="bottom"/>
            <w:hideMark/>
          </w:tcPr>
          <w:p w:rsidR="000E3EED" w:rsidRPr="000C7758" w:rsidRDefault="000E3EED" w:rsidP="00681598">
            <w:pPr>
              <w:jc w:val="center"/>
              <w:rPr>
                <w:b/>
                <w:color w:val="000000"/>
                <w:sz w:val="18"/>
                <w:szCs w:val="18"/>
              </w:rPr>
            </w:pPr>
            <w:r w:rsidRPr="000C7758">
              <w:rPr>
                <w:b/>
                <w:color w:val="000000"/>
                <w:sz w:val="18"/>
                <w:szCs w:val="18"/>
              </w:rPr>
              <w:t>Приносящая доход деятельность</w:t>
            </w:r>
          </w:p>
        </w:tc>
        <w:tc>
          <w:tcPr>
            <w:tcW w:w="2100" w:type="dxa"/>
            <w:gridSpan w:val="2"/>
            <w:tcBorders>
              <w:top w:val="double" w:sz="6" w:space="0" w:color="auto"/>
              <w:left w:val="nil"/>
              <w:bottom w:val="single" w:sz="4" w:space="0" w:color="auto"/>
              <w:right w:val="single" w:sz="4" w:space="0" w:color="auto"/>
            </w:tcBorders>
            <w:shd w:val="clear" w:color="auto" w:fill="EAF1DD" w:themeFill="accent3" w:themeFillTint="33"/>
            <w:vAlign w:val="bottom"/>
            <w:hideMark/>
          </w:tcPr>
          <w:p w:rsidR="000E3EED" w:rsidRDefault="000E3EED" w:rsidP="00681598">
            <w:pPr>
              <w:jc w:val="center"/>
              <w:rPr>
                <w:b/>
                <w:color w:val="000000"/>
                <w:sz w:val="18"/>
                <w:szCs w:val="18"/>
              </w:rPr>
            </w:pPr>
            <w:r>
              <w:rPr>
                <w:b/>
                <w:color w:val="000000"/>
                <w:sz w:val="18"/>
                <w:szCs w:val="18"/>
              </w:rPr>
              <w:t>Субсидия на госзадани</w:t>
            </w:r>
            <w:r w:rsidR="00D67E47">
              <w:rPr>
                <w:b/>
                <w:color w:val="000000"/>
                <w:sz w:val="18"/>
                <w:szCs w:val="18"/>
              </w:rPr>
              <w:t>е</w:t>
            </w:r>
          </w:p>
          <w:p w:rsidR="000E3EED" w:rsidRPr="000C7758" w:rsidRDefault="000E3EED" w:rsidP="00D67E47">
            <w:pPr>
              <w:jc w:val="center"/>
              <w:rPr>
                <w:b/>
                <w:color w:val="000000"/>
                <w:sz w:val="18"/>
                <w:szCs w:val="18"/>
              </w:rPr>
            </w:pPr>
            <w:r>
              <w:rPr>
                <w:b/>
                <w:color w:val="000000"/>
                <w:sz w:val="18"/>
                <w:szCs w:val="18"/>
              </w:rPr>
              <w:t xml:space="preserve"> </w:t>
            </w:r>
          </w:p>
        </w:tc>
        <w:tc>
          <w:tcPr>
            <w:tcW w:w="2017" w:type="dxa"/>
            <w:gridSpan w:val="2"/>
            <w:tcBorders>
              <w:top w:val="double" w:sz="6" w:space="0" w:color="auto"/>
              <w:left w:val="nil"/>
              <w:bottom w:val="single" w:sz="4" w:space="0" w:color="auto"/>
              <w:right w:val="double" w:sz="6" w:space="0" w:color="000000"/>
            </w:tcBorders>
            <w:shd w:val="clear" w:color="auto" w:fill="EAF1DD" w:themeFill="accent3" w:themeFillTint="33"/>
            <w:vAlign w:val="bottom"/>
            <w:hideMark/>
          </w:tcPr>
          <w:p w:rsidR="000E3EED" w:rsidRPr="000C7758" w:rsidRDefault="000E3EED" w:rsidP="00D67E47">
            <w:pPr>
              <w:jc w:val="center"/>
              <w:rPr>
                <w:b/>
                <w:color w:val="000000"/>
                <w:sz w:val="18"/>
                <w:szCs w:val="18"/>
              </w:rPr>
            </w:pPr>
            <w:r w:rsidRPr="000C7758">
              <w:rPr>
                <w:b/>
                <w:color w:val="000000"/>
                <w:sz w:val="18"/>
                <w:szCs w:val="18"/>
              </w:rPr>
              <w:t>Субсидия на иные цели</w:t>
            </w:r>
            <w:r w:rsidR="00D67E47">
              <w:rPr>
                <w:b/>
                <w:color w:val="000000"/>
                <w:sz w:val="18"/>
                <w:szCs w:val="18"/>
              </w:rPr>
              <w:t xml:space="preserve"> </w:t>
            </w:r>
            <w:r>
              <w:rPr>
                <w:b/>
                <w:color w:val="000000"/>
                <w:sz w:val="18"/>
                <w:szCs w:val="18"/>
              </w:rPr>
              <w:t>(федеральный бюджет)</w:t>
            </w:r>
          </w:p>
        </w:tc>
      </w:tr>
      <w:tr w:rsidR="000E3EED" w:rsidRPr="000C7758" w:rsidTr="00681598">
        <w:trPr>
          <w:trHeight w:val="187"/>
          <w:tblHeader/>
        </w:trPr>
        <w:tc>
          <w:tcPr>
            <w:tcW w:w="3425" w:type="dxa"/>
            <w:vMerge/>
            <w:tcBorders>
              <w:top w:val="double" w:sz="6" w:space="0" w:color="auto"/>
              <w:left w:val="double" w:sz="6" w:space="0" w:color="auto"/>
              <w:bottom w:val="double" w:sz="6" w:space="0" w:color="000000"/>
              <w:right w:val="double" w:sz="6" w:space="0" w:color="auto"/>
            </w:tcBorders>
            <w:shd w:val="clear" w:color="auto" w:fill="EAF1DD" w:themeFill="accent3" w:themeFillTint="33"/>
            <w:vAlign w:val="center"/>
            <w:hideMark/>
          </w:tcPr>
          <w:p w:rsidR="000E3EED" w:rsidRPr="000C7758" w:rsidRDefault="000E3EED" w:rsidP="00681598">
            <w:pPr>
              <w:rPr>
                <w:b/>
                <w:color w:val="000000"/>
                <w:sz w:val="18"/>
                <w:szCs w:val="18"/>
              </w:rPr>
            </w:pPr>
          </w:p>
        </w:tc>
        <w:tc>
          <w:tcPr>
            <w:tcW w:w="1019" w:type="dxa"/>
            <w:tcBorders>
              <w:top w:val="nil"/>
              <w:left w:val="nil"/>
              <w:bottom w:val="double" w:sz="6" w:space="0" w:color="auto"/>
              <w:right w:val="single" w:sz="4" w:space="0" w:color="auto"/>
            </w:tcBorders>
            <w:shd w:val="clear" w:color="auto" w:fill="EAF1DD" w:themeFill="accent3" w:themeFillTint="33"/>
            <w:noWrap/>
            <w:vAlign w:val="bottom"/>
            <w:hideMark/>
          </w:tcPr>
          <w:p w:rsidR="000E3EED" w:rsidRPr="000C7758" w:rsidRDefault="000E3EED" w:rsidP="00681598">
            <w:pPr>
              <w:jc w:val="center"/>
              <w:rPr>
                <w:b/>
                <w:color w:val="000000"/>
                <w:sz w:val="18"/>
                <w:szCs w:val="18"/>
              </w:rPr>
            </w:pPr>
            <w:proofErr w:type="spellStart"/>
            <w:r w:rsidRPr="000C7758">
              <w:rPr>
                <w:b/>
                <w:color w:val="000000"/>
                <w:sz w:val="18"/>
                <w:szCs w:val="18"/>
              </w:rPr>
              <w:t>Утвержд</w:t>
            </w:r>
            <w:proofErr w:type="spellEnd"/>
            <w:r w:rsidRPr="000C7758">
              <w:rPr>
                <w:b/>
                <w:color w:val="000000"/>
                <w:sz w:val="18"/>
                <w:szCs w:val="18"/>
              </w:rPr>
              <w:t>.</w:t>
            </w:r>
          </w:p>
        </w:tc>
        <w:tc>
          <w:tcPr>
            <w:tcW w:w="992" w:type="dxa"/>
            <w:tcBorders>
              <w:top w:val="nil"/>
              <w:left w:val="nil"/>
              <w:bottom w:val="double" w:sz="6" w:space="0" w:color="auto"/>
              <w:right w:val="single" w:sz="4" w:space="0" w:color="auto"/>
            </w:tcBorders>
            <w:shd w:val="clear" w:color="auto" w:fill="EAF1DD" w:themeFill="accent3" w:themeFillTint="33"/>
            <w:noWrap/>
            <w:vAlign w:val="bottom"/>
            <w:hideMark/>
          </w:tcPr>
          <w:p w:rsidR="000E3EED" w:rsidRPr="000C7758" w:rsidRDefault="000E3EED" w:rsidP="00681598">
            <w:pPr>
              <w:jc w:val="center"/>
              <w:rPr>
                <w:b/>
                <w:color w:val="000000"/>
                <w:sz w:val="18"/>
                <w:szCs w:val="18"/>
              </w:rPr>
            </w:pPr>
            <w:proofErr w:type="spellStart"/>
            <w:r w:rsidRPr="000C7758">
              <w:rPr>
                <w:b/>
                <w:color w:val="000000"/>
                <w:sz w:val="18"/>
                <w:szCs w:val="18"/>
              </w:rPr>
              <w:t>Исполн</w:t>
            </w:r>
            <w:proofErr w:type="spellEnd"/>
            <w:r w:rsidRPr="000C7758">
              <w:rPr>
                <w:b/>
                <w:color w:val="000000"/>
                <w:sz w:val="18"/>
                <w:szCs w:val="18"/>
              </w:rPr>
              <w:t>.</w:t>
            </w:r>
          </w:p>
        </w:tc>
        <w:tc>
          <w:tcPr>
            <w:tcW w:w="1019" w:type="dxa"/>
            <w:tcBorders>
              <w:top w:val="nil"/>
              <w:left w:val="nil"/>
              <w:bottom w:val="double" w:sz="6" w:space="0" w:color="auto"/>
              <w:right w:val="single" w:sz="4" w:space="0" w:color="auto"/>
            </w:tcBorders>
            <w:shd w:val="clear" w:color="auto" w:fill="EAF1DD" w:themeFill="accent3" w:themeFillTint="33"/>
            <w:noWrap/>
            <w:vAlign w:val="bottom"/>
            <w:hideMark/>
          </w:tcPr>
          <w:p w:rsidR="000E3EED" w:rsidRPr="000C7758" w:rsidRDefault="000E3EED" w:rsidP="00681598">
            <w:pPr>
              <w:jc w:val="center"/>
              <w:rPr>
                <w:b/>
                <w:color w:val="000000"/>
                <w:sz w:val="18"/>
                <w:szCs w:val="18"/>
              </w:rPr>
            </w:pPr>
            <w:proofErr w:type="spellStart"/>
            <w:r w:rsidRPr="000C7758">
              <w:rPr>
                <w:b/>
                <w:color w:val="000000"/>
                <w:sz w:val="18"/>
                <w:szCs w:val="18"/>
              </w:rPr>
              <w:t>Утвержд</w:t>
            </w:r>
            <w:proofErr w:type="spellEnd"/>
            <w:r w:rsidRPr="000C7758">
              <w:rPr>
                <w:b/>
                <w:color w:val="000000"/>
                <w:sz w:val="18"/>
                <w:szCs w:val="18"/>
              </w:rPr>
              <w:t>.</w:t>
            </w:r>
          </w:p>
        </w:tc>
        <w:tc>
          <w:tcPr>
            <w:tcW w:w="1081" w:type="dxa"/>
            <w:tcBorders>
              <w:top w:val="nil"/>
              <w:left w:val="nil"/>
              <w:bottom w:val="double" w:sz="6" w:space="0" w:color="auto"/>
              <w:right w:val="single" w:sz="4" w:space="0" w:color="auto"/>
            </w:tcBorders>
            <w:shd w:val="clear" w:color="auto" w:fill="EAF1DD" w:themeFill="accent3" w:themeFillTint="33"/>
            <w:noWrap/>
            <w:vAlign w:val="bottom"/>
            <w:hideMark/>
          </w:tcPr>
          <w:p w:rsidR="000E3EED" w:rsidRPr="000C7758" w:rsidRDefault="000E3EED" w:rsidP="00681598">
            <w:pPr>
              <w:jc w:val="center"/>
              <w:rPr>
                <w:b/>
                <w:color w:val="000000"/>
                <w:sz w:val="18"/>
                <w:szCs w:val="18"/>
              </w:rPr>
            </w:pPr>
            <w:proofErr w:type="spellStart"/>
            <w:r w:rsidRPr="000C7758">
              <w:rPr>
                <w:b/>
                <w:color w:val="000000"/>
                <w:sz w:val="18"/>
                <w:szCs w:val="18"/>
              </w:rPr>
              <w:t>Исполн</w:t>
            </w:r>
            <w:proofErr w:type="spellEnd"/>
            <w:r w:rsidRPr="000C7758">
              <w:rPr>
                <w:b/>
                <w:color w:val="000000"/>
                <w:sz w:val="18"/>
                <w:szCs w:val="18"/>
              </w:rPr>
              <w:t>.</w:t>
            </w:r>
          </w:p>
        </w:tc>
        <w:tc>
          <w:tcPr>
            <w:tcW w:w="969" w:type="dxa"/>
            <w:tcBorders>
              <w:top w:val="nil"/>
              <w:left w:val="nil"/>
              <w:bottom w:val="double" w:sz="6" w:space="0" w:color="auto"/>
              <w:right w:val="single" w:sz="4" w:space="0" w:color="auto"/>
            </w:tcBorders>
            <w:shd w:val="clear" w:color="auto" w:fill="EAF1DD" w:themeFill="accent3" w:themeFillTint="33"/>
            <w:noWrap/>
            <w:vAlign w:val="bottom"/>
            <w:hideMark/>
          </w:tcPr>
          <w:p w:rsidR="000E3EED" w:rsidRPr="000C7758" w:rsidRDefault="000E3EED" w:rsidP="00681598">
            <w:pPr>
              <w:jc w:val="center"/>
              <w:rPr>
                <w:b/>
                <w:color w:val="000000"/>
                <w:sz w:val="18"/>
                <w:szCs w:val="18"/>
              </w:rPr>
            </w:pPr>
            <w:proofErr w:type="spellStart"/>
            <w:r w:rsidRPr="000C7758">
              <w:rPr>
                <w:b/>
                <w:color w:val="000000"/>
                <w:sz w:val="18"/>
                <w:szCs w:val="18"/>
              </w:rPr>
              <w:t>Утвержд</w:t>
            </w:r>
            <w:proofErr w:type="spellEnd"/>
            <w:r w:rsidRPr="000C7758">
              <w:rPr>
                <w:b/>
                <w:color w:val="000000"/>
                <w:sz w:val="18"/>
                <w:szCs w:val="18"/>
              </w:rPr>
              <w:t>.</w:t>
            </w:r>
          </w:p>
        </w:tc>
        <w:tc>
          <w:tcPr>
            <w:tcW w:w="1048" w:type="dxa"/>
            <w:tcBorders>
              <w:top w:val="nil"/>
              <w:left w:val="nil"/>
              <w:bottom w:val="double" w:sz="6" w:space="0" w:color="auto"/>
              <w:right w:val="double" w:sz="6" w:space="0" w:color="auto"/>
            </w:tcBorders>
            <w:shd w:val="clear" w:color="auto" w:fill="EAF1DD" w:themeFill="accent3" w:themeFillTint="33"/>
            <w:noWrap/>
            <w:vAlign w:val="bottom"/>
            <w:hideMark/>
          </w:tcPr>
          <w:p w:rsidR="000E3EED" w:rsidRPr="000C7758" w:rsidRDefault="000E3EED" w:rsidP="00681598">
            <w:pPr>
              <w:jc w:val="center"/>
              <w:rPr>
                <w:b/>
                <w:color w:val="000000"/>
                <w:sz w:val="18"/>
                <w:szCs w:val="18"/>
              </w:rPr>
            </w:pPr>
            <w:proofErr w:type="spellStart"/>
            <w:r w:rsidRPr="000C7758">
              <w:rPr>
                <w:b/>
                <w:color w:val="000000"/>
                <w:sz w:val="18"/>
                <w:szCs w:val="18"/>
              </w:rPr>
              <w:t>Исполн</w:t>
            </w:r>
            <w:proofErr w:type="spellEnd"/>
            <w:r w:rsidRPr="000C7758">
              <w:rPr>
                <w:b/>
                <w:color w:val="000000"/>
                <w:sz w:val="18"/>
                <w:szCs w:val="18"/>
              </w:rPr>
              <w:t>.</w:t>
            </w:r>
          </w:p>
        </w:tc>
      </w:tr>
      <w:tr w:rsidR="000E3EED" w:rsidRPr="000C7758" w:rsidTr="00681598">
        <w:trPr>
          <w:trHeight w:val="218"/>
        </w:trPr>
        <w:tc>
          <w:tcPr>
            <w:tcW w:w="3425" w:type="dxa"/>
            <w:tcBorders>
              <w:top w:val="nil"/>
              <w:left w:val="double" w:sz="6" w:space="0" w:color="auto"/>
              <w:bottom w:val="single" w:sz="4" w:space="0" w:color="auto"/>
              <w:right w:val="single" w:sz="4" w:space="0" w:color="auto"/>
            </w:tcBorders>
            <w:shd w:val="clear" w:color="auto" w:fill="auto"/>
            <w:vAlign w:val="bottom"/>
            <w:hideMark/>
          </w:tcPr>
          <w:p w:rsidR="000E3EED" w:rsidRPr="000C7758" w:rsidRDefault="000E3EED" w:rsidP="00681598">
            <w:pPr>
              <w:rPr>
                <w:b/>
                <w:bCs/>
                <w:i/>
                <w:iCs/>
                <w:sz w:val="18"/>
                <w:szCs w:val="18"/>
              </w:rPr>
            </w:pPr>
            <w:r w:rsidRPr="000C7758">
              <w:rPr>
                <w:b/>
                <w:bCs/>
                <w:i/>
                <w:iCs/>
                <w:sz w:val="18"/>
                <w:szCs w:val="18"/>
              </w:rPr>
              <w:t>Остаток средств на 01.01.2017</w:t>
            </w:r>
          </w:p>
        </w:tc>
        <w:tc>
          <w:tcPr>
            <w:tcW w:w="2011" w:type="dxa"/>
            <w:gridSpan w:val="2"/>
            <w:tcBorders>
              <w:top w:val="double" w:sz="6" w:space="0" w:color="auto"/>
              <w:left w:val="nil"/>
              <w:bottom w:val="single" w:sz="4" w:space="0" w:color="auto"/>
              <w:right w:val="single" w:sz="4" w:space="0" w:color="auto"/>
            </w:tcBorders>
            <w:shd w:val="clear" w:color="auto" w:fill="auto"/>
            <w:noWrap/>
            <w:vAlign w:val="bottom"/>
            <w:hideMark/>
          </w:tcPr>
          <w:p w:rsidR="000E3EED" w:rsidRPr="000C7758" w:rsidRDefault="000E3EED" w:rsidP="00681598">
            <w:pPr>
              <w:jc w:val="center"/>
              <w:rPr>
                <w:b/>
                <w:bCs/>
                <w:i/>
                <w:iCs/>
                <w:sz w:val="18"/>
                <w:szCs w:val="18"/>
              </w:rPr>
            </w:pPr>
            <w:r w:rsidRPr="000C7758">
              <w:rPr>
                <w:b/>
                <w:bCs/>
                <w:i/>
                <w:iCs/>
                <w:sz w:val="18"/>
                <w:szCs w:val="18"/>
              </w:rPr>
              <w:t>39,0</w:t>
            </w:r>
          </w:p>
        </w:tc>
        <w:tc>
          <w:tcPr>
            <w:tcW w:w="2100" w:type="dxa"/>
            <w:gridSpan w:val="2"/>
            <w:tcBorders>
              <w:top w:val="double" w:sz="6" w:space="0" w:color="auto"/>
              <w:left w:val="nil"/>
              <w:bottom w:val="single" w:sz="4" w:space="0" w:color="auto"/>
              <w:right w:val="single" w:sz="4" w:space="0" w:color="auto"/>
            </w:tcBorders>
            <w:shd w:val="clear" w:color="auto" w:fill="auto"/>
            <w:noWrap/>
            <w:vAlign w:val="bottom"/>
            <w:hideMark/>
          </w:tcPr>
          <w:p w:rsidR="000E3EED" w:rsidRPr="000C7758" w:rsidRDefault="000E3EED" w:rsidP="00681598">
            <w:pPr>
              <w:jc w:val="center"/>
              <w:rPr>
                <w:b/>
                <w:bCs/>
                <w:i/>
                <w:iCs/>
                <w:sz w:val="18"/>
                <w:szCs w:val="18"/>
              </w:rPr>
            </w:pPr>
            <w:r w:rsidRPr="000C7758">
              <w:rPr>
                <w:b/>
                <w:bCs/>
                <w:i/>
                <w:iCs/>
                <w:sz w:val="18"/>
                <w:szCs w:val="18"/>
              </w:rPr>
              <w:t>1 398,3</w:t>
            </w:r>
          </w:p>
        </w:tc>
        <w:tc>
          <w:tcPr>
            <w:tcW w:w="2017" w:type="dxa"/>
            <w:gridSpan w:val="2"/>
            <w:tcBorders>
              <w:top w:val="double" w:sz="6" w:space="0" w:color="auto"/>
              <w:left w:val="nil"/>
              <w:bottom w:val="single" w:sz="4" w:space="0" w:color="auto"/>
              <w:right w:val="double" w:sz="6" w:space="0" w:color="000000"/>
            </w:tcBorders>
            <w:shd w:val="clear" w:color="auto" w:fill="auto"/>
            <w:noWrap/>
            <w:vAlign w:val="bottom"/>
            <w:hideMark/>
          </w:tcPr>
          <w:p w:rsidR="000E3EED" w:rsidRPr="000C7758" w:rsidRDefault="000E3EED" w:rsidP="00681598">
            <w:pPr>
              <w:jc w:val="center"/>
              <w:rPr>
                <w:b/>
                <w:bCs/>
                <w:i/>
                <w:iCs/>
                <w:sz w:val="18"/>
                <w:szCs w:val="18"/>
              </w:rPr>
            </w:pPr>
            <w:r w:rsidRPr="000C7758">
              <w:rPr>
                <w:b/>
                <w:bCs/>
                <w:i/>
                <w:iCs/>
                <w:sz w:val="18"/>
                <w:szCs w:val="18"/>
              </w:rPr>
              <w:t>56 120,6</w:t>
            </w:r>
          </w:p>
        </w:tc>
      </w:tr>
      <w:tr w:rsidR="000E3EED" w:rsidRPr="000C7758" w:rsidTr="00681598">
        <w:trPr>
          <w:trHeight w:val="130"/>
        </w:trPr>
        <w:tc>
          <w:tcPr>
            <w:tcW w:w="3425" w:type="dxa"/>
            <w:tcBorders>
              <w:top w:val="nil"/>
              <w:left w:val="double" w:sz="6" w:space="0" w:color="auto"/>
              <w:bottom w:val="single" w:sz="4" w:space="0" w:color="auto"/>
              <w:right w:val="single" w:sz="4" w:space="0" w:color="auto"/>
            </w:tcBorders>
            <w:shd w:val="clear" w:color="auto" w:fill="auto"/>
            <w:vAlign w:val="bottom"/>
            <w:hideMark/>
          </w:tcPr>
          <w:p w:rsidR="000E3EED" w:rsidRPr="000C7758" w:rsidRDefault="000E3EED" w:rsidP="00681598">
            <w:pPr>
              <w:rPr>
                <w:b/>
                <w:bCs/>
                <w:sz w:val="18"/>
                <w:szCs w:val="18"/>
              </w:rPr>
            </w:pPr>
            <w:r w:rsidRPr="000C7758">
              <w:rPr>
                <w:b/>
                <w:bCs/>
                <w:sz w:val="18"/>
                <w:szCs w:val="18"/>
              </w:rPr>
              <w:t>Доходы - всего</w:t>
            </w:r>
          </w:p>
        </w:tc>
        <w:tc>
          <w:tcPr>
            <w:tcW w:w="1019" w:type="dxa"/>
            <w:tcBorders>
              <w:top w:val="nil"/>
              <w:left w:val="nil"/>
              <w:bottom w:val="single" w:sz="4" w:space="0" w:color="auto"/>
              <w:right w:val="single" w:sz="4" w:space="0" w:color="auto"/>
            </w:tcBorders>
            <w:shd w:val="clear" w:color="auto" w:fill="auto"/>
            <w:noWrap/>
            <w:vAlign w:val="bottom"/>
            <w:hideMark/>
          </w:tcPr>
          <w:p w:rsidR="000E3EED" w:rsidRPr="000C7758" w:rsidRDefault="000E3EED" w:rsidP="00681598">
            <w:pPr>
              <w:jc w:val="right"/>
              <w:rPr>
                <w:b/>
                <w:bCs/>
                <w:sz w:val="18"/>
                <w:szCs w:val="18"/>
              </w:rPr>
            </w:pPr>
            <w:r w:rsidRPr="000C7758">
              <w:rPr>
                <w:b/>
                <w:bCs/>
                <w:sz w:val="18"/>
                <w:szCs w:val="18"/>
              </w:rPr>
              <w:t>3 826,6</w:t>
            </w:r>
          </w:p>
        </w:tc>
        <w:tc>
          <w:tcPr>
            <w:tcW w:w="992" w:type="dxa"/>
            <w:tcBorders>
              <w:top w:val="nil"/>
              <w:left w:val="nil"/>
              <w:bottom w:val="single" w:sz="4" w:space="0" w:color="auto"/>
              <w:right w:val="single" w:sz="4" w:space="0" w:color="auto"/>
            </w:tcBorders>
            <w:shd w:val="clear" w:color="auto" w:fill="auto"/>
            <w:noWrap/>
            <w:vAlign w:val="bottom"/>
            <w:hideMark/>
          </w:tcPr>
          <w:p w:rsidR="000E3EED" w:rsidRPr="000C7758" w:rsidRDefault="000E3EED" w:rsidP="00681598">
            <w:pPr>
              <w:jc w:val="right"/>
              <w:rPr>
                <w:b/>
                <w:bCs/>
                <w:sz w:val="18"/>
                <w:szCs w:val="18"/>
              </w:rPr>
            </w:pPr>
            <w:r w:rsidRPr="000C7758">
              <w:rPr>
                <w:b/>
                <w:bCs/>
                <w:sz w:val="18"/>
                <w:szCs w:val="18"/>
              </w:rPr>
              <w:t>1 765,7</w:t>
            </w:r>
          </w:p>
        </w:tc>
        <w:tc>
          <w:tcPr>
            <w:tcW w:w="1019" w:type="dxa"/>
            <w:tcBorders>
              <w:top w:val="nil"/>
              <w:left w:val="nil"/>
              <w:bottom w:val="single" w:sz="4" w:space="0" w:color="auto"/>
              <w:right w:val="single" w:sz="4" w:space="0" w:color="auto"/>
            </w:tcBorders>
            <w:shd w:val="clear" w:color="auto" w:fill="auto"/>
            <w:noWrap/>
            <w:vAlign w:val="bottom"/>
            <w:hideMark/>
          </w:tcPr>
          <w:p w:rsidR="000E3EED" w:rsidRPr="000C7758" w:rsidRDefault="000E3EED" w:rsidP="00681598">
            <w:pPr>
              <w:jc w:val="right"/>
              <w:rPr>
                <w:b/>
                <w:bCs/>
                <w:sz w:val="18"/>
                <w:szCs w:val="18"/>
              </w:rPr>
            </w:pPr>
            <w:r w:rsidRPr="000C7758">
              <w:rPr>
                <w:b/>
                <w:bCs/>
                <w:sz w:val="18"/>
                <w:szCs w:val="18"/>
              </w:rPr>
              <w:t>12 100</w:t>
            </w:r>
          </w:p>
        </w:tc>
        <w:tc>
          <w:tcPr>
            <w:tcW w:w="1081" w:type="dxa"/>
            <w:tcBorders>
              <w:top w:val="nil"/>
              <w:left w:val="nil"/>
              <w:bottom w:val="single" w:sz="4" w:space="0" w:color="auto"/>
              <w:right w:val="single" w:sz="4" w:space="0" w:color="auto"/>
            </w:tcBorders>
            <w:shd w:val="clear" w:color="auto" w:fill="auto"/>
            <w:noWrap/>
            <w:vAlign w:val="bottom"/>
            <w:hideMark/>
          </w:tcPr>
          <w:p w:rsidR="000E3EED" w:rsidRPr="000C7758" w:rsidRDefault="000E3EED" w:rsidP="00681598">
            <w:pPr>
              <w:jc w:val="right"/>
              <w:rPr>
                <w:b/>
                <w:bCs/>
                <w:sz w:val="18"/>
                <w:szCs w:val="18"/>
              </w:rPr>
            </w:pPr>
            <w:r w:rsidRPr="000C7758">
              <w:rPr>
                <w:b/>
                <w:bCs/>
                <w:sz w:val="18"/>
                <w:szCs w:val="18"/>
              </w:rPr>
              <w:t>11 994,6</w:t>
            </w:r>
          </w:p>
        </w:tc>
        <w:tc>
          <w:tcPr>
            <w:tcW w:w="969" w:type="dxa"/>
            <w:tcBorders>
              <w:top w:val="nil"/>
              <w:left w:val="nil"/>
              <w:bottom w:val="single" w:sz="4" w:space="0" w:color="auto"/>
              <w:right w:val="single" w:sz="4" w:space="0" w:color="auto"/>
            </w:tcBorders>
            <w:shd w:val="clear" w:color="auto" w:fill="auto"/>
            <w:noWrap/>
            <w:vAlign w:val="bottom"/>
            <w:hideMark/>
          </w:tcPr>
          <w:p w:rsidR="000E3EED" w:rsidRPr="000C7758" w:rsidRDefault="000E3EED" w:rsidP="00681598">
            <w:pPr>
              <w:jc w:val="right"/>
              <w:rPr>
                <w:b/>
                <w:bCs/>
                <w:sz w:val="18"/>
                <w:szCs w:val="18"/>
              </w:rPr>
            </w:pPr>
            <w:r w:rsidRPr="000C7758">
              <w:rPr>
                <w:b/>
                <w:bCs/>
                <w:sz w:val="18"/>
                <w:szCs w:val="18"/>
              </w:rPr>
              <w:t>42 000,00</w:t>
            </w:r>
          </w:p>
        </w:tc>
        <w:tc>
          <w:tcPr>
            <w:tcW w:w="1048" w:type="dxa"/>
            <w:tcBorders>
              <w:top w:val="nil"/>
              <w:left w:val="nil"/>
              <w:bottom w:val="single" w:sz="4" w:space="0" w:color="auto"/>
              <w:right w:val="double" w:sz="6" w:space="0" w:color="auto"/>
            </w:tcBorders>
            <w:shd w:val="clear" w:color="auto" w:fill="auto"/>
            <w:noWrap/>
            <w:vAlign w:val="bottom"/>
            <w:hideMark/>
          </w:tcPr>
          <w:p w:rsidR="000E3EED" w:rsidRPr="000C7758" w:rsidRDefault="000E3EED" w:rsidP="00681598">
            <w:pPr>
              <w:jc w:val="right"/>
              <w:rPr>
                <w:b/>
                <w:bCs/>
                <w:sz w:val="18"/>
                <w:szCs w:val="18"/>
              </w:rPr>
            </w:pPr>
            <w:r w:rsidRPr="000C7758">
              <w:rPr>
                <w:b/>
                <w:bCs/>
                <w:sz w:val="18"/>
                <w:szCs w:val="18"/>
              </w:rPr>
              <w:t>42 000,00</w:t>
            </w:r>
          </w:p>
        </w:tc>
      </w:tr>
      <w:tr w:rsidR="000E3EED" w:rsidRPr="000C7758" w:rsidTr="00681598">
        <w:trPr>
          <w:trHeight w:val="204"/>
        </w:trPr>
        <w:tc>
          <w:tcPr>
            <w:tcW w:w="3425" w:type="dxa"/>
            <w:tcBorders>
              <w:top w:val="nil"/>
              <w:left w:val="double" w:sz="6" w:space="0" w:color="auto"/>
              <w:bottom w:val="single" w:sz="4" w:space="0" w:color="auto"/>
              <w:right w:val="single" w:sz="4" w:space="0" w:color="auto"/>
            </w:tcBorders>
            <w:shd w:val="clear" w:color="auto" w:fill="auto"/>
            <w:vAlign w:val="bottom"/>
            <w:hideMark/>
          </w:tcPr>
          <w:p w:rsidR="000E3EED" w:rsidRPr="000C7758" w:rsidRDefault="000E3EED" w:rsidP="00681598">
            <w:pPr>
              <w:rPr>
                <w:i/>
                <w:iCs/>
                <w:sz w:val="18"/>
                <w:szCs w:val="18"/>
              </w:rPr>
            </w:pPr>
            <w:r w:rsidRPr="000C7758">
              <w:rPr>
                <w:i/>
                <w:iCs/>
                <w:sz w:val="18"/>
                <w:szCs w:val="18"/>
              </w:rPr>
              <w:t>аренда помещений</w:t>
            </w:r>
          </w:p>
        </w:tc>
        <w:tc>
          <w:tcPr>
            <w:tcW w:w="1019" w:type="dxa"/>
            <w:tcBorders>
              <w:top w:val="nil"/>
              <w:left w:val="nil"/>
              <w:bottom w:val="single" w:sz="4" w:space="0" w:color="auto"/>
              <w:right w:val="single" w:sz="4" w:space="0" w:color="auto"/>
            </w:tcBorders>
            <w:shd w:val="clear" w:color="auto" w:fill="auto"/>
            <w:noWrap/>
            <w:vAlign w:val="bottom"/>
            <w:hideMark/>
          </w:tcPr>
          <w:p w:rsidR="000E3EED" w:rsidRPr="000C7758" w:rsidRDefault="000E3EED" w:rsidP="00681598">
            <w:pPr>
              <w:jc w:val="right"/>
              <w:rPr>
                <w:sz w:val="18"/>
                <w:szCs w:val="18"/>
              </w:rPr>
            </w:pPr>
            <w:r w:rsidRPr="000C7758">
              <w:rPr>
                <w:sz w:val="18"/>
                <w:szCs w:val="18"/>
              </w:rPr>
              <w:t>1 764,0</w:t>
            </w:r>
          </w:p>
        </w:tc>
        <w:tc>
          <w:tcPr>
            <w:tcW w:w="992" w:type="dxa"/>
            <w:tcBorders>
              <w:top w:val="nil"/>
              <w:left w:val="nil"/>
              <w:bottom w:val="single" w:sz="4" w:space="0" w:color="auto"/>
              <w:right w:val="single" w:sz="4" w:space="0" w:color="auto"/>
            </w:tcBorders>
            <w:shd w:val="clear" w:color="auto" w:fill="auto"/>
            <w:noWrap/>
            <w:vAlign w:val="bottom"/>
            <w:hideMark/>
          </w:tcPr>
          <w:p w:rsidR="000E3EED" w:rsidRPr="000C7758" w:rsidRDefault="000E3EED" w:rsidP="00681598">
            <w:pPr>
              <w:jc w:val="right"/>
              <w:rPr>
                <w:sz w:val="18"/>
                <w:szCs w:val="18"/>
              </w:rPr>
            </w:pPr>
            <w:r w:rsidRPr="000C7758">
              <w:rPr>
                <w:sz w:val="18"/>
                <w:szCs w:val="18"/>
              </w:rPr>
              <w:t>1197,4</w:t>
            </w:r>
          </w:p>
        </w:tc>
        <w:tc>
          <w:tcPr>
            <w:tcW w:w="1019" w:type="dxa"/>
            <w:tcBorders>
              <w:top w:val="nil"/>
              <w:left w:val="nil"/>
              <w:bottom w:val="single" w:sz="4" w:space="0" w:color="auto"/>
              <w:right w:val="single" w:sz="4" w:space="0" w:color="auto"/>
            </w:tcBorders>
            <w:shd w:val="clear" w:color="auto" w:fill="auto"/>
            <w:noWrap/>
            <w:vAlign w:val="bottom"/>
            <w:hideMark/>
          </w:tcPr>
          <w:p w:rsidR="000E3EED" w:rsidRPr="000C7758" w:rsidRDefault="000E3EED" w:rsidP="00681598">
            <w:pPr>
              <w:jc w:val="right"/>
              <w:rPr>
                <w:i/>
                <w:iCs/>
                <w:sz w:val="18"/>
                <w:szCs w:val="18"/>
              </w:rPr>
            </w:pPr>
            <w:r w:rsidRPr="000C7758">
              <w:rPr>
                <w:i/>
                <w:iCs/>
                <w:sz w:val="18"/>
                <w:szCs w:val="18"/>
              </w:rPr>
              <w:t>-</w:t>
            </w:r>
          </w:p>
        </w:tc>
        <w:tc>
          <w:tcPr>
            <w:tcW w:w="1081" w:type="dxa"/>
            <w:tcBorders>
              <w:top w:val="nil"/>
              <w:left w:val="nil"/>
              <w:bottom w:val="single" w:sz="4" w:space="0" w:color="auto"/>
              <w:right w:val="single" w:sz="4" w:space="0" w:color="auto"/>
            </w:tcBorders>
            <w:shd w:val="clear" w:color="auto" w:fill="auto"/>
            <w:noWrap/>
            <w:vAlign w:val="bottom"/>
            <w:hideMark/>
          </w:tcPr>
          <w:p w:rsidR="000E3EED" w:rsidRPr="000C7758" w:rsidRDefault="000E3EED" w:rsidP="00681598">
            <w:pPr>
              <w:jc w:val="right"/>
              <w:rPr>
                <w:i/>
                <w:iCs/>
                <w:sz w:val="18"/>
                <w:szCs w:val="18"/>
              </w:rPr>
            </w:pPr>
            <w:r w:rsidRPr="000C7758">
              <w:rPr>
                <w:i/>
                <w:iCs/>
                <w:sz w:val="18"/>
                <w:szCs w:val="18"/>
              </w:rPr>
              <w:t>-</w:t>
            </w:r>
          </w:p>
        </w:tc>
        <w:tc>
          <w:tcPr>
            <w:tcW w:w="969" w:type="dxa"/>
            <w:tcBorders>
              <w:top w:val="nil"/>
              <w:left w:val="nil"/>
              <w:bottom w:val="single" w:sz="4" w:space="0" w:color="auto"/>
              <w:right w:val="single" w:sz="4" w:space="0" w:color="auto"/>
            </w:tcBorders>
            <w:shd w:val="clear" w:color="auto" w:fill="auto"/>
            <w:noWrap/>
            <w:vAlign w:val="bottom"/>
            <w:hideMark/>
          </w:tcPr>
          <w:p w:rsidR="000E3EED" w:rsidRPr="000C7758" w:rsidRDefault="000E3EED" w:rsidP="00681598">
            <w:pPr>
              <w:jc w:val="right"/>
              <w:rPr>
                <w:i/>
                <w:iCs/>
                <w:sz w:val="18"/>
                <w:szCs w:val="18"/>
              </w:rPr>
            </w:pPr>
            <w:r w:rsidRPr="000C7758">
              <w:rPr>
                <w:i/>
                <w:iCs/>
                <w:sz w:val="18"/>
                <w:szCs w:val="18"/>
              </w:rPr>
              <w:t>-</w:t>
            </w:r>
          </w:p>
        </w:tc>
        <w:tc>
          <w:tcPr>
            <w:tcW w:w="1048" w:type="dxa"/>
            <w:tcBorders>
              <w:top w:val="nil"/>
              <w:left w:val="nil"/>
              <w:bottom w:val="single" w:sz="4" w:space="0" w:color="auto"/>
              <w:right w:val="double" w:sz="6" w:space="0" w:color="auto"/>
            </w:tcBorders>
            <w:shd w:val="clear" w:color="auto" w:fill="auto"/>
            <w:noWrap/>
            <w:vAlign w:val="bottom"/>
            <w:hideMark/>
          </w:tcPr>
          <w:p w:rsidR="000E3EED" w:rsidRPr="000C7758" w:rsidRDefault="000E3EED" w:rsidP="00681598">
            <w:pPr>
              <w:jc w:val="right"/>
              <w:rPr>
                <w:i/>
                <w:iCs/>
                <w:sz w:val="18"/>
                <w:szCs w:val="18"/>
              </w:rPr>
            </w:pPr>
            <w:r w:rsidRPr="000C7758">
              <w:rPr>
                <w:i/>
                <w:iCs/>
                <w:sz w:val="18"/>
                <w:szCs w:val="18"/>
              </w:rPr>
              <w:t>-</w:t>
            </w:r>
          </w:p>
        </w:tc>
      </w:tr>
      <w:tr w:rsidR="000E3EED" w:rsidRPr="000C7758" w:rsidTr="00681598">
        <w:trPr>
          <w:trHeight w:val="122"/>
        </w:trPr>
        <w:tc>
          <w:tcPr>
            <w:tcW w:w="3425" w:type="dxa"/>
            <w:tcBorders>
              <w:top w:val="nil"/>
              <w:left w:val="double" w:sz="6" w:space="0" w:color="auto"/>
              <w:bottom w:val="single" w:sz="4" w:space="0" w:color="auto"/>
              <w:right w:val="single" w:sz="4" w:space="0" w:color="auto"/>
            </w:tcBorders>
            <w:shd w:val="clear" w:color="auto" w:fill="auto"/>
            <w:vAlign w:val="bottom"/>
            <w:hideMark/>
          </w:tcPr>
          <w:p w:rsidR="000E3EED" w:rsidRPr="000C7758" w:rsidRDefault="000E3EED" w:rsidP="00681598">
            <w:pPr>
              <w:rPr>
                <w:i/>
                <w:iCs/>
                <w:sz w:val="18"/>
                <w:szCs w:val="18"/>
              </w:rPr>
            </w:pPr>
            <w:r w:rsidRPr="000C7758">
              <w:rPr>
                <w:i/>
                <w:iCs/>
                <w:sz w:val="18"/>
                <w:szCs w:val="18"/>
              </w:rPr>
              <w:t>оказание платных услуг</w:t>
            </w:r>
          </w:p>
        </w:tc>
        <w:tc>
          <w:tcPr>
            <w:tcW w:w="1019" w:type="dxa"/>
            <w:tcBorders>
              <w:top w:val="nil"/>
              <w:left w:val="nil"/>
              <w:bottom w:val="single" w:sz="4" w:space="0" w:color="auto"/>
              <w:right w:val="single" w:sz="4" w:space="0" w:color="auto"/>
            </w:tcBorders>
            <w:shd w:val="clear" w:color="auto" w:fill="auto"/>
            <w:noWrap/>
            <w:vAlign w:val="bottom"/>
            <w:hideMark/>
          </w:tcPr>
          <w:p w:rsidR="000E3EED" w:rsidRPr="000C7758" w:rsidRDefault="000E3EED" w:rsidP="00681598">
            <w:pPr>
              <w:jc w:val="right"/>
              <w:rPr>
                <w:sz w:val="18"/>
                <w:szCs w:val="18"/>
              </w:rPr>
            </w:pPr>
            <w:r w:rsidRPr="000C7758">
              <w:rPr>
                <w:sz w:val="18"/>
                <w:szCs w:val="18"/>
              </w:rPr>
              <w:t>704,1</w:t>
            </w:r>
          </w:p>
        </w:tc>
        <w:tc>
          <w:tcPr>
            <w:tcW w:w="992" w:type="dxa"/>
            <w:tcBorders>
              <w:top w:val="nil"/>
              <w:left w:val="nil"/>
              <w:bottom w:val="single" w:sz="4" w:space="0" w:color="auto"/>
              <w:right w:val="single" w:sz="4" w:space="0" w:color="auto"/>
            </w:tcBorders>
            <w:shd w:val="clear" w:color="auto" w:fill="auto"/>
            <w:noWrap/>
            <w:vAlign w:val="bottom"/>
            <w:hideMark/>
          </w:tcPr>
          <w:p w:rsidR="000E3EED" w:rsidRPr="000C7758" w:rsidRDefault="000E3EED" w:rsidP="00681598">
            <w:pPr>
              <w:jc w:val="right"/>
              <w:rPr>
                <w:sz w:val="18"/>
                <w:szCs w:val="18"/>
              </w:rPr>
            </w:pPr>
            <w:r w:rsidRPr="000C7758">
              <w:rPr>
                <w:sz w:val="18"/>
                <w:szCs w:val="18"/>
              </w:rPr>
              <w:t>562,4</w:t>
            </w:r>
          </w:p>
        </w:tc>
        <w:tc>
          <w:tcPr>
            <w:tcW w:w="1019" w:type="dxa"/>
            <w:tcBorders>
              <w:top w:val="nil"/>
              <w:left w:val="nil"/>
              <w:bottom w:val="single" w:sz="4" w:space="0" w:color="auto"/>
              <w:right w:val="single" w:sz="4" w:space="0" w:color="auto"/>
            </w:tcBorders>
            <w:shd w:val="clear" w:color="auto" w:fill="auto"/>
            <w:noWrap/>
            <w:vAlign w:val="bottom"/>
            <w:hideMark/>
          </w:tcPr>
          <w:p w:rsidR="000E3EED" w:rsidRPr="000C7758" w:rsidRDefault="000E3EED" w:rsidP="00681598">
            <w:pPr>
              <w:jc w:val="right"/>
              <w:rPr>
                <w:i/>
                <w:iCs/>
                <w:sz w:val="18"/>
                <w:szCs w:val="18"/>
              </w:rPr>
            </w:pPr>
            <w:r w:rsidRPr="000C7758">
              <w:rPr>
                <w:i/>
                <w:iCs/>
                <w:sz w:val="18"/>
                <w:szCs w:val="18"/>
              </w:rPr>
              <w:t>-</w:t>
            </w:r>
          </w:p>
        </w:tc>
        <w:tc>
          <w:tcPr>
            <w:tcW w:w="1081" w:type="dxa"/>
            <w:tcBorders>
              <w:top w:val="nil"/>
              <w:left w:val="nil"/>
              <w:bottom w:val="single" w:sz="4" w:space="0" w:color="auto"/>
              <w:right w:val="single" w:sz="4" w:space="0" w:color="auto"/>
            </w:tcBorders>
            <w:shd w:val="clear" w:color="auto" w:fill="auto"/>
            <w:noWrap/>
            <w:vAlign w:val="bottom"/>
            <w:hideMark/>
          </w:tcPr>
          <w:p w:rsidR="000E3EED" w:rsidRPr="000C7758" w:rsidRDefault="000E3EED" w:rsidP="00681598">
            <w:pPr>
              <w:jc w:val="right"/>
              <w:rPr>
                <w:i/>
                <w:iCs/>
                <w:sz w:val="18"/>
                <w:szCs w:val="18"/>
              </w:rPr>
            </w:pPr>
            <w:r w:rsidRPr="000C7758">
              <w:rPr>
                <w:i/>
                <w:iCs/>
                <w:sz w:val="18"/>
                <w:szCs w:val="18"/>
              </w:rPr>
              <w:t>-</w:t>
            </w:r>
          </w:p>
        </w:tc>
        <w:tc>
          <w:tcPr>
            <w:tcW w:w="969" w:type="dxa"/>
            <w:tcBorders>
              <w:top w:val="nil"/>
              <w:left w:val="nil"/>
              <w:bottom w:val="nil"/>
              <w:right w:val="single" w:sz="4" w:space="0" w:color="auto"/>
            </w:tcBorders>
            <w:shd w:val="clear" w:color="auto" w:fill="auto"/>
            <w:noWrap/>
            <w:vAlign w:val="bottom"/>
            <w:hideMark/>
          </w:tcPr>
          <w:p w:rsidR="000E3EED" w:rsidRPr="000C7758" w:rsidRDefault="000E3EED" w:rsidP="00681598">
            <w:pPr>
              <w:jc w:val="right"/>
              <w:rPr>
                <w:i/>
                <w:iCs/>
                <w:sz w:val="18"/>
                <w:szCs w:val="18"/>
              </w:rPr>
            </w:pPr>
            <w:r w:rsidRPr="000C7758">
              <w:rPr>
                <w:i/>
                <w:iCs/>
                <w:sz w:val="18"/>
                <w:szCs w:val="18"/>
              </w:rPr>
              <w:t>-</w:t>
            </w:r>
          </w:p>
        </w:tc>
        <w:tc>
          <w:tcPr>
            <w:tcW w:w="1048" w:type="dxa"/>
            <w:tcBorders>
              <w:top w:val="nil"/>
              <w:left w:val="nil"/>
              <w:bottom w:val="nil"/>
              <w:right w:val="double" w:sz="6" w:space="0" w:color="auto"/>
            </w:tcBorders>
            <w:shd w:val="clear" w:color="auto" w:fill="auto"/>
            <w:noWrap/>
            <w:vAlign w:val="bottom"/>
            <w:hideMark/>
          </w:tcPr>
          <w:p w:rsidR="000E3EED" w:rsidRPr="000C7758" w:rsidRDefault="000E3EED" w:rsidP="00681598">
            <w:pPr>
              <w:jc w:val="right"/>
              <w:rPr>
                <w:i/>
                <w:iCs/>
                <w:sz w:val="18"/>
                <w:szCs w:val="18"/>
              </w:rPr>
            </w:pPr>
            <w:r w:rsidRPr="000C7758">
              <w:rPr>
                <w:i/>
                <w:iCs/>
                <w:sz w:val="18"/>
                <w:szCs w:val="18"/>
              </w:rPr>
              <w:t>-</w:t>
            </w:r>
          </w:p>
        </w:tc>
      </w:tr>
      <w:tr w:rsidR="000E3EED" w:rsidRPr="000C7758" w:rsidTr="00681598">
        <w:trPr>
          <w:trHeight w:val="196"/>
        </w:trPr>
        <w:tc>
          <w:tcPr>
            <w:tcW w:w="3425" w:type="dxa"/>
            <w:tcBorders>
              <w:top w:val="nil"/>
              <w:left w:val="double" w:sz="6" w:space="0" w:color="auto"/>
              <w:bottom w:val="single" w:sz="4" w:space="0" w:color="auto"/>
              <w:right w:val="single" w:sz="4" w:space="0" w:color="auto"/>
            </w:tcBorders>
            <w:shd w:val="clear" w:color="auto" w:fill="auto"/>
            <w:vAlign w:val="bottom"/>
            <w:hideMark/>
          </w:tcPr>
          <w:p w:rsidR="000E3EED" w:rsidRPr="000C7758" w:rsidRDefault="000E3EED" w:rsidP="00681598">
            <w:pPr>
              <w:rPr>
                <w:i/>
                <w:iCs/>
                <w:sz w:val="18"/>
                <w:szCs w:val="18"/>
              </w:rPr>
            </w:pPr>
            <w:r w:rsidRPr="000C7758">
              <w:rPr>
                <w:i/>
                <w:iCs/>
                <w:sz w:val="18"/>
                <w:szCs w:val="18"/>
              </w:rPr>
              <w:t>предоставление субсидий</w:t>
            </w:r>
          </w:p>
        </w:tc>
        <w:tc>
          <w:tcPr>
            <w:tcW w:w="1019" w:type="dxa"/>
            <w:tcBorders>
              <w:top w:val="nil"/>
              <w:left w:val="nil"/>
              <w:bottom w:val="single" w:sz="4" w:space="0" w:color="auto"/>
              <w:right w:val="single" w:sz="4" w:space="0" w:color="auto"/>
            </w:tcBorders>
            <w:shd w:val="clear" w:color="auto" w:fill="auto"/>
            <w:noWrap/>
            <w:vAlign w:val="bottom"/>
            <w:hideMark/>
          </w:tcPr>
          <w:p w:rsidR="000E3EED" w:rsidRPr="000C7758" w:rsidRDefault="000E3EED" w:rsidP="00681598">
            <w:pPr>
              <w:jc w:val="right"/>
              <w:rPr>
                <w:i/>
                <w:iCs/>
                <w:sz w:val="18"/>
                <w:szCs w:val="18"/>
              </w:rPr>
            </w:pPr>
            <w:r w:rsidRPr="000C7758">
              <w:rPr>
                <w:i/>
                <w:iCs/>
                <w:sz w:val="18"/>
                <w:szCs w:val="18"/>
              </w:rPr>
              <w:t>-</w:t>
            </w:r>
          </w:p>
        </w:tc>
        <w:tc>
          <w:tcPr>
            <w:tcW w:w="992" w:type="dxa"/>
            <w:tcBorders>
              <w:top w:val="nil"/>
              <w:left w:val="nil"/>
              <w:bottom w:val="single" w:sz="4" w:space="0" w:color="auto"/>
              <w:right w:val="single" w:sz="4" w:space="0" w:color="auto"/>
            </w:tcBorders>
            <w:shd w:val="clear" w:color="auto" w:fill="auto"/>
            <w:noWrap/>
            <w:vAlign w:val="bottom"/>
            <w:hideMark/>
          </w:tcPr>
          <w:p w:rsidR="000E3EED" w:rsidRPr="000C7758" w:rsidRDefault="000E3EED" w:rsidP="00681598">
            <w:pPr>
              <w:jc w:val="right"/>
              <w:rPr>
                <w:i/>
                <w:iCs/>
                <w:sz w:val="18"/>
                <w:szCs w:val="18"/>
              </w:rPr>
            </w:pPr>
            <w:r w:rsidRPr="000C7758">
              <w:rPr>
                <w:i/>
                <w:iCs/>
                <w:sz w:val="18"/>
                <w:szCs w:val="18"/>
              </w:rPr>
              <w:t>-</w:t>
            </w:r>
          </w:p>
        </w:tc>
        <w:tc>
          <w:tcPr>
            <w:tcW w:w="1019" w:type="dxa"/>
            <w:tcBorders>
              <w:top w:val="nil"/>
              <w:left w:val="nil"/>
              <w:bottom w:val="single" w:sz="4" w:space="0" w:color="auto"/>
              <w:right w:val="single" w:sz="4" w:space="0" w:color="auto"/>
            </w:tcBorders>
            <w:shd w:val="clear" w:color="auto" w:fill="auto"/>
            <w:noWrap/>
            <w:vAlign w:val="bottom"/>
            <w:hideMark/>
          </w:tcPr>
          <w:p w:rsidR="000E3EED" w:rsidRPr="000C7758" w:rsidRDefault="000E3EED" w:rsidP="00681598">
            <w:pPr>
              <w:jc w:val="right"/>
              <w:rPr>
                <w:sz w:val="18"/>
                <w:szCs w:val="18"/>
              </w:rPr>
            </w:pPr>
            <w:r w:rsidRPr="000C7758">
              <w:rPr>
                <w:sz w:val="18"/>
                <w:szCs w:val="18"/>
              </w:rPr>
              <w:t>12 100,0</w:t>
            </w:r>
          </w:p>
        </w:tc>
        <w:tc>
          <w:tcPr>
            <w:tcW w:w="1081" w:type="dxa"/>
            <w:tcBorders>
              <w:top w:val="nil"/>
              <w:left w:val="nil"/>
              <w:bottom w:val="single" w:sz="4" w:space="0" w:color="auto"/>
              <w:right w:val="single" w:sz="4" w:space="0" w:color="auto"/>
            </w:tcBorders>
            <w:shd w:val="clear" w:color="auto" w:fill="auto"/>
            <w:noWrap/>
            <w:vAlign w:val="bottom"/>
            <w:hideMark/>
          </w:tcPr>
          <w:p w:rsidR="000E3EED" w:rsidRPr="000C7758" w:rsidRDefault="000E3EED" w:rsidP="00681598">
            <w:pPr>
              <w:jc w:val="right"/>
              <w:rPr>
                <w:sz w:val="18"/>
                <w:szCs w:val="18"/>
              </w:rPr>
            </w:pPr>
            <w:r w:rsidRPr="000C7758">
              <w:rPr>
                <w:sz w:val="18"/>
                <w:szCs w:val="18"/>
              </w:rPr>
              <w:t>11 994,6</w:t>
            </w:r>
          </w:p>
        </w:tc>
        <w:tc>
          <w:tcPr>
            <w:tcW w:w="969" w:type="dxa"/>
            <w:tcBorders>
              <w:top w:val="single" w:sz="4" w:space="0" w:color="auto"/>
              <w:left w:val="nil"/>
              <w:bottom w:val="single" w:sz="4" w:space="0" w:color="auto"/>
              <w:right w:val="single" w:sz="4" w:space="0" w:color="auto"/>
            </w:tcBorders>
            <w:shd w:val="clear" w:color="auto" w:fill="auto"/>
            <w:noWrap/>
            <w:vAlign w:val="bottom"/>
            <w:hideMark/>
          </w:tcPr>
          <w:p w:rsidR="000E3EED" w:rsidRPr="000C7758" w:rsidRDefault="000E3EED" w:rsidP="00681598">
            <w:pPr>
              <w:jc w:val="right"/>
              <w:rPr>
                <w:sz w:val="18"/>
                <w:szCs w:val="18"/>
              </w:rPr>
            </w:pPr>
            <w:r w:rsidRPr="000C7758">
              <w:rPr>
                <w:sz w:val="18"/>
                <w:szCs w:val="18"/>
              </w:rPr>
              <w:t>42 000,00</w:t>
            </w:r>
          </w:p>
        </w:tc>
        <w:tc>
          <w:tcPr>
            <w:tcW w:w="1048" w:type="dxa"/>
            <w:tcBorders>
              <w:top w:val="single" w:sz="4" w:space="0" w:color="auto"/>
              <w:left w:val="nil"/>
              <w:bottom w:val="single" w:sz="4" w:space="0" w:color="auto"/>
              <w:right w:val="double" w:sz="6" w:space="0" w:color="auto"/>
            </w:tcBorders>
            <w:shd w:val="clear" w:color="auto" w:fill="auto"/>
            <w:noWrap/>
            <w:vAlign w:val="bottom"/>
            <w:hideMark/>
          </w:tcPr>
          <w:p w:rsidR="000E3EED" w:rsidRPr="000C7758" w:rsidRDefault="000E3EED" w:rsidP="00681598">
            <w:pPr>
              <w:jc w:val="right"/>
              <w:rPr>
                <w:sz w:val="18"/>
                <w:szCs w:val="18"/>
              </w:rPr>
            </w:pPr>
            <w:r w:rsidRPr="000C7758">
              <w:rPr>
                <w:sz w:val="18"/>
                <w:szCs w:val="18"/>
              </w:rPr>
              <w:t>42 000,00</w:t>
            </w:r>
          </w:p>
        </w:tc>
      </w:tr>
      <w:tr w:rsidR="000E3EED" w:rsidRPr="000C7758" w:rsidTr="00681598">
        <w:trPr>
          <w:trHeight w:val="255"/>
        </w:trPr>
        <w:tc>
          <w:tcPr>
            <w:tcW w:w="3425" w:type="dxa"/>
            <w:tcBorders>
              <w:top w:val="nil"/>
              <w:left w:val="double" w:sz="6" w:space="0" w:color="auto"/>
              <w:bottom w:val="single" w:sz="4" w:space="0" w:color="auto"/>
              <w:right w:val="single" w:sz="4" w:space="0" w:color="auto"/>
            </w:tcBorders>
            <w:shd w:val="clear" w:color="auto" w:fill="auto"/>
            <w:vAlign w:val="bottom"/>
            <w:hideMark/>
          </w:tcPr>
          <w:p w:rsidR="000E3EED" w:rsidRPr="000C7758" w:rsidRDefault="000E3EED" w:rsidP="00681598">
            <w:pPr>
              <w:rPr>
                <w:i/>
                <w:iCs/>
                <w:sz w:val="18"/>
                <w:szCs w:val="18"/>
              </w:rPr>
            </w:pPr>
            <w:r w:rsidRPr="000C7758">
              <w:rPr>
                <w:i/>
                <w:iCs/>
                <w:sz w:val="18"/>
                <w:szCs w:val="18"/>
              </w:rPr>
              <w:t>доходы от штрафов, пеней, иных сумм принудительного изъятия</w:t>
            </w:r>
          </w:p>
        </w:tc>
        <w:tc>
          <w:tcPr>
            <w:tcW w:w="1019" w:type="dxa"/>
            <w:tcBorders>
              <w:top w:val="nil"/>
              <w:left w:val="nil"/>
              <w:bottom w:val="single" w:sz="4" w:space="0" w:color="auto"/>
              <w:right w:val="single" w:sz="4" w:space="0" w:color="auto"/>
            </w:tcBorders>
            <w:shd w:val="clear" w:color="auto" w:fill="auto"/>
            <w:noWrap/>
            <w:vAlign w:val="bottom"/>
            <w:hideMark/>
          </w:tcPr>
          <w:p w:rsidR="000E3EED" w:rsidRPr="000C7758" w:rsidRDefault="000E3EED" w:rsidP="00681598">
            <w:pPr>
              <w:jc w:val="right"/>
              <w:rPr>
                <w:sz w:val="18"/>
                <w:szCs w:val="18"/>
              </w:rPr>
            </w:pPr>
            <w:r w:rsidRPr="000C7758">
              <w:rPr>
                <w:sz w:val="18"/>
                <w:szCs w:val="18"/>
              </w:rPr>
              <w:t>1 309,8</w:t>
            </w:r>
          </w:p>
        </w:tc>
        <w:tc>
          <w:tcPr>
            <w:tcW w:w="992" w:type="dxa"/>
            <w:tcBorders>
              <w:top w:val="nil"/>
              <w:left w:val="nil"/>
              <w:bottom w:val="single" w:sz="4" w:space="0" w:color="auto"/>
              <w:right w:val="single" w:sz="4" w:space="0" w:color="auto"/>
            </w:tcBorders>
            <w:shd w:val="clear" w:color="auto" w:fill="auto"/>
            <w:noWrap/>
            <w:vAlign w:val="bottom"/>
            <w:hideMark/>
          </w:tcPr>
          <w:p w:rsidR="000E3EED" w:rsidRPr="000C7758" w:rsidRDefault="000E3EED" w:rsidP="00681598">
            <w:pPr>
              <w:jc w:val="right"/>
              <w:rPr>
                <w:sz w:val="18"/>
                <w:szCs w:val="18"/>
              </w:rPr>
            </w:pPr>
            <w:r w:rsidRPr="000C7758">
              <w:rPr>
                <w:sz w:val="18"/>
                <w:szCs w:val="18"/>
              </w:rPr>
              <w:t>5,9</w:t>
            </w:r>
          </w:p>
        </w:tc>
        <w:tc>
          <w:tcPr>
            <w:tcW w:w="1019" w:type="dxa"/>
            <w:tcBorders>
              <w:top w:val="nil"/>
              <w:left w:val="nil"/>
              <w:bottom w:val="single" w:sz="4" w:space="0" w:color="auto"/>
              <w:right w:val="single" w:sz="4" w:space="0" w:color="auto"/>
            </w:tcBorders>
            <w:shd w:val="clear" w:color="auto" w:fill="auto"/>
            <w:noWrap/>
            <w:vAlign w:val="bottom"/>
            <w:hideMark/>
          </w:tcPr>
          <w:p w:rsidR="000E3EED" w:rsidRPr="000C7758" w:rsidRDefault="000E3EED" w:rsidP="00681598">
            <w:pPr>
              <w:jc w:val="right"/>
              <w:rPr>
                <w:i/>
                <w:iCs/>
                <w:sz w:val="18"/>
                <w:szCs w:val="18"/>
              </w:rPr>
            </w:pPr>
            <w:r w:rsidRPr="000C7758">
              <w:rPr>
                <w:i/>
                <w:iCs/>
                <w:sz w:val="18"/>
                <w:szCs w:val="18"/>
              </w:rPr>
              <w:t>-</w:t>
            </w:r>
          </w:p>
        </w:tc>
        <w:tc>
          <w:tcPr>
            <w:tcW w:w="1081" w:type="dxa"/>
            <w:tcBorders>
              <w:top w:val="nil"/>
              <w:left w:val="nil"/>
              <w:bottom w:val="single" w:sz="4" w:space="0" w:color="auto"/>
              <w:right w:val="single" w:sz="4" w:space="0" w:color="auto"/>
            </w:tcBorders>
            <w:shd w:val="clear" w:color="auto" w:fill="auto"/>
            <w:noWrap/>
            <w:vAlign w:val="bottom"/>
            <w:hideMark/>
          </w:tcPr>
          <w:p w:rsidR="000E3EED" w:rsidRPr="000C7758" w:rsidRDefault="000E3EED" w:rsidP="00681598">
            <w:pPr>
              <w:jc w:val="right"/>
              <w:rPr>
                <w:i/>
                <w:iCs/>
                <w:sz w:val="18"/>
                <w:szCs w:val="18"/>
              </w:rPr>
            </w:pPr>
            <w:r w:rsidRPr="000C7758">
              <w:rPr>
                <w:i/>
                <w:iCs/>
                <w:sz w:val="18"/>
                <w:szCs w:val="18"/>
              </w:rPr>
              <w:t>-</w:t>
            </w:r>
          </w:p>
        </w:tc>
        <w:tc>
          <w:tcPr>
            <w:tcW w:w="969" w:type="dxa"/>
            <w:tcBorders>
              <w:top w:val="nil"/>
              <w:left w:val="nil"/>
              <w:bottom w:val="single" w:sz="4" w:space="0" w:color="auto"/>
              <w:right w:val="single" w:sz="4" w:space="0" w:color="auto"/>
            </w:tcBorders>
            <w:shd w:val="clear" w:color="auto" w:fill="auto"/>
            <w:noWrap/>
            <w:vAlign w:val="bottom"/>
            <w:hideMark/>
          </w:tcPr>
          <w:p w:rsidR="000E3EED" w:rsidRPr="000C7758" w:rsidRDefault="000E3EED" w:rsidP="00681598">
            <w:pPr>
              <w:jc w:val="right"/>
              <w:rPr>
                <w:i/>
                <w:iCs/>
                <w:sz w:val="18"/>
                <w:szCs w:val="18"/>
              </w:rPr>
            </w:pPr>
            <w:r w:rsidRPr="000C7758">
              <w:rPr>
                <w:i/>
                <w:iCs/>
                <w:sz w:val="18"/>
                <w:szCs w:val="18"/>
              </w:rPr>
              <w:t>-</w:t>
            </w:r>
          </w:p>
        </w:tc>
        <w:tc>
          <w:tcPr>
            <w:tcW w:w="1048" w:type="dxa"/>
            <w:tcBorders>
              <w:top w:val="nil"/>
              <w:left w:val="nil"/>
              <w:bottom w:val="single" w:sz="4" w:space="0" w:color="auto"/>
              <w:right w:val="double" w:sz="6" w:space="0" w:color="auto"/>
            </w:tcBorders>
            <w:shd w:val="clear" w:color="auto" w:fill="auto"/>
            <w:noWrap/>
            <w:vAlign w:val="bottom"/>
            <w:hideMark/>
          </w:tcPr>
          <w:p w:rsidR="000E3EED" w:rsidRPr="000C7758" w:rsidRDefault="000E3EED" w:rsidP="00681598">
            <w:pPr>
              <w:jc w:val="right"/>
              <w:rPr>
                <w:i/>
                <w:iCs/>
                <w:sz w:val="18"/>
                <w:szCs w:val="18"/>
              </w:rPr>
            </w:pPr>
            <w:r w:rsidRPr="000C7758">
              <w:rPr>
                <w:i/>
                <w:iCs/>
                <w:sz w:val="18"/>
                <w:szCs w:val="18"/>
              </w:rPr>
              <w:t>-</w:t>
            </w:r>
          </w:p>
        </w:tc>
      </w:tr>
      <w:tr w:rsidR="000E3EED" w:rsidRPr="000C7758" w:rsidTr="00681598">
        <w:trPr>
          <w:trHeight w:val="139"/>
        </w:trPr>
        <w:tc>
          <w:tcPr>
            <w:tcW w:w="3425" w:type="dxa"/>
            <w:tcBorders>
              <w:top w:val="nil"/>
              <w:left w:val="double" w:sz="6" w:space="0" w:color="auto"/>
              <w:bottom w:val="single" w:sz="4" w:space="0" w:color="auto"/>
              <w:right w:val="single" w:sz="4" w:space="0" w:color="auto"/>
            </w:tcBorders>
            <w:shd w:val="clear" w:color="auto" w:fill="auto"/>
            <w:vAlign w:val="bottom"/>
            <w:hideMark/>
          </w:tcPr>
          <w:p w:rsidR="000E3EED" w:rsidRPr="000C7758" w:rsidRDefault="000E3EED" w:rsidP="00681598">
            <w:pPr>
              <w:rPr>
                <w:i/>
                <w:iCs/>
                <w:sz w:val="18"/>
                <w:szCs w:val="18"/>
              </w:rPr>
            </w:pPr>
            <w:r w:rsidRPr="000C7758">
              <w:rPr>
                <w:i/>
                <w:iCs/>
                <w:sz w:val="18"/>
                <w:szCs w:val="18"/>
              </w:rPr>
              <w:t>прочие доходы</w:t>
            </w:r>
          </w:p>
        </w:tc>
        <w:tc>
          <w:tcPr>
            <w:tcW w:w="1019" w:type="dxa"/>
            <w:tcBorders>
              <w:top w:val="nil"/>
              <w:left w:val="nil"/>
              <w:bottom w:val="single" w:sz="4" w:space="0" w:color="auto"/>
              <w:right w:val="single" w:sz="4" w:space="0" w:color="auto"/>
            </w:tcBorders>
            <w:shd w:val="clear" w:color="auto" w:fill="auto"/>
            <w:noWrap/>
            <w:vAlign w:val="bottom"/>
            <w:hideMark/>
          </w:tcPr>
          <w:p w:rsidR="000E3EED" w:rsidRPr="000C7758" w:rsidRDefault="000E3EED" w:rsidP="00681598">
            <w:pPr>
              <w:jc w:val="right"/>
              <w:rPr>
                <w:sz w:val="18"/>
                <w:szCs w:val="18"/>
              </w:rPr>
            </w:pPr>
            <w:r w:rsidRPr="000C7758">
              <w:rPr>
                <w:sz w:val="18"/>
                <w:szCs w:val="18"/>
              </w:rPr>
              <w:t>48,7</w:t>
            </w:r>
          </w:p>
        </w:tc>
        <w:tc>
          <w:tcPr>
            <w:tcW w:w="992" w:type="dxa"/>
            <w:tcBorders>
              <w:top w:val="nil"/>
              <w:left w:val="nil"/>
              <w:bottom w:val="single" w:sz="4" w:space="0" w:color="auto"/>
              <w:right w:val="single" w:sz="4" w:space="0" w:color="auto"/>
            </w:tcBorders>
            <w:shd w:val="clear" w:color="auto" w:fill="auto"/>
            <w:noWrap/>
            <w:vAlign w:val="bottom"/>
            <w:hideMark/>
          </w:tcPr>
          <w:p w:rsidR="000E3EED" w:rsidRPr="000C7758" w:rsidRDefault="000E3EED" w:rsidP="00681598">
            <w:pPr>
              <w:jc w:val="right"/>
              <w:rPr>
                <w:sz w:val="18"/>
                <w:szCs w:val="18"/>
              </w:rPr>
            </w:pPr>
            <w:r w:rsidRPr="000C7758">
              <w:rPr>
                <w:sz w:val="18"/>
                <w:szCs w:val="18"/>
              </w:rPr>
              <w:t>-</w:t>
            </w:r>
          </w:p>
        </w:tc>
        <w:tc>
          <w:tcPr>
            <w:tcW w:w="1019" w:type="dxa"/>
            <w:tcBorders>
              <w:top w:val="nil"/>
              <w:left w:val="nil"/>
              <w:bottom w:val="single" w:sz="4" w:space="0" w:color="auto"/>
              <w:right w:val="single" w:sz="4" w:space="0" w:color="auto"/>
            </w:tcBorders>
            <w:shd w:val="clear" w:color="auto" w:fill="auto"/>
            <w:noWrap/>
            <w:vAlign w:val="bottom"/>
            <w:hideMark/>
          </w:tcPr>
          <w:p w:rsidR="000E3EED" w:rsidRPr="000C7758" w:rsidRDefault="000E3EED" w:rsidP="00681598">
            <w:pPr>
              <w:jc w:val="right"/>
              <w:rPr>
                <w:i/>
                <w:iCs/>
                <w:sz w:val="18"/>
                <w:szCs w:val="18"/>
              </w:rPr>
            </w:pPr>
            <w:r w:rsidRPr="000C7758">
              <w:rPr>
                <w:i/>
                <w:iCs/>
                <w:sz w:val="18"/>
                <w:szCs w:val="18"/>
              </w:rPr>
              <w:t>-</w:t>
            </w:r>
          </w:p>
        </w:tc>
        <w:tc>
          <w:tcPr>
            <w:tcW w:w="1081" w:type="dxa"/>
            <w:tcBorders>
              <w:top w:val="nil"/>
              <w:left w:val="nil"/>
              <w:bottom w:val="single" w:sz="4" w:space="0" w:color="auto"/>
              <w:right w:val="single" w:sz="4" w:space="0" w:color="auto"/>
            </w:tcBorders>
            <w:shd w:val="clear" w:color="auto" w:fill="auto"/>
            <w:noWrap/>
            <w:vAlign w:val="bottom"/>
            <w:hideMark/>
          </w:tcPr>
          <w:p w:rsidR="000E3EED" w:rsidRPr="000C7758" w:rsidRDefault="000E3EED" w:rsidP="00681598">
            <w:pPr>
              <w:jc w:val="right"/>
              <w:rPr>
                <w:i/>
                <w:iCs/>
                <w:sz w:val="18"/>
                <w:szCs w:val="18"/>
              </w:rPr>
            </w:pPr>
            <w:r w:rsidRPr="000C7758">
              <w:rPr>
                <w:i/>
                <w:iCs/>
                <w:sz w:val="18"/>
                <w:szCs w:val="18"/>
              </w:rPr>
              <w:t>-</w:t>
            </w:r>
          </w:p>
        </w:tc>
        <w:tc>
          <w:tcPr>
            <w:tcW w:w="969" w:type="dxa"/>
            <w:tcBorders>
              <w:top w:val="nil"/>
              <w:left w:val="nil"/>
              <w:bottom w:val="single" w:sz="4" w:space="0" w:color="auto"/>
              <w:right w:val="single" w:sz="4" w:space="0" w:color="auto"/>
            </w:tcBorders>
            <w:shd w:val="clear" w:color="auto" w:fill="auto"/>
            <w:noWrap/>
            <w:vAlign w:val="bottom"/>
            <w:hideMark/>
          </w:tcPr>
          <w:p w:rsidR="000E3EED" w:rsidRPr="000C7758" w:rsidRDefault="000E3EED" w:rsidP="00681598">
            <w:pPr>
              <w:jc w:val="right"/>
              <w:rPr>
                <w:i/>
                <w:iCs/>
                <w:sz w:val="18"/>
                <w:szCs w:val="18"/>
              </w:rPr>
            </w:pPr>
            <w:r w:rsidRPr="000C7758">
              <w:rPr>
                <w:i/>
                <w:iCs/>
                <w:sz w:val="18"/>
                <w:szCs w:val="18"/>
              </w:rPr>
              <w:t>-</w:t>
            </w:r>
          </w:p>
        </w:tc>
        <w:tc>
          <w:tcPr>
            <w:tcW w:w="1048" w:type="dxa"/>
            <w:tcBorders>
              <w:top w:val="nil"/>
              <w:left w:val="nil"/>
              <w:bottom w:val="single" w:sz="4" w:space="0" w:color="auto"/>
              <w:right w:val="double" w:sz="6" w:space="0" w:color="auto"/>
            </w:tcBorders>
            <w:shd w:val="clear" w:color="auto" w:fill="auto"/>
            <w:noWrap/>
            <w:vAlign w:val="bottom"/>
            <w:hideMark/>
          </w:tcPr>
          <w:p w:rsidR="000E3EED" w:rsidRPr="000C7758" w:rsidRDefault="000E3EED" w:rsidP="00681598">
            <w:pPr>
              <w:jc w:val="right"/>
              <w:rPr>
                <w:i/>
                <w:iCs/>
                <w:sz w:val="18"/>
                <w:szCs w:val="18"/>
              </w:rPr>
            </w:pPr>
            <w:r w:rsidRPr="000C7758">
              <w:rPr>
                <w:i/>
                <w:iCs/>
                <w:sz w:val="18"/>
                <w:szCs w:val="18"/>
              </w:rPr>
              <w:t>-</w:t>
            </w:r>
          </w:p>
        </w:tc>
      </w:tr>
      <w:tr w:rsidR="000E3EED" w:rsidRPr="000C7758" w:rsidTr="00681598">
        <w:trPr>
          <w:trHeight w:val="172"/>
        </w:trPr>
        <w:tc>
          <w:tcPr>
            <w:tcW w:w="3425" w:type="dxa"/>
            <w:tcBorders>
              <w:top w:val="nil"/>
              <w:left w:val="double" w:sz="6" w:space="0" w:color="auto"/>
              <w:bottom w:val="single" w:sz="4" w:space="0" w:color="auto"/>
              <w:right w:val="single" w:sz="4" w:space="0" w:color="auto"/>
            </w:tcBorders>
            <w:shd w:val="clear" w:color="auto" w:fill="auto"/>
            <w:vAlign w:val="bottom"/>
            <w:hideMark/>
          </w:tcPr>
          <w:p w:rsidR="000E3EED" w:rsidRPr="000C7758" w:rsidRDefault="000E3EED" w:rsidP="00681598">
            <w:pPr>
              <w:rPr>
                <w:b/>
                <w:bCs/>
                <w:sz w:val="18"/>
                <w:szCs w:val="18"/>
              </w:rPr>
            </w:pPr>
            <w:r w:rsidRPr="000C7758">
              <w:rPr>
                <w:b/>
                <w:bCs/>
                <w:sz w:val="18"/>
                <w:szCs w:val="18"/>
              </w:rPr>
              <w:t>Расходы - всего</w:t>
            </w:r>
          </w:p>
        </w:tc>
        <w:tc>
          <w:tcPr>
            <w:tcW w:w="1019" w:type="dxa"/>
            <w:tcBorders>
              <w:top w:val="nil"/>
              <w:left w:val="nil"/>
              <w:bottom w:val="single" w:sz="4" w:space="0" w:color="auto"/>
              <w:right w:val="single" w:sz="4" w:space="0" w:color="auto"/>
            </w:tcBorders>
            <w:shd w:val="clear" w:color="auto" w:fill="auto"/>
            <w:noWrap/>
            <w:vAlign w:val="bottom"/>
            <w:hideMark/>
          </w:tcPr>
          <w:p w:rsidR="000E3EED" w:rsidRPr="000C7758" w:rsidRDefault="000E3EED" w:rsidP="00681598">
            <w:pPr>
              <w:jc w:val="right"/>
              <w:rPr>
                <w:b/>
                <w:bCs/>
                <w:sz w:val="18"/>
                <w:szCs w:val="18"/>
              </w:rPr>
            </w:pPr>
            <w:r w:rsidRPr="000C7758">
              <w:rPr>
                <w:b/>
                <w:bCs/>
                <w:sz w:val="18"/>
                <w:szCs w:val="18"/>
              </w:rPr>
              <w:t>3 865,6</w:t>
            </w:r>
          </w:p>
        </w:tc>
        <w:tc>
          <w:tcPr>
            <w:tcW w:w="992" w:type="dxa"/>
            <w:tcBorders>
              <w:top w:val="nil"/>
              <w:left w:val="nil"/>
              <w:bottom w:val="single" w:sz="4" w:space="0" w:color="auto"/>
              <w:right w:val="single" w:sz="4" w:space="0" w:color="auto"/>
            </w:tcBorders>
            <w:shd w:val="clear" w:color="auto" w:fill="auto"/>
            <w:noWrap/>
            <w:vAlign w:val="bottom"/>
            <w:hideMark/>
          </w:tcPr>
          <w:p w:rsidR="000E3EED" w:rsidRPr="000C7758" w:rsidRDefault="000E3EED" w:rsidP="00681598">
            <w:pPr>
              <w:jc w:val="right"/>
              <w:rPr>
                <w:b/>
                <w:bCs/>
                <w:sz w:val="18"/>
                <w:szCs w:val="18"/>
              </w:rPr>
            </w:pPr>
            <w:r w:rsidRPr="000C7758">
              <w:rPr>
                <w:b/>
                <w:bCs/>
                <w:sz w:val="18"/>
                <w:szCs w:val="18"/>
              </w:rPr>
              <w:t>1 771,2</w:t>
            </w:r>
          </w:p>
        </w:tc>
        <w:tc>
          <w:tcPr>
            <w:tcW w:w="1019" w:type="dxa"/>
            <w:tcBorders>
              <w:top w:val="nil"/>
              <w:left w:val="nil"/>
              <w:bottom w:val="single" w:sz="4" w:space="0" w:color="auto"/>
              <w:right w:val="single" w:sz="4" w:space="0" w:color="auto"/>
            </w:tcBorders>
            <w:shd w:val="clear" w:color="auto" w:fill="auto"/>
            <w:noWrap/>
            <w:vAlign w:val="bottom"/>
            <w:hideMark/>
          </w:tcPr>
          <w:p w:rsidR="000E3EED" w:rsidRPr="000C7758" w:rsidRDefault="000E3EED" w:rsidP="00681598">
            <w:pPr>
              <w:jc w:val="right"/>
              <w:rPr>
                <w:b/>
                <w:bCs/>
                <w:sz w:val="18"/>
                <w:szCs w:val="18"/>
              </w:rPr>
            </w:pPr>
            <w:r w:rsidRPr="000C7758">
              <w:rPr>
                <w:b/>
                <w:bCs/>
                <w:sz w:val="18"/>
                <w:szCs w:val="18"/>
              </w:rPr>
              <w:t>13 498,3</w:t>
            </w:r>
          </w:p>
        </w:tc>
        <w:tc>
          <w:tcPr>
            <w:tcW w:w="1081" w:type="dxa"/>
            <w:tcBorders>
              <w:top w:val="nil"/>
              <w:left w:val="nil"/>
              <w:bottom w:val="single" w:sz="4" w:space="0" w:color="auto"/>
              <w:right w:val="single" w:sz="4" w:space="0" w:color="auto"/>
            </w:tcBorders>
            <w:shd w:val="clear" w:color="auto" w:fill="auto"/>
            <w:noWrap/>
            <w:vAlign w:val="bottom"/>
            <w:hideMark/>
          </w:tcPr>
          <w:p w:rsidR="000E3EED" w:rsidRPr="000C7758" w:rsidRDefault="000E3EED" w:rsidP="00681598">
            <w:pPr>
              <w:jc w:val="right"/>
              <w:rPr>
                <w:b/>
                <w:bCs/>
                <w:sz w:val="18"/>
                <w:szCs w:val="18"/>
              </w:rPr>
            </w:pPr>
            <w:r w:rsidRPr="000C7758">
              <w:rPr>
                <w:b/>
                <w:bCs/>
                <w:sz w:val="18"/>
                <w:szCs w:val="18"/>
              </w:rPr>
              <w:t>11 125,3</w:t>
            </w:r>
          </w:p>
        </w:tc>
        <w:tc>
          <w:tcPr>
            <w:tcW w:w="969" w:type="dxa"/>
            <w:tcBorders>
              <w:top w:val="nil"/>
              <w:left w:val="nil"/>
              <w:bottom w:val="single" w:sz="4" w:space="0" w:color="auto"/>
              <w:right w:val="single" w:sz="4" w:space="0" w:color="auto"/>
            </w:tcBorders>
            <w:shd w:val="clear" w:color="auto" w:fill="auto"/>
            <w:noWrap/>
            <w:vAlign w:val="bottom"/>
            <w:hideMark/>
          </w:tcPr>
          <w:p w:rsidR="000E3EED" w:rsidRPr="000C7758" w:rsidRDefault="000E3EED" w:rsidP="00681598">
            <w:pPr>
              <w:jc w:val="right"/>
              <w:rPr>
                <w:b/>
                <w:bCs/>
                <w:sz w:val="18"/>
                <w:szCs w:val="18"/>
              </w:rPr>
            </w:pPr>
            <w:r w:rsidRPr="000C7758">
              <w:rPr>
                <w:b/>
                <w:bCs/>
                <w:sz w:val="18"/>
                <w:szCs w:val="18"/>
              </w:rPr>
              <w:t>98 120,6</w:t>
            </w:r>
          </w:p>
        </w:tc>
        <w:tc>
          <w:tcPr>
            <w:tcW w:w="1048" w:type="dxa"/>
            <w:tcBorders>
              <w:top w:val="nil"/>
              <w:left w:val="nil"/>
              <w:bottom w:val="single" w:sz="4" w:space="0" w:color="auto"/>
              <w:right w:val="double" w:sz="6" w:space="0" w:color="auto"/>
            </w:tcBorders>
            <w:shd w:val="clear" w:color="auto" w:fill="auto"/>
            <w:noWrap/>
            <w:vAlign w:val="bottom"/>
            <w:hideMark/>
          </w:tcPr>
          <w:p w:rsidR="000E3EED" w:rsidRPr="000C7758" w:rsidRDefault="000E3EED" w:rsidP="00681598">
            <w:pPr>
              <w:jc w:val="right"/>
              <w:rPr>
                <w:b/>
                <w:bCs/>
                <w:sz w:val="18"/>
                <w:szCs w:val="18"/>
              </w:rPr>
            </w:pPr>
            <w:r w:rsidRPr="000C7758">
              <w:rPr>
                <w:b/>
                <w:bCs/>
                <w:sz w:val="18"/>
                <w:szCs w:val="18"/>
              </w:rPr>
              <w:t>72 926,8</w:t>
            </w:r>
          </w:p>
        </w:tc>
      </w:tr>
      <w:tr w:rsidR="000E3EED" w:rsidRPr="000C7758" w:rsidTr="00681598">
        <w:trPr>
          <w:trHeight w:val="89"/>
        </w:trPr>
        <w:tc>
          <w:tcPr>
            <w:tcW w:w="3425" w:type="dxa"/>
            <w:tcBorders>
              <w:top w:val="nil"/>
              <w:left w:val="double" w:sz="6" w:space="0" w:color="auto"/>
              <w:bottom w:val="single" w:sz="4" w:space="0" w:color="auto"/>
              <w:right w:val="single" w:sz="4" w:space="0" w:color="auto"/>
            </w:tcBorders>
            <w:shd w:val="clear" w:color="auto" w:fill="auto"/>
            <w:vAlign w:val="bottom"/>
            <w:hideMark/>
          </w:tcPr>
          <w:p w:rsidR="000E3EED" w:rsidRPr="000C7758" w:rsidRDefault="000E3EED" w:rsidP="00681598">
            <w:pPr>
              <w:rPr>
                <w:i/>
                <w:iCs/>
                <w:sz w:val="18"/>
                <w:szCs w:val="18"/>
              </w:rPr>
            </w:pPr>
            <w:r w:rsidRPr="000C7758">
              <w:rPr>
                <w:i/>
                <w:iCs/>
                <w:sz w:val="18"/>
                <w:szCs w:val="18"/>
              </w:rPr>
              <w:t>Оплата труда и начисления</w:t>
            </w:r>
          </w:p>
        </w:tc>
        <w:tc>
          <w:tcPr>
            <w:tcW w:w="1019" w:type="dxa"/>
            <w:tcBorders>
              <w:top w:val="nil"/>
              <w:left w:val="nil"/>
              <w:bottom w:val="single" w:sz="4" w:space="0" w:color="auto"/>
              <w:right w:val="single" w:sz="4" w:space="0" w:color="auto"/>
            </w:tcBorders>
            <w:shd w:val="clear" w:color="auto" w:fill="auto"/>
            <w:noWrap/>
            <w:vAlign w:val="bottom"/>
            <w:hideMark/>
          </w:tcPr>
          <w:p w:rsidR="000E3EED" w:rsidRPr="000C7758" w:rsidRDefault="000E3EED" w:rsidP="00681598">
            <w:pPr>
              <w:jc w:val="right"/>
              <w:rPr>
                <w:sz w:val="18"/>
                <w:szCs w:val="18"/>
              </w:rPr>
            </w:pPr>
            <w:r w:rsidRPr="000C7758">
              <w:rPr>
                <w:sz w:val="18"/>
                <w:szCs w:val="18"/>
              </w:rPr>
              <w:t>344,5</w:t>
            </w:r>
          </w:p>
        </w:tc>
        <w:tc>
          <w:tcPr>
            <w:tcW w:w="992" w:type="dxa"/>
            <w:tcBorders>
              <w:top w:val="nil"/>
              <w:left w:val="nil"/>
              <w:bottom w:val="single" w:sz="4" w:space="0" w:color="auto"/>
              <w:right w:val="single" w:sz="4" w:space="0" w:color="auto"/>
            </w:tcBorders>
            <w:shd w:val="clear" w:color="auto" w:fill="auto"/>
            <w:noWrap/>
            <w:vAlign w:val="bottom"/>
            <w:hideMark/>
          </w:tcPr>
          <w:p w:rsidR="000E3EED" w:rsidRPr="000C7758" w:rsidRDefault="000E3EED" w:rsidP="00681598">
            <w:pPr>
              <w:jc w:val="right"/>
              <w:rPr>
                <w:sz w:val="18"/>
                <w:szCs w:val="18"/>
              </w:rPr>
            </w:pPr>
            <w:r w:rsidRPr="000C7758">
              <w:rPr>
                <w:sz w:val="18"/>
                <w:szCs w:val="18"/>
              </w:rPr>
              <w:t>120,4</w:t>
            </w:r>
          </w:p>
        </w:tc>
        <w:tc>
          <w:tcPr>
            <w:tcW w:w="1019" w:type="dxa"/>
            <w:tcBorders>
              <w:top w:val="nil"/>
              <w:left w:val="nil"/>
              <w:bottom w:val="single" w:sz="4" w:space="0" w:color="auto"/>
              <w:right w:val="single" w:sz="4" w:space="0" w:color="auto"/>
            </w:tcBorders>
            <w:shd w:val="clear" w:color="auto" w:fill="auto"/>
            <w:noWrap/>
            <w:vAlign w:val="bottom"/>
            <w:hideMark/>
          </w:tcPr>
          <w:p w:rsidR="000E3EED" w:rsidRPr="000C7758" w:rsidRDefault="000E3EED" w:rsidP="00681598">
            <w:pPr>
              <w:jc w:val="right"/>
              <w:rPr>
                <w:sz w:val="18"/>
                <w:szCs w:val="18"/>
              </w:rPr>
            </w:pPr>
            <w:r w:rsidRPr="000C7758">
              <w:rPr>
                <w:sz w:val="18"/>
                <w:szCs w:val="18"/>
              </w:rPr>
              <w:t>12 953,0</w:t>
            </w:r>
          </w:p>
        </w:tc>
        <w:tc>
          <w:tcPr>
            <w:tcW w:w="1081" w:type="dxa"/>
            <w:tcBorders>
              <w:top w:val="nil"/>
              <w:left w:val="nil"/>
              <w:bottom w:val="single" w:sz="4" w:space="0" w:color="auto"/>
              <w:right w:val="single" w:sz="4" w:space="0" w:color="auto"/>
            </w:tcBorders>
            <w:shd w:val="clear" w:color="auto" w:fill="auto"/>
            <w:noWrap/>
            <w:vAlign w:val="bottom"/>
            <w:hideMark/>
          </w:tcPr>
          <w:p w:rsidR="000E3EED" w:rsidRPr="000C7758" w:rsidRDefault="000E3EED" w:rsidP="00681598">
            <w:pPr>
              <w:jc w:val="right"/>
              <w:rPr>
                <w:sz w:val="18"/>
                <w:szCs w:val="18"/>
              </w:rPr>
            </w:pPr>
            <w:r w:rsidRPr="000C7758">
              <w:rPr>
                <w:sz w:val="18"/>
                <w:szCs w:val="18"/>
              </w:rPr>
              <w:t>11 001,7</w:t>
            </w:r>
          </w:p>
        </w:tc>
        <w:tc>
          <w:tcPr>
            <w:tcW w:w="969" w:type="dxa"/>
            <w:tcBorders>
              <w:top w:val="nil"/>
              <w:left w:val="nil"/>
              <w:bottom w:val="single" w:sz="4" w:space="0" w:color="auto"/>
              <w:right w:val="single" w:sz="4" w:space="0" w:color="auto"/>
            </w:tcBorders>
            <w:shd w:val="clear" w:color="auto" w:fill="auto"/>
            <w:noWrap/>
            <w:vAlign w:val="bottom"/>
            <w:hideMark/>
          </w:tcPr>
          <w:p w:rsidR="000E3EED" w:rsidRPr="000C7758" w:rsidRDefault="000E3EED" w:rsidP="00681598">
            <w:pPr>
              <w:jc w:val="right"/>
              <w:rPr>
                <w:sz w:val="18"/>
                <w:szCs w:val="18"/>
              </w:rPr>
            </w:pPr>
            <w:r w:rsidRPr="000C7758">
              <w:rPr>
                <w:sz w:val="18"/>
                <w:szCs w:val="18"/>
              </w:rPr>
              <w:t>1 121,5</w:t>
            </w:r>
          </w:p>
        </w:tc>
        <w:tc>
          <w:tcPr>
            <w:tcW w:w="1048" w:type="dxa"/>
            <w:tcBorders>
              <w:top w:val="nil"/>
              <w:left w:val="nil"/>
              <w:bottom w:val="single" w:sz="4" w:space="0" w:color="auto"/>
              <w:right w:val="double" w:sz="6" w:space="0" w:color="auto"/>
            </w:tcBorders>
            <w:shd w:val="clear" w:color="auto" w:fill="auto"/>
            <w:noWrap/>
            <w:vAlign w:val="bottom"/>
            <w:hideMark/>
          </w:tcPr>
          <w:p w:rsidR="000E3EED" w:rsidRPr="000C7758" w:rsidRDefault="000E3EED" w:rsidP="00681598">
            <w:pPr>
              <w:jc w:val="right"/>
              <w:rPr>
                <w:sz w:val="18"/>
                <w:szCs w:val="18"/>
              </w:rPr>
            </w:pPr>
            <w:r w:rsidRPr="000C7758">
              <w:rPr>
                <w:sz w:val="18"/>
                <w:szCs w:val="18"/>
              </w:rPr>
              <w:t>846,5</w:t>
            </w:r>
          </w:p>
        </w:tc>
      </w:tr>
      <w:tr w:rsidR="000E3EED" w:rsidRPr="000C7758" w:rsidTr="00681598">
        <w:trPr>
          <w:trHeight w:val="164"/>
        </w:trPr>
        <w:tc>
          <w:tcPr>
            <w:tcW w:w="3425" w:type="dxa"/>
            <w:tcBorders>
              <w:top w:val="nil"/>
              <w:left w:val="double" w:sz="6" w:space="0" w:color="auto"/>
              <w:bottom w:val="single" w:sz="4" w:space="0" w:color="auto"/>
              <w:right w:val="single" w:sz="4" w:space="0" w:color="auto"/>
            </w:tcBorders>
            <w:shd w:val="clear" w:color="auto" w:fill="auto"/>
            <w:vAlign w:val="bottom"/>
            <w:hideMark/>
          </w:tcPr>
          <w:p w:rsidR="000E3EED" w:rsidRPr="000C7758" w:rsidRDefault="000E3EED" w:rsidP="00681598">
            <w:pPr>
              <w:rPr>
                <w:i/>
                <w:iCs/>
                <w:sz w:val="18"/>
                <w:szCs w:val="18"/>
              </w:rPr>
            </w:pPr>
            <w:r w:rsidRPr="000C7758">
              <w:rPr>
                <w:i/>
                <w:iCs/>
                <w:sz w:val="18"/>
                <w:szCs w:val="18"/>
              </w:rPr>
              <w:t>Приобретение товаров, работ, услуг</w:t>
            </w:r>
          </w:p>
        </w:tc>
        <w:tc>
          <w:tcPr>
            <w:tcW w:w="1019" w:type="dxa"/>
            <w:tcBorders>
              <w:top w:val="nil"/>
              <w:left w:val="nil"/>
              <w:bottom w:val="single" w:sz="4" w:space="0" w:color="auto"/>
              <w:right w:val="single" w:sz="4" w:space="0" w:color="auto"/>
            </w:tcBorders>
            <w:shd w:val="clear" w:color="auto" w:fill="auto"/>
            <w:noWrap/>
            <w:vAlign w:val="bottom"/>
            <w:hideMark/>
          </w:tcPr>
          <w:p w:rsidR="000E3EED" w:rsidRPr="000C7758" w:rsidRDefault="000E3EED" w:rsidP="00681598">
            <w:pPr>
              <w:jc w:val="right"/>
              <w:rPr>
                <w:sz w:val="18"/>
                <w:szCs w:val="18"/>
              </w:rPr>
            </w:pPr>
            <w:r w:rsidRPr="000C7758">
              <w:rPr>
                <w:sz w:val="18"/>
                <w:szCs w:val="18"/>
              </w:rPr>
              <w:t>3 295,0</w:t>
            </w:r>
          </w:p>
        </w:tc>
        <w:tc>
          <w:tcPr>
            <w:tcW w:w="992" w:type="dxa"/>
            <w:tcBorders>
              <w:top w:val="nil"/>
              <w:left w:val="nil"/>
              <w:bottom w:val="single" w:sz="4" w:space="0" w:color="auto"/>
              <w:right w:val="single" w:sz="4" w:space="0" w:color="auto"/>
            </w:tcBorders>
            <w:shd w:val="clear" w:color="auto" w:fill="auto"/>
            <w:noWrap/>
            <w:vAlign w:val="bottom"/>
            <w:hideMark/>
          </w:tcPr>
          <w:p w:rsidR="000E3EED" w:rsidRPr="000C7758" w:rsidRDefault="000E3EED" w:rsidP="00681598">
            <w:pPr>
              <w:jc w:val="right"/>
              <w:rPr>
                <w:sz w:val="18"/>
                <w:szCs w:val="18"/>
              </w:rPr>
            </w:pPr>
            <w:r w:rsidRPr="000C7758">
              <w:rPr>
                <w:sz w:val="18"/>
                <w:szCs w:val="18"/>
              </w:rPr>
              <w:t>1 573,0</w:t>
            </w:r>
          </w:p>
        </w:tc>
        <w:tc>
          <w:tcPr>
            <w:tcW w:w="1019" w:type="dxa"/>
            <w:tcBorders>
              <w:top w:val="nil"/>
              <w:left w:val="nil"/>
              <w:bottom w:val="single" w:sz="4" w:space="0" w:color="auto"/>
              <w:right w:val="single" w:sz="4" w:space="0" w:color="auto"/>
            </w:tcBorders>
            <w:shd w:val="clear" w:color="auto" w:fill="auto"/>
            <w:noWrap/>
            <w:vAlign w:val="bottom"/>
            <w:hideMark/>
          </w:tcPr>
          <w:p w:rsidR="000E3EED" w:rsidRPr="000C7758" w:rsidRDefault="000E3EED" w:rsidP="00681598">
            <w:pPr>
              <w:jc w:val="right"/>
              <w:rPr>
                <w:sz w:val="18"/>
                <w:szCs w:val="18"/>
              </w:rPr>
            </w:pPr>
            <w:r w:rsidRPr="000C7758">
              <w:rPr>
                <w:sz w:val="18"/>
                <w:szCs w:val="18"/>
              </w:rPr>
              <w:t>545,3</w:t>
            </w:r>
          </w:p>
        </w:tc>
        <w:tc>
          <w:tcPr>
            <w:tcW w:w="1081" w:type="dxa"/>
            <w:tcBorders>
              <w:top w:val="nil"/>
              <w:left w:val="nil"/>
              <w:bottom w:val="single" w:sz="4" w:space="0" w:color="auto"/>
              <w:right w:val="single" w:sz="4" w:space="0" w:color="auto"/>
            </w:tcBorders>
            <w:shd w:val="clear" w:color="auto" w:fill="auto"/>
            <w:noWrap/>
            <w:vAlign w:val="bottom"/>
            <w:hideMark/>
          </w:tcPr>
          <w:p w:rsidR="000E3EED" w:rsidRPr="000C7758" w:rsidRDefault="000E3EED" w:rsidP="00681598">
            <w:pPr>
              <w:jc w:val="right"/>
              <w:rPr>
                <w:sz w:val="18"/>
                <w:szCs w:val="18"/>
              </w:rPr>
            </w:pPr>
            <w:r w:rsidRPr="000C7758">
              <w:rPr>
                <w:sz w:val="18"/>
                <w:szCs w:val="18"/>
              </w:rPr>
              <w:t>123,6</w:t>
            </w:r>
          </w:p>
        </w:tc>
        <w:tc>
          <w:tcPr>
            <w:tcW w:w="969" w:type="dxa"/>
            <w:tcBorders>
              <w:top w:val="nil"/>
              <w:left w:val="nil"/>
              <w:bottom w:val="single" w:sz="4" w:space="0" w:color="auto"/>
              <w:right w:val="single" w:sz="4" w:space="0" w:color="auto"/>
            </w:tcBorders>
            <w:shd w:val="clear" w:color="auto" w:fill="auto"/>
            <w:noWrap/>
            <w:vAlign w:val="bottom"/>
            <w:hideMark/>
          </w:tcPr>
          <w:p w:rsidR="000E3EED" w:rsidRPr="000C7758" w:rsidRDefault="000E3EED" w:rsidP="00681598">
            <w:pPr>
              <w:jc w:val="right"/>
              <w:rPr>
                <w:sz w:val="18"/>
                <w:szCs w:val="18"/>
              </w:rPr>
            </w:pPr>
            <w:r w:rsidRPr="000C7758">
              <w:rPr>
                <w:sz w:val="18"/>
                <w:szCs w:val="18"/>
              </w:rPr>
              <w:t>96 999,1</w:t>
            </w:r>
          </w:p>
        </w:tc>
        <w:tc>
          <w:tcPr>
            <w:tcW w:w="1048" w:type="dxa"/>
            <w:tcBorders>
              <w:top w:val="nil"/>
              <w:left w:val="nil"/>
              <w:bottom w:val="single" w:sz="4" w:space="0" w:color="auto"/>
              <w:right w:val="double" w:sz="6" w:space="0" w:color="auto"/>
            </w:tcBorders>
            <w:shd w:val="clear" w:color="auto" w:fill="auto"/>
            <w:noWrap/>
            <w:vAlign w:val="bottom"/>
            <w:hideMark/>
          </w:tcPr>
          <w:p w:rsidR="000E3EED" w:rsidRPr="000C7758" w:rsidRDefault="000E3EED" w:rsidP="00681598">
            <w:pPr>
              <w:jc w:val="right"/>
              <w:rPr>
                <w:sz w:val="18"/>
                <w:szCs w:val="18"/>
              </w:rPr>
            </w:pPr>
            <w:r w:rsidRPr="000C7758">
              <w:rPr>
                <w:sz w:val="18"/>
                <w:szCs w:val="18"/>
              </w:rPr>
              <w:t>72 080,3</w:t>
            </w:r>
          </w:p>
        </w:tc>
      </w:tr>
      <w:tr w:rsidR="000E3EED" w:rsidRPr="000C7758" w:rsidTr="00681598">
        <w:trPr>
          <w:trHeight w:val="224"/>
        </w:trPr>
        <w:tc>
          <w:tcPr>
            <w:tcW w:w="3425" w:type="dxa"/>
            <w:tcBorders>
              <w:top w:val="nil"/>
              <w:left w:val="double" w:sz="6" w:space="0" w:color="auto"/>
              <w:bottom w:val="single" w:sz="4" w:space="0" w:color="auto"/>
              <w:right w:val="single" w:sz="4" w:space="0" w:color="auto"/>
            </w:tcBorders>
            <w:shd w:val="clear" w:color="auto" w:fill="auto"/>
            <w:vAlign w:val="bottom"/>
            <w:hideMark/>
          </w:tcPr>
          <w:p w:rsidR="000E3EED" w:rsidRPr="000C7758" w:rsidRDefault="000E3EED" w:rsidP="00681598">
            <w:pPr>
              <w:rPr>
                <w:i/>
                <w:iCs/>
                <w:sz w:val="18"/>
                <w:szCs w:val="18"/>
              </w:rPr>
            </w:pPr>
            <w:r w:rsidRPr="000C7758">
              <w:rPr>
                <w:i/>
                <w:iCs/>
                <w:sz w:val="18"/>
                <w:szCs w:val="18"/>
              </w:rPr>
              <w:t>Исполнение судебных актов</w:t>
            </w:r>
          </w:p>
        </w:tc>
        <w:tc>
          <w:tcPr>
            <w:tcW w:w="1019" w:type="dxa"/>
            <w:tcBorders>
              <w:top w:val="nil"/>
              <w:left w:val="nil"/>
              <w:bottom w:val="single" w:sz="4" w:space="0" w:color="auto"/>
              <w:right w:val="single" w:sz="4" w:space="0" w:color="auto"/>
            </w:tcBorders>
            <w:shd w:val="clear" w:color="auto" w:fill="auto"/>
            <w:noWrap/>
            <w:vAlign w:val="bottom"/>
            <w:hideMark/>
          </w:tcPr>
          <w:p w:rsidR="000E3EED" w:rsidRPr="000C7758" w:rsidRDefault="000E3EED" w:rsidP="00681598">
            <w:pPr>
              <w:jc w:val="right"/>
              <w:rPr>
                <w:sz w:val="18"/>
                <w:szCs w:val="18"/>
              </w:rPr>
            </w:pPr>
            <w:r w:rsidRPr="000C7758">
              <w:rPr>
                <w:sz w:val="18"/>
                <w:szCs w:val="18"/>
              </w:rPr>
              <w:t>41</w:t>
            </w:r>
          </w:p>
        </w:tc>
        <w:tc>
          <w:tcPr>
            <w:tcW w:w="992" w:type="dxa"/>
            <w:tcBorders>
              <w:top w:val="nil"/>
              <w:left w:val="nil"/>
              <w:bottom w:val="single" w:sz="4" w:space="0" w:color="auto"/>
              <w:right w:val="single" w:sz="4" w:space="0" w:color="auto"/>
            </w:tcBorders>
            <w:shd w:val="clear" w:color="auto" w:fill="auto"/>
            <w:noWrap/>
            <w:vAlign w:val="bottom"/>
            <w:hideMark/>
          </w:tcPr>
          <w:p w:rsidR="000E3EED" w:rsidRPr="000C7758" w:rsidRDefault="000E3EED" w:rsidP="00681598">
            <w:pPr>
              <w:jc w:val="right"/>
              <w:rPr>
                <w:sz w:val="18"/>
                <w:szCs w:val="18"/>
              </w:rPr>
            </w:pPr>
            <w:r w:rsidRPr="000C7758">
              <w:rPr>
                <w:sz w:val="18"/>
                <w:szCs w:val="18"/>
              </w:rPr>
              <w:t>7,4</w:t>
            </w:r>
          </w:p>
        </w:tc>
        <w:tc>
          <w:tcPr>
            <w:tcW w:w="1019" w:type="dxa"/>
            <w:tcBorders>
              <w:top w:val="nil"/>
              <w:left w:val="nil"/>
              <w:bottom w:val="single" w:sz="4" w:space="0" w:color="auto"/>
              <w:right w:val="single" w:sz="4" w:space="0" w:color="auto"/>
            </w:tcBorders>
            <w:shd w:val="clear" w:color="auto" w:fill="auto"/>
            <w:noWrap/>
            <w:vAlign w:val="bottom"/>
            <w:hideMark/>
          </w:tcPr>
          <w:p w:rsidR="000E3EED" w:rsidRPr="000C7758" w:rsidRDefault="000E3EED" w:rsidP="00681598">
            <w:pPr>
              <w:jc w:val="right"/>
              <w:rPr>
                <w:i/>
                <w:iCs/>
                <w:sz w:val="18"/>
                <w:szCs w:val="18"/>
              </w:rPr>
            </w:pPr>
            <w:r w:rsidRPr="000C7758">
              <w:rPr>
                <w:i/>
                <w:iCs/>
                <w:sz w:val="18"/>
                <w:szCs w:val="18"/>
              </w:rPr>
              <w:t>-</w:t>
            </w:r>
          </w:p>
        </w:tc>
        <w:tc>
          <w:tcPr>
            <w:tcW w:w="1081" w:type="dxa"/>
            <w:tcBorders>
              <w:top w:val="nil"/>
              <w:left w:val="nil"/>
              <w:bottom w:val="single" w:sz="4" w:space="0" w:color="auto"/>
              <w:right w:val="single" w:sz="4" w:space="0" w:color="auto"/>
            </w:tcBorders>
            <w:shd w:val="clear" w:color="auto" w:fill="auto"/>
            <w:noWrap/>
            <w:vAlign w:val="bottom"/>
            <w:hideMark/>
          </w:tcPr>
          <w:p w:rsidR="000E3EED" w:rsidRPr="000C7758" w:rsidRDefault="000E3EED" w:rsidP="00681598">
            <w:pPr>
              <w:jc w:val="right"/>
              <w:rPr>
                <w:i/>
                <w:iCs/>
                <w:sz w:val="18"/>
                <w:szCs w:val="18"/>
              </w:rPr>
            </w:pPr>
            <w:r w:rsidRPr="000C7758">
              <w:rPr>
                <w:i/>
                <w:iCs/>
                <w:sz w:val="18"/>
                <w:szCs w:val="18"/>
              </w:rPr>
              <w:t>-</w:t>
            </w:r>
          </w:p>
        </w:tc>
        <w:tc>
          <w:tcPr>
            <w:tcW w:w="969" w:type="dxa"/>
            <w:tcBorders>
              <w:top w:val="nil"/>
              <w:left w:val="nil"/>
              <w:bottom w:val="single" w:sz="4" w:space="0" w:color="auto"/>
              <w:right w:val="single" w:sz="4" w:space="0" w:color="auto"/>
            </w:tcBorders>
            <w:shd w:val="clear" w:color="auto" w:fill="auto"/>
            <w:noWrap/>
            <w:vAlign w:val="bottom"/>
            <w:hideMark/>
          </w:tcPr>
          <w:p w:rsidR="000E3EED" w:rsidRPr="000C7758" w:rsidRDefault="000E3EED" w:rsidP="00681598">
            <w:pPr>
              <w:jc w:val="right"/>
              <w:rPr>
                <w:i/>
                <w:iCs/>
                <w:sz w:val="18"/>
                <w:szCs w:val="18"/>
              </w:rPr>
            </w:pPr>
            <w:r w:rsidRPr="000C7758">
              <w:rPr>
                <w:i/>
                <w:iCs/>
                <w:sz w:val="18"/>
                <w:szCs w:val="18"/>
              </w:rPr>
              <w:t>-</w:t>
            </w:r>
          </w:p>
        </w:tc>
        <w:tc>
          <w:tcPr>
            <w:tcW w:w="1048" w:type="dxa"/>
            <w:tcBorders>
              <w:top w:val="nil"/>
              <w:left w:val="nil"/>
              <w:bottom w:val="single" w:sz="4" w:space="0" w:color="auto"/>
              <w:right w:val="double" w:sz="6" w:space="0" w:color="auto"/>
            </w:tcBorders>
            <w:shd w:val="clear" w:color="auto" w:fill="auto"/>
            <w:noWrap/>
            <w:vAlign w:val="bottom"/>
            <w:hideMark/>
          </w:tcPr>
          <w:p w:rsidR="000E3EED" w:rsidRPr="000C7758" w:rsidRDefault="000E3EED" w:rsidP="00681598">
            <w:pPr>
              <w:jc w:val="right"/>
              <w:rPr>
                <w:i/>
                <w:iCs/>
                <w:sz w:val="18"/>
                <w:szCs w:val="18"/>
              </w:rPr>
            </w:pPr>
            <w:r w:rsidRPr="000C7758">
              <w:rPr>
                <w:i/>
                <w:iCs/>
                <w:sz w:val="18"/>
                <w:szCs w:val="18"/>
              </w:rPr>
              <w:t>-</w:t>
            </w:r>
          </w:p>
        </w:tc>
      </w:tr>
      <w:tr w:rsidR="000E3EED" w:rsidRPr="000C7758" w:rsidTr="00681598">
        <w:trPr>
          <w:trHeight w:val="283"/>
        </w:trPr>
        <w:tc>
          <w:tcPr>
            <w:tcW w:w="3425" w:type="dxa"/>
            <w:tcBorders>
              <w:top w:val="nil"/>
              <w:left w:val="double" w:sz="6" w:space="0" w:color="auto"/>
              <w:bottom w:val="single" w:sz="4" w:space="0" w:color="auto"/>
              <w:right w:val="single" w:sz="4" w:space="0" w:color="auto"/>
            </w:tcBorders>
            <w:shd w:val="clear" w:color="auto" w:fill="auto"/>
            <w:vAlign w:val="bottom"/>
            <w:hideMark/>
          </w:tcPr>
          <w:p w:rsidR="000E3EED" w:rsidRPr="000C7758" w:rsidRDefault="000E3EED" w:rsidP="00681598">
            <w:pPr>
              <w:rPr>
                <w:i/>
                <w:iCs/>
                <w:sz w:val="18"/>
                <w:szCs w:val="18"/>
              </w:rPr>
            </w:pPr>
            <w:r w:rsidRPr="000C7758">
              <w:rPr>
                <w:i/>
                <w:iCs/>
                <w:sz w:val="18"/>
                <w:szCs w:val="18"/>
              </w:rPr>
              <w:t>Уплата налогов, сборов и иных платежей</w:t>
            </w:r>
          </w:p>
        </w:tc>
        <w:tc>
          <w:tcPr>
            <w:tcW w:w="1019" w:type="dxa"/>
            <w:tcBorders>
              <w:top w:val="nil"/>
              <w:left w:val="nil"/>
              <w:bottom w:val="nil"/>
              <w:right w:val="single" w:sz="4" w:space="0" w:color="auto"/>
            </w:tcBorders>
            <w:shd w:val="clear" w:color="auto" w:fill="auto"/>
            <w:noWrap/>
            <w:vAlign w:val="bottom"/>
            <w:hideMark/>
          </w:tcPr>
          <w:p w:rsidR="000E3EED" w:rsidRPr="000C7758" w:rsidRDefault="000E3EED" w:rsidP="00681598">
            <w:pPr>
              <w:jc w:val="right"/>
              <w:rPr>
                <w:sz w:val="18"/>
                <w:szCs w:val="18"/>
              </w:rPr>
            </w:pPr>
            <w:r w:rsidRPr="000C7758">
              <w:rPr>
                <w:sz w:val="18"/>
                <w:szCs w:val="18"/>
              </w:rPr>
              <w:t>185,1</w:t>
            </w:r>
          </w:p>
        </w:tc>
        <w:tc>
          <w:tcPr>
            <w:tcW w:w="992" w:type="dxa"/>
            <w:tcBorders>
              <w:top w:val="nil"/>
              <w:left w:val="nil"/>
              <w:bottom w:val="nil"/>
              <w:right w:val="single" w:sz="4" w:space="0" w:color="auto"/>
            </w:tcBorders>
            <w:shd w:val="clear" w:color="auto" w:fill="auto"/>
            <w:noWrap/>
            <w:vAlign w:val="bottom"/>
            <w:hideMark/>
          </w:tcPr>
          <w:p w:rsidR="000E3EED" w:rsidRPr="000C7758" w:rsidRDefault="000E3EED" w:rsidP="00681598">
            <w:pPr>
              <w:jc w:val="right"/>
              <w:rPr>
                <w:sz w:val="18"/>
                <w:szCs w:val="18"/>
              </w:rPr>
            </w:pPr>
            <w:r w:rsidRPr="000C7758">
              <w:rPr>
                <w:sz w:val="18"/>
                <w:szCs w:val="18"/>
              </w:rPr>
              <w:t>70,4</w:t>
            </w:r>
          </w:p>
        </w:tc>
        <w:tc>
          <w:tcPr>
            <w:tcW w:w="1019" w:type="dxa"/>
            <w:tcBorders>
              <w:top w:val="nil"/>
              <w:left w:val="nil"/>
              <w:bottom w:val="single" w:sz="4" w:space="0" w:color="auto"/>
              <w:right w:val="single" w:sz="4" w:space="0" w:color="auto"/>
            </w:tcBorders>
            <w:shd w:val="clear" w:color="auto" w:fill="auto"/>
            <w:noWrap/>
            <w:vAlign w:val="bottom"/>
            <w:hideMark/>
          </w:tcPr>
          <w:p w:rsidR="000E3EED" w:rsidRPr="000C7758" w:rsidRDefault="000E3EED" w:rsidP="00681598">
            <w:pPr>
              <w:jc w:val="right"/>
              <w:rPr>
                <w:i/>
                <w:iCs/>
                <w:sz w:val="18"/>
                <w:szCs w:val="18"/>
              </w:rPr>
            </w:pPr>
            <w:r w:rsidRPr="000C7758">
              <w:rPr>
                <w:i/>
                <w:iCs/>
                <w:sz w:val="18"/>
                <w:szCs w:val="18"/>
              </w:rPr>
              <w:t>-</w:t>
            </w:r>
          </w:p>
        </w:tc>
        <w:tc>
          <w:tcPr>
            <w:tcW w:w="1081" w:type="dxa"/>
            <w:tcBorders>
              <w:top w:val="nil"/>
              <w:left w:val="nil"/>
              <w:bottom w:val="single" w:sz="4" w:space="0" w:color="auto"/>
              <w:right w:val="single" w:sz="4" w:space="0" w:color="auto"/>
            </w:tcBorders>
            <w:shd w:val="clear" w:color="auto" w:fill="auto"/>
            <w:noWrap/>
            <w:vAlign w:val="bottom"/>
            <w:hideMark/>
          </w:tcPr>
          <w:p w:rsidR="000E3EED" w:rsidRPr="000C7758" w:rsidRDefault="000E3EED" w:rsidP="00681598">
            <w:pPr>
              <w:jc w:val="right"/>
              <w:rPr>
                <w:i/>
                <w:iCs/>
                <w:sz w:val="18"/>
                <w:szCs w:val="18"/>
              </w:rPr>
            </w:pPr>
            <w:r w:rsidRPr="000C7758">
              <w:rPr>
                <w:i/>
                <w:iCs/>
                <w:sz w:val="18"/>
                <w:szCs w:val="18"/>
              </w:rPr>
              <w:t>-</w:t>
            </w:r>
          </w:p>
        </w:tc>
        <w:tc>
          <w:tcPr>
            <w:tcW w:w="969" w:type="dxa"/>
            <w:tcBorders>
              <w:top w:val="nil"/>
              <w:left w:val="nil"/>
              <w:bottom w:val="single" w:sz="4" w:space="0" w:color="auto"/>
              <w:right w:val="single" w:sz="4" w:space="0" w:color="auto"/>
            </w:tcBorders>
            <w:shd w:val="clear" w:color="auto" w:fill="auto"/>
            <w:noWrap/>
            <w:vAlign w:val="bottom"/>
            <w:hideMark/>
          </w:tcPr>
          <w:p w:rsidR="000E3EED" w:rsidRPr="000C7758" w:rsidRDefault="000E3EED" w:rsidP="00681598">
            <w:pPr>
              <w:jc w:val="right"/>
              <w:rPr>
                <w:i/>
                <w:iCs/>
                <w:sz w:val="18"/>
                <w:szCs w:val="18"/>
              </w:rPr>
            </w:pPr>
            <w:r w:rsidRPr="000C7758">
              <w:rPr>
                <w:i/>
                <w:iCs/>
                <w:sz w:val="18"/>
                <w:szCs w:val="18"/>
              </w:rPr>
              <w:t>-</w:t>
            </w:r>
          </w:p>
        </w:tc>
        <w:tc>
          <w:tcPr>
            <w:tcW w:w="1048" w:type="dxa"/>
            <w:tcBorders>
              <w:top w:val="nil"/>
              <w:left w:val="nil"/>
              <w:bottom w:val="single" w:sz="4" w:space="0" w:color="auto"/>
              <w:right w:val="double" w:sz="6" w:space="0" w:color="auto"/>
            </w:tcBorders>
            <w:shd w:val="clear" w:color="auto" w:fill="auto"/>
            <w:noWrap/>
            <w:vAlign w:val="bottom"/>
            <w:hideMark/>
          </w:tcPr>
          <w:p w:rsidR="000E3EED" w:rsidRPr="000C7758" w:rsidRDefault="000E3EED" w:rsidP="00681598">
            <w:pPr>
              <w:jc w:val="right"/>
              <w:rPr>
                <w:i/>
                <w:iCs/>
                <w:sz w:val="18"/>
                <w:szCs w:val="18"/>
              </w:rPr>
            </w:pPr>
            <w:r w:rsidRPr="000C7758">
              <w:rPr>
                <w:i/>
                <w:iCs/>
                <w:sz w:val="18"/>
                <w:szCs w:val="18"/>
              </w:rPr>
              <w:t>-</w:t>
            </w:r>
          </w:p>
        </w:tc>
      </w:tr>
      <w:tr w:rsidR="000E3EED" w:rsidRPr="000C7758" w:rsidTr="00681598">
        <w:trPr>
          <w:trHeight w:val="159"/>
        </w:trPr>
        <w:tc>
          <w:tcPr>
            <w:tcW w:w="3425" w:type="dxa"/>
            <w:tcBorders>
              <w:top w:val="nil"/>
              <w:left w:val="double" w:sz="6" w:space="0" w:color="auto"/>
              <w:bottom w:val="double" w:sz="6" w:space="0" w:color="auto"/>
              <w:right w:val="single" w:sz="4" w:space="0" w:color="auto"/>
            </w:tcBorders>
            <w:shd w:val="clear" w:color="auto" w:fill="auto"/>
            <w:vAlign w:val="bottom"/>
            <w:hideMark/>
          </w:tcPr>
          <w:p w:rsidR="000E3EED" w:rsidRPr="000C7758" w:rsidRDefault="000E3EED" w:rsidP="00681598">
            <w:pPr>
              <w:rPr>
                <w:b/>
                <w:bCs/>
                <w:i/>
                <w:iCs/>
                <w:sz w:val="18"/>
                <w:szCs w:val="18"/>
              </w:rPr>
            </w:pPr>
            <w:r w:rsidRPr="000C7758">
              <w:rPr>
                <w:b/>
                <w:bCs/>
                <w:i/>
                <w:iCs/>
                <w:sz w:val="18"/>
                <w:szCs w:val="18"/>
              </w:rPr>
              <w:t>Остаток средств на 01.01.2018</w:t>
            </w:r>
          </w:p>
        </w:tc>
        <w:tc>
          <w:tcPr>
            <w:tcW w:w="2011" w:type="dxa"/>
            <w:gridSpan w:val="2"/>
            <w:tcBorders>
              <w:top w:val="single" w:sz="4" w:space="0" w:color="auto"/>
              <w:left w:val="nil"/>
              <w:bottom w:val="double" w:sz="6" w:space="0" w:color="auto"/>
              <w:right w:val="single" w:sz="4" w:space="0" w:color="auto"/>
            </w:tcBorders>
            <w:shd w:val="clear" w:color="auto" w:fill="auto"/>
            <w:noWrap/>
            <w:vAlign w:val="bottom"/>
            <w:hideMark/>
          </w:tcPr>
          <w:p w:rsidR="000E3EED" w:rsidRPr="000C7758" w:rsidRDefault="000E3EED" w:rsidP="00681598">
            <w:pPr>
              <w:jc w:val="center"/>
              <w:rPr>
                <w:b/>
                <w:bCs/>
                <w:i/>
                <w:iCs/>
                <w:sz w:val="18"/>
                <w:szCs w:val="18"/>
              </w:rPr>
            </w:pPr>
            <w:r w:rsidRPr="000C7758">
              <w:rPr>
                <w:b/>
                <w:bCs/>
                <w:i/>
                <w:iCs/>
                <w:sz w:val="18"/>
                <w:szCs w:val="18"/>
              </w:rPr>
              <w:t>33,5</w:t>
            </w:r>
          </w:p>
        </w:tc>
        <w:tc>
          <w:tcPr>
            <w:tcW w:w="2100" w:type="dxa"/>
            <w:gridSpan w:val="2"/>
            <w:tcBorders>
              <w:top w:val="single" w:sz="4" w:space="0" w:color="auto"/>
              <w:left w:val="nil"/>
              <w:bottom w:val="double" w:sz="6" w:space="0" w:color="auto"/>
              <w:right w:val="single" w:sz="4" w:space="0" w:color="auto"/>
            </w:tcBorders>
            <w:shd w:val="clear" w:color="auto" w:fill="auto"/>
            <w:noWrap/>
            <w:vAlign w:val="bottom"/>
            <w:hideMark/>
          </w:tcPr>
          <w:p w:rsidR="000E3EED" w:rsidRPr="000C7758" w:rsidRDefault="000E3EED" w:rsidP="00681598">
            <w:pPr>
              <w:jc w:val="center"/>
              <w:rPr>
                <w:b/>
                <w:bCs/>
                <w:i/>
                <w:iCs/>
                <w:sz w:val="18"/>
                <w:szCs w:val="18"/>
              </w:rPr>
            </w:pPr>
            <w:r w:rsidRPr="000C7758">
              <w:rPr>
                <w:b/>
                <w:bCs/>
                <w:i/>
                <w:iCs/>
                <w:sz w:val="18"/>
                <w:szCs w:val="18"/>
              </w:rPr>
              <w:t>2 267,6</w:t>
            </w:r>
          </w:p>
        </w:tc>
        <w:tc>
          <w:tcPr>
            <w:tcW w:w="2017" w:type="dxa"/>
            <w:gridSpan w:val="2"/>
            <w:tcBorders>
              <w:top w:val="single" w:sz="4" w:space="0" w:color="auto"/>
              <w:left w:val="nil"/>
              <w:bottom w:val="double" w:sz="6" w:space="0" w:color="auto"/>
              <w:right w:val="double" w:sz="6" w:space="0" w:color="000000"/>
            </w:tcBorders>
            <w:shd w:val="clear" w:color="auto" w:fill="auto"/>
            <w:noWrap/>
            <w:vAlign w:val="bottom"/>
            <w:hideMark/>
          </w:tcPr>
          <w:p w:rsidR="000E3EED" w:rsidRPr="000C7758" w:rsidRDefault="000E3EED" w:rsidP="00681598">
            <w:pPr>
              <w:jc w:val="center"/>
              <w:rPr>
                <w:b/>
                <w:bCs/>
                <w:i/>
                <w:iCs/>
                <w:sz w:val="18"/>
                <w:szCs w:val="18"/>
              </w:rPr>
            </w:pPr>
            <w:r w:rsidRPr="000C7758">
              <w:rPr>
                <w:b/>
                <w:bCs/>
                <w:i/>
                <w:iCs/>
                <w:sz w:val="18"/>
                <w:szCs w:val="18"/>
              </w:rPr>
              <w:t>25 193,8</w:t>
            </w:r>
          </w:p>
        </w:tc>
      </w:tr>
    </w:tbl>
    <w:p w:rsidR="000E3EED" w:rsidRPr="000C7758" w:rsidRDefault="000E3EED" w:rsidP="000E3EED">
      <w:pPr>
        <w:widowControl w:val="0"/>
        <w:autoSpaceDE w:val="0"/>
        <w:autoSpaceDN w:val="0"/>
        <w:adjustRightInd w:val="0"/>
        <w:ind w:firstLine="709"/>
        <w:jc w:val="both"/>
        <w:rPr>
          <w:color w:val="4F6228" w:themeColor="accent3" w:themeShade="80"/>
          <w:sz w:val="18"/>
          <w:szCs w:val="18"/>
        </w:rPr>
      </w:pPr>
    </w:p>
    <w:p w:rsidR="000E3EED" w:rsidRDefault="00E95A1A" w:rsidP="000E3EED">
      <w:pPr>
        <w:autoSpaceDE w:val="0"/>
        <w:autoSpaceDN w:val="0"/>
        <w:adjustRightInd w:val="0"/>
        <w:ind w:firstLine="680"/>
        <w:jc w:val="both"/>
      </w:pPr>
      <w:r>
        <w:t>Как видно из таблицы, п</w:t>
      </w:r>
      <w:r w:rsidR="000E3EED">
        <w:t xml:space="preserve">о </w:t>
      </w:r>
      <w:proofErr w:type="spellStart"/>
      <w:r w:rsidR="000E3EED">
        <w:t>госзаданию</w:t>
      </w:r>
      <w:proofErr w:type="spellEnd"/>
      <w:r w:rsidR="000E3EED">
        <w:t xml:space="preserve"> расходы </w:t>
      </w:r>
      <w:r w:rsidR="000E3EED" w:rsidRPr="00C62F02">
        <w:t>осуществлены в размере 11</w:t>
      </w:r>
      <w:r w:rsidR="000E3EED">
        <w:t>,1 млн. руб.</w:t>
      </w:r>
      <w:r w:rsidR="000E3EED" w:rsidRPr="00C62F02">
        <w:t xml:space="preserve">, что составляет </w:t>
      </w:r>
      <w:r w:rsidR="000E3EED">
        <w:t>83,1</w:t>
      </w:r>
      <w:r w:rsidR="000E3EED" w:rsidRPr="00C62F02">
        <w:t xml:space="preserve">% от объема доходов с учетом остатка средств на </w:t>
      </w:r>
      <w:r w:rsidR="000E3EED" w:rsidRPr="00562682">
        <w:t xml:space="preserve">начало года. Остатки субсидий на госзадание сложились в размере 2,3 млн. руб., которые </w:t>
      </w:r>
      <w:r w:rsidR="000E3EED" w:rsidRPr="00004DD9">
        <w:t xml:space="preserve">в основном обусловлены экономией ФОТ в связи </w:t>
      </w:r>
      <w:r w:rsidR="002C2D83">
        <w:t xml:space="preserve">с </w:t>
      </w:r>
      <w:r w:rsidR="000E3EED" w:rsidRPr="00004DD9">
        <w:t>наличием вакантных должностей.</w:t>
      </w:r>
      <w:r w:rsidR="000E3EED">
        <w:t xml:space="preserve"> </w:t>
      </w:r>
    </w:p>
    <w:p w:rsidR="00E95A1A" w:rsidRDefault="00E95A1A" w:rsidP="001D0F2D">
      <w:pPr>
        <w:widowControl w:val="0"/>
        <w:tabs>
          <w:tab w:val="left" w:pos="10915"/>
          <w:tab w:val="left" w:pos="11199"/>
        </w:tabs>
        <w:suppressAutoHyphens/>
        <w:ind w:firstLine="680"/>
        <w:jc w:val="both"/>
      </w:pPr>
      <w:r w:rsidRPr="0077789D">
        <w:t xml:space="preserve">На 2015-2018 годы </w:t>
      </w:r>
      <w:r>
        <w:t xml:space="preserve">Госпрограммой № 696-п и 14-п </w:t>
      </w:r>
      <w:bookmarkStart w:id="2" w:name="OLE_LINK3"/>
      <w:bookmarkStart w:id="3" w:name="OLE_LINK4"/>
      <w:r>
        <w:t>утвержден</w:t>
      </w:r>
      <w:r w:rsidR="00974115">
        <w:t xml:space="preserve"> перечень сводных показателей </w:t>
      </w:r>
      <w:proofErr w:type="spellStart"/>
      <w:r w:rsidR="00974115">
        <w:t>госзаданий</w:t>
      </w:r>
      <w:proofErr w:type="spellEnd"/>
      <w:r w:rsidR="00974115">
        <w:t xml:space="preserve"> на оказание </w:t>
      </w:r>
      <w:proofErr w:type="spellStart"/>
      <w:r w:rsidR="00974115">
        <w:t>госуслуг</w:t>
      </w:r>
      <w:proofErr w:type="spellEnd"/>
      <w:r w:rsidR="00974115">
        <w:t xml:space="preserve"> (выполнение работ) ГАУ Бизнес-инкубатор, информация о достижении которых, а также достижении показателей, утвержденных </w:t>
      </w:r>
      <w:proofErr w:type="spellStart"/>
      <w:r w:rsidR="00974115">
        <w:t>госзаданиями</w:t>
      </w:r>
      <w:proofErr w:type="spellEnd"/>
      <w:r w:rsidR="00974115">
        <w:t xml:space="preserve">, приведена в </w:t>
      </w:r>
      <w:r w:rsidR="00974115" w:rsidRPr="00004DD9">
        <w:rPr>
          <w:color w:val="17365D" w:themeColor="text2" w:themeShade="BF"/>
        </w:rPr>
        <w:t xml:space="preserve">приложении </w:t>
      </w:r>
      <w:r w:rsidR="001D0F2D" w:rsidRPr="00004DD9">
        <w:rPr>
          <w:color w:val="17365D" w:themeColor="text2" w:themeShade="BF"/>
        </w:rPr>
        <w:t>№ 2</w:t>
      </w:r>
      <w:r w:rsidR="001D0F2D" w:rsidRPr="00004DD9">
        <w:t xml:space="preserve"> к настоящему отчету.</w:t>
      </w:r>
      <w:bookmarkEnd w:id="2"/>
      <w:bookmarkEnd w:id="3"/>
      <w:r w:rsidR="00084D2B" w:rsidRPr="00004DD9">
        <w:t xml:space="preserve"> </w:t>
      </w:r>
      <w:r w:rsidRPr="00004DD9">
        <w:t>С</w:t>
      </w:r>
      <w:r>
        <w:t xml:space="preserve"> учетом того, что с</w:t>
      </w:r>
      <w:r w:rsidRPr="002A732A">
        <w:t xml:space="preserve">огласно условиям </w:t>
      </w:r>
      <w:proofErr w:type="spellStart"/>
      <w:r w:rsidRPr="002A732A">
        <w:t>госзадания</w:t>
      </w:r>
      <w:proofErr w:type="spellEnd"/>
      <w:r w:rsidRPr="002A732A">
        <w:t xml:space="preserve"> допустимы</w:t>
      </w:r>
      <w:r>
        <w:t>е</w:t>
      </w:r>
      <w:r w:rsidRPr="002A732A">
        <w:t xml:space="preserve"> (возможные) отклонения от установленных показателей объема </w:t>
      </w:r>
      <w:proofErr w:type="spellStart"/>
      <w:r w:rsidRPr="002A732A">
        <w:t>госуслуги</w:t>
      </w:r>
      <w:proofErr w:type="spellEnd"/>
      <w:r w:rsidRPr="002A732A">
        <w:t>, в пределах которых госзадание считается выполненным</w:t>
      </w:r>
      <w:r>
        <w:t>, составляю</w:t>
      </w:r>
      <w:r w:rsidRPr="002A732A">
        <w:t>т 10</w:t>
      </w:r>
      <w:r>
        <w:t xml:space="preserve">%, все показатели </w:t>
      </w:r>
      <w:proofErr w:type="spellStart"/>
      <w:r>
        <w:t>госзадания</w:t>
      </w:r>
      <w:proofErr w:type="spellEnd"/>
      <w:r>
        <w:t xml:space="preserve"> за 2015-2017 годы исполнены.</w:t>
      </w:r>
    </w:p>
    <w:p w:rsidR="00E95A1A" w:rsidRDefault="00E95A1A" w:rsidP="00E95A1A">
      <w:pPr>
        <w:ind w:firstLine="680"/>
        <w:jc w:val="both"/>
      </w:pPr>
      <w:r>
        <w:t>В расходах ГАУ Бизнес-инкубатор</w:t>
      </w:r>
      <w:r w:rsidRPr="0050277E">
        <w:t xml:space="preserve"> в рамках </w:t>
      </w:r>
      <w:proofErr w:type="spellStart"/>
      <w:r w:rsidRPr="0050277E">
        <w:t>госзадания</w:t>
      </w:r>
      <w:proofErr w:type="spellEnd"/>
      <w:r w:rsidRPr="0050277E">
        <w:t xml:space="preserve"> значительную долю занимают расходы на оплату труда с начислениями (в 2017 году – 97,1 %,  </w:t>
      </w:r>
      <w:r w:rsidRPr="0050277E">
        <w:rPr>
          <w:lang w:val="en-US"/>
        </w:rPr>
        <w:t>I</w:t>
      </w:r>
      <w:r w:rsidRPr="0050277E">
        <w:t xml:space="preserve"> квартале 2018 года – 99,7%).</w:t>
      </w:r>
    </w:p>
    <w:p w:rsidR="00E95A1A" w:rsidRPr="0050277E" w:rsidRDefault="00E95A1A" w:rsidP="00E95A1A">
      <w:pPr>
        <w:pStyle w:val="ConsPlusNormal"/>
        <w:shd w:val="clear" w:color="auto" w:fill="FFFFFF" w:themeFill="background1"/>
        <w:ind w:firstLine="680"/>
        <w:jc w:val="both"/>
        <w:rPr>
          <w:rFonts w:ascii="Times New Roman" w:hAnsi="Times New Roman" w:cs="Times New Roman"/>
          <w:sz w:val="24"/>
          <w:szCs w:val="24"/>
        </w:rPr>
      </w:pPr>
      <w:r w:rsidRPr="0050277E">
        <w:rPr>
          <w:rFonts w:ascii="Times New Roman" w:eastAsiaTheme="minorHAnsi" w:hAnsi="Times New Roman" w:cs="Times New Roman"/>
          <w:iCs/>
          <w:sz w:val="24"/>
          <w:szCs w:val="24"/>
          <w:lang w:eastAsia="en-US"/>
        </w:rPr>
        <w:t xml:space="preserve">Положение об оплате труда работников государственных учреждений Волгоградской области, подведомственных </w:t>
      </w:r>
      <w:proofErr w:type="spellStart"/>
      <w:r>
        <w:rPr>
          <w:rFonts w:ascii="Times New Roman" w:eastAsiaTheme="minorHAnsi" w:hAnsi="Times New Roman" w:cs="Times New Roman"/>
          <w:iCs/>
          <w:sz w:val="24"/>
          <w:szCs w:val="24"/>
          <w:lang w:eastAsia="en-US"/>
        </w:rPr>
        <w:t>Облкомэкономразвития</w:t>
      </w:r>
      <w:proofErr w:type="spellEnd"/>
      <w:r w:rsidRPr="0050277E">
        <w:rPr>
          <w:rFonts w:ascii="Times New Roman" w:eastAsiaTheme="minorHAnsi" w:hAnsi="Times New Roman" w:cs="Times New Roman"/>
          <w:iCs/>
          <w:sz w:val="24"/>
          <w:szCs w:val="24"/>
          <w:lang w:eastAsia="en-US"/>
        </w:rPr>
        <w:t xml:space="preserve">, утверждено приказом </w:t>
      </w:r>
      <w:proofErr w:type="spellStart"/>
      <w:r w:rsidRPr="0050277E">
        <w:rPr>
          <w:rFonts w:ascii="Times New Roman" w:eastAsiaTheme="minorHAnsi" w:hAnsi="Times New Roman" w:cs="Times New Roman"/>
          <w:iCs/>
          <w:sz w:val="24"/>
          <w:szCs w:val="24"/>
          <w:lang w:eastAsia="en-US"/>
        </w:rPr>
        <w:t>Облкомэконом</w:t>
      </w:r>
      <w:r>
        <w:rPr>
          <w:rFonts w:ascii="Times New Roman" w:eastAsiaTheme="minorHAnsi" w:hAnsi="Times New Roman" w:cs="Times New Roman"/>
          <w:iCs/>
          <w:sz w:val="24"/>
          <w:szCs w:val="24"/>
          <w:lang w:eastAsia="en-US"/>
        </w:rPr>
        <w:t>развития</w:t>
      </w:r>
      <w:proofErr w:type="spellEnd"/>
      <w:r w:rsidRPr="0050277E">
        <w:rPr>
          <w:rFonts w:ascii="Times New Roman" w:eastAsiaTheme="minorHAnsi" w:hAnsi="Times New Roman" w:cs="Times New Roman"/>
          <w:iCs/>
          <w:sz w:val="24"/>
          <w:szCs w:val="24"/>
          <w:lang w:eastAsia="en-US"/>
        </w:rPr>
        <w:t xml:space="preserve"> от 13.04.2016 № 16н   (далее – Приказ № 16н), которое разработано в соответствии с </w:t>
      </w:r>
      <w:hyperlink r:id="rId9" w:history="1">
        <w:r w:rsidRPr="0050277E">
          <w:rPr>
            <w:rFonts w:ascii="Times New Roman" w:hAnsi="Times New Roman" w:cs="Times New Roman"/>
            <w:sz w:val="24"/>
            <w:szCs w:val="24"/>
          </w:rPr>
          <w:t>постановлением</w:t>
        </w:r>
      </w:hyperlink>
      <w:r w:rsidRPr="0050277E">
        <w:rPr>
          <w:rFonts w:ascii="Times New Roman" w:hAnsi="Times New Roman" w:cs="Times New Roman"/>
          <w:sz w:val="24"/>
          <w:szCs w:val="24"/>
        </w:rPr>
        <w:t xml:space="preserve"> Администрации Волгоградской области от 19.01.2016 № 4-п «Об общих требованиях к положениям об оплате труда работников государственных учреждений Волгоградской области» (далее – Постановление № 4-п).</w:t>
      </w:r>
    </w:p>
    <w:p w:rsidR="00E95A1A" w:rsidRPr="009F24D9" w:rsidRDefault="00E95A1A" w:rsidP="00E95A1A">
      <w:pPr>
        <w:pStyle w:val="ConsPlusNormal"/>
        <w:shd w:val="clear" w:color="auto" w:fill="FFFFFF" w:themeFill="background1"/>
        <w:ind w:firstLine="680"/>
        <w:jc w:val="both"/>
        <w:rPr>
          <w:rFonts w:ascii="Times New Roman" w:eastAsiaTheme="minorHAnsi" w:hAnsi="Times New Roman" w:cs="Times New Roman"/>
          <w:b/>
          <w:iCs/>
          <w:sz w:val="24"/>
          <w:szCs w:val="24"/>
          <w:lang w:eastAsia="en-US"/>
        </w:rPr>
      </w:pPr>
      <w:r w:rsidRPr="0050277E">
        <w:rPr>
          <w:rFonts w:ascii="Times New Roman" w:hAnsi="Times New Roman" w:cs="Times New Roman"/>
          <w:sz w:val="24"/>
          <w:szCs w:val="24"/>
        </w:rPr>
        <w:t xml:space="preserve">Следует отметить, что постановлением Администрации Волгоградской области от 28.08.2017 № 452-п </w:t>
      </w:r>
      <w:r w:rsidRPr="007830CB">
        <w:rPr>
          <w:rFonts w:ascii="Times New Roman" w:eastAsiaTheme="minorHAnsi" w:hAnsi="Times New Roman" w:cs="Times New Roman"/>
          <w:iCs/>
          <w:sz w:val="24"/>
          <w:szCs w:val="24"/>
          <w:lang w:eastAsia="en-US"/>
        </w:rPr>
        <w:t xml:space="preserve">в Постановление </w:t>
      </w:r>
      <w:r w:rsidRPr="003878AC">
        <w:rPr>
          <w:rFonts w:ascii="Times New Roman" w:eastAsiaTheme="minorHAnsi" w:hAnsi="Times New Roman" w:cs="Times New Roman"/>
          <w:iCs/>
          <w:sz w:val="24"/>
          <w:szCs w:val="24"/>
          <w:lang w:eastAsia="en-US"/>
        </w:rPr>
        <w:t>№ 4-п внесены изменения в части</w:t>
      </w:r>
      <w:r w:rsidRPr="007830CB">
        <w:rPr>
          <w:rFonts w:ascii="Times New Roman" w:eastAsiaTheme="minorHAnsi" w:hAnsi="Times New Roman" w:cs="Times New Roman"/>
          <w:iCs/>
          <w:sz w:val="24"/>
          <w:szCs w:val="24"/>
          <w:lang w:eastAsia="en-US"/>
        </w:rPr>
        <w:t xml:space="preserve"> размера должностного оклада руководителя, </w:t>
      </w:r>
      <w:r w:rsidRPr="007830CB">
        <w:rPr>
          <w:rFonts w:ascii="Times New Roman" w:hAnsi="Times New Roman" w:cs="Times New Roman"/>
          <w:sz w:val="24"/>
          <w:szCs w:val="24"/>
        </w:rPr>
        <w:t xml:space="preserve">должностных окладов заместителей руководителя учреждения и главного бухгалтера учреждения, которые вступили в силу </w:t>
      </w:r>
      <w:r w:rsidRPr="007830CB">
        <w:rPr>
          <w:rFonts w:ascii="Times New Roman" w:eastAsiaTheme="minorHAnsi" w:hAnsi="Times New Roman" w:cs="Times New Roman"/>
          <w:sz w:val="24"/>
          <w:szCs w:val="24"/>
          <w:lang w:eastAsia="en-US"/>
        </w:rPr>
        <w:t xml:space="preserve">со дня </w:t>
      </w:r>
      <w:r w:rsidRPr="007830CB">
        <w:rPr>
          <w:rFonts w:ascii="Times New Roman" w:eastAsiaTheme="minorHAnsi" w:hAnsi="Times New Roman" w:cs="Times New Roman"/>
          <w:sz w:val="24"/>
          <w:szCs w:val="24"/>
          <w:lang w:eastAsia="en-US"/>
        </w:rPr>
        <w:lastRenderedPageBreak/>
        <w:t xml:space="preserve">официального опубликования постановления и с 01.01.2018. </w:t>
      </w:r>
      <w:r w:rsidRPr="007830CB">
        <w:rPr>
          <w:rFonts w:ascii="Times New Roman" w:hAnsi="Times New Roman" w:cs="Times New Roman"/>
          <w:sz w:val="24"/>
          <w:szCs w:val="24"/>
        </w:rPr>
        <w:t xml:space="preserve">Однако </w:t>
      </w:r>
      <w:proofErr w:type="spellStart"/>
      <w:r w:rsidRPr="007830CB">
        <w:rPr>
          <w:rFonts w:ascii="Times New Roman" w:hAnsi="Times New Roman" w:cs="Times New Roman"/>
          <w:sz w:val="24"/>
          <w:szCs w:val="24"/>
        </w:rPr>
        <w:t>Облкомэкономразвития</w:t>
      </w:r>
      <w:proofErr w:type="spellEnd"/>
      <w:r w:rsidRPr="007830CB">
        <w:rPr>
          <w:rFonts w:ascii="Times New Roman" w:hAnsi="Times New Roman" w:cs="Times New Roman"/>
          <w:sz w:val="24"/>
          <w:szCs w:val="24"/>
        </w:rPr>
        <w:t xml:space="preserve"> соответствующие изменения в Приказ № 16н </w:t>
      </w:r>
      <w:r w:rsidRPr="007830CB">
        <w:rPr>
          <w:rFonts w:ascii="Times New Roman" w:eastAsiaTheme="minorHAnsi" w:hAnsi="Times New Roman" w:cs="Times New Roman"/>
          <w:iCs/>
          <w:sz w:val="24"/>
          <w:szCs w:val="24"/>
          <w:lang w:eastAsia="en-US"/>
        </w:rPr>
        <w:t>внесены только в мае 2018 года</w:t>
      </w:r>
      <w:r w:rsidRPr="00893A4A">
        <w:rPr>
          <w:rFonts w:ascii="Times New Roman" w:eastAsiaTheme="minorHAnsi" w:hAnsi="Times New Roman" w:cs="Times New Roman"/>
          <w:iCs/>
          <w:sz w:val="24"/>
          <w:szCs w:val="24"/>
          <w:lang w:eastAsia="en-US"/>
        </w:rPr>
        <w:t xml:space="preserve"> приказом </w:t>
      </w:r>
      <w:proofErr w:type="spellStart"/>
      <w:r w:rsidRPr="00893A4A">
        <w:rPr>
          <w:rFonts w:ascii="Times New Roman" w:eastAsiaTheme="minorHAnsi" w:hAnsi="Times New Roman" w:cs="Times New Roman"/>
          <w:iCs/>
          <w:sz w:val="24"/>
          <w:szCs w:val="24"/>
          <w:lang w:eastAsia="en-US"/>
        </w:rPr>
        <w:t>Облкомэкономразвития</w:t>
      </w:r>
      <w:proofErr w:type="spellEnd"/>
      <w:r w:rsidRPr="00893A4A">
        <w:rPr>
          <w:rFonts w:ascii="Times New Roman" w:eastAsiaTheme="minorHAnsi" w:hAnsi="Times New Roman" w:cs="Times New Roman"/>
          <w:iCs/>
          <w:sz w:val="24"/>
          <w:szCs w:val="24"/>
          <w:lang w:eastAsia="en-US"/>
        </w:rPr>
        <w:t xml:space="preserve"> от 11.05.2018 №39н, вступающим в силу с момента его подписания. Выборочной проверкой правильности исчисления заработной платы работникам ГАУ Бизнес-инкубатор установлено, что должностные оклады заместителей руководителя и главного бухгалтера на момент проведения проверки (с 10 по 31.05.2018) были установлены на 10% ниже должностного оклада руководителя (согласно Постановлению № 4-п должны быть ниже на 15</w:t>
      </w:r>
      <w:r w:rsidRPr="003878AC">
        <w:rPr>
          <w:rFonts w:ascii="Times New Roman" w:eastAsiaTheme="minorHAnsi" w:hAnsi="Times New Roman" w:cs="Times New Roman"/>
          <w:iCs/>
          <w:sz w:val="24"/>
          <w:szCs w:val="24"/>
          <w:lang w:eastAsia="en-US"/>
        </w:rPr>
        <w:t xml:space="preserve">%). </w:t>
      </w:r>
      <w:r w:rsidR="009F24D9" w:rsidRPr="003878AC">
        <w:rPr>
          <w:rFonts w:ascii="Times New Roman" w:eastAsiaTheme="minorHAnsi" w:hAnsi="Times New Roman" w:cs="Times New Roman"/>
          <w:iCs/>
          <w:sz w:val="24"/>
          <w:szCs w:val="24"/>
          <w:lang w:eastAsia="en-US"/>
        </w:rPr>
        <w:t xml:space="preserve"> </w:t>
      </w:r>
    </w:p>
    <w:p w:rsidR="000E3EED" w:rsidRPr="00410D42" w:rsidRDefault="00E95A1A" w:rsidP="000E3EED">
      <w:pPr>
        <w:autoSpaceDE w:val="0"/>
        <w:autoSpaceDN w:val="0"/>
        <w:adjustRightInd w:val="0"/>
        <w:ind w:firstLine="680"/>
        <w:jc w:val="both"/>
      </w:pPr>
      <w:r>
        <w:t>В 2017 году наибольший объем сре</w:t>
      </w:r>
      <w:proofErr w:type="gramStart"/>
      <w:r>
        <w:t>дств в р</w:t>
      </w:r>
      <w:proofErr w:type="gramEnd"/>
      <w:r>
        <w:t xml:space="preserve">асходах учреждения (85%) занимают расходы, произведенные за счет </w:t>
      </w:r>
      <w:r w:rsidRPr="001F6341">
        <w:t xml:space="preserve">субсидии на иные цели </w:t>
      </w:r>
      <w:r>
        <w:t xml:space="preserve">(федеральные средства). </w:t>
      </w:r>
      <w:r w:rsidR="000E3EED">
        <w:t>По субсидии на иные цели р</w:t>
      </w:r>
      <w:r w:rsidR="000E3EED" w:rsidRPr="00C62F02">
        <w:t xml:space="preserve">асходы осуществлены в размере </w:t>
      </w:r>
      <w:r w:rsidR="000E3EED">
        <w:t>72,9 млн. руб.</w:t>
      </w:r>
      <w:r w:rsidR="000E3EED" w:rsidRPr="00C62F02">
        <w:t xml:space="preserve">, что составляет </w:t>
      </w:r>
      <w:r w:rsidR="000E3EED">
        <w:t>74,3</w:t>
      </w:r>
      <w:r w:rsidR="000E3EED" w:rsidRPr="00C62F02">
        <w:t xml:space="preserve">% от объема </w:t>
      </w:r>
      <w:r w:rsidR="000E3EED">
        <w:t xml:space="preserve">поступлений с учетом остатка денежных средств на начало года. </w:t>
      </w:r>
      <w:r w:rsidR="000E3EED" w:rsidRPr="00410D42">
        <w:t>Информация об использовании субсидии на иные це</w:t>
      </w:r>
      <w:r w:rsidR="000E3EED">
        <w:t>ли в разрезе подразделений ГАУ Бизнес-инкубатор</w:t>
      </w:r>
      <w:r w:rsidR="000E3EED" w:rsidRPr="00410D42">
        <w:t xml:space="preserve">  приведена в </w:t>
      </w:r>
      <w:r w:rsidR="0011284F" w:rsidRPr="00004DD9">
        <w:rPr>
          <w:color w:val="17365D" w:themeColor="text2" w:themeShade="BF"/>
        </w:rPr>
        <w:t>приложении № 3</w:t>
      </w:r>
      <w:r w:rsidR="000E3EED" w:rsidRPr="00004DD9">
        <w:t xml:space="preserve"> к настоящему отчету.</w:t>
      </w:r>
    </w:p>
    <w:p w:rsidR="00F25ACD" w:rsidRDefault="000E3EED" w:rsidP="000E3EED">
      <w:pPr>
        <w:autoSpaceDE w:val="0"/>
        <w:autoSpaceDN w:val="0"/>
        <w:adjustRightInd w:val="0"/>
        <w:ind w:firstLine="680"/>
        <w:jc w:val="both"/>
        <w:rPr>
          <w:rFonts w:eastAsia="Times New Roman"/>
        </w:rPr>
      </w:pPr>
      <w:r>
        <w:t>На конец года остаток денежных сре</w:t>
      </w:r>
      <w:proofErr w:type="gramStart"/>
      <w:r>
        <w:t>дств сл</w:t>
      </w:r>
      <w:proofErr w:type="gramEnd"/>
      <w:r>
        <w:t xml:space="preserve">ожился в размере 25,2 млн. руб., в т.ч. в части субсидий 2014-2016 годов – 14,6 млн. рублей. </w:t>
      </w:r>
      <w:r w:rsidR="00F25ACD">
        <w:t>Наибольший объем остатка сложился по ЦПП -</w:t>
      </w:r>
      <w:r w:rsidR="00F25ACD" w:rsidRPr="00CF3CE5">
        <w:t xml:space="preserve"> </w:t>
      </w:r>
      <w:r w:rsidR="00F25ACD" w:rsidRPr="00CF3CE5">
        <w:rPr>
          <w:rFonts w:eastAsia="Times New Roman"/>
          <w:bCs/>
          <w:iCs/>
        </w:rPr>
        <w:t>13,2 млн. руб. (</w:t>
      </w:r>
      <w:r w:rsidR="00F1658A">
        <w:rPr>
          <w:rFonts w:eastAsia="Times New Roman"/>
          <w:bCs/>
          <w:iCs/>
        </w:rPr>
        <w:t>в т.ч. по</w:t>
      </w:r>
      <w:r w:rsidR="00F25ACD" w:rsidRPr="00CF3CE5">
        <w:rPr>
          <w:rFonts w:eastAsia="Times New Roman"/>
          <w:bCs/>
          <w:iCs/>
        </w:rPr>
        <w:t xml:space="preserve"> субсидиям, предоставленным в 2014-2016 годах</w:t>
      </w:r>
      <w:r w:rsidR="00F1658A">
        <w:rPr>
          <w:rFonts w:eastAsia="Times New Roman"/>
          <w:bCs/>
          <w:iCs/>
        </w:rPr>
        <w:t>,</w:t>
      </w:r>
      <w:r w:rsidR="00F25ACD" w:rsidRPr="00CF3CE5">
        <w:rPr>
          <w:rFonts w:eastAsia="Times New Roman"/>
          <w:bCs/>
          <w:iCs/>
        </w:rPr>
        <w:t xml:space="preserve"> – </w:t>
      </w:r>
      <w:r w:rsidR="00F25ACD" w:rsidRPr="00CF3CE5">
        <w:rPr>
          <w:rFonts w:eastAsia="Times New Roman"/>
        </w:rPr>
        <w:t>11,9 млн. руб.)</w:t>
      </w:r>
      <w:r w:rsidR="00F25ACD">
        <w:rPr>
          <w:rFonts w:eastAsia="Times New Roman"/>
        </w:rPr>
        <w:t>. Информация об остатках и причинах их образования приведена ниже в раздел</w:t>
      </w:r>
      <w:r w:rsidR="00F1658A">
        <w:rPr>
          <w:rFonts w:eastAsia="Times New Roman"/>
        </w:rPr>
        <w:t>ах описания</w:t>
      </w:r>
      <w:r w:rsidR="00F25ACD">
        <w:rPr>
          <w:rFonts w:eastAsia="Times New Roman"/>
        </w:rPr>
        <w:t xml:space="preserve"> деятельности центров.</w:t>
      </w:r>
    </w:p>
    <w:p w:rsidR="000E3EED" w:rsidRPr="00526F46" w:rsidRDefault="000E3EED" w:rsidP="000E3EED">
      <w:pPr>
        <w:autoSpaceDE w:val="0"/>
        <w:autoSpaceDN w:val="0"/>
        <w:adjustRightInd w:val="0"/>
        <w:ind w:firstLine="680"/>
        <w:jc w:val="both"/>
      </w:pPr>
      <w:proofErr w:type="gramStart"/>
      <w:r>
        <w:t xml:space="preserve">Следует отметить, </w:t>
      </w:r>
      <w:r w:rsidRPr="00B15565">
        <w:t>что условиями соглашений о порядке и условиях предоставления субсидий на иные цели,</w:t>
      </w:r>
      <w:r w:rsidRPr="00372A5F">
        <w:t xml:space="preserve"> заключенн</w:t>
      </w:r>
      <w:r>
        <w:t>ыми</w:t>
      </w:r>
      <w:r w:rsidRPr="00372A5F">
        <w:t xml:space="preserve"> </w:t>
      </w:r>
      <w:proofErr w:type="spellStart"/>
      <w:r>
        <w:t>Облкомэкономразвития</w:t>
      </w:r>
      <w:proofErr w:type="spellEnd"/>
      <w:r>
        <w:t xml:space="preserve"> с ГАУ Бизнес-инкубатор, предусмотрена возможность исполнения обязательств по выполнению </w:t>
      </w:r>
      <w:r w:rsidRPr="00B15565">
        <w:t>показателей результативности использования субсидии до первой даты предоставления отчета о достижении значений показателей результативности в году, следующем за годом предоставления субсидии (не позднее 5 числа месяца, следующего за отчетным кварталом), т.е. при неисполнении показателей</w:t>
      </w:r>
      <w:proofErr w:type="gramEnd"/>
      <w:r w:rsidRPr="00B15565">
        <w:t xml:space="preserve"> </w:t>
      </w:r>
      <w:r w:rsidRPr="00526F46">
        <w:t xml:space="preserve">результативности использования субсидии допускается освоение средств в первом </w:t>
      </w:r>
      <w:r w:rsidRPr="006661CD">
        <w:t xml:space="preserve">квартале года, следующего за </w:t>
      </w:r>
      <w:proofErr w:type="gramStart"/>
      <w:r w:rsidRPr="006661CD">
        <w:t>отчетным</w:t>
      </w:r>
      <w:proofErr w:type="gramEnd"/>
      <w:r w:rsidRPr="006661CD">
        <w:t xml:space="preserve">. </w:t>
      </w:r>
      <w:r w:rsidR="000B58C3" w:rsidRPr="006661CD">
        <w:t>Аналогичная норма предусмотрена Соглашениями, заключенными Администрацией Волгоградской области</w:t>
      </w:r>
      <w:r w:rsidR="005E5CCF" w:rsidRPr="006661CD">
        <w:t xml:space="preserve">  с</w:t>
      </w:r>
      <w:r w:rsidR="005E5CCF">
        <w:t xml:space="preserve"> Минэкономразвития РФ</w:t>
      </w:r>
      <w:r w:rsidR="000B58C3">
        <w:t>.</w:t>
      </w:r>
    </w:p>
    <w:p w:rsidR="000E3EED" w:rsidRDefault="000E3EED" w:rsidP="000E3EED">
      <w:pPr>
        <w:autoSpaceDE w:val="0"/>
        <w:autoSpaceDN w:val="0"/>
        <w:adjustRightInd w:val="0"/>
        <w:ind w:firstLine="680"/>
        <w:jc w:val="both"/>
      </w:pPr>
      <w:r w:rsidRPr="00526F46">
        <w:t xml:space="preserve">В результате </w:t>
      </w:r>
      <w:proofErr w:type="spellStart"/>
      <w:r w:rsidRPr="00526F46">
        <w:t>Облкомэкономразвития</w:t>
      </w:r>
      <w:proofErr w:type="spellEnd"/>
      <w:r w:rsidRPr="00526F46">
        <w:t xml:space="preserve"> ежегодно  </w:t>
      </w:r>
      <w:r>
        <w:t xml:space="preserve">утверждаются </w:t>
      </w:r>
      <w:r w:rsidRPr="00526F46">
        <w:t>неиспользованные остатки на начало года, потребность которых подтвержд</w:t>
      </w:r>
      <w:r>
        <w:t xml:space="preserve">ается </w:t>
      </w:r>
      <w:r w:rsidRPr="00526F46">
        <w:t xml:space="preserve">в году, следующем за </w:t>
      </w:r>
      <w:proofErr w:type="gramStart"/>
      <w:r w:rsidRPr="00526F46">
        <w:t>отчетным</w:t>
      </w:r>
      <w:proofErr w:type="gramEnd"/>
      <w:r w:rsidRPr="00526F46">
        <w:t xml:space="preserve">. На </w:t>
      </w:r>
      <w:r>
        <w:t xml:space="preserve"> момент окончания проверки ГАУ Бизнес-инкубатор</w:t>
      </w:r>
      <w:r w:rsidRPr="00526F46">
        <w:t xml:space="preserve"> (25.05.2018) остатки субсиди</w:t>
      </w:r>
      <w:r w:rsidR="00013375">
        <w:t>й</w:t>
      </w:r>
      <w:r w:rsidRPr="00526F46">
        <w:t xml:space="preserve"> на иные цели составили 16,1 млн. руб. </w:t>
      </w:r>
      <w:r>
        <w:t>и уменьшились на 9,1 млн. руб. по сравнению с началом года.</w:t>
      </w:r>
    </w:p>
    <w:p w:rsidR="002A009B" w:rsidRDefault="002A009B" w:rsidP="000E3EED">
      <w:pPr>
        <w:autoSpaceDE w:val="0"/>
        <w:autoSpaceDN w:val="0"/>
        <w:adjustRightInd w:val="0"/>
        <w:ind w:firstLine="680"/>
        <w:jc w:val="both"/>
      </w:pPr>
    </w:p>
    <w:p w:rsidR="007366A2" w:rsidRPr="007366A2" w:rsidRDefault="007366A2" w:rsidP="007366A2">
      <w:pPr>
        <w:jc w:val="center"/>
        <w:rPr>
          <w:b/>
        </w:rPr>
      </w:pPr>
      <w:r w:rsidRPr="007366A2">
        <w:rPr>
          <w:b/>
        </w:rPr>
        <w:t>Предоставление в аренду нежилых помещений и имущества</w:t>
      </w:r>
    </w:p>
    <w:p w:rsidR="007366A2" w:rsidRDefault="007366A2" w:rsidP="00DD50BA">
      <w:pPr>
        <w:autoSpaceDE w:val="0"/>
        <w:autoSpaceDN w:val="0"/>
        <w:adjustRightInd w:val="0"/>
        <w:ind w:firstLine="680"/>
        <w:jc w:val="both"/>
        <w:rPr>
          <w:rFonts w:eastAsiaTheme="minorHAnsi"/>
          <w:iCs/>
        </w:rPr>
      </w:pPr>
      <w:r w:rsidRPr="0048495D">
        <w:rPr>
          <w:rFonts w:eastAsiaTheme="minorHAnsi"/>
          <w:iCs/>
        </w:rPr>
        <w:t>Имущественная поддержка</w:t>
      </w:r>
      <w:r w:rsidR="007830CB">
        <w:rPr>
          <w:rFonts w:eastAsiaTheme="minorHAnsi"/>
          <w:iCs/>
        </w:rPr>
        <w:t xml:space="preserve"> ГАУ Бизнес-инкубатор</w:t>
      </w:r>
      <w:r w:rsidRPr="0048495D">
        <w:rPr>
          <w:rFonts w:eastAsiaTheme="minorHAnsi"/>
          <w:iCs/>
        </w:rPr>
        <w:t xml:space="preserve"> осуществляется в рамках субсидии, предоставленной на выполнение </w:t>
      </w:r>
      <w:proofErr w:type="spellStart"/>
      <w:r w:rsidRPr="0048495D">
        <w:rPr>
          <w:rFonts w:eastAsiaTheme="minorHAnsi"/>
          <w:iCs/>
        </w:rPr>
        <w:t>госзадания</w:t>
      </w:r>
      <w:proofErr w:type="spellEnd"/>
      <w:r w:rsidRPr="0048495D">
        <w:rPr>
          <w:rFonts w:eastAsiaTheme="minorHAnsi"/>
          <w:iCs/>
        </w:rPr>
        <w:t xml:space="preserve">. В 2016 году указанная поддержка осуществлялась также за счет субсидии, предоставленной на иные цели, не связанные с финансовым обеспечением выполнения </w:t>
      </w:r>
      <w:proofErr w:type="spellStart"/>
      <w:r w:rsidRPr="0048495D">
        <w:rPr>
          <w:rFonts w:eastAsiaTheme="minorHAnsi"/>
          <w:iCs/>
        </w:rPr>
        <w:t>госзадания</w:t>
      </w:r>
      <w:proofErr w:type="spellEnd"/>
      <w:r w:rsidRPr="0048495D">
        <w:rPr>
          <w:rFonts w:eastAsiaTheme="minorHAnsi"/>
          <w:iCs/>
        </w:rPr>
        <w:t xml:space="preserve"> на оказание </w:t>
      </w:r>
      <w:proofErr w:type="spellStart"/>
      <w:r w:rsidRPr="0048495D">
        <w:rPr>
          <w:rFonts w:eastAsiaTheme="minorHAnsi"/>
          <w:iCs/>
        </w:rPr>
        <w:t>госуслуг</w:t>
      </w:r>
      <w:proofErr w:type="spellEnd"/>
      <w:r w:rsidR="00084D2B">
        <w:rPr>
          <w:rFonts w:eastAsiaTheme="minorHAnsi"/>
          <w:iCs/>
        </w:rPr>
        <w:t>, предоставленной из областного бюджета</w:t>
      </w:r>
      <w:r w:rsidRPr="0048495D">
        <w:rPr>
          <w:rFonts w:eastAsiaTheme="minorHAnsi"/>
          <w:iCs/>
        </w:rPr>
        <w:t>.</w:t>
      </w:r>
    </w:p>
    <w:p w:rsidR="00911DF9" w:rsidRDefault="00911DF9" w:rsidP="00DD50BA">
      <w:pPr>
        <w:autoSpaceDE w:val="0"/>
        <w:autoSpaceDN w:val="0"/>
        <w:adjustRightInd w:val="0"/>
        <w:ind w:firstLine="680"/>
        <w:jc w:val="both"/>
        <w:rPr>
          <w:rFonts w:eastAsia="Times New Roman"/>
        </w:rPr>
      </w:pPr>
      <w:r w:rsidRPr="005D3A6F">
        <w:rPr>
          <w:rFonts w:eastAsia="Times New Roman"/>
        </w:rPr>
        <w:t xml:space="preserve">Количество СМСП, получивших господдержку, в 2015-2016 годах составило </w:t>
      </w:r>
      <w:r w:rsidR="005D3A6F" w:rsidRPr="005D3A6F">
        <w:rPr>
          <w:rFonts w:eastAsia="Times New Roman"/>
        </w:rPr>
        <w:t xml:space="preserve">по </w:t>
      </w:r>
      <w:r w:rsidRPr="005D3A6F">
        <w:rPr>
          <w:rFonts w:eastAsia="Times New Roman"/>
        </w:rPr>
        <w:t>15 ед.</w:t>
      </w:r>
      <w:r w:rsidR="00E57B68">
        <w:rPr>
          <w:rFonts w:eastAsia="Times New Roman"/>
        </w:rPr>
        <w:t xml:space="preserve"> </w:t>
      </w:r>
      <w:r w:rsidR="005D3A6F" w:rsidRPr="005D3A6F">
        <w:rPr>
          <w:rFonts w:eastAsia="Times New Roman"/>
        </w:rPr>
        <w:t>соответственно</w:t>
      </w:r>
      <w:r w:rsidRPr="005D3A6F">
        <w:rPr>
          <w:rFonts w:eastAsia="Times New Roman"/>
        </w:rPr>
        <w:t xml:space="preserve">, </w:t>
      </w:r>
      <w:r w:rsidR="00FF606A" w:rsidRPr="005D3A6F">
        <w:rPr>
          <w:rFonts w:eastAsia="Times New Roman"/>
        </w:rPr>
        <w:t xml:space="preserve">а </w:t>
      </w:r>
      <w:r w:rsidRPr="005D3A6F">
        <w:rPr>
          <w:rFonts w:eastAsia="Times New Roman"/>
        </w:rPr>
        <w:t xml:space="preserve">в 2017 году – 25 </w:t>
      </w:r>
      <w:proofErr w:type="spellStart"/>
      <w:proofErr w:type="gramStart"/>
      <w:r w:rsidRPr="005D3A6F">
        <w:rPr>
          <w:rFonts w:eastAsia="Times New Roman"/>
        </w:rPr>
        <w:t>ед</w:t>
      </w:r>
      <w:proofErr w:type="spellEnd"/>
      <w:proofErr w:type="gramEnd"/>
      <w:r w:rsidRPr="005D3A6F">
        <w:rPr>
          <w:rFonts w:eastAsia="Times New Roman"/>
        </w:rPr>
        <w:t xml:space="preserve">,  </w:t>
      </w:r>
      <w:r w:rsidR="00FF606A" w:rsidRPr="005D3A6F">
        <w:rPr>
          <w:rFonts w:eastAsia="Times New Roman"/>
        </w:rPr>
        <w:t>что составляет крайне малую долю от СМСП, зарегистрированных на территории Волгоградской области.</w:t>
      </w:r>
      <w:r>
        <w:rPr>
          <w:rFonts w:eastAsia="Times New Roman"/>
        </w:rPr>
        <w:t xml:space="preserve"> </w:t>
      </w:r>
    </w:p>
    <w:p w:rsidR="00F64565" w:rsidRDefault="00F64565" w:rsidP="00DD50BA">
      <w:pPr>
        <w:shd w:val="clear" w:color="auto" w:fill="FFFFFF"/>
        <w:ind w:firstLine="680"/>
        <w:jc w:val="both"/>
      </w:pPr>
      <w:proofErr w:type="gramStart"/>
      <w:r>
        <w:t xml:space="preserve">В 2017 году </w:t>
      </w:r>
      <w:r w:rsidRPr="002B3439">
        <w:t xml:space="preserve">на оказание имущественной поддержки </w:t>
      </w:r>
      <w:r>
        <w:t>СМСП</w:t>
      </w:r>
      <w:r w:rsidRPr="002B3439">
        <w:t xml:space="preserve"> в виде передачи в пользование государственного имущества на льготных условиях </w:t>
      </w:r>
      <w:r w:rsidR="009B3BF4">
        <w:t xml:space="preserve"> израсходовано 1,0</w:t>
      </w:r>
      <w:r>
        <w:t xml:space="preserve"> млн. руб., или </w:t>
      </w:r>
      <w:r w:rsidR="009B3BF4">
        <w:t>74,8</w:t>
      </w:r>
      <w:r>
        <w:t xml:space="preserve">% от бюджетных </w:t>
      </w:r>
      <w:proofErr w:type="spellStart"/>
      <w:r>
        <w:t>ассгнований</w:t>
      </w:r>
      <w:proofErr w:type="spellEnd"/>
      <w:r>
        <w:t>, предусмотренных соглашением о предоставлении субсидии на госзадание (1,</w:t>
      </w:r>
      <w:r w:rsidR="009B3BF4">
        <w:t>4</w:t>
      </w:r>
      <w:r>
        <w:t xml:space="preserve"> млн. руб.)</w:t>
      </w:r>
      <w:r w:rsidR="00130751">
        <w:t xml:space="preserve">, в </w:t>
      </w:r>
      <w:r w:rsidR="00130751">
        <w:rPr>
          <w:lang w:val="en-US"/>
        </w:rPr>
        <w:t>I</w:t>
      </w:r>
      <w:r w:rsidR="00130751">
        <w:t xml:space="preserve"> кв. 2018 года </w:t>
      </w:r>
      <w:r w:rsidR="00130751" w:rsidRPr="009B3BF4">
        <w:t xml:space="preserve">– </w:t>
      </w:r>
      <w:r w:rsidR="009B3BF4" w:rsidRPr="009B3BF4">
        <w:t>0,2</w:t>
      </w:r>
      <w:r w:rsidR="00130751" w:rsidRPr="009B3BF4">
        <w:t xml:space="preserve"> млн. руб. (100%).</w:t>
      </w:r>
      <w:r w:rsidR="00677723">
        <w:t xml:space="preserve"> </w:t>
      </w:r>
      <w:proofErr w:type="gramEnd"/>
    </w:p>
    <w:p w:rsidR="007366A2" w:rsidRPr="00E004C1" w:rsidRDefault="00ED6963" w:rsidP="00E004C1">
      <w:pPr>
        <w:shd w:val="clear" w:color="auto" w:fill="FFFFFF"/>
        <w:ind w:firstLine="680"/>
        <w:jc w:val="both"/>
      </w:pPr>
      <w:r w:rsidRPr="009B3BF4">
        <w:t xml:space="preserve">Исполнение показателей </w:t>
      </w:r>
      <w:proofErr w:type="spellStart"/>
      <w:r w:rsidRPr="009B3BF4">
        <w:t>госзадания</w:t>
      </w:r>
      <w:proofErr w:type="spellEnd"/>
      <w:r w:rsidRPr="009B3BF4">
        <w:t xml:space="preserve"> представлено в нижеприведенной таблице.</w:t>
      </w:r>
      <w:r>
        <w:t xml:space="preserve"> При этом в</w:t>
      </w:r>
      <w:r w:rsidR="007366A2" w:rsidRPr="00E004C1">
        <w:t xml:space="preserve"> целях</w:t>
      </w:r>
      <w:r w:rsidR="00334407">
        <w:t xml:space="preserve"> единой</w:t>
      </w:r>
      <w:r w:rsidR="007366A2" w:rsidRPr="00E004C1">
        <w:t xml:space="preserve"> оценки эффективности </w:t>
      </w:r>
      <w:r>
        <w:t xml:space="preserve">использования бюджетных средств за 2016 год </w:t>
      </w:r>
      <w:r w:rsidR="007366A2" w:rsidRPr="00E004C1">
        <w:lastRenderedPageBreak/>
        <w:t xml:space="preserve">проанализировано использование государственного имущества в рамках </w:t>
      </w:r>
      <w:r w:rsidR="00334407">
        <w:t>средств субсидии на г</w:t>
      </w:r>
      <w:r>
        <w:t>осзадание и субсидии на иные цели</w:t>
      </w:r>
      <w:r w:rsidR="00911DF9">
        <w:t xml:space="preserve"> (областной бюджет)</w:t>
      </w:r>
      <w:r>
        <w:t>.</w:t>
      </w:r>
    </w:p>
    <w:tbl>
      <w:tblPr>
        <w:tblW w:w="9781"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2694"/>
        <w:gridCol w:w="992"/>
        <w:gridCol w:w="850"/>
        <w:gridCol w:w="993"/>
        <w:gridCol w:w="992"/>
        <w:gridCol w:w="850"/>
        <w:gridCol w:w="851"/>
        <w:gridCol w:w="850"/>
        <w:gridCol w:w="709"/>
      </w:tblGrid>
      <w:tr w:rsidR="007366A2" w:rsidRPr="002443D0" w:rsidTr="00C934E4">
        <w:trPr>
          <w:trHeight w:val="236"/>
        </w:trPr>
        <w:tc>
          <w:tcPr>
            <w:tcW w:w="2694" w:type="dxa"/>
            <w:vMerge w:val="restart"/>
            <w:tcBorders>
              <w:top w:val="double" w:sz="6" w:space="0" w:color="auto"/>
              <w:right w:val="single" w:sz="6" w:space="0" w:color="auto"/>
            </w:tcBorders>
            <w:shd w:val="clear" w:color="auto" w:fill="EAF1DD" w:themeFill="accent3" w:themeFillTint="33"/>
            <w:vAlign w:val="center"/>
            <w:hideMark/>
          </w:tcPr>
          <w:p w:rsidR="007366A2" w:rsidRPr="009B3BF4" w:rsidRDefault="007366A2" w:rsidP="007572F9">
            <w:pPr>
              <w:ind w:left="34" w:hanging="34"/>
              <w:rPr>
                <w:rFonts w:eastAsia="Times New Roman"/>
                <w:b/>
                <w:bCs/>
                <w:iCs/>
                <w:color w:val="000000"/>
                <w:sz w:val="16"/>
                <w:szCs w:val="16"/>
              </w:rPr>
            </w:pPr>
            <w:r w:rsidRPr="009B3BF4">
              <w:rPr>
                <w:rFonts w:eastAsia="Times New Roman"/>
                <w:b/>
                <w:bCs/>
                <w:iCs/>
                <w:color w:val="000000"/>
                <w:sz w:val="16"/>
                <w:szCs w:val="16"/>
              </w:rPr>
              <w:t xml:space="preserve">Показатель объема </w:t>
            </w:r>
            <w:r w:rsidR="00ED6963" w:rsidRPr="009B3BF4">
              <w:rPr>
                <w:rFonts w:eastAsia="Times New Roman"/>
                <w:b/>
                <w:bCs/>
                <w:iCs/>
                <w:color w:val="000000"/>
                <w:sz w:val="16"/>
                <w:szCs w:val="16"/>
              </w:rPr>
              <w:t xml:space="preserve">и качества </w:t>
            </w:r>
            <w:proofErr w:type="spellStart"/>
            <w:r w:rsidRPr="009B3BF4">
              <w:rPr>
                <w:rFonts w:eastAsia="Times New Roman"/>
                <w:b/>
                <w:bCs/>
                <w:iCs/>
                <w:color w:val="000000"/>
                <w:sz w:val="16"/>
                <w:szCs w:val="16"/>
              </w:rPr>
              <w:t>госуслуги</w:t>
            </w:r>
            <w:proofErr w:type="spellEnd"/>
          </w:p>
        </w:tc>
        <w:tc>
          <w:tcPr>
            <w:tcW w:w="1842" w:type="dxa"/>
            <w:gridSpan w:val="2"/>
            <w:tcBorders>
              <w:left w:val="single" w:sz="6" w:space="0" w:color="auto"/>
              <w:bottom w:val="single" w:sz="6" w:space="0" w:color="auto"/>
              <w:right w:val="single" w:sz="6" w:space="0" w:color="auto"/>
            </w:tcBorders>
            <w:shd w:val="clear" w:color="auto" w:fill="EAF1DD" w:themeFill="accent3" w:themeFillTint="33"/>
            <w:noWrap/>
            <w:vAlign w:val="bottom"/>
            <w:hideMark/>
          </w:tcPr>
          <w:p w:rsidR="007366A2" w:rsidRPr="009B3BF4" w:rsidRDefault="007366A2" w:rsidP="007572F9">
            <w:pPr>
              <w:jc w:val="center"/>
              <w:rPr>
                <w:rFonts w:eastAsia="Times New Roman"/>
                <w:b/>
                <w:bCs/>
                <w:iCs/>
                <w:color w:val="000000"/>
                <w:sz w:val="16"/>
                <w:szCs w:val="16"/>
              </w:rPr>
            </w:pPr>
            <w:r w:rsidRPr="009B3BF4">
              <w:rPr>
                <w:rFonts w:eastAsia="Times New Roman"/>
                <w:b/>
                <w:bCs/>
                <w:iCs/>
                <w:color w:val="000000"/>
                <w:sz w:val="16"/>
                <w:szCs w:val="16"/>
              </w:rPr>
              <w:t>2015 год</w:t>
            </w:r>
          </w:p>
        </w:tc>
        <w:tc>
          <w:tcPr>
            <w:tcW w:w="1985" w:type="dxa"/>
            <w:gridSpan w:val="2"/>
            <w:tcBorders>
              <w:left w:val="single" w:sz="6" w:space="0" w:color="auto"/>
              <w:bottom w:val="single" w:sz="6" w:space="0" w:color="auto"/>
              <w:right w:val="single" w:sz="6" w:space="0" w:color="auto"/>
            </w:tcBorders>
            <w:shd w:val="clear" w:color="auto" w:fill="EAF1DD" w:themeFill="accent3" w:themeFillTint="33"/>
            <w:noWrap/>
            <w:vAlign w:val="bottom"/>
            <w:hideMark/>
          </w:tcPr>
          <w:p w:rsidR="007366A2" w:rsidRPr="009B3BF4" w:rsidRDefault="007366A2" w:rsidP="00CA1820">
            <w:pPr>
              <w:jc w:val="center"/>
              <w:rPr>
                <w:rFonts w:eastAsia="Times New Roman"/>
                <w:b/>
                <w:bCs/>
                <w:iCs/>
                <w:color w:val="000000"/>
                <w:sz w:val="16"/>
                <w:szCs w:val="16"/>
              </w:rPr>
            </w:pPr>
            <w:r w:rsidRPr="009B3BF4">
              <w:rPr>
                <w:rFonts w:eastAsia="Times New Roman"/>
                <w:b/>
                <w:bCs/>
                <w:iCs/>
                <w:color w:val="000000"/>
                <w:sz w:val="16"/>
                <w:szCs w:val="16"/>
              </w:rPr>
              <w:t>2016 год</w:t>
            </w:r>
          </w:p>
        </w:tc>
        <w:tc>
          <w:tcPr>
            <w:tcW w:w="1701" w:type="dxa"/>
            <w:gridSpan w:val="2"/>
            <w:tcBorders>
              <w:left w:val="single" w:sz="6" w:space="0" w:color="auto"/>
              <w:bottom w:val="single" w:sz="6" w:space="0" w:color="auto"/>
              <w:right w:val="single" w:sz="6" w:space="0" w:color="auto"/>
            </w:tcBorders>
            <w:shd w:val="clear" w:color="auto" w:fill="EAF1DD" w:themeFill="accent3" w:themeFillTint="33"/>
            <w:noWrap/>
            <w:vAlign w:val="bottom"/>
            <w:hideMark/>
          </w:tcPr>
          <w:p w:rsidR="007366A2" w:rsidRPr="009B3BF4" w:rsidRDefault="007366A2" w:rsidP="007572F9">
            <w:pPr>
              <w:jc w:val="center"/>
              <w:rPr>
                <w:rFonts w:eastAsia="Times New Roman"/>
                <w:b/>
                <w:bCs/>
                <w:iCs/>
                <w:color w:val="000000"/>
                <w:sz w:val="16"/>
                <w:szCs w:val="16"/>
              </w:rPr>
            </w:pPr>
            <w:r w:rsidRPr="009B3BF4">
              <w:rPr>
                <w:rFonts w:eastAsia="Times New Roman"/>
                <w:b/>
                <w:bCs/>
                <w:iCs/>
                <w:color w:val="000000"/>
                <w:sz w:val="16"/>
                <w:szCs w:val="16"/>
              </w:rPr>
              <w:t>2017 год</w:t>
            </w:r>
          </w:p>
        </w:tc>
        <w:tc>
          <w:tcPr>
            <w:tcW w:w="1559" w:type="dxa"/>
            <w:gridSpan w:val="2"/>
            <w:tcBorders>
              <w:left w:val="single" w:sz="6" w:space="0" w:color="auto"/>
              <w:bottom w:val="single" w:sz="6" w:space="0" w:color="auto"/>
            </w:tcBorders>
            <w:shd w:val="clear" w:color="auto" w:fill="EAF1DD" w:themeFill="accent3" w:themeFillTint="33"/>
            <w:noWrap/>
            <w:vAlign w:val="bottom"/>
            <w:hideMark/>
          </w:tcPr>
          <w:p w:rsidR="007366A2" w:rsidRPr="009B3BF4" w:rsidRDefault="007366A2" w:rsidP="007572F9">
            <w:pPr>
              <w:jc w:val="center"/>
              <w:rPr>
                <w:rFonts w:eastAsia="Times New Roman"/>
                <w:b/>
                <w:bCs/>
                <w:iCs/>
                <w:color w:val="000000"/>
                <w:sz w:val="16"/>
                <w:szCs w:val="16"/>
              </w:rPr>
            </w:pPr>
            <w:proofErr w:type="gramStart"/>
            <w:r w:rsidRPr="009B3BF4">
              <w:rPr>
                <w:rFonts w:eastAsia="Times New Roman"/>
                <w:b/>
                <w:bCs/>
                <w:iCs/>
                <w:color w:val="000000"/>
                <w:sz w:val="16"/>
                <w:szCs w:val="16"/>
                <w:lang w:val="en-US"/>
              </w:rPr>
              <w:t>I</w:t>
            </w:r>
            <w:r w:rsidRPr="009B3BF4">
              <w:rPr>
                <w:rFonts w:eastAsia="Times New Roman"/>
                <w:b/>
                <w:bCs/>
                <w:iCs/>
                <w:color w:val="000000"/>
                <w:sz w:val="16"/>
                <w:szCs w:val="16"/>
              </w:rPr>
              <w:t xml:space="preserve">  кв</w:t>
            </w:r>
            <w:proofErr w:type="gramEnd"/>
            <w:r w:rsidRPr="009B3BF4">
              <w:rPr>
                <w:rFonts w:eastAsia="Times New Roman"/>
                <w:b/>
                <w:bCs/>
                <w:iCs/>
                <w:color w:val="000000"/>
                <w:sz w:val="16"/>
                <w:szCs w:val="16"/>
              </w:rPr>
              <w:t>. 2018 г.</w:t>
            </w:r>
          </w:p>
        </w:tc>
      </w:tr>
      <w:tr w:rsidR="007366A2" w:rsidRPr="002443D0" w:rsidTr="00713E74">
        <w:trPr>
          <w:trHeight w:val="66"/>
        </w:trPr>
        <w:tc>
          <w:tcPr>
            <w:tcW w:w="2694" w:type="dxa"/>
            <w:vMerge/>
            <w:tcBorders>
              <w:bottom w:val="single" w:sz="6" w:space="0" w:color="auto"/>
              <w:right w:val="single" w:sz="6" w:space="0" w:color="auto"/>
            </w:tcBorders>
            <w:shd w:val="clear" w:color="auto" w:fill="EAF1DD" w:themeFill="accent3" w:themeFillTint="33"/>
            <w:vAlign w:val="center"/>
            <w:hideMark/>
          </w:tcPr>
          <w:p w:rsidR="007366A2" w:rsidRPr="009B3BF4" w:rsidRDefault="007366A2" w:rsidP="007572F9">
            <w:pPr>
              <w:ind w:left="34" w:hanging="34"/>
              <w:rPr>
                <w:rFonts w:eastAsia="Times New Roman"/>
                <w:b/>
                <w:bCs/>
                <w:iCs/>
                <w:color w:val="000000"/>
                <w:sz w:val="16"/>
                <w:szCs w:val="16"/>
              </w:rPr>
            </w:pPr>
          </w:p>
        </w:tc>
        <w:tc>
          <w:tcPr>
            <w:tcW w:w="992" w:type="dxa"/>
            <w:tcBorders>
              <w:top w:val="single" w:sz="6" w:space="0" w:color="auto"/>
              <w:left w:val="single" w:sz="6" w:space="0" w:color="auto"/>
              <w:bottom w:val="single" w:sz="6" w:space="0" w:color="auto"/>
              <w:right w:val="single" w:sz="6" w:space="0" w:color="auto"/>
            </w:tcBorders>
            <w:shd w:val="clear" w:color="auto" w:fill="EAF1DD" w:themeFill="accent3" w:themeFillTint="33"/>
            <w:noWrap/>
            <w:vAlign w:val="bottom"/>
            <w:hideMark/>
          </w:tcPr>
          <w:p w:rsidR="007366A2" w:rsidRPr="009B3BF4" w:rsidRDefault="007366A2" w:rsidP="007572F9">
            <w:pPr>
              <w:jc w:val="center"/>
              <w:rPr>
                <w:rFonts w:eastAsia="Times New Roman"/>
                <w:b/>
                <w:bCs/>
                <w:iCs/>
                <w:color w:val="000000"/>
                <w:sz w:val="16"/>
                <w:szCs w:val="16"/>
              </w:rPr>
            </w:pPr>
            <w:r w:rsidRPr="009B3BF4">
              <w:rPr>
                <w:rFonts w:eastAsia="Times New Roman"/>
                <w:b/>
                <w:bCs/>
                <w:iCs/>
                <w:color w:val="000000"/>
                <w:sz w:val="16"/>
                <w:szCs w:val="16"/>
              </w:rPr>
              <w:t>план</w:t>
            </w:r>
          </w:p>
        </w:tc>
        <w:tc>
          <w:tcPr>
            <w:tcW w:w="850" w:type="dxa"/>
            <w:tcBorders>
              <w:top w:val="single" w:sz="6" w:space="0" w:color="auto"/>
              <w:left w:val="single" w:sz="6" w:space="0" w:color="auto"/>
              <w:bottom w:val="single" w:sz="6" w:space="0" w:color="auto"/>
              <w:right w:val="single" w:sz="6" w:space="0" w:color="auto"/>
            </w:tcBorders>
            <w:shd w:val="clear" w:color="auto" w:fill="EAF1DD" w:themeFill="accent3" w:themeFillTint="33"/>
            <w:noWrap/>
            <w:vAlign w:val="bottom"/>
            <w:hideMark/>
          </w:tcPr>
          <w:p w:rsidR="007366A2" w:rsidRPr="009B3BF4" w:rsidRDefault="007366A2" w:rsidP="007572F9">
            <w:pPr>
              <w:jc w:val="center"/>
              <w:rPr>
                <w:rFonts w:eastAsia="Times New Roman"/>
                <w:b/>
                <w:bCs/>
                <w:iCs/>
                <w:color w:val="000000"/>
                <w:sz w:val="16"/>
                <w:szCs w:val="16"/>
              </w:rPr>
            </w:pPr>
            <w:r w:rsidRPr="009B3BF4">
              <w:rPr>
                <w:rFonts w:eastAsia="Times New Roman"/>
                <w:b/>
                <w:bCs/>
                <w:iCs/>
                <w:color w:val="000000"/>
                <w:sz w:val="16"/>
                <w:szCs w:val="16"/>
              </w:rPr>
              <w:t>факт</w:t>
            </w:r>
          </w:p>
        </w:tc>
        <w:tc>
          <w:tcPr>
            <w:tcW w:w="993" w:type="dxa"/>
            <w:tcBorders>
              <w:top w:val="single" w:sz="6" w:space="0" w:color="auto"/>
              <w:left w:val="single" w:sz="6" w:space="0" w:color="auto"/>
              <w:bottom w:val="single" w:sz="6" w:space="0" w:color="auto"/>
              <w:right w:val="single" w:sz="6" w:space="0" w:color="auto"/>
            </w:tcBorders>
            <w:shd w:val="clear" w:color="auto" w:fill="EAF1DD" w:themeFill="accent3" w:themeFillTint="33"/>
            <w:noWrap/>
            <w:vAlign w:val="bottom"/>
            <w:hideMark/>
          </w:tcPr>
          <w:p w:rsidR="007366A2" w:rsidRPr="009B3BF4" w:rsidRDefault="007366A2" w:rsidP="007572F9">
            <w:pPr>
              <w:jc w:val="center"/>
              <w:rPr>
                <w:rFonts w:eastAsia="Times New Roman"/>
                <w:b/>
                <w:bCs/>
                <w:iCs/>
                <w:color w:val="000000"/>
                <w:sz w:val="16"/>
                <w:szCs w:val="16"/>
              </w:rPr>
            </w:pPr>
            <w:r w:rsidRPr="009B3BF4">
              <w:rPr>
                <w:rFonts w:eastAsia="Times New Roman"/>
                <w:b/>
                <w:bCs/>
                <w:iCs/>
                <w:color w:val="000000"/>
                <w:sz w:val="16"/>
                <w:szCs w:val="16"/>
              </w:rPr>
              <w:t>план</w:t>
            </w:r>
          </w:p>
        </w:tc>
        <w:tc>
          <w:tcPr>
            <w:tcW w:w="992" w:type="dxa"/>
            <w:tcBorders>
              <w:top w:val="single" w:sz="6" w:space="0" w:color="auto"/>
              <w:left w:val="single" w:sz="6" w:space="0" w:color="auto"/>
              <w:bottom w:val="single" w:sz="6" w:space="0" w:color="auto"/>
              <w:right w:val="single" w:sz="6" w:space="0" w:color="auto"/>
            </w:tcBorders>
            <w:shd w:val="clear" w:color="auto" w:fill="EAF1DD" w:themeFill="accent3" w:themeFillTint="33"/>
            <w:noWrap/>
            <w:vAlign w:val="bottom"/>
            <w:hideMark/>
          </w:tcPr>
          <w:p w:rsidR="007366A2" w:rsidRPr="009B3BF4" w:rsidRDefault="007366A2" w:rsidP="007572F9">
            <w:pPr>
              <w:jc w:val="center"/>
              <w:rPr>
                <w:rFonts w:eastAsia="Times New Roman"/>
                <w:b/>
                <w:bCs/>
                <w:iCs/>
                <w:color w:val="000000"/>
                <w:sz w:val="16"/>
                <w:szCs w:val="16"/>
              </w:rPr>
            </w:pPr>
            <w:r w:rsidRPr="009B3BF4">
              <w:rPr>
                <w:rFonts w:eastAsia="Times New Roman"/>
                <w:b/>
                <w:bCs/>
                <w:iCs/>
                <w:color w:val="000000"/>
                <w:sz w:val="16"/>
                <w:szCs w:val="16"/>
              </w:rPr>
              <w:t>факт</w:t>
            </w:r>
          </w:p>
        </w:tc>
        <w:tc>
          <w:tcPr>
            <w:tcW w:w="850" w:type="dxa"/>
            <w:tcBorders>
              <w:top w:val="single" w:sz="6" w:space="0" w:color="auto"/>
              <w:left w:val="single" w:sz="6" w:space="0" w:color="auto"/>
              <w:bottom w:val="single" w:sz="6" w:space="0" w:color="auto"/>
              <w:right w:val="single" w:sz="6" w:space="0" w:color="auto"/>
            </w:tcBorders>
            <w:shd w:val="clear" w:color="auto" w:fill="EAF1DD" w:themeFill="accent3" w:themeFillTint="33"/>
            <w:noWrap/>
            <w:vAlign w:val="bottom"/>
            <w:hideMark/>
          </w:tcPr>
          <w:p w:rsidR="007366A2" w:rsidRPr="009B3BF4" w:rsidRDefault="007366A2" w:rsidP="007572F9">
            <w:pPr>
              <w:jc w:val="center"/>
              <w:rPr>
                <w:rFonts w:eastAsia="Times New Roman"/>
                <w:b/>
                <w:bCs/>
                <w:iCs/>
                <w:color w:val="000000"/>
                <w:sz w:val="16"/>
                <w:szCs w:val="16"/>
              </w:rPr>
            </w:pPr>
            <w:r w:rsidRPr="009B3BF4">
              <w:rPr>
                <w:rFonts w:eastAsia="Times New Roman"/>
                <w:b/>
                <w:bCs/>
                <w:iCs/>
                <w:color w:val="000000"/>
                <w:sz w:val="16"/>
                <w:szCs w:val="16"/>
              </w:rPr>
              <w:t>план</w:t>
            </w:r>
          </w:p>
        </w:tc>
        <w:tc>
          <w:tcPr>
            <w:tcW w:w="851" w:type="dxa"/>
            <w:tcBorders>
              <w:top w:val="single" w:sz="6" w:space="0" w:color="auto"/>
              <w:left w:val="single" w:sz="6" w:space="0" w:color="auto"/>
              <w:bottom w:val="single" w:sz="6" w:space="0" w:color="auto"/>
              <w:right w:val="single" w:sz="6" w:space="0" w:color="auto"/>
            </w:tcBorders>
            <w:shd w:val="clear" w:color="auto" w:fill="EAF1DD" w:themeFill="accent3" w:themeFillTint="33"/>
            <w:noWrap/>
            <w:vAlign w:val="bottom"/>
            <w:hideMark/>
          </w:tcPr>
          <w:p w:rsidR="007366A2" w:rsidRPr="009B3BF4" w:rsidRDefault="007366A2" w:rsidP="007572F9">
            <w:pPr>
              <w:jc w:val="center"/>
              <w:rPr>
                <w:rFonts w:eastAsia="Times New Roman"/>
                <w:b/>
                <w:bCs/>
                <w:iCs/>
                <w:color w:val="000000"/>
                <w:sz w:val="16"/>
                <w:szCs w:val="16"/>
              </w:rPr>
            </w:pPr>
            <w:r w:rsidRPr="009B3BF4">
              <w:rPr>
                <w:rFonts w:eastAsia="Times New Roman"/>
                <w:b/>
                <w:bCs/>
                <w:iCs/>
                <w:color w:val="000000"/>
                <w:sz w:val="16"/>
                <w:szCs w:val="16"/>
              </w:rPr>
              <w:t>факт</w:t>
            </w:r>
          </w:p>
        </w:tc>
        <w:tc>
          <w:tcPr>
            <w:tcW w:w="850" w:type="dxa"/>
            <w:tcBorders>
              <w:top w:val="single" w:sz="6" w:space="0" w:color="auto"/>
              <w:left w:val="single" w:sz="6" w:space="0" w:color="auto"/>
              <w:bottom w:val="single" w:sz="6" w:space="0" w:color="auto"/>
              <w:right w:val="single" w:sz="6" w:space="0" w:color="auto"/>
            </w:tcBorders>
            <w:shd w:val="clear" w:color="auto" w:fill="EAF1DD" w:themeFill="accent3" w:themeFillTint="33"/>
            <w:noWrap/>
            <w:vAlign w:val="bottom"/>
            <w:hideMark/>
          </w:tcPr>
          <w:p w:rsidR="007366A2" w:rsidRPr="009B3BF4" w:rsidRDefault="007366A2" w:rsidP="007572F9">
            <w:pPr>
              <w:jc w:val="center"/>
              <w:rPr>
                <w:rFonts w:eastAsia="Times New Roman"/>
                <w:b/>
                <w:bCs/>
                <w:iCs/>
                <w:color w:val="000000"/>
                <w:sz w:val="16"/>
                <w:szCs w:val="16"/>
              </w:rPr>
            </w:pPr>
            <w:r w:rsidRPr="009B3BF4">
              <w:rPr>
                <w:rFonts w:eastAsia="Times New Roman"/>
                <w:b/>
                <w:bCs/>
                <w:iCs/>
                <w:color w:val="000000"/>
                <w:sz w:val="16"/>
                <w:szCs w:val="16"/>
              </w:rPr>
              <w:t>план</w:t>
            </w:r>
          </w:p>
        </w:tc>
        <w:tc>
          <w:tcPr>
            <w:tcW w:w="709" w:type="dxa"/>
            <w:tcBorders>
              <w:top w:val="single" w:sz="6" w:space="0" w:color="auto"/>
              <w:left w:val="single" w:sz="6" w:space="0" w:color="auto"/>
              <w:bottom w:val="single" w:sz="6" w:space="0" w:color="auto"/>
            </w:tcBorders>
            <w:shd w:val="clear" w:color="auto" w:fill="EAF1DD" w:themeFill="accent3" w:themeFillTint="33"/>
            <w:noWrap/>
            <w:vAlign w:val="bottom"/>
            <w:hideMark/>
          </w:tcPr>
          <w:p w:rsidR="007366A2" w:rsidRPr="009B3BF4" w:rsidRDefault="007366A2" w:rsidP="007572F9">
            <w:pPr>
              <w:jc w:val="center"/>
              <w:rPr>
                <w:rFonts w:eastAsia="Times New Roman"/>
                <w:b/>
                <w:bCs/>
                <w:iCs/>
                <w:color w:val="000000"/>
                <w:sz w:val="16"/>
                <w:szCs w:val="16"/>
              </w:rPr>
            </w:pPr>
            <w:r w:rsidRPr="009B3BF4">
              <w:rPr>
                <w:rFonts w:eastAsia="Times New Roman"/>
                <w:b/>
                <w:bCs/>
                <w:iCs/>
                <w:color w:val="000000"/>
                <w:sz w:val="16"/>
                <w:szCs w:val="16"/>
              </w:rPr>
              <w:t>факт</w:t>
            </w:r>
          </w:p>
        </w:tc>
      </w:tr>
      <w:tr w:rsidR="007366A2" w:rsidRPr="002443D0" w:rsidTr="00911DF9">
        <w:trPr>
          <w:trHeight w:val="363"/>
        </w:trPr>
        <w:tc>
          <w:tcPr>
            <w:tcW w:w="2694" w:type="dxa"/>
            <w:tcBorders>
              <w:top w:val="single" w:sz="6" w:space="0" w:color="auto"/>
              <w:bottom w:val="single" w:sz="4" w:space="0" w:color="auto"/>
              <w:right w:val="single" w:sz="6" w:space="0" w:color="auto"/>
            </w:tcBorders>
            <w:shd w:val="clear" w:color="auto" w:fill="auto"/>
            <w:hideMark/>
          </w:tcPr>
          <w:p w:rsidR="00F64565" w:rsidRPr="009B3BF4" w:rsidRDefault="007366A2" w:rsidP="00911DF9">
            <w:pPr>
              <w:ind w:left="34" w:hanging="34"/>
              <w:rPr>
                <w:rFonts w:eastAsia="Times New Roman"/>
                <w:color w:val="000000"/>
                <w:sz w:val="18"/>
                <w:szCs w:val="18"/>
              </w:rPr>
            </w:pPr>
            <w:r w:rsidRPr="009B3BF4">
              <w:rPr>
                <w:rFonts w:eastAsiaTheme="minorEastAsia"/>
                <w:sz w:val="18"/>
                <w:szCs w:val="18"/>
              </w:rPr>
              <w:t>Площадь помещений, предоставленных СМСП, кв</w:t>
            </w:r>
            <w:proofErr w:type="gramStart"/>
            <w:r w:rsidRPr="009B3BF4">
              <w:rPr>
                <w:rFonts w:eastAsiaTheme="minorEastAsia"/>
                <w:sz w:val="18"/>
                <w:szCs w:val="18"/>
              </w:rPr>
              <w:t>.м</w:t>
            </w:r>
            <w:proofErr w:type="gramEnd"/>
          </w:p>
        </w:tc>
        <w:tc>
          <w:tcPr>
            <w:tcW w:w="992" w:type="dxa"/>
            <w:tcBorders>
              <w:top w:val="single" w:sz="6" w:space="0" w:color="auto"/>
              <w:left w:val="single" w:sz="6" w:space="0" w:color="auto"/>
              <w:bottom w:val="single" w:sz="4" w:space="0" w:color="auto"/>
              <w:right w:val="single" w:sz="6" w:space="0" w:color="auto"/>
            </w:tcBorders>
            <w:shd w:val="clear" w:color="auto" w:fill="auto"/>
            <w:hideMark/>
          </w:tcPr>
          <w:p w:rsidR="00F64565" w:rsidRPr="009B3BF4" w:rsidRDefault="007366A2" w:rsidP="00911DF9">
            <w:pPr>
              <w:jc w:val="center"/>
              <w:rPr>
                <w:sz w:val="18"/>
                <w:szCs w:val="18"/>
              </w:rPr>
            </w:pPr>
            <w:r w:rsidRPr="009B3BF4">
              <w:rPr>
                <w:sz w:val="18"/>
                <w:szCs w:val="18"/>
              </w:rPr>
              <w:t>1 313,83</w:t>
            </w:r>
          </w:p>
        </w:tc>
        <w:tc>
          <w:tcPr>
            <w:tcW w:w="850" w:type="dxa"/>
            <w:tcBorders>
              <w:top w:val="single" w:sz="6" w:space="0" w:color="auto"/>
              <w:left w:val="single" w:sz="6" w:space="0" w:color="auto"/>
              <w:bottom w:val="single" w:sz="4" w:space="0" w:color="auto"/>
              <w:right w:val="single" w:sz="6" w:space="0" w:color="auto"/>
            </w:tcBorders>
            <w:shd w:val="clear" w:color="auto" w:fill="auto"/>
            <w:hideMark/>
          </w:tcPr>
          <w:p w:rsidR="00F64565" w:rsidRPr="009B3BF4" w:rsidRDefault="007366A2" w:rsidP="00911DF9">
            <w:pPr>
              <w:jc w:val="center"/>
              <w:rPr>
                <w:color w:val="000000"/>
                <w:sz w:val="18"/>
                <w:szCs w:val="18"/>
              </w:rPr>
            </w:pPr>
            <w:r w:rsidRPr="009B3BF4">
              <w:rPr>
                <w:color w:val="000000"/>
                <w:sz w:val="18"/>
                <w:szCs w:val="18"/>
              </w:rPr>
              <w:t>1 518,1</w:t>
            </w:r>
          </w:p>
        </w:tc>
        <w:tc>
          <w:tcPr>
            <w:tcW w:w="993" w:type="dxa"/>
            <w:tcBorders>
              <w:top w:val="single" w:sz="6" w:space="0" w:color="auto"/>
              <w:left w:val="single" w:sz="6" w:space="0" w:color="auto"/>
              <w:bottom w:val="single" w:sz="4" w:space="0" w:color="auto"/>
              <w:right w:val="single" w:sz="6" w:space="0" w:color="auto"/>
            </w:tcBorders>
            <w:shd w:val="clear" w:color="auto" w:fill="auto"/>
            <w:hideMark/>
          </w:tcPr>
          <w:p w:rsidR="00F64565" w:rsidRPr="005D3A6F" w:rsidRDefault="007366A2" w:rsidP="00911DF9">
            <w:pPr>
              <w:jc w:val="center"/>
              <w:rPr>
                <w:color w:val="000000"/>
                <w:sz w:val="18"/>
                <w:szCs w:val="18"/>
              </w:rPr>
            </w:pPr>
            <w:r w:rsidRPr="005D3A6F">
              <w:rPr>
                <w:color w:val="000000"/>
                <w:sz w:val="18"/>
                <w:szCs w:val="18"/>
              </w:rPr>
              <w:t>1 667,21</w:t>
            </w:r>
            <w:r w:rsidR="00F64565" w:rsidRPr="005D3A6F">
              <w:rPr>
                <w:color w:val="000000"/>
                <w:sz w:val="18"/>
                <w:szCs w:val="18"/>
              </w:rPr>
              <w:t xml:space="preserve"> </w:t>
            </w:r>
          </w:p>
        </w:tc>
        <w:tc>
          <w:tcPr>
            <w:tcW w:w="992" w:type="dxa"/>
            <w:tcBorders>
              <w:top w:val="single" w:sz="6" w:space="0" w:color="auto"/>
              <w:left w:val="single" w:sz="6" w:space="0" w:color="auto"/>
              <w:bottom w:val="single" w:sz="4" w:space="0" w:color="auto"/>
              <w:right w:val="single" w:sz="6" w:space="0" w:color="auto"/>
            </w:tcBorders>
            <w:shd w:val="clear" w:color="auto" w:fill="auto"/>
            <w:hideMark/>
          </w:tcPr>
          <w:p w:rsidR="00F64565" w:rsidRPr="005D3A6F" w:rsidRDefault="007366A2" w:rsidP="00911DF9">
            <w:pPr>
              <w:jc w:val="center"/>
              <w:rPr>
                <w:color w:val="000000"/>
                <w:sz w:val="18"/>
                <w:szCs w:val="18"/>
              </w:rPr>
            </w:pPr>
            <w:r w:rsidRPr="005D3A6F">
              <w:rPr>
                <w:color w:val="000000"/>
                <w:sz w:val="18"/>
                <w:szCs w:val="18"/>
              </w:rPr>
              <w:t>1 677,5</w:t>
            </w:r>
            <w:r w:rsidR="00F64565" w:rsidRPr="005D3A6F">
              <w:rPr>
                <w:color w:val="000000"/>
                <w:sz w:val="18"/>
                <w:szCs w:val="18"/>
              </w:rPr>
              <w:t xml:space="preserve"> </w:t>
            </w:r>
          </w:p>
        </w:tc>
        <w:tc>
          <w:tcPr>
            <w:tcW w:w="850" w:type="dxa"/>
            <w:tcBorders>
              <w:top w:val="single" w:sz="6" w:space="0" w:color="auto"/>
              <w:left w:val="single" w:sz="6" w:space="0" w:color="auto"/>
              <w:bottom w:val="single" w:sz="4" w:space="0" w:color="auto"/>
              <w:right w:val="single" w:sz="6" w:space="0" w:color="auto"/>
            </w:tcBorders>
            <w:shd w:val="clear" w:color="auto" w:fill="auto"/>
            <w:hideMark/>
          </w:tcPr>
          <w:p w:rsidR="007366A2" w:rsidRPr="009B3BF4" w:rsidRDefault="007366A2" w:rsidP="005D2830">
            <w:pPr>
              <w:jc w:val="center"/>
              <w:rPr>
                <w:color w:val="000000"/>
                <w:sz w:val="18"/>
                <w:szCs w:val="18"/>
              </w:rPr>
            </w:pPr>
            <w:r w:rsidRPr="009B3BF4">
              <w:rPr>
                <w:color w:val="000000"/>
                <w:sz w:val="18"/>
                <w:szCs w:val="18"/>
              </w:rPr>
              <w:t>1 671,3</w:t>
            </w:r>
          </w:p>
          <w:p w:rsidR="00F64565" w:rsidRPr="009B3BF4" w:rsidRDefault="00F64565" w:rsidP="005D2830">
            <w:pPr>
              <w:jc w:val="center"/>
              <w:rPr>
                <w:color w:val="000000"/>
                <w:sz w:val="18"/>
                <w:szCs w:val="18"/>
              </w:rPr>
            </w:pPr>
          </w:p>
          <w:p w:rsidR="00F64565" w:rsidRPr="009B3BF4" w:rsidRDefault="00F64565" w:rsidP="005D2830">
            <w:pPr>
              <w:jc w:val="center"/>
              <w:rPr>
                <w:color w:val="000000"/>
                <w:sz w:val="18"/>
                <w:szCs w:val="18"/>
              </w:rPr>
            </w:pPr>
          </w:p>
        </w:tc>
        <w:tc>
          <w:tcPr>
            <w:tcW w:w="851" w:type="dxa"/>
            <w:tcBorders>
              <w:top w:val="single" w:sz="6" w:space="0" w:color="auto"/>
              <w:left w:val="single" w:sz="6" w:space="0" w:color="auto"/>
              <w:bottom w:val="single" w:sz="4" w:space="0" w:color="auto"/>
              <w:right w:val="single" w:sz="6" w:space="0" w:color="auto"/>
            </w:tcBorders>
            <w:shd w:val="clear" w:color="auto" w:fill="auto"/>
            <w:hideMark/>
          </w:tcPr>
          <w:p w:rsidR="00F64565" w:rsidRPr="009B3BF4" w:rsidRDefault="007366A2" w:rsidP="00911DF9">
            <w:pPr>
              <w:jc w:val="center"/>
              <w:rPr>
                <w:color w:val="000000"/>
                <w:sz w:val="18"/>
                <w:szCs w:val="18"/>
              </w:rPr>
            </w:pPr>
            <w:r w:rsidRPr="009B3BF4">
              <w:rPr>
                <w:color w:val="000000"/>
                <w:sz w:val="18"/>
                <w:szCs w:val="18"/>
              </w:rPr>
              <w:t>1 526,3</w:t>
            </w:r>
          </w:p>
        </w:tc>
        <w:tc>
          <w:tcPr>
            <w:tcW w:w="850" w:type="dxa"/>
            <w:tcBorders>
              <w:top w:val="single" w:sz="6" w:space="0" w:color="auto"/>
              <w:left w:val="single" w:sz="6" w:space="0" w:color="auto"/>
              <w:bottom w:val="single" w:sz="4" w:space="0" w:color="auto"/>
              <w:right w:val="single" w:sz="6" w:space="0" w:color="auto"/>
            </w:tcBorders>
            <w:shd w:val="clear" w:color="auto" w:fill="auto"/>
            <w:hideMark/>
          </w:tcPr>
          <w:p w:rsidR="00F64565" w:rsidRPr="009B3BF4" w:rsidRDefault="007366A2" w:rsidP="00911DF9">
            <w:pPr>
              <w:jc w:val="center"/>
              <w:rPr>
                <w:color w:val="000000"/>
                <w:sz w:val="18"/>
                <w:szCs w:val="18"/>
              </w:rPr>
            </w:pPr>
            <w:r w:rsidRPr="009B3BF4">
              <w:rPr>
                <w:color w:val="000000"/>
                <w:sz w:val="18"/>
                <w:szCs w:val="18"/>
              </w:rPr>
              <w:t>1 671,3</w:t>
            </w:r>
          </w:p>
        </w:tc>
        <w:tc>
          <w:tcPr>
            <w:tcW w:w="709" w:type="dxa"/>
            <w:tcBorders>
              <w:top w:val="single" w:sz="6" w:space="0" w:color="auto"/>
              <w:left w:val="single" w:sz="6" w:space="0" w:color="auto"/>
              <w:bottom w:val="single" w:sz="4" w:space="0" w:color="auto"/>
            </w:tcBorders>
            <w:shd w:val="clear" w:color="auto" w:fill="auto"/>
            <w:hideMark/>
          </w:tcPr>
          <w:p w:rsidR="00F64565" w:rsidRPr="009B3BF4" w:rsidRDefault="007366A2" w:rsidP="00911DF9">
            <w:pPr>
              <w:jc w:val="center"/>
              <w:rPr>
                <w:color w:val="000000"/>
                <w:sz w:val="18"/>
                <w:szCs w:val="18"/>
              </w:rPr>
            </w:pPr>
            <w:r w:rsidRPr="009B3BF4">
              <w:rPr>
                <w:color w:val="000000"/>
                <w:sz w:val="18"/>
                <w:szCs w:val="18"/>
              </w:rPr>
              <w:t>694,1</w:t>
            </w:r>
          </w:p>
        </w:tc>
      </w:tr>
      <w:tr w:rsidR="00F64565" w:rsidRPr="002443D0" w:rsidTr="00C934E4">
        <w:trPr>
          <w:trHeight w:val="357"/>
        </w:trPr>
        <w:tc>
          <w:tcPr>
            <w:tcW w:w="2694" w:type="dxa"/>
            <w:tcBorders>
              <w:top w:val="single" w:sz="4" w:space="0" w:color="auto"/>
              <w:bottom w:val="double" w:sz="4" w:space="0" w:color="auto"/>
              <w:right w:val="single" w:sz="6" w:space="0" w:color="auto"/>
            </w:tcBorders>
            <w:shd w:val="clear" w:color="auto" w:fill="auto"/>
            <w:vAlign w:val="bottom"/>
            <w:hideMark/>
          </w:tcPr>
          <w:p w:rsidR="00F64565" w:rsidRPr="009B3BF4" w:rsidRDefault="00F64565" w:rsidP="00713E74">
            <w:pPr>
              <w:ind w:left="34" w:hanging="34"/>
              <w:rPr>
                <w:rFonts w:eastAsiaTheme="minorEastAsia"/>
                <w:sz w:val="18"/>
                <w:szCs w:val="18"/>
              </w:rPr>
            </w:pPr>
            <w:r w:rsidRPr="009B3BF4">
              <w:rPr>
                <w:rFonts w:eastAsia="Times New Roman"/>
                <w:color w:val="000000"/>
                <w:sz w:val="18"/>
                <w:szCs w:val="18"/>
              </w:rPr>
              <w:t xml:space="preserve">Доля потребителей, удовлетворенных качеством </w:t>
            </w:r>
            <w:r w:rsidR="00713E74">
              <w:rPr>
                <w:rFonts w:eastAsia="Times New Roman"/>
                <w:color w:val="000000"/>
                <w:sz w:val="18"/>
                <w:szCs w:val="18"/>
              </w:rPr>
              <w:t>услуги</w:t>
            </w:r>
            <w:proofErr w:type="gramStart"/>
            <w:r w:rsidRPr="009B3BF4">
              <w:rPr>
                <w:rFonts w:eastAsia="Times New Roman"/>
                <w:color w:val="000000"/>
                <w:sz w:val="18"/>
                <w:szCs w:val="18"/>
              </w:rPr>
              <w:t xml:space="preserve"> (%)</w:t>
            </w:r>
            <w:proofErr w:type="gramEnd"/>
          </w:p>
        </w:tc>
        <w:tc>
          <w:tcPr>
            <w:tcW w:w="992" w:type="dxa"/>
            <w:tcBorders>
              <w:top w:val="single" w:sz="4" w:space="0" w:color="auto"/>
              <w:left w:val="single" w:sz="6" w:space="0" w:color="auto"/>
              <w:bottom w:val="double" w:sz="4" w:space="0" w:color="auto"/>
              <w:right w:val="single" w:sz="6" w:space="0" w:color="auto"/>
            </w:tcBorders>
            <w:shd w:val="clear" w:color="auto" w:fill="auto"/>
            <w:vAlign w:val="bottom"/>
            <w:hideMark/>
          </w:tcPr>
          <w:p w:rsidR="00F64565" w:rsidRPr="009B3BF4" w:rsidRDefault="00F64565" w:rsidP="00F64565">
            <w:pPr>
              <w:jc w:val="center"/>
              <w:rPr>
                <w:sz w:val="18"/>
                <w:szCs w:val="18"/>
              </w:rPr>
            </w:pPr>
            <w:r w:rsidRPr="009B3BF4">
              <w:rPr>
                <w:sz w:val="18"/>
                <w:szCs w:val="18"/>
              </w:rPr>
              <w:t>100</w:t>
            </w:r>
          </w:p>
          <w:p w:rsidR="00F64565" w:rsidRPr="009B3BF4" w:rsidRDefault="00F64565" w:rsidP="007572F9">
            <w:pPr>
              <w:jc w:val="right"/>
              <w:rPr>
                <w:sz w:val="18"/>
                <w:szCs w:val="18"/>
              </w:rPr>
            </w:pPr>
          </w:p>
        </w:tc>
        <w:tc>
          <w:tcPr>
            <w:tcW w:w="850" w:type="dxa"/>
            <w:tcBorders>
              <w:top w:val="single" w:sz="4" w:space="0" w:color="auto"/>
              <w:left w:val="single" w:sz="6" w:space="0" w:color="auto"/>
              <w:bottom w:val="double" w:sz="4" w:space="0" w:color="auto"/>
              <w:right w:val="single" w:sz="6" w:space="0" w:color="auto"/>
            </w:tcBorders>
            <w:shd w:val="clear" w:color="auto" w:fill="auto"/>
            <w:vAlign w:val="bottom"/>
            <w:hideMark/>
          </w:tcPr>
          <w:p w:rsidR="00F64565" w:rsidRPr="009B3BF4" w:rsidRDefault="00F64565" w:rsidP="00F64565">
            <w:pPr>
              <w:jc w:val="center"/>
              <w:rPr>
                <w:color w:val="000000"/>
                <w:sz w:val="18"/>
                <w:szCs w:val="18"/>
              </w:rPr>
            </w:pPr>
            <w:r w:rsidRPr="009B3BF4">
              <w:rPr>
                <w:color w:val="000000"/>
                <w:sz w:val="18"/>
                <w:szCs w:val="18"/>
              </w:rPr>
              <w:t>100</w:t>
            </w:r>
          </w:p>
          <w:p w:rsidR="00F64565" w:rsidRPr="009B3BF4" w:rsidRDefault="00F64565" w:rsidP="007572F9">
            <w:pPr>
              <w:jc w:val="right"/>
              <w:rPr>
                <w:color w:val="000000"/>
                <w:sz w:val="18"/>
                <w:szCs w:val="18"/>
              </w:rPr>
            </w:pPr>
          </w:p>
        </w:tc>
        <w:tc>
          <w:tcPr>
            <w:tcW w:w="993" w:type="dxa"/>
            <w:tcBorders>
              <w:top w:val="single" w:sz="4" w:space="0" w:color="auto"/>
              <w:left w:val="single" w:sz="6" w:space="0" w:color="auto"/>
              <w:bottom w:val="double" w:sz="4" w:space="0" w:color="auto"/>
              <w:right w:val="single" w:sz="6" w:space="0" w:color="auto"/>
            </w:tcBorders>
            <w:shd w:val="clear" w:color="auto" w:fill="auto"/>
            <w:vAlign w:val="bottom"/>
            <w:hideMark/>
          </w:tcPr>
          <w:p w:rsidR="00F64565" w:rsidRPr="009B3BF4" w:rsidRDefault="00F64565" w:rsidP="007572F9">
            <w:pPr>
              <w:jc w:val="right"/>
              <w:rPr>
                <w:color w:val="000000"/>
                <w:sz w:val="18"/>
                <w:szCs w:val="18"/>
              </w:rPr>
            </w:pPr>
            <w:r w:rsidRPr="009B3BF4">
              <w:rPr>
                <w:color w:val="000000"/>
                <w:sz w:val="18"/>
                <w:szCs w:val="18"/>
              </w:rPr>
              <w:t>-</w:t>
            </w:r>
          </w:p>
          <w:p w:rsidR="00F64565" w:rsidRPr="009B3BF4" w:rsidRDefault="00F64565" w:rsidP="007572F9">
            <w:pPr>
              <w:jc w:val="right"/>
              <w:rPr>
                <w:color w:val="000000"/>
                <w:sz w:val="18"/>
                <w:szCs w:val="18"/>
              </w:rPr>
            </w:pPr>
          </w:p>
        </w:tc>
        <w:tc>
          <w:tcPr>
            <w:tcW w:w="992" w:type="dxa"/>
            <w:tcBorders>
              <w:top w:val="single" w:sz="4" w:space="0" w:color="auto"/>
              <w:left w:val="single" w:sz="6" w:space="0" w:color="auto"/>
              <w:bottom w:val="double" w:sz="4" w:space="0" w:color="auto"/>
              <w:right w:val="single" w:sz="6" w:space="0" w:color="auto"/>
            </w:tcBorders>
            <w:shd w:val="clear" w:color="auto" w:fill="auto"/>
            <w:vAlign w:val="bottom"/>
            <w:hideMark/>
          </w:tcPr>
          <w:p w:rsidR="00F64565" w:rsidRPr="009B3BF4" w:rsidRDefault="00F64565" w:rsidP="007572F9">
            <w:pPr>
              <w:jc w:val="right"/>
              <w:rPr>
                <w:color w:val="000000"/>
                <w:sz w:val="18"/>
                <w:szCs w:val="18"/>
              </w:rPr>
            </w:pPr>
            <w:r w:rsidRPr="009B3BF4">
              <w:rPr>
                <w:color w:val="000000"/>
                <w:sz w:val="18"/>
                <w:szCs w:val="18"/>
              </w:rPr>
              <w:t>-</w:t>
            </w:r>
          </w:p>
          <w:p w:rsidR="00F64565" w:rsidRPr="009B3BF4" w:rsidRDefault="00F64565" w:rsidP="007572F9">
            <w:pPr>
              <w:jc w:val="right"/>
              <w:rPr>
                <w:color w:val="000000"/>
                <w:sz w:val="18"/>
                <w:szCs w:val="18"/>
              </w:rPr>
            </w:pPr>
          </w:p>
        </w:tc>
        <w:tc>
          <w:tcPr>
            <w:tcW w:w="850" w:type="dxa"/>
            <w:tcBorders>
              <w:top w:val="single" w:sz="4" w:space="0" w:color="auto"/>
              <w:left w:val="single" w:sz="6" w:space="0" w:color="auto"/>
              <w:bottom w:val="double" w:sz="4" w:space="0" w:color="auto"/>
              <w:right w:val="single" w:sz="6" w:space="0" w:color="auto"/>
            </w:tcBorders>
            <w:shd w:val="clear" w:color="auto" w:fill="auto"/>
            <w:vAlign w:val="bottom"/>
            <w:hideMark/>
          </w:tcPr>
          <w:p w:rsidR="00F64565" w:rsidRPr="009B3BF4" w:rsidRDefault="00F64565" w:rsidP="00F64565">
            <w:pPr>
              <w:jc w:val="center"/>
              <w:rPr>
                <w:color w:val="000000"/>
                <w:sz w:val="18"/>
                <w:szCs w:val="18"/>
              </w:rPr>
            </w:pPr>
            <w:r w:rsidRPr="009B3BF4">
              <w:rPr>
                <w:color w:val="000000"/>
                <w:sz w:val="18"/>
                <w:szCs w:val="18"/>
              </w:rPr>
              <w:t>80</w:t>
            </w:r>
          </w:p>
          <w:p w:rsidR="00F64565" w:rsidRPr="009B3BF4" w:rsidRDefault="00F64565" w:rsidP="007572F9">
            <w:pPr>
              <w:jc w:val="right"/>
              <w:rPr>
                <w:color w:val="000000"/>
                <w:sz w:val="18"/>
                <w:szCs w:val="18"/>
              </w:rPr>
            </w:pPr>
          </w:p>
        </w:tc>
        <w:tc>
          <w:tcPr>
            <w:tcW w:w="851" w:type="dxa"/>
            <w:tcBorders>
              <w:top w:val="single" w:sz="4" w:space="0" w:color="auto"/>
              <w:left w:val="single" w:sz="6" w:space="0" w:color="auto"/>
              <w:bottom w:val="double" w:sz="4" w:space="0" w:color="auto"/>
              <w:right w:val="single" w:sz="6" w:space="0" w:color="auto"/>
            </w:tcBorders>
            <w:shd w:val="clear" w:color="auto" w:fill="auto"/>
            <w:vAlign w:val="bottom"/>
            <w:hideMark/>
          </w:tcPr>
          <w:p w:rsidR="00F64565" w:rsidRPr="009B3BF4" w:rsidRDefault="00F64565" w:rsidP="00F64565">
            <w:pPr>
              <w:jc w:val="center"/>
              <w:rPr>
                <w:color w:val="000000"/>
                <w:sz w:val="18"/>
                <w:szCs w:val="18"/>
              </w:rPr>
            </w:pPr>
            <w:r w:rsidRPr="009B3BF4">
              <w:rPr>
                <w:color w:val="000000"/>
                <w:sz w:val="18"/>
                <w:szCs w:val="18"/>
              </w:rPr>
              <w:t>100</w:t>
            </w:r>
          </w:p>
          <w:p w:rsidR="00F64565" w:rsidRPr="009B3BF4" w:rsidRDefault="00F64565" w:rsidP="007572F9">
            <w:pPr>
              <w:jc w:val="right"/>
              <w:rPr>
                <w:color w:val="000000"/>
                <w:sz w:val="18"/>
                <w:szCs w:val="18"/>
              </w:rPr>
            </w:pPr>
          </w:p>
        </w:tc>
        <w:tc>
          <w:tcPr>
            <w:tcW w:w="850" w:type="dxa"/>
            <w:tcBorders>
              <w:top w:val="single" w:sz="4" w:space="0" w:color="auto"/>
              <w:left w:val="single" w:sz="6" w:space="0" w:color="auto"/>
              <w:bottom w:val="double" w:sz="4" w:space="0" w:color="auto"/>
              <w:right w:val="single" w:sz="6" w:space="0" w:color="auto"/>
            </w:tcBorders>
            <w:shd w:val="clear" w:color="auto" w:fill="auto"/>
            <w:vAlign w:val="bottom"/>
            <w:hideMark/>
          </w:tcPr>
          <w:p w:rsidR="00F64565" w:rsidRPr="009B3BF4" w:rsidRDefault="00F64565" w:rsidP="00F64565">
            <w:pPr>
              <w:jc w:val="center"/>
              <w:rPr>
                <w:color w:val="000000"/>
                <w:sz w:val="18"/>
                <w:szCs w:val="18"/>
              </w:rPr>
            </w:pPr>
            <w:r w:rsidRPr="009B3BF4">
              <w:rPr>
                <w:color w:val="000000"/>
                <w:sz w:val="18"/>
                <w:szCs w:val="18"/>
              </w:rPr>
              <w:t>95</w:t>
            </w:r>
          </w:p>
          <w:p w:rsidR="00F64565" w:rsidRPr="009B3BF4" w:rsidRDefault="00F64565" w:rsidP="007572F9">
            <w:pPr>
              <w:jc w:val="right"/>
              <w:rPr>
                <w:color w:val="000000"/>
                <w:sz w:val="18"/>
                <w:szCs w:val="18"/>
              </w:rPr>
            </w:pPr>
          </w:p>
        </w:tc>
        <w:tc>
          <w:tcPr>
            <w:tcW w:w="709" w:type="dxa"/>
            <w:tcBorders>
              <w:top w:val="single" w:sz="4" w:space="0" w:color="auto"/>
              <w:left w:val="single" w:sz="6" w:space="0" w:color="auto"/>
              <w:bottom w:val="double" w:sz="4" w:space="0" w:color="auto"/>
            </w:tcBorders>
            <w:shd w:val="clear" w:color="auto" w:fill="auto"/>
            <w:vAlign w:val="bottom"/>
            <w:hideMark/>
          </w:tcPr>
          <w:p w:rsidR="00F64565" w:rsidRPr="009B3BF4" w:rsidRDefault="00F64565" w:rsidP="00F64565">
            <w:pPr>
              <w:jc w:val="center"/>
              <w:rPr>
                <w:color w:val="000000"/>
                <w:sz w:val="18"/>
                <w:szCs w:val="18"/>
              </w:rPr>
            </w:pPr>
            <w:r w:rsidRPr="009B3BF4">
              <w:rPr>
                <w:color w:val="000000"/>
                <w:sz w:val="18"/>
                <w:szCs w:val="18"/>
              </w:rPr>
              <w:t>100</w:t>
            </w:r>
          </w:p>
          <w:p w:rsidR="00F64565" w:rsidRPr="009B3BF4" w:rsidRDefault="00F64565" w:rsidP="007572F9">
            <w:pPr>
              <w:jc w:val="right"/>
              <w:rPr>
                <w:color w:val="000000"/>
                <w:sz w:val="18"/>
                <w:szCs w:val="18"/>
              </w:rPr>
            </w:pPr>
          </w:p>
        </w:tc>
      </w:tr>
    </w:tbl>
    <w:p w:rsidR="00510B28" w:rsidRDefault="001447BC" w:rsidP="00994485">
      <w:pPr>
        <w:ind w:firstLine="680"/>
        <w:jc w:val="both"/>
        <w:rPr>
          <w:rFonts w:eastAsia="Times New Roman"/>
        </w:rPr>
      </w:pPr>
      <w:r>
        <w:rPr>
          <w:rFonts w:eastAsia="Times New Roman"/>
        </w:rPr>
        <w:t>Как видно из таблицы</w:t>
      </w:r>
      <w:r w:rsidR="00447235">
        <w:rPr>
          <w:rFonts w:eastAsia="Times New Roman"/>
        </w:rPr>
        <w:t>,</w:t>
      </w:r>
      <w:r>
        <w:rPr>
          <w:rFonts w:eastAsia="Times New Roman"/>
        </w:rPr>
        <w:t xml:space="preserve"> </w:t>
      </w:r>
      <w:r w:rsidR="00510B28">
        <w:rPr>
          <w:rFonts w:eastAsia="Times New Roman"/>
        </w:rPr>
        <w:t>с учетом</w:t>
      </w:r>
      <w:r w:rsidR="00510B28" w:rsidRPr="00510B28">
        <w:t xml:space="preserve"> </w:t>
      </w:r>
      <w:r w:rsidR="00510B28" w:rsidRPr="002A732A">
        <w:t>допустим</w:t>
      </w:r>
      <w:r w:rsidR="00510B28">
        <w:t>ого</w:t>
      </w:r>
      <w:r w:rsidR="000B19A4">
        <w:t xml:space="preserve"> </w:t>
      </w:r>
      <w:r w:rsidR="00510B28" w:rsidRPr="002A732A">
        <w:t xml:space="preserve">отклонения от установленных показателей объема </w:t>
      </w:r>
      <w:proofErr w:type="spellStart"/>
      <w:r w:rsidR="00510B28" w:rsidRPr="002A732A">
        <w:t>госуслуги</w:t>
      </w:r>
      <w:proofErr w:type="spellEnd"/>
      <w:r w:rsidR="00510B28">
        <w:t xml:space="preserve"> (10%)</w:t>
      </w:r>
      <w:r w:rsidR="00510B28" w:rsidRPr="002A732A">
        <w:t>,</w:t>
      </w:r>
      <w:r w:rsidR="00510B28">
        <w:rPr>
          <w:rFonts w:eastAsia="Times New Roman"/>
        </w:rPr>
        <w:t xml:space="preserve"> показатели </w:t>
      </w:r>
      <w:proofErr w:type="spellStart"/>
      <w:r w:rsidR="00510B28">
        <w:rPr>
          <w:rFonts w:eastAsia="Times New Roman"/>
        </w:rPr>
        <w:t>госзадания</w:t>
      </w:r>
      <w:proofErr w:type="spellEnd"/>
      <w:r w:rsidR="00510B28">
        <w:rPr>
          <w:rFonts w:eastAsia="Times New Roman"/>
        </w:rPr>
        <w:t xml:space="preserve"> ежегодно исполняются. </w:t>
      </w:r>
    </w:p>
    <w:p w:rsidR="006210EA" w:rsidRDefault="00E83209" w:rsidP="00994485">
      <w:pPr>
        <w:ind w:firstLine="680"/>
        <w:jc w:val="both"/>
        <w:rPr>
          <w:rFonts w:eastAsiaTheme="minorHAnsi"/>
          <w:iCs/>
        </w:rPr>
      </w:pPr>
      <w:r>
        <w:rPr>
          <w:rFonts w:eastAsiaTheme="minorHAnsi"/>
          <w:iCs/>
        </w:rPr>
        <w:t xml:space="preserve">На основании распоряжения </w:t>
      </w:r>
      <w:proofErr w:type="spellStart"/>
      <w:r>
        <w:rPr>
          <w:rFonts w:eastAsiaTheme="minorHAnsi"/>
          <w:iCs/>
        </w:rPr>
        <w:t>Облкомимущества</w:t>
      </w:r>
      <w:proofErr w:type="spellEnd"/>
      <w:r>
        <w:rPr>
          <w:rFonts w:eastAsiaTheme="minorHAnsi"/>
          <w:iCs/>
        </w:rPr>
        <w:t xml:space="preserve"> </w:t>
      </w:r>
      <w:r w:rsidRPr="00FB7DA9">
        <w:rPr>
          <w:rFonts w:eastAsiaTheme="minorHAnsi"/>
          <w:iCs/>
        </w:rPr>
        <w:t>от 09.02.2009 №177</w:t>
      </w:r>
      <w:r w:rsidRPr="002443D0">
        <w:rPr>
          <w:rFonts w:eastAsiaTheme="minorHAnsi"/>
          <w:iCs/>
        </w:rPr>
        <w:t>-р «О перечне государственного имущества Волгоградской области, предназначенного для предоставлени</w:t>
      </w:r>
      <w:r>
        <w:rPr>
          <w:rFonts w:eastAsiaTheme="minorHAnsi"/>
          <w:iCs/>
        </w:rPr>
        <w:t>я</w:t>
      </w:r>
      <w:r w:rsidRPr="002443D0">
        <w:rPr>
          <w:rFonts w:eastAsiaTheme="minorHAnsi"/>
          <w:iCs/>
        </w:rPr>
        <w:t xml:space="preserve"> в пользование </w:t>
      </w:r>
      <w:r>
        <w:rPr>
          <w:rFonts w:eastAsiaTheme="minorHAnsi"/>
          <w:iCs/>
        </w:rPr>
        <w:t>СМСП</w:t>
      </w:r>
      <w:r w:rsidRPr="002443D0">
        <w:rPr>
          <w:rFonts w:eastAsiaTheme="minorHAnsi"/>
          <w:iCs/>
        </w:rPr>
        <w:t xml:space="preserve"> и организациям, образующим инфраструктуру поддержки </w:t>
      </w:r>
      <w:r>
        <w:rPr>
          <w:rFonts w:eastAsiaTheme="minorHAnsi"/>
          <w:iCs/>
        </w:rPr>
        <w:t>СМСП</w:t>
      </w:r>
      <w:r w:rsidRPr="002443D0">
        <w:rPr>
          <w:rFonts w:eastAsiaTheme="minorHAnsi"/>
          <w:iCs/>
        </w:rPr>
        <w:t>»</w:t>
      </w:r>
      <w:r w:rsidR="00447235">
        <w:rPr>
          <w:rFonts w:eastAsiaTheme="minorHAnsi"/>
          <w:iCs/>
        </w:rPr>
        <w:t>,</w:t>
      </w:r>
      <w:r>
        <w:rPr>
          <w:rFonts w:eastAsiaTheme="minorHAnsi"/>
          <w:iCs/>
        </w:rPr>
        <w:t xml:space="preserve"> общая площадь имущества ГАУ Бизнес-инкубатор составляет </w:t>
      </w:r>
      <w:r w:rsidRPr="002443D0">
        <w:rPr>
          <w:rFonts w:eastAsiaTheme="minorHAnsi"/>
          <w:iCs/>
        </w:rPr>
        <w:t>1 989,7 кв. м</w:t>
      </w:r>
      <w:r w:rsidR="006210EA">
        <w:rPr>
          <w:rFonts w:eastAsiaTheme="minorHAnsi"/>
          <w:iCs/>
        </w:rPr>
        <w:t>етра</w:t>
      </w:r>
      <w:r w:rsidR="00E050CF">
        <w:rPr>
          <w:rFonts w:eastAsiaTheme="minorHAnsi"/>
          <w:iCs/>
        </w:rPr>
        <w:t>.</w:t>
      </w:r>
      <w:r w:rsidR="00994485">
        <w:rPr>
          <w:rFonts w:eastAsiaTheme="minorHAnsi"/>
          <w:iCs/>
        </w:rPr>
        <w:t xml:space="preserve"> </w:t>
      </w:r>
      <w:r w:rsidR="007366A2" w:rsidRPr="002443D0">
        <w:rPr>
          <w:rFonts w:eastAsiaTheme="minorHAnsi"/>
          <w:iCs/>
        </w:rPr>
        <w:t>Плановый показатель на</w:t>
      </w:r>
      <w:r w:rsidR="007366A2">
        <w:rPr>
          <w:rFonts w:eastAsiaTheme="minorHAnsi"/>
          <w:iCs/>
        </w:rPr>
        <w:t xml:space="preserve"> 2016-2017 годы установлен</w:t>
      </w:r>
      <w:r w:rsidR="006210EA">
        <w:rPr>
          <w:rFonts w:eastAsiaTheme="minorHAnsi"/>
          <w:iCs/>
        </w:rPr>
        <w:t xml:space="preserve"> </w:t>
      </w:r>
      <w:r w:rsidR="002C2D83">
        <w:rPr>
          <w:rFonts w:eastAsiaTheme="minorHAnsi"/>
          <w:iCs/>
        </w:rPr>
        <w:t xml:space="preserve">соответственно </w:t>
      </w:r>
      <w:r w:rsidR="006210EA">
        <w:rPr>
          <w:rFonts w:eastAsiaTheme="minorHAnsi"/>
          <w:iCs/>
        </w:rPr>
        <w:t xml:space="preserve">в размере </w:t>
      </w:r>
      <w:r w:rsidR="006210EA" w:rsidRPr="002443D0">
        <w:rPr>
          <w:rFonts w:eastAsiaTheme="minorHAnsi"/>
          <w:iCs/>
        </w:rPr>
        <w:t xml:space="preserve">1 667,21 </w:t>
      </w:r>
      <w:r w:rsidR="002C2D83">
        <w:rPr>
          <w:rFonts w:eastAsiaTheme="minorHAnsi"/>
          <w:iCs/>
        </w:rPr>
        <w:t>кв</w:t>
      </w:r>
      <w:proofErr w:type="gramStart"/>
      <w:r w:rsidR="002C2D83">
        <w:rPr>
          <w:rFonts w:eastAsiaTheme="minorHAnsi"/>
          <w:iCs/>
        </w:rPr>
        <w:t>.м</w:t>
      </w:r>
      <w:proofErr w:type="gramEnd"/>
      <w:r w:rsidR="006210EA">
        <w:rPr>
          <w:rFonts w:eastAsiaTheme="minorHAnsi"/>
          <w:iCs/>
        </w:rPr>
        <w:t xml:space="preserve"> и </w:t>
      </w:r>
      <w:r w:rsidR="006210EA" w:rsidRPr="002443D0">
        <w:rPr>
          <w:rFonts w:eastAsiaTheme="minorHAnsi"/>
          <w:iCs/>
        </w:rPr>
        <w:t>1 671,3 кв.</w:t>
      </w:r>
      <w:r w:rsidR="006210EA">
        <w:rPr>
          <w:rFonts w:eastAsiaTheme="minorHAnsi"/>
          <w:iCs/>
        </w:rPr>
        <w:t>м</w:t>
      </w:r>
      <w:r w:rsidR="002C2D83">
        <w:rPr>
          <w:rFonts w:eastAsiaTheme="minorHAnsi"/>
          <w:iCs/>
        </w:rPr>
        <w:t xml:space="preserve">, </w:t>
      </w:r>
      <w:r w:rsidR="006210EA">
        <w:rPr>
          <w:rFonts w:eastAsiaTheme="minorHAnsi"/>
          <w:iCs/>
        </w:rPr>
        <w:t xml:space="preserve">и рассчитывался без учета </w:t>
      </w:r>
      <w:r w:rsidR="00994485">
        <w:rPr>
          <w:rFonts w:eastAsiaTheme="minorHAnsi"/>
          <w:iCs/>
        </w:rPr>
        <w:t xml:space="preserve">площади, </w:t>
      </w:r>
      <w:r w:rsidR="006210EA">
        <w:rPr>
          <w:rFonts w:eastAsiaTheme="minorHAnsi"/>
          <w:iCs/>
        </w:rPr>
        <w:t xml:space="preserve">занимаемой сотрудниками ГАУ </w:t>
      </w:r>
      <w:r w:rsidR="006210EA" w:rsidRPr="002443D0">
        <w:rPr>
          <w:rFonts w:eastAsiaTheme="minorHAnsi"/>
          <w:iCs/>
        </w:rPr>
        <w:t xml:space="preserve">Бизнес-инкубатор, </w:t>
      </w:r>
      <w:r w:rsidR="00994485">
        <w:rPr>
          <w:rFonts w:eastAsiaTheme="minorHAnsi"/>
          <w:iCs/>
        </w:rPr>
        <w:t xml:space="preserve">а также </w:t>
      </w:r>
      <w:r w:rsidR="006210EA" w:rsidRPr="002443D0">
        <w:rPr>
          <w:rFonts w:eastAsiaTheme="minorHAnsi"/>
          <w:iCs/>
        </w:rPr>
        <w:t>площади актового зала и переговорной комнаты</w:t>
      </w:r>
      <w:r w:rsidR="006210EA">
        <w:rPr>
          <w:rFonts w:eastAsiaTheme="minorHAnsi"/>
          <w:iCs/>
        </w:rPr>
        <w:t>.</w:t>
      </w:r>
    </w:p>
    <w:p w:rsidR="0008797F" w:rsidRDefault="0008797F" w:rsidP="00994485">
      <w:pPr>
        <w:ind w:firstLine="680"/>
        <w:jc w:val="both"/>
        <w:rPr>
          <w:rFonts w:eastAsiaTheme="minorHAnsi"/>
          <w:iCs/>
        </w:rPr>
      </w:pPr>
      <w:r>
        <w:rPr>
          <w:rFonts w:eastAsiaTheme="minorHAnsi"/>
          <w:iCs/>
        </w:rPr>
        <w:t>При проверке достоверности фактического значения показателя установлено следующее:</w:t>
      </w:r>
    </w:p>
    <w:p w:rsidR="0008797F" w:rsidRDefault="0008797F" w:rsidP="0008797F">
      <w:pPr>
        <w:ind w:firstLine="680"/>
        <w:jc w:val="both"/>
        <w:rPr>
          <w:rFonts w:eastAsiaTheme="minorHAnsi"/>
          <w:iCs/>
        </w:rPr>
      </w:pPr>
      <w:r>
        <w:rPr>
          <w:rFonts w:eastAsiaTheme="minorHAnsi"/>
          <w:iCs/>
        </w:rPr>
        <w:t>- в</w:t>
      </w:r>
      <w:r w:rsidR="00924FCF" w:rsidRPr="00994485">
        <w:rPr>
          <w:rFonts w:eastAsiaTheme="minorHAnsi"/>
          <w:iCs/>
        </w:rPr>
        <w:t xml:space="preserve"> 2016 году </w:t>
      </w:r>
      <w:r w:rsidRPr="003878AC">
        <w:rPr>
          <w:rFonts w:eastAsiaTheme="minorHAnsi"/>
          <w:iCs/>
        </w:rPr>
        <w:t>фактическое значение показателя 2016 года необоснованно завышено на 461,7 кв. м - площадь предоставленных в почасовую аренду помещений актового зала и переговорной комнаты, которые не учитывались в плановом показателе. В результате фактический показатель искажен в сторону завышения и составил 1 215,8 кв. м, т.е. госзадание по этому показателю не исполнено</w:t>
      </w:r>
      <w:r>
        <w:rPr>
          <w:rFonts w:eastAsiaTheme="minorHAnsi"/>
          <w:iCs/>
        </w:rPr>
        <w:t xml:space="preserve"> на 27,1%;</w:t>
      </w:r>
      <w:r w:rsidRPr="002443D0">
        <w:rPr>
          <w:rFonts w:eastAsiaTheme="minorHAnsi"/>
          <w:iCs/>
        </w:rPr>
        <w:t xml:space="preserve"> </w:t>
      </w:r>
    </w:p>
    <w:p w:rsidR="007366A2" w:rsidRPr="007E0544" w:rsidRDefault="00E928EE" w:rsidP="00247783">
      <w:pPr>
        <w:autoSpaceDE w:val="0"/>
        <w:autoSpaceDN w:val="0"/>
        <w:adjustRightInd w:val="0"/>
        <w:ind w:firstLine="680"/>
        <w:jc w:val="both"/>
        <w:rPr>
          <w:rFonts w:eastAsiaTheme="minorHAnsi"/>
          <w:iCs/>
        </w:rPr>
      </w:pPr>
      <w:r>
        <w:rPr>
          <w:rFonts w:eastAsiaTheme="minorHAnsi"/>
          <w:iCs/>
        </w:rPr>
        <w:t>- в 2017 году</w:t>
      </w:r>
      <w:r w:rsidR="007366A2">
        <w:rPr>
          <w:rFonts w:eastAsiaTheme="minorHAnsi"/>
          <w:iCs/>
        </w:rPr>
        <w:t xml:space="preserve"> </w:t>
      </w:r>
      <w:r>
        <w:rPr>
          <w:rFonts w:eastAsiaTheme="minorHAnsi"/>
          <w:iCs/>
        </w:rPr>
        <w:t xml:space="preserve">фактический показатель </w:t>
      </w:r>
      <w:r w:rsidR="007366A2">
        <w:rPr>
          <w:rFonts w:eastAsiaTheme="minorHAnsi"/>
          <w:iCs/>
        </w:rPr>
        <w:t>(</w:t>
      </w:r>
      <w:r w:rsidR="007366A2" w:rsidRPr="000162E8">
        <w:rPr>
          <w:rFonts w:eastAsiaTheme="minorHAnsi"/>
          <w:iCs/>
        </w:rPr>
        <w:t>1 526,3 кв.м</w:t>
      </w:r>
      <w:r w:rsidR="007366A2">
        <w:rPr>
          <w:rFonts w:eastAsiaTheme="minorHAnsi"/>
          <w:iCs/>
        </w:rPr>
        <w:t xml:space="preserve">) </w:t>
      </w:r>
      <w:r>
        <w:rPr>
          <w:rFonts w:eastAsiaTheme="minorHAnsi"/>
          <w:iCs/>
        </w:rPr>
        <w:t>рассчитан с учетом «</w:t>
      </w:r>
      <w:proofErr w:type="spellStart"/>
      <w:r>
        <w:rPr>
          <w:rFonts w:eastAsiaTheme="minorHAnsi"/>
          <w:iCs/>
        </w:rPr>
        <w:t>задвоенной</w:t>
      </w:r>
      <w:proofErr w:type="spellEnd"/>
      <w:r>
        <w:rPr>
          <w:rFonts w:eastAsiaTheme="minorHAnsi"/>
          <w:iCs/>
        </w:rPr>
        <w:t xml:space="preserve">» площади, так как </w:t>
      </w:r>
      <w:r w:rsidR="001F3E9E">
        <w:rPr>
          <w:rFonts w:eastAsiaTheme="minorHAnsi"/>
          <w:iCs/>
        </w:rPr>
        <w:t>он определялся</w:t>
      </w:r>
      <w:r w:rsidR="007366A2">
        <w:rPr>
          <w:rFonts w:eastAsiaTheme="minorHAnsi"/>
          <w:iCs/>
        </w:rPr>
        <w:t xml:space="preserve"> с учетом площади по </w:t>
      </w:r>
      <w:r w:rsidR="007572F9">
        <w:rPr>
          <w:rFonts w:eastAsiaTheme="minorHAnsi"/>
          <w:iCs/>
        </w:rPr>
        <w:t xml:space="preserve">всем </w:t>
      </w:r>
      <w:r w:rsidR="007366A2">
        <w:rPr>
          <w:rFonts w:eastAsiaTheme="minorHAnsi"/>
          <w:iCs/>
        </w:rPr>
        <w:t>договорам аренды</w:t>
      </w:r>
      <w:r w:rsidR="007366A2" w:rsidRPr="000162E8">
        <w:rPr>
          <w:rFonts w:eastAsiaTheme="minorHAnsi"/>
          <w:iCs/>
        </w:rPr>
        <w:t>, действовавшим в 2017 году</w:t>
      </w:r>
      <w:r w:rsidR="007572F9">
        <w:rPr>
          <w:rFonts w:eastAsiaTheme="minorHAnsi"/>
          <w:iCs/>
        </w:rPr>
        <w:t>, в т.ч. заключенным с несколькими арендаторами на одн</w:t>
      </w:r>
      <w:r w:rsidR="00FA6F7F">
        <w:rPr>
          <w:rFonts w:eastAsiaTheme="minorHAnsi"/>
          <w:iCs/>
        </w:rPr>
        <w:t>и</w:t>
      </w:r>
      <w:r w:rsidR="007572F9">
        <w:rPr>
          <w:rFonts w:eastAsiaTheme="minorHAnsi"/>
          <w:iCs/>
        </w:rPr>
        <w:t xml:space="preserve"> и т</w:t>
      </w:r>
      <w:r w:rsidR="00FA6F7F">
        <w:rPr>
          <w:rFonts w:eastAsiaTheme="minorHAnsi"/>
          <w:iCs/>
        </w:rPr>
        <w:t>е же</w:t>
      </w:r>
      <w:r w:rsidR="007572F9">
        <w:rPr>
          <w:rFonts w:eastAsiaTheme="minorHAnsi"/>
          <w:iCs/>
        </w:rPr>
        <w:t xml:space="preserve"> </w:t>
      </w:r>
      <w:proofErr w:type="spellStart"/>
      <w:proofErr w:type="gramStart"/>
      <w:r w:rsidR="007572F9">
        <w:rPr>
          <w:rFonts w:eastAsiaTheme="minorHAnsi"/>
          <w:iCs/>
        </w:rPr>
        <w:t>же</w:t>
      </w:r>
      <w:proofErr w:type="spellEnd"/>
      <w:proofErr w:type="gramEnd"/>
      <w:r w:rsidR="007572F9">
        <w:rPr>
          <w:rFonts w:eastAsiaTheme="minorHAnsi"/>
          <w:iCs/>
        </w:rPr>
        <w:t xml:space="preserve"> </w:t>
      </w:r>
      <w:r w:rsidR="00FA6F7F">
        <w:rPr>
          <w:rFonts w:eastAsiaTheme="minorHAnsi"/>
          <w:iCs/>
        </w:rPr>
        <w:t>помещения</w:t>
      </w:r>
      <w:r w:rsidR="007572F9">
        <w:rPr>
          <w:rFonts w:eastAsiaTheme="minorHAnsi"/>
          <w:iCs/>
        </w:rPr>
        <w:t xml:space="preserve"> (в случае прекращения действия договора в течение года). В результате </w:t>
      </w:r>
      <w:r w:rsidR="007366A2" w:rsidRPr="000162E8">
        <w:rPr>
          <w:rFonts w:eastAsiaTheme="minorHAnsi"/>
          <w:iCs/>
        </w:rPr>
        <w:t xml:space="preserve">при </w:t>
      </w:r>
      <w:r w:rsidR="00247783">
        <w:rPr>
          <w:rFonts w:eastAsiaTheme="minorHAnsi"/>
          <w:iCs/>
        </w:rPr>
        <w:t xml:space="preserve">расчете показателя площадь отдельных помещений в общем размере </w:t>
      </w:r>
      <w:r w:rsidR="00247783" w:rsidRPr="00CA7C6F">
        <w:rPr>
          <w:rFonts w:eastAsia="Times New Roman"/>
        </w:rPr>
        <w:t>473,9 кв.</w:t>
      </w:r>
      <w:r w:rsidR="00247783">
        <w:rPr>
          <w:rFonts w:eastAsia="Times New Roman"/>
        </w:rPr>
        <w:t xml:space="preserve"> </w:t>
      </w:r>
      <w:r w:rsidR="00247783" w:rsidRPr="00CA7C6F">
        <w:rPr>
          <w:rFonts w:eastAsia="Times New Roman"/>
        </w:rPr>
        <w:t>м</w:t>
      </w:r>
      <w:r w:rsidR="00247783">
        <w:rPr>
          <w:rFonts w:eastAsiaTheme="minorHAnsi"/>
          <w:iCs/>
        </w:rPr>
        <w:t xml:space="preserve"> учитывалась более одного раза. </w:t>
      </w:r>
      <w:r w:rsidR="007366A2" w:rsidRPr="00CA7C6F">
        <w:rPr>
          <w:rFonts w:eastAsia="Times New Roman"/>
        </w:rPr>
        <w:t xml:space="preserve">Без учета указанной площади фактическая площадь помещений, предоставленных в аренду, </w:t>
      </w:r>
      <w:r w:rsidR="007366A2" w:rsidRPr="00CA7C6F">
        <w:rPr>
          <w:rFonts w:eastAsiaTheme="minorHAnsi"/>
          <w:iCs/>
        </w:rPr>
        <w:t>составила</w:t>
      </w:r>
      <w:r w:rsidR="002E1A02">
        <w:rPr>
          <w:rFonts w:eastAsiaTheme="minorHAnsi"/>
          <w:iCs/>
        </w:rPr>
        <w:t xml:space="preserve"> </w:t>
      </w:r>
      <w:r w:rsidR="007366A2" w:rsidRPr="007E0544">
        <w:rPr>
          <w:rFonts w:eastAsiaTheme="minorHAnsi"/>
          <w:iCs/>
        </w:rPr>
        <w:t>1 292,1 кв</w:t>
      </w:r>
      <w:proofErr w:type="gramStart"/>
      <w:r w:rsidR="007366A2" w:rsidRPr="007E0544">
        <w:rPr>
          <w:rFonts w:eastAsiaTheme="minorHAnsi"/>
          <w:iCs/>
        </w:rPr>
        <w:t>.м</w:t>
      </w:r>
      <w:proofErr w:type="gramEnd"/>
      <w:r w:rsidR="007366A2" w:rsidRPr="007E0544">
        <w:rPr>
          <w:rFonts w:eastAsiaTheme="minorHAnsi"/>
          <w:iCs/>
        </w:rPr>
        <w:t>, или 77,3% от планового показателя.</w:t>
      </w:r>
      <w:r w:rsidR="00247783" w:rsidRPr="007E0544">
        <w:rPr>
          <w:rFonts w:eastAsiaTheme="minorHAnsi"/>
          <w:iCs/>
        </w:rPr>
        <w:t xml:space="preserve"> </w:t>
      </w:r>
    </w:p>
    <w:p w:rsidR="007366A2" w:rsidRPr="007E0544" w:rsidRDefault="007366A2" w:rsidP="00994485">
      <w:pPr>
        <w:ind w:firstLine="680"/>
        <w:jc w:val="both"/>
        <w:rPr>
          <w:rFonts w:eastAsia="Times New Roman"/>
        </w:rPr>
      </w:pPr>
      <w:r w:rsidRPr="007E0544">
        <w:rPr>
          <w:rFonts w:eastAsia="Times New Roman"/>
        </w:rPr>
        <w:t xml:space="preserve">Полагаем, что  такая ситуация сложилась по причине отсутствия порядка </w:t>
      </w:r>
      <w:r w:rsidR="00126B6A" w:rsidRPr="007E0544">
        <w:rPr>
          <w:rFonts w:eastAsia="Times New Roman"/>
        </w:rPr>
        <w:t xml:space="preserve">(формулы) </w:t>
      </w:r>
      <w:r w:rsidRPr="007E0544">
        <w:rPr>
          <w:rFonts w:eastAsia="Times New Roman"/>
        </w:rPr>
        <w:t xml:space="preserve">расчета </w:t>
      </w:r>
      <w:r w:rsidR="00DD11C2" w:rsidRPr="007E0544">
        <w:rPr>
          <w:rFonts w:eastAsia="Times New Roman"/>
        </w:rPr>
        <w:t xml:space="preserve">значения </w:t>
      </w:r>
      <w:r w:rsidRPr="007E0544">
        <w:rPr>
          <w:rFonts w:eastAsia="Times New Roman"/>
        </w:rPr>
        <w:t xml:space="preserve">показателя, что позволяет «творчески» подходить </w:t>
      </w:r>
      <w:r w:rsidR="00126B6A" w:rsidRPr="007E0544">
        <w:rPr>
          <w:rFonts w:eastAsia="Times New Roman"/>
        </w:rPr>
        <w:t>к расчету оценочного показателя и искусственно его завышать.</w:t>
      </w:r>
    </w:p>
    <w:p w:rsidR="007366A2" w:rsidRPr="007E0544" w:rsidRDefault="007366A2" w:rsidP="00994485">
      <w:pPr>
        <w:autoSpaceDE w:val="0"/>
        <w:autoSpaceDN w:val="0"/>
        <w:adjustRightInd w:val="0"/>
        <w:ind w:firstLine="680"/>
        <w:jc w:val="both"/>
      </w:pPr>
      <w:r w:rsidRPr="007E0544">
        <w:rPr>
          <w:rFonts w:eastAsiaTheme="minorHAnsi"/>
          <w:iCs/>
        </w:rPr>
        <w:t>В 1 квартале 2018 года фактическое исполнение установленного показателя составило 694,1 кв</w:t>
      </w:r>
      <w:proofErr w:type="gramStart"/>
      <w:r w:rsidRPr="007E0544">
        <w:rPr>
          <w:rFonts w:eastAsiaTheme="minorHAnsi"/>
          <w:iCs/>
        </w:rPr>
        <w:t>.м</w:t>
      </w:r>
      <w:proofErr w:type="gramEnd"/>
      <w:r w:rsidRPr="007E0544">
        <w:rPr>
          <w:rFonts w:eastAsiaTheme="minorHAnsi"/>
          <w:iCs/>
        </w:rPr>
        <w:t>, или 41,5 процента.</w:t>
      </w:r>
      <w:r w:rsidRPr="007E0544">
        <w:t xml:space="preserve"> На дату окончания проверки ГАУ Бизнес-инкубатор (31.05.2018) </w:t>
      </w:r>
      <w:r w:rsidR="00DD11C2" w:rsidRPr="007E0544">
        <w:t xml:space="preserve">были </w:t>
      </w:r>
      <w:r w:rsidRPr="007E0544">
        <w:t>свободн</w:t>
      </w:r>
      <w:r w:rsidR="00DD11C2" w:rsidRPr="007E0544">
        <w:t>ыми</w:t>
      </w:r>
      <w:r w:rsidRPr="007E0544">
        <w:t xml:space="preserve"> 44 помещения </w:t>
      </w:r>
      <w:r w:rsidR="00DD11C2" w:rsidRPr="007E0544">
        <w:t>п</w:t>
      </w:r>
      <w:r w:rsidRPr="007E0544">
        <w:t>лощадью 928,1 кв. м, или 55,8% от общей площади помещений, подлежащих сдаче в аренду.</w:t>
      </w:r>
    </w:p>
    <w:p w:rsidR="007366A2" w:rsidRPr="007E0544" w:rsidRDefault="007366A2" w:rsidP="00994485">
      <w:pPr>
        <w:autoSpaceDE w:val="0"/>
        <w:autoSpaceDN w:val="0"/>
        <w:adjustRightInd w:val="0"/>
        <w:ind w:firstLine="680"/>
        <w:jc w:val="both"/>
      </w:pPr>
      <w:proofErr w:type="gramStart"/>
      <w:r w:rsidRPr="007E0544">
        <w:t>Низкая</w:t>
      </w:r>
      <w:proofErr w:type="gramEnd"/>
      <w:r w:rsidRPr="007E0544">
        <w:t xml:space="preserve"> </w:t>
      </w:r>
      <w:proofErr w:type="spellStart"/>
      <w:r w:rsidRPr="007E0544">
        <w:t>заполняемость</w:t>
      </w:r>
      <w:proofErr w:type="spellEnd"/>
      <w:r w:rsidRPr="007E0544">
        <w:t xml:space="preserve"> помещений </w:t>
      </w:r>
      <w:proofErr w:type="spellStart"/>
      <w:r w:rsidRPr="007E0544">
        <w:t>бизнес-инкубатора</w:t>
      </w:r>
      <w:proofErr w:type="spellEnd"/>
      <w:r w:rsidRPr="007E0544">
        <w:t xml:space="preserve"> не только не способствует  решению задачи Подпрограммы по сокращению издержек СМСП на ведение предпринимательской деятельности, но и влечет следующие негативные последствия:</w:t>
      </w:r>
    </w:p>
    <w:p w:rsidR="007366A2" w:rsidRPr="007E0544" w:rsidRDefault="007366A2" w:rsidP="00994485">
      <w:pPr>
        <w:ind w:firstLine="680"/>
        <w:jc w:val="both"/>
      </w:pPr>
      <w:r w:rsidRPr="007E0544">
        <w:t xml:space="preserve">- неэффективное использование государственного имущества. Так, затраты на коммунальные расходы пустующих помещений за 2016 год - </w:t>
      </w:r>
      <w:r w:rsidRPr="007E0544">
        <w:rPr>
          <w:lang w:val="en-US"/>
        </w:rPr>
        <w:t>I</w:t>
      </w:r>
      <w:r w:rsidRPr="007E0544">
        <w:t xml:space="preserve">  квартал  2018 года</w:t>
      </w:r>
      <w:r w:rsidRPr="007E0544">
        <w:rPr>
          <w:i/>
        </w:rPr>
        <w:t xml:space="preserve"> </w:t>
      </w:r>
      <w:r w:rsidRPr="007E0544">
        <w:t>составили 21,1 тыс. руб.;</w:t>
      </w:r>
    </w:p>
    <w:p w:rsidR="007366A2" w:rsidRDefault="007366A2" w:rsidP="00994485">
      <w:pPr>
        <w:autoSpaceDE w:val="0"/>
        <w:autoSpaceDN w:val="0"/>
        <w:adjustRightInd w:val="0"/>
        <w:ind w:firstLine="680"/>
        <w:jc w:val="both"/>
      </w:pPr>
      <w:r w:rsidRPr="007E0544">
        <w:t xml:space="preserve">- </w:t>
      </w:r>
      <w:proofErr w:type="spellStart"/>
      <w:r w:rsidRPr="007E0544">
        <w:t>недополучение</w:t>
      </w:r>
      <w:proofErr w:type="spellEnd"/>
      <w:r w:rsidRPr="007E0544">
        <w:t xml:space="preserve"> доходов от деятельности, приносящей доход, что, в свою очередь, отрицательно сказывается на возможностях ГАУ Бизнес-инкубатор</w:t>
      </w:r>
      <w:r w:rsidRPr="00D354DE">
        <w:t xml:space="preserve"> по обеспечению своей уставной деятельности. Так, за 2016-2017 годы недополучено доходов от сдачи в аренду помещений и прочего имущества порядка 250,0 тыс. рублей. Сумма </w:t>
      </w:r>
      <w:r w:rsidRPr="00D354DE">
        <w:rPr>
          <w:bCs/>
        </w:rPr>
        <w:t xml:space="preserve">резерва доходов </w:t>
      </w:r>
      <w:r w:rsidRPr="00D354DE">
        <w:t>от сдачи в аренду свободных помещений на 2018 год составляет 286,8 тыс. руб. (из расчета свободной площ</w:t>
      </w:r>
      <w:r>
        <w:t>ади на дату окончания проверки).</w:t>
      </w:r>
    </w:p>
    <w:p w:rsidR="007366A2" w:rsidRPr="00561095" w:rsidRDefault="007366A2" w:rsidP="00994485">
      <w:pPr>
        <w:autoSpaceDE w:val="0"/>
        <w:autoSpaceDN w:val="0"/>
        <w:adjustRightInd w:val="0"/>
        <w:ind w:firstLine="680"/>
        <w:jc w:val="both"/>
      </w:pPr>
      <w:r w:rsidRPr="00561095">
        <w:t xml:space="preserve">На низкую эффективность использования госимущества КСП обращалось внимание и </w:t>
      </w:r>
    </w:p>
    <w:p w:rsidR="00CC2F9B" w:rsidRDefault="007366A2" w:rsidP="002A2730">
      <w:pPr>
        <w:pStyle w:val="21"/>
        <w:rPr>
          <w:rFonts w:eastAsiaTheme="minorHAnsi"/>
          <w:lang w:eastAsia="en-US"/>
        </w:rPr>
      </w:pPr>
      <w:r w:rsidRPr="00561095">
        <w:rPr>
          <w:szCs w:val="24"/>
        </w:rPr>
        <w:lastRenderedPageBreak/>
        <w:t xml:space="preserve">по результатам </w:t>
      </w:r>
      <w:r>
        <w:rPr>
          <w:szCs w:val="24"/>
        </w:rPr>
        <w:t>Проверк</w:t>
      </w:r>
      <w:r w:rsidR="00E525FC">
        <w:rPr>
          <w:szCs w:val="24"/>
        </w:rPr>
        <w:t>и</w:t>
      </w:r>
      <w:r>
        <w:rPr>
          <w:szCs w:val="24"/>
        </w:rPr>
        <w:t xml:space="preserve"> </w:t>
      </w:r>
      <w:r w:rsidR="00E525FC">
        <w:rPr>
          <w:szCs w:val="24"/>
        </w:rPr>
        <w:t>КСП за 2012-2014 годы</w:t>
      </w:r>
      <w:r>
        <w:rPr>
          <w:szCs w:val="24"/>
        </w:rPr>
        <w:t>.</w:t>
      </w:r>
      <w:r w:rsidR="002A2730">
        <w:rPr>
          <w:szCs w:val="24"/>
        </w:rPr>
        <w:t xml:space="preserve"> Т.е.,</w:t>
      </w:r>
      <w:r w:rsidR="00DD11C2">
        <w:rPr>
          <w:szCs w:val="24"/>
        </w:rPr>
        <w:t xml:space="preserve"> как в предыдущих годах, так и в проверяемый период, продолжается практика неэффективного использования</w:t>
      </w:r>
      <w:r w:rsidR="00A96A92">
        <w:rPr>
          <w:szCs w:val="24"/>
        </w:rPr>
        <w:t xml:space="preserve"> ГАУ Бизнес инкубатор </w:t>
      </w:r>
      <w:r w:rsidR="00DD11C2">
        <w:rPr>
          <w:szCs w:val="24"/>
        </w:rPr>
        <w:t>государственного имущества</w:t>
      </w:r>
      <w:r w:rsidR="00A96A92">
        <w:rPr>
          <w:szCs w:val="24"/>
        </w:rPr>
        <w:t xml:space="preserve">. При этом при наличии существенного количества </w:t>
      </w:r>
      <w:r w:rsidR="00DD11C2">
        <w:rPr>
          <w:szCs w:val="24"/>
        </w:rPr>
        <w:t xml:space="preserve">свободных помещений </w:t>
      </w:r>
      <w:r w:rsidR="00A9735E">
        <w:rPr>
          <w:szCs w:val="24"/>
        </w:rPr>
        <w:t xml:space="preserve">показатель объема </w:t>
      </w:r>
      <w:proofErr w:type="spellStart"/>
      <w:r w:rsidR="00A9735E">
        <w:rPr>
          <w:szCs w:val="24"/>
        </w:rPr>
        <w:t>госуслуги</w:t>
      </w:r>
      <w:proofErr w:type="spellEnd"/>
      <w:r w:rsidR="00A9735E">
        <w:rPr>
          <w:szCs w:val="24"/>
        </w:rPr>
        <w:t xml:space="preserve"> (площадь помещений, предоставленных СМСП) </w:t>
      </w:r>
      <w:r w:rsidR="00E525FC">
        <w:rPr>
          <w:szCs w:val="24"/>
        </w:rPr>
        <w:t xml:space="preserve">исполняется, т.е. </w:t>
      </w:r>
      <w:r w:rsidR="00E525FC" w:rsidRPr="00FA6F7F">
        <w:rPr>
          <w:szCs w:val="24"/>
        </w:rPr>
        <w:t>фактическое значение показателя не отражает реального положе</w:t>
      </w:r>
      <w:r w:rsidR="00CC2F9B" w:rsidRPr="00FA6F7F">
        <w:rPr>
          <w:szCs w:val="24"/>
        </w:rPr>
        <w:t>н</w:t>
      </w:r>
      <w:r w:rsidR="00E525FC" w:rsidRPr="00FA6F7F">
        <w:rPr>
          <w:szCs w:val="24"/>
        </w:rPr>
        <w:t>ия дел</w:t>
      </w:r>
      <w:r w:rsidR="00CC2F9B">
        <w:rPr>
          <w:szCs w:val="24"/>
        </w:rPr>
        <w:t xml:space="preserve"> и не характеризует  </w:t>
      </w:r>
      <w:r w:rsidR="00E525FC">
        <w:rPr>
          <w:rFonts w:eastAsiaTheme="minorHAnsi"/>
          <w:lang w:eastAsia="en-US"/>
        </w:rPr>
        <w:t xml:space="preserve">прогресс в </w:t>
      </w:r>
      <w:r w:rsidR="00CC2F9B">
        <w:rPr>
          <w:rFonts w:eastAsiaTheme="minorHAnsi"/>
          <w:lang w:eastAsia="en-US"/>
        </w:rPr>
        <w:t>достижении цели по созданию благоприятных условий</w:t>
      </w:r>
      <w:r w:rsidR="00982F22">
        <w:rPr>
          <w:rFonts w:eastAsiaTheme="minorHAnsi"/>
          <w:lang w:eastAsia="en-US"/>
        </w:rPr>
        <w:t xml:space="preserve"> для СМСП.</w:t>
      </w:r>
    </w:p>
    <w:p w:rsidR="00CF1C7B" w:rsidRPr="007E0544" w:rsidRDefault="007D6FDA" w:rsidP="00994485">
      <w:pPr>
        <w:ind w:firstLine="680"/>
        <w:jc w:val="both"/>
        <w:rPr>
          <w:rFonts w:eastAsia="Times New Roman"/>
        </w:rPr>
      </w:pPr>
      <w:r>
        <w:rPr>
          <w:rFonts w:eastAsia="Times New Roman"/>
        </w:rPr>
        <w:t>О</w:t>
      </w:r>
      <w:r w:rsidR="007366A2">
        <w:rPr>
          <w:rFonts w:eastAsia="Times New Roman"/>
        </w:rPr>
        <w:t xml:space="preserve">сновной </w:t>
      </w:r>
      <w:r w:rsidR="007366A2" w:rsidRPr="00D354DE">
        <w:rPr>
          <w:rFonts w:eastAsia="Times New Roman"/>
        </w:rPr>
        <w:t>причин</w:t>
      </w:r>
      <w:r w:rsidR="007366A2">
        <w:rPr>
          <w:rFonts w:eastAsia="Times New Roman"/>
        </w:rPr>
        <w:t>ой</w:t>
      </w:r>
      <w:r w:rsidR="007366A2" w:rsidRPr="00D354DE">
        <w:rPr>
          <w:rFonts w:eastAsia="Times New Roman"/>
        </w:rPr>
        <w:t xml:space="preserve"> неэффективного использования государственного имущества является тот факт, что </w:t>
      </w:r>
      <w:r w:rsidR="007366A2" w:rsidRPr="007E0544">
        <w:rPr>
          <w:rFonts w:eastAsia="Times New Roman"/>
        </w:rPr>
        <w:t>помещения здания ГАУ Бизнес-инкубатор не пользуются спросом</w:t>
      </w:r>
      <w:r w:rsidR="00CF1C7B" w:rsidRPr="007E0544">
        <w:rPr>
          <w:rFonts w:eastAsia="Times New Roman"/>
        </w:rPr>
        <w:t>.</w:t>
      </w:r>
      <w:r w:rsidR="00CF1C7B" w:rsidRPr="007E0544">
        <w:t xml:space="preserve"> Анализ потребности СМСП в помещениях </w:t>
      </w:r>
      <w:proofErr w:type="spellStart"/>
      <w:proofErr w:type="gramStart"/>
      <w:r w:rsidR="00CF1C7B" w:rsidRPr="007E0544">
        <w:t>бизнес-инкубатора</w:t>
      </w:r>
      <w:proofErr w:type="spellEnd"/>
      <w:proofErr w:type="gramEnd"/>
      <w:r w:rsidR="00CF1C7B" w:rsidRPr="007E0544">
        <w:t xml:space="preserve"> в ходе проведения конкурсного отбора показал, что</w:t>
      </w:r>
      <w:r w:rsidR="00CF1C7B" w:rsidRPr="007E0544">
        <w:rPr>
          <w:rFonts w:eastAsia="Times New Roman"/>
        </w:rPr>
        <w:t xml:space="preserve"> в течение 2017 года было проведено 7 открытых конкурсов</w:t>
      </w:r>
      <w:r w:rsidR="00CF1C7B" w:rsidRPr="009C020B">
        <w:rPr>
          <w:rFonts w:eastAsia="Times New Roman"/>
        </w:rPr>
        <w:t xml:space="preserve"> на право заключения договоров аренды государственного имущества</w:t>
      </w:r>
      <w:r w:rsidR="00CF1C7B">
        <w:rPr>
          <w:rFonts w:eastAsia="Times New Roman"/>
        </w:rPr>
        <w:t>.</w:t>
      </w:r>
      <w:r w:rsidR="00CF1C7B" w:rsidRPr="009C020B">
        <w:rPr>
          <w:rFonts w:eastAsia="Times New Roman"/>
        </w:rPr>
        <w:t xml:space="preserve"> На конкурс в</w:t>
      </w:r>
      <w:r w:rsidR="00CF1C7B">
        <w:rPr>
          <w:rFonts w:eastAsia="Times New Roman"/>
        </w:rPr>
        <w:t xml:space="preserve">ыставлялись помещения </w:t>
      </w:r>
      <w:r w:rsidR="00CF1C7B" w:rsidRPr="009C020B">
        <w:rPr>
          <w:rFonts w:eastAsia="Times New Roman"/>
        </w:rPr>
        <w:t xml:space="preserve">площадью </w:t>
      </w:r>
      <w:r w:rsidR="00CF1C7B">
        <w:rPr>
          <w:rFonts w:eastAsia="Times New Roman"/>
        </w:rPr>
        <w:t xml:space="preserve">в среднем </w:t>
      </w:r>
      <w:r w:rsidR="00CF1C7B" w:rsidRPr="009C020B">
        <w:rPr>
          <w:rFonts w:eastAsia="Times New Roman"/>
        </w:rPr>
        <w:t>715,8 кв. м в среднем по 29 лотам</w:t>
      </w:r>
      <w:r w:rsidR="00CF1C7B" w:rsidRPr="00CF1C7B">
        <w:rPr>
          <w:rFonts w:eastAsia="Times New Roman"/>
          <w:sz w:val="20"/>
          <w:szCs w:val="20"/>
        </w:rPr>
        <w:t xml:space="preserve"> </w:t>
      </w:r>
      <w:r w:rsidR="00CF1C7B" w:rsidRPr="00CF1C7B">
        <w:rPr>
          <w:rFonts w:eastAsia="Times New Roman"/>
        </w:rPr>
        <w:t>(на 1 лот приходится одно отдельное помещение или помещение со смежными комнатами)</w:t>
      </w:r>
      <w:r w:rsidR="00C14543">
        <w:rPr>
          <w:rFonts w:eastAsia="Times New Roman"/>
        </w:rPr>
        <w:t xml:space="preserve">, </w:t>
      </w:r>
      <w:r w:rsidR="00CF1C7B">
        <w:rPr>
          <w:rFonts w:eastAsia="Times New Roman"/>
        </w:rPr>
        <w:t>на которые в</w:t>
      </w:r>
      <w:r w:rsidR="00CF1C7B" w:rsidRPr="009C020B">
        <w:rPr>
          <w:rFonts w:eastAsia="Times New Roman"/>
        </w:rPr>
        <w:t xml:space="preserve"> среднем поступило 2,4 заявки. По итогам года было заключено 17 договоров </w:t>
      </w:r>
      <w:r w:rsidR="00CF1C7B" w:rsidRPr="007E0544">
        <w:rPr>
          <w:rFonts w:eastAsia="Times New Roman"/>
        </w:rPr>
        <w:t>аренды. Доля площади по заключенным договорам аренды от общей площади, выставляемой на конкурс, в среднем составила 23 процента.</w:t>
      </w:r>
    </w:p>
    <w:p w:rsidR="007366A2" w:rsidRDefault="006B1124" w:rsidP="009D4847">
      <w:pPr>
        <w:tabs>
          <w:tab w:val="left" w:pos="8931"/>
        </w:tabs>
        <w:ind w:firstLine="680"/>
        <w:jc w:val="both"/>
      </w:pPr>
      <w:r w:rsidRPr="007E0544">
        <w:rPr>
          <w:rFonts w:eastAsia="Times New Roman"/>
        </w:rPr>
        <w:t xml:space="preserve">Полагаем, что </w:t>
      </w:r>
      <w:r w:rsidR="002E1A02">
        <w:rPr>
          <w:rFonts w:eastAsia="Times New Roman"/>
        </w:rPr>
        <w:t>причинами</w:t>
      </w:r>
      <w:r w:rsidR="007D6FDA" w:rsidRPr="007E0544">
        <w:rPr>
          <w:rFonts w:eastAsia="Times New Roman"/>
        </w:rPr>
        <w:t>, вл</w:t>
      </w:r>
      <w:r w:rsidR="00D809C3" w:rsidRPr="007E0544">
        <w:rPr>
          <w:rFonts w:eastAsia="Times New Roman"/>
        </w:rPr>
        <w:t>ияющими на снижение спроса на п</w:t>
      </w:r>
      <w:r w:rsidR="007D6FDA" w:rsidRPr="007E0544">
        <w:rPr>
          <w:rFonts w:eastAsia="Times New Roman"/>
        </w:rPr>
        <w:t>омещения, явля</w:t>
      </w:r>
      <w:r w:rsidR="00E33988">
        <w:rPr>
          <w:rFonts w:eastAsia="Times New Roman"/>
        </w:rPr>
        <w:t>ю</w:t>
      </w:r>
      <w:r w:rsidR="007D6FDA" w:rsidRPr="007E0544">
        <w:rPr>
          <w:rFonts w:eastAsia="Times New Roman"/>
        </w:rPr>
        <w:t xml:space="preserve">тся </w:t>
      </w:r>
      <w:r w:rsidR="007366A2" w:rsidRPr="007E0544">
        <w:rPr>
          <w:rFonts w:eastAsia="Times New Roman"/>
        </w:rPr>
        <w:t xml:space="preserve"> ограничени</w:t>
      </w:r>
      <w:r w:rsidRPr="007E0544">
        <w:rPr>
          <w:rFonts w:eastAsia="Times New Roman"/>
        </w:rPr>
        <w:t>е</w:t>
      </w:r>
      <w:r w:rsidR="007366A2" w:rsidRPr="007E0544">
        <w:rPr>
          <w:rFonts w:eastAsia="Times New Roman"/>
        </w:rPr>
        <w:t xml:space="preserve"> видов экономической деятельности СМСП</w:t>
      </w:r>
      <w:r w:rsidR="00D809C3" w:rsidRPr="007E0544">
        <w:rPr>
          <w:rFonts w:eastAsia="Times New Roman"/>
        </w:rPr>
        <w:t>, претендующих на предоставление имущественной поддержки</w:t>
      </w:r>
      <w:r w:rsidR="007366A2" w:rsidRPr="007E0544">
        <w:rPr>
          <w:rFonts w:eastAsia="Times New Roman"/>
        </w:rPr>
        <w:t xml:space="preserve"> (например, СМСП не должен осуществлять  розничную или оптовую торговлю; строительство, включая ремонтно-строительные работы; бытовые услуги; автотранспортные услуги по перевозке пассажиров и грузов и др.), а также </w:t>
      </w:r>
      <w:r w:rsidR="002D56F7">
        <w:rPr>
          <w:rFonts w:eastAsia="Times New Roman"/>
        </w:rPr>
        <w:t>место</w:t>
      </w:r>
      <w:r w:rsidR="007366A2" w:rsidRPr="007E0544">
        <w:rPr>
          <w:rFonts w:eastAsia="Times New Roman"/>
        </w:rPr>
        <w:t>нахождени</w:t>
      </w:r>
      <w:r w:rsidRPr="007E0544">
        <w:rPr>
          <w:rFonts w:eastAsia="Times New Roman"/>
        </w:rPr>
        <w:t>е</w:t>
      </w:r>
      <w:r w:rsidR="007366A2" w:rsidRPr="007E0544">
        <w:rPr>
          <w:rFonts w:eastAsia="Times New Roman"/>
        </w:rPr>
        <w:t xml:space="preserve">  ГАУ </w:t>
      </w:r>
      <w:r w:rsidR="007366A2" w:rsidRPr="007E0544">
        <w:t xml:space="preserve">Бизнес-инкубатор </w:t>
      </w:r>
      <w:r w:rsidR="002E1A02">
        <w:t>в</w:t>
      </w:r>
      <w:r w:rsidRPr="007E0544">
        <w:t xml:space="preserve"> </w:t>
      </w:r>
      <w:r w:rsidR="007366A2" w:rsidRPr="007E0544">
        <w:t xml:space="preserve">промышленной зоне </w:t>
      </w:r>
      <w:proofErr w:type="gramStart"/>
      <w:r w:rsidR="007366A2" w:rsidRPr="007E0544">
        <w:t>г</w:t>
      </w:r>
      <w:proofErr w:type="gramEnd"/>
      <w:r w:rsidR="007366A2" w:rsidRPr="007E0544">
        <w:t>. Волжский (его резидентами в основном</w:t>
      </w:r>
      <w:r w:rsidR="007366A2" w:rsidRPr="00D354DE">
        <w:t xml:space="preserve"> являются СМСП г. Волжск</w:t>
      </w:r>
      <w:r w:rsidR="007366A2">
        <w:t>ий)</w:t>
      </w:r>
      <w:r w:rsidR="007366A2" w:rsidRPr="00D354DE">
        <w:t xml:space="preserve">. </w:t>
      </w:r>
    </w:p>
    <w:p w:rsidR="00385D92" w:rsidRPr="00FE0384" w:rsidRDefault="00DD50BA" w:rsidP="00284225">
      <w:pPr>
        <w:ind w:firstLine="680"/>
        <w:jc w:val="both"/>
      </w:pPr>
      <w:r w:rsidRPr="00FE0384">
        <w:t>П</w:t>
      </w:r>
      <w:r w:rsidR="00EA126C" w:rsidRPr="00FE0384">
        <w:t xml:space="preserve">о результатам Проверки КСП за 2012-2014 годы  </w:t>
      </w:r>
      <w:r w:rsidR="00D809C3" w:rsidRPr="00FE0384">
        <w:t>было рекомендовано Администрации Волгоградской области рассмотреть вопрос целесообразности</w:t>
      </w:r>
      <w:r w:rsidR="00284225" w:rsidRPr="00FE0384">
        <w:t xml:space="preserve"> смены </w:t>
      </w:r>
      <w:r w:rsidR="00284225" w:rsidRPr="00CB37F7">
        <w:t xml:space="preserve">местонахождения </w:t>
      </w:r>
      <w:proofErr w:type="spellStart"/>
      <w:proofErr w:type="gramStart"/>
      <w:r w:rsidR="00284225" w:rsidRPr="00CB37F7">
        <w:t>бизнес-инкубатора</w:t>
      </w:r>
      <w:proofErr w:type="spellEnd"/>
      <w:proofErr w:type="gramEnd"/>
      <w:r w:rsidR="00284225" w:rsidRPr="00CB37F7">
        <w:t xml:space="preserve"> и (или)</w:t>
      </w:r>
      <w:r w:rsidR="00D809C3" w:rsidRPr="00CB37F7">
        <w:t xml:space="preserve"> </w:t>
      </w:r>
      <w:r w:rsidR="002E1A02" w:rsidRPr="00CB37F7">
        <w:t>его</w:t>
      </w:r>
      <w:r w:rsidR="00284225" w:rsidRPr="00CB37F7">
        <w:t xml:space="preserve"> </w:t>
      </w:r>
      <w:r w:rsidR="00D809C3" w:rsidRPr="00CB37F7">
        <w:t>создания в г. Волгоград</w:t>
      </w:r>
      <w:r w:rsidR="002E1A02" w:rsidRPr="00CB37F7">
        <w:t>е</w:t>
      </w:r>
      <w:r w:rsidR="00D809C3" w:rsidRPr="00CB37F7">
        <w:t>.</w:t>
      </w:r>
      <w:r w:rsidR="00D809C3" w:rsidRPr="00FE0384">
        <w:t xml:space="preserve"> </w:t>
      </w:r>
    </w:p>
    <w:p w:rsidR="00987DF0" w:rsidRPr="00FE0384" w:rsidRDefault="00987DF0" w:rsidP="00987DF0">
      <w:pPr>
        <w:ind w:firstLine="680"/>
        <w:jc w:val="both"/>
      </w:pPr>
      <w:proofErr w:type="spellStart"/>
      <w:r w:rsidRPr="00FE0384">
        <w:t>Облкомэкономразвития</w:t>
      </w:r>
      <w:proofErr w:type="spellEnd"/>
      <w:r w:rsidRPr="00FE0384">
        <w:t xml:space="preserve"> совместно с </w:t>
      </w:r>
      <w:proofErr w:type="spellStart"/>
      <w:r w:rsidRPr="00FE0384">
        <w:t>Облкомимуществом</w:t>
      </w:r>
      <w:proofErr w:type="spellEnd"/>
      <w:r w:rsidRPr="00FE0384">
        <w:t xml:space="preserve"> более 2-х лет  проводилась работа по поиску зданий, относящихся как к государственному имуществу, так и муниципальному имуществу в черте г</w:t>
      </w:r>
      <w:proofErr w:type="gramStart"/>
      <w:r w:rsidRPr="00FE0384">
        <w:t>.В</w:t>
      </w:r>
      <w:proofErr w:type="gramEnd"/>
      <w:r w:rsidRPr="00FE0384">
        <w:t xml:space="preserve">олгограда. Однако в результате недостаточно оперативной работы </w:t>
      </w:r>
      <w:r w:rsidR="00C85790">
        <w:t xml:space="preserve">органов исполнительной власти </w:t>
      </w:r>
      <w:r w:rsidRPr="00FE0384">
        <w:t xml:space="preserve">до настоящего времени  бизнес-инкубатор в </w:t>
      </w:r>
      <w:proofErr w:type="gramStart"/>
      <w:r w:rsidRPr="00FE0384">
        <w:t>г</w:t>
      </w:r>
      <w:proofErr w:type="gramEnd"/>
      <w:r w:rsidRPr="00FE0384">
        <w:t xml:space="preserve">. Волгограде не создан. </w:t>
      </w:r>
    </w:p>
    <w:p w:rsidR="00DD50BA" w:rsidRDefault="005D3A6F" w:rsidP="00DD50BA">
      <w:pPr>
        <w:ind w:firstLine="680"/>
        <w:jc w:val="both"/>
      </w:pPr>
      <w:r w:rsidRPr="00FE0384">
        <w:t>В</w:t>
      </w:r>
      <w:r w:rsidR="00987DF0" w:rsidRPr="00FE0384">
        <w:t xml:space="preserve"> 2017 году планировалось создание </w:t>
      </w:r>
      <w:proofErr w:type="spellStart"/>
      <w:r w:rsidR="00987DF0" w:rsidRPr="00FE0384">
        <w:t>бизнес-инкубатора</w:t>
      </w:r>
      <w:proofErr w:type="spellEnd"/>
      <w:r w:rsidR="00987DF0" w:rsidRPr="00FE0384">
        <w:t xml:space="preserve"> за счет средств федерального бюджета, в </w:t>
      </w:r>
      <w:proofErr w:type="gramStart"/>
      <w:r w:rsidR="00987DF0" w:rsidRPr="00FE0384">
        <w:t>связи</w:t>
      </w:r>
      <w:proofErr w:type="gramEnd"/>
      <w:r w:rsidR="00987DF0" w:rsidRPr="00FE0384">
        <w:t xml:space="preserve"> с чем в Г</w:t>
      </w:r>
      <w:r w:rsidR="00DD50BA" w:rsidRPr="00FE0384">
        <w:t>оспрограмм</w:t>
      </w:r>
      <w:r w:rsidR="00987DF0" w:rsidRPr="00FE0384">
        <w:t>у</w:t>
      </w:r>
      <w:r w:rsidR="00DD50BA" w:rsidRPr="00FE0384">
        <w:t xml:space="preserve"> № 14-п был</w:t>
      </w:r>
      <w:r w:rsidR="00987DF0" w:rsidRPr="00FE0384">
        <w:t>о включено мероприятие</w:t>
      </w:r>
      <w:r w:rsidR="00DD50BA" w:rsidRPr="00FE0384">
        <w:t xml:space="preserve"> «Создание и (или) развитие инфраструктуры поддержки </w:t>
      </w:r>
      <w:r w:rsidR="00987DF0" w:rsidRPr="00FE0384">
        <w:t>СМСП</w:t>
      </w:r>
      <w:r w:rsidR="00DD50BA" w:rsidRPr="00FE0384">
        <w:t xml:space="preserve">, оказывающих имущественную поддержку, – </w:t>
      </w:r>
      <w:proofErr w:type="spellStart"/>
      <w:r w:rsidR="00DD50BA" w:rsidRPr="00FE0384">
        <w:t>бизнес-инкубаторов</w:t>
      </w:r>
      <w:proofErr w:type="spellEnd"/>
      <w:r w:rsidR="00DD50BA" w:rsidRPr="00FE0384">
        <w:t>». Однако в  январе 2018 года это мероприятие исключено и</w:t>
      </w:r>
      <w:r w:rsidR="00987DF0" w:rsidRPr="00FE0384">
        <w:t>з</w:t>
      </w:r>
      <w:r w:rsidR="00FE0384" w:rsidRPr="00FE0384">
        <w:t xml:space="preserve"> Госпрограммы № </w:t>
      </w:r>
      <w:r w:rsidR="00DD50BA" w:rsidRPr="00FE0384">
        <w:t>14-п</w:t>
      </w:r>
      <w:r w:rsidR="00987DF0" w:rsidRPr="00FE0384">
        <w:t>, так как п</w:t>
      </w:r>
      <w:r w:rsidR="00DD50BA" w:rsidRPr="00FE0384">
        <w:rPr>
          <w:rFonts w:eastAsia="Times New Roman"/>
          <w:bCs/>
          <w:color w:val="000000"/>
        </w:rPr>
        <w:t xml:space="preserve">о пояснению </w:t>
      </w:r>
      <w:proofErr w:type="spellStart"/>
      <w:r w:rsidR="00DD50BA" w:rsidRPr="00FE0384">
        <w:t>Облкомэкономразвития</w:t>
      </w:r>
      <w:proofErr w:type="spellEnd"/>
      <w:r w:rsidR="00DD50BA" w:rsidRPr="00FE0384">
        <w:t xml:space="preserve">  </w:t>
      </w:r>
      <w:r w:rsidR="00987DF0" w:rsidRPr="00FE0384">
        <w:t xml:space="preserve">Волгоградская область в 2017 году не участвовала </w:t>
      </w:r>
      <w:r w:rsidR="00DD50BA" w:rsidRPr="00FE0384">
        <w:t>в конкурсном отборе Минэкономразвития</w:t>
      </w:r>
      <w:r w:rsidR="00987DF0" w:rsidRPr="00FE0384">
        <w:t xml:space="preserve"> РФ в связи с тем, что </w:t>
      </w:r>
      <w:r w:rsidR="00DD50BA" w:rsidRPr="00FE0384">
        <w:t xml:space="preserve">Минэкономразвития РФ предлагалось финансировать мероприятия по развитию уже созданных </w:t>
      </w:r>
      <w:proofErr w:type="spellStart"/>
      <w:proofErr w:type="gramStart"/>
      <w:r w:rsidR="00DD50BA" w:rsidRPr="00FE0384">
        <w:t>бизнес-инкубаторов</w:t>
      </w:r>
      <w:proofErr w:type="spellEnd"/>
      <w:proofErr w:type="gramEnd"/>
      <w:r w:rsidR="00DD50BA" w:rsidRPr="00FE0384">
        <w:t>.</w:t>
      </w:r>
      <w:r w:rsidR="00DD50BA" w:rsidRPr="0048628A">
        <w:t xml:space="preserve"> </w:t>
      </w:r>
    </w:p>
    <w:p w:rsidR="00310D86" w:rsidRDefault="00310D86" w:rsidP="007366A2">
      <w:pPr>
        <w:ind w:firstLine="680"/>
        <w:jc w:val="both"/>
        <w:rPr>
          <w:rFonts w:eastAsiaTheme="minorHAnsi"/>
        </w:rPr>
      </w:pPr>
    </w:p>
    <w:p w:rsidR="007366A2" w:rsidRDefault="007366A2" w:rsidP="007366A2">
      <w:pPr>
        <w:ind w:firstLine="680"/>
        <w:jc w:val="both"/>
        <w:rPr>
          <w:bCs/>
        </w:rPr>
      </w:pPr>
      <w:proofErr w:type="gramStart"/>
      <w:r w:rsidRPr="009C020B">
        <w:rPr>
          <w:rFonts w:eastAsiaTheme="minorHAnsi"/>
        </w:rPr>
        <w:t xml:space="preserve">В ходе проверки (23.05.2018) </w:t>
      </w:r>
      <w:r>
        <w:rPr>
          <w:rFonts w:eastAsiaTheme="minorHAnsi"/>
        </w:rPr>
        <w:t xml:space="preserve">совместно с представителем прокуратуры </w:t>
      </w:r>
      <w:r w:rsidRPr="00A02BB4">
        <w:rPr>
          <w:bCs/>
        </w:rPr>
        <w:t>г. Волжск</w:t>
      </w:r>
      <w:r>
        <w:rPr>
          <w:bCs/>
        </w:rPr>
        <w:t>ий</w:t>
      </w:r>
      <w:r w:rsidRPr="00A02BB4">
        <w:rPr>
          <w:bCs/>
        </w:rPr>
        <w:t xml:space="preserve"> </w:t>
      </w:r>
      <w:r w:rsidRPr="00AF1813">
        <w:rPr>
          <w:rFonts w:eastAsiaTheme="minorHAnsi"/>
        </w:rPr>
        <w:t xml:space="preserve">было проведено обследование помещений, расположенных в здании ГАУ Бизнес-инкубатор, на предмет их </w:t>
      </w:r>
      <w:proofErr w:type="spellStart"/>
      <w:r w:rsidRPr="00AF1813">
        <w:rPr>
          <w:rFonts w:eastAsiaTheme="minorHAnsi"/>
        </w:rPr>
        <w:t>заполняемости</w:t>
      </w:r>
      <w:proofErr w:type="spellEnd"/>
      <w:r w:rsidRPr="00AF1813">
        <w:rPr>
          <w:rFonts w:eastAsiaTheme="minorHAnsi"/>
        </w:rPr>
        <w:t xml:space="preserve"> и наличия свободных, в ходе которого было выявлено, что в</w:t>
      </w:r>
      <w:r w:rsidRPr="00AF1813">
        <w:rPr>
          <w:bCs/>
        </w:rPr>
        <w:t xml:space="preserve"> одном помещении (1 этаж, помещение 33) находилось имущество ГАУ Бизнес-инкубатор, переданное в аренду ООО «Мастер», а также имущество и документы ООО «Мастер», срок действия заключенного договора аренды</w:t>
      </w:r>
      <w:proofErr w:type="gramEnd"/>
      <w:r w:rsidRPr="00AF1813">
        <w:rPr>
          <w:bCs/>
        </w:rPr>
        <w:t xml:space="preserve"> от 26.01.2017 с которым истек 25.12.2017. Согласно</w:t>
      </w:r>
      <w:r w:rsidRPr="009C020B">
        <w:rPr>
          <w:bCs/>
        </w:rPr>
        <w:t xml:space="preserve"> объяснению директор</w:t>
      </w:r>
      <w:proofErr w:type="gramStart"/>
      <w:r w:rsidRPr="009C020B">
        <w:rPr>
          <w:bCs/>
        </w:rPr>
        <w:t>а ООО</w:t>
      </w:r>
      <w:proofErr w:type="gramEnd"/>
      <w:r w:rsidRPr="009C020B">
        <w:rPr>
          <w:bCs/>
        </w:rPr>
        <w:t xml:space="preserve"> «Мастер» им был</w:t>
      </w:r>
      <w:r>
        <w:rPr>
          <w:bCs/>
        </w:rPr>
        <w:t>и</w:t>
      </w:r>
      <w:r w:rsidRPr="009C020B">
        <w:rPr>
          <w:bCs/>
        </w:rPr>
        <w:t xml:space="preserve"> </w:t>
      </w:r>
      <w:r>
        <w:rPr>
          <w:bCs/>
        </w:rPr>
        <w:t xml:space="preserve">временно оставлены </w:t>
      </w:r>
      <w:r w:rsidRPr="009C020B">
        <w:rPr>
          <w:bCs/>
        </w:rPr>
        <w:t>в названном помещении документы и оргтехник</w:t>
      </w:r>
      <w:r>
        <w:rPr>
          <w:bCs/>
        </w:rPr>
        <w:t xml:space="preserve">а, и </w:t>
      </w:r>
      <w:r w:rsidRPr="009C020B">
        <w:rPr>
          <w:bCs/>
        </w:rPr>
        <w:t>он периодически приходил в кабинет, чтобы воспользоваться электронной почтой на компьютере ГАУ Бизнес-инкубатор.</w:t>
      </w:r>
    </w:p>
    <w:p w:rsidR="00D938D6" w:rsidRDefault="00D938D6" w:rsidP="00D938D6">
      <w:pPr>
        <w:ind w:firstLine="680"/>
        <w:jc w:val="both"/>
        <w:rPr>
          <w:bCs/>
        </w:rPr>
      </w:pPr>
      <w:r w:rsidRPr="006F6ED3">
        <w:rPr>
          <w:bCs/>
        </w:rPr>
        <w:t xml:space="preserve">По результатам проведенного обследования прокуратурой </w:t>
      </w:r>
      <w:proofErr w:type="gramStart"/>
      <w:r w:rsidRPr="006F6ED3">
        <w:rPr>
          <w:bCs/>
        </w:rPr>
        <w:t>г</w:t>
      </w:r>
      <w:proofErr w:type="gramEnd"/>
      <w:r w:rsidRPr="006F6ED3">
        <w:rPr>
          <w:bCs/>
        </w:rPr>
        <w:t xml:space="preserve">. Волжского было направлено письмо в </w:t>
      </w:r>
      <w:proofErr w:type="spellStart"/>
      <w:r w:rsidRPr="006F6ED3">
        <w:rPr>
          <w:bCs/>
        </w:rPr>
        <w:t>Облкомимущество</w:t>
      </w:r>
      <w:proofErr w:type="spellEnd"/>
      <w:r w:rsidRPr="006F6ED3">
        <w:rPr>
          <w:bCs/>
        </w:rPr>
        <w:t xml:space="preserve"> для решения вопроса о возбуждении в отношении </w:t>
      </w:r>
      <w:r w:rsidRPr="006F6ED3">
        <w:rPr>
          <w:bCs/>
        </w:rPr>
        <w:lastRenderedPageBreak/>
        <w:t xml:space="preserve">виновных лиц административных дел. </w:t>
      </w:r>
      <w:proofErr w:type="spellStart"/>
      <w:r w:rsidRPr="006F6ED3">
        <w:rPr>
          <w:bCs/>
        </w:rPr>
        <w:t>Облкомимуществом</w:t>
      </w:r>
      <w:proofErr w:type="spellEnd"/>
      <w:r w:rsidRPr="006F6ED3">
        <w:rPr>
          <w:bCs/>
        </w:rPr>
        <w:t xml:space="preserve"> составлены протоколы об административном правонарушении, предусмотренном ст. 5.3 Кодекса Волгоградской области об административной ответственности, кото</w:t>
      </w:r>
      <w:r w:rsidRPr="00611BE8">
        <w:rPr>
          <w:bCs/>
        </w:rPr>
        <w:t>рые 29.06.2018 направлены в административную комиссию Волгоградской области.</w:t>
      </w:r>
    </w:p>
    <w:p w:rsidR="007366A2" w:rsidRDefault="007366A2" w:rsidP="007366A2">
      <w:pPr>
        <w:ind w:firstLine="680"/>
        <w:jc w:val="both"/>
        <w:rPr>
          <w:bCs/>
        </w:rPr>
      </w:pPr>
      <w:r w:rsidRPr="009C020B">
        <w:rPr>
          <w:bCs/>
        </w:rPr>
        <w:t xml:space="preserve">С </w:t>
      </w:r>
      <w:r>
        <w:rPr>
          <w:bCs/>
        </w:rPr>
        <w:t xml:space="preserve">учетом того, что помещение ГАУ </w:t>
      </w:r>
      <w:r w:rsidRPr="009C020B">
        <w:rPr>
          <w:bCs/>
        </w:rPr>
        <w:t xml:space="preserve">Бизнес-инкубатор посещало лицо, не являющееся резидентом </w:t>
      </w:r>
      <w:proofErr w:type="spellStart"/>
      <w:proofErr w:type="gramStart"/>
      <w:r>
        <w:rPr>
          <w:bCs/>
        </w:rPr>
        <w:t>бизнес-инкубатора</w:t>
      </w:r>
      <w:proofErr w:type="spellEnd"/>
      <w:proofErr w:type="gramEnd"/>
      <w:r w:rsidRPr="009C020B">
        <w:rPr>
          <w:bCs/>
        </w:rPr>
        <w:t>, а также пользовалось его движим</w:t>
      </w:r>
      <w:r>
        <w:rPr>
          <w:bCs/>
        </w:rPr>
        <w:t xml:space="preserve">ым имуществом, ГАУ </w:t>
      </w:r>
      <w:r w:rsidRPr="009C020B">
        <w:rPr>
          <w:bCs/>
        </w:rPr>
        <w:t>Бизнес-инкубатор не был</w:t>
      </w:r>
      <w:r>
        <w:rPr>
          <w:bCs/>
        </w:rPr>
        <w:t>а</w:t>
      </w:r>
      <w:r w:rsidRPr="009C020B">
        <w:rPr>
          <w:bCs/>
        </w:rPr>
        <w:t xml:space="preserve"> обеспечена сохранность, эффективность  и целевое использование имущества, закрепленного за ним, чем</w:t>
      </w:r>
      <w:r>
        <w:rPr>
          <w:bCs/>
        </w:rPr>
        <w:t xml:space="preserve"> не соблюден п. 4.2 Устава ГАУ Бизнес-инкубатор</w:t>
      </w:r>
      <w:r w:rsidRPr="009C020B">
        <w:rPr>
          <w:bCs/>
        </w:rPr>
        <w:t>.</w:t>
      </w:r>
    </w:p>
    <w:p w:rsidR="007366A2" w:rsidRPr="007E0544" w:rsidRDefault="007366A2" w:rsidP="007366A2">
      <w:pPr>
        <w:ind w:firstLine="680"/>
        <w:jc w:val="both"/>
        <w:rPr>
          <w:rFonts w:eastAsiaTheme="minorHAnsi"/>
        </w:rPr>
      </w:pPr>
      <w:r w:rsidRPr="00E23448">
        <w:rPr>
          <w:rFonts w:eastAsia="Times New Roman"/>
        </w:rPr>
        <w:t>Также п</w:t>
      </w:r>
      <w:r w:rsidRPr="00E23448">
        <w:rPr>
          <w:rFonts w:eastAsiaTheme="minorHAnsi"/>
        </w:rPr>
        <w:t xml:space="preserve">роверкой </w:t>
      </w:r>
      <w:r w:rsidRPr="007E0544">
        <w:rPr>
          <w:rFonts w:eastAsiaTheme="minorHAnsi"/>
        </w:rPr>
        <w:t>установлены следующие недостатки в работе ГАУ Бизнес-инкубатор, влияющие на недопоступление доходов от приносящей доход деятельности:</w:t>
      </w:r>
    </w:p>
    <w:p w:rsidR="007366A2" w:rsidRPr="006F6ED3" w:rsidRDefault="007366A2" w:rsidP="007366A2">
      <w:pPr>
        <w:pStyle w:val="ConsPlusNormal"/>
        <w:ind w:firstLine="680"/>
        <w:jc w:val="both"/>
        <w:rPr>
          <w:rFonts w:ascii="Times New Roman" w:eastAsiaTheme="minorHAnsi" w:hAnsi="Times New Roman" w:cs="Times New Roman"/>
          <w:sz w:val="24"/>
          <w:szCs w:val="24"/>
          <w:lang w:eastAsia="en-US"/>
        </w:rPr>
      </w:pPr>
      <w:proofErr w:type="gramStart"/>
      <w:r w:rsidRPr="006F6ED3">
        <w:rPr>
          <w:rFonts w:ascii="Times New Roman" w:hAnsi="Times New Roman" w:cs="Times New Roman"/>
          <w:color w:val="000000"/>
          <w:sz w:val="24"/>
          <w:szCs w:val="24"/>
        </w:rPr>
        <w:t xml:space="preserve">- несвоевременное заключение договоров аренды с ООО «КРОНОС» и ООО «С-Проект» </w:t>
      </w:r>
      <w:r w:rsidR="006E5134" w:rsidRPr="006F6ED3">
        <w:rPr>
          <w:rFonts w:ascii="Times New Roman" w:hAnsi="Times New Roman" w:cs="Times New Roman"/>
          <w:color w:val="000000"/>
          <w:sz w:val="24"/>
          <w:szCs w:val="24"/>
        </w:rPr>
        <w:t xml:space="preserve">по истечении срока договора аренды </w:t>
      </w:r>
      <w:r w:rsidR="009E370C" w:rsidRPr="006F6ED3">
        <w:rPr>
          <w:rFonts w:ascii="Times New Roman" w:hAnsi="Times New Roman" w:cs="Times New Roman"/>
          <w:color w:val="000000"/>
          <w:sz w:val="24"/>
          <w:szCs w:val="24"/>
        </w:rPr>
        <w:t xml:space="preserve">на новый срок </w:t>
      </w:r>
      <w:r w:rsidR="006E5134" w:rsidRPr="006F6ED3">
        <w:rPr>
          <w:rFonts w:ascii="Times New Roman" w:hAnsi="Times New Roman" w:cs="Times New Roman"/>
          <w:color w:val="000000"/>
          <w:sz w:val="24"/>
          <w:szCs w:val="24"/>
        </w:rPr>
        <w:t>без проведения конкурса на основании ст. 17.1 Федерального закона от 26.07.2006 № 135-ФЗ «О защите конкуренции»</w:t>
      </w:r>
      <w:r w:rsidR="005E3D98" w:rsidRPr="006F6ED3">
        <w:rPr>
          <w:rFonts w:ascii="Times New Roman" w:hAnsi="Times New Roman" w:cs="Times New Roman"/>
          <w:color w:val="000000"/>
          <w:sz w:val="24"/>
          <w:szCs w:val="24"/>
        </w:rPr>
        <w:t>,</w:t>
      </w:r>
      <w:r w:rsidRPr="006F6ED3">
        <w:rPr>
          <w:rFonts w:ascii="Times New Roman" w:hAnsi="Times New Roman" w:cs="Times New Roman"/>
          <w:color w:val="000000"/>
          <w:sz w:val="24"/>
          <w:szCs w:val="24"/>
        </w:rPr>
        <w:t xml:space="preserve"> в </w:t>
      </w:r>
      <w:r w:rsidRPr="006F6ED3">
        <w:rPr>
          <w:rFonts w:ascii="Times New Roman" w:eastAsiaTheme="minorHAnsi" w:hAnsi="Times New Roman" w:cs="Times New Roman"/>
          <w:sz w:val="24"/>
          <w:szCs w:val="24"/>
          <w:lang w:eastAsia="en-US"/>
        </w:rPr>
        <w:t xml:space="preserve">результате за период более месяца и 1,5 месяца не производилось исчисление арендных платежей и возмещаемых коммунальных и эксплуатационных услуг порядка 12,8 тыс. руб.; </w:t>
      </w:r>
      <w:proofErr w:type="gramEnd"/>
    </w:p>
    <w:p w:rsidR="007366A2" w:rsidRPr="00CC24BE" w:rsidRDefault="007366A2" w:rsidP="007366A2">
      <w:pPr>
        <w:ind w:firstLine="680"/>
        <w:jc w:val="both"/>
        <w:rPr>
          <w:rFonts w:eastAsiaTheme="minorHAnsi"/>
        </w:rPr>
      </w:pPr>
      <w:proofErr w:type="gramStart"/>
      <w:r w:rsidRPr="006F6ED3">
        <w:rPr>
          <w:rFonts w:eastAsiaTheme="minorHAnsi"/>
        </w:rPr>
        <w:t xml:space="preserve">- </w:t>
      </w:r>
      <w:r w:rsidR="00983D50" w:rsidRPr="00254E52">
        <w:rPr>
          <w:rFonts w:eastAsiaTheme="minorHAnsi"/>
        </w:rPr>
        <w:t xml:space="preserve">формирование стоимости </w:t>
      </w:r>
      <w:r w:rsidR="009E370C" w:rsidRPr="00254E52">
        <w:rPr>
          <w:rFonts w:eastAsiaTheme="minorHAnsi"/>
        </w:rPr>
        <w:t xml:space="preserve">возмещаемых </w:t>
      </w:r>
      <w:r w:rsidR="00983D50" w:rsidRPr="00254E52">
        <w:rPr>
          <w:rFonts w:eastAsiaTheme="minorHAnsi"/>
        </w:rPr>
        <w:t>коммунальных и эксплуатационных услуг</w:t>
      </w:r>
      <w:r w:rsidR="00983D50" w:rsidRPr="006F6ED3">
        <w:rPr>
          <w:rFonts w:eastAsiaTheme="minorHAnsi"/>
        </w:rPr>
        <w:t xml:space="preserve"> на</w:t>
      </w:r>
      <w:r w:rsidR="00983D50" w:rsidRPr="00CE381D">
        <w:rPr>
          <w:rFonts w:eastAsiaTheme="minorHAnsi"/>
        </w:rPr>
        <w:t xml:space="preserve"> 1 кв. м в месяц</w:t>
      </w:r>
      <w:r w:rsidR="00983D50">
        <w:rPr>
          <w:rFonts w:eastAsiaTheme="minorHAnsi"/>
        </w:rPr>
        <w:t xml:space="preserve"> в</w:t>
      </w:r>
      <w:r w:rsidR="00983D50" w:rsidRPr="00CE381D">
        <w:rPr>
          <w:rFonts w:eastAsiaTheme="minorHAnsi"/>
        </w:rPr>
        <w:t xml:space="preserve"> договорах на предоставление </w:t>
      </w:r>
      <w:r w:rsidR="00983D50">
        <w:rPr>
          <w:rFonts w:eastAsiaTheme="minorHAnsi"/>
        </w:rPr>
        <w:t xml:space="preserve">указанных услуг, заключаемых ГАУ </w:t>
      </w:r>
      <w:r w:rsidR="00983D50" w:rsidRPr="00CE381D">
        <w:rPr>
          <w:rFonts w:eastAsiaTheme="minorHAnsi"/>
        </w:rPr>
        <w:t>Бизнес-инкубатор с арендаторами</w:t>
      </w:r>
      <w:r w:rsidR="00983D50">
        <w:rPr>
          <w:rFonts w:eastAsiaTheme="minorHAnsi"/>
        </w:rPr>
        <w:t xml:space="preserve">, </w:t>
      </w:r>
      <w:r w:rsidR="00983D50" w:rsidRPr="00254E52">
        <w:rPr>
          <w:rFonts w:eastAsiaTheme="minorHAnsi"/>
        </w:rPr>
        <w:t>не в полном объеме</w:t>
      </w:r>
      <w:r w:rsidR="00983D50">
        <w:rPr>
          <w:rFonts w:eastAsiaTheme="minorHAnsi"/>
        </w:rPr>
        <w:t xml:space="preserve"> в связи с не включением в нее затрат, связанных</w:t>
      </w:r>
      <w:r w:rsidRPr="00CE381D">
        <w:rPr>
          <w:rFonts w:eastAsiaTheme="minorHAnsi"/>
        </w:rPr>
        <w:t xml:space="preserve"> с уборкой помещений общего п</w:t>
      </w:r>
      <w:r w:rsidR="00983D50">
        <w:rPr>
          <w:rFonts w:eastAsiaTheme="minorHAnsi"/>
        </w:rPr>
        <w:t>ользования и территории; затрат, связанных</w:t>
      </w:r>
      <w:r w:rsidRPr="00CE381D">
        <w:rPr>
          <w:rFonts w:eastAsiaTheme="minorHAnsi"/>
        </w:rPr>
        <w:t xml:space="preserve"> с заработной платой обслуживающего персонала;</w:t>
      </w:r>
      <w:proofErr w:type="gramEnd"/>
      <w:r w:rsidRPr="00CE381D">
        <w:rPr>
          <w:rFonts w:eastAsiaTheme="minorHAnsi"/>
        </w:rPr>
        <w:t xml:space="preserve"> </w:t>
      </w:r>
      <w:proofErr w:type="gramStart"/>
      <w:r w:rsidRPr="00CE381D">
        <w:rPr>
          <w:rFonts w:eastAsiaTheme="minorHAnsi"/>
        </w:rPr>
        <w:t>компенсаци</w:t>
      </w:r>
      <w:r w:rsidR="00983D50">
        <w:rPr>
          <w:rFonts w:eastAsiaTheme="minorHAnsi"/>
        </w:rPr>
        <w:t>и</w:t>
      </w:r>
      <w:r w:rsidRPr="00CE381D">
        <w:rPr>
          <w:rFonts w:eastAsiaTheme="minorHAnsi"/>
        </w:rPr>
        <w:t xml:space="preserve"> налогов, имеющих непосредственное отношение к объекту недвижимости, что не соответствует </w:t>
      </w:r>
      <w:r w:rsidRPr="002430AB">
        <w:rPr>
          <w:rFonts w:eastAsiaTheme="minorHAnsi"/>
        </w:rPr>
        <w:t xml:space="preserve">положениям </w:t>
      </w:r>
      <w:r w:rsidRPr="00E23448">
        <w:t>Порядка возмещения арендаторами затрат на содержание и эксплуатацию зданий (помещений)</w:t>
      </w:r>
      <w:r w:rsidR="009E370C">
        <w:t>…</w:t>
      </w:r>
      <w:r w:rsidRPr="00E23448">
        <w:t>, утвержденно</w:t>
      </w:r>
      <w:r>
        <w:t>го</w:t>
      </w:r>
      <w:r w:rsidRPr="00E23448">
        <w:t xml:space="preserve"> постановлением Губернатора Волгоградской области от 17.12.2013 № 1305</w:t>
      </w:r>
      <w:r>
        <w:t>,</w:t>
      </w:r>
      <w:r w:rsidRPr="002430AB">
        <w:rPr>
          <w:rFonts w:eastAsiaTheme="minorHAnsi"/>
        </w:rPr>
        <w:t xml:space="preserve"> </w:t>
      </w:r>
      <w:r w:rsidRPr="00E23448">
        <w:t>Примерной формы договора аренды государстве</w:t>
      </w:r>
      <w:r>
        <w:t>нного имущества…</w:t>
      </w:r>
      <w:r w:rsidRPr="00E23448">
        <w:t xml:space="preserve">, утвержденной приказом </w:t>
      </w:r>
      <w:proofErr w:type="spellStart"/>
      <w:r w:rsidRPr="000756C0">
        <w:rPr>
          <w:color w:val="000000"/>
        </w:rPr>
        <w:t>Облкомимущества</w:t>
      </w:r>
      <w:proofErr w:type="spellEnd"/>
      <w:r w:rsidRPr="000756C0">
        <w:t xml:space="preserve"> от 04.07</w:t>
      </w:r>
      <w:r w:rsidRPr="00E23448">
        <w:t>.2016 № 29-н</w:t>
      </w:r>
      <w:r>
        <w:t xml:space="preserve">, и </w:t>
      </w:r>
      <w:r w:rsidRPr="00CE381D">
        <w:rPr>
          <w:rFonts w:eastAsiaTheme="minorHAnsi"/>
        </w:rPr>
        <w:t xml:space="preserve">договоров о передаче в </w:t>
      </w:r>
      <w:r w:rsidRPr="00CC24BE">
        <w:rPr>
          <w:rFonts w:eastAsiaTheme="minorHAnsi"/>
        </w:rPr>
        <w:t>аренду недвижимого имущества, закрепленного за ГАУ Бизнес-инкубатор;</w:t>
      </w:r>
      <w:proofErr w:type="gramEnd"/>
    </w:p>
    <w:p w:rsidR="00973A1C" w:rsidRPr="00254E52" w:rsidRDefault="007366A2" w:rsidP="00254E52">
      <w:pPr>
        <w:autoSpaceDE w:val="0"/>
        <w:autoSpaceDN w:val="0"/>
        <w:adjustRightInd w:val="0"/>
        <w:ind w:firstLine="680"/>
        <w:contextualSpacing/>
        <w:jc w:val="both"/>
      </w:pPr>
      <w:r w:rsidRPr="00CC24BE">
        <w:rPr>
          <w:rFonts w:eastAsia="Times New Roman"/>
          <w:color w:val="000000"/>
        </w:rPr>
        <w:t xml:space="preserve">- </w:t>
      </w:r>
      <w:r w:rsidR="00254E52" w:rsidRPr="00CC24BE">
        <w:t xml:space="preserve">нарушение сроков направления претензий и подачи исковых заявлений в суд, а также не проведение исковой работы в отношении 7 арендаторов с задолженностью на общую сумму 0,4 млн. рублей. </w:t>
      </w:r>
      <w:r w:rsidR="00973A1C" w:rsidRPr="00CC24BE">
        <w:rPr>
          <w:rFonts w:eastAsia="Times New Roman"/>
        </w:rPr>
        <w:t>В целом дебиторская задолженность по расчетам по доходам в течение проверяемого периода</w:t>
      </w:r>
      <w:r w:rsidR="00973A1C">
        <w:rPr>
          <w:rFonts w:eastAsia="Times New Roman"/>
        </w:rPr>
        <w:t xml:space="preserve"> практически не изменилась: по состоянию на 01.01.2017 составила 2,87 млн. руб., 01.01.2018 – 2,78 млн. руб., 01.04.2018 – 2,85 млн. рублей.</w:t>
      </w:r>
    </w:p>
    <w:p w:rsidR="008C6E5E" w:rsidRDefault="00B1441B" w:rsidP="00B1441B">
      <w:pPr>
        <w:ind w:firstLine="680"/>
        <w:jc w:val="both"/>
      </w:pPr>
      <w:proofErr w:type="gramStart"/>
      <w:r>
        <w:rPr>
          <w:rFonts w:eastAsia="Times New Roman"/>
        </w:rPr>
        <w:t xml:space="preserve">В мае 2018 года ГАУ </w:t>
      </w:r>
      <w:r w:rsidRPr="002430AB">
        <w:rPr>
          <w:rFonts w:eastAsia="Times New Roman"/>
        </w:rPr>
        <w:t>Бизнес-инкубатор принято решение о списании</w:t>
      </w:r>
      <w:r w:rsidRPr="002430AB">
        <w:t xml:space="preserve"> безнадежной к взысканию задолженности на общую сумму 1</w:t>
      </w:r>
      <w:r>
        <w:t xml:space="preserve">,6 млн. руб., причинами </w:t>
      </w:r>
      <w:r w:rsidRPr="002430AB">
        <w:t xml:space="preserve">списания </w:t>
      </w:r>
      <w:r>
        <w:t>которой явились</w:t>
      </w:r>
      <w:r w:rsidRPr="002430AB">
        <w:t xml:space="preserve"> ликвидация организаций (размер задолженности 1</w:t>
      </w:r>
      <w:r>
        <w:t>,0 млн. руб.</w:t>
      </w:r>
      <w:r w:rsidRPr="002430AB">
        <w:t>) и истечение срока исковой давности (</w:t>
      </w:r>
      <w:r>
        <w:t>0,6 млн.</w:t>
      </w:r>
      <w:r w:rsidRPr="002430AB">
        <w:t xml:space="preserve"> руб.)</w:t>
      </w:r>
      <w:r>
        <w:t>, из чего можно сделать вывод,</w:t>
      </w:r>
      <w:r w:rsidRPr="002430AB">
        <w:rPr>
          <w:bCs/>
        </w:rPr>
        <w:t xml:space="preserve"> что </w:t>
      </w:r>
      <w:r>
        <w:rPr>
          <w:bCs/>
        </w:rPr>
        <w:t xml:space="preserve">в предыдущие годы </w:t>
      </w:r>
      <w:r>
        <w:t xml:space="preserve">ГАУ </w:t>
      </w:r>
      <w:r w:rsidRPr="002430AB">
        <w:t xml:space="preserve">Бизнес-Инкубатор </w:t>
      </w:r>
      <w:r>
        <w:t xml:space="preserve">не принималось </w:t>
      </w:r>
      <w:r w:rsidRPr="002430AB">
        <w:t>своевременных мер по взысканию дебиторской задолженности</w:t>
      </w:r>
      <w:r>
        <w:rPr>
          <w:bCs/>
        </w:rPr>
        <w:t>.</w:t>
      </w:r>
      <w:proofErr w:type="gramEnd"/>
      <w:r w:rsidR="009F7BE9">
        <w:rPr>
          <w:bCs/>
        </w:rPr>
        <w:t xml:space="preserve"> </w:t>
      </w:r>
      <w:r w:rsidR="008C6E5E">
        <w:rPr>
          <w:bCs/>
        </w:rPr>
        <w:t>По результатам Проверки КСП за 2012-2014 годы также отмечалось н</w:t>
      </w:r>
      <w:r w:rsidRPr="00441B3F">
        <w:t>е обеспечение эффективного управления процесс</w:t>
      </w:r>
      <w:r w:rsidR="009E370C">
        <w:t>ом</w:t>
      </w:r>
      <w:r w:rsidRPr="00441B3F">
        <w:t xml:space="preserve"> взыскания</w:t>
      </w:r>
      <w:r w:rsidR="008C6E5E">
        <w:t xml:space="preserve"> дебиторской задолженности.</w:t>
      </w:r>
    </w:p>
    <w:p w:rsidR="008C6E5E" w:rsidRDefault="008C6E5E" w:rsidP="00B1441B">
      <w:pPr>
        <w:ind w:firstLine="680"/>
        <w:jc w:val="both"/>
      </w:pPr>
    </w:p>
    <w:p w:rsidR="007366A2" w:rsidRPr="00162C17" w:rsidRDefault="007366A2" w:rsidP="007366A2">
      <w:pPr>
        <w:ind w:firstLine="709"/>
        <w:jc w:val="both"/>
        <w:rPr>
          <w:rFonts w:eastAsia="Times New Roman"/>
          <w:color w:val="000000"/>
        </w:rPr>
      </w:pPr>
      <w:r>
        <w:t>О</w:t>
      </w:r>
      <w:r w:rsidRPr="00162C17">
        <w:t xml:space="preserve">дной из характеристик функционирования </w:t>
      </w:r>
      <w:proofErr w:type="spellStart"/>
      <w:proofErr w:type="gramStart"/>
      <w:r w:rsidRPr="00162C17">
        <w:t>бизнес-инкубатора</w:t>
      </w:r>
      <w:proofErr w:type="spellEnd"/>
      <w:proofErr w:type="gramEnd"/>
      <w:r w:rsidRPr="00162C17">
        <w:t xml:space="preserve"> является оценка деятельности его резидентов. </w:t>
      </w:r>
      <w:r w:rsidR="008C4F6A">
        <w:t xml:space="preserve">На основании условий договоров аренды </w:t>
      </w:r>
      <w:r w:rsidRPr="003D0F11">
        <w:t>в целях проведения арендодателем анализа эффективности процессов инкубирования</w:t>
      </w:r>
      <w:r w:rsidR="003D0F11">
        <w:t xml:space="preserve"> </w:t>
      </w:r>
      <w:r w:rsidRPr="00162C17">
        <w:t xml:space="preserve">арендатор обязан представлять запрашиваемые </w:t>
      </w:r>
      <w:r w:rsidR="008C4F6A">
        <w:t>арендодателем с</w:t>
      </w:r>
      <w:r w:rsidRPr="00162C17">
        <w:t>ведения</w:t>
      </w:r>
      <w:r>
        <w:t xml:space="preserve"> (численность работников, выручка </w:t>
      </w:r>
      <w:r w:rsidRPr="00162C17">
        <w:rPr>
          <w:rFonts w:eastAsia="Times New Roman"/>
          <w:color w:val="000000"/>
        </w:rPr>
        <w:t>от реализации товаров, среднемесячн</w:t>
      </w:r>
      <w:r>
        <w:rPr>
          <w:rFonts w:eastAsia="Times New Roman"/>
          <w:color w:val="000000"/>
        </w:rPr>
        <w:t>ая</w:t>
      </w:r>
      <w:r w:rsidRPr="00162C17">
        <w:rPr>
          <w:rFonts w:eastAsia="Times New Roman"/>
          <w:color w:val="000000"/>
        </w:rPr>
        <w:t xml:space="preserve"> заработн</w:t>
      </w:r>
      <w:r>
        <w:rPr>
          <w:rFonts w:eastAsia="Times New Roman"/>
          <w:color w:val="000000"/>
        </w:rPr>
        <w:t>ая плата</w:t>
      </w:r>
      <w:r w:rsidRPr="00162C17">
        <w:rPr>
          <w:rFonts w:eastAsia="Times New Roman"/>
          <w:color w:val="000000"/>
        </w:rPr>
        <w:t xml:space="preserve"> на 1 работника, объем налоговых платежей, уплаченных в бюджетную систему РФ</w:t>
      </w:r>
      <w:r>
        <w:rPr>
          <w:rFonts w:eastAsia="Times New Roman"/>
          <w:color w:val="000000"/>
        </w:rPr>
        <w:t>)</w:t>
      </w:r>
      <w:r w:rsidRPr="00162C17">
        <w:rPr>
          <w:rFonts w:eastAsia="Times New Roman"/>
          <w:color w:val="000000"/>
        </w:rPr>
        <w:t>.</w:t>
      </w:r>
    </w:p>
    <w:p w:rsidR="006004AA" w:rsidRDefault="007366A2" w:rsidP="007366A2">
      <w:pPr>
        <w:ind w:firstLine="680"/>
        <w:jc w:val="both"/>
        <w:rPr>
          <w:rFonts w:eastAsiaTheme="minorHAnsi"/>
        </w:rPr>
      </w:pPr>
      <w:r>
        <w:t>Анализ представляемой СМСП информации показал, что н</w:t>
      </w:r>
      <w:r w:rsidRPr="00C43469">
        <w:t>аблюдается</w:t>
      </w:r>
      <w:r w:rsidRPr="00162C17">
        <w:t xml:space="preserve"> снижение количества вновь созданных рабочих мест (включая вновь зарегистрированных </w:t>
      </w:r>
      <w:r>
        <w:t>ИП</w:t>
      </w:r>
      <w:r w:rsidRPr="00162C17">
        <w:t>) субъектами малого предпринимательства, получившими господдержку</w:t>
      </w:r>
      <w:r>
        <w:t>,</w:t>
      </w:r>
      <w:r w:rsidRPr="00162C17">
        <w:t xml:space="preserve"> с 14 ед. в 2015 году до 0 ед. в 2017 году.</w:t>
      </w:r>
      <w:r w:rsidRPr="00262D1D">
        <w:t xml:space="preserve"> </w:t>
      </w:r>
      <w:r>
        <w:t xml:space="preserve"> П</w:t>
      </w:r>
      <w:r w:rsidRPr="00162C17">
        <w:t>о четырем арендаторам  (из восьми) среднемесячная заработная плата сложилась ниже прожиточного минимума в Волгоградской области</w:t>
      </w:r>
      <w:r>
        <w:t xml:space="preserve">. </w:t>
      </w:r>
      <w:r w:rsidR="00F60815">
        <w:t xml:space="preserve"> </w:t>
      </w:r>
      <w:r>
        <w:t xml:space="preserve">В </w:t>
      </w:r>
      <w:r w:rsidRPr="00162C17">
        <w:rPr>
          <w:rFonts w:eastAsiaTheme="minorHAnsi"/>
        </w:rPr>
        <w:t xml:space="preserve"> целом по восьми арендаторам </w:t>
      </w:r>
      <w:r>
        <w:rPr>
          <w:rFonts w:eastAsiaTheme="minorHAnsi"/>
        </w:rPr>
        <w:t xml:space="preserve">за 2017 год </w:t>
      </w:r>
      <w:r w:rsidRPr="00162C17">
        <w:rPr>
          <w:rFonts w:eastAsiaTheme="minorHAnsi"/>
        </w:rPr>
        <w:t>количество работников составило  18 ед. (из которых по 5-ти арендаторам по 1 ед.)</w:t>
      </w:r>
      <w:r w:rsidR="008C4F6A">
        <w:rPr>
          <w:rFonts w:eastAsiaTheme="minorHAnsi"/>
        </w:rPr>
        <w:t xml:space="preserve">. При этом при визуальном обследовании помещений </w:t>
      </w:r>
      <w:proofErr w:type="spellStart"/>
      <w:proofErr w:type="gramStart"/>
      <w:r w:rsidR="008C4F6A">
        <w:rPr>
          <w:rFonts w:eastAsiaTheme="minorHAnsi"/>
        </w:rPr>
        <w:t>бизнес-</w:t>
      </w:r>
      <w:r w:rsidR="008C4F6A">
        <w:rPr>
          <w:rFonts w:eastAsiaTheme="minorHAnsi"/>
        </w:rPr>
        <w:lastRenderedPageBreak/>
        <w:t>инкубатора</w:t>
      </w:r>
      <w:proofErr w:type="spellEnd"/>
      <w:proofErr w:type="gramEnd"/>
      <w:r w:rsidR="008C4F6A">
        <w:rPr>
          <w:rFonts w:eastAsiaTheme="minorHAnsi"/>
        </w:rPr>
        <w:t xml:space="preserve"> установлено, что </w:t>
      </w:r>
      <w:r w:rsidR="008C4F6A" w:rsidRPr="00162C17">
        <w:rPr>
          <w:rFonts w:eastAsiaTheme="minorHAnsi"/>
        </w:rPr>
        <w:t>количество работн</w:t>
      </w:r>
      <w:r w:rsidR="008C4F6A">
        <w:rPr>
          <w:rFonts w:eastAsiaTheme="minorHAnsi"/>
        </w:rPr>
        <w:t>иков, находящихся в здании ГАУ Бизнес-инкубатор,</w:t>
      </w:r>
      <w:r w:rsidR="008C4F6A" w:rsidRPr="00162C17">
        <w:rPr>
          <w:rFonts w:eastAsiaTheme="minorHAnsi"/>
        </w:rPr>
        <w:t xml:space="preserve"> значительно выше.</w:t>
      </w:r>
      <w:r w:rsidR="008C4F6A">
        <w:rPr>
          <w:rFonts w:eastAsiaTheme="minorHAnsi"/>
        </w:rPr>
        <w:t xml:space="preserve"> С</w:t>
      </w:r>
      <w:r w:rsidRPr="00162C17">
        <w:rPr>
          <w:rFonts w:eastAsiaTheme="minorHAnsi"/>
        </w:rPr>
        <w:t xml:space="preserve">редняя заработная плата </w:t>
      </w:r>
      <w:r w:rsidR="008C4F6A">
        <w:rPr>
          <w:rFonts w:eastAsiaTheme="minorHAnsi"/>
        </w:rPr>
        <w:t xml:space="preserve">за 2017 год по данным резидентов </w:t>
      </w:r>
      <w:proofErr w:type="spellStart"/>
      <w:proofErr w:type="gramStart"/>
      <w:r w:rsidR="008C4F6A">
        <w:rPr>
          <w:rFonts w:eastAsiaTheme="minorHAnsi"/>
        </w:rPr>
        <w:t>бизнес-инкубатора</w:t>
      </w:r>
      <w:proofErr w:type="spellEnd"/>
      <w:proofErr w:type="gramEnd"/>
      <w:r w:rsidR="008C4F6A">
        <w:rPr>
          <w:rFonts w:eastAsiaTheme="minorHAnsi"/>
        </w:rPr>
        <w:t xml:space="preserve"> сложилась в размере </w:t>
      </w:r>
      <w:r w:rsidRPr="00162C17">
        <w:rPr>
          <w:rFonts w:eastAsiaTheme="minorHAnsi"/>
        </w:rPr>
        <w:t>от 2,5 тыс. руб. до 20,0 тыс. руб</w:t>
      </w:r>
      <w:r w:rsidR="008C4F6A">
        <w:rPr>
          <w:rFonts w:eastAsiaTheme="minorHAnsi"/>
        </w:rPr>
        <w:t xml:space="preserve">лей. Из изложенного можно сделать вывод </w:t>
      </w:r>
      <w:r w:rsidR="008C4F6A" w:rsidRPr="00942703">
        <w:rPr>
          <w:rFonts w:eastAsiaTheme="minorHAnsi"/>
        </w:rPr>
        <w:t xml:space="preserve">о </w:t>
      </w:r>
      <w:r w:rsidRPr="00942703">
        <w:rPr>
          <w:rFonts w:eastAsiaTheme="minorHAnsi"/>
        </w:rPr>
        <w:t>не</w:t>
      </w:r>
      <w:r w:rsidR="006004AA" w:rsidRPr="00942703">
        <w:rPr>
          <w:rFonts w:eastAsiaTheme="minorHAnsi"/>
        </w:rPr>
        <w:t>достаточном</w:t>
      </w:r>
      <w:r w:rsidRPr="00942703">
        <w:rPr>
          <w:rFonts w:eastAsiaTheme="minorHAnsi"/>
        </w:rPr>
        <w:t xml:space="preserve"> развитии СМСП, являющихся резидентами </w:t>
      </w:r>
      <w:proofErr w:type="spellStart"/>
      <w:proofErr w:type="gramStart"/>
      <w:r w:rsidRPr="00942703">
        <w:rPr>
          <w:rFonts w:eastAsiaTheme="minorHAnsi"/>
        </w:rPr>
        <w:t>бизнес-инкубатора</w:t>
      </w:r>
      <w:proofErr w:type="spellEnd"/>
      <w:proofErr w:type="gramEnd"/>
      <w:r w:rsidRPr="00942703">
        <w:rPr>
          <w:rFonts w:eastAsiaTheme="minorHAnsi"/>
        </w:rPr>
        <w:t xml:space="preserve">, или сокрытии </w:t>
      </w:r>
      <w:r w:rsidR="006004AA" w:rsidRPr="00942703">
        <w:rPr>
          <w:rFonts w:eastAsiaTheme="minorHAnsi"/>
        </w:rPr>
        <w:t>ими</w:t>
      </w:r>
      <w:r w:rsidRPr="00942703">
        <w:rPr>
          <w:rFonts w:eastAsiaTheme="minorHAnsi"/>
        </w:rPr>
        <w:t xml:space="preserve"> действительной численности и заработной платы работников в целях ухода от уплаты платежей в бюджет и</w:t>
      </w:r>
      <w:r w:rsidR="00F60815" w:rsidRPr="00942703">
        <w:rPr>
          <w:rFonts w:eastAsiaTheme="minorHAnsi"/>
        </w:rPr>
        <w:t xml:space="preserve"> во</w:t>
      </w:r>
      <w:r w:rsidRPr="00942703">
        <w:rPr>
          <w:rFonts w:eastAsiaTheme="minorHAnsi"/>
        </w:rPr>
        <w:t xml:space="preserve"> внебюджетные фонды</w:t>
      </w:r>
      <w:r>
        <w:rPr>
          <w:rFonts w:eastAsiaTheme="minorHAnsi"/>
        </w:rPr>
        <w:t>.</w:t>
      </w:r>
      <w:r w:rsidRPr="00162C17">
        <w:rPr>
          <w:rFonts w:eastAsiaTheme="minorHAnsi"/>
        </w:rPr>
        <w:t xml:space="preserve"> </w:t>
      </w:r>
    </w:p>
    <w:p w:rsidR="007366A2" w:rsidRDefault="007366A2" w:rsidP="007366A2">
      <w:pPr>
        <w:ind w:firstLine="680"/>
        <w:jc w:val="both"/>
        <w:rPr>
          <w:rFonts w:eastAsiaTheme="minorHAnsi"/>
        </w:rPr>
      </w:pPr>
      <w:proofErr w:type="gramStart"/>
      <w:r w:rsidRPr="00323F5B">
        <w:t xml:space="preserve">Кроме того, </w:t>
      </w:r>
      <w:r w:rsidRPr="00DB2D52">
        <w:t>наблюдается картина</w:t>
      </w:r>
      <w:r w:rsidR="00F60815" w:rsidRPr="00DB2D52">
        <w:t xml:space="preserve"> ликвидации отдельных СМСП:</w:t>
      </w:r>
      <w:r w:rsidRPr="00323F5B">
        <w:t xml:space="preserve"> по состоянию на 25.05.2018 из 50 СМ</w:t>
      </w:r>
      <w:r w:rsidR="006004AA">
        <w:t xml:space="preserve">СП, арендовавших помещения ГАУ </w:t>
      </w:r>
      <w:r w:rsidRPr="00323F5B">
        <w:t>Бизнес-инкубатор в 2015 году - текущем периоде 2018 года, 10 прекратили свою деятельность (</w:t>
      </w:r>
      <w:r>
        <w:t>20% от общего количества), т.е.</w:t>
      </w:r>
      <w:r w:rsidRPr="00323F5B">
        <w:t xml:space="preserve"> </w:t>
      </w:r>
      <w:r w:rsidRPr="00323F5B">
        <w:rPr>
          <w:rFonts w:eastAsiaTheme="minorHAnsi"/>
        </w:rPr>
        <w:t>несмотря на оказанную имущественную поддержку, развития деятельности СМСП не произошло</w:t>
      </w:r>
      <w:r>
        <w:rPr>
          <w:rFonts w:eastAsiaTheme="minorHAnsi"/>
        </w:rPr>
        <w:t>, что не способствует достижению цели Подпрограммы (увеличение доли СМСП в экономике Волгоградской области).</w:t>
      </w:r>
      <w:proofErr w:type="gramEnd"/>
    </w:p>
    <w:p w:rsidR="005250BD" w:rsidRDefault="00581947" w:rsidP="000E3EED">
      <w:pPr>
        <w:autoSpaceDE w:val="0"/>
        <w:autoSpaceDN w:val="0"/>
        <w:adjustRightInd w:val="0"/>
        <w:ind w:firstLine="680"/>
        <w:jc w:val="both"/>
        <w:rPr>
          <w:i/>
        </w:rPr>
      </w:pPr>
      <w:r w:rsidRPr="005250BD">
        <w:rPr>
          <w:i/>
        </w:rPr>
        <w:t xml:space="preserve">Из </w:t>
      </w:r>
      <w:proofErr w:type="gramStart"/>
      <w:r w:rsidRPr="005250BD">
        <w:rPr>
          <w:i/>
        </w:rPr>
        <w:t>вышеизложенного</w:t>
      </w:r>
      <w:proofErr w:type="gramEnd"/>
      <w:r w:rsidRPr="005250BD">
        <w:rPr>
          <w:i/>
        </w:rPr>
        <w:t xml:space="preserve"> можно сделать</w:t>
      </w:r>
      <w:r w:rsidR="007E4042">
        <w:rPr>
          <w:i/>
        </w:rPr>
        <w:t xml:space="preserve"> </w:t>
      </w:r>
      <w:r w:rsidR="00292445">
        <w:rPr>
          <w:i/>
        </w:rPr>
        <w:t>вывод по деятельности</w:t>
      </w:r>
      <w:r w:rsidR="007E4042">
        <w:rPr>
          <w:i/>
        </w:rPr>
        <w:t xml:space="preserve"> </w:t>
      </w:r>
      <w:proofErr w:type="spellStart"/>
      <w:r w:rsidR="007E4042">
        <w:rPr>
          <w:i/>
        </w:rPr>
        <w:t>Бизнес-инкубатора</w:t>
      </w:r>
      <w:proofErr w:type="spellEnd"/>
      <w:r w:rsidR="007E4042">
        <w:rPr>
          <w:i/>
        </w:rPr>
        <w:t xml:space="preserve"> в части имущественной поддержки СМСП</w:t>
      </w:r>
      <w:r w:rsidR="00292445">
        <w:rPr>
          <w:i/>
        </w:rPr>
        <w:t>, который заключается в следующем.</w:t>
      </w:r>
      <w:r w:rsidR="007E4042">
        <w:rPr>
          <w:i/>
        </w:rPr>
        <w:t xml:space="preserve"> </w:t>
      </w:r>
      <w:proofErr w:type="gramStart"/>
      <w:r w:rsidR="007E4042">
        <w:rPr>
          <w:i/>
        </w:rPr>
        <w:t>П</w:t>
      </w:r>
      <w:r w:rsidRPr="005250BD">
        <w:rPr>
          <w:i/>
        </w:rPr>
        <w:t>ри формальном исполнении показател</w:t>
      </w:r>
      <w:r w:rsidR="00A2377A">
        <w:rPr>
          <w:i/>
        </w:rPr>
        <w:t>я</w:t>
      </w:r>
      <w:r w:rsidRPr="005250BD">
        <w:rPr>
          <w:i/>
        </w:rPr>
        <w:t xml:space="preserve"> объема </w:t>
      </w:r>
      <w:proofErr w:type="spellStart"/>
      <w:r w:rsidRPr="005250BD">
        <w:rPr>
          <w:i/>
        </w:rPr>
        <w:t>госуслуги</w:t>
      </w:r>
      <w:proofErr w:type="spellEnd"/>
      <w:r w:rsidRPr="005250BD">
        <w:rPr>
          <w:i/>
        </w:rPr>
        <w:t xml:space="preserve"> по </w:t>
      </w:r>
      <w:proofErr w:type="spellStart"/>
      <w:r w:rsidRPr="005250BD">
        <w:rPr>
          <w:i/>
        </w:rPr>
        <w:t>госзаданию</w:t>
      </w:r>
      <w:proofErr w:type="spellEnd"/>
      <w:r w:rsidR="00A2377A">
        <w:rPr>
          <w:i/>
        </w:rPr>
        <w:t xml:space="preserve"> (в 2016 году исполнение завышено в результате искажения фактического значения, в 2017 году </w:t>
      </w:r>
      <w:r w:rsidR="002C5E11">
        <w:rPr>
          <w:i/>
        </w:rPr>
        <w:t xml:space="preserve">исполнение </w:t>
      </w:r>
      <w:r w:rsidR="00A2377A">
        <w:rPr>
          <w:i/>
        </w:rPr>
        <w:t>«искусственно» завышен</w:t>
      </w:r>
      <w:r w:rsidR="002C5E11">
        <w:rPr>
          <w:i/>
        </w:rPr>
        <w:t>о</w:t>
      </w:r>
      <w:r w:rsidR="00A2377A">
        <w:rPr>
          <w:i/>
        </w:rPr>
        <w:t xml:space="preserve"> в результате </w:t>
      </w:r>
      <w:r w:rsidR="002C5E11">
        <w:rPr>
          <w:i/>
        </w:rPr>
        <w:t>«</w:t>
      </w:r>
      <w:proofErr w:type="spellStart"/>
      <w:r w:rsidR="00A2377A">
        <w:rPr>
          <w:i/>
        </w:rPr>
        <w:t>задвоения</w:t>
      </w:r>
      <w:proofErr w:type="spellEnd"/>
      <w:r w:rsidR="002C5E11">
        <w:rPr>
          <w:i/>
        </w:rPr>
        <w:t>»</w:t>
      </w:r>
      <w:r w:rsidR="00A2377A">
        <w:rPr>
          <w:i/>
        </w:rPr>
        <w:t xml:space="preserve"> площадей)</w:t>
      </w:r>
      <w:r w:rsidRPr="005250BD">
        <w:rPr>
          <w:i/>
        </w:rPr>
        <w:t xml:space="preserve"> </w:t>
      </w:r>
      <w:r w:rsidR="00DC4DFC" w:rsidRPr="005250BD">
        <w:rPr>
          <w:i/>
        </w:rPr>
        <w:t xml:space="preserve">наблюдается наличие </w:t>
      </w:r>
      <w:r w:rsidR="002C5E11">
        <w:rPr>
          <w:i/>
        </w:rPr>
        <w:t xml:space="preserve">значительных </w:t>
      </w:r>
      <w:r w:rsidR="005250BD" w:rsidRPr="005250BD">
        <w:rPr>
          <w:i/>
        </w:rPr>
        <w:t xml:space="preserve">площадей </w:t>
      </w:r>
      <w:r w:rsidR="00DC4DFC" w:rsidRPr="005250BD">
        <w:rPr>
          <w:i/>
        </w:rPr>
        <w:t xml:space="preserve"> свободных помещений, не предоставленных СМСП, </w:t>
      </w:r>
      <w:r w:rsidR="005250BD" w:rsidRPr="005250BD">
        <w:rPr>
          <w:i/>
        </w:rPr>
        <w:t>что не способствует  решению задачи Подпрограммы</w:t>
      </w:r>
      <w:r w:rsidR="005250BD">
        <w:rPr>
          <w:i/>
        </w:rPr>
        <w:t xml:space="preserve">, а также </w:t>
      </w:r>
      <w:r w:rsidR="005250BD" w:rsidRPr="005250BD">
        <w:rPr>
          <w:i/>
        </w:rPr>
        <w:t xml:space="preserve"> приводит к неэффективному использованию государственного имущества</w:t>
      </w:r>
      <w:r w:rsidR="005250BD">
        <w:rPr>
          <w:i/>
        </w:rPr>
        <w:t xml:space="preserve"> и</w:t>
      </w:r>
      <w:r w:rsidR="005250BD" w:rsidRPr="005250BD">
        <w:rPr>
          <w:i/>
        </w:rPr>
        <w:t xml:space="preserve"> </w:t>
      </w:r>
      <w:proofErr w:type="spellStart"/>
      <w:r w:rsidR="005250BD" w:rsidRPr="005250BD">
        <w:rPr>
          <w:i/>
        </w:rPr>
        <w:t>недополучению</w:t>
      </w:r>
      <w:proofErr w:type="spellEnd"/>
      <w:r w:rsidR="005250BD" w:rsidRPr="005250BD">
        <w:rPr>
          <w:i/>
        </w:rPr>
        <w:t xml:space="preserve"> доходов от приносящей доход деятельности</w:t>
      </w:r>
      <w:r w:rsidR="005250BD">
        <w:rPr>
          <w:i/>
        </w:rPr>
        <w:t>.</w:t>
      </w:r>
      <w:proofErr w:type="gramEnd"/>
    </w:p>
    <w:p w:rsidR="00025CEF" w:rsidRPr="00025CEF" w:rsidRDefault="005250BD" w:rsidP="00025CEF">
      <w:pPr>
        <w:autoSpaceDE w:val="0"/>
        <w:autoSpaceDN w:val="0"/>
        <w:adjustRightInd w:val="0"/>
        <w:ind w:firstLine="680"/>
        <w:jc w:val="both"/>
        <w:rPr>
          <w:i/>
        </w:rPr>
      </w:pPr>
      <w:r>
        <w:rPr>
          <w:i/>
        </w:rPr>
        <w:t>По мнению КСП причин</w:t>
      </w:r>
      <w:r w:rsidR="00277C0F">
        <w:rPr>
          <w:i/>
        </w:rPr>
        <w:t>ами</w:t>
      </w:r>
      <w:r>
        <w:rPr>
          <w:i/>
        </w:rPr>
        <w:t xml:space="preserve"> сложившейся ситуации </w:t>
      </w:r>
      <w:r w:rsidR="005B04AB">
        <w:rPr>
          <w:i/>
        </w:rPr>
        <w:t xml:space="preserve">в </w:t>
      </w:r>
      <w:r w:rsidR="00277C0F">
        <w:rPr>
          <w:i/>
        </w:rPr>
        <w:t xml:space="preserve"> </w:t>
      </w:r>
      <w:r>
        <w:rPr>
          <w:i/>
        </w:rPr>
        <w:t>использовани</w:t>
      </w:r>
      <w:r w:rsidR="005B04AB">
        <w:rPr>
          <w:i/>
        </w:rPr>
        <w:t xml:space="preserve">и государственного </w:t>
      </w:r>
      <w:r>
        <w:rPr>
          <w:i/>
        </w:rPr>
        <w:t xml:space="preserve"> имущества является </w:t>
      </w:r>
      <w:r w:rsidR="00277C0F">
        <w:rPr>
          <w:i/>
        </w:rPr>
        <w:t xml:space="preserve">отсутствие спроса на помещения </w:t>
      </w:r>
      <w:proofErr w:type="spellStart"/>
      <w:proofErr w:type="gramStart"/>
      <w:r w:rsidR="005B04AB">
        <w:rPr>
          <w:i/>
        </w:rPr>
        <w:t>бизнес-</w:t>
      </w:r>
      <w:r w:rsidR="00277C0F">
        <w:rPr>
          <w:i/>
        </w:rPr>
        <w:t>инкубатора</w:t>
      </w:r>
      <w:proofErr w:type="spellEnd"/>
      <w:proofErr w:type="gramEnd"/>
      <w:r w:rsidR="00277C0F">
        <w:rPr>
          <w:i/>
        </w:rPr>
        <w:t xml:space="preserve"> у арендаторов в связи с ограничением видов деятельности потенциальных резидентов </w:t>
      </w:r>
      <w:proofErr w:type="spellStart"/>
      <w:r w:rsidR="00277C0F">
        <w:rPr>
          <w:i/>
        </w:rPr>
        <w:t>бизнес-инкубатора</w:t>
      </w:r>
      <w:proofErr w:type="spellEnd"/>
      <w:r w:rsidR="00277C0F">
        <w:rPr>
          <w:i/>
        </w:rPr>
        <w:t xml:space="preserve">, а также неудобным местонахождением ГАУ </w:t>
      </w:r>
      <w:proofErr w:type="spellStart"/>
      <w:r w:rsidR="00277C0F">
        <w:rPr>
          <w:i/>
        </w:rPr>
        <w:t>Бизнес-инкубатора</w:t>
      </w:r>
      <w:proofErr w:type="spellEnd"/>
      <w:r w:rsidR="00A2377A">
        <w:rPr>
          <w:i/>
        </w:rPr>
        <w:t>.</w:t>
      </w:r>
      <w:r w:rsidR="005B04AB">
        <w:rPr>
          <w:i/>
        </w:rPr>
        <w:t xml:space="preserve"> По результатам </w:t>
      </w:r>
      <w:r w:rsidR="00802768">
        <w:rPr>
          <w:i/>
        </w:rPr>
        <w:t xml:space="preserve">Проверки КСП за 2012-2014 годы </w:t>
      </w:r>
      <w:r w:rsidR="005B04AB">
        <w:rPr>
          <w:i/>
        </w:rPr>
        <w:t xml:space="preserve">было предложено Администрации Волгоградской области рассмотреть вопрос о </w:t>
      </w:r>
      <w:r w:rsidR="005B04AB" w:rsidRPr="00802768">
        <w:rPr>
          <w:i/>
        </w:rPr>
        <w:t xml:space="preserve">смене  месторасположения </w:t>
      </w:r>
      <w:proofErr w:type="spellStart"/>
      <w:proofErr w:type="gramStart"/>
      <w:r w:rsidR="005B04AB" w:rsidRPr="00802768">
        <w:rPr>
          <w:i/>
        </w:rPr>
        <w:t>Бизнес-</w:t>
      </w:r>
      <w:r w:rsidR="005B04AB" w:rsidRPr="006661CD">
        <w:rPr>
          <w:i/>
        </w:rPr>
        <w:t>инкубатора</w:t>
      </w:r>
      <w:proofErr w:type="spellEnd"/>
      <w:proofErr w:type="gramEnd"/>
      <w:r w:rsidR="005B04AB" w:rsidRPr="006661CD">
        <w:rPr>
          <w:i/>
        </w:rPr>
        <w:t xml:space="preserve"> и (или) </w:t>
      </w:r>
      <w:r w:rsidR="005B04AB" w:rsidRPr="00025CEF">
        <w:rPr>
          <w:i/>
        </w:rPr>
        <w:t xml:space="preserve">создания по возможности </w:t>
      </w:r>
      <w:proofErr w:type="spellStart"/>
      <w:r w:rsidR="005B04AB" w:rsidRPr="00025CEF">
        <w:rPr>
          <w:i/>
        </w:rPr>
        <w:t>Бизнес-инкубатора</w:t>
      </w:r>
      <w:proofErr w:type="spellEnd"/>
      <w:r w:rsidR="005B04AB" w:rsidRPr="00025CEF">
        <w:rPr>
          <w:i/>
        </w:rPr>
        <w:t xml:space="preserve"> в г. Волгоград</w:t>
      </w:r>
      <w:r w:rsidR="00E33988">
        <w:rPr>
          <w:i/>
        </w:rPr>
        <w:t>е</w:t>
      </w:r>
      <w:r w:rsidR="005B04AB" w:rsidRPr="00025CEF">
        <w:rPr>
          <w:i/>
        </w:rPr>
        <w:t xml:space="preserve">. Однако </w:t>
      </w:r>
      <w:r w:rsidR="00690EEA" w:rsidRPr="00025CEF">
        <w:rPr>
          <w:i/>
        </w:rPr>
        <w:t xml:space="preserve">в результате </w:t>
      </w:r>
      <w:r w:rsidR="00025CEF" w:rsidRPr="00025CEF">
        <w:rPr>
          <w:i/>
        </w:rPr>
        <w:t xml:space="preserve">недостаточно оперативной </w:t>
      </w:r>
      <w:r w:rsidR="0095646D" w:rsidRPr="00025CEF">
        <w:rPr>
          <w:i/>
        </w:rPr>
        <w:t>работы</w:t>
      </w:r>
      <w:r w:rsidR="005B04AB" w:rsidRPr="00025CEF">
        <w:rPr>
          <w:i/>
        </w:rPr>
        <w:t xml:space="preserve"> </w:t>
      </w:r>
      <w:r w:rsidR="00690EEA" w:rsidRPr="00025CEF">
        <w:rPr>
          <w:i/>
        </w:rPr>
        <w:t xml:space="preserve">органов исполнительной власти </w:t>
      </w:r>
      <w:r w:rsidR="00025CEF" w:rsidRPr="00025CEF">
        <w:rPr>
          <w:i/>
        </w:rPr>
        <w:t xml:space="preserve">до настоящего времени  бизнес-инкубатор в </w:t>
      </w:r>
      <w:proofErr w:type="gramStart"/>
      <w:r w:rsidR="00025CEF" w:rsidRPr="00025CEF">
        <w:rPr>
          <w:i/>
        </w:rPr>
        <w:t>г</w:t>
      </w:r>
      <w:proofErr w:type="gramEnd"/>
      <w:r w:rsidR="00025CEF" w:rsidRPr="00025CEF">
        <w:rPr>
          <w:i/>
        </w:rPr>
        <w:t>. Волгограде не создан.</w:t>
      </w:r>
    </w:p>
    <w:p w:rsidR="005B04AB" w:rsidRPr="00A61D76" w:rsidRDefault="00A61D76" w:rsidP="009470A9">
      <w:pPr>
        <w:autoSpaceDE w:val="0"/>
        <w:autoSpaceDN w:val="0"/>
        <w:adjustRightInd w:val="0"/>
        <w:ind w:firstLine="680"/>
        <w:jc w:val="both"/>
        <w:rPr>
          <w:i/>
          <w:u w:val="single"/>
        </w:rPr>
      </w:pPr>
      <w:r w:rsidRPr="00025CEF">
        <w:rPr>
          <w:i/>
        </w:rPr>
        <w:t xml:space="preserve">Также проверкой </w:t>
      </w:r>
      <w:r w:rsidRPr="00025CEF">
        <w:rPr>
          <w:rFonts w:eastAsiaTheme="minorHAnsi"/>
          <w:i/>
        </w:rPr>
        <w:t>установлены отдельные недостатки</w:t>
      </w:r>
      <w:r w:rsidRPr="00A61D76">
        <w:rPr>
          <w:rFonts w:eastAsiaTheme="minorHAnsi"/>
          <w:i/>
        </w:rPr>
        <w:t xml:space="preserve"> в работе ГАУ Бизнес-инкубатор, влияющие на недопоступление доходов от приносящей доход деятельности (</w:t>
      </w:r>
      <w:r w:rsidRPr="00A61D76">
        <w:rPr>
          <w:i/>
          <w:color w:val="000000"/>
        </w:rPr>
        <w:t xml:space="preserve">несвоевременное заключение договоров аренды, </w:t>
      </w:r>
      <w:r w:rsidRPr="00A61D76">
        <w:rPr>
          <w:rFonts w:eastAsiaTheme="minorHAnsi"/>
          <w:i/>
        </w:rPr>
        <w:t>формирование стоимости возмещаемых коммунальных и эксплуатационных услуг по договорам аренды  не в полном объеме,</w:t>
      </w:r>
      <w:r w:rsidRPr="00A61D76">
        <w:rPr>
          <w:i/>
        </w:rPr>
        <w:t xml:space="preserve"> недостаточная работа ГАУ </w:t>
      </w:r>
      <w:proofErr w:type="spellStart"/>
      <w:proofErr w:type="gramStart"/>
      <w:r w:rsidRPr="00A61D76">
        <w:rPr>
          <w:i/>
        </w:rPr>
        <w:t>Бизнес-инкубатора</w:t>
      </w:r>
      <w:proofErr w:type="spellEnd"/>
      <w:proofErr w:type="gramEnd"/>
      <w:r w:rsidRPr="00A61D76">
        <w:rPr>
          <w:i/>
        </w:rPr>
        <w:t xml:space="preserve"> по взысканию дебиторской задолженности).</w:t>
      </w:r>
    </w:p>
    <w:p w:rsidR="007E4042" w:rsidRDefault="007E4042" w:rsidP="007E4042">
      <w:pPr>
        <w:autoSpaceDE w:val="0"/>
        <w:autoSpaceDN w:val="0"/>
        <w:adjustRightInd w:val="0"/>
        <w:ind w:firstLine="680"/>
        <w:jc w:val="center"/>
        <w:rPr>
          <w:b/>
        </w:rPr>
      </w:pPr>
    </w:p>
    <w:p w:rsidR="007E4042" w:rsidRPr="00AE6F05" w:rsidRDefault="002232F7" w:rsidP="007E4042">
      <w:pPr>
        <w:autoSpaceDE w:val="0"/>
        <w:autoSpaceDN w:val="0"/>
        <w:adjustRightInd w:val="0"/>
        <w:ind w:firstLine="680"/>
        <w:jc w:val="center"/>
        <w:rPr>
          <w:rFonts w:eastAsia="Times New Roman"/>
          <w:b/>
          <w:color w:val="1C2D4A"/>
        </w:rPr>
      </w:pPr>
      <w:r w:rsidRPr="002232F7">
        <w:rPr>
          <w:b/>
        </w:rPr>
        <w:t>Центр поддержки предпринимательства</w:t>
      </w:r>
      <w:r w:rsidR="007E4042">
        <w:rPr>
          <w:b/>
        </w:rPr>
        <w:t xml:space="preserve">, </w:t>
      </w:r>
      <w:r w:rsidR="007E4042" w:rsidRPr="00F7753F">
        <w:rPr>
          <w:rFonts w:eastAsia="Times New Roman"/>
          <w:b/>
        </w:rPr>
        <w:t>Центр инжиниринга Волгоградской области</w:t>
      </w:r>
      <w:r w:rsidR="007E4042">
        <w:rPr>
          <w:rFonts w:eastAsia="Times New Roman"/>
          <w:b/>
        </w:rPr>
        <w:t xml:space="preserve">, </w:t>
      </w:r>
      <w:r w:rsidR="007E4042" w:rsidRPr="00AE6F05">
        <w:rPr>
          <w:rFonts w:eastAsia="Times New Roman"/>
          <w:b/>
        </w:rPr>
        <w:t>Центр поддержки экспорта Волгоградской области</w:t>
      </w:r>
    </w:p>
    <w:p w:rsidR="001831C7" w:rsidRDefault="001831C7" w:rsidP="00F7753F">
      <w:pPr>
        <w:ind w:firstLine="709"/>
        <w:jc w:val="both"/>
        <w:rPr>
          <w:rFonts w:eastAsia="Andale Sans UI" w:cs="Tahoma"/>
          <w:kern w:val="3"/>
          <w:lang w:eastAsia="ja-JP" w:bidi="fa-IR"/>
        </w:rPr>
      </w:pPr>
      <w:r>
        <w:rPr>
          <w:rFonts w:eastAsia="Times New Roman"/>
        </w:rPr>
        <w:t xml:space="preserve">Указанные центры </w:t>
      </w:r>
      <w:r w:rsidR="00D467BB">
        <w:t xml:space="preserve">функционируют в виде отделов ГАУ Бизнес-инкубатор и созданы в следующих годах: </w:t>
      </w:r>
      <w:r w:rsidR="00D467BB">
        <w:rPr>
          <w:rFonts w:eastAsia="Andale Sans UI" w:cs="Tahoma"/>
          <w:kern w:val="3"/>
          <w:lang w:eastAsia="ja-JP" w:bidi="fa-IR"/>
        </w:rPr>
        <w:t>ЦИВО - в 2013 году,</w:t>
      </w:r>
      <w:r w:rsidR="00D467BB">
        <w:rPr>
          <w:rFonts w:eastAsia="Times New Roman"/>
        </w:rPr>
        <w:t xml:space="preserve"> </w:t>
      </w:r>
      <w:r>
        <w:rPr>
          <w:rFonts w:eastAsia="Times New Roman"/>
        </w:rPr>
        <w:t xml:space="preserve">ЦПП </w:t>
      </w:r>
      <w:r w:rsidR="00D467BB">
        <w:rPr>
          <w:rFonts w:eastAsia="Times New Roman"/>
        </w:rPr>
        <w:t>-</w:t>
      </w:r>
      <w:r>
        <w:rPr>
          <w:rFonts w:eastAsia="Times New Roman"/>
        </w:rPr>
        <w:t xml:space="preserve"> в 2014 году, </w:t>
      </w:r>
      <w:r w:rsidR="00D467BB">
        <w:rPr>
          <w:rFonts w:eastAsia="Times New Roman"/>
        </w:rPr>
        <w:t>ЦПЭ – в 2016 году.</w:t>
      </w:r>
    </w:p>
    <w:p w:rsidR="001831C7" w:rsidRDefault="001A20A7" w:rsidP="00F7753F">
      <w:pPr>
        <w:ind w:firstLine="709"/>
        <w:jc w:val="both"/>
        <w:rPr>
          <w:rFonts w:eastAsia="Andale Sans UI" w:cs="Tahoma"/>
          <w:kern w:val="3"/>
          <w:lang w:eastAsia="ja-JP" w:bidi="fa-IR"/>
        </w:rPr>
      </w:pPr>
      <w:r>
        <w:rPr>
          <w:rFonts w:eastAsia="Andale Sans UI" w:cs="Tahoma"/>
          <w:kern w:val="3"/>
          <w:lang w:eastAsia="ja-JP" w:bidi="fa-IR"/>
        </w:rPr>
        <w:t>Основными целями их деятельности являются:</w:t>
      </w:r>
    </w:p>
    <w:p w:rsidR="001A20A7" w:rsidRDefault="001A20A7" w:rsidP="001A20A7">
      <w:pPr>
        <w:ind w:firstLine="709"/>
        <w:jc w:val="both"/>
        <w:rPr>
          <w:rFonts w:eastAsia="Times New Roman"/>
        </w:rPr>
      </w:pPr>
      <w:r>
        <w:rPr>
          <w:rFonts w:eastAsia="Andale Sans UI" w:cs="Tahoma"/>
          <w:kern w:val="3"/>
          <w:lang w:eastAsia="ja-JP" w:bidi="fa-IR"/>
        </w:rPr>
        <w:t xml:space="preserve">- по ЦПП - </w:t>
      </w:r>
      <w:r w:rsidR="00F7753F" w:rsidRPr="005B1E5C">
        <w:rPr>
          <w:rFonts w:eastAsia="Times New Roman"/>
        </w:rPr>
        <w:t xml:space="preserve">оказание комплекса информационно-консультационных услуг, направленных на содействие развитию </w:t>
      </w:r>
      <w:r w:rsidR="00F7753F">
        <w:rPr>
          <w:rFonts w:eastAsia="Times New Roman"/>
        </w:rPr>
        <w:t>СМСП</w:t>
      </w:r>
      <w:r>
        <w:rPr>
          <w:rFonts w:eastAsia="Times New Roman"/>
        </w:rPr>
        <w:t>;</w:t>
      </w:r>
    </w:p>
    <w:p w:rsidR="001A20A7" w:rsidRDefault="001A20A7" w:rsidP="001A20A7">
      <w:pPr>
        <w:widowControl w:val="0"/>
        <w:suppressAutoHyphens/>
        <w:autoSpaceDE w:val="0"/>
        <w:autoSpaceDN w:val="0"/>
        <w:adjustRightInd w:val="0"/>
        <w:ind w:firstLine="708"/>
        <w:jc w:val="both"/>
        <w:rPr>
          <w:rFonts w:eastAsia="Andale Sans UI" w:cs="Tahoma"/>
          <w:kern w:val="3"/>
          <w:lang w:eastAsia="ja-JP" w:bidi="fa-IR"/>
        </w:rPr>
      </w:pPr>
      <w:r>
        <w:rPr>
          <w:rFonts w:eastAsia="Times New Roman"/>
        </w:rPr>
        <w:t>- по ЦИВО -</w:t>
      </w:r>
      <w:r w:rsidRPr="001A20A7">
        <w:rPr>
          <w:rFonts w:eastAsia="Andale Sans UI" w:cs="Tahoma"/>
          <w:kern w:val="3"/>
          <w:lang w:eastAsia="ja-JP" w:bidi="fa-IR"/>
        </w:rPr>
        <w:t xml:space="preserve"> </w:t>
      </w:r>
      <w:r w:rsidRPr="009B23CB">
        <w:rPr>
          <w:rFonts w:eastAsia="Andale Sans UI" w:cs="Tahoma"/>
          <w:kern w:val="3"/>
          <w:lang w:eastAsia="ja-JP" w:bidi="fa-IR"/>
        </w:rPr>
        <w:t xml:space="preserve">формирование в регионе сетевой инфраструктуры инжиниринга, способствующей развитию, модернизации </w:t>
      </w:r>
      <w:r w:rsidRPr="0069494A">
        <w:rPr>
          <w:rFonts w:eastAsia="Andale Sans UI" w:cs="Tahoma"/>
          <w:kern w:val="3"/>
          <w:lang w:eastAsia="ja-JP" w:bidi="fa-IR"/>
        </w:rPr>
        <w:t>и внедрению новых технологий</w:t>
      </w:r>
      <w:r w:rsidRPr="009B23CB">
        <w:rPr>
          <w:rFonts w:eastAsia="Andale Sans UI" w:cs="Tahoma"/>
          <w:kern w:val="3"/>
          <w:lang w:eastAsia="ja-JP" w:bidi="fa-IR"/>
        </w:rPr>
        <w:t xml:space="preserve"> на производственных предприятиях малого и среднего предпринимательства Волгоградской области путем повышения их технологической готовности за счет создания (проектирования) технологических и технических процессов и объектов, которые реализуют указанные пр</w:t>
      </w:r>
      <w:r w:rsidR="00E33988">
        <w:rPr>
          <w:rFonts w:eastAsia="Andale Sans UI" w:cs="Tahoma"/>
          <w:kern w:val="3"/>
          <w:lang w:eastAsia="ja-JP" w:bidi="fa-IR"/>
        </w:rPr>
        <w:t>оцессы;</w:t>
      </w:r>
    </w:p>
    <w:p w:rsidR="00EC0BE5" w:rsidRPr="001A20A7" w:rsidRDefault="001A20A7" w:rsidP="001A20A7">
      <w:pPr>
        <w:ind w:firstLine="709"/>
        <w:jc w:val="both"/>
        <w:rPr>
          <w:rFonts w:eastAsia="Andale Sans UI" w:cs="Tahoma"/>
          <w:kern w:val="3"/>
          <w:lang w:eastAsia="ja-JP" w:bidi="fa-IR"/>
        </w:rPr>
      </w:pPr>
      <w:r>
        <w:rPr>
          <w:rFonts w:eastAsia="Times New Roman"/>
        </w:rPr>
        <w:t xml:space="preserve">- по ЦПЭ - </w:t>
      </w:r>
      <w:r w:rsidR="00EC0BE5" w:rsidRPr="000E00C3">
        <w:rPr>
          <w:rFonts w:eastAsia="Times New Roman"/>
        </w:rPr>
        <w:t>с</w:t>
      </w:r>
      <w:r w:rsidR="00EC0BE5" w:rsidRPr="000E00C3">
        <w:rPr>
          <w:spacing w:val="2"/>
          <w:shd w:val="clear" w:color="auto" w:fill="FFFFFF"/>
        </w:rPr>
        <w:t xml:space="preserve">одействие выходу СМСП на иностранные рынки товаров, услуг и технологий; стимулирование и вовлечение СМСП в экспортную деятельность; содействие </w:t>
      </w:r>
      <w:r w:rsidR="00EC0BE5" w:rsidRPr="000E00C3">
        <w:rPr>
          <w:spacing w:val="2"/>
          <w:shd w:val="clear" w:color="auto" w:fill="FFFFFF"/>
        </w:rPr>
        <w:lastRenderedPageBreak/>
        <w:t xml:space="preserve">повышению конкурентоспособности и эффективности деятельности </w:t>
      </w:r>
      <w:proofErr w:type="spellStart"/>
      <w:r w:rsidR="00EC0BE5" w:rsidRPr="000E00C3">
        <w:rPr>
          <w:spacing w:val="2"/>
          <w:shd w:val="clear" w:color="auto" w:fill="FFFFFF"/>
        </w:rPr>
        <w:t>экспортно</w:t>
      </w:r>
      <w:proofErr w:type="spellEnd"/>
      <w:r w:rsidR="00EC0BE5" w:rsidRPr="000E00C3">
        <w:rPr>
          <w:spacing w:val="2"/>
          <w:shd w:val="clear" w:color="auto" w:fill="FFFFFF"/>
        </w:rPr>
        <w:t xml:space="preserve"> ориентированных</w:t>
      </w:r>
      <w:r w:rsidR="00EC0BE5" w:rsidRPr="00B85EF9">
        <w:rPr>
          <w:spacing w:val="2"/>
          <w:shd w:val="clear" w:color="auto" w:fill="FFFFFF"/>
        </w:rPr>
        <w:t xml:space="preserve"> </w:t>
      </w:r>
      <w:r w:rsidR="00EC0BE5">
        <w:rPr>
          <w:spacing w:val="2"/>
          <w:shd w:val="clear" w:color="auto" w:fill="FFFFFF"/>
        </w:rPr>
        <w:t>СМСП</w:t>
      </w:r>
      <w:r w:rsidR="00EC0BE5" w:rsidRPr="00B85EF9">
        <w:rPr>
          <w:spacing w:val="2"/>
          <w:shd w:val="clear" w:color="auto" w:fill="FFFFFF"/>
        </w:rPr>
        <w:t>.</w:t>
      </w:r>
      <w:r w:rsidR="00EC0BE5">
        <w:rPr>
          <w:spacing w:val="2"/>
          <w:shd w:val="clear" w:color="auto" w:fill="FFFFFF"/>
        </w:rPr>
        <w:t xml:space="preserve"> </w:t>
      </w:r>
      <w:r w:rsidR="00EC0BE5" w:rsidRPr="000E00C3">
        <w:t>На базе ЦПЭ реализуется образовательный проект АО «Российский экспортный центр»</w:t>
      </w:r>
      <w:r w:rsidR="00E33988">
        <w:t xml:space="preserve"> </w:t>
      </w:r>
      <w:r w:rsidR="00EC0BE5" w:rsidRPr="000E00C3">
        <w:t>– это курсы повышения квалификации для представителей малого и среднего бизнеса, заинтересованных в развитии экспортного потенциала своих предприятий. В 2017 году по этой программе обучено 52 СМСП.</w:t>
      </w:r>
    </w:p>
    <w:p w:rsidR="004B0482" w:rsidRDefault="004B0482" w:rsidP="004B0482">
      <w:pPr>
        <w:ind w:firstLine="709"/>
        <w:jc w:val="both"/>
        <w:rPr>
          <w:bCs/>
        </w:rPr>
      </w:pPr>
      <w:r w:rsidRPr="00BA1B78">
        <w:rPr>
          <w:bCs/>
        </w:rPr>
        <w:t>Инфор</w:t>
      </w:r>
      <w:r>
        <w:rPr>
          <w:bCs/>
        </w:rPr>
        <w:t>мация о финансовом обеспечении в 2017 году –</w:t>
      </w:r>
      <w:r w:rsidRPr="004B0482">
        <w:rPr>
          <w:bCs/>
        </w:rPr>
        <w:t xml:space="preserve"> </w:t>
      </w:r>
      <w:r>
        <w:rPr>
          <w:bCs/>
          <w:lang w:val="en-US"/>
        </w:rPr>
        <w:t>I</w:t>
      </w:r>
      <w:r w:rsidRPr="004B0482">
        <w:rPr>
          <w:bCs/>
        </w:rPr>
        <w:t xml:space="preserve"> </w:t>
      </w:r>
      <w:r>
        <w:rPr>
          <w:bCs/>
        </w:rPr>
        <w:t xml:space="preserve">квартале 2018 года </w:t>
      </w:r>
      <w:r w:rsidRPr="00BA1B78">
        <w:rPr>
          <w:bCs/>
        </w:rPr>
        <w:t xml:space="preserve"> </w:t>
      </w:r>
      <w:r w:rsidR="000F1C6D">
        <w:rPr>
          <w:bCs/>
        </w:rPr>
        <w:t xml:space="preserve">в разрезе указанных структурных подразделений ГАУ Бизнес-инкубатор </w:t>
      </w:r>
      <w:r w:rsidRPr="00BA1B78">
        <w:rPr>
          <w:bCs/>
        </w:rPr>
        <w:t>представлена  в таблице.</w:t>
      </w:r>
    </w:p>
    <w:p w:rsidR="004008BB" w:rsidRDefault="004008BB" w:rsidP="004008BB">
      <w:pPr>
        <w:ind w:firstLine="709"/>
        <w:jc w:val="right"/>
        <w:rPr>
          <w:bCs/>
          <w:sz w:val="22"/>
          <w:szCs w:val="22"/>
        </w:rPr>
      </w:pPr>
      <w:r w:rsidRPr="00A93067">
        <w:rPr>
          <w:bCs/>
          <w:sz w:val="22"/>
          <w:szCs w:val="22"/>
        </w:rPr>
        <w:t>тыс. руб.</w:t>
      </w:r>
    </w:p>
    <w:tbl>
      <w:tblPr>
        <w:tblW w:w="9946" w:type="dxa"/>
        <w:tblInd w:w="85" w:type="dxa"/>
        <w:tblLayout w:type="fixed"/>
        <w:tblLook w:val="04A0"/>
      </w:tblPr>
      <w:tblGrid>
        <w:gridCol w:w="2291"/>
        <w:gridCol w:w="1100"/>
        <w:gridCol w:w="1180"/>
        <w:gridCol w:w="964"/>
        <w:gridCol w:w="1009"/>
        <w:gridCol w:w="992"/>
        <w:gridCol w:w="1276"/>
        <w:gridCol w:w="1134"/>
      </w:tblGrid>
      <w:tr w:rsidR="00597F03" w:rsidRPr="005276DF" w:rsidTr="002E1A02">
        <w:trPr>
          <w:trHeight w:val="521"/>
          <w:tblHeader/>
        </w:trPr>
        <w:tc>
          <w:tcPr>
            <w:tcW w:w="2291" w:type="dxa"/>
            <w:tcBorders>
              <w:top w:val="double" w:sz="6" w:space="0" w:color="auto"/>
              <w:left w:val="double" w:sz="6" w:space="0" w:color="auto"/>
              <w:bottom w:val="double" w:sz="6" w:space="0" w:color="auto"/>
              <w:right w:val="single" w:sz="4" w:space="0" w:color="auto"/>
            </w:tcBorders>
            <w:shd w:val="clear" w:color="000000" w:fill="EAF1DD"/>
            <w:vAlign w:val="bottom"/>
            <w:hideMark/>
          </w:tcPr>
          <w:p w:rsidR="00597F03" w:rsidRPr="005276DF" w:rsidRDefault="00597F03" w:rsidP="00732D6B">
            <w:pPr>
              <w:jc w:val="center"/>
              <w:rPr>
                <w:rFonts w:eastAsia="Times New Roman"/>
                <w:b/>
                <w:bCs/>
                <w:i/>
                <w:iCs/>
                <w:color w:val="000000"/>
                <w:sz w:val="16"/>
                <w:szCs w:val="16"/>
              </w:rPr>
            </w:pPr>
            <w:r w:rsidRPr="005276DF">
              <w:rPr>
                <w:rFonts w:eastAsia="Times New Roman"/>
                <w:b/>
                <w:bCs/>
                <w:i/>
                <w:iCs/>
                <w:color w:val="000000"/>
                <w:sz w:val="16"/>
                <w:szCs w:val="16"/>
              </w:rPr>
              <w:t>Наименование</w:t>
            </w:r>
          </w:p>
        </w:tc>
        <w:tc>
          <w:tcPr>
            <w:tcW w:w="1100" w:type="dxa"/>
            <w:tcBorders>
              <w:top w:val="double" w:sz="6" w:space="0" w:color="auto"/>
              <w:left w:val="nil"/>
              <w:bottom w:val="double" w:sz="6" w:space="0" w:color="auto"/>
              <w:right w:val="single" w:sz="4" w:space="0" w:color="auto"/>
            </w:tcBorders>
            <w:shd w:val="clear" w:color="000000" w:fill="EAF1DD"/>
            <w:vAlign w:val="bottom"/>
            <w:hideMark/>
          </w:tcPr>
          <w:p w:rsidR="00597F03" w:rsidRPr="005276DF" w:rsidRDefault="00597F03" w:rsidP="00732D6B">
            <w:pPr>
              <w:jc w:val="center"/>
              <w:rPr>
                <w:rFonts w:eastAsia="Times New Roman"/>
                <w:b/>
                <w:bCs/>
                <w:i/>
                <w:iCs/>
                <w:color w:val="000000"/>
                <w:sz w:val="16"/>
                <w:szCs w:val="16"/>
              </w:rPr>
            </w:pPr>
            <w:r w:rsidRPr="005276DF">
              <w:rPr>
                <w:rFonts w:eastAsia="Times New Roman"/>
                <w:b/>
                <w:bCs/>
                <w:i/>
                <w:iCs/>
                <w:color w:val="000000"/>
                <w:sz w:val="16"/>
                <w:szCs w:val="16"/>
              </w:rPr>
              <w:t>Остаток на 01.01.2017</w:t>
            </w:r>
          </w:p>
        </w:tc>
        <w:tc>
          <w:tcPr>
            <w:tcW w:w="1180" w:type="dxa"/>
            <w:tcBorders>
              <w:top w:val="double" w:sz="6" w:space="0" w:color="auto"/>
              <w:left w:val="nil"/>
              <w:bottom w:val="double" w:sz="6" w:space="0" w:color="auto"/>
              <w:right w:val="single" w:sz="4" w:space="0" w:color="auto"/>
            </w:tcBorders>
            <w:shd w:val="clear" w:color="000000" w:fill="EAF1DD"/>
            <w:vAlign w:val="bottom"/>
            <w:hideMark/>
          </w:tcPr>
          <w:p w:rsidR="00597F03" w:rsidRPr="005276DF" w:rsidRDefault="00597F03" w:rsidP="00732D6B">
            <w:pPr>
              <w:jc w:val="center"/>
              <w:rPr>
                <w:rFonts w:eastAsia="Times New Roman"/>
                <w:b/>
                <w:bCs/>
                <w:i/>
                <w:iCs/>
                <w:color w:val="000000"/>
                <w:sz w:val="16"/>
                <w:szCs w:val="16"/>
              </w:rPr>
            </w:pPr>
            <w:r w:rsidRPr="005276DF">
              <w:rPr>
                <w:rFonts w:eastAsia="Times New Roman"/>
                <w:b/>
                <w:bCs/>
                <w:i/>
                <w:iCs/>
                <w:color w:val="000000"/>
                <w:sz w:val="16"/>
                <w:szCs w:val="16"/>
              </w:rPr>
              <w:t>Поступило субсидий в 2017 году</w:t>
            </w:r>
          </w:p>
        </w:tc>
        <w:tc>
          <w:tcPr>
            <w:tcW w:w="964" w:type="dxa"/>
            <w:tcBorders>
              <w:top w:val="double" w:sz="6" w:space="0" w:color="auto"/>
              <w:left w:val="nil"/>
              <w:bottom w:val="double" w:sz="6" w:space="0" w:color="auto"/>
              <w:right w:val="single" w:sz="4" w:space="0" w:color="auto"/>
            </w:tcBorders>
            <w:shd w:val="clear" w:color="000000" w:fill="EAF1DD"/>
            <w:vAlign w:val="bottom"/>
            <w:hideMark/>
          </w:tcPr>
          <w:p w:rsidR="00597F03" w:rsidRPr="005276DF" w:rsidRDefault="00597F03" w:rsidP="00732D6B">
            <w:pPr>
              <w:jc w:val="center"/>
              <w:rPr>
                <w:rFonts w:eastAsia="Times New Roman"/>
                <w:b/>
                <w:bCs/>
                <w:i/>
                <w:iCs/>
                <w:color w:val="000000"/>
                <w:sz w:val="16"/>
                <w:szCs w:val="16"/>
              </w:rPr>
            </w:pPr>
            <w:r w:rsidRPr="005276DF">
              <w:rPr>
                <w:rFonts w:eastAsia="Times New Roman"/>
                <w:b/>
                <w:bCs/>
                <w:i/>
                <w:iCs/>
                <w:color w:val="000000"/>
                <w:sz w:val="16"/>
                <w:szCs w:val="16"/>
              </w:rPr>
              <w:t>Кассовые расходы 2017года</w:t>
            </w:r>
          </w:p>
        </w:tc>
        <w:tc>
          <w:tcPr>
            <w:tcW w:w="1009" w:type="dxa"/>
            <w:tcBorders>
              <w:top w:val="double" w:sz="6" w:space="0" w:color="auto"/>
              <w:left w:val="nil"/>
              <w:bottom w:val="double" w:sz="6" w:space="0" w:color="auto"/>
              <w:right w:val="single" w:sz="4" w:space="0" w:color="auto"/>
            </w:tcBorders>
            <w:shd w:val="clear" w:color="000000" w:fill="EAF1DD"/>
            <w:vAlign w:val="bottom"/>
            <w:hideMark/>
          </w:tcPr>
          <w:p w:rsidR="00597F03" w:rsidRPr="005276DF" w:rsidRDefault="00597F03" w:rsidP="00732D6B">
            <w:pPr>
              <w:jc w:val="center"/>
              <w:rPr>
                <w:rFonts w:eastAsia="Times New Roman"/>
                <w:b/>
                <w:bCs/>
                <w:i/>
                <w:iCs/>
                <w:color w:val="000000"/>
                <w:sz w:val="16"/>
                <w:szCs w:val="16"/>
              </w:rPr>
            </w:pPr>
            <w:r w:rsidRPr="005276DF">
              <w:rPr>
                <w:rFonts w:eastAsia="Times New Roman"/>
                <w:b/>
                <w:bCs/>
                <w:i/>
                <w:iCs/>
                <w:color w:val="000000"/>
                <w:sz w:val="16"/>
                <w:szCs w:val="16"/>
              </w:rPr>
              <w:t>Остаток на 01.01.2018</w:t>
            </w:r>
          </w:p>
        </w:tc>
        <w:tc>
          <w:tcPr>
            <w:tcW w:w="992" w:type="dxa"/>
            <w:tcBorders>
              <w:top w:val="double" w:sz="6" w:space="0" w:color="auto"/>
              <w:left w:val="nil"/>
              <w:bottom w:val="double" w:sz="6" w:space="0" w:color="auto"/>
              <w:right w:val="single" w:sz="4" w:space="0" w:color="auto"/>
            </w:tcBorders>
            <w:shd w:val="clear" w:color="000000" w:fill="EAF1DD"/>
            <w:vAlign w:val="bottom"/>
            <w:hideMark/>
          </w:tcPr>
          <w:p w:rsidR="00597F03" w:rsidRPr="005276DF" w:rsidRDefault="00597F03" w:rsidP="00732D6B">
            <w:pPr>
              <w:jc w:val="center"/>
              <w:rPr>
                <w:rFonts w:eastAsia="Times New Roman"/>
                <w:b/>
                <w:bCs/>
                <w:i/>
                <w:iCs/>
                <w:color w:val="000000"/>
                <w:sz w:val="16"/>
                <w:szCs w:val="16"/>
              </w:rPr>
            </w:pPr>
            <w:r w:rsidRPr="005276DF">
              <w:rPr>
                <w:rFonts w:eastAsia="Times New Roman"/>
                <w:b/>
                <w:bCs/>
                <w:i/>
                <w:iCs/>
                <w:color w:val="000000"/>
                <w:sz w:val="16"/>
                <w:szCs w:val="16"/>
              </w:rPr>
              <w:t>Поступило 1 кв.2018 года</w:t>
            </w:r>
          </w:p>
        </w:tc>
        <w:tc>
          <w:tcPr>
            <w:tcW w:w="1276" w:type="dxa"/>
            <w:tcBorders>
              <w:top w:val="double" w:sz="6" w:space="0" w:color="auto"/>
              <w:left w:val="nil"/>
              <w:bottom w:val="double" w:sz="6" w:space="0" w:color="auto"/>
              <w:right w:val="single" w:sz="4" w:space="0" w:color="auto"/>
            </w:tcBorders>
            <w:shd w:val="clear" w:color="000000" w:fill="EAF1DD"/>
            <w:vAlign w:val="bottom"/>
            <w:hideMark/>
          </w:tcPr>
          <w:p w:rsidR="00597F03" w:rsidRPr="005276DF" w:rsidRDefault="00597F03" w:rsidP="00732D6B">
            <w:pPr>
              <w:jc w:val="center"/>
              <w:rPr>
                <w:rFonts w:eastAsia="Times New Roman"/>
                <w:b/>
                <w:bCs/>
                <w:i/>
                <w:iCs/>
                <w:color w:val="000000"/>
                <w:sz w:val="16"/>
                <w:szCs w:val="16"/>
              </w:rPr>
            </w:pPr>
            <w:r w:rsidRPr="005276DF">
              <w:rPr>
                <w:rFonts w:eastAsia="Times New Roman"/>
                <w:b/>
                <w:bCs/>
                <w:i/>
                <w:iCs/>
                <w:color w:val="000000"/>
                <w:sz w:val="16"/>
                <w:szCs w:val="16"/>
              </w:rPr>
              <w:t>Кассовые расходы     1 кв. 2018 года</w:t>
            </w:r>
          </w:p>
        </w:tc>
        <w:tc>
          <w:tcPr>
            <w:tcW w:w="1134" w:type="dxa"/>
            <w:tcBorders>
              <w:top w:val="double" w:sz="6" w:space="0" w:color="auto"/>
              <w:left w:val="nil"/>
              <w:bottom w:val="double" w:sz="6" w:space="0" w:color="auto"/>
              <w:right w:val="double" w:sz="6" w:space="0" w:color="auto"/>
            </w:tcBorders>
            <w:shd w:val="clear" w:color="000000" w:fill="EAF1DD"/>
            <w:vAlign w:val="bottom"/>
            <w:hideMark/>
          </w:tcPr>
          <w:p w:rsidR="00597F03" w:rsidRPr="005276DF" w:rsidRDefault="00597F03" w:rsidP="00732D6B">
            <w:pPr>
              <w:jc w:val="center"/>
              <w:rPr>
                <w:rFonts w:eastAsia="Times New Roman"/>
                <w:b/>
                <w:bCs/>
                <w:i/>
                <w:iCs/>
                <w:color w:val="000000"/>
                <w:sz w:val="16"/>
                <w:szCs w:val="16"/>
              </w:rPr>
            </w:pPr>
            <w:r w:rsidRPr="005276DF">
              <w:rPr>
                <w:rFonts w:eastAsia="Times New Roman"/>
                <w:b/>
                <w:bCs/>
                <w:i/>
                <w:iCs/>
                <w:color w:val="000000"/>
                <w:sz w:val="16"/>
                <w:szCs w:val="16"/>
              </w:rPr>
              <w:t>Остаток на 01.04.2018</w:t>
            </w:r>
          </w:p>
        </w:tc>
      </w:tr>
      <w:tr w:rsidR="00597F03" w:rsidRPr="005276DF" w:rsidTr="00732D6B">
        <w:trPr>
          <w:trHeight w:val="203"/>
        </w:trPr>
        <w:tc>
          <w:tcPr>
            <w:tcW w:w="9946" w:type="dxa"/>
            <w:gridSpan w:val="8"/>
            <w:tcBorders>
              <w:top w:val="double" w:sz="6" w:space="0" w:color="auto"/>
              <w:left w:val="double" w:sz="6" w:space="0" w:color="auto"/>
              <w:bottom w:val="nil"/>
              <w:right w:val="double" w:sz="6" w:space="0" w:color="000000"/>
            </w:tcBorders>
            <w:shd w:val="clear" w:color="000000" w:fill="FFFFFF"/>
            <w:vAlign w:val="bottom"/>
            <w:hideMark/>
          </w:tcPr>
          <w:p w:rsidR="00597F03" w:rsidRPr="005276DF" w:rsidRDefault="00597F03" w:rsidP="00732D6B">
            <w:pPr>
              <w:jc w:val="center"/>
              <w:rPr>
                <w:rFonts w:eastAsia="Times New Roman"/>
                <w:b/>
                <w:bCs/>
                <w:i/>
                <w:iCs/>
                <w:color w:val="000000"/>
                <w:sz w:val="16"/>
                <w:szCs w:val="16"/>
              </w:rPr>
            </w:pPr>
            <w:r w:rsidRPr="005276DF">
              <w:rPr>
                <w:rFonts w:eastAsia="Times New Roman"/>
                <w:b/>
                <w:bCs/>
                <w:i/>
                <w:iCs/>
                <w:color w:val="000000"/>
                <w:sz w:val="16"/>
                <w:szCs w:val="16"/>
              </w:rPr>
              <w:t>ЦПП</w:t>
            </w:r>
          </w:p>
        </w:tc>
      </w:tr>
      <w:tr w:rsidR="00597F03" w:rsidRPr="005276DF" w:rsidTr="00732D6B">
        <w:trPr>
          <w:trHeight w:val="375"/>
        </w:trPr>
        <w:tc>
          <w:tcPr>
            <w:tcW w:w="2291" w:type="dxa"/>
            <w:tcBorders>
              <w:top w:val="single" w:sz="4" w:space="0" w:color="auto"/>
              <w:left w:val="double" w:sz="6" w:space="0" w:color="auto"/>
              <w:bottom w:val="single" w:sz="4" w:space="0" w:color="auto"/>
              <w:right w:val="single" w:sz="4" w:space="0" w:color="auto"/>
            </w:tcBorders>
            <w:shd w:val="clear" w:color="auto" w:fill="auto"/>
            <w:hideMark/>
          </w:tcPr>
          <w:p w:rsidR="00597F03" w:rsidRPr="005276DF" w:rsidRDefault="00597F03" w:rsidP="00732D6B">
            <w:pPr>
              <w:rPr>
                <w:rFonts w:eastAsia="Times New Roman"/>
                <w:color w:val="000000"/>
                <w:sz w:val="16"/>
                <w:szCs w:val="16"/>
              </w:rPr>
            </w:pPr>
            <w:r w:rsidRPr="005276DF">
              <w:rPr>
                <w:rFonts w:eastAsia="Times New Roman"/>
                <w:color w:val="000000"/>
                <w:sz w:val="16"/>
                <w:szCs w:val="16"/>
              </w:rPr>
              <w:t>Субсидия на иные цели</w:t>
            </w:r>
            <w:r>
              <w:rPr>
                <w:rFonts w:eastAsia="Times New Roman"/>
                <w:color w:val="000000"/>
                <w:sz w:val="16"/>
                <w:szCs w:val="16"/>
              </w:rPr>
              <w:t xml:space="preserve"> (федеральный бюджет)</w:t>
            </w:r>
          </w:p>
        </w:tc>
        <w:tc>
          <w:tcPr>
            <w:tcW w:w="1100" w:type="dxa"/>
            <w:tcBorders>
              <w:top w:val="single" w:sz="4" w:space="0" w:color="auto"/>
              <w:left w:val="nil"/>
              <w:bottom w:val="single" w:sz="4" w:space="0" w:color="auto"/>
              <w:right w:val="single" w:sz="4" w:space="0" w:color="auto"/>
            </w:tcBorders>
            <w:shd w:val="clear" w:color="auto" w:fill="auto"/>
            <w:vAlign w:val="bottom"/>
            <w:hideMark/>
          </w:tcPr>
          <w:p w:rsidR="00597F03" w:rsidRPr="005276DF" w:rsidRDefault="00597F03" w:rsidP="00732D6B">
            <w:pPr>
              <w:jc w:val="center"/>
              <w:rPr>
                <w:rFonts w:eastAsia="Times New Roman"/>
                <w:color w:val="000000"/>
                <w:sz w:val="16"/>
                <w:szCs w:val="16"/>
              </w:rPr>
            </w:pPr>
            <w:r w:rsidRPr="005276DF">
              <w:rPr>
                <w:rFonts w:eastAsia="Times New Roman"/>
                <w:color w:val="000000"/>
                <w:sz w:val="16"/>
                <w:szCs w:val="16"/>
              </w:rPr>
              <w:t>31 506,2</w:t>
            </w:r>
          </w:p>
        </w:tc>
        <w:tc>
          <w:tcPr>
            <w:tcW w:w="1180" w:type="dxa"/>
            <w:tcBorders>
              <w:top w:val="single" w:sz="4" w:space="0" w:color="auto"/>
              <w:left w:val="nil"/>
              <w:bottom w:val="single" w:sz="4" w:space="0" w:color="auto"/>
              <w:right w:val="single" w:sz="4" w:space="0" w:color="auto"/>
            </w:tcBorders>
            <w:shd w:val="clear" w:color="auto" w:fill="auto"/>
            <w:vAlign w:val="bottom"/>
            <w:hideMark/>
          </w:tcPr>
          <w:p w:rsidR="00597F03" w:rsidRPr="005276DF" w:rsidRDefault="00597F03" w:rsidP="00732D6B">
            <w:pPr>
              <w:jc w:val="center"/>
              <w:rPr>
                <w:rFonts w:eastAsia="Times New Roman"/>
                <w:color w:val="000000"/>
                <w:sz w:val="16"/>
                <w:szCs w:val="16"/>
              </w:rPr>
            </w:pPr>
            <w:r w:rsidRPr="005276DF">
              <w:rPr>
                <w:rFonts w:eastAsia="Times New Roman"/>
                <w:color w:val="000000"/>
                <w:sz w:val="16"/>
                <w:szCs w:val="16"/>
              </w:rPr>
              <w:t>14 000,0</w:t>
            </w:r>
          </w:p>
        </w:tc>
        <w:tc>
          <w:tcPr>
            <w:tcW w:w="964" w:type="dxa"/>
            <w:tcBorders>
              <w:top w:val="single" w:sz="4" w:space="0" w:color="auto"/>
              <w:left w:val="nil"/>
              <w:bottom w:val="single" w:sz="4" w:space="0" w:color="auto"/>
              <w:right w:val="single" w:sz="4" w:space="0" w:color="auto"/>
            </w:tcBorders>
            <w:shd w:val="clear" w:color="auto" w:fill="auto"/>
            <w:vAlign w:val="bottom"/>
            <w:hideMark/>
          </w:tcPr>
          <w:p w:rsidR="00597F03" w:rsidRPr="005276DF" w:rsidRDefault="00597F03" w:rsidP="00732D6B">
            <w:pPr>
              <w:jc w:val="center"/>
              <w:rPr>
                <w:rFonts w:eastAsia="Times New Roman"/>
                <w:color w:val="000000"/>
                <w:sz w:val="16"/>
                <w:szCs w:val="16"/>
              </w:rPr>
            </w:pPr>
            <w:r w:rsidRPr="005276DF">
              <w:rPr>
                <w:rFonts w:eastAsia="Times New Roman"/>
                <w:color w:val="000000"/>
                <w:sz w:val="16"/>
                <w:szCs w:val="16"/>
              </w:rPr>
              <w:t>32 268,5</w:t>
            </w:r>
          </w:p>
        </w:tc>
        <w:tc>
          <w:tcPr>
            <w:tcW w:w="1009" w:type="dxa"/>
            <w:tcBorders>
              <w:top w:val="single" w:sz="4" w:space="0" w:color="auto"/>
              <w:left w:val="nil"/>
              <w:bottom w:val="single" w:sz="4" w:space="0" w:color="auto"/>
              <w:right w:val="single" w:sz="4" w:space="0" w:color="auto"/>
            </w:tcBorders>
            <w:shd w:val="clear" w:color="auto" w:fill="auto"/>
            <w:vAlign w:val="bottom"/>
            <w:hideMark/>
          </w:tcPr>
          <w:p w:rsidR="00597F03" w:rsidRPr="005276DF" w:rsidRDefault="00597F03" w:rsidP="00732D6B">
            <w:pPr>
              <w:jc w:val="center"/>
              <w:rPr>
                <w:rFonts w:eastAsia="Times New Roman"/>
                <w:color w:val="000000"/>
                <w:sz w:val="16"/>
                <w:szCs w:val="16"/>
              </w:rPr>
            </w:pPr>
            <w:r w:rsidRPr="005276DF">
              <w:rPr>
                <w:rFonts w:eastAsia="Times New Roman"/>
                <w:color w:val="000000"/>
                <w:sz w:val="16"/>
                <w:szCs w:val="16"/>
              </w:rPr>
              <w:t>13 237,7</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597F03" w:rsidRPr="005276DF" w:rsidRDefault="00597F03" w:rsidP="00732D6B">
            <w:pPr>
              <w:jc w:val="center"/>
              <w:rPr>
                <w:rFonts w:eastAsia="Times New Roman"/>
                <w:color w:val="000000"/>
                <w:sz w:val="16"/>
                <w:szCs w:val="16"/>
              </w:rPr>
            </w:pPr>
            <w:r w:rsidRPr="005276DF">
              <w:rPr>
                <w:rFonts w:eastAsia="Times New Roman"/>
                <w:color w:val="000000"/>
                <w:sz w:val="16"/>
                <w:szCs w:val="16"/>
              </w:rPr>
              <w:t>0,0</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597F03" w:rsidRPr="005276DF" w:rsidRDefault="00597F03" w:rsidP="00732D6B">
            <w:pPr>
              <w:jc w:val="center"/>
              <w:rPr>
                <w:rFonts w:eastAsia="Times New Roman"/>
                <w:color w:val="000000"/>
                <w:sz w:val="16"/>
                <w:szCs w:val="16"/>
              </w:rPr>
            </w:pPr>
            <w:r w:rsidRPr="005276DF">
              <w:rPr>
                <w:rFonts w:eastAsia="Times New Roman"/>
                <w:color w:val="000000"/>
                <w:sz w:val="16"/>
                <w:szCs w:val="16"/>
              </w:rPr>
              <w:t>407,2</w:t>
            </w:r>
          </w:p>
        </w:tc>
        <w:tc>
          <w:tcPr>
            <w:tcW w:w="1134" w:type="dxa"/>
            <w:tcBorders>
              <w:top w:val="single" w:sz="4" w:space="0" w:color="auto"/>
              <w:left w:val="nil"/>
              <w:bottom w:val="single" w:sz="4" w:space="0" w:color="auto"/>
              <w:right w:val="double" w:sz="6" w:space="0" w:color="auto"/>
            </w:tcBorders>
            <w:shd w:val="clear" w:color="auto" w:fill="auto"/>
            <w:vAlign w:val="bottom"/>
            <w:hideMark/>
          </w:tcPr>
          <w:p w:rsidR="00597F03" w:rsidRPr="005276DF" w:rsidRDefault="00597F03" w:rsidP="00732D6B">
            <w:pPr>
              <w:jc w:val="center"/>
              <w:rPr>
                <w:rFonts w:eastAsia="Times New Roman"/>
                <w:color w:val="000000"/>
                <w:sz w:val="16"/>
                <w:szCs w:val="16"/>
              </w:rPr>
            </w:pPr>
            <w:r w:rsidRPr="005276DF">
              <w:rPr>
                <w:rFonts w:eastAsia="Times New Roman"/>
                <w:color w:val="000000"/>
                <w:sz w:val="16"/>
                <w:szCs w:val="16"/>
              </w:rPr>
              <w:t>12 830,5</w:t>
            </w:r>
          </w:p>
        </w:tc>
      </w:tr>
      <w:tr w:rsidR="00597F03" w:rsidRPr="005276DF" w:rsidTr="00732D6B">
        <w:trPr>
          <w:trHeight w:val="330"/>
        </w:trPr>
        <w:tc>
          <w:tcPr>
            <w:tcW w:w="2291" w:type="dxa"/>
            <w:tcBorders>
              <w:top w:val="nil"/>
              <w:left w:val="double" w:sz="6" w:space="0" w:color="auto"/>
              <w:bottom w:val="single" w:sz="8" w:space="0" w:color="auto"/>
              <w:right w:val="single" w:sz="4" w:space="0" w:color="auto"/>
            </w:tcBorders>
            <w:shd w:val="clear" w:color="auto" w:fill="auto"/>
            <w:hideMark/>
          </w:tcPr>
          <w:p w:rsidR="00597F03" w:rsidRPr="005276DF" w:rsidRDefault="00597F03" w:rsidP="00732D6B">
            <w:pPr>
              <w:rPr>
                <w:rFonts w:eastAsia="Times New Roman"/>
                <w:color w:val="000000"/>
                <w:sz w:val="16"/>
                <w:szCs w:val="16"/>
              </w:rPr>
            </w:pPr>
            <w:r>
              <w:rPr>
                <w:rFonts w:eastAsia="Times New Roman"/>
                <w:color w:val="000000"/>
                <w:sz w:val="16"/>
                <w:szCs w:val="16"/>
              </w:rPr>
              <w:t>Субсидия на гос</w:t>
            </w:r>
            <w:r w:rsidRPr="005276DF">
              <w:rPr>
                <w:rFonts w:eastAsia="Times New Roman"/>
                <w:color w:val="000000"/>
                <w:sz w:val="16"/>
                <w:szCs w:val="16"/>
              </w:rPr>
              <w:t>задание</w:t>
            </w:r>
            <w:r>
              <w:rPr>
                <w:rFonts w:eastAsia="Times New Roman"/>
                <w:color w:val="000000"/>
                <w:sz w:val="16"/>
                <w:szCs w:val="16"/>
              </w:rPr>
              <w:t xml:space="preserve"> (областной бюджет)</w:t>
            </w:r>
          </w:p>
        </w:tc>
        <w:tc>
          <w:tcPr>
            <w:tcW w:w="1100" w:type="dxa"/>
            <w:tcBorders>
              <w:top w:val="nil"/>
              <w:left w:val="nil"/>
              <w:bottom w:val="single" w:sz="8" w:space="0" w:color="auto"/>
              <w:right w:val="single" w:sz="4" w:space="0" w:color="auto"/>
            </w:tcBorders>
            <w:shd w:val="clear" w:color="auto" w:fill="auto"/>
            <w:noWrap/>
            <w:vAlign w:val="bottom"/>
            <w:hideMark/>
          </w:tcPr>
          <w:p w:rsidR="00597F03" w:rsidRPr="005276DF" w:rsidRDefault="00597F03" w:rsidP="00732D6B">
            <w:pPr>
              <w:jc w:val="center"/>
              <w:rPr>
                <w:rFonts w:eastAsia="Times New Roman"/>
                <w:color w:val="000000"/>
                <w:sz w:val="16"/>
                <w:szCs w:val="16"/>
              </w:rPr>
            </w:pPr>
            <w:r w:rsidRPr="005276DF">
              <w:rPr>
                <w:rFonts w:eastAsia="Times New Roman"/>
                <w:color w:val="000000"/>
                <w:sz w:val="16"/>
                <w:szCs w:val="16"/>
              </w:rPr>
              <w:t>917,8</w:t>
            </w:r>
          </w:p>
        </w:tc>
        <w:tc>
          <w:tcPr>
            <w:tcW w:w="1180" w:type="dxa"/>
            <w:tcBorders>
              <w:top w:val="nil"/>
              <w:left w:val="nil"/>
              <w:bottom w:val="single" w:sz="8" w:space="0" w:color="auto"/>
              <w:right w:val="single" w:sz="4" w:space="0" w:color="auto"/>
            </w:tcBorders>
            <w:shd w:val="clear" w:color="auto" w:fill="auto"/>
            <w:vAlign w:val="bottom"/>
            <w:hideMark/>
          </w:tcPr>
          <w:p w:rsidR="00597F03" w:rsidRPr="005276DF" w:rsidRDefault="00597F03" w:rsidP="00732D6B">
            <w:pPr>
              <w:jc w:val="center"/>
              <w:rPr>
                <w:rFonts w:eastAsia="Times New Roman"/>
                <w:color w:val="000000"/>
                <w:sz w:val="16"/>
                <w:szCs w:val="16"/>
              </w:rPr>
            </w:pPr>
            <w:r w:rsidRPr="005276DF">
              <w:rPr>
                <w:rFonts w:eastAsia="Times New Roman"/>
                <w:color w:val="000000"/>
                <w:sz w:val="16"/>
                <w:szCs w:val="16"/>
              </w:rPr>
              <w:t>3 500,0</w:t>
            </w:r>
          </w:p>
        </w:tc>
        <w:tc>
          <w:tcPr>
            <w:tcW w:w="964" w:type="dxa"/>
            <w:tcBorders>
              <w:top w:val="nil"/>
              <w:left w:val="nil"/>
              <w:bottom w:val="single" w:sz="8" w:space="0" w:color="auto"/>
              <w:right w:val="single" w:sz="4" w:space="0" w:color="auto"/>
            </w:tcBorders>
            <w:shd w:val="clear" w:color="auto" w:fill="auto"/>
            <w:vAlign w:val="bottom"/>
            <w:hideMark/>
          </w:tcPr>
          <w:p w:rsidR="00597F03" w:rsidRPr="005276DF" w:rsidRDefault="00597F03" w:rsidP="00732D6B">
            <w:pPr>
              <w:jc w:val="center"/>
              <w:rPr>
                <w:rFonts w:eastAsia="Times New Roman"/>
                <w:color w:val="000000"/>
                <w:sz w:val="16"/>
                <w:szCs w:val="16"/>
              </w:rPr>
            </w:pPr>
            <w:r w:rsidRPr="005276DF">
              <w:rPr>
                <w:rFonts w:eastAsia="Times New Roman"/>
                <w:color w:val="000000"/>
                <w:sz w:val="16"/>
                <w:szCs w:val="16"/>
              </w:rPr>
              <w:t>3 446,3</w:t>
            </w:r>
          </w:p>
        </w:tc>
        <w:tc>
          <w:tcPr>
            <w:tcW w:w="1009" w:type="dxa"/>
            <w:tcBorders>
              <w:top w:val="nil"/>
              <w:left w:val="nil"/>
              <w:bottom w:val="single" w:sz="8" w:space="0" w:color="auto"/>
              <w:right w:val="single" w:sz="4" w:space="0" w:color="auto"/>
            </w:tcBorders>
            <w:shd w:val="clear" w:color="auto" w:fill="auto"/>
            <w:vAlign w:val="bottom"/>
            <w:hideMark/>
          </w:tcPr>
          <w:p w:rsidR="00597F03" w:rsidRPr="005276DF" w:rsidRDefault="00597F03" w:rsidP="00732D6B">
            <w:pPr>
              <w:jc w:val="center"/>
              <w:rPr>
                <w:rFonts w:eastAsia="Times New Roman"/>
                <w:color w:val="000000"/>
                <w:sz w:val="16"/>
                <w:szCs w:val="16"/>
              </w:rPr>
            </w:pPr>
            <w:r w:rsidRPr="005276DF">
              <w:rPr>
                <w:rFonts w:eastAsia="Times New Roman"/>
                <w:color w:val="000000"/>
                <w:sz w:val="16"/>
                <w:szCs w:val="16"/>
              </w:rPr>
              <w:t>971,5</w:t>
            </w:r>
          </w:p>
        </w:tc>
        <w:tc>
          <w:tcPr>
            <w:tcW w:w="992" w:type="dxa"/>
            <w:tcBorders>
              <w:top w:val="nil"/>
              <w:left w:val="nil"/>
              <w:bottom w:val="single" w:sz="8" w:space="0" w:color="auto"/>
              <w:right w:val="single" w:sz="4" w:space="0" w:color="auto"/>
            </w:tcBorders>
            <w:shd w:val="clear" w:color="auto" w:fill="auto"/>
            <w:vAlign w:val="bottom"/>
            <w:hideMark/>
          </w:tcPr>
          <w:p w:rsidR="00597F03" w:rsidRPr="005276DF" w:rsidRDefault="00597F03" w:rsidP="00732D6B">
            <w:pPr>
              <w:jc w:val="center"/>
              <w:rPr>
                <w:rFonts w:eastAsia="Times New Roman"/>
                <w:color w:val="000000"/>
                <w:sz w:val="16"/>
                <w:szCs w:val="16"/>
              </w:rPr>
            </w:pPr>
            <w:r w:rsidRPr="005276DF">
              <w:rPr>
                <w:rFonts w:eastAsia="Times New Roman"/>
                <w:color w:val="000000"/>
                <w:sz w:val="16"/>
                <w:szCs w:val="16"/>
              </w:rPr>
              <w:t>650,0</w:t>
            </w:r>
          </w:p>
        </w:tc>
        <w:tc>
          <w:tcPr>
            <w:tcW w:w="1276" w:type="dxa"/>
            <w:tcBorders>
              <w:top w:val="nil"/>
              <w:left w:val="nil"/>
              <w:bottom w:val="single" w:sz="8" w:space="0" w:color="auto"/>
              <w:right w:val="single" w:sz="4" w:space="0" w:color="auto"/>
            </w:tcBorders>
            <w:shd w:val="clear" w:color="auto" w:fill="auto"/>
            <w:vAlign w:val="bottom"/>
            <w:hideMark/>
          </w:tcPr>
          <w:p w:rsidR="00597F03" w:rsidRPr="005276DF" w:rsidRDefault="00597F03" w:rsidP="00732D6B">
            <w:pPr>
              <w:jc w:val="center"/>
              <w:rPr>
                <w:rFonts w:eastAsia="Times New Roman"/>
                <w:color w:val="000000"/>
                <w:sz w:val="16"/>
                <w:szCs w:val="16"/>
              </w:rPr>
            </w:pPr>
            <w:r w:rsidRPr="005276DF">
              <w:rPr>
                <w:rFonts w:eastAsia="Times New Roman"/>
                <w:color w:val="000000"/>
                <w:sz w:val="16"/>
                <w:szCs w:val="16"/>
              </w:rPr>
              <w:t>782,8</w:t>
            </w:r>
          </w:p>
        </w:tc>
        <w:tc>
          <w:tcPr>
            <w:tcW w:w="1134" w:type="dxa"/>
            <w:tcBorders>
              <w:top w:val="nil"/>
              <w:left w:val="nil"/>
              <w:bottom w:val="single" w:sz="8" w:space="0" w:color="auto"/>
              <w:right w:val="double" w:sz="6" w:space="0" w:color="auto"/>
            </w:tcBorders>
            <w:shd w:val="clear" w:color="auto" w:fill="auto"/>
            <w:vAlign w:val="bottom"/>
            <w:hideMark/>
          </w:tcPr>
          <w:p w:rsidR="00597F03" w:rsidRPr="005276DF" w:rsidRDefault="00597F03" w:rsidP="00732D6B">
            <w:pPr>
              <w:jc w:val="center"/>
              <w:rPr>
                <w:rFonts w:eastAsia="Times New Roman"/>
                <w:color w:val="000000"/>
                <w:sz w:val="16"/>
                <w:szCs w:val="16"/>
              </w:rPr>
            </w:pPr>
            <w:r w:rsidRPr="005276DF">
              <w:rPr>
                <w:rFonts w:eastAsia="Times New Roman"/>
                <w:color w:val="000000"/>
                <w:sz w:val="16"/>
                <w:szCs w:val="16"/>
              </w:rPr>
              <w:t>838,7</w:t>
            </w:r>
          </w:p>
        </w:tc>
      </w:tr>
      <w:tr w:rsidR="00597F03" w:rsidRPr="005276DF" w:rsidTr="00732D6B">
        <w:trPr>
          <w:trHeight w:val="71"/>
        </w:trPr>
        <w:tc>
          <w:tcPr>
            <w:tcW w:w="2291" w:type="dxa"/>
            <w:tcBorders>
              <w:top w:val="nil"/>
              <w:left w:val="double" w:sz="6" w:space="0" w:color="auto"/>
              <w:bottom w:val="single" w:sz="8" w:space="0" w:color="auto"/>
              <w:right w:val="single" w:sz="4" w:space="0" w:color="auto"/>
            </w:tcBorders>
            <w:shd w:val="clear" w:color="auto" w:fill="auto"/>
            <w:vAlign w:val="bottom"/>
            <w:hideMark/>
          </w:tcPr>
          <w:p w:rsidR="00597F03" w:rsidRPr="005276DF" w:rsidRDefault="00597F03" w:rsidP="00732D6B">
            <w:pPr>
              <w:jc w:val="center"/>
              <w:rPr>
                <w:rFonts w:eastAsia="Times New Roman"/>
                <w:b/>
                <w:bCs/>
                <w:i/>
                <w:iCs/>
                <w:color w:val="000000"/>
                <w:sz w:val="16"/>
                <w:szCs w:val="16"/>
              </w:rPr>
            </w:pPr>
            <w:r w:rsidRPr="005276DF">
              <w:rPr>
                <w:rFonts w:eastAsia="Times New Roman"/>
                <w:b/>
                <w:bCs/>
                <w:i/>
                <w:iCs/>
                <w:color w:val="000000"/>
                <w:sz w:val="16"/>
                <w:szCs w:val="16"/>
              </w:rPr>
              <w:t>Итого по ЦПП</w:t>
            </w:r>
          </w:p>
        </w:tc>
        <w:tc>
          <w:tcPr>
            <w:tcW w:w="1100" w:type="dxa"/>
            <w:tcBorders>
              <w:top w:val="nil"/>
              <w:left w:val="nil"/>
              <w:bottom w:val="single" w:sz="8" w:space="0" w:color="auto"/>
              <w:right w:val="single" w:sz="4" w:space="0" w:color="auto"/>
            </w:tcBorders>
            <w:shd w:val="clear" w:color="auto" w:fill="auto"/>
            <w:vAlign w:val="bottom"/>
            <w:hideMark/>
          </w:tcPr>
          <w:p w:rsidR="00597F03" w:rsidRPr="005276DF" w:rsidRDefault="00597F03" w:rsidP="00732D6B">
            <w:pPr>
              <w:jc w:val="center"/>
              <w:rPr>
                <w:rFonts w:eastAsia="Times New Roman"/>
                <w:b/>
                <w:bCs/>
                <w:i/>
                <w:iCs/>
                <w:color w:val="000000"/>
                <w:sz w:val="16"/>
                <w:szCs w:val="16"/>
              </w:rPr>
            </w:pPr>
            <w:r w:rsidRPr="005276DF">
              <w:rPr>
                <w:rFonts w:eastAsia="Times New Roman"/>
                <w:b/>
                <w:bCs/>
                <w:i/>
                <w:iCs/>
                <w:color w:val="000000"/>
                <w:sz w:val="16"/>
                <w:szCs w:val="16"/>
              </w:rPr>
              <w:t>32 424,0</w:t>
            </w:r>
          </w:p>
        </w:tc>
        <w:tc>
          <w:tcPr>
            <w:tcW w:w="1180" w:type="dxa"/>
            <w:tcBorders>
              <w:top w:val="nil"/>
              <w:left w:val="nil"/>
              <w:bottom w:val="single" w:sz="8" w:space="0" w:color="auto"/>
              <w:right w:val="single" w:sz="4" w:space="0" w:color="auto"/>
            </w:tcBorders>
            <w:shd w:val="clear" w:color="auto" w:fill="auto"/>
            <w:vAlign w:val="bottom"/>
            <w:hideMark/>
          </w:tcPr>
          <w:p w:rsidR="00597F03" w:rsidRPr="005276DF" w:rsidRDefault="00597F03" w:rsidP="00732D6B">
            <w:pPr>
              <w:jc w:val="center"/>
              <w:rPr>
                <w:rFonts w:eastAsia="Times New Roman"/>
                <w:b/>
                <w:bCs/>
                <w:i/>
                <w:iCs/>
                <w:color w:val="000000"/>
                <w:sz w:val="16"/>
                <w:szCs w:val="16"/>
              </w:rPr>
            </w:pPr>
            <w:r w:rsidRPr="005276DF">
              <w:rPr>
                <w:rFonts w:eastAsia="Times New Roman"/>
                <w:b/>
                <w:bCs/>
                <w:i/>
                <w:iCs/>
                <w:color w:val="000000"/>
                <w:sz w:val="16"/>
                <w:szCs w:val="16"/>
              </w:rPr>
              <w:t>17 500,0</w:t>
            </w:r>
          </w:p>
        </w:tc>
        <w:tc>
          <w:tcPr>
            <w:tcW w:w="964" w:type="dxa"/>
            <w:tcBorders>
              <w:top w:val="nil"/>
              <w:left w:val="nil"/>
              <w:bottom w:val="single" w:sz="8" w:space="0" w:color="auto"/>
              <w:right w:val="single" w:sz="4" w:space="0" w:color="auto"/>
            </w:tcBorders>
            <w:shd w:val="clear" w:color="auto" w:fill="auto"/>
            <w:vAlign w:val="bottom"/>
            <w:hideMark/>
          </w:tcPr>
          <w:p w:rsidR="00597F03" w:rsidRPr="005276DF" w:rsidRDefault="00597F03" w:rsidP="00732D6B">
            <w:pPr>
              <w:jc w:val="center"/>
              <w:rPr>
                <w:rFonts w:eastAsia="Times New Roman"/>
                <w:b/>
                <w:bCs/>
                <w:i/>
                <w:iCs/>
                <w:color w:val="000000"/>
                <w:sz w:val="16"/>
                <w:szCs w:val="16"/>
              </w:rPr>
            </w:pPr>
            <w:r w:rsidRPr="005276DF">
              <w:rPr>
                <w:rFonts w:eastAsia="Times New Roman"/>
                <w:b/>
                <w:bCs/>
                <w:i/>
                <w:iCs/>
                <w:color w:val="000000"/>
                <w:sz w:val="16"/>
                <w:szCs w:val="16"/>
              </w:rPr>
              <w:t>35 714,8</w:t>
            </w:r>
          </w:p>
        </w:tc>
        <w:tc>
          <w:tcPr>
            <w:tcW w:w="1009" w:type="dxa"/>
            <w:tcBorders>
              <w:top w:val="nil"/>
              <w:left w:val="nil"/>
              <w:bottom w:val="single" w:sz="8" w:space="0" w:color="auto"/>
              <w:right w:val="single" w:sz="4" w:space="0" w:color="auto"/>
            </w:tcBorders>
            <w:shd w:val="clear" w:color="auto" w:fill="auto"/>
            <w:vAlign w:val="bottom"/>
            <w:hideMark/>
          </w:tcPr>
          <w:p w:rsidR="00597F03" w:rsidRPr="005276DF" w:rsidRDefault="00597F03" w:rsidP="00732D6B">
            <w:pPr>
              <w:jc w:val="center"/>
              <w:rPr>
                <w:rFonts w:eastAsia="Times New Roman"/>
                <w:b/>
                <w:bCs/>
                <w:i/>
                <w:iCs/>
                <w:color w:val="000000"/>
                <w:sz w:val="16"/>
                <w:szCs w:val="16"/>
              </w:rPr>
            </w:pPr>
            <w:r w:rsidRPr="005276DF">
              <w:rPr>
                <w:rFonts w:eastAsia="Times New Roman"/>
                <w:b/>
                <w:bCs/>
                <w:i/>
                <w:iCs/>
                <w:color w:val="000000"/>
                <w:sz w:val="16"/>
                <w:szCs w:val="16"/>
              </w:rPr>
              <w:t>14 209,2</w:t>
            </w:r>
          </w:p>
        </w:tc>
        <w:tc>
          <w:tcPr>
            <w:tcW w:w="992" w:type="dxa"/>
            <w:tcBorders>
              <w:top w:val="nil"/>
              <w:left w:val="nil"/>
              <w:bottom w:val="single" w:sz="8" w:space="0" w:color="auto"/>
              <w:right w:val="single" w:sz="4" w:space="0" w:color="auto"/>
            </w:tcBorders>
            <w:shd w:val="clear" w:color="auto" w:fill="auto"/>
            <w:vAlign w:val="bottom"/>
            <w:hideMark/>
          </w:tcPr>
          <w:p w:rsidR="00597F03" w:rsidRPr="005276DF" w:rsidRDefault="00597F03" w:rsidP="00732D6B">
            <w:pPr>
              <w:jc w:val="center"/>
              <w:rPr>
                <w:rFonts w:eastAsia="Times New Roman"/>
                <w:b/>
                <w:bCs/>
                <w:i/>
                <w:iCs/>
                <w:color w:val="000000"/>
                <w:sz w:val="16"/>
                <w:szCs w:val="16"/>
              </w:rPr>
            </w:pPr>
            <w:r w:rsidRPr="005276DF">
              <w:rPr>
                <w:rFonts w:eastAsia="Times New Roman"/>
                <w:b/>
                <w:bCs/>
                <w:i/>
                <w:iCs/>
                <w:color w:val="000000"/>
                <w:sz w:val="16"/>
                <w:szCs w:val="16"/>
              </w:rPr>
              <w:t>650,0</w:t>
            </w:r>
          </w:p>
        </w:tc>
        <w:tc>
          <w:tcPr>
            <w:tcW w:w="1276" w:type="dxa"/>
            <w:tcBorders>
              <w:top w:val="nil"/>
              <w:left w:val="nil"/>
              <w:bottom w:val="single" w:sz="8" w:space="0" w:color="auto"/>
              <w:right w:val="single" w:sz="4" w:space="0" w:color="auto"/>
            </w:tcBorders>
            <w:shd w:val="clear" w:color="auto" w:fill="auto"/>
            <w:vAlign w:val="bottom"/>
            <w:hideMark/>
          </w:tcPr>
          <w:p w:rsidR="00597F03" w:rsidRPr="005276DF" w:rsidRDefault="00597F03" w:rsidP="00732D6B">
            <w:pPr>
              <w:jc w:val="center"/>
              <w:rPr>
                <w:rFonts w:eastAsia="Times New Roman"/>
                <w:b/>
                <w:bCs/>
                <w:i/>
                <w:iCs/>
                <w:color w:val="000000"/>
                <w:sz w:val="16"/>
                <w:szCs w:val="16"/>
              </w:rPr>
            </w:pPr>
            <w:r w:rsidRPr="005276DF">
              <w:rPr>
                <w:rFonts w:eastAsia="Times New Roman"/>
                <w:b/>
                <w:bCs/>
                <w:i/>
                <w:iCs/>
                <w:color w:val="000000"/>
                <w:sz w:val="16"/>
                <w:szCs w:val="16"/>
              </w:rPr>
              <w:t>1 190,0</w:t>
            </w:r>
          </w:p>
        </w:tc>
        <w:tc>
          <w:tcPr>
            <w:tcW w:w="1134" w:type="dxa"/>
            <w:tcBorders>
              <w:top w:val="nil"/>
              <w:left w:val="nil"/>
              <w:bottom w:val="single" w:sz="8" w:space="0" w:color="auto"/>
              <w:right w:val="double" w:sz="6" w:space="0" w:color="auto"/>
            </w:tcBorders>
            <w:shd w:val="clear" w:color="auto" w:fill="auto"/>
            <w:vAlign w:val="bottom"/>
            <w:hideMark/>
          </w:tcPr>
          <w:p w:rsidR="00597F03" w:rsidRPr="005276DF" w:rsidRDefault="00597F03" w:rsidP="00732D6B">
            <w:pPr>
              <w:jc w:val="center"/>
              <w:rPr>
                <w:rFonts w:eastAsia="Times New Roman"/>
                <w:b/>
                <w:bCs/>
                <w:i/>
                <w:iCs/>
                <w:color w:val="000000"/>
                <w:sz w:val="16"/>
                <w:szCs w:val="16"/>
              </w:rPr>
            </w:pPr>
            <w:r w:rsidRPr="005276DF">
              <w:rPr>
                <w:rFonts w:eastAsia="Times New Roman"/>
                <w:b/>
                <w:bCs/>
                <w:i/>
                <w:iCs/>
                <w:color w:val="000000"/>
                <w:sz w:val="16"/>
                <w:szCs w:val="16"/>
              </w:rPr>
              <w:t>13 669,2</w:t>
            </w:r>
          </w:p>
        </w:tc>
      </w:tr>
      <w:tr w:rsidR="00597F03" w:rsidRPr="005276DF" w:rsidTr="00732D6B">
        <w:trPr>
          <w:trHeight w:val="148"/>
        </w:trPr>
        <w:tc>
          <w:tcPr>
            <w:tcW w:w="9946" w:type="dxa"/>
            <w:gridSpan w:val="8"/>
            <w:tcBorders>
              <w:top w:val="nil"/>
              <w:left w:val="double" w:sz="6" w:space="0" w:color="auto"/>
              <w:bottom w:val="nil"/>
              <w:right w:val="double" w:sz="6" w:space="0" w:color="000000"/>
            </w:tcBorders>
            <w:shd w:val="clear" w:color="auto" w:fill="auto"/>
            <w:hideMark/>
          </w:tcPr>
          <w:p w:rsidR="00597F03" w:rsidRPr="005276DF" w:rsidRDefault="00597F03" w:rsidP="00732D6B">
            <w:pPr>
              <w:jc w:val="center"/>
              <w:rPr>
                <w:rFonts w:eastAsia="Times New Roman"/>
                <w:b/>
                <w:bCs/>
                <w:i/>
                <w:iCs/>
                <w:color w:val="000000"/>
                <w:sz w:val="16"/>
                <w:szCs w:val="16"/>
              </w:rPr>
            </w:pPr>
            <w:r w:rsidRPr="005276DF">
              <w:rPr>
                <w:rFonts w:eastAsia="Times New Roman"/>
                <w:b/>
                <w:bCs/>
                <w:i/>
                <w:iCs/>
                <w:color w:val="000000"/>
                <w:sz w:val="16"/>
                <w:szCs w:val="16"/>
              </w:rPr>
              <w:t>ЦИВО</w:t>
            </w:r>
          </w:p>
        </w:tc>
      </w:tr>
      <w:tr w:rsidR="00597F03" w:rsidRPr="005276DF" w:rsidTr="00732D6B">
        <w:trPr>
          <w:trHeight w:val="300"/>
        </w:trPr>
        <w:tc>
          <w:tcPr>
            <w:tcW w:w="2291" w:type="dxa"/>
            <w:tcBorders>
              <w:top w:val="single" w:sz="4" w:space="0" w:color="auto"/>
              <w:left w:val="double" w:sz="6" w:space="0" w:color="auto"/>
              <w:bottom w:val="single" w:sz="4" w:space="0" w:color="auto"/>
              <w:right w:val="single" w:sz="4" w:space="0" w:color="auto"/>
            </w:tcBorders>
            <w:shd w:val="clear" w:color="auto" w:fill="auto"/>
            <w:hideMark/>
          </w:tcPr>
          <w:p w:rsidR="00597F03" w:rsidRPr="005276DF" w:rsidRDefault="00597F03" w:rsidP="00732D6B">
            <w:pPr>
              <w:rPr>
                <w:rFonts w:eastAsia="Times New Roman"/>
                <w:color w:val="000000"/>
                <w:sz w:val="16"/>
                <w:szCs w:val="16"/>
              </w:rPr>
            </w:pPr>
            <w:r w:rsidRPr="005276DF">
              <w:rPr>
                <w:rFonts w:eastAsia="Times New Roman"/>
                <w:color w:val="000000"/>
                <w:sz w:val="16"/>
                <w:szCs w:val="16"/>
              </w:rPr>
              <w:t>Субсидия на иные цели</w:t>
            </w:r>
            <w:r>
              <w:rPr>
                <w:rFonts w:eastAsia="Times New Roman"/>
                <w:color w:val="000000"/>
                <w:sz w:val="16"/>
                <w:szCs w:val="16"/>
              </w:rPr>
              <w:t xml:space="preserve"> (федеральный бюджет)</w:t>
            </w:r>
          </w:p>
        </w:tc>
        <w:tc>
          <w:tcPr>
            <w:tcW w:w="1100" w:type="dxa"/>
            <w:tcBorders>
              <w:top w:val="single" w:sz="4" w:space="0" w:color="auto"/>
              <w:left w:val="nil"/>
              <w:bottom w:val="single" w:sz="4" w:space="0" w:color="auto"/>
              <w:right w:val="single" w:sz="4" w:space="0" w:color="auto"/>
            </w:tcBorders>
            <w:shd w:val="clear" w:color="auto" w:fill="auto"/>
            <w:vAlign w:val="center"/>
            <w:hideMark/>
          </w:tcPr>
          <w:p w:rsidR="00597F03" w:rsidRPr="005276DF" w:rsidRDefault="00597F03" w:rsidP="00732D6B">
            <w:pPr>
              <w:jc w:val="center"/>
              <w:rPr>
                <w:rFonts w:eastAsia="Times New Roman"/>
                <w:color w:val="000000"/>
                <w:sz w:val="16"/>
                <w:szCs w:val="16"/>
              </w:rPr>
            </w:pPr>
            <w:r w:rsidRPr="005276DF">
              <w:rPr>
                <w:rFonts w:eastAsia="Times New Roman"/>
                <w:color w:val="000000"/>
                <w:sz w:val="16"/>
                <w:szCs w:val="16"/>
              </w:rPr>
              <w:t>24 358,7</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597F03" w:rsidRPr="005276DF" w:rsidRDefault="00597F03" w:rsidP="00732D6B">
            <w:pPr>
              <w:jc w:val="center"/>
              <w:rPr>
                <w:rFonts w:eastAsia="Times New Roman"/>
                <w:color w:val="000000"/>
                <w:sz w:val="16"/>
                <w:szCs w:val="16"/>
              </w:rPr>
            </w:pPr>
            <w:r w:rsidRPr="005276DF">
              <w:rPr>
                <w:rFonts w:eastAsia="Times New Roman"/>
                <w:color w:val="000000"/>
                <w:sz w:val="16"/>
                <w:szCs w:val="16"/>
              </w:rPr>
              <w:t>16 000,0</w:t>
            </w:r>
          </w:p>
        </w:tc>
        <w:tc>
          <w:tcPr>
            <w:tcW w:w="964" w:type="dxa"/>
            <w:tcBorders>
              <w:top w:val="single" w:sz="4" w:space="0" w:color="auto"/>
              <w:left w:val="nil"/>
              <w:bottom w:val="single" w:sz="4" w:space="0" w:color="auto"/>
              <w:right w:val="single" w:sz="4" w:space="0" w:color="auto"/>
            </w:tcBorders>
            <w:shd w:val="clear" w:color="auto" w:fill="auto"/>
            <w:vAlign w:val="center"/>
            <w:hideMark/>
          </w:tcPr>
          <w:p w:rsidR="00597F03" w:rsidRPr="005276DF" w:rsidRDefault="00597F03" w:rsidP="00732D6B">
            <w:pPr>
              <w:jc w:val="center"/>
              <w:rPr>
                <w:rFonts w:eastAsia="Times New Roman"/>
                <w:color w:val="000000"/>
                <w:sz w:val="16"/>
                <w:szCs w:val="16"/>
              </w:rPr>
            </w:pPr>
            <w:r w:rsidRPr="005276DF">
              <w:rPr>
                <w:rFonts w:eastAsia="Times New Roman"/>
                <w:color w:val="000000"/>
                <w:sz w:val="16"/>
                <w:szCs w:val="16"/>
              </w:rPr>
              <w:t>34 396,1</w:t>
            </w:r>
          </w:p>
        </w:tc>
        <w:tc>
          <w:tcPr>
            <w:tcW w:w="1009" w:type="dxa"/>
            <w:tcBorders>
              <w:top w:val="single" w:sz="4" w:space="0" w:color="auto"/>
              <w:left w:val="nil"/>
              <w:bottom w:val="single" w:sz="4" w:space="0" w:color="auto"/>
              <w:right w:val="single" w:sz="4" w:space="0" w:color="auto"/>
            </w:tcBorders>
            <w:shd w:val="clear" w:color="auto" w:fill="auto"/>
            <w:vAlign w:val="center"/>
            <w:hideMark/>
          </w:tcPr>
          <w:p w:rsidR="00597F03" w:rsidRPr="005276DF" w:rsidRDefault="00597F03" w:rsidP="00732D6B">
            <w:pPr>
              <w:jc w:val="center"/>
              <w:rPr>
                <w:rFonts w:eastAsia="Times New Roman"/>
                <w:color w:val="000000"/>
                <w:sz w:val="16"/>
                <w:szCs w:val="16"/>
              </w:rPr>
            </w:pPr>
            <w:r w:rsidRPr="005276DF">
              <w:rPr>
                <w:rFonts w:eastAsia="Times New Roman"/>
                <w:color w:val="000000"/>
                <w:sz w:val="16"/>
                <w:szCs w:val="16"/>
              </w:rPr>
              <w:t>5 962,6</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597F03" w:rsidRPr="005276DF" w:rsidRDefault="00597F03" w:rsidP="00732D6B">
            <w:pPr>
              <w:jc w:val="center"/>
              <w:rPr>
                <w:rFonts w:eastAsia="Times New Roman"/>
                <w:color w:val="000000"/>
                <w:sz w:val="16"/>
                <w:szCs w:val="16"/>
              </w:rPr>
            </w:pPr>
            <w:r w:rsidRPr="005276DF">
              <w:rPr>
                <w:rFonts w:eastAsia="Times New Roman"/>
                <w:color w:val="000000"/>
                <w:sz w:val="16"/>
                <w:szCs w:val="16"/>
              </w:rPr>
              <w:t>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597F03" w:rsidRPr="005276DF" w:rsidRDefault="00597F03" w:rsidP="00732D6B">
            <w:pPr>
              <w:jc w:val="center"/>
              <w:rPr>
                <w:rFonts w:eastAsia="Times New Roman"/>
                <w:color w:val="000000"/>
                <w:sz w:val="16"/>
                <w:szCs w:val="16"/>
              </w:rPr>
            </w:pPr>
            <w:r w:rsidRPr="005276DF">
              <w:rPr>
                <w:rFonts w:eastAsia="Times New Roman"/>
                <w:color w:val="000000"/>
                <w:sz w:val="16"/>
                <w:szCs w:val="16"/>
              </w:rPr>
              <w:t>3 140,8</w:t>
            </w:r>
          </w:p>
        </w:tc>
        <w:tc>
          <w:tcPr>
            <w:tcW w:w="1134" w:type="dxa"/>
            <w:tcBorders>
              <w:top w:val="single" w:sz="4" w:space="0" w:color="auto"/>
              <w:left w:val="nil"/>
              <w:bottom w:val="single" w:sz="4" w:space="0" w:color="auto"/>
              <w:right w:val="double" w:sz="6" w:space="0" w:color="auto"/>
            </w:tcBorders>
            <w:shd w:val="clear" w:color="auto" w:fill="auto"/>
            <w:vAlign w:val="center"/>
            <w:hideMark/>
          </w:tcPr>
          <w:p w:rsidR="00597F03" w:rsidRPr="00597F03" w:rsidRDefault="00597F03" w:rsidP="00732D6B">
            <w:pPr>
              <w:jc w:val="center"/>
              <w:rPr>
                <w:rFonts w:eastAsia="Times New Roman"/>
                <w:iCs/>
                <w:color w:val="000000"/>
                <w:sz w:val="16"/>
                <w:szCs w:val="16"/>
              </w:rPr>
            </w:pPr>
            <w:r w:rsidRPr="00597F03">
              <w:rPr>
                <w:rFonts w:eastAsia="Times New Roman"/>
                <w:iCs/>
                <w:color w:val="000000"/>
                <w:sz w:val="16"/>
                <w:szCs w:val="16"/>
              </w:rPr>
              <w:t>2 821,8</w:t>
            </w:r>
          </w:p>
        </w:tc>
      </w:tr>
      <w:tr w:rsidR="00597F03" w:rsidRPr="005276DF" w:rsidTr="00732D6B">
        <w:trPr>
          <w:trHeight w:val="315"/>
        </w:trPr>
        <w:tc>
          <w:tcPr>
            <w:tcW w:w="2291" w:type="dxa"/>
            <w:tcBorders>
              <w:top w:val="nil"/>
              <w:left w:val="double" w:sz="6" w:space="0" w:color="auto"/>
              <w:bottom w:val="single" w:sz="8" w:space="0" w:color="auto"/>
              <w:right w:val="single" w:sz="4" w:space="0" w:color="auto"/>
            </w:tcBorders>
            <w:shd w:val="clear" w:color="auto" w:fill="auto"/>
            <w:hideMark/>
          </w:tcPr>
          <w:p w:rsidR="00597F03" w:rsidRPr="005276DF" w:rsidRDefault="00597F03" w:rsidP="00732D6B">
            <w:pPr>
              <w:rPr>
                <w:rFonts w:eastAsia="Times New Roman"/>
                <w:color w:val="000000"/>
                <w:sz w:val="16"/>
                <w:szCs w:val="16"/>
              </w:rPr>
            </w:pPr>
            <w:r>
              <w:rPr>
                <w:rFonts w:eastAsia="Times New Roman"/>
                <w:color w:val="000000"/>
                <w:sz w:val="16"/>
                <w:szCs w:val="16"/>
              </w:rPr>
              <w:t>Субсидия на гос</w:t>
            </w:r>
            <w:r w:rsidRPr="005276DF">
              <w:rPr>
                <w:rFonts w:eastAsia="Times New Roman"/>
                <w:color w:val="000000"/>
                <w:sz w:val="16"/>
                <w:szCs w:val="16"/>
              </w:rPr>
              <w:t>задание</w:t>
            </w:r>
            <w:r>
              <w:rPr>
                <w:rFonts w:eastAsia="Times New Roman"/>
                <w:color w:val="000000"/>
                <w:sz w:val="16"/>
                <w:szCs w:val="16"/>
              </w:rPr>
              <w:t xml:space="preserve"> (областной бюджет)</w:t>
            </w:r>
          </w:p>
        </w:tc>
        <w:tc>
          <w:tcPr>
            <w:tcW w:w="1100" w:type="dxa"/>
            <w:tcBorders>
              <w:top w:val="nil"/>
              <w:left w:val="nil"/>
              <w:bottom w:val="single" w:sz="8" w:space="0" w:color="auto"/>
              <w:right w:val="single" w:sz="4" w:space="0" w:color="auto"/>
            </w:tcBorders>
            <w:shd w:val="clear" w:color="auto" w:fill="auto"/>
            <w:vAlign w:val="center"/>
            <w:hideMark/>
          </w:tcPr>
          <w:p w:rsidR="00597F03" w:rsidRPr="005276DF" w:rsidRDefault="00597F03" w:rsidP="00732D6B">
            <w:pPr>
              <w:jc w:val="center"/>
              <w:rPr>
                <w:rFonts w:eastAsia="Times New Roman"/>
                <w:color w:val="000000"/>
                <w:sz w:val="16"/>
                <w:szCs w:val="16"/>
              </w:rPr>
            </w:pPr>
            <w:r w:rsidRPr="005276DF">
              <w:rPr>
                <w:rFonts w:eastAsia="Times New Roman"/>
                <w:color w:val="000000"/>
                <w:sz w:val="16"/>
                <w:szCs w:val="16"/>
              </w:rPr>
              <w:t>219,9</w:t>
            </w:r>
          </w:p>
        </w:tc>
        <w:tc>
          <w:tcPr>
            <w:tcW w:w="1180" w:type="dxa"/>
            <w:tcBorders>
              <w:top w:val="nil"/>
              <w:left w:val="nil"/>
              <w:bottom w:val="single" w:sz="8" w:space="0" w:color="auto"/>
              <w:right w:val="single" w:sz="4" w:space="0" w:color="auto"/>
            </w:tcBorders>
            <w:shd w:val="clear" w:color="auto" w:fill="auto"/>
            <w:vAlign w:val="center"/>
            <w:hideMark/>
          </w:tcPr>
          <w:p w:rsidR="00597F03" w:rsidRPr="005276DF" w:rsidRDefault="00597F03" w:rsidP="00732D6B">
            <w:pPr>
              <w:jc w:val="center"/>
              <w:rPr>
                <w:rFonts w:eastAsia="Times New Roman"/>
                <w:color w:val="000000"/>
                <w:sz w:val="16"/>
                <w:szCs w:val="16"/>
              </w:rPr>
            </w:pPr>
            <w:r w:rsidRPr="005276DF">
              <w:rPr>
                <w:rFonts w:eastAsia="Times New Roman"/>
                <w:color w:val="000000"/>
                <w:sz w:val="16"/>
                <w:szCs w:val="16"/>
              </w:rPr>
              <w:t>4 000,00</w:t>
            </w:r>
          </w:p>
        </w:tc>
        <w:tc>
          <w:tcPr>
            <w:tcW w:w="964" w:type="dxa"/>
            <w:tcBorders>
              <w:top w:val="nil"/>
              <w:left w:val="nil"/>
              <w:bottom w:val="single" w:sz="8" w:space="0" w:color="auto"/>
              <w:right w:val="single" w:sz="4" w:space="0" w:color="auto"/>
            </w:tcBorders>
            <w:shd w:val="clear" w:color="auto" w:fill="auto"/>
            <w:vAlign w:val="center"/>
            <w:hideMark/>
          </w:tcPr>
          <w:p w:rsidR="00597F03" w:rsidRPr="005276DF" w:rsidRDefault="00597F03" w:rsidP="00732D6B">
            <w:pPr>
              <w:jc w:val="center"/>
              <w:rPr>
                <w:rFonts w:eastAsia="Times New Roman"/>
                <w:color w:val="000000"/>
                <w:sz w:val="16"/>
                <w:szCs w:val="16"/>
              </w:rPr>
            </w:pPr>
            <w:r w:rsidRPr="005276DF">
              <w:rPr>
                <w:rFonts w:eastAsia="Times New Roman"/>
                <w:color w:val="000000"/>
                <w:sz w:val="16"/>
                <w:szCs w:val="16"/>
              </w:rPr>
              <w:t>3 518,3</w:t>
            </w:r>
          </w:p>
        </w:tc>
        <w:tc>
          <w:tcPr>
            <w:tcW w:w="1009" w:type="dxa"/>
            <w:tcBorders>
              <w:top w:val="nil"/>
              <w:left w:val="nil"/>
              <w:bottom w:val="single" w:sz="8" w:space="0" w:color="auto"/>
              <w:right w:val="single" w:sz="4" w:space="0" w:color="auto"/>
            </w:tcBorders>
            <w:shd w:val="clear" w:color="auto" w:fill="auto"/>
            <w:vAlign w:val="center"/>
            <w:hideMark/>
          </w:tcPr>
          <w:p w:rsidR="00597F03" w:rsidRPr="005276DF" w:rsidRDefault="00597F03" w:rsidP="00732D6B">
            <w:pPr>
              <w:jc w:val="center"/>
              <w:rPr>
                <w:rFonts w:eastAsia="Times New Roman"/>
                <w:color w:val="000000"/>
                <w:sz w:val="16"/>
                <w:szCs w:val="16"/>
              </w:rPr>
            </w:pPr>
            <w:r w:rsidRPr="005276DF">
              <w:rPr>
                <w:rFonts w:eastAsia="Times New Roman"/>
                <w:color w:val="000000"/>
                <w:sz w:val="16"/>
                <w:szCs w:val="16"/>
              </w:rPr>
              <w:t>701,6</w:t>
            </w:r>
          </w:p>
        </w:tc>
        <w:tc>
          <w:tcPr>
            <w:tcW w:w="992" w:type="dxa"/>
            <w:tcBorders>
              <w:top w:val="nil"/>
              <w:left w:val="nil"/>
              <w:bottom w:val="single" w:sz="8" w:space="0" w:color="auto"/>
              <w:right w:val="single" w:sz="4" w:space="0" w:color="auto"/>
            </w:tcBorders>
            <w:shd w:val="clear" w:color="auto" w:fill="auto"/>
            <w:vAlign w:val="center"/>
            <w:hideMark/>
          </w:tcPr>
          <w:p w:rsidR="00597F03" w:rsidRPr="005276DF" w:rsidRDefault="00597F03" w:rsidP="00732D6B">
            <w:pPr>
              <w:jc w:val="center"/>
              <w:rPr>
                <w:rFonts w:eastAsia="Times New Roman"/>
                <w:color w:val="000000"/>
                <w:sz w:val="16"/>
                <w:szCs w:val="16"/>
              </w:rPr>
            </w:pPr>
            <w:r w:rsidRPr="005276DF">
              <w:rPr>
                <w:rFonts w:eastAsia="Times New Roman"/>
                <w:color w:val="000000"/>
                <w:sz w:val="16"/>
                <w:szCs w:val="16"/>
              </w:rPr>
              <w:t>250</w:t>
            </w:r>
          </w:p>
        </w:tc>
        <w:tc>
          <w:tcPr>
            <w:tcW w:w="1276" w:type="dxa"/>
            <w:tcBorders>
              <w:top w:val="nil"/>
              <w:left w:val="nil"/>
              <w:bottom w:val="single" w:sz="8" w:space="0" w:color="auto"/>
              <w:right w:val="single" w:sz="4" w:space="0" w:color="auto"/>
            </w:tcBorders>
            <w:shd w:val="clear" w:color="auto" w:fill="auto"/>
            <w:vAlign w:val="center"/>
            <w:hideMark/>
          </w:tcPr>
          <w:p w:rsidR="00597F03" w:rsidRPr="005276DF" w:rsidRDefault="00597F03" w:rsidP="00732D6B">
            <w:pPr>
              <w:jc w:val="center"/>
              <w:rPr>
                <w:rFonts w:eastAsia="Times New Roman"/>
                <w:color w:val="000000"/>
                <w:sz w:val="16"/>
                <w:szCs w:val="16"/>
              </w:rPr>
            </w:pPr>
            <w:r w:rsidRPr="005276DF">
              <w:rPr>
                <w:rFonts w:eastAsia="Times New Roman"/>
                <w:color w:val="000000"/>
                <w:sz w:val="16"/>
                <w:szCs w:val="16"/>
              </w:rPr>
              <w:t>879,4</w:t>
            </w:r>
          </w:p>
        </w:tc>
        <w:tc>
          <w:tcPr>
            <w:tcW w:w="1134" w:type="dxa"/>
            <w:tcBorders>
              <w:top w:val="nil"/>
              <w:left w:val="nil"/>
              <w:bottom w:val="single" w:sz="8" w:space="0" w:color="auto"/>
              <w:right w:val="double" w:sz="6" w:space="0" w:color="auto"/>
            </w:tcBorders>
            <w:shd w:val="clear" w:color="auto" w:fill="auto"/>
            <w:vAlign w:val="center"/>
            <w:hideMark/>
          </w:tcPr>
          <w:p w:rsidR="00597F03" w:rsidRPr="005276DF" w:rsidRDefault="00597F03" w:rsidP="00732D6B">
            <w:pPr>
              <w:jc w:val="center"/>
              <w:rPr>
                <w:rFonts w:eastAsia="Times New Roman"/>
                <w:color w:val="000000"/>
                <w:sz w:val="16"/>
                <w:szCs w:val="16"/>
              </w:rPr>
            </w:pPr>
            <w:r w:rsidRPr="005276DF">
              <w:rPr>
                <w:rFonts w:eastAsia="Times New Roman"/>
                <w:color w:val="000000"/>
                <w:sz w:val="16"/>
                <w:szCs w:val="16"/>
              </w:rPr>
              <w:t>72,2</w:t>
            </w:r>
          </w:p>
        </w:tc>
      </w:tr>
      <w:tr w:rsidR="00597F03" w:rsidRPr="005276DF" w:rsidTr="00732D6B">
        <w:trPr>
          <w:trHeight w:val="173"/>
        </w:trPr>
        <w:tc>
          <w:tcPr>
            <w:tcW w:w="2291" w:type="dxa"/>
            <w:tcBorders>
              <w:top w:val="nil"/>
              <w:left w:val="double" w:sz="6" w:space="0" w:color="auto"/>
              <w:bottom w:val="single" w:sz="8" w:space="0" w:color="auto"/>
              <w:right w:val="single" w:sz="4" w:space="0" w:color="auto"/>
            </w:tcBorders>
            <w:shd w:val="clear" w:color="auto" w:fill="auto"/>
            <w:vAlign w:val="bottom"/>
            <w:hideMark/>
          </w:tcPr>
          <w:p w:rsidR="00597F03" w:rsidRPr="005276DF" w:rsidRDefault="00597F03" w:rsidP="00732D6B">
            <w:pPr>
              <w:jc w:val="center"/>
              <w:rPr>
                <w:rFonts w:eastAsia="Times New Roman"/>
                <w:b/>
                <w:bCs/>
                <w:i/>
                <w:iCs/>
                <w:color w:val="000000"/>
                <w:sz w:val="16"/>
                <w:szCs w:val="16"/>
              </w:rPr>
            </w:pPr>
            <w:r w:rsidRPr="005276DF">
              <w:rPr>
                <w:rFonts w:eastAsia="Times New Roman"/>
                <w:b/>
                <w:bCs/>
                <w:i/>
                <w:iCs/>
                <w:color w:val="000000"/>
                <w:sz w:val="16"/>
                <w:szCs w:val="16"/>
              </w:rPr>
              <w:t>Итого по ЦИВО</w:t>
            </w:r>
          </w:p>
        </w:tc>
        <w:tc>
          <w:tcPr>
            <w:tcW w:w="1100" w:type="dxa"/>
            <w:tcBorders>
              <w:top w:val="nil"/>
              <w:left w:val="nil"/>
              <w:bottom w:val="single" w:sz="8" w:space="0" w:color="auto"/>
              <w:right w:val="single" w:sz="4" w:space="0" w:color="auto"/>
            </w:tcBorders>
            <w:shd w:val="clear" w:color="auto" w:fill="auto"/>
            <w:vAlign w:val="center"/>
            <w:hideMark/>
          </w:tcPr>
          <w:p w:rsidR="00597F03" w:rsidRPr="005276DF" w:rsidRDefault="00597F03" w:rsidP="00732D6B">
            <w:pPr>
              <w:jc w:val="center"/>
              <w:rPr>
                <w:rFonts w:eastAsia="Times New Roman"/>
                <w:b/>
                <w:bCs/>
                <w:color w:val="000000"/>
                <w:sz w:val="16"/>
                <w:szCs w:val="16"/>
              </w:rPr>
            </w:pPr>
            <w:r w:rsidRPr="005276DF">
              <w:rPr>
                <w:rFonts w:eastAsia="Times New Roman"/>
                <w:b/>
                <w:bCs/>
                <w:color w:val="000000"/>
                <w:sz w:val="16"/>
                <w:szCs w:val="16"/>
              </w:rPr>
              <w:t>24 578,6</w:t>
            </w:r>
          </w:p>
        </w:tc>
        <w:tc>
          <w:tcPr>
            <w:tcW w:w="1180" w:type="dxa"/>
            <w:tcBorders>
              <w:top w:val="nil"/>
              <w:left w:val="nil"/>
              <w:bottom w:val="single" w:sz="8" w:space="0" w:color="auto"/>
              <w:right w:val="single" w:sz="4" w:space="0" w:color="auto"/>
            </w:tcBorders>
            <w:shd w:val="clear" w:color="auto" w:fill="auto"/>
            <w:vAlign w:val="center"/>
            <w:hideMark/>
          </w:tcPr>
          <w:p w:rsidR="00597F03" w:rsidRPr="005276DF" w:rsidRDefault="00597F03" w:rsidP="00732D6B">
            <w:pPr>
              <w:jc w:val="center"/>
              <w:rPr>
                <w:rFonts w:eastAsia="Times New Roman"/>
                <w:b/>
                <w:bCs/>
                <w:color w:val="000000"/>
                <w:sz w:val="16"/>
                <w:szCs w:val="16"/>
              </w:rPr>
            </w:pPr>
            <w:r w:rsidRPr="005276DF">
              <w:rPr>
                <w:rFonts w:eastAsia="Times New Roman"/>
                <w:b/>
                <w:bCs/>
                <w:color w:val="000000"/>
                <w:sz w:val="16"/>
                <w:szCs w:val="16"/>
              </w:rPr>
              <w:t>20 000,0</w:t>
            </w:r>
          </w:p>
        </w:tc>
        <w:tc>
          <w:tcPr>
            <w:tcW w:w="964" w:type="dxa"/>
            <w:tcBorders>
              <w:top w:val="nil"/>
              <w:left w:val="nil"/>
              <w:bottom w:val="single" w:sz="8" w:space="0" w:color="auto"/>
              <w:right w:val="single" w:sz="4" w:space="0" w:color="auto"/>
            </w:tcBorders>
            <w:shd w:val="clear" w:color="auto" w:fill="auto"/>
            <w:vAlign w:val="center"/>
            <w:hideMark/>
          </w:tcPr>
          <w:p w:rsidR="00597F03" w:rsidRPr="005276DF" w:rsidRDefault="00597F03" w:rsidP="00732D6B">
            <w:pPr>
              <w:jc w:val="center"/>
              <w:rPr>
                <w:rFonts w:eastAsia="Times New Roman"/>
                <w:b/>
                <w:bCs/>
                <w:color w:val="000000"/>
                <w:sz w:val="16"/>
                <w:szCs w:val="16"/>
              </w:rPr>
            </w:pPr>
            <w:r w:rsidRPr="005276DF">
              <w:rPr>
                <w:rFonts w:eastAsia="Times New Roman"/>
                <w:b/>
                <w:bCs/>
                <w:color w:val="000000"/>
                <w:sz w:val="16"/>
                <w:szCs w:val="16"/>
              </w:rPr>
              <w:t>37 914,4</w:t>
            </w:r>
          </w:p>
        </w:tc>
        <w:tc>
          <w:tcPr>
            <w:tcW w:w="1009" w:type="dxa"/>
            <w:tcBorders>
              <w:top w:val="nil"/>
              <w:left w:val="nil"/>
              <w:bottom w:val="single" w:sz="8" w:space="0" w:color="auto"/>
              <w:right w:val="single" w:sz="4" w:space="0" w:color="auto"/>
            </w:tcBorders>
            <w:shd w:val="clear" w:color="auto" w:fill="auto"/>
            <w:vAlign w:val="center"/>
            <w:hideMark/>
          </w:tcPr>
          <w:p w:rsidR="00597F03" w:rsidRPr="005276DF" w:rsidRDefault="00597F03" w:rsidP="00732D6B">
            <w:pPr>
              <w:jc w:val="center"/>
              <w:rPr>
                <w:rFonts w:eastAsia="Times New Roman"/>
                <w:b/>
                <w:bCs/>
                <w:color w:val="000000"/>
                <w:sz w:val="16"/>
                <w:szCs w:val="16"/>
              </w:rPr>
            </w:pPr>
            <w:r w:rsidRPr="005276DF">
              <w:rPr>
                <w:rFonts w:eastAsia="Times New Roman"/>
                <w:b/>
                <w:bCs/>
                <w:color w:val="000000"/>
                <w:sz w:val="16"/>
                <w:szCs w:val="16"/>
              </w:rPr>
              <w:t>6 664,2</w:t>
            </w:r>
          </w:p>
        </w:tc>
        <w:tc>
          <w:tcPr>
            <w:tcW w:w="992" w:type="dxa"/>
            <w:tcBorders>
              <w:top w:val="nil"/>
              <w:left w:val="nil"/>
              <w:bottom w:val="single" w:sz="8" w:space="0" w:color="auto"/>
              <w:right w:val="single" w:sz="4" w:space="0" w:color="auto"/>
            </w:tcBorders>
            <w:shd w:val="clear" w:color="auto" w:fill="auto"/>
            <w:vAlign w:val="center"/>
            <w:hideMark/>
          </w:tcPr>
          <w:p w:rsidR="00597F03" w:rsidRPr="005276DF" w:rsidRDefault="00597F03" w:rsidP="00732D6B">
            <w:pPr>
              <w:jc w:val="center"/>
              <w:rPr>
                <w:rFonts w:eastAsia="Times New Roman"/>
                <w:b/>
                <w:bCs/>
                <w:color w:val="000000"/>
                <w:sz w:val="16"/>
                <w:szCs w:val="16"/>
              </w:rPr>
            </w:pPr>
            <w:r w:rsidRPr="005276DF">
              <w:rPr>
                <w:rFonts w:eastAsia="Times New Roman"/>
                <w:b/>
                <w:bCs/>
                <w:color w:val="000000"/>
                <w:sz w:val="16"/>
                <w:szCs w:val="16"/>
              </w:rPr>
              <w:t>250,0</w:t>
            </w:r>
          </w:p>
        </w:tc>
        <w:tc>
          <w:tcPr>
            <w:tcW w:w="1276" w:type="dxa"/>
            <w:tcBorders>
              <w:top w:val="nil"/>
              <w:left w:val="nil"/>
              <w:bottom w:val="single" w:sz="8" w:space="0" w:color="auto"/>
              <w:right w:val="single" w:sz="4" w:space="0" w:color="auto"/>
            </w:tcBorders>
            <w:shd w:val="clear" w:color="auto" w:fill="auto"/>
            <w:vAlign w:val="center"/>
            <w:hideMark/>
          </w:tcPr>
          <w:p w:rsidR="00597F03" w:rsidRPr="005276DF" w:rsidRDefault="00597F03" w:rsidP="00732D6B">
            <w:pPr>
              <w:jc w:val="center"/>
              <w:rPr>
                <w:rFonts w:eastAsia="Times New Roman"/>
                <w:b/>
                <w:bCs/>
                <w:color w:val="000000"/>
                <w:sz w:val="16"/>
                <w:szCs w:val="16"/>
              </w:rPr>
            </w:pPr>
            <w:r w:rsidRPr="005276DF">
              <w:rPr>
                <w:rFonts w:eastAsia="Times New Roman"/>
                <w:b/>
                <w:bCs/>
                <w:color w:val="000000"/>
                <w:sz w:val="16"/>
                <w:szCs w:val="16"/>
              </w:rPr>
              <w:t>4 020,2</w:t>
            </w:r>
          </w:p>
        </w:tc>
        <w:tc>
          <w:tcPr>
            <w:tcW w:w="1134" w:type="dxa"/>
            <w:tcBorders>
              <w:top w:val="nil"/>
              <w:left w:val="nil"/>
              <w:bottom w:val="single" w:sz="8" w:space="0" w:color="auto"/>
              <w:right w:val="double" w:sz="6" w:space="0" w:color="auto"/>
            </w:tcBorders>
            <w:shd w:val="clear" w:color="auto" w:fill="auto"/>
            <w:vAlign w:val="center"/>
            <w:hideMark/>
          </w:tcPr>
          <w:p w:rsidR="00597F03" w:rsidRPr="005276DF" w:rsidRDefault="00597F03" w:rsidP="00732D6B">
            <w:pPr>
              <w:jc w:val="center"/>
              <w:rPr>
                <w:rFonts w:eastAsia="Times New Roman"/>
                <w:b/>
                <w:bCs/>
                <w:color w:val="000000"/>
                <w:sz w:val="16"/>
                <w:szCs w:val="16"/>
              </w:rPr>
            </w:pPr>
            <w:r w:rsidRPr="005276DF">
              <w:rPr>
                <w:rFonts w:eastAsia="Times New Roman"/>
                <w:b/>
                <w:bCs/>
                <w:color w:val="000000"/>
                <w:sz w:val="16"/>
                <w:szCs w:val="16"/>
              </w:rPr>
              <w:t>2 894,0</w:t>
            </w:r>
          </w:p>
        </w:tc>
      </w:tr>
      <w:tr w:rsidR="00597F03" w:rsidRPr="005276DF" w:rsidTr="00732D6B">
        <w:trPr>
          <w:trHeight w:val="138"/>
        </w:trPr>
        <w:tc>
          <w:tcPr>
            <w:tcW w:w="9946" w:type="dxa"/>
            <w:gridSpan w:val="8"/>
            <w:tcBorders>
              <w:top w:val="nil"/>
              <w:left w:val="double" w:sz="6" w:space="0" w:color="auto"/>
              <w:bottom w:val="single" w:sz="4" w:space="0" w:color="auto"/>
              <w:right w:val="double" w:sz="6" w:space="0" w:color="000000"/>
            </w:tcBorders>
            <w:shd w:val="clear" w:color="auto" w:fill="auto"/>
            <w:vAlign w:val="bottom"/>
            <w:hideMark/>
          </w:tcPr>
          <w:p w:rsidR="00597F03" w:rsidRPr="005276DF" w:rsidRDefault="00597F03" w:rsidP="00732D6B">
            <w:pPr>
              <w:jc w:val="center"/>
              <w:rPr>
                <w:rFonts w:eastAsia="Times New Roman"/>
                <w:b/>
                <w:bCs/>
                <w:i/>
                <w:iCs/>
                <w:color w:val="000000"/>
                <w:sz w:val="16"/>
                <w:szCs w:val="16"/>
              </w:rPr>
            </w:pPr>
            <w:r w:rsidRPr="005276DF">
              <w:rPr>
                <w:rFonts w:eastAsia="Times New Roman"/>
                <w:b/>
                <w:bCs/>
                <w:i/>
                <w:iCs/>
                <w:color w:val="000000"/>
                <w:sz w:val="16"/>
                <w:szCs w:val="16"/>
              </w:rPr>
              <w:t>ЦПЭ</w:t>
            </w:r>
          </w:p>
        </w:tc>
      </w:tr>
      <w:tr w:rsidR="00597F03" w:rsidRPr="005276DF" w:rsidTr="00732D6B">
        <w:trPr>
          <w:trHeight w:val="230"/>
        </w:trPr>
        <w:tc>
          <w:tcPr>
            <w:tcW w:w="2291" w:type="dxa"/>
            <w:tcBorders>
              <w:top w:val="single" w:sz="4" w:space="0" w:color="auto"/>
              <w:left w:val="double" w:sz="6" w:space="0" w:color="auto"/>
              <w:bottom w:val="nil"/>
              <w:right w:val="single" w:sz="4" w:space="0" w:color="auto"/>
            </w:tcBorders>
            <w:shd w:val="clear" w:color="auto" w:fill="auto"/>
            <w:hideMark/>
          </w:tcPr>
          <w:p w:rsidR="00597F03" w:rsidRPr="005276DF" w:rsidRDefault="00597F03" w:rsidP="00732D6B">
            <w:pPr>
              <w:rPr>
                <w:rFonts w:eastAsia="Times New Roman"/>
                <w:color w:val="000000"/>
                <w:sz w:val="16"/>
                <w:szCs w:val="16"/>
              </w:rPr>
            </w:pPr>
            <w:r>
              <w:rPr>
                <w:rFonts w:eastAsia="Times New Roman"/>
                <w:color w:val="000000"/>
                <w:sz w:val="16"/>
                <w:szCs w:val="16"/>
              </w:rPr>
              <w:t>Субсидия на гос</w:t>
            </w:r>
            <w:r w:rsidRPr="005276DF">
              <w:rPr>
                <w:rFonts w:eastAsia="Times New Roman"/>
                <w:color w:val="000000"/>
                <w:sz w:val="16"/>
                <w:szCs w:val="16"/>
              </w:rPr>
              <w:t>задание</w:t>
            </w:r>
            <w:r>
              <w:rPr>
                <w:rFonts w:eastAsia="Times New Roman"/>
                <w:color w:val="000000"/>
                <w:sz w:val="16"/>
                <w:szCs w:val="16"/>
              </w:rPr>
              <w:t xml:space="preserve"> (федеральный бюджет)</w:t>
            </w:r>
          </w:p>
        </w:tc>
        <w:tc>
          <w:tcPr>
            <w:tcW w:w="1100" w:type="dxa"/>
            <w:tcBorders>
              <w:top w:val="single" w:sz="4" w:space="0" w:color="auto"/>
              <w:left w:val="nil"/>
              <w:bottom w:val="nil"/>
              <w:right w:val="single" w:sz="4" w:space="0" w:color="auto"/>
            </w:tcBorders>
            <w:shd w:val="clear" w:color="auto" w:fill="auto"/>
            <w:noWrap/>
            <w:vAlign w:val="center"/>
            <w:hideMark/>
          </w:tcPr>
          <w:p w:rsidR="00597F03" w:rsidRPr="005276DF" w:rsidRDefault="00597F03" w:rsidP="00732D6B">
            <w:pPr>
              <w:jc w:val="center"/>
              <w:rPr>
                <w:rFonts w:eastAsia="Times New Roman"/>
                <w:color w:val="000000"/>
                <w:sz w:val="16"/>
                <w:szCs w:val="16"/>
              </w:rPr>
            </w:pPr>
            <w:r w:rsidRPr="005276DF">
              <w:rPr>
                <w:rFonts w:eastAsia="Times New Roman"/>
                <w:color w:val="000000"/>
                <w:sz w:val="16"/>
                <w:szCs w:val="16"/>
              </w:rPr>
              <w:t>260,5</w:t>
            </w:r>
          </w:p>
        </w:tc>
        <w:tc>
          <w:tcPr>
            <w:tcW w:w="1180" w:type="dxa"/>
            <w:tcBorders>
              <w:top w:val="single" w:sz="4" w:space="0" w:color="auto"/>
              <w:left w:val="nil"/>
              <w:bottom w:val="nil"/>
              <w:right w:val="single" w:sz="4" w:space="0" w:color="auto"/>
            </w:tcBorders>
            <w:shd w:val="clear" w:color="000000" w:fill="FFFFFF"/>
            <w:noWrap/>
            <w:vAlign w:val="center"/>
            <w:hideMark/>
          </w:tcPr>
          <w:p w:rsidR="00597F03" w:rsidRPr="005276DF" w:rsidRDefault="00597F03" w:rsidP="00732D6B">
            <w:pPr>
              <w:jc w:val="center"/>
              <w:rPr>
                <w:rFonts w:eastAsia="Times New Roman"/>
                <w:color w:val="000000"/>
                <w:sz w:val="16"/>
                <w:szCs w:val="16"/>
              </w:rPr>
            </w:pPr>
            <w:r w:rsidRPr="005276DF">
              <w:rPr>
                <w:rFonts w:eastAsia="Times New Roman"/>
                <w:color w:val="000000"/>
                <w:sz w:val="16"/>
                <w:szCs w:val="16"/>
              </w:rPr>
              <w:t>3100,0</w:t>
            </w:r>
          </w:p>
        </w:tc>
        <w:tc>
          <w:tcPr>
            <w:tcW w:w="964" w:type="dxa"/>
            <w:tcBorders>
              <w:top w:val="single" w:sz="4" w:space="0" w:color="auto"/>
              <w:left w:val="nil"/>
              <w:bottom w:val="nil"/>
              <w:right w:val="single" w:sz="4" w:space="0" w:color="auto"/>
            </w:tcBorders>
            <w:shd w:val="clear" w:color="auto" w:fill="auto"/>
            <w:noWrap/>
            <w:vAlign w:val="center"/>
            <w:hideMark/>
          </w:tcPr>
          <w:p w:rsidR="00597F03" w:rsidRPr="005276DF" w:rsidRDefault="00597F03" w:rsidP="00732D6B">
            <w:pPr>
              <w:jc w:val="center"/>
              <w:rPr>
                <w:rFonts w:eastAsia="Times New Roman"/>
                <w:color w:val="000000"/>
                <w:sz w:val="16"/>
                <w:szCs w:val="16"/>
              </w:rPr>
            </w:pPr>
            <w:r w:rsidRPr="005276DF">
              <w:rPr>
                <w:rFonts w:eastAsia="Times New Roman"/>
                <w:color w:val="000000"/>
                <w:sz w:val="16"/>
                <w:szCs w:val="16"/>
              </w:rPr>
              <w:t>3117,9</w:t>
            </w:r>
          </w:p>
        </w:tc>
        <w:tc>
          <w:tcPr>
            <w:tcW w:w="1009" w:type="dxa"/>
            <w:tcBorders>
              <w:top w:val="single" w:sz="4" w:space="0" w:color="auto"/>
              <w:left w:val="nil"/>
              <w:bottom w:val="nil"/>
              <w:right w:val="single" w:sz="4" w:space="0" w:color="auto"/>
            </w:tcBorders>
            <w:shd w:val="clear" w:color="auto" w:fill="auto"/>
            <w:noWrap/>
            <w:vAlign w:val="center"/>
            <w:hideMark/>
          </w:tcPr>
          <w:p w:rsidR="00597F03" w:rsidRPr="005276DF" w:rsidRDefault="00597F03" w:rsidP="00732D6B">
            <w:pPr>
              <w:jc w:val="center"/>
              <w:rPr>
                <w:rFonts w:eastAsia="Times New Roman"/>
                <w:color w:val="000000"/>
                <w:sz w:val="16"/>
                <w:szCs w:val="16"/>
              </w:rPr>
            </w:pPr>
            <w:r w:rsidRPr="005276DF">
              <w:rPr>
                <w:rFonts w:eastAsia="Times New Roman"/>
                <w:color w:val="000000"/>
                <w:sz w:val="16"/>
                <w:szCs w:val="16"/>
              </w:rPr>
              <w:t>242,6</w:t>
            </w:r>
          </w:p>
        </w:tc>
        <w:tc>
          <w:tcPr>
            <w:tcW w:w="992" w:type="dxa"/>
            <w:tcBorders>
              <w:top w:val="single" w:sz="4" w:space="0" w:color="auto"/>
              <w:left w:val="nil"/>
              <w:bottom w:val="nil"/>
              <w:right w:val="single" w:sz="4" w:space="0" w:color="auto"/>
            </w:tcBorders>
            <w:shd w:val="clear" w:color="auto" w:fill="auto"/>
            <w:noWrap/>
            <w:vAlign w:val="center"/>
            <w:hideMark/>
          </w:tcPr>
          <w:p w:rsidR="00597F03" w:rsidRPr="005276DF" w:rsidRDefault="00597F03" w:rsidP="00732D6B">
            <w:pPr>
              <w:jc w:val="center"/>
              <w:rPr>
                <w:rFonts w:eastAsia="Times New Roman"/>
                <w:color w:val="000000"/>
                <w:sz w:val="16"/>
                <w:szCs w:val="16"/>
              </w:rPr>
            </w:pPr>
            <w:r w:rsidRPr="005276DF">
              <w:rPr>
                <w:rFonts w:eastAsia="Times New Roman"/>
                <w:color w:val="000000"/>
                <w:sz w:val="16"/>
                <w:szCs w:val="16"/>
              </w:rPr>
              <w:t>600,0</w:t>
            </w:r>
          </w:p>
        </w:tc>
        <w:tc>
          <w:tcPr>
            <w:tcW w:w="1276" w:type="dxa"/>
            <w:tcBorders>
              <w:top w:val="single" w:sz="4" w:space="0" w:color="auto"/>
              <w:left w:val="nil"/>
              <w:bottom w:val="nil"/>
              <w:right w:val="single" w:sz="4" w:space="0" w:color="auto"/>
            </w:tcBorders>
            <w:shd w:val="clear" w:color="auto" w:fill="auto"/>
            <w:noWrap/>
            <w:vAlign w:val="center"/>
            <w:hideMark/>
          </w:tcPr>
          <w:p w:rsidR="00597F03" w:rsidRPr="005276DF" w:rsidRDefault="00597F03" w:rsidP="00732D6B">
            <w:pPr>
              <w:jc w:val="center"/>
              <w:rPr>
                <w:rFonts w:eastAsia="Times New Roman"/>
                <w:color w:val="000000"/>
                <w:sz w:val="16"/>
                <w:szCs w:val="16"/>
              </w:rPr>
            </w:pPr>
            <w:r w:rsidRPr="005276DF">
              <w:rPr>
                <w:rFonts w:eastAsia="Times New Roman"/>
                <w:color w:val="000000"/>
                <w:sz w:val="16"/>
                <w:szCs w:val="16"/>
              </w:rPr>
              <w:t>686,8</w:t>
            </w:r>
          </w:p>
        </w:tc>
        <w:tc>
          <w:tcPr>
            <w:tcW w:w="1134" w:type="dxa"/>
            <w:tcBorders>
              <w:top w:val="single" w:sz="4" w:space="0" w:color="auto"/>
              <w:left w:val="nil"/>
              <w:bottom w:val="nil"/>
              <w:right w:val="double" w:sz="6" w:space="0" w:color="auto"/>
            </w:tcBorders>
            <w:shd w:val="clear" w:color="auto" w:fill="auto"/>
            <w:noWrap/>
            <w:vAlign w:val="center"/>
            <w:hideMark/>
          </w:tcPr>
          <w:p w:rsidR="00597F03" w:rsidRPr="005276DF" w:rsidRDefault="00597F03" w:rsidP="00732D6B">
            <w:pPr>
              <w:jc w:val="center"/>
              <w:rPr>
                <w:rFonts w:eastAsia="Times New Roman"/>
                <w:color w:val="000000"/>
                <w:sz w:val="16"/>
                <w:szCs w:val="16"/>
              </w:rPr>
            </w:pPr>
            <w:r w:rsidRPr="005276DF">
              <w:rPr>
                <w:rFonts w:eastAsia="Times New Roman"/>
                <w:color w:val="000000"/>
                <w:sz w:val="16"/>
                <w:szCs w:val="16"/>
              </w:rPr>
              <w:t>155,8</w:t>
            </w:r>
          </w:p>
        </w:tc>
      </w:tr>
      <w:tr w:rsidR="00597F03" w:rsidRPr="005276DF" w:rsidTr="00732D6B">
        <w:trPr>
          <w:trHeight w:val="108"/>
        </w:trPr>
        <w:tc>
          <w:tcPr>
            <w:tcW w:w="2291" w:type="dxa"/>
            <w:tcBorders>
              <w:top w:val="single" w:sz="8" w:space="0" w:color="auto"/>
              <w:left w:val="double" w:sz="6" w:space="0" w:color="auto"/>
              <w:bottom w:val="double" w:sz="6" w:space="0" w:color="auto"/>
              <w:right w:val="single" w:sz="4" w:space="0" w:color="auto"/>
            </w:tcBorders>
            <w:shd w:val="clear" w:color="auto" w:fill="auto"/>
            <w:vAlign w:val="bottom"/>
            <w:hideMark/>
          </w:tcPr>
          <w:p w:rsidR="00597F03" w:rsidRPr="005276DF" w:rsidRDefault="00597F03" w:rsidP="00732D6B">
            <w:pPr>
              <w:jc w:val="center"/>
              <w:rPr>
                <w:rFonts w:eastAsia="Times New Roman"/>
                <w:b/>
                <w:bCs/>
                <w:i/>
                <w:iCs/>
                <w:color w:val="000000"/>
                <w:sz w:val="16"/>
                <w:szCs w:val="16"/>
              </w:rPr>
            </w:pPr>
            <w:r w:rsidRPr="005276DF">
              <w:rPr>
                <w:rFonts w:eastAsia="Times New Roman"/>
                <w:b/>
                <w:bCs/>
                <w:i/>
                <w:iCs/>
                <w:color w:val="000000"/>
                <w:sz w:val="16"/>
                <w:szCs w:val="16"/>
              </w:rPr>
              <w:t>Итого по ЦПЭ</w:t>
            </w:r>
          </w:p>
        </w:tc>
        <w:tc>
          <w:tcPr>
            <w:tcW w:w="1100" w:type="dxa"/>
            <w:tcBorders>
              <w:top w:val="single" w:sz="8" w:space="0" w:color="auto"/>
              <w:left w:val="nil"/>
              <w:bottom w:val="double" w:sz="6" w:space="0" w:color="auto"/>
              <w:right w:val="single" w:sz="4" w:space="0" w:color="auto"/>
            </w:tcBorders>
            <w:shd w:val="clear" w:color="auto" w:fill="auto"/>
            <w:vAlign w:val="bottom"/>
            <w:hideMark/>
          </w:tcPr>
          <w:p w:rsidR="00597F03" w:rsidRPr="005276DF" w:rsidRDefault="00597F03" w:rsidP="00597F03">
            <w:pPr>
              <w:jc w:val="center"/>
              <w:rPr>
                <w:rFonts w:eastAsia="Times New Roman"/>
                <w:b/>
                <w:bCs/>
                <w:i/>
                <w:iCs/>
                <w:color w:val="000000"/>
                <w:sz w:val="16"/>
                <w:szCs w:val="16"/>
              </w:rPr>
            </w:pPr>
            <w:r>
              <w:rPr>
                <w:rFonts w:eastAsia="Times New Roman"/>
                <w:b/>
                <w:bCs/>
                <w:i/>
                <w:iCs/>
                <w:color w:val="000000"/>
                <w:sz w:val="16"/>
                <w:szCs w:val="16"/>
              </w:rPr>
              <w:t>260,5</w:t>
            </w:r>
          </w:p>
        </w:tc>
        <w:tc>
          <w:tcPr>
            <w:tcW w:w="1180" w:type="dxa"/>
            <w:tcBorders>
              <w:top w:val="single" w:sz="8" w:space="0" w:color="auto"/>
              <w:left w:val="nil"/>
              <w:bottom w:val="double" w:sz="6" w:space="0" w:color="auto"/>
              <w:right w:val="single" w:sz="4" w:space="0" w:color="auto"/>
            </w:tcBorders>
            <w:shd w:val="clear" w:color="000000" w:fill="FFFFFF"/>
            <w:noWrap/>
            <w:vAlign w:val="bottom"/>
            <w:hideMark/>
          </w:tcPr>
          <w:p w:rsidR="00597F03" w:rsidRPr="005276DF" w:rsidRDefault="00597F03" w:rsidP="00597F03">
            <w:pPr>
              <w:jc w:val="center"/>
              <w:rPr>
                <w:rFonts w:eastAsia="Times New Roman"/>
                <w:b/>
                <w:bCs/>
                <w:i/>
                <w:iCs/>
                <w:color w:val="000000"/>
                <w:sz w:val="16"/>
                <w:szCs w:val="16"/>
              </w:rPr>
            </w:pPr>
            <w:r w:rsidRPr="005276DF">
              <w:rPr>
                <w:rFonts w:eastAsia="Times New Roman"/>
                <w:b/>
                <w:bCs/>
                <w:i/>
                <w:iCs/>
                <w:color w:val="000000"/>
                <w:sz w:val="16"/>
                <w:szCs w:val="16"/>
              </w:rPr>
              <w:t>1</w:t>
            </w:r>
            <w:r>
              <w:rPr>
                <w:rFonts w:eastAsia="Times New Roman"/>
                <w:b/>
                <w:bCs/>
                <w:i/>
                <w:iCs/>
                <w:color w:val="000000"/>
                <w:sz w:val="16"/>
                <w:szCs w:val="16"/>
              </w:rPr>
              <w:t>5</w:t>
            </w:r>
            <w:r w:rsidRPr="005276DF">
              <w:rPr>
                <w:rFonts w:eastAsia="Times New Roman"/>
                <w:b/>
                <w:bCs/>
                <w:i/>
                <w:iCs/>
                <w:color w:val="000000"/>
                <w:sz w:val="16"/>
                <w:szCs w:val="16"/>
              </w:rPr>
              <w:t xml:space="preserve"> </w:t>
            </w:r>
            <w:r>
              <w:rPr>
                <w:rFonts w:eastAsia="Times New Roman"/>
                <w:b/>
                <w:bCs/>
                <w:i/>
                <w:iCs/>
                <w:color w:val="000000"/>
                <w:sz w:val="16"/>
                <w:szCs w:val="16"/>
              </w:rPr>
              <w:t>1</w:t>
            </w:r>
            <w:r w:rsidRPr="005276DF">
              <w:rPr>
                <w:rFonts w:eastAsia="Times New Roman"/>
                <w:b/>
                <w:bCs/>
                <w:i/>
                <w:iCs/>
                <w:color w:val="000000"/>
                <w:sz w:val="16"/>
                <w:szCs w:val="16"/>
              </w:rPr>
              <w:t>00,0</w:t>
            </w:r>
          </w:p>
        </w:tc>
        <w:tc>
          <w:tcPr>
            <w:tcW w:w="964" w:type="dxa"/>
            <w:tcBorders>
              <w:top w:val="single" w:sz="8" w:space="0" w:color="auto"/>
              <w:left w:val="nil"/>
              <w:bottom w:val="double" w:sz="6" w:space="0" w:color="auto"/>
              <w:right w:val="single" w:sz="4" w:space="0" w:color="auto"/>
            </w:tcBorders>
            <w:shd w:val="clear" w:color="auto" w:fill="auto"/>
            <w:noWrap/>
            <w:vAlign w:val="bottom"/>
            <w:hideMark/>
          </w:tcPr>
          <w:p w:rsidR="00597F03" w:rsidRPr="005276DF" w:rsidRDefault="005B7471" w:rsidP="005B7471">
            <w:pPr>
              <w:jc w:val="center"/>
              <w:rPr>
                <w:rFonts w:eastAsia="Times New Roman"/>
                <w:b/>
                <w:bCs/>
                <w:i/>
                <w:iCs/>
                <w:color w:val="000000"/>
                <w:sz w:val="16"/>
                <w:szCs w:val="16"/>
              </w:rPr>
            </w:pPr>
            <w:r>
              <w:rPr>
                <w:rFonts w:eastAsia="Times New Roman"/>
                <w:b/>
                <w:bCs/>
                <w:i/>
                <w:iCs/>
                <w:color w:val="000000"/>
                <w:sz w:val="16"/>
                <w:szCs w:val="16"/>
              </w:rPr>
              <w:t>9 124,4</w:t>
            </w:r>
          </w:p>
        </w:tc>
        <w:tc>
          <w:tcPr>
            <w:tcW w:w="1009" w:type="dxa"/>
            <w:tcBorders>
              <w:top w:val="single" w:sz="8" w:space="0" w:color="auto"/>
              <w:left w:val="nil"/>
              <w:bottom w:val="double" w:sz="6" w:space="0" w:color="auto"/>
              <w:right w:val="single" w:sz="4" w:space="0" w:color="auto"/>
            </w:tcBorders>
            <w:shd w:val="clear" w:color="auto" w:fill="auto"/>
            <w:noWrap/>
            <w:vAlign w:val="bottom"/>
            <w:hideMark/>
          </w:tcPr>
          <w:p w:rsidR="00597F03" w:rsidRPr="005276DF" w:rsidRDefault="00597F03" w:rsidP="00597F03">
            <w:pPr>
              <w:jc w:val="center"/>
              <w:rPr>
                <w:rFonts w:eastAsia="Times New Roman"/>
                <w:b/>
                <w:bCs/>
                <w:i/>
                <w:iCs/>
                <w:color w:val="000000"/>
                <w:sz w:val="16"/>
                <w:szCs w:val="16"/>
              </w:rPr>
            </w:pPr>
            <w:r>
              <w:rPr>
                <w:rFonts w:eastAsia="Times New Roman"/>
                <w:b/>
                <w:bCs/>
                <w:i/>
                <w:iCs/>
                <w:color w:val="000000"/>
                <w:sz w:val="16"/>
                <w:szCs w:val="16"/>
              </w:rPr>
              <w:t>6 236,1</w:t>
            </w:r>
          </w:p>
        </w:tc>
        <w:tc>
          <w:tcPr>
            <w:tcW w:w="992" w:type="dxa"/>
            <w:tcBorders>
              <w:top w:val="single" w:sz="8" w:space="0" w:color="auto"/>
              <w:left w:val="nil"/>
              <w:bottom w:val="double" w:sz="6" w:space="0" w:color="auto"/>
              <w:right w:val="single" w:sz="4" w:space="0" w:color="auto"/>
            </w:tcBorders>
            <w:shd w:val="clear" w:color="auto" w:fill="auto"/>
            <w:noWrap/>
            <w:vAlign w:val="bottom"/>
            <w:hideMark/>
          </w:tcPr>
          <w:p w:rsidR="00597F03" w:rsidRPr="005276DF" w:rsidRDefault="00597F03" w:rsidP="00732D6B">
            <w:pPr>
              <w:jc w:val="center"/>
              <w:rPr>
                <w:rFonts w:eastAsia="Times New Roman"/>
                <w:b/>
                <w:bCs/>
                <w:i/>
                <w:iCs/>
                <w:color w:val="000000"/>
                <w:sz w:val="16"/>
                <w:szCs w:val="16"/>
              </w:rPr>
            </w:pPr>
            <w:r>
              <w:rPr>
                <w:rFonts w:eastAsia="Times New Roman"/>
                <w:b/>
                <w:bCs/>
                <w:i/>
                <w:iCs/>
                <w:color w:val="000000"/>
                <w:sz w:val="16"/>
                <w:szCs w:val="16"/>
              </w:rPr>
              <w:t>60</w:t>
            </w:r>
            <w:r w:rsidRPr="005276DF">
              <w:rPr>
                <w:rFonts w:eastAsia="Times New Roman"/>
                <w:b/>
                <w:bCs/>
                <w:i/>
                <w:iCs/>
                <w:color w:val="000000"/>
                <w:sz w:val="16"/>
                <w:szCs w:val="16"/>
              </w:rPr>
              <w:t>0,0</w:t>
            </w:r>
          </w:p>
        </w:tc>
        <w:tc>
          <w:tcPr>
            <w:tcW w:w="1276" w:type="dxa"/>
            <w:tcBorders>
              <w:top w:val="single" w:sz="8" w:space="0" w:color="auto"/>
              <w:left w:val="nil"/>
              <w:bottom w:val="double" w:sz="6" w:space="0" w:color="auto"/>
              <w:right w:val="single" w:sz="4" w:space="0" w:color="auto"/>
            </w:tcBorders>
            <w:shd w:val="clear" w:color="auto" w:fill="auto"/>
            <w:noWrap/>
            <w:vAlign w:val="bottom"/>
            <w:hideMark/>
          </w:tcPr>
          <w:p w:rsidR="00597F03" w:rsidRPr="005276DF" w:rsidRDefault="00597F03" w:rsidP="00597F03">
            <w:pPr>
              <w:jc w:val="center"/>
              <w:rPr>
                <w:rFonts w:eastAsia="Times New Roman"/>
                <w:b/>
                <w:bCs/>
                <w:i/>
                <w:iCs/>
                <w:color w:val="000000"/>
                <w:sz w:val="16"/>
                <w:szCs w:val="16"/>
              </w:rPr>
            </w:pPr>
            <w:r>
              <w:rPr>
                <w:rFonts w:eastAsia="Times New Roman"/>
                <w:b/>
                <w:bCs/>
                <w:i/>
                <w:iCs/>
                <w:color w:val="000000"/>
                <w:sz w:val="16"/>
                <w:szCs w:val="16"/>
              </w:rPr>
              <w:t>4 336,5</w:t>
            </w:r>
          </w:p>
        </w:tc>
        <w:tc>
          <w:tcPr>
            <w:tcW w:w="1134" w:type="dxa"/>
            <w:tcBorders>
              <w:top w:val="single" w:sz="8" w:space="0" w:color="auto"/>
              <w:left w:val="nil"/>
              <w:bottom w:val="double" w:sz="6" w:space="0" w:color="auto"/>
              <w:right w:val="double" w:sz="6" w:space="0" w:color="auto"/>
            </w:tcBorders>
            <w:shd w:val="clear" w:color="auto" w:fill="auto"/>
            <w:noWrap/>
            <w:vAlign w:val="bottom"/>
            <w:hideMark/>
          </w:tcPr>
          <w:p w:rsidR="00597F03" w:rsidRPr="005276DF" w:rsidRDefault="00597F03" w:rsidP="00597F03">
            <w:pPr>
              <w:jc w:val="center"/>
              <w:rPr>
                <w:rFonts w:eastAsia="Times New Roman"/>
                <w:b/>
                <w:bCs/>
                <w:i/>
                <w:iCs/>
                <w:color w:val="000000"/>
                <w:sz w:val="16"/>
                <w:szCs w:val="16"/>
              </w:rPr>
            </w:pPr>
            <w:r>
              <w:rPr>
                <w:rFonts w:eastAsia="Times New Roman"/>
                <w:b/>
                <w:bCs/>
                <w:i/>
                <w:iCs/>
                <w:color w:val="000000"/>
                <w:sz w:val="16"/>
                <w:szCs w:val="16"/>
              </w:rPr>
              <w:t>2 469,6</w:t>
            </w:r>
          </w:p>
        </w:tc>
      </w:tr>
    </w:tbl>
    <w:p w:rsidR="00597F03" w:rsidRDefault="00597F03" w:rsidP="004008BB">
      <w:pPr>
        <w:ind w:firstLine="709"/>
        <w:jc w:val="right"/>
        <w:rPr>
          <w:bCs/>
          <w:sz w:val="22"/>
          <w:szCs w:val="22"/>
        </w:rPr>
      </w:pPr>
    </w:p>
    <w:p w:rsidR="00E138EF" w:rsidRDefault="004B0482" w:rsidP="005F0A84">
      <w:pPr>
        <w:ind w:firstLine="708"/>
        <w:jc w:val="both"/>
        <w:rPr>
          <w:bCs/>
        </w:rPr>
      </w:pPr>
      <w:proofErr w:type="gramStart"/>
      <w:r w:rsidRPr="00BA1B78">
        <w:rPr>
          <w:bCs/>
        </w:rPr>
        <w:t xml:space="preserve">Как видно из таблицы, </w:t>
      </w:r>
      <w:r>
        <w:rPr>
          <w:bCs/>
        </w:rPr>
        <w:t xml:space="preserve">в 2017 году </w:t>
      </w:r>
      <w:r w:rsidRPr="00BA1B78">
        <w:rPr>
          <w:bCs/>
        </w:rPr>
        <w:t>субсиди</w:t>
      </w:r>
      <w:r>
        <w:rPr>
          <w:bCs/>
        </w:rPr>
        <w:t xml:space="preserve">и за счет средств </w:t>
      </w:r>
      <w:r w:rsidRPr="00BA1B78">
        <w:rPr>
          <w:bCs/>
        </w:rPr>
        <w:t>областного и федерального  бюджетов использован</w:t>
      </w:r>
      <w:r w:rsidR="00BC2BD6">
        <w:rPr>
          <w:bCs/>
        </w:rPr>
        <w:t xml:space="preserve">ы </w:t>
      </w:r>
      <w:r w:rsidR="00E138EF">
        <w:rPr>
          <w:bCs/>
        </w:rPr>
        <w:t>следующим образом:</w:t>
      </w:r>
      <w:proofErr w:type="gramEnd"/>
    </w:p>
    <w:p w:rsidR="00616D90" w:rsidRDefault="00E138EF" w:rsidP="005F0A84">
      <w:pPr>
        <w:ind w:firstLine="708"/>
        <w:jc w:val="both"/>
        <w:rPr>
          <w:rFonts w:eastAsia="Times New Roman"/>
        </w:rPr>
      </w:pPr>
      <w:r>
        <w:rPr>
          <w:bCs/>
        </w:rPr>
        <w:t xml:space="preserve">- по ЦПП </w:t>
      </w:r>
      <w:r w:rsidR="004B0482" w:rsidRPr="00BA1B78">
        <w:rPr>
          <w:bCs/>
        </w:rPr>
        <w:t xml:space="preserve">в сумме </w:t>
      </w:r>
      <w:r w:rsidR="00BC2BD6">
        <w:rPr>
          <w:bCs/>
        </w:rPr>
        <w:t>35,7 млн. руб.</w:t>
      </w:r>
      <w:r w:rsidR="004B0482" w:rsidRPr="00BA1B78">
        <w:rPr>
          <w:bCs/>
        </w:rPr>
        <w:t xml:space="preserve">, или на </w:t>
      </w:r>
      <w:r w:rsidR="00BC2BD6">
        <w:rPr>
          <w:bCs/>
        </w:rPr>
        <w:t>71,5% от суммы поступивших субсидий с учетом остатка.</w:t>
      </w:r>
      <w:r w:rsidR="004B0482" w:rsidRPr="00BA1B78">
        <w:rPr>
          <w:bCs/>
        </w:rPr>
        <w:t xml:space="preserve"> </w:t>
      </w:r>
      <w:proofErr w:type="gramStart"/>
      <w:r w:rsidR="004B0482" w:rsidRPr="00E138EF">
        <w:rPr>
          <w:rStyle w:val="af6"/>
          <w:b w:val="0"/>
        </w:rPr>
        <w:t>На 01.01.201</w:t>
      </w:r>
      <w:r w:rsidR="00616D90" w:rsidRPr="00E138EF">
        <w:rPr>
          <w:rStyle w:val="af6"/>
          <w:b w:val="0"/>
        </w:rPr>
        <w:t>8</w:t>
      </w:r>
      <w:r w:rsidR="004B0482" w:rsidRPr="00E138EF">
        <w:rPr>
          <w:rStyle w:val="af6"/>
        </w:rPr>
        <w:t xml:space="preserve"> </w:t>
      </w:r>
      <w:r w:rsidR="004B0482" w:rsidRPr="00E138EF">
        <w:rPr>
          <w:bCs/>
        </w:rPr>
        <w:t>остаток средств</w:t>
      </w:r>
      <w:r w:rsidR="00616D90" w:rsidRPr="00E138EF">
        <w:rPr>
          <w:bCs/>
        </w:rPr>
        <w:t xml:space="preserve"> по субсидии на иные цели составил</w:t>
      </w:r>
      <w:r w:rsidR="00616D90" w:rsidRPr="00E138EF">
        <w:t xml:space="preserve"> </w:t>
      </w:r>
      <w:r w:rsidR="00616D90" w:rsidRPr="00E138EF">
        <w:rPr>
          <w:rFonts w:eastAsia="Times New Roman"/>
          <w:bCs/>
          <w:iCs/>
        </w:rPr>
        <w:t>13,2 млн. руб. (в т.ч. по субсиди</w:t>
      </w:r>
      <w:r w:rsidR="00616D90" w:rsidRPr="00CF3CE5">
        <w:rPr>
          <w:rFonts w:eastAsia="Times New Roman"/>
          <w:bCs/>
          <w:iCs/>
        </w:rPr>
        <w:t>ям, предоставленным в 2014-2016 годах</w:t>
      </w:r>
      <w:r w:rsidR="00616D90">
        <w:rPr>
          <w:rFonts w:eastAsia="Times New Roman"/>
          <w:bCs/>
          <w:iCs/>
        </w:rPr>
        <w:t>,</w:t>
      </w:r>
      <w:r w:rsidR="00616D90" w:rsidRPr="00CF3CE5">
        <w:rPr>
          <w:rFonts w:eastAsia="Times New Roman"/>
          <w:bCs/>
          <w:iCs/>
        </w:rPr>
        <w:t xml:space="preserve"> – </w:t>
      </w:r>
      <w:r w:rsidR="00616D90" w:rsidRPr="00CF3CE5">
        <w:rPr>
          <w:rFonts w:eastAsia="Times New Roman"/>
        </w:rPr>
        <w:t>11,9 млн. руб.)</w:t>
      </w:r>
      <w:r w:rsidR="00616D90">
        <w:rPr>
          <w:rFonts w:eastAsia="Times New Roman"/>
        </w:rPr>
        <w:t>, по субсидии на госзадание – 0,97 млн. руб. (в т.ч. по субсидиям, предоставленным в 201</w:t>
      </w:r>
      <w:r w:rsidR="003D2ADC">
        <w:rPr>
          <w:rFonts w:eastAsia="Times New Roman"/>
        </w:rPr>
        <w:t>4-2016 годах, - 0,67 млн. руб.);</w:t>
      </w:r>
      <w:proofErr w:type="gramEnd"/>
    </w:p>
    <w:p w:rsidR="00E138EF" w:rsidRDefault="003D2ADC" w:rsidP="00E138EF">
      <w:pPr>
        <w:ind w:firstLine="708"/>
        <w:jc w:val="both"/>
        <w:rPr>
          <w:rFonts w:eastAsia="Times New Roman"/>
        </w:rPr>
      </w:pPr>
      <w:bookmarkStart w:id="4" w:name="OLE_LINK5"/>
      <w:r>
        <w:rPr>
          <w:bCs/>
        </w:rPr>
        <w:t xml:space="preserve">- по ЦИВО </w:t>
      </w:r>
      <w:r w:rsidR="00E138EF" w:rsidRPr="003A0BA3">
        <w:rPr>
          <w:bCs/>
        </w:rPr>
        <w:t xml:space="preserve">в сумме 37,9 млн. руб., или на 85,1% от суммы поступивших субсидий с учетом остатка. </w:t>
      </w:r>
      <w:proofErr w:type="gramStart"/>
      <w:r w:rsidR="00E138EF" w:rsidRPr="00585600">
        <w:rPr>
          <w:rStyle w:val="af6"/>
          <w:b w:val="0"/>
        </w:rPr>
        <w:t>На 01.01.2018</w:t>
      </w:r>
      <w:r w:rsidR="00E138EF" w:rsidRPr="00585600">
        <w:rPr>
          <w:rStyle w:val="af6"/>
        </w:rPr>
        <w:t xml:space="preserve"> </w:t>
      </w:r>
      <w:r w:rsidR="00E138EF" w:rsidRPr="00585600">
        <w:rPr>
          <w:bCs/>
        </w:rPr>
        <w:t>остаток средств по субсидии на иные цели составил</w:t>
      </w:r>
      <w:r w:rsidR="00E138EF" w:rsidRPr="00585600">
        <w:t xml:space="preserve"> 6,0</w:t>
      </w:r>
      <w:r w:rsidR="00E138EF" w:rsidRPr="00585600">
        <w:rPr>
          <w:rFonts w:eastAsia="Times New Roman"/>
          <w:bCs/>
          <w:iCs/>
        </w:rPr>
        <w:t xml:space="preserve"> млн. руб. (в т.ч. по субсидиям, предоставленным в 2014-2016 годах, – 2,7</w:t>
      </w:r>
      <w:r w:rsidR="00E138EF" w:rsidRPr="00585600">
        <w:rPr>
          <w:rFonts w:eastAsia="Times New Roman"/>
        </w:rPr>
        <w:t xml:space="preserve"> млн. руб.), по субсидии на госзадание – 0,7 млн. руб. (в т.ч. по субсидиям, предоставленным в 2014-2016 годах, - 0,06</w:t>
      </w:r>
      <w:r>
        <w:rPr>
          <w:rFonts w:eastAsia="Times New Roman"/>
        </w:rPr>
        <w:t xml:space="preserve"> млн. руб.);</w:t>
      </w:r>
      <w:proofErr w:type="gramEnd"/>
    </w:p>
    <w:p w:rsidR="00732D6B" w:rsidRDefault="003D2ADC" w:rsidP="00965603">
      <w:pPr>
        <w:autoSpaceDE w:val="0"/>
        <w:autoSpaceDN w:val="0"/>
        <w:adjustRightInd w:val="0"/>
        <w:ind w:firstLine="680"/>
        <w:jc w:val="both"/>
      </w:pPr>
      <w:r>
        <w:rPr>
          <w:rFonts w:eastAsia="Times New Roman"/>
        </w:rPr>
        <w:t>- по ЦПЭ</w:t>
      </w:r>
      <w:bookmarkEnd w:id="4"/>
      <w:r>
        <w:rPr>
          <w:rFonts w:eastAsia="Times New Roman"/>
        </w:rPr>
        <w:t xml:space="preserve"> в сумме</w:t>
      </w:r>
      <w:r w:rsidR="00E138EF" w:rsidRPr="003A0BA3">
        <w:rPr>
          <w:bCs/>
        </w:rPr>
        <w:t xml:space="preserve"> </w:t>
      </w:r>
      <w:r w:rsidR="00E138EF">
        <w:rPr>
          <w:bCs/>
        </w:rPr>
        <w:t>9,1</w:t>
      </w:r>
      <w:r w:rsidR="00E138EF" w:rsidRPr="003A0BA3">
        <w:rPr>
          <w:bCs/>
        </w:rPr>
        <w:t xml:space="preserve"> млн. руб.</w:t>
      </w:r>
      <w:r w:rsidR="00732D6B">
        <w:rPr>
          <w:bCs/>
        </w:rPr>
        <w:t xml:space="preserve">, или </w:t>
      </w:r>
      <w:r w:rsidR="00E138EF">
        <w:rPr>
          <w:bCs/>
        </w:rPr>
        <w:t>59,4</w:t>
      </w:r>
      <w:r w:rsidR="00E138EF" w:rsidRPr="003A0BA3">
        <w:rPr>
          <w:bCs/>
        </w:rPr>
        <w:t>% от суммы поступивших субсидий с учетом остатка</w:t>
      </w:r>
      <w:r w:rsidR="00E138EF">
        <w:rPr>
          <w:bCs/>
        </w:rPr>
        <w:t xml:space="preserve">). </w:t>
      </w:r>
      <w:r w:rsidR="00E138EF" w:rsidRPr="00585600">
        <w:rPr>
          <w:rStyle w:val="af6"/>
          <w:b w:val="0"/>
        </w:rPr>
        <w:t>На 01.01.2018</w:t>
      </w:r>
      <w:r w:rsidR="00E138EF" w:rsidRPr="00585600">
        <w:rPr>
          <w:rStyle w:val="af6"/>
        </w:rPr>
        <w:t xml:space="preserve"> </w:t>
      </w:r>
      <w:r w:rsidR="00E138EF" w:rsidRPr="00585600">
        <w:rPr>
          <w:bCs/>
        </w:rPr>
        <w:t xml:space="preserve">остаток средств </w:t>
      </w:r>
      <w:r w:rsidR="00E138EF" w:rsidRPr="00585600">
        <w:rPr>
          <w:rFonts w:eastAsia="Times New Roman"/>
        </w:rPr>
        <w:t>по субсидии на госзадание</w:t>
      </w:r>
      <w:r w:rsidR="00E138EF">
        <w:rPr>
          <w:rFonts w:eastAsia="Times New Roman"/>
        </w:rPr>
        <w:t xml:space="preserve"> составил</w:t>
      </w:r>
      <w:r w:rsidR="00E138EF" w:rsidRPr="00585600">
        <w:rPr>
          <w:rFonts w:eastAsia="Times New Roman"/>
        </w:rPr>
        <w:t xml:space="preserve"> 0,</w:t>
      </w:r>
      <w:r w:rsidR="00E138EF">
        <w:rPr>
          <w:rFonts w:eastAsia="Times New Roman"/>
        </w:rPr>
        <w:t>2</w:t>
      </w:r>
      <w:r w:rsidR="00E138EF" w:rsidRPr="00585600">
        <w:rPr>
          <w:rFonts w:eastAsia="Times New Roman"/>
        </w:rPr>
        <w:t xml:space="preserve"> млн. руб</w:t>
      </w:r>
      <w:r w:rsidR="00E138EF">
        <w:rPr>
          <w:rFonts w:eastAsia="Times New Roman"/>
        </w:rPr>
        <w:t xml:space="preserve">., </w:t>
      </w:r>
      <w:r w:rsidR="00E138EF" w:rsidRPr="00585600">
        <w:rPr>
          <w:bCs/>
        </w:rPr>
        <w:t xml:space="preserve">по субсидии на иные цели </w:t>
      </w:r>
      <w:r w:rsidR="00E138EF">
        <w:rPr>
          <w:bCs/>
        </w:rPr>
        <w:t>-</w:t>
      </w:r>
      <w:r w:rsidR="00E138EF" w:rsidRPr="00585600">
        <w:t xml:space="preserve"> 6,0</w:t>
      </w:r>
      <w:r w:rsidR="00E138EF">
        <w:rPr>
          <w:rFonts w:eastAsia="Times New Roman"/>
          <w:bCs/>
          <w:iCs/>
        </w:rPr>
        <w:t xml:space="preserve"> млн. рублей</w:t>
      </w:r>
      <w:r w:rsidR="00E138EF" w:rsidRPr="00965603">
        <w:rPr>
          <w:rFonts w:eastAsia="Times New Roman"/>
          <w:bCs/>
          <w:iCs/>
        </w:rPr>
        <w:t xml:space="preserve">. </w:t>
      </w:r>
      <w:proofErr w:type="gramStart"/>
      <w:r w:rsidR="00732D6B" w:rsidRPr="00965603">
        <w:rPr>
          <w:rFonts w:eastAsia="Times New Roman"/>
          <w:bCs/>
          <w:iCs/>
        </w:rPr>
        <w:t>Н</w:t>
      </w:r>
      <w:r w:rsidR="00732D6B" w:rsidRPr="00965603">
        <w:rPr>
          <w:bCs/>
        </w:rPr>
        <w:t xml:space="preserve">аблюдается значительное не освоение средств субсидии на иные цели (50,1%), на что помимо объективных факторов (экономия по итогам конкурсных процедур, длительность </w:t>
      </w:r>
      <w:r w:rsidR="00732D6B" w:rsidRPr="00965603">
        <w:t xml:space="preserve">выбора  исполнителей услуг в рамках требований Федерального закона от 18.07.2011 № 223-ФЗ «О закупках товаров, работ, услуг отдельными видами юридических лиц»,  изменение  места и времени проведения мероприятий по приему иностранных делегаций и </w:t>
      </w:r>
      <w:proofErr w:type="spellStart"/>
      <w:r w:rsidR="00732D6B" w:rsidRPr="00965603">
        <w:t>бизнес-миссий</w:t>
      </w:r>
      <w:proofErr w:type="spellEnd"/>
      <w:r w:rsidR="00732D6B" w:rsidRPr="00965603">
        <w:t>) оказала влияние недостаточная работа ЦПЭ по своевременному</w:t>
      </w:r>
      <w:proofErr w:type="gramEnd"/>
      <w:r w:rsidR="00732D6B" w:rsidRPr="00965603">
        <w:t xml:space="preserve"> освоению средств федерального бюджета, так как наибольшая часть субсидии (83,4%) поступила 14.04.2017.</w:t>
      </w:r>
    </w:p>
    <w:p w:rsidR="0008265F" w:rsidRDefault="00DC248C" w:rsidP="0008265F">
      <w:pPr>
        <w:autoSpaceDE w:val="0"/>
        <w:autoSpaceDN w:val="0"/>
        <w:adjustRightInd w:val="0"/>
        <w:ind w:firstLine="680"/>
        <w:jc w:val="both"/>
      </w:pPr>
      <w:r>
        <w:t xml:space="preserve">По пояснению </w:t>
      </w:r>
      <w:r w:rsidRPr="002D3132">
        <w:t>ГАУ Бизнес-инкубатор наличие остатк</w:t>
      </w:r>
      <w:r w:rsidR="000A59DE">
        <w:t xml:space="preserve">ов </w:t>
      </w:r>
      <w:proofErr w:type="gramStart"/>
      <w:r w:rsidR="005F0A84" w:rsidRPr="002D3132">
        <w:t xml:space="preserve">по субсидии на иные цели </w:t>
      </w:r>
      <w:r w:rsidR="000A59DE">
        <w:t xml:space="preserve">по всем центрам </w:t>
      </w:r>
      <w:r w:rsidRPr="002D3132">
        <w:t>в основном обусловлено экономией денежных средств при отборе</w:t>
      </w:r>
      <w:proofErr w:type="gramEnd"/>
      <w:r w:rsidRPr="002D3132">
        <w:t xml:space="preserve"> поставщиков услуг, предложивших наименьшую цену. Вместе</w:t>
      </w:r>
      <w:r w:rsidRPr="00EB34D0">
        <w:t xml:space="preserve"> с тем проверкой установлено, что </w:t>
      </w:r>
      <w:r w:rsidRPr="00FE4E1F">
        <w:t xml:space="preserve">по отдельным направлениям расходования субсидии </w:t>
      </w:r>
      <w:r w:rsidR="003B672F" w:rsidRPr="00FE4E1F">
        <w:t xml:space="preserve">на иные цели </w:t>
      </w:r>
      <w:r w:rsidRPr="00FE4E1F">
        <w:t>потребность в ней отсутствует на протяжении нескольких лет</w:t>
      </w:r>
      <w:r w:rsidR="0008265F" w:rsidRPr="00FE4E1F">
        <w:t xml:space="preserve">. </w:t>
      </w:r>
      <w:r w:rsidR="0008265F" w:rsidRPr="00EB34D0">
        <w:t xml:space="preserve">При этом возврат </w:t>
      </w:r>
      <w:r w:rsidR="0008265F">
        <w:t xml:space="preserve">(частичный возврат) </w:t>
      </w:r>
      <w:r w:rsidR="0008265F" w:rsidRPr="00EB34D0">
        <w:t>средств не осуществля</w:t>
      </w:r>
      <w:r w:rsidR="0008265F">
        <w:t>лся</w:t>
      </w:r>
      <w:r w:rsidR="0008265F" w:rsidRPr="00EB34D0">
        <w:t xml:space="preserve">, </w:t>
      </w:r>
      <w:r w:rsidR="0008265F">
        <w:t>так как ГАУ Бизнес-инкубатор</w:t>
      </w:r>
      <w:r w:rsidR="0008265F" w:rsidRPr="004D4C8E">
        <w:t xml:space="preserve"> ежегодно принимались</w:t>
      </w:r>
      <w:r w:rsidR="0008265F" w:rsidRPr="00B32D6E">
        <w:t xml:space="preserve"> решения о наличии потребности в средствах, а </w:t>
      </w:r>
      <w:proofErr w:type="spellStart"/>
      <w:r w:rsidR="0008265F" w:rsidRPr="00B32D6E">
        <w:t>Облкомэкономразвития</w:t>
      </w:r>
      <w:proofErr w:type="spellEnd"/>
      <w:r w:rsidR="0008265F" w:rsidRPr="00B32D6E">
        <w:t xml:space="preserve">, как учредителем утверждались остатки средств к использованию в годах, следующих за </w:t>
      </w:r>
      <w:proofErr w:type="gramStart"/>
      <w:r w:rsidR="0008265F" w:rsidRPr="00B32D6E">
        <w:t>отчетным</w:t>
      </w:r>
      <w:r w:rsidR="0008265F">
        <w:t>и</w:t>
      </w:r>
      <w:proofErr w:type="gramEnd"/>
      <w:r w:rsidR="0008265F" w:rsidRPr="00B32D6E">
        <w:t>.</w:t>
      </w:r>
    </w:p>
    <w:p w:rsidR="003B672F" w:rsidRPr="003B672F" w:rsidRDefault="0008265F" w:rsidP="003B672F">
      <w:pPr>
        <w:autoSpaceDE w:val="0"/>
        <w:autoSpaceDN w:val="0"/>
        <w:adjustRightInd w:val="0"/>
        <w:ind w:firstLine="680"/>
        <w:jc w:val="both"/>
      </w:pPr>
      <w:r>
        <w:lastRenderedPageBreak/>
        <w:t>Н</w:t>
      </w:r>
      <w:r w:rsidR="003B672F">
        <w:t>апример</w:t>
      </w:r>
      <w:r w:rsidR="005F0A84">
        <w:t>,</w:t>
      </w:r>
      <w:r w:rsidR="003B672F">
        <w:t xml:space="preserve"> </w:t>
      </w:r>
      <w:r w:rsidR="00A31AA1">
        <w:t xml:space="preserve">по ЦПП </w:t>
      </w:r>
      <w:r w:rsidR="003B672F" w:rsidRPr="003B672F">
        <w:t xml:space="preserve">соглашениями о порядке предоставления субсидий на 2015-2018 годы предусмотрены расходы на организацию предоставления консультаций по деятельности института </w:t>
      </w:r>
      <w:r w:rsidR="003B672F" w:rsidRPr="00400CAE">
        <w:t>У</w:t>
      </w:r>
      <w:r w:rsidR="00E817AB" w:rsidRPr="00400CAE">
        <w:t xml:space="preserve">полномоченного по защите прав предпринимателей в </w:t>
      </w:r>
      <w:r w:rsidR="003B672F" w:rsidRPr="00400CAE">
        <w:t>Волгоградской области.</w:t>
      </w:r>
      <w:r w:rsidR="003B672F" w:rsidRPr="003B672F">
        <w:t xml:space="preserve"> Информация о расходовании указанных сре</w:t>
      </w:r>
      <w:proofErr w:type="gramStart"/>
      <w:r w:rsidR="003B672F" w:rsidRPr="003B672F">
        <w:t>дств пр</w:t>
      </w:r>
      <w:proofErr w:type="gramEnd"/>
      <w:r w:rsidR="003B672F" w:rsidRPr="003B672F">
        <w:t>едставлена в следующей таблице.</w:t>
      </w:r>
    </w:p>
    <w:p w:rsidR="003B672F" w:rsidRPr="004A55E6" w:rsidRDefault="003B672F" w:rsidP="003B672F">
      <w:pPr>
        <w:autoSpaceDE w:val="0"/>
        <w:autoSpaceDN w:val="0"/>
        <w:adjustRightInd w:val="0"/>
        <w:ind w:firstLine="709"/>
        <w:jc w:val="right"/>
        <w:rPr>
          <w:sz w:val="22"/>
          <w:szCs w:val="22"/>
        </w:rPr>
      </w:pPr>
      <w:r w:rsidRPr="004A55E6">
        <w:rPr>
          <w:sz w:val="22"/>
          <w:szCs w:val="22"/>
        </w:rPr>
        <w:t>тыс. руб.</w:t>
      </w:r>
    </w:p>
    <w:tbl>
      <w:tblPr>
        <w:tblW w:w="9924" w:type="dxa"/>
        <w:tblInd w:w="-318" w:type="dxa"/>
        <w:tblLook w:val="04A0"/>
      </w:tblPr>
      <w:tblGrid>
        <w:gridCol w:w="4962"/>
        <w:gridCol w:w="1282"/>
        <w:gridCol w:w="1270"/>
        <w:gridCol w:w="1276"/>
        <w:gridCol w:w="1134"/>
      </w:tblGrid>
      <w:tr w:rsidR="003B672F" w:rsidRPr="004A55E6" w:rsidTr="00DC3C97">
        <w:trPr>
          <w:trHeight w:val="227"/>
        </w:trPr>
        <w:tc>
          <w:tcPr>
            <w:tcW w:w="4962" w:type="dxa"/>
            <w:vMerge w:val="restart"/>
            <w:tcBorders>
              <w:top w:val="double" w:sz="6" w:space="0" w:color="auto"/>
              <w:left w:val="double" w:sz="6" w:space="0" w:color="auto"/>
              <w:bottom w:val="double" w:sz="6" w:space="0" w:color="auto"/>
              <w:right w:val="single" w:sz="8" w:space="0" w:color="auto"/>
            </w:tcBorders>
            <w:shd w:val="clear" w:color="auto" w:fill="EAF1DD" w:themeFill="accent3" w:themeFillTint="33"/>
            <w:noWrap/>
            <w:vAlign w:val="center"/>
            <w:hideMark/>
          </w:tcPr>
          <w:p w:rsidR="003B672F" w:rsidRPr="00DC3C97" w:rsidRDefault="003B672F" w:rsidP="003773D5">
            <w:pPr>
              <w:jc w:val="center"/>
              <w:rPr>
                <w:rFonts w:eastAsia="Times New Roman"/>
                <w:sz w:val="16"/>
                <w:szCs w:val="16"/>
              </w:rPr>
            </w:pPr>
            <w:r w:rsidRPr="00DC3C97">
              <w:rPr>
                <w:rFonts w:eastAsia="Times New Roman"/>
                <w:sz w:val="16"/>
                <w:szCs w:val="16"/>
              </w:rPr>
              <w:t xml:space="preserve">Соглашение на предоставление субсидии, заключенное между </w:t>
            </w:r>
            <w:proofErr w:type="spellStart"/>
            <w:r w:rsidRPr="00DC3C97">
              <w:rPr>
                <w:rFonts w:eastAsia="Times New Roman"/>
                <w:sz w:val="16"/>
                <w:szCs w:val="16"/>
              </w:rPr>
              <w:t>Облкомэкономразвития</w:t>
            </w:r>
            <w:proofErr w:type="spellEnd"/>
            <w:r w:rsidRPr="00DC3C97">
              <w:rPr>
                <w:rFonts w:eastAsia="Times New Roman"/>
                <w:sz w:val="16"/>
                <w:szCs w:val="16"/>
              </w:rPr>
              <w:t xml:space="preserve"> и ГАУ Бизнес-инкубатор</w:t>
            </w:r>
          </w:p>
        </w:tc>
        <w:tc>
          <w:tcPr>
            <w:tcW w:w="1282" w:type="dxa"/>
            <w:vMerge w:val="restart"/>
            <w:tcBorders>
              <w:top w:val="double" w:sz="6" w:space="0" w:color="auto"/>
              <w:left w:val="single" w:sz="8" w:space="0" w:color="auto"/>
              <w:bottom w:val="single" w:sz="8" w:space="0" w:color="auto"/>
              <w:right w:val="single" w:sz="8" w:space="0" w:color="auto"/>
            </w:tcBorders>
            <w:shd w:val="clear" w:color="auto" w:fill="EAF1DD" w:themeFill="accent3" w:themeFillTint="33"/>
            <w:vAlign w:val="center"/>
            <w:hideMark/>
          </w:tcPr>
          <w:p w:rsidR="003B672F" w:rsidRPr="00DC3C97" w:rsidRDefault="003B672F" w:rsidP="003773D5">
            <w:pPr>
              <w:jc w:val="center"/>
              <w:rPr>
                <w:rFonts w:eastAsia="Times New Roman"/>
                <w:sz w:val="16"/>
                <w:szCs w:val="16"/>
              </w:rPr>
            </w:pPr>
            <w:r w:rsidRPr="00DC3C97">
              <w:rPr>
                <w:rFonts w:eastAsia="Times New Roman"/>
                <w:sz w:val="16"/>
                <w:szCs w:val="16"/>
              </w:rPr>
              <w:t>Сумма средств по соглашению</w:t>
            </w:r>
          </w:p>
        </w:tc>
        <w:tc>
          <w:tcPr>
            <w:tcW w:w="2546" w:type="dxa"/>
            <w:gridSpan w:val="2"/>
            <w:tcBorders>
              <w:top w:val="double" w:sz="6" w:space="0" w:color="auto"/>
              <w:left w:val="single" w:sz="8" w:space="0" w:color="auto"/>
              <w:bottom w:val="single" w:sz="8" w:space="0" w:color="auto"/>
              <w:right w:val="single" w:sz="8" w:space="0" w:color="auto"/>
            </w:tcBorders>
            <w:shd w:val="clear" w:color="auto" w:fill="EAF1DD" w:themeFill="accent3" w:themeFillTint="33"/>
            <w:vAlign w:val="center"/>
            <w:hideMark/>
          </w:tcPr>
          <w:p w:rsidR="003B672F" w:rsidRPr="00DC3C97" w:rsidRDefault="003B672F" w:rsidP="003773D5">
            <w:pPr>
              <w:jc w:val="center"/>
              <w:rPr>
                <w:rFonts w:eastAsia="Times New Roman"/>
                <w:sz w:val="16"/>
                <w:szCs w:val="16"/>
              </w:rPr>
            </w:pPr>
            <w:r w:rsidRPr="00DC3C97">
              <w:rPr>
                <w:rFonts w:eastAsia="Times New Roman"/>
                <w:sz w:val="16"/>
                <w:szCs w:val="16"/>
              </w:rPr>
              <w:t>Кассовый расход</w:t>
            </w:r>
          </w:p>
        </w:tc>
        <w:tc>
          <w:tcPr>
            <w:tcW w:w="1134" w:type="dxa"/>
            <w:vMerge w:val="restart"/>
            <w:tcBorders>
              <w:top w:val="double" w:sz="6" w:space="0" w:color="auto"/>
              <w:left w:val="single" w:sz="8" w:space="0" w:color="auto"/>
              <w:bottom w:val="double" w:sz="6" w:space="0" w:color="auto"/>
              <w:right w:val="double" w:sz="6" w:space="0" w:color="auto"/>
            </w:tcBorders>
            <w:shd w:val="clear" w:color="auto" w:fill="EAF1DD" w:themeFill="accent3" w:themeFillTint="33"/>
            <w:vAlign w:val="center"/>
            <w:hideMark/>
          </w:tcPr>
          <w:p w:rsidR="003B672F" w:rsidRPr="00DC3C97" w:rsidRDefault="003B672F" w:rsidP="003773D5">
            <w:pPr>
              <w:jc w:val="center"/>
              <w:rPr>
                <w:rFonts w:eastAsia="Times New Roman"/>
                <w:sz w:val="16"/>
                <w:szCs w:val="16"/>
              </w:rPr>
            </w:pPr>
            <w:r w:rsidRPr="00DC3C97">
              <w:rPr>
                <w:rFonts w:eastAsia="Times New Roman"/>
                <w:sz w:val="16"/>
                <w:szCs w:val="16"/>
              </w:rPr>
              <w:t>Остаток на 01.04.2018</w:t>
            </w:r>
          </w:p>
        </w:tc>
      </w:tr>
      <w:tr w:rsidR="003B672F" w:rsidRPr="004A55E6" w:rsidTr="00DC3C97">
        <w:trPr>
          <w:trHeight w:val="132"/>
        </w:trPr>
        <w:tc>
          <w:tcPr>
            <w:tcW w:w="4962" w:type="dxa"/>
            <w:vMerge/>
            <w:tcBorders>
              <w:top w:val="double" w:sz="6" w:space="0" w:color="auto"/>
              <w:left w:val="double" w:sz="6" w:space="0" w:color="auto"/>
              <w:bottom w:val="double" w:sz="6" w:space="0" w:color="auto"/>
              <w:right w:val="single" w:sz="8" w:space="0" w:color="auto"/>
            </w:tcBorders>
            <w:vAlign w:val="center"/>
            <w:hideMark/>
          </w:tcPr>
          <w:p w:rsidR="003B672F" w:rsidRPr="00DC3C97" w:rsidRDefault="003B672F" w:rsidP="003773D5">
            <w:pPr>
              <w:rPr>
                <w:rFonts w:eastAsia="Times New Roman"/>
                <w:sz w:val="16"/>
                <w:szCs w:val="16"/>
              </w:rPr>
            </w:pPr>
          </w:p>
        </w:tc>
        <w:tc>
          <w:tcPr>
            <w:tcW w:w="1282" w:type="dxa"/>
            <w:vMerge/>
            <w:tcBorders>
              <w:top w:val="double" w:sz="6" w:space="0" w:color="auto"/>
              <w:left w:val="single" w:sz="8" w:space="0" w:color="auto"/>
              <w:bottom w:val="double" w:sz="6" w:space="0" w:color="auto"/>
              <w:right w:val="single" w:sz="8" w:space="0" w:color="auto"/>
            </w:tcBorders>
            <w:vAlign w:val="center"/>
            <w:hideMark/>
          </w:tcPr>
          <w:p w:rsidR="003B672F" w:rsidRPr="00DC3C97" w:rsidRDefault="003B672F" w:rsidP="003773D5">
            <w:pPr>
              <w:rPr>
                <w:rFonts w:eastAsia="Times New Roman"/>
                <w:sz w:val="16"/>
                <w:szCs w:val="16"/>
              </w:rPr>
            </w:pPr>
          </w:p>
        </w:tc>
        <w:tc>
          <w:tcPr>
            <w:tcW w:w="1270" w:type="dxa"/>
            <w:tcBorders>
              <w:top w:val="single" w:sz="8" w:space="0" w:color="auto"/>
              <w:left w:val="single" w:sz="8" w:space="0" w:color="auto"/>
              <w:bottom w:val="double" w:sz="6" w:space="0" w:color="auto"/>
              <w:right w:val="single" w:sz="8" w:space="0" w:color="auto"/>
            </w:tcBorders>
            <w:shd w:val="clear" w:color="auto" w:fill="EAF1DD" w:themeFill="accent3" w:themeFillTint="33"/>
            <w:noWrap/>
            <w:vAlign w:val="center"/>
            <w:hideMark/>
          </w:tcPr>
          <w:p w:rsidR="003B672F" w:rsidRPr="00DC3C97" w:rsidRDefault="003B672F" w:rsidP="003773D5">
            <w:pPr>
              <w:jc w:val="center"/>
              <w:rPr>
                <w:rFonts w:eastAsia="Times New Roman"/>
                <w:sz w:val="16"/>
                <w:szCs w:val="16"/>
              </w:rPr>
            </w:pPr>
            <w:r w:rsidRPr="00DC3C97">
              <w:rPr>
                <w:rFonts w:eastAsia="Times New Roman"/>
                <w:sz w:val="16"/>
                <w:szCs w:val="16"/>
              </w:rPr>
              <w:t>2017 год</w:t>
            </w:r>
          </w:p>
        </w:tc>
        <w:tc>
          <w:tcPr>
            <w:tcW w:w="1276" w:type="dxa"/>
            <w:tcBorders>
              <w:top w:val="single" w:sz="8" w:space="0" w:color="auto"/>
              <w:left w:val="single" w:sz="8" w:space="0" w:color="auto"/>
              <w:bottom w:val="double" w:sz="6" w:space="0" w:color="auto"/>
              <w:right w:val="single" w:sz="8" w:space="0" w:color="auto"/>
            </w:tcBorders>
            <w:shd w:val="clear" w:color="auto" w:fill="EAF1DD" w:themeFill="accent3" w:themeFillTint="33"/>
            <w:noWrap/>
            <w:vAlign w:val="center"/>
            <w:hideMark/>
          </w:tcPr>
          <w:p w:rsidR="003B672F" w:rsidRPr="00DC3C97" w:rsidRDefault="003B672F" w:rsidP="003773D5">
            <w:pPr>
              <w:jc w:val="center"/>
              <w:rPr>
                <w:rFonts w:eastAsia="Times New Roman"/>
                <w:sz w:val="16"/>
                <w:szCs w:val="16"/>
              </w:rPr>
            </w:pPr>
            <w:r w:rsidRPr="00DC3C97">
              <w:rPr>
                <w:rFonts w:eastAsia="Times New Roman"/>
                <w:sz w:val="16"/>
                <w:szCs w:val="16"/>
              </w:rPr>
              <w:t>2018 год</w:t>
            </w:r>
          </w:p>
        </w:tc>
        <w:tc>
          <w:tcPr>
            <w:tcW w:w="1134" w:type="dxa"/>
            <w:vMerge/>
            <w:tcBorders>
              <w:top w:val="double" w:sz="6" w:space="0" w:color="auto"/>
              <w:left w:val="single" w:sz="8" w:space="0" w:color="auto"/>
              <w:bottom w:val="double" w:sz="6" w:space="0" w:color="auto"/>
              <w:right w:val="double" w:sz="6" w:space="0" w:color="auto"/>
            </w:tcBorders>
            <w:vAlign w:val="center"/>
            <w:hideMark/>
          </w:tcPr>
          <w:p w:rsidR="003B672F" w:rsidRPr="00DC3C97" w:rsidRDefault="003B672F" w:rsidP="003773D5">
            <w:pPr>
              <w:rPr>
                <w:rFonts w:eastAsia="Times New Roman"/>
                <w:sz w:val="16"/>
                <w:szCs w:val="16"/>
              </w:rPr>
            </w:pPr>
          </w:p>
        </w:tc>
      </w:tr>
      <w:tr w:rsidR="003B672F" w:rsidRPr="004A55E6" w:rsidTr="00DC3C97">
        <w:trPr>
          <w:trHeight w:val="148"/>
        </w:trPr>
        <w:tc>
          <w:tcPr>
            <w:tcW w:w="4962" w:type="dxa"/>
            <w:tcBorders>
              <w:top w:val="double" w:sz="6" w:space="0" w:color="auto"/>
              <w:left w:val="double" w:sz="6" w:space="0" w:color="auto"/>
              <w:bottom w:val="single" w:sz="8" w:space="0" w:color="auto"/>
              <w:right w:val="single" w:sz="8" w:space="0" w:color="auto"/>
            </w:tcBorders>
            <w:shd w:val="clear" w:color="auto" w:fill="auto"/>
            <w:vAlign w:val="bottom"/>
            <w:hideMark/>
          </w:tcPr>
          <w:p w:rsidR="003B672F" w:rsidRPr="00DC3C97" w:rsidRDefault="003B672F" w:rsidP="003773D5">
            <w:pPr>
              <w:rPr>
                <w:rFonts w:eastAsia="Times New Roman"/>
                <w:sz w:val="16"/>
                <w:szCs w:val="16"/>
              </w:rPr>
            </w:pPr>
            <w:r w:rsidRPr="00DC3C97">
              <w:rPr>
                <w:rFonts w:eastAsia="Times New Roman"/>
                <w:sz w:val="16"/>
                <w:szCs w:val="16"/>
              </w:rPr>
              <w:t>Соглашение 3иц-2015 от 19.10.15 ЦПП (ФБ в 2015)</w:t>
            </w:r>
          </w:p>
        </w:tc>
        <w:tc>
          <w:tcPr>
            <w:tcW w:w="128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rsidR="003B672F" w:rsidRPr="00DC3C97" w:rsidRDefault="003B672F" w:rsidP="003773D5">
            <w:pPr>
              <w:ind w:left="317" w:hanging="317"/>
              <w:jc w:val="right"/>
              <w:rPr>
                <w:rFonts w:eastAsia="Times New Roman"/>
                <w:sz w:val="16"/>
                <w:szCs w:val="16"/>
              </w:rPr>
            </w:pPr>
            <w:r w:rsidRPr="00DC3C97">
              <w:rPr>
                <w:rFonts w:eastAsia="Times New Roman"/>
                <w:sz w:val="16"/>
                <w:szCs w:val="16"/>
              </w:rPr>
              <w:t>260,0</w:t>
            </w:r>
          </w:p>
        </w:tc>
        <w:tc>
          <w:tcPr>
            <w:tcW w:w="1270"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rsidR="003B672F" w:rsidRPr="00DC3C97" w:rsidRDefault="003B672F" w:rsidP="003773D5">
            <w:pPr>
              <w:jc w:val="right"/>
              <w:rPr>
                <w:rFonts w:eastAsia="Times New Roman"/>
                <w:sz w:val="16"/>
                <w:szCs w:val="16"/>
              </w:rPr>
            </w:pPr>
            <w:r w:rsidRPr="00DC3C97">
              <w:rPr>
                <w:rFonts w:eastAsia="Times New Roman"/>
                <w:sz w:val="16"/>
                <w:szCs w:val="16"/>
              </w:rPr>
              <w:t>0,0</w:t>
            </w:r>
          </w:p>
        </w:tc>
        <w:tc>
          <w:tcPr>
            <w:tcW w:w="1276"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rsidR="003B672F" w:rsidRPr="00DC3C97" w:rsidRDefault="003B672F" w:rsidP="003773D5">
            <w:pPr>
              <w:jc w:val="right"/>
              <w:rPr>
                <w:rFonts w:eastAsia="Times New Roman"/>
                <w:sz w:val="16"/>
                <w:szCs w:val="16"/>
              </w:rPr>
            </w:pPr>
            <w:r w:rsidRPr="00DC3C97">
              <w:rPr>
                <w:rFonts w:eastAsia="Times New Roman"/>
                <w:sz w:val="16"/>
                <w:szCs w:val="16"/>
              </w:rPr>
              <w:t>0,0</w:t>
            </w:r>
          </w:p>
        </w:tc>
        <w:tc>
          <w:tcPr>
            <w:tcW w:w="1134" w:type="dxa"/>
            <w:tcBorders>
              <w:top w:val="double" w:sz="6" w:space="0" w:color="auto"/>
              <w:left w:val="single" w:sz="8" w:space="0" w:color="auto"/>
              <w:bottom w:val="single" w:sz="8" w:space="0" w:color="auto"/>
              <w:right w:val="double" w:sz="6" w:space="0" w:color="auto"/>
            </w:tcBorders>
            <w:shd w:val="clear" w:color="auto" w:fill="auto"/>
            <w:noWrap/>
            <w:vAlign w:val="bottom"/>
            <w:hideMark/>
          </w:tcPr>
          <w:p w:rsidR="003B672F" w:rsidRPr="00DC3C97" w:rsidRDefault="003B672F" w:rsidP="003773D5">
            <w:pPr>
              <w:jc w:val="right"/>
              <w:rPr>
                <w:rFonts w:eastAsia="Times New Roman"/>
                <w:sz w:val="16"/>
                <w:szCs w:val="16"/>
              </w:rPr>
            </w:pPr>
            <w:r w:rsidRPr="00DC3C97">
              <w:rPr>
                <w:rFonts w:eastAsia="Times New Roman"/>
                <w:sz w:val="16"/>
                <w:szCs w:val="16"/>
              </w:rPr>
              <w:t>260,0</w:t>
            </w:r>
          </w:p>
        </w:tc>
      </w:tr>
      <w:tr w:rsidR="003B672F" w:rsidRPr="004A55E6" w:rsidTr="003773D5">
        <w:trPr>
          <w:trHeight w:val="244"/>
        </w:trPr>
        <w:tc>
          <w:tcPr>
            <w:tcW w:w="4962" w:type="dxa"/>
            <w:tcBorders>
              <w:top w:val="single" w:sz="8" w:space="0" w:color="auto"/>
              <w:left w:val="double" w:sz="6" w:space="0" w:color="auto"/>
              <w:bottom w:val="single" w:sz="8" w:space="0" w:color="auto"/>
              <w:right w:val="single" w:sz="8" w:space="0" w:color="auto"/>
            </w:tcBorders>
            <w:shd w:val="clear" w:color="auto" w:fill="auto"/>
            <w:vAlign w:val="bottom"/>
            <w:hideMark/>
          </w:tcPr>
          <w:p w:rsidR="003B672F" w:rsidRPr="00DC3C97" w:rsidRDefault="003B672F" w:rsidP="003773D5">
            <w:pPr>
              <w:rPr>
                <w:rFonts w:eastAsia="Times New Roman"/>
                <w:sz w:val="16"/>
                <w:szCs w:val="16"/>
              </w:rPr>
            </w:pPr>
            <w:r w:rsidRPr="00DC3C97">
              <w:rPr>
                <w:rFonts w:eastAsia="Times New Roman"/>
                <w:sz w:val="16"/>
                <w:szCs w:val="16"/>
              </w:rPr>
              <w:t>Соглашение 2иц-2016 от 05.09.16 ЦПП (ФБ в 2016)</w:t>
            </w:r>
          </w:p>
        </w:tc>
        <w:tc>
          <w:tcPr>
            <w:tcW w:w="128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3B672F" w:rsidRPr="00DC3C97" w:rsidRDefault="003B672F" w:rsidP="003773D5">
            <w:pPr>
              <w:jc w:val="right"/>
              <w:rPr>
                <w:rFonts w:eastAsia="Times New Roman"/>
                <w:sz w:val="16"/>
                <w:szCs w:val="16"/>
              </w:rPr>
            </w:pPr>
            <w:r w:rsidRPr="00DC3C97">
              <w:rPr>
                <w:rFonts w:eastAsia="Times New Roman"/>
                <w:sz w:val="16"/>
                <w:szCs w:val="16"/>
              </w:rPr>
              <w:t>2 750,0</w:t>
            </w:r>
          </w:p>
        </w:tc>
        <w:tc>
          <w:tcPr>
            <w:tcW w:w="127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3B672F" w:rsidRPr="00DC3C97" w:rsidRDefault="003B672F" w:rsidP="003773D5">
            <w:pPr>
              <w:jc w:val="right"/>
              <w:rPr>
                <w:rFonts w:eastAsia="Times New Roman"/>
                <w:sz w:val="16"/>
                <w:szCs w:val="16"/>
              </w:rPr>
            </w:pPr>
            <w:r w:rsidRPr="00DC3C97">
              <w:rPr>
                <w:rFonts w:eastAsia="Times New Roman"/>
                <w:sz w:val="16"/>
                <w:szCs w:val="16"/>
              </w:rPr>
              <w:t>480,0</w:t>
            </w:r>
          </w:p>
        </w:tc>
        <w:tc>
          <w:tcPr>
            <w:tcW w:w="127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3B672F" w:rsidRPr="00DC3C97" w:rsidRDefault="003B672F" w:rsidP="003773D5">
            <w:pPr>
              <w:jc w:val="right"/>
              <w:rPr>
                <w:rFonts w:eastAsia="Times New Roman"/>
                <w:sz w:val="16"/>
                <w:szCs w:val="16"/>
              </w:rPr>
            </w:pPr>
            <w:r w:rsidRPr="00DC3C97">
              <w:rPr>
                <w:rFonts w:eastAsia="Times New Roman"/>
                <w:sz w:val="16"/>
                <w:szCs w:val="16"/>
              </w:rPr>
              <w:t>0,0</w:t>
            </w:r>
          </w:p>
        </w:tc>
        <w:tc>
          <w:tcPr>
            <w:tcW w:w="1134" w:type="dxa"/>
            <w:tcBorders>
              <w:top w:val="single" w:sz="8" w:space="0" w:color="auto"/>
              <w:left w:val="single" w:sz="8" w:space="0" w:color="auto"/>
              <w:bottom w:val="single" w:sz="8" w:space="0" w:color="auto"/>
              <w:right w:val="double" w:sz="6" w:space="0" w:color="auto"/>
            </w:tcBorders>
            <w:shd w:val="clear" w:color="auto" w:fill="auto"/>
            <w:noWrap/>
            <w:vAlign w:val="bottom"/>
            <w:hideMark/>
          </w:tcPr>
          <w:p w:rsidR="003B672F" w:rsidRPr="00DC3C97" w:rsidRDefault="003B672F" w:rsidP="003773D5">
            <w:pPr>
              <w:jc w:val="right"/>
              <w:rPr>
                <w:rFonts w:eastAsia="Times New Roman"/>
                <w:sz w:val="16"/>
                <w:szCs w:val="16"/>
              </w:rPr>
            </w:pPr>
            <w:r w:rsidRPr="00DC3C97">
              <w:rPr>
                <w:rFonts w:eastAsia="Times New Roman"/>
                <w:sz w:val="16"/>
                <w:szCs w:val="16"/>
              </w:rPr>
              <w:t>2 270,0</w:t>
            </w:r>
          </w:p>
        </w:tc>
      </w:tr>
      <w:tr w:rsidR="003B672F" w:rsidRPr="004A55E6" w:rsidTr="003773D5">
        <w:trPr>
          <w:trHeight w:val="235"/>
        </w:trPr>
        <w:tc>
          <w:tcPr>
            <w:tcW w:w="4962" w:type="dxa"/>
            <w:tcBorders>
              <w:top w:val="single" w:sz="8" w:space="0" w:color="auto"/>
              <w:left w:val="double" w:sz="6" w:space="0" w:color="auto"/>
              <w:bottom w:val="single" w:sz="8" w:space="0" w:color="auto"/>
              <w:right w:val="single" w:sz="8" w:space="0" w:color="auto"/>
            </w:tcBorders>
            <w:shd w:val="clear" w:color="auto" w:fill="auto"/>
            <w:vAlign w:val="bottom"/>
            <w:hideMark/>
          </w:tcPr>
          <w:p w:rsidR="003B672F" w:rsidRPr="00DC3C97" w:rsidRDefault="003B672F" w:rsidP="003773D5">
            <w:pPr>
              <w:rPr>
                <w:rFonts w:eastAsia="Times New Roman"/>
                <w:sz w:val="16"/>
                <w:szCs w:val="16"/>
              </w:rPr>
            </w:pPr>
            <w:r w:rsidRPr="00DC3C97">
              <w:rPr>
                <w:rFonts w:eastAsia="Times New Roman"/>
                <w:sz w:val="16"/>
                <w:szCs w:val="16"/>
              </w:rPr>
              <w:t>Соглашение 1иц-2017 от 30.03.17 ЦПП (ФБ в 2017)</w:t>
            </w:r>
          </w:p>
        </w:tc>
        <w:tc>
          <w:tcPr>
            <w:tcW w:w="128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3B672F" w:rsidRPr="00DC3C97" w:rsidRDefault="003B672F" w:rsidP="003773D5">
            <w:pPr>
              <w:jc w:val="right"/>
              <w:rPr>
                <w:rFonts w:eastAsia="Times New Roman"/>
                <w:sz w:val="16"/>
                <w:szCs w:val="16"/>
              </w:rPr>
            </w:pPr>
            <w:r w:rsidRPr="00DC3C97">
              <w:rPr>
                <w:rFonts w:eastAsia="Times New Roman"/>
                <w:sz w:val="16"/>
                <w:szCs w:val="16"/>
              </w:rPr>
              <w:t>1 000,0</w:t>
            </w:r>
          </w:p>
        </w:tc>
        <w:tc>
          <w:tcPr>
            <w:tcW w:w="127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3B672F" w:rsidRPr="00DC3C97" w:rsidRDefault="003B672F" w:rsidP="003773D5">
            <w:pPr>
              <w:jc w:val="right"/>
              <w:rPr>
                <w:rFonts w:eastAsia="Times New Roman"/>
                <w:sz w:val="16"/>
                <w:szCs w:val="16"/>
              </w:rPr>
            </w:pPr>
            <w:r w:rsidRPr="00DC3C97">
              <w:rPr>
                <w:rFonts w:eastAsia="Times New Roman"/>
                <w:sz w:val="16"/>
                <w:szCs w:val="16"/>
              </w:rPr>
              <w:t>375,0</w:t>
            </w:r>
          </w:p>
        </w:tc>
        <w:tc>
          <w:tcPr>
            <w:tcW w:w="127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3B672F" w:rsidRPr="00DC3C97" w:rsidRDefault="003B672F" w:rsidP="003773D5">
            <w:pPr>
              <w:jc w:val="right"/>
              <w:rPr>
                <w:rFonts w:eastAsia="Times New Roman"/>
                <w:sz w:val="16"/>
                <w:szCs w:val="16"/>
              </w:rPr>
            </w:pPr>
            <w:r w:rsidRPr="00DC3C97">
              <w:rPr>
                <w:rFonts w:eastAsia="Times New Roman"/>
                <w:sz w:val="16"/>
                <w:szCs w:val="16"/>
              </w:rPr>
              <w:t>210,0</w:t>
            </w:r>
          </w:p>
        </w:tc>
        <w:tc>
          <w:tcPr>
            <w:tcW w:w="1134" w:type="dxa"/>
            <w:tcBorders>
              <w:top w:val="single" w:sz="8" w:space="0" w:color="auto"/>
              <w:left w:val="single" w:sz="8" w:space="0" w:color="auto"/>
              <w:bottom w:val="single" w:sz="8" w:space="0" w:color="auto"/>
              <w:right w:val="double" w:sz="6" w:space="0" w:color="auto"/>
            </w:tcBorders>
            <w:shd w:val="clear" w:color="auto" w:fill="auto"/>
            <w:noWrap/>
            <w:vAlign w:val="bottom"/>
            <w:hideMark/>
          </w:tcPr>
          <w:p w:rsidR="003B672F" w:rsidRPr="00DC3C97" w:rsidRDefault="003B672F" w:rsidP="003773D5">
            <w:pPr>
              <w:jc w:val="right"/>
              <w:rPr>
                <w:rFonts w:eastAsia="Times New Roman"/>
                <w:sz w:val="16"/>
                <w:szCs w:val="16"/>
              </w:rPr>
            </w:pPr>
            <w:r w:rsidRPr="00DC3C97">
              <w:rPr>
                <w:rFonts w:eastAsia="Times New Roman"/>
                <w:sz w:val="16"/>
                <w:szCs w:val="16"/>
              </w:rPr>
              <w:t>415,0</w:t>
            </w:r>
          </w:p>
        </w:tc>
      </w:tr>
      <w:tr w:rsidR="003B672F" w:rsidRPr="004A55E6" w:rsidTr="00DC3C97">
        <w:trPr>
          <w:trHeight w:val="142"/>
        </w:trPr>
        <w:tc>
          <w:tcPr>
            <w:tcW w:w="4962" w:type="dxa"/>
            <w:tcBorders>
              <w:top w:val="single" w:sz="8" w:space="0" w:color="auto"/>
              <w:left w:val="double" w:sz="6" w:space="0" w:color="auto"/>
              <w:bottom w:val="double" w:sz="6" w:space="0" w:color="auto"/>
              <w:right w:val="single" w:sz="8" w:space="0" w:color="auto"/>
            </w:tcBorders>
            <w:shd w:val="clear" w:color="auto" w:fill="auto"/>
            <w:vAlign w:val="bottom"/>
            <w:hideMark/>
          </w:tcPr>
          <w:p w:rsidR="003B672F" w:rsidRPr="00DC3C97" w:rsidRDefault="003B672F" w:rsidP="003773D5">
            <w:pPr>
              <w:rPr>
                <w:rFonts w:eastAsia="Times New Roman"/>
                <w:sz w:val="16"/>
                <w:szCs w:val="16"/>
              </w:rPr>
            </w:pPr>
            <w:r w:rsidRPr="00DC3C97">
              <w:rPr>
                <w:rFonts w:eastAsia="Times New Roman"/>
                <w:sz w:val="16"/>
                <w:szCs w:val="16"/>
              </w:rPr>
              <w:t>Итого</w:t>
            </w:r>
          </w:p>
        </w:tc>
        <w:tc>
          <w:tcPr>
            <w:tcW w:w="1282" w:type="dxa"/>
            <w:tcBorders>
              <w:top w:val="single" w:sz="8" w:space="0" w:color="auto"/>
              <w:left w:val="single" w:sz="8" w:space="0" w:color="auto"/>
              <w:bottom w:val="double" w:sz="6" w:space="0" w:color="auto"/>
              <w:right w:val="single" w:sz="8" w:space="0" w:color="auto"/>
            </w:tcBorders>
            <w:shd w:val="clear" w:color="auto" w:fill="auto"/>
            <w:noWrap/>
            <w:vAlign w:val="bottom"/>
            <w:hideMark/>
          </w:tcPr>
          <w:p w:rsidR="003B672F" w:rsidRPr="00DC3C97" w:rsidRDefault="003B672F" w:rsidP="003773D5">
            <w:pPr>
              <w:jc w:val="right"/>
              <w:rPr>
                <w:rFonts w:eastAsia="Times New Roman"/>
                <w:sz w:val="16"/>
                <w:szCs w:val="16"/>
              </w:rPr>
            </w:pPr>
            <w:r w:rsidRPr="00DC3C97">
              <w:rPr>
                <w:rFonts w:eastAsia="Times New Roman"/>
                <w:sz w:val="16"/>
                <w:szCs w:val="16"/>
              </w:rPr>
              <w:t>4 010,0</w:t>
            </w:r>
          </w:p>
        </w:tc>
        <w:tc>
          <w:tcPr>
            <w:tcW w:w="1270" w:type="dxa"/>
            <w:tcBorders>
              <w:top w:val="single" w:sz="8" w:space="0" w:color="auto"/>
              <w:left w:val="single" w:sz="8" w:space="0" w:color="auto"/>
              <w:bottom w:val="double" w:sz="6" w:space="0" w:color="auto"/>
              <w:right w:val="single" w:sz="8" w:space="0" w:color="auto"/>
            </w:tcBorders>
            <w:shd w:val="clear" w:color="auto" w:fill="auto"/>
            <w:noWrap/>
            <w:vAlign w:val="bottom"/>
            <w:hideMark/>
          </w:tcPr>
          <w:p w:rsidR="003B672F" w:rsidRPr="00DC3C97" w:rsidRDefault="003B672F" w:rsidP="003773D5">
            <w:pPr>
              <w:jc w:val="right"/>
              <w:rPr>
                <w:rFonts w:eastAsia="Times New Roman"/>
                <w:sz w:val="16"/>
                <w:szCs w:val="16"/>
              </w:rPr>
            </w:pPr>
            <w:r w:rsidRPr="00DC3C97">
              <w:rPr>
                <w:rFonts w:eastAsia="Times New Roman"/>
                <w:sz w:val="16"/>
                <w:szCs w:val="16"/>
              </w:rPr>
              <w:t>855,0</w:t>
            </w:r>
          </w:p>
        </w:tc>
        <w:tc>
          <w:tcPr>
            <w:tcW w:w="1276" w:type="dxa"/>
            <w:tcBorders>
              <w:top w:val="single" w:sz="8" w:space="0" w:color="auto"/>
              <w:left w:val="single" w:sz="8" w:space="0" w:color="auto"/>
              <w:bottom w:val="double" w:sz="6" w:space="0" w:color="auto"/>
              <w:right w:val="single" w:sz="8" w:space="0" w:color="auto"/>
            </w:tcBorders>
            <w:shd w:val="clear" w:color="auto" w:fill="auto"/>
            <w:noWrap/>
            <w:vAlign w:val="bottom"/>
            <w:hideMark/>
          </w:tcPr>
          <w:p w:rsidR="003B672F" w:rsidRPr="00DC3C97" w:rsidRDefault="003B672F" w:rsidP="003773D5">
            <w:pPr>
              <w:jc w:val="right"/>
              <w:rPr>
                <w:rFonts w:eastAsia="Times New Roman"/>
                <w:sz w:val="16"/>
                <w:szCs w:val="16"/>
              </w:rPr>
            </w:pPr>
            <w:r w:rsidRPr="00DC3C97">
              <w:rPr>
                <w:rFonts w:eastAsia="Times New Roman"/>
                <w:sz w:val="16"/>
                <w:szCs w:val="16"/>
              </w:rPr>
              <w:t>210,0</w:t>
            </w:r>
          </w:p>
        </w:tc>
        <w:tc>
          <w:tcPr>
            <w:tcW w:w="1134" w:type="dxa"/>
            <w:tcBorders>
              <w:top w:val="single" w:sz="8" w:space="0" w:color="auto"/>
              <w:left w:val="single" w:sz="8" w:space="0" w:color="auto"/>
              <w:bottom w:val="double" w:sz="6" w:space="0" w:color="auto"/>
              <w:right w:val="double" w:sz="6" w:space="0" w:color="auto"/>
            </w:tcBorders>
            <w:shd w:val="clear" w:color="auto" w:fill="auto"/>
            <w:noWrap/>
            <w:vAlign w:val="bottom"/>
            <w:hideMark/>
          </w:tcPr>
          <w:p w:rsidR="003B672F" w:rsidRPr="00DC3C97" w:rsidRDefault="003B672F" w:rsidP="003773D5">
            <w:pPr>
              <w:jc w:val="right"/>
              <w:rPr>
                <w:rFonts w:eastAsia="Times New Roman"/>
                <w:sz w:val="16"/>
                <w:szCs w:val="16"/>
              </w:rPr>
            </w:pPr>
            <w:r w:rsidRPr="00DC3C97">
              <w:rPr>
                <w:rFonts w:eastAsia="Times New Roman"/>
                <w:sz w:val="16"/>
                <w:szCs w:val="16"/>
              </w:rPr>
              <w:t>2 945,0</w:t>
            </w:r>
          </w:p>
        </w:tc>
      </w:tr>
    </w:tbl>
    <w:p w:rsidR="003B672F" w:rsidRDefault="003B672F" w:rsidP="003B672F">
      <w:pPr>
        <w:autoSpaceDE w:val="0"/>
        <w:autoSpaceDN w:val="0"/>
        <w:adjustRightInd w:val="0"/>
        <w:ind w:firstLine="680"/>
        <w:jc w:val="both"/>
      </w:pPr>
      <w:r w:rsidRPr="004A55E6">
        <w:t>Из представленной таблицы видно, что средства не использованы по состоянию на 01.04</w:t>
      </w:r>
      <w:r w:rsidRPr="004D4C8E">
        <w:t>.2018 в размере 2, 9 млн. руб., или на 73,4 % от обще</w:t>
      </w:r>
      <w:r>
        <w:t>й суммы, поступившей за 3 года.</w:t>
      </w:r>
    </w:p>
    <w:p w:rsidR="003A5ECD" w:rsidRPr="001362E0" w:rsidRDefault="00413CC8" w:rsidP="003A5ECD">
      <w:pPr>
        <w:autoSpaceDE w:val="0"/>
        <w:autoSpaceDN w:val="0"/>
        <w:adjustRightInd w:val="0"/>
        <w:ind w:firstLine="680"/>
        <w:jc w:val="both"/>
        <w:rPr>
          <w:color w:val="17365D" w:themeColor="text2" w:themeShade="BF"/>
        </w:rPr>
      </w:pPr>
      <w:r>
        <w:t xml:space="preserve">В части деятельности ЦИВО </w:t>
      </w:r>
      <w:r w:rsidR="003A5ECD" w:rsidRPr="00732D6B">
        <w:t>остаток средств субсидии 2016 года в размере 2,7 млн. руб. (по состоянию на 01.01.2018) сложился по причине отсутствия спроса по следующим мероприятиям</w:t>
      </w:r>
      <w:r w:rsidR="00732D6B">
        <w:t xml:space="preserve">, </w:t>
      </w:r>
      <w:r w:rsidR="001362E0">
        <w:t>доведенным</w:t>
      </w:r>
      <w:r w:rsidR="00732D6B">
        <w:t xml:space="preserve"> Минэкономразвития РФ</w:t>
      </w:r>
      <w:r w:rsidR="003A5ECD" w:rsidRPr="005B583A">
        <w:t>: «</w:t>
      </w:r>
      <w:r w:rsidR="003A5ECD" w:rsidRPr="005B583A">
        <w:rPr>
          <w:rFonts w:eastAsia="Times New Roman"/>
        </w:rPr>
        <w:t>Проведение экспресс оценки Индекса Технологической готовности», «Антикризисный консалтинг, выявление текущих</w:t>
      </w:r>
      <w:r w:rsidR="003A5ECD" w:rsidRPr="00413FFC">
        <w:rPr>
          <w:rFonts w:eastAsia="Times New Roman"/>
        </w:rPr>
        <w:t xml:space="preserve"> потребностей и проблем предприятий, влияющих на их конкурентоспособность», «Проведение технологического аудита на предприятиях МСП, включая энергетический, энерготехнологический, экологический» «Разработка инвестиционных проектов развития МСП (программ </w:t>
      </w:r>
      <w:proofErr w:type="gramStart"/>
      <w:r w:rsidR="003A5ECD" w:rsidRPr="00413FFC">
        <w:rPr>
          <w:rFonts w:eastAsia="Times New Roman"/>
        </w:rPr>
        <w:t>модернизации /технического перевооружения производства/реконструкции производства</w:t>
      </w:r>
      <w:proofErr w:type="gramEnd"/>
      <w:r w:rsidR="003A5ECD" w:rsidRPr="001362E0">
        <w:rPr>
          <w:rFonts w:eastAsia="Times New Roman"/>
        </w:rPr>
        <w:t>)».</w:t>
      </w:r>
      <w:r w:rsidR="003A5ECD" w:rsidRPr="001362E0">
        <w:rPr>
          <w:color w:val="17365D" w:themeColor="text2" w:themeShade="BF"/>
        </w:rPr>
        <w:t xml:space="preserve"> </w:t>
      </w:r>
    </w:p>
    <w:p w:rsidR="003C7ACD" w:rsidRDefault="003773D5" w:rsidP="003773D5">
      <w:pPr>
        <w:autoSpaceDE w:val="0"/>
        <w:autoSpaceDN w:val="0"/>
        <w:adjustRightInd w:val="0"/>
        <w:ind w:firstLine="680"/>
        <w:jc w:val="both"/>
      </w:pPr>
      <w:proofErr w:type="spellStart"/>
      <w:r w:rsidRPr="00753D22">
        <w:t>Госзадани</w:t>
      </w:r>
      <w:r w:rsidR="00573C07" w:rsidRPr="00753D22">
        <w:t>ями</w:t>
      </w:r>
      <w:proofErr w:type="spellEnd"/>
      <w:r w:rsidR="00573C07" w:rsidRPr="00753D22">
        <w:t xml:space="preserve"> на 2015-2017 годы было предусмотрено два показателя, характеризующих объем предоставленной услуги и ее качество, </w:t>
      </w:r>
      <w:r w:rsidR="003C7ACD">
        <w:t xml:space="preserve">которые </w:t>
      </w:r>
      <w:r w:rsidR="003C7ACD" w:rsidRPr="00753D22">
        <w:t xml:space="preserve">с учетом допустимого отклонения от установленного показателя  </w:t>
      </w:r>
      <w:r w:rsidR="003C7ACD">
        <w:t>(</w:t>
      </w:r>
      <w:r w:rsidR="003C7ACD" w:rsidRPr="00753D22">
        <w:t>в 10%</w:t>
      </w:r>
      <w:r w:rsidR="003C7ACD">
        <w:t>)</w:t>
      </w:r>
      <w:r w:rsidR="003C7ACD" w:rsidRPr="00753D22">
        <w:t xml:space="preserve"> исполнены</w:t>
      </w:r>
      <w:r w:rsidR="003C7ACD">
        <w:t>. И</w:t>
      </w:r>
      <w:r w:rsidR="00573C07" w:rsidRPr="00753D22">
        <w:t xml:space="preserve">нформация об исполнении </w:t>
      </w:r>
      <w:r w:rsidR="003C7ACD">
        <w:t>показателей</w:t>
      </w:r>
      <w:r w:rsidR="00864F9B">
        <w:t xml:space="preserve"> </w:t>
      </w:r>
      <w:proofErr w:type="spellStart"/>
      <w:r w:rsidR="00864F9B">
        <w:t>госзадания</w:t>
      </w:r>
      <w:proofErr w:type="spellEnd"/>
      <w:r w:rsidR="00864F9B">
        <w:t xml:space="preserve"> </w:t>
      </w:r>
      <w:r w:rsidR="003C7ACD">
        <w:t xml:space="preserve"> </w:t>
      </w:r>
      <w:r w:rsidR="00573C07" w:rsidRPr="00753D22">
        <w:t xml:space="preserve">приведена в </w:t>
      </w:r>
      <w:r w:rsidR="00573C07" w:rsidRPr="000A59DE">
        <w:rPr>
          <w:color w:val="17365D" w:themeColor="text2" w:themeShade="BF"/>
        </w:rPr>
        <w:t>приложении №</w:t>
      </w:r>
      <w:r w:rsidR="002117C8" w:rsidRPr="000A59DE">
        <w:rPr>
          <w:color w:val="17365D" w:themeColor="text2" w:themeShade="BF"/>
        </w:rPr>
        <w:t xml:space="preserve"> 2</w:t>
      </w:r>
      <w:r w:rsidR="00573C07" w:rsidRPr="000A59DE">
        <w:t xml:space="preserve"> к настоящему отчету.</w:t>
      </w:r>
      <w:r w:rsidR="00753D22" w:rsidRPr="00753D22">
        <w:t xml:space="preserve"> </w:t>
      </w:r>
    </w:p>
    <w:p w:rsidR="006671A4" w:rsidRDefault="006671A4" w:rsidP="006671A4">
      <w:pPr>
        <w:autoSpaceDE w:val="0"/>
        <w:autoSpaceDN w:val="0"/>
        <w:adjustRightInd w:val="0"/>
        <w:ind w:firstLine="680"/>
        <w:jc w:val="both"/>
      </w:pPr>
      <w:r>
        <w:t xml:space="preserve">Соглашениями о предоставлении субсидий на иные цели в части деятельности ЦПП и ЦИВО на 2015-2016 годы предусмотрено по 4 показателя </w:t>
      </w:r>
      <w:r w:rsidRPr="00446CDB">
        <w:rPr>
          <w:rFonts w:eastAsia="Times New Roman"/>
        </w:rPr>
        <w:t xml:space="preserve">результативности исполнения мероприятий, в целях софинансирования которых предоставляется </w:t>
      </w:r>
      <w:r>
        <w:rPr>
          <w:rFonts w:eastAsia="Times New Roman"/>
        </w:rPr>
        <w:t>с</w:t>
      </w:r>
      <w:r w:rsidRPr="00446CDB">
        <w:rPr>
          <w:rFonts w:eastAsia="Times New Roman"/>
        </w:rPr>
        <w:t>убсидия</w:t>
      </w:r>
      <w:r>
        <w:rPr>
          <w:rFonts w:eastAsia="Times New Roman"/>
        </w:rPr>
        <w:t xml:space="preserve"> (</w:t>
      </w:r>
      <w:r>
        <w:t>указаны в приложении «Сведения об индивидуальных показателях результативности использования средств федерального бюджета, выделяемых на реализацию мероприятий Подпрограммы …» к госпрограммам). В рамках соглашения о предоставлении субсидии на 2017 год по деятельности ЦПП и ЦПЭ исполнялись 2 показателя, по деятельности ЦИВО – 5 показателей</w:t>
      </w:r>
      <w:r w:rsidR="00634867">
        <w:t>, с</w:t>
      </w:r>
      <w:r w:rsidR="00401DA6">
        <w:t xml:space="preserve"> </w:t>
      </w:r>
      <w:r>
        <w:t xml:space="preserve">учетом </w:t>
      </w:r>
      <w:r w:rsidRPr="007B49FB">
        <w:t>допустимой соглашени</w:t>
      </w:r>
      <w:r w:rsidR="00634867">
        <w:t>ем</w:t>
      </w:r>
      <w:r w:rsidRPr="007B49FB">
        <w:t xml:space="preserve"> о предоставлении </w:t>
      </w:r>
      <w:proofErr w:type="gramStart"/>
      <w:r w:rsidRPr="007B49FB">
        <w:t xml:space="preserve">субсидии возможности </w:t>
      </w:r>
      <w:r>
        <w:t xml:space="preserve"> </w:t>
      </w:r>
      <w:r w:rsidRPr="007B49FB">
        <w:t xml:space="preserve">достижения </w:t>
      </w:r>
      <w:r w:rsidR="00401DA6">
        <w:t>показателей результативности</w:t>
      </w:r>
      <w:proofErr w:type="gramEnd"/>
      <w:r w:rsidR="00401DA6">
        <w:t xml:space="preserve"> </w:t>
      </w:r>
      <w:r w:rsidRPr="007B49FB">
        <w:t>в 1 квартале следующего года</w:t>
      </w:r>
      <w:r w:rsidR="00401DA6">
        <w:t xml:space="preserve">, все показатели </w:t>
      </w:r>
      <w:r>
        <w:t>исполнены</w:t>
      </w:r>
      <w:r w:rsidR="00C102A1">
        <w:t xml:space="preserve"> (</w:t>
      </w:r>
      <w:r w:rsidR="00C102A1" w:rsidRPr="00F3468E">
        <w:rPr>
          <w:color w:val="17365D" w:themeColor="text2" w:themeShade="BF"/>
        </w:rPr>
        <w:t xml:space="preserve">приложения № </w:t>
      </w:r>
      <w:r w:rsidR="00AA48BE">
        <w:rPr>
          <w:color w:val="17365D" w:themeColor="text2" w:themeShade="BF"/>
        </w:rPr>
        <w:t>4</w:t>
      </w:r>
      <w:r w:rsidR="00C102A1" w:rsidRPr="00F3468E">
        <w:rPr>
          <w:color w:val="17365D" w:themeColor="text2" w:themeShade="BF"/>
        </w:rPr>
        <w:t xml:space="preserve"> и № </w:t>
      </w:r>
      <w:r w:rsidR="00AA48BE">
        <w:rPr>
          <w:color w:val="17365D" w:themeColor="text2" w:themeShade="BF"/>
        </w:rPr>
        <w:t>5</w:t>
      </w:r>
      <w:r w:rsidR="00C102A1" w:rsidRPr="00F3468E">
        <w:t xml:space="preserve"> к настоящему отчету).</w:t>
      </w:r>
    </w:p>
    <w:p w:rsidR="006671A4" w:rsidRDefault="006671A4" w:rsidP="003773D5">
      <w:pPr>
        <w:autoSpaceDE w:val="0"/>
        <w:autoSpaceDN w:val="0"/>
        <w:adjustRightInd w:val="0"/>
        <w:ind w:firstLine="680"/>
        <w:jc w:val="both"/>
      </w:pPr>
      <w:r>
        <w:t>Информация об исполнении наиболее значимых показателей, способствующих устойчивому развитию малого и среднего предпринимательства, представлена в таблице.</w:t>
      </w:r>
    </w:p>
    <w:tbl>
      <w:tblPr>
        <w:tblpPr w:leftFromText="180" w:rightFromText="180" w:vertAnchor="text" w:horzAnchor="margin" w:tblpXSpec="center" w:tblpY="187"/>
        <w:tblW w:w="10540" w:type="dxa"/>
        <w:tblLook w:val="04A0"/>
      </w:tblPr>
      <w:tblGrid>
        <w:gridCol w:w="4366"/>
        <w:gridCol w:w="700"/>
        <w:gridCol w:w="640"/>
        <w:gridCol w:w="760"/>
        <w:gridCol w:w="640"/>
        <w:gridCol w:w="696"/>
        <w:gridCol w:w="740"/>
        <w:gridCol w:w="615"/>
        <w:gridCol w:w="623"/>
        <w:gridCol w:w="760"/>
      </w:tblGrid>
      <w:tr w:rsidR="00C128C2" w:rsidRPr="00C128C2" w:rsidTr="00C128C2">
        <w:trPr>
          <w:trHeight w:val="240"/>
        </w:trPr>
        <w:tc>
          <w:tcPr>
            <w:tcW w:w="4366" w:type="dxa"/>
            <w:vMerge w:val="restart"/>
            <w:tcBorders>
              <w:top w:val="double" w:sz="6" w:space="0" w:color="auto"/>
              <w:left w:val="double" w:sz="6" w:space="0" w:color="auto"/>
              <w:bottom w:val="double" w:sz="6" w:space="0" w:color="000000"/>
              <w:right w:val="nil"/>
            </w:tcBorders>
            <w:shd w:val="clear" w:color="000000" w:fill="EAF1DD"/>
            <w:vAlign w:val="bottom"/>
            <w:hideMark/>
          </w:tcPr>
          <w:p w:rsidR="00C128C2" w:rsidRPr="00C128C2" w:rsidRDefault="00C128C2" w:rsidP="00C128C2">
            <w:pPr>
              <w:jc w:val="center"/>
              <w:rPr>
                <w:rFonts w:eastAsia="Times New Roman"/>
                <w:b/>
                <w:bCs/>
                <w:color w:val="000000"/>
                <w:sz w:val="16"/>
                <w:szCs w:val="16"/>
              </w:rPr>
            </w:pPr>
            <w:r w:rsidRPr="00C128C2">
              <w:rPr>
                <w:rFonts w:eastAsia="Times New Roman"/>
                <w:b/>
                <w:bCs/>
                <w:color w:val="000000"/>
                <w:sz w:val="16"/>
                <w:szCs w:val="16"/>
              </w:rPr>
              <w:t>Наименование показателя</w:t>
            </w:r>
          </w:p>
        </w:tc>
        <w:tc>
          <w:tcPr>
            <w:tcW w:w="6174" w:type="dxa"/>
            <w:gridSpan w:val="9"/>
            <w:tcBorders>
              <w:top w:val="double" w:sz="6" w:space="0" w:color="auto"/>
              <w:left w:val="single" w:sz="4" w:space="0" w:color="auto"/>
              <w:bottom w:val="single" w:sz="4" w:space="0" w:color="auto"/>
              <w:right w:val="double" w:sz="6" w:space="0" w:color="000000"/>
            </w:tcBorders>
            <w:shd w:val="clear" w:color="000000" w:fill="EAF1DD"/>
            <w:vAlign w:val="bottom"/>
            <w:hideMark/>
          </w:tcPr>
          <w:p w:rsidR="00C128C2" w:rsidRPr="00C128C2" w:rsidRDefault="00C128C2" w:rsidP="00C128C2">
            <w:pPr>
              <w:jc w:val="center"/>
              <w:rPr>
                <w:rFonts w:eastAsia="Times New Roman"/>
                <w:b/>
                <w:bCs/>
                <w:color w:val="000000"/>
                <w:sz w:val="16"/>
                <w:szCs w:val="16"/>
              </w:rPr>
            </w:pPr>
            <w:r w:rsidRPr="00C128C2">
              <w:rPr>
                <w:rFonts w:eastAsia="Times New Roman"/>
                <w:b/>
                <w:bCs/>
                <w:color w:val="000000"/>
                <w:sz w:val="16"/>
                <w:szCs w:val="16"/>
              </w:rPr>
              <w:t>Значение показателя</w:t>
            </w:r>
          </w:p>
        </w:tc>
      </w:tr>
      <w:tr w:rsidR="00C128C2" w:rsidRPr="00C128C2" w:rsidTr="00C128C2">
        <w:trPr>
          <w:trHeight w:val="95"/>
        </w:trPr>
        <w:tc>
          <w:tcPr>
            <w:tcW w:w="4366" w:type="dxa"/>
            <w:vMerge/>
            <w:tcBorders>
              <w:top w:val="double" w:sz="6" w:space="0" w:color="auto"/>
              <w:left w:val="double" w:sz="6" w:space="0" w:color="auto"/>
              <w:bottom w:val="double" w:sz="6" w:space="0" w:color="000000"/>
              <w:right w:val="nil"/>
            </w:tcBorders>
            <w:vAlign w:val="center"/>
            <w:hideMark/>
          </w:tcPr>
          <w:p w:rsidR="00C128C2" w:rsidRPr="00C128C2" w:rsidRDefault="00C128C2" w:rsidP="00C128C2">
            <w:pPr>
              <w:rPr>
                <w:rFonts w:eastAsia="Times New Roman"/>
                <w:b/>
                <w:bCs/>
                <w:color w:val="000000"/>
                <w:sz w:val="16"/>
                <w:szCs w:val="16"/>
              </w:rPr>
            </w:pPr>
          </w:p>
        </w:tc>
        <w:tc>
          <w:tcPr>
            <w:tcW w:w="2100" w:type="dxa"/>
            <w:gridSpan w:val="3"/>
            <w:tcBorders>
              <w:top w:val="single" w:sz="4" w:space="0" w:color="auto"/>
              <w:left w:val="single" w:sz="4" w:space="0" w:color="auto"/>
              <w:bottom w:val="single" w:sz="4" w:space="0" w:color="auto"/>
              <w:right w:val="single" w:sz="4" w:space="0" w:color="auto"/>
            </w:tcBorders>
            <w:shd w:val="clear" w:color="000000" w:fill="EAF1DD"/>
            <w:vAlign w:val="bottom"/>
            <w:hideMark/>
          </w:tcPr>
          <w:p w:rsidR="00C128C2" w:rsidRPr="00C128C2" w:rsidRDefault="00C128C2" w:rsidP="00C128C2">
            <w:pPr>
              <w:jc w:val="center"/>
              <w:rPr>
                <w:rFonts w:eastAsia="Times New Roman"/>
                <w:b/>
                <w:bCs/>
                <w:color w:val="000000"/>
                <w:sz w:val="16"/>
                <w:szCs w:val="16"/>
              </w:rPr>
            </w:pPr>
            <w:r w:rsidRPr="00C128C2">
              <w:rPr>
                <w:rFonts w:eastAsia="Times New Roman"/>
                <w:b/>
                <w:bCs/>
                <w:color w:val="000000"/>
                <w:sz w:val="16"/>
                <w:szCs w:val="16"/>
              </w:rPr>
              <w:t>2015 год</w:t>
            </w:r>
          </w:p>
        </w:tc>
        <w:tc>
          <w:tcPr>
            <w:tcW w:w="2076" w:type="dxa"/>
            <w:gridSpan w:val="3"/>
            <w:tcBorders>
              <w:top w:val="single" w:sz="4" w:space="0" w:color="auto"/>
              <w:left w:val="nil"/>
              <w:bottom w:val="single" w:sz="4" w:space="0" w:color="auto"/>
              <w:right w:val="single" w:sz="4" w:space="0" w:color="auto"/>
            </w:tcBorders>
            <w:shd w:val="clear" w:color="000000" w:fill="EAF1DD"/>
            <w:vAlign w:val="bottom"/>
            <w:hideMark/>
          </w:tcPr>
          <w:p w:rsidR="00C128C2" w:rsidRPr="00C128C2" w:rsidRDefault="00C128C2" w:rsidP="00C128C2">
            <w:pPr>
              <w:jc w:val="center"/>
              <w:rPr>
                <w:rFonts w:eastAsia="Times New Roman"/>
                <w:b/>
                <w:bCs/>
                <w:color w:val="000000"/>
                <w:sz w:val="16"/>
                <w:szCs w:val="16"/>
              </w:rPr>
            </w:pPr>
            <w:r w:rsidRPr="00C128C2">
              <w:rPr>
                <w:rFonts w:eastAsia="Times New Roman"/>
                <w:b/>
                <w:bCs/>
                <w:color w:val="000000"/>
                <w:sz w:val="16"/>
                <w:szCs w:val="16"/>
              </w:rPr>
              <w:t>2016 год</w:t>
            </w:r>
          </w:p>
        </w:tc>
        <w:tc>
          <w:tcPr>
            <w:tcW w:w="1998" w:type="dxa"/>
            <w:gridSpan w:val="3"/>
            <w:tcBorders>
              <w:top w:val="single" w:sz="4" w:space="0" w:color="auto"/>
              <w:left w:val="nil"/>
              <w:bottom w:val="single" w:sz="4" w:space="0" w:color="auto"/>
              <w:right w:val="double" w:sz="6" w:space="0" w:color="000000"/>
            </w:tcBorders>
            <w:shd w:val="clear" w:color="000000" w:fill="EAF1DD"/>
            <w:vAlign w:val="bottom"/>
            <w:hideMark/>
          </w:tcPr>
          <w:p w:rsidR="00C128C2" w:rsidRPr="00C128C2" w:rsidRDefault="00C128C2" w:rsidP="00C128C2">
            <w:pPr>
              <w:jc w:val="center"/>
              <w:rPr>
                <w:rFonts w:eastAsia="Times New Roman"/>
                <w:b/>
                <w:bCs/>
                <w:color w:val="000000"/>
                <w:sz w:val="16"/>
                <w:szCs w:val="16"/>
              </w:rPr>
            </w:pPr>
            <w:r w:rsidRPr="00C128C2">
              <w:rPr>
                <w:rFonts w:eastAsia="Times New Roman"/>
                <w:b/>
                <w:bCs/>
                <w:color w:val="000000"/>
                <w:sz w:val="16"/>
                <w:szCs w:val="16"/>
              </w:rPr>
              <w:t>2017 год</w:t>
            </w:r>
          </w:p>
        </w:tc>
      </w:tr>
      <w:tr w:rsidR="00C128C2" w:rsidRPr="00C128C2" w:rsidTr="00C128C2">
        <w:trPr>
          <w:trHeight w:val="315"/>
        </w:trPr>
        <w:tc>
          <w:tcPr>
            <w:tcW w:w="4366" w:type="dxa"/>
            <w:vMerge/>
            <w:tcBorders>
              <w:top w:val="double" w:sz="6" w:space="0" w:color="auto"/>
              <w:left w:val="double" w:sz="6" w:space="0" w:color="auto"/>
              <w:bottom w:val="double" w:sz="6" w:space="0" w:color="000000"/>
              <w:right w:val="nil"/>
            </w:tcBorders>
            <w:vAlign w:val="center"/>
            <w:hideMark/>
          </w:tcPr>
          <w:p w:rsidR="00C128C2" w:rsidRPr="00C128C2" w:rsidRDefault="00C128C2" w:rsidP="00C128C2">
            <w:pPr>
              <w:rPr>
                <w:rFonts w:eastAsia="Times New Roman"/>
                <w:b/>
                <w:bCs/>
                <w:color w:val="000000"/>
                <w:sz w:val="16"/>
                <w:szCs w:val="16"/>
              </w:rPr>
            </w:pPr>
          </w:p>
        </w:tc>
        <w:tc>
          <w:tcPr>
            <w:tcW w:w="700" w:type="dxa"/>
            <w:tcBorders>
              <w:top w:val="nil"/>
              <w:left w:val="single" w:sz="4" w:space="0" w:color="auto"/>
              <w:bottom w:val="double" w:sz="6" w:space="0" w:color="auto"/>
              <w:right w:val="single" w:sz="4" w:space="0" w:color="auto"/>
            </w:tcBorders>
            <w:shd w:val="clear" w:color="000000" w:fill="EAF1DD"/>
            <w:vAlign w:val="bottom"/>
            <w:hideMark/>
          </w:tcPr>
          <w:p w:rsidR="00C128C2" w:rsidRPr="00C128C2" w:rsidRDefault="00C128C2" w:rsidP="00C128C2">
            <w:pPr>
              <w:jc w:val="center"/>
              <w:rPr>
                <w:rFonts w:eastAsia="Times New Roman"/>
                <w:b/>
                <w:bCs/>
                <w:color w:val="000000"/>
                <w:sz w:val="16"/>
                <w:szCs w:val="16"/>
              </w:rPr>
            </w:pPr>
            <w:r w:rsidRPr="00C128C2">
              <w:rPr>
                <w:rFonts w:eastAsia="Times New Roman"/>
                <w:b/>
                <w:bCs/>
                <w:color w:val="000000"/>
                <w:sz w:val="16"/>
                <w:szCs w:val="16"/>
              </w:rPr>
              <w:t>план</w:t>
            </w:r>
          </w:p>
        </w:tc>
        <w:tc>
          <w:tcPr>
            <w:tcW w:w="640" w:type="dxa"/>
            <w:tcBorders>
              <w:top w:val="nil"/>
              <w:left w:val="nil"/>
              <w:bottom w:val="double" w:sz="6" w:space="0" w:color="auto"/>
              <w:right w:val="single" w:sz="4" w:space="0" w:color="auto"/>
            </w:tcBorders>
            <w:shd w:val="clear" w:color="000000" w:fill="EAF1DD"/>
            <w:vAlign w:val="bottom"/>
            <w:hideMark/>
          </w:tcPr>
          <w:p w:rsidR="00C128C2" w:rsidRPr="00C128C2" w:rsidRDefault="00C128C2" w:rsidP="00C128C2">
            <w:pPr>
              <w:jc w:val="center"/>
              <w:rPr>
                <w:rFonts w:eastAsia="Times New Roman"/>
                <w:b/>
                <w:bCs/>
                <w:color w:val="000000"/>
                <w:sz w:val="16"/>
                <w:szCs w:val="16"/>
              </w:rPr>
            </w:pPr>
            <w:r w:rsidRPr="00C128C2">
              <w:rPr>
                <w:rFonts w:eastAsia="Times New Roman"/>
                <w:b/>
                <w:bCs/>
                <w:color w:val="000000"/>
                <w:sz w:val="16"/>
                <w:szCs w:val="16"/>
              </w:rPr>
              <w:t>факт</w:t>
            </w:r>
          </w:p>
        </w:tc>
        <w:tc>
          <w:tcPr>
            <w:tcW w:w="760" w:type="dxa"/>
            <w:tcBorders>
              <w:top w:val="nil"/>
              <w:left w:val="nil"/>
              <w:bottom w:val="double" w:sz="6" w:space="0" w:color="auto"/>
              <w:right w:val="single" w:sz="4" w:space="0" w:color="auto"/>
            </w:tcBorders>
            <w:shd w:val="clear" w:color="000000" w:fill="EAF1DD"/>
            <w:vAlign w:val="bottom"/>
            <w:hideMark/>
          </w:tcPr>
          <w:p w:rsidR="00C128C2" w:rsidRPr="00C128C2" w:rsidRDefault="00C128C2" w:rsidP="00C128C2">
            <w:pPr>
              <w:jc w:val="center"/>
              <w:rPr>
                <w:rFonts w:eastAsia="Times New Roman"/>
                <w:b/>
                <w:bCs/>
                <w:color w:val="000000"/>
                <w:sz w:val="16"/>
                <w:szCs w:val="16"/>
              </w:rPr>
            </w:pPr>
            <w:r w:rsidRPr="00C128C2">
              <w:rPr>
                <w:rFonts w:eastAsia="Times New Roman"/>
                <w:b/>
                <w:bCs/>
                <w:color w:val="000000"/>
                <w:sz w:val="16"/>
                <w:szCs w:val="16"/>
              </w:rPr>
              <w:t xml:space="preserve">% </w:t>
            </w:r>
            <w:proofErr w:type="spellStart"/>
            <w:r w:rsidRPr="00C128C2">
              <w:rPr>
                <w:rFonts w:eastAsia="Times New Roman"/>
                <w:b/>
                <w:bCs/>
                <w:color w:val="000000"/>
                <w:sz w:val="16"/>
                <w:szCs w:val="16"/>
              </w:rPr>
              <w:t>исп-я</w:t>
            </w:r>
            <w:proofErr w:type="spellEnd"/>
          </w:p>
        </w:tc>
        <w:tc>
          <w:tcPr>
            <w:tcW w:w="640" w:type="dxa"/>
            <w:tcBorders>
              <w:top w:val="nil"/>
              <w:left w:val="nil"/>
              <w:bottom w:val="double" w:sz="6" w:space="0" w:color="auto"/>
              <w:right w:val="single" w:sz="4" w:space="0" w:color="auto"/>
            </w:tcBorders>
            <w:shd w:val="clear" w:color="000000" w:fill="EAF1DD"/>
            <w:vAlign w:val="bottom"/>
            <w:hideMark/>
          </w:tcPr>
          <w:p w:rsidR="00C128C2" w:rsidRPr="00C128C2" w:rsidRDefault="00C128C2" w:rsidP="00C128C2">
            <w:pPr>
              <w:jc w:val="center"/>
              <w:rPr>
                <w:rFonts w:eastAsia="Times New Roman"/>
                <w:b/>
                <w:bCs/>
                <w:color w:val="000000"/>
                <w:sz w:val="16"/>
                <w:szCs w:val="16"/>
              </w:rPr>
            </w:pPr>
            <w:r w:rsidRPr="00C128C2">
              <w:rPr>
                <w:rFonts w:eastAsia="Times New Roman"/>
                <w:b/>
                <w:bCs/>
                <w:color w:val="000000"/>
                <w:sz w:val="16"/>
                <w:szCs w:val="16"/>
              </w:rPr>
              <w:t>план</w:t>
            </w:r>
          </w:p>
        </w:tc>
        <w:tc>
          <w:tcPr>
            <w:tcW w:w="696" w:type="dxa"/>
            <w:tcBorders>
              <w:top w:val="nil"/>
              <w:left w:val="nil"/>
              <w:bottom w:val="double" w:sz="6" w:space="0" w:color="auto"/>
              <w:right w:val="single" w:sz="4" w:space="0" w:color="auto"/>
            </w:tcBorders>
            <w:shd w:val="clear" w:color="000000" w:fill="EAF1DD"/>
            <w:vAlign w:val="bottom"/>
            <w:hideMark/>
          </w:tcPr>
          <w:p w:rsidR="00C128C2" w:rsidRPr="00C128C2" w:rsidRDefault="00C128C2" w:rsidP="00C128C2">
            <w:pPr>
              <w:jc w:val="center"/>
              <w:rPr>
                <w:rFonts w:eastAsia="Times New Roman"/>
                <w:b/>
                <w:bCs/>
                <w:color w:val="000000"/>
                <w:sz w:val="16"/>
                <w:szCs w:val="16"/>
              </w:rPr>
            </w:pPr>
            <w:r w:rsidRPr="00C128C2">
              <w:rPr>
                <w:rFonts w:eastAsia="Times New Roman"/>
                <w:b/>
                <w:bCs/>
                <w:color w:val="000000"/>
                <w:sz w:val="16"/>
                <w:szCs w:val="16"/>
              </w:rPr>
              <w:t xml:space="preserve">факт </w:t>
            </w:r>
          </w:p>
        </w:tc>
        <w:tc>
          <w:tcPr>
            <w:tcW w:w="740" w:type="dxa"/>
            <w:tcBorders>
              <w:top w:val="nil"/>
              <w:left w:val="nil"/>
              <w:bottom w:val="double" w:sz="6" w:space="0" w:color="auto"/>
              <w:right w:val="single" w:sz="4" w:space="0" w:color="auto"/>
            </w:tcBorders>
            <w:shd w:val="clear" w:color="000000" w:fill="EAF1DD"/>
            <w:vAlign w:val="bottom"/>
            <w:hideMark/>
          </w:tcPr>
          <w:p w:rsidR="00C128C2" w:rsidRPr="00C128C2" w:rsidRDefault="00C128C2" w:rsidP="00C128C2">
            <w:pPr>
              <w:jc w:val="center"/>
              <w:rPr>
                <w:rFonts w:eastAsia="Times New Roman"/>
                <w:b/>
                <w:bCs/>
                <w:color w:val="000000"/>
                <w:sz w:val="16"/>
                <w:szCs w:val="16"/>
              </w:rPr>
            </w:pPr>
            <w:r w:rsidRPr="00C128C2">
              <w:rPr>
                <w:rFonts w:eastAsia="Times New Roman"/>
                <w:b/>
                <w:bCs/>
                <w:color w:val="000000"/>
                <w:sz w:val="16"/>
                <w:szCs w:val="16"/>
              </w:rPr>
              <w:t xml:space="preserve">% </w:t>
            </w:r>
            <w:proofErr w:type="spellStart"/>
            <w:r w:rsidRPr="00C128C2">
              <w:rPr>
                <w:rFonts w:eastAsia="Times New Roman"/>
                <w:b/>
                <w:bCs/>
                <w:color w:val="000000"/>
                <w:sz w:val="16"/>
                <w:szCs w:val="16"/>
              </w:rPr>
              <w:t>исп-я</w:t>
            </w:r>
            <w:proofErr w:type="spellEnd"/>
          </w:p>
        </w:tc>
        <w:tc>
          <w:tcPr>
            <w:tcW w:w="615" w:type="dxa"/>
            <w:tcBorders>
              <w:top w:val="nil"/>
              <w:left w:val="nil"/>
              <w:bottom w:val="double" w:sz="6" w:space="0" w:color="auto"/>
              <w:right w:val="single" w:sz="4" w:space="0" w:color="auto"/>
            </w:tcBorders>
            <w:shd w:val="clear" w:color="000000" w:fill="EAF1DD"/>
            <w:vAlign w:val="bottom"/>
            <w:hideMark/>
          </w:tcPr>
          <w:p w:rsidR="00C128C2" w:rsidRPr="00C128C2" w:rsidRDefault="00C128C2" w:rsidP="00C128C2">
            <w:pPr>
              <w:jc w:val="center"/>
              <w:rPr>
                <w:rFonts w:eastAsia="Times New Roman"/>
                <w:b/>
                <w:bCs/>
                <w:color w:val="000000"/>
                <w:sz w:val="16"/>
                <w:szCs w:val="16"/>
              </w:rPr>
            </w:pPr>
            <w:r w:rsidRPr="00C128C2">
              <w:rPr>
                <w:rFonts w:eastAsia="Times New Roman"/>
                <w:b/>
                <w:bCs/>
                <w:color w:val="000000"/>
                <w:sz w:val="16"/>
                <w:szCs w:val="16"/>
              </w:rPr>
              <w:t>план</w:t>
            </w:r>
          </w:p>
        </w:tc>
        <w:tc>
          <w:tcPr>
            <w:tcW w:w="623" w:type="dxa"/>
            <w:tcBorders>
              <w:top w:val="nil"/>
              <w:left w:val="nil"/>
              <w:bottom w:val="double" w:sz="6" w:space="0" w:color="auto"/>
              <w:right w:val="single" w:sz="4" w:space="0" w:color="auto"/>
            </w:tcBorders>
            <w:shd w:val="clear" w:color="000000" w:fill="EAF1DD"/>
            <w:vAlign w:val="bottom"/>
            <w:hideMark/>
          </w:tcPr>
          <w:p w:rsidR="00C128C2" w:rsidRPr="00C128C2" w:rsidRDefault="00C128C2" w:rsidP="00C128C2">
            <w:pPr>
              <w:jc w:val="center"/>
              <w:rPr>
                <w:rFonts w:eastAsia="Times New Roman"/>
                <w:b/>
                <w:bCs/>
                <w:color w:val="000000"/>
                <w:sz w:val="16"/>
                <w:szCs w:val="16"/>
              </w:rPr>
            </w:pPr>
            <w:r w:rsidRPr="00C128C2">
              <w:rPr>
                <w:rFonts w:eastAsia="Times New Roman"/>
                <w:b/>
                <w:bCs/>
                <w:color w:val="000000"/>
                <w:sz w:val="16"/>
                <w:szCs w:val="16"/>
              </w:rPr>
              <w:t>факт</w:t>
            </w:r>
          </w:p>
        </w:tc>
        <w:tc>
          <w:tcPr>
            <w:tcW w:w="760" w:type="dxa"/>
            <w:tcBorders>
              <w:top w:val="nil"/>
              <w:left w:val="nil"/>
              <w:bottom w:val="double" w:sz="6" w:space="0" w:color="auto"/>
              <w:right w:val="double" w:sz="6" w:space="0" w:color="auto"/>
            </w:tcBorders>
            <w:shd w:val="clear" w:color="000000" w:fill="EAF1DD"/>
            <w:vAlign w:val="bottom"/>
            <w:hideMark/>
          </w:tcPr>
          <w:p w:rsidR="00C128C2" w:rsidRPr="00C128C2" w:rsidRDefault="00C128C2" w:rsidP="00C128C2">
            <w:pPr>
              <w:jc w:val="center"/>
              <w:rPr>
                <w:rFonts w:eastAsia="Times New Roman"/>
                <w:b/>
                <w:bCs/>
                <w:color w:val="000000"/>
                <w:sz w:val="16"/>
                <w:szCs w:val="16"/>
              </w:rPr>
            </w:pPr>
            <w:r w:rsidRPr="00C128C2">
              <w:rPr>
                <w:rFonts w:eastAsia="Times New Roman"/>
                <w:b/>
                <w:bCs/>
                <w:color w:val="000000"/>
                <w:sz w:val="16"/>
                <w:szCs w:val="16"/>
              </w:rPr>
              <w:t xml:space="preserve">% </w:t>
            </w:r>
            <w:proofErr w:type="spellStart"/>
            <w:r w:rsidRPr="00C128C2">
              <w:rPr>
                <w:rFonts w:eastAsia="Times New Roman"/>
                <w:b/>
                <w:bCs/>
                <w:color w:val="000000"/>
                <w:sz w:val="16"/>
                <w:szCs w:val="16"/>
              </w:rPr>
              <w:t>исп-я</w:t>
            </w:r>
            <w:proofErr w:type="spellEnd"/>
          </w:p>
        </w:tc>
      </w:tr>
      <w:tr w:rsidR="00C128C2" w:rsidRPr="00C128C2" w:rsidTr="00C128C2">
        <w:trPr>
          <w:trHeight w:val="240"/>
        </w:trPr>
        <w:tc>
          <w:tcPr>
            <w:tcW w:w="10540" w:type="dxa"/>
            <w:gridSpan w:val="10"/>
            <w:tcBorders>
              <w:top w:val="double" w:sz="6" w:space="0" w:color="auto"/>
              <w:left w:val="double" w:sz="6" w:space="0" w:color="auto"/>
              <w:bottom w:val="single" w:sz="8" w:space="0" w:color="auto"/>
              <w:right w:val="double" w:sz="6" w:space="0" w:color="000000"/>
            </w:tcBorders>
            <w:shd w:val="clear" w:color="000000" w:fill="FFFFFF"/>
            <w:vAlign w:val="bottom"/>
            <w:hideMark/>
          </w:tcPr>
          <w:p w:rsidR="00C128C2" w:rsidRPr="00C128C2" w:rsidRDefault="00C128C2" w:rsidP="00C128C2">
            <w:pPr>
              <w:jc w:val="center"/>
              <w:rPr>
                <w:rFonts w:eastAsia="Times New Roman"/>
                <w:b/>
                <w:bCs/>
                <w:color w:val="000000"/>
                <w:sz w:val="18"/>
                <w:szCs w:val="18"/>
              </w:rPr>
            </w:pPr>
            <w:r w:rsidRPr="00C128C2">
              <w:rPr>
                <w:rFonts w:eastAsia="Times New Roman"/>
                <w:b/>
                <w:bCs/>
                <w:color w:val="000000"/>
                <w:sz w:val="18"/>
                <w:szCs w:val="18"/>
              </w:rPr>
              <w:t>ЦПП</w:t>
            </w:r>
          </w:p>
        </w:tc>
      </w:tr>
      <w:tr w:rsidR="00C128C2" w:rsidRPr="00C128C2" w:rsidTr="00C128C2">
        <w:trPr>
          <w:trHeight w:val="190"/>
        </w:trPr>
        <w:tc>
          <w:tcPr>
            <w:tcW w:w="4366" w:type="dxa"/>
            <w:tcBorders>
              <w:top w:val="nil"/>
              <w:left w:val="double" w:sz="6" w:space="0" w:color="auto"/>
              <w:bottom w:val="nil"/>
              <w:right w:val="nil"/>
            </w:tcBorders>
            <w:shd w:val="clear" w:color="auto" w:fill="auto"/>
            <w:vAlign w:val="bottom"/>
            <w:hideMark/>
          </w:tcPr>
          <w:p w:rsidR="00C128C2" w:rsidRPr="00C128C2" w:rsidRDefault="00C128C2" w:rsidP="00C128C2">
            <w:pPr>
              <w:rPr>
                <w:rFonts w:eastAsia="Times New Roman"/>
                <w:color w:val="000000"/>
                <w:sz w:val="16"/>
                <w:szCs w:val="16"/>
              </w:rPr>
            </w:pPr>
            <w:r w:rsidRPr="00C128C2">
              <w:rPr>
                <w:rFonts w:eastAsia="Times New Roman"/>
                <w:color w:val="000000"/>
                <w:sz w:val="16"/>
                <w:szCs w:val="16"/>
              </w:rPr>
              <w:t xml:space="preserve">Количество СМСП, </w:t>
            </w:r>
            <w:proofErr w:type="gramStart"/>
            <w:r w:rsidRPr="00C128C2">
              <w:rPr>
                <w:rFonts w:eastAsia="Times New Roman"/>
                <w:color w:val="000000"/>
                <w:sz w:val="16"/>
                <w:szCs w:val="16"/>
              </w:rPr>
              <w:t>получивших</w:t>
            </w:r>
            <w:proofErr w:type="gramEnd"/>
            <w:r w:rsidRPr="00C128C2">
              <w:rPr>
                <w:rFonts w:eastAsia="Times New Roman"/>
                <w:color w:val="000000"/>
                <w:sz w:val="16"/>
                <w:szCs w:val="16"/>
              </w:rPr>
              <w:t xml:space="preserve"> услугу (госзадание), ед.</w:t>
            </w:r>
          </w:p>
        </w:tc>
        <w:tc>
          <w:tcPr>
            <w:tcW w:w="700" w:type="dxa"/>
            <w:tcBorders>
              <w:top w:val="nil"/>
              <w:left w:val="single" w:sz="4" w:space="0" w:color="auto"/>
              <w:bottom w:val="single" w:sz="4" w:space="0" w:color="auto"/>
              <w:right w:val="single" w:sz="4" w:space="0" w:color="auto"/>
            </w:tcBorders>
            <w:shd w:val="clear" w:color="000000" w:fill="FFFFFF"/>
            <w:vAlign w:val="center"/>
            <w:hideMark/>
          </w:tcPr>
          <w:p w:rsidR="00C128C2" w:rsidRPr="00C128C2" w:rsidRDefault="00C128C2" w:rsidP="00C128C2">
            <w:pPr>
              <w:jc w:val="center"/>
              <w:rPr>
                <w:rFonts w:eastAsia="Times New Roman"/>
                <w:color w:val="000000"/>
                <w:sz w:val="16"/>
                <w:szCs w:val="16"/>
              </w:rPr>
            </w:pPr>
            <w:r w:rsidRPr="00C128C2">
              <w:rPr>
                <w:rFonts w:eastAsia="Times New Roman"/>
                <w:color w:val="000000"/>
                <w:sz w:val="16"/>
                <w:szCs w:val="16"/>
              </w:rPr>
              <w:t>450</w:t>
            </w:r>
          </w:p>
        </w:tc>
        <w:tc>
          <w:tcPr>
            <w:tcW w:w="640" w:type="dxa"/>
            <w:tcBorders>
              <w:top w:val="nil"/>
              <w:left w:val="nil"/>
              <w:bottom w:val="single" w:sz="4" w:space="0" w:color="auto"/>
              <w:right w:val="single" w:sz="4" w:space="0" w:color="auto"/>
            </w:tcBorders>
            <w:shd w:val="clear" w:color="000000" w:fill="FFFFFF"/>
            <w:vAlign w:val="center"/>
            <w:hideMark/>
          </w:tcPr>
          <w:p w:rsidR="00C128C2" w:rsidRPr="00C128C2" w:rsidRDefault="00C128C2" w:rsidP="00C128C2">
            <w:pPr>
              <w:jc w:val="center"/>
              <w:rPr>
                <w:rFonts w:eastAsia="Times New Roman"/>
                <w:color w:val="000000"/>
                <w:sz w:val="16"/>
                <w:szCs w:val="16"/>
              </w:rPr>
            </w:pPr>
            <w:r w:rsidRPr="00C128C2">
              <w:rPr>
                <w:rFonts w:eastAsia="Times New Roman"/>
                <w:color w:val="000000"/>
                <w:sz w:val="16"/>
                <w:szCs w:val="16"/>
              </w:rPr>
              <w:t>452</w:t>
            </w:r>
          </w:p>
        </w:tc>
        <w:tc>
          <w:tcPr>
            <w:tcW w:w="760" w:type="dxa"/>
            <w:tcBorders>
              <w:top w:val="nil"/>
              <w:left w:val="nil"/>
              <w:bottom w:val="single" w:sz="4" w:space="0" w:color="auto"/>
              <w:right w:val="single" w:sz="4" w:space="0" w:color="auto"/>
            </w:tcBorders>
            <w:shd w:val="clear" w:color="000000" w:fill="FFFFFF"/>
            <w:vAlign w:val="center"/>
            <w:hideMark/>
          </w:tcPr>
          <w:p w:rsidR="00C128C2" w:rsidRPr="00C128C2" w:rsidRDefault="00C128C2" w:rsidP="00C128C2">
            <w:pPr>
              <w:jc w:val="center"/>
              <w:rPr>
                <w:rFonts w:eastAsia="Times New Roman"/>
                <w:color w:val="000000"/>
                <w:sz w:val="16"/>
                <w:szCs w:val="16"/>
              </w:rPr>
            </w:pPr>
            <w:r w:rsidRPr="00C128C2">
              <w:rPr>
                <w:rFonts w:eastAsia="Times New Roman"/>
                <w:color w:val="000000"/>
                <w:sz w:val="16"/>
                <w:szCs w:val="16"/>
              </w:rPr>
              <w:t>100,4</w:t>
            </w:r>
          </w:p>
        </w:tc>
        <w:tc>
          <w:tcPr>
            <w:tcW w:w="640" w:type="dxa"/>
            <w:tcBorders>
              <w:top w:val="nil"/>
              <w:left w:val="nil"/>
              <w:bottom w:val="single" w:sz="4" w:space="0" w:color="auto"/>
              <w:right w:val="single" w:sz="4" w:space="0" w:color="auto"/>
            </w:tcBorders>
            <w:shd w:val="clear" w:color="000000" w:fill="FFFFFF"/>
            <w:vAlign w:val="center"/>
            <w:hideMark/>
          </w:tcPr>
          <w:p w:rsidR="00C128C2" w:rsidRPr="00C128C2" w:rsidRDefault="00C128C2" w:rsidP="00C128C2">
            <w:pPr>
              <w:jc w:val="center"/>
              <w:rPr>
                <w:rFonts w:eastAsia="Times New Roman"/>
                <w:color w:val="000000"/>
                <w:sz w:val="16"/>
                <w:szCs w:val="16"/>
              </w:rPr>
            </w:pPr>
            <w:r w:rsidRPr="00C128C2">
              <w:rPr>
                <w:rFonts w:eastAsia="Times New Roman"/>
                <w:color w:val="000000"/>
                <w:sz w:val="16"/>
                <w:szCs w:val="16"/>
              </w:rPr>
              <w:t>191</w:t>
            </w:r>
          </w:p>
        </w:tc>
        <w:tc>
          <w:tcPr>
            <w:tcW w:w="696" w:type="dxa"/>
            <w:tcBorders>
              <w:top w:val="nil"/>
              <w:left w:val="nil"/>
              <w:bottom w:val="single" w:sz="4" w:space="0" w:color="auto"/>
              <w:right w:val="single" w:sz="4" w:space="0" w:color="auto"/>
            </w:tcBorders>
            <w:shd w:val="clear" w:color="000000" w:fill="FFFFFF"/>
            <w:noWrap/>
            <w:vAlign w:val="center"/>
            <w:hideMark/>
          </w:tcPr>
          <w:p w:rsidR="00C128C2" w:rsidRPr="00C128C2" w:rsidRDefault="00C128C2" w:rsidP="00C128C2">
            <w:pPr>
              <w:jc w:val="center"/>
              <w:rPr>
                <w:rFonts w:eastAsia="Times New Roman"/>
                <w:color w:val="000000"/>
                <w:sz w:val="16"/>
                <w:szCs w:val="16"/>
              </w:rPr>
            </w:pPr>
            <w:r w:rsidRPr="00C128C2">
              <w:rPr>
                <w:rFonts w:eastAsia="Times New Roman"/>
                <w:color w:val="000000"/>
                <w:sz w:val="16"/>
                <w:szCs w:val="16"/>
              </w:rPr>
              <w:t>173</w:t>
            </w:r>
          </w:p>
        </w:tc>
        <w:tc>
          <w:tcPr>
            <w:tcW w:w="740" w:type="dxa"/>
            <w:tcBorders>
              <w:top w:val="nil"/>
              <w:left w:val="nil"/>
              <w:bottom w:val="single" w:sz="4" w:space="0" w:color="auto"/>
              <w:right w:val="single" w:sz="4" w:space="0" w:color="auto"/>
            </w:tcBorders>
            <w:shd w:val="clear" w:color="000000" w:fill="FFFFFF"/>
            <w:noWrap/>
            <w:vAlign w:val="center"/>
            <w:hideMark/>
          </w:tcPr>
          <w:p w:rsidR="00C128C2" w:rsidRPr="00C128C2" w:rsidRDefault="00C128C2" w:rsidP="00C128C2">
            <w:pPr>
              <w:jc w:val="center"/>
              <w:rPr>
                <w:rFonts w:eastAsia="Times New Roman"/>
                <w:color w:val="000000"/>
                <w:sz w:val="16"/>
                <w:szCs w:val="16"/>
              </w:rPr>
            </w:pPr>
            <w:r w:rsidRPr="00C128C2">
              <w:rPr>
                <w:rFonts w:eastAsia="Times New Roman"/>
                <w:color w:val="000000"/>
                <w:sz w:val="16"/>
                <w:szCs w:val="16"/>
              </w:rPr>
              <w:t>90,6</w:t>
            </w:r>
          </w:p>
        </w:tc>
        <w:tc>
          <w:tcPr>
            <w:tcW w:w="615" w:type="dxa"/>
            <w:tcBorders>
              <w:top w:val="nil"/>
              <w:left w:val="nil"/>
              <w:bottom w:val="single" w:sz="4" w:space="0" w:color="auto"/>
              <w:right w:val="single" w:sz="4" w:space="0" w:color="auto"/>
            </w:tcBorders>
            <w:shd w:val="clear" w:color="000000" w:fill="FFFFFF"/>
            <w:vAlign w:val="center"/>
            <w:hideMark/>
          </w:tcPr>
          <w:p w:rsidR="00C128C2" w:rsidRPr="00C128C2" w:rsidRDefault="00C128C2" w:rsidP="00C128C2">
            <w:pPr>
              <w:jc w:val="center"/>
              <w:rPr>
                <w:rFonts w:eastAsia="Times New Roman"/>
                <w:color w:val="000000"/>
                <w:sz w:val="16"/>
                <w:szCs w:val="16"/>
              </w:rPr>
            </w:pPr>
            <w:r w:rsidRPr="00C128C2">
              <w:rPr>
                <w:rFonts w:eastAsia="Times New Roman"/>
                <w:color w:val="000000"/>
                <w:sz w:val="16"/>
                <w:szCs w:val="16"/>
              </w:rPr>
              <w:t>405</w:t>
            </w:r>
          </w:p>
        </w:tc>
        <w:tc>
          <w:tcPr>
            <w:tcW w:w="623" w:type="dxa"/>
            <w:tcBorders>
              <w:top w:val="nil"/>
              <w:left w:val="nil"/>
              <w:bottom w:val="single" w:sz="4" w:space="0" w:color="auto"/>
              <w:right w:val="single" w:sz="4" w:space="0" w:color="auto"/>
            </w:tcBorders>
            <w:shd w:val="clear" w:color="000000" w:fill="FFFFFF"/>
            <w:noWrap/>
            <w:vAlign w:val="center"/>
            <w:hideMark/>
          </w:tcPr>
          <w:p w:rsidR="00C128C2" w:rsidRPr="00C128C2" w:rsidRDefault="00C128C2" w:rsidP="00C128C2">
            <w:pPr>
              <w:jc w:val="center"/>
              <w:rPr>
                <w:rFonts w:eastAsia="Times New Roman"/>
                <w:color w:val="000000"/>
                <w:sz w:val="16"/>
                <w:szCs w:val="16"/>
              </w:rPr>
            </w:pPr>
            <w:r w:rsidRPr="00C128C2">
              <w:rPr>
                <w:rFonts w:eastAsia="Times New Roman"/>
                <w:color w:val="000000"/>
                <w:sz w:val="16"/>
                <w:szCs w:val="16"/>
              </w:rPr>
              <w:t>422</w:t>
            </w:r>
          </w:p>
        </w:tc>
        <w:tc>
          <w:tcPr>
            <w:tcW w:w="760" w:type="dxa"/>
            <w:tcBorders>
              <w:top w:val="nil"/>
              <w:left w:val="nil"/>
              <w:bottom w:val="nil"/>
              <w:right w:val="double" w:sz="6" w:space="0" w:color="auto"/>
            </w:tcBorders>
            <w:shd w:val="clear" w:color="auto" w:fill="auto"/>
            <w:noWrap/>
            <w:vAlign w:val="center"/>
            <w:hideMark/>
          </w:tcPr>
          <w:p w:rsidR="00C128C2" w:rsidRPr="00C128C2" w:rsidRDefault="00C128C2" w:rsidP="00C128C2">
            <w:pPr>
              <w:jc w:val="center"/>
              <w:rPr>
                <w:rFonts w:eastAsia="Times New Roman"/>
                <w:color w:val="000000"/>
                <w:sz w:val="16"/>
                <w:szCs w:val="16"/>
              </w:rPr>
            </w:pPr>
            <w:r w:rsidRPr="00C128C2">
              <w:rPr>
                <w:rFonts w:eastAsia="Times New Roman"/>
                <w:color w:val="000000"/>
                <w:sz w:val="16"/>
                <w:szCs w:val="16"/>
              </w:rPr>
              <w:t>104,2</w:t>
            </w:r>
          </w:p>
        </w:tc>
      </w:tr>
      <w:tr w:rsidR="00C128C2" w:rsidRPr="00C128C2" w:rsidTr="00C128C2">
        <w:trPr>
          <w:trHeight w:val="401"/>
        </w:trPr>
        <w:tc>
          <w:tcPr>
            <w:tcW w:w="4366" w:type="dxa"/>
            <w:tcBorders>
              <w:top w:val="single" w:sz="4" w:space="0" w:color="auto"/>
              <w:left w:val="double" w:sz="6" w:space="0" w:color="auto"/>
              <w:bottom w:val="single" w:sz="4" w:space="0" w:color="auto"/>
              <w:right w:val="nil"/>
            </w:tcBorders>
            <w:shd w:val="clear" w:color="auto" w:fill="auto"/>
            <w:vAlign w:val="bottom"/>
            <w:hideMark/>
          </w:tcPr>
          <w:p w:rsidR="00C128C2" w:rsidRPr="00C128C2" w:rsidRDefault="00C128C2" w:rsidP="00C128C2">
            <w:pPr>
              <w:rPr>
                <w:rFonts w:eastAsia="Times New Roman"/>
                <w:color w:val="000000"/>
                <w:sz w:val="16"/>
                <w:szCs w:val="16"/>
              </w:rPr>
            </w:pPr>
            <w:r w:rsidRPr="00C128C2">
              <w:rPr>
                <w:rFonts w:eastAsia="Times New Roman"/>
                <w:color w:val="000000"/>
                <w:sz w:val="16"/>
                <w:szCs w:val="16"/>
              </w:rPr>
              <w:t xml:space="preserve">Количество СМСП, </w:t>
            </w:r>
            <w:proofErr w:type="gramStart"/>
            <w:r w:rsidRPr="00C128C2">
              <w:rPr>
                <w:rFonts w:eastAsia="Times New Roman"/>
                <w:color w:val="000000"/>
                <w:sz w:val="16"/>
                <w:szCs w:val="16"/>
              </w:rPr>
              <w:t>получивших</w:t>
            </w:r>
            <w:proofErr w:type="gramEnd"/>
            <w:r w:rsidRPr="00C128C2">
              <w:rPr>
                <w:rFonts w:eastAsia="Times New Roman"/>
                <w:color w:val="000000"/>
                <w:sz w:val="16"/>
                <w:szCs w:val="16"/>
              </w:rPr>
              <w:t xml:space="preserve"> господдержку (субсидия на иные цели), ед.</w:t>
            </w:r>
          </w:p>
        </w:tc>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C128C2" w:rsidRPr="00C128C2" w:rsidRDefault="00C128C2" w:rsidP="00C128C2">
            <w:pPr>
              <w:jc w:val="center"/>
              <w:rPr>
                <w:rFonts w:eastAsia="Times New Roman"/>
                <w:color w:val="000000"/>
                <w:sz w:val="16"/>
                <w:szCs w:val="16"/>
              </w:rPr>
            </w:pPr>
            <w:r w:rsidRPr="00C128C2">
              <w:rPr>
                <w:rFonts w:eastAsia="Times New Roman"/>
                <w:color w:val="000000"/>
                <w:sz w:val="16"/>
                <w:szCs w:val="16"/>
              </w:rPr>
              <w:t>1635</w:t>
            </w:r>
          </w:p>
        </w:tc>
        <w:tc>
          <w:tcPr>
            <w:tcW w:w="640" w:type="dxa"/>
            <w:tcBorders>
              <w:top w:val="nil"/>
              <w:left w:val="nil"/>
              <w:bottom w:val="single" w:sz="4" w:space="0" w:color="auto"/>
              <w:right w:val="single" w:sz="4" w:space="0" w:color="auto"/>
            </w:tcBorders>
            <w:shd w:val="clear" w:color="auto" w:fill="auto"/>
            <w:noWrap/>
            <w:vAlign w:val="center"/>
            <w:hideMark/>
          </w:tcPr>
          <w:p w:rsidR="00C128C2" w:rsidRPr="00C128C2" w:rsidRDefault="00C128C2" w:rsidP="00C128C2">
            <w:pPr>
              <w:jc w:val="center"/>
              <w:rPr>
                <w:rFonts w:eastAsia="Times New Roman"/>
                <w:color w:val="000000"/>
                <w:sz w:val="16"/>
                <w:szCs w:val="16"/>
              </w:rPr>
            </w:pPr>
            <w:r w:rsidRPr="00C128C2">
              <w:rPr>
                <w:rFonts w:eastAsia="Times New Roman"/>
                <w:color w:val="000000"/>
                <w:sz w:val="16"/>
                <w:szCs w:val="16"/>
              </w:rPr>
              <w:t>1862*</w:t>
            </w:r>
          </w:p>
        </w:tc>
        <w:tc>
          <w:tcPr>
            <w:tcW w:w="760" w:type="dxa"/>
            <w:tcBorders>
              <w:top w:val="nil"/>
              <w:left w:val="nil"/>
              <w:bottom w:val="single" w:sz="4" w:space="0" w:color="auto"/>
              <w:right w:val="single" w:sz="4" w:space="0" w:color="auto"/>
            </w:tcBorders>
            <w:shd w:val="clear" w:color="000000" w:fill="FFFFFF"/>
            <w:vAlign w:val="center"/>
            <w:hideMark/>
          </w:tcPr>
          <w:p w:rsidR="00C128C2" w:rsidRPr="00C128C2" w:rsidRDefault="00C128C2" w:rsidP="00C128C2">
            <w:pPr>
              <w:jc w:val="center"/>
              <w:rPr>
                <w:rFonts w:eastAsia="Times New Roman"/>
                <w:color w:val="000000"/>
                <w:sz w:val="16"/>
                <w:szCs w:val="16"/>
              </w:rPr>
            </w:pPr>
            <w:r w:rsidRPr="00C128C2">
              <w:rPr>
                <w:rFonts w:eastAsia="Times New Roman"/>
                <w:color w:val="000000"/>
                <w:sz w:val="16"/>
                <w:szCs w:val="16"/>
              </w:rPr>
              <w:t>113,9</w:t>
            </w:r>
          </w:p>
        </w:tc>
        <w:tc>
          <w:tcPr>
            <w:tcW w:w="640" w:type="dxa"/>
            <w:tcBorders>
              <w:top w:val="nil"/>
              <w:left w:val="nil"/>
              <w:bottom w:val="single" w:sz="4" w:space="0" w:color="auto"/>
              <w:right w:val="single" w:sz="4" w:space="0" w:color="auto"/>
            </w:tcBorders>
            <w:shd w:val="clear" w:color="auto" w:fill="auto"/>
            <w:noWrap/>
            <w:vAlign w:val="center"/>
            <w:hideMark/>
          </w:tcPr>
          <w:p w:rsidR="00C128C2" w:rsidRPr="00C128C2" w:rsidRDefault="00C128C2" w:rsidP="00C128C2">
            <w:pPr>
              <w:jc w:val="center"/>
              <w:rPr>
                <w:rFonts w:eastAsia="Times New Roman"/>
                <w:color w:val="000000"/>
                <w:sz w:val="16"/>
                <w:szCs w:val="16"/>
              </w:rPr>
            </w:pPr>
            <w:r w:rsidRPr="00C128C2">
              <w:rPr>
                <w:rFonts w:eastAsia="Times New Roman"/>
                <w:color w:val="000000"/>
                <w:sz w:val="16"/>
                <w:szCs w:val="16"/>
              </w:rPr>
              <w:t>2500</w:t>
            </w:r>
          </w:p>
        </w:tc>
        <w:tc>
          <w:tcPr>
            <w:tcW w:w="696" w:type="dxa"/>
            <w:tcBorders>
              <w:top w:val="nil"/>
              <w:left w:val="nil"/>
              <w:bottom w:val="single" w:sz="4" w:space="0" w:color="auto"/>
              <w:right w:val="single" w:sz="4" w:space="0" w:color="auto"/>
            </w:tcBorders>
            <w:shd w:val="clear" w:color="auto" w:fill="auto"/>
            <w:noWrap/>
            <w:vAlign w:val="center"/>
            <w:hideMark/>
          </w:tcPr>
          <w:p w:rsidR="00C128C2" w:rsidRPr="00C128C2" w:rsidRDefault="00C128C2" w:rsidP="00C128C2">
            <w:pPr>
              <w:jc w:val="center"/>
              <w:rPr>
                <w:rFonts w:eastAsia="Times New Roman"/>
                <w:color w:val="000000"/>
                <w:sz w:val="16"/>
                <w:szCs w:val="16"/>
              </w:rPr>
            </w:pPr>
            <w:r w:rsidRPr="00C128C2">
              <w:rPr>
                <w:rFonts w:eastAsia="Times New Roman"/>
                <w:color w:val="000000"/>
                <w:sz w:val="16"/>
                <w:szCs w:val="16"/>
              </w:rPr>
              <w:t>4512**</w:t>
            </w:r>
          </w:p>
        </w:tc>
        <w:tc>
          <w:tcPr>
            <w:tcW w:w="740" w:type="dxa"/>
            <w:tcBorders>
              <w:top w:val="nil"/>
              <w:left w:val="nil"/>
              <w:bottom w:val="single" w:sz="4" w:space="0" w:color="auto"/>
              <w:right w:val="single" w:sz="4" w:space="0" w:color="auto"/>
            </w:tcBorders>
            <w:shd w:val="clear" w:color="000000" w:fill="FFFFFF"/>
            <w:noWrap/>
            <w:vAlign w:val="center"/>
            <w:hideMark/>
          </w:tcPr>
          <w:p w:rsidR="00C128C2" w:rsidRPr="00C128C2" w:rsidRDefault="00C128C2" w:rsidP="00C128C2">
            <w:pPr>
              <w:jc w:val="center"/>
              <w:rPr>
                <w:rFonts w:eastAsia="Times New Roman"/>
                <w:color w:val="000000"/>
                <w:sz w:val="16"/>
                <w:szCs w:val="16"/>
              </w:rPr>
            </w:pPr>
            <w:r w:rsidRPr="00C128C2">
              <w:rPr>
                <w:rFonts w:eastAsia="Times New Roman"/>
                <w:color w:val="000000"/>
                <w:sz w:val="16"/>
                <w:szCs w:val="16"/>
              </w:rPr>
              <w:t>180,5</w:t>
            </w:r>
          </w:p>
        </w:tc>
        <w:tc>
          <w:tcPr>
            <w:tcW w:w="615" w:type="dxa"/>
            <w:tcBorders>
              <w:top w:val="nil"/>
              <w:left w:val="nil"/>
              <w:bottom w:val="single" w:sz="4" w:space="0" w:color="auto"/>
              <w:right w:val="single" w:sz="4" w:space="0" w:color="auto"/>
            </w:tcBorders>
            <w:shd w:val="clear" w:color="auto" w:fill="auto"/>
            <w:noWrap/>
            <w:vAlign w:val="center"/>
            <w:hideMark/>
          </w:tcPr>
          <w:p w:rsidR="00C128C2" w:rsidRPr="00C128C2" w:rsidRDefault="00C128C2" w:rsidP="00C128C2">
            <w:pPr>
              <w:jc w:val="center"/>
              <w:rPr>
                <w:rFonts w:eastAsia="Times New Roman"/>
                <w:color w:val="000000"/>
                <w:sz w:val="16"/>
                <w:szCs w:val="16"/>
              </w:rPr>
            </w:pPr>
            <w:r w:rsidRPr="00C128C2">
              <w:rPr>
                <w:rFonts w:eastAsia="Times New Roman"/>
                <w:color w:val="000000"/>
                <w:sz w:val="16"/>
                <w:szCs w:val="16"/>
              </w:rPr>
              <w:t>1595</w:t>
            </w:r>
          </w:p>
        </w:tc>
        <w:tc>
          <w:tcPr>
            <w:tcW w:w="623" w:type="dxa"/>
            <w:tcBorders>
              <w:top w:val="nil"/>
              <w:left w:val="nil"/>
              <w:bottom w:val="single" w:sz="4" w:space="0" w:color="auto"/>
              <w:right w:val="single" w:sz="4" w:space="0" w:color="auto"/>
            </w:tcBorders>
            <w:shd w:val="clear" w:color="auto" w:fill="auto"/>
            <w:noWrap/>
            <w:vAlign w:val="center"/>
            <w:hideMark/>
          </w:tcPr>
          <w:p w:rsidR="00C128C2" w:rsidRPr="00C128C2" w:rsidRDefault="00C128C2" w:rsidP="00C128C2">
            <w:pPr>
              <w:jc w:val="center"/>
              <w:rPr>
                <w:rFonts w:eastAsia="Times New Roman"/>
                <w:color w:val="000000"/>
                <w:sz w:val="16"/>
                <w:szCs w:val="16"/>
              </w:rPr>
            </w:pPr>
            <w:r w:rsidRPr="00C128C2">
              <w:rPr>
                <w:rFonts w:eastAsia="Times New Roman"/>
                <w:color w:val="000000"/>
                <w:sz w:val="16"/>
                <w:szCs w:val="16"/>
              </w:rPr>
              <w:t>3154</w:t>
            </w:r>
          </w:p>
        </w:tc>
        <w:tc>
          <w:tcPr>
            <w:tcW w:w="760" w:type="dxa"/>
            <w:tcBorders>
              <w:top w:val="single" w:sz="4" w:space="0" w:color="auto"/>
              <w:left w:val="nil"/>
              <w:bottom w:val="single" w:sz="4" w:space="0" w:color="auto"/>
              <w:right w:val="double" w:sz="6" w:space="0" w:color="auto"/>
            </w:tcBorders>
            <w:shd w:val="clear" w:color="auto" w:fill="auto"/>
            <w:noWrap/>
            <w:vAlign w:val="center"/>
            <w:hideMark/>
          </w:tcPr>
          <w:p w:rsidR="00C128C2" w:rsidRPr="00C128C2" w:rsidRDefault="00C128C2" w:rsidP="00C128C2">
            <w:pPr>
              <w:jc w:val="center"/>
              <w:rPr>
                <w:rFonts w:eastAsia="Times New Roman"/>
                <w:color w:val="000000"/>
                <w:sz w:val="16"/>
                <w:szCs w:val="16"/>
              </w:rPr>
            </w:pPr>
            <w:r w:rsidRPr="00C128C2">
              <w:rPr>
                <w:rFonts w:eastAsia="Times New Roman"/>
                <w:color w:val="000000"/>
                <w:sz w:val="16"/>
                <w:szCs w:val="16"/>
              </w:rPr>
              <w:t>197,7</w:t>
            </w:r>
          </w:p>
        </w:tc>
      </w:tr>
      <w:tr w:rsidR="00C128C2" w:rsidRPr="00C128C2" w:rsidTr="00C128C2">
        <w:trPr>
          <w:trHeight w:val="509"/>
        </w:trPr>
        <w:tc>
          <w:tcPr>
            <w:tcW w:w="4366" w:type="dxa"/>
            <w:tcBorders>
              <w:top w:val="nil"/>
              <w:left w:val="double" w:sz="6" w:space="0" w:color="auto"/>
              <w:bottom w:val="nil"/>
              <w:right w:val="nil"/>
            </w:tcBorders>
            <w:shd w:val="clear" w:color="auto" w:fill="auto"/>
            <w:vAlign w:val="bottom"/>
            <w:hideMark/>
          </w:tcPr>
          <w:p w:rsidR="00C128C2" w:rsidRPr="00C128C2" w:rsidRDefault="00C128C2" w:rsidP="00C128C2">
            <w:pPr>
              <w:rPr>
                <w:rFonts w:eastAsia="Times New Roman"/>
                <w:color w:val="000000"/>
                <w:sz w:val="16"/>
                <w:szCs w:val="16"/>
              </w:rPr>
            </w:pPr>
            <w:r w:rsidRPr="00C128C2">
              <w:rPr>
                <w:rFonts w:eastAsia="Times New Roman"/>
                <w:color w:val="000000"/>
                <w:sz w:val="16"/>
                <w:szCs w:val="16"/>
              </w:rPr>
              <w:t>Количество вновь созданных рабочих мест, включая вновь зарегистрированных индивидуальных предпринимателей (субсидия на иные цели), ед.</w:t>
            </w:r>
          </w:p>
        </w:tc>
        <w:tc>
          <w:tcPr>
            <w:tcW w:w="700" w:type="dxa"/>
            <w:tcBorders>
              <w:top w:val="nil"/>
              <w:left w:val="single" w:sz="4" w:space="0" w:color="auto"/>
              <w:bottom w:val="nil"/>
              <w:right w:val="single" w:sz="4" w:space="0" w:color="auto"/>
            </w:tcBorders>
            <w:shd w:val="clear" w:color="auto" w:fill="auto"/>
            <w:noWrap/>
            <w:vAlign w:val="center"/>
            <w:hideMark/>
          </w:tcPr>
          <w:p w:rsidR="00C128C2" w:rsidRPr="00C128C2" w:rsidRDefault="00C128C2" w:rsidP="00C128C2">
            <w:pPr>
              <w:jc w:val="center"/>
              <w:rPr>
                <w:rFonts w:eastAsia="Times New Roman"/>
                <w:color w:val="000000"/>
                <w:sz w:val="16"/>
                <w:szCs w:val="16"/>
              </w:rPr>
            </w:pPr>
            <w:r w:rsidRPr="00C128C2">
              <w:rPr>
                <w:rFonts w:eastAsia="Times New Roman"/>
                <w:color w:val="000000"/>
                <w:sz w:val="16"/>
                <w:szCs w:val="16"/>
              </w:rPr>
              <w:t>31</w:t>
            </w:r>
          </w:p>
        </w:tc>
        <w:tc>
          <w:tcPr>
            <w:tcW w:w="640" w:type="dxa"/>
            <w:tcBorders>
              <w:top w:val="nil"/>
              <w:left w:val="nil"/>
              <w:bottom w:val="nil"/>
              <w:right w:val="single" w:sz="4" w:space="0" w:color="auto"/>
            </w:tcBorders>
            <w:shd w:val="clear" w:color="auto" w:fill="auto"/>
            <w:noWrap/>
            <w:vAlign w:val="center"/>
            <w:hideMark/>
          </w:tcPr>
          <w:p w:rsidR="00C128C2" w:rsidRPr="00C128C2" w:rsidRDefault="00C128C2" w:rsidP="00C128C2">
            <w:pPr>
              <w:jc w:val="center"/>
              <w:rPr>
                <w:rFonts w:eastAsia="Times New Roman"/>
                <w:color w:val="000000"/>
                <w:sz w:val="16"/>
                <w:szCs w:val="16"/>
              </w:rPr>
            </w:pPr>
            <w:r w:rsidRPr="00C128C2">
              <w:rPr>
                <w:rFonts w:eastAsia="Times New Roman"/>
                <w:color w:val="000000"/>
                <w:sz w:val="16"/>
                <w:szCs w:val="16"/>
              </w:rPr>
              <w:t>54*</w:t>
            </w:r>
          </w:p>
        </w:tc>
        <w:tc>
          <w:tcPr>
            <w:tcW w:w="760" w:type="dxa"/>
            <w:tcBorders>
              <w:top w:val="nil"/>
              <w:left w:val="nil"/>
              <w:bottom w:val="nil"/>
              <w:right w:val="single" w:sz="4" w:space="0" w:color="auto"/>
            </w:tcBorders>
            <w:shd w:val="clear" w:color="000000" w:fill="FFFFFF"/>
            <w:vAlign w:val="center"/>
            <w:hideMark/>
          </w:tcPr>
          <w:p w:rsidR="00C128C2" w:rsidRPr="00C128C2" w:rsidRDefault="00C128C2" w:rsidP="00C128C2">
            <w:pPr>
              <w:jc w:val="center"/>
              <w:rPr>
                <w:rFonts w:eastAsia="Times New Roman"/>
                <w:color w:val="000000"/>
                <w:sz w:val="16"/>
                <w:szCs w:val="16"/>
              </w:rPr>
            </w:pPr>
            <w:r w:rsidRPr="00C128C2">
              <w:rPr>
                <w:rFonts w:eastAsia="Times New Roman"/>
                <w:color w:val="000000"/>
                <w:sz w:val="16"/>
                <w:szCs w:val="16"/>
              </w:rPr>
              <w:t>174,2</w:t>
            </w:r>
          </w:p>
        </w:tc>
        <w:tc>
          <w:tcPr>
            <w:tcW w:w="640" w:type="dxa"/>
            <w:tcBorders>
              <w:top w:val="nil"/>
              <w:left w:val="nil"/>
              <w:bottom w:val="nil"/>
              <w:right w:val="single" w:sz="4" w:space="0" w:color="auto"/>
            </w:tcBorders>
            <w:shd w:val="clear" w:color="auto" w:fill="auto"/>
            <w:noWrap/>
            <w:vAlign w:val="center"/>
            <w:hideMark/>
          </w:tcPr>
          <w:p w:rsidR="00C128C2" w:rsidRPr="00C128C2" w:rsidRDefault="00C128C2" w:rsidP="00C128C2">
            <w:pPr>
              <w:jc w:val="center"/>
              <w:rPr>
                <w:rFonts w:eastAsia="Times New Roman"/>
                <w:color w:val="000000"/>
                <w:sz w:val="16"/>
                <w:szCs w:val="16"/>
              </w:rPr>
            </w:pPr>
            <w:r w:rsidRPr="00C128C2">
              <w:rPr>
                <w:rFonts w:eastAsia="Times New Roman"/>
                <w:color w:val="000000"/>
                <w:sz w:val="16"/>
                <w:szCs w:val="16"/>
              </w:rPr>
              <w:t>61</w:t>
            </w:r>
          </w:p>
        </w:tc>
        <w:tc>
          <w:tcPr>
            <w:tcW w:w="696" w:type="dxa"/>
            <w:tcBorders>
              <w:top w:val="nil"/>
              <w:left w:val="nil"/>
              <w:bottom w:val="nil"/>
              <w:right w:val="single" w:sz="4" w:space="0" w:color="auto"/>
            </w:tcBorders>
            <w:shd w:val="clear" w:color="auto" w:fill="auto"/>
            <w:noWrap/>
            <w:vAlign w:val="center"/>
            <w:hideMark/>
          </w:tcPr>
          <w:p w:rsidR="00C128C2" w:rsidRPr="00C128C2" w:rsidRDefault="00C128C2" w:rsidP="00C128C2">
            <w:pPr>
              <w:jc w:val="center"/>
              <w:rPr>
                <w:rFonts w:eastAsia="Times New Roman"/>
                <w:color w:val="000000"/>
                <w:sz w:val="16"/>
                <w:szCs w:val="16"/>
              </w:rPr>
            </w:pPr>
            <w:r w:rsidRPr="00C128C2">
              <w:rPr>
                <w:rFonts w:eastAsia="Times New Roman"/>
                <w:color w:val="000000"/>
                <w:sz w:val="16"/>
                <w:szCs w:val="16"/>
              </w:rPr>
              <w:t>68</w:t>
            </w:r>
          </w:p>
        </w:tc>
        <w:tc>
          <w:tcPr>
            <w:tcW w:w="740" w:type="dxa"/>
            <w:tcBorders>
              <w:top w:val="nil"/>
              <w:left w:val="nil"/>
              <w:bottom w:val="nil"/>
              <w:right w:val="single" w:sz="4" w:space="0" w:color="auto"/>
            </w:tcBorders>
            <w:shd w:val="clear" w:color="000000" w:fill="FFFFFF"/>
            <w:noWrap/>
            <w:vAlign w:val="center"/>
            <w:hideMark/>
          </w:tcPr>
          <w:p w:rsidR="00C128C2" w:rsidRPr="00C128C2" w:rsidRDefault="00C128C2" w:rsidP="00C128C2">
            <w:pPr>
              <w:jc w:val="center"/>
              <w:rPr>
                <w:rFonts w:eastAsia="Times New Roman"/>
                <w:color w:val="000000"/>
                <w:sz w:val="16"/>
                <w:szCs w:val="16"/>
              </w:rPr>
            </w:pPr>
            <w:r w:rsidRPr="00C128C2">
              <w:rPr>
                <w:rFonts w:eastAsia="Times New Roman"/>
                <w:color w:val="000000"/>
                <w:sz w:val="16"/>
                <w:szCs w:val="16"/>
              </w:rPr>
              <w:t>111,5</w:t>
            </w:r>
          </w:p>
        </w:tc>
        <w:tc>
          <w:tcPr>
            <w:tcW w:w="615" w:type="dxa"/>
            <w:tcBorders>
              <w:top w:val="nil"/>
              <w:left w:val="nil"/>
              <w:bottom w:val="nil"/>
              <w:right w:val="single" w:sz="4" w:space="0" w:color="auto"/>
            </w:tcBorders>
            <w:shd w:val="clear" w:color="auto" w:fill="auto"/>
            <w:noWrap/>
            <w:vAlign w:val="center"/>
            <w:hideMark/>
          </w:tcPr>
          <w:p w:rsidR="00C128C2" w:rsidRPr="00C128C2" w:rsidRDefault="00C128C2" w:rsidP="00C128C2">
            <w:pPr>
              <w:jc w:val="center"/>
              <w:rPr>
                <w:rFonts w:eastAsia="Times New Roman"/>
                <w:color w:val="000000"/>
                <w:sz w:val="16"/>
                <w:szCs w:val="16"/>
              </w:rPr>
            </w:pPr>
            <w:r w:rsidRPr="00C128C2">
              <w:rPr>
                <w:rFonts w:eastAsia="Times New Roman"/>
                <w:color w:val="000000"/>
                <w:sz w:val="16"/>
                <w:szCs w:val="16"/>
              </w:rPr>
              <w:t>129</w:t>
            </w:r>
          </w:p>
        </w:tc>
        <w:tc>
          <w:tcPr>
            <w:tcW w:w="623" w:type="dxa"/>
            <w:tcBorders>
              <w:top w:val="nil"/>
              <w:left w:val="nil"/>
              <w:bottom w:val="nil"/>
              <w:right w:val="single" w:sz="4" w:space="0" w:color="auto"/>
            </w:tcBorders>
            <w:shd w:val="clear" w:color="auto" w:fill="auto"/>
            <w:noWrap/>
            <w:vAlign w:val="center"/>
            <w:hideMark/>
          </w:tcPr>
          <w:p w:rsidR="00C128C2" w:rsidRPr="00C128C2" w:rsidRDefault="00C128C2" w:rsidP="00C128C2">
            <w:pPr>
              <w:jc w:val="center"/>
              <w:rPr>
                <w:rFonts w:eastAsia="Times New Roman"/>
                <w:color w:val="000000"/>
                <w:sz w:val="16"/>
                <w:szCs w:val="16"/>
              </w:rPr>
            </w:pPr>
            <w:r w:rsidRPr="00C128C2">
              <w:rPr>
                <w:rFonts w:eastAsia="Times New Roman"/>
                <w:color w:val="000000"/>
                <w:sz w:val="16"/>
                <w:szCs w:val="16"/>
              </w:rPr>
              <w:t>332</w:t>
            </w:r>
          </w:p>
        </w:tc>
        <w:tc>
          <w:tcPr>
            <w:tcW w:w="760" w:type="dxa"/>
            <w:tcBorders>
              <w:top w:val="nil"/>
              <w:left w:val="nil"/>
              <w:bottom w:val="nil"/>
              <w:right w:val="double" w:sz="6" w:space="0" w:color="auto"/>
            </w:tcBorders>
            <w:shd w:val="clear" w:color="auto" w:fill="auto"/>
            <w:noWrap/>
            <w:vAlign w:val="center"/>
            <w:hideMark/>
          </w:tcPr>
          <w:p w:rsidR="00C128C2" w:rsidRPr="00C128C2" w:rsidRDefault="00C128C2" w:rsidP="00C128C2">
            <w:pPr>
              <w:jc w:val="center"/>
              <w:rPr>
                <w:rFonts w:eastAsia="Times New Roman"/>
                <w:color w:val="000000"/>
                <w:sz w:val="16"/>
                <w:szCs w:val="16"/>
              </w:rPr>
            </w:pPr>
            <w:r w:rsidRPr="00C128C2">
              <w:rPr>
                <w:rFonts w:eastAsia="Times New Roman"/>
                <w:color w:val="000000"/>
                <w:sz w:val="16"/>
                <w:szCs w:val="16"/>
              </w:rPr>
              <w:t>в 2,6 р.</w:t>
            </w:r>
          </w:p>
        </w:tc>
      </w:tr>
      <w:tr w:rsidR="00C128C2" w:rsidRPr="00C128C2" w:rsidTr="00C128C2">
        <w:trPr>
          <w:trHeight w:val="96"/>
        </w:trPr>
        <w:tc>
          <w:tcPr>
            <w:tcW w:w="10540" w:type="dxa"/>
            <w:gridSpan w:val="10"/>
            <w:tcBorders>
              <w:top w:val="single" w:sz="8" w:space="0" w:color="auto"/>
              <w:left w:val="double" w:sz="6" w:space="0" w:color="auto"/>
              <w:bottom w:val="single" w:sz="8" w:space="0" w:color="auto"/>
              <w:right w:val="double" w:sz="6" w:space="0" w:color="000000"/>
            </w:tcBorders>
            <w:shd w:val="clear" w:color="auto" w:fill="auto"/>
            <w:vAlign w:val="bottom"/>
            <w:hideMark/>
          </w:tcPr>
          <w:p w:rsidR="00C128C2" w:rsidRPr="00C128C2" w:rsidRDefault="00C128C2" w:rsidP="00C128C2">
            <w:pPr>
              <w:jc w:val="center"/>
              <w:rPr>
                <w:rFonts w:eastAsia="Times New Roman"/>
                <w:b/>
                <w:bCs/>
                <w:color w:val="000000"/>
                <w:sz w:val="16"/>
                <w:szCs w:val="16"/>
              </w:rPr>
            </w:pPr>
            <w:r w:rsidRPr="00C128C2">
              <w:rPr>
                <w:rFonts w:eastAsia="Times New Roman"/>
                <w:b/>
                <w:bCs/>
                <w:color w:val="000000"/>
                <w:sz w:val="16"/>
                <w:szCs w:val="16"/>
              </w:rPr>
              <w:t>ЦИВО</w:t>
            </w:r>
          </w:p>
        </w:tc>
      </w:tr>
      <w:tr w:rsidR="00C128C2" w:rsidRPr="00C128C2" w:rsidTr="00C128C2">
        <w:trPr>
          <w:trHeight w:val="170"/>
        </w:trPr>
        <w:tc>
          <w:tcPr>
            <w:tcW w:w="4366" w:type="dxa"/>
            <w:tcBorders>
              <w:top w:val="nil"/>
              <w:left w:val="double" w:sz="6" w:space="0" w:color="auto"/>
              <w:bottom w:val="single" w:sz="4" w:space="0" w:color="auto"/>
              <w:right w:val="single" w:sz="4" w:space="0" w:color="auto"/>
            </w:tcBorders>
            <w:shd w:val="clear" w:color="auto" w:fill="auto"/>
            <w:vAlign w:val="bottom"/>
            <w:hideMark/>
          </w:tcPr>
          <w:p w:rsidR="00C128C2" w:rsidRPr="00C128C2" w:rsidRDefault="00C128C2" w:rsidP="00C128C2">
            <w:pPr>
              <w:rPr>
                <w:rFonts w:eastAsia="Times New Roman"/>
                <w:color w:val="000000"/>
                <w:sz w:val="16"/>
                <w:szCs w:val="16"/>
              </w:rPr>
            </w:pPr>
            <w:r w:rsidRPr="00C128C2">
              <w:rPr>
                <w:rFonts w:eastAsia="Times New Roman"/>
                <w:color w:val="000000"/>
                <w:sz w:val="16"/>
                <w:szCs w:val="16"/>
              </w:rPr>
              <w:t xml:space="preserve">Количество СМСП, </w:t>
            </w:r>
            <w:proofErr w:type="gramStart"/>
            <w:r w:rsidRPr="00C128C2">
              <w:rPr>
                <w:rFonts w:eastAsia="Times New Roman"/>
                <w:color w:val="000000"/>
                <w:sz w:val="16"/>
                <w:szCs w:val="16"/>
              </w:rPr>
              <w:t>получивших</w:t>
            </w:r>
            <w:proofErr w:type="gramEnd"/>
            <w:r w:rsidRPr="00C128C2">
              <w:rPr>
                <w:rFonts w:eastAsia="Times New Roman"/>
                <w:color w:val="000000"/>
                <w:sz w:val="16"/>
                <w:szCs w:val="16"/>
              </w:rPr>
              <w:t xml:space="preserve"> услугу (госзадание), ед.</w:t>
            </w:r>
          </w:p>
        </w:tc>
        <w:tc>
          <w:tcPr>
            <w:tcW w:w="700" w:type="dxa"/>
            <w:tcBorders>
              <w:top w:val="nil"/>
              <w:left w:val="nil"/>
              <w:bottom w:val="single" w:sz="4" w:space="0" w:color="auto"/>
              <w:right w:val="single" w:sz="4" w:space="0" w:color="auto"/>
            </w:tcBorders>
            <w:shd w:val="clear" w:color="000000" w:fill="FFFFFF"/>
            <w:vAlign w:val="center"/>
            <w:hideMark/>
          </w:tcPr>
          <w:p w:rsidR="00C128C2" w:rsidRPr="00C128C2" w:rsidRDefault="00C128C2" w:rsidP="00C128C2">
            <w:pPr>
              <w:jc w:val="center"/>
              <w:rPr>
                <w:rFonts w:eastAsia="Times New Roman"/>
                <w:color w:val="000000"/>
                <w:sz w:val="16"/>
                <w:szCs w:val="16"/>
              </w:rPr>
            </w:pPr>
            <w:r w:rsidRPr="00C128C2">
              <w:rPr>
                <w:rFonts w:eastAsia="Times New Roman"/>
                <w:color w:val="000000"/>
                <w:sz w:val="16"/>
                <w:szCs w:val="16"/>
              </w:rPr>
              <w:t>10</w:t>
            </w:r>
          </w:p>
        </w:tc>
        <w:tc>
          <w:tcPr>
            <w:tcW w:w="640" w:type="dxa"/>
            <w:tcBorders>
              <w:top w:val="nil"/>
              <w:left w:val="nil"/>
              <w:bottom w:val="single" w:sz="4" w:space="0" w:color="auto"/>
              <w:right w:val="single" w:sz="4" w:space="0" w:color="auto"/>
            </w:tcBorders>
            <w:shd w:val="clear" w:color="000000" w:fill="FFFFFF"/>
            <w:vAlign w:val="center"/>
            <w:hideMark/>
          </w:tcPr>
          <w:p w:rsidR="00C128C2" w:rsidRPr="00C128C2" w:rsidRDefault="00C128C2" w:rsidP="00C128C2">
            <w:pPr>
              <w:jc w:val="center"/>
              <w:rPr>
                <w:rFonts w:eastAsia="Times New Roman"/>
                <w:color w:val="000000"/>
                <w:sz w:val="16"/>
                <w:szCs w:val="16"/>
              </w:rPr>
            </w:pPr>
            <w:r w:rsidRPr="00C128C2">
              <w:rPr>
                <w:rFonts w:eastAsia="Times New Roman"/>
                <w:color w:val="000000"/>
                <w:sz w:val="16"/>
                <w:szCs w:val="16"/>
              </w:rPr>
              <w:t>10</w:t>
            </w:r>
          </w:p>
        </w:tc>
        <w:tc>
          <w:tcPr>
            <w:tcW w:w="760" w:type="dxa"/>
            <w:tcBorders>
              <w:top w:val="nil"/>
              <w:left w:val="nil"/>
              <w:bottom w:val="single" w:sz="4" w:space="0" w:color="auto"/>
              <w:right w:val="single" w:sz="4" w:space="0" w:color="auto"/>
            </w:tcBorders>
            <w:shd w:val="clear" w:color="000000" w:fill="FFFFFF"/>
            <w:vAlign w:val="center"/>
            <w:hideMark/>
          </w:tcPr>
          <w:p w:rsidR="00C128C2" w:rsidRPr="00C128C2" w:rsidRDefault="00C128C2" w:rsidP="00C128C2">
            <w:pPr>
              <w:jc w:val="center"/>
              <w:rPr>
                <w:rFonts w:eastAsia="Times New Roman"/>
                <w:color w:val="000000"/>
                <w:sz w:val="16"/>
                <w:szCs w:val="16"/>
              </w:rPr>
            </w:pPr>
            <w:r w:rsidRPr="00C128C2">
              <w:rPr>
                <w:rFonts w:eastAsia="Times New Roman"/>
                <w:color w:val="000000"/>
                <w:sz w:val="16"/>
                <w:szCs w:val="16"/>
              </w:rPr>
              <w:t>100,0</w:t>
            </w:r>
          </w:p>
        </w:tc>
        <w:tc>
          <w:tcPr>
            <w:tcW w:w="640" w:type="dxa"/>
            <w:tcBorders>
              <w:top w:val="nil"/>
              <w:left w:val="nil"/>
              <w:bottom w:val="single" w:sz="4" w:space="0" w:color="auto"/>
              <w:right w:val="single" w:sz="4" w:space="0" w:color="auto"/>
            </w:tcBorders>
            <w:shd w:val="clear" w:color="000000" w:fill="FFFFFF"/>
            <w:vAlign w:val="center"/>
            <w:hideMark/>
          </w:tcPr>
          <w:p w:rsidR="00C128C2" w:rsidRPr="00C128C2" w:rsidRDefault="00C128C2" w:rsidP="00C128C2">
            <w:pPr>
              <w:jc w:val="center"/>
              <w:rPr>
                <w:rFonts w:eastAsia="Times New Roman"/>
                <w:color w:val="000000"/>
                <w:sz w:val="16"/>
                <w:szCs w:val="16"/>
              </w:rPr>
            </w:pPr>
            <w:r w:rsidRPr="00C128C2">
              <w:rPr>
                <w:rFonts w:eastAsia="Times New Roman"/>
                <w:color w:val="000000"/>
                <w:sz w:val="16"/>
                <w:szCs w:val="16"/>
              </w:rPr>
              <w:t>84</w:t>
            </w:r>
          </w:p>
        </w:tc>
        <w:tc>
          <w:tcPr>
            <w:tcW w:w="696" w:type="dxa"/>
            <w:tcBorders>
              <w:top w:val="nil"/>
              <w:left w:val="nil"/>
              <w:bottom w:val="single" w:sz="4" w:space="0" w:color="auto"/>
              <w:right w:val="single" w:sz="4" w:space="0" w:color="auto"/>
            </w:tcBorders>
            <w:shd w:val="clear" w:color="000000" w:fill="FFFFFF"/>
            <w:noWrap/>
            <w:vAlign w:val="center"/>
            <w:hideMark/>
          </w:tcPr>
          <w:p w:rsidR="00C128C2" w:rsidRPr="00C128C2" w:rsidRDefault="00C128C2" w:rsidP="00C128C2">
            <w:pPr>
              <w:jc w:val="center"/>
              <w:rPr>
                <w:rFonts w:eastAsia="Times New Roman"/>
                <w:color w:val="000000"/>
                <w:sz w:val="16"/>
                <w:szCs w:val="16"/>
              </w:rPr>
            </w:pPr>
            <w:r w:rsidRPr="00C128C2">
              <w:rPr>
                <w:rFonts w:eastAsia="Times New Roman"/>
                <w:color w:val="000000"/>
                <w:sz w:val="16"/>
                <w:szCs w:val="16"/>
              </w:rPr>
              <w:t>86</w:t>
            </w:r>
          </w:p>
        </w:tc>
        <w:tc>
          <w:tcPr>
            <w:tcW w:w="740" w:type="dxa"/>
            <w:tcBorders>
              <w:top w:val="nil"/>
              <w:left w:val="nil"/>
              <w:bottom w:val="single" w:sz="4" w:space="0" w:color="auto"/>
              <w:right w:val="single" w:sz="4" w:space="0" w:color="auto"/>
            </w:tcBorders>
            <w:shd w:val="clear" w:color="000000" w:fill="FFFFFF"/>
            <w:noWrap/>
            <w:vAlign w:val="center"/>
            <w:hideMark/>
          </w:tcPr>
          <w:p w:rsidR="00C128C2" w:rsidRPr="00C128C2" w:rsidRDefault="00C128C2" w:rsidP="00C128C2">
            <w:pPr>
              <w:jc w:val="center"/>
              <w:rPr>
                <w:rFonts w:eastAsia="Times New Roman"/>
                <w:color w:val="000000"/>
                <w:sz w:val="16"/>
                <w:szCs w:val="16"/>
              </w:rPr>
            </w:pPr>
            <w:r w:rsidRPr="00C128C2">
              <w:rPr>
                <w:rFonts w:eastAsia="Times New Roman"/>
                <w:color w:val="000000"/>
                <w:sz w:val="16"/>
                <w:szCs w:val="16"/>
              </w:rPr>
              <w:t>102,4</w:t>
            </w:r>
          </w:p>
        </w:tc>
        <w:tc>
          <w:tcPr>
            <w:tcW w:w="615" w:type="dxa"/>
            <w:tcBorders>
              <w:top w:val="nil"/>
              <w:left w:val="nil"/>
              <w:bottom w:val="single" w:sz="4" w:space="0" w:color="auto"/>
              <w:right w:val="single" w:sz="4" w:space="0" w:color="auto"/>
            </w:tcBorders>
            <w:shd w:val="clear" w:color="000000" w:fill="FFFFFF"/>
            <w:vAlign w:val="center"/>
            <w:hideMark/>
          </w:tcPr>
          <w:p w:rsidR="00C128C2" w:rsidRPr="00C128C2" w:rsidRDefault="00C128C2" w:rsidP="00C128C2">
            <w:pPr>
              <w:jc w:val="center"/>
              <w:rPr>
                <w:rFonts w:eastAsia="Times New Roman"/>
                <w:color w:val="000000"/>
                <w:sz w:val="16"/>
                <w:szCs w:val="16"/>
              </w:rPr>
            </w:pPr>
            <w:r w:rsidRPr="00C128C2">
              <w:rPr>
                <w:rFonts w:eastAsia="Times New Roman"/>
                <w:color w:val="000000"/>
                <w:sz w:val="16"/>
                <w:szCs w:val="16"/>
              </w:rPr>
              <w:t>161</w:t>
            </w:r>
          </w:p>
        </w:tc>
        <w:tc>
          <w:tcPr>
            <w:tcW w:w="623" w:type="dxa"/>
            <w:tcBorders>
              <w:top w:val="nil"/>
              <w:left w:val="nil"/>
              <w:bottom w:val="single" w:sz="4" w:space="0" w:color="auto"/>
              <w:right w:val="single" w:sz="4" w:space="0" w:color="auto"/>
            </w:tcBorders>
            <w:shd w:val="clear" w:color="000000" w:fill="FFFFFF"/>
            <w:noWrap/>
            <w:vAlign w:val="center"/>
            <w:hideMark/>
          </w:tcPr>
          <w:p w:rsidR="00C128C2" w:rsidRPr="00C128C2" w:rsidRDefault="00C128C2" w:rsidP="00C128C2">
            <w:pPr>
              <w:jc w:val="center"/>
              <w:rPr>
                <w:rFonts w:eastAsia="Times New Roman"/>
                <w:color w:val="000000"/>
                <w:sz w:val="16"/>
                <w:szCs w:val="16"/>
              </w:rPr>
            </w:pPr>
            <w:r w:rsidRPr="00C128C2">
              <w:rPr>
                <w:rFonts w:eastAsia="Times New Roman"/>
                <w:color w:val="000000"/>
                <w:sz w:val="16"/>
                <w:szCs w:val="16"/>
              </w:rPr>
              <w:t>181</w:t>
            </w:r>
          </w:p>
        </w:tc>
        <w:tc>
          <w:tcPr>
            <w:tcW w:w="760" w:type="dxa"/>
            <w:tcBorders>
              <w:top w:val="nil"/>
              <w:left w:val="nil"/>
              <w:bottom w:val="single" w:sz="4" w:space="0" w:color="auto"/>
              <w:right w:val="double" w:sz="6" w:space="0" w:color="auto"/>
            </w:tcBorders>
            <w:shd w:val="clear" w:color="auto" w:fill="auto"/>
            <w:noWrap/>
            <w:vAlign w:val="center"/>
            <w:hideMark/>
          </w:tcPr>
          <w:p w:rsidR="00C128C2" w:rsidRPr="00C128C2" w:rsidRDefault="00C128C2" w:rsidP="00C128C2">
            <w:pPr>
              <w:jc w:val="center"/>
              <w:rPr>
                <w:rFonts w:eastAsia="Times New Roman"/>
                <w:color w:val="000000"/>
                <w:sz w:val="16"/>
                <w:szCs w:val="16"/>
              </w:rPr>
            </w:pPr>
            <w:r w:rsidRPr="00C128C2">
              <w:rPr>
                <w:rFonts w:eastAsia="Times New Roman"/>
                <w:color w:val="000000"/>
                <w:sz w:val="16"/>
                <w:szCs w:val="16"/>
              </w:rPr>
              <w:t>112,4</w:t>
            </w:r>
          </w:p>
        </w:tc>
      </w:tr>
      <w:tr w:rsidR="00C128C2" w:rsidRPr="00C128C2" w:rsidTr="00C128C2">
        <w:trPr>
          <w:trHeight w:val="396"/>
        </w:trPr>
        <w:tc>
          <w:tcPr>
            <w:tcW w:w="4366" w:type="dxa"/>
            <w:tcBorders>
              <w:top w:val="nil"/>
              <w:left w:val="double" w:sz="6" w:space="0" w:color="auto"/>
              <w:bottom w:val="single" w:sz="4" w:space="0" w:color="auto"/>
              <w:right w:val="single" w:sz="4" w:space="0" w:color="auto"/>
            </w:tcBorders>
            <w:shd w:val="clear" w:color="auto" w:fill="auto"/>
            <w:vAlign w:val="bottom"/>
            <w:hideMark/>
          </w:tcPr>
          <w:p w:rsidR="00C128C2" w:rsidRPr="00C128C2" w:rsidRDefault="00C128C2" w:rsidP="00C128C2">
            <w:pPr>
              <w:rPr>
                <w:rFonts w:eastAsia="Times New Roman"/>
                <w:color w:val="000000"/>
                <w:sz w:val="16"/>
                <w:szCs w:val="16"/>
              </w:rPr>
            </w:pPr>
            <w:r w:rsidRPr="00C128C2">
              <w:rPr>
                <w:rFonts w:eastAsia="Times New Roman"/>
                <w:color w:val="000000"/>
                <w:sz w:val="16"/>
                <w:szCs w:val="16"/>
              </w:rPr>
              <w:t xml:space="preserve">Количество СМСП, </w:t>
            </w:r>
            <w:proofErr w:type="gramStart"/>
            <w:r w:rsidRPr="00C128C2">
              <w:rPr>
                <w:rFonts w:eastAsia="Times New Roman"/>
                <w:color w:val="000000"/>
                <w:sz w:val="16"/>
                <w:szCs w:val="16"/>
              </w:rPr>
              <w:t>получивших</w:t>
            </w:r>
            <w:proofErr w:type="gramEnd"/>
            <w:r w:rsidRPr="00C128C2">
              <w:rPr>
                <w:rFonts w:eastAsia="Times New Roman"/>
                <w:color w:val="000000"/>
                <w:sz w:val="16"/>
                <w:szCs w:val="16"/>
              </w:rPr>
              <w:t xml:space="preserve"> господдержку (субсидия на иные цели), ед.</w:t>
            </w:r>
          </w:p>
        </w:tc>
        <w:tc>
          <w:tcPr>
            <w:tcW w:w="700" w:type="dxa"/>
            <w:tcBorders>
              <w:top w:val="nil"/>
              <w:left w:val="nil"/>
              <w:bottom w:val="single" w:sz="4" w:space="0" w:color="auto"/>
              <w:right w:val="single" w:sz="4" w:space="0" w:color="auto"/>
            </w:tcBorders>
            <w:shd w:val="clear" w:color="auto" w:fill="auto"/>
            <w:noWrap/>
            <w:vAlign w:val="center"/>
            <w:hideMark/>
          </w:tcPr>
          <w:p w:rsidR="00C128C2" w:rsidRPr="00C128C2" w:rsidRDefault="00C128C2" w:rsidP="00C128C2">
            <w:pPr>
              <w:jc w:val="center"/>
              <w:rPr>
                <w:rFonts w:eastAsia="Times New Roman"/>
                <w:color w:val="000000"/>
                <w:sz w:val="16"/>
                <w:szCs w:val="16"/>
              </w:rPr>
            </w:pPr>
            <w:r w:rsidRPr="00C128C2">
              <w:rPr>
                <w:rFonts w:eastAsia="Times New Roman"/>
                <w:color w:val="000000"/>
                <w:sz w:val="16"/>
                <w:szCs w:val="16"/>
              </w:rPr>
              <w:t>171</w:t>
            </w:r>
          </w:p>
        </w:tc>
        <w:tc>
          <w:tcPr>
            <w:tcW w:w="640" w:type="dxa"/>
            <w:tcBorders>
              <w:top w:val="nil"/>
              <w:left w:val="nil"/>
              <w:bottom w:val="single" w:sz="4" w:space="0" w:color="auto"/>
              <w:right w:val="single" w:sz="4" w:space="0" w:color="auto"/>
            </w:tcBorders>
            <w:shd w:val="clear" w:color="auto" w:fill="auto"/>
            <w:noWrap/>
            <w:vAlign w:val="center"/>
            <w:hideMark/>
          </w:tcPr>
          <w:p w:rsidR="00C128C2" w:rsidRPr="00C128C2" w:rsidRDefault="00C128C2" w:rsidP="00C128C2">
            <w:pPr>
              <w:jc w:val="center"/>
              <w:rPr>
                <w:rFonts w:eastAsia="Times New Roman"/>
                <w:color w:val="000000"/>
                <w:sz w:val="16"/>
                <w:szCs w:val="16"/>
              </w:rPr>
            </w:pPr>
            <w:r w:rsidRPr="00C128C2">
              <w:rPr>
                <w:rFonts w:eastAsia="Times New Roman"/>
                <w:color w:val="000000"/>
                <w:sz w:val="16"/>
                <w:szCs w:val="16"/>
              </w:rPr>
              <w:t>247*</w:t>
            </w:r>
          </w:p>
        </w:tc>
        <w:tc>
          <w:tcPr>
            <w:tcW w:w="760" w:type="dxa"/>
            <w:tcBorders>
              <w:top w:val="nil"/>
              <w:left w:val="nil"/>
              <w:bottom w:val="single" w:sz="4" w:space="0" w:color="auto"/>
              <w:right w:val="single" w:sz="4" w:space="0" w:color="auto"/>
            </w:tcBorders>
            <w:shd w:val="clear" w:color="000000" w:fill="FFFFFF"/>
            <w:vAlign w:val="center"/>
            <w:hideMark/>
          </w:tcPr>
          <w:p w:rsidR="00C128C2" w:rsidRPr="00C128C2" w:rsidRDefault="00C128C2" w:rsidP="00C128C2">
            <w:pPr>
              <w:jc w:val="center"/>
              <w:rPr>
                <w:rFonts w:eastAsia="Times New Roman"/>
                <w:color w:val="000000"/>
                <w:sz w:val="16"/>
                <w:szCs w:val="16"/>
              </w:rPr>
            </w:pPr>
            <w:r w:rsidRPr="00C128C2">
              <w:rPr>
                <w:rFonts w:eastAsia="Times New Roman"/>
                <w:color w:val="000000"/>
                <w:sz w:val="16"/>
                <w:szCs w:val="16"/>
              </w:rPr>
              <w:t>144,4</w:t>
            </w:r>
          </w:p>
        </w:tc>
        <w:tc>
          <w:tcPr>
            <w:tcW w:w="640" w:type="dxa"/>
            <w:tcBorders>
              <w:top w:val="nil"/>
              <w:left w:val="nil"/>
              <w:bottom w:val="single" w:sz="4" w:space="0" w:color="auto"/>
              <w:right w:val="single" w:sz="4" w:space="0" w:color="auto"/>
            </w:tcBorders>
            <w:shd w:val="clear" w:color="auto" w:fill="auto"/>
            <w:noWrap/>
            <w:vAlign w:val="center"/>
            <w:hideMark/>
          </w:tcPr>
          <w:p w:rsidR="00C128C2" w:rsidRPr="00C128C2" w:rsidRDefault="00C128C2" w:rsidP="00C128C2">
            <w:pPr>
              <w:jc w:val="center"/>
              <w:rPr>
                <w:rFonts w:eastAsia="Times New Roman"/>
                <w:color w:val="000000"/>
                <w:sz w:val="16"/>
                <w:szCs w:val="16"/>
              </w:rPr>
            </w:pPr>
            <w:r w:rsidRPr="00C128C2">
              <w:rPr>
                <w:rFonts w:eastAsia="Times New Roman"/>
                <w:color w:val="000000"/>
                <w:sz w:val="16"/>
                <w:szCs w:val="16"/>
              </w:rPr>
              <w:t>329</w:t>
            </w:r>
          </w:p>
        </w:tc>
        <w:tc>
          <w:tcPr>
            <w:tcW w:w="696" w:type="dxa"/>
            <w:tcBorders>
              <w:top w:val="nil"/>
              <w:left w:val="nil"/>
              <w:bottom w:val="single" w:sz="4" w:space="0" w:color="auto"/>
              <w:right w:val="single" w:sz="4" w:space="0" w:color="auto"/>
            </w:tcBorders>
            <w:shd w:val="clear" w:color="auto" w:fill="auto"/>
            <w:noWrap/>
            <w:vAlign w:val="center"/>
            <w:hideMark/>
          </w:tcPr>
          <w:p w:rsidR="00C128C2" w:rsidRPr="00C128C2" w:rsidRDefault="00C128C2" w:rsidP="00C128C2">
            <w:pPr>
              <w:jc w:val="center"/>
              <w:rPr>
                <w:rFonts w:eastAsia="Times New Roman"/>
                <w:color w:val="000000"/>
                <w:sz w:val="16"/>
                <w:szCs w:val="16"/>
              </w:rPr>
            </w:pPr>
            <w:r w:rsidRPr="00C128C2">
              <w:rPr>
                <w:rFonts w:eastAsia="Times New Roman"/>
                <w:color w:val="000000"/>
                <w:sz w:val="16"/>
                <w:szCs w:val="16"/>
              </w:rPr>
              <w:t>410**</w:t>
            </w:r>
          </w:p>
        </w:tc>
        <w:tc>
          <w:tcPr>
            <w:tcW w:w="740" w:type="dxa"/>
            <w:tcBorders>
              <w:top w:val="nil"/>
              <w:left w:val="nil"/>
              <w:bottom w:val="single" w:sz="4" w:space="0" w:color="auto"/>
              <w:right w:val="single" w:sz="4" w:space="0" w:color="auto"/>
            </w:tcBorders>
            <w:shd w:val="clear" w:color="000000" w:fill="FFFFFF"/>
            <w:noWrap/>
            <w:vAlign w:val="center"/>
            <w:hideMark/>
          </w:tcPr>
          <w:p w:rsidR="00C128C2" w:rsidRPr="00C128C2" w:rsidRDefault="00C128C2" w:rsidP="00C128C2">
            <w:pPr>
              <w:jc w:val="center"/>
              <w:rPr>
                <w:rFonts w:eastAsia="Times New Roman"/>
                <w:color w:val="000000"/>
                <w:sz w:val="16"/>
                <w:szCs w:val="16"/>
              </w:rPr>
            </w:pPr>
            <w:r w:rsidRPr="00C128C2">
              <w:rPr>
                <w:rFonts w:eastAsia="Times New Roman"/>
                <w:color w:val="000000"/>
                <w:sz w:val="16"/>
                <w:szCs w:val="16"/>
              </w:rPr>
              <w:t>124,6</w:t>
            </w:r>
          </w:p>
        </w:tc>
        <w:tc>
          <w:tcPr>
            <w:tcW w:w="615" w:type="dxa"/>
            <w:tcBorders>
              <w:top w:val="nil"/>
              <w:left w:val="nil"/>
              <w:bottom w:val="single" w:sz="4" w:space="0" w:color="auto"/>
              <w:right w:val="single" w:sz="4" w:space="0" w:color="auto"/>
            </w:tcBorders>
            <w:shd w:val="clear" w:color="000000" w:fill="FFFFFF"/>
            <w:noWrap/>
            <w:vAlign w:val="center"/>
            <w:hideMark/>
          </w:tcPr>
          <w:p w:rsidR="00C128C2" w:rsidRPr="00C128C2" w:rsidRDefault="00C128C2" w:rsidP="00C128C2">
            <w:pPr>
              <w:jc w:val="center"/>
              <w:rPr>
                <w:rFonts w:eastAsia="Times New Roman"/>
                <w:color w:val="000000"/>
                <w:sz w:val="16"/>
                <w:szCs w:val="16"/>
              </w:rPr>
            </w:pPr>
            <w:r w:rsidRPr="00C128C2">
              <w:rPr>
                <w:rFonts w:eastAsia="Times New Roman"/>
                <w:color w:val="000000"/>
                <w:sz w:val="16"/>
                <w:szCs w:val="16"/>
              </w:rPr>
              <w:t>212</w:t>
            </w:r>
          </w:p>
        </w:tc>
        <w:tc>
          <w:tcPr>
            <w:tcW w:w="623" w:type="dxa"/>
            <w:tcBorders>
              <w:top w:val="nil"/>
              <w:left w:val="nil"/>
              <w:bottom w:val="single" w:sz="4" w:space="0" w:color="auto"/>
              <w:right w:val="single" w:sz="4" w:space="0" w:color="auto"/>
            </w:tcBorders>
            <w:shd w:val="clear" w:color="000000" w:fill="FFFFFF"/>
            <w:noWrap/>
            <w:vAlign w:val="center"/>
            <w:hideMark/>
          </w:tcPr>
          <w:p w:rsidR="00C128C2" w:rsidRPr="00C128C2" w:rsidRDefault="00C128C2" w:rsidP="00C128C2">
            <w:pPr>
              <w:jc w:val="center"/>
              <w:rPr>
                <w:rFonts w:eastAsia="Times New Roman"/>
                <w:color w:val="000000"/>
                <w:sz w:val="16"/>
                <w:szCs w:val="16"/>
              </w:rPr>
            </w:pPr>
            <w:r w:rsidRPr="00C128C2">
              <w:rPr>
                <w:rFonts w:eastAsia="Times New Roman"/>
                <w:color w:val="000000"/>
                <w:sz w:val="16"/>
                <w:szCs w:val="16"/>
              </w:rPr>
              <w:t>257</w:t>
            </w:r>
          </w:p>
        </w:tc>
        <w:tc>
          <w:tcPr>
            <w:tcW w:w="760" w:type="dxa"/>
            <w:tcBorders>
              <w:top w:val="nil"/>
              <w:left w:val="nil"/>
              <w:bottom w:val="single" w:sz="4" w:space="0" w:color="auto"/>
              <w:right w:val="double" w:sz="6" w:space="0" w:color="auto"/>
            </w:tcBorders>
            <w:shd w:val="clear" w:color="auto" w:fill="auto"/>
            <w:noWrap/>
            <w:vAlign w:val="center"/>
            <w:hideMark/>
          </w:tcPr>
          <w:p w:rsidR="00C128C2" w:rsidRPr="00C128C2" w:rsidRDefault="00C128C2" w:rsidP="00C128C2">
            <w:pPr>
              <w:jc w:val="center"/>
              <w:rPr>
                <w:rFonts w:eastAsia="Times New Roman"/>
                <w:color w:val="000000"/>
                <w:sz w:val="16"/>
                <w:szCs w:val="16"/>
              </w:rPr>
            </w:pPr>
            <w:r w:rsidRPr="00C128C2">
              <w:rPr>
                <w:rFonts w:eastAsia="Times New Roman"/>
                <w:color w:val="000000"/>
                <w:sz w:val="16"/>
                <w:szCs w:val="16"/>
              </w:rPr>
              <w:t>121,2</w:t>
            </w:r>
          </w:p>
        </w:tc>
      </w:tr>
      <w:tr w:rsidR="00C128C2" w:rsidRPr="00C128C2" w:rsidTr="00C128C2">
        <w:trPr>
          <w:trHeight w:val="416"/>
        </w:trPr>
        <w:tc>
          <w:tcPr>
            <w:tcW w:w="4366" w:type="dxa"/>
            <w:tcBorders>
              <w:top w:val="nil"/>
              <w:left w:val="double" w:sz="6" w:space="0" w:color="auto"/>
              <w:bottom w:val="single" w:sz="4" w:space="0" w:color="auto"/>
              <w:right w:val="single" w:sz="4" w:space="0" w:color="auto"/>
            </w:tcBorders>
            <w:shd w:val="clear" w:color="auto" w:fill="auto"/>
            <w:vAlign w:val="bottom"/>
            <w:hideMark/>
          </w:tcPr>
          <w:p w:rsidR="00C128C2" w:rsidRPr="00C128C2" w:rsidRDefault="00C128C2" w:rsidP="00C128C2">
            <w:pPr>
              <w:rPr>
                <w:rFonts w:eastAsia="Times New Roman"/>
                <w:color w:val="000000"/>
                <w:sz w:val="16"/>
                <w:szCs w:val="16"/>
              </w:rPr>
            </w:pPr>
            <w:r w:rsidRPr="00C128C2">
              <w:rPr>
                <w:rFonts w:eastAsia="Times New Roman"/>
                <w:color w:val="000000"/>
                <w:sz w:val="16"/>
                <w:szCs w:val="16"/>
              </w:rPr>
              <w:t>Количество вновь созданных рабочих мест, включая вновь зарегистрированных индивидуальных предпринимателей (субсидия на иные цели), ед.</w:t>
            </w:r>
          </w:p>
        </w:tc>
        <w:tc>
          <w:tcPr>
            <w:tcW w:w="700" w:type="dxa"/>
            <w:tcBorders>
              <w:top w:val="nil"/>
              <w:left w:val="nil"/>
              <w:bottom w:val="single" w:sz="4" w:space="0" w:color="auto"/>
              <w:right w:val="single" w:sz="4" w:space="0" w:color="auto"/>
            </w:tcBorders>
            <w:shd w:val="clear" w:color="auto" w:fill="auto"/>
            <w:noWrap/>
            <w:vAlign w:val="center"/>
            <w:hideMark/>
          </w:tcPr>
          <w:p w:rsidR="00C128C2" w:rsidRPr="00C128C2" w:rsidRDefault="00C128C2" w:rsidP="00C128C2">
            <w:pPr>
              <w:jc w:val="center"/>
              <w:rPr>
                <w:rFonts w:eastAsia="Times New Roman"/>
                <w:color w:val="000000"/>
                <w:sz w:val="16"/>
                <w:szCs w:val="16"/>
              </w:rPr>
            </w:pPr>
            <w:r w:rsidRPr="00C128C2">
              <w:rPr>
                <w:rFonts w:eastAsia="Times New Roman"/>
                <w:color w:val="000000"/>
                <w:sz w:val="16"/>
                <w:szCs w:val="16"/>
              </w:rPr>
              <w:t>18</w:t>
            </w:r>
          </w:p>
        </w:tc>
        <w:tc>
          <w:tcPr>
            <w:tcW w:w="640" w:type="dxa"/>
            <w:tcBorders>
              <w:top w:val="nil"/>
              <w:left w:val="nil"/>
              <w:bottom w:val="single" w:sz="4" w:space="0" w:color="auto"/>
              <w:right w:val="single" w:sz="4" w:space="0" w:color="auto"/>
            </w:tcBorders>
            <w:shd w:val="clear" w:color="auto" w:fill="auto"/>
            <w:noWrap/>
            <w:vAlign w:val="center"/>
            <w:hideMark/>
          </w:tcPr>
          <w:p w:rsidR="00C128C2" w:rsidRPr="00C128C2" w:rsidRDefault="00C128C2" w:rsidP="00C128C2">
            <w:pPr>
              <w:jc w:val="center"/>
              <w:rPr>
                <w:rFonts w:eastAsia="Times New Roman"/>
                <w:color w:val="000000"/>
                <w:sz w:val="16"/>
                <w:szCs w:val="16"/>
              </w:rPr>
            </w:pPr>
            <w:r w:rsidRPr="00C128C2">
              <w:rPr>
                <w:rFonts w:eastAsia="Times New Roman"/>
                <w:color w:val="000000"/>
                <w:sz w:val="16"/>
                <w:szCs w:val="16"/>
              </w:rPr>
              <w:t>52*</w:t>
            </w:r>
          </w:p>
        </w:tc>
        <w:tc>
          <w:tcPr>
            <w:tcW w:w="760" w:type="dxa"/>
            <w:tcBorders>
              <w:top w:val="nil"/>
              <w:left w:val="nil"/>
              <w:bottom w:val="single" w:sz="4" w:space="0" w:color="auto"/>
              <w:right w:val="single" w:sz="4" w:space="0" w:color="auto"/>
            </w:tcBorders>
            <w:shd w:val="clear" w:color="000000" w:fill="FFFFFF"/>
            <w:vAlign w:val="center"/>
            <w:hideMark/>
          </w:tcPr>
          <w:p w:rsidR="00C128C2" w:rsidRPr="00C128C2" w:rsidRDefault="00C128C2" w:rsidP="00C128C2">
            <w:pPr>
              <w:jc w:val="center"/>
              <w:rPr>
                <w:rFonts w:eastAsia="Times New Roman"/>
                <w:color w:val="000000"/>
                <w:sz w:val="16"/>
                <w:szCs w:val="16"/>
              </w:rPr>
            </w:pPr>
            <w:r w:rsidRPr="00C128C2">
              <w:rPr>
                <w:rFonts w:eastAsia="Times New Roman"/>
                <w:color w:val="000000"/>
                <w:sz w:val="16"/>
                <w:szCs w:val="16"/>
              </w:rPr>
              <w:t>в 2,9 р.</w:t>
            </w:r>
          </w:p>
        </w:tc>
        <w:tc>
          <w:tcPr>
            <w:tcW w:w="640" w:type="dxa"/>
            <w:tcBorders>
              <w:top w:val="nil"/>
              <w:left w:val="nil"/>
              <w:bottom w:val="single" w:sz="4" w:space="0" w:color="auto"/>
              <w:right w:val="single" w:sz="4" w:space="0" w:color="auto"/>
            </w:tcBorders>
            <w:shd w:val="clear" w:color="auto" w:fill="auto"/>
            <w:noWrap/>
            <w:vAlign w:val="center"/>
            <w:hideMark/>
          </w:tcPr>
          <w:p w:rsidR="00C128C2" w:rsidRPr="00C128C2" w:rsidRDefault="00C128C2" w:rsidP="00C128C2">
            <w:pPr>
              <w:jc w:val="center"/>
              <w:rPr>
                <w:rFonts w:eastAsia="Times New Roman"/>
                <w:color w:val="000000"/>
                <w:sz w:val="16"/>
                <w:szCs w:val="16"/>
              </w:rPr>
            </w:pPr>
            <w:r w:rsidRPr="00C128C2">
              <w:rPr>
                <w:rFonts w:eastAsia="Times New Roman"/>
                <w:color w:val="000000"/>
                <w:sz w:val="16"/>
                <w:szCs w:val="16"/>
              </w:rPr>
              <w:t>28</w:t>
            </w:r>
          </w:p>
        </w:tc>
        <w:tc>
          <w:tcPr>
            <w:tcW w:w="696" w:type="dxa"/>
            <w:tcBorders>
              <w:top w:val="nil"/>
              <w:left w:val="nil"/>
              <w:bottom w:val="single" w:sz="4" w:space="0" w:color="auto"/>
              <w:right w:val="single" w:sz="4" w:space="0" w:color="auto"/>
            </w:tcBorders>
            <w:shd w:val="clear" w:color="auto" w:fill="auto"/>
            <w:noWrap/>
            <w:vAlign w:val="center"/>
            <w:hideMark/>
          </w:tcPr>
          <w:p w:rsidR="00C128C2" w:rsidRPr="00C128C2" w:rsidRDefault="00C128C2" w:rsidP="00C128C2">
            <w:pPr>
              <w:jc w:val="center"/>
              <w:rPr>
                <w:rFonts w:eastAsia="Times New Roman"/>
                <w:color w:val="000000"/>
                <w:sz w:val="16"/>
                <w:szCs w:val="16"/>
              </w:rPr>
            </w:pPr>
            <w:r w:rsidRPr="00C128C2">
              <w:rPr>
                <w:rFonts w:eastAsia="Times New Roman"/>
                <w:color w:val="000000"/>
                <w:sz w:val="16"/>
                <w:szCs w:val="16"/>
              </w:rPr>
              <w:t>161</w:t>
            </w:r>
          </w:p>
        </w:tc>
        <w:tc>
          <w:tcPr>
            <w:tcW w:w="740" w:type="dxa"/>
            <w:tcBorders>
              <w:top w:val="nil"/>
              <w:left w:val="nil"/>
              <w:bottom w:val="single" w:sz="4" w:space="0" w:color="auto"/>
              <w:right w:val="single" w:sz="4" w:space="0" w:color="auto"/>
            </w:tcBorders>
            <w:shd w:val="clear" w:color="000000" w:fill="FFFFFF"/>
            <w:noWrap/>
            <w:vAlign w:val="center"/>
            <w:hideMark/>
          </w:tcPr>
          <w:p w:rsidR="00C128C2" w:rsidRPr="00C128C2" w:rsidRDefault="00C128C2" w:rsidP="00C128C2">
            <w:pPr>
              <w:jc w:val="center"/>
              <w:rPr>
                <w:rFonts w:eastAsia="Times New Roman"/>
                <w:color w:val="000000"/>
                <w:sz w:val="16"/>
                <w:szCs w:val="16"/>
              </w:rPr>
            </w:pPr>
            <w:r w:rsidRPr="00C128C2">
              <w:rPr>
                <w:rFonts w:eastAsia="Times New Roman"/>
                <w:color w:val="000000"/>
                <w:sz w:val="16"/>
                <w:szCs w:val="16"/>
              </w:rPr>
              <w:t>в 5,8 р.</w:t>
            </w:r>
          </w:p>
        </w:tc>
        <w:tc>
          <w:tcPr>
            <w:tcW w:w="615" w:type="dxa"/>
            <w:tcBorders>
              <w:top w:val="nil"/>
              <w:left w:val="nil"/>
              <w:bottom w:val="single" w:sz="4" w:space="0" w:color="auto"/>
              <w:right w:val="single" w:sz="4" w:space="0" w:color="auto"/>
            </w:tcBorders>
            <w:shd w:val="clear" w:color="000000" w:fill="FFFFFF"/>
            <w:noWrap/>
            <w:vAlign w:val="center"/>
            <w:hideMark/>
          </w:tcPr>
          <w:p w:rsidR="00C128C2" w:rsidRPr="00C128C2" w:rsidRDefault="00C128C2" w:rsidP="00C128C2">
            <w:pPr>
              <w:jc w:val="center"/>
              <w:rPr>
                <w:rFonts w:eastAsia="Times New Roman"/>
                <w:color w:val="000000"/>
                <w:sz w:val="16"/>
                <w:szCs w:val="16"/>
              </w:rPr>
            </w:pPr>
            <w:r w:rsidRPr="00C128C2">
              <w:rPr>
                <w:rFonts w:eastAsia="Times New Roman"/>
                <w:color w:val="000000"/>
                <w:sz w:val="16"/>
                <w:szCs w:val="16"/>
              </w:rPr>
              <w:t>128</w:t>
            </w:r>
          </w:p>
        </w:tc>
        <w:tc>
          <w:tcPr>
            <w:tcW w:w="623" w:type="dxa"/>
            <w:tcBorders>
              <w:top w:val="nil"/>
              <w:left w:val="nil"/>
              <w:bottom w:val="single" w:sz="4" w:space="0" w:color="auto"/>
              <w:right w:val="single" w:sz="4" w:space="0" w:color="auto"/>
            </w:tcBorders>
            <w:shd w:val="clear" w:color="000000" w:fill="FFFFFF"/>
            <w:noWrap/>
            <w:vAlign w:val="center"/>
            <w:hideMark/>
          </w:tcPr>
          <w:p w:rsidR="00C128C2" w:rsidRPr="00C128C2" w:rsidRDefault="00C128C2" w:rsidP="00C128C2">
            <w:pPr>
              <w:jc w:val="center"/>
              <w:rPr>
                <w:rFonts w:eastAsia="Times New Roman"/>
                <w:color w:val="000000"/>
                <w:sz w:val="16"/>
                <w:szCs w:val="16"/>
              </w:rPr>
            </w:pPr>
            <w:r w:rsidRPr="00C128C2">
              <w:rPr>
                <w:rFonts w:eastAsia="Times New Roman"/>
                <w:color w:val="000000"/>
                <w:sz w:val="16"/>
                <w:szCs w:val="16"/>
              </w:rPr>
              <w:t>388</w:t>
            </w:r>
          </w:p>
        </w:tc>
        <w:tc>
          <w:tcPr>
            <w:tcW w:w="760" w:type="dxa"/>
            <w:tcBorders>
              <w:top w:val="nil"/>
              <w:left w:val="nil"/>
              <w:bottom w:val="single" w:sz="4" w:space="0" w:color="auto"/>
              <w:right w:val="double" w:sz="6" w:space="0" w:color="auto"/>
            </w:tcBorders>
            <w:shd w:val="clear" w:color="auto" w:fill="auto"/>
            <w:noWrap/>
            <w:vAlign w:val="center"/>
            <w:hideMark/>
          </w:tcPr>
          <w:p w:rsidR="00C128C2" w:rsidRPr="00C128C2" w:rsidRDefault="00C128C2" w:rsidP="00C128C2">
            <w:pPr>
              <w:jc w:val="center"/>
              <w:rPr>
                <w:rFonts w:eastAsia="Times New Roman"/>
                <w:color w:val="000000"/>
                <w:sz w:val="16"/>
                <w:szCs w:val="16"/>
              </w:rPr>
            </w:pPr>
            <w:r w:rsidRPr="00C128C2">
              <w:rPr>
                <w:rFonts w:eastAsia="Times New Roman"/>
                <w:color w:val="000000"/>
                <w:sz w:val="16"/>
                <w:szCs w:val="16"/>
              </w:rPr>
              <w:t>в 3 р.</w:t>
            </w:r>
          </w:p>
        </w:tc>
      </w:tr>
      <w:tr w:rsidR="00C128C2" w:rsidRPr="00C128C2" w:rsidTr="00C128C2">
        <w:trPr>
          <w:trHeight w:val="566"/>
        </w:trPr>
        <w:tc>
          <w:tcPr>
            <w:tcW w:w="4366" w:type="dxa"/>
            <w:tcBorders>
              <w:top w:val="nil"/>
              <w:left w:val="double" w:sz="6" w:space="0" w:color="auto"/>
              <w:bottom w:val="single" w:sz="4" w:space="0" w:color="auto"/>
              <w:right w:val="single" w:sz="4" w:space="0" w:color="auto"/>
            </w:tcBorders>
            <w:shd w:val="clear" w:color="auto" w:fill="auto"/>
            <w:vAlign w:val="bottom"/>
            <w:hideMark/>
          </w:tcPr>
          <w:p w:rsidR="00C128C2" w:rsidRPr="00C128C2" w:rsidRDefault="00C128C2" w:rsidP="00C128C2">
            <w:pPr>
              <w:rPr>
                <w:rFonts w:eastAsia="Times New Roman"/>
                <w:color w:val="000000"/>
                <w:sz w:val="16"/>
                <w:szCs w:val="16"/>
              </w:rPr>
            </w:pPr>
            <w:proofErr w:type="gramStart"/>
            <w:r w:rsidRPr="00C128C2">
              <w:rPr>
                <w:rFonts w:eastAsia="Times New Roman"/>
                <w:color w:val="000000"/>
                <w:sz w:val="16"/>
                <w:szCs w:val="16"/>
              </w:rPr>
              <w:lastRenderedPageBreak/>
              <w:t>Прирост среднесписочной численности (без внешних совместителей), занятых у СМСП, получивших господдержку), %</w:t>
            </w:r>
            <w:proofErr w:type="gramEnd"/>
          </w:p>
        </w:tc>
        <w:tc>
          <w:tcPr>
            <w:tcW w:w="700" w:type="dxa"/>
            <w:tcBorders>
              <w:top w:val="nil"/>
              <w:left w:val="nil"/>
              <w:bottom w:val="single" w:sz="4" w:space="0" w:color="auto"/>
              <w:right w:val="single" w:sz="4" w:space="0" w:color="auto"/>
            </w:tcBorders>
            <w:shd w:val="clear" w:color="auto" w:fill="auto"/>
            <w:noWrap/>
            <w:vAlign w:val="bottom"/>
            <w:hideMark/>
          </w:tcPr>
          <w:p w:rsidR="00C128C2" w:rsidRPr="00C128C2" w:rsidRDefault="00C128C2" w:rsidP="00C128C2">
            <w:pPr>
              <w:rPr>
                <w:rFonts w:eastAsia="Times New Roman"/>
                <w:color w:val="000000"/>
                <w:sz w:val="16"/>
                <w:szCs w:val="16"/>
              </w:rPr>
            </w:pPr>
            <w:r w:rsidRPr="00C128C2">
              <w:rPr>
                <w:rFonts w:eastAsia="Times New Roman"/>
                <w:color w:val="000000"/>
                <w:sz w:val="16"/>
                <w:szCs w:val="16"/>
              </w:rPr>
              <w:t> </w:t>
            </w:r>
          </w:p>
        </w:tc>
        <w:tc>
          <w:tcPr>
            <w:tcW w:w="640" w:type="dxa"/>
            <w:tcBorders>
              <w:top w:val="nil"/>
              <w:left w:val="nil"/>
              <w:bottom w:val="single" w:sz="4" w:space="0" w:color="auto"/>
              <w:right w:val="single" w:sz="4" w:space="0" w:color="auto"/>
            </w:tcBorders>
            <w:shd w:val="clear" w:color="auto" w:fill="auto"/>
            <w:noWrap/>
            <w:vAlign w:val="bottom"/>
            <w:hideMark/>
          </w:tcPr>
          <w:p w:rsidR="00C128C2" w:rsidRPr="00C128C2" w:rsidRDefault="00C128C2" w:rsidP="00C128C2">
            <w:pPr>
              <w:rPr>
                <w:rFonts w:eastAsia="Times New Roman"/>
                <w:color w:val="000000"/>
                <w:sz w:val="16"/>
                <w:szCs w:val="16"/>
              </w:rPr>
            </w:pPr>
            <w:r w:rsidRPr="00C128C2">
              <w:rPr>
                <w:rFonts w:eastAsia="Times New Roman"/>
                <w:color w:val="000000"/>
                <w:sz w:val="16"/>
                <w:szCs w:val="16"/>
              </w:rPr>
              <w:t> </w:t>
            </w:r>
          </w:p>
        </w:tc>
        <w:tc>
          <w:tcPr>
            <w:tcW w:w="760" w:type="dxa"/>
            <w:tcBorders>
              <w:top w:val="nil"/>
              <w:left w:val="nil"/>
              <w:bottom w:val="single" w:sz="4" w:space="0" w:color="auto"/>
              <w:right w:val="single" w:sz="4" w:space="0" w:color="auto"/>
            </w:tcBorders>
            <w:shd w:val="clear" w:color="auto" w:fill="auto"/>
            <w:noWrap/>
            <w:vAlign w:val="bottom"/>
            <w:hideMark/>
          </w:tcPr>
          <w:p w:rsidR="00C128C2" w:rsidRPr="00C128C2" w:rsidRDefault="00C128C2" w:rsidP="00C128C2">
            <w:pPr>
              <w:rPr>
                <w:rFonts w:eastAsia="Times New Roman"/>
                <w:color w:val="000000"/>
                <w:sz w:val="16"/>
                <w:szCs w:val="16"/>
              </w:rPr>
            </w:pPr>
            <w:r w:rsidRPr="00C128C2">
              <w:rPr>
                <w:rFonts w:eastAsia="Times New Roman"/>
                <w:color w:val="000000"/>
                <w:sz w:val="16"/>
                <w:szCs w:val="16"/>
              </w:rPr>
              <w:t> </w:t>
            </w:r>
          </w:p>
        </w:tc>
        <w:tc>
          <w:tcPr>
            <w:tcW w:w="640" w:type="dxa"/>
            <w:tcBorders>
              <w:top w:val="nil"/>
              <w:left w:val="nil"/>
              <w:bottom w:val="single" w:sz="4" w:space="0" w:color="auto"/>
              <w:right w:val="single" w:sz="4" w:space="0" w:color="auto"/>
            </w:tcBorders>
            <w:shd w:val="clear" w:color="auto" w:fill="auto"/>
            <w:noWrap/>
            <w:vAlign w:val="bottom"/>
            <w:hideMark/>
          </w:tcPr>
          <w:p w:rsidR="00C128C2" w:rsidRPr="00C128C2" w:rsidRDefault="00C128C2" w:rsidP="00C128C2">
            <w:pPr>
              <w:rPr>
                <w:rFonts w:eastAsia="Times New Roman"/>
                <w:color w:val="000000"/>
                <w:sz w:val="16"/>
                <w:szCs w:val="16"/>
              </w:rPr>
            </w:pPr>
            <w:r w:rsidRPr="00C128C2">
              <w:rPr>
                <w:rFonts w:eastAsia="Times New Roman"/>
                <w:color w:val="000000"/>
                <w:sz w:val="16"/>
                <w:szCs w:val="16"/>
              </w:rPr>
              <w:t> </w:t>
            </w:r>
          </w:p>
        </w:tc>
        <w:tc>
          <w:tcPr>
            <w:tcW w:w="696" w:type="dxa"/>
            <w:tcBorders>
              <w:top w:val="nil"/>
              <w:left w:val="nil"/>
              <w:bottom w:val="single" w:sz="4" w:space="0" w:color="auto"/>
              <w:right w:val="single" w:sz="4" w:space="0" w:color="auto"/>
            </w:tcBorders>
            <w:shd w:val="clear" w:color="auto" w:fill="auto"/>
            <w:noWrap/>
            <w:vAlign w:val="bottom"/>
            <w:hideMark/>
          </w:tcPr>
          <w:p w:rsidR="00C128C2" w:rsidRPr="00C128C2" w:rsidRDefault="00C128C2" w:rsidP="00C128C2">
            <w:pPr>
              <w:rPr>
                <w:rFonts w:eastAsia="Times New Roman"/>
                <w:color w:val="000000"/>
                <w:sz w:val="16"/>
                <w:szCs w:val="16"/>
              </w:rPr>
            </w:pPr>
            <w:r w:rsidRPr="00C128C2">
              <w:rPr>
                <w:rFonts w:eastAsia="Times New Roman"/>
                <w:color w:val="000000"/>
                <w:sz w:val="16"/>
                <w:szCs w:val="16"/>
              </w:rPr>
              <w:t> </w:t>
            </w:r>
          </w:p>
        </w:tc>
        <w:tc>
          <w:tcPr>
            <w:tcW w:w="740" w:type="dxa"/>
            <w:tcBorders>
              <w:top w:val="nil"/>
              <w:left w:val="nil"/>
              <w:bottom w:val="single" w:sz="4" w:space="0" w:color="auto"/>
              <w:right w:val="single" w:sz="4" w:space="0" w:color="auto"/>
            </w:tcBorders>
            <w:shd w:val="clear" w:color="auto" w:fill="auto"/>
            <w:noWrap/>
            <w:vAlign w:val="bottom"/>
            <w:hideMark/>
          </w:tcPr>
          <w:p w:rsidR="00C128C2" w:rsidRPr="00C128C2" w:rsidRDefault="00C128C2" w:rsidP="00C128C2">
            <w:pPr>
              <w:rPr>
                <w:rFonts w:eastAsia="Times New Roman"/>
                <w:color w:val="000000"/>
                <w:sz w:val="16"/>
                <w:szCs w:val="16"/>
              </w:rPr>
            </w:pPr>
            <w:r w:rsidRPr="00C128C2">
              <w:rPr>
                <w:rFonts w:eastAsia="Times New Roman"/>
                <w:color w:val="000000"/>
                <w:sz w:val="16"/>
                <w:szCs w:val="16"/>
              </w:rPr>
              <w:t> </w:t>
            </w:r>
          </w:p>
        </w:tc>
        <w:tc>
          <w:tcPr>
            <w:tcW w:w="615" w:type="dxa"/>
            <w:tcBorders>
              <w:top w:val="nil"/>
              <w:left w:val="nil"/>
              <w:bottom w:val="single" w:sz="4" w:space="0" w:color="auto"/>
              <w:right w:val="single" w:sz="4" w:space="0" w:color="auto"/>
            </w:tcBorders>
            <w:shd w:val="clear" w:color="auto" w:fill="auto"/>
            <w:noWrap/>
            <w:vAlign w:val="center"/>
            <w:hideMark/>
          </w:tcPr>
          <w:p w:rsidR="00C128C2" w:rsidRPr="00C128C2" w:rsidRDefault="00C128C2" w:rsidP="00C128C2">
            <w:pPr>
              <w:jc w:val="center"/>
              <w:rPr>
                <w:rFonts w:eastAsia="Times New Roman"/>
                <w:color w:val="000000"/>
                <w:sz w:val="16"/>
                <w:szCs w:val="16"/>
              </w:rPr>
            </w:pPr>
            <w:r w:rsidRPr="00C128C2">
              <w:rPr>
                <w:rFonts w:eastAsia="Times New Roman"/>
                <w:color w:val="000000"/>
                <w:sz w:val="16"/>
                <w:szCs w:val="16"/>
              </w:rPr>
              <w:t>3</w:t>
            </w:r>
          </w:p>
        </w:tc>
        <w:tc>
          <w:tcPr>
            <w:tcW w:w="623" w:type="dxa"/>
            <w:tcBorders>
              <w:top w:val="nil"/>
              <w:left w:val="nil"/>
              <w:bottom w:val="single" w:sz="4" w:space="0" w:color="auto"/>
              <w:right w:val="single" w:sz="4" w:space="0" w:color="auto"/>
            </w:tcBorders>
            <w:shd w:val="clear" w:color="auto" w:fill="auto"/>
            <w:noWrap/>
            <w:vAlign w:val="center"/>
            <w:hideMark/>
          </w:tcPr>
          <w:p w:rsidR="00C128C2" w:rsidRPr="00C128C2" w:rsidRDefault="00C128C2" w:rsidP="00C128C2">
            <w:pPr>
              <w:jc w:val="center"/>
              <w:rPr>
                <w:rFonts w:eastAsia="Times New Roman"/>
                <w:color w:val="000000"/>
                <w:sz w:val="16"/>
                <w:szCs w:val="16"/>
              </w:rPr>
            </w:pPr>
            <w:r w:rsidRPr="00C128C2">
              <w:rPr>
                <w:rFonts w:eastAsia="Times New Roman"/>
                <w:color w:val="000000"/>
                <w:sz w:val="16"/>
                <w:szCs w:val="16"/>
              </w:rPr>
              <w:t>6,3</w:t>
            </w:r>
          </w:p>
        </w:tc>
        <w:tc>
          <w:tcPr>
            <w:tcW w:w="760" w:type="dxa"/>
            <w:tcBorders>
              <w:top w:val="nil"/>
              <w:left w:val="nil"/>
              <w:bottom w:val="single" w:sz="4" w:space="0" w:color="auto"/>
              <w:right w:val="double" w:sz="6" w:space="0" w:color="auto"/>
            </w:tcBorders>
            <w:shd w:val="clear" w:color="auto" w:fill="auto"/>
            <w:noWrap/>
            <w:vAlign w:val="center"/>
            <w:hideMark/>
          </w:tcPr>
          <w:p w:rsidR="00C128C2" w:rsidRPr="00C128C2" w:rsidRDefault="00C128C2" w:rsidP="00C128C2">
            <w:pPr>
              <w:jc w:val="center"/>
              <w:rPr>
                <w:rFonts w:eastAsia="Times New Roman"/>
                <w:color w:val="000000"/>
                <w:sz w:val="16"/>
                <w:szCs w:val="16"/>
              </w:rPr>
            </w:pPr>
            <w:r w:rsidRPr="00C128C2">
              <w:rPr>
                <w:rFonts w:eastAsia="Times New Roman"/>
                <w:color w:val="000000"/>
                <w:sz w:val="16"/>
                <w:szCs w:val="16"/>
              </w:rPr>
              <w:t>в 2,1 р.</w:t>
            </w:r>
          </w:p>
        </w:tc>
      </w:tr>
      <w:tr w:rsidR="00C128C2" w:rsidRPr="00C128C2" w:rsidTr="00C128C2">
        <w:trPr>
          <w:trHeight w:val="329"/>
        </w:trPr>
        <w:tc>
          <w:tcPr>
            <w:tcW w:w="4366" w:type="dxa"/>
            <w:tcBorders>
              <w:top w:val="nil"/>
              <w:left w:val="double" w:sz="6" w:space="0" w:color="auto"/>
              <w:bottom w:val="single" w:sz="4" w:space="0" w:color="auto"/>
              <w:right w:val="single" w:sz="4" w:space="0" w:color="auto"/>
            </w:tcBorders>
            <w:shd w:val="clear" w:color="auto" w:fill="auto"/>
            <w:vAlign w:val="bottom"/>
            <w:hideMark/>
          </w:tcPr>
          <w:p w:rsidR="00C128C2" w:rsidRPr="00C128C2" w:rsidRDefault="00C128C2" w:rsidP="00C128C2">
            <w:pPr>
              <w:rPr>
                <w:rFonts w:eastAsia="Times New Roman"/>
                <w:color w:val="000000"/>
                <w:sz w:val="16"/>
                <w:szCs w:val="16"/>
              </w:rPr>
            </w:pPr>
            <w:proofErr w:type="gramStart"/>
            <w:r w:rsidRPr="00C128C2">
              <w:rPr>
                <w:rFonts w:eastAsia="Times New Roman"/>
                <w:color w:val="000000"/>
                <w:sz w:val="16"/>
                <w:szCs w:val="16"/>
              </w:rPr>
              <w:t xml:space="preserve">Увеличение оборота СМСП, получивших господдержку, в постоянных ценах по отношению к показателю 2014 </w:t>
            </w:r>
            <w:proofErr w:type="spellStart"/>
            <w:r w:rsidRPr="00C128C2">
              <w:rPr>
                <w:rFonts w:eastAsia="Times New Roman"/>
                <w:color w:val="000000"/>
                <w:sz w:val="16"/>
                <w:szCs w:val="16"/>
              </w:rPr>
              <w:t>года,%</w:t>
            </w:r>
            <w:proofErr w:type="spellEnd"/>
            <w:proofErr w:type="gramEnd"/>
          </w:p>
        </w:tc>
        <w:tc>
          <w:tcPr>
            <w:tcW w:w="700" w:type="dxa"/>
            <w:tcBorders>
              <w:top w:val="nil"/>
              <w:left w:val="nil"/>
              <w:bottom w:val="single" w:sz="4" w:space="0" w:color="auto"/>
              <w:right w:val="single" w:sz="4" w:space="0" w:color="auto"/>
            </w:tcBorders>
            <w:shd w:val="clear" w:color="auto" w:fill="auto"/>
            <w:noWrap/>
            <w:vAlign w:val="bottom"/>
            <w:hideMark/>
          </w:tcPr>
          <w:p w:rsidR="00C128C2" w:rsidRPr="00C128C2" w:rsidRDefault="00C128C2" w:rsidP="00C128C2">
            <w:pPr>
              <w:rPr>
                <w:rFonts w:eastAsia="Times New Roman"/>
                <w:color w:val="000000"/>
                <w:sz w:val="16"/>
                <w:szCs w:val="16"/>
              </w:rPr>
            </w:pPr>
            <w:r w:rsidRPr="00C128C2">
              <w:rPr>
                <w:rFonts w:eastAsia="Times New Roman"/>
                <w:color w:val="000000"/>
                <w:sz w:val="16"/>
                <w:szCs w:val="16"/>
              </w:rPr>
              <w:t> </w:t>
            </w:r>
          </w:p>
        </w:tc>
        <w:tc>
          <w:tcPr>
            <w:tcW w:w="640" w:type="dxa"/>
            <w:tcBorders>
              <w:top w:val="nil"/>
              <w:left w:val="nil"/>
              <w:bottom w:val="single" w:sz="4" w:space="0" w:color="auto"/>
              <w:right w:val="single" w:sz="4" w:space="0" w:color="auto"/>
            </w:tcBorders>
            <w:shd w:val="clear" w:color="auto" w:fill="auto"/>
            <w:noWrap/>
            <w:vAlign w:val="bottom"/>
            <w:hideMark/>
          </w:tcPr>
          <w:p w:rsidR="00C128C2" w:rsidRPr="00C128C2" w:rsidRDefault="00C128C2" w:rsidP="00C128C2">
            <w:pPr>
              <w:rPr>
                <w:rFonts w:eastAsia="Times New Roman"/>
                <w:color w:val="000000"/>
                <w:sz w:val="16"/>
                <w:szCs w:val="16"/>
              </w:rPr>
            </w:pPr>
            <w:r w:rsidRPr="00C128C2">
              <w:rPr>
                <w:rFonts w:eastAsia="Times New Roman"/>
                <w:color w:val="000000"/>
                <w:sz w:val="16"/>
                <w:szCs w:val="16"/>
              </w:rPr>
              <w:t> </w:t>
            </w:r>
          </w:p>
        </w:tc>
        <w:tc>
          <w:tcPr>
            <w:tcW w:w="760" w:type="dxa"/>
            <w:tcBorders>
              <w:top w:val="nil"/>
              <w:left w:val="nil"/>
              <w:bottom w:val="single" w:sz="4" w:space="0" w:color="auto"/>
              <w:right w:val="single" w:sz="4" w:space="0" w:color="auto"/>
            </w:tcBorders>
            <w:shd w:val="clear" w:color="auto" w:fill="auto"/>
            <w:noWrap/>
            <w:vAlign w:val="bottom"/>
            <w:hideMark/>
          </w:tcPr>
          <w:p w:rsidR="00C128C2" w:rsidRPr="00C128C2" w:rsidRDefault="00C128C2" w:rsidP="00C128C2">
            <w:pPr>
              <w:rPr>
                <w:rFonts w:eastAsia="Times New Roman"/>
                <w:color w:val="000000"/>
                <w:sz w:val="16"/>
                <w:szCs w:val="16"/>
              </w:rPr>
            </w:pPr>
            <w:r w:rsidRPr="00C128C2">
              <w:rPr>
                <w:rFonts w:eastAsia="Times New Roman"/>
                <w:color w:val="000000"/>
                <w:sz w:val="16"/>
                <w:szCs w:val="16"/>
              </w:rPr>
              <w:t> </w:t>
            </w:r>
          </w:p>
        </w:tc>
        <w:tc>
          <w:tcPr>
            <w:tcW w:w="640" w:type="dxa"/>
            <w:tcBorders>
              <w:top w:val="nil"/>
              <w:left w:val="nil"/>
              <w:bottom w:val="single" w:sz="4" w:space="0" w:color="auto"/>
              <w:right w:val="single" w:sz="4" w:space="0" w:color="auto"/>
            </w:tcBorders>
            <w:shd w:val="clear" w:color="auto" w:fill="auto"/>
            <w:noWrap/>
            <w:vAlign w:val="bottom"/>
            <w:hideMark/>
          </w:tcPr>
          <w:p w:rsidR="00C128C2" w:rsidRPr="00C128C2" w:rsidRDefault="00C128C2" w:rsidP="00C128C2">
            <w:pPr>
              <w:rPr>
                <w:rFonts w:eastAsia="Times New Roman"/>
                <w:color w:val="000000"/>
                <w:sz w:val="16"/>
                <w:szCs w:val="16"/>
              </w:rPr>
            </w:pPr>
            <w:r w:rsidRPr="00C128C2">
              <w:rPr>
                <w:rFonts w:eastAsia="Times New Roman"/>
                <w:color w:val="000000"/>
                <w:sz w:val="16"/>
                <w:szCs w:val="16"/>
              </w:rPr>
              <w:t> </w:t>
            </w:r>
          </w:p>
        </w:tc>
        <w:tc>
          <w:tcPr>
            <w:tcW w:w="696" w:type="dxa"/>
            <w:tcBorders>
              <w:top w:val="nil"/>
              <w:left w:val="nil"/>
              <w:bottom w:val="single" w:sz="4" w:space="0" w:color="auto"/>
              <w:right w:val="single" w:sz="4" w:space="0" w:color="auto"/>
            </w:tcBorders>
            <w:shd w:val="clear" w:color="auto" w:fill="auto"/>
            <w:noWrap/>
            <w:vAlign w:val="bottom"/>
            <w:hideMark/>
          </w:tcPr>
          <w:p w:rsidR="00C128C2" w:rsidRPr="00C128C2" w:rsidRDefault="00C128C2" w:rsidP="00C128C2">
            <w:pPr>
              <w:rPr>
                <w:rFonts w:eastAsia="Times New Roman"/>
                <w:color w:val="000000"/>
                <w:sz w:val="16"/>
                <w:szCs w:val="16"/>
              </w:rPr>
            </w:pPr>
            <w:r w:rsidRPr="00C128C2">
              <w:rPr>
                <w:rFonts w:eastAsia="Times New Roman"/>
                <w:color w:val="000000"/>
                <w:sz w:val="16"/>
                <w:szCs w:val="16"/>
              </w:rPr>
              <w:t> </w:t>
            </w:r>
          </w:p>
        </w:tc>
        <w:tc>
          <w:tcPr>
            <w:tcW w:w="740" w:type="dxa"/>
            <w:tcBorders>
              <w:top w:val="nil"/>
              <w:left w:val="nil"/>
              <w:bottom w:val="single" w:sz="4" w:space="0" w:color="auto"/>
              <w:right w:val="single" w:sz="4" w:space="0" w:color="auto"/>
            </w:tcBorders>
            <w:shd w:val="clear" w:color="auto" w:fill="auto"/>
            <w:noWrap/>
            <w:vAlign w:val="bottom"/>
            <w:hideMark/>
          </w:tcPr>
          <w:p w:rsidR="00C128C2" w:rsidRPr="00C128C2" w:rsidRDefault="00C128C2" w:rsidP="00C128C2">
            <w:pPr>
              <w:rPr>
                <w:rFonts w:eastAsia="Times New Roman"/>
                <w:color w:val="000000"/>
                <w:sz w:val="16"/>
                <w:szCs w:val="16"/>
              </w:rPr>
            </w:pPr>
            <w:r w:rsidRPr="00C128C2">
              <w:rPr>
                <w:rFonts w:eastAsia="Times New Roman"/>
                <w:color w:val="000000"/>
                <w:sz w:val="16"/>
                <w:szCs w:val="16"/>
              </w:rPr>
              <w:t> </w:t>
            </w:r>
          </w:p>
        </w:tc>
        <w:tc>
          <w:tcPr>
            <w:tcW w:w="615" w:type="dxa"/>
            <w:tcBorders>
              <w:top w:val="nil"/>
              <w:left w:val="nil"/>
              <w:bottom w:val="single" w:sz="4" w:space="0" w:color="auto"/>
              <w:right w:val="single" w:sz="4" w:space="0" w:color="auto"/>
            </w:tcBorders>
            <w:shd w:val="clear" w:color="auto" w:fill="auto"/>
            <w:noWrap/>
            <w:vAlign w:val="center"/>
            <w:hideMark/>
          </w:tcPr>
          <w:p w:rsidR="00C128C2" w:rsidRPr="00C128C2" w:rsidRDefault="00C128C2" w:rsidP="00C128C2">
            <w:pPr>
              <w:jc w:val="center"/>
              <w:rPr>
                <w:rFonts w:eastAsia="Times New Roman"/>
                <w:color w:val="000000"/>
                <w:sz w:val="16"/>
                <w:szCs w:val="16"/>
              </w:rPr>
            </w:pPr>
            <w:r w:rsidRPr="00C128C2">
              <w:rPr>
                <w:rFonts w:eastAsia="Times New Roman"/>
                <w:color w:val="000000"/>
                <w:sz w:val="16"/>
                <w:szCs w:val="16"/>
              </w:rPr>
              <w:t>5</w:t>
            </w:r>
          </w:p>
        </w:tc>
        <w:tc>
          <w:tcPr>
            <w:tcW w:w="623" w:type="dxa"/>
            <w:tcBorders>
              <w:top w:val="nil"/>
              <w:left w:val="nil"/>
              <w:bottom w:val="single" w:sz="4" w:space="0" w:color="auto"/>
              <w:right w:val="single" w:sz="4" w:space="0" w:color="auto"/>
            </w:tcBorders>
            <w:shd w:val="clear" w:color="auto" w:fill="auto"/>
            <w:noWrap/>
            <w:vAlign w:val="center"/>
            <w:hideMark/>
          </w:tcPr>
          <w:p w:rsidR="00C128C2" w:rsidRPr="00C128C2" w:rsidRDefault="00C128C2" w:rsidP="00C128C2">
            <w:pPr>
              <w:jc w:val="center"/>
              <w:rPr>
                <w:rFonts w:eastAsia="Times New Roman"/>
                <w:color w:val="000000"/>
                <w:sz w:val="16"/>
                <w:szCs w:val="16"/>
              </w:rPr>
            </w:pPr>
            <w:r w:rsidRPr="00C128C2">
              <w:rPr>
                <w:rFonts w:eastAsia="Times New Roman"/>
                <w:color w:val="000000"/>
                <w:sz w:val="16"/>
                <w:szCs w:val="16"/>
              </w:rPr>
              <w:t>5,2</w:t>
            </w:r>
          </w:p>
        </w:tc>
        <w:tc>
          <w:tcPr>
            <w:tcW w:w="760" w:type="dxa"/>
            <w:tcBorders>
              <w:top w:val="nil"/>
              <w:left w:val="nil"/>
              <w:bottom w:val="single" w:sz="4" w:space="0" w:color="auto"/>
              <w:right w:val="double" w:sz="6" w:space="0" w:color="auto"/>
            </w:tcBorders>
            <w:shd w:val="clear" w:color="auto" w:fill="auto"/>
            <w:noWrap/>
            <w:vAlign w:val="center"/>
            <w:hideMark/>
          </w:tcPr>
          <w:p w:rsidR="00C128C2" w:rsidRPr="00C128C2" w:rsidRDefault="00C128C2" w:rsidP="00C128C2">
            <w:pPr>
              <w:jc w:val="center"/>
              <w:rPr>
                <w:rFonts w:eastAsia="Times New Roman"/>
                <w:color w:val="000000"/>
                <w:sz w:val="16"/>
                <w:szCs w:val="16"/>
              </w:rPr>
            </w:pPr>
            <w:r w:rsidRPr="00C128C2">
              <w:rPr>
                <w:rFonts w:eastAsia="Times New Roman"/>
                <w:color w:val="000000"/>
                <w:sz w:val="16"/>
                <w:szCs w:val="16"/>
              </w:rPr>
              <w:t>104,0</w:t>
            </w:r>
          </w:p>
        </w:tc>
      </w:tr>
      <w:tr w:rsidR="00C128C2" w:rsidRPr="00C128C2" w:rsidTr="00C128C2">
        <w:trPr>
          <w:trHeight w:val="309"/>
        </w:trPr>
        <w:tc>
          <w:tcPr>
            <w:tcW w:w="4366" w:type="dxa"/>
            <w:tcBorders>
              <w:top w:val="nil"/>
              <w:left w:val="double" w:sz="6" w:space="0" w:color="auto"/>
              <w:bottom w:val="nil"/>
              <w:right w:val="single" w:sz="4" w:space="0" w:color="auto"/>
            </w:tcBorders>
            <w:shd w:val="clear" w:color="auto" w:fill="auto"/>
            <w:vAlign w:val="bottom"/>
            <w:hideMark/>
          </w:tcPr>
          <w:p w:rsidR="00C128C2" w:rsidRPr="00C128C2" w:rsidRDefault="00C128C2" w:rsidP="00C128C2">
            <w:pPr>
              <w:rPr>
                <w:rFonts w:eastAsia="Times New Roman"/>
                <w:color w:val="000000"/>
                <w:sz w:val="16"/>
                <w:szCs w:val="16"/>
              </w:rPr>
            </w:pPr>
            <w:r w:rsidRPr="00C128C2">
              <w:rPr>
                <w:rFonts w:eastAsia="Times New Roman"/>
                <w:color w:val="000000"/>
                <w:sz w:val="16"/>
                <w:szCs w:val="16"/>
              </w:rPr>
              <w:t xml:space="preserve">Доля обрабатывающей промышленности в обороте СМСП (без учета ИП), </w:t>
            </w:r>
            <w:proofErr w:type="gramStart"/>
            <w:r w:rsidRPr="00C128C2">
              <w:rPr>
                <w:rFonts w:eastAsia="Times New Roman"/>
                <w:color w:val="000000"/>
                <w:sz w:val="16"/>
                <w:szCs w:val="16"/>
              </w:rPr>
              <w:t>получивших</w:t>
            </w:r>
            <w:proofErr w:type="gramEnd"/>
            <w:r w:rsidRPr="00C128C2">
              <w:rPr>
                <w:rFonts w:eastAsia="Times New Roman"/>
                <w:color w:val="000000"/>
                <w:sz w:val="16"/>
                <w:szCs w:val="16"/>
              </w:rPr>
              <w:t xml:space="preserve"> </w:t>
            </w:r>
            <w:proofErr w:type="spellStart"/>
            <w:r w:rsidRPr="00C128C2">
              <w:rPr>
                <w:rFonts w:eastAsia="Times New Roman"/>
                <w:color w:val="000000"/>
                <w:sz w:val="16"/>
                <w:szCs w:val="16"/>
              </w:rPr>
              <w:t>господдержку,%</w:t>
            </w:r>
            <w:proofErr w:type="spellEnd"/>
          </w:p>
        </w:tc>
        <w:tc>
          <w:tcPr>
            <w:tcW w:w="700" w:type="dxa"/>
            <w:tcBorders>
              <w:top w:val="nil"/>
              <w:left w:val="nil"/>
              <w:bottom w:val="nil"/>
              <w:right w:val="single" w:sz="4" w:space="0" w:color="auto"/>
            </w:tcBorders>
            <w:shd w:val="clear" w:color="auto" w:fill="auto"/>
            <w:noWrap/>
            <w:vAlign w:val="bottom"/>
            <w:hideMark/>
          </w:tcPr>
          <w:p w:rsidR="00C128C2" w:rsidRPr="00C128C2" w:rsidRDefault="00C128C2" w:rsidP="00C128C2">
            <w:pPr>
              <w:rPr>
                <w:rFonts w:eastAsia="Times New Roman"/>
                <w:color w:val="000000"/>
                <w:sz w:val="16"/>
                <w:szCs w:val="16"/>
              </w:rPr>
            </w:pPr>
            <w:r w:rsidRPr="00C128C2">
              <w:rPr>
                <w:rFonts w:eastAsia="Times New Roman"/>
                <w:color w:val="000000"/>
                <w:sz w:val="16"/>
                <w:szCs w:val="16"/>
              </w:rPr>
              <w:t> </w:t>
            </w:r>
          </w:p>
        </w:tc>
        <w:tc>
          <w:tcPr>
            <w:tcW w:w="640" w:type="dxa"/>
            <w:tcBorders>
              <w:top w:val="nil"/>
              <w:left w:val="nil"/>
              <w:bottom w:val="nil"/>
              <w:right w:val="single" w:sz="4" w:space="0" w:color="auto"/>
            </w:tcBorders>
            <w:shd w:val="clear" w:color="auto" w:fill="auto"/>
            <w:noWrap/>
            <w:vAlign w:val="bottom"/>
            <w:hideMark/>
          </w:tcPr>
          <w:p w:rsidR="00C128C2" w:rsidRPr="00C128C2" w:rsidRDefault="00C128C2" w:rsidP="00C128C2">
            <w:pPr>
              <w:rPr>
                <w:rFonts w:eastAsia="Times New Roman"/>
                <w:color w:val="000000"/>
                <w:sz w:val="16"/>
                <w:szCs w:val="16"/>
              </w:rPr>
            </w:pPr>
            <w:r w:rsidRPr="00C128C2">
              <w:rPr>
                <w:rFonts w:eastAsia="Times New Roman"/>
                <w:color w:val="000000"/>
                <w:sz w:val="16"/>
                <w:szCs w:val="16"/>
              </w:rPr>
              <w:t> </w:t>
            </w:r>
          </w:p>
        </w:tc>
        <w:tc>
          <w:tcPr>
            <w:tcW w:w="760" w:type="dxa"/>
            <w:tcBorders>
              <w:top w:val="nil"/>
              <w:left w:val="nil"/>
              <w:bottom w:val="nil"/>
              <w:right w:val="single" w:sz="4" w:space="0" w:color="auto"/>
            </w:tcBorders>
            <w:shd w:val="clear" w:color="auto" w:fill="auto"/>
            <w:noWrap/>
            <w:vAlign w:val="bottom"/>
            <w:hideMark/>
          </w:tcPr>
          <w:p w:rsidR="00C128C2" w:rsidRPr="00C128C2" w:rsidRDefault="00C128C2" w:rsidP="00C128C2">
            <w:pPr>
              <w:rPr>
                <w:rFonts w:eastAsia="Times New Roman"/>
                <w:color w:val="000000"/>
                <w:sz w:val="16"/>
                <w:szCs w:val="16"/>
              </w:rPr>
            </w:pPr>
            <w:r w:rsidRPr="00C128C2">
              <w:rPr>
                <w:rFonts w:eastAsia="Times New Roman"/>
                <w:color w:val="000000"/>
                <w:sz w:val="16"/>
                <w:szCs w:val="16"/>
              </w:rPr>
              <w:t> </w:t>
            </w:r>
          </w:p>
        </w:tc>
        <w:tc>
          <w:tcPr>
            <w:tcW w:w="640" w:type="dxa"/>
            <w:tcBorders>
              <w:top w:val="nil"/>
              <w:left w:val="nil"/>
              <w:bottom w:val="nil"/>
              <w:right w:val="single" w:sz="4" w:space="0" w:color="auto"/>
            </w:tcBorders>
            <w:shd w:val="clear" w:color="auto" w:fill="auto"/>
            <w:noWrap/>
            <w:vAlign w:val="bottom"/>
            <w:hideMark/>
          </w:tcPr>
          <w:p w:rsidR="00C128C2" w:rsidRPr="00C128C2" w:rsidRDefault="00C128C2" w:rsidP="00C128C2">
            <w:pPr>
              <w:rPr>
                <w:rFonts w:eastAsia="Times New Roman"/>
                <w:color w:val="000000"/>
                <w:sz w:val="16"/>
                <w:szCs w:val="16"/>
              </w:rPr>
            </w:pPr>
            <w:r w:rsidRPr="00C128C2">
              <w:rPr>
                <w:rFonts w:eastAsia="Times New Roman"/>
                <w:color w:val="000000"/>
                <w:sz w:val="16"/>
                <w:szCs w:val="16"/>
              </w:rPr>
              <w:t> </w:t>
            </w:r>
          </w:p>
        </w:tc>
        <w:tc>
          <w:tcPr>
            <w:tcW w:w="696" w:type="dxa"/>
            <w:tcBorders>
              <w:top w:val="nil"/>
              <w:left w:val="nil"/>
              <w:bottom w:val="nil"/>
              <w:right w:val="single" w:sz="4" w:space="0" w:color="auto"/>
            </w:tcBorders>
            <w:shd w:val="clear" w:color="auto" w:fill="auto"/>
            <w:noWrap/>
            <w:vAlign w:val="bottom"/>
            <w:hideMark/>
          </w:tcPr>
          <w:p w:rsidR="00C128C2" w:rsidRPr="00C128C2" w:rsidRDefault="00C128C2" w:rsidP="00C128C2">
            <w:pPr>
              <w:rPr>
                <w:rFonts w:eastAsia="Times New Roman"/>
                <w:color w:val="000000"/>
                <w:sz w:val="16"/>
                <w:szCs w:val="16"/>
              </w:rPr>
            </w:pPr>
            <w:r w:rsidRPr="00C128C2">
              <w:rPr>
                <w:rFonts w:eastAsia="Times New Roman"/>
                <w:color w:val="000000"/>
                <w:sz w:val="16"/>
                <w:szCs w:val="16"/>
              </w:rPr>
              <w:t> </w:t>
            </w:r>
          </w:p>
        </w:tc>
        <w:tc>
          <w:tcPr>
            <w:tcW w:w="740" w:type="dxa"/>
            <w:tcBorders>
              <w:top w:val="nil"/>
              <w:left w:val="nil"/>
              <w:bottom w:val="nil"/>
              <w:right w:val="single" w:sz="4" w:space="0" w:color="auto"/>
            </w:tcBorders>
            <w:shd w:val="clear" w:color="auto" w:fill="auto"/>
            <w:noWrap/>
            <w:vAlign w:val="bottom"/>
            <w:hideMark/>
          </w:tcPr>
          <w:p w:rsidR="00C128C2" w:rsidRPr="00C128C2" w:rsidRDefault="00C128C2" w:rsidP="00C128C2">
            <w:pPr>
              <w:rPr>
                <w:rFonts w:eastAsia="Times New Roman"/>
                <w:color w:val="000000"/>
                <w:sz w:val="16"/>
                <w:szCs w:val="16"/>
              </w:rPr>
            </w:pPr>
            <w:r w:rsidRPr="00C128C2">
              <w:rPr>
                <w:rFonts w:eastAsia="Times New Roman"/>
                <w:color w:val="000000"/>
                <w:sz w:val="16"/>
                <w:szCs w:val="16"/>
              </w:rPr>
              <w:t> </w:t>
            </w:r>
          </w:p>
        </w:tc>
        <w:tc>
          <w:tcPr>
            <w:tcW w:w="615" w:type="dxa"/>
            <w:tcBorders>
              <w:top w:val="nil"/>
              <w:left w:val="nil"/>
              <w:bottom w:val="nil"/>
              <w:right w:val="single" w:sz="4" w:space="0" w:color="auto"/>
            </w:tcBorders>
            <w:shd w:val="clear" w:color="auto" w:fill="auto"/>
            <w:noWrap/>
            <w:vAlign w:val="center"/>
            <w:hideMark/>
          </w:tcPr>
          <w:p w:rsidR="00C128C2" w:rsidRPr="00C128C2" w:rsidRDefault="00C128C2" w:rsidP="00C128C2">
            <w:pPr>
              <w:jc w:val="center"/>
              <w:rPr>
                <w:rFonts w:eastAsia="Times New Roman"/>
                <w:color w:val="000000"/>
                <w:sz w:val="16"/>
                <w:szCs w:val="16"/>
              </w:rPr>
            </w:pPr>
            <w:r w:rsidRPr="00C128C2">
              <w:rPr>
                <w:rFonts w:eastAsia="Times New Roman"/>
                <w:color w:val="000000"/>
                <w:sz w:val="16"/>
                <w:szCs w:val="16"/>
              </w:rPr>
              <w:t>15</w:t>
            </w:r>
          </w:p>
        </w:tc>
        <w:tc>
          <w:tcPr>
            <w:tcW w:w="623" w:type="dxa"/>
            <w:tcBorders>
              <w:top w:val="nil"/>
              <w:left w:val="nil"/>
              <w:bottom w:val="nil"/>
              <w:right w:val="single" w:sz="4" w:space="0" w:color="auto"/>
            </w:tcBorders>
            <w:shd w:val="clear" w:color="auto" w:fill="auto"/>
            <w:noWrap/>
            <w:vAlign w:val="center"/>
            <w:hideMark/>
          </w:tcPr>
          <w:p w:rsidR="00C128C2" w:rsidRPr="00C128C2" w:rsidRDefault="00C128C2" w:rsidP="00C128C2">
            <w:pPr>
              <w:jc w:val="center"/>
              <w:rPr>
                <w:rFonts w:eastAsia="Times New Roman"/>
                <w:color w:val="000000"/>
                <w:sz w:val="16"/>
                <w:szCs w:val="16"/>
              </w:rPr>
            </w:pPr>
            <w:r w:rsidRPr="00C128C2">
              <w:rPr>
                <w:rFonts w:eastAsia="Times New Roman"/>
                <w:color w:val="000000"/>
                <w:sz w:val="16"/>
                <w:szCs w:val="16"/>
              </w:rPr>
              <w:t>47,3</w:t>
            </w:r>
          </w:p>
        </w:tc>
        <w:tc>
          <w:tcPr>
            <w:tcW w:w="760" w:type="dxa"/>
            <w:tcBorders>
              <w:top w:val="nil"/>
              <w:left w:val="nil"/>
              <w:bottom w:val="nil"/>
              <w:right w:val="double" w:sz="6" w:space="0" w:color="auto"/>
            </w:tcBorders>
            <w:shd w:val="clear" w:color="auto" w:fill="auto"/>
            <w:noWrap/>
            <w:vAlign w:val="center"/>
            <w:hideMark/>
          </w:tcPr>
          <w:p w:rsidR="00C128C2" w:rsidRPr="00C128C2" w:rsidRDefault="00C128C2" w:rsidP="00C128C2">
            <w:pPr>
              <w:jc w:val="center"/>
              <w:rPr>
                <w:rFonts w:eastAsia="Times New Roman"/>
                <w:color w:val="000000"/>
                <w:sz w:val="16"/>
                <w:szCs w:val="16"/>
              </w:rPr>
            </w:pPr>
            <w:r w:rsidRPr="00C128C2">
              <w:rPr>
                <w:rFonts w:eastAsia="Times New Roman"/>
                <w:color w:val="000000"/>
                <w:sz w:val="16"/>
                <w:szCs w:val="16"/>
              </w:rPr>
              <w:t>в 3,1 р.</w:t>
            </w:r>
          </w:p>
        </w:tc>
      </w:tr>
      <w:tr w:rsidR="00C128C2" w:rsidRPr="00C128C2" w:rsidTr="00C128C2">
        <w:trPr>
          <w:trHeight w:val="220"/>
        </w:trPr>
        <w:tc>
          <w:tcPr>
            <w:tcW w:w="10540" w:type="dxa"/>
            <w:gridSpan w:val="10"/>
            <w:tcBorders>
              <w:top w:val="single" w:sz="8" w:space="0" w:color="auto"/>
              <w:left w:val="double" w:sz="6" w:space="0" w:color="auto"/>
              <w:bottom w:val="single" w:sz="8" w:space="0" w:color="auto"/>
              <w:right w:val="double" w:sz="6" w:space="0" w:color="000000"/>
            </w:tcBorders>
            <w:shd w:val="clear" w:color="auto" w:fill="auto"/>
            <w:vAlign w:val="bottom"/>
            <w:hideMark/>
          </w:tcPr>
          <w:p w:rsidR="00C128C2" w:rsidRPr="00C128C2" w:rsidRDefault="00C128C2" w:rsidP="00C128C2">
            <w:pPr>
              <w:jc w:val="center"/>
              <w:rPr>
                <w:rFonts w:eastAsia="Times New Roman"/>
                <w:b/>
                <w:bCs/>
                <w:color w:val="000000"/>
                <w:sz w:val="16"/>
                <w:szCs w:val="16"/>
              </w:rPr>
            </w:pPr>
            <w:r w:rsidRPr="00C128C2">
              <w:rPr>
                <w:rFonts w:eastAsia="Times New Roman"/>
                <w:b/>
                <w:bCs/>
                <w:color w:val="000000"/>
                <w:sz w:val="16"/>
                <w:szCs w:val="16"/>
              </w:rPr>
              <w:t>ЦПЭ</w:t>
            </w:r>
          </w:p>
        </w:tc>
      </w:tr>
      <w:tr w:rsidR="00C128C2" w:rsidRPr="00C128C2" w:rsidTr="00C128C2">
        <w:trPr>
          <w:trHeight w:val="123"/>
        </w:trPr>
        <w:tc>
          <w:tcPr>
            <w:tcW w:w="4366" w:type="dxa"/>
            <w:tcBorders>
              <w:top w:val="nil"/>
              <w:left w:val="double" w:sz="6" w:space="0" w:color="auto"/>
              <w:bottom w:val="single" w:sz="4" w:space="0" w:color="auto"/>
              <w:right w:val="single" w:sz="4" w:space="0" w:color="auto"/>
            </w:tcBorders>
            <w:shd w:val="clear" w:color="auto" w:fill="auto"/>
            <w:vAlign w:val="bottom"/>
            <w:hideMark/>
          </w:tcPr>
          <w:p w:rsidR="00C128C2" w:rsidRPr="00C128C2" w:rsidRDefault="00C128C2" w:rsidP="00C128C2">
            <w:pPr>
              <w:rPr>
                <w:rFonts w:eastAsia="Times New Roman"/>
                <w:color w:val="000000"/>
                <w:sz w:val="16"/>
                <w:szCs w:val="16"/>
              </w:rPr>
            </w:pPr>
            <w:r w:rsidRPr="00C128C2">
              <w:rPr>
                <w:rFonts w:eastAsia="Times New Roman"/>
                <w:color w:val="000000"/>
                <w:sz w:val="16"/>
                <w:szCs w:val="16"/>
              </w:rPr>
              <w:t xml:space="preserve">Количество СМСП, </w:t>
            </w:r>
            <w:proofErr w:type="gramStart"/>
            <w:r w:rsidRPr="00C128C2">
              <w:rPr>
                <w:rFonts w:eastAsia="Times New Roman"/>
                <w:color w:val="000000"/>
                <w:sz w:val="16"/>
                <w:szCs w:val="16"/>
              </w:rPr>
              <w:t>получивших</w:t>
            </w:r>
            <w:proofErr w:type="gramEnd"/>
            <w:r w:rsidRPr="00C128C2">
              <w:rPr>
                <w:rFonts w:eastAsia="Times New Roman"/>
                <w:color w:val="000000"/>
                <w:sz w:val="16"/>
                <w:szCs w:val="16"/>
              </w:rPr>
              <w:t xml:space="preserve"> услугу (госзадание), ед.</w:t>
            </w:r>
          </w:p>
        </w:tc>
        <w:tc>
          <w:tcPr>
            <w:tcW w:w="700" w:type="dxa"/>
            <w:tcBorders>
              <w:top w:val="nil"/>
              <w:left w:val="nil"/>
              <w:bottom w:val="single" w:sz="4" w:space="0" w:color="auto"/>
              <w:right w:val="single" w:sz="4" w:space="0" w:color="auto"/>
            </w:tcBorders>
            <w:shd w:val="clear" w:color="auto" w:fill="auto"/>
            <w:noWrap/>
            <w:vAlign w:val="bottom"/>
            <w:hideMark/>
          </w:tcPr>
          <w:p w:rsidR="00C128C2" w:rsidRPr="00C128C2" w:rsidRDefault="00C128C2" w:rsidP="00C128C2">
            <w:pPr>
              <w:rPr>
                <w:rFonts w:eastAsia="Times New Roman"/>
                <w:color w:val="000000"/>
                <w:sz w:val="16"/>
                <w:szCs w:val="16"/>
              </w:rPr>
            </w:pPr>
            <w:r w:rsidRPr="00C128C2">
              <w:rPr>
                <w:rFonts w:eastAsia="Times New Roman"/>
                <w:color w:val="000000"/>
                <w:sz w:val="16"/>
                <w:szCs w:val="16"/>
              </w:rPr>
              <w:t> </w:t>
            </w:r>
          </w:p>
        </w:tc>
        <w:tc>
          <w:tcPr>
            <w:tcW w:w="640" w:type="dxa"/>
            <w:tcBorders>
              <w:top w:val="nil"/>
              <w:left w:val="nil"/>
              <w:bottom w:val="single" w:sz="4" w:space="0" w:color="auto"/>
              <w:right w:val="single" w:sz="4" w:space="0" w:color="auto"/>
            </w:tcBorders>
            <w:shd w:val="clear" w:color="auto" w:fill="auto"/>
            <w:noWrap/>
            <w:vAlign w:val="bottom"/>
            <w:hideMark/>
          </w:tcPr>
          <w:p w:rsidR="00C128C2" w:rsidRPr="00C128C2" w:rsidRDefault="00C128C2" w:rsidP="00C128C2">
            <w:pPr>
              <w:rPr>
                <w:rFonts w:eastAsia="Times New Roman"/>
                <w:color w:val="000000"/>
                <w:sz w:val="16"/>
                <w:szCs w:val="16"/>
              </w:rPr>
            </w:pPr>
            <w:r w:rsidRPr="00C128C2">
              <w:rPr>
                <w:rFonts w:eastAsia="Times New Roman"/>
                <w:color w:val="000000"/>
                <w:sz w:val="16"/>
                <w:szCs w:val="16"/>
              </w:rPr>
              <w:t> </w:t>
            </w:r>
          </w:p>
        </w:tc>
        <w:tc>
          <w:tcPr>
            <w:tcW w:w="760" w:type="dxa"/>
            <w:tcBorders>
              <w:top w:val="nil"/>
              <w:left w:val="nil"/>
              <w:bottom w:val="single" w:sz="4" w:space="0" w:color="auto"/>
              <w:right w:val="single" w:sz="4" w:space="0" w:color="auto"/>
            </w:tcBorders>
            <w:shd w:val="clear" w:color="auto" w:fill="auto"/>
            <w:noWrap/>
            <w:vAlign w:val="bottom"/>
            <w:hideMark/>
          </w:tcPr>
          <w:p w:rsidR="00C128C2" w:rsidRPr="00C128C2" w:rsidRDefault="00C128C2" w:rsidP="00C128C2">
            <w:pPr>
              <w:rPr>
                <w:rFonts w:eastAsia="Times New Roman"/>
                <w:color w:val="000000"/>
                <w:sz w:val="16"/>
                <w:szCs w:val="16"/>
              </w:rPr>
            </w:pPr>
            <w:r w:rsidRPr="00C128C2">
              <w:rPr>
                <w:rFonts w:eastAsia="Times New Roman"/>
                <w:color w:val="000000"/>
                <w:sz w:val="16"/>
                <w:szCs w:val="16"/>
              </w:rPr>
              <w:t> </w:t>
            </w:r>
          </w:p>
        </w:tc>
        <w:tc>
          <w:tcPr>
            <w:tcW w:w="640" w:type="dxa"/>
            <w:tcBorders>
              <w:top w:val="nil"/>
              <w:left w:val="nil"/>
              <w:bottom w:val="single" w:sz="4" w:space="0" w:color="auto"/>
              <w:right w:val="single" w:sz="4" w:space="0" w:color="auto"/>
            </w:tcBorders>
            <w:shd w:val="clear" w:color="000000" w:fill="FFFFFF"/>
            <w:vAlign w:val="center"/>
            <w:hideMark/>
          </w:tcPr>
          <w:p w:rsidR="00C128C2" w:rsidRPr="00C128C2" w:rsidRDefault="00C128C2" w:rsidP="00C128C2">
            <w:pPr>
              <w:jc w:val="center"/>
              <w:rPr>
                <w:rFonts w:eastAsia="Times New Roman"/>
                <w:color w:val="000000"/>
                <w:sz w:val="16"/>
                <w:szCs w:val="16"/>
              </w:rPr>
            </w:pPr>
            <w:r w:rsidRPr="00C128C2">
              <w:rPr>
                <w:rFonts w:eastAsia="Times New Roman"/>
                <w:color w:val="000000"/>
                <w:sz w:val="16"/>
                <w:szCs w:val="16"/>
              </w:rPr>
              <w:t>41</w:t>
            </w:r>
          </w:p>
        </w:tc>
        <w:tc>
          <w:tcPr>
            <w:tcW w:w="696" w:type="dxa"/>
            <w:tcBorders>
              <w:top w:val="nil"/>
              <w:left w:val="nil"/>
              <w:bottom w:val="single" w:sz="4" w:space="0" w:color="auto"/>
              <w:right w:val="single" w:sz="4" w:space="0" w:color="auto"/>
            </w:tcBorders>
            <w:shd w:val="clear" w:color="000000" w:fill="FFFFFF"/>
            <w:noWrap/>
            <w:vAlign w:val="center"/>
            <w:hideMark/>
          </w:tcPr>
          <w:p w:rsidR="00C128C2" w:rsidRPr="00C128C2" w:rsidRDefault="00C128C2" w:rsidP="00C128C2">
            <w:pPr>
              <w:jc w:val="center"/>
              <w:rPr>
                <w:rFonts w:eastAsia="Times New Roman"/>
                <w:color w:val="000000"/>
                <w:sz w:val="16"/>
                <w:szCs w:val="16"/>
              </w:rPr>
            </w:pPr>
            <w:r w:rsidRPr="00C128C2">
              <w:rPr>
                <w:rFonts w:eastAsia="Times New Roman"/>
                <w:color w:val="000000"/>
                <w:sz w:val="16"/>
                <w:szCs w:val="16"/>
              </w:rPr>
              <w:t>54</w:t>
            </w:r>
          </w:p>
        </w:tc>
        <w:tc>
          <w:tcPr>
            <w:tcW w:w="740" w:type="dxa"/>
            <w:tcBorders>
              <w:top w:val="nil"/>
              <w:left w:val="nil"/>
              <w:bottom w:val="single" w:sz="4" w:space="0" w:color="auto"/>
              <w:right w:val="single" w:sz="4" w:space="0" w:color="auto"/>
            </w:tcBorders>
            <w:shd w:val="clear" w:color="000000" w:fill="FFFFFF"/>
            <w:noWrap/>
            <w:vAlign w:val="center"/>
            <w:hideMark/>
          </w:tcPr>
          <w:p w:rsidR="00C128C2" w:rsidRPr="00C128C2" w:rsidRDefault="00C128C2" w:rsidP="00C128C2">
            <w:pPr>
              <w:jc w:val="center"/>
              <w:rPr>
                <w:rFonts w:eastAsia="Times New Roman"/>
                <w:color w:val="000000"/>
                <w:sz w:val="16"/>
                <w:szCs w:val="16"/>
              </w:rPr>
            </w:pPr>
            <w:r w:rsidRPr="00C128C2">
              <w:rPr>
                <w:rFonts w:eastAsia="Times New Roman"/>
                <w:color w:val="000000"/>
                <w:sz w:val="16"/>
                <w:szCs w:val="16"/>
              </w:rPr>
              <w:t>131,7</w:t>
            </w:r>
          </w:p>
        </w:tc>
        <w:tc>
          <w:tcPr>
            <w:tcW w:w="615" w:type="dxa"/>
            <w:tcBorders>
              <w:top w:val="nil"/>
              <w:left w:val="nil"/>
              <w:bottom w:val="single" w:sz="4" w:space="0" w:color="auto"/>
              <w:right w:val="single" w:sz="4" w:space="0" w:color="auto"/>
            </w:tcBorders>
            <w:shd w:val="clear" w:color="000000" w:fill="FFFFFF"/>
            <w:vAlign w:val="center"/>
            <w:hideMark/>
          </w:tcPr>
          <w:p w:rsidR="00C128C2" w:rsidRPr="00C128C2" w:rsidRDefault="00C128C2" w:rsidP="00C128C2">
            <w:pPr>
              <w:jc w:val="center"/>
              <w:rPr>
                <w:rFonts w:eastAsia="Times New Roman"/>
                <w:color w:val="000000"/>
                <w:sz w:val="16"/>
                <w:szCs w:val="16"/>
              </w:rPr>
            </w:pPr>
            <w:r w:rsidRPr="00C128C2">
              <w:rPr>
                <w:rFonts w:eastAsia="Times New Roman"/>
                <w:color w:val="000000"/>
                <w:sz w:val="16"/>
                <w:szCs w:val="16"/>
              </w:rPr>
              <w:t>82</w:t>
            </w:r>
          </w:p>
        </w:tc>
        <w:tc>
          <w:tcPr>
            <w:tcW w:w="623" w:type="dxa"/>
            <w:tcBorders>
              <w:top w:val="nil"/>
              <w:left w:val="nil"/>
              <w:bottom w:val="single" w:sz="4" w:space="0" w:color="auto"/>
              <w:right w:val="single" w:sz="4" w:space="0" w:color="auto"/>
            </w:tcBorders>
            <w:shd w:val="clear" w:color="000000" w:fill="FFFFFF"/>
            <w:noWrap/>
            <w:vAlign w:val="center"/>
            <w:hideMark/>
          </w:tcPr>
          <w:p w:rsidR="00C128C2" w:rsidRPr="00C128C2" w:rsidRDefault="00C128C2" w:rsidP="00C128C2">
            <w:pPr>
              <w:jc w:val="center"/>
              <w:rPr>
                <w:rFonts w:eastAsia="Times New Roman"/>
                <w:color w:val="000000"/>
                <w:sz w:val="16"/>
                <w:szCs w:val="16"/>
              </w:rPr>
            </w:pPr>
            <w:r w:rsidRPr="00C128C2">
              <w:rPr>
                <w:rFonts w:eastAsia="Times New Roman"/>
                <w:color w:val="000000"/>
                <w:sz w:val="16"/>
                <w:szCs w:val="16"/>
              </w:rPr>
              <w:t>74</w:t>
            </w:r>
          </w:p>
        </w:tc>
        <w:tc>
          <w:tcPr>
            <w:tcW w:w="760" w:type="dxa"/>
            <w:tcBorders>
              <w:top w:val="nil"/>
              <w:left w:val="nil"/>
              <w:bottom w:val="single" w:sz="4" w:space="0" w:color="auto"/>
              <w:right w:val="double" w:sz="6" w:space="0" w:color="auto"/>
            </w:tcBorders>
            <w:shd w:val="clear" w:color="auto" w:fill="auto"/>
            <w:noWrap/>
            <w:vAlign w:val="center"/>
            <w:hideMark/>
          </w:tcPr>
          <w:p w:rsidR="00C128C2" w:rsidRPr="00C128C2" w:rsidRDefault="00C128C2" w:rsidP="00C128C2">
            <w:pPr>
              <w:jc w:val="center"/>
              <w:rPr>
                <w:rFonts w:eastAsia="Times New Roman"/>
                <w:color w:val="000000"/>
                <w:sz w:val="16"/>
                <w:szCs w:val="16"/>
              </w:rPr>
            </w:pPr>
            <w:r w:rsidRPr="00C128C2">
              <w:rPr>
                <w:rFonts w:eastAsia="Times New Roman"/>
                <w:color w:val="000000"/>
                <w:sz w:val="16"/>
                <w:szCs w:val="16"/>
              </w:rPr>
              <w:t>90,2</w:t>
            </w:r>
          </w:p>
        </w:tc>
      </w:tr>
      <w:tr w:rsidR="00C128C2" w:rsidRPr="00C128C2" w:rsidTr="00C128C2">
        <w:trPr>
          <w:trHeight w:val="403"/>
        </w:trPr>
        <w:tc>
          <w:tcPr>
            <w:tcW w:w="4366" w:type="dxa"/>
            <w:tcBorders>
              <w:top w:val="nil"/>
              <w:left w:val="double" w:sz="6" w:space="0" w:color="auto"/>
              <w:bottom w:val="single" w:sz="4" w:space="0" w:color="auto"/>
              <w:right w:val="single" w:sz="4" w:space="0" w:color="auto"/>
            </w:tcBorders>
            <w:shd w:val="clear" w:color="auto" w:fill="auto"/>
            <w:vAlign w:val="bottom"/>
            <w:hideMark/>
          </w:tcPr>
          <w:p w:rsidR="00C128C2" w:rsidRPr="00C128C2" w:rsidRDefault="00C128C2" w:rsidP="00C128C2">
            <w:pPr>
              <w:rPr>
                <w:rFonts w:eastAsia="Times New Roman"/>
                <w:color w:val="000000"/>
                <w:sz w:val="16"/>
                <w:szCs w:val="16"/>
              </w:rPr>
            </w:pPr>
            <w:r w:rsidRPr="00C128C2">
              <w:rPr>
                <w:rFonts w:eastAsia="Times New Roman"/>
                <w:color w:val="000000"/>
                <w:sz w:val="16"/>
                <w:szCs w:val="16"/>
              </w:rPr>
              <w:t xml:space="preserve">Количество СМСП, </w:t>
            </w:r>
            <w:proofErr w:type="gramStart"/>
            <w:r w:rsidRPr="00C128C2">
              <w:rPr>
                <w:rFonts w:eastAsia="Times New Roman"/>
                <w:color w:val="000000"/>
                <w:sz w:val="16"/>
                <w:szCs w:val="16"/>
              </w:rPr>
              <w:t>получивших</w:t>
            </w:r>
            <w:proofErr w:type="gramEnd"/>
            <w:r w:rsidRPr="00C128C2">
              <w:rPr>
                <w:rFonts w:eastAsia="Times New Roman"/>
                <w:color w:val="000000"/>
                <w:sz w:val="16"/>
                <w:szCs w:val="16"/>
              </w:rPr>
              <w:t xml:space="preserve"> господдержку (субсидия на иные цели), ед.</w:t>
            </w:r>
          </w:p>
        </w:tc>
        <w:tc>
          <w:tcPr>
            <w:tcW w:w="700" w:type="dxa"/>
            <w:tcBorders>
              <w:top w:val="nil"/>
              <w:left w:val="nil"/>
              <w:bottom w:val="single" w:sz="4" w:space="0" w:color="auto"/>
              <w:right w:val="single" w:sz="4" w:space="0" w:color="auto"/>
            </w:tcBorders>
            <w:shd w:val="clear" w:color="auto" w:fill="auto"/>
            <w:noWrap/>
            <w:vAlign w:val="bottom"/>
            <w:hideMark/>
          </w:tcPr>
          <w:p w:rsidR="00C128C2" w:rsidRPr="00C128C2" w:rsidRDefault="00C128C2" w:rsidP="00C128C2">
            <w:pPr>
              <w:rPr>
                <w:rFonts w:eastAsia="Times New Roman"/>
                <w:color w:val="000000"/>
                <w:sz w:val="16"/>
                <w:szCs w:val="16"/>
              </w:rPr>
            </w:pPr>
            <w:r w:rsidRPr="00C128C2">
              <w:rPr>
                <w:rFonts w:eastAsia="Times New Roman"/>
                <w:color w:val="000000"/>
                <w:sz w:val="16"/>
                <w:szCs w:val="16"/>
              </w:rPr>
              <w:t> </w:t>
            </w:r>
          </w:p>
        </w:tc>
        <w:tc>
          <w:tcPr>
            <w:tcW w:w="640" w:type="dxa"/>
            <w:tcBorders>
              <w:top w:val="nil"/>
              <w:left w:val="nil"/>
              <w:bottom w:val="single" w:sz="4" w:space="0" w:color="auto"/>
              <w:right w:val="single" w:sz="4" w:space="0" w:color="auto"/>
            </w:tcBorders>
            <w:shd w:val="clear" w:color="auto" w:fill="auto"/>
            <w:noWrap/>
            <w:vAlign w:val="bottom"/>
            <w:hideMark/>
          </w:tcPr>
          <w:p w:rsidR="00C128C2" w:rsidRPr="00C128C2" w:rsidRDefault="00C128C2" w:rsidP="00C128C2">
            <w:pPr>
              <w:rPr>
                <w:rFonts w:eastAsia="Times New Roman"/>
                <w:color w:val="000000"/>
                <w:sz w:val="16"/>
                <w:szCs w:val="16"/>
              </w:rPr>
            </w:pPr>
            <w:r w:rsidRPr="00C128C2">
              <w:rPr>
                <w:rFonts w:eastAsia="Times New Roman"/>
                <w:color w:val="000000"/>
                <w:sz w:val="16"/>
                <w:szCs w:val="16"/>
              </w:rPr>
              <w:t> </w:t>
            </w:r>
          </w:p>
        </w:tc>
        <w:tc>
          <w:tcPr>
            <w:tcW w:w="760" w:type="dxa"/>
            <w:tcBorders>
              <w:top w:val="nil"/>
              <w:left w:val="nil"/>
              <w:bottom w:val="single" w:sz="4" w:space="0" w:color="auto"/>
              <w:right w:val="single" w:sz="4" w:space="0" w:color="auto"/>
            </w:tcBorders>
            <w:shd w:val="clear" w:color="auto" w:fill="auto"/>
            <w:noWrap/>
            <w:vAlign w:val="bottom"/>
            <w:hideMark/>
          </w:tcPr>
          <w:p w:rsidR="00C128C2" w:rsidRPr="00C128C2" w:rsidRDefault="00C128C2" w:rsidP="00C128C2">
            <w:pPr>
              <w:rPr>
                <w:rFonts w:eastAsia="Times New Roman"/>
                <w:color w:val="000000"/>
                <w:sz w:val="16"/>
                <w:szCs w:val="16"/>
              </w:rPr>
            </w:pPr>
            <w:r w:rsidRPr="00C128C2">
              <w:rPr>
                <w:rFonts w:eastAsia="Times New Roman"/>
                <w:color w:val="000000"/>
                <w:sz w:val="16"/>
                <w:szCs w:val="16"/>
              </w:rPr>
              <w:t> </w:t>
            </w:r>
          </w:p>
        </w:tc>
        <w:tc>
          <w:tcPr>
            <w:tcW w:w="640" w:type="dxa"/>
            <w:tcBorders>
              <w:top w:val="nil"/>
              <w:left w:val="nil"/>
              <w:bottom w:val="single" w:sz="4" w:space="0" w:color="auto"/>
              <w:right w:val="single" w:sz="4" w:space="0" w:color="auto"/>
            </w:tcBorders>
            <w:shd w:val="clear" w:color="auto" w:fill="auto"/>
            <w:noWrap/>
            <w:vAlign w:val="center"/>
            <w:hideMark/>
          </w:tcPr>
          <w:p w:rsidR="00C128C2" w:rsidRPr="00C128C2" w:rsidRDefault="00C128C2" w:rsidP="00C128C2">
            <w:pPr>
              <w:jc w:val="center"/>
              <w:rPr>
                <w:rFonts w:eastAsia="Times New Roman"/>
                <w:color w:val="000000"/>
                <w:sz w:val="16"/>
                <w:szCs w:val="16"/>
              </w:rPr>
            </w:pPr>
            <w:r w:rsidRPr="00C128C2">
              <w:rPr>
                <w:rFonts w:eastAsia="Times New Roman"/>
                <w:color w:val="000000"/>
                <w:sz w:val="16"/>
                <w:szCs w:val="16"/>
              </w:rPr>
              <w:t> </w:t>
            </w:r>
          </w:p>
        </w:tc>
        <w:tc>
          <w:tcPr>
            <w:tcW w:w="696" w:type="dxa"/>
            <w:tcBorders>
              <w:top w:val="nil"/>
              <w:left w:val="nil"/>
              <w:bottom w:val="single" w:sz="4" w:space="0" w:color="auto"/>
              <w:right w:val="single" w:sz="4" w:space="0" w:color="auto"/>
            </w:tcBorders>
            <w:shd w:val="clear" w:color="auto" w:fill="auto"/>
            <w:noWrap/>
            <w:vAlign w:val="center"/>
            <w:hideMark/>
          </w:tcPr>
          <w:p w:rsidR="00C128C2" w:rsidRPr="00C128C2" w:rsidRDefault="00C128C2" w:rsidP="00C128C2">
            <w:pPr>
              <w:jc w:val="center"/>
              <w:rPr>
                <w:rFonts w:eastAsia="Times New Roman"/>
                <w:color w:val="000000"/>
                <w:sz w:val="16"/>
                <w:szCs w:val="16"/>
              </w:rPr>
            </w:pPr>
            <w:r w:rsidRPr="00C128C2">
              <w:rPr>
                <w:rFonts w:eastAsia="Times New Roman"/>
                <w:color w:val="000000"/>
                <w:sz w:val="16"/>
                <w:szCs w:val="16"/>
              </w:rPr>
              <w:t> </w:t>
            </w:r>
          </w:p>
        </w:tc>
        <w:tc>
          <w:tcPr>
            <w:tcW w:w="740" w:type="dxa"/>
            <w:tcBorders>
              <w:top w:val="nil"/>
              <w:left w:val="nil"/>
              <w:bottom w:val="single" w:sz="4" w:space="0" w:color="auto"/>
              <w:right w:val="single" w:sz="4" w:space="0" w:color="auto"/>
            </w:tcBorders>
            <w:shd w:val="clear" w:color="000000" w:fill="FFFFFF"/>
            <w:noWrap/>
            <w:vAlign w:val="center"/>
            <w:hideMark/>
          </w:tcPr>
          <w:p w:rsidR="00C128C2" w:rsidRPr="00C128C2" w:rsidRDefault="00C128C2" w:rsidP="00C128C2">
            <w:pPr>
              <w:jc w:val="center"/>
              <w:rPr>
                <w:rFonts w:eastAsia="Times New Roman"/>
                <w:color w:val="000000"/>
                <w:sz w:val="16"/>
                <w:szCs w:val="16"/>
              </w:rPr>
            </w:pPr>
            <w:r w:rsidRPr="00C128C2">
              <w:rPr>
                <w:rFonts w:eastAsia="Times New Roman"/>
                <w:color w:val="000000"/>
                <w:sz w:val="16"/>
                <w:szCs w:val="16"/>
              </w:rPr>
              <w:t> </w:t>
            </w:r>
          </w:p>
        </w:tc>
        <w:tc>
          <w:tcPr>
            <w:tcW w:w="615" w:type="dxa"/>
            <w:tcBorders>
              <w:top w:val="nil"/>
              <w:left w:val="nil"/>
              <w:bottom w:val="single" w:sz="4" w:space="0" w:color="auto"/>
              <w:right w:val="single" w:sz="4" w:space="0" w:color="auto"/>
            </w:tcBorders>
            <w:shd w:val="clear" w:color="auto" w:fill="auto"/>
            <w:noWrap/>
            <w:vAlign w:val="center"/>
            <w:hideMark/>
          </w:tcPr>
          <w:p w:rsidR="00C128C2" w:rsidRPr="00C128C2" w:rsidRDefault="00C128C2" w:rsidP="00C128C2">
            <w:pPr>
              <w:jc w:val="center"/>
              <w:rPr>
                <w:rFonts w:eastAsia="Times New Roman"/>
                <w:color w:val="000000"/>
                <w:sz w:val="16"/>
                <w:szCs w:val="16"/>
              </w:rPr>
            </w:pPr>
            <w:r w:rsidRPr="00C128C2">
              <w:rPr>
                <w:rFonts w:eastAsia="Times New Roman"/>
                <w:color w:val="000000"/>
                <w:sz w:val="16"/>
                <w:szCs w:val="16"/>
              </w:rPr>
              <w:t>200</w:t>
            </w:r>
          </w:p>
        </w:tc>
        <w:tc>
          <w:tcPr>
            <w:tcW w:w="623" w:type="dxa"/>
            <w:tcBorders>
              <w:top w:val="nil"/>
              <w:left w:val="nil"/>
              <w:bottom w:val="single" w:sz="4" w:space="0" w:color="auto"/>
              <w:right w:val="single" w:sz="4" w:space="0" w:color="auto"/>
            </w:tcBorders>
            <w:shd w:val="clear" w:color="auto" w:fill="auto"/>
            <w:noWrap/>
            <w:vAlign w:val="center"/>
            <w:hideMark/>
          </w:tcPr>
          <w:p w:rsidR="00C128C2" w:rsidRPr="00C128C2" w:rsidRDefault="00C128C2" w:rsidP="00C128C2">
            <w:pPr>
              <w:jc w:val="center"/>
              <w:rPr>
                <w:rFonts w:eastAsia="Times New Roman"/>
                <w:color w:val="000000"/>
                <w:sz w:val="16"/>
                <w:szCs w:val="16"/>
              </w:rPr>
            </w:pPr>
            <w:r w:rsidRPr="00C128C2">
              <w:rPr>
                <w:rFonts w:eastAsia="Times New Roman"/>
                <w:color w:val="000000"/>
                <w:sz w:val="16"/>
                <w:szCs w:val="16"/>
              </w:rPr>
              <w:t>264</w:t>
            </w:r>
          </w:p>
        </w:tc>
        <w:tc>
          <w:tcPr>
            <w:tcW w:w="760" w:type="dxa"/>
            <w:tcBorders>
              <w:top w:val="nil"/>
              <w:left w:val="nil"/>
              <w:bottom w:val="single" w:sz="4" w:space="0" w:color="auto"/>
              <w:right w:val="double" w:sz="6" w:space="0" w:color="auto"/>
            </w:tcBorders>
            <w:shd w:val="clear" w:color="auto" w:fill="auto"/>
            <w:noWrap/>
            <w:vAlign w:val="center"/>
            <w:hideMark/>
          </w:tcPr>
          <w:p w:rsidR="00C128C2" w:rsidRPr="00C128C2" w:rsidRDefault="00C128C2" w:rsidP="00C128C2">
            <w:pPr>
              <w:jc w:val="center"/>
              <w:rPr>
                <w:rFonts w:eastAsia="Times New Roman"/>
                <w:color w:val="000000"/>
                <w:sz w:val="16"/>
                <w:szCs w:val="16"/>
              </w:rPr>
            </w:pPr>
            <w:r w:rsidRPr="00C128C2">
              <w:rPr>
                <w:rFonts w:eastAsia="Times New Roman"/>
                <w:color w:val="000000"/>
                <w:sz w:val="16"/>
                <w:szCs w:val="16"/>
              </w:rPr>
              <w:t>132,0</w:t>
            </w:r>
          </w:p>
        </w:tc>
      </w:tr>
      <w:tr w:rsidR="00C128C2" w:rsidRPr="00C128C2" w:rsidTr="00C128C2">
        <w:trPr>
          <w:trHeight w:val="551"/>
        </w:trPr>
        <w:tc>
          <w:tcPr>
            <w:tcW w:w="4366" w:type="dxa"/>
            <w:tcBorders>
              <w:top w:val="nil"/>
              <w:left w:val="double" w:sz="6" w:space="0" w:color="auto"/>
              <w:bottom w:val="double" w:sz="6" w:space="0" w:color="auto"/>
              <w:right w:val="single" w:sz="4" w:space="0" w:color="auto"/>
            </w:tcBorders>
            <w:shd w:val="clear" w:color="auto" w:fill="auto"/>
            <w:vAlign w:val="bottom"/>
            <w:hideMark/>
          </w:tcPr>
          <w:p w:rsidR="00C128C2" w:rsidRPr="00C128C2" w:rsidRDefault="00C128C2" w:rsidP="00C128C2">
            <w:pPr>
              <w:rPr>
                <w:rFonts w:eastAsia="Times New Roman"/>
                <w:color w:val="000000"/>
                <w:sz w:val="16"/>
                <w:szCs w:val="16"/>
              </w:rPr>
            </w:pPr>
            <w:r w:rsidRPr="00C128C2">
              <w:rPr>
                <w:rFonts w:eastAsia="Times New Roman"/>
                <w:color w:val="000000"/>
                <w:sz w:val="16"/>
                <w:szCs w:val="16"/>
              </w:rPr>
              <w:t>Количество вновь созданных рабочих мест, включая вновь зарегистрированных индивидуальных предпринимателей (субсидия на иные цели), ед.</w:t>
            </w:r>
          </w:p>
        </w:tc>
        <w:tc>
          <w:tcPr>
            <w:tcW w:w="700" w:type="dxa"/>
            <w:tcBorders>
              <w:top w:val="nil"/>
              <w:left w:val="nil"/>
              <w:bottom w:val="double" w:sz="6" w:space="0" w:color="auto"/>
              <w:right w:val="single" w:sz="4" w:space="0" w:color="auto"/>
            </w:tcBorders>
            <w:shd w:val="clear" w:color="auto" w:fill="auto"/>
            <w:noWrap/>
            <w:vAlign w:val="bottom"/>
            <w:hideMark/>
          </w:tcPr>
          <w:p w:rsidR="00C128C2" w:rsidRPr="00C128C2" w:rsidRDefault="00C128C2" w:rsidP="00C128C2">
            <w:pPr>
              <w:rPr>
                <w:rFonts w:eastAsia="Times New Roman"/>
                <w:color w:val="000000"/>
                <w:sz w:val="16"/>
                <w:szCs w:val="16"/>
              </w:rPr>
            </w:pPr>
            <w:r w:rsidRPr="00C128C2">
              <w:rPr>
                <w:rFonts w:eastAsia="Times New Roman"/>
                <w:color w:val="000000"/>
                <w:sz w:val="16"/>
                <w:szCs w:val="16"/>
              </w:rPr>
              <w:t> </w:t>
            </w:r>
          </w:p>
        </w:tc>
        <w:tc>
          <w:tcPr>
            <w:tcW w:w="640" w:type="dxa"/>
            <w:tcBorders>
              <w:top w:val="nil"/>
              <w:left w:val="nil"/>
              <w:bottom w:val="double" w:sz="6" w:space="0" w:color="auto"/>
              <w:right w:val="single" w:sz="4" w:space="0" w:color="auto"/>
            </w:tcBorders>
            <w:shd w:val="clear" w:color="auto" w:fill="auto"/>
            <w:noWrap/>
            <w:vAlign w:val="bottom"/>
            <w:hideMark/>
          </w:tcPr>
          <w:p w:rsidR="00C128C2" w:rsidRPr="00C128C2" w:rsidRDefault="00C128C2" w:rsidP="00C128C2">
            <w:pPr>
              <w:rPr>
                <w:rFonts w:eastAsia="Times New Roman"/>
                <w:color w:val="000000"/>
                <w:sz w:val="16"/>
                <w:szCs w:val="16"/>
              </w:rPr>
            </w:pPr>
            <w:r w:rsidRPr="00C128C2">
              <w:rPr>
                <w:rFonts w:eastAsia="Times New Roman"/>
                <w:color w:val="000000"/>
                <w:sz w:val="16"/>
                <w:szCs w:val="16"/>
              </w:rPr>
              <w:t> </w:t>
            </w:r>
          </w:p>
        </w:tc>
        <w:tc>
          <w:tcPr>
            <w:tcW w:w="760" w:type="dxa"/>
            <w:tcBorders>
              <w:top w:val="nil"/>
              <w:left w:val="nil"/>
              <w:bottom w:val="double" w:sz="6" w:space="0" w:color="auto"/>
              <w:right w:val="single" w:sz="4" w:space="0" w:color="auto"/>
            </w:tcBorders>
            <w:shd w:val="clear" w:color="auto" w:fill="auto"/>
            <w:noWrap/>
            <w:vAlign w:val="bottom"/>
            <w:hideMark/>
          </w:tcPr>
          <w:p w:rsidR="00C128C2" w:rsidRPr="00C128C2" w:rsidRDefault="00C128C2" w:rsidP="00C128C2">
            <w:pPr>
              <w:rPr>
                <w:rFonts w:eastAsia="Times New Roman"/>
                <w:color w:val="000000"/>
                <w:sz w:val="16"/>
                <w:szCs w:val="16"/>
              </w:rPr>
            </w:pPr>
            <w:r w:rsidRPr="00C128C2">
              <w:rPr>
                <w:rFonts w:eastAsia="Times New Roman"/>
                <w:color w:val="000000"/>
                <w:sz w:val="16"/>
                <w:szCs w:val="16"/>
              </w:rPr>
              <w:t> </w:t>
            </w:r>
          </w:p>
        </w:tc>
        <w:tc>
          <w:tcPr>
            <w:tcW w:w="640" w:type="dxa"/>
            <w:tcBorders>
              <w:top w:val="nil"/>
              <w:left w:val="nil"/>
              <w:bottom w:val="double" w:sz="6" w:space="0" w:color="auto"/>
              <w:right w:val="single" w:sz="4" w:space="0" w:color="auto"/>
            </w:tcBorders>
            <w:shd w:val="clear" w:color="auto" w:fill="auto"/>
            <w:noWrap/>
            <w:vAlign w:val="center"/>
            <w:hideMark/>
          </w:tcPr>
          <w:p w:rsidR="00C128C2" w:rsidRPr="00C128C2" w:rsidRDefault="00C128C2" w:rsidP="00C128C2">
            <w:pPr>
              <w:jc w:val="center"/>
              <w:rPr>
                <w:rFonts w:eastAsia="Times New Roman"/>
                <w:color w:val="000000"/>
                <w:sz w:val="16"/>
                <w:szCs w:val="16"/>
              </w:rPr>
            </w:pPr>
            <w:r w:rsidRPr="00C128C2">
              <w:rPr>
                <w:rFonts w:eastAsia="Times New Roman"/>
                <w:color w:val="000000"/>
                <w:sz w:val="16"/>
                <w:szCs w:val="16"/>
              </w:rPr>
              <w:t> </w:t>
            </w:r>
          </w:p>
        </w:tc>
        <w:tc>
          <w:tcPr>
            <w:tcW w:w="696" w:type="dxa"/>
            <w:tcBorders>
              <w:top w:val="nil"/>
              <w:left w:val="nil"/>
              <w:bottom w:val="double" w:sz="6" w:space="0" w:color="auto"/>
              <w:right w:val="single" w:sz="4" w:space="0" w:color="auto"/>
            </w:tcBorders>
            <w:shd w:val="clear" w:color="auto" w:fill="auto"/>
            <w:noWrap/>
            <w:vAlign w:val="center"/>
            <w:hideMark/>
          </w:tcPr>
          <w:p w:rsidR="00C128C2" w:rsidRPr="00C128C2" w:rsidRDefault="00C128C2" w:rsidP="00C128C2">
            <w:pPr>
              <w:jc w:val="center"/>
              <w:rPr>
                <w:rFonts w:eastAsia="Times New Roman"/>
                <w:color w:val="000000"/>
                <w:sz w:val="16"/>
                <w:szCs w:val="16"/>
              </w:rPr>
            </w:pPr>
            <w:r w:rsidRPr="00C128C2">
              <w:rPr>
                <w:rFonts w:eastAsia="Times New Roman"/>
                <w:color w:val="000000"/>
                <w:sz w:val="16"/>
                <w:szCs w:val="16"/>
              </w:rPr>
              <w:t> </w:t>
            </w:r>
          </w:p>
        </w:tc>
        <w:tc>
          <w:tcPr>
            <w:tcW w:w="740" w:type="dxa"/>
            <w:tcBorders>
              <w:top w:val="nil"/>
              <w:left w:val="nil"/>
              <w:bottom w:val="double" w:sz="6" w:space="0" w:color="auto"/>
              <w:right w:val="single" w:sz="4" w:space="0" w:color="auto"/>
            </w:tcBorders>
            <w:shd w:val="clear" w:color="000000" w:fill="FFFFFF"/>
            <w:noWrap/>
            <w:vAlign w:val="center"/>
            <w:hideMark/>
          </w:tcPr>
          <w:p w:rsidR="00C128C2" w:rsidRPr="00C128C2" w:rsidRDefault="00C128C2" w:rsidP="00C128C2">
            <w:pPr>
              <w:jc w:val="center"/>
              <w:rPr>
                <w:rFonts w:eastAsia="Times New Roman"/>
                <w:color w:val="000000"/>
                <w:sz w:val="16"/>
                <w:szCs w:val="16"/>
              </w:rPr>
            </w:pPr>
            <w:r w:rsidRPr="00C128C2">
              <w:rPr>
                <w:rFonts w:eastAsia="Times New Roman"/>
                <w:color w:val="000000"/>
                <w:sz w:val="16"/>
                <w:szCs w:val="16"/>
              </w:rPr>
              <w:t> </w:t>
            </w:r>
          </w:p>
        </w:tc>
        <w:tc>
          <w:tcPr>
            <w:tcW w:w="615" w:type="dxa"/>
            <w:tcBorders>
              <w:top w:val="nil"/>
              <w:left w:val="nil"/>
              <w:bottom w:val="double" w:sz="6" w:space="0" w:color="auto"/>
              <w:right w:val="single" w:sz="4" w:space="0" w:color="auto"/>
            </w:tcBorders>
            <w:shd w:val="clear" w:color="auto" w:fill="auto"/>
            <w:noWrap/>
            <w:vAlign w:val="center"/>
            <w:hideMark/>
          </w:tcPr>
          <w:p w:rsidR="00C128C2" w:rsidRPr="00C128C2" w:rsidRDefault="00C128C2" w:rsidP="00C128C2">
            <w:pPr>
              <w:jc w:val="center"/>
              <w:rPr>
                <w:rFonts w:eastAsia="Times New Roman"/>
                <w:color w:val="000000"/>
                <w:sz w:val="16"/>
                <w:szCs w:val="16"/>
              </w:rPr>
            </w:pPr>
            <w:r w:rsidRPr="00C128C2">
              <w:rPr>
                <w:rFonts w:eastAsia="Times New Roman"/>
                <w:color w:val="000000"/>
                <w:sz w:val="16"/>
                <w:szCs w:val="16"/>
              </w:rPr>
              <w:t>88</w:t>
            </w:r>
          </w:p>
        </w:tc>
        <w:tc>
          <w:tcPr>
            <w:tcW w:w="623" w:type="dxa"/>
            <w:tcBorders>
              <w:top w:val="nil"/>
              <w:left w:val="nil"/>
              <w:bottom w:val="double" w:sz="6" w:space="0" w:color="auto"/>
              <w:right w:val="single" w:sz="4" w:space="0" w:color="auto"/>
            </w:tcBorders>
            <w:shd w:val="clear" w:color="auto" w:fill="auto"/>
            <w:noWrap/>
            <w:vAlign w:val="center"/>
            <w:hideMark/>
          </w:tcPr>
          <w:p w:rsidR="00C128C2" w:rsidRPr="00C128C2" w:rsidRDefault="00C128C2" w:rsidP="00C128C2">
            <w:pPr>
              <w:jc w:val="center"/>
              <w:rPr>
                <w:rFonts w:eastAsia="Times New Roman"/>
                <w:color w:val="000000"/>
                <w:sz w:val="16"/>
                <w:szCs w:val="16"/>
              </w:rPr>
            </w:pPr>
            <w:r w:rsidRPr="00C128C2">
              <w:rPr>
                <w:rFonts w:eastAsia="Times New Roman"/>
                <w:color w:val="000000"/>
                <w:sz w:val="16"/>
                <w:szCs w:val="16"/>
              </w:rPr>
              <w:t>269</w:t>
            </w:r>
          </w:p>
        </w:tc>
        <w:tc>
          <w:tcPr>
            <w:tcW w:w="760" w:type="dxa"/>
            <w:tcBorders>
              <w:top w:val="nil"/>
              <w:left w:val="nil"/>
              <w:bottom w:val="double" w:sz="6" w:space="0" w:color="auto"/>
              <w:right w:val="double" w:sz="6" w:space="0" w:color="auto"/>
            </w:tcBorders>
            <w:shd w:val="clear" w:color="auto" w:fill="auto"/>
            <w:noWrap/>
            <w:vAlign w:val="center"/>
            <w:hideMark/>
          </w:tcPr>
          <w:p w:rsidR="00C128C2" w:rsidRPr="00C128C2" w:rsidRDefault="00C128C2" w:rsidP="00C128C2">
            <w:pPr>
              <w:jc w:val="center"/>
              <w:rPr>
                <w:rFonts w:eastAsia="Times New Roman"/>
                <w:color w:val="000000"/>
                <w:sz w:val="16"/>
                <w:szCs w:val="16"/>
              </w:rPr>
            </w:pPr>
            <w:r w:rsidRPr="00C128C2">
              <w:rPr>
                <w:rFonts w:eastAsia="Times New Roman"/>
                <w:color w:val="000000"/>
                <w:sz w:val="16"/>
                <w:szCs w:val="16"/>
              </w:rPr>
              <w:t>в 3,1 р.</w:t>
            </w:r>
          </w:p>
        </w:tc>
      </w:tr>
    </w:tbl>
    <w:p w:rsidR="004B3A5F" w:rsidRPr="004C155D" w:rsidRDefault="004B3A5F" w:rsidP="004B3A5F">
      <w:pPr>
        <w:autoSpaceDE w:val="0"/>
        <w:autoSpaceDN w:val="0"/>
        <w:adjustRightInd w:val="0"/>
        <w:jc w:val="both"/>
        <w:rPr>
          <w:sz w:val="20"/>
          <w:szCs w:val="20"/>
        </w:rPr>
      </w:pPr>
      <w:r>
        <w:rPr>
          <w:sz w:val="20"/>
          <w:szCs w:val="20"/>
        </w:rPr>
        <w:t xml:space="preserve">*, ** </w:t>
      </w:r>
      <w:r w:rsidRPr="004C155D">
        <w:rPr>
          <w:sz w:val="20"/>
          <w:szCs w:val="20"/>
        </w:rPr>
        <w:t>информация об исполнении индивидуальных показателей по субсидии на иные цели представлена с учетом исполнения их на конец отчетного периода и в первом квартале</w:t>
      </w:r>
      <w:r>
        <w:rPr>
          <w:sz w:val="20"/>
          <w:szCs w:val="20"/>
        </w:rPr>
        <w:t xml:space="preserve"> следующего года</w:t>
      </w:r>
      <w:r w:rsidRPr="004C155D">
        <w:rPr>
          <w:sz w:val="20"/>
          <w:szCs w:val="20"/>
        </w:rPr>
        <w:t xml:space="preserve">, так как это допускается условиями соглашений о предоставлении субсидий </w:t>
      </w:r>
    </w:p>
    <w:p w:rsidR="004B3A5F" w:rsidRPr="004C155D" w:rsidRDefault="004B3A5F" w:rsidP="004B3A5F">
      <w:pPr>
        <w:jc w:val="both"/>
        <w:rPr>
          <w:rFonts w:eastAsia="Times New Roman"/>
          <w:color w:val="000000"/>
          <w:sz w:val="20"/>
          <w:szCs w:val="20"/>
        </w:rPr>
      </w:pPr>
      <w:r w:rsidRPr="004C155D">
        <w:rPr>
          <w:rFonts w:eastAsia="Times New Roman"/>
          <w:color w:val="000000"/>
          <w:sz w:val="20"/>
          <w:szCs w:val="20"/>
        </w:rPr>
        <w:t>* исполнение на 01.04.2016</w:t>
      </w:r>
    </w:p>
    <w:p w:rsidR="004B3A5F" w:rsidRPr="004C155D" w:rsidRDefault="004B3A5F" w:rsidP="004B3A5F">
      <w:pPr>
        <w:jc w:val="both"/>
        <w:rPr>
          <w:rFonts w:eastAsia="Times New Roman"/>
          <w:color w:val="000000"/>
          <w:sz w:val="20"/>
          <w:szCs w:val="20"/>
        </w:rPr>
      </w:pPr>
      <w:r w:rsidRPr="004C155D">
        <w:rPr>
          <w:rFonts w:eastAsia="Times New Roman"/>
          <w:color w:val="000000"/>
          <w:sz w:val="20"/>
          <w:szCs w:val="20"/>
        </w:rPr>
        <w:t>** исполнение на 01.04.2017</w:t>
      </w:r>
    </w:p>
    <w:p w:rsidR="00323F3B" w:rsidRDefault="00482B9F" w:rsidP="007B49FB">
      <w:pPr>
        <w:spacing w:line="100" w:lineRule="atLeast"/>
        <w:ind w:firstLine="680"/>
        <w:jc w:val="both"/>
      </w:pPr>
      <w:r>
        <w:t>Как видно из таблицы, п</w:t>
      </w:r>
      <w:r w:rsidR="00986253" w:rsidRPr="007B49FB">
        <w:t xml:space="preserve">о </w:t>
      </w:r>
      <w:proofErr w:type="spellStart"/>
      <w:r w:rsidR="00986253" w:rsidRPr="007B49FB">
        <w:t>госзаданию</w:t>
      </w:r>
      <w:proofErr w:type="spellEnd"/>
      <w:r w:rsidR="00986253" w:rsidRPr="007B49FB">
        <w:t xml:space="preserve"> целевые показатели 2016 года существенно ниже показателей 2015 года в связи с тем, что госзадание было</w:t>
      </w:r>
      <w:r w:rsidR="00986253">
        <w:t xml:space="preserve"> доведено до ГАУ Бизнес-Инкубатор в сентябре 2016 года. </w:t>
      </w:r>
    </w:p>
    <w:p w:rsidR="00986253" w:rsidRPr="00B36A0C" w:rsidRDefault="00323F3B" w:rsidP="007B49FB">
      <w:pPr>
        <w:spacing w:line="100" w:lineRule="atLeast"/>
        <w:ind w:firstLine="680"/>
        <w:jc w:val="both"/>
      </w:pPr>
      <w:proofErr w:type="gramStart"/>
      <w:r w:rsidRPr="00B36A0C">
        <w:t>В рамках субсидии на иные цели в 2017 году наблюдается с</w:t>
      </w:r>
      <w:r w:rsidR="00986253" w:rsidRPr="00B36A0C">
        <w:t>нижение</w:t>
      </w:r>
      <w:r w:rsidRPr="00B36A0C">
        <w:t xml:space="preserve"> по отношению к 2016 году</w:t>
      </w:r>
      <w:r w:rsidR="00986253" w:rsidRPr="00B36A0C">
        <w:t xml:space="preserve"> </w:t>
      </w:r>
      <w:r w:rsidRPr="00B36A0C">
        <w:t xml:space="preserve">планового </w:t>
      </w:r>
      <w:r w:rsidR="00986253" w:rsidRPr="00B36A0C">
        <w:t xml:space="preserve">показателя </w:t>
      </w:r>
      <w:r w:rsidRPr="00B36A0C">
        <w:t>«</w:t>
      </w:r>
      <w:r w:rsidR="00986253" w:rsidRPr="00B36A0C">
        <w:t>количеств</w:t>
      </w:r>
      <w:r w:rsidRPr="00B36A0C">
        <w:t>о</w:t>
      </w:r>
      <w:r w:rsidR="00986253" w:rsidRPr="00B36A0C">
        <w:t xml:space="preserve"> СМСП, получивших господдержку</w:t>
      </w:r>
      <w:r w:rsidRPr="00B36A0C">
        <w:t>»</w:t>
      </w:r>
      <w:r w:rsidR="00986253" w:rsidRPr="00B36A0C">
        <w:t xml:space="preserve"> </w:t>
      </w:r>
      <w:r w:rsidRPr="00B36A0C">
        <w:t xml:space="preserve">по ЦПП на </w:t>
      </w:r>
      <w:r w:rsidR="00986253" w:rsidRPr="00B36A0C">
        <w:t>36,2%</w:t>
      </w:r>
      <w:r w:rsidRPr="00B36A0C">
        <w:t xml:space="preserve"> и по ЦИВО на 35,6%, что </w:t>
      </w:r>
      <w:r w:rsidR="00986253" w:rsidRPr="00B36A0C">
        <w:t>объясняется</w:t>
      </w:r>
      <w:r w:rsidRPr="00B36A0C">
        <w:t xml:space="preserve"> уменьшением </w:t>
      </w:r>
      <w:r w:rsidR="00986253" w:rsidRPr="00B36A0C">
        <w:t>размера субсидии, предоставленной в 2017 году (14,0 млн. руб.</w:t>
      </w:r>
      <w:r w:rsidRPr="00B36A0C">
        <w:t xml:space="preserve"> и 16,0 млн. руб. соответственно)</w:t>
      </w:r>
      <w:r w:rsidR="00986253" w:rsidRPr="00B36A0C">
        <w:t xml:space="preserve"> по сравнению с субсидией, предоставленной в 2016 году (30,0 млн. руб.</w:t>
      </w:r>
      <w:r w:rsidR="001E6B0E" w:rsidRPr="00B36A0C">
        <w:t xml:space="preserve"> и</w:t>
      </w:r>
      <w:proofErr w:type="gramEnd"/>
      <w:r w:rsidR="001E6B0E" w:rsidRPr="00B36A0C">
        <w:t xml:space="preserve"> 27,0 млн</w:t>
      </w:r>
      <w:proofErr w:type="gramStart"/>
      <w:r w:rsidR="001E6B0E" w:rsidRPr="00B36A0C">
        <w:t>.р</w:t>
      </w:r>
      <w:proofErr w:type="gramEnd"/>
      <w:r w:rsidR="001E6B0E" w:rsidRPr="00B36A0C">
        <w:t>уб.</w:t>
      </w:r>
      <w:r w:rsidR="00986253" w:rsidRPr="00B36A0C">
        <w:t>).</w:t>
      </w:r>
    </w:p>
    <w:p w:rsidR="00482B9F" w:rsidRPr="007B49FB" w:rsidRDefault="00B36A0C" w:rsidP="00482B9F">
      <w:pPr>
        <w:spacing w:line="100" w:lineRule="atLeast"/>
        <w:ind w:firstLine="680"/>
        <w:jc w:val="both"/>
      </w:pPr>
      <w:r w:rsidRPr="00B36A0C">
        <w:t>П</w:t>
      </w:r>
      <w:r w:rsidR="00482B9F" w:rsidRPr="00B36A0C">
        <w:t>еревыполнение показателей по субсидии на иные цели составляет по ЦПП</w:t>
      </w:r>
      <w:r w:rsidR="00482B9F">
        <w:t xml:space="preserve"> </w:t>
      </w:r>
      <w:r w:rsidR="00482B9F" w:rsidRPr="007B49FB">
        <w:t xml:space="preserve"> от 11,5% до 2,6 раз</w:t>
      </w:r>
      <w:r w:rsidR="00482B9F">
        <w:t>, по ЦИВО – от 4,0% до 5,8 раз, по ЦПЭ – от 32% до 3,1 раза.</w:t>
      </w:r>
    </w:p>
    <w:p w:rsidR="000C042A" w:rsidRPr="008A3A08" w:rsidRDefault="001D2EE8" w:rsidP="008A3A08">
      <w:pPr>
        <w:autoSpaceDE w:val="0"/>
        <w:autoSpaceDN w:val="0"/>
        <w:adjustRightInd w:val="0"/>
        <w:ind w:firstLine="680"/>
        <w:jc w:val="both"/>
      </w:pPr>
      <w:proofErr w:type="gramStart"/>
      <w:r>
        <w:t>Согласно приведенным в таблице данным</w:t>
      </w:r>
      <w:r w:rsidR="00B245EE">
        <w:t xml:space="preserve"> наблюдается </w:t>
      </w:r>
      <w:r w:rsidR="008A3A08">
        <w:t xml:space="preserve">существенное </w:t>
      </w:r>
      <w:r w:rsidR="00B245EE">
        <w:t xml:space="preserve"> перевыполнение </w:t>
      </w:r>
      <w:r w:rsidR="00786B66">
        <w:t>показателя «</w:t>
      </w:r>
      <w:r w:rsidR="00B245EE">
        <w:t>к</w:t>
      </w:r>
      <w:r w:rsidR="00786B66" w:rsidRPr="004D4C8E">
        <w:rPr>
          <w:rFonts w:eastAsia="Times New Roman"/>
          <w:bCs/>
          <w:color w:val="000000"/>
        </w:rPr>
        <w:t xml:space="preserve">оличество </w:t>
      </w:r>
      <w:r w:rsidR="00786B66">
        <w:rPr>
          <w:rFonts w:eastAsia="Times New Roman"/>
          <w:bCs/>
          <w:color w:val="000000"/>
        </w:rPr>
        <w:t>СМСП</w:t>
      </w:r>
      <w:r w:rsidR="00786B66" w:rsidRPr="004D4C8E">
        <w:rPr>
          <w:rFonts w:eastAsia="Times New Roman"/>
          <w:bCs/>
          <w:color w:val="000000"/>
        </w:rPr>
        <w:t>, получ</w:t>
      </w:r>
      <w:r w:rsidR="00786B66" w:rsidRPr="00452CED">
        <w:rPr>
          <w:rFonts w:eastAsia="Times New Roman"/>
          <w:bCs/>
          <w:color w:val="000000"/>
        </w:rPr>
        <w:t>ивших господдержку»</w:t>
      </w:r>
      <w:r w:rsidR="00786B66">
        <w:rPr>
          <w:rFonts w:eastAsia="Times New Roman"/>
          <w:bCs/>
          <w:color w:val="000000"/>
        </w:rPr>
        <w:t xml:space="preserve"> </w:t>
      </w:r>
      <w:r w:rsidR="00F23CBA">
        <w:rPr>
          <w:rFonts w:eastAsia="Times New Roman"/>
          <w:bCs/>
          <w:color w:val="000000"/>
        </w:rPr>
        <w:t>по суб</w:t>
      </w:r>
      <w:r w:rsidR="005833B0">
        <w:rPr>
          <w:rFonts w:eastAsia="Times New Roman"/>
          <w:bCs/>
          <w:color w:val="000000"/>
        </w:rPr>
        <w:t>сидии на иные цели</w:t>
      </w:r>
      <w:r w:rsidR="008A3A08">
        <w:rPr>
          <w:rFonts w:eastAsia="Times New Roman"/>
          <w:bCs/>
          <w:color w:val="000000"/>
        </w:rPr>
        <w:t xml:space="preserve"> (например, </w:t>
      </w:r>
      <w:r w:rsidR="000C042A">
        <w:rPr>
          <w:rFonts w:eastAsia="Times New Roman"/>
          <w:bCs/>
          <w:color w:val="000000"/>
        </w:rPr>
        <w:t xml:space="preserve">по ЦПП </w:t>
      </w:r>
      <w:r w:rsidR="005833B0">
        <w:rPr>
          <w:rFonts w:eastAsia="Times New Roman"/>
          <w:bCs/>
          <w:color w:val="000000"/>
        </w:rPr>
        <w:t xml:space="preserve"> </w:t>
      </w:r>
      <w:r w:rsidR="00786B66">
        <w:rPr>
          <w:rFonts w:eastAsia="Times New Roman"/>
          <w:bCs/>
          <w:color w:val="000000"/>
        </w:rPr>
        <w:t>в 2016</w:t>
      </w:r>
      <w:r w:rsidR="005833B0">
        <w:rPr>
          <w:rFonts w:eastAsia="Times New Roman"/>
          <w:bCs/>
          <w:color w:val="000000"/>
        </w:rPr>
        <w:t xml:space="preserve"> году</w:t>
      </w:r>
      <w:r w:rsidR="00786B66">
        <w:rPr>
          <w:rFonts w:eastAsia="Times New Roman"/>
          <w:bCs/>
          <w:color w:val="000000"/>
        </w:rPr>
        <w:t xml:space="preserve"> - в </w:t>
      </w:r>
      <w:r w:rsidR="005833B0" w:rsidRPr="00443486">
        <w:rPr>
          <w:rFonts w:eastAsia="Times New Roman"/>
          <w:bCs/>
          <w:color w:val="000000"/>
        </w:rPr>
        <w:t>1,8</w:t>
      </w:r>
      <w:r w:rsidR="008A3A08">
        <w:rPr>
          <w:rFonts w:eastAsia="Times New Roman"/>
          <w:bCs/>
          <w:color w:val="000000"/>
        </w:rPr>
        <w:t xml:space="preserve"> раза</w:t>
      </w:r>
      <w:r w:rsidR="00786B66" w:rsidRPr="00443486">
        <w:rPr>
          <w:rFonts w:eastAsia="Times New Roman"/>
          <w:bCs/>
          <w:color w:val="000000"/>
        </w:rPr>
        <w:t xml:space="preserve">, в 2017 году - в </w:t>
      </w:r>
      <w:r w:rsidR="005833B0" w:rsidRPr="00443486">
        <w:rPr>
          <w:rFonts w:eastAsia="Times New Roman"/>
          <w:bCs/>
          <w:color w:val="000000"/>
        </w:rPr>
        <w:t>2,0</w:t>
      </w:r>
      <w:r w:rsidR="008A3A08">
        <w:rPr>
          <w:rFonts w:eastAsia="Times New Roman"/>
          <w:bCs/>
          <w:color w:val="000000"/>
        </w:rPr>
        <w:t xml:space="preserve"> раза</w:t>
      </w:r>
      <w:r w:rsidR="00E432E2" w:rsidRPr="00443486">
        <w:rPr>
          <w:rFonts w:eastAsia="Times New Roman"/>
          <w:bCs/>
          <w:color w:val="000000"/>
        </w:rPr>
        <w:t>)</w:t>
      </w:r>
      <w:r w:rsidR="008A3A08">
        <w:rPr>
          <w:rFonts w:eastAsia="Times New Roman"/>
          <w:bCs/>
          <w:color w:val="000000"/>
        </w:rPr>
        <w:t>,</w:t>
      </w:r>
      <w:r w:rsidR="00E432E2" w:rsidRPr="00443486">
        <w:rPr>
          <w:rFonts w:eastAsia="Times New Roman"/>
          <w:bCs/>
          <w:color w:val="000000"/>
        </w:rPr>
        <w:t xml:space="preserve"> что</w:t>
      </w:r>
      <w:r w:rsidR="00E432E2">
        <w:rPr>
          <w:rFonts w:eastAsia="Times New Roman"/>
          <w:bCs/>
          <w:color w:val="000000"/>
        </w:rPr>
        <w:t xml:space="preserve"> в основном связано с </w:t>
      </w:r>
      <w:r w:rsidR="00786B66" w:rsidRPr="0033169E">
        <w:rPr>
          <w:rFonts w:eastAsia="Times New Roman"/>
        </w:rPr>
        <w:t xml:space="preserve">доведением Минэкономразвития </w:t>
      </w:r>
      <w:r w:rsidR="00E432E2">
        <w:rPr>
          <w:rFonts w:eastAsia="Times New Roman"/>
        </w:rPr>
        <w:t xml:space="preserve">России </w:t>
      </w:r>
      <w:r w:rsidR="00786B66" w:rsidRPr="0033169E">
        <w:rPr>
          <w:rFonts w:eastAsia="Times New Roman"/>
        </w:rPr>
        <w:t>усредненной стоимости услуги в целом по РФ и  установлением плановых значений, исходя из этой стоимости, что дает возможность при</w:t>
      </w:r>
      <w:proofErr w:type="gramEnd"/>
      <w:r w:rsidR="00786B66" w:rsidRPr="0033169E">
        <w:rPr>
          <w:rFonts w:eastAsia="Times New Roman"/>
        </w:rPr>
        <w:t xml:space="preserve"> реально складывающейся меньшей стоимости услуги п</w:t>
      </w:r>
      <w:r w:rsidR="00E432E2">
        <w:rPr>
          <w:rFonts w:eastAsia="Times New Roman"/>
        </w:rPr>
        <w:t xml:space="preserve">роводить большее количество консультационных мероприятий с привлечением большего количества СМСП. </w:t>
      </w:r>
      <w:r w:rsidR="00E432E2" w:rsidRPr="007572E0">
        <w:t xml:space="preserve">Например, </w:t>
      </w:r>
      <w:r w:rsidR="008A3A08">
        <w:t xml:space="preserve">по ЦПП </w:t>
      </w:r>
      <w:r w:rsidR="00E432E2" w:rsidRPr="007572E0">
        <w:t>при направлении средств на проведение круглых столов на тему «Инвестиции в бизнес. Вопросы привлечения финансирования» в размере 420,0 тыс. руб. указанный показатель был перевыполнен в 1,5 раза (услуга оказана 140 СМСП при плановом значении 90)</w:t>
      </w:r>
      <w:r w:rsidR="008A3A08">
        <w:t xml:space="preserve">. По ЦПЭ </w:t>
      </w:r>
      <w:r w:rsidR="000C042A" w:rsidRPr="00345619">
        <w:rPr>
          <w:rFonts w:eastAsia="Times New Roman"/>
        </w:rPr>
        <w:t xml:space="preserve">на проведение индивидуальных маркетинговых исследований иностранных рынков по запросу СМСП предусмотрено </w:t>
      </w:r>
      <w:r w:rsidR="000C042A" w:rsidRPr="004F1C1E">
        <w:rPr>
          <w:rFonts w:eastAsia="Times New Roman"/>
          <w:iCs/>
        </w:rPr>
        <w:t>не менее 10 исследований, не менее 5 СМСП, не более 450,00 тыс. руб. на 1 СМСП. Ф</w:t>
      </w:r>
      <w:r w:rsidR="000C042A" w:rsidRPr="00345619">
        <w:rPr>
          <w:rFonts w:eastAsia="Times New Roman"/>
          <w:iCs/>
        </w:rPr>
        <w:t>актически при направлении средств на указанные мероприятия в размере 1</w:t>
      </w:r>
      <w:r w:rsidR="000C042A">
        <w:rPr>
          <w:rFonts w:eastAsia="Times New Roman"/>
          <w:iCs/>
        </w:rPr>
        <w:t>,2 млн.</w:t>
      </w:r>
      <w:r w:rsidR="000C042A" w:rsidRPr="00345619">
        <w:rPr>
          <w:rFonts w:eastAsia="Times New Roman"/>
          <w:iCs/>
        </w:rPr>
        <w:t xml:space="preserve"> руб. (план 1</w:t>
      </w:r>
      <w:r w:rsidR="000C042A">
        <w:rPr>
          <w:rFonts w:eastAsia="Times New Roman"/>
          <w:iCs/>
        </w:rPr>
        <w:t>,8 млн.</w:t>
      </w:r>
      <w:r w:rsidR="000C042A" w:rsidRPr="00345619">
        <w:rPr>
          <w:rFonts w:eastAsia="Times New Roman"/>
          <w:iCs/>
        </w:rPr>
        <w:t xml:space="preserve"> руб.) был перевыполнен указанный показатель: при планируемом значении 5 СМСП услуга оказана 11 СМСП. </w:t>
      </w:r>
    </w:p>
    <w:p w:rsidR="00786B66" w:rsidRPr="00B934ED" w:rsidRDefault="007572E0" w:rsidP="001D2EE8">
      <w:pPr>
        <w:autoSpaceDE w:val="0"/>
        <w:autoSpaceDN w:val="0"/>
        <w:adjustRightInd w:val="0"/>
        <w:ind w:firstLine="680"/>
        <w:jc w:val="both"/>
        <w:rPr>
          <w:rFonts w:eastAsiaTheme="minorHAnsi"/>
        </w:rPr>
      </w:pPr>
      <w:r>
        <w:t>В отношении показателя «к</w:t>
      </w:r>
      <w:r w:rsidR="00786B66">
        <w:t>оличество вновь созданных рабочих мест…»</w:t>
      </w:r>
      <w:r w:rsidR="002C365E">
        <w:t xml:space="preserve">, по которому наблюдается перевыполнение в разрезе центров от 11,5% до 5,8 раз, </w:t>
      </w:r>
      <w:r>
        <w:t xml:space="preserve">следует отметить, что </w:t>
      </w:r>
      <w:r w:rsidR="00DA2624" w:rsidRPr="000E4D6A">
        <w:t>согласно Подпрограмме</w:t>
      </w:r>
      <w:r w:rsidR="00DA2624">
        <w:t xml:space="preserve">, </w:t>
      </w:r>
      <w:r w:rsidR="003D47B4">
        <w:t xml:space="preserve">а также </w:t>
      </w:r>
      <w:r w:rsidR="00DA2624">
        <w:t xml:space="preserve">условиям соглашения на предоставление субсидии </w:t>
      </w:r>
      <w:r w:rsidR="00DA2624" w:rsidRPr="000E4D6A">
        <w:t xml:space="preserve"> указанный показатель определяет общее количество вновь созданных рабочих мест СМСП, </w:t>
      </w:r>
      <w:r w:rsidR="00DA2624" w:rsidRPr="00B934ED">
        <w:t xml:space="preserve">получившими господдержку в рамках подпрограммы по реализуемым мероприятиям. Вместе с тем проверкой установлено, что </w:t>
      </w:r>
      <w:r w:rsidR="00786B66" w:rsidRPr="00B934ED">
        <w:t>данные о количестве рабочих мест СМСП предоставляются на момент оказания господдержки</w:t>
      </w:r>
      <w:r w:rsidR="00DA2624" w:rsidRPr="00B934ED">
        <w:t xml:space="preserve"> </w:t>
      </w:r>
      <w:r w:rsidR="00524DC2" w:rsidRPr="00800799">
        <w:t>(или в момент обращения за господдержкой до ее получения)</w:t>
      </w:r>
      <w:r w:rsidR="00524DC2">
        <w:t>,</w:t>
      </w:r>
      <w:r w:rsidRPr="00B934ED">
        <w:t xml:space="preserve"> </w:t>
      </w:r>
      <w:r w:rsidR="00A76B42">
        <w:t xml:space="preserve">т.е. выполнение показателя </w:t>
      </w:r>
      <w:r w:rsidRPr="00B934ED">
        <w:t>не связан</w:t>
      </w:r>
      <w:r w:rsidR="00524DC2">
        <w:t>о</w:t>
      </w:r>
      <w:r w:rsidRPr="00B934ED">
        <w:t xml:space="preserve"> </w:t>
      </w:r>
      <w:r w:rsidR="00786B66" w:rsidRPr="00B934ED">
        <w:t>с получением СМСП гос</w:t>
      </w:r>
      <w:r w:rsidR="00141532" w:rsidRPr="00B934ED">
        <w:t>поддержки</w:t>
      </w:r>
      <w:r w:rsidR="004C2F9C" w:rsidRPr="00B934ED">
        <w:t xml:space="preserve"> и не характеризует </w:t>
      </w:r>
      <w:r w:rsidR="001D2EE8" w:rsidRPr="00B934ED">
        <w:t xml:space="preserve">достижение эффекта от предоставления господдержки. </w:t>
      </w:r>
      <w:r w:rsidR="00786B66" w:rsidRPr="00B934ED">
        <w:t xml:space="preserve">Также проверкой установлено, что  </w:t>
      </w:r>
      <w:r w:rsidR="00786B66" w:rsidRPr="00B934ED">
        <w:rPr>
          <w:rFonts w:eastAsiaTheme="minorHAnsi"/>
        </w:rPr>
        <w:t xml:space="preserve">ГАУ </w:t>
      </w:r>
      <w:r w:rsidR="00A07AA3" w:rsidRPr="00B934ED">
        <w:rPr>
          <w:rFonts w:eastAsiaTheme="minorHAnsi"/>
        </w:rPr>
        <w:t>Б</w:t>
      </w:r>
      <w:r w:rsidR="00786B66" w:rsidRPr="00B934ED">
        <w:rPr>
          <w:rFonts w:eastAsiaTheme="minorHAnsi"/>
        </w:rPr>
        <w:t>изнес-инкубатор не запрашиваются какие-либо документы, подтверждающие достоверность показателя вновь созданных рабочих мест.</w:t>
      </w:r>
    </w:p>
    <w:p w:rsidR="00F12AAF" w:rsidRPr="00D5449E" w:rsidRDefault="00786B66" w:rsidP="00F12AAF">
      <w:pPr>
        <w:autoSpaceDE w:val="0"/>
        <w:autoSpaceDN w:val="0"/>
        <w:adjustRightInd w:val="0"/>
        <w:ind w:firstLine="680"/>
        <w:jc w:val="both"/>
      </w:pPr>
      <w:proofErr w:type="gramStart"/>
      <w:r>
        <w:lastRenderedPageBreak/>
        <w:t xml:space="preserve">Кроме того, </w:t>
      </w:r>
      <w:r w:rsidR="007F2600">
        <w:t xml:space="preserve">анализ тематики проведенных мероприятий показал, что </w:t>
      </w:r>
      <w:r>
        <w:t xml:space="preserve">указанный </w:t>
      </w:r>
      <w:r w:rsidRPr="00F12AAF">
        <w:t>показатель не имеет прямой связи с</w:t>
      </w:r>
      <w:r w:rsidR="00F12AAF" w:rsidRPr="00F12AAF">
        <w:t xml:space="preserve">о всеми </w:t>
      </w:r>
      <w:r w:rsidRPr="00F12AAF">
        <w:t xml:space="preserve"> </w:t>
      </w:r>
      <w:r w:rsidR="00FA5307" w:rsidRPr="00F12AAF">
        <w:t xml:space="preserve">проводимыми ЦПП </w:t>
      </w:r>
      <w:r w:rsidRPr="00F12AAF">
        <w:t xml:space="preserve"> мероприятиями</w:t>
      </w:r>
      <w:r w:rsidR="00F12AAF" w:rsidRPr="00F12AAF">
        <w:t>, а также отдельными</w:t>
      </w:r>
      <w:r w:rsidR="00F12AAF">
        <w:t xml:space="preserve"> мероприятиями,</w:t>
      </w:r>
      <w:r w:rsidR="00F12AAF" w:rsidRPr="00F12AAF">
        <w:t xml:space="preserve"> осуществляемыми ЦИВО и ЦПЭ</w:t>
      </w:r>
      <w:r w:rsidR="00F12AAF">
        <w:t xml:space="preserve">, </w:t>
      </w:r>
      <w:r w:rsidRPr="00F12AAF">
        <w:t>и не может использоваться для оценки их результативности</w:t>
      </w:r>
      <w:r w:rsidR="00FA5307" w:rsidRPr="00F12AAF">
        <w:t xml:space="preserve"> (</w:t>
      </w:r>
      <w:r w:rsidR="00332D15" w:rsidRPr="00F12AAF">
        <w:t xml:space="preserve">например, </w:t>
      </w:r>
      <w:r w:rsidR="00F12AAF" w:rsidRPr="00A2409F">
        <w:t xml:space="preserve">по ЦПП </w:t>
      </w:r>
      <w:r w:rsidR="007F2600">
        <w:t xml:space="preserve">осуществлялось </w:t>
      </w:r>
      <w:r w:rsidR="00F12AAF" w:rsidRPr="00F12AAF">
        <w:t>оказание консультационных услуг по вопросам финансового планирования, патентных исследований, по организ</w:t>
      </w:r>
      <w:r w:rsidR="00F12AAF">
        <w:t xml:space="preserve">ации сертификации товаров, по </w:t>
      </w:r>
      <w:r w:rsidR="00F12AAF" w:rsidRPr="00D5449E">
        <w:t>ЦИВО - проведение к</w:t>
      </w:r>
      <w:r w:rsidR="00F12AAF" w:rsidRPr="00D5449E">
        <w:rPr>
          <w:rFonts w:eastAsia="Times New Roman"/>
          <w:color w:val="000000"/>
        </w:rPr>
        <w:t>онсультационных услуг по защите прав</w:t>
      </w:r>
      <w:proofErr w:type="gramEnd"/>
      <w:r w:rsidR="00F12AAF" w:rsidRPr="00D5449E">
        <w:rPr>
          <w:rFonts w:eastAsia="Times New Roman"/>
          <w:color w:val="000000"/>
        </w:rPr>
        <w:t xml:space="preserve"> на результаты интеллектуальной деятельности, организация и проведение обучающего семинара для сотрудников МСП на тему «Безопасность пищевой продукции», по ЦПЭ - создание и (или) модернизация сайта </w:t>
      </w:r>
      <w:proofErr w:type="spellStart"/>
      <w:r w:rsidR="00F12AAF" w:rsidRPr="00D5449E">
        <w:rPr>
          <w:rFonts w:eastAsia="Times New Roman"/>
          <w:color w:val="000000"/>
        </w:rPr>
        <w:t>экспортно</w:t>
      </w:r>
      <w:proofErr w:type="spellEnd"/>
      <w:r w:rsidR="00F12AAF" w:rsidRPr="00D5449E">
        <w:rPr>
          <w:rFonts w:eastAsia="Times New Roman"/>
          <w:color w:val="000000"/>
        </w:rPr>
        <w:t xml:space="preserve"> ориентированного СМСП в информационно-телекоммуникационной сети «Интернет» и др.)</w:t>
      </w:r>
      <w:r w:rsidR="00F12AAF">
        <w:rPr>
          <w:rFonts w:eastAsia="Times New Roman"/>
          <w:color w:val="000000"/>
        </w:rPr>
        <w:t>.</w:t>
      </w:r>
    </w:p>
    <w:p w:rsidR="00E26FCB" w:rsidRPr="00163012" w:rsidRDefault="00E15B57" w:rsidP="00E15B57">
      <w:pPr>
        <w:autoSpaceDE w:val="0"/>
        <w:autoSpaceDN w:val="0"/>
        <w:adjustRightInd w:val="0"/>
        <w:ind w:firstLine="680"/>
        <w:jc w:val="both"/>
      </w:pPr>
      <w:proofErr w:type="gramStart"/>
      <w:r>
        <w:t>Также п</w:t>
      </w:r>
      <w:r w:rsidR="00E26FCB">
        <w:rPr>
          <w:rFonts w:eastAsia="Times New Roman"/>
        </w:rPr>
        <w:t xml:space="preserve">роверкой установлено, что </w:t>
      </w:r>
      <w:r w:rsidR="00E26FCB" w:rsidRPr="00E30A2C">
        <w:rPr>
          <w:rFonts w:eastAsia="Times New Roman"/>
        </w:rPr>
        <w:t>показатели «Прирост среднесписочной численности</w:t>
      </w:r>
      <w:r w:rsidR="00E26FCB">
        <w:rPr>
          <w:rFonts w:eastAsia="Times New Roman"/>
        </w:rPr>
        <w:t>…</w:t>
      </w:r>
      <w:r w:rsidR="00E26FCB" w:rsidRPr="00E30A2C">
        <w:rPr>
          <w:rFonts w:eastAsia="Times New Roman"/>
        </w:rPr>
        <w:t xml:space="preserve"> получивших господдержку», «Увеличение оборота </w:t>
      </w:r>
      <w:r w:rsidR="00E26FCB">
        <w:rPr>
          <w:rFonts w:eastAsia="Times New Roman"/>
        </w:rPr>
        <w:t>СМСП….</w:t>
      </w:r>
      <w:r w:rsidR="00E26FCB" w:rsidRPr="00E30A2C">
        <w:rPr>
          <w:rFonts w:eastAsia="Times New Roman"/>
        </w:rPr>
        <w:t xml:space="preserve">в постоянных ценах по отношению к показателю 2014 года», «Доля обрабатывающей промышленности в обороте </w:t>
      </w:r>
      <w:r w:rsidR="00E26FCB">
        <w:rPr>
          <w:rFonts w:eastAsia="Times New Roman"/>
        </w:rPr>
        <w:t>СМСП…</w:t>
      </w:r>
      <w:r w:rsidR="00E26FCB" w:rsidRPr="00E30A2C">
        <w:rPr>
          <w:rFonts w:eastAsia="Times New Roman"/>
        </w:rPr>
        <w:t xml:space="preserve"> получивших господдержку» были рассчитаны по 31 СМСП, </w:t>
      </w:r>
      <w:r w:rsidR="00E26FCB">
        <w:rPr>
          <w:rFonts w:eastAsia="Times New Roman"/>
        </w:rPr>
        <w:t>что составляет 31,6</w:t>
      </w:r>
      <w:r w:rsidR="00E26FCB" w:rsidRPr="0005786F">
        <w:rPr>
          <w:rFonts w:eastAsia="Times New Roman"/>
        </w:rPr>
        <w:t xml:space="preserve">% </w:t>
      </w:r>
      <w:r w:rsidR="00E26FCB">
        <w:rPr>
          <w:rFonts w:eastAsia="Times New Roman"/>
        </w:rPr>
        <w:t xml:space="preserve">от </w:t>
      </w:r>
      <w:r w:rsidR="00E26FCB" w:rsidRPr="0005786F">
        <w:rPr>
          <w:rFonts w:eastAsia="Times New Roman"/>
        </w:rPr>
        <w:t xml:space="preserve">количества СМСП, с которым были заключены </w:t>
      </w:r>
      <w:r w:rsidR="00E26FCB" w:rsidRPr="00E30A2C">
        <w:rPr>
          <w:rFonts w:eastAsia="Times New Roman"/>
        </w:rPr>
        <w:t>трехсторонн</w:t>
      </w:r>
      <w:r w:rsidR="00E26FCB">
        <w:rPr>
          <w:rFonts w:eastAsia="Times New Roman"/>
        </w:rPr>
        <w:t>ие договоры</w:t>
      </w:r>
      <w:r w:rsidR="00E26FCB" w:rsidRPr="00E30A2C">
        <w:rPr>
          <w:rFonts w:eastAsia="Times New Roman"/>
        </w:rPr>
        <w:t xml:space="preserve"> на оказание возмездных услуг</w:t>
      </w:r>
      <w:r w:rsidR="00E26FCB">
        <w:rPr>
          <w:rFonts w:eastAsia="Times New Roman"/>
        </w:rPr>
        <w:t xml:space="preserve"> (98 СМСП).</w:t>
      </w:r>
      <w:proofErr w:type="gramEnd"/>
      <w:r w:rsidR="00E26FCB">
        <w:rPr>
          <w:rFonts w:eastAsia="Times New Roman"/>
        </w:rPr>
        <w:t xml:space="preserve"> Т.е.</w:t>
      </w:r>
      <w:r w:rsidR="00E26FCB" w:rsidRPr="00E30A2C">
        <w:t xml:space="preserve"> </w:t>
      </w:r>
      <w:r w:rsidR="00E26FCB" w:rsidRPr="00E15B57">
        <w:t>количественное значение показателя не отражает реальную ситуацию о результатах предоставления господдержки СМСП.</w:t>
      </w:r>
    </w:p>
    <w:p w:rsidR="00E26FCB" w:rsidRPr="00775765" w:rsidRDefault="00E26FCB" w:rsidP="00E26FCB">
      <w:pPr>
        <w:ind w:firstLine="680"/>
        <w:jc w:val="both"/>
        <w:rPr>
          <w:rFonts w:eastAsia="Times New Roman"/>
        </w:rPr>
      </w:pPr>
      <w:r w:rsidRPr="00775765">
        <w:rPr>
          <w:rFonts w:eastAsia="Times New Roman"/>
        </w:rPr>
        <w:t xml:space="preserve">Согласно условиям трехсторонних договоров  СМСП представляют информацию о  достигнутых результатах финансово-хозяйственной деятельности </w:t>
      </w:r>
      <w:r w:rsidR="00A50A9F" w:rsidRPr="00775765">
        <w:rPr>
          <w:rFonts w:eastAsia="Times New Roman"/>
        </w:rPr>
        <w:t xml:space="preserve">в течение года </w:t>
      </w:r>
      <w:r w:rsidRPr="00775765">
        <w:rPr>
          <w:rFonts w:eastAsia="Times New Roman"/>
        </w:rPr>
        <w:t>после получения услуги</w:t>
      </w:r>
      <w:r w:rsidRPr="00775765">
        <w:t xml:space="preserve"> в сфере технологического и проектного инжиниринга</w:t>
      </w:r>
      <w:r w:rsidR="00D211B4" w:rsidRPr="00775765">
        <w:t xml:space="preserve">, </w:t>
      </w:r>
      <w:r w:rsidR="00775765" w:rsidRPr="00775765">
        <w:t xml:space="preserve">а также </w:t>
      </w:r>
      <w:r w:rsidR="00D211B4" w:rsidRPr="00775765">
        <w:t>изменениях этих результатов в сопряжении с получением им услуги</w:t>
      </w:r>
      <w:r w:rsidRPr="00775765">
        <w:rPr>
          <w:rFonts w:eastAsia="Times New Roman"/>
        </w:rPr>
        <w:t>. Ф</w:t>
      </w:r>
      <w:r w:rsidRPr="00775765">
        <w:t xml:space="preserve">актически </w:t>
      </w:r>
      <w:r w:rsidR="008709F3" w:rsidRPr="00775765">
        <w:t xml:space="preserve">такая информация </w:t>
      </w:r>
      <w:r w:rsidRPr="00775765">
        <w:t xml:space="preserve">была представлена только </w:t>
      </w:r>
      <w:r w:rsidRPr="00775765">
        <w:rPr>
          <w:rFonts w:eastAsia="Times New Roman"/>
        </w:rPr>
        <w:t>31 СМСП (из 98 СМСП), т.е. не всеми СМСП соблюдаются условия договора</w:t>
      </w:r>
      <w:r w:rsidR="008709F3" w:rsidRPr="00775765">
        <w:rPr>
          <w:rFonts w:eastAsia="Times New Roman"/>
        </w:rPr>
        <w:t xml:space="preserve"> по представлению информации</w:t>
      </w:r>
      <w:r w:rsidRPr="00775765">
        <w:rPr>
          <w:rFonts w:eastAsia="Times New Roman"/>
        </w:rPr>
        <w:t>, при этом ответственность за непредставление информации в</w:t>
      </w:r>
      <w:r w:rsidR="00206ECE">
        <w:rPr>
          <w:rFonts w:eastAsia="Times New Roman"/>
        </w:rPr>
        <w:t xml:space="preserve"> трехсторонних договорах не</w:t>
      </w:r>
      <w:r w:rsidRPr="00775765">
        <w:rPr>
          <w:rFonts w:eastAsia="Times New Roman"/>
        </w:rPr>
        <w:t xml:space="preserve"> предусмотрена. </w:t>
      </w:r>
    </w:p>
    <w:p w:rsidR="00A50A9F" w:rsidRPr="00775765" w:rsidRDefault="00E26FCB" w:rsidP="00E26FCB">
      <w:pPr>
        <w:pStyle w:val="ConsPlusNormal"/>
        <w:ind w:firstLine="680"/>
        <w:jc w:val="both"/>
        <w:rPr>
          <w:rFonts w:ascii="Times New Roman" w:hAnsi="Times New Roman" w:cs="Times New Roman"/>
          <w:sz w:val="24"/>
          <w:szCs w:val="24"/>
        </w:rPr>
      </w:pPr>
      <w:r w:rsidRPr="00775765">
        <w:rPr>
          <w:rFonts w:ascii="Times New Roman" w:hAnsi="Times New Roman" w:cs="Times New Roman"/>
          <w:sz w:val="24"/>
          <w:szCs w:val="24"/>
        </w:rPr>
        <w:t xml:space="preserve">По информации ЦИВО в настоящее время на основании Приказа Минэкономразвития РФ № 67 разрабатывается проект нового соглашения между СМСП и ЦИВО на предоставление услуги. В связи с этим </w:t>
      </w:r>
      <w:r w:rsidR="00775765" w:rsidRPr="00775765">
        <w:rPr>
          <w:rFonts w:ascii="Times New Roman" w:hAnsi="Times New Roman" w:cs="Times New Roman"/>
          <w:sz w:val="24"/>
          <w:szCs w:val="24"/>
        </w:rPr>
        <w:t xml:space="preserve">целесообразно </w:t>
      </w:r>
      <w:r w:rsidRPr="00775765">
        <w:rPr>
          <w:rFonts w:ascii="Times New Roman" w:hAnsi="Times New Roman" w:cs="Times New Roman"/>
          <w:sz w:val="24"/>
          <w:szCs w:val="24"/>
        </w:rPr>
        <w:t>предусмотреть в названном соглашении ответственность СМСП за неисполнение обязательства представлять в ЦИВО информацию о</w:t>
      </w:r>
      <w:r w:rsidR="00775765" w:rsidRPr="00775765">
        <w:rPr>
          <w:rFonts w:ascii="Times New Roman" w:hAnsi="Times New Roman" w:cs="Times New Roman"/>
          <w:sz w:val="24"/>
          <w:szCs w:val="24"/>
        </w:rPr>
        <w:t xml:space="preserve"> достигнутых результатах финансово-хозяйственной деятельности.</w:t>
      </w:r>
      <w:r w:rsidR="008709F3" w:rsidRPr="00775765">
        <w:rPr>
          <w:rFonts w:ascii="Times New Roman" w:hAnsi="Times New Roman" w:cs="Times New Roman"/>
          <w:sz w:val="24"/>
          <w:szCs w:val="24"/>
        </w:rPr>
        <w:t xml:space="preserve">  </w:t>
      </w:r>
    </w:p>
    <w:p w:rsidR="00E26FCB" w:rsidRDefault="00E26FCB" w:rsidP="00E26FCB">
      <w:pPr>
        <w:ind w:firstLine="680"/>
        <w:jc w:val="both"/>
      </w:pPr>
      <w:r w:rsidRPr="00775765">
        <w:t>Кроме того, информация у СМСП была запрошена до сдачи годовой бухгалтерской</w:t>
      </w:r>
      <w:r w:rsidRPr="008709F3">
        <w:t xml:space="preserve"> и формирования статистической отчетности и не подтверждена какими</w:t>
      </w:r>
      <w:r w:rsidR="007E25E5">
        <w:t>-</w:t>
      </w:r>
      <w:r w:rsidRPr="008709F3">
        <w:t>либо документами (например,  данными бухгалтерской  и статистической отчетности).</w:t>
      </w:r>
    </w:p>
    <w:p w:rsidR="002028D6" w:rsidRPr="008709F3" w:rsidRDefault="002028D6" w:rsidP="002028D6">
      <w:pPr>
        <w:ind w:firstLine="680"/>
        <w:jc w:val="both"/>
        <w:rPr>
          <w:rFonts w:ascii="PT Sans" w:eastAsia="Times New Roman" w:hAnsi="PT Sans"/>
        </w:rPr>
      </w:pPr>
      <w:r w:rsidRPr="008709F3">
        <w:t xml:space="preserve">В связи с вышеизложенным, проведенная оценка достижения показателей приводит к искаженному </w:t>
      </w:r>
      <w:r w:rsidRPr="008709F3">
        <w:rPr>
          <w:rFonts w:eastAsiaTheme="minorHAnsi"/>
          <w:lang w:eastAsia="en-US"/>
        </w:rPr>
        <w:t xml:space="preserve">представлению о результатах реализации мероприятий, тем самым не обеспечивается </w:t>
      </w:r>
      <w:r w:rsidRPr="008709F3">
        <w:t>объективная оценка</w:t>
      </w:r>
      <w:r w:rsidRPr="008709F3">
        <w:rPr>
          <w:rFonts w:ascii="PT Sans" w:eastAsia="Times New Roman" w:hAnsi="PT Sans"/>
        </w:rPr>
        <w:t xml:space="preserve"> эффективности оказываемой поддержки.</w:t>
      </w:r>
    </w:p>
    <w:p w:rsidR="002028D6" w:rsidRPr="00800799" w:rsidRDefault="002028D6" w:rsidP="002028D6">
      <w:pPr>
        <w:ind w:firstLine="680"/>
        <w:jc w:val="both"/>
      </w:pPr>
      <w:proofErr w:type="gramStart"/>
      <w:r w:rsidRPr="00E47716">
        <w:rPr>
          <w:rFonts w:eastAsiaTheme="minorHAnsi"/>
        </w:rPr>
        <w:t>Также следует отметить, что  проводимые ЦПЭ мероприятия не влияют в достаточной степени на  предусмотренный соглашением о предоставлении субсидии на 2017 год показатель «количество СМСП, осуществляющих экспортную деятельность в субъекте РФ» (вырос со 166 ед. в 2016 году до 267 единиц в 2017 году</w:t>
      </w:r>
      <w:r w:rsidR="00E47716" w:rsidRPr="00E47716">
        <w:rPr>
          <w:rFonts w:eastAsiaTheme="minorHAnsi"/>
        </w:rPr>
        <w:t xml:space="preserve"> по данным таможенной статистики</w:t>
      </w:r>
      <w:r w:rsidRPr="00E47716">
        <w:rPr>
          <w:rFonts w:eastAsiaTheme="minorHAnsi"/>
        </w:rPr>
        <w:t>), так как количество СМСП, заключивших экспортные контракты при содействии ЦПЭ, составляет 19 ед</w:t>
      </w:r>
      <w:proofErr w:type="gramEnd"/>
      <w:r w:rsidRPr="00E47716">
        <w:rPr>
          <w:rFonts w:eastAsiaTheme="minorHAnsi"/>
        </w:rPr>
        <w:t xml:space="preserve">., или 7,1% от общего количества СМП, </w:t>
      </w:r>
      <w:proofErr w:type="gramStart"/>
      <w:r w:rsidRPr="00E47716">
        <w:rPr>
          <w:rFonts w:eastAsiaTheme="minorHAnsi"/>
        </w:rPr>
        <w:t>осуществляющих</w:t>
      </w:r>
      <w:proofErr w:type="gramEnd"/>
      <w:r w:rsidRPr="00E47716">
        <w:rPr>
          <w:rFonts w:eastAsiaTheme="minorHAnsi"/>
        </w:rPr>
        <w:t xml:space="preserve"> экспортную деятельность.</w:t>
      </w:r>
      <w:r w:rsidRPr="00800799">
        <w:rPr>
          <w:rFonts w:eastAsiaTheme="minorHAnsi"/>
        </w:rPr>
        <w:t xml:space="preserve"> </w:t>
      </w:r>
    </w:p>
    <w:p w:rsidR="003864C4" w:rsidRDefault="003864C4" w:rsidP="00020589">
      <w:pPr>
        <w:pStyle w:val="ConsPlusNormal"/>
        <w:ind w:firstLine="680"/>
        <w:jc w:val="both"/>
        <w:rPr>
          <w:rFonts w:ascii="Times New Roman" w:hAnsi="Times New Roman" w:cs="Times New Roman"/>
          <w:bCs/>
          <w:sz w:val="24"/>
          <w:szCs w:val="24"/>
          <w:lang w:eastAsia="ar-SA"/>
        </w:rPr>
      </w:pPr>
    </w:p>
    <w:p w:rsidR="002E1A02" w:rsidRDefault="00FA5307" w:rsidP="008D5276">
      <w:pPr>
        <w:shd w:val="clear" w:color="auto" w:fill="FFFFFF"/>
        <w:ind w:firstLine="680"/>
        <w:jc w:val="both"/>
        <w:rPr>
          <w:lang w:eastAsia="ar-SA"/>
        </w:rPr>
      </w:pPr>
      <w:r w:rsidRPr="003864C4">
        <w:rPr>
          <w:bCs/>
          <w:lang w:eastAsia="ar-SA"/>
        </w:rPr>
        <w:t>Выборочной проверкой принадлежности получателей гос</w:t>
      </w:r>
      <w:r w:rsidR="003864C4">
        <w:rPr>
          <w:bCs/>
          <w:lang w:eastAsia="ar-SA"/>
        </w:rPr>
        <w:t>поддержки</w:t>
      </w:r>
      <w:r w:rsidRPr="003864C4">
        <w:rPr>
          <w:bCs/>
          <w:lang w:eastAsia="ar-SA"/>
        </w:rPr>
        <w:t xml:space="preserve"> к СМСП установлен</w:t>
      </w:r>
      <w:r w:rsidR="003864C4" w:rsidRPr="003864C4">
        <w:rPr>
          <w:bCs/>
          <w:lang w:eastAsia="ar-SA"/>
        </w:rPr>
        <w:t>ы</w:t>
      </w:r>
      <w:r w:rsidRPr="003864C4">
        <w:rPr>
          <w:bCs/>
          <w:lang w:eastAsia="ar-SA"/>
        </w:rPr>
        <w:t xml:space="preserve"> </w:t>
      </w:r>
      <w:r w:rsidR="003864C4" w:rsidRPr="003864C4">
        <w:rPr>
          <w:bCs/>
          <w:lang w:eastAsia="ar-SA"/>
        </w:rPr>
        <w:t xml:space="preserve">2 </w:t>
      </w:r>
      <w:r w:rsidR="009D0206" w:rsidRPr="003864C4">
        <w:rPr>
          <w:bCs/>
          <w:lang w:eastAsia="ar-SA"/>
        </w:rPr>
        <w:t>случа</w:t>
      </w:r>
      <w:r w:rsidR="003864C4" w:rsidRPr="003864C4">
        <w:rPr>
          <w:bCs/>
          <w:lang w:eastAsia="ar-SA"/>
        </w:rPr>
        <w:t>я</w:t>
      </w:r>
      <w:r w:rsidR="009D0206" w:rsidRPr="003864C4">
        <w:rPr>
          <w:bCs/>
          <w:lang w:eastAsia="ar-SA"/>
        </w:rPr>
        <w:t xml:space="preserve"> </w:t>
      </w:r>
      <w:r w:rsidR="003864C4" w:rsidRPr="003864C4">
        <w:rPr>
          <w:lang w:eastAsia="ar-SA"/>
        </w:rPr>
        <w:t>оказания</w:t>
      </w:r>
      <w:r w:rsidR="003864C4">
        <w:rPr>
          <w:lang w:eastAsia="ar-SA"/>
        </w:rPr>
        <w:t xml:space="preserve"> услуг СМСП, не являющимся </w:t>
      </w:r>
      <w:r w:rsidR="00E33988">
        <w:rPr>
          <w:lang w:eastAsia="ar-SA"/>
        </w:rPr>
        <w:t>таковыми</w:t>
      </w:r>
      <w:r w:rsidR="003864C4" w:rsidRPr="003864C4">
        <w:rPr>
          <w:lang w:eastAsia="ar-SA"/>
        </w:rPr>
        <w:t xml:space="preserve">: </w:t>
      </w:r>
    </w:p>
    <w:p w:rsidR="002E1A02" w:rsidRDefault="002E1A02" w:rsidP="008D5276">
      <w:pPr>
        <w:shd w:val="clear" w:color="auto" w:fill="FFFFFF"/>
        <w:ind w:firstLine="680"/>
        <w:jc w:val="both"/>
        <w:rPr>
          <w:lang w:eastAsia="ar-SA"/>
        </w:rPr>
      </w:pPr>
      <w:r>
        <w:rPr>
          <w:lang w:eastAsia="ar-SA"/>
        </w:rPr>
        <w:t xml:space="preserve">- </w:t>
      </w:r>
      <w:r w:rsidR="003864C4" w:rsidRPr="003864C4">
        <w:rPr>
          <w:lang w:eastAsia="ar-SA"/>
        </w:rPr>
        <w:t xml:space="preserve">в части деятельности ЦПП - </w:t>
      </w:r>
      <w:r w:rsidR="003864C4" w:rsidRPr="003864C4">
        <w:rPr>
          <w:bCs/>
          <w:lang w:eastAsia="ar-SA"/>
        </w:rPr>
        <w:t>ИП Коротких А.С.</w:t>
      </w:r>
      <w:r w:rsidR="003864C4" w:rsidRPr="003864C4">
        <w:rPr>
          <w:lang w:eastAsia="ar-SA"/>
        </w:rPr>
        <w:t xml:space="preserve">, </w:t>
      </w:r>
      <w:proofErr w:type="gramStart"/>
      <w:r w:rsidR="003864C4" w:rsidRPr="003864C4">
        <w:rPr>
          <w:lang w:eastAsia="ar-SA"/>
        </w:rPr>
        <w:t>обративш</w:t>
      </w:r>
      <w:r w:rsidR="003864C4">
        <w:rPr>
          <w:lang w:eastAsia="ar-SA"/>
        </w:rPr>
        <w:t>емуся</w:t>
      </w:r>
      <w:proofErr w:type="gramEnd"/>
      <w:r w:rsidR="003864C4" w:rsidRPr="003864C4">
        <w:rPr>
          <w:lang w:eastAsia="ar-SA"/>
        </w:rPr>
        <w:t xml:space="preserve"> в ЦПП за получением консультационных услуг 01.06.2017, но зарегистрирован</w:t>
      </w:r>
      <w:r w:rsidR="003864C4">
        <w:rPr>
          <w:lang w:eastAsia="ar-SA"/>
        </w:rPr>
        <w:t>ному</w:t>
      </w:r>
      <w:r w:rsidR="003864C4" w:rsidRPr="003864C4">
        <w:rPr>
          <w:lang w:eastAsia="ar-SA"/>
        </w:rPr>
        <w:t xml:space="preserve"> в качестве ИП 31.08.2017; </w:t>
      </w:r>
    </w:p>
    <w:p w:rsidR="002E1A02" w:rsidRDefault="002E1A02" w:rsidP="008D5276">
      <w:pPr>
        <w:shd w:val="clear" w:color="auto" w:fill="FFFFFF"/>
        <w:ind w:firstLine="680"/>
        <w:jc w:val="both"/>
      </w:pPr>
      <w:r>
        <w:rPr>
          <w:lang w:eastAsia="ar-SA"/>
        </w:rPr>
        <w:t xml:space="preserve">- </w:t>
      </w:r>
      <w:r w:rsidR="003864C4" w:rsidRPr="003864C4">
        <w:rPr>
          <w:lang w:eastAsia="ar-SA"/>
        </w:rPr>
        <w:t>в части деятельности ЦПЭ –</w:t>
      </w:r>
      <w:r w:rsidR="003864C4">
        <w:t xml:space="preserve"> ООО «</w:t>
      </w:r>
      <w:proofErr w:type="spellStart"/>
      <w:r w:rsidR="003864C4">
        <w:t>Эконедра</w:t>
      </w:r>
      <w:proofErr w:type="spellEnd"/>
      <w:r w:rsidR="003864C4">
        <w:t xml:space="preserve">», </w:t>
      </w:r>
      <w:r w:rsidR="003864C4" w:rsidRPr="003864C4">
        <w:t>прекративш</w:t>
      </w:r>
      <w:r w:rsidR="003864C4">
        <w:t>ему</w:t>
      </w:r>
      <w:r w:rsidR="003864C4" w:rsidRPr="003864C4">
        <w:t xml:space="preserve"> деятельность 02.12.2016</w:t>
      </w:r>
      <w:r w:rsidR="003864C4">
        <w:t>, но участвующему</w:t>
      </w:r>
      <w:r w:rsidR="003864C4" w:rsidRPr="003864C4">
        <w:t xml:space="preserve"> в практикуме по теме «</w:t>
      </w:r>
      <w:proofErr w:type="spellStart"/>
      <w:r w:rsidR="003864C4" w:rsidRPr="003864C4">
        <w:t>Несырьевой</w:t>
      </w:r>
      <w:proofErr w:type="spellEnd"/>
      <w:r w:rsidR="003864C4" w:rsidRPr="003864C4">
        <w:t xml:space="preserve"> экспорт…» в феврале 2017 года</w:t>
      </w:r>
      <w:r w:rsidR="003864C4">
        <w:t>.</w:t>
      </w:r>
      <w:r w:rsidR="008D5276">
        <w:t xml:space="preserve"> </w:t>
      </w:r>
    </w:p>
    <w:p w:rsidR="003864C4" w:rsidRPr="002D3875" w:rsidRDefault="003864C4" w:rsidP="008D5276">
      <w:pPr>
        <w:shd w:val="clear" w:color="auto" w:fill="FFFFFF"/>
        <w:ind w:firstLine="680"/>
        <w:jc w:val="both"/>
      </w:pPr>
      <w:proofErr w:type="gramStart"/>
      <w:r>
        <w:rPr>
          <w:lang w:eastAsia="ar-SA"/>
        </w:rPr>
        <w:lastRenderedPageBreak/>
        <w:t xml:space="preserve">В результате не </w:t>
      </w:r>
      <w:r w:rsidRPr="00621B99">
        <w:rPr>
          <w:bCs/>
          <w:lang w:eastAsia="ar-SA"/>
        </w:rPr>
        <w:t xml:space="preserve"> соблюдены требования </w:t>
      </w:r>
      <w:proofErr w:type="spellStart"/>
      <w:r w:rsidRPr="00621B99">
        <w:rPr>
          <w:bCs/>
          <w:lang w:eastAsia="ar-SA"/>
        </w:rPr>
        <w:t>госзадания</w:t>
      </w:r>
      <w:proofErr w:type="spellEnd"/>
      <w:r w:rsidRPr="00621B99">
        <w:rPr>
          <w:bCs/>
          <w:lang w:eastAsia="ar-SA"/>
        </w:rPr>
        <w:t xml:space="preserve"> и Подпрограммы, согласно котор</w:t>
      </w:r>
      <w:r>
        <w:rPr>
          <w:bCs/>
          <w:lang w:eastAsia="ar-SA"/>
        </w:rPr>
        <w:t>ым</w:t>
      </w:r>
      <w:r w:rsidRPr="00621B99">
        <w:rPr>
          <w:bCs/>
          <w:lang w:eastAsia="ar-SA"/>
        </w:rPr>
        <w:t xml:space="preserve"> </w:t>
      </w:r>
      <w:r w:rsidRPr="00621B99">
        <w:rPr>
          <w:lang w:eastAsia="ar-SA"/>
        </w:rPr>
        <w:t>м</w:t>
      </w:r>
      <w:r w:rsidRPr="00621B99">
        <w:t xml:space="preserve">еры поддержки распространяются на СМСП, </w:t>
      </w:r>
      <w:r w:rsidRPr="00465804">
        <w:t xml:space="preserve">соответствующих критериям, установленным Федеральным </w:t>
      </w:r>
      <w:hyperlink r:id="rId10" w:history="1">
        <w:r w:rsidRPr="00465804">
          <w:t>законом</w:t>
        </w:r>
      </w:hyperlink>
      <w:r w:rsidRPr="00465804">
        <w:t xml:space="preserve"> от 24.07.2007 №209-ФЗ «О развитии малого и среднего предпринимательства в Российской Федерации» (далее – Закон № 209-ФЗ),</w:t>
      </w:r>
      <w:r>
        <w:t xml:space="preserve"> зарегистрированные</w:t>
      </w:r>
      <w:r w:rsidRPr="00621B99">
        <w:t xml:space="preserve"> (или) осуществляющи</w:t>
      </w:r>
      <w:r>
        <w:t>е</w:t>
      </w:r>
      <w:r w:rsidRPr="00621B99">
        <w:t xml:space="preserve"> деятельность на территории Волгоградской области</w:t>
      </w:r>
      <w:r>
        <w:t>.</w:t>
      </w:r>
      <w:r w:rsidRPr="00C37357">
        <w:rPr>
          <w:bCs/>
          <w:lang w:eastAsia="ar-SA"/>
        </w:rPr>
        <w:t xml:space="preserve"> </w:t>
      </w:r>
      <w:proofErr w:type="gramEnd"/>
    </w:p>
    <w:p w:rsidR="000E3EED" w:rsidRDefault="000E3EED" w:rsidP="000E3EED">
      <w:pPr>
        <w:ind w:firstLine="680"/>
        <w:jc w:val="both"/>
        <w:rPr>
          <w:rFonts w:eastAsiaTheme="minorHAnsi"/>
        </w:rPr>
      </w:pPr>
      <w:r>
        <w:rPr>
          <w:rFonts w:eastAsiaTheme="minorHAnsi"/>
        </w:rPr>
        <w:t xml:space="preserve">Также проверкой ГАУ Бизнес-инкубатор </w:t>
      </w:r>
      <w:r>
        <w:rPr>
          <w:rFonts w:eastAsia="Times New Roman"/>
        </w:rPr>
        <w:t xml:space="preserve">установлено, что </w:t>
      </w:r>
      <w:r w:rsidRPr="009E0D35">
        <w:rPr>
          <w:rFonts w:eastAsia="Times New Roman"/>
        </w:rPr>
        <w:t xml:space="preserve">в размещенном на сайте </w:t>
      </w:r>
      <w:proofErr w:type="spellStart"/>
      <w:r w:rsidRPr="009E0D35">
        <w:rPr>
          <w:rFonts w:eastAsiaTheme="minorHAnsi"/>
        </w:rPr>
        <w:t>Об</w:t>
      </w:r>
      <w:r w:rsidR="002D56F7">
        <w:rPr>
          <w:rFonts w:eastAsiaTheme="minorHAnsi"/>
        </w:rPr>
        <w:t>л</w:t>
      </w:r>
      <w:r w:rsidRPr="009E0D35">
        <w:rPr>
          <w:rFonts w:eastAsiaTheme="minorHAnsi"/>
        </w:rPr>
        <w:t>комэкономразвития</w:t>
      </w:r>
      <w:proofErr w:type="spellEnd"/>
      <w:r w:rsidRPr="009E0D35">
        <w:rPr>
          <w:rFonts w:eastAsiaTheme="minorHAnsi"/>
        </w:rPr>
        <w:t xml:space="preserve"> реестре </w:t>
      </w:r>
      <w:proofErr w:type="spellStart"/>
      <w:r w:rsidRPr="009E0D35">
        <w:rPr>
          <w:rFonts w:eastAsiaTheme="minorHAnsi"/>
        </w:rPr>
        <w:t>СМСП-получателей</w:t>
      </w:r>
      <w:proofErr w:type="spellEnd"/>
      <w:r w:rsidRPr="009E0D35">
        <w:rPr>
          <w:rFonts w:eastAsiaTheme="minorHAnsi"/>
        </w:rPr>
        <w:t xml:space="preserve"> поддержки на момент начала проверки (31.05.2018) не была размещена информация о СМСП, </w:t>
      </w:r>
      <w:proofErr w:type="gramStart"/>
      <w:r w:rsidRPr="009E0D35">
        <w:rPr>
          <w:rFonts w:eastAsiaTheme="minorHAnsi"/>
        </w:rPr>
        <w:t>получивших</w:t>
      </w:r>
      <w:proofErr w:type="gramEnd"/>
      <w:r w:rsidRPr="009E0D35">
        <w:rPr>
          <w:rFonts w:eastAsiaTheme="minorHAnsi"/>
        </w:rPr>
        <w:t xml:space="preserve"> господдержку через ЦПЭ.</w:t>
      </w:r>
      <w:r w:rsidRPr="009E0D35">
        <w:rPr>
          <w:rFonts w:eastAsiaTheme="minorHAnsi"/>
          <w:lang w:eastAsia="en-US"/>
        </w:rPr>
        <w:t xml:space="preserve"> В результате </w:t>
      </w:r>
      <w:proofErr w:type="spellStart"/>
      <w:r w:rsidRPr="009E0D35">
        <w:rPr>
          <w:rFonts w:eastAsiaTheme="minorHAnsi"/>
          <w:lang w:eastAsia="en-US"/>
        </w:rPr>
        <w:t>Облкомэкономразвития</w:t>
      </w:r>
      <w:proofErr w:type="spellEnd"/>
      <w:r w:rsidRPr="009E0D35">
        <w:rPr>
          <w:rFonts w:eastAsiaTheme="minorHAnsi"/>
          <w:lang w:eastAsia="en-US"/>
        </w:rPr>
        <w:t xml:space="preserve"> не было обеспечено исполнение п. 3 ст. 8 «Реестры субъектов малого и среднего предпринимательства - получателей поддержки» Закона № 209-ФЗ, согласно которому органы исполнительной власти субъектов РФ вносят записи в реестры СМСП - получателей поддержки в отношении соответствующих СМСП в течение тридцати дней со дня принятия решения об оказании поддержки. </w:t>
      </w:r>
      <w:r w:rsidRPr="009E0D35">
        <w:rPr>
          <w:rFonts w:eastAsiaTheme="minorHAnsi"/>
        </w:rPr>
        <w:t>В ходе проверки</w:t>
      </w:r>
      <w:r w:rsidRPr="00A00E1D">
        <w:rPr>
          <w:rFonts w:eastAsiaTheme="minorHAnsi"/>
        </w:rPr>
        <w:t xml:space="preserve"> </w:t>
      </w:r>
      <w:r>
        <w:rPr>
          <w:rFonts w:eastAsiaTheme="minorHAnsi"/>
        </w:rPr>
        <w:t xml:space="preserve">ГАУ Бизнес-инкубатор </w:t>
      </w:r>
      <w:proofErr w:type="spellStart"/>
      <w:r w:rsidRPr="00A00E1D">
        <w:rPr>
          <w:rFonts w:eastAsiaTheme="minorHAnsi"/>
        </w:rPr>
        <w:t>Облкомэконом</w:t>
      </w:r>
      <w:r>
        <w:rPr>
          <w:rFonts w:eastAsiaTheme="minorHAnsi"/>
        </w:rPr>
        <w:t>развития</w:t>
      </w:r>
      <w:proofErr w:type="spellEnd"/>
      <w:r w:rsidRPr="00A00E1D">
        <w:rPr>
          <w:rFonts w:eastAsiaTheme="minorHAnsi"/>
        </w:rPr>
        <w:t xml:space="preserve"> указанный реестр был обновлен и дополнен сведениями о получателях господдержки через ЦПЭ.</w:t>
      </w:r>
    </w:p>
    <w:p w:rsidR="00CB604F" w:rsidRDefault="0002070B" w:rsidP="00C6453E">
      <w:pPr>
        <w:ind w:firstLine="680"/>
        <w:jc w:val="both"/>
        <w:rPr>
          <w:rFonts w:eastAsiaTheme="minorHAnsi"/>
          <w:i/>
        </w:rPr>
      </w:pPr>
      <w:r w:rsidRPr="00CF1E54">
        <w:rPr>
          <w:rFonts w:eastAsiaTheme="minorHAnsi"/>
          <w:i/>
        </w:rPr>
        <w:t xml:space="preserve">На основании </w:t>
      </w:r>
      <w:proofErr w:type="gramStart"/>
      <w:r w:rsidR="004D3996">
        <w:rPr>
          <w:rFonts w:eastAsiaTheme="minorHAnsi"/>
          <w:i/>
        </w:rPr>
        <w:t>выше</w:t>
      </w:r>
      <w:r w:rsidRPr="00CF1E54">
        <w:rPr>
          <w:rFonts w:eastAsiaTheme="minorHAnsi"/>
          <w:i/>
        </w:rPr>
        <w:t>изложенного</w:t>
      </w:r>
      <w:proofErr w:type="gramEnd"/>
      <w:r w:rsidRPr="00CF1E54">
        <w:rPr>
          <w:rFonts w:eastAsiaTheme="minorHAnsi"/>
          <w:i/>
        </w:rPr>
        <w:t xml:space="preserve"> можно сделать</w:t>
      </w:r>
      <w:r w:rsidR="00CB604F">
        <w:rPr>
          <w:rFonts w:eastAsiaTheme="minorHAnsi"/>
          <w:i/>
        </w:rPr>
        <w:t xml:space="preserve"> следующий в</w:t>
      </w:r>
      <w:r w:rsidR="004D3996">
        <w:rPr>
          <w:rFonts w:eastAsiaTheme="minorHAnsi"/>
          <w:i/>
        </w:rPr>
        <w:t>ывод о деятельности ЦПП, ЦИВО и ЦПЭ.</w:t>
      </w:r>
      <w:r w:rsidR="00C954C2">
        <w:rPr>
          <w:rFonts w:eastAsiaTheme="minorHAnsi"/>
          <w:i/>
        </w:rPr>
        <w:t xml:space="preserve"> Основной объем финансирования </w:t>
      </w:r>
      <w:r w:rsidR="00CB604F">
        <w:rPr>
          <w:rFonts w:eastAsiaTheme="minorHAnsi"/>
          <w:i/>
        </w:rPr>
        <w:t xml:space="preserve">центров приходится </w:t>
      </w:r>
      <w:r w:rsidR="00C954C2">
        <w:rPr>
          <w:rFonts w:eastAsiaTheme="minorHAnsi"/>
          <w:i/>
        </w:rPr>
        <w:t xml:space="preserve">на средства </w:t>
      </w:r>
      <w:proofErr w:type="gramStart"/>
      <w:r w:rsidR="00C954C2">
        <w:rPr>
          <w:rFonts w:eastAsiaTheme="minorHAnsi"/>
          <w:i/>
        </w:rPr>
        <w:t>субсидии</w:t>
      </w:r>
      <w:proofErr w:type="gramEnd"/>
      <w:r w:rsidR="00C954C2">
        <w:rPr>
          <w:rFonts w:eastAsiaTheme="minorHAnsi"/>
          <w:i/>
        </w:rPr>
        <w:t xml:space="preserve"> н</w:t>
      </w:r>
      <w:r w:rsidR="00CB604F">
        <w:rPr>
          <w:rFonts w:eastAsiaTheme="minorHAnsi"/>
          <w:i/>
        </w:rPr>
        <w:t xml:space="preserve">а иные цели (федеральный бюджет). Отмечается значительное перевыполнение </w:t>
      </w:r>
      <w:r w:rsidR="00006F43">
        <w:rPr>
          <w:rFonts w:eastAsiaTheme="minorHAnsi"/>
          <w:i/>
        </w:rPr>
        <w:t xml:space="preserve">ключевого </w:t>
      </w:r>
      <w:r w:rsidR="00CB604F">
        <w:rPr>
          <w:rFonts w:eastAsiaTheme="minorHAnsi"/>
          <w:i/>
        </w:rPr>
        <w:t xml:space="preserve">показателя </w:t>
      </w:r>
      <w:r w:rsidR="00CB604F" w:rsidRPr="00F568D5">
        <w:rPr>
          <w:rFonts w:eastAsia="Times New Roman"/>
          <w:i/>
        </w:rPr>
        <w:t>«</w:t>
      </w:r>
      <w:r w:rsidR="00CB604F" w:rsidRPr="00F568D5">
        <w:rPr>
          <w:i/>
        </w:rPr>
        <w:t>количество СМСП, получивших господдержку»</w:t>
      </w:r>
      <w:r w:rsidR="00CB604F">
        <w:rPr>
          <w:rFonts w:eastAsiaTheme="minorHAnsi"/>
          <w:i/>
        </w:rPr>
        <w:t xml:space="preserve">, что обусловлено установлением Минэкономразвития РФ </w:t>
      </w:r>
      <w:r w:rsidR="00CB604F" w:rsidRPr="006D0F94">
        <w:rPr>
          <w:rFonts w:eastAsia="Times New Roman"/>
          <w:i/>
        </w:rPr>
        <w:t>плановых значений показателей результативности использования субсидии, исходя из усредненной стоимости услуги в целом по РФ</w:t>
      </w:r>
      <w:r w:rsidR="00006F43">
        <w:rPr>
          <w:rFonts w:eastAsia="Times New Roman"/>
          <w:i/>
        </w:rPr>
        <w:t xml:space="preserve">. Это </w:t>
      </w:r>
      <w:r w:rsidR="00CB604F" w:rsidRPr="006D0F94">
        <w:rPr>
          <w:rFonts w:eastAsia="Times New Roman"/>
          <w:i/>
        </w:rPr>
        <w:t>дает  возможность при реально складывающейся меньшей стоимости услуги проводить большее количество мероприятий с привле</w:t>
      </w:r>
      <w:r w:rsidR="00433B37">
        <w:rPr>
          <w:rFonts w:eastAsia="Times New Roman"/>
          <w:i/>
        </w:rPr>
        <w:t>чением большего количества СМСП.</w:t>
      </w:r>
    </w:p>
    <w:p w:rsidR="00237FF2" w:rsidRPr="00E664BC" w:rsidRDefault="00237FF2" w:rsidP="006D7D6C">
      <w:pPr>
        <w:ind w:firstLine="680"/>
        <w:jc w:val="both"/>
        <w:rPr>
          <w:i/>
        </w:rPr>
      </w:pPr>
      <w:r w:rsidRPr="00E664BC">
        <w:rPr>
          <w:i/>
        </w:rPr>
        <w:t xml:space="preserve">Выполнение </w:t>
      </w:r>
      <w:r w:rsidR="00B94B81" w:rsidRPr="00E664BC">
        <w:rPr>
          <w:i/>
        </w:rPr>
        <w:t>показателя «</w:t>
      </w:r>
      <w:r w:rsidR="006D7D6C" w:rsidRPr="00E664BC">
        <w:rPr>
          <w:i/>
        </w:rPr>
        <w:t>к</w:t>
      </w:r>
      <w:r w:rsidR="00B94B81" w:rsidRPr="00E664BC">
        <w:rPr>
          <w:i/>
        </w:rPr>
        <w:t>оличество вновь созданных рабочих мест»</w:t>
      </w:r>
      <w:r w:rsidRPr="00E664BC">
        <w:rPr>
          <w:i/>
        </w:rPr>
        <w:t xml:space="preserve"> </w:t>
      </w:r>
      <w:r w:rsidR="006D7D6C" w:rsidRPr="00E664BC">
        <w:rPr>
          <w:i/>
        </w:rPr>
        <w:t xml:space="preserve">формируется на момент оказания господдержки (или в момент обращения за господдержкой до ее получения), поэтому никаким образом не связано с господдержкой. </w:t>
      </w:r>
      <w:r w:rsidR="004E0306" w:rsidRPr="00E664BC">
        <w:rPr>
          <w:rFonts w:ascii="PT Sans" w:eastAsia="Times New Roman" w:hAnsi="PT Sans"/>
          <w:i/>
        </w:rPr>
        <w:t xml:space="preserve">Кроме того, </w:t>
      </w:r>
      <w:r w:rsidR="00E664BC" w:rsidRPr="00E664BC">
        <w:rPr>
          <w:rFonts w:ascii="PT Sans" w:eastAsia="Times New Roman" w:hAnsi="PT Sans"/>
          <w:i/>
        </w:rPr>
        <w:t xml:space="preserve">проводимые </w:t>
      </w:r>
      <w:r w:rsidR="00E7391E">
        <w:rPr>
          <w:rFonts w:ascii="PT Sans" w:eastAsia="Times New Roman" w:hAnsi="PT Sans"/>
          <w:i/>
        </w:rPr>
        <w:t xml:space="preserve">в целом </w:t>
      </w:r>
      <w:r w:rsidR="00E664BC" w:rsidRPr="00E664BC">
        <w:rPr>
          <w:rFonts w:ascii="PT Sans" w:eastAsia="Times New Roman" w:hAnsi="PT Sans"/>
          <w:i/>
        </w:rPr>
        <w:t>ЦПП мероприятия и осуществляемые ЦИВО и ЦПЭ отдельные мероприятия не влияют на этот</w:t>
      </w:r>
      <w:r w:rsidRPr="00E664BC">
        <w:rPr>
          <w:rFonts w:ascii="PT Sans" w:eastAsia="Times New Roman" w:hAnsi="PT Sans"/>
          <w:i/>
        </w:rPr>
        <w:t xml:space="preserve"> показатель</w:t>
      </w:r>
      <w:r w:rsidR="00E664BC" w:rsidRPr="00E664BC">
        <w:rPr>
          <w:rFonts w:ascii="PT Sans" w:eastAsia="Times New Roman" w:hAnsi="PT Sans"/>
          <w:i/>
        </w:rPr>
        <w:t>.</w:t>
      </w:r>
      <w:r w:rsidR="006D7D6C" w:rsidRPr="00E664BC">
        <w:rPr>
          <w:rFonts w:ascii="PT Sans" w:eastAsia="Times New Roman" w:hAnsi="PT Sans"/>
          <w:i/>
        </w:rPr>
        <w:t xml:space="preserve"> </w:t>
      </w:r>
    </w:p>
    <w:p w:rsidR="00A9241E" w:rsidRDefault="009E0D35" w:rsidP="004E0306">
      <w:pPr>
        <w:ind w:firstLine="680"/>
        <w:jc w:val="both"/>
        <w:rPr>
          <w:rFonts w:ascii="PT Sans" w:eastAsia="Times New Roman" w:hAnsi="PT Sans"/>
          <w:i/>
        </w:rPr>
      </w:pPr>
      <w:r>
        <w:rPr>
          <w:rFonts w:ascii="PT Sans" w:eastAsia="Times New Roman" w:hAnsi="PT Sans"/>
          <w:i/>
        </w:rPr>
        <w:t>Д</w:t>
      </w:r>
      <w:r w:rsidR="00FC5860">
        <w:rPr>
          <w:rFonts w:ascii="PT Sans" w:eastAsia="Times New Roman" w:hAnsi="PT Sans"/>
          <w:i/>
        </w:rPr>
        <w:t>остоверность отдельных показателей, характеризующих экономическую деятельность СМСП (</w:t>
      </w:r>
      <w:r w:rsidR="00455391">
        <w:rPr>
          <w:rFonts w:ascii="PT Sans" w:eastAsia="Times New Roman" w:hAnsi="PT Sans"/>
          <w:i/>
        </w:rPr>
        <w:t xml:space="preserve">прирост среднесписочной численности, увеличение оборота СМСП </w:t>
      </w:r>
      <w:r w:rsidR="00FC5860">
        <w:rPr>
          <w:rFonts w:ascii="PT Sans" w:eastAsia="Times New Roman" w:hAnsi="PT Sans"/>
          <w:i/>
        </w:rPr>
        <w:t xml:space="preserve"> т.д.)</w:t>
      </w:r>
      <w:r w:rsidR="00E33988">
        <w:rPr>
          <w:rFonts w:ascii="PT Sans" w:eastAsia="Times New Roman" w:hAnsi="PT Sans"/>
          <w:i/>
        </w:rPr>
        <w:t xml:space="preserve">, </w:t>
      </w:r>
      <w:r w:rsidR="00006F43">
        <w:rPr>
          <w:rFonts w:ascii="PT Sans" w:eastAsia="Times New Roman" w:hAnsi="PT Sans"/>
          <w:i/>
        </w:rPr>
        <w:t>вызывает сомнение</w:t>
      </w:r>
      <w:r w:rsidR="00FC5860">
        <w:rPr>
          <w:rFonts w:ascii="PT Sans" w:eastAsia="Times New Roman" w:hAnsi="PT Sans"/>
          <w:i/>
        </w:rPr>
        <w:t xml:space="preserve">, так как они предоставляются СМСП без подтверждения какими-либо документами (например, </w:t>
      </w:r>
      <w:r w:rsidR="00A9241E">
        <w:rPr>
          <w:rFonts w:ascii="PT Sans" w:eastAsia="Times New Roman" w:hAnsi="PT Sans"/>
          <w:i/>
        </w:rPr>
        <w:t xml:space="preserve">документами </w:t>
      </w:r>
      <w:r w:rsidR="00FC5860">
        <w:rPr>
          <w:rFonts w:ascii="PT Sans" w:eastAsia="Times New Roman" w:hAnsi="PT Sans"/>
          <w:i/>
        </w:rPr>
        <w:t>бухгалтерской и статистической отчетност</w:t>
      </w:r>
      <w:r w:rsidR="00755632">
        <w:rPr>
          <w:rFonts w:ascii="PT Sans" w:eastAsia="Times New Roman" w:hAnsi="PT Sans"/>
          <w:i/>
        </w:rPr>
        <w:t>и</w:t>
      </w:r>
      <w:r w:rsidR="00A9241E">
        <w:rPr>
          <w:rFonts w:ascii="PT Sans" w:eastAsia="Times New Roman" w:hAnsi="PT Sans"/>
          <w:i/>
        </w:rPr>
        <w:t>).</w:t>
      </w:r>
      <w:r w:rsidR="00D81FB9">
        <w:rPr>
          <w:rFonts w:ascii="PT Sans" w:eastAsia="Times New Roman" w:hAnsi="PT Sans"/>
          <w:i/>
        </w:rPr>
        <w:t xml:space="preserve"> Также указанные показатели (</w:t>
      </w:r>
      <w:r w:rsidR="00A9241E">
        <w:rPr>
          <w:rFonts w:ascii="PT Sans" w:eastAsia="Times New Roman" w:hAnsi="PT Sans"/>
          <w:i/>
        </w:rPr>
        <w:t>в части деятельности ЦИВО</w:t>
      </w:r>
      <w:r w:rsidR="00D81FB9">
        <w:rPr>
          <w:rFonts w:ascii="PT Sans" w:eastAsia="Times New Roman" w:hAnsi="PT Sans"/>
          <w:i/>
        </w:rPr>
        <w:t xml:space="preserve">) </w:t>
      </w:r>
      <w:r w:rsidR="00A9241E">
        <w:rPr>
          <w:rFonts w:ascii="PT Sans" w:eastAsia="Times New Roman" w:hAnsi="PT Sans"/>
          <w:i/>
        </w:rPr>
        <w:t xml:space="preserve"> формируются </w:t>
      </w:r>
      <w:r w:rsidR="00C41745">
        <w:rPr>
          <w:rFonts w:ascii="PT Sans" w:eastAsia="Times New Roman" w:hAnsi="PT Sans"/>
          <w:i/>
        </w:rPr>
        <w:t>не по большинству СМСП,</w:t>
      </w:r>
      <w:r w:rsidR="006E1E20">
        <w:rPr>
          <w:rFonts w:ascii="PT Sans" w:eastAsia="Times New Roman" w:hAnsi="PT Sans"/>
          <w:i/>
        </w:rPr>
        <w:t xml:space="preserve"> </w:t>
      </w:r>
      <w:proofErr w:type="gramStart"/>
      <w:r w:rsidR="006E1E20">
        <w:rPr>
          <w:rFonts w:ascii="PT Sans" w:eastAsia="Times New Roman" w:hAnsi="PT Sans"/>
          <w:i/>
        </w:rPr>
        <w:t>получивших</w:t>
      </w:r>
      <w:proofErr w:type="gramEnd"/>
      <w:r w:rsidR="006E1E20">
        <w:rPr>
          <w:rFonts w:ascii="PT Sans" w:eastAsia="Times New Roman" w:hAnsi="PT Sans"/>
          <w:i/>
        </w:rPr>
        <w:t xml:space="preserve"> поддержку, </w:t>
      </w:r>
      <w:r>
        <w:rPr>
          <w:rFonts w:ascii="PT Sans" w:eastAsia="Times New Roman" w:hAnsi="PT Sans"/>
          <w:i/>
        </w:rPr>
        <w:t xml:space="preserve">в связи с этим </w:t>
      </w:r>
      <w:r w:rsidR="006E1E20">
        <w:rPr>
          <w:rFonts w:ascii="PT Sans" w:eastAsia="Times New Roman" w:hAnsi="PT Sans"/>
          <w:i/>
        </w:rPr>
        <w:t xml:space="preserve"> </w:t>
      </w:r>
      <w:r w:rsidR="00C41745">
        <w:rPr>
          <w:rFonts w:ascii="PT Sans" w:eastAsia="Times New Roman" w:hAnsi="PT Sans"/>
          <w:i/>
        </w:rPr>
        <w:t xml:space="preserve">не просматривается реальная картина </w:t>
      </w:r>
      <w:r w:rsidR="006E1E20">
        <w:rPr>
          <w:rFonts w:ascii="PT Sans" w:eastAsia="Times New Roman" w:hAnsi="PT Sans"/>
          <w:i/>
        </w:rPr>
        <w:t xml:space="preserve"> </w:t>
      </w:r>
      <w:r w:rsidR="00C41745">
        <w:rPr>
          <w:rFonts w:ascii="PT Sans" w:eastAsia="Times New Roman" w:hAnsi="PT Sans"/>
          <w:i/>
        </w:rPr>
        <w:t>эффекта от господдержки.</w:t>
      </w:r>
    </w:p>
    <w:p w:rsidR="003D47B4" w:rsidRPr="003F1F89" w:rsidRDefault="009E0D35" w:rsidP="003D47B4">
      <w:pPr>
        <w:autoSpaceDE w:val="0"/>
        <w:autoSpaceDN w:val="0"/>
        <w:adjustRightInd w:val="0"/>
        <w:ind w:firstLine="680"/>
        <w:jc w:val="both"/>
        <w:rPr>
          <w:rFonts w:ascii="PT Sans" w:eastAsia="Times New Roman" w:hAnsi="PT Sans"/>
          <w:i/>
        </w:rPr>
      </w:pPr>
      <w:r>
        <w:rPr>
          <w:i/>
        </w:rPr>
        <w:t xml:space="preserve">Вышеизложенное позволяет сделать вывод о том, что </w:t>
      </w:r>
      <w:r w:rsidR="003D47B4" w:rsidRPr="003F1F89">
        <w:rPr>
          <w:i/>
        </w:rPr>
        <w:t>не обеспечена объективная оценка</w:t>
      </w:r>
      <w:r w:rsidR="003D47B4" w:rsidRPr="003F1F89">
        <w:rPr>
          <w:rFonts w:ascii="PT Sans" w:eastAsia="Times New Roman" w:hAnsi="PT Sans"/>
          <w:i/>
        </w:rPr>
        <w:t xml:space="preserve"> эффективности оказываемой </w:t>
      </w:r>
      <w:r w:rsidR="003F1F89" w:rsidRPr="003F1F89">
        <w:rPr>
          <w:rFonts w:ascii="PT Sans" w:eastAsia="Times New Roman" w:hAnsi="PT Sans"/>
          <w:i/>
        </w:rPr>
        <w:t>гос</w:t>
      </w:r>
      <w:r w:rsidR="003D47B4" w:rsidRPr="003F1F89">
        <w:rPr>
          <w:rFonts w:ascii="PT Sans" w:eastAsia="Times New Roman" w:hAnsi="PT Sans"/>
          <w:i/>
        </w:rPr>
        <w:t>поддержки</w:t>
      </w:r>
      <w:r w:rsidR="003F1F89" w:rsidRPr="003F1F89">
        <w:rPr>
          <w:rFonts w:ascii="PT Sans" w:eastAsia="Times New Roman" w:hAnsi="PT Sans"/>
          <w:i/>
        </w:rPr>
        <w:t xml:space="preserve"> и </w:t>
      </w:r>
      <w:r>
        <w:rPr>
          <w:rFonts w:ascii="PT Sans" w:eastAsia="Times New Roman" w:hAnsi="PT Sans"/>
          <w:i/>
        </w:rPr>
        <w:t xml:space="preserve">искажается </w:t>
      </w:r>
      <w:r w:rsidR="003F1F89" w:rsidRPr="003F1F89">
        <w:rPr>
          <w:rFonts w:ascii="PT Sans" w:eastAsia="Times New Roman" w:hAnsi="PT Sans"/>
          <w:i/>
        </w:rPr>
        <w:t>представление о результатах реализации мероприятий через ЦПП, ЦИВО и ЦПЭ</w:t>
      </w:r>
      <w:r w:rsidR="003D47B4" w:rsidRPr="003F1F89">
        <w:rPr>
          <w:rFonts w:ascii="PT Sans" w:eastAsia="Times New Roman" w:hAnsi="PT Sans"/>
          <w:i/>
        </w:rPr>
        <w:t>.</w:t>
      </w:r>
    </w:p>
    <w:p w:rsidR="004E0306" w:rsidRPr="003F1F89" w:rsidRDefault="004E0306" w:rsidP="004E0306">
      <w:pPr>
        <w:ind w:firstLine="680"/>
        <w:jc w:val="both"/>
        <w:rPr>
          <w:rFonts w:ascii="PT Sans" w:eastAsia="Times New Roman" w:hAnsi="PT Sans"/>
          <w:i/>
        </w:rPr>
      </w:pPr>
    </w:p>
    <w:p w:rsidR="00180D8F" w:rsidRDefault="00180D8F" w:rsidP="00180D8F">
      <w:pPr>
        <w:autoSpaceDE w:val="0"/>
        <w:autoSpaceDN w:val="0"/>
        <w:adjustRightInd w:val="0"/>
        <w:ind w:firstLine="708"/>
        <w:jc w:val="center"/>
        <w:rPr>
          <w:rFonts w:eastAsiaTheme="minorHAnsi"/>
          <w:b/>
          <w:bCs/>
          <w:iCs/>
          <w:lang w:eastAsia="en-US"/>
        </w:rPr>
      </w:pPr>
      <w:r w:rsidRPr="00FD4D32">
        <w:rPr>
          <w:rFonts w:eastAsiaTheme="minorHAnsi"/>
          <w:b/>
          <w:bCs/>
          <w:iCs/>
          <w:lang w:eastAsia="en-US"/>
        </w:rPr>
        <w:t>Микрофинансовый центр</w:t>
      </w:r>
    </w:p>
    <w:p w:rsidR="0002070B" w:rsidRDefault="0002070B" w:rsidP="0002070B">
      <w:pPr>
        <w:ind w:firstLine="680"/>
        <w:jc w:val="both"/>
      </w:pPr>
      <w:r>
        <w:t>Деятельность Микрофинансового центра и Гарантийного фонда  осуществлялась в рамках мероприятия Подпрограммы по содействию СМСП в привлечении финансовых ресурсов для осуществления предпринимательской деятельности.</w:t>
      </w:r>
    </w:p>
    <w:p w:rsidR="00180D8F" w:rsidRDefault="00180D8F" w:rsidP="00180D8F">
      <w:pPr>
        <w:ind w:firstLine="680"/>
        <w:jc w:val="both"/>
        <w:rPr>
          <w:rFonts w:eastAsia="Times New Roman"/>
        </w:rPr>
      </w:pPr>
      <w:r w:rsidRPr="00705EFA">
        <w:rPr>
          <w:bCs/>
        </w:rPr>
        <w:t>Микрофинансовый центр создан в 2010 году</w:t>
      </w:r>
      <w:r>
        <w:rPr>
          <w:bCs/>
        </w:rPr>
        <w:t xml:space="preserve"> с целью обеспечения доступа СМСП и организаций инфраструктуры поддержки малого и среднего предпринимательства </w:t>
      </w:r>
      <w:r>
        <w:t xml:space="preserve">к финансовым ресурсам посредством формирования (пополнения) фондов </w:t>
      </w:r>
      <w:proofErr w:type="spellStart"/>
      <w:r>
        <w:t>микрофинансовых</w:t>
      </w:r>
      <w:proofErr w:type="spellEnd"/>
      <w:r>
        <w:t xml:space="preserve"> организаций (далее – МФО) и кредитных потребительских кооперативов (далее – КПК) для выдачи в дальнейшем </w:t>
      </w:r>
      <w:proofErr w:type="spellStart"/>
      <w:r>
        <w:t>микрозаймов</w:t>
      </w:r>
      <w:proofErr w:type="spellEnd"/>
      <w:r>
        <w:t xml:space="preserve"> СМСП и организациям инфраструктуры поддержки МСП.</w:t>
      </w:r>
      <w:r w:rsidRPr="00A74D16">
        <w:rPr>
          <w:rFonts w:eastAsia="Times New Roman"/>
        </w:rPr>
        <w:t xml:space="preserve"> </w:t>
      </w:r>
      <w:r>
        <w:rPr>
          <w:rFonts w:eastAsia="Times New Roman"/>
        </w:rPr>
        <w:t xml:space="preserve">Единственным учредителем Микрофинансового центра является Волгоградская область, </w:t>
      </w:r>
      <w:proofErr w:type="gramStart"/>
      <w:r>
        <w:rPr>
          <w:rFonts w:eastAsia="Times New Roman"/>
        </w:rPr>
        <w:t>функции</w:t>
      </w:r>
      <w:proofErr w:type="gramEnd"/>
      <w:r>
        <w:rPr>
          <w:rFonts w:eastAsia="Times New Roman"/>
        </w:rPr>
        <w:t xml:space="preserve"> и полномочия от имени которо</w:t>
      </w:r>
      <w:r w:rsidR="00395AFC">
        <w:rPr>
          <w:rFonts w:eastAsia="Times New Roman"/>
        </w:rPr>
        <w:t>й</w:t>
      </w:r>
      <w:r>
        <w:rPr>
          <w:rFonts w:eastAsia="Times New Roman"/>
        </w:rPr>
        <w:t xml:space="preserve"> осуществляет </w:t>
      </w:r>
      <w:proofErr w:type="spellStart"/>
      <w:r>
        <w:rPr>
          <w:rFonts w:eastAsia="Times New Roman"/>
        </w:rPr>
        <w:t>Облкомэкономразвития</w:t>
      </w:r>
      <w:proofErr w:type="spellEnd"/>
      <w:r>
        <w:rPr>
          <w:rFonts w:eastAsia="Times New Roman"/>
        </w:rPr>
        <w:t>.</w:t>
      </w:r>
    </w:p>
    <w:p w:rsidR="00180D8F" w:rsidRDefault="00180D8F" w:rsidP="00180D8F">
      <w:pPr>
        <w:ind w:firstLine="680"/>
        <w:jc w:val="both"/>
      </w:pPr>
      <w:r w:rsidRPr="00D457F2">
        <w:lastRenderedPageBreak/>
        <w:t xml:space="preserve">Для выдачи займов Микрофинансовым центром сформирован фонд </w:t>
      </w:r>
      <w:proofErr w:type="spellStart"/>
      <w:r w:rsidRPr="00D457F2">
        <w:t>микрофинансирования</w:t>
      </w:r>
      <w:proofErr w:type="spellEnd"/>
      <w:r w:rsidRPr="00D457F2">
        <w:t xml:space="preserve"> в </w:t>
      </w:r>
      <w:r w:rsidRPr="0000695F">
        <w:t xml:space="preserve">размере </w:t>
      </w:r>
      <w:r w:rsidRPr="00D457F2">
        <w:t>242,5 млн. руб., в том числе 240 млн. руб. бюджетных средств (165 млн. руб. из федерального бюджета и 75 млн. руб. из областного бюдже</w:t>
      </w:r>
      <w:r>
        <w:t>та) и 2,5 млн. руб. внебюджетных</w:t>
      </w:r>
      <w:r w:rsidRPr="00D457F2">
        <w:t xml:space="preserve"> средств (за счет доходов организации). </w:t>
      </w:r>
      <w:proofErr w:type="gramStart"/>
      <w:r>
        <w:t xml:space="preserve">Бюджетные средства были предоставлены </w:t>
      </w:r>
      <w:r w:rsidRPr="002A51B0">
        <w:t xml:space="preserve">в конце 2010 года в сумме 140 млн. руб. (по 70 млн. руб. из федерального и областного бюджетов), в 2015 году - </w:t>
      </w:r>
      <w:r>
        <w:t>в сумме 100 млн. руб. (</w:t>
      </w:r>
      <w:r w:rsidRPr="002A51B0">
        <w:t>95 млн. руб. из федерального</w:t>
      </w:r>
      <w:r w:rsidRPr="00506D4A">
        <w:t xml:space="preserve"> </w:t>
      </w:r>
      <w:r>
        <w:t xml:space="preserve">и 5 </w:t>
      </w:r>
      <w:r w:rsidRPr="002A51B0">
        <w:t>млн. руб. из областного бюджет</w:t>
      </w:r>
      <w:r>
        <w:t>ов</w:t>
      </w:r>
      <w:r w:rsidRPr="002A51B0">
        <w:t xml:space="preserve">). </w:t>
      </w:r>
      <w:proofErr w:type="gramEnd"/>
    </w:p>
    <w:p w:rsidR="00CC5C72" w:rsidRDefault="00180D8F" w:rsidP="00180D8F">
      <w:pPr>
        <w:autoSpaceDE w:val="0"/>
        <w:autoSpaceDN w:val="0"/>
        <w:adjustRightInd w:val="0"/>
        <w:ind w:firstLine="680"/>
        <w:contextualSpacing/>
        <w:jc w:val="both"/>
      </w:pPr>
      <w:r w:rsidRPr="000F427D">
        <w:t xml:space="preserve">Микрофинансовым центром за 2017 год – 1 квартал 2018 года  было выдано 34 </w:t>
      </w:r>
      <w:proofErr w:type="spellStart"/>
      <w:r>
        <w:t>микро</w:t>
      </w:r>
      <w:r w:rsidRPr="000F427D">
        <w:t>займа</w:t>
      </w:r>
      <w:proofErr w:type="spellEnd"/>
      <w:r w:rsidRPr="000F427D">
        <w:t xml:space="preserve"> 10-ти МФО, через которые выданы </w:t>
      </w:r>
      <w:proofErr w:type="spellStart"/>
      <w:r w:rsidRPr="000F427D">
        <w:t>микрозаймы</w:t>
      </w:r>
      <w:proofErr w:type="spellEnd"/>
      <w:r w:rsidRPr="000F427D">
        <w:t xml:space="preserve"> </w:t>
      </w:r>
      <w:r>
        <w:t>1</w:t>
      </w:r>
      <w:r w:rsidRPr="000F427D">
        <w:t>4</w:t>
      </w:r>
      <w:r>
        <w:t>7</w:t>
      </w:r>
      <w:r w:rsidRPr="000F427D">
        <w:t xml:space="preserve"> СМСП на сумму </w:t>
      </w:r>
      <w:r>
        <w:t>197,6 млн</w:t>
      </w:r>
      <w:r w:rsidRPr="000F427D">
        <w:t xml:space="preserve">. рублей. С момента </w:t>
      </w:r>
      <w:r>
        <w:t xml:space="preserve">предоставления первого </w:t>
      </w:r>
      <w:proofErr w:type="spellStart"/>
      <w:r>
        <w:t>микрозайма</w:t>
      </w:r>
      <w:proofErr w:type="spellEnd"/>
      <w:r>
        <w:t xml:space="preserve"> (</w:t>
      </w:r>
      <w:r w:rsidRPr="000F427D">
        <w:t>апрел</w:t>
      </w:r>
      <w:r>
        <w:t>ь</w:t>
      </w:r>
      <w:r w:rsidRPr="000F427D">
        <w:t xml:space="preserve"> 2011 года) по состоянию на 01.0</w:t>
      </w:r>
      <w:r>
        <w:t>4</w:t>
      </w:r>
      <w:r w:rsidRPr="000F427D">
        <w:t>.201</w:t>
      </w:r>
      <w:r>
        <w:t xml:space="preserve">8 </w:t>
      </w:r>
      <w:r w:rsidRPr="000F427D">
        <w:t xml:space="preserve">выданы займы </w:t>
      </w:r>
      <w:r w:rsidRPr="006F073D">
        <w:t>1</w:t>
      </w:r>
      <w:r>
        <w:t> </w:t>
      </w:r>
      <w:r w:rsidRPr="006F073D">
        <w:t xml:space="preserve">355 </w:t>
      </w:r>
      <w:r>
        <w:t>СМСП на общую сумму 917 млн. рублей.</w:t>
      </w:r>
      <w:r w:rsidRPr="000F427D">
        <w:t xml:space="preserve"> </w:t>
      </w:r>
    </w:p>
    <w:p w:rsidR="00CC5C72" w:rsidRDefault="00CC5C72" w:rsidP="00CC5C72">
      <w:pPr>
        <w:autoSpaceDE w:val="0"/>
        <w:autoSpaceDN w:val="0"/>
        <w:adjustRightInd w:val="0"/>
        <w:ind w:firstLine="680"/>
        <w:contextualSpacing/>
        <w:jc w:val="both"/>
      </w:pPr>
      <w:r w:rsidRPr="00CB37F7">
        <w:t xml:space="preserve">Доходы Микрофинансового центра в основном формируются за счет процентов от размещения средств на расчетных счетах и процентов от предоставления займов. На остатки средств по расчетным счетам Микрофинансовому центру кредитными учреждениями начислялись проценты: в 2017 году от 3,25% до 7,53%, в 2018 году от 3,5% </w:t>
      </w:r>
      <w:proofErr w:type="gramStart"/>
      <w:r w:rsidRPr="00CB37F7">
        <w:t>до</w:t>
      </w:r>
      <w:proofErr w:type="gramEnd"/>
      <w:r w:rsidRPr="00CB37F7">
        <w:t xml:space="preserve"> 6,3% годовых.</w:t>
      </w:r>
    </w:p>
    <w:p w:rsidR="00180D8F" w:rsidRPr="00193545" w:rsidRDefault="00180D8F" w:rsidP="006F09FB">
      <w:pPr>
        <w:autoSpaceDE w:val="0"/>
        <w:autoSpaceDN w:val="0"/>
        <w:adjustRightInd w:val="0"/>
        <w:ind w:firstLine="680"/>
        <w:contextualSpacing/>
        <w:jc w:val="both"/>
      </w:pPr>
      <w:r w:rsidRPr="00193545">
        <w:t xml:space="preserve">Средневзвешенная ставка по </w:t>
      </w:r>
      <w:proofErr w:type="gramStart"/>
      <w:r w:rsidRPr="00193545">
        <w:t>предоставленным</w:t>
      </w:r>
      <w:proofErr w:type="gramEnd"/>
      <w:r w:rsidRPr="00193545">
        <w:t xml:space="preserve"> </w:t>
      </w:r>
      <w:proofErr w:type="spellStart"/>
      <w:r w:rsidRPr="00193545">
        <w:t>микрозаймам</w:t>
      </w:r>
      <w:proofErr w:type="spellEnd"/>
      <w:r w:rsidRPr="00193545">
        <w:t xml:space="preserve"> СМСП в 2017 году </w:t>
      </w:r>
      <w:r w:rsidR="00395AFC">
        <w:t>сложилась в размере</w:t>
      </w:r>
      <w:r w:rsidRPr="00193545">
        <w:t xml:space="preserve"> 13,7%, в 1 квартале 2018 года - 14,49</w:t>
      </w:r>
      <w:r w:rsidR="006F09FB">
        <w:t>% (</w:t>
      </w:r>
      <w:r w:rsidR="00CB37F7">
        <w:t xml:space="preserve">В 2017 </w:t>
      </w:r>
      <w:r w:rsidR="00CB37F7" w:rsidRPr="00CB37F7">
        <w:t>году</w:t>
      </w:r>
      <w:r w:rsidR="006F09FB" w:rsidRPr="00CB37F7">
        <w:t xml:space="preserve"> </w:t>
      </w:r>
      <w:r w:rsidRPr="00CB37F7">
        <w:t xml:space="preserve"> </w:t>
      </w:r>
      <w:r w:rsidR="006F09FB" w:rsidRPr="00CB37F7">
        <w:t>предоставлен</w:t>
      </w:r>
      <w:r w:rsidR="00CB37F7" w:rsidRPr="00CB37F7">
        <w:t xml:space="preserve"> </w:t>
      </w:r>
      <w:proofErr w:type="spellStart"/>
      <w:r w:rsidR="00CB37F7" w:rsidRPr="00CB37F7">
        <w:t>микрозайм</w:t>
      </w:r>
      <w:proofErr w:type="spellEnd"/>
      <w:r w:rsidR="006F09FB" w:rsidRPr="00CB37F7">
        <w:t xml:space="preserve"> одному СМСП  без маржи </w:t>
      </w:r>
      <w:proofErr w:type="spellStart"/>
      <w:r w:rsidR="006F09FB" w:rsidRPr="00CB37F7">
        <w:t>микрофинановой</w:t>
      </w:r>
      <w:proofErr w:type="spellEnd"/>
      <w:r w:rsidR="006F09FB" w:rsidRPr="00CB37F7">
        <w:t xml:space="preserve"> организации первого уровня</w:t>
      </w:r>
      <w:r w:rsidR="00CB37F7" w:rsidRPr="00CB37F7">
        <w:t>, что повлияло на снижение средней ставки</w:t>
      </w:r>
      <w:r w:rsidR="006F09FB" w:rsidRPr="00CB37F7">
        <w:t>).</w:t>
      </w:r>
      <w:r w:rsidRPr="00193545">
        <w:t xml:space="preserve"> Максимальная сумма </w:t>
      </w:r>
      <w:proofErr w:type="spellStart"/>
      <w:r w:rsidRPr="00193545">
        <w:t>микрозайма</w:t>
      </w:r>
      <w:proofErr w:type="spellEnd"/>
      <w:r w:rsidRPr="00193545">
        <w:t xml:space="preserve"> для СМСП установлена до 3 млн. руб. сроком до 3-х лет. </w:t>
      </w:r>
    </w:p>
    <w:p w:rsidR="00180D8F" w:rsidRDefault="00180D8F" w:rsidP="00180D8F">
      <w:pPr>
        <w:autoSpaceDE w:val="0"/>
        <w:autoSpaceDN w:val="0"/>
        <w:adjustRightInd w:val="0"/>
        <w:ind w:firstLine="680"/>
        <w:contextualSpacing/>
        <w:jc w:val="both"/>
      </w:pPr>
      <w:proofErr w:type="gramStart"/>
      <w:r w:rsidRPr="00193545">
        <w:t>В связи с отсутствием</w:t>
      </w:r>
      <w:r>
        <w:t xml:space="preserve"> ежемесячных</w:t>
      </w:r>
      <w:r w:rsidRPr="00193545">
        <w:t xml:space="preserve"> комиссий и </w:t>
      </w:r>
      <w:r>
        <w:t xml:space="preserve">дополнительных затрат на банковские услуги, </w:t>
      </w:r>
      <w:r w:rsidRPr="00193545">
        <w:t>страхов</w:t>
      </w:r>
      <w:r w:rsidR="00642D4C">
        <w:t>ки</w:t>
      </w:r>
      <w:r w:rsidRPr="00193545">
        <w:t xml:space="preserve">, </w:t>
      </w:r>
      <w:r>
        <w:t>коротки</w:t>
      </w:r>
      <w:r w:rsidR="00642D4C">
        <w:t>е</w:t>
      </w:r>
      <w:r>
        <w:t xml:space="preserve"> срок</w:t>
      </w:r>
      <w:r w:rsidR="00642D4C">
        <w:t>и</w:t>
      </w:r>
      <w:r>
        <w:t xml:space="preserve"> рассмотрения заявок (10 дней), </w:t>
      </w:r>
      <w:r w:rsidRPr="00193545">
        <w:t>а также начислени</w:t>
      </w:r>
      <w:r w:rsidR="00CE5396">
        <w:t>е</w:t>
      </w:r>
      <w:r w:rsidRPr="00193545">
        <w:t xml:space="preserve"> процентов дифференцированным способом</w:t>
      </w:r>
      <w:r w:rsidRPr="00350197">
        <w:t>, эффективная ставка по</w:t>
      </w:r>
      <w:r w:rsidRPr="00193545">
        <w:t xml:space="preserve"> займам, предоставляемым Микрофинансовым центром МФО и КПК/СКПК, сложилась ниже средневзвешенной на 1,4 - 2 п.п., что свидетельствует о более выгодных для СМСП условиях доступа к заемным средствам, чем в кредитных учреждениях.</w:t>
      </w:r>
      <w:r>
        <w:t xml:space="preserve"> </w:t>
      </w:r>
      <w:proofErr w:type="gramEnd"/>
    </w:p>
    <w:p w:rsidR="00180D8F" w:rsidRPr="00B607F5" w:rsidRDefault="00180D8F" w:rsidP="00180D8F">
      <w:pPr>
        <w:ind w:firstLine="680"/>
        <w:jc w:val="both"/>
      </w:pPr>
      <w:r w:rsidRPr="00B607F5">
        <w:t>Обобщенная информация о выданных займах представлена в таблице.</w:t>
      </w:r>
    </w:p>
    <w:tbl>
      <w:tblPr>
        <w:tblW w:w="9889"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A0"/>
      </w:tblPr>
      <w:tblGrid>
        <w:gridCol w:w="3510"/>
        <w:gridCol w:w="851"/>
        <w:gridCol w:w="709"/>
        <w:gridCol w:w="708"/>
        <w:gridCol w:w="936"/>
        <w:gridCol w:w="765"/>
        <w:gridCol w:w="851"/>
        <w:gridCol w:w="876"/>
        <w:gridCol w:w="683"/>
      </w:tblGrid>
      <w:tr w:rsidR="00180D8F" w:rsidRPr="00B607F5" w:rsidTr="00D464F1">
        <w:trPr>
          <w:trHeight w:val="468"/>
        </w:trPr>
        <w:tc>
          <w:tcPr>
            <w:tcW w:w="3510" w:type="dxa"/>
            <w:tcBorders>
              <w:top w:val="double" w:sz="4" w:space="0" w:color="auto"/>
              <w:bottom w:val="double" w:sz="4" w:space="0" w:color="auto"/>
            </w:tcBorders>
            <w:shd w:val="clear" w:color="auto" w:fill="EAF1DD" w:themeFill="accent3" w:themeFillTint="33"/>
            <w:noWrap/>
            <w:vAlign w:val="center"/>
          </w:tcPr>
          <w:p w:rsidR="00180D8F" w:rsidRPr="00055834" w:rsidRDefault="00180D8F" w:rsidP="00D464F1">
            <w:pPr>
              <w:jc w:val="center"/>
              <w:rPr>
                <w:b/>
                <w:color w:val="000000"/>
                <w:sz w:val="16"/>
                <w:szCs w:val="16"/>
              </w:rPr>
            </w:pPr>
            <w:r w:rsidRPr="00055834">
              <w:rPr>
                <w:b/>
                <w:color w:val="000000"/>
                <w:sz w:val="16"/>
                <w:szCs w:val="16"/>
              </w:rPr>
              <w:t>Показатель</w:t>
            </w:r>
          </w:p>
        </w:tc>
        <w:tc>
          <w:tcPr>
            <w:tcW w:w="851" w:type="dxa"/>
            <w:tcBorders>
              <w:top w:val="double" w:sz="4" w:space="0" w:color="auto"/>
              <w:bottom w:val="double" w:sz="4" w:space="0" w:color="auto"/>
            </w:tcBorders>
            <w:shd w:val="clear" w:color="auto" w:fill="EAF1DD" w:themeFill="accent3" w:themeFillTint="33"/>
            <w:noWrap/>
            <w:vAlign w:val="center"/>
          </w:tcPr>
          <w:p w:rsidR="00180D8F" w:rsidRPr="00055834" w:rsidRDefault="00180D8F" w:rsidP="00D464F1">
            <w:pPr>
              <w:jc w:val="center"/>
              <w:rPr>
                <w:b/>
                <w:color w:val="000000"/>
                <w:sz w:val="16"/>
                <w:szCs w:val="16"/>
              </w:rPr>
            </w:pPr>
            <w:r w:rsidRPr="00055834">
              <w:rPr>
                <w:b/>
                <w:color w:val="000000"/>
                <w:sz w:val="16"/>
                <w:szCs w:val="16"/>
              </w:rPr>
              <w:t>2015</w:t>
            </w:r>
          </w:p>
        </w:tc>
        <w:tc>
          <w:tcPr>
            <w:tcW w:w="709" w:type="dxa"/>
            <w:tcBorders>
              <w:top w:val="double" w:sz="4" w:space="0" w:color="auto"/>
              <w:bottom w:val="double" w:sz="4" w:space="0" w:color="auto"/>
            </w:tcBorders>
            <w:shd w:val="clear" w:color="auto" w:fill="EAF1DD" w:themeFill="accent3" w:themeFillTint="33"/>
            <w:noWrap/>
            <w:vAlign w:val="center"/>
          </w:tcPr>
          <w:p w:rsidR="00180D8F" w:rsidRPr="00055834" w:rsidRDefault="00180D8F" w:rsidP="00D464F1">
            <w:pPr>
              <w:jc w:val="center"/>
              <w:rPr>
                <w:b/>
                <w:color w:val="000000"/>
                <w:sz w:val="16"/>
                <w:szCs w:val="16"/>
              </w:rPr>
            </w:pPr>
            <w:r w:rsidRPr="00055834">
              <w:rPr>
                <w:b/>
                <w:color w:val="000000"/>
                <w:sz w:val="16"/>
                <w:szCs w:val="16"/>
              </w:rPr>
              <w:t>2016</w:t>
            </w:r>
          </w:p>
        </w:tc>
        <w:tc>
          <w:tcPr>
            <w:tcW w:w="708" w:type="dxa"/>
            <w:tcBorders>
              <w:top w:val="double" w:sz="4" w:space="0" w:color="auto"/>
              <w:bottom w:val="double" w:sz="4" w:space="0" w:color="auto"/>
            </w:tcBorders>
            <w:shd w:val="clear" w:color="auto" w:fill="EAF1DD" w:themeFill="accent3" w:themeFillTint="33"/>
            <w:noWrap/>
            <w:vAlign w:val="center"/>
          </w:tcPr>
          <w:p w:rsidR="00180D8F" w:rsidRPr="00055834" w:rsidRDefault="00180D8F" w:rsidP="00D464F1">
            <w:pPr>
              <w:jc w:val="center"/>
              <w:rPr>
                <w:b/>
                <w:color w:val="000000"/>
                <w:sz w:val="16"/>
                <w:szCs w:val="16"/>
              </w:rPr>
            </w:pPr>
            <w:proofErr w:type="spellStart"/>
            <w:r w:rsidRPr="00055834">
              <w:rPr>
                <w:b/>
                <w:color w:val="000000"/>
                <w:sz w:val="16"/>
                <w:szCs w:val="16"/>
              </w:rPr>
              <w:t>изм-е</w:t>
            </w:r>
            <w:proofErr w:type="spellEnd"/>
            <w:r w:rsidRPr="00055834">
              <w:rPr>
                <w:b/>
                <w:color w:val="000000"/>
                <w:sz w:val="16"/>
                <w:szCs w:val="16"/>
              </w:rPr>
              <w:t>, %</w:t>
            </w:r>
          </w:p>
        </w:tc>
        <w:tc>
          <w:tcPr>
            <w:tcW w:w="936" w:type="dxa"/>
            <w:tcBorders>
              <w:top w:val="double" w:sz="4" w:space="0" w:color="auto"/>
              <w:bottom w:val="double" w:sz="4" w:space="0" w:color="auto"/>
            </w:tcBorders>
            <w:shd w:val="clear" w:color="auto" w:fill="EAF1DD" w:themeFill="accent3" w:themeFillTint="33"/>
            <w:noWrap/>
            <w:vAlign w:val="center"/>
          </w:tcPr>
          <w:p w:rsidR="00180D8F" w:rsidRPr="00055834" w:rsidRDefault="00180D8F" w:rsidP="00D464F1">
            <w:pPr>
              <w:ind w:right="-136"/>
              <w:jc w:val="center"/>
              <w:rPr>
                <w:b/>
                <w:color w:val="000000"/>
                <w:sz w:val="16"/>
                <w:szCs w:val="16"/>
              </w:rPr>
            </w:pPr>
            <w:r w:rsidRPr="00055834">
              <w:rPr>
                <w:b/>
                <w:color w:val="000000"/>
                <w:sz w:val="16"/>
                <w:szCs w:val="16"/>
              </w:rPr>
              <w:t>2017</w:t>
            </w:r>
          </w:p>
        </w:tc>
        <w:tc>
          <w:tcPr>
            <w:tcW w:w="765" w:type="dxa"/>
            <w:tcBorders>
              <w:top w:val="double" w:sz="4" w:space="0" w:color="auto"/>
              <w:bottom w:val="double" w:sz="4" w:space="0" w:color="auto"/>
            </w:tcBorders>
            <w:shd w:val="clear" w:color="auto" w:fill="EAF1DD" w:themeFill="accent3" w:themeFillTint="33"/>
            <w:noWrap/>
            <w:vAlign w:val="center"/>
          </w:tcPr>
          <w:p w:rsidR="00180D8F" w:rsidRPr="00055834" w:rsidRDefault="00180D8F" w:rsidP="00D464F1">
            <w:pPr>
              <w:jc w:val="center"/>
              <w:rPr>
                <w:b/>
                <w:color w:val="000000"/>
                <w:sz w:val="16"/>
                <w:szCs w:val="16"/>
              </w:rPr>
            </w:pPr>
            <w:proofErr w:type="spellStart"/>
            <w:r w:rsidRPr="00055834">
              <w:rPr>
                <w:b/>
                <w:color w:val="000000"/>
                <w:sz w:val="16"/>
                <w:szCs w:val="16"/>
              </w:rPr>
              <w:t>изм-е</w:t>
            </w:r>
            <w:proofErr w:type="spellEnd"/>
            <w:r w:rsidRPr="00055834">
              <w:rPr>
                <w:b/>
                <w:color w:val="000000"/>
                <w:sz w:val="16"/>
                <w:szCs w:val="16"/>
              </w:rPr>
              <w:t>, %</w:t>
            </w:r>
          </w:p>
        </w:tc>
        <w:tc>
          <w:tcPr>
            <w:tcW w:w="851" w:type="dxa"/>
            <w:tcBorders>
              <w:top w:val="double" w:sz="4" w:space="0" w:color="auto"/>
              <w:bottom w:val="double" w:sz="4" w:space="0" w:color="auto"/>
            </w:tcBorders>
            <w:shd w:val="clear" w:color="auto" w:fill="EAF1DD" w:themeFill="accent3" w:themeFillTint="33"/>
          </w:tcPr>
          <w:p w:rsidR="00180D8F" w:rsidRPr="00055834" w:rsidRDefault="00180D8F" w:rsidP="00D464F1">
            <w:pPr>
              <w:jc w:val="center"/>
              <w:rPr>
                <w:b/>
                <w:color w:val="000000"/>
                <w:sz w:val="16"/>
                <w:szCs w:val="16"/>
              </w:rPr>
            </w:pPr>
            <w:r w:rsidRPr="00055834">
              <w:rPr>
                <w:b/>
                <w:color w:val="000000"/>
                <w:sz w:val="16"/>
                <w:szCs w:val="16"/>
              </w:rPr>
              <w:t>1 кв. 2017</w:t>
            </w:r>
          </w:p>
        </w:tc>
        <w:tc>
          <w:tcPr>
            <w:tcW w:w="876" w:type="dxa"/>
            <w:tcBorders>
              <w:top w:val="double" w:sz="4" w:space="0" w:color="auto"/>
              <w:bottom w:val="double" w:sz="4" w:space="0" w:color="auto"/>
            </w:tcBorders>
            <w:shd w:val="clear" w:color="auto" w:fill="EAF1DD" w:themeFill="accent3" w:themeFillTint="33"/>
          </w:tcPr>
          <w:p w:rsidR="00180D8F" w:rsidRPr="00055834" w:rsidRDefault="00180D8F" w:rsidP="00D464F1">
            <w:pPr>
              <w:jc w:val="center"/>
              <w:rPr>
                <w:b/>
                <w:color w:val="000000"/>
                <w:sz w:val="16"/>
                <w:szCs w:val="16"/>
              </w:rPr>
            </w:pPr>
            <w:r w:rsidRPr="00055834">
              <w:rPr>
                <w:b/>
                <w:color w:val="000000"/>
                <w:sz w:val="16"/>
                <w:szCs w:val="16"/>
              </w:rPr>
              <w:t>1 кв. 2018</w:t>
            </w:r>
          </w:p>
        </w:tc>
        <w:tc>
          <w:tcPr>
            <w:tcW w:w="683" w:type="dxa"/>
            <w:tcBorders>
              <w:top w:val="double" w:sz="4" w:space="0" w:color="auto"/>
              <w:bottom w:val="double" w:sz="4" w:space="0" w:color="auto"/>
            </w:tcBorders>
            <w:shd w:val="clear" w:color="auto" w:fill="EAF1DD" w:themeFill="accent3" w:themeFillTint="33"/>
          </w:tcPr>
          <w:p w:rsidR="00180D8F" w:rsidRPr="00055834" w:rsidRDefault="00180D8F" w:rsidP="00D464F1">
            <w:pPr>
              <w:jc w:val="center"/>
              <w:rPr>
                <w:b/>
                <w:color w:val="000000"/>
                <w:sz w:val="16"/>
                <w:szCs w:val="16"/>
              </w:rPr>
            </w:pPr>
            <w:proofErr w:type="spellStart"/>
            <w:r w:rsidRPr="00055834">
              <w:rPr>
                <w:b/>
                <w:color w:val="000000"/>
                <w:sz w:val="16"/>
                <w:szCs w:val="16"/>
              </w:rPr>
              <w:t>изм-е</w:t>
            </w:r>
            <w:proofErr w:type="spellEnd"/>
            <w:r w:rsidRPr="00055834">
              <w:rPr>
                <w:b/>
                <w:color w:val="000000"/>
                <w:sz w:val="16"/>
                <w:szCs w:val="16"/>
              </w:rPr>
              <w:t>, %</w:t>
            </w:r>
          </w:p>
        </w:tc>
      </w:tr>
      <w:tr w:rsidR="00180D8F" w:rsidRPr="00B607F5" w:rsidTr="00055834">
        <w:trPr>
          <w:trHeight w:val="270"/>
        </w:trPr>
        <w:tc>
          <w:tcPr>
            <w:tcW w:w="3510" w:type="dxa"/>
            <w:tcBorders>
              <w:top w:val="double" w:sz="4" w:space="0" w:color="auto"/>
            </w:tcBorders>
            <w:vAlign w:val="bottom"/>
          </w:tcPr>
          <w:p w:rsidR="00180D8F" w:rsidRPr="00055834" w:rsidRDefault="00180D8F" w:rsidP="00D464F1">
            <w:pPr>
              <w:rPr>
                <w:color w:val="000000"/>
                <w:sz w:val="16"/>
                <w:szCs w:val="16"/>
              </w:rPr>
            </w:pPr>
            <w:r w:rsidRPr="00055834">
              <w:rPr>
                <w:color w:val="000000"/>
                <w:sz w:val="16"/>
                <w:szCs w:val="16"/>
              </w:rPr>
              <w:t>Количество МФО/КПК, получивших займы</w:t>
            </w:r>
          </w:p>
        </w:tc>
        <w:tc>
          <w:tcPr>
            <w:tcW w:w="851" w:type="dxa"/>
            <w:tcBorders>
              <w:top w:val="double" w:sz="4" w:space="0" w:color="auto"/>
            </w:tcBorders>
            <w:noWrap/>
            <w:vAlign w:val="bottom"/>
          </w:tcPr>
          <w:p w:rsidR="00180D8F" w:rsidRPr="00055834" w:rsidRDefault="00180D8F" w:rsidP="00D464F1">
            <w:pPr>
              <w:jc w:val="center"/>
              <w:rPr>
                <w:color w:val="000000"/>
                <w:sz w:val="16"/>
                <w:szCs w:val="16"/>
              </w:rPr>
            </w:pPr>
            <w:r w:rsidRPr="00055834">
              <w:rPr>
                <w:color w:val="000000"/>
                <w:sz w:val="16"/>
                <w:szCs w:val="16"/>
              </w:rPr>
              <w:t>13</w:t>
            </w:r>
          </w:p>
        </w:tc>
        <w:tc>
          <w:tcPr>
            <w:tcW w:w="709" w:type="dxa"/>
            <w:tcBorders>
              <w:top w:val="double" w:sz="4" w:space="0" w:color="auto"/>
            </w:tcBorders>
            <w:noWrap/>
            <w:vAlign w:val="bottom"/>
          </w:tcPr>
          <w:p w:rsidR="00180D8F" w:rsidRPr="00055834" w:rsidRDefault="00180D8F" w:rsidP="00D464F1">
            <w:pPr>
              <w:jc w:val="center"/>
              <w:rPr>
                <w:color w:val="000000"/>
                <w:sz w:val="16"/>
                <w:szCs w:val="16"/>
              </w:rPr>
            </w:pPr>
            <w:r w:rsidRPr="00055834">
              <w:rPr>
                <w:color w:val="000000"/>
                <w:sz w:val="16"/>
                <w:szCs w:val="16"/>
              </w:rPr>
              <w:t>10</w:t>
            </w:r>
          </w:p>
        </w:tc>
        <w:tc>
          <w:tcPr>
            <w:tcW w:w="708" w:type="dxa"/>
            <w:tcBorders>
              <w:top w:val="double" w:sz="4" w:space="0" w:color="auto"/>
            </w:tcBorders>
            <w:noWrap/>
            <w:vAlign w:val="bottom"/>
          </w:tcPr>
          <w:p w:rsidR="00180D8F" w:rsidRPr="00055834" w:rsidRDefault="00180D8F" w:rsidP="00D464F1">
            <w:pPr>
              <w:jc w:val="center"/>
              <w:rPr>
                <w:color w:val="000000"/>
                <w:sz w:val="16"/>
                <w:szCs w:val="16"/>
              </w:rPr>
            </w:pPr>
            <w:r w:rsidRPr="00055834">
              <w:rPr>
                <w:color w:val="000000"/>
                <w:sz w:val="16"/>
                <w:szCs w:val="16"/>
              </w:rPr>
              <w:t>-23,1</w:t>
            </w:r>
          </w:p>
        </w:tc>
        <w:tc>
          <w:tcPr>
            <w:tcW w:w="936" w:type="dxa"/>
            <w:tcBorders>
              <w:top w:val="double" w:sz="4" w:space="0" w:color="auto"/>
            </w:tcBorders>
            <w:noWrap/>
            <w:vAlign w:val="bottom"/>
          </w:tcPr>
          <w:p w:rsidR="00180D8F" w:rsidRPr="00055834" w:rsidRDefault="00180D8F" w:rsidP="00D464F1">
            <w:pPr>
              <w:jc w:val="center"/>
              <w:rPr>
                <w:color w:val="000000"/>
                <w:sz w:val="16"/>
                <w:szCs w:val="16"/>
              </w:rPr>
            </w:pPr>
            <w:r w:rsidRPr="00055834">
              <w:rPr>
                <w:color w:val="000000"/>
                <w:sz w:val="16"/>
                <w:szCs w:val="16"/>
              </w:rPr>
              <w:t>10</w:t>
            </w:r>
          </w:p>
        </w:tc>
        <w:tc>
          <w:tcPr>
            <w:tcW w:w="765" w:type="dxa"/>
            <w:tcBorders>
              <w:top w:val="double" w:sz="4" w:space="0" w:color="auto"/>
            </w:tcBorders>
            <w:noWrap/>
            <w:vAlign w:val="bottom"/>
          </w:tcPr>
          <w:p w:rsidR="00180D8F" w:rsidRPr="00055834" w:rsidRDefault="00180D8F" w:rsidP="00D464F1">
            <w:pPr>
              <w:jc w:val="center"/>
              <w:rPr>
                <w:color w:val="000000"/>
                <w:sz w:val="16"/>
                <w:szCs w:val="16"/>
              </w:rPr>
            </w:pPr>
            <w:r w:rsidRPr="00055834">
              <w:rPr>
                <w:color w:val="000000"/>
                <w:sz w:val="16"/>
                <w:szCs w:val="16"/>
              </w:rPr>
              <w:t>0</w:t>
            </w:r>
          </w:p>
        </w:tc>
        <w:tc>
          <w:tcPr>
            <w:tcW w:w="851" w:type="dxa"/>
            <w:tcBorders>
              <w:top w:val="double" w:sz="4" w:space="0" w:color="auto"/>
            </w:tcBorders>
          </w:tcPr>
          <w:p w:rsidR="00180D8F" w:rsidRPr="00055834" w:rsidRDefault="00180D8F" w:rsidP="00D464F1">
            <w:pPr>
              <w:jc w:val="center"/>
              <w:rPr>
                <w:color w:val="000000"/>
                <w:sz w:val="16"/>
                <w:szCs w:val="16"/>
              </w:rPr>
            </w:pPr>
          </w:p>
          <w:p w:rsidR="00180D8F" w:rsidRPr="00055834" w:rsidRDefault="00180D8F" w:rsidP="00D464F1">
            <w:pPr>
              <w:jc w:val="center"/>
              <w:rPr>
                <w:color w:val="000000"/>
                <w:sz w:val="16"/>
                <w:szCs w:val="16"/>
              </w:rPr>
            </w:pPr>
            <w:r w:rsidRPr="00055834">
              <w:rPr>
                <w:color w:val="000000"/>
                <w:sz w:val="16"/>
                <w:szCs w:val="16"/>
              </w:rPr>
              <w:t>5</w:t>
            </w:r>
          </w:p>
        </w:tc>
        <w:tc>
          <w:tcPr>
            <w:tcW w:w="876" w:type="dxa"/>
            <w:tcBorders>
              <w:top w:val="double" w:sz="4" w:space="0" w:color="auto"/>
            </w:tcBorders>
          </w:tcPr>
          <w:p w:rsidR="00180D8F" w:rsidRPr="00055834" w:rsidRDefault="00180D8F" w:rsidP="00D464F1">
            <w:pPr>
              <w:jc w:val="center"/>
              <w:rPr>
                <w:color w:val="000000"/>
                <w:sz w:val="16"/>
                <w:szCs w:val="16"/>
              </w:rPr>
            </w:pPr>
          </w:p>
          <w:p w:rsidR="00180D8F" w:rsidRPr="00055834" w:rsidRDefault="00180D8F" w:rsidP="00D464F1">
            <w:pPr>
              <w:jc w:val="center"/>
              <w:rPr>
                <w:color w:val="000000"/>
                <w:sz w:val="16"/>
                <w:szCs w:val="16"/>
              </w:rPr>
            </w:pPr>
            <w:r w:rsidRPr="00055834">
              <w:rPr>
                <w:color w:val="000000"/>
                <w:sz w:val="16"/>
                <w:szCs w:val="16"/>
              </w:rPr>
              <w:t>5</w:t>
            </w:r>
          </w:p>
        </w:tc>
        <w:tc>
          <w:tcPr>
            <w:tcW w:w="683" w:type="dxa"/>
            <w:tcBorders>
              <w:top w:val="double" w:sz="4" w:space="0" w:color="auto"/>
            </w:tcBorders>
          </w:tcPr>
          <w:p w:rsidR="00180D8F" w:rsidRPr="00055834" w:rsidRDefault="00180D8F" w:rsidP="00D464F1">
            <w:pPr>
              <w:jc w:val="center"/>
              <w:rPr>
                <w:color w:val="000000"/>
                <w:sz w:val="16"/>
                <w:szCs w:val="16"/>
              </w:rPr>
            </w:pPr>
          </w:p>
          <w:p w:rsidR="00180D8F" w:rsidRPr="00055834" w:rsidRDefault="00180D8F" w:rsidP="00D464F1">
            <w:pPr>
              <w:jc w:val="center"/>
              <w:rPr>
                <w:color w:val="000000"/>
                <w:sz w:val="16"/>
                <w:szCs w:val="16"/>
              </w:rPr>
            </w:pPr>
            <w:r w:rsidRPr="00055834">
              <w:rPr>
                <w:color w:val="000000"/>
                <w:sz w:val="16"/>
                <w:szCs w:val="16"/>
              </w:rPr>
              <w:t>0</w:t>
            </w:r>
          </w:p>
        </w:tc>
      </w:tr>
      <w:tr w:rsidR="00180D8F" w:rsidRPr="00B607F5" w:rsidTr="00D464F1">
        <w:trPr>
          <w:trHeight w:val="131"/>
        </w:trPr>
        <w:tc>
          <w:tcPr>
            <w:tcW w:w="3510" w:type="dxa"/>
            <w:vAlign w:val="bottom"/>
          </w:tcPr>
          <w:p w:rsidR="00180D8F" w:rsidRPr="00055834" w:rsidRDefault="00180D8F" w:rsidP="00D464F1">
            <w:pPr>
              <w:rPr>
                <w:color w:val="000000"/>
                <w:sz w:val="16"/>
                <w:szCs w:val="16"/>
              </w:rPr>
            </w:pPr>
            <w:r w:rsidRPr="00055834">
              <w:rPr>
                <w:color w:val="000000"/>
                <w:sz w:val="16"/>
                <w:szCs w:val="16"/>
              </w:rPr>
              <w:t>Всего договоров займа</w:t>
            </w:r>
          </w:p>
        </w:tc>
        <w:tc>
          <w:tcPr>
            <w:tcW w:w="851" w:type="dxa"/>
            <w:noWrap/>
            <w:vAlign w:val="bottom"/>
          </w:tcPr>
          <w:p w:rsidR="00180D8F" w:rsidRPr="00055834" w:rsidRDefault="00180D8F" w:rsidP="00D464F1">
            <w:pPr>
              <w:jc w:val="center"/>
              <w:rPr>
                <w:color w:val="000000"/>
                <w:sz w:val="16"/>
                <w:szCs w:val="16"/>
              </w:rPr>
            </w:pPr>
            <w:r w:rsidRPr="00055834">
              <w:rPr>
                <w:color w:val="000000"/>
                <w:sz w:val="16"/>
                <w:szCs w:val="16"/>
              </w:rPr>
              <w:t>26</w:t>
            </w:r>
          </w:p>
        </w:tc>
        <w:tc>
          <w:tcPr>
            <w:tcW w:w="709" w:type="dxa"/>
            <w:noWrap/>
            <w:vAlign w:val="bottom"/>
          </w:tcPr>
          <w:p w:rsidR="00180D8F" w:rsidRPr="00055834" w:rsidRDefault="00180D8F" w:rsidP="00D464F1">
            <w:pPr>
              <w:jc w:val="center"/>
              <w:rPr>
                <w:color w:val="000000"/>
                <w:sz w:val="16"/>
                <w:szCs w:val="16"/>
              </w:rPr>
            </w:pPr>
            <w:r w:rsidRPr="00055834">
              <w:rPr>
                <w:color w:val="000000"/>
                <w:sz w:val="16"/>
                <w:szCs w:val="16"/>
              </w:rPr>
              <w:t>20</w:t>
            </w:r>
          </w:p>
        </w:tc>
        <w:tc>
          <w:tcPr>
            <w:tcW w:w="708" w:type="dxa"/>
            <w:noWrap/>
            <w:vAlign w:val="bottom"/>
          </w:tcPr>
          <w:p w:rsidR="00180D8F" w:rsidRPr="00055834" w:rsidRDefault="00180D8F" w:rsidP="00D464F1">
            <w:pPr>
              <w:jc w:val="center"/>
              <w:rPr>
                <w:color w:val="000000"/>
                <w:sz w:val="16"/>
                <w:szCs w:val="16"/>
              </w:rPr>
            </w:pPr>
            <w:r w:rsidRPr="00055834">
              <w:rPr>
                <w:color w:val="000000"/>
                <w:sz w:val="16"/>
                <w:szCs w:val="16"/>
              </w:rPr>
              <w:t>-23,1</w:t>
            </w:r>
          </w:p>
        </w:tc>
        <w:tc>
          <w:tcPr>
            <w:tcW w:w="936" w:type="dxa"/>
            <w:noWrap/>
            <w:vAlign w:val="bottom"/>
          </w:tcPr>
          <w:p w:rsidR="00180D8F" w:rsidRPr="00055834" w:rsidRDefault="00180D8F" w:rsidP="00D464F1">
            <w:pPr>
              <w:jc w:val="center"/>
              <w:rPr>
                <w:color w:val="000000"/>
                <w:sz w:val="16"/>
                <w:szCs w:val="16"/>
              </w:rPr>
            </w:pPr>
            <w:r w:rsidRPr="00055834">
              <w:rPr>
                <w:color w:val="000000"/>
                <w:sz w:val="16"/>
                <w:szCs w:val="16"/>
              </w:rPr>
              <w:t>26</w:t>
            </w:r>
          </w:p>
        </w:tc>
        <w:tc>
          <w:tcPr>
            <w:tcW w:w="765" w:type="dxa"/>
            <w:noWrap/>
            <w:vAlign w:val="bottom"/>
          </w:tcPr>
          <w:p w:rsidR="00180D8F" w:rsidRPr="00055834" w:rsidRDefault="00180D8F" w:rsidP="00D464F1">
            <w:pPr>
              <w:jc w:val="center"/>
              <w:rPr>
                <w:color w:val="000000"/>
                <w:sz w:val="16"/>
                <w:szCs w:val="16"/>
              </w:rPr>
            </w:pPr>
            <w:r w:rsidRPr="00055834">
              <w:rPr>
                <w:color w:val="000000"/>
                <w:sz w:val="16"/>
                <w:szCs w:val="16"/>
              </w:rPr>
              <w:t>30</w:t>
            </w:r>
          </w:p>
        </w:tc>
        <w:tc>
          <w:tcPr>
            <w:tcW w:w="851" w:type="dxa"/>
          </w:tcPr>
          <w:p w:rsidR="00180D8F" w:rsidRPr="00055834" w:rsidRDefault="00180D8F" w:rsidP="00D464F1">
            <w:pPr>
              <w:jc w:val="center"/>
              <w:rPr>
                <w:color w:val="000000"/>
                <w:sz w:val="16"/>
                <w:szCs w:val="16"/>
              </w:rPr>
            </w:pPr>
            <w:r w:rsidRPr="00055834">
              <w:rPr>
                <w:color w:val="000000"/>
                <w:sz w:val="16"/>
                <w:szCs w:val="16"/>
              </w:rPr>
              <w:t>6</w:t>
            </w:r>
          </w:p>
        </w:tc>
        <w:tc>
          <w:tcPr>
            <w:tcW w:w="876" w:type="dxa"/>
          </w:tcPr>
          <w:p w:rsidR="00180D8F" w:rsidRPr="00055834" w:rsidRDefault="00180D8F" w:rsidP="00D464F1">
            <w:pPr>
              <w:jc w:val="center"/>
              <w:rPr>
                <w:color w:val="000000"/>
                <w:sz w:val="16"/>
                <w:szCs w:val="16"/>
              </w:rPr>
            </w:pPr>
            <w:r w:rsidRPr="00055834">
              <w:rPr>
                <w:color w:val="000000"/>
                <w:sz w:val="16"/>
                <w:szCs w:val="16"/>
              </w:rPr>
              <w:t>8</w:t>
            </w:r>
          </w:p>
        </w:tc>
        <w:tc>
          <w:tcPr>
            <w:tcW w:w="683" w:type="dxa"/>
          </w:tcPr>
          <w:p w:rsidR="00180D8F" w:rsidRPr="00055834" w:rsidRDefault="00180D8F" w:rsidP="00D464F1">
            <w:pPr>
              <w:jc w:val="center"/>
              <w:rPr>
                <w:color w:val="000000"/>
                <w:sz w:val="16"/>
                <w:szCs w:val="16"/>
              </w:rPr>
            </w:pPr>
            <w:r w:rsidRPr="00055834">
              <w:rPr>
                <w:color w:val="000000"/>
                <w:sz w:val="16"/>
                <w:szCs w:val="16"/>
              </w:rPr>
              <w:t>33,3</w:t>
            </w:r>
          </w:p>
        </w:tc>
      </w:tr>
      <w:tr w:rsidR="00180D8F" w:rsidRPr="00B607F5" w:rsidTr="00D464F1">
        <w:trPr>
          <w:trHeight w:val="206"/>
        </w:trPr>
        <w:tc>
          <w:tcPr>
            <w:tcW w:w="3510" w:type="dxa"/>
            <w:vAlign w:val="bottom"/>
          </w:tcPr>
          <w:p w:rsidR="00180D8F" w:rsidRPr="00055834" w:rsidRDefault="00180D8F" w:rsidP="00D464F1">
            <w:pPr>
              <w:rPr>
                <w:color w:val="000000"/>
                <w:sz w:val="16"/>
                <w:szCs w:val="16"/>
              </w:rPr>
            </w:pPr>
            <w:r w:rsidRPr="00055834">
              <w:rPr>
                <w:color w:val="000000"/>
                <w:sz w:val="16"/>
                <w:szCs w:val="16"/>
              </w:rPr>
              <w:t>Общая сумма выданных займов, тыс. руб.</w:t>
            </w:r>
          </w:p>
        </w:tc>
        <w:tc>
          <w:tcPr>
            <w:tcW w:w="851" w:type="dxa"/>
            <w:noWrap/>
            <w:vAlign w:val="bottom"/>
          </w:tcPr>
          <w:p w:rsidR="00180D8F" w:rsidRPr="00055834" w:rsidRDefault="00180D8F" w:rsidP="00D464F1">
            <w:pPr>
              <w:jc w:val="center"/>
              <w:rPr>
                <w:color w:val="000000"/>
                <w:sz w:val="16"/>
                <w:szCs w:val="16"/>
              </w:rPr>
            </w:pPr>
            <w:r w:rsidRPr="00055834">
              <w:rPr>
                <w:color w:val="000000"/>
                <w:sz w:val="16"/>
                <w:szCs w:val="16"/>
              </w:rPr>
              <w:t>110 275</w:t>
            </w:r>
          </w:p>
        </w:tc>
        <w:tc>
          <w:tcPr>
            <w:tcW w:w="709" w:type="dxa"/>
            <w:noWrap/>
            <w:vAlign w:val="bottom"/>
          </w:tcPr>
          <w:p w:rsidR="00180D8F" w:rsidRPr="00055834" w:rsidRDefault="00180D8F" w:rsidP="00D464F1">
            <w:pPr>
              <w:ind w:left="-108" w:right="-108"/>
              <w:jc w:val="center"/>
              <w:rPr>
                <w:color w:val="000000"/>
                <w:sz w:val="16"/>
                <w:szCs w:val="16"/>
              </w:rPr>
            </w:pPr>
            <w:r w:rsidRPr="00055834">
              <w:rPr>
                <w:color w:val="000000"/>
                <w:sz w:val="16"/>
                <w:szCs w:val="16"/>
              </w:rPr>
              <w:t>118 640</w:t>
            </w:r>
          </w:p>
        </w:tc>
        <w:tc>
          <w:tcPr>
            <w:tcW w:w="708" w:type="dxa"/>
            <w:noWrap/>
            <w:vAlign w:val="bottom"/>
          </w:tcPr>
          <w:p w:rsidR="00180D8F" w:rsidRPr="00055834" w:rsidRDefault="00180D8F" w:rsidP="00D464F1">
            <w:pPr>
              <w:jc w:val="center"/>
              <w:rPr>
                <w:color w:val="000000"/>
                <w:sz w:val="16"/>
                <w:szCs w:val="16"/>
              </w:rPr>
            </w:pPr>
            <w:r w:rsidRPr="00055834">
              <w:rPr>
                <w:color w:val="000000"/>
                <w:sz w:val="16"/>
                <w:szCs w:val="16"/>
              </w:rPr>
              <w:t>7,6</w:t>
            </w:r>
          </w:p>
        </w:tc>
        <w:tc>
          <w:tcPr>
            <w:tcW w:w="936" w:type="dxa"/>
            <w:noWrap/>
            <w:vAlign w:val="bottom"/>
          </w:tcPr>
          <w:p w:rsidR="00180D8F" w:rsidRPr="00055834" w:rsidRDefault="00180D8F" w:rsidP="00D464F1">
            <w:pPr>
              <w:jc w:val="center"/>
              <w:rPr>
                <w:color w:val="000000"/>
                <w:sz w:val="16"/>
                <w:szCs w:val="16"/>
              </w:rPr>
            </w:pPr>
            <w:r w:rsidRPr="00055834">
              <w:rPr>
                <w:color w:val="000000"/>
                <w:sz w:val="16"/>
                <w:szCs w:val="16"/>
              </w:rPr>
              <w:t>139 750</w:t>
            </w:r>
          </w:p>
        </w:tc>
        <w:tc>
          <w:tcPr>
            <w:tcW w:w="765" w:type="dxa"/>
            <w:noWrap/>
            <w:vAlign w:val="bottom"/>
          </w:tcPr>
          <w:p w:rsidR="00180D8F" w:rsidRPr="00055834" w:rsidRDefault="00180D8F" w:rsidP="00D464F1">
            <w:pPr>
              <w:jc w:val="center"/>
              <w:rPr>
                <w:color w:val="000000"/>
                <w:sz w:val="16"/>
                <w:szCs w:val="16"/>
              </w:rPr>
            </w:pPr>
            <w:r w:rsidRPr="00055834">
              <w:rPr>
                <w:color w:val="000000"/>
                <w:sz w:val="16"/>
                <w:szCs w:val="16"/>
              </w:rPr>
              <w:t>17,8</w:t>
            </w:r>
          </w:p>
        </w:tc>
        <w:tc>
          <w:tcPr>
            <w:tcW w:w="851" w:type="dxa"/>
          </w:tcPr>
          <w:p w:rsidR="00180D8F" w:rsidRPr="00055834" w:rsidRDefault="00180D8F" w:rsidP="00D464F1">
            <w:pPr>
              <w:jc w:val="center"/>
              <w:rPr>
                <w:color w:val="000000"/>
                <w:sz w:val="16"/>
                <w:szCs w:val="16"/>
              </w:rPr>
            </w:pPr>
            <w:r w:rsidRPr="00055834">
              <w:rPr>
                <w:color w:val="000000"/>
                <w:sz w:val="16"/>
                <w:szCs w:val="16"/>
              </w:rPr>
              <w:t>56 650</w:t>
            </w:r>
          </w:p>
        </w:tc>
        <w:tc>
          <w:tcPr>
            <w:tcW w:w="876" w:type="dxa"/>
          </w:tcPr>
          <w:p w:rsidR="00180D8F" w:rsidRPr="00055834" w:rsidRDefault="00180D8F" w:rsidP="00D464F1">
            <w:pPr>
              <w:jc w:val="center"/>
              <w:rPr>
                <w:color w:val="000000"/>
                <w:sz w:val="16"/>
                <w:szCs w:val="16"/>
              </w:rPr>
            </w:pPr>
            <w:r w:rsidRPr="00055834">
              <w:rPr>
                <w:color w:val="000000"/>
                <w:sz w:val="16"/>
                <w:szCs w:val="16"/>
              </w:rPr>
              <w:t>57 800</w:t>
            </w:r>
          </w:p>
        </w:tc>
        <w:tc>
          <w:tcPr>
            <w:tcW w:w="683" w:type="dxa"/>
          </w:tcPr>
          <w:p w:rsidR="00180D8F" w:rsidRPr="00055834" w:rsidRDefault="00180D8F" w:rsidP="00D464F1">
            <w:pPr>
              <w:jc w:val="center"/>
              <w:rPr>
                <w:color w:val="000000"/>
                <w:sz w:val="16"/>
                <w:szCs w:val="16"/>
              </w:rPr>
            </w:pPr>
            <w:r w:rsidRPr="00055834">
              <w:rPr>
                <w:color w:val="000000"/>
                <w:sz w:val="16"/>
                <w:szCs w:val="16"/>
              </w:rPr>
              <w:t>2</w:t>
            </w:r>
          </w:p>
        </w:tc>
      </w:tr>
      <w:tr w:rsidR="00180D8F" w:rsidRPr="00B607F5" w:rsidTr="00055834">
        <w:trPr>
          <w:trHeight w:val="56"/>
        </w:trPr>
        <w:tc>
          <w:tcPr>
            <w:tcW w:w="3510" w:type="dxa"/>
          </w:tcPr>
          <w:p w:rsidR="00180D8F" w:rsidRPr="00055834" w:rsidRDefault="00180D8F" w:rsidP="008509D0">
            <w:pPr>
              <w:rPr>
                <w:color w:val="000000"/>
                <w:sz w:val="16"/>
                <w:szCs w:val="16"/>
              </w:rPr>
            </w:pPr>
            <w:r w:rsidRPr="00055834">
              <w:rPr>
                <w:color w:val="000000"/>
                <w:sz w:val="16"/>
                <w:szCs w:val="16"/>
              </w:rPr>
              <w:t>Сумма займов на конец года, тыс. руб.</w:t>
            </w:r>
          </w:p>
        </w:tc>
        <w:tc>
          <w:tcPr>
            <w:tcW w:w="851" w:type="dxa"/>
            <w:noWrap/>
          </w:tcPr>
          <w:p w:rsidR="00180D8F" w:rsidRPr="00055834" w:rsidRDefault="00180D8F" w:rsidP="00055834">
            <w:pPr>
              <w:jc w:val="center"/>
              <w:rPr>
                <w:color w:val="000000"/>
                <w:sz w:val="16"/>
                <w:szCs w:val="16"/>
              </w:rPr>
            </w:pPr>
            <w:r w:rsidRPr="00055834">
              <w:rPr>
                <w:color w:val="000000"/>
                <w:sz w:val="16"/>
                <w:szCs w:val="16"/>
              </w:rPr>
              <w:t>49 205</w:t>
            </w:r>
          </w:p>
        </w:tc>
        <w:tc>
          <w:tcPr>
            <w:tcW w:w="709" w:type="dxa"/>
            <w:noWrap/>
          </w:tcPr>
          <w:p w:rsidR="00180D8F" w:rsidRPr="00055834" w:rsidRDefault="00180D8F" w:rsidP="00055834">
            <w:pPr>
              <w:ind w:left="-108" w:right="-108"/>
              <w:jc w:val="center"/>
              <w:rPr>
                <w:color w:val="000000"/>
                <w:sz w:val="16"/>
                <w:szCs w:val="16"/>
              </w:rPr>
            </w:pPr>
            <w:r w:rsidRPr="00055834">
              <w:rPr>
                <w:color w:val="000000"/>
                <w:sz w:val="16"/>
                <w:szCs w:val="16"/>
              </w:rPr>
              <w:t>82 580</w:t>
            </w:r>
          </w:p>
        </w:tc>
        <w:tc>
          <w:tcPr>
            <w:tcW w:w="708" w:type="dxa"/>
            <w:noWrap/>
          </w:tcPr>
          <w:p w:rsidR="00180D8F" w:rsidRPr="00055834" w:rsidRDefault="00180D8F" w:rsidP="00055834">
            <w:pPr>
              <w:jc w:val="center"/>
              <w:rPr>
                <w:color w:val="000000"/>
                <w:sz w:val="16"/>
                <w:szCs w:val="16"/>
              </w:rPr>
            </w:pPr>
            <w:r w:rsidRPr="00055834">
              <w:rPr>
                <w:color w:val="000000"/>
                <w:sz w:val="16"/>
                <w:szCs w:val="16"/>
              </w:rPr>
              <w:t>67,8</w:t>
            </w:r>
          </w:p>
        </w:tc>
        <w:tc>
          <w:tcPr>
            <w:tcW w:w="936" w:type="dxa"/>
            <w:noWrap/>
          </w:tcPr>
          <w:p w:rsidR="00180D8F" w:rsidRPr="00055834" w:rsidRDefault="00180D8F" w:rsidP="00055834">
            <w:pPr>
              <w:jc w:val="center"/>
              <w:rPr>
                <w:color w:val="000000"/>
                <w:sz w:val="16"/>
                <w:szCs w:val="16"/>
              </w:rPr>
            </w:pPr>
            <w:r w:rsidRPr="00055834">
              <w:rPr>
                <w:color w:val="000000"/>
                <w:sz w:val="16"/>
                <w:szCs w:val="16"/>
              </w:rPr>
              <w:t>129 673,4</w:t>
            </w:r>
          </w:p>
        </w:tc>
        <w:tc>
          <w:tcPr>
            <w:tcW w:w="765" w:type="dxa"/>
            <w:noWrap/>
          </w:tcPr>
          <w:p w:rsidR="00180D8F" w:rsidRPr="00055834" w:rsidRDefault="00180D8F" w:rsidP="00055834">
            <w:pPr>
              <w:jc w:val="center"/>
              <w:rPr>
                <w:color w:val="000000"/>
                <w:sz w:val="16"/>
                <w:szCs w:val="16"/>
              </w:rPr>
            </w:pPr>
            <w:r w:rsidRPr="00055834">
              <w:rPr>
                <w:color w:val="000000"/>
                <w:sz w:val="16"/>
                <w:szCs w:val="16"/>
              </w:rPr>
              <w:t>57,0</w:t>
            </w:r>
          </w:p>
        </w:tc>
        <w:tc>
          <w:tcPr>
            <w:tcW w:w="851" w:type="dxa"/>
          </w:tcPr>
          <w:p w:rsidR="00180D8F" w:rsidRPr="00055834" w:rsidRDefault="00180D8F" w:rsidP="00055834">
            <w:pPr>
              <w:jc w:val="center"/>
              <w:rPr>
                <w:color w:val="000000"/>
                <w:sz w:val="16"/>
                <w:szCs w:val="16"/>
              </w:rPr>
            </w:pPr>
            <w:r w:rsidRPr="00055834">
              <w:rPr>
                <w:color w:val="000000"/>
                <w:sz w:val="16"/>
                <w:szCs w:val="16"/>
              </w:rPr>
              <w:t>112 810</w:t>
            </w:r>
          </w:p>
        </w:tc>
        <w:tc>
          <w:tcPr>
            <w:tcW w:w="876" w:type="dxa"/>
          </w:tcPr>
          <w:p w:rsidR="00180D8F" w:rsidRPr="00055834" w:rsidRDefault="00180D8F" w:rsidP="00055834">
            <w:pPr>
              <w:ind w:right="-83"/>
              <w:jc w:val="center"/>
              <w:rPr>
                <w:color w:val="000000"/>
                <w:sz w:val="16"/>
                <w:szCs w:val="16"/>
              </w:rPr>
            </w:pPr>
            <w:r w:rsidRPr="00055834">
              <w:rPr>
                <w:color w:val="000000"/>
                <w:sz w:val="16"/>
                <w:szCs w:val="16"/>
              </w:rPr>
              <w:t>144 768,5</w:t>
            </w:r>
          </w:p>
        </w:tc>
        <w:tc>
          <w:tcPr>
            <w:tcW w:w="683" w:type="dxa"/>
          </w:tcPr>
          <w:p w:rsidR="00180D8F" w:rsidRPr="00055834" w:rsidRDefault="00180D8F" w:rsidP="00055834">
            <w:pPr>
              <w:jc w:val="center"/>
              <w:rPr>
                <w:color w:val="000000"/>
                <w:sz w:val="16"/>
                <w:szCs w:val="16"/>
              </w:rPr>
            </w:pPr>
            <w:r w:rsidRPr="00055834">
              <w:rPr>
                <w:color w:val="000000"/>
                <w:sz w:val="16"/>
                <w:szCs w:val="16"/>
              </w:rPr>
              <w:t>28,3</w:t>
            </w:r>
          </w:p>
        </w:tc>
      </w:tr>
      <w:tr w:rsidR="00180D8F" w:rsidRPr="00B607F5" w:rsidTr="00055834">
        <w:trPr>
          <w:trHeight w:val="236"/>
        </w:trPr>
        <w:tc>
          <w:tcPr>
            <w:tcW w:w="3510" w:type="dxa"/>
            <w:vAlign w:val="center"/>
          </w:tcPr>
          <w:p w:rsidR="00180D8F" w:rsidRPr="00055834" w:rsidRDefault="00180D8F" w:rsidP="00D464F1">
            <w:pPr>
              <w:rPr>
                <w:color w:val="000000"/>
                <w:sz w:val="16"/>
                <w:szCs w:val="16"/>
              </w:rPr>
            </w:pPr>
            <w:r w:rsidRPr="00055834">
              <w:rPr>
                <w:color w:val="000000"/>
                <w:sz w:val="16"/>
                <w:szCs w:val="16"/>
              </w:rPr>
              <w:t xml:space="preserve">Количество СМСП, </w:t>
            </w:r>
            <w:proofErr w:type="gramStart"/>
            <w:r w:rsidRPr="00055834">
              <w:rPr>
                <w:color w:val="000000"/>
                <w:sz w:val="16"/>
                <w:szCs w:val="16"/>
              </w:rPr>
              <w:t>получивших</w:t>
            </w:r>
            <w:proofErr w:type="gramEnd"/>
            <w:r w:rsidRPr="00055834">
              <w:rPr>
                <w:color w:val="000000"/>
                <w:sz w:val="16"/>
                <w:szCs w:val="16"/>
              </w:rPr>
              <w:t xml:space="preserve"> поддержку </w:t>
            </w:r>
          </w:p>
        </w:tc>
        <w:tc>
          <w:tcPr>
            <w:tcW w:w="851" w:type="dxa"/>
            <w:noWrap/>
          </w:tcPr>
          <w:p w:rsidR="00180D8F" w:rsidRPr="00055834" w:rsidRDefault="00180D8F" w:rsidP="00D464F1">
            <w:pPr>
              <w:jc w:val="center"/>
              <w:rPr>
                <w:color w:val="000000"/>
                <w:sz w:val="16"/>
                <w:szCs w:val="16"/>
              </w:rPr>
            </w:pPr>
            <w:r w:rsidRPr="00055834">
              <w:rPr>
                <w:color w:val="000000"/>
                <w:sz w:val="16"/>
                <w:szCs w:val="16"/>
              </w:rPr>
              <w:t>162</w:t>
            </w:r>
          </w:p>
        </w:tc>
        <w:tc>
          <w:tcPr>
            <w:tcW w:w="709" w:type="dxa"/>
            <w:noWrap/>
          </w:tcPr>
          <w:p w:rsidR="00180D8F" w:rsidRPr="00055834" w:rsidRDefault="00180D8F" w:rsidP="00D464F1">
            <w:pPr>
              <w:jc w:val="center"/>
              <w:rPr>
                <w:color w:val="000000"/>
                <w:sz w:val="16"/>
                <w:szCs w:val="16"/>
              </w:rPr>
            </w:pPr>
            <w:r w:rsidRPr="00055834">
              <w:rPr>
                <w:color w:val="000000"/>
                <w:sz w:val="16"/>
                <w:szCs w:val="16"/>
              </w:rPr>
              <w:t>127</w:t>
            </w:r>
          </w:p>
        </w:tc>
        <w:tc>
          <w:tcPr>
            <w:tcW w:w="708" w:type="dxa"/>
            <w:noWrap/>
          </w:tcPr>
          <w:p w:rsidR="00180D8F" w:rsidRPr="00055834" w:rsidRDefault="00180D8F" w:rsidP="00D464F1">
            <w:pPr>
              <w:jc w:val="center"/>
              <w:rPr>
                <w:color w:val="000000"/>
                <w:sz w:val="16"/>
                <w:szCs w:val="16"/>
              </w:rPr>
            </w:pPr>
            <w:r w:rsidRPr="00055834">
              <w:rPr>
                <w:color w:val="000000"/>
                <w:sz w:val="16"/>
                <w:szCs w:val="16"/>
              </w:rPr>
              <w:t>-21,6</w:t>
            </w:r>
          </w:p>
        </w:tc>
        <w:tc>
          <w:tcPr>
            <w:tcW w:w="936" w:type="dxa"/>
            <w:noWrap/>
          </w:tcPr>
          <w:p w:rsidR="00180D8F" w:rsidRPr="00055834" w:rsidRDefault="00180D8F" w:rsidP="00D464F1">
            <w:pPr>
              <w:jc w:val="center"/>
              <w:rPr>
                <w:color w:val="000000"/>
                <w:sz w:val="16"/>
                <w:szCs w:val="16"/>
              </w:rPr>
            </w:pPr>
            <w:r w:rsidRPr="00055834">
              <w:rPr>
                <w:color w:val="000000"/>
                <w:sz w:val="16"/>
                <w:szCs w:val="16"/>
              </w:rPr>
              <w:t>114</w:t>
            </w:r>
          </w:p>
        </w:tc>
        <w:tc>
          <w:tcPr>
            <w:tcW w:w="765" w:type="dxa"/>
            <w:noWrap/>
          </w:tcPr>
          <w:p w:rsidR="00180D8F" w:rsidRPr="00055834" w:rsidRDefault="00180D8F" w:rsidP="00D464F1">
            <w:pPr>
              <w:jc w:val="center"/>
              <w:rPr>
                <w:color w:val="000000"/>
                <w:sz w:val="16"/>
                <w:szCs w:val="16"/>
              </w:rPr>
            </w:pPr>
            <w:r w:rsidRPr="00055834">
              <w:rPr>
                <w:color w:val="000000"/>
                <w:sz w:val="16"/>
                <w:szCs w:val="16"/>
              </w:rPr>
              <w:t>-10,2</w:t>
            </w:r>
          </w:p>
        </w:tc>
        <w:tc>
          <w:tcPr>
            <w:tcW w:w="851" w:type="dxa"/>
          </w:tcPr>
          <w:p w:rsidR="00180D8F" w:rsidRPr="00055834" w:rsidRDefault="00180D8F" w:rsidP="00D464F1">
            <w:pPr>
              <w:jc w:val="center"/>
              <w:rPr>
                <w:color w:val="000000"/>
                <w:sz w:val="16"/>
                <w:szCs w:val="16"/>
              </w:rPr>
            </w:pPr>
            <w:r w:rsidRPr="00055834">
              <w:rPr>
                <w:color w:val="000000"/>
                <w:sz w:val="16"/>
                <w:szCs w:val="16"/>
              </w:rPr>
              <w:t>37</w:t>
            </w:r>
          </w:p>
        </w:tc>
        <w:tc>
          <w:tcPr>
            <w:tcW w:w="876" w:type="dxa"/>
          </w:tcPr>
          <w:p w:rsidR="00180D8F" w:rsidRPr="00055834" w:rsidRDefault="00180D8F" w:rsidP="00D464F1">
            <w:pPr>
              <w:jc w:val="center"/>
              <w:rPr>
                <w:color w:val="000000"/>
                <w:sz w:val="16"/>
                <w:szCs w:val="16"/>
              </w:rPr>
            </w:pPr>
            <w:r w:rsidRPr="00055834">
              <w:rPr>
                <w:color w:val="000000"/>
                <w:sz w:val="16"/>
                <w:szCs w:val="16"/>
              </w:rPr>
              <w:t>33</w:t>
            </w:r>
          </w:p>
        </w:tc>
        <w:tc>
          <w:tcPr>
            <w:tcW w:w="683" w:type="dxa"/>
          </w:tcPr>
          <w:p w:rsidR="00180D8F" w:rsidRPr="00055834" w:rsidRDefault="00180D8F" w:rsidP="00D464F1">
            <w:pPr>
              <w:jc w:val="center"/>
              <w:rPr>
                <w:color w:val="000000"/>
                <w:sz w:val="16"/>
                <w:szCs w:val="16"/>
              </w:rPr>
            </w:pPr>
            <w:r w:rsidRPr="00055834">
              <w:rPr>
                <w:color w:val="000000"/>
                <w:sz w:val="16"/>
                <w:szCs w:val="16"/>
              </w:rPr>
              <w:t>-10,8</w:t>
            </w:r>
          </w:p>
        </w:tc>
      </w:tr>
      <w:tr w:rsidR="00180D8F" w:rsidRPr="00B607F5" w:rsidTr="00D464F1">
        <w:trPr>
          <w:trHeight w:val="403"/>
        </w:trPr>
        <w:tc>
          <w:tcPr>
            <w:tcW w:w="3510" w:type="dxa"/>
            <w:vAlign w:val="center"/>
          </w:tcPr>
          <w:p w:rsidR="00180D8F" w:rsidRPr="00055834" w:rsidRDefault="00180D8F" w:rsidP="00D464F1">
            <w:pPr>
              <w:ind w:right="-108"/>
              <w:rPr>
                <w:color w:val="000000"/>
                <w:sz w:val="16"/>
                <w:szCs w:val="16"/>
              </w:rPr>
            </w:pPr>
            <w:r w:rsidRPr="00055834">
              <w:rPr>
                <w:color w:val="000000"/>
                <w:sz w:val="16"/>
                <w:szCs w:val="16"/>
              </w:rPr>
              <w:t>Количество вновь созданных рабочих мест (включая вновь зарегистрированных ИП)</w:t>
            </w:r>
          </w:p>
        </w:tc>
        <w:tc>
          <w:tcPr>
            <w:tcW w:w="851" w:type="dxa"/>
            <w:noWrap/>
          </w:tcPr>
          <w:p w:rsidR="00180D8F" w:rsidRPr="00055834" w:rsidRDefault="00180D8F" w:rsidP="00D464F1">
            <w:pPr>
              <w:jc w:val="center"/>
              <w:rPr>
                <w:color w:val="000000"/>
                <w:sz w:val="16"/>
                <w:szCs w:val="16"/>
              </w:rPr>
            </w:pPr>
            <w:r w:rsidRPr="00055834">
              <w:rPr>
                <w:color w:val="000000"/>
                <w:sz w:val="16"/>
                <w:szCs w:val="16"/>
              </w:rPr>
              <w:t>198</w:t>
            </w:r>
          </w:p>
        </w:tc>
        <w:tc>
          <w:tcPr>
            <w:tcW w:w="709" w:type="dxa"/>
            <w:noWrap/>
          </w:tcPr>
          <w:p w:rsidR="00180D8F" w:rsidRPr="00055834" w:rsidRDefault="00180D8F" w:rsidP="00D464F1">
            <w:pPr>
              <w:jc w:val="center"/>
              <w:rPr>
                <w:color w:val="000000"/>
                <w:sz w:val="16"/>
                <w:szCs w:val="16"/>
              </w:rPr>
            </w:pPr>
            <w:r w:rsidRPr="00055834">
              <w:rPr>
                <w:color w:val="000000"/>
                <w:sz w:val="16"/>
                <w:szCs w:val="16"/>
              </w:rPr>
              <w:t>130</w:t>
            </w:r>
          </w:p>
        </w:tc>
        <w:tc>
          <w:tcPr>
            <w:tcW w:w="708" w:type="dxa"/>
            <w:noWrap/>
          </w:tcPr>
          <w:p w:rsidR="00180D8F" w:rsidRPr="00055834" w:rsidRDefault="00180D8F" w:rsidP="00D464F1">
            <w:pPr>
              <w:jc w:val="center"/>
              <w:rPr>
                <w:color w:val="000000"/>
                <w:sz w:val="16"/>
                <w:szCs w:val="16"/>
              </w:rPr>
            </w:pPr>
            <w:r w:rsidRPr="00055834">
              <w:rPr>
                <w:color w:val="000000"/>
                <w:sz w:val="16"/>
                <w:szCs w:val="16"/>
              </w:rPr>
              <w:t>-34,4</w:t>
            </w:r>
          </w:p>
        </w:tc>
        <w:tc>
          <w:tcPr>
            <w:tcW w:w="936" w:type="dxa"/>
            <w:noWrap/>
          </w:tcPr>
          <w:p w:rsidR="00180D8F" w:rsidRPr="00055834" w:rsidRDefault="00180D8F" w:rsidP="00D464F1">
            <w:pPr>
              <w:jc w:val="center"/>
              <w:rPr>
                <w:color w:val="000000"/>
                <w:sz w:val="16"/>
                <w:szCs w:val="16"/>
              </w:rPr>
            </w:pPr>
            <w:r w:rsidRPr="00055834">
              <w:rPr>
                <w:color w:val="000000"/>
                <w:sz w:val="16"/>
                <w:szCs w:val="16"/>
              </w:rPr>
              <w:t>137</w:t>
            </w:r>
          </w:p>
        </w:tc>
        <w:tc>
          <w:tcPr>
            <w:tcW w:w="765" w:type="dxa"/>
            <w:noWrap/>
          </w:tcPr>
          <w:p w:rsidR="00180D8F" w:rsidRPr="00055834" w:rsidRDefault="00180D8F" w:rsidP="00D464F1">
            <w:pPr>
              <w:jc w:val="center"/>
              <w:rPr>
                <w:color w:val="000000"/>
                <w:sz w:val="16"/>
                <w:szCs w:val="16"/>
              </w:rPr>
            </w:pPr>
            <w:r w:rsidRPr="00055834">
              <w:rPr>
                <w:color w:val="000000"/>
                <w:sz w:val="16"/>
                <w:szCs w:val="16"/>
              </w:rPr>
              <w:t>5,4</w:t>
            </w:r>
          </w:p>
        </w:tc>
        <w:tc>
          <w:tcPr>
            <w:tcW w:w="851" w:type="dxa"/>
          </w:tcPr>
          <w:p w:rsidR="00180D8F" w:rsidRPr="00055834" w:rsidRDefault="00180D8F" w:rsidP="00D464F1">
            <w:pPr>
              <w:jc w:val="center"/>
              <w:rPr>
                <w:color w:val="000000"/>
                <w:sz w:val="16"/>
                <w:szCs w:val="16"/>
              </w:rPr>
            </w:pPr>
            <w:r w:rsidRPr="00055834">
              <w:rPr>
                <w:color w:val="000000"/>
                <w:sz w:val="16"/>
                <w:szCs w:val="16"/>
              </w:rPr>
              <w:t>57</w:t>
            </w:r>
          </w:p>
        </w:tc>
        <w:tc>
          <w:tcPr>
            <w:tcW w:w="876" w:type="dxa"/>
          </w:tcPr>
          <w:p w:rsidR="00180D8F" w:rsidRPr="00055834" w:rsidRDefault="00180D8F" w:rsidP="00D464F1">
            <w:pPr>
              <w:jc w:val="center"/>
              <w:rPr>
                <w:color w:val="000000"/>
                <w:sz w:val="16"/>
                <w:szCs w:val="16"/>
              </w:rPr>
            </w:pPr>
            <w:r w:rsidRPr="00055834">
              <w:rPr>
                <w:color w:val="000000"/>
                <w:sz w:val="16"/>
                <w:szCs w:val="16"/>
              </w:rPr>
              <w:t>74</w:t>
            </w:r>
          </w:p>
        </w:tc>
        <w:tc>
          <w:tcPr>
            <w:tcW w:w="683" w:type="dxa"/>
          </w:tcPr>
          <w:p w:rsidR="00180D8F" w:rsidRPr="00055834" w:rsidRDefault="00180D8F" w:rsidP="00D464F1">
            <w:pPr>
              <w:jc w:val="center"/>
              <w:rPr>
                <w:color w:val="000000"/>
                <w:sz w:val="16"/>
                <w:szCs w:val="16"/>
              </w:rPr>
            </w:pPr>
            <w:r w:rsidRPr="00055834">
              <w:rPr>
                <w:color w:val="000000"/>
                <w:sz w:val="16"/>
                <w:szCs w:val="16"/>
              </w:rPr>
              <w:t>29,8</w:t>
            </w:r>
          </w:p>
        </w:tc>
      </w:tr>
    </w:tbl>
    <w:p w:rsidR="00180D8F" w:rsidRDefault="00180D8F" w:rsidP="00180D8F">
      <w:pPr>
        <w:autoSpaceDE w:val="0"/>
        <w:autoSpaceDN w:val="0"/>
        <w:adjustRightInd w:val="0"/>
        <w:ind w:right="27" w:firstLine="709"/>
        <w:contextualSpacing/>
        <w:jc w:val="both"/>
      </w:pPr>
    </w:p>
    <w:p w:rsidR="00180D8F" w:rsidRDefault="00180D8F" w:rsidP="00180D8F">
      <w:pPr>
        <w:autoSpaceDE w:val="0"/>
        <w:autoSpaceDN w:val="0"/>
        <w:adjustRightInd w:val="0"/>
        <w:ind w:firstLine="680"/>
        <w:contextualSpacing/>
        <w:jc w:val="both"/>
      </w:pPr>
      <w:proofErr w:type="gramStart"/>
      <w:r w:rsidRPr="00B607F5">
        <w:t xml:space="preserve">Из таблицы видно, что при ежегодном росте суммы выданных </w:t>
      </w:r>
      <w:proofErr w:type="spellStart"/>
      <w:r>
        <w:t>микро</w:t>
      </w:r>
      <w:r w:rsidRPr="00B607F5">
        <w:t>займов</w:t>
      </w:r>
      <w:proofErr w:type="spellEnd"/>
      <w:r w:rsidRPr="00B607F5">
        <w:t xml:space="preserve"> отмечается ежегодное снижение СМСП, получающих </w:t>
      </w:r>
      <w:proofErr w:type="spellStart"/>
      <w:r w:rsidRPr="00B607F5">
        <w:t>микрозаймы</w:t>
      </w:r>
      <w:proofErr w:type="spellEnd"/>
      <w:r w:rsidRPr="00B607F5">
        <w:t>, что объясняется уменьшением количества обратившихся</w:t>
      </w:r>
      <w:r>
        <w:t xml:space="preserve"> за займами  МФО/КПК, которые в</w:t>
      </w:r>
      <w:r w:rsidRPr="00B607F5">
        <w:t xml:space="preserve">последствии предоставляют </w:t>
      </w:r>
      <w:proofErr w:type="spellStart"/>
      <w:r w:rsidRPr="00B607F5">
        <w:t>микрозаймы</w:t>
      </w:r>
      <w:proofErr w:type="spellEnd"/>
      <w:r w:rsidRPr="00B607F5">
        <w:t xml:space="preserve"> СМСП, увеличением суммы </w:t>
      </w:r>
      <w:proofErr w:type="spellStart"/>
      <w:r w:rsidRPr="00B607F5">
        <w:t>микрозайма</w:t>
      </w:r>
      <w:proofErr w:type="spellEnd"/>
      <w:r w:rsidRPr="00B607F5">
        <w:t xml:space="preserve"> на одного СМСП с 1 млн. руб. до 3-х млн. руб., </w:t>
      </w:r>
      <w:r>
        <w:t xml:space="preserve">а также </w:t>
      </w:r>
      <w:r w:rsidR="00395AFC">
        <w:t xml:space="preserve">увеличением </w:t>
      </w:r>
      <w:r w:rsidRPr="00B607F5">
        <w:t xml:space="preserve">срока </w:t>
      </w:r>
      <w:proofErr w:type="spellStart"/>
      <w:r w:rsidRPr="00B607F5">
        <w:t>микрозайма</w:t>
      </w:r>
      <w:proofErr w:type="spellEnd"/>
      <w:r w:rsidRPr="00B607F5">
        <w:t xml:space="preserve"> с 1 до 3-х лет. </w:t>
      </w:r>
      <w:proofErr w:type="gramEnd"/>
    </w:p>
    <w:p w:rsidR="00C06A96" w:rsidRDefault="003C0FE1" w:rsidP="00180D8F">
      <w:pPr>
        <w:ind w:firstLine="680"/>
        <w:jc w:val="both"/>
      </w:pPr>
      <w:proofErr w:type="gramStart"/>
      <w:r w:rsidRPr="00C06A96">
        <w:t xml:space="preserve">В 2015 году выделено из федерального и областного бюджетов 100 млн. руб. </w:t>
      </w:r>
      <w:r w:rsidR="00C06A96" w:rsidRPr="00C06A96">
        <w:t>на</w:t>
      </w:r>
      <w:r w:rsidRPr="00C06A96">
        <w:t xml:space="preserve"> </w:t>
      </w:r>
      <w:r w:rsidRPr="00851812">
        <w:t xml:space="preserve">пополнение фонда </w:t>
      </w:r>
      <w:proofErr w:type="spellStart"/>
      <w:r w:rsidRPr="00851812">
        <w:t>микрофинансирования</w:t>
      </w:r>
      <w:proofErr w:type="spellEnd"/>
      <w:r w:rsidRPr="00851812">
        <w:t xml:space="preserve">, что не способствовало увеличению количества СМСП, получающих </w:t>
      </w:r>
      <w:proofErr w:type="spellStart"/>
      <w:r w:rsidR="00C06A96" w:rsidRPr="00851812">
        <w:t>микрозаймы</w:t>
      </w:r>
      <w:proofErr w:type="spellEnd"/>
      <w:r w:rsidR="00C06A96" w:rsidRPr="00851812">
        <w:t xml:space="preserve">, так как на расчетных счетах </w:t>
      </w:r>
      <w:r w:rsidR="00851812" w:rsidRPr="00B22729">
        <w:t xml:space="preserve">скопились значительные </w:t>
      </w:r>
      <w:r w:rsidR="00C06A96" w:rsidRPr="00B22729">
        <w:t xml:space="preserve"> объемы неиспользуемых остатков фонда </w:t>
      </w:r>
      <w:proofErr w:type="spellStart"/>
      <w:r w:rsidR="00C06A96" w:rsidRPr="00B22729">
        <w:t>микрофинансирования</w:t>
      </w:r>
      <w:proofErr w:type="spellEnd"/>
      <w:r w:rsidR="00C06A96" w:rsidRPr="00B22729">
        <w:t>, которые составляли</w:t>
      </w:r>
      <w:r w:rsidR="00C06A96" w:rsidRPr="00851812">
        <w:t xml:space="preserve"> от 88,2 млн. руб. до 159,9 млн. руб., в т.ч. бюджетных средств - от 85,7 млн. руб. на 01.07.2017 до 157,4 млн</w:t>
      </w:r>
      <w:proofErr w:type="gramEnd"/>
      <w:r w:rsidR="00C06A96" w:rsidRPr="00851812">
        <w:t>. руб. на 01.01.2017 (от 35,7% до 65,6% от общего размера фонда, сформированного за счет бюджетных средств)</w:t>
      </w:r>
      <w:proofErr w:type="gramStart"/>
      <w:r w:rsidR="00447235">
        <w:t>.</w:t>
      </w:r>
      <w:proofErr w:type="gramEnd"/>
      <w:r w:rsidR="00447235">
        <w:t xml:space="preserve"> На 01.05.2018 остаток </w:t>
      </w:r>
      <w:r w:rsidR="00447235" w:rsidRPr="00B22729">
        <w:t xml:space="preserve">фонда </w:t>
      </w:r>
      <w:proofErr w:type="spellStart"/>
      <w:r w:rsidR="00447235" w:rsidRPr="00B22729">
        <w:t>микрофинансирования</w:t>
      </w:r>
      <w:proofErr w:type="spellEnd"/>
      <w:r w:rsidR="00447235">
        <w:t xml:space="preserve"> составил </w:t>
      </w:r>
      <w:r w:rsidR="00C06A96" w:rsidRPr="00851812">
        <w:t xml:space="preserve"> </w:t>
      </w:r>
      <w:r w:rsidR="00447235">
        <w:t xml:space="preserve">98,7 млн. руб., в том числе 96,2 млн. руб. бюджетные средства. </w:t>
      </w:r>
      <w:proofErr w:type="gramStart"/>
      <w:r w:rsidR="00C06A96" w:rsidRPr="00851812">
        <w:t>Т</w:t>
      </w:r>
      <w:proofErr w:type="gramEnd"/>
      <w:r w:rsidR="00C06A96" w:rsidRPr="00851812">
        <w:t xml:space="preserve">акая ситуация возникла в связи с тем, что   пополнение фонда </w:t>
      </w:r>
      <w:proofErr w:type="spellStart"/>
      <w:r w:rsidR="00C06A96" w:rsidRPr="00851812">
        <w:t>микрофинансирования</w:t>
      </w:r>
      <w:proofErr w:type="spellEnd"/>
      <w:r w:rsidR="00C06A96" w:rsidRPr="00C06A96">
        <w:t xml:space="preserve"> происходило </w:t>
      </w:r>
      <w:r w:rsidR="00180D8F" w:rsidRPr="00C06A96">
        <w:t xml:space="preserve">на фоне снижения количества заемщиков (МФО/КПК) с 27, работавших с Микрофинансовым центром с начала деятельности, до 16 в 2014 году (в связи с банкротством и ликвидацией отдельных </w:t>
      </w:r>
      <w:r w:rsidR="00180D8F" w:rsidRPr="00C06A96">
        <w:lastRenderedPageBreak/>
        <w:t>заемщиков, разовым характером обращения отдельных КПК, несоответствия КПК требованиям порядка отбора для предоставления займов)</w:t>
      </w:r>
      <w:r w:rsidR="00C06A96" w:rsidRPr="00C06A96">
        <w:t>.</w:t>
      </w:r>
    </w:p>
    <w:p w:rsidR="008C2E5E" w:rsidRDefault="008C2E5E" w:rsidP="008C2E5E">
      <w:pPr>
        <w:ind w:firstLine="680"/>
        <w:jc w:val="both"/>
        <w:rPr>
          <w:rFonts w:eastAsiaTheme="minorHAnsi"/>
          <w:lang w:eastAsia="en-US"/>
        </w:rPr>
      </w:pPr>
      <w:r>
        <w:rPr>
          <w:rFonts w:cs="Arial"/>
        </w:rPr>
        <w:t xml:space="preserve">Таким образом, </w:t>
      </w:r>
      <w:r w:rsidR="007C2799" w:rsidRPr="00851812">
        <w:rPr>
          <w:rFonts w:cs="Arial"/>
        </w:rPr>
        <w:t>финансовые ресурсы, предназначенные в конечном итоге для</w:t>
      </w:r>
      <w:r w:rsidR="007A545C" w:rsidRPr="00851812">
        <w:rPr>
          <w:rFonts w:cs="Arial"/>
        </w:rPr>
        <w:t xml:space="preserve"> предоставления </w:t>
      </w:r>
      <w:proofErr w:type="spellStart"/>
      <w:r w:rsidR="007A545C" w:rsidRPr="00851812">
        <w:rPr>
          <w:rFonts w:cs="Arial"/>
        </w:rPr>
        <w:t>микрозаймов</w:t>
      </w:r>
      <w:proofErr w:type="spellEnd"/>
      <w:r w:rsidR="007A545C" w:rsidRPr="00851812">
        <w:rPr>
          <w:rFonts w:cs="Arial"/>
        </w:rPr>
        <w:t xml:space="preserve"> СМСП, </w:t>
      </w:r>
      <w:r w:rsidRPr="00851812">
        <w:rPr>
          <w:rFonts w:cs="Arial"/>
        </w:rPr>
        <w:t xml:space="preserve">фактически </w:t>
      </w:r>
      <w:r w:rsidR="007A545C" w:rsidRPr="00851812">
        <w:rPr>
          <w:rFonts w:cs="Arial"/>
        </w:rPr>
        <w:t>не используются</w:t>
      </w:r>
      <w:r w:rsidR="00F7448F" w:rsidRPr="00851812">
        <w:rPr>
          <w:rFonts w:cs="Arial"/>
        </w:rPr>
        <w:t>,</w:t>
      </w:r>
      <w:r w:rsidR="007A545C" w:rsidRPr="00851812">
        <w:rPr>
          <w:rFonts w:cs="Arial"/>
        </w:rPr>
        <w:t xml:space="preserve"> </w:t>
      </w:r>
      <w:r w:rsidRPr="00851812">
        <w:rPr>
          <w:rFonts w:cs="Arial"/>
        </w:rPr>
        <w:t xml:space="preserve">и </w:t>
      </w:r>
      <w:proofErr w:type="gramStart"/>
      <w:r w:rsidRPr="00851812">
        <w:rPr>
          <w:rFonts w:cs="Arial"/>
        </w:rPr>
        <w:t>не достигается</w:t>
      </w:r>
      <w:proofErr w:type="gramEnd"/>
      <w:r w:rsidRPr="00851812">
        <w:rPr>
          <w:rFonts w:cs="Arial"/>
        </w:rPr>
        <w:t xml:space="preserve"> ожидаемый результат мероприятия</w:t>
      </w:r>
      <w:r w:rsidR="00433B37">
        <w:rPr>
          <w:rFonts w:cs="Arial"/>
        </w:rPr>
        <w:t xml:space="preserve"> </w:t>
      </w:r>
      <w:r>
        <w:rPr>
          <w:rFonts w:cs="Arial"/>
        </w:rPr>
        <w:t>по увеличению СМСП</w:t>
      </w:r>
      <w:r>
        <w:rPr>
          <w:rFonts w:eastAsiaTheme="minorHAnsi"/>
          <w:lang w:eastAsia="en-US"/>
        </w:rPr>
        <w:t xml:space="preserve"> объема привлеченных заемных средств. В связи с этим требуется принятие мер по эффективному использованию остатков субсидии.</w:t>
      </w:r>
    </w:p>
    <w:p w:rsidR="00180D8F" w:rsidRDefault="00180D8F" w:rsidP="00180D8F">
      <w:pPr>
        <w:ind w:firstLine="680"/>
        <w:jc w:val="both"/>
        <w:rPr>
          <w:rFonts w:cs="Arial"/>
        </w:rPr>
      </w:pPr>
      <w:r>
        <w:t>Также в проверенном периоде</w:t>
      </w:r>
      <w:r w:rsidRPr="009A1BEE">
        <w:rPr>
          <w:b/>
        </w:rPr>
        <w:t xml:space="preserve"> </w:t>
      </w:r>
      <w:r w:rsidRPr="00BA40CB">
        <w:t>растет о</w:t>
      </w:r>
      <w:r w:rsidRPr="00BA40CB">
        <w:rPr>
          <w:rFonts w:eastAsia="Times New Roman" w:cs="Arial"/>
        </w:rPr>
        <w:t>статок нераспределенных средств от полученных доходов, который за 2017 год</w:t>
      </w:r>
      <w:r w:rsidRPr="009A1BEE">
        <w:rPr>
          <w:rFonts w:eastAsia="Times New Roman" w:cs="Arial"/>
          <w:b/>
        </w:rPr>
        <w:t xml:space="preserve"> </w:t>
      </w:r>
      <w:r w:rsidRPr="000D214F">
        <w:rPr>
          <w:rFonts w:cs="Arial"/>
        </w:rPr>
        <w:t>состав</w:t>
      </w:r>
      <w:r>
        <w:rPr>
          <w:rFonts w:cs="Arial"/>
        </w:rPr>
        <w:t>ил</w:t>
      </w:r>
      <w:r w:rsidRPr="000D214F">
        <w:rPr>
          <w:rFonts w:cs="Arial"/>
        </w:rPr>
        <w:t xml:space="preserve"> 2</w:t>
      </w:r>
      <w:r>
        <w:rPr>
          <w:rFonts w:cs="Arial"/>
        </w:rPr>
        <w:t xml:space="preserve">4 млн. руб. и </w:t>
      </w:r>
      <w:r w:rsidRPr="000D214F">
        <w:rPr>
          <w:rFonts w:cs="Arial"/>
        </w:rPr>
        <w:t xml:space="preserve">за 1 квартал 2018 года </w:t>
      </w:r>
      <w:r>
        <w:rPr>
          <w:rFonts w:cs="Arial"/>
        </w:rPr>
        <w:t>увеличился</w:t>
      </w:r>
      <w:r w:rsidRPr="000D214F">
        <w:rPr>
          <w:rFonts w:cs="Arial"/>
        </w:rPr>
        <w:t xml:space="preserve"> </w:t>
      </w:r>
      <w:r>
        <w:rPr>
          <w:rFonts w:cs="Arial"/>
        </w:rPr>
        <w:t>до</w:t>
      </w:r>
      <w:r w:rsidRPr="000D214F">
        <w:rPr>
          <w:rFonts w:cs="Arial"/>
        </w:rPr>
        <w:t xml:space="preserve"> 25</w:t>
      </w:r>
      <w:r>
        <w:rPr>
          <w:rFonts w:cs="Arial"/>
        </w:rPr>
        <w:t>,9</w:t>
      </w:r>
      <w:r w:rsidRPr="000D214F">
        <w:rPr>
          <w:rFonts w:cs="Arial"/>
        </w:rPr>
        <w:t xml:space="preserve"> </w:t>
      </w:r>
      <w:r>
        <w:rPr>
          <w:rFonts w:cs="Arial"/>
        </w:rPr>
        <w:t>млн</w:t>
      </w:r>
      <w:r w:rsidRPr="000D214F">
        <w:rPr>
          <w:rFonts w:cs="Arial"/>
        </w:rPr>
        <w:t>. рублей.</w:t>
      </w:r>
      <w:r>
        <w:rPr>
          <w:rFonts w:cs="Arial"/>
        </w:rPr>
        <w:t xml:space="preserve"> При этом вопрос об использовании указанных средств на </w:t>
      </w:r>
      <w:r w:rsidRPr="000D214F">
        <w:rPr>
          <w:rFonts w:cs="Arial"/>
        </w:rPr>
        <w:t xml:space="preserve">пополнение фонда </w:t>
      </w:r>
      <w:proofErr w:type="spellStart"/>
      <w:r w:rsidRPr="000D214F">
        <w:rPr>
          <w:rFonts w:cs="Arial"/>
        </w:rPr>
        <w:t>микрофинансирования</w:t>
      </w:r>
      <w:proofErr w:type="spellEnd"/>
      <w:r>
        <w:rPr>
          <w:rFonts w:cs="Arial"/>
        </w:rPr>
        <w:t xml:space="preserve"> </w:t>
      </w:r>
      <w:r w:rsidRPr="000D214F">
        <w:rPr>
          <w:rFonts w:cs="Arial"/>
        </w:rPr>
        <w:t>не рассматривался в виду отсутствия потребности в нем в проверенном периоде, а также в  связи с возможной необходимостью формирования резерва под просроченную задолженность.</w:t>
      </w:r>
    </w:p>
    <w:p w:rsidR="007411CD" w:rsidRPr="00DD2D62" w:rsidRDefault="00180D8F" w:rsidP="00180D8F">
      <w:pPr>
        <w:ind w:firstLine="680"/>
        <w:jc w:val="both"/>
      </w:pPr>
      <w:r w:rsidRPr="00F629DD">
        <w:t>Критерии оценки работы Микрофинансового центра определены Регламентом оценки деятельности Микрофинансового центра, утвержденным протоколом заседания комитета Микрофинансового центра от 22.02.2017, по 5 показателям: эффективность размещения средств, операционная самоокупаемость, операционная</w:t>
      </w:r>
      <w:r w:rsidRPr="00E651A5">
        <w:t xml:space="preserve"> эффективность, риск портфеля, коэффициент списания</w:t>
      </w:r>
      <w:r>
        <w:t>.</w:t>
      </w:r>
      <w:r w:rsidRPr="00507ED3">
        <w:t xml:space="preserve"> </w:t>
      </w:r>
      <w:r w:rsidRPr="00E651A5">
        <w:t>Общий итог работы оценивается по 100-балльной системе</w:t>
      </w:r>
      <w:r>
        <w:t xml:space="preserve">, в т.ч. </w:t>
      </w:r>
      <w:r w:rsidRPr="00E651A5">
        <w:t xml:space="preserve">достаточный – </w:t>
      </w:r>
      <w:r>
        <w:t xml:space="preserve">от 70 до </w:t>
      </w:r>
      <w:r w:rsidRPr="00E651A5">
        <w:t xml:space="preserve">100 </w:t>
      </w:r>
      <w:r w:rsidRPr="00DD2D62">
        <w:t>баллов.</w:t>
      </w:r>
      <w:r w:rsidR="007411CD" w:rsidRPr="00DD2D62">
        <w:t xml:space="preserve"> </w:t>
      </w:r>
      <w:r w:rsidR="007411CD" w:rsidRPr="00CB37F7">
        <w:t xml:space="preserve">Следует отметить, что комитет Микрофинансового центра является высшим органом управления и состоит из представителей </w:t>
      </w:r>
      <w:r w:rsidR="003C78AC" w:rsidRPr="00CB37F7">
        <w:t>МФЦ и Гарантийного фонда</w:t>
      </w:r>
      <w:r w:rsidR="007411CD" w:rsidRPr="00CB37F7">
        <w:t xml:space="preserve">. При этом представитель </w:t>
      </w:r>
      <w:proofErr w:type="spellStart"/>
      <w:r w:rsidR="007411CD" w:rsidRPr="00CB37F7">
        <w:t>Облкомэкономразвития</w:t>
      </w:r>
      <w:proofErr w:type="spellEnd"/>
      <w:r w:rsidR="007411CD" w:rsidRPr="00CB37F7">
        <w:t xml:space="preserve"> в состав указанного комитета не вход</w:t>
      </w:r>
      <w:r w:rsidR="003C78AC" w:rsidRPr="00CB37F7">
        <w:t>и</w:t>
      </w:r>
      <w:r w:rsidR="007411CD" w:rsidRPr="00CB37F7">
        <w:t>т. Также представител</w:t>
      </w:r>
      <w:r w:rsidR="003C78AC" w:rsidRPr="00CB37F7">
        <w:t>ь</w:t>
      </w:r>
      <w:r w:rsidR="007411CD" w:rsidRPr="00CB37F7">
        <w:t xml:space="preserve"> </w:t>
      </w:r>
      <w:proofErr w:type="spellStart"/>
      <w:r w:rsidR="007411CD" w:rsidRPr="00CB37F7">
        <w:t>Облкомэкономразвития</w:t>
      </w:r>
      <w:proofErr w:type="spellEnd"/>
      <w:r w:rsidR="007411CD" w:rsidRPr="00CB37F7">
        <w:t xml:space="preserve"> не вход</w:t>
      </w:r>
      <w:r w:rsidR="003C78AC" w:rsidRPr="00CB37F7">
        <w:t>и</w:t>
      </w:r>
      <w:r w:rsidR="007411CD" w:rsidRPr="00CB37F7">
        <w:t>т в состав Попечительского совета, осуществляющего надзор за деятельностью Микрофинансового центра.</w:t>
      </w:r>
    </w:p>
    <w:p w:rsidR="007411CD" w:rsidRPr="00DD2D62" w:rsidRDefault="007411CD" w:rsidP="00180D8F">
      <w:pPr>
        <w:ind w:firstLine="680"/>
        <w:jc w:val="both"/>
      </w:pPr>
    </w:p>
    <w:p w:rsidR="007411CD" w:rsidRDefault="007411CD" w:rsidP="00180D8F">
      <w:pPr>
        <w:ind w:firstLine="680"/>
        <w:jc w:val="both"/>
        <w:rPr>
          <w:highlight w:val="green"/>
        </w:rPr>
      </w:pPr>
    </w:p>
    <w:p w:rsidR="00180D8F" w:rsidRDefault="00180D8F" w:rsidP="00180D8F">
      <w:pPr>
        <w:autoSpaceDE w:val="0"/>
        <w:autoSpaceDN w:val="0"/>
        <w:adjustRightInd w:val="0"/>
        <w:ind w:firstLine="680"/>
        <w:jc w:val="both"/>
      </w:pPr>
      <w:r>
        <w:t xml:space="preserve">С учетом формирования показателей оценки на основании </w:t>
      </w:r>
      <w:r w:rsidRPr="00F629DD">
        <w:t>Регламент</w:t>
      </w:r>
      <w:r>
        <w:t xml:space="preserve">а </w:t>
      </w:r>
      <w:r w:rsidRPr="00F629DD">
        <w:t>оценки деятельности Микрофинансового центра</w:t>
      </w:r>
      <w:r>
        <w:t xml:space="preserve"> з</w:t>
      </w:r>
      <w:r w:rsidRPr="00E651A5">
        <w:t>а 201</w:t>
      </w:r>
      <w:r>
        <w:t>7</w:t>
      </w:r>
      <w:r w:rsidRPr="00E651A5">
        <w:t xml:space="preserve"> год </w:t>
      </w:r>
      <w:r>
        <w:t xml:space="preserve">и 1 квартал 2018 года  </w:t>
      </w:r>
      <w:r w:rsidRPr="000248D6">
        <w:t xml:space="preserve">деятельность Микрофинансового центра признана достаточной </w:t>
      </w:r>
      <w:r w:rsidRPr="00463F24">
        <w:t>(90 баллов и 80 баллов соответственно),</w:t>
      </w:r>
      <w:r>
        <w:t xml:space="preserve"> несмотря на то, что имеются существенные объемы неиспользуемого фонда </w:t>
      </w:r>
      <w:proofErr w:type="spellStart"/>
      <w:r>
        <w:t>микрофинансирования</w:t>
      </w:r>
      <w:proofErr w:type="spellEnd"/>
      <w:r>
        <w:t>.</w:t>
      </w:r>
    </w:p>
    <w:p w:rsidR="00180D8F" w:rsidRDefault="00180D8F" w:rsidP="00180D8F">
      <w:pPr>
        <w:autoSpaceDE w:val="0"/>
        <w:autoSpaceDN w:val="0"/>
        <w:adjustRightInd w:val="0"/>
        <w:ind w:firstLine="680"/>
        <w:jc w:val="both"/>
      </w:pPr>
      <w:proofErr w:type="gramStart"/>
      <w:r>
        <w:t xml:space="preserve">Помимо вышеприведенных показателей </w:t>
      </w:r>
      <w:r w:rsidRPr="000A0B4F">
        <w:rPr>
          <w:bCs/>
          <w:iCs/>
        </w:rPr>
        <w:t>Порядк</w:t>
      </w:r>
      <w:r>
        <w:rPr>
          <w:bCs/>
          <w:iCs/>
        </w:rPr>
        <w:t xml:space="preserve">ом </w:t>
      </w:r>
      <w:r w:rsidRPr="000A0B4F">
        <w:rPr>
          <w:bCs/>
          <w:iCs/>
        </w:rPr>
        <w:t xml:space="preserve">определения объема и предоставления субсидий </w:t>
      </w:r>
      <w:r>
        <w:rPr>
          <w:bCs/>
          <w:iCs/>
        </w:rPr>
        <w:t>Микрофинансовому центру</w:t>
      </w:r>
      <w:r w:rsidRPr="000A0B4F">
        <w:rPr>
          <w:bCs/>
          <w:iCs/>
        </w:rPr>
        <w:t>, утвержденн</w:t>
      </w:r>
      <w:r>
        <w:rPr>
          <w:bCs/>
          <w:iCs/>
        </w:rPr>
        <w:t>ым</w:t>
      </w:r>
      <w:r w:rsidRPr="000A0B4F">
        <w:rPr>
          <w:bCs/>
          <w:iCs/>
        </w:rPr>
        <w:t xml:space="preserve"> постановлением Администрации Волгоградск</w:t>
      </w:r>
      <w:r w:rsidR="00D464F1">
        <w:rPr>
          <w:bCs/>
          <w:iCs/>
        </w:rPr>
        <w:t>ой области от 27.09.2010 №445-п</w:t>
      </w:r>
      <w:r w:rsidRPr="000A0B4F">
        <w:rPr>
          <w:bCs/>
          <w:iCs/>
        </w:rPr>
        <w:t xml:space="preserve">, установлен перечень из 4-х показателей результативности </w:t>
      </w:r>
      <w:r w:rsidRPr="000A0B4F">
        <w:t>предоставления субсидии (к</w:t>
      </w:r>
      <w:r w:rsidRPr="000A0B4F">
        <w:rPr>
          <w:rFonts w:eastAsiaTheme="minorHAnsi"/>
          <w:lang w:eastAsia="en-US"/>
        </w:rPr>
        <w:t xml:space="preserve">оличество СМСП, получивших государственную поддержку; отношение объема </w:t>
      </w:r>
      <w:proofErr w:type="spellStart"/>
      <w:r w:rsidRPr="000A0B4F">
        <w:rPr>
          <w:rFonts w:eastAsiaTheme="minorHAnsi"/>
          <w:lang w:eastAsia="en-US"/>
        </w:rPr>
        <w:t>микрозаймов</w:t>
      </w:r>
      <w:proofErr w:type="spellEnd"/>
      <w:r w:rsidRPr="000A0B4F">
        <w:rPr>
          <w:rFonts w:eastAsiaTheme="minorHAnsi"/>
          <w:lang w:eastAsia="en-US"/>
        </w:rPr>
        <w:t xml:space="preserve">, выданных СМСП, к совокупному размеру средств </w:t>
      </w:r>
      <w:proofErr w:type="spellStart"/>
      <w:r w:rsidRPr="000A0B4F">
        <w:rPr>
          <w:rFonts w:eastAsiaTheme="minorHAnsi"/>
          <w:lang w:eastAsia="en-US"/>
        </w:rPr>
        <w:t>микрофинансовой</w:t>
      </w:r>
      <w:proofErr w:type="spellEnd"/>
      <w:r w:rsidRPr="000A0B4F">
        <w:rPr>
          <w:rFonts w:eastAsiaTheme="minorHAnsi"/>
          <w:lang w:eastAsia="en-US"/>
        </w:rPr>
        <w:t xml:space="preserve"> организации</w:t>
      </w:r>
      <w:r>
        <w:rPr>
          <w:rFonts w:eastAsiaTheme="minorHAnsi"/>
          <w:lang w:eastAsia="en-US"/>
        </w:rPr>
        <w:t>…</w:t>
      </w:r>
      <w:r w:rsidRPr="000A0B4F">
        <w:rPr>
          <w:rFonts w:eastAsiaTheme="minorHAnsi"/>
          <w:lang w:eastAsia="en-US"/>
        </w:rPr>
        <w:t xml:space="preserve">; объем </w:t>
      </w:r>
      <w:proofErr w:type="spellStart"/>
      <w:r w:rsidRPr="000A0B4F">
        <w:rPr>
          <w:rFonts w:eastAsiaTheme="minorHAnsi"/>
          <w:lang w:eastAsia="en-US"/>
        </w:rPr>
        <w:t>микрозаймов</w:t>
      </w:r>
      <w:proofErr w:type="spellEnd"/>
      <w:r w:rsidRPr="000A0B4F">
        <w:rPr>
          <w:rFonts w:eastAsiaTheme="minorHAnsi"/>
          <w:lang w:eastAsia="en-US"/>
        </w:rPr>
        <w:t xml:space="preserve">, выданных СМСП; количество вновь созданных </w:t>
      </w:r>
      <w:r>
        <w:rPr>
          <w:rFonts w:eastAsiaTheme="minorHAnsi"/>
          <w:lang w:eastAsia="en-US"/>
        </w:rPr>
        <w:t>рабочих мест)</w:t>
      </w:r>
      <w:r w:rsidRPr="000A0B4F">
        <w:rPr>
          <w:rFonts w:eastAsiaTheme="minorHAnsi"/>
          <w:lang w:eastAsia="en-US"/>
        </w:rPr>
        <w:t>,</w:t>
      </w:r>
      <w:r w:rsidRPr="000A0B4F">
        <w:t xml:space="preserve"> при невыполнении которых субсидия подлежит возврату.</w:t>
      </w:r>
      <w:proofErr w:type="gramEnd"/>
      <w:r>
        <w:t xml:space="preserve"> </w:t>
      </w:r>
      <w:r w:rsidRPr="000A0B4F">
        <w:t xml:space="preserve">Пунктом 13 Постановления № 445-п предусмотрена проверка </w:t>
      </w:r>
      <w:proofErr w:type="gramStart"/>
      <w:r w:rsidRPr="000A0B4F">
        <w:t xml:space="preserve">достижения </w:t>
      </w:r>
      <w:r w:rsidRPr="000A0B4F">
        <w:rPr>
          <w:bCs/>
          <w:iCs/>
        </w:rPr>
        <w:t xml:space="preserve">показателей результативности </w:t>
      </w:r>
      <w:r w:rsidRPr="000A0B4F">
        <w:t>предоставления субсидии</w:t>
      </w:r>
      <w:proofErr w:type="gramEnd"/>
      <w:r w:rsidRPr="000A0B4F">
        <w:t xml:space="preserve"> </w:t>
      </w:r>
      <w:r w:rsidRPr="00CB37F7">
        <w:t xml:space="preserve">только в </w:t>
      </w:r>
      <w:r w:rsidR="003C78AC" w:rsidRPr="00CB37F7">
        <w:t xml:space="preserve">году, </w:t>
      </w:r>
      <w:r w:rsidRPr="00CB37F7">
        <w:t>следующем</w:t>
      </w:r>
      <w:r w:rsidR="003C78AC" w:rsidRPr="00CB37F7">
        <w:t xml:space="preserve"> </w:t>
      </w:r>
      <w:r w:rsidRPr="00CB37F7">
        <w:t>за годом предоставления субсидии.</w:t>
      </w:r>
    </w:p>
    <w:p w:rsidR="00180D8F" w:rsidRPr="000A0B4F" w:rsidRDefault="00180D8F" w:rsidP="00180D8F">
      <w:pPr>
        <w:ind w:firstLine="680"/>
        <w:jc w:val="both"/>
      </w:pPr>
      <w:r>
        <w:t>В связи с тем, что</w:t>
      </w:r>
      <w:r w:rsidRPr="00FB4362">
        <w:t xml:space="preserve"> </w:t>
      </w:r>
      <w:r w:rsidRPr="000A0B4F">
        <w:t xml:space="preserve">субсидии в сумме 240 млн. руб. были предоставлены Микрофинансовому центру в 2010 </w:t>
      </w:r>
      <w:r>
        <w:t xml:space="preserve">и </w:t>
      </w:r>
      <w:r w:rsidRPr="000A0B4F">
        <w:t>2015 год</w:t>
      </w:r>
      <w:r>
        <w:t xml:space="preserve">ах, то их результативность </w:t>
      </w:r>
      <w:r w:rsidRPr="00CB37F7">
        <w:t xml:space="preserve">оценивалась только в </w:t>
      </w:r>
      <w:r w:rsidR="008C26CD" w:rsidRPr="00CB37F7">
        <w:t>году, следующем</w:t>
      </w:r>
      <w:r w:rsidR="003C78AC" w:rsidRPr="00CB37F7">
        <w:t xml:space="preserve"> </w:t>
      </w:r>
      <w:r w:rsidRPr="00CB37F7">
        <w:t>за годом предоставления субсидии.</w:t>
      </w:r>
      <w:r w:rsidRPr="00544F9D">
        <w:t xml:space="preserve"> </w:t>
      </w:r>
      <w:r>
        <w:t>Показатели результативности 2015 года</w:t>
      </w:r>
      <w:r w:rsidRPr="009D11C1">
        <w:t xml:space="preserve">, </w:t>
      </w:r>
      <w:r>
        <w:t xml:space="preserve">отраженные в </w:t>
      </w:r>
      <w:r w:rsidRPr="009D11C1">
        <w:t>Госпрограмм</w:t>
      </w:r>
      <w:r>
        <w:t>е</w:t>
      </w:r>
      <w:r w:rsidRPr="009D11C1">
        <w:t xml:space="preserve"> № 696-п</w:t>
      </w:r>
      <w:r>
        <w:rPr>
          <w:b/>
        </w:rPr>
        <w:t>,</w:t>
      </w:r>
      <w:r>
        <w:t xml:space="preserve"> с учетом </w:t>
      </w:r>
      <w:r w:rsidRPr="000A0B4F">
        <w:t>перенос</w:t>
      </w:r>
      <w:r>
        <w:t>а</w:t>
      </w:r>
      <w:r w:rsidRPr="000A0B4F">
        <w:t xml:space="preserve"> сроков выполнения обязательств по освоению субсидии </w:t>
      </w:r>
      <w:r>
        <w:t xml:space="preserve"> выполнены</w:t>
      </w:r>
      <w:r w:rsidR="00CF4445">
        <w:t xml:space="preserve"> (</w:t>
      </w:r>
      <w:r w:rsidRPr="00B22729">
        <w:rPr>
          <w:color w:val="17365D" w:themeColor="text2" w:themeShade="BF"/>
        </w:rPr>
        <w:t>приложени</w:t>
      </w:r>
      <w:r w:rsidR="00CF4445" w:rsidRPr="00B22729">
        <w:rPr>
          <w:color w:val="17365D" w:themeColor="text2" w:themeShade="BF"/>
        </w:rPr>
        <w:t>е</w:t>
      </w:r>
      <w:r w:rsidRPr="00B22729">
        <w:rPr>
          <w:color w:val="17365D" w:themeColor="text2" w:themeShade="BF"/>
        </w:rPr>
        <w:t xml:space="preserve"> №</w:t>
      </w:r>
      <w:r w:rsidR="00704924" w:rsidRPr="00B22729">
        <w:rPr>
          <w:color w:val="17365D" w:themeColor="text2" w:themeShade="BF"/>
        </w:rPr>
        <w:t xml:space="preserve"> </w:t>
      </w:r>
      <w:r w:rsidR="00AA48BE">
        <w:rPr>
          <w:color w:val="17365D" w:themeColor="text2" w:themeShade="BF"/>
        </w:rPr>
        <w:t>4</w:t>
      </w:r>
      <w:r w:rsidRPr="00B22729">
        <w:t xml:space="preserve"> к настоящему отчету</w:t>
      </w:r>
      <w:r w:rsidR="00CF4445" w:rsidRPr="00B22729">
        <w:t>)</w:t>
      </w:r>
      <w:r w:rsidRPr="00B22729">
        <w:t>.</w:t>
      </w:r>
      <w:r w:rsidRPr="000A0B4F">
        <w:t xml:space="preserve"> </w:t>
      </w:r>
    </w:p>
    <w:p w:rsidR="00180D8F" w:rsidRDefault="004F423F" w:rsidP="00180D8F">
      <w:pPr>
        <w:ind w:firstLine="708"/>
        <w:jc w:val="both"/>
      </w:pPr>
      <w:r>
        <w:t xml:space="preserve">На 2016-2018 годы </w:t>
      </w:r>
      <w:r w:rsidR="00180D8F" w:rsidRPr="000248D6">
        <w:t xml:space="preserve">плановые показатели для расчета результативности предоставления субсидий Микрофинансовому центру </w:t>
      </w:r>
      <w:proofErr w:type="spellStart"/>
      <w:r w:rsidR="00180D8F" w:rsidRPr="000248D6">
        <w:t>Облкомэкономразвития</w:t>
      </w:r>
      <w:proofErr w:type="spellEnd"/>
      <w:r w:rsidR="00180D8F" w:rsidRPr="000248D6">
        <w:t xml:space="preserve"> не устанавливались </w:t>
      </w:r>
      <w:r w:rsidR="00180D8F">
        <w:t xml:space="preserve">и </w:t>
      </w:r>
      <w:r w:rsidR="00180D8F" w:rsidRPr="001129D2">
        <w:t>проведение проверок</w:t>
      </w:r>
      <w:r w:rsidR="00180D8F">
        <w:t xml:space="preserve"> их достижения </w:t>
      </w:r>
      <w:r w:rsidR="00180D8F" w:rsidRPr="001129D2">
        <w:t>не предусмотрено</w:t>
      </w:r>
      <w:r w:rsidR="00367D4A">
        <w:t xml:space="preserve">, что не позволяет оценить эффективность мероприятия по содействию СМСП в привлечении финансовых ресурсов для осуществления предпринимательской деятельности. </w:t>
      </w:r>
    </w:p>
    <w:p w:rsidR="00180D8F" w:rsidRPr="00133058" w:rsidRDefault="009D730D" w:rsidP="009D730D">
      <w:pPr>
        <w:ind w:firstLine="680"/>
        <w:jc w:val="both"/>
      </w:pPr>
      <w:r>
        <w:lastRenderedPageBreak/>
        <w:t xml:space="preserve">Проверкой установлено, что </w:t>
      </w:r>
      <w:r w:rsidR="00180D8F">
        <w:rPr>
          <w:color w:val="000000"/>
        </w:rPr>
        <w:t xml:space="preserve">показатель </w:t>
      </w:r>
      <w:r w:rsidR="00180D8F" w:rsidRPr="00086AD9">
        <w:rPr>
          <w:color w:val="000000"/>
        </w:rPr>
        <w:t>«количество вновь созданных рабочих мест»</w:t>
      </w:r>
      <w:r w:rsidR="00180D8F">
        <w:rPr>
          <w:color w:val="000000"/>
        </w:rPr>
        <w:t xml:space="preserve"> </w:t>
      </w:r>
      <w:r>
        <w:rPr>
          <w:color w:val="000000"/>
        </w:rPr>
        <w:t xml:space="preserve">формируется </w:t>
      </w:r>
      <w:r w:rsidR="00180D8F">
        <w:rPr>
          <w:color w:val="000000"/>
        </w:rPr>
        <w:t xml:space="preserve">Микрофинансовым центром по запросам в МФО/КПК без </w:t>
      </w:r>
      <w:r w:rsidR="00180D8F">
        <w:t xml:space="preserve">подтверждения </w:t>
      </w:r>
      <w:r w:rsidR="00704924">
        <w:t xml:space="preserve">какими-либо </w:t>
      </w:r>
      <w:r w:rsidR="00180D8F">
        <w:t>документами</w:t>
      </w:r>
      <w:r w:rsidR="00704924">
        <w:t xml:space="preserve"> (например, бухгалтерской, налоговой или статистической отчетностью)</w:t>
      </w:r>
      <w:r>
        <w:t>, в</w:t>
      </w:r>
      <w:r w:rsidR="00180D8F" w:rsidRPr="00133058">
        <w:t xml:space="preserve"> результате </w:t>
      </w:r>
      <w:r w:rsidR="00180D8F" w:rsidRPr="00133058">
        <w:rPr>
          <w:rFonts w:eastAsia="Times New Roman"/>
          <w:bCs/>
        </w:rPr>
        <w:t>оценить достоверность показател</w:t>
      </w:r>
      <w:r>
        <w:rPr>
          <w:rFonts w:eastAsia="Times New Roman"/>
          <w:bCs/>
        </w:rPr>
        <w:t>я</w:t>
      </w:r>
      <w:r w:rsidR="00180D8F" w:rsidRPr="00133058">
        <w:rPr>
          <w:rFonts w:eastAsia="Times New Roman"/>
          <w:bCs/>
        </w:rPr>
        <w:t xml:space="preserve"> не представляется возможным.</w:t>
      </w:r>
    </w:p>
    <w:p w:rsidR="004948A0" w:rsidRPr="00476DD2" w:rsidRDefault="000248D6" w:rsidP="004948A0">
      <w:pPr>
        <w:ind w:firstLine="680"/>
        <w:jc w:val="both"/>
        <w:rPr>
          <w:i/>
        </w:rPr>
      </w:pPr>
      <w:r w:rsidRPr="00B22729">
        <w:rPr>
          <w:i/>
        </w:rPr>
        <w:t>В целом по Микрофинансовому центру можно отметить,</w:t>
      </w:r>
      <w:r>
        <w:rPr>
          <w:i/>
        </w:rPr>
        <w:t xml:space="preserve"> что з</w:t>
      </w:r>
      <w:r w:rsidR="004948A0" w:rsidRPr="00476DD2">
        <w:rPr>
          <w:i/>
        </w:rPr>
        <w:t xml:space="preserve">аймы, получаемые СМСП в МФО/КПК, которыми в свою очередь были получены займы в </w:t>
      </w:r>
      <w:proofErr w:type="spellStart"/>
      <w:r w:rsidR="004948A0" w:rsidRPr="00476DD2">
        <w:rPr>
          <w:i/>
        </w:rPr>
        <w:t>Микрофинансов</w:t>
      </w:r>
      <w:r w:rsidR="00476DD2" w:rsidRPr="00476DD2">
        <w:rPr>
          <w:i/>
        </w:rPr>
        <w:t>ом</w:t>
      </w:r>
      <w:proofErr w:type="spellEnd"/>
      <w:r w:rsidR="004948A0" w:rsidRPr="00476DD2">
        <w:rPr>
          <w:i/>
        </w:rPr>
        <w:t xml:space="preserve"> центре, более выгодные, чем в кредитных учреждениях. Вместе с тем увеличение фонда </w:t>
      </w:r>
      <w:proofErr w:type="spellStart"/>
      <w:r w:rsidR="004948A0" w:rsidRPr="00476DD2">
        <w:rPr>
          <w:i/>
        </w:rPr>
        <w:t>микрофинансирования</w:t>
      </w:r>
      <w:proofErr w:type="spellEnd"/>
      <w:r w:rsidR="004948A0" w:rsidRPr="00476DD2">
        <w:rPr>
          <w:i/>
        </w:rPr>
        <w:t xml:space="preserve"> в 2015 году на 100 млн. руб. не способствовало </w:t>
      </w:r>
      <w:r w:rsidR="00476DD2" w:rsidRPr="00476DD2">
        <w:rPr>
          <w:i/>
        </w:rPr>
        <w:t xml:space="preserve">существенному </w:t>
      </w:r>
      <w:r w:rsidR="004948A0" w:rsidRPr="00476DD2">
        <w:rPr>
          <w:i/>
        </w:rPr>
        <w:t>увеличению СМСП</w:t>
      </w:r>
      <w:r w:rsidR="00163012" w:rsidRPr="00476DD2">
        <w:rPr>
          <w:i/>
        </w:rPr>
        <w:t xml:space="preserve"> </w:t>
      </w:r>
      <w:r w:rsidR="004948A0" w:rsidRPr="00476DD2">
        <w:rPr>
          <w:i/>
        </w:rPr>
        <w:t>-</w:t>
      </w:r>
      <w:r w:rsidR="00163012" w:rsidRPr="00476DD2">
        <w:rPr>
          <w:i/>
        </w:rPr>
        <w:t xml:space="preserve"> </w:t>
      </w:r>
      <w:r w:rsidR="004948A0" w:rsidRPr="00476DD2">
        <w:rPr>
          <w:i/>
        </w:rPr>
        <w:t>получателей займов, о чем свидетельствуют значительные остатки средств на расчетных счетах. Обусловлено это снижением количества МФО/К</w:t>
      </w:r>
      <w:proofErr w:type="gramStart"/>
      <w:r w:rsidR="004948A0" w:rsidRPr="00476DD2">
        <w:rPr>
          <w:i/>
        </w:rPr>
        <w:t>ПК в св</w:t>
      </w:r>
      <w:proofErr w:type="gramEnd"/>
      <w:r w:rsidR="004948A0" w:rsidRPr="00476DD2">
        <w:rPr>
          <w:i/>
        </w:rPr>
        <w:t>язи с банкротством и ликвидацией отдельных заемщиков, несоответстви</w:t>
      </w:r>
      <w:r w:rsidR="00E33988">
        <w:rPr>
          <w:i/>
        </w:rPr>
        <w:t>ем</w:t>
      </w:r>
      <w:r w:rsidR="004948A0" w:rsidRPr="00476DD2">
        <w:rPr>
          <w:i/>
        </w:rPr>
        <w:t xml:space="preserve"> КПК требованиям порядка отбора для предоставления займов. Из-за того, что </w:t>
      </w:r>
      <w:proofErr w:type="spellStart"/>
      <w:r w:rsidR="00163012" w:rsidRPr="00476DD2">
        <w:rPr>
          <w:i/>
        </w:rPr>
        <w:t>Облкомэкономразвития</w:t>
      </w:r>
      <w:proofErr w:type="spellEnd"/>
      <w:r w:rsidR="00163012" w:rsidRPr="00476DD2">
        <w:rPr>
          <w:i/>
        </w:rPr>
        <w:t xml:space="preserve"> не доводит до Микрофинансового центра ежегодные плановые показатели результативности использования субсидий (кроме года выдачи субсидии) </w:t>
      </w:r>
      <w:r w:rsidR="00163012" w:rsidRPr="00CB37F7">
        <w:rPr>
          <w:i/>
        </w:rPr>
        <w:t xml:space="preserve">не </w:t>
      </w:r>
      <w:r w:rsidR="00996301" w:rsidRPr="00CB37F7">
        <w:rPr>
          <w:i/>
        </w:rPr>
        <w:t>проводится оценка</w:t>
      </w:r>
      <w:r w:rsidR="00996301">
        <w:rPr>
          <w:i/>
        </w:rPr>
        <w:t xml:space="preserve"> </w:t>
      </w:r>
      <w:r w:rsidR="00163012" w:rsidRPr="00476DD2">
        <w:rPr>
          <w:i/>
        </w:rPr>
        <w:t xml:space="preserve"> эффективности ранее предоставленных бюджетных средств.</w:t>
      </w:r>
    </w:p>
    <w:p w:rsidR="00163012" w:rsidRPr="00C06A96" w:rsidRDefault="00163012" w:rsidP="004948A0">
      <w:pPr>
        <w:ind w:firstLine="680"/>
        <w:jc w:val="both"/>
      </w:pPr>
    </w:p>
    <w:p w:rsidR="006969C2" w:rsidRPr="00264AE3" w:rsidRDefault="006969C2" w:rsidP="006969C2">
      <w:pPr>
        <w:autoSpaceDE w:val="0"/>
        <w:autoSpaceDN w:val="0"/>
        <w:adjustRightInd w:val="0"/>
        <w:ind w:firstLine="680"/>
        <w:jc w:val="center"/>
      </w:pPr>
      <w:r w:rsidRPr="00264AE3">
        <w:rPr>
          <w:b/>
          <w:i/>
        </w:rPr>
        <w:t xml:space="preserve">Фонд </w:t>
      </w:r>
      <w:proofErr w:type="spellStart"/>
      <w:r w:rsidRPr="00264AE3">
        <w:rPr>
          <w:b/>
          <w:i/>
        </w:rPr>
        <w:t>микрофинасирования</w:t>
      </w:r>
      <w:proofErr w:type="spellEnd"/>
      <w:r w:rsidRPr="00264AE3">
        <w:rPr>
          <w:b/>
          <w:i/>
        </w:rPr>
        <w:t xml:space="preserve"> предпринимательства Волгоградской области</w:t>
      </w:r>
    </w:p>
    <w:p w:rsidR="00AC51A9" w:rsidRDefault="006969C2" w:rsidP="00AC51A9">
      <w:pPr>
        <w:ind w:firstLine="708"/>
        <w:jc w:val="both"/>
        <w:rPr>
          <w:rFonts w:eastAsia="Times New Roman"/>
        </w:rPr>
      </w:pPr>
      <w:r>
        <w:t xml:space="preserve">Фонд </w:t>
      </w:r>
      <w:proofErr w:type="spellStart"/>
      <w:r w:rsidRPr="00D5444C">
        <w:t>микрофинанс</w:t>
      </w:r>
      <w:r>
        <w:t>ир</w:t>
      </w:r>
      <w:r w:rsidRPr="00D5444C">
        <w:t>ов</w:t>
      </w:r>
      <w:r>
        <w:t>ания</w:t>
      </w:r>
      <w:proofErr w:type="spellEnd"/>
      <w:r w:rsidR="002F009A">
        <w:t xml:space="preserve">, относящийся к </w:t>
      </w:r>
      <w:proofErr w:type="spellStart"/>
      <w:r w:rsidR="002F009A">
        <w:t>микрофинансовой</w:t>
      </w:r>
      <w:proofErr w:type="spellEnd"/>
      <w:r w:rsidR="002F009A">
        <w:t xml:space="preserve"> организации первого уровня, </w:t>
      </w:r>
      <w:r w:rsidR="00AC51A9">
        <w:t xml:space="preserve">создан </w:t>
      </w:r>
      <w:r>
        <w:t xml:space="preserve">в июле 2017 года в целях обеспечения доступа СМСП к финансовым </w:t>
      </w:r>
      <w:r w:rsidRPr="002F009A">
        <w:t>ресурсам администрации Волгоградской области</w:t>
      </w:r>
      <w:r w:rsidR="00862408" w:rsidRPr="002F009A">
        <w:t xml:space="preserve"> посредством предоставления </w:t>
      </w:r>
      <w:proofErr w:type="spellStart"/>
      <w:r w:rsidR="00862408" w:rsidRPr="002F009A">
        <w:t>микрозаймов</w:t>
      </w:r>
      <w:proofErr w:type="spellEnd"/>
      <w:r w:rsidR="00862408" w:rsidRPr="002F009A">
        <w:t xml:space="preserve"> С</w:t>
      </w:r>
      <w:r w:rsidR="00AC51A9" w:rsidRPr="002F009A">
        <w:t>МСП</w:t>
      </w:r>
      <w:r w:rsidR="002F009A" w:rsidRPr="002F009A">
        <w:t xml:space="preserve">. </w:t>
      </w:r>
      <w:r w:rsidR="00B032F8">
        <w:t xml:space="preserve"> </w:t>
      </w:r>
      <w:r w:rsidR="00AC51A9">
        <w:rPr>
          <w:rFonts w:eastAsia="Times New Roman"/>
        </w:rPr>
        <w:t xml:space="preserve">Единственным учредителем </w:t>
      </w:r>
      <w:r w:rsidR="00AC51A9" w:rsidRPr="00702A7E">
        <w:t>Фонд</w:t>
      </w:r>
      <w:r w:rsidR="00AC51A9">
        <w:t>а</w:t>
      </w:r>
      <w:r w:rsidR="00AC51A9" w:rsidRPr="00702A7E">
        <w:t xml:space="preserve"> </w:t>
      </w:r>
      <w:proofErr w:type="spellStart"/>
      <w:r w:rsidR="00AC51A9" w:rsidRPr="00702A7E">
        <w:t>микрофинансирования</w:t>
      </w:r>
      <w:proofErr w:type="spellEnd"/>
      <w:r w:rsidR="00AC51A9">
        <w:rPr>
          <w:rFonts w:eastAsia="Times New Roman"/>
        </w:rPr>
        <w:t xml:space="preserve"> является Волгоградская область. Функции и полномочия от имени учредителя осуществляет </w:t>
      </w:r>
      <w:proofErr w:type="spellStart"/>
      <w:r w:rsidR="00AC51A9">
        <w:rPr>
          <w:rFonts w:eastAsia="Times New Roman"/>
        </w:rPr>
        <w:t>Облкомэкономразвития</w:t>
      </w:r>
      <w:proofErr w:type="spellEnd"/>
      <w:r w:rsidR="00AC51A9">
        <w:rPr>
          <w:rFonts w:eastAsia="Times New Roman"/>
        </w:rPr>
        <w:t>.</w:t>
      </w:r>
    </w:p>
    <w:p w:rsidR="002F009A" w:rsidRPr="002F009A" w:rsidRDefault="00AC51A9" w:rsidP="002F009A">
      <w:pPr>
        <w:autoSpaceDE w:val="0"/>
        <w:autoSpaceDN w:val="0"/>
        <w:adjustRightInd w:val="0"/>
        <w:ind w:firstLine="680"/>
        <w:jc w:val="both"/>
      </w:pPr>
      <w:r w:rsidRPr="001151D8">
        <w:rPr>
          <w:rFonts w:eastAsiaTheme="minorHAnsi"/>
          <w:bCs/>
          <w:iCs/>
          <w:lang w:eastAsia="en-US"/>
        </w:rPr>
        <w:t xml:space="preserve">Подпрограммой на 2017 год предусмотрено финансирование </w:t>
      </w:r>
      <w:r>
        <w:rPr>
          <w:rFonts w:eastAsiaTheme="minorHAnsi"/>
          <w:bCs/>
          <w:iCs/>
          <w:lang w:eastAsia="en-US"/>
        </w:rPr>
        <w:t xml:space="preserve">мероприятия </w:t>
      </w:r>
      <w:r w:rsidR="00EC7D0B">
        <w:rPr>
          <w:rFonts w:eastAsiaTheme="minorHAnsi"/>
          <w:bCs/>
          <w:iCs/>
          <w:lang w:eastAsia="en-US"/>
        </w:rPr>
        <w:t xml:space="preserve">по созданию </w:t>
      </w:r>
      <w:proofErr w:type="spellStart"/>
      <w:r w:rsidR="00EC7D0B">
        <w:rPr>
          <w:rFonts w:eastAsiaTheme="minorHAnsi"/>
          <w:bCs/>
          <w:iCs/>
          <w:lang w:eastAsia="en-US"/>
        </w:rPr>
        <w:t>микрофинансовой</w:t>
      </w:r>
      <w:proofErr w:type="spellEnd"/>
      <w:r w:rsidR="00EC7D0B">
        <w:rPr>
          <w:rFonts w:eastAsiaTheme="minorHAnsi"/>
          <w:bCs/>
          <w:iCs/>
          <w:lang w:eastAsia="en-US"/>
        </w:rPr>
        <w:t xml:space="preserve"> организации первого уровня</w:t>
      </w:r>
      <w:r w:rsidR="002F009A">
        <w:rPr>
          <w:rFonts w:eastAsiaTheme="minorHAnsi"/>
          <w:bCs/>
          <w:iCs/>
          <w:lang w:eastAsia="en-US"/>
        </w:rPr>
        <w:t xml:space="preserve"> </w:t>
      </w:r>
      <w:r w:rsidRPr="001151D8">
        <w:rPr>
          <w:rFonts w:eastAsiaTheme="minorHAnsi"/>
          <w:bCs/>
          <w:iCs/>
          <w:lang w:eastAsia="en-US"/>
        </w:rPr>
        <w:t>в размере 62</w:t>
      </w:r>
      <w:r>
        <w:rPr>
          <w:rFonts w:eastAsiaTheme="minorHAnsi"/>
          <w:bCs/>
          <w:iCs/>
          <w:lang w:eastAsia="en-US"/>
        </w:rPr>
        <w:t xml:space="preserve">,5 млн. </w:t>
      </w:r>
      <w:r w:rsidRPr="001151D8">
        <w:rPr>
          <w:rFonts w:eastAsiaTheme="minorHAnsi"/>
          <w:bCs/>
          <w:iCs/>
          <w:lang w:eastAsia="en-US"/>
        </w:rPr>
        <w:t>руб. (в т.ч. 47</w:t>
      </w:r>
      <w:r>
        <w:rPr>
          <w:rFonts w:eastAsiaTheme="minorHAnsi"/>
          <w:bCs/>
          <w:iCs/>
          <w:lang w:eastAsia="en-US"/>
        </w:rPr>
        <w:t>,8 млн.</w:t>
      </w:r>
      <w:r w:rsidRPr="001151D8">
        <w:rPr>
          <w:rFonts w:eastAsiaTheme="minorHAnsi"/>
          <w:bCs/>
          <w:iCs/>
          <w:lang w:eastAsia="en-US"/>
        </w:rPr>
        <w:t xml:space="preserve"> руб. </w:t>
      </w:r>
      <w:r>
        <w:rPr>
          <w:rFonts w:eastAsiaTheme="minorHAnsi"/>
          <w:bCs/>
          <w:iCs/>
          <w:lang w:eastAsia="en-US"/>
        </w:rPr>
        <w:t xml:space="preserve">за счет средств </w:t>
      </w:r>
      <w:r w:rsidRPr="001151D8">
        <w:rPr>
          <w:rFonts w:eastAsiaTheme="minorHAnsi"/>
          <w:bCs/>
          <w:iCs/>
          <w:lang w:eastAsia="en-US"/>
        </w:rPr>
        <w:t>федерального бюджета, 14</w:t>
      </w:r>
      <w:r>
        <w:rPr>
          <w:rFonts w:eastAsiaTheme="minorHAnsi"/>
          <w:bCs/>
          <w:iCs/>
          <w:lang w:eastAsia="en-US"/>
        </w:rPr>
        <w:t>,7 млн.</w:t>
      </w:r>
      <w:r w:rsidRPr="001151D8">
        <w:rPr>
          <w:rFonts w:eastAsiaTheme="minorHAnsi"/>
          <w:bCs/>
          <w:iCs/>
          <w:lang w:eastAsia="en-US"/>
        </w:rPr>
        <w:t xml:space="preserve"> руб. </w:t>
      </w:r>
      <w:r>
        <w:rPr>
          <w:rFonts w:eastAsiaTheme="minorHAnsi"/>
          <w:bCs/>
          <w:iCs/>
          <w:lang w:eastAsia="en-US"/>
        </w:rPr>
        <w:t>-</w:t>
      </w:r>
      <w:r w:rsidRPr="001151D8">
        <w:rPr>
          <w:rFonts w:eastAsiaTheme="minorHAnsi"/>
          <w:bCs/>
          <w:iCs/>
          <w:lang w:eastAsia="en-US"/>
        </w:rPr>
        <w:t xml:space="preserve"> областного бюджета).</w:t>
      </w:r>
      <w:r w:rsidR="002F009A">
        <w:rPr>
          <w:rFonts w:eastAsiaTheme="minorHAnsi"/>
          <w:bCs/>
          <w:iCs/>
          <w:lang w:eastAsia="en-US"/>
        </w:rPr>
        <w:t xml:space="preserve"> </w:t>
      </w:r>
      <w:r w:rsidR="002F009A" w:rsidRPr="002F009A">
        <w:rPr>
          <w:rFonts w:eastAsiaTheme="minorHAnsi"/>
          <w:bCs/>
          <w:iCs/>
          <w:lang w:eastAsia="en-US"/>
        </w:rPr>
        <w:t>Н</w:t>
      </w:r>
      <w:r w:rsidR="002F009A" w:rsidRPr="002F009A">
        <w:t xml:space="preserve">а основании соглашений, заключенных с </w:t>
      </w:r>
      <w:proofErr w:type="spellStart"/>
      <w:r w:rsidR="002F009A" w:rsidRPr="002F009A">
        <w:t>Облкомэкономразвития</w:t>
      </w:r>
      <w:proofErr w:type="spellEnd"/>
      <w:r w:rsidR="002F009A" w:rsidRPr="002F009A">
        <w:t>, получ</w:t>
      </w:r>
      <w:r w:rsidR="00140D43">
        <w:t>ена</w:t>
      </w:r>
      <w:r w:rsidR="002F009A" w:rsidRPr="002F009A">
        <w:t xml:space="preserve"> субсиди</w:t>
      </w:r>
      <w:r w:rsidR="00140D43">
        <w:t>я</w:t>
      </w:r>
      <w:r w:rsidR="002F009A" w:rsidRPr="002F009A">
        <w:t xml:space="preserve"> на общую сумму 61,4 млн. руб., в т.ч.:</w:t>
      </w:r>
    </w:p>
    <w:p w:rsidR="002F009A" w:rsidRPr="007B735F" w:rsidRDefault="002F009A" w:rsidP="002F009A">
      <w:pPr>
        <w:pStyle w:val="ConsPlusNormal"/>
        <w:ind w:firstLine="680"/>
        <w:jc w:val="both"/>
        <w:rPr>
          <w:rFonts w:ascii="Times New Roman" w:hAnsi="Times New Roman" w:cs="Times New Roman"/>
          <w:sz w:val="24"/>
          <w:szCs w:val="24"/>
        </w:rPr>
      </w:pPr>
      <w:r w:rsidRPr="007B735F">
        <w:rPr>
          <w:rFonts w:ascii="Times New Roman" w:hAnsi="Times New Roman" w:cs="Times New Roman"/>
          <w:sz w:val="24"/>
          <w:szCs w:val="24"/>
        </w:rPr>
        <w:t>-</w:t>
      </w:r>
      <w:r>
        <w:rPr>
          <w:rFonts w:ascii="Times New Roman" w:hAnsi="Times New Roman" w:cs="Times New Roman"/>
          <w:sz w:val="24"/>
          <w:szCs w:val="24"/>
        </w:rPr>
        <w:t xml:space="preserve"> на предоставление </w:t>
      </w:r>
      <w:proofErr w:type="spellStart"/>
      <w:r>
        <w:rPr>
          <w:rFonts w:ascii="Times New Roman" w:hAnsi="Times New Roman" w:cs="Times New Roman"/>
          <w:sz w:val="24"/>
          <w:szCs w:val="24"/>
        </w:rPr>
        <w:t>микрозаймов</w:t>
      </w:r>
      <w:proofErr w:type="spellEnd"/>
      <w:r>
        <w:rPr>
          <w:rFonts w:ascii="Times New Roman" w:hAnsi="Times New Roman" w:cs="Times New Roman"/>
          <w:sz w:val="24"/>
          <w:szCs w:val="24"/>
        </w:rPr>
        <w:t xml:space="preserve"> СМСП</w:t>
      </w:r>
      <w:r w:rsidRPr="007B735F">
        <w:rPr>
          <w:rFonts w:ascii="Times New Roman" w:hAnsi="Times New Roman" w:cs="Times New Roman"/>
          <w:sz w:val="24"/>
          <w:szCs w:val="24"/>
        </w:rPr>
        <w:t xml:space="preserve"> в общей сумме 59</w:t>
      </w:r>
      <w:r>
        <w:rPr>
          <w:rFonts w:ascii="Times New Roman" w:hAnsi="Times New Roman" w:cs="Times New Roman"/>
          <w:sz w:val="24"/>
          <w:szCs w:val="24"/>
        </w:rPr>
        <w:t>,7 млн.</w:t>
      </w:r>
      <w:r w:rsidRPr="007B735F">
        <w:rPr>
          <w:rFonts w:ascii="Times New Roman" w:hAnsi="Times New Roman" w:cs="Times New Roman"/>
          <w:sz w:val="24"/>
          <w:szCs w:val="24"/>
        </w:rPr>
        <w:t xml:space="preserve"> руб.</w:t>
      </w:r>
      <w:r>
        <w:rPr>
          <w:rFonts w:ascii="Times New Roman" w:hAnsi="Times New Roman" w:cs="Times New Roman"/>
          <w:sz w:val="24"/>
          <w:szCs w:val="24"/>
        </w:rPr>
        <w:t xml:space="preserve"> (федеральный бюджет - </w:t>
      </w:r>
      <w:r w:rsidRPr="007B735F">
        <w:rPr>
          <w:rFonts w:ascii="Times New Roman" w:hAnsi="Times New Roman" w:cs="Times New Roman"/>
          <w:sz w:val="24"/>
          <w:szCs w:val="24"/>
        </w:rPr>
        <w:t>47</w:t>
      </w:r>
      <w:r>
        <w:rPr>
          <w:rFonts w:ascii="Times New Roman" w:hAnsi="Times New Roman" w:cs="Times New Roman"/>
          <w:sz w:val="24"/>
          <w:szCs w:val="24"/>
        </w:rPr>
        <w:t>,8 млн.</w:t>
      </w:r>
      <w:r w:rsidRPr="007B735F">
        <w:rPr>
          <w:rFonts w:ascii="Times New Roman" w:hAnsi="Times New Roman" w:cs="Times New Roman"/>
          <w:sz w:val="24"/>
          <w:szCs w:val="24"/>
        </w:rPr>
        <w:t xml:space="preserve"> руб., областно</w:t>
      </w:r>
      <w:r>
        <w:rPr>
          <w:rFonts w:ascii="Times New Roman" w:hAnsi="Times New Roman" w:cs="Times New Roman"/>
          <w:sz w:val="24"/>
          <w:szCs w:val="24"/>
        </w:rPr>
        <w:t>й</w:t>
      </w:r>
      <w:r w:rsidRPr="007B735F">
        <w:rPr>
          <w:rFonts w:ascii="Times New Roman" w:hAnsi="Times New Roman" w:cs="Times New Roman"/>
          <w:sz w:val="24"/>
          <w:szCs w:val="24"/>
        </w:rPr>
        <w:t xml:space="preserve"> бюджет</w:t>
      </w:r>
      <w:r>
        <w:rPr>
          <w:rFonts w:ascii="Times New Roman" w:hAnsi="Times New Roman" w:cs="Times New Roman"/>
          <w:sz w:val="24"/>
          <w:szCs w:val="24"/>
        </w:rPr>
        <w:t xml:space="preserve"> -</w:t>
      </w:r>
      <w:r w:rsidRPr="007B735F">
        <w:rPr>
          <w:rFonts w:ascii="Times New Roman" w:hAnsi="Times New Roman" w:cs="Times New Roman"/>
          <w:sz w:val="24"/>
          <w:szCs w:val="24"/>
        </w:rPr>
        <w:t xml:space="preserve"> 11</w:t>
      </w:r>
      <w:r>
        <w:rPr>
          <w:rFonts w:ascii="Times New Roman" w:hAnsi="Times New Roman" w:cs="Times New Roman"/>
          <w:sz w:val="24"/>
          <w:szCs w:val="24"/>
        </w:rPr>
        <w:t>,9 млн. руб.) по С</w:t>
      </w:r>
      <w:r w:rsidRPr="007B735F">
        <w:rPr>
          <w:rFonts w:ascii="Times New Roman" w:hAnsi="Times New Roman" w:cs="Times New Roman"/>
          <w:sz w:val="24"/>
          <w:szCs w:val="24"/>
        </w:rPr>
        <w:t>оглашени</w:t>
      </w:r>
      <w:r>
        <w:rPr>
          <w:rFonts w:ascii="Times New Roman" w:hAnsi="Times New Roman" w:cs="Times New Roman"/>
          <w:sz w:val="24"/>
          <w:szCs w:val="24"/>
        </w:rPr>
        <w:t>ю</w:t>
      </w:r>
      <w:r w:rsidR="00023508">
        <w:rPr>
          <w:rFonts w:ascii="Times New Roman" w:hAnsi="Times New Roman" w:cs="Times New Roman"/>
          <w:sz w:val="24"/>
          <w:szCs w:val="24"/>
        </w:rPr>
        <w:t xml:space="preserve"> от 26.09.2017</w:t>
      </w:r>
      <w:r w:rsidRPr="007B735F">
        <w:rPr>
          <w:rFonts w:ascii="Times New Roman" w:hAnsi="Times New Roman" w:cs="Times New Roman"/>
          <w:sz w:val="24"/>
          <w:szCs w:val="24"/>
        </w:rPr>
        <w:t xml:space="preserve"> №1ФМП;</w:t>
      </w:r>
    </w:p>
    <w:p w:rsidR="002F009A" w:rsidRDefault="002F009A" w:rsidP="002F009A">
      <w:pPr>
        <w:pStyle w:val="ConsPlusNormal"/>
        <w:ind w:firstLine="680"/>
        <w:jc w:val="both"/>
        <w:rPr>
          <w:rFonts w:ascii="Times New Roman" w:hAnsi="Times New Roman" w:cs="Times New Roman"/>
          <w:sz w:val="24"/>
          <w:szCs w:val="24"/>
        </w:rPr>
      </w:pPr>
      <w:r w:rsidRPr="007B735F">
        <w:rPr>
          <w:rFonts w:ascii="Times New Roman" w:hAnsi="Times New Roman" w:cs="Times New Roman"/>
          <w:sz w:val="24"/>
          <w:szCs w:val="24"/>
        </w:rPr>
        <w:t>- на содержание организации</w:t>
      </w:r>
      <w:r w:rsidRPr="00FF7FE1">
        <w:rPr>
          <w:rFonts w:ascii="Times New Roman" w:hAnsi="Times New Roman" w:cs="Times New Roman"/>
          <w:sz w:val="24"/>
          <w:szCs w:val="24"/>
        </w:rPr>
        <w:t xml:space="preserve"> из областного бюджета в сумме 1</w:t>
      </w:r>
      <w:r>
        <w:rPr>
          <w:rFonts w:ascii="Times New Roman" w:hAnsi="Times New Roman" w:cs="Times New Roman"/>
          <w:sz w:val="24"/>
          <w:szCs w:val="24"/>
        </w:rPr>
        <w:t>,7 млн.</w:t>
      </w:r>
      <w:r w:rsidRPr="00FF7FE1">
        <w:rPr>
          <w:rFonts w:ascii="Times New Roman" w:hAnsi="Times New Roman" w:cs="Times New Roman"/>
          <w:sz w:val="24"/>
          <w:szCs w:val="24"/>
        </w:rPr>
        <w:t xml:space="preserve"> руб</w:t>
      </w:r>
      <w:r>
        <w:rPr>
          <w:rFonts w:ascii="Times New Roman" w:hAnsi="Times New Roman" w:cs="Times New Roman"/>
          <w:sz w:val="24"/>
          <w:szCs w:val="24"/>
        </w:rPr>
        <w:t>. по Соглашению</w:t>
      </w:r>
      <w:r w:rsidR="00023508">
        <w:rPr>
          <w:rFonts w:ascii="Times New Roman" w:hAnsi="Times New Roman" w:cs="Times New Roman"/>
          <w:sz w:val="24"/>
          <w:szCs w:val="24"/>
        </w:rPr>
        <w:t xml:space="preserve"> от 26.09.2017</w:t>
      </w:r>
      <w:r>
        <w:rPr>
          <w:rFonts w:ascii="Times New Roman" w:hAnsi="Times New Roman" w:cs="Times New Roman"/>
          <w:sz w:val="24"/>
          <w:szCs w:val="24"/>
        </w:rPr>
        <w:t xml:space="preserve"> №2ФМП.</w:t>
      </w:r>
      <w:r w:rsidRPr="00FF7FE1">
        <w:rPr>
          <w:rFonts w:ascii="Times New Roman" w:hAnsi="Times New Roman" w:cs="Times New Roman"/>
          <w:sz w:val="24"/>
          <w:szCs w:val="24"/>
        </w:rPr>
        <w:t xml:space="preserve"> </w:t>
      </w:r>
    </w:p>
    <w:p w:rsidR="001F0592" w:rsidRDefault="001F0592" w:rsidP="001F0592">
      <w:pPr>
        <w:ind w:firstLine="708"/>
        <w:jc w:val="both"/>
      </w:pPr>
      <w:r>
        <w:t xml:space="preserve">Информация об использовании субсидии на содержание </w:t>
      </w:r>
      <w:r w:rsidRPr="004D2AD3">
        <w:t>Фонд</w:t>
      </w:r>
      <w:r>
        <w:t>а</w:t>
      </w:r>
      <w:r w:rsidRPr="004D2AD3">
        <w:t xml:space="preserve"> </w:t>
      </w:r>
      <w:proofErr w:type="spellStart"/>
      <w:r w:rsidRPr="004D2AD3">
        <w:t>микрофинансирования</w:t>
      </w:r>
      <w:proofErr w:type="spellEnd"/>
      <w:r w:rsidRPr="004D2AD3">
        <w:t xml:space="preserve"> </w:t>
      </w:r>
      <w:r>
        <w:t xml:space="preserve">и полученных им доходах и расходах </w:t>
      </w:r>
      <w:r w:rsidRPr="00410C67">
        <w:t xml:space="preserve">приведена в </w:t>
      </w:r>
      <w:r w:rsidRPr="00410C67">
        <w:rPr>
          <w:color w:val="17365D" w:themeColor="text2" w:themeShade="BF"/>
        </w:rPr>
        <w:t xml:space="preserve">приложении № </w:t>
      </w:r>
      <w:r w:rsidR="00AA48BE">
        <w:rPr>
          <w:color w:val="17365D" w:themeColor="text2" w:themeShade="BF"/>
        </w:rPr>
        <w:t>6</w:t>
      </w:r>
      <w:r w:rsidRPr="00410C67">
        <w:t xml:space="preserve"> к настоящему отчету.</w:t>
      </w:r>
    </w:p>
    <w:p w:rsidR="001F0592" w:rsidRDefault="001F0592" w:rsidP="001F0592">
      <w:pPr>
        <w:autoSpaceDE w:val="0"/>
        <w:autoSpaceDN w:val="0"/>
        <w:adjustRightInd w:val="0"/>
        <w:ind w:firstLine="680"/>
        <w:jc w:val="both"/>
      </w:pPr>
      <w:r w:rsidRPr="000248D6">
        <w:t xml:space="preserve">Всего за 2017 год </w:t>
      </w:r>
      <w:proofErr w:type="gramStart"/>
      <w:r w:rsidRPr="000248D6">
        <w:t>выданы</w:t>
      </w:r>
      <w:proofErr w:type="gramEnd"/>
      <w:r w:rsidRPr="000248D6">
        <w:t xml:space="preserve"> </w:t>
      </w:r>
      <w:proofErr w:type="spellStart"/>
      <w:r w:rsidRPr="000248D6">
        <w:t>микрозаймы</w:t>
      </w:r>
      <w:proofErr w:type="spellEnd"/>
      <w:r w:rsidRPr="000248D6">
        <w:t xml:space="preserve"> </w:t>
      </w:r>
      <w:r w:rsidR="00E14A68" w:rsidRPr="000248D6">
        <w:t xml:space="preserve">15-ти СМСП </w:t>
      </w:r>
      <w:r w:rsidRPr="000248D6">
        <w:t xml:space="preserve">на общую сумму 42,6 млн. руб., за 1 квартал 2018 года – </w:t>
      </w:r>
      <w:r w:rsidR="00E14A68" w:rsidRPr="000248D6">
        <w:t xml:space="preserve">9-ти СМСП </w:t>
      </w:r>
      <w:r w:rsidRPr="000248D6">
        <w:t>на сумму 15,4 млн. руб</w:t>
      </w:r>
      <w:r w:rsidR="00E14A68" w:rsidRPr="000248D6">
        <w:t>лей</w:t>
      </w:r>
      <w:r w:rsidR="00E14A68">
        <w:t xml:space="preserve">. </w:t>
      </w:r>
      <w:r>
        <w:t>По состоянию на 01.05.2018 общая сумма займов составила 63,1 млн. руб., превысив объем предоставленной субсидии (59,7 млн. руб.), в связи с ее оборачиваемостью в 1,06 раза.</w:t>
      </w:r>
      <w:r w:rsidRPr="00D54CAC">
        <w:t xml:space="preserve"> </w:t>
      </w:r>
      <w:r>
        <w:t xml:space="preserve">Основная доля </w:t>
      </w:r>
      <w:proofErr w:type="spellStart"/>
      <w:r>
        <w:t>микрозаймов</w:t>
      </w:r>
      <w:proofErr w:type="spellEnd"/>
      <w:r>
        <w:t xml:space="preserve"> направлена на поддержку СМСП, </w:t>
      </w:r>
      <w:proofErr w:type="gramStart"/>
      <w:r>
        <w:t>осуществляющих</w:t>
      </w:r>
      <w:proofErr w:type="gramEnd"/>
      <w:r>
        <w:t xml:space="preserve"> свою деятельность на производстве, в розничной и оптовой торговле</w:t>
      </w:r>
      <w:r w:rsidR="00257EE9">
        <w:t>,</w:t>
      </w:r>
      <w:r>
        <w:t xml:space="preserve"> в сельском хозяйстве.</w:t>
      </w:r>
    </w:p>
    <w:p w:rsidR="00257EE9" w:rsidRPr="002F009A" w:rsidRDefault="00257EE9" w:rsidP="00257EE9">
      <w:pPr>
        <w:ind w:firstLine="708"/>
        <w:jc w:val="both"/>
      </w:pPr>
      <w:r w:rsidRPr="002F009A">
        <w:t xml:space="preserve">Фонд </w:t>
      </w:r>
      <w:proofErr w:type="spellStart"/>
      <w:r>
        <w:t>микрофинансирования</w:t>
      </w:r>
      <w:proofErr w:type="spellEnd"/>
      <w:r>
        <w:t xml:space="preserve"> </w:t>
      </w:r>
      <w:r w:rsidRPr="002F009A">
        <w:t>обеспечивает</w:t>
      </w:r>
      <w:r w:rsidR="00E738C8">
        <w:t xml:space="preserve"> предоставление займов</w:t>
      </w:r>
      <w:r w:rsidRPr="002F009A">
        <w:t xml:space="preserve"> </w:t>
      </w:r>
      <w:r w:rsidR="008827BF">
        <w:t xml:space="preserve">по программам </w:t>
      </w:r>
      <w:proofErr w:type="spellStart"/>
      <w:r w:rsidR="008827BF">
        <w:t>микрофинансирования</w:t>
      </w:r>
      <w:proofErr w:type="spellEnd"/>
      <w:r w:rsidR="008827BF">
        <w:t xml:space="preserve"> со следующими условиями</w:t>
      </w:r>
      <w:r w:rsidRPr="002F009A">
        <w:t>.</w:t>
      </w:r>
    </w:p>
    <w:tbl>
      <w:tblPr>
        <w:tblW w:w="5550" w:type="pct"/>
        <w:tblInd w:w="-74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992"/>
        <w:gridCol w:w="3629"/>
        <w:gridCol w:w="674"/>
        <w:gridCol w:w="807"/>
        <w:gridCol w:w="897"/>
        <w:gridCol w:w="733"/>
        <w:gridCol w:w="1022"/>
        <w:gridCol w:w="2183"/>
      </w:tblGrid>
      <w:tr w:rsidR="006F12AE" w:rsidRPr="003D7C44" w:rsidTr="000B34F0">
        <w:trPr>
          <w:trHeight w:val="285"/>
        </w:trPr>
        <w:tc>
          <w:tcPr>
            <w:tcW w:w="454" w:type="pct"/>
            <w:vMerge w:val="restart"/>
            <w:tcBorders>
              <w:top w:val="double" w:sz="4" w:space="0" w:color="auto"/>
              <w:bottom w:val="single" w:sz="4" w:space="0" w:color="auto"/>
            </w:tcBorders>
            <w:shd w:val="clear" w:color="auto" w:fill="EAF1DD" w:themeFill="accent3" w:themeFillTint="33"/>
            <w:vAlign w:val="center"/>
          </w:tcPr>
          <w:p w:rsidR="006F12AE" w:rsidRPr="000B34F0" w:rsidRDefault="008827BF" w:rsidP="005C5764">
            <w:pPr>
              <w:widowControl w:val="0"/>
              <w:autoSpaceDE w:val="0"/>
              <w:autoSpaceDN w:val="0"/>
              <w:adjustRightInd w:val="0"/>
              <w:jc w:val="center"/>
              <w:rPr>
                <w:rFonts w:eastAsia="Times New Roman"/>
                <w:b/>
                <w:bCs/>
                <w:sz w:val="16"/>
                <w:szCs w:val="16"/>
              </w:rPr>
            </w:pPr>
            <w:r w:rsidRPr="000B34F0">
              <w:rPr>
                <w:rFonts w:eastAsia="Times New Roman"/>
                <w:b/>
                <w:bCs/>
                <w:sz w:val="16"/>
                <w:szCs w:val="16"/>
              </w:rPr>
              <w:t>Про</w:t>
            </w:r>
            <w:r w:rsidR="006F12AE" w:rsidRPr="000B34F0">
              <w:rPr>
                <w:rFonts w:eastAsia="Times New Roman"/>
                <w:b/>
                <w:bCs/>
                <w:sz w:val="16"/>
                <w:szCs w:val="16"/>
              </w:rPr>
              <w:t>дукт</w:t>
            </w:r>
          </w:p>
        </w:tc>
        <w:tc>
          <w:tcPr>
            <w:tcW w:w="1659" w:type="pct"/>
            <w:vMerge w:val="restart"/>
            <w:tcBorders>
              <w:top w:val="double" w:sz="4" w:space="0" w:color="auto"/>
              <w:bottom w:val="single" w:sz="4" w:space="0" w:color="auto"/>
            </w:tcBorders>
            <w:shd w:val="clear" w:color="auto" w:fill="EAF1DD" w:themeFill="accent3" w:themeFillTint="33"/>
            <w:vAlign w:val="center"/>
          </w:tcPr>
          <w:p w:rsidR="006F12AE" w:rsidRPr="000B34F0" w:rsidRDefault="006F12AE" w:rsidP="005C5764">
            <w:pPr>
              <w:widowControl w:val="0"/>
              <w:autoSpaceDE w:val="0"/>
              <w:autoSpaceDN w:val="0"/>
              <w:adjustRightInd w:val="0"/>
              <w:jc w:val="center"/>
              <w:rPr>
                <w:rFonts w:eastAsia="Times New Roman"/>
                <w:b/>
                <w:bCs/>
                <w:sz w:val="16"/>
                <w:szCs w:val="16"/>
              </w:rPr>
            </w:pPr>
            <w:r w:rsidRPr="000B34F0">
              <w:rPr>
                <w:rFonts w:eastAsia="Times New Roman"/>
                <w:b/>
                <w:bCs/>
                <w:sz w:val="16"/>
                <w:szCs w:val="16"/>
              </w:rPr>
              <w:t>Цели</w:t>
            </w:r>
          </w:p>
        </w:tc>
        <w:tc>
          <w:tcPr>
            <w:tcW w:w="308" w:type="pct"/>
            <w:vMerge w:val="restart"/>
            <w:tcBorders>
              <w:top w:val="double" w:sz="4" w:space="0" w:color="auto"/>
              <w:bottom w:val="single" w:sz="4" w:space="0" w:color="auto"/>
            </w:tcBorders>
            <w:shd w:val="clear" w:color="auto" w:fill="EAF1DD" w:themeFill="accent3" w:themeFillTint="33"/>
            <w:vAlign w:val="center"/>
          </w:tcPr>
          <w:p w:rsidR="006F12AE" w:rsidRPr="000B34F0" w:rsidRDefault="006F12AE" w:rsidP="005C5764">
            <w:pPr>
              <w:widowControl w:val="0"/>
              <w:autoSpaceDE w:val="0"/>
              <w:autoSpaceDN w:val="0"/>
              <w:adjustRightInd w:val="0"/>
              <w:ind w:right="-63"/>
              <w:jc w:val="center"/>
              <w:rPr>
                <w:rFonts w:eastAsia="Times New Roman"/>
                <w:b/>
                <w:bCs/>
                <w:sz w:val="16"/>
                <w:szCs w:val="16"/>
              </w:rPr>
            </w:pPr>
            <w:r w:rsidRPr="000B34F0">
              <w:rPr>
                <w:rFonts w:eastAsia="Times New Roman"/>
                <w:b/>
                <w:bCs/>
                <w:sz w:val="16"/>
                <w:szCs w:val="16"/>
              </w:rPr>
              <w:t>Срок  (мес.)</w:t>
            </w:r>
          </w:p>
        </w:tc>
        <w:tc>
          <w:tcPr>
            <w:tcW w:w="369" w:type="pct"/>
            <w:vMerge w:val="restart"/>
            <w:tcBorders>
              <w:top w:val="double" w:sz="4" w:space="0" w:color="auto"/>
              <w:bottom w:val="single" w:sz="4" w:space="0" w:color="auto"/>
            </w:tcBorders>
            <w:shd w:val="clear" w:color="auto" w:fill="EAF1DD" w:themeFill="accent3" w:themeFillTint="33"/>
            <w:vAlign w:val="center"/>
          </w:tcPr>
          <w:p w:rsidR="006F12AE" w:rsidRPr="000B34F0" w:rsidRDefault="006F12AE" w:rsidP="005C5764">
            <w:pPr>
              <w:widowControl w:val="0"/>
              <w:autoSpaceDE w:val="0"/>
              <w:autoSpaceDN w:val="0"/>
              <w:adjustRightInd w:val="0"/>
              <w:ind w:left="-153" w:right="-132"/>
              <w:jc w:val="center"/>
              <w:rPr>
                <w:rFonts w:eastAsia="Times New Roman"/>
                <w:b/>
                <w:bCs/>
                <w:sz w:val="16"/>
                <w:szCs w:val="16"/>
              </w:rPr>
            </w:pPr>
            <w:r w:rsidRPr="000B34F0">
              <w:rPr>
                <w:rFonts w:eastAsia="Times New Roman"/>
                <w:b/>
                <w:bCs/>
                <w:sz w:val="16"/>
                <w:szCs w:val="16"/>
              </w:rPr>
              <w:t>Сумма    (тыс. руб.)</w:t>
            </w:r>
          </w:p>
        </w:tc>
        <w:tc>
          <w:tcPr>
            <w:tcW w:w="744" w:type="pct"/>
            <w:gridSpan w:val="2"/>
            <w:tcBorders>
              <w:top w:val="double" w:sz="4" w:space="0" w:color="auto"/>
              <w:bottom w:val="single" w:sz="4" w:space="0" w:color="auto"/>
            </w:tcBorders>
            <w:shd w:val="clear" w:color="auto" w:fill="EAF1DD" w:themeFill="accent3" w:themeFillTint="33"/>
          </w:tcPr>
          <w:p w:rsidR="006F12AE" w:rsidRPr="000B34F0" w:rsidRDefault="006F12AE" w:rsidP="005C5764">
            <w:pPr>
              <w:widowControl w:val="0"/>
              <w:autoSpaceDE w:val="0"/>
              <w:autoSpaceDN w:val="0"/>
              <w:adjustRightInd w:val="0"/>
              <w:jc w:val="center"/>
              <w:rPr>
                <w:rFonts w:eastAsia="Times New Roman"/>
                <w:b/>
                <w:bCs/>
                <w:sz w:val="16"/>
                <w:szCs w:val="16"/>
              </w:rPr>
            </w:pPr>
            <w:r w:rsidRPr="000B34F0">
              <w:rPr>
                <w:rFonts w:eastAsia="Times New Roman"/>
                <w:b/>
                <w:bCs/>
                <w:sz w:val="16"/>
                <w:szCs w:val="16"/>
              </w:rPr>
              <w:t>Ставка</w:t>
            </w:r>
          </w:p>
        </w:tc>
        <w:tc>
          <w:tcPr>
            <w:tcW w:w="467" w:type="pct"/>
            <w:vMerge w:val="restart"/>
            <w:tcBorders>
              <w:top w:val="double" w:sz="4" w:space="0" w:color="auto"/>
              <w:bottom w:val="single" w:sz="4" w:space="0" w:color="auto"/>
            </w:tcBorders>
            <w:shd w:val="clear" w:color="auto" w:fill="EAF1DD" w:themeFill="accent3" w:themeFillTint="33"/>
            <w:vAlign w:val="center"/>
          </w:tcPr>
          <w:p w:rsidR="006F12AE" w:rsidRPr="000B34F0" w:rsidRDefault="006F12AE" w:rsidP="005C5764">
            <w:pPr>
              <w:widowControl w:val="0"/>
              <w:autoSpaceDE w:val="0"/>
              <w:autoSpaceDN w:val="0"/>
              <w:adjustRightInd w:val="0"/>
              <w:ind w:left="-109" w:right="-108"/>
              <w:jc w:val="center"/>
              <w:rPr>
                <w:rFonts w:eastAsia="Times New Roman"/>
                <w:b/>
                <w:bCs/>
                <w:kern w:val="32"/>
                <w:sz w:val="16"/>
                <w:szCs w:val="16"/>
              </w:rPr>
            </w:pPr>
            <w:proofErr w:type="spellStart"/>
            <w:r w:rsidRPr="000B34F0">
              <w:rPr>
                <w:rFonts w:eastAsia="Times New Roman"/>
                <w:b/>
                <w:bCs/>
                <w:sz w:val="16"/>
                <w:szCs w:val="16"/>
              </w:rPr>
              <w:t>Осуществ</w:t>
            </w:r>
            <w:proofErr w:type="spellEnd"/>
            <w:r w:rsidRPr="000B34F0">
              <w:rPr>
                <w:rFonts w:eastAsia="Times New Roman"/>
                <w:b/>
                <w:bCs/>
                <w:sz w:val="16"/>
                <w:szCs w:val="16"/>
              </w:rPr>
              <w:t xml:space="preserve">. </w:t>
            </w:r>
            <w:proofErr w:type="spellStart"/>
            <w:r w:rsidRPr="000B34F0">
              <w:rPr>
                <w:rFonts w:eastAsia="Times New Roman"/>
                <w:b/>
                <w:bCs/>
                <w:sz w:val="16"/>
                <w:szCs w:val="16"/>
              </w:rPr>
              <w:t>деят-ть</w:t>
            </w:r>
            <w:proofErr w:type="spellEnd"/>
            <w:r w:rsidRPr="000B34F0">
              <w:rPr>
                <w:rFonts w:eastAsia="Times New Roman"/>
                <w:b/>
                <w:bCs/>
                <w:sz w:val="16"/>
                <w:szCs w:val="16"/>
              </w:rPr>
              <w:t xml:space="preserve">   </w:t>
            </w:r>
          </w:p>
        </w:tc>
        <w:tc>
          <w:tcPr>
            <w:tcW w:w="999" w:type="pct"/>
            <w:vMerge w:val="restart"/>
            <w:tcBorders>
              <w:top w:val="double" w:sz="4" w:space="0" w:color="auto"/>
              <w:bottom w:val="single" w:sz="4" w:space="0" w:color="auto"/>
            </w:tcBorders>
            <w:shd w:val="clear" w:color="auto" w:fill="EAF1DD" w:themeFill="accent3" w:themeFillTint="33"/>
            <w:vAlign w:val="center"/>
          </w:tcPr>
          <w:p w:rsidR="006F12AE" w:rsidRPr="000B34F0" w:rsidRDefault="006F12AE" w:rsidP="005C5764">
            <w:pPr>
              <w:widowControl w:val="0"/>
              <w:autoSpaceDE w:val="0"/>
              <w:autoSpaceDN w:val="0"/>
              <w:adjustRightInd w:val="0"/>
              <w:jc w:val="center"/>
              <w:rPr>
                <w:rFonts w:eastAsia="Times New Roman"/>
                <w:b/>
                <w:bCs/>
                <w:kern w:val="32"/>
                <w:sz w:val="16"/>
                <w:szCs w:val="16"/>
              </w:rPr>
            </w:pPr>
            <w:r w:rsidRPr="000B34F0">
              <w:rPr>
                <w:rFonts w:eastAsia="Times New Roman"/>
                <w:b/>
                <w:bCs/>
                <w:sz w:val="16"/>
                <w:szCs w:val="16"/>
              </w:rPr>
              <w:t>Ограничения, обязательства</w:t>
            </w:r>
          </w:p>
        </w:tc>
      </w:tr>
      <w:tr w:rsidR="006F12AE" w:rsidRPr="003D7C44" w:rsidTr="000B34F0">
        <w:trPr>
          <w:trHeight w:val="285"/>
        </w:trPr>
        <w:tc>
          <w:tcPr>
            <w:tcW w:w="454" w:type="pct"/>
            <w:vMerge/>
            <w:tcBorders>
              <w:top w:val="single" w:sz="4" w:space="0" w:color="auto"/>
            </w:tcBorders>
            <w:vAlign w:val="center"/>
          </w:tcPr>
          <w:p w:rsidR="006F12AE" w:rsidRPr="000B34F0" w:rsidRDefault="006F12AE" w:rsidP="005C5764">
            <w:pPr>
              <w:widowControl w:val="0"/>
              <w:autoSpaceDE w:val="0"/>
              <w:autoSpaceDN w:val="0"/>
              <w:adjustRightInd w:val="0"/>
              <w:jc w:val="center"/>
              <w:rPr>
                <w:rFonts w:eastAsia="Times New Roman"/>
                <w:b/>
                <w:bCs/>
                <w:sz w:val="16"/>
                <w:szCs w:val="16"/>
              </w:rPr>
            </w:pPr>
          </w:p>
        </w:tc>
        <w:tc>
          <w:tcPr>
            <w:tcW w:w="1659" w:type="pct"/>
            <w:vMerge/>
            <w:tcBorders>
              <w:top w:val="single" w:sz="4" w:space="0" w:color="auto"/>
            </w:tcBorders>
            <w:vAlign w:val="center"/>
          </w:tcPr>
          <w:p w:rsidR="006F12AE" w:rsidRPr="000B34F0" w:rsidRDefault="006F12AE" w:rsidP="005C5764">
            <w:pPr>
              <w:widowControl w:val="0"/>
              <w:autoSpaceDE w:val="0"/>
              <w:autoSpaceDN w:val="0"/>
              <w:adjustRightInd w:val="0"/>
              <w:jc w:val="center"/>
              <w:rPr>
                <w:rFonts w:eastAsia="Times New Roman"/>
                <w:b/>
                <w:bCs/>
                <w:sz w:val="16"/>
                <w:szCs w:val="16"/>
              </w:rPr>
            </w:pPr>
          </w:p>
        </w:tc>
        <w:tc>
          <w:tcPr>
            <w:tcW w:w="308" w:type="pct"/>
            <w:vMerge/>
            <w:tcBorders>
              <w:top w:val="single" w:sz="4" w:space="0" w:color="auto"/>
            </w:tcBorders>
            <w:vAlign w:val="center"/>
          </w:tcPr>
          <w:p w:rsidR="006F12AE" w:rsidRPr="000B34F0" w:rsidRDefault="006F12AE" w:rsidP="005C5764">
            <w:pPr>
              <w:widowControl w:val="0"/>
              <w:autoSpaceDE w:val="0"/>
              <w:autoSpaceDN w:val="0"/>
              <w:adjustRightInd w:val="0"/>
              <w:jc w:val="center"/>
              <w:rPr>
                <w:rFonts w:eastAsia="Times New Roman"/>
                <w:b/>
                <w:bCs/>
                <w:sz w:val="16"/>
                <w:szCs w:val="16"/>
              </w:rPr>
            </w:pPr>
          </w:p>
        </w:tc>
        <w:tc>
          <w:tcPr>
            <w:tcW w:w="369" w:type="pct"/>
            <w:vMerge/>
            <w:tcBorders>
              <w:top w:val="single" w:sz="4" w:space="0" w:color="auto"/>
            </w:tcBorders>
            <w:vAlign w:val="center"/>
          </w:tcPr>
          <w:p w:rsidR="006F12AE" w:rsidRPr="000B34F0" w:rsidRDefault="006F12AE" w:rsidP="005C5764">
            <w:pPr>
              <w:widowControl w:val="0"/>
              <w:autoSpaceDE w:val="0"/>
              <w:autoSpaceDN w:val="0"/>
              <w:adjustRightInd w:val="0"/>
              <w:jc w:val="center"/>
              <w:rPr>
                <w:rFonts w:eastAsia="Times New Roman"/>
                <w:b/>
                <w:bCs/>
                <w:sz w:val="16"/>
                <w:szCs w:val="16"/>
              </w:rPr>
            </w:pPr>
          </w:p>
        </w:tc>
        <w:tc>
          <w:tcPr>
            <w:tcW w:w="410" w:type="pct"/>
            <w:tcBorders>
              <w:top w:val="single" w:sz="4" w:space="0" w:color="auto"/>
              <w:bottom w:val="single" w:sz="4" w:space="0" w:color="auto"/>
            </w:tcBorders>
            <w:shd w:val="clear" w:color="auto" w:fill="EAF1DD" w:themeFill="accent3" w:themeFillTint="33"/>
            <w:vAlign w:val="center"/>
          </w:tcPr>
          <w:p w:rsidR="006F12AE" w:rsidRPr="000B34F0" w:rsidRDefault="006F12AE" w:rsidP="005C5764">
            <w:pPr>
              <w:widowControl w:val="0"/>
              <w:autoSpaceDE w:val="0"/>
              <w:autoSpaceDN w:val="0"/>
              <w:adjustRightInd w:val="0"/>
              <w:jc w:val="center"/>
              <w:rPr>
                <w:rFonts w:eastAsia="Times New Roman"/>
                <w:b/>
                <w:bCs/>
                <w:sz w:val="16"/>
                <w:szCs w:val="16"/>
              </w:rPr>
            </w:pPr>
            <w:r w:rsidRPr="000B34F0">
              <w:rPr>
                <w:rFonts w:eastAsia="Times New Roman"/>
                <w:b/>
                <w:bCs/>
                <w:sz w:val="16"/>
                <w:szCs w:val="16"/>
              </w:rPr>
              <w:t>2017</w:t>
            </w:r>
          </w:p>
        </w:tc>
        <w:tc>
          <w:tcPr>
            <w:tcW w:w="335" w:type="pct"/>
            <w:tcBorders>
              <w:top w:val="single" w:sz="4" w:space="0" w:color="auto"/>
              <w:bottom w:val="single" w:sz="4" w:space="0" w:color="auto"/>
            </w:tcBorders>
            <w:shd w:val="clear" w:color="auto" w:fill="EAF1DD" w:themeFill="accent3" w:themeFillTint="33"/>
            <w:vAlign w:val="center"/>
          </w:tcPr>
          <w:p w:rsidR="006F12AE" w:rsidRPr="000B34F0" w:rsidRDefault="006F12AE" w:rsidP="005C5764">
            <w:pPr>
              <w:widowControl w:val="0"/>
              <w:autoSpaceDE w:val="0"/>
              <w:autoSpaceDN w:val="0"/>
              <w:adjustRightInd w:val="0"/>
              <w:ind w:left="-109" w:right="-107"/>
              <w:jc w:val="center"/>
              <w:rPr>
                <w:rFonts w:eastAsia="Times New Roman"/>
                <w:b/>
                <w:bCs/>
                <w:sz w:val="16"/>
                <w:szCs w:val="16"/>
              </w:rPr>
            </w:pPr>
            <w:r w:rsidRPr="000B34F0">
              <w:rPr>
                <w:rFonts w:eastAsia="Times New Roman"/>
                <w:b/>
                <w:bCs/>
                <w:sz w:val="16"/>
                <w:szCs w:val="16"/>
              </w:rPr>
              <w:t>2018</w:t>
            </w:r>
          </w:p>
        </w:tc>
        <w:tc>
          <w:tcPr>
            <w:tcW w:w="467" w:type="pct"/>
            <w:vMerge/>
            <w:tcBorders>
              <w:top w:val="single" w:sz="4" w:space="0" w:color="auto"/>
            </w:tcBorders>
            <w:vAlign w:val="center"/>
          </w:tcPr>
          <w:p w:rsidR="006F12AE" w:rsidRPr="000B34F0" w:rsidRDefault="006F12AE" w:rsidP="005C5764">
            <w:pPr>
              <w:widowControl w:val="0"/>
              <w:autoSpaceDE w:val="0"/>
              <w:autoSpaceDN w:val="0"/>
              <w:adjustRightInd w:val="0"/>
              <w:jc w:val="center"/>
              <w:rPr>
                <w:rFonts w:eastAsia="Times New Roman"/>
                <w:b/>
                <w:bCs/>
                <w:sz w:val="16"/>
                <w:szCs w:val="16"/>
              </w:rPr>
            </w:pPr>
          </w:p>
        </w:tc>
        <w:tc>
          <w:tcPr>
            <w:tcW w:w="999" w:type="pct"/>
            <w:vMerge/>
            <w:tcBorders>
              <w:top w:val="single" w:sz="4" w:space="0" w:color="auto"/>
            </w:tcBorders>
            <w:vAlign w:val="center"/>
          </w:tcPr>
          <w:p w:rsidR="006F12AE" w:rsidRPr="000B34F0" w:rsidRDefault="006F12AE" w:rsidP="005C5764">
            <w:pPr>
              <w:widowControl w:val="0"/>
              <w:autoSpaceDE w:val="0"/>
              <w:autoSpaceDN w:val="0"/>
              <w:adjustRightInd w:val="0"/>
              <w:jc w:val="center"/>
              <w:rPr>
                <w:rFonts w:eastAsia="Times New Roman"/>
                <w:b/>
                <w:bCs/>
                <w:sz w:val="16"/>
                <w:szCs w:val="16"/>
              </w:rPr>
            </w:pPr>
          </w:p>
        </w:tc>
      </w:tr>
      <w:tr w:rsidR="006F12AE" w:rsidRPr="003D7C44" w:rsidTr="000B34F0">
        <w:trPr>
          <w:trHeight w:val="551"/>
        </w:trPr>
        <w:tc>
          <w:tcPr>
            <w:tcW w:w="454" w:type="pct"/>
          </w:tcPr>
          <w:p w:rsidR="006F12AE" w:rsidRPr="000B34F0" w:rsidRDefault="006F12AE" w:rsidP="005C5764">
            <w:pPr>
              <w:widowControl w:val="0"/>
              <w:autoSpaceDE w:val="0"/>
              <w:autoSpaceDN w:val="0"/>
              <w:adjustRightInd w:val="0"/>
              <w:ind w:left="-108" w:right="-108"/>
              <w:jc w:val="center"/>
              <w:rPr>
                <w:rFonts w:eastAsia="Times New Roman"/>
                <w:bCs/>
                <w:sz w:val="16"/>
                <w:szCs w:val="16"/>
              </w:rPr>
            </w:pPr>
            <w:r w:rsidRPr="000B34F0">
              <w:rPr>
                <w:rFonts w:eastAsia="Times New Roman"/>
                <w:bCs/>
                <w:sz w:val="16"/>
                <w:szCs w:val="16"/>
              </w:rPr>
              <w:t>«Оборот</w:t>
            </w:r>
          </w:p>
          <w:p w:rsidR="006F12AE" w:rsidRPr="000B34F0" w:rsidRDefault="006F12AE" w:rsidP="005C5764">
            <w:pPr>
              <w:widowControl w:val="0"/>
              <w:autoSpaceDE w:val="0"/>
              <w:autoSpaceDN w:val="0"/>
              <w:adjustRightInd w:val="0"/>
              <w:ind w:left="-108" w:right="-108"/>
              <w:jc w:val="center"/>
              <w:rPr>
                <w:rFonts w:eastAsia="Times New Roman"/>
                <w:bCs/>
                <w:sz w:val="16"/>
                <w:szCs w:val="16"/>
              </w:rPr>
            </w:pPr>
            <w:proofErr w:type="spellStart"/>
            <w:r w:rsidRPr="000B34F0">
              <w:rPr>
                <w:rFonts w:eastAsia="Times New Roman"/>
                <w:bCs/>
                <w:sz w:val="16"/>
                <w:szCs w:val="16"/>
              </w:rPr>
              <w:t>ный</w:t>
            </w:r>
            <w:proofErr w:type="spellEnd"/>
            <w:r w:rsidRPr="000B34F0">
              <w:rPr>
                <w:rFonts w:eastAsia="Times New Roman"/>
                <w:bCs/>
                <w:sz w:val="16"/>
                <w:szCs w:val="16"/>
              </w:rPr>
              <w:t>»</w:t>
            </w:r>
          </w:p>
          <w:p w:rsidR="006F12AE" w:rsidRPr="000B34F0" w:rsidRDefault="006F12AE" w:rsidP="005C5764">
            <w:pPr>
              <w:widowControl w:val="0"/>
              <w:autoSpaceDE w:val="0"/>
              <w:autoSpaceDN w:val="0"/>
              <w:adjustRightInd w:val="0"/>
              <w:ind w:left="-108"/>
              <w:jc w:val="center"/>
              <w:rPr>
                <w:rFonts w:eastAsia="Times New Roman"/>
                <w:bCs/>
                <w:sz w:val="16"/>
                <w:szCs w:val="16"/>
              </w:rPr>
            </w:pPr>
          </w:p>
        </w:tc>
        <w:tc>
          <w:tcPr>
            <w:tcW w:w="1659" w:type="pct"/>
          </w:tcPr>
          <w:p w:rsidR="006F12AE" w:rsidRPr="000B34F0" w:rsidRDefault="006F12AE" w:rsidP="005C5764">
            <w:pPr>
              <w:widowControl w:val="0"/>
              <w:autoSpaceDE w:val="0"/>
              <w:autoSpaceDN w:val="0"/>
              <w:adjustRightInd w:val="0"/>
              <w:jc w:val="center"/>
              <w:rPr>
                <w:rFonts w:eastAsia="Times New Roman"/>
                <w:bCs/>
                <w:sz w:val="16"/>
                <w:szCs w:val="16"/>
              </w:rPr>
            </w:pPr>
          </w:p>
          <w:p w:rsidR="006F12AE" w:rsidRPr="000B34F0" w:rsidRDefault="006F12AE" w:rsidP="005C5764">
            <w:pPr>
              <w:widowControl w:val="0"/>
              <w:autoSpaceDE w:val="0"/>
              <w:autoSpaceDN w:val="0"/>
              <w:adjustRightInd w:val="0"/>
              <w:jc w:val="center"/>
              <w:rPr>
                <w:rFonts w:eastAsia="Times New Roman"/>
                <w:bCs/>
                <w:sz w:val="16"/>
                <w:szCs w:val="16"/>
              </w:rPr>
            </w:pPr>
            <w:r w:rsidRPr="000B34F0">
              <w:rPr>
                <w:rFonts w:eastAsia="Times New Roman"/>
                <w:bCs/>
                <w:sz w:val="16"/>
                <w:szCs w:val="16"/>
              </w:rPr>
              <w:t>Пополнение оборотных средств</w:t>
            </w:r>
          </w:p>
        </w:tc>
        <w:tc>
          <w:tcPr>
            <w:tcW w:w="308" w:type="pct"/>
          </w:tcPr>
          <w:p w:rsidR="006F12AE" w:rsidRPr="000B34F0" w:rsidRDefault="006F12AE" w:rsidP="005C5764">
            <w:pPr>
              <w:widowControl w:val="0"/>
              <w:autoSpaceDE w:val="0"/>
              <w:autoSpaceDN w:val="0"/>
              <w:adjustRightInd w:val="0"/>
              <w:jc w:val="center"/>
              <w:rPr>
                <w:rFonts w:eastAsia="Times New Roman"/>
                <w:bCs/>
                <w:sz w:val="16"/>
                <w:szCs w:val="16"/>
              </w:rPr>
            </w:pPr>
            <w:r w:rsidRPr="000B34F0">
              <w:rPr>
                <w:rFonts w:eastAsia="Times New Roman"/>
                <w:bCs/>
                <w:sz w:val="16"/>
                <w:szCs w:val="16"/>
              </w:rPr>
              <w:t>от 3 до 18</w:t>
            </w:r>
          </w:p>
        </w:tc>
        <w:tc>
          <w:tcPr>
            <w:tcW w:w="369" w:type="pct"/>
          </w:tcPr>
          <w:p w:rsidR="006F12AE" w:rsidRPr="000B34F0" w:rsidRDefault="006F12AE" w:rsidP="005C5764">
            <w:pPr>
              <w:widowControl w:val="0"/>
              <w:autoSpaceDE w:val="0"/>
              <w:autoSpaceDN w:val="0"/>
              <w:adjustRightInd w:val="0"/>
              <w:jc w:val="center"/>
              <w:rPr>
                <w:rFonts w:eastAsia="Times New Roman"/>
                <w:bCs/>
                <w:sz w:val="16"/>
                <w:szCs w:val="16"/>
              </w:rPr>
            </w:pPr>
            <w:r w:rsidRPr="000B34F0">
              <w:rPr>
                <w:rFonts w:eastAsia="Times New Roman"/>
                <w:bCs/>
                <w:sz w:val="16"/>
                <w:szCs w:val="16"/>
              </w:rPr>
              <w:t>от 300 до</w:t>
            </w:r>
          </w:p>
          <w:p w:rsidR="006F12AE" w:rsidRPr="000B34F0" w:rsidRDefault="006F12AE" w:rsidP="005C5764">
            <w:pPr>
              <w:widowControl w:val="0"/>
              <w:autoSpaceDE w:val="0"/>
              <w:autoSpaceDN w:val="0"/>
              <w:adjustRightInd w:val="0"/>
              <w:ind w:left="-153" w:right="-132"/>
              <w:jc w:val="center"/>
              <w:rPr>
                <w:rFonts w:eastAsia="Times New Roman"/>
                <w:bCs/>
                <w:sz w:val="16"/>
                <w:szCs w:val="16"/>
              </w:rPr>
            </w:pPr>
            <w:r w:rsidRPr="000B34F0">
              <w:rPr>
                <w:rFonts w:eastAsia="Times New Roman"/>
                <w:bCs/>
                <w:sz w:val="16"/>
                <w:szCs w:val="16"/>
              </w:rPr>
              <w:t xml:space="preserve">3 000 </w:t>
            </w:r>
          </w:p>
        </w:tc>
        <w:tc>
          <w:tcPr>
            <w:tcW w:w="410" w:type="pct"/>
            <w:tcBorders>
              <w:top w:val="single" w:sz="4" w:space="0" w:color="auto"/>
            </w:tcBorders>
          </w:tcPr>
          <w:p w:rsidR="006F12AE" w:rsidRPr="000B34F0" w:rsidRDefault="006F12AE" w:rsidP="005C5764">
            <w:pPr>
              <w:widowControl w:val="0"/>
              <w:autoSpaceDE w:val="0"/>
              <w:autoSpaceDN w:val="0"/>
              <w:adjustRightInd w:val="0"/>
              <w:jc w:val="center"/>
              <w:rPr>
                <w:rFonts w:eastAsia="Times New Roman"/>
                <w:bCs/>
                <w:sz w:val="16"/>
                <w:szCs w:val="16"/>
              </w:rPr>
            </w:pPr>
          </w:p>
          <w:p w:rsidR="006F12AE" w:rsidRPr="000B34F0" w:rsidRDefault="006F12AE" w:rsidP="005C5764">
            <w:pPr>
              <w:widowControl w:val="0"/>
              <w:autoSpaceDE w:val="0"/>
              <w:autoSpaceDN w:val="0"/>
              <w:adjustRightInd w:val="0"/>
              <w:jc w:val="center"/>
              <w:rPr>
                <w:rFonts w:eastAsia="Times New Roman"/>
                <w:bCs/>
                <w:sz w:val="16"/>
                <w:szCs w:val="16"/>
              </w:rPr>
            </w:pPr>
            <w:r w:rsidRPr="000B34F0">
              <w:rPr>
                <w:rFonts w:eastAsia="Times New Roman"/>
                <w:bCs/>
                <w:sz w:val="16"/>
                <w:szCs w:val="16"/>
              </w:rPr>
              <w:t>10%</w:t>
            </w:r>
          </w:p>
        </w:tc>
        <w:tc>
          <w:tcPr>
            <w:tcW w:w="335" w:type="pct"/>
            <w:tcBorders>
              <w:top w:val="single" w:sz="4" w:space="0" w:color="auto"/>
            </w:tcBorders>
          </w:tcPr>
          <w:p w:rsidR="006F12AE" w:rsidRPr="000B34F0" w:rsidRDefault="006F12AE" w:rsidP="005C5764">
            <w:pPr>
              <w:widowControl w:val="0"/>
              <w:autoSpaceDE w:val="0"/>
              <w:autoSpaceDN w:val="0"/>
              <w:adjustRightInd w:val="0"/>
              <w:jc w:val="center"/>
              <w:rPr>
                <w:rFonts w:eastAsia="Times New Roman"/>
                <w:bCs/>
                <w:sz w:val="16"/>
                <w:szCs w:val="16"/>
              </w:rPr>
            </w:pPr>
          </w:p>
          <w:p w:rsidR="006F12AE" w:rsidRPr="000B34F0" w:rsidRDefault="006F12AE" w:rsidP="005C5764">
            <w:pPr>
              <w:widowControl w:val="0"/>
              <w:autoSpaceDE w:val="0"/>
              <w:autoSpaceDN w:val="0"/>
              <w:adjustRightInd w:val="0"/>
              <w:ind w:right="-107"/>
              <w:jc w:val="center"/>
              <w:rPr>
                <w:rFonts w:eastAsia="Times New Roman"/>
                <w:bCs/>
                <w:sz w:val="16"/>
                <w:szCs w:val="16"/>
              </w:rPr>
            </w:pPr>
            <w:r w:rsidRPr="000B34F0">
              <w:rPr>
                <w:rFonts w:eastAsia="Times New Roman"/>
                <w:bCs/>
                <w:sz w:val="16"/>
                <w:szCs w:val="16"/>
              </w:rPr>
              <w:t>7,75%</w:t>
            </w:r>
          </w:p>
        </w:tc>
        <w:tc>
          <w:tcPr>
            <w:tcW w:w="467" w:type="pct"/>
            <w:vMerge w:val="restart"/>
          </w:tcPr>
          <w:p w:rsidR="006F12AE" w:rsidRPr="000B34F0" w:rsidRDefault="006F12AE" w:rsidP="005C5764">
            <w:pPr>
              <w:widowControl w:val="0"/>
              <w:autoSpaceDE w:val="0"/>
              <w:autoSpaceDN w:val="0"/>
              <w:adjustRightInd w:val="0"/>
              <w:ind w:left="-108" w:right="-143"/>
              <w:jc w:val="center"/>
              <w:rPr>
                <w:rFonts w:eastAsia="Times New Roman"/>
                <w:bCs/>
                <w:sz w:val="16"/>
                <w:szCs w:val="16"/>
              </w:rPr>
            </w:pPr>
            <w:r w:rsidRPr="000B34F0">
              <w:rPr>
                <w:rFonts w:eastAsia="Times New Roman"/>
                <w:bCs/>
                <w:sz w:val="16"/>
                <w:szCs w:val="16"/>
              </w:rPr>
              <w:t>не менее</w:t>
            </w:r>
          </w:p>
          <w:p w:rsidR="006F12AE" w:rsidRPr="000B34F0" w:rsidRDefault="006F12AE" w:rsidP="005C5764">
            <w:pPr>
              <w:widowControl w:val="0"/>
              <w:autoSpaceDE w:val="0"/>
              <w:autoSpaceDN w:val="0"/>
              <w:adjustRightInd w:val="0"/>
              <w:ind w:right="-142"/>
              <w:jc w:val="center"/>
              <w:rPr>
                <w:rFonts w:eastAsia="Times New Roman"/>
                <w:bCs/>
                <w:kern w:val="32"/>
                <w:sz w:val="16"/>
                <w:szCs w:val="16"/>
              </w:rPr>
            </w:pPr>
            <w:r w:rsidRPr="000B34F0">
              <w:rPr>
                <w:rFonts w:eastAsia="Times New Roman"/>
                <w:bCs/>
                <w:sz w:val="16"/>
                <w:szCs w:val="16"/>
              </w:rPr>
              <w:t>6 мес.</w:t>
            </w:r>
          </w:p>
        </w:tc>
        <w:tc>
          <w:tcPr>
            <w:tcW w:w="999" w:type="pct"/>
            <w:vMerge w:val="restart"/>
          </w:tcPr>
          <w:p w:rsidR="006F12AE" w:rsidRPr="000B34F0" w:rsidRDefault="006F12AE" w:rsidP="005C5764">
            <w:pPr>
              <w:widowControl w:val="0"/>
              <w:autoSpaceDE w:val="0"/>
              <w:autoSpaceDN w:val="0"/>
              <w:adjustRightInd w:val="0"/>
              <w:rPr>
                <w:rFonts w:eastAsia="Times New Roman"/>
                <w:bCs/>
                <w:sz w:val="16"/>
                <w:szCs w:val="16"/>
              </w:rPr>
            </w:pPr>
            <w:r w:rsidRPr="000B34F0">
              <w:rPr>
                <w:rFonts w:eastAsia="Times New Roman"/>
                <w:bCs/>
                <w:sz w:val="16"/>
                <w:szCs w:val="16"/>
              </w:rPr>
              <w:t xml:space="preserve">СМСП, зарегистрированные на территории ВО, за </w:t>
            </w:r>
            <w:r w:rsidRPr="000B34F0">
              <w:rPr>
                <w:rFonts w:eastAsia="Times New Roman"/>
                <w:bCs/>
                <w:i/>
                <w:sz w:val="16"/>
                <w:szCs w:val="16"/>
              </w:rPr>
              <w:t>исключением</w:t>
            </w:r>
            <w:r w:rsidRPr="000B34F0">
              <w:rPr>
                <w:rFonts w:eastAsia="Times New Roman"/>
                <w:bCs/>
                <w:sz w:val="16"/>
                <w:szCs w:val="16"/>
              </w:rPr>
              <w:t xml:space="preserve"> следующих </w:t>
            </w:r>
            <w:r w:rsidRPr="000B34F0">
              <w:rPr>
                <w:rFonts w:eastAsia="Times New Roman"/>
                <w:bCs/>
                <w:sz w:val="16"/>
                <w:szCs w:val="16"/>
              </w:rPr>
              <w:lastRenderedPageBreak/>
              <w:t xml:space="preserve">видов деятельности: </w:t>
            </w:r>
          </w:p>
          <w:p w:rsidR="006F12AE" w:rsidRPr="000B34F0" w:rsidRDefault="006F12AE" w:rsidP="005C5764">
            <w:pPr>
              <w:widowControl w:val="0"/>
              <w:autoSpaceDE w:val="0"/>
              <w:autoSpaceDN w:val="0"/>
              <w:adjustRightInd w:val="0"/>
              <w:rPr>
                <w:rFonts w:eastAsia="Times New Roman"/>
                <w:bCs/>
                <w:sz w:val="16"/>
                <w:szCs w:val="16"/>
              </w:rPr>
            </w:pPr>
            <w:r w:rsidRPr="000B34F0">
              <w:rPr>
                <w:rFonts w:eastAsia="Times New Roman"/>
                <w:bCs/>
                <w:sz w:val="16"/>
                <w:szCs w:val="16"/>
              </w:rPr>
              <w:t>• предоставления недвижимого имущества в аренду, субаренду,</w:t>
            </w:r>
          </w:p>
          <w:p w:rsidR="006F12AE" w:rsidRPr="000B34F0" w:rsidRDefault="006F12AE" w:rsidP="005C5764">
            <w:pPr>
              <w:widowControl w:val="0"/>
              <w:autoSpaceDE w:val="0"/>
              <w:autoSpaceDN w:val="0"/>
              <w:adjustRightInd w:val="0"/>
              <w:rPr>
                <w:rFonts w:eastAsia="Times New Roman"/>
                <w:bCs/>
                <w:sz w:val="16"/>
                <w:szCs w:val="16"/>
              </w:rPr>
            </w:pPr>
            <w:r w:rsidRPr="000B34F0">
              <w:rPr>
                <w:rFonts w:eastAsia="Times New Roman"/>
                <w:bCs/>
                <w:sz w:val="16"/>
                <w:szCs w:val="16"/>
              </w:rPr>
              <w:t>• услуг маршрутного такси,</w:t>
            </w:r>
          </w:p>
          <w:p w:rsidR="006F12AE" w:rsidRPr="000B34F0" w:rsidRDefault="006F12AE" w:rsidP="005C5764">
            <w:pPr>
              <w:widowControl w:val="0"/>
              <w:autoSpaceDE w:val="0"/>
              <w:autoSpaceDN w:val="0"/>
              <w:adjustRightInd w:val="0"/>
              <w:rPr>
                <w:rFonts w:eastAsia="Times New Roman"/>
                <w:bCs/>
                <w:i/>
                <w:sz w:val="16"/>
                <w:szCs w:val="16"/>
              </w:rPr>
            </w:pPr>
            <w:r w:rsidRPr="000B34F0">
              <w:rPr>
                <w:rFonts w:eastAsia="Times New Roman"/>
                <w:bCs/>
                <w:sz w:val="16"/>
                <w:szCs w:val="16"/>
              </w:rPr>
              <w:t>• грузоперевозки.</w:t>
            </w:r>
            <w:r w:rsidRPr="000B34F0">
              <w:rPr>
                <w:rFonts w:eastAsia="Times New Roman"/>
                <w:bCs/>
                <w:sz w:val="16"/>
                <w:szCs w:val="16"/>
              </w:rPr>
              <w:br/>
            </w:r>
            <w:r w:rsidRPr="000B34F0">
              <w:rPr>
                <w:rFonts w:eastAsia="Times New Roman"/>
                <w:bCs/>
                <w:sz w:val="16"/>
                <w:szCs w:val="16"/>
              </w:rPr>
              <w:br/>
            </w:r>
            <w:r w:rsidRPr="000B34F0">
              <w:rPr>
                <w:rFonts w:eastAsia="Times New Roman"/>
                <w:bCs/>
                <w:i/>
                <w:sz w:val="16"/>
                <w:szCs w:val="16"/>
              </w:rPr>
              <w:t>Обязательное условие:</w:t>
            </w:r>
          </w:p>
          <w:p w:rsidR="006F12AE" w:rsidRPr="000B34F0" w:rsidRDefault="006F12AE" w:rsidP="005C5764">
            <w:pPr>
              <w:widowControl w:val="0"/>
              <w:autoSpaceDE w:val="0"/>
              <w:autoSpaceDN w:val="0"/>
              <w:adjustRightInd w:val="0"/>
              <w:rPr>
                <w:rFonts w:eastAsia="Times New Roman"/>
                <w:bCs/>
                <w:sz w:val="16"/>
                <w:szCs w:val="16"/>
              </w:rPr>
            </w:pPr>
            <w:r w:rsidRPr="000B34F0">
              <w:rPr>
                <w:rFonts w:eastAsia="Times New Roman"/>
                <w:bCs/>
                <w:sz w:val="16"/>
                <w:szCs w:val="16"/>
              </w:rPr>
              <w:t xml:space="preserve"> 1) создание новых рабочих мест;</w:t>
            </w:r>
          </w:p>
          <w:p w:rsidR="006F12AE" w:rsidRPr="000B34F0" w:rsidRDefault="006F12AE" w:rsidP="005C5764">
            <w:pPr>
              <w:widowControl w:val="0"/>
              <w:autoSpaceDE w:val="0"/>
              <w:autoSpaceDN w:val="0"/>
              <w:adjustRightInd w:val="0"/>
              <w:rPr>
                <w:rFonts w:eastAsia="Times New Roman"/>
                <w:bCs/>
                <w:sz w:val="16"/>
                <w:szCs w:val="16"/>
              </w:rPr>
            </w:pPr>
            <w:r w:rsidRPr="000B34F0">
              <w:rPr>
                <w:rFonts w:eastAsia="Times New Roman"/>
                <w:bCs/>
                <w:sz w:val="16"/>
                <w:szCs w:val="16"/>
              </w:rPr>
              <w:t>2) прирост среднесписочной численности работников;</w:t>
            </w:r>
          </w:p>
          <w:p w:rsidR="006F12AE" w:rsidRPr="000B34F0" w:rsidRDefault="006F12AE" w:rsidP="005C5764">
            <w:pPr>
              <w:widowControl w:val="0"/>
              <w:autoSpaceDE w:val="0"/>
              <w:autoSpaceDN w:val="0"/>
              <w:adjustRightInd w:val="0"/>
              <w:rPr>
                <w:rFonts w:eastAsia="Times New Roman"/>
                <w:bCs/>
                <w:kern w:val="32"/>
                <w:sz w:val="16"/>
                <w:szCs w:val="16"/>
              </w:rPr>
            </w:pPr>
            <w:r w:rsidRPr="000B34F0">
              <w:rPr>
                <w:rFonts w:eastAsia="Times New Roman"/>
                <w:bCs/>
                <w:sz w:val="16"/>
                <w:szCs w:val="16"/>
              </w:rPr>
              <w:t xml:space="preserve">3) увеличение оборота </w:t>
            </w:r>
          </w:p>
        </w:tc>
      </w:tr>
      <w:tr w:rsidR="006F12AE" w:rsidRPr="003D7C44" w:rsidTr="000B34F0">
        <w:trPr>
          <w:trHeight w:val="1639"/>
        </w:trPr>
        <w:tc>
          <w:tcPr>
            <w:tcW w:w="454" w:type="pct"/>
            <w:vAlign w:val="center"/>
          </w:tcPr>
          <w:p w:rsidR="006F12AE" w:rsidRPr="000B34F0" w:rsidRDefault="006F12AE" w:rsidP="005C5764">
            <w:pPr>
              <w:widowControl w:val="0"/>
              <w:autoSpaceDE w:val="0"/>
              <w:autoSpaceDN w:val="0"/>
              <w:adjustRightInd w:val="0"/>
              <w:jc w:val="center"/>
              <w:rPr>
                <w:rFonts w:eastAsia="Times New Roman"/>
                <w:bCs/>
                <w:sz w:val="16"/>
                <w:szCs w:val="16"/>
              </w:rPr>
            </w:pPr>
            <w:r w:rsidRPr="000B34F0">
              <w:rPr>
                <w:rFonts w:eastAsia="Times New Roman"/>
                <w:bCs/>
                <w:sz w:val="16"/>
                <w:szCs w:val="16"/>
              </w:rPr>
              <w:lastRenderedPageBreak/>
              <w:t>«Инвестиционный»</w:t>
            </w:r>
          </w:p>
        </w:tc>
        <w:tc>
          <w:tcPr>
            <w:tcW w:w="1659" w:type="pct"/>
            <w:vAlign w:val="center"/>
          </w:tcPr>
          <w:p w:rsidR="006F12AE" w:rsidRPr="000B34F0" w:rsidRDefault="006F12AE" w:rsidP="005C5764">
            <w:pPr>
              <w:widowControl w:val="0"/>
              <w:autoSpaceDE w:val="0"/>
              <w:autoSpaceDN w:val="0"/>
              <w:adjustRightInd w:val="0"/>
              <w:jc w:val="both"/>
              <w:rPr>
                <w:rFonts w:eastAsia="Times New Roman"/>
                <w:bCs/>
                <w:sz w:val="16"/>
                <w:szCs w:val="16"/>
              </w:rPr>
            </w:pPr>
            <w:r w:rsidRPr="000B34F0">
              <w:rPr>
                <w:rFonts w:eastAsia="Times New Roman"/>
                <w:bCs/>
                <w:sz w:val="16"/>
                <w:szCs w:val="16"/>
              </w:rPr>
              <w:t>Приобретение и/или ремонт основных средств (кроме легковых и маршрутных такси), а также с/</w:t>
            </w:r>
            <w:proofErr w:type="spellStart"/>
            <w:r w:rsidRPr="000B34F0">
              <w:rPr>
                <w:rFonts w:eastAsia="Times New Roman"/>
                <w:bCs/>
                <w:sz w:val="16"/>
                <w:szCs w:val="16"/>
              </w:rPr>
              <w:t>х</w:t>
            </w:r>
            <w:proofErr w:type="spellEnd"/>
            <w:r w:rsidRPr="000B34F0">
              <w:rPr>
                <w:rFonts w:eastAsia="Times New Roman"/>
                <w:bCs/>
                <w:sz w:val="16"/>
                <w:szCs w:val="16"/>
              </w:rPr>
              <w:t xml:space="preserve"> животных, земельных участков и товаров для расширения действующего или для создания нового производства/бизнеса; строительство, реконструкция зданий, сооружений и помещений, находящихся в собственности;</w:t>
            </w:r>
          </w:p>
          <w:p w:rsidR="006F12AE" w:rsidRPr="000B34F0" w:rsidRDefault="006F12AE" w:rsidP="005C5764">
            <w:pPr>
              <w:widowControl w:val="0"/>
              <w:autoSpaceDE w:val="0"/>
              <w:autoSpaceDN w:val="0"/>
              <w:adjustRightInd w:val="0"/>
              <w:jc w:val="both"/>
              <w:rPr>
                <w:rFonts w:eastAsia="Times New Roman"/>
                <w:bCs/>
                <w:sz w:val="16"/>
                <w:szCs w:val="16"/>
              </w:rPr>
            </w:pPr>
            <w:r w:rsidRPr="000B34F0">
              <w:rPr>
                <w:rFonts w:eastAsia="Times New Roman"/>
                <w:bCs/>
                <w:sz w:val="16"/>
                <w:szCs w:val="16"/>
              </w:rPr>
              <w:t xml:space="preserve"> реинвестирование в оборот средств, направленных на инвестиционные цели не позднее 12 мес. до даты подачи заявки</w:t>
            </w:r>
          </w:p>
        </w:tc>
        <w:tc>
          <w:tcPr>
            <w:tcW w:w="308" w:type="pct"/>
            <w:vAlign w:val="center"/>
          </w:tcPr>
          <w:p w:rsidR="006F12AE" w:rsidRPr="000B34F0" w:rsidRDefault="006F12AE" w:rsidP="005C5764">
            <w:pPr>
              <w:widowControl w:val="0"/>
              <w:autoSpaceDE w:val="0"/>
              <w:autoSpaceDN w:val="0"/>
              <w:adjustRightInd w:val="0"/>
              <w:jc w:val="center"/>
              <w:rPr>
                <w:rFonts w:eastAsia="Times New Roman"/>
                <w:bCs/>
                <w:sz w:val="16"/>
                <w:szCs w:val="16"/>
              </w:rPr>
            </w:pPr>
            <w:r w:rsidRPr="000B34F0">
              <w:rPr>
                <w:rFonts w:eastAsia="Times New Roman"/>
                <w:bCs/>
                <w:sz w:val="16"/>
                <w:szCs w:val="16"/>
              </w:rPr>
              <w:t>от 3 до 36</w:t>
            </w:r>
          </w:p>
        </w:tc>
        <w:tc>
          <w:tcPr>
            <w:tcW w:w="369" w:type="pct"/>
            <w:vAlign w:val="center"/>
          </w:tcPr>
          <w:p w:rsidR="006F12AE" w:rsidRPr="000B34F0" w:rsidRDefault="006F12AE" w:rsidP="005C5764">
            <w:pPr>
              <w:widowControl w:val="0"/>
              <w:autoSpaceDE w:val="0"/>
              <w:autoSpaceDN w:val="0"/>
              <w:adjustRightInd w:val="0"/>
              <w:ind w:left="-110" w:right="-106" w:firstLine="8"/>
              <w:jc w:val="center"/>
              <w:rPr>
                <w:rFonts w:eastAsia="Times New Roman"/>
                <w:bCs/>
                <w:sz w:val="16"/>
                <w:szCs w:val="16"/>
              </w:rPr>
            </w:pPr>
            <w:r w:rsidRPr="000B34F0">
              <w:rPr>
                <w:rFonts w:eastAsia="Times New Roman"/>
                <w:bCs/>
                <w:sz w:val="16"/>
                <w:szCs w:val="16"/>
              </w:rPr>
              <w:t>от 300  до 3 000</w:t>
            </w:r>
          </w:p>
        </w:tc>
        <w:tc>
          <w:tcPr>
            <w:tcW w:w="410" w:type="pct"/>
          </w:tcPr>
          <w:p w:rsidR="006F12AE" w:rsidRPr="000B34F0" w:rsidRDefault="006F12AE" w:rsidP="005C5764">
            <w:pPr>
              <w:widowControl w:val="0"/>
              <w:autoSpaceDE w:val="0"/>
              <w:autoSpaceDN w:val="0"/>
              <w:adjustRightInd w:val="0"/>
              <w:ind w:left="-108" w:right="-109"/>
              <w:jc w:val="center"/>
              <w:rPr>
                <w:rFonts w:eastAsia="Times New Roman"/>
                <w:bCs/>
                <w:sz w:val="16"/>
                <w:szCs w:val="16"/>
              </w:rPr>
            </w:pPr>
            <w:r w:rsidRPr="000B34F0">
              <w:rPr>
                <w:rFonts w:eastAsia="Times New Roman"/>
                <w:bCs/>
                <w:sz w:val="16"/>
                <w:szCs w:val="16"/>
              </w:rPr>
              <w:t>до 12 мес.-9%,</w:t>
            </w:r>
          </w:p>
          <w:p w:rsidR="006F12AE" w:rsidRPr="000B34F0" w:rsidRDefault="006F12AE" w:rsidP="005C5764">
            <w:pPr>
              <w:widowControl w:val="0"/>
              <w:autoSpaceDE w:val="0"/>
              <w:autoSpaceDN w:val="0"/>
              <w:adjustRightInd w:val="0"/>
              <w:ind w:left="-108" w:right="-109"/>
              <w:jc w:val="center"/>
              <w:rPr>
                <w:rFonts w:eastAsia="Times New Roman"/>
                <w:bCs/>
                <w:sz w:val="16"/>
                <w:szCs w:val="16"/>
              </w:rPr>
            </w:pPr>
            <w:r w:rsidRPr="000B34F0">
              <w:rPr>
                <w:rFonts w:eastAsia="Times New Roman"/>
                <w:bCs/>
                <w:sz w:val="16"/>
                <w:szCs w:val="16"/>
              </w:rPr>
              <w:t xml:space="preserve"> </w:t>
            </w:r>
          </w:p>
          <w:p w:rsidR="006F12AE" w:rsidRPr="000B34F0" w:rsidRDefault="006F12AE" w:rsidP="005C5764">
            <w:pPr>
              <w:widowControl w:val="0"/>
              <w:autoSpaceDE w:val="0"/>
              <w:autoSpaceDN w:val="0"/>
              <w:adjustRightInd w:val="0"/>
              <w:ind w:left="-108" w:right="-109"/>
              <w:jc w:val="center"/>
              <w:rPr>
                <w:rFonts w:eastAsia="Times New Roman"/>
                <w:bCs/>
                <w:sz w:val="16"/>
                <w:szCs w:val="16"/>
              </w:rPr>
            </w:pPr>
            <w:r w:rsidRPr="000B34F0">
              <w:rPr>
                <w:rFonts w:eastAsia="Times New Roman"/>
                <w:bCs/>
                <w:sz w:val="16"/>
                <w:szCs w:val="16"/>
              </w:rPr>
              <w:t>от 12 до 24 мес.– 9,5%,</w:t>
            </w:r>
          </w:p>
          <w:p w:rsidR="006F12AE" w:rsidRPr="000B34F0" w:rsidRDefault="006F12AE" w:rsidP="005C5764">
            <w:pPr>
              <w:widowControl w:val="0"/>
              <w:autoSpaceDE w:val="0"/>
              <w:autoSpaceDN w:val="0"/>
              <w:adjustRightInd w:val="0"/>
              <w:ind w:left="-108" w:right="-109"/>
              <w:jc w:val="center"/>
              <w:rPr>
                <w:rFonts w:eastAsia="Times New Roman"/>
                <w:bCs/>
                <w:sz w:val="16"/>
                <w:szCs w:val="16"/>
              </w:rPr>
            </w:pPr>
            <w:r w:rsidRPr="000B34F0">
              <w:rPr>
                <w:rFonts w:eastAsia="Times New Roman"/>
                <w:bCs/>
                <w:sz w:val="16"/>
                <w:szCs w:val="16"/>
              </w:rPr>
              <w:t xml:space="preserve"> </w:t>
            </w:r>
          </w:p>
          <w:p w:rsidR="006F12AE" w:rsidRPr="000B34F0" w:rsidRDefault="006F12AE" w:rsidP="005C5764">
            <w:pPr>
              <w:widowControl w:val="0"/>
              <w:autoSpaceDE w:val="0"/>
              <w:autoSpaceDN w:val="0"/>
              <w:adjustRightInd w:val="0"/>
              <w:ind w:left="-108" w:right="-109"/>
              <w:jc w:val="center"/>
              <w:rPr>
                <w:rFonts w:eastAsia="Times New Roman"/>
                <w:bCs/>
                <w:sz w:val="16"/>
                <w:szCs w:val="16"/>
                <w:highlight w:val="yellow"/>
              </w:rPr>
            </w:pPr>
            <w:r w:rsidRPr="000B34F0">
              <w:rPr>
                <w:rFonts w:eastAsia="Times New Roman"/>
                <w:bCs/>
                <w:sz w:val="16"/>
                <w:szCs w:val="16"/>
              </w:rPr>
              <w:t>от 24 до 36 мес. - 10%</w:t>
            </w:r>
          </w:p>
        </w:tc>
        <w:tc>
          <w:tcPr>
            <w:tcW w:w="335" w:type="pct"/>
            <w:vAlign w:val="center"/>
          </w:tcPr>
          <w:p w:rsidR="006F12AE" w:rsidRPr="000B34F0" w:rsidRDefault="006F12AE" w:rsidP="005C5764">
            <w:pPr>
              <w:widowControl w:val="0"/>
              <w:autoSpaceDE w:val="0"/>
              <w:autoSpaceDN w:val="0"/>
              <w:adjustRightInd w:val="0"/>
              <w:ind w:left="-59" w:right="-177"/>
              <w:jc w:val="center"/>
              <w:rPr>
                <w:rFonts w:eastAsia="Times New Roman"/>
                <w:bCs/>
                <w:sz w:val="16"/>
                <w:szCs w:val="16"/>
              </w:rPr>
            </w:pPr>
            <w:r w:rsidRPr="000B34F0">
              <w:rPr>
                <w:rFonts w:eastAsia="Times New Roman"/>
                <w:bCs/>
                <w:sz w:val="16"/>
                <w:szCs w:val="16"/>
              </w:rPr>
              <w:t>7,5%</w:t>
            </w:r>
          </w:p>
        </w:tc>
        <w:tc>
          <w:tcPr>
            <w:tcW w:w="467" w:type="pct"/>
            <w:vMerge/>
          </w:tcPr>
          <w:p w:rsidR="006F12AE" w:rsidRPr="000B34F0" w:rsidRDefault="006F12AE" w:rsidP="005C5764">
            <w:pPr>
              <w:widowControl w:val="0"/>
              <w:autoSpaceDE w:val="0"/>
              <w:autoSpaceDN w:val="0"/>
              <w:adjustRightInd w:val="0"/>
              <w:jc w:val="center"/>
              <w:rPr>
                <w:rFonts w:eastAsia="Times New Roman"/>
                <w:bCs/>
                <w:kern w:val="32"/>
                <w:sz w:val="16"/>
                <w:szCs w:val="16"/>
              </w:rPr>
            </w:pPr>
          </w:p>
        </w:tc>
        <w:tc>
          <w:tcPr>
            <w:tcW w:w="999" w:type="pct"/>
            <w:vMerge/>
          </w:tcPr>
          <w:p w:rsidR="006F12AE" w:rsidRPr="003D7C44" w:rsidRDefault="006F12AE" w:rsidP="005C5764">
            <w:pPr>
              <w:widowControl w:val="0"/>
              <w:autoSpaceDE w:val="0"/>
              <w:autoSpaceDN w:val="0"/>
              <w:adjustRightInd w:val="0"/>
              <w:spacing w:line="240" w:lineRule="exact"/>
              <w:rPr>
                <w:rFonts w:eastAsia="Times New Roman"/>
                <w:b/>
                <w:bCs/>
                <w:kern w:val="32"/>
                <w:sz w:val="18"/>
                <w:szCs w:val="18"/>
              </w:rPr>
            </w:pPr>
          </w:p>
        </w:tc>
      </w:tr>
      <w:tr w:rsidR="006F12AE" w:rsidRPr="003D7C44" w:rsidTr="000B34F0">
        <w:trPr>
          <w:trHeight w:val="840"/>
        </w:trPr>
        <w:tc>
          <w:tcPr>
            <w:tcW w:w="454" w:type="pct"/>
            <w:vAlign w:val="center"/>
          </w:tcPr>
          <w:p w:rsidR="006F12AE" w:rsidRPr="000B34F0" w:rsidRDefault="006F12AE" w:rsidP="005C5764">
            <w:pPr>
              <w:widowControl w:val="0"/>
              <w:autoSpaceDE w:val="0"/>
              <w:autoSpaceDN w:val="0"/>
              <w:adjustRightInd w:val="0"/>
              <w:ind w:right="-108"/>
              <w:jc w:val="center"/>
              <w:rPr>
                <w:rFonts w:eastAsia="Times New Roman"/>
                <w:bCs/>
                <w:sz w:val="16"/>
                <w:szCs w:val="16"/>
              </w:rPr>
            </w:pPr>
            <w:r w:rsidRPr="000B34F0">
              <w:rPr>
                <w:rFonts w:eastAsia="Times New Roman"/>
                <w:bCs/>
                <w:sz w:val="16"/>
                <w:szCs w:val="16"/>
              </w:rPr>
              <w:lastRenderedPageBreak/>
              <w:t>«Старт»</w:t>
            </w:r>
          </w:p>
        </w:tc>
        <w:tc>
          <w:tcPr>
            <w:tcW w:w="1659" w:type="pct"/>
            <w:vAlign w:val="center"/>
          </w:tcPr>
          <w:p w:rsidR="006F12AE" w:rsidRPr="000B34F0" w:rsidRDefault="006F12AE" w:rsidP="005C5764">
            <w:pPr>
              <w:pStyle w:val="a7"/>
              <w:widowControl w:val="0"/>
              <w:autoSpaceDE w:val="0"/>
              <w:autoSpaceDN w:val="0"/>
              <w:adjustRightInd w:val="0"/>
              <w:rPr>
                <w:rFonts w:ascii="Times New Roman" w:hAnsi="Times New Roman"/>
                <w:bCs/>
                <w:sz w:val="16"/>
                <w:szCs w:val="16"/>
              </w:rPr>
            </w:pPr>
            <w:r w:rsidRPr="000B34F0">
              <w:rPr>
                <w:rFonts w:ascii="Times New Roman" w:hAnsi="Times New Roman"/>
                <w:bCs/>
                <w:sz w:val="16"/>
                <w:szCs w:val="16"/>
              </w:rPr>
              <w:t xml:space="preserve">- приобретение основных средств </w:t>
            </w:r>
          </w:p>
          <w:p w:rsidR="006F12AE" w:rsidRPr="000B34F0" w:rsidRDefault="006F12AE" w:rsidP="005C5764">
            <w:pPr>
              <w:pStyle w:val="a7"/>
              <w:widowControl w:val="0"/>
              <w:autoSpaceDE w:val="0"/>
              <w:autoSpaceDN w:val="0"/>
              <w:adjustRightInd w:val="0"/>
              <w:rPr>
                <w:rFonts w:ascii="Times New Roman" w:hAnsi="Times New Roman"/>
                <w:bCs/>
                <w:sz w:val="16"/>
                <w:szCs w:val="16"/>
              </w:rPr>
            </w:pPr>
            <w:r w:rsidRPr="000B34F0">
              <w:rPr>
                <w:rFonts w:ascii="Times New Roman" w:hAnsi="Times New Roman"/>
                <w:bCs/>
                <w:sz w:val="16"/>
                <w:szCs w:val="16"/>
              </w:rPr>
              <w:t xml:space="preserve">- строительство, ремонт, реконструкция зданий, сооружений, помещений; </w:t>
            </w:r>
          </w:p>
          <w:p w:rsidR="006F12AE" w:rsidRPr="000B34F0" w:rsidRDefault="006F12AE" w:rsidP="005C5764">
            <w:pPr>
              <w:pStyle w:val="a7"/>
              <w:widowControl w:val="0"/>
              <w:autoSpaceDE w:val="0"/>
              <w:autoSpaceDN w:val="0"/>
              <w:adjustRightInd w:val="0"/>
              <w:rPr>
                <w:rFonts w:ascii="Times New Roman" w:hAnsi="Times New Roman"/>
                <w:bCs/>
                <w:sz w:val="16"/>
                <w:szCs w:val="16"/>
              </w:rPr>
            </w:pPr>
            <w:r w:rsidRPr="000B34F0">
              <w:rPr>
                <w:rFonts w:ascii="Times New Roman" w:hAnsi="Times New Roman"/>
                <w:bCs/>
                <w:sz w:val="16"/>
                <w:szCs w:val="16"/>
              </w:rPr>
              <w:t xml:space="preserve">- пополнение оборотных средств (но не более 30% от суммы </w:t>
            </w:r>
            <w:proofErr w:type="spellStart"/>
            <w:r w:rsidRPr="000B34F0">
              <w:rPr>
                <w:rFonts w:ascii="Times New Roman" w:hAnsi="Times New Roman"/>
                <w:bCs/>
                <w:sz w:val="16"/>
                <w:szCs w:val="16"/>
              </w:rPr>
              <w:t>микрозайма</w:t>
            </w:r>
            <w:proofErr w:type="spellEnd"/>
            <w:r w:rsidRPr="000B34F0">
              <w:rPr>
                <w:rFonts w:ascii="Times New Roman" w:hAnsi="Times New Roman"/>
                <w:bCs/>
                <w:sz w:val="16"/>
                <w:szCs w:val="16"/>
              </w:rPr>
              <w:t>)</w:t>
            </w:r>
          </w:p>
        </w:tc>
        <w:tc>
          <w:tcPr>
            <w:tcW w:w="308" w:type="pct"/>
            <w:vAlign w:val="center"/>
          </w:tcPr>
          <w:p w:rsidR="006F12AE" w:rsidRPr="000B34F0" w:rsidRDefault="006F12AE" w:rsidP="005C5764">
            <w:pPr>
              <w:pStyle w:val="a7"/>
              <w:widowControl w:val="0"/>
              <w:autoSpaceDE w:val="0"/>
              <w:autoSpaceDN w:val="0"/>
              <w:adjustRightInd w:val="0"/>
              <w:jc w:val="center"/>
              <w:textAlignment w:val="center"/>
              <w:rPr>
                <w:rFonts w:ascii="Times New Roman" w:hAnsi="Times New Roman"/>
                <w:bCs/>
                <w:sz w:val="16"/>
                <w:szCs w:val="16"/>
              </w:rPr>
            </w:pPr>
            <w:r w:rsidRPr="000B34F0">
              <w:rPr>
                <w:rFonts w:ascii="Times New Roman" w:hAnsi="Times New Roman"/>
                <w:bCs/>
                <w:kern w:val="24"/>
                <w:sz w:val="16"/>
                <w:szCs w:val="16"/>
              </w:rPr>
              <w:t xml:space="preserve"> от 3 до  24</w:t>
            </w:r>
          </w:p>
        </w:tc>
        <w:tc>
          <w:tcPr>
            <w:tcW w:w="369" w:type="pct"/>
            <w:vAlign w:val="center"/>
          </w:tcPr>
          <w:p w:rsidR="006F12AE" w:rsidRPr="000B34F0" w:rsidRDefault="006F12AE" w:rsidP="005C5764">
            <w:pPr>
              <w:widowControl w:val="0"/>
              <w:autoSpaceDE w:val="0"/>
              <w:autoSpaceDN w:val="0"/>
              <w:adjustRightInd w:val="0"/>
              <w:jc w:val="center"/>
              <w:rPr>
                <w:rFonts w:eastAsia="Times New Roman"/>
                <w:bCs/>
                <w:sz w:val="16"/>
                <w:szCs w:val="16"/>
              </w:rPr>
            </w:pPr>
            <w:r w:rsidRPr="000B34F0">
              <w:rPr>
                <w:rFonts w:eastAsia="Times New Roman"/>
                <w:bCs/>
                <w:sz w:val="16"/>
                <w:szCs w:val="16"/>
              </w:rPr>
              <w:t>от 300 до</w:t>
            </w:r>
          </w:p>
          <w:p w:rsidR="006F12AE" w:rsidRPr="000B34F0" w:rsidRDefault="006F12AE" w:rsidP="005C5764">
            <w:pPr>
              <w:pStyle w:val="a7"/>
              <w:widowControl w:val="0"/>
              <w:autoSpaceDE w:val="0"/>
              <w:autoSpaceDN w:val="0"/>
              <w:adjustRightInd w:val="0"/>
              <w:ind w:left="-109" w:right="-175"/>
              <w:jc w:val="center"/>
              <w:textAlignment w:val="center"/>
              <w:rPr>
                <w:rFonts w:ascii="Times New Roman" w:hAnsi="Times New Roman"/>
                <w:bCs/>
                <w:sz w:val="16"/>
                <w:szCs w:val="16"/>
              </w:rPr>
            </w:pPr>
            <w:r w:rsidRPr="000B34F0">
              <w:rPr>
                <w:rFonts w:ascii="Times New Roman" w:hAnsi="Times New Roman"/>
                <w:bCs/>
                <w:sz w:val="16"/>
                <w:szCs w:val="16"/>
              </w:rPr>
              <w:t xml:space="preserve"> 1 000 </w:t>
            </w:r>
          </w:p>
        </w:tc>
        <w:tc>
          <w:tcPr>
            <w:tcW w:w="410" w:type="pct"/>
          </w:tcPr>
          <w:p w:rsidR="006F12AE" w:rsidRPr="000B34F0" w:rsidRDefault="006F12AE" w:rsidP="005C5764">
            <w:pPr>
              <w:pStyle w:val="a7"/>
              <w:widowControl w:val="0"/>
              <w:autoSpaceDE w:val="0"/>
              <w:autoSpaceDN w:val="0"/>
              <w:adjustRightInd w:val="0"/>
              <w:jc w:val="center"/>
              <w:textAlignment w:val="center"/>
              <w:rPr>
                <w:rFonts w:ascii="Times New Roman" w:hAnsi="Times New Roman"/>
                <w:bCs/>
                <w:sz w:val="16"/>
                <w:szCs w:val="16"/>
                <w:highlight w:val="yellow"/>
              </w:rPr>
            </w:pPr>
          </w:p>
        </w:tc>
        <w:tc>
          <w:tcPr>
            <w:tcW w:w="335" w:type="pct"/>
            <w:vAlign w:val="center"/>
          </w:tcPr>
          <w:p w:rsidR="006F12AE" w:rsidRPr="000B34F0" w:rsidRDefault="006F12AE" w:rsidP="005C5764">
            <w:pPr>
              <w:pStyle w:val="a7"/>
              <w:widowControl w:val="0"/>
              <w:autoSpaceDE w:val="0"/>
              <w:autoSpaceDN w:val="0"/>
              <w:adjustRightInd w:val="0"/>
              <w:ind w:left="-59" w:right="-107"/>
              <w:jc w:val="center"/>
              <w:textAlignment w:val="center"/>
              <w:rPr>
                <w:rFonts w:ascii="Times New Roman" w:hAnsi="Times New Roman"/>
                <w:bCs/>
                <w:sz w:val="16"/>
                <w:szCs w:val="16"/>
              </w:rPr>
            </w:pPr>
            <w:r w:rsidRPr="000B34F0">
              <w:rPr>
                <w:rFonts w:ascii="Times New Roman" w:hAnsi="Times New Roman"/>
                <w:bCs/>
                <w:sz w:val="16"/>
                <w:szCs w:val="16"/>
              </w:rPr>
              <w:t>7,25%</w:t>
            </w:r>
          </w:p>
        </w:tc>
        <w:tc>
          <w:tcPr>
            <w:tcW w:w="467" w:type="pct"/>
            <w:vAlign w:val="center"/>
          </w:tcPr>
          <w:p w:rsidR="006F12AE" w:rsidRPr="000B34F0" w:rsidRDefault="006F12AE" w:rsidP="005C5764">
            <w:pPr>
              <w:widowControl w:val="0"/>
              <w:autoSpaceDE w:val="0"/>
              <w:autoSpaceDN w:val="0"/>
              <w:adjustRightInd w:val="0"/>
              <w:contextualSpacing/>
              <w:rPr>
                <w:rFonts w:eastAsia="Times New Roman"/>
                <w:bCs/>
                <w:sz w:val="16"/>
                <w:szCs w:val="16"/>
              </w:rPr>
            </w:pPr>
            <w:r w:rsidRPr="000B34F0">
              <w:rPr>
                <w:rFonts w:eastAsia="Times New Roman"/>
                <w:bCs/>
                <w:sz w:val="16"/>
                <w:szCs w:val="16"/>
              </w:rPr>
              <w:t>от  6 до 12 мес.</w:t>
            </w:r>
          </w:p>
        </w:tc>
        <w:tc>
          <w:tcPr>
            <w:tcW w:w="999" w:type="pct"/>
            <w:vMerge/>
          </w:tcPr>
          <w:p w:rsidR="006F12AE" w:rsidRPr="003D7C44" w:rsidRDefault="006F12AE" w:rsidP="005C5764">
            <w:pPr>
              <w:widowControl w:val="0"/>
              <w:autoSpaceDE w:val="0"/>
              <w:autoSpaceDN w:val="0"/>
              <w:adjustRightInd w:val="0"/>
              <w:spacing w:line="240" w:lineRule="exact"/>
              <w:jc w:val="center"/>
              <w:rPr>
                <w:rFonts w:eastAsia="Times New Roman"/>
                <w:b/>
                <w:bCs/>
                <w:kern w:val="32"/>
                <w:sz w:val="18"/>
                <w:szCs w:val="18"/>
              </w:rPr>
            </w:pPr>
          </w:p>
        </w:tc>
      </w:tr>
    </w:tbl>
    <w:p w:rsidR="006F12AE" w:rsidRPr="00CC2E0F" w:rsidRDefault="00AB64D9" w:rsidP="006F12AE">
      <w:pPr>
        <w:ind w:right="27" w:firstLine="709"/>
        <w:jc w:val="both"/>
      </w:pPr>
      <w:r w:rsidRPr="003D7C44">
        <w:t>Как видно из таблицы</w:t>
      </w:r>
      <w:r w:rsidR="004D4840">
        <w:t>,</w:t>
      </w:r>
      <w:r w:rsidRPr="003D7C44">
        <w:t xml:space="preserve"> осуществлялось </w:t>
      </w:r>
      <w:r w:rsidR="00E738C8" w:rsidRPr="003D7C44">
        <w:t>кредитование СМСП до 3 млн. руб. на срок до 3 лет</w:t>
      </w:r>
      <w:r w:rsidRPr="003D7C44">
        <w:t xml:space="preserve">.  При выдаче </w:t>
      </w:r>
      <w:proofErr w:type="spellStart"/>
      <w:r w:rsidRPr="003D7C44">
        <w:t>микрозаймов</w:t>
      </w:r>
      <w:proofErr w:type="spellEnd"/>
      <w:r w:rsidRPr="003D7C44">
        <w:t xml:space="preserve"> СМСП в</w:t>
      </w:r>
      <w:r w:rsidR="006F12AE" w:rsidRPr="003D7C44">
        <w:t xml:space="preserve"> проверенном периоде Фондом </w:t>
      </w:r>
      <w:proofErr w:type="spellStart"/>
      <w:r w:rsidR="006F12AE" w:rsidRPr="003D7C44">
        <w:t>микрофинансирования</w:t>
      </w:r>
      <w:proofErr w:type="spellEnd"/>
      <w:r w:rsidR="006F12AE" w:rsidRPr="003D7C44">
        <w:t xml:space="preserve"> применялась ставка в пределах маржи, предусмотренной</w:t>
      </w:r>
      <w:r w:rsidR="006F12AE">
        <w:t xml:space="preserve"> п.2.2.13 Приказа Минэкономразвития №167, согласно которому она</w:t>
      </w:r>
      <w:r w:rsidR="006F12AE" w:rsidRPr="005C6CA7">
        <w:t xml:space="preserve"> не должна превышать размер ключевой ставки Банка России, установленной на начало календарного года, в расчете на один год</w:t>
      </w:r>
      <w:r w:rsidR="006F12AE">
        <w:t>.</w:t>
      </w:r>
      <w:r w:rsidR="006F12AE" w:rsidRPr="00C35387">
        <w:t xml:space="preserve"> </w:t>
      </w:r>
      <w:r w:rsidR="006F12AE">
        <w:t>С</w:t>
      </w:r>
      <w:r w:rsidR="006F12AE" w:rsidRPr="00CC2E0F">
        <w:t>редневзвешенная ставка</w:t>
      </w:r>
      <w:r w:rsidR="006F12AE">
        <w:t xml:space="preserve"> по предоставляемым займам за 2017 год составила 9,96%, за 1 квартал 2018 года – 7,53 процента. </w:t>
      </w:r>
    </w:p>
    <w:p w:rsidR="003D7E9F" w:rsidRDefault="003D7E9F" w:rsidP="005C5764">
      <w:pPr>
        <w:autoSpaceDE w:val="0"/>
        <w:autoSpaceDN w:val="0"/>
        <w:adjustRightInd w:val="0"/>
        <w:ind w:firstLine="680"/>
        <w:jc w:val="both"/>
      </w:pPr>
      <w:proofErr w:type="gramStart"/>
      <w:r w:rsidRPr="003D7E9F">
        <w:t>Соглашением и Порядком</w:t>
      </w:r>
      <w:r w:rsidR="003A39A9" w:rsidRPr="003D7E9F">
        <w:t xml:space="preserve"> определения объема и предоставления субсидии в виде имущественного взноса Фонду </w:t>
      </w:r>
      <w:proofErr w:type="spellStart"/>
      <w:r w:rsidR="003A39A9" w:rsidRPr="003D7E9F">
        <w:t>микрофинансирования</w:t>
      </w:r>
      <w:proofErr w:type="spellEnd"/>
      <w:r w:rsidR="003A39A9" w:rsidRPr="003D7E9F">
        <w:t xml:space="preserve"> предпринимательства Волгоградской области (</w:t>
      </w:r>
      <w:proofErr w:type="spellStart"/>
      <w:r w:rsidR="003A39A9" w:rsidRPr="003D7E9F">
        <w:t>микрокредитной</w:t>
      </w:r>
      <w:proofErr w:type="spellEnd"/>
      <w:r w:rsidR="003A39A9" w:rsidRPr="003D7E9F">
        <w:t xml:space="preserve"> компании) на предоставление </w:t>
      </w:r>
      <w:proofErr w:type="spellStart"/>
      <w:r w:rsidR="003A39A9" w:rsidRPr="003D7E9F">
        <w:t>микрозаймов</w:t>
      </w:r>
      <w:proofErr w:type="spellEnd"/>
      <w:r w:rsidR="003A39A9" w:rsidRPr="003D7E9F">
        <w:t xml:space="preserve"> СМСП и организациям инфраструктуры поддержки малого и среднего предпринимательства, утвержденн</w:t>
      </w:r>
      <w:r w:rsidRPr="003D7E9F">
        <w:t>ым</w:t>
      </w:r>
      <w:r w:rsidR="003A39A9" w:rsidRPr="003D7E9F">
        <w:t xml:space="preserve"> постановлением Администрации Волгоградской области от 20.09.2017 №497-п (далее - Постановление № 497-п),</w:t>
      </w:r>
      <w:r>
        <w:rPr>
          <w:rFonts w:eastAsia="Times New Roman"/>
        </w:rPr>
        <w:t xml:space="preserve"> </w:t>
      </w:r>
      <w:r w:rsidR="003A39A9">
        <w:t xml:space="preserve">установлены </w:t>
      </w:r>
      <w:r w:rsidR="003A39A9" w:rsidRPr="003D7E9F">
        <w:t xml:space="preserve">4 показателя результативности использования субсидии, </w:t>
      </w:r>
      <w:r>
        <w:t xml:space="preserve">частично информация об исполнении которых приведена в </w:t>
      </w:r>
      <w:r w:rsidR="004D4840" w:rsidRPr="00410C67">
        <w:rPr>
          <w:color w:val="365F91" w:themeColor="accent1" w:themeShade="BF"/>
        </w:rPr>
        <w:t xml:space="preserve">приложениях № </w:t>
      </w:r>
      <w:r w:rsidR="00AA48BE">
        <w:rPr>
          <w:color w:val="365F91" w:themeColor="accent1" w:themeShade="BF"/>
        </w:rPr>
        <w:t>5</w:t>
      </w:r>
      <w:r w:rsidRPr="00410C67">
        <w:rPr>
          <w:color w:val="365F91" w:themeColor="accent1" w:themeShade="BF"/>
        </w:rPr>
        <w:t xml:space="preserve"> и </w:t>
      </w:r>
      <w:r w:rsidR="00AA48BE">
        <w:rPr>
          <w:color w:val="365F91" w:themeColor="accent1" w:themeShade="BF"/>
        </w:rPr>
        <w:t>7</w:t>
      </w:r>
      <w:r w:rsidRPr="00410C67">
        <w:t xml:space="preserve"> к</w:t>
      </w:r>
      <w:proofErr w:type="gramEnd"/>
      <w:r w:rsidRPr="00410C67">
        <w:t xml:space="preserve"> настоящему отчету.</w:t>
      </w:r>
    </w:p>
    <w:p w:rsidR="00F479CD" w:rsidRDefault="00F479CD" w:rsidP="005C5764">
      <w:pPr>
        <w:pStyle w:val="ConsPlusNormal"/>
        <w:ind w:firstLine="680"/>
        <w:jc w:val="both"/>
        <w:rPr>
          <w:rFonts w:ascii="Times New Roman" w:eastAsiaTheme="minorHAnsi" w:hAnsi="Times New Roman" w:cs="Times New Roman"/>
          <w:sz w:val="24"/>
          <w:szCs w:val="24"/>
          <w:lang w:eastAsia="en-US"/>
        </w:rPr>
      </w:pPr>
      <w:r>
        <w:rPr>
          <w:rFonts w:ascii="Times New Roman" w:hAnsi="Times New Roman" w:cs="Times New Roman"/>
          <w:sz w:val="24"/>
          <w:szCs w:val="24"/>
        </w:rPr>
        <w:t>В основном установленные показатели за 2017 год перевыполнены за исключением показателя «</w:t>
      </w:r>
      <w:r w:rsidRPr="00044E2D">
        <w:rPr>
          <w:rFonts w:ascii="Times New Roman" w:hAnsi="Times New Roman"/>
          <w:sz w:val="24"/>
          <w:szCs w:val="24"/>
        </w:rPr>
        <w:t>количество субъектов предпринимательства, получивших господдержку</w:t>
      </w:r>
      <w:r>
        <w:rPr>
          <w:rFonts w:ascii="Times New Roman" w:hAnsi="Times New Roman"/>
          <w:sz w:val="24"/>
          <w:szCs w:val="24"/>
        </w:rPr>
        <w:t xml:space="preserve">», в связи с предоставлением </w:t>
      </w:r>
      <w:proofErr w:type="spellStart"/>
      <w:r>
        <w:rPr>
          <w:rFonts w:ascii="Times New Roman" w:hAnsi="Times New Roman"/>
          <w:sz w:val="24"/>
          <w:szCs w:val="24"/>
        </w:rPr>
        <w:t>микрозаймов</w:t>
      </w:r>
      <w:proofErr w:type="spellEnd"/>
      <w:r>
        <w:rPr>
          <w:rFonts w:ascii="Times New Roman" w:hAnsi="Times New Roman"/>
          <w:sz w:val="24"/>
          <w:szCs w:val="24"/>
        </w:rPr>
        <w:t xml:space="preserve"> в декабре 2017 года. С учетом выда</w:t>
      </w:r>
      <w:r w:rsidR="008B08B9">
        <w:rPr>
          <w:rFonts w:ascii="Times New Roman" w:hAnsi="Times New Roman"/>
          <w:sz w:val="24"/>
          <w:szCs w:val="24"/>
        </w:rPr>
        <w:t xml:space="preserve">нных </w:t>
      </w:r>
      <w:r>
        <w:rPr>
          <w:rFonts w:ascii="Times New Roman" w:hAnsi="Times New Roman"/>
          <w:sz w:val="24"/>
          <w:szCs w:val="24"/>
        </w:rPr>
        <w:t>займов в 1 квартале 2018 года невыполненный за 2017 год показатель по состоянию на 01.04.2018 перевыполнен и составил 24 ед. при плане 20 ед.</w:t>
      </w:r>
      <w:r w:rsidR="00734353">
        <w:rPr>
          <w:rFonts w:ascii="Times New Roman" w:hAnsi="Times New Roman"/>
          <w:sz w:val="24"/>
          <w:szCs w:val="24"/>
        </w:rPr>
        <w:t xml:space="preserve"> (</w:t>
      </w:r>
      <w:r w:rsidRPr="00F64EAA">
        <w:rPr>
          <w:rFonts w:ascii="Times New Roman" w:hAnsi="Times New Roman" w:cs="Times New Roman"/>
          <w:sz w:val="24"/>
          <w:szCs w:val="24"/>
        </w:rPr>
        <w:t>Постановлени</w:t>
      </w:r>
      <w:r w:rsidR="00734353">
        <w:rPr>
          <w:rFonts w:ascii="Times New Roman" w:hAnsi="Times New Roman" w:cs="Times New Roman"/>
          <w:sz w:val="24"/>
          <w:szCs w:val="24"/>
        </w:rPr>
        <w:t>ем</w:t>
      </w:r>
      <w:r w:rsidRPr="00F64EAA">
        <w:rPr>
          <w:rFonts w:ascii="Times New Roman" w:hAnsi="Times New Roman" w:cs="Times New Roman"/>
          <w:sz w:val="24"/>
          <w:szCs w:val="24"/>
        </w:rPr>
        <w:t xml:space="preserve"> №497-п</w:t>
      </w:r>
      <w:r>
        <w:rPr>
          <w:rFonts w:ascii="Times New Roman" w:hAnsi="Times New Roman" w:cs="Times New Roman"/>
          <w:sz w:val="24"/>
          <w:szCs w:val="24"/>
        </w:rPr>
        <w:t xml:space="preserve"> допускается достижение показателей </w:t>
      </w:r>
      <w:r w:rsidRPr="00731014">
        <w:rPr>
          <w:rFonts w:ascii="Times New Roman" w:eastAsiaTheme="minorHAnsi" w:hAnsi="Times New Roman" w:cs="Times New Roman"/>
          <w:sz w:val="24"/>
          <w:szCs w:val="24"/>
          <w:lang w:eastAsia="en-US"/>
        </w:rPr>
        <w:t>результативности использования субсидии</w:t>
      </w:r>
      <w:r w:rsidRPr="00F479CD">
        <w:rPr>
          <w:rFonts w:ascii="Times New Roman" w:eastAsiaTheme="minorHAnsi" w:hAnsi="Times New Roman" w:cs="Times New Roman"/>
          <w:sz w:val="24"/>
          <w:szCs w:val="24"/>
          <w:lang w:eastAsia="en-US"/>
        </w:rPr>
        <w:t xml:space="preserve"> </w:t>
      </w:r>
      <w:r w:rsidRPr="00731014">
        <w:rPr>
          <w:rFonts w:ascii="Times New Roman" w:eastAsiaTheme="minorHAnsi" w:hAnsi="Times New Roman" w:cs="Times New Roman"/>
          <w:sz w:val="24"/>
          <w:szCs w:val="24"/>
          <w:lang w:eastAsia="en-US"/>
        </w:rPr>
        <w:t>в году, следующем за годом предоставления субсидии</w:t>
      </w:r>
      <w:r>
        <w:rPr>
          <w:rFonts w:ascii="Times New Roman" w:eastAsiaTheme="minorHAnsi" w:hAnsi="Times New Roman" w:cs="Times New Roman"/>
          <w:sz w:val="24"/>
          <w:szCs w:val="24"/>
          <w:lang w:eastAsia="en-US"/>
        </w:rPr>
        <w:t xml:space="preserve">, </w:t>
      </w:r>
      <w:r w:rsidRPr="00731014">
        <w:rPr>
          <w:rFonts w:ascii="Times New Roman" w:eastAsiaTheme="minorHAnsi" w:hAnsi="Times New Roman" w:cs="Times New Roman"/>
          <w:sz w:val="24"/>
          <w:szCs w:val="24"/>
          <w:lang w:eastAsia="en-US"/>
        </w:rPr>
        <w:t>в срок до первой даты представления отчетности</w:t>
      </w:r>
      <w:r>
        <w:rPr>
          <w:rFonts w:ascii="Times New Roman" w:eastAsiaTheme="minorHAnsi" w:hAnsi="Times New Roman" w:cs="Times New Roman"/>
          <w:sz w:val="24"/>
          <w:szCs w:val="24"/>
          <w:lang w:eastAsia="en-US"/>
        </w:rPr>
        <w:t>)</w:t>
      </w:r>
      <w:r w:rsidR="002530EF">
        <w:rPr>
          <w:rFonts w:ascii="Times New Roman" w:eastAsiaTheme="minorHAnsi" w:hAnsi="Times New Roman" w:cs="Times New Roman"/>
          <w:sz w:val="24"/>
          <w:szCs w:val="24"/>
          <w:lang w:eastAsia="en-US"/>
        </w:rPr>
        <w:t>.</w:t>
      </w:r>
    </w:p>
    <w:p w:rsidR="005C5764" w:rsidRPr="00E0148F" w:rsidRDefault="00E0148F" w:rsidP="005C5764">
      <w:pPr>
        <w:ind w:firstLine="680"/>
        <w:jc w:val="both"/>
      </w:pPr>
      <w:r w:rsidRPr="000248D6">
        <w:t xml:space="preserve">Фактические значения показателей </w:t>
      </w:r>
      <w:r w:rsidR="002530EF" w:rsidRPr="000248D6">
        <w:t xml:space="preserve">результативности </w:t>
      </w:r>
      <w:r w:rsidR="005C5764" w:rsidRPr="000248D6">
        <w:t xml:space="preserve">по количеству вновь </w:t>
      </w:r>
      <w:r w:rsidR="005C5764" w:rsidRPr="000248D6">
        <w:rPr>
          <w:rFonts w:eastAsiaTheme="minorHAnsi"/>
          <w:lang w:eastAsia="en-US"/>
        </w:rPr>
        <w:t>созданных рабочих мест, приросту среднесписочной численности работников, обороту СМСП, получивших господдержку, в постоянных ценах по отношению к показателю 2014 года</w:t>
      </w:r>
      <w:r w:rsidR="005C5764" w:rsidRPr="000248D6">
        <w:t xml:space="preserve"> </w:t>
      </w:r>
      <w:r w:rsidRPr="000248D6">
        <w:t>подлежат сомнению, так как они не подтверждались какими-либо документами. П</w:t>
      </w:r>
      <w:r w:rsidR="008B08B9" w:rsidRPr="000248D6">
        <w:t>редоставление</w:t>
      </w:r>
      <w:r w:rsidR="005C5764" w:rsidRPr="000248D6">
        <w:t xml:space="preserve"> документов, подтверждающих значения показателей, </w:t>
      </w:r>
      <w:r w:rsidR="008B08B9" w:rsidRPr="000248D6">
        <w:t>Постановлением</w:t>
      </w:r>
      <w:r w:rsidR="008B08B9">
        <w:t xml:space="preserve"> № 497-п</w:t>
      </w:r>
      <w:r w:rsidR="005C5764">
        <w:t xml:space="preserve"> не предусмотрено</w:t>
      </w:r>
      <w:r>
        <w:t xml:space="preserve">, в  </w:t>
      </w:r>
      <w:r w:rsidR="00A17559" w:rsidRPr="00E0148F">
        <w:t xml:space="preserve">результате </w:t>
      </w:r>
      <w:r w:rsidR="00A17559" w:rsidRPr="00E0148F">
        <w:rPr>
          <w:rFonts w:eastAsia="Times New Roman"/>
          <w:bCs/>
        </w:rPr>
        <w:t>оценить достоверность показателей не представляется возможным.</w:t>
      </w:r>
    </w:p>
    <w:p w:rsidR="002530EF" w:rsidRDefault="00222A97" w:rsidP="005C5764">
      <w:pPr>
        <w:pStyle w:val="ConsPlusNormal"/>
        <w:ind w:firstLine="680"/>
        <w:jc w:val="both"/>
        <w:rPr>
          <w:rFonts w:ascii="Times New Roman" w:eastAsiaTheme="minorHAnsi" w:hAnsi="Times New Roman" w:cs="Times New Roman"/>
          <w:sz w:val="24"/>
          <w:szCs w:val="24"/>
          <w:lang w:eastAsia="en-US"/>
        </w:rPr>
      </w:pPr>
      <w:r>
        <w:rPr>
          <w:rFonts w:ascii="Times New Roman" w:hAnsi="Times New Roman" w:cs="Times New Roman"/>
          <w:sz w:val="24"/>
          <w:szCs w:val="24"/>
        </w:rPr>
        <w:t xml:space="preserve">Также следует отметить, что </w:t>
      </w:r>
      <w:r w:rsidRPr="000248D6">
        <w:rPr>
          <w:rFonts w:ascii="Times New Roman" w:hAnsi="Times New Roman" w:cs="Times New Roman"/>
          <w:sz w:val="24"/>
          <w:szCs w:val="24"/>
        </w:rPr>
        <w:t xml:space="preserve">показатели результативности использования субсидии в Соглашении №1ФМП были установлены </w:t>
      </w:r>
      <w:proofErr w:type="spellStart"/>
      <w:r w:rsidRPr="000248D6">
        <w:rPr>
          <w:rFonts w:ascii="Times New Roman" w:hAnsi="Times New Roman" w:cs="Times New Roman"/>
          <w:sz w:val="24"/>
          <w:szCs w:val="24"/>
        </w:rPr>
        <w:t>Облкомэкономразвития</w:t>
      </w:r>
      <w:proofErr w:type="spellEnd"/>
      <w:r w:rsidRPr="00982F7E">
        <w:rPr>
          <w:rFonts w:ascii="Times New Roman" w:hAnsi="Times New Roman" w:cs="Times New Roman"/>
          <w:sz w:val="24"/>
          <w:szCs w:val="24"/>
        </w:rPr>
        <w:t xml:space="preserve"> только на 2017 год, </w:t>
      </w:r>
      <w:r w:rsidRPr="000248D6">
        <w:rPr>
          <w:rFonts w:ascii="Times New Roman" w:hAnsi="Times New Roman" w:cs="Times New Roman"/>
          <w:sz w:val="24"/>
          <w:szCs w:val="24"/>
        </w:rPr>
        <w:t>на последующие годы установлены не были ни в соглашении, ни в ином нормативном ил</w:t>
      </w:r>
      <w:r w:rsidRPr="00CD30F8">
        <w:rPr>
          <w:rFonts w:ascii="Times New Roman" w:hAnsi="Times New Roman" w:cs="Times New Roman"/>
          <w:sz w:val="24"/>
          <w:szCs w:val="24"/>
        </w:rPr>
        <w:t>и локальном правовом акте.</w:t>
      </w:r>
      <w:r>
        <w:rPr>
          <w:rFonts w:ascii="Times New Roman" w:hAnsi="Times New Roman" w:cs="Times New Roman"/>
          <w:sz w:val="24"/>
          <w:szCs w:val="24"/>
        </w:rPr>
        <w:t xml:space="preserve"> При этом </w:t>
      </w:r>
      <w:r w:rsidR="002530EF">
        <w:rPr>
          <w:rFonts w:ascii="Times New Roman" w:hAnsi="Times New Roman"/>
          <w:sz w:val="24"/>
          <w:szCs w:val="24"/>
        </w:rPr>
        <w:t>в соответствии с Постановлени</w:t>
      </w:r>
      <w:r w:rsidR="00A17559">
        <w:rPr>
          <w:rFonts w:ascii="Times New Roman" w:hAnsi="Times New Roman"/>
          <w:sz w:val="24"/>
          <w:szCs w:val="24"/>
        </w:rPr>
        <w:t>ем</w:t>
      </w:r>
      <w:r w:rsidR="002530EF">
        <w:rPr>
          <w:rFonts w:ascii="Times New Roman" w:hAnsi="Times New Roman"/>
          <w:sz w:val="24"/>
          <w:szCs w:val="24"/>
        </w:rPr>
        <w:t xml:space="preserve"> №497-п</w:t>
      </w:r>
      <w:r w:rsidR="002530EF" w:rsidRPr="00044E2D">
        <w:rPr>
          <w:rFonts w:ascii="Times New Roman" w:hAnsi="Times New Roman"/>
          <w:sz w:val="24"/>
          <w:szCs w:val="24"/>
        </w:rPr>
        <w:t xml:space="preserve"> </w:t>
      </w:r>
      <w:r w:rsidR="002530EF" w:rsidRPr="004D2AD3">
        <w:rPr>
          <w:rFonts w:ascii="Times New Roman" w:hAnsi="Times New Roman"/>
          <w:sz w:val="24"/>
          <w:szCs w:val="24"/>
        </w:rPr>
        <w:t xml:space="preserve">Фонд </w:t>
      </w:r>
      <w:proofErr w:type="spellStart"/>
      <w:r w:rsidR="002530EF" w:rsidRPr="004D2AD3">
        <w:rPr>
          <w:rFonts w:ascii="Times New Roman" w:hAnsi="Times New Roman"/>
          <w:sz w:val="24"/>
          <w:szCs w:val="24"/>
        </w:rPr>
        <w:t>микрофинансирования</w:t>
      </w:r>
      <w:proofErr w:type="spellEnd"/>
      <w:r w:rsidR="002530EF" w:rsidRPr="004D2AD3">
        <w:rPr>
          <w:rFonts w:ascii="Times New Roman" w:hAnsi="Times New Roman"/>
          <w:sz w:val="24"/>
          <w:szCs w:val="24"/>
        </w:rPr>
        <w:t xml:space="preserve"> </w:t>
      </w:r>
      <w:r w:rsidR="002530EF">
        <w:rPr>
          <w:rFonts w:ascii="Times New Roman" w:hAnsi="Times New Roman"/>
          <w:sz w:val="24"/>
          <w:szCs w:val="24"/>
        </w:rPr>
        <w:t>должен о</w:t>
      </w:r>
      <w:r w:rsidR="002530EF" w:rsidRPr="00044E2D">
        <w:rPr>
          <w:rFonts w:ascii="Times New Roman" w:hAnsi="Times New Roman"/>
          <w:sz w:val="24"/>
          <w:szCs w:val="24"/>
        </w:rPr>
        <w:t>беспеч</w:t>
      </w:r>
      <w:r w:rsidR="002530EF">
        <w:rPr>
          <w:rFonts w:ascii="Times New Roman" w:hAnsi="Times New Roman"/>
          <w:sz w:val="24"/>
          <w:szCs w:val="24"/>
        </w:rPr>
        <w:t xml:space="preserve">ить </w:t>
      </w:r>
      <w:r w:rsidR="002530EF" w:rsidRPr="00044E2D">
        <w:rPr>
          <w:rFonts w:ascii="Times New Roman" w:hAnsi="Times New Roman"/>
          <w:sz w:val="24"/>
          <w:szCs w:val="24"/>
        </w:rPr>
        <w:t>достижени</w:t>
      </w:r>
      <w:r w:rsidR="002530EF">
        <w:rPr>
          <w:rFonts w:ascii="Times New Roman" w:hAnsi="Times New Roman"/>
          <w:sz w:val="24"/>
          <w:szCs w:val="24"/>
        </w:rPr>
        <w:t>е</w:t>
      </w:r>
      <w:r w:rsidR="002530EF" w:rsidRPr="00044E2D">
        <w:rPr>
          <w:rFonts w:ascii="Times New Roman" w:hAnsi="Times New Roman"/>
          <w:sz w:val="24"/>
          <w:szCs w:val="24"/>
        </w:rPr>
        <w:t xml:space="preserve"> значений показателей результативности использования субсидии, устанавливаемых </w:t>
      </w:r>
      <w:proofErr w:type="spellStart"/>
      <w:r w:rsidR="002530EF">
        <w:rPr>
          <w:rFonts w:ascii="Times New Roman" w:hAnsi="Times New Roman"/>
          <w:sz w:val="24"/>
          <w:szCs w:val="24"/>
        </w:rPr>
        <w:t>Облкомэкономразвития</w:t>
      </w:r>
      <w:proofErr w:type="spellEnd"/>
      <w:r w:rsidR="002530EF">
        <w:rPr>
          <w:rFonts w:ascii="Times New Roman" w:hAnsi="Times New Roman"/>
          <w:sz w:val="24"/>
          <w:szCs w:val="24"/>
        </w:rPr>
        <w:t xml:space="preserve"> </w:t>
      </w:r>
      <w:r w:rsidR="002530EF" w:rsidRPr="00044E2D">
        <w:rPr>
          <w:rFonts w:ascii="Times New Roman" w:hAnsi="Times New Roman"/>
          <w:sz w:val="24"/>
          <w:szCs w:val="24"/>
        </w:rPr>
        <w:t xml:space="preserve">в соглашении о предоставлении субсидии, </w:t>
      </w:r>
      <w:r w:rsidR="002530EF" w:rsidRPr="00982F7E">
        <w:rPr>
          <w:rFonts w:ascii="Times New Roman" w:hAnsi="Times New Roman" w:cs="Times New Roman"/>
          <w:sz w:val="24"/>
          <w:szCs w:val="24"/>
        </w:rPr>
        <w:t xml:space="preserve">как по состоянию на 31 декабря года получения субсидии, так и каждого последующего года. </w:t>
      </w:r>
    </w:p>
    <w:p w:rsidR="00734353" w:rsidRDefault="000540DA" w:rsidP="00734353">
      <w:pPr>
        <w:pStyle w:val="ConsPlusNormal"/>
        <w:ind w:firstLine="708"/>
        <w:jc w:val="both"/>
        <w:rPr>
          <w:rFonts w:ascii="Times New Roman" w:hAnsi="Times New Roman" w:cs="Times New Roman"/>
          <w:sz w:val="24"/>
          <w:szCs w:val="24"/>
        </w:rPr>
      </w:pPr>
      <w:r w:rsidRPr="00992988">
        <w:rPr>
          <w:rFonts w:ascii="Times New Roman" w:hAnsi="Times New Roman" w:cs="Times New Roman"/>
          <w:sz w:val="24"/>
          <w:szCs w:val="24"/>
        </w:rPr>
        <w:t xml:space="preserve">В нарушение п. 2.2.18 Приказа Минэкономразвития №167 </w:t>
      </w:r>
      <w:r w:rsidRPr="000248D6">
        <w:rPr>
          <w:rFonts w:ascii="Times New Roman" w:hAnsi="Times New Roman" w:cs="Times New Roman"/>
          <w:sz w:val="24"/>
          <w:szCs w:val="24"/>
        </w:rPr>
        <w:t xml:space="preserve">оценка деятельности Фонда </w:t>
      </w:r>
      <w:proofErr w:type="spellStart"/>
      <w:r w:rsidRPr="000248D6">
        <w:rPr>
          <w:rFonts w:ascii="Times New Roman" w:hAnsi="Times New Roman" w:cs="Times New Roman"/>
          <w:sz w:val="24"/>
          <w:szCs w:val="24"/>
        </w:rPr>
        <w:t>микрофинансирования</w:t>
      </w:r>
      <w:proofErr w:type="spellEnd"/>
      <w:r w:rsidRPr="000248D6">
        <w:rPr>
          <w:rFonts w:ascii="Times New Roman" w:hAnsi="Times New Roman" w:cs="Times New Roman"/>
          <w:sz w:val="24"/>
          <w:szCs w:val="24"/>
        </w:rPr>
        <w:t xml:space="preserve">  по показателям, указанным в пунктах 2.2.19. – 2.2.24 указанного приказа, за 2017 год не проводилась. </w:t>
      </w:r>
      <w:r w:rsidR="00734353" w:rsidRPr="00222A97">
        <w:rPr>
          <w:rFonts w:ascii="Times New Roman" w:hAnsi="Times New Roman" w:cs="Times New Roman"/>
          <w:sz w:val="24"/>
          <w:szCs w:val="24"/>
        </w:rPr>
        <w:t>Постановлением № 497-п оценка эффективности по показателям, указанным в Приказе Минэкономразвития № 167, не предусмотрена</w:t>
      </w:r>
      <w:r w:rsidR="00734353">
        <w:rPr>
          <w:rFonts w:ascii="Times New Roman" w:hAnsi="Times New Roman" w:cs="Times New Roman"/>
          <w:sz w:val="24"/>
          <w:szCs w:val="24"/>
        </w:rPr>
        <w:t>.</w:t>
      </w:r>
      <w:r w:rsidR="00734353" w:rsidRPr="00734353">
        <w:rPr>
          <w:rFonts w:ascii="Times New Roman" w:hAnsi="Times New Roman" w:cs="Times New Roman"/>
          <w:sz w:val="24"/>
          <w:szCs w:val="24"/>
        </w:rPr>
        <w:t xml:space="preserve"> </w:t>
      </w:r>
    </w:p>
    <w:p w:rsidR="003B324E" w:rsidRPr="00992988" w:rsidRDefault="003B324E" w:rsidP="003B324E">
      <w:pPr>
        <w:pStyle w:val="ConsPlusNormal"/>
        <w:ind w:firstLine="708"/>
        <w:jc w:val="both"/>
        <w:rPr>
          <w:rFonts w:ascii="Times New Roman" w:hAnsi="Times New Roman" w:cs="Times New Roman"/>
          <w:sz w:val="24"/>
          <w:szCs w:val="24"/>
        </w:rPr>
      </w:pPr>
      <w:r w:rsidRPr="00992988">
        <w:rPr>
          <w:rFonts w:ascii="Times New Roman" w:hAnsi="Times New Roman" w:cs="Times New Roman"/>
          <w:sz w:val="24"/>
          <w:szCs w:val="24"/>
        </w:rPr>
        <w:t xml:space="preserve">В ходе проверки произведен расчет показателей, </w:t>
      </w:r>
      <w:r w:rsidR="003C44A7">
        <w:rPr>
          <w:rFonts w:ascii="Times New Roman" w:hAnsi="Times New Roman" w:cs="Times New Roman"/>
          <w:sz w:val="24"/>
          <w:szCs w:val="24"/>
        </w:rPr>
        <w:t>значения которых</w:t>
      </w:r>
      <w:r w:rsidRPr="00992988">
        <w:rPr>
          <w:rFonts w:ascii="Times New Roman" w:hAnsi="Times New Roman" w:cs="Times New Roman"/>
          <w:sz w:val="24"/>
          <w:szCs w:val="24"/>
        </w:rPr>
        <w:t xml:space="preserve"> соответствуют </w:t>
      </w:r>
      <w:r w:rsidRPr="00992988">
        <w:rPr>
          <w:rFonts w:ascii="Times New Roman" w:hAnsi="Times New Roman" w:cs="Times New Roman"/>
          <w:sz w:val="24"/>
          <w:szCs w:val="24"/>
        </w:rPr>
        <w:lastRenderedPageBreak/>
        <w:t xml:space="preserve">требованиям </w:t>
      </w:r>
      <w:r w:rsidR="00734353">
        <w:rPr>
          <w:rFonts w:ascii="Times New Roman" w:hAnsi="Times New Roman" w:cs="Times New Roman"/>
          <w:sz w:val="24"/>
          <w:szCs w:val="24"/>
        </w:rPr>
        <w:t>Приказа Минэкономразвития № 167</w:t>
      </w:r>
      <w:r w:rsidRPr="00992988">
        <w:rPr>
          <w:rFonts w:ascii="Times New Roman" w:hAnsi="Times New Roman" w:cs="Times New Roman"/>
          <w:sz w:val="24"/>
          <w:szCs w:val="24"/>
        </w:rPr>
        <w:t>:</w:t>
      </w:r>
    </w:p>
    <w:p w:rsidR="003B324E" w:rsidRPr="00992988" w:rsidRDefault="003B324E" w:rsidP="003B324E">
      <w:pPr>
        <w:pStyle w:val="ConsPlusNormal"/>
        <w:ind w:firstLine="708"/>
        <w:jc w:val="both"/>
        <w:rPr>
          <w:rFonts w:ascii="Times New Roman" w:hAnsi="Times New Roman" w:cs="Times New Roman"/>
          <w:sz w:val="24"/>
          <w:szCs w:val="24"/>
        </w:rPr>
      </w:pPr>
      <w:r w:rsidRPr="00992988">
        <w:rPr>
          <w:rFonts w:ascii="Times New Roman" w:eastAsiaTheme="minorHAnsi" w:hAnsi="Times New Roman" w:cs="Times New Roman"/>
          <w:sz w:val="24"/>
          <w:szCs w:val="24"/>
          <w:lang w:eastAsia="en-US"/>
        </w:rPr>
        <w:t xml:space="preserve">- показатель </w:t>
      </w:r>
      <w:r w:rsidR="00734353">
        <w:rPr>
          <w:rFonts w:ascii="Times New Roman" w:eastAsiaTheme="minorHAnsi" w:hAnsi="Times New Roman" w:cs="Times New Roman"/>
          <w:sz w:val="24"/>
          <w:szCs w:val="24"/>
          <w:lang w:eastAsia="en-US"/>
        </w:rPr>
        <w:t>«</w:t>
      </w:r>
      <w:r w:rsidRPr="00992988">
        <w:rPr>
          <w:rFonts w:ascii="Times New Roman" w:eastAsiaTheme="minorHAnsi" w:hAnsi="Times New Roman" w:cs="Times New Roman"/>
          <w:sz w:val="24"/>
          <w:szCs w:val="24"/>
          <w:lang w:eastAsia="en-US"/>
        </w:rPr>
        <w:t xml:space="preserve">достаточность собственных средств (ДСС) относительно объема активов </w:t>
      </w:r>
      <w:proofErr w:type="spellStart"/>
      <w:r w:rsidRPr="00992988">
        <w:rPr>
          <w:rFonts w:ascii="Times New Roman" w:eastAsiaTheme="minorHAnsi" w:hAnsi="Times New Roman" w:cs="Times New Roman"/>
          <w:sz w:val="24"/>
          <w:szCs w:val="24"/>
          <w:lang w:eastAsia="en-US"/>
        </w:rPr>
        <w:t>микрофинансовой</w:t>
      </w:r>
      <w:proofErr w:type="spellEnd"/>
      <w:r w:rsidRPr="00992988">
        <w:rPr>
          <w:rFonts w:ascii="Times New Roman" w:eastAsiaTheme="minorHAnsi" w:hAnsi="Times New Roman" w:cs="Times New Roman"/>
          <w:sz w:val="24"/>
          <w:szCs w:val="24"/>
          <w:lang w:eastAsia="en-US"/>
        </w:rPr>
        <w:t xml:space="preserve"> организации</w:t>
      </w:r>
      <w:r w:rsidR="00734353">
        <w:rPr>
          <w:rFonts w:ascii="Times New Roman" w:eastAsiaTheme="minorHAnsi" w:hAnsi="Times New Roman" w:cs="Times New Roman"/>
          <w:sz w:val="24"/>
          <w:szCs w:val="24"/>
          <w:lang w:eastAsia="en-US"/>
        </w:rPr>
        <w:t>»</w:t>
      </w:r>
      <w:r w:rsidRPr="00992988">
        <w:rPr>
          <w:rFonts w:ascii="Times New Roman" w:eastAsiaTheme="minorHAnsi" w:hAnsi="Times New Roman" w:cs="Times New Roman"/>
          <w:sz w:val="24"/>
          <w:szCs w:val="24"/>
          <w:lang w:eastAsia="en-US"/>
        </w:rPr>
        <w:t xml:space="preserve"> составил</w:t>
      </w:r>
      <w:r w:rsidRPr="00992988">
        <w:rPr>
          <w:rFonts w:ascii="Times New Roman" w:hAnsi="Times New Roman" w:cs="Times New Roman"/>
          <w:sz w:val="24"/>
          <w:szCs w:val="24"/>
        </w:rPr>
        <w:t xml:space="preserve"> 143,3% (не должен быть менее 15%);</w:t>
      </w:r>
    </w:p>
    <w:p w:rsidR="003B324E" w:rsidRPr="00992988" w:rsidRDefault="003B324E" w:rsidP="003B324E">
      <w:pPr>
        <w:pStyle w:val="ConsPlusNormal"/>
        <w:ind w:firstLine="708"/>
        <w:jc w:val="both"/>
        <w:rPr>
          <w:rFonts w:ascii="Times New Roman" w:eastAsiaTheme="minorHAnsi" w:hAnsi="Times New Roman" w:cs="Times New Roman"/>
          <w:sz w:val="24"/>
          <w:szCs w:val="24"/>
          <w:lang w:eastAsia="en-US"/>
        </w:rPr>
      </w:pPr>
      <w:r w:rsidRPr="00992988">
        <w:rPr>
          <w:rFonts w:ascii="Times New Roman" w:eastAsiaTheme="minorHAnsi" w:hAnsi="Times New Roman" w:cs="Times New Roman"/>
          <w:sz w:val="24"/>
          <w:szCs w:val="24"/>
          <w:lang w:eastAsia="en-US"/>
        </w:rPr>
        <w:t xml:space="preserve">- показатель </w:t>
      </w:r>
      <w:r w:rsidR="00734353">
        <w:rPr>
          <w:rFonts w:ascii="Times New Roman" w:eastAsiaTheme="minorHAnsi" w:hAnsi="Times New Roman" w:cs="Times New Roman"/>
          <w:sz w:val="24"/>
          <w:szCs w:val="24"/>
          <w:lang w:eastAsia="en-US"/>
        </w:rPr>
        <w:t>«</w:t>
      </w:r>
      <w:r w:rsidRPr="00992988">
        <w:rPr>
          <w:rFonts w:ascii="Times New Roman" w:eastAsiaTheme="minorHAnsi" w:hAnsi="Times New Roman" w:cs="Times New Roman"/>
          <w:sz w:val="24"/>
          <w:szCs w:val="24"/>
          <w:lang w:eastAsia="en-US"/>
        </w:rPr>
        <w:t>эффективность размещения средств (</w:t>
      </w:r>
      <w:proofErr w:type="spellStart"/>
      <w:r w:rsidRPr="00992988">
        <w:rPr>
          <w:rFonts w:ascii="Times New Roman" w:eastAsiaTheme="minorHAnsi" w:hAnsi="Times New Roman" w:cs="Times New Roman"/>
          <w:sz w:val="24"/>
          <w:szCs w:val="24"/>
          <w:lang w:eastAsia="en-US"/>
        </w:rPr>
        <w:t>ЭРс</w:t>
      </w:r>
      <w:proofErr w:type="spellEnd"/>
      <w:r w:rsidRPr="00992988">
        <w:rPr>
          <w:rFonts w:ascii="Times New Roman" w:eastAsiaTheme="minorHAnsi" w:hAnsi="Times New Roman" w:cs="Times New Roman"/>
          <w:sz w:val="24"/>
          <w:szCs w:val="24"/>
          <w:lang w:eastAsia="en-US"/>
        </w:rPr>
        <w:t xml:space="preserve">) </w:t>
      </w:r>
      <w:proofErr w:type="spellStart"/>
      <w:r w:rsidRPr="00992988">
        <w:rPr>
          <w:rFonts w:ascii="Times New Roman" w:eastAsiaTheme="minorHAnsi" w:hAnsi="Times New Roman" w:cs="Times New Roman"/>
          <w:sz w:val="24"/>
          <w:szCs w:val="24"/>
          <w:lang w:eastAsia="en-US"/>
        </w:rPr>
        <w:t>микрофинансовой</w:t>
      </w:r>
      <w:proofErr w:type="spellEnd"/>
      <w:r w:rsidRPr="00992988">
        <w:rPr>
          <w:rFonts w:ascii="Times New Roman" w:eastAsiaTheme="minorHAnsi" w:hAnsi="Times New Roman" w:cs="Times New Roman"/>
          <w:sz w:val="24"/>
          <w:szCs w:val="24"/>
          <w:lang w:eastAsia="en-US"/>
        </w:rPr>
        <w:t xml:space="preserve"> организации</w:t>
      </w:r>
      <w:r w:rsidR="00734353">
        <w:rPr>
          <w:rFonts w:ascii="Times New Roman" w:eastAsiaTheme="minorHAnsi" w:hAnsi="Times New Roman" w:cs="Times New Roman"/>
          <w:sz w:val="24"/>
          <w:szCs w:val="24"/>
          <w:lang w:eastAsia="en-US"/>
        </w:rPr>
        <w:t>»</w:t>
      </w:r>
      <w:r w:rsidRPr="00992988">
        <w:rPr>
          <w:rFonts w:ascii="Times New Roman" w:eastAsiaTheme="minorHAnsi" w:hAnsi="Times New Roman" w:cs="Times New Roman"/>
          <w:sz w:val="24"/>
          <w:szCs w:val="24"/>
          <w:lang w:eastAsia="en-US"/>
        </w:rPr>
        <w:t xml:space="preserve"> составил 71,4% по итогам работы с сентября 2017 года (должен быть не менее 70% по истечении календарного года с момента начала реализации </w:t>
      </w:r>
      <w:proofErr w:type="spellStart"/>
      <w:r w:rsidRPr="00992988">
        <w:rPr>
          <w:rFonts w:ascii="Times New Roman" w:eastAsiaTheme="minorHAnsi" w:hAnsi="Times New Roman" w:cs="Times New Roman"/>
          <w:sz w:val="24"/>
          <w:szCs w:val="24"/>
          <w:lang w:eastAsia="en-US"/>
        </w:rPr>
        <w:t>микрофинансовой</w:t>
      </w:r>
      <w:proofErr w:type="spellEnd"/>
      <w:r w:rsidRPr="00992988">
        <w:rPr>
          <w:rFonts w:ascii="Times New Roman" w:eastAsiaTheme="minorHAnsi" w:hAnsi="Times New Roman" w:cs="Times New Roman"/>
          <w:sz w:val="24"/>
          <w:szCs w:val="24"/>
          <w:lang w:eastAsia="en-US"/>
        </w:rPr>
        <w:t xml:space="preserve"> программы);</w:t>
      </w:r>
    </w:p>
    <w:p w:rsidR="003B324E" w:rsidRPr="00992988" w:rsidRDefault="003B324E" w:rsidP="003B324E">
      <w:pPr>
        <w:pStyle w:val="ConsPlusNormal"/>
        <w:ind w:firstLine="708"/>
        <w:jc w:val="both"/>
        <w:rPr>
          <w:rFonts w:ascii="Times New Roman" w:hAnsi="Times New Roman" w:cs="Times New Roman"/>
          <w:sz w:val="24"/>
          <w:szCs w:val="24"/>
        </w:rPr>
      </w:pPr>
      <w:r w:rsidRPr="00992988">
        <w:rPr>
          <w:rFonts w:ascii="Times New Roman" w:eastAsiaTheme="minorHAnsi" w:hAnsi="Times New Roman" w:cs="Times New Roman"/>
          <w:sz w:val="24"/>
          <w:szCs w:val="24"/>
          <w:lang w:eastAsia="en-US"/>
        </w:rPr>
        <w:t xml:space="preserve">- показатель </w:t>
      </w:r>
      <w:r w:rsidR="00B2710D">
        <w:rPr>
          <w:rFonts w:ascii="Times New Roman" w:eastAsiaTheme="minorHAnsi" w:hAnsi="Times New Roman" w:cs="Times New Roman"/>
          <w:sz w:val="24"/>
          <w:szCs w:val="24"/>
          <w:lang w:eastAsia="en-US"/>
        </w:rPr>
        <w:t>«</w:t>
      </w:r>
      <w:r w:rsidRPr="00992988">
        <w:rPr>
          <w:rFonts w:ascii="Times New Roman" w:eastAsiaTheme="minorHAnsi" w:hAnsi="Times New Roman" w:cs="Times New Roman"/>
          <w:sz w:val="24"/>
          <w:szCs w:val="24"/>
          <w:lang w:eastAsia="en-US"/>
        </w:rPr>
        <w:t>операционн</w:t>
      </w:r>
      <w:r w:rsidR="00B2710D">
        <w:rPr>
          <w:rFonts w:ascii="Times New Roman" w:eastAsiaTheme="minorHAnsi" w:hAnsi="Times New Roman" w:cs="Times New Roman"/>
          <w:sz w:val="24"/>
          <w:szCs w:val="24"/>
          <w:lang w:eastAsia="en-US"/>
        </w:rPr>
        <w:t>ая эффективность</w:t>
      </w:r>
      <w:r w:rsidRPr="00992988">
        <w:rPr>
          <w:rFonts w:ascii="Times New Roman" w:eastAsiaTheme="minorHAnsi" w:hAnsi="Times New Roman" w:cs="Times New Roman"/>
          <w:sz w:val="24"/>
          <w:szCs w:val="24"/>
          <w:lang w:eastAsia="en-US"/>
        </w:rPr>
        <w:t xml:space="preserve"> (ОЭ) </w:t>
      </w:r>
      <w:proofErr w:type="spellStart"/>
      <w:r w:rsidRPr="00992988">
        <w:rPr>
          <w:rFonts w:ascii="Times New Roman" w:eastAsiaTheme="minorHAnsi" w:hAnsi="Times New Roman" w:cs="Times New Roman"/>
          <w:sz w:val="24"/>
          <w:szCs w:val="24"/>
          <w:lang w:eastAsia="en-US"/>
        </w:rPr>
        <w:t>микрофинансовой</w:t>
      </w:r>
      <w:proofErr w:type="spellEnd"/>
      <w:r w:rsidRPr="00992988">
        <w:rPr>
          <w:rFonts w:ascii="Times New Roman" w:eastAsiaTheme="minorHAnsi" w:hAnsi="Times New Roman" w:cs="Times New Roman"/>
          <w:sz w:val="24"/>
          <w:szCs w:val="24"/>
          <w:lang w:eastAsia="en-US"/>
        </w:rPr>
        <w:t xml:space="preserve"> организации</w:t>
      </w:r>
      <w:r w:rsidR="00B2710D">
        <w:rPr>
          <w:rFonts w:ascii="Times New Roman" w:eastAsiaTheme="minorHAnsi" w:hAnsi="Times New Roman" w:cs="Times New Roman"/>
          <w:sz w:val="24"/>
          <w:szCs w:val="24"/>
          <w:lang w:eastAsia="en-US"/>
        </w:rPr>
        <w:t>»</w:t>
      </w:r>
      <w:r w:rsidRPr="00992988">
        <w:rPr>
          <w:rFonts w:ascii="Times New Roman" w:eastAsiaTheme="minorHAnsi" w:hAnsi="Times New Roman" w:cs="Times New Roman"/>
          <w:sz w:val="24"/>
          <w:szCs w:val="24"/>
          <w:lang w:eastAsia="en-US"/>
        </w:rPr>
        <w:t xml:space="preserve"> составил </w:t>
      </w:r>
      <w:r w:rsidRPr="00992988">
        <w:rPr>
          <w:rFonts w:ascii="Times New Roman" w:hAnsi="Times New Roman" w:cs="Times New Roman"/>
          <w:sz w:val="24"/>
          <w:szCs w:val="24"/>
        </w:rPr>
        <w:t xml:space="preserve"> 1,36%   (</w:t>
      </w:r>
      <w:r w:rsidRPr="00992988">
        <w:rPr>
          <w:rFonts w:ascii="Times New Roman" w:eastAsiaTheme="minorHAnsi" w:hAnsi="Times New Roman" w:cs="Times New Roman"/>
          <w:sz w:val="24"/>
          <w:szCs w:val="24"/>
          <w:lang w:eastAsia="en-US"/>
        </w:rPr>
        <w:t>не должен превышать значения 30%);</w:t>
      </w:r>
    </w:p>
    <w:p w:rsidR="003B324E" w:rsidRPr="00992988" w:rsidRDefault="003B324E" w:rsidP="003B324E">
      <w:pPr>
        <w:pStyle w:val="ConsPlusNormal"/>
        <w:ind w:firstLine="708"/>
        <w:jc w:val="both"/>
        <w:rPr>
          <w:rFonts w:ascii="Times New Roman" w:hAnsi="Times New Roman" w:cs="Times New Roman"/>
          <w:sz w:val="24"/>
          <w:szCs w:val="24"/>
        </w:rPr>
      </w:pPr>
      <w:r w:rsidRPr="00992988">
        <w:rPr>
          <w:rFonts w:ascii="Times New Roman" w:eastAsiaTheme="minorHAnsi" w:hAnsi="Times New Roman" w:cs="Times New Roman"/>
          <w:sz w:val="24"/>
          <w:szCs w:val="24"/>
          <w:lang w:eastAsia="en-US"/>
        </w:rPr>
        <w:t xml:space="preserve">- показатель </w:t>
      </w:r>
      <w:r w:rsidR="00B2710D">
        <w:rPr>
          <w:rFonts w:ascii="Times New Roman" w:eastAsiaTheme="minorHAnsi" w:hAnsi="Times New Roman" w:cs="Times New Roman"/>
          <w:sz w:val="24"/>
          <w:szCs w:val="24"/>
          <w:lang w:eastAsia="en-US"/>
        </w:rPr>
        <w:t>«</w:t>
      </w:r>
      <w:r w:rsidRPr="00992988">
        <w:rPr>
          <w:rFonts w:ascii="Times New Roman" w:eastAsiaTheme="minorHAnsi" w:hAnsi="Times New Roman" w:cs="Times New Roman"/>
          <w:sz w:val="24"/>
          <w:szCs w:val="24"/>
          <w:lang w:eastAsia="en-US"/>
        </w:rPr>
        <w:t>риск портфеля больше 30 дней (</w:t>
      </w:r>
      <w:r w:rsidR="002530EF">
        <w:rPr>
          <w:rFonts w:ascii="Times New Roman" w:eastAsiaTheme="minorHAnsi" w:hAnsi="Times New Roman" w:cs="Times New Roman"/>
          <w:sz w:val="24"/>
          <w:szCs w:val="24"/>
          <w:lang w:eastAsia="en-US"/>
        </w:rPr>
        <w:t>р</w:t>
      </w:r>
      <w:r w:rsidRPr="00992988">
        <w:rPr>
          <w:rFonts w:ascii="Times New Roman" w:eastAsiaTheme="minorHAnsi" w:hAnsi="Times New Roman" w:cs="Times New Roman"/>
          <w:sz w:val="24"/>
          <w:szCs w:val="24"/>
          <w:lang w:eastAsia="en-US"/>
        </w:rPr>
        <w:t xml:space="preserve">иск портфеля &gt; 30) </w:t>
      </w:r>
      <w:proofErr w:type="spellStart"/>
      <w:r w:rsidRPr="00992988">
        <w:rPr>
          <w:rFonts w:ascii="Times New Roman" w:eastAsiaTheme="minorHAnsi" w:hAnsi="Times New Roman" w:cs="Times New Roman"/>
          <w:sz w:val="24"/>
          <w:szCs w:val="24"/>
          <w:lang w:eastAsia="en-US"/>
        </w:rPr>
        <w:t>микрофинансовой</w:t>
      </w:r>
      <w:proofErr w:type="spellEnd"/>
      <w:r w:rsidRPr="00992988">
        <w:rPr>
          <w:rFonts w:ascii="Times New Roman" w:eastAsiaTheme="minorHAnsi" w:hAnsi="Times New Roman" w:cs="Times New Roman"/>
          <w:sz w:val="24"/>
          <w:szCs w:val="24"/>
          <w:lang w:eastAsia="en-US"/>
        </w:rPr>
        <w:t xml:space="preserve"> организации</w:t>
      </w:r>
      <w:r w:rsidR="00B2710D">
        <w:rPr>
          <w:rFonts w:ascii="Times New Roman" w:eastAsiaTheme="minorHAnsi" w:hAnsi="Times New Roman" w:cs="Times New Roman"/>
          <w:sz w:val="24"/>
          <w:szCs w:val="24"/>
          <w:lang w:eastAsia="en-US"/>
        </w:rPr>
        <w:t>»</w:t>
      </w:r>
      <w:r w:rsidRPr="00992988">
        <w:rPr>
          <w:rFonts w:ascii="Times New Roman" w:eastAsiaTheme="minorHAnsi" w:hAnsi="Times New Roman" w:cs="Times New Roman"/>
          <w:sz w:val="24"/>
          <w:szCs w:val="24"/>
          <w:lang w:eastAsia="en-US"/>
        </w:rPr>
        <w:t xml:space="preserve"> составил 0% (не должен превышать 12%).</w:t>
      </w:r>
    </w:p>
    <w:p w:rsidR="003B324E" w:rsidRDefault="003B324E" w:rsidP="003B324E">
      <w:pPr>
        <w:autoSpaceDE w:val="0"/>
        <w:autoSpaceDN w:val="0"/>
        <w:adjustRightInd w:val="0"/>
        <w:ind w:firstLine="708"/>
        <w:jc w:val="both"/>
      </w:pPr>
      <w:r>
        <w:t xml:space="preserve">В настоящее время требование по оценке деятельности </w:t>
      </w:r>
      <w:proofErr w:type="spellStart"/>
      <w:r>
        <w:t>микрофинансовых</w:t>
      </w:r>
      <w:proofErr w:type="spellEnd"/>
      <w:r>
        <w:t xml:space="preserve"> организаций на основании аналогичных показателей предусмотрено также в п. 2.1.2.18 Приказа Минэкономразвития №67.</w:t>
      </w:r>
    </w:p>
    <w:p w:rsidR="00F26D50" w:rsidRPr="00CB37F7" w:rsidRDefault="00B51D74" w:rsidP="0021018D">
      <w:pPr>
        <w:autoSpaceDE w:val="0"/>
        <w:autoSpaceDN w:val="0"/>
        <w:adjustRightInd w:val="0"/>
        <w:ind w:firstLine="680"/>
        <w:jc w:val="both"/>
      </w:pPr>
      <w:r w:rsidRPr="00CB37F7">
        <w:t>Также проверкой установлено</w:t>
      </w:r>
      <w:r w:rsidR="0021018D" w:rsidRPr="00CB37F7">
        <w:t xml:space="preserve">, что Приказами Минэкономразвития № 67 и 167 утверждены два показателя, один из которых является условием конкурсного отбора, а второй участвует в оценке эффективности деятельности фонда. При этом в случае выполнения одного показателя, может быть не выполнен другой, </w:t>
      </w:r>
      <w:r w:rsidR="00F26D50" w:rsidRPr="00CB37F7">
        <w:t>а именно:</w:t>
      </w:r>
    </w:p>
    <w:p w:rsidR="00F26D50" w:rsidRPr="003067C2" w:rsidRDefault="00F26D50" w:rsidP="008B08B9">
      <w:pPr>
        <w:autoSpaceDE w:val="0"/>
        <w:autoSpaceDN w:val="0"/>
        <w:adjustRightInd w:val="0"/>
        <w:ind w:firstLine="680"/>
        <w:jc w:val="both"/>
      </w:pPr>
      <w:r w:rsidRPr="00CB37F7">
        <w:t xml:space="preserve">- </w:t>
      </w:r>
      <w:r w:rsidRPr="00CB37F7">
        <w:rPr>
          <w:rFonts w:eastAsiaTheme="minorHAnsi"/>
          <w:lang w:eastAsia="en-US"/>
        </w:rPr>
        <w:t xml:space="preserve">средний размер </w:t>
      </w:r>
      <w:proofErr w:type="spellStart"/>
      <w:r w:rsidRPr="00CB37F7">
        <w:rPr>
          <w:rFonts w:eastAsiaTheme="minorHAnsi"/>
          <w:lang w:eastAsia="en-US"/>
        </w:rPr>
        <w:t>микрозайма</w:t>
      </w:r>
      <w:proofErr w:type="spellEnd"/>
      <w:r w:rsidRPr="00CB37F7">
        <w:rPr>
          <w:rFonts w:eastAsiaTheme="minorHAnsi"/>
          <w:lang w:eastAsia="en-US"/>
        </w:rPr>
        <w:t xml:space="preserve"> (отношение суммы выданных за отчетный</w:t>
      </w:r>
      <w:r w:rsidRPr="003067C2">
        <w:rPr>
          <w:rFonts w:eastAsiaTheme="minorHAnsi"/>
          <w:lang w:eastAsia="en-US"/>
        </w:rPr>
        <w:t xml:space="preserve"> период </w:t>
      </w:r>
      <w:proofErr w:type="spellStart"/>
      <w:r w:rsidRPr="003067C2">
        <w:rPr>
          <w:rFonts w:eastAsiaTheme="minorHAnsi"/>
          <w:lang w:eastAsia="en-US"/>
        </w:rPr>
        <w:t>микрозаймов</w:t>
      </w:r>
      <w:proofErr w:type="spellEnd"/>
      <w:r w:rsidRPr="003067C2">
        <w:rPr>
          <w:rFonts w:eastAsiaTheme="minorHAnsi"/>
          <w:lang w:eastAsia="en-US"/>
        </w:rPr>
        <w:t xml:space="preserve"> к количеству субъектов предпринимательства, организаций инфраструктуры поддержки предпринимательства, которым предоставлены </w:t>
      </w:r>
      <w:proofErr w:type="spellStart"/>
      <w:r w:rsidRPr="003067C2">
        <w:rPr>
          <w:rFonts w:eastAsiaTheme="minorHAnsi"/>
          <w:lang w:eastAsia="en-US"/>
        </w:rPr>
        <w:t>микрозаймы</w:t>
      </w:r>
      <w:proofErr w:type="spellEnd"/>
      <w:r w:rsidRPr="003067C2">
        <w:rPr>
          <w:rFonts w:eastAsiaTheme="minorHAnsi"/>
          <w:lang w:eastAsia="en-US"/>
        </w:rPr>
        <w:t xml:space="preserve"> за отчетный период) по программе </w:t>
      </w:r>
      <w:proofErr w:type="spellStart"/>
      <w:r w:rsidRPr="003067C2">
        <w:rPr>
          <w:rFonts w:eastAsiaTheme="minorHAnsi"/>
          <w:lang w:eastAsia="en-US"/>
        </w:rPr>
        <w:t>микрофинансирования</w:t>
      </w:r>
      <w:proofErr w:type="spellEnd"/>
      <w:r w:rsidRPr="003067C2">
        <w:rPr>
          <w:rFonts w:eastAsiaTheme="minorHAnsi"/>
          <w:lang w:eastAsia="en-US"/>
        </w:rPr>
        <w:t xml:space="preserve"> не должен превышать 70% от максимального размера </w:t>
      </w:r>
      <w:proofErr w:type="spellStart"/>
      <w:r w:rsidRPr="003067C2">
        <w:rPr>
          <w:rFonts w:eastAsiaTheme="minorHAnsi"/>
          <w:lang w:eastAsia="en-US"/>
        </w:rPr>
        <w:t>микрозайма</w:t>
      </w:r>
      <w:proofErr w:type="spellEnd"/>
      <w:r w:rsidRPr="003067C2">
        <w:rPr>
          <w:rFonts w:eastAsiaTheme="minorHAnsi"/>
          <w:lang w:eastAsia="en-US"/>
        </w:rPr>
        <w:t xml:space="preserve">, установленного Федеральным </w:t>
      </w:r>
      <w:hyperlink r:id="rId11" w:history="1">
        <w:r w:rsidRPr="003067C2">
          <w:rPr>
            <w:rFonts w:eastAsiaTheme="minorHAnsi"/>
            <w:lang w:eastAsia="en-US"/>
          </w:rPr>
          <w:t>законом</w:t>
        </w:r>
      </w:hyperlink>
      <w:r w:rsidRPr="003067C2">
        <w:rPr>
          <w:rFonts w:eastAsiaTheme="minorHAnsi"/>
          <w:lang w:eastAsia="en-US"/>
        </w:rPr>
        <w:t xml:space="preserve"> № 151-ФЗ (3 млн. руб.)</w:t>
      </w:r>
      <w:r w:rsidR="00B032F8" w:rsidRPr="003067C2">
        <w:rPr>
          <w:rFonts w:eastAsiaTheme="minorHAnsi"/>
          <w:lang w:eastAsia="en-US"/>
        </w:rPr>
        <w:t xml:space="preserve">. </w:t>
      </w:r>
      <w:r w:rsidRPr="003067C2">
        <w:t xml:space="preserve">Этот показатель является </w:t>
      </w:r>
      <w:r w:rsidR="008B08B9" w:rsidRPr="003067C2">
        <w:t>одним из условий предоставления субсидии</w:t>
      </w:r>
      <w:r w:rsidR="003224FB" w:rsidRPr="003067C2">
        <w:t>;</w:t>
      </w:r>
      <w:r w:rsidR="008B08B9" w:rsidRPr="003067C2">
        <w:t xml:space="preserve"> </w:t>
      </w:r>
    </w:p>
    <w:p w:rsidR="009A2A78" w:rsidRPr="003067C2" w:rsidRDefault="003224FB" w:rsidP="008B08B9">
      <w:pPr>
        <w:autoSpaceDE w:val="0"/>
        <w:autoSpaceDN w:val="0"/>
        <w:adjustRightInd w:val="0"/>
        <w:ind w:firstLine="680"/>
        <w:jc w:val="both"/>
        <w:rPr>
          <w:rFonts w:eastAsiaTheme="minorHAnsi"/>
          <w:lang w:eastAsia="en-US"/>
        </w:rPr>
      </w:pPr>
      <w:r w:rsidRPr="003067C2">
        <w:rPr>
          <w:rFonts w:eastAsiaTheme="minorHAnsi"/>
          <w:lang w:eastAsia="en-US"/>
        </w:rPr>
        <w:t xml:space="preserve">- </w:t>
      </w:r>
      <w:r w:rsidR="00315EAA" w:rsidRPr="003067C2">
        <w:rPr>
          <w:rFonts w:eastAsiaTheme="minorHAnsi"/>
          <w:lang w:eastAsia="en-US"/>
        </w:rPr>
        <w:t xml:space="preserve">показатель </w:t>
      </w:r>
      <w:r w:rsidR="009A2A78" w:rsidRPr="003067C2">
        <w:t>эффективност</w:t>
      </w:r>
      <w:r w:rsidR="00315EAA" w:rsidRPr="003067C2">
        <w:t>и</w:t>
      </w:r>
      <w:r w:rsidR="00F26D50" w:rsidRPr="003067C2">
        <w:t xml:space="preserve"> размещения средств (отношение действующего портфеля </w:t>
      </w:r>
      <w:proofErr w:type="spellStart"/>
      <w:r w:rsidR="00F26D50" w:rsidRPr="003067C2">
        <w:t>микрозаймов</w:t>
      </w:r>
      <w:proofErr w:type="spellEnd"/>
      <w:r w:rsidR="00F26D50" w:rsidRPr="003067C2">
        <w:t xml:space="preserve"> к сумме средств, полученных на реализац</w:t>
      </w:r>
      <w:r w:rsidR="00B032F8" w:rsidRPr="003067C2">
        <w:t xml:space="preserve">ию </w:t>
      </w:r>
      <w:proofErr w:type="spellStart"/>
      <w:r w:rsidR="00B032F8" w:rsidRPr="003067C2">
        <w:t>микрофинансовой</w:t>
      </w:r>
      <w:proofErr w:type="spellEnd"/>
      <w:r w:rsidR="00B032F8" w:rsidRPr="003067C2">
        <w:t xml:space="preserve"> программы)</w:t>
      </w:r>
      <w:r w:rsidR="009A2A78" w:rsidRPr="003067C2">
        <w:t xml:space="preserve"> должен быть не менее 70% по истечении календарного года с момента начала реализации </w:t>
      </w:r>
      <w:proofErr w:type="spellStart"/>
      <w:r w:rsidR="009A2A78" w:rsidRPr="003067C2">
        <w:t>микрофинансовой</w:t>
      </w:r>
      <w:proofErr w:type="spellEnd"/>
      <w:r w:rsidR="009A2A78" w:rsidRPr="003067C2">
        <w:t xml:space="preserve"> программы.</w:t>
      </w:r>
    </w:p>
    <w:p w:rsidR="00793DE9" w:rsidRDefault="009A35EC" w:rsidP="00F26D50">
      <w:pPr>
        <w:autoSpaceDE w:val="0"/>
        <w:autoSpaceDN w:val="0"/>
        <w:adjustRightInd w:val="0"/>
        <w:ind w:firstLine="680"/>
        <w:jc w:val="both"/>
      </w:pPr>
      <w:r>
        <w:t>З</w:t>
      </w:r>
      <w:r w:rsidR="0068013D">
        <w:t xml:space="preserve">а период 2017 год - 1 квартал 2018 года </w:t>
      </w:r>
      <w:proofErr w:type="gramStart"/>
      <w:r w:rsidR="0068013D">
        <w:t>выданы</w:t>
      </w:r>
      <w:proofErr w:type="gramEnd"/>
      <w:r w:rsidR="0068013D">
        <w:t xml:space="preserve"> </w:t>
      </w:r>
      <w:proofErr w:type="spellStart"/>
      <w:r w:rsidR="0068013D">
        <w:t>микрозаймы</w:t>
      </w:r>
      <w:proofErr w:type="spellEnd"/>
      <w:r w:rsidR="0068013D">
        <w:t xml:space="preserve"> на общую сумму 58 млн. руб. 24-м СМСП.</w:t>
      </w:r>
      <w:r w:rsidR="002B2D2A">
        <w:t xml:space="preserve"> </w:t>
      </w:r>
      <w:r w:rsidR="0068013D">
        <w:t xml:space="preserve">Средний размер </w:t>
      </w:r>
      <w:proofErr w:type="spellStart"/>
      <w:r w:rsidR="0068013D">
        <w:t>микрозайма</w:t>
      </w:r>
      <w:proofErr w:type="spellEnd"/>
      <w:r w:rsidR="0068013D">
        <w:t xml:space="preserve"> составил 2,4 млн. руб. </w:t>
      </w:r>
      <w:r w:rsidR="002B2D2A">
        <w:t>(58 млн. руб./24</w:t>
      </w:r>
      <w:r w:rsidR="00B032F8">
        <w:t xml:space="preserve"> ед.</w:t>
      </w:r>
      <w:r w:rsidR="002B2D2A">
        <w:t xml:space="preserve">) </w:t>
      </w:r>
      <w:r w:rsidR="0068013D">
        <w:t xml:space="preserve">и превысил вышеприведенное </w:t>
      </w:r>
      <w:r w:rsidR="00D71445">
        <w:t xml:space="preserve">ограничение </w:t>
      </w:r>
      <w:r w:rsidR="00793DE9">
        <w:t xml:space="preserve">(70% от максимального размера </w:t>
      </w:r>
      <w:proofErr w:type="spellStart"/>
      <w:r w:rsidR="00793DE9">
        <w:t>микрозайма</w:t>
      </w:r>
      <w:proofErr w:type="spellEnd"/>
      <w:r w:rsidR="00793DE9">
        <w:t xml:space="preserve"> – 2,1 млн. руб.).</w:t>
      </w:r>
      <w:r w:rsidR="00D71445">
        <w:t xml:space="preserve"> </w:t>
      </w:r>
      <w:r>
        <w:t>П</w:t>
      </w:r>
      <w:r w:rsidR="00B032F8">
        <w:t>ограничное значение</w:t>
      </w:r>
      <w:r w:rsidR="00D71445">
        <w:t xml:space="preserve"> по показателю эффективности размещения средств </w:t>
      </w:r>
      <w:r w:rsidR="00B032F8">
        <w:t>пере</w:t>
      </w:r>
      <w:r w:rsidR="00D71445">
        <w:t>выполнено и составило 97,2% (</w:t>
      </w:r>
      <w:r w:rsidR="002B2D2A">
        <w:t>58 млн. руб./59,7 млн. руб.)</w:t>
      </w:r>
      <w:r>
        <w:t>, т.е. в пределах установленного ограничения.</w:t>
      </w:r>
    </w:p>
    <w:p w:rsidR="00862408" w:rsidRPr="00CB37F7" w:rsidRDefault="008B08B9" w:rsidP="006969C2">
      <w:pPr>
        <w:autoSpaceDE w:val="0"/>
        <w:autoSpaceDN w:val="0"/>
        <w:adjustRightInd w:val="0"/>
        <w:ind w:firstLine="680"/>
        <w:jc w:val="both"/>
      </w:pPr>
      <w:r w:rsidRPr="00CB37F7">
        <w:t xml:space="preserve">С учетом того, что показатель среднего размера </w:t>
      </w:r>
      <w:proofErr w:type="spellStart"/>
      <w:r w:rsidRPr="00CB37F7">
        <w:t>микрозайма</w:t>
      </w:r>
      <w:proofErr w:type="spellEnd"/>
      <w:r w:rsidRPr="00CB37F7">
        <w:t xml:space="preserve"> является одним из условий предоставления субсидии в последующие </w:t>
      </w:r>
      <w:r w:rsidR="00B032F8" w:rsidRPr="00CB37F7">
        <w:t>годы</w:t>
      </w:r>
      <w:r w:rsidRPr="00CB37F7">
        <w:t xml:space="preserve">, считаем целесообразным </w:t>
      </w:r>
      <w:r w:rsidR="00D7327B" w:rsidRPr="00CB37F7">
        <w:t xml:space="preserve">обратиться в Минэкономразвития РФ по пересмотру ограничения </w:t>
      </w:r>
      <w:r w:rsidR="00B032F8" w:rsidRPr="00CB37F7">
        <w:t>его</w:t>
      </w:r>
      <w:r w:rsidR="00B032F8" w:rsidRPr="00CB37F7">
        <w:rPr>
          <w:rFonts w:eastAsiaTheme="minorHAnsi"/>
          <w:lang w:eastAsia="en-US"/>
        </w:rPr>
        <w:t xml:space="preserve"> размера.</w:t>
      </w:r>
    </w:p>
    <w:p w:rsidR="007A545C" w:rsidRPr="00B305A6" w:rsidRDefault="007A545C" w:rsidP="007A545C">
      <w:pPr>
        <w:ind w:firstLine="680"/>
        <w:jc w:val="both"/>
      </w:pPr>
      <w:r w:rsidRPr="00B305A6">
        <w:t xml:space="preserve">По состоянию на 01.01.2018 на расчетных счетах  имелись остатки средств субсидий на предоставление </w:t>
      </w:r>
      <w:proofErr w:type="spellStart"/>
      <w:r w:rsidRPr="00B305A6">
        <w:t>микрозаймов</w:t>
      </w:r>
      <w:proofErr w:type="spellEnd"/>
      <w:r w:rsidRPr="00B305A6">
        <w:t xml:space="preserve">  в размере 17,1 млн. руб. (28,6% от объема субсидий), что связано с фактическим получением средств субсидии в сентябре и октябре 2017 года. В 2018 году они направлены на выдачу </w:t>
      </w:r>
      <w:proofErr w:type="spellStart"/>
      <w:r w:rsidRPr="00B305A6">
        <w:t>микрозаймов</w:t>
      </w:r>
      <w:proofErr w:type="spellEnd"/>
      <w:r w:rsidRPr="00B305A6">
        <w:t xml:space="preserve"> и на 01.05.2018 остаток  составил 1,5 млн. руб. (2,5% от объема субсидии).</w:t>
      </w:r>
    </w:p>
    <w:p w:rsidR="007A545C" w:rsidRPr="00B305A6" w:rsidRDefault="007A545C" w:rsidP="007A545C">
      <w:pPr>
        <w:ind w:firstLine="680"/>
        <w:jc w:val="both"/>
      </w:pPr>
      <w:r w:rsidRPr="00B305A6">
        <w:t xml:space="preserve">Остаток субсидии на содержание Фонда </w:t>
      </w:r>
      <w:proofErr w:type="spellStart"/>
      <w:r w:rsidRPr="00B305A6">
        <w:t>микрофинансирования</w:t>
      </w:r>
      <w:proofErr w:type="spellEnd"/>
      <w:r w:rsidRPr="00B305A6">
        <w:t xml:space="preserve"> на 01.01.2018 составил 1,1 млн. руб. (64,7% от объема субсидии) и </w:t>
      </w:r>
      <w:r w:rsidR="00FC78D9" w:rsidRPr="00B305A6">
        <w:t xml:space="preserve">в связи с его использованием </w:t>
      </w:r>
      <w:r w:rsidRPr="00B305A6">
        <w:t xml:space="preserve">на 01.05.2018 </w:t>
      </w:r>
      <w:r w:rsidR="00FC78D9" w:rsidRPr="00B305A6">
        <w:t>сложился в размере 0</w:t>
      </w:r>
      <w:r w:rsidRPr="00B305A6">
        <w:t>,6 млн. руб. (35,3%).</w:t>
      </w:r>
    </w:p>
    <w:p w:rsidR="002B65AB" w:rsidRDefault="00F04F8C" w:rsidP="00A17559">
      <w:pPr>
        <w:ind w:firstLine="680"/>
        <w:jc w:val="both"/>
        <w:rPr>
          <w:i/>
        </w:rPr>
      </w:pPr>
      <w:r w:rsidRPr="00133058">
        <w:rPr>
          <w:i/>
        </w:rPr>
        <w:t xml:space="preserve">На основании вышеизложенного можно сделать вывод о достаточно эффективной работе Фонда </w:t>
      </w:r>
      <w:proofErr w:type="spellStart"/>
      <w:r w:rsidRPr="00133058">
        <w:rPr>
          <w:i/>
        </w:rPr>
        <w:t>микрофинансирования</w:t>
      </w:r>
      <w:proofErr w:type="spellEnd"/>
      <w:r w:rsidRPr="00133058">
        <w:rPr>
          <w:i/>
        </w:rPr>
        <w:t xml:space="preserve">, так как </w:t>
      </w:r>
      <w:r w:rsidR="009350CC" w:rsidRPr="00133058">
        <w:rPr>
          <w:i/>
        </w:rPr>
        <w:t xml:space="preserve">за период работы менее года (с сентября 2017 года) </w:t>
      </w:r>
      <w:r w:rsidRPr="00133058">
        <w:rPr>
          <w:i/>
        </w:rPr>
        <w:t>по состоянию на 01.05.2018 общая сумма выданных займов превысила объем предоставленной субсидии.</w:t>
      </w:r>
      <w:r w:rsidR="00B143EB" w:rsidRPr="00133058">
        <w:rPr>
          <w:i/>
        </w:rPr>
        <w:t xml:space="preserve"> Вместе с тем при формировании показателей результативности  использования субсидии в части рабочих мест и</w:t>
      </w:r>
      <w:r w:rsidR="00231F96" w:rsidRPr="00133058">
        <w:rPr>
          <w:i/>
        </w:rPr>
        <w:t xml:space="preserve"> оборота СМСП применяется</w:t>
      </w:r>
      <w:r w:rsidR="00B143EB" w:rsidRPr="00133058">
        <w:rPr>
          <w:i/>
        </w:rPr>
        <w:t xml:space="preserve"> формальный подход</w:t>
      </w:r>
      <w:r w:rsidR="00231F96" w:rsidRPr="00133058">
        <w:rPr>
          <w:i/>
        </w:rPr>
        <w:t xml:space="preserve">, так как не запрашиваются подтверждающие документы. </w:t>
      </w:r>
      <w:r w:rsidR="00B143EB" w:rsidRPr="00133058">
        <w:rPr>
          <w:i/>
        </w:rPr>
        <w:t xml:space="preserve"> </w:t>
      </w:r>
      <w:r w:rsidR="000E1A8F">
        <w:rPr>
          <w:i/>
        </w:rPr>
        <w:t xml:space="preserve">Показатели результативности использования средств субсидии на </w:t>
      </w:r>
      <w:r w:rsidR="000E1A8F">
        <w:rPr>
          <w:i/>
        </w:rPr>
        <w:lastRenderedPageBreak/>
        <w:t xml:space="preserve">предоставление </w:t>
      </w:r>
      <w:proofErr w:type="spellStart"/>
      <w:r w:rsidR="000E1A8F">
        <w:rPr>
          <w:i/>
        </w:rPr>
        <w:t>микрозаймов</w:t>
      </w:r>
      <w:proofErr w:type="spellEnd"/>
      <w:r w:rsidR="000E1A8F">
        <w:rPr>
          <w:i/>
        </w:rPr>
        <w:t xml:space="preserve"> СМСП</w:t>
      </w:r>
      <w:r w:rsidR="002B65AB">
        <w:rPr>
          <w:i/>
        </w:rPr>
        <w:t xml:space="preserve"> были утверждены только в год выделения субсидии, на последующие годы установлены не были, </w:t>
      </w:r>
      <w:r w:rsidR="004256A9">
        <w:rPr>
          <w:i/>
        </w:rPr>
        <w:t xml:space="preserve">в результате чего </w:t>
      </w:r>
      <w:r w:rsidR="004256A9" w:rsidRPr="00CB37F7">
        <w:rPr>
          <w:i/>
        </w:rPr>
        <w:t xml:space="preserve">не проводится оценка </w:t>
      </w:r>
      <w:r w:rsidR="002B65AB" w:rsidRPr="00CB37F7">
        <w:rPr>
          <w:i/>
        </w:rPr>
        <w:t xml:space="preserve"> результативности использования бюджетных средств.</w:t>
      </w:r>
    </w:p>
    <w:p w:rsidR="00F04F8C" w:rsidRPr="00133058" w:rsidRDefault="00F04F8C" w:rsidP="00A17559">
      <w:pPr>
        <w:ind w:firstLine="680"/>
        <w:jc w:val="both"/>
        <w:rPr>
          <w:i/>
        </w:rPr>
      </w:pPr>
    </w:p>
    <w:p w:rsidR="000E3EED" w:rsidRPr="00133058" w:rsidRDefault="000E3EED" w:rsidP="00133058">
      <w:pPr>
        <w:jc w:val="center"/>
        <w:rPr>
          <w:b/>
        </w:rPr>
      </w:pPr>
      <w:r w:rsidRPr="00133058">
        <w:rPr>
          <w:b/>
        </w:rPr>
        <w:t>Гарантийн</w:t>
      </w:r>
      <w:r w:rsidR="00133058" w:rsidRPr="00133058">
        <w:rPr>
          <w:b/>
        </w:rPr>
        <w:t>ый фонд</w:t>
      </w:r>
    </w:p>
    <w:p w:rsidR="00E45832" w:rsidRPr="00917003" w:rsidRDefault="000E3EED" w:rsidP="00E45832">
      <w:pPr>
        <w:autoSpaceDE w:val="0"/>
        <w:autoSpaceDN w:val="0"/>
        <w:adjustRightInd w:val="0"/>
        <w:ind w:firstLine="680"/>
        <w:jc w:val="both"/>
      </w:pPr>
      <w:r w:rsidRPr="00917003">
        <w:t>Гарантийный фонд</w:t>
      </w:r>
      <w:r w:rsidR="00E45832" w:rsidRPr="00917003">
        <w:t xml:space="preserve">, созданный в 2007 году, оказывает услуги по предоставлению поручительств по кредитам </w:t>
      </w:r>
      <w:r w:rsidR="00917003" w:rsidRPr="00917003">
        <w:t>СМСП</w:t>
      </w:r>
      <w:r w:rsidR="00E45832" w:rsidRPr="00917003">
        <w:t>, получаемым в коммерческих банках на территории Волгоградской области. В результате деятельности Гарантийного фонда предполагается повышение доступности заемных сре</w:t>
      </w:r>
      <w:proofErr w:type="gramStart"/>
      <w:r w:rsidR="00E45832" w:rsidRPr="00917003">
        <w:t>дств дл</w:t>
      </w:r>
      <w:proofErr w:type="gramEnd"/>
      <w:r w:rsidR="00E45832" w:rsidRPr="00917003">
        <w:t>я СМСП, направляемых ими на расширение производства, приобретение и модернизацию основных средств, внедрение новых технологий, инновационную деятельность.</w:t>
      </w:r>
    </w:p>
    <w:p w:rsidR="00E45832" w:rsidRDefault="00E45832" w:rsidP="00917003">
      <w:pPr>
        <w:ind w:firstLine="709"/>
        <w:jc w:val="both"/>
      </w:pPr>
      <w:proofErr w:type="gramStart"/>
      <w:r w:rsidRPr="00CB37F7">
        <w:t>Для обеспечения основной деятельности (предоставление поручительств) в Гарантийном фонде с конца 2012 года сформирован гарантийный резерв в размере 400,0 млн. руб. за счет средств федерального и областного бюджетов (из которых 100 млн. руб. получены в 2015 году) и членов Ассоциации - областной общественной организации «Волгоградский центр защиты и развития бизнеса «Дело»</w:t>
      </w:r>
      <w:r w:rsidR="00C8504A" w:rsidRPr="00CB37F7">
        <w:t xml:space="preserve"> (10 тыс. руб.)</w:t>
      </w:r>
      <w:r w:rsidRPr="00CB37F7">
        <w:t>, администраций г. Волгограда и Волжский</w:t>
      </w:r>
      <w:r w:rsidR="00C8504A" w:rsidRPr="00CB37F7">
        <w:t xml:space="preserve"> (513 тыс</w:t>
      </w:r>
      <w:proofErr w:type="gramEnd"/>
      <w:r w:rsidR="00C8504A" w:rsidRPr="00CB37F7">
        <w:t>.руб.)</w:t>
      </w:r>
      <w:r w:rsidRPr="00CB37F7">
        <w:t>,</w:t>
      </w:r>
      <w:r w:rsidRPr="009A3B98">
        <w:t xml:space="preserve"> а также за счет капитализации доходов от размещения средств гарантийного резерва и вознаграждения за предоставление поручительства.</w:t>
      </w:r>
      <w:r>
        <w:t xml:space="preserve"> Ф</w:t>
      </w:r>
      <w:r w:rsidRPr="002D3FB6">
        <w:t>инансовое обеспечение деятельности Гарантийного фонда</w:t>
      </w:r>
      <w:r>
        <w:t xml:space="preserve"> в 2016-2018 годах </w:t>
      </w:r>
      <w:r w:rsidRPr="002D3FB6">
        <w:t>за счет бюджетных средств не предусмотрено</w:t>
      </w:r>
      <w:r>
        <w:t>.</w:t>
      </w:r>
    </w:p>
    <w:p w:rsidR="00947085" w:rsidRPr="00CB37F7" w:rsidRDefault="00947085" w:rsidP="00947085">
      <w:pPr>
        <w:ind w:firstLine="709"/>
        <w:jc w:val="both"/>
      </w:pPr>
      <w:r w:rsidRPr="00CB37F7">
        <w:t xml:space="preserve">Для обеспечения текущего содержания Гарантийного фонда используются доходы от предоставления поручительства, оплачиваемые заемщиками. Порядок расчета вознаграждения по выданным поручительствам утвержден в соответствии с положениями приказа Минэкономразвития России от 28.11.2016 № 763 «Об утверждении требований к фондам содействия кредитованию (гарантийным фондам, фондам поручительств) и их деятельности» (далее – Приказ № 763) в диапазоне от  0,5% до 2,0% (допустимо до 3%) в зависимости от вида деятельности. Доходы от размещения гарантийного капитала за 2017 год составили 25,9 млн. рублей.  </w:t>
      </w:r>
    </w:p>
    <w:p w:rsidR="00FB4D58" w:rsidRDefault="000E3EED" w:rsidP="000E3EED">
      <w:pPr>
        <w:ind w:firstLine="680"/>
        <w:jc w:val="both"/>
      </w:pPr>
      <w:r w:rsidRPr="00CB37F7">
        <w:t>Общий объем кредитов, выданных под поручительства Гарантийного фонда</w:t>
      </w:r>
      <w:r w:rsidR="00E13EE5" w:rsidRPr="00CB37F7">
        <w:t>,</w:t>
      </w:r>
      <w:r w:rsidRPr="00CB37F7">
        <w:t xml:space="preserve"> с начала деятельности составил 4 744,7 млн. руб</w:t>
      </w:r>
      <w:r w:rsidR="00FB4D58" w:rsidRPr="00CB37F7">
        <w:t>., выдано поручительств 528 СМСП на сумму 2 247,7 млн. рублей.</w:t>
      </w:r>
    </w:p>
    <w:p w:rsidR="00157CCF" w:rsidRPr="00157CCF" w:rsidRDefault="00917003" w:rsidP="00561E3D">
      <w:pPr>
        <w:pStyle w:val="25"/>
        <w:shd w:val="clear" w:color="auto" w:fill="auto"/>
        <w:spacing w:before="0" w:line="240" w:lineRule="auto"/>
        <w:ind w:left="20" w:right="20" w:firstLine="700"/>
        <w:rPr>
          <w:rFonts w:ascii="Times New Roman" w:hAnsi="Times New Roman"/>
          <w:color w:val="000000"/>
          <w:sz w:val="24"/>
          <w:szCs w:val="24"/>
        </w:rPr>
      </w:pPr>
      <w:r w:rsidRPr="00157CCF">
        <w:rPr>
          <w:rFonts w:ascii="Times New Roman" w:hAnsi="Times New Roman"/>
          <w:sz w:val="24"/>
          <w:szCs w:val="24"/>
        </w:rPr>
        <w:t>В 2017 году выдано поручительств 52-м СМСП на сумму 363,5 млн.</w:t>
      </w:r>
      <w:r w:rsidR="00E13EE5">
        <w:rPr>
          <w:rFonts w:ascii="Times New Roman" w:hAnsi="Times New Roman"/>
          <w:sz w:val="24"/>
          <w:szCs w:val="24"/>
        </w:rPr>
        <w:t xml:space="preserve"> </w:t>
      </w:r>
      <w:r w:rsidRPr="00157CCF">
        <w:rPr>
          <w:rFonts w:ascii="Times New Roman" w:hAnsi="Times New Roman"/>
          <w:sz w:val="24"/>
          <w:szCs w:val="24"/>
        </w:rPr>
        <w:t>руб</w:t>
      </w:r>
      <w:r w:rsidR="00E13EE5">
        <w:rPr>
          <w:rFonts w:ascii="Times New Roman" w:hAnsi="Times New Roman"/>
          <w:sz w:val="24"/>
          <w:szCs w:val="24"/>
        </w:rPr>
        <w:t>.</w:t>
      </w:r>
      <w:r w:rsidRPr="00157CCF">
        <w:rPr>
          <w:rFonts w:ascii="Times New Roman" w:hAnsi="Times New Roman"/>
          <w:sz w:val="24"/>
          <w:szCs w:val="24"/>
        </w:rPr>
        <w:t xml:space="preserve"> по кредитам на сумму 853,2 млн.</w:t>
      </w:r>
      <w:r w:rsidR="00E13EE5">
        <w:rPr>
          <w:rFonts w:ascii="Times New Roman" w:hAnsi="Times New Roman"/>
          <w:sz w:val="24"/>
          <w:szCs w:val="24"/>
        </w:rPr>
        <w:t xml:space="preserve"> </w:t>
      </w:r>
      <w:r w:rsidRPr="00157CCF">
        <w:rPr>
          <w:rFonts w:ascii="Times New Roman" w:hAnsi="Times New Roman"/>
          <w:sz w:val="24"/>
          <w:szCs w:val="24"/>
        </w:rPr>
        <w:t>рублей.</w:t>
      </w:r>
      <w:r w:rsidR="00157CCF" w:rsidRPr="00157CCF">
        <w:rPr>
          <w:rFonts w:ascii="Times New Roman" w:hAnsi="Times New Roman"/>
          <w:sz w:val="24"/>
          <w:szCs w:val="24"/>
        </w:rPr>
        <w:t xml:space="preserve"> </w:t>
      </w:r>
      <w:r w:rsidR="000E3EED" w:rsidRPr="00157CCF">
        <w:rPr>
          <w:rFonts w:ascii="Times New Roman" w:hAnsi="Times New Roman"/>
          <w:color w:val="000000"/>
          <w:sz w:val="24"/>
          <w:szCs w:val="24"/>
        </w:rPr>
        <w:t xml:space="preserve">Количество выданных поручительств в 2017 году снизилось по сравнению с 2016 годом </w:t>
      </w:r>
      <w:r w:rsidR="00561E3D" w:rsidRPr="00157CCF">
        <w:rPr>
          <w:rFonts w:ascii="Times New Roman" w:hAnsi="Times New Roman"/>
          <w:color w:val="000000"/>
          <w:sz w:val="24"/>
          <w:szCs w:val="24"/>
        </w:rPr>
        <w:t>на 11 ед. (</w:t>
      </w:r>
      <w:r w:rsidR="000E3EED" w:rsidRPr="00157CCF">
        <w:rPr>
          <w:rFonts w:ascii="Times New Roman" w:hAnsi="Times New Roman"/>
          <w:color w:val="000000"/>
          <w:sz w:val="24"/>
          <w:szCs w:val="24"/>
        </w:rPr>
        <w:t>с 63 до 52</w:t>
      </w:r>
      <w:r w:rsidR="00561E3D" w:rsidRPr="00157CCF">
        <w:rPr>
          <w:rFonts w:ascii="Times New Roman" w:hAnsi="Times New Roman"/>
          <w:color w:val="000000"/>
          <w:sz w:val="24"/>
          <w:szCs w:val="24"/>
        </w:rPr>
        <w:t>)</w:t>
      </w:r>
      <w:r w:rsidRPr="00157CCF">
        <w:rPr>
          <w:rFonts w:ascii="Times New Roman" w:hAnsi="Times New Roman"/>
          <w:color w:val="000000"/>
          <w:sz w:val="24"/>
          <w:szCs w:val="24"/>
        </w:rPr>
        <w:t xml:space="preserve"> и увеличилось по </w:t>
      </w:r>
      <w:r w:rsidR="00E33988">
        <w:rPr>
          <w:rFonts w:ascii="Times New Roman" w:hAnsi="Times New Roman"/>
          <w:color w:val="000000"/>
          <w:sz w:val="24"/>
          <w:szCs w:val="24"/>
        </w:rPr>
        <w:t>сравнению с 2015 годом на 22 единицы.</w:t>
      </w:r>
      <w:r w:rsidR="00561E3D" w:rsidRPr="00157CCF">
        <w:rPr>
          <w:rFonts w:ascii="Times New Roman" w:hAnsi="Times New Roman"/>
          <w:color w:val="000000"/>
          <w:sz w:val="24"/>
          <w:szCs w:val="24"/>
        </w:rPr>
        <w:t xml:space="preserve"> </w:t>
      </w:r>
      <w:r w:rsidR="000E3EED" w:rsidRPr="00157CCF">
        <w:rPr>
          <w:rFonts w:ascii="Times New Roman" w:hAnsi="Times New Roman"/>
          <w:color w:val="000000"/>
          <w:sz w:val="24"/>
          <w:szCs w:val="24"/>
        </w:rPr>
        <w:t>При этом сумма поддержки</w:t>
      </w:r>
      <w:r w:rsidR="00157CCF" w:rsidRPr="00157CCF">
        <w:rPr>
          <w:rFonts w:ascii="Times New Roman" w:hAnsi="Times New Roman"/>
          <w:color w:val="000000"/>
          <w:sz w:val="24"/>
          <w:szCs w:val="24"/>
        </w:rPr>
        <w:t xml:space="preserve"> за 2015-2017 годы </w:t>
      </w:r>
      <w:r w:rsidR="000E3EED" w:rsidRPr="00157CCF">
        <w:rPr>
          <w:rFonts w:ascii="Times New Roman" w:hAnsi="Times New Roman"/>
          <w:color w:val="000000"/>
          <w:sz w:val="24"/>
          <w:szCs w:val="24"/>
        </w:rPr>
        <w:t>в виде объема поручительств выросла с</w:t>
      </w:r>
      <w:r w:rsidR="007B3DF4">
        <w:rPr>
          <w:rFonts w:ascii="Times New Roman" w:hAnsi="Times New Roman"/>
          <w:color w:val="000000"/>
          <w:sz w:val="24"/>
          <w:szCs w:val="24"/>
        </w:rPr>
        <w:t>о</w:t>
      </w:r>
      <w:r w:rsidR="000E3EED" w:rsidRPr="00157CCF">
        <w:rPr>
          <w:rFonts w:ascii="Times New Roman" w:hAnsi="Times New Roman"/>
          <w:color w:val="000000"/>
          <w:sz w:val="24"/>
          <w:szCs w:val="24"/>
        </w:rPr>
        <w:t xml:space="preserve"> </w:t>
      </w:r>
      <w:r w:rsidR="00561E3D" w:rsidRPr="00157CCF">
        <w:rPr>
          <w:rFonts w:ascii="Times New Roman" w:hAnsi="Times New Roman"/>
          <w:color w:val="000000"/>
          <w:sz w:val="24"/>
          <w:szCs w:val="24"/>
        </w:rPr>
        <w:t>105,7</w:t>
      </w:r>
      <w:r w:rsidR="000E3EED" w:rsidRPr="00157CCF">
        <w:rPr>
          <w:rFonts w:ascii="Times New Roman" w:hAnsi="Times New Roman"/>
          <w:color w:val="000000"/>
          <w:sz w:val="24"/>
          <w:szCs w:val="24"/>
        </w:rPr>
        <w:t xml:space="preserve"> млн. руб. до 363,5 млн. руб.</w:t>
      </w:r>
      <w:r w:rsidR="00157CCF" w:rsidRPr="00157CCF">
        <w:rPr>
          <w:rFonts w:ascii="Times New Roman" w:hAnsi="Times New Roman"/>
          <w:color w:val="000000"/>
          <w:sz w:val="24"/>
          <w:szCs w:val="24"/>
        </w:rPr>
        <w:t xml:space="preserve">, или в 3,4 раза. </w:t>
      </w:r>
      <w:r w:rsidR="000E3EED" w:rsidRPr="00157CCF">
        <w:rPr>
          <w:rFonts w:ascii="Times New Roman" w:hAnsi="Times New Roman"/>
          <w:color w:val="000000"/>
          <w:sz w:val="24"/>
          <w:szCs w:val="24"/>
        </w:rPr>
        <w:t xml:space="preserve">Объем кредитных средств, полученных предпринимателями под поручительство Волгоградской области, вырос с </w:t>
      </w:r>
      <w:r w:rsidR="00561E3D" w:rsidRPr="00157CCF">
        <w:rPr>
          <w:rFonts w:ascii="Times New Roman" w:hAnsi="Times New Roman"/>
          <w:color w:val="000000"/>
          <w:sz w:val="24"/>
          <w:szCs w:val="24"/>
        </w:rPr>
        <w:t xml:space="preserve">229,6 млн. руб. </w:t>
      </w:r>
      <w:r w:rsidR="000E3EED" w:rsidRPr="00157CCF">
        <w:rPr>
          <w:rFonts w:ascii="Times New Roman" w:hAnsi="Times New Roman"/>
          <w:color w:val="000000"/>
          <w:sz w:val="24"/>
          <w:szCs w:val="24"/>
        </w:rPr>
        <w:t>до 853,2 млн. руб.</w:t>
      </w:r>
      <w:r w:rsidR="00157CCF" w:rsidRPr="00157CCF">
        <w:rPr>
          <w:rFonts w:ascii="Times New Roman" w:hAnsi="Times New Roman"/>
          <w:color w:val="000000"/>
          <w:sz w:val="24"/>
          <w:szCs w:val="24"/>
        </w:rPr>
        <w:t>, или в 3,7 раза.</w:t>
      </w:r>
    </w:p>
    <w:p w:rsidR="000E3EED" w:rsidRDefault="000E3EED" w:rsidP="00E13EE5">
      <w:pPr>
        <w:ind w:firstLine="738"/>
        <w:jc w:val="both"/>
      </w:pPr>
      <w:r>
        <w:rPr>
          <w:color w:val="000000"/>
        </w:rPr>
        <w:t>Динамика действующих поручительств и выплат по предоставленным поручительствам по годам представлена в следующей таблице.</w:t>
      </w:r>
    </w:p>
    <w:tbl>
      <w:tblPr>
        <w:tblW w:w="9493" w:type="dxa"/>
        <w:tblInd w:w="113" w:type="dxa"/>
        <w:tblLayout w:type="fixed"/>
        <w:tblLook w:val="04A0"/>
      </w:tblPr>
      <w:tblGrid>
        <w:gridCol w:w="1129"/>
        <w:gridCol w:w="709"/>
        <w:gridCol w:w="992"/>
        <w:gridCol w:w="1134"/>
        <w:gridCol w:w="1527"/>
        <w:gridCol w:w="1450"/>
        <w:gridCol w:w="851"/>
        <w:gridCol w:w="1701"/>
      </w:tblGrid>
      <w:tr w:rsidR="000E3EED" w:rsidRPr="009D4848" w:rsidTr="00681598">
        <w:trPr>
          <w:trHeight w:val="446"/>
        </w:trPr>
        <w:tc>
          <w:tcPr>
            <w:tcW w:w="1129" w:type="dxa"/>
            <w:vMerge w:val="restart"/>
            <w:tcBorders>
              <w:top w:val="double" w:sz="4" w:space="0" w:color="auto"/>
              <w:left w:val="double" w:sz="4" w:space="0" w:color="auto"/>
              <w:bottom w:val="single" w:sz="4" w:space="0" w:color="auto"/>
              <w:right w:val="single" w:sz="4" w:space="0" w:color="auto"/>
            </w:tcBorders>
            <w:shd w:val="clear" w:color="auto" w:fill="EAF1DD" w:themeFill="accent3" w:themeFillTint="33"/>
            <w:hideMark/>
          </w:tcPr>
          <w:p w:rsidR="000E3EED" w:rsidRPr="003D7C44" w:rsidRDefault="000E3EED" w:rsidP="00681598">
            <w:pPr>
              <w:jc w:val="center"/>
              <w:rPr>
                <w:b/>
                <w:color w:val="000000"/>
                <w:sz w:val="16"/>
                <w:szCs w:val="16"/>
              </w:rPr>
            </w:pPr>
            <w:r w:rsidRPr="003D7C44">
              <w:rPr>
                <w:b/>
                <w:color w:val="000000"/>
                <w:sz w:val="16"/>
                <w:szCs w:val="16"/>
              </w:rPr>
              <w:t>Дата</w:t>
            </w:r>
          </w:p>
        </w:tc>
        <w:tc>
          <w:tcPr>
            <w:tcW w:w="1701" w:type="dxa"/>
            <w:gridSpan w:val="2"/>
            <w:tcBorders>
              <w:top w:val="double" w:sz="4" w:space="0" w:color="auto"/>
              <w:left w:val="nil"/>
              <w:bottom w:val="single" w:sz="4" w:space="0" w:color="auto"/>
              <w:right w:val="single" w:sz="4" w:space="0" w:color="auto"/>
            </w:tcBorders>
            <w:shd w:val="clear" w:color="auto" w:fill="EAF1DD" w:themeFill="accent3" w:themeFillTint="33"/>
            <w:hideMark/>
          </w:tcPr>
          <w:p w:rsidR="000E3EED" w:rsidRPr="003D7C44" w:rsidRDefault="000E3EED" w:rsidP="00681598">
            <w:pPr>
              <w:jc w:val="center"/>
              <w:rPr>
                <w:b/>
                <w:color w:val="000000"/>
                <w:sz w:val="16"/>
                <w:szCs w:val="16"/>
              </w:rPr>
            </w:pPr>
            <w:r w:rsidRPr="003D7C44">
              <w:rPr>
                <w:b/>
                <w:color w:val="000000"/>
                <w:sz w:val="16"/>
                <w:szCs w:val="16"/>
              </w:rPr>
              <w:t>Действующие поручительства</w:t>
            </w:r>
          </w:p>
        </w:tc>
        <w:tc>
          <w:tcPr>
            <w:tcW w:w="1134" w:type="dxa"/>
            <w:vMerge w:val="restart"/>
            <w:tcBorders>
              <w:top w:val="double" w:sz="4" w:space="0" w:color="auto"/>
              <w:left w:val="single" w:sz="4" w:space="0" w:color="auto"/>
              <w:bottom w:val="single" w:sz="4" w:space="0" w:color="auto"/>
              <w:right w:val="single" w:sz="4" w:space="0" w:color="auto"/>
            </w:tcBorders>
            <w:shd w:val="clear" w:color="auto" w:fill="EAF1DD" w:themeFill="accent3" w:themeFillTint="33"/>
            <w:hideMark/>
          </w:tcPr>
          <w:p w:rsidR="000E3EED" w:rsidRPr="003D7C44" w:rsidRDefault="000E3EED" w:rsidP="00681598">
            <w:pPr>
              <w:jc w:val="center"/>
              <w:rPr>
                <w:b/>
                <w:color w:val="000000"/>
                <w:sz w:val="16"/>
                <w:szCs w:val="16"/>
              </w:rPr>
            </w:pPr>
            <w:r w:rsidRPr="003D7C44">
              <w:rPr>
                <w:b/>
                <w:color w:val="000000"/>
                <w:sz w:val="16"/>
                <w:szCs w:val="16"/>
              </w:rPr>
              <w:t>Сумма кредитов, тыс. руб.</w:t>
            </w:r>
          </w:p>
        </w:tc>
        <w:tc>
          <w:tcPr>
            <w:tcW w:w="1527" w:type="dxa"/>
            <w:vMerge w:val="restart"/>
            <w:tcBorders>
              <w:top w:val="double" w:sz="4" w:space="0" w:color="auto"/>
              <w:left w:val="single" w:sz="4" w:space="0" w:color="auto"/>
              <w:bottom w:val="single" w:sz="4" w:space="0" w:color="auto"/>
              <w:right w:val="single" w:sz="4" w:space="0" w:color="auto"/>
            </w:tcBorders>
            <w:shd w:val="clear" w:color="auto" w:fill="EAF1DD" w:themeFill="accent3" w:themeFillTint="33"/>
            <w:hideMark/>
          </w:tcPr>
          <w:p w:rsidR="000E3EED" w:rsidRPr="003D7C44" w:rsidRDefault="000E3EED" w:rsidP="00681598">
            <w:pPr>
              <w:jc w:val="center"/>
              <w:rPr>
                <w:b/>
                <w:color w:val="000000"/>
                <w:sz w:val="16"/>
                <w:szCs w:val="16"/>
              </w:rPr>
            </w:pPr>
            <w:r w:rsidRPr="003D7C44">
              <w:rPr>
                <w:b/>
                <w:sz w:val="16"/>
                <w:szCs w:val="16"/>
              </w:rPr>
              <w:t>Отношение действующих кредитов к гарантийному капиталу, % (на конец года)</w:t>
            </w:r>
          </w:p>
        </w:tc>
        <w:tc>
          <w:tcPr>
            <w:tcW w:w="1450" w:type="dxa"/>
            <w:vMerge w:val="restart"/>
            <w:tcBorders>
              <w:top w:val="double" w:sz="4" w:space="0" w:color="auto"/>
              <w:left w:val="single" w:sz="4" w:space="0" w:color="auto"/>
              <w:bottom w:val="single" w:sz="4" w:space="0" w:color="auto"/>
              <w:right w:val="single" w:sz="4" w:space="0" w:color="auto"/>
            </w:tcBorders>
            <w:shd w:val="clear" w:color="auto" w:fill="EAF1DD" w:themeFill="accent3" w:themeFillTint="33"/>
          </w:tcPr>
          <w:p w:rsidR="000E3EED" w:rsidRPr="003D7C44" w:rsidRDefault="000E3EED" w:rsidP="00681598">
            <w:pPr>
              <w:jc w:val="center"/>
              <w:rPr>
                <w:b/>
                <w:color w:val="000000"/>
                <w:sz w:val="16"/>
                <w:szCs w:val="16"/>
              </w:rPr>
            </w:pPr>
            <w:r w:rsidRPr="003D7C44">
              <w:rPr>
                <w:b/>
                <w:color w:val="000000"/>
                <w:sz w:val="16"/>
                <w:szCs w:val="16"/>
              </w:rPr>
              <w:t>Доля поручительств в выданных кредитах</w:t>
            </w:r>
          </w:p>
        </w:tc>
        <w:tc>
          <w:tcPr>
            <w:tcW w:w="2552" w:type="dxa"/>
            <w:gridSpan w:val="2"/>
            <w:tcBorders>
              <w:top w:val="double" w:sz="4" w:space="0" w:color="auto"/>
              <w:left w:val="nil"/>
              <w:bottom w:val="single" w:sz="4" w:space="0" w:color="auto"/>
              <w:right w:val="double" w:sz="4" w:space="0" w:color="auto"/>
            </w:tcBorders>
            <w:shd w:val="clear" w:color="auto" w:fill="EAF1DD" w:themeFill="accent3" w:themeFillTint="33"/>
            <w:hideMark/>
          </w:tcPr>
          <w:p w:rsidR="000E3EED" w:rsidRPr="003D7C44" w:rsidRDefault="000E3EED" w:rsidP="00681598">
            <w:pPr>
              <w:jc w:val="center"/>
              <w:rPr>
                <w:b/>
                <w:color w:val="000000"/>
                <w:sz w:val="16"/>
                <w:szCs w:val="16"/>
              </w:rPr>
            </w:pPr>
            <w:r w:rsidRPr="003D7C44">
              <w:rPr>
                <w:b/>
                <w:color w:val="000000"/>
                <w:sz w:val="16"/>
                <w:szCs w:val="16"/>
              </w:rPr>
              <w:t>Сумма исполненных поручительств</w:t>
            </w:r>
          </w:p>
        </w:tc>
      </w:tr>
      <w:tr w:rsidR="000E3EED" w:rsidRPr="009D4848" w:rsidTr="00681598">
        <w:trPr>
          <w:trHeight w:val="654"/>
        </w:trPr>
        <w:tc>
          <w:tcPr>
            <w:tcW w:w="1129" w:type="dxa"/>
            <w:vMerge/>
            <w:tcBorders>
              <w:top w:val="single" w:sz="4" w:space="0" w:color="auto"/>
              <w:left w:val="double" w:sz="4" w:space="0" w:color="auto"/>
              <w:bottom w:val="double" w:sz="4" w:space="0" w:color="auto"/>
              <w:right w:val="single" w:sz="4" w:space="0" w:color="auto"/>
            </w:tcBorders>
            <w:shd w:val="clear" w:color="auto" w:fill="EAF1DD" w:themeFill="accent3" w:themeFillTint="33"/>
            <w:vAlign w:val="center"/>
            <w:hideMark/>
          </w:tcPr>
          <w:p w:rsidR="000E3EED" w:rsidRPr="003D7C44" w:rsidRDefault="000E3EED" w:rsidP="00681598">
            <w:pPr>
              <w:rPr>
                <w:b/>
                <w:color w:val="000000"/>
                <w:sz w:val="16"/>
                <w:szCs w:val="16"/>
              </w:rPr>
            </w:pPr>
          </w:p>
        </w:tc>
        <w:tc>
          <w:tcPr>
            <w:tcW w:w="709" w:type="dxa"/>
            <w:tcBorders>
              <w:top w:val="single" w:sz="4" w:space="0" w:color="auto"/>
              <w:left w:val="nil"/>
              <w:bottom w:val="double" w:sz="4" w:space="0" w:color="auto"/>
              <w:right w:val="single" w:sz="4" w:space="0" w:color="auto"/>
            </w:tcBorders>
            <w:shd w:val="clear" w:color="auto" w:fill="EAF1DD" w:themeFill="accent3" w:themeFillTint="33"/>
            <w:hideMark/>
          </w:tcPr>
          <w:p w:rsidR="000E3EED" w:rsidRPr="003D7C44" w:rsidRDefault="000E3EED" w:rsidP="00681598">
            <w:pPr>
              <w:jc w:val="center"/>
              <w:rPr>
                <w:b/>
                <w:color w:val="000000"/>
                <w:sz w:val="16"/>
                <w:szCs w:val="16"/>
              </w:rPr>
            </w:pPr>
            <w:r w:rsidRPr="003D7C44">
              <w:rPr>
                <w:b/>
                <w:color w:val="000000"/>
                <w:sz w:val="16"/>
                <w:szCs w:val="16"/>
              </w:rPr>
              <w:t>кол-во</w:t>
            </w:r>
          </w:p>
        </w:tc>
        <w:tc>
          <w:tcPr>
            <w:tcW w:w="992" w:type="dxa"/>
            <w:tcBorders>
              <w:top w:val="single" w:sz="4" w:space="0" w:color="auto"/>
              <w:left w:val="nil"/>
              <w:bottom w:val="double" w:sz="4" w:space="0" w:color="auto"/>
              <w:right w:val="single" w:sz="4" w:space="0" w:color="auto"/>
            </w:tcBorders>
            <w:shd w:val="clear" w:color="auto" w:fill="EAF1DD" w:themeFill="accent3" w:themeFillTint="33"/>
            <w:hideMark/>
          </w:tcPr>
          <w:p w:rsidR="000E3EED" w:rsidRPr="003D7C44" w:rsidRDefault="000E3EED" w:rsidP="00681598">
            <w:pPr>
              <w:jc w:val="center"/>
              <w:rPr>
                <w:b/>
                <w:color w:val="000000"/>
                <w:sz w:val="16"/>
                <w:szCs w:val="16"/>
              </w:rPr>
            </w:pPr>
            <w:r w:rsidRPr="003D7C44">
              <w:rPr>
                <w:b/>
                <w:color w:val="000000"/>
                <w:sz w:val="16"/>
                <w:szCs w:val="16"/>
              </w:rPr>
              <w:t>сумма, тыс. руб.</w:t>
            </w:r>
          </w:p>
        </w:tc>
        <w:tc>
          <w:tcPr>
            <w:tcW w:w="1134" w:type="dxa"/>
            <w:vMerge/>
            <w:tcBorders>
              <w:top w:val="single" w:sz="4" w:space="0" w:color="auto"/>
              <w:left w:val="single" w:sz="4" w:space="0" w:color="auto"/>
              <w:bottom w:val="double" w:sz="4" w:space="0" w:color="auto"/>
              <w:right w:val="single" w:sz="4" w:space="0" w:color="auto"/>
            </w:tcBorders>
            <w:shd w:val="clear" w:color="auto" w:fill="EAF1DD" w:themeFill="accent3" w:themeFillTint="33"/>
            <w:vAlign w:val="center"/>
            <w:hideMark/>
          </w:tcPr>
          <w:p w:rsidR="000E3EED" w:rsidRPr="003D7C44" w:rsidRDefault="000E3EED" w:rsidP="00681598">
            <w:pPr>
              <w:rPr>
                <w:b/>
                <w:color w:val="000000"/>
                <w:sz w:val="16"/>
                <w:szCs w:val="16"/>
              </w:rPr>
            </w:pPr>
          </w:p>
        </w:tc>
        <w:tc>
          <w:tcPr>
            <w:tcW w:w="1527" w:type="dxa"/>
            <w:vMerge/>
            <w:tcBorders>
              <w:top w:val="single" w:sz="4" w:space="0" w:color="auto"/>
              <w:left w:val="single" w:sz="4" w:space="0" w:color="auto"/>
              <w:bottom w:val="double" w:sz="4" w:space="0" w:color="auto"/>
              <w:right w:val="single" w:sz="4" w:space="0" w:color="auto"/>
            </w:tcBorders>
            <w:shd w:val="clear" w:color="auto" w:fill="EAF1DD" w:themeFill="accent3" w:themeFillTint="33"/>
            <w:vAlign w:val="center"/>
            <w:hideMark/>
          </w:tcPr>
          <w:p w:rsidR="000E3EED" w:rsidRPr="003D7C44" w:rsidRDefault="000E3EED" w:rsidP="00681598">
            <w:pPr>
              <w:rPr>
                <w:b/>
                <w:color w:val="000000"/>
                <w:sz w:val="16"/>
                <w:szCs w:val="16"/>
              </w:rPr>
            </w:pPr>
          </w:p>
        </w:tc>
        <w:tc>
          <w:tcPr>
            <w:tcW w:w="1450" w:type="dxa"/>
            <w:vMerge/>
            <w:tcBorders>
              <w:top w:val="single" w:sz="4" w:space="0" w:color="auto"/>
              <w:left w:val="single" w:sz="4" w:space="0" w:color="auto"/>
              <w:bottom w:val="double" w:sz="4" w:space="0" w:color="auto"/>
              <w:right w:val="single" w:sz="4" w:space="0" w:color="auto"/>
            </w:tcBorders>
            <w:shd w:val="clear" w:color="auto" w:fill="EAF1DD" w:themeFill="accent3" w:themeFillTint="33"/>
            <w:vAlign w:val="center"/>
          </w:tcPr>
          <w:p w:rsidR="000E3EED" w:rsidRPr="003D7C44" w:rsidRDefault="000E3EED" w:rsidP="00681598">
            <w:pPr>
              <w:rPr>
                <w:b/>
                <w:color w:val="000000"/>
                <w:sz w:val="16"/>
                <w:szCs w:val="16"/>
              </w:rPr>
            </w:pPr>
          </w:p>
        </w:tc>
        <w:tc>
          <w:tcPr>
            <w:tcW w:w="851" w:type="dxa"/>
            <w:tcBorders>
              <w:top w:val="single" w:sz="4" w:space="0" w:color="auto"/>
              <w:left w:val="nil"/>
              <w:bottom w:val="double" w:sz="4" w:space="0" w:color="auto"/>
              <w:right w:val="single" w:sz="4" w:space="0" w:color="auto"/>
            </w:tcBorders>
            <w:shd w:val="clear" w:color="auto" w:fill="EAF1DD" w:themeFill="accent3" w:themeFillTint="33"/>
            <w:hideMark/>
          </w:tcPr>
          <w:p w:rsidR="000E3EED" w:rsidRPr="003D7C44" w:rsidRDefault="000E3EED" w:rsidP="00681598">
            <w:pPr>
              <w:jc w:val="center"/>
              <w:rPr>
                <w:b/>
                <w:color w:val="000000"/>
                <w:sz w:val="16"/>
                <w:szCs w:val="16"/>
              </w:rPr>
            </w:pPr>
            <w:r w:rsidRPr="003D7C44">
              <w:rPr>
                <w:b/>
                <w:color w:val="000000"/>
                <w:sz w:val="16"/>
                <w:szCs w:val="16"/>
              </w:rPr>
              <w:t>сумма, тыс. руб.</w:t>
            </w:r>
          </w:p>
        </w:tc>
        <w:tc>
          <w:tcPr>
            <w:tcW w:w="1701" w:type="dxa"/>
            <w:tcBorders>
              <w:top w:val="single" w:sz="4" w:space="0" w:color="auto"/>
              <w:left w:val="nil"/>
              <w:bottom w:val="double" w:sz="4" w:space="0" w:color="auto"/>
              <w:right w:val="double" w:sz="4" w:space="0" w:color="auto"/>
            </w:tcBorders>
            <w:shd w:val="clear" w:color="auto" w:fill="EAF1DD" w:themeFill="accent3" w:themeFillTint="33"/>
            <w:hideMark/>
          </w:tcPr>
          <w:p w:rsidR="000E3EED" w:rsidRPr="003D7C44" w:rsidRDefault="000E3EED" w:rsidP="00681598">
            <w:pPr>
              <w:jc w:val="center"/>
              <w:rPr>
                <w:b/>
                <w:color w:val="000000"/>
                <w:sz w:val="16"/>
                <w:szCs w:val="16"/>
              </w:rPr>
            </w:pPr>
            <w:r w:rsidRPr="003D7C44">
              <w:rPr>
                <w:b/>
                <w:color w:val="000000"/>
                <w:sz w:val="16"/>
                <w:szCs w:val="16"/>
              </w:rPr>
              <w:t xml:space="preserve">% к </w:t>
            </w:r>
            <w:proofErr w:type="spellStart"/>
            <w:proofErr w:type="gramStart"/>
            <w:r w:rsidRPr="003D7C44">
              <w:rPr>
                <w:b/>
                <w:color w:val="000000"/>
                <w:sz w:val="16"/>
                <w:szCs w:val="16"/>
              </w:rPr>
              <w:t>дейст-вующим</w:t>
            </w:r>
            <w:proofErr w:type="spellEnd"/>
            <w:proofErr w:type="gramEnd"/>
            <w:r w:rsidRPr="003D7C44">
              <w:rPr>
                <w:b/>
                <w:color w:val="000000"/>
                <w:sz w:val="16"/>
                <w:szCs w:val="16"/>
              </w:rPr>
              <w:t xml:space="preserve"> на н.г. поручительствам</w:t>
            </w:r>
          </w:p>
        </w:tc>
      </w:tr>
      <w:tr w:rsidR="000E3EED" w:rsidRPr="0011364D" w:rsidTr="00681598">
        <w:trPr>
          <w:trHeight w:val="300"/>
        </w:trPr>
        <w:tc>
          <w:tcPr>
            <w:tcW w:w="1129" w:type="dxa"/>
            <w:tcBorders>
              <w:top w:val="double" w:sz="4" w:space="0" w:color="auto"/>
              <w:left w:val="double" w:sz="4" w:space="0" w:color="auto"/>
              <w:bottom w:val="single" w:sz="4" w:space="0" w:color="auto"/>
              <w:right w:val="single" w:sz="4" w:space="0" w:color="auto"/>
            </w:tcBorders>
            <w:shd w:val="clear" w:color="auto" w:fill="auto"/>
            <w:noWrap/>
            <w:vAlign w:val="bottom"/>
            <w:hideMark/>
          </w:tcPr>
          <w:p w:rsidR="000E3EED" w:rsidRPr="003D7C44" w:rsidRDefault="000E3EED" w:rsidP="00681598">
            <w:pPr>
              <w:jc w:val="right"/>
              <w:rPr>
                <w:color w:val="000000"/>
                <w:sz w:val="16"/>
                <w:szCs w:val="16"/>
              </w:rPr>
            </w:pPr>
            <w:r w:rsidRPr="003D7C44">
              <w:rPr>
                <w:color w:val="000000"/>
                <w:sz w:val="16"/>
                <w:szCs w:val="16"/>
              </w:rPr>
              <w:t>01.01.2015</w:t>
            </w:r>
          </w:p>
        </w:tc>
        <w:tc>
          <w:tcPr>
            <w:tcW w:w="709" w:type="dxa"/>
            <w:tcBorders>
              <w:top w:val="double" w:sz="4" w:space="0" w:color="auto"/>
              <w:left w:val="nil"/>
              <w:bottom w:val="single" w:sz="4" w:space="0" w:color="auto"/>
              <w:right w:val="single" w:sz="4" w:space="0" w:color="auto"/>
            </w:tcBorders>
            <w:shd w:val="clear" w:color="auto" w:fill="auto"/>
            <w:noWrap/>
            <w:vAlign w:val="bottom"/>
            <w:hideMark/>
          </w:tcPr>
          <w:p w:rsidR="000E3EED" w:rsidRPr="003D7C44" w:rsidRDefault="000E3EED" w:rsidP="00681598">
            <w:pPr>
              <w:jc w:val="right"/>
              <w:rPr>
                <w:color w:val="000000"/>
                <w:sz w:val="16"/>
                <w:szCs w:val="16"/>
              </w:rPr>
            </w:pPr>
            <w:r w:rsidRPr="003D7C44">
              <w:rPr>
                <w:color w:val="000000"/>
                <w:sz w:val="16"/>
                <w:szCs w:val="16"/>
              </w:rPr>
              <w:t>100</w:t>
            </w:r>
          </w:p>
        </w:tc>
        <w:tc>
          <w:tcPr>
            <w:tcW w:w="992" w:type="dxa"/>
            <w:tcBorders>
              <w:top w:val="double" w:sz="4" w:space="0" w:color="auto"/>
              <w:left w:val="nil"/>
              <w:bottom w:val="single" w:sz="4" w:space="0" w:color="auto"/>
              <w:right w:val="single" w:sz="4" w:space="0" w:color="auto"/>
            </w:tcBorders>
            <w:shd w:val="clear" w:color="auto" w:fill="auto"/>
            <w:noWrap/>
            <w:vAlign w:val="bottom"/>
            <w:hideMark/>
          </w:tcPr>
          <w:p w:rsidR="000E3EED" w:rsidRPr="003D7C44" w:rsidRDefault="000E3EED" w:rsidP="00681598">
            <w:pPr>
              <w:jc w:val="right"/>
              <w:rPr>
                <w:color w:val="000000"/>
                <w:sz w:val="16"/>
                <w:szCs w:val="16"/>
              </w:rPr>
            </w:pPr>
            <w:r w:rsidRPr="003D7C44">
              <w:rPr>
                <w:color w:val="000000"/>
                <w:sz w:val="16"/>
                <w:szCs w:val="16"/>
              </w:rPr>
              <w:t>438 703,1</w:t>
            </w:r>
          </w:p>
        </w:tc>
        <w:tc>
          <w:tcPr>
            <w:tcW w:w="1134" w:type="dxa"/>
            <w:tcBorders>
              <w:top w:val="double" w:sz="4" w:space="0" w:color="auto"/>
              <w:left w:val="nil"/>
              <w:bottom w:val="single" w:sz="4" w:space="0" w:color="auto"/>
              <w:right w:val="single" w:sz="4" w:space="0" w:color="auto"/>
            </w:tcBorders>
            <w:shd w:val="clear" w:color="auto" w:fill="auto"/>
            <w:noWrap/>
            <w:vAlign w:val="bottom"/>
            <w:hideMark/>
          </w:tcPr>
          <w:p w:rsidR="000E3EED" w:rsidRPr="003D7C44" w:rsidRDefault="000E3EED" w:rsidP="00681598">
            <w:pPr>
              <w:ind w:left="-264" w:firstLine="264"/>
              <w:jc w:val="right"/>
              <w:rPr>
                <w:color w:val="000000"/>
                <w:sz w:val="16"/>
                <w:szCs w:val="16"/>
              </w:rPr>
            </w:pPr>
            <w:r w:rsidRPr="003D7C44">
              <w:rPr>
                <w:color w:val="000000"/>
                <w:sz w:val="16"/>
                <w:szCs w:val="16"/>
              </w:rPr>
              <w:t>974 441,9</w:t>
            </w:r>
          </w:p>
        </w:tc>
        <w:tc>
          <w:tcPr>
            <w:tcW w:w="1527" w:type="dxa"/>
            <w:tcBorders>
              <w:top w:val="double" w:sz="4" w:space="0" w:color="auto"/>
              <w:left w:val="nil"/>
              <w:bottom w:val="single" w:sz="4" w:space="0" w:color="auto"/>
              <w:right w:val="single" w:sz="4" w:space="0" w:color="auto"/>
            </w:tcBorders>
            <w:shd w:val="clear" w:color="auto" w:fill="auto"/>
            <w:noWrap/>
            <w:vAlign w:val="bottom"/>
            <w:hideMark/>
          </w:tcPr>
          <w:p w:rsidR="000E3EED" w:rsidRPr="003D7C44" w:rsidRDefault="000E3EED" w:rsidP="00681598">
            <w:pPr>
              <w:jc w:val="right"/>
              <w:rPr>
                <w:color w:val="000000"/>
                <w:sz w:val="16"/>
                <w:szCs w:val="16"/>
              </w:rPr>
            </w:pPr>
            <w:r w:rsidRPr="003D7C44">
              <w:rPr>
                <w:color w:val="000000"/>
                <w:sz w:val="16"/>
                <w:szCs w:val="16"/>
              </w:rPr>
              <w:t>324,8</w:t>
            </w:r>
          </w:p>
        </w:tc>
        <w:tc>
          <w:tcPr>
            <w:tcW w:w="1450" w:type="dxa"/>
            <w:tcBorders>
              <w:top w:val="double" w:sz="4" w:space="0" w:color="auto"/>
              <w:left w:val="nil"/>
              <w:bottom w:val="single" w:sz="4" w:space="0" w:color="auto"/>
              <w:right w:val="single" w:sz="4" w:space="0" w:color="auto"/>
            </w:tcBorders>
            <w:shd w:val="clear" w:color="auto" w:fill="auto"/>
            <w:vAlign w:val="bottom"/>
          </w:tcPr>
          <w:p w:rsidR="000E3EED" w:rsidRPr="003D7C44" w:rsidRDefault="000E3EED" w:rsidP="00681598">
            <w:pPr>
              <w:jc w:val="right"/>
              <w:rPr>
                <w:color w:val="000000"/>
                <w:sz w:val="16"/>
                <w:szCs w:val="16"/>
              </w:rPr>
            </w:pPr>
            <w:r w:rsidRPr="003D7C44">
              <w:rPr>
                <w:color w:val="000000"/>
                <w:sz w:val="16"/>
                <w:szCs w:val="16"/>
              </w:rPr>
              <w:t>45,0%</w:t>
            </w:r>
          </w:p>
        </w:tc>
        <w:tc>
          <w:tcPr>
            <w:tcW w:w="851" w:type="dxa"/>
            <w:tcBorders>
              <w:top w:val="double" w:sz="4" w:space="0" w:color="auto"/>
              <w:left w:val="nil"/>
              <w:bottom w:val="single" w:sz="4" w:space="0" w:color="auto"/>
              <w:right w:val="single" w:sz="4" w:space="0" w:color="auto"/>
            </w:tcBorders>
            <w:shd w:val="clear" w:color="auto" w:fill="auto"/>
            <w:noWrap/>
            <w:vAlign w:val="bottom"/>
            <w:hideMark/>
          </w:tcPr>
          <w:p w:rsidR="000E3EED" w:rsidRPr="003D7C44" w:rsidRDefault="000E3EED" w:rsidP="00681598">
            <w:pPr>
              <w:jc w:val="right"/>
              <w:rPr>
                <w:color w:val="000000"/>
                <w:sz w:val="16"/>
                <w:szCs w:val="16"/>
              </w:rPr>
            </w:pPr>
            <w:r w:rsidRPr="003D7C44">
              <w:rPr>
                <w:color w:val="000000"/>
                <w:sz w:val="16"/>
                <w:szCs w:val="16"/>
              </w:rPr>
              <w:t>Х</w:t>
            </w:r>
          </w:p>
        </w:tc>
        <w:tc>
          <w:tcPr>
            <w:tcW w:w="1701" w:type="dxa"/>
            <w:tcBorders>
              <w:top w:val="double" w:sz="4" w:space="0" w:color="auto"/>
              <w:left w:val="nil"/>
              <w:bottom w:val="single" w:sz="4" w:space="0" w:color="auto"/>
              <w:right w:val="double" w:sz="4" w:space="0" w:color="auto"/>
            </w:tcBorders>
            <w:shd w:val="clear" w:color="auto" w:fill="auto"/>
            <w:noWrap/>
            <w:vAlign w:val="bottom"/>
            <w:hideMark/>
          </w:tcPr>
          <w:p w:rsidR="000E3EED" w:rsidRPr="003D7C44" w:rsidRDefault="000E3EED" w:rsidP="00681598">
            <w:pPr>
              <w:jc w:val="right"/>
              <w:rPr>
                <w:color w:val="000000"/>
                <w:sz w:val="16"/>
                <w:szCs w:val="16"/>
              </w:rPr>
            </w:pPr>
            <w:r w:rsidRPr="003D7C44">
              <w:rPr>
                <w:color w:val="000000"/>
                <w:sz w:val="16"/>
                <w:szCs w:val="16"/>
              </w:rPr>
              <w:t>Х</w:t>
            </w:r>
          </w:p>
        </w:tc>
      </w:tr>
      <w:tr w:rsidR="000E3EED" w:rsidRPr="0011364D" w:rsidTr="00681598">
        <w:trPr>
          <w:trHeight w:val="300"/>
        </w:trPr>
        <w:tc>
          <w:tcPr>
            <w:tcW w:w="1129" w:type="dxa"/>
            <w:tcBorders>
              <w:top w:val="single" w:sz="4" w:space="0" w:color="auto"/>
              <w:left w:val="double" w:sz="4" w:space="0" w:color="auto"/>
              <w:bottom w:val="single" w:sz="4" w:space="0" w:color="auto"/>
              <w:right w:val="single" w:sz="4" w:space="0" w:color="auto"/>
            </w:tcBorders>
            <w:shd w:val="clear" w:color="auto" w:fill="auto"/>
            <w:noWrap/>
            <w:vAlign w:val="bottom"/>
            <w:hideMark/>
          </w:tcPr>
          <w:p w:rsidR="000E3EED" w:rsidRPr="003D7C44" w:rsidRDefault="000E3EED" w:rsidP="00681598">
            <w:pPr>
              <w:jc w:val="right"/>
              <w:rPr>
                <w:color w:val="000000"/>
                <w:sz w:val="16"/>
                <w:szCs w:val="16"/>
              </w:rPr>
            </w:pPr>
            <w:r w:rsidRPr="003D7C44">
              <w:rPr>
                <w:color w:val="000000"/>
                <w:sz w:val="16"/>
                <w:szCs w:val="16"/>
              </w:rPr>
              <w:t>01.01.2016</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0E3EED" w:rsidRPr="003D7C44" w:rsidRDefault="000E3EED" w:rsidP="00681598">
            <w:pPr>
              <w:jc w:val="right"/>
              <w:rPr>
                <w:color w:val="000000"/>
                <w:sz w:val="16"/>
                <w:szCs w:val="16"/>
              </w:rPr>
            </w:pPr>
            <w:r w:rsidRPr="003D7C44">
              <w:rPr>
                <w:color w:val="000000"/>
                <w:sz w:val="16"/>
                <w:szCs w:val="16"/>
              </w:rPr>
              <w:t>96</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0E3EED" w:rsidRPr="003D7C44" w:rsidRDefault="000E3EED" w:rsidP="00681598">
            <w:pPr>
              <w:jc w:val="right"/>
              <w:rPr>
                <w:color w:val="000000"/>
                <w:sz w:val="16"/>
                <w:szCs w:val="16"/>
              </w:rPr>
            </w:pPr>
            <w:r w:rsidRPr="003D7C44">
              <w:rPr>
                <w:color w:val="000000"/>
                <w:sz w:val="16"/>
                <w:szCs w:val="16"/>
              </w:rPr>
              <w:t>393 375,5</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0E3EED" w:rsidRPr="003D7C44" w:rsidRDefault="000E3EED" w:rsidP="00681598">
            <w:pPr>
              <w:jc w:val="right"/>
              <w:rPr>
                <w:color w:val="000000"/>
                <w:sz w:val="16"/>
                <w:szCs w:val="16"/>
              </w:rPr>
            </w:pPr>
            <w:r w:rsidRPr="003D7C44">
              <w:rPr>
                <w:color w:val="000000"/>
                <w:sz w:val="16"/>
                <w:szCs w:val="16"/>
              </w:rPr>
              <w:t>902 205,0</w:t>
            </w:r>
          </w:p>
        </w:tc>
        <w:tc>
          <w:tcPr>
            <w:tcW w:w="1527" w:type="dxa"/>
            <w:tcBorders>
              <w:top w:val="single" w:sz="4" w:space="0" w:color="auto"/>
              <w:left w:val="nil"/>
              <w:bottom w:val="single" w:sz="4" w:space="0" w:color="auto"/>
              <w:right w:val="single" w:sz="4" w:space="0" w:color="auto"/>
            </w:tcBorders>
            <w:shd w:val="clear" w:color="auto" w:fill="auto"/>
            <w:noWrap/>
            <w:vAlign w:val="bottom"/>
            <w:hideMark/>
          </w:tcPr>
          <w:p w:rsidR="000E3EED" w:rsidRPr="003D7C44" w:rsidRDefault="000E3EED" w:rsidP="00681598">
            <w:pPr>
              <w:jc w:val="right"/>
              <w:rPr>
                <w:color w:val="000000"/>
                <w:sz w:val="16"/>
                <w:szCs w:val="16"/>
              </w:rPr>
            </w:pPr>
            <w:r w:rsidRPr="003D7C44">
              <w:rPr>
                <w:color w:val="000000"/>
                <w:sz w:val="16"/>
                <w:szCs w:val="16"/>
              </w:rPr>
              <w:t>225,6</w:t>
            </w:r>
          </w:p>
        </w:tc>
        <w:tc>
          <w:tcPr>
            <w:tcW w:w="1450" w:type="dxa"/>
            <w:tcBorders>
              <w:top w:val="single" w:sz="4" w:space="0" w:color="auto"/>
              <w:left w:val="nil"/>
              <w:bottom w:val="single" w:sz="4" w:space="0" w:color="auto"/>
              <w:right w:val="single" w:sz="4" w:space="0" w:color="auto"/>
            </w:tcBorders>
            <w:shd w:val="clear" w:color="auto" w:fill="auto"/>
            <w:vAlign w:val="bottom"/>
          </w:tcPr>
          <w:p w:rsidR="000E3EED" w:rsidRPr="003D7C44" w:rsidRDefault="000E3EED" w:rsidP="00681598">
            <w:pPr>
              <w:jc w:val="right"/>
              <w:rPr>
                <w:color w:val="000000"/>
                <w:sz w:val="16"/>
                <w:szCs w:val="16"/>
              </w:rPr>
            </w:pPr>
            <w:r w:rsidRPr="003D7C44">
              <w:rPr>
                <w:color w:val="000000"/>
                <w:sz w:val="16"/>
                <w:szCs w:val="16"/>
              </w:rPr>
              <w:t>43,6%</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0E3EED" w:rsidRPr="003D7C44" w:rsidRDefault="000E3EED" w:rsidP="00681598">
            <w:pPr>
              <w:jc w:val="right"/>
              <w:rPr>
                <w:color w:val="000000"/>
                <w:sz w:val="16"/>
                <w:szCs w:val="16"/>
              </w:rPr>
            </w:pPr>
            <w:r w:rsidRPr="003D7C44">
              <w:rPr>
                <w:color w:val="000000"/>
                <w:sz w:val="16"/>
                <w:szCs w:val="16"/>
              </w:rPr>
              <w:t>40 621,0</w:t>
            </w:r>
          </w:p>
        </w:tc>
        <w:tc>
          <w:tcPr>
            <w:tcW w:w="1701" w:type="dxa"/>
            <w:tcBorders>
              <w:top w:val="single" w:sz="4" w:space="0" w:color="auto"/>
              <w:left w:val="nil"/>
              <w:bottom w:val="single" w:sz="4" w:space="0" w:color="auto"/>
              <w:right w:val="double" w:sz="4" w:space="0" w:color="auto"/>
            </w:tcBorders>
            <w:shd w:val="clear" w:color="auto" w:fill="auto"/>
            <w:noWrap/>
            <w:vAlign w:val="bottom"/>
            <w:hideMark/>
          </w:tcPr>
          <w:p w:rsidR="000E3EED" w:rsidRPr="003D7C44" w:rsidRDefault="000E3EED" w:rsidP="00681598">
            <w:pPr>
              <w:jc w:val="right"/>
              <w:rPr>
                <w:color w:val="000000"/>
                <w:sz w:val="16"/>
                <w:szCs w:val="16"/>
              </w:rPr>
            </w:pPr>
            <w:r w:rsidRPr="003D7C44">
              <w:rPr>
                <w:color w:val="000000"/>
                <w:sz w:val="16"/>
                <w:szCs w:val="16"/>
              </w:rPr>
              <w:t>9,3%</w:t>
            </w:r>
          </w:p>
        </w:tc>
      </w:tr>
      <w:tr w:rsidR="000E3EED" w:rsidRPr="0011364D" w:rsidTr="00681598">
        <w:trPr>
          <w:trHeight w:val="300"/>
        </w:trPr>
        <w:tc>
          <w:tcPr>
            <w:tcW w:w="1129" w:type="dxa"/>
            <w:tcBorders>
              <w:top w:val="single" w:sz="4" w:space="0" w:color="auto"/>
              <w:left w:val="double" w:sz="4" w:space="0" w:color="auto"/>
              <w:bottom w:val="single" w:sz="4" w:space="0" w:color="auto"/>
              <w:right w:val="single" w:sz="4" w:space="0" w:color="auto"/>
            </w:tcBorders>
            <w:shd w:val="clear" w:color="auto" w:fill="auto"/>
            <w:noWrap/>
            <w:vAlign w:val="bottom"/>
            <w:hideMark/>
          </w:tcPr>
          <w:p w:rsidR="000E3EED" w:rsidRPr="003D7C44" w:rsidRDefault="000E3EED" w:rsidP="00681598">
            <w:pPr>
              <w:jc w:val="right"/>
              <w:rPr>
                <w:color w:val="000000"/>
                <w:sz w:val="16"/>
                <w:szCs w:val="16"/>
              </w:rPr>
            </w:pPr>
            <w:r w:rsidRPr="003D7C44">
              <w:rPr>
                <w:color w:val="000000"/>
                <w:sz w:val="16"/>
                <w:szCs w:val="16"/>
              </w:rPr>
              <w:t>01.01.2017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0E3EED" w:rsidRPr="003D7C44" w:rsidRDefault="000E3EED" w:rsidP="00681598">
            <w:pPr>
              <w:jc w:val="right"/>
              <w:rPr>
                <w:color w:val="000000"/>
                <w:sz w:val="16"/>
                <w:szCs w:val="16"/>
              </w:rPr>
            </w:pPr>
            <w:r w:rsidRPr="003D7C44">
              <w:rPr>
                <w:color w:val="000000"/>
                <w:sz w:val="16"/>
                <w:szCs w:val="16"/>
              </w:rPr>
              <w:t>120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0E3EED" w:rsidRPr="003D7C44" w:rsidRDefault="000E3EED" w:rsidP="00681598">
            <w:pPr>
              <w:jc w:val="right"/>
              <w:rPr>
                <w:color w:val="000000"/>
                <w:sz w:val="16"/>
                <w:szCs w:val="16"/>
              </w:rPr>
            </w:pPr>
            <w:r w:rsidRPr="003D7C44">
              <w:rPr>
                <w:color w:val="000000"/>
                <w:sz w:val="16"/>
                <w:szCs w:val="16"/>
              </w:rPr>
              <w:t>463 151,4</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0E3EED" w:rsidRPr="003D7C44" w:rsidRDefault="000E3EED" w:rsidP="00681598">
            <w:pPr>
              <w:jc w:val="right"/>
              <w:rPr>
                <w:color w:val="000000"/>
                <w:sz w:val="16"/>
                <w:szCs w:val="16"/>
              </w:rPr>
            </w:pPr>
            <w:r w:rsidRPr="003D7C44">
              <w:rPr>
                <w:color w:val="000000"/>
                <w:sz w:val="16"/>
                <w:szCs w:val="16"/>
              </w:rPr>
              <w:t>1 064 816,1</w:t>
            </w:r>
          </w:p>
        </w:tc>
        <w:tc>
          <w:tcPr>
            <w:tcW w:w="1527" w:type="dxa"/>
            <w:tcBorders>
              <w:top w:val="single" w:sz="4" w:space="0" w:color="auto"/>
              <w:left w:val="nil"/>
              <w:bottom w:val="single" w:sz="4" w:space="0" w:color="auto"/>
              <w:right w:val="single" w:sz="4" w:space="0" w:color="auto"/>
            </w:tcBorders>
            <w:shd w:val="clear" w:color="auto" w:fill="auto"/>
            <w:noWrap/>
            <w:vAlign w:val="bottom"/>
            <w:hideMark/>
          </w:tcPr>
          <w:p w:rsidR="000E3EED" w:rsidRPr="003D7C44" w:rsidRDefault="000E3EED" w:rsidP="00681598">
            <w:pPr>
              <w:jc w:val="right"/>
              <w:rPr>
                <w:color w:val="000000"/>
                <w:sz w:val="16"/>
                <w:szCs w:val="16"/>
              </w:rPr>
            </w:pPr>
            <w:r w:rsidRPr="003D7C44">
              <w:rPr>
                <w:color w:val="000000"/>
                <w:sz w:val="16"/>
                <w:szCs w:val="16"/>
              </w:rPr>
              <w:t>266,2</w:t>
            </w:r>
          </w:p>
        </w:tc>
        <w:tc>
          <w:tcPr>
            <w:tcW w:w="1450" w:type="dxa"/>
            <w:tcBorders>
              <w:top w:val="single" w:sz="4" w:space="0" w:color="auto"/>
              <w:left w:val="nil"/>
              <w:bottom w:val="single" w:sz="4" w:space="0" w:color="auto"/>
              <w:right w:val="single" w:sz="4" w:space="0" w:color="auto"/>
            </w:tcBorders>
            <w:shd w:val="clear" w:color="auto" w:fill="auto"/>
            <w:vAlign w:val="bottom"/>
          </w:tcPr>
          <w:p w:rsidR="000E3EED" w:rsidRPr="003D7C44" w:rsidRDefault="000E3EED" w:rsidP="00681598">
            <w:pPr>
              <w:jc w:val="right"/>
              <w:rPr>
                <w:color w:val="000000"/>
                <w:sz w:val="16"/>
                <w:szCs w:val="16"/>
              </w:rPr>
            </w:pPr>
            <w:r w:rsidRPr="003D7C44">
              <w:rPr>
                <w:color w:val="000000"/>
                <w:sz w:val="16"/>
                <w:szCs w:val="16"/>
              </w:rPr>
              <w:t>43,5%</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0E3EED" w:rsidRPr="003D7C44" w:rsidRDefault="000E3EED" w:rsidP="00681598">
            <w:pPr>
              <w:jc w:val="right"/>
              <w:rPr>
                <w:color w:val="000000"/>
                <w:sz w:val="16"/>
                <w:szCs w:val="16"/>
              </w:rPr>
            </w:pPr>
            <w:r w:rsidRPr="003D7C44">
              <w:rPr>
                <w:color w:val="000000"/>
                <w:sz w:val="16"/>
                <w:szCs w:val="16"/>
              </w:rPr>
              <w:t>52 678,3</w:t>
            </w:r>
          </w:p>
        </w:tc>
        <w:tc>
          <w:tcPr>
            <w:tcW w:w="1701" w:type="dxa"/>
            <w:tcBorders>
              <w:top w:val="single" w:sz="4" w:space="0" w:color="auto"/>
              <w:left w:val="nil"/>
              <w:bottom w:val="single" w:sz="4" w:space="0" w:color="auto"/>
              <w:right w:val="double" w:sz="4" w:space="0" w:color="auto"/>
            </w:tcBorders>
            <w:shd w:val="clear" w:color="auto" w:fill="auto"/>
            <w:noWrap/>
            <w:vAlign w:val="bottom"/>
            <w:hideMark/>
          </w:tcPr>
          <w:p w:rsidR="000E3EED" w:rsidRPr="003D7C44" w:rsidRDefault="000E3EED" w:rsidP="00681598">
            <w:pPr>
              <w:jc w:val="right"/>
              <w:rPr>
                <w:color w:val="000000"/>
                <w:sz w:val="16"/>
                <w:szCs w:val="16"/>
              </w:rPr>
            </w:pPr>
            <w:r w:rsidRPr="003D7C44">
              <w:rPr>
                <w:color w:val="000000"/>
                <w:sz w:val="16"/>
                <w:szCs w:val="16"/>
              </w:rPr>
              <w:t>13,4%</w:t>
            </w:r>
          </w:p>
        </w:tc>
      </w:tr>
      <w:tr w:rsidR="000E3EED" w:rsidRPr="0011364D" w:rsidTr="00681598">
        <w:trPr>
          <w:trHeight w:val="300"/>
        </w:trPr>
        <w:tc>
          <w:tcPr>
            <w:tcW w:w="1129" w:type="dxa"/>
            <w:tcBorders>
              <w:top w:val="single" w:sz="4" w:space="0" w:color="auto"/>
              <w:left w:val="double" w:sz="4" w:space="0" w:color="auto"/>
              <w:bottom w:val="single" w:sz="4" w:space="0" w:color="auto"/>
              <w:right w:val="single" w:sz="4" w:space="0" w:color="auto"/>
            </w:tcBorders>
            <w:shd w:val="clear" w:color="auto" w:fill="auto"/>
            <w:noWrap/>
            <w:vAlign w:val="bottom"/>
            <w:hideMark/>
          </w:tcPr>
          <w:p w:rsidR="000E3EED" w:rsidRPr="003D7C44" w:rsidRDefault="000E3EED" w:rsidP="00681598">
            <w:pPr>
              <w:jc w:val="right"/>
              <w:rPr>
                <w:color w:val="000000"/>
                <w:sz w:val="16"/>
                <w:szCs w:val="16"/>
              </w:rPr>
            </w:pPr>
            <w:r w:rsidRPr="003D7C44">
              <w:rPr>
                <w:color w:val="000000"/>
                <w:sz w:val="16"/>
                <w:szCs w:val="16"/>
              </w:rPr>
              <w:t>01.01.2018</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0E3EED" w:rsidRPr="003D7C44" w:rsidRDefault="000E3EED" w:rsidP="00681598">
            <w:pPr>
              <w:jc w:val="right"/>
              <w:rPr>
                <w:color w:val="000000"/>
                <w:sz w:val="16"/>
                <w:szCs w:val="16"/>
              </w:rPr>
            </w:pPr>
            <w:r w:rsidRPr="003D7C44">
              <w:rPr>
                <w:color w:val="000000"/>
                <w:sz w:val="16"/>
                <w:szCs w:val="16"/>
              </w:rPr>
              <w:t>115</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0E3EED" w:rsidRPr="003D7C44" w:rsidRDefault="000E3EED" w:rsidP="00681598">
            <w:pPr>
              <w:jc w:val="right"/>
              <w:rPr>
                <w:color w:val="000000"/>
                <w:sz w:val="16"/>
                <w:szCs w:val="16"/>
              </w:rPr>
            </w:pPr>
            <w:r w:rsidRPr="003D7C44">
              <w:rPr>
                <w:color w:val="000000"/>
                <w:sz w:val="16"/>
                <w:szCs w:val="16"/>
              </w:rPr>
              <w:t>605 062,2</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0E3EED" w:rsidRPr="003D7C44" w:rsidRDefault="000E3EED" w:rsidP="00681598">
            <w:pPr>
              <w:jc w:val="right"/>
              <w:rPr>
                <w:color w:val="000000"/>
                <w:sz w:val="16"/>
                <w:szCs w:val="16"/>
              </w:rPr>
            </w:pPr>
            <w:r w:rsidRPr="003D7C44">
              <w:rPr>
                <w:color w:val="000000"/>
                <w:sz w:val="16"/>
                <w:szCs w:val="16"/>
              </w:rPr>
              <w:t>1 395 384,1</w:t>
            </w:r>
          </w:p>
        </w:tc>
        <w:tc>
          <w:tcPr>
            <w:tcW w:w="1527" w:type="dxa"/>
            <w:tcBorders>
              <w:top w:val="single" w:sz="4" w:space="0" w:color="auto"/>
              <w:left w:val="nil"/>
              <w:bottom w:val="single" w:sz="4" w:space="0" w:color="auto"/>
              <w:right w:val="single" w:sz="4" w:space="0" w:color="auto"/>
            </w:tcBorders>
            <w:shd w:val="clear" w:color="auto" w:fill="auto"/>
            <w:noWrap/>
            <w:vAlign w:val="bottom"/>
            <w:hideMark/>
          </w:tcPr>
          <w:p w:rsidR="000E3EED" w:rsidRPr="003D7C44" w:rsidRDefault="000E3EED" w:rsidP="00681598">
            <w:pPr>
              <w:jc w:val="right"/>
              <w:rPr>
                <w:color w:val="000000"/>
                <w:sz w:val="16"/>
                <w:szCs w:val="16"/>
              </w:rPr>
            </w:pPr>
            <w:r w:rsidRPr="003D7C44">
              <w:rPr>
                <w:color w:val="000000"/>
                <w:sz w:val="16"/>
                <w:szCs w:val="16"/>
              </w:rPr>
              <w:t>348,8</w:t>
            </w:r>
          </w:p>
        </w:tc>
        <w:tc>
          <w:tcPr>
            <w:tcW w:w="1450" w:type="dxa"/>
            <w:tcBorders>
              <w:top w:val="single" w:sz="4" w:space="0" w:color="auto"/>
              <w:left w:val="nil"/>
              <w:bottom w:val="single" w:sz="4" w:space="0" w:color="auto"/>
              <w:right w:val="single" w:sz="4" w:space="0" w:color="auto"/>
            </w:tcBorders>
            <w:shd w:val="clear" w:color="auto" w:fill="auto"/>
            <w:vAlign w:val="bottom"/>
          </w:tcPr>
          <w:p w:rsidR="000E3EED" w:rsidRPr="003D7C44" w:rsidRDefault="000E3EED" w:rsidP="00681598">
            <w:pPr>
              <w:jc w:val="right"/>
              <w:rPr>
                <w:color w:val="000000"/>
                <w:sz w:val="16"/>
                <w:szCs w:val="16"/>
              </w:rPr>
            </w:pPr>
            <w:r w:rsidRPr="003D7C44">
              <w:rPr>
                <w:color w:val="000000"/>
                <w:sz w:val="16"/>
                <w:szCs w:val="16"/>
              </w:rPr>
              <w:t>43,4%</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0E3EED" w:rsidRPr="003D7C44" w:rsidRDefault="000E3EED" w:rsidP="00681598">
            <w:pPr>
              <w:jc w:val="right"/>
              <w:rPr>
                <w:color w:val="000000"/>
                <w:sz w:val="16"/>
                <w:szCs w:val="16"/>
              </w:rPr>
            </w:pPr>
            <w:r w:rsidRPr="003D7C44">
              <w:rPr>
                <w:color w:val="000000"/>
                <w:sz w:val="16"/>
                <w:szCs w:val="16"/>
              </w:rPr>
              <w:t>27 675,0</w:t>
            </w:r>
          </w:p>
        </w:tc>
        <w:tc>
          <w:tcPr>
            <w:tcW w:w="1701" w:type="dxa"/>
            <w:tcBorders>
              <w:top w:val="single" w:sz="4" w:space="0" w:color="auto"/>
              <w:left w:val="nil"/>
              <w:bottom w:val="single" w:sz="4" w:space="0" w:color="auto"/>
              <w:right w:val="double" w:sz="4" w:space="0" w:color="auto"/>
            </w:tcBorders>
            <w:shd w:val="clear" w:color="auto" w:fill="auto"/>
            <w:noWrap/>
            <w:vAlign w:val="bottom"/>
            <w:hideMark/>
          </w:tcPr>
          <w:p w:rsidR="000E3EED" w:rsidRPr="003D7C44" w:rsidRDefault="000E3EED" w:rsidP="00681598">
            <w:pPr>
              <w:jc w:val="right"/>
              <w:rPr>
                <w:color w:val="000000"/>
                <w:sz w:val="16"/>
                <w:szCs w:val="16"/>
              </w:rPr>
            </w:pPr>
            <w:r w:rsidRPr="003D7C44">
              <w:rPr>
                <w:color w:val="000000"/>
                <w:sz w:val="16"/>
                <w:szCs w:val="16"/>
              </w:rPr>
              <w:t>6,0%</w:t>
            </w:r>
          </w:p>
        </w:tc>
      </w:tr>
      <w:tr w:rsidR="000E3EED" w:rsidRPr="0011364D" w:rsidTr="00681598">
        <w:trPr>
          <w:trHeight w:val="300"/>
        </w:trPr>
        <w:tc>
          <w:tcPr>
            <w:tcW w:w="1129" w:type="dxa"/>
            <w:tcBorders>
              <w:top w:val="single" w:sz="4" w:space="0" w:color="auto"/>
              <w:left w:val="double" w:sz="4" w:space="0" w:color="auto"/>
              <w:bottom w:val="double" w:sz="4" w:space="0" w:color="auto"/>
              <w:right w:val="single" w:sz="4" w:space="0" w:color="auto"/>
            </w:tcBorders>
            <w:shd w:val="clear" w:color="auto" w:fill="auto"/>
            <w:noWrap/>
            <w:vAlign w:val="bottom"/>
            <w:hideMark/>
          </w:tcPr>
          <w:p w:rsidR="000E3EED" w:rsidRPr="003D7C44" w:rsidRDefault="000E3EED" w:rsidP="00681598">
            <w:pPr>
              <w:jc w:val="right"/>
              <w:rPr>
                <w:color w:val="000000"/>
                <w:sz w:val="16"/>
                <w:szCs w:val="16"/>
              </w:rPr>
            </w:pPr>
            <w:r w:rsidRPr="003D7C44">
              <w:rPr>
                <w:color w:val="000000"/>
                <w:sz w:val="16"/>
                <w:szCs w:val="16"/>
              </w:rPr>
              <w:t>01.04.2018</w:t>
            </w:r>
          </w:p>
        </w:tc>
        <w:tc>
          <w:tcPr>
            <w:tcW w:w="709" w:type="dxa"/>
            <w:tcBorders>
              <w:top w:val="single" w:sz="4" w:space="0" w:color="auto"/>
              <w:left w:val="nil"/>
              <w:bottom w:val="double" w:sz="4" w:space="0" w:color="auto"/>
              <w:right w:val="single" w:sz="4" w:space="0" w:color="auto"/>
            </w:tcBorders>
            <w:shd w:val="clear" w:color="auto" w:fill="auto"/>
            <w:noWrap/>
            <w:vAlign w:val="bottom"/>
            <w:hideMark/>
          </w:tcPr>
          <w:p w:rsidR="000E3EED" w:rsidRPr="003D7C44" w:rsidRDefault="000E3EED" w:rsidP="00681598">
            <w:pPr>
              <w:jc w:val="right"/>
              <w:rPr>
                <w:color w:val="000000"/>
                <w:sz w:val="16"/>
                <w:szCs w:val="16"/>
              </w:rPr>
            </w:pPr>
            <w:r w:rsidRPr="003D7C44">
              <w:rPr>
                <w:color w:val="000000"/>
                <w:sz w:val="16"/>
                <w:szCs w:val="16"/>
              </w:rPr>
              <w:t>110</w:t>
            </w:r>
          </w:p>
        </w:tc>
        <w:tc>
          <w:tcPr>
            <w:tcW w:w="992" w:type="dxa"/>
            <w:tcBorders>
              <w:top w:val="single" w:sz="4" w:space="0" w:color="auto"/>
              <w:left w:val="nil"/>
              <w:bottom w:val="double" w:sz="4" w:space="0" w:color="auto"/>
              <w:right w:val="single" w:sz="4" w:space="0" w:color="auto"/>
            </w:tcBorders>
            <w:shd w:val="clear" w:color="auto" w:fill="auto"/>
            <w:noWrap/>
            <w:vAlign w:val="bottom"/>
            <w:hideMark/>
          </w:tcPr>
          <w:p w:rsidR="000E3EED" w:rsidRPr="003D7C44" w:rsidRDefault="000E3EED" w:rsidP="00681598">
            <w:pPr>
              <w:jc w:val="right"/>
              <w:rPr>
                <w:color w:val="000000"/>
                <w:sz w:val="16"/>
                <w:szCs w:val="16"/>
              </w:rPr>
            </w:pPr>
            <w:r w:rsidRPr="003D7C44">
              <w:rPr>
                <w:color w:val="000000"/>
                <w:sz w:val="16"/>
                <w:szCs w:val="16"/>
              </w:rPr>
              <w:t>595 543,9</w:t>
            </w:r>
          </w:p>
        </w:tc>
        <w:tc>
          <w:tcPr>
            <w:tcW w:w="1134" w:type="dxa"/>
            <w:tcBorders>
              <w:top w:val="single" w:sz="4" w:space="0" w:color="auto"/>
              <w:left w:val="nil"/>
              <w:bottom w:val="double" w:sz="4" w:space="0" w:color="auto"/>
              <w:right w:val="single" w:sz="4" w:space="0" w:color="auto"/>
            </w:tcBorders>
            <w:shd w:val="clear" w:color="auto" w:fill="auto"/>
            <w:noWrap/>
            <w:vAlign w:val="bottom"/>
            <w:hideMark/>
          </w:tcPr>
          <w:p w:rsidR="000E3EED" w:rsidRPr="003D7C44" w:rsidRDefault="000E3EED" w:rsidP="00681598">
            <w:pPr>
              <w:jc w:val="right"/>
              <w:rPr>
                <w:color w:val="000000"/>
                <w:sz w:val="16"/>
                <w:szCs w:val="16"/>
              </w:rPr>
            </w:pPr>
            <w:r w:rsidRPr="003D7C44">
              <w:rPr>
                <w:color w:val="000000"/>
                <w:sz w:val="16"/>
                <w:szCs w:val="16"/>
              </w:rPr>
              <w:t>1 418 754,1</w:t>
            </w:r>
          </w:p>
        </w:tc>
        <w:tc>
          <w:tcPr>
            <w:tcW w:w="1527" w:type="dxa"/>
            <w:tcBorders>
              <w:top w:val="single" w:sz="4" w:space="0" w:color="auto"/>
              <w:left w:val="nil"/>
              <w:bottom w:val="double" w:sz="4" w:space="0" w:color="auto"/>
              <w:right w:val="single" w:sz="4" w:space="0" w:color="auto"/>
            </w:tcBorders>
            <w:shd w:val="clear" w:color="auto" w:fill="auto"/>
            <w:noWrap/>
            <w:vAlign w:val="bottom"/>
            <w:hideMark/>
          </w:tcPr>
          <w:p w:rsidR="000E3EED" w:rsidRPr="003D7C44" w:rsidRDefault="000E3EED" w:rsidP="00681598">
            <w:pPr>
              <w:jc w:val="right"/>
              <w:rPr>
                <w:color w:val="000000"/>
                <w:sz w:val="16"/>
                <w:szCs w:val="16"/>
              </w:rPr>
            </w:pPr>
            <w:r w:rsidRPr="003D7C44">
              <w:rPr>
                <w:color w:val="000000"/>
                <w:sz w:val="16"/>
                <w:szCs w:val="16"/>
              </w:rPr>
              <w:t>354,7</w:t>
            </w:r>
          </w:p>
        </w:tc>
        <w:tc>
          <w:tcPr>
            <w:tcW w:w="1450" w:type="dxa"/>
            <w:tcBorders>
              <w:top w:val="single" w:sz="4" w:space="0" w:color="auto"/>
              <w:left w:val="nil"/>
              <w:bottom w:val="double" w:sz="4" w:space="0" w:color="auto"/>
              <w:right w:val="single" w:sz="4" w:space="0" w:color="auto"/>
            </w:tcBorders>
            <w:shd w:val="clear" w:color="auto" w:fill="auto"/>
            <w:vAlign w:val="bottom"/>
          </w:tcPr>
          <w:p w:rsidR="000E3EED" w:rsidRPr="003D7C44" w:rsidRDefault="000E3EED" w:rsidP="00681598">
            <w:pPr>
              <w:jc w:val="right"/>
              <w:rPr>
                <w:color w:val="000000"/>
                <w:sz w:val="16"/>
                <w:szCs w:val="16"/>
              </w:rPr>
            </w:pPr>
            <w:r w:rsidRPr="003D7C44">
              <w:rPr>
                <w:color w:val="000000"/>
                <w:sz w:val="16"/>
                <w:szCs w:val="16"/>
              </w:rPr>
              <w:t>42,0%</w:t>
            </w:r>
          </w:p>
        </w:tc>
        <w:tc>
          <w:tcPr>
            <w:tcW w:w="851" w:type="dxa"/>
            <w:tcBorders>
              <w:top w:val="single" w:sz="4" w:space="0" w:color="auto"/>
              <w:left w:val="nil"/>
              <w:bottom w:val="double" w:sz="4" w:space="0" w:color="auto"/>
              <w:right w:val="single" w:sz="4" w:space="0" w:color="auto"/>
            </w:tcBorders>
            <w:shd w:val="clear" w:color="auto" w:fill="auto"/>
            <w:noWrap/>
            <w:vAlign w:val="bottom"/>
            <w:hideMark/>
          </w:tcPr>
          <w:p w:rsidR="000E3EED" w:rsidRPr="003D7C44" w:rsidRDefault="000E3EED" w:rsidP="00681598">
            <w:pPr>
              <w:jc w:val="right"/>
              <w:rPr>
                <w:color w:val="000000"/>
                <w:sz w:val="16"/>
                <w:szCs w:val="16"/>
              </w:rPr>
            </w:pPr>
            <w:r w:rsidRPr="003D7C44">
              <w:rPr>
                <w:color w:val="000000"/>
                <w:sz w:val="16"/>
                <w:szCs w:val="16"/>
              </w:rPr>
              <w:t>11 440,9</w:t>
            </w:r>
          </w:p>
        </w:tc>
        <w:tc>
          <w:tcPr>
            <w:tcW w:w="1701" w:type="dxa"/>
            <w:tcBorders>
              <w:top w:val="single" w:sz="4" w:space="0" w:color="auto"/>
              <w:left w:val="nil"/>
              <w:bottom w:val="double" w:sz="4" w:space="0" w:color="auto"/>
              <w:right w:val="double" w:sz="4" w:space="0" w:color="auto"/>
            </w:tcBorders>
            <w:shd w:val="clear" w:color="auto" w:fill="auto"/>
            <w:noWrap/>
            <w:vAlign w:val="bottom"/>
            <w:hideMark/>
          </w:tcPr>
          <w:p w:rsidR="000E3EED" w:rsidRPr="003D7C44" w:rsidRDefault="000E3EED" w:rsidP="00681598">
            <w:pPr>
              <w:jc w:val="right"/>
              <w:rPr>
                <w:color w:val="000000"/>
                <w:sz w:val="16"/>
                <w:szCs w:val="16"/>
              </w:rPr>
            </w:pPr>
            <w:r w:rsidRPr="003D7C44">
              <w:rPr>
                <w:color w:val="000000"/>
                <w:sz w:val="16"/>
                <w:szCs w:val="16"/>
              </w:rPr>
              <w:t>1,9%</w:t>
            </w:r>
          </w:p>
        </w:tc>
      </w:tr>
    </w:tbl>
    <w:p w:rsidR="004B6835" w:rsidRDefault="004B6835" w:rsidP="00026BEF">
      <w:pPr>
        <w:ind w:firstLine="680"/>
        <w:jc w:val="both"/>
      </w:pPr>
    </w:p>
    <w:p w:rsidR="004B6835" w:rsidRPr="004B6835" w:rsidRDefault="004B6835" w:rsidP="00026BEF">
      <w:pPr>
        <w:ind w:firstLine="680"/>
        <w:jc w:val="both"/>
        <w:rPr>
          <w:bCs/>
          <w:color w:val="000000"/>
        </w:rPr>
      </w:pPr>
      <w:proofErr w:type="gramStart"/>
      <w:r w:rsidRPr="00CB37F7">
        <w:rPr>
          <w:bCs/>
          <w:color w:val="000000"/>
        </w:rPr>
        <w:lastRenderedPageBreak/>
        <w:t xml:space="preserve">Как видно из таблицы, по состоянию на 01.04.2018 выдано поручительств на 595,5 млн. руб. при установленном лимите условных обязательств поручительств на </w:t>
      </w:r>
      <w:r w:rsidR="00550AC2" w:rsidRPr="00CB37F7">
        <w:rPr>
          <w:bCs/>
          <w:color w:val="000000"/>
        </w:rPr>
        <w:t>б</w:t>
      </w:r>
      <w:r w:rsidRPr="00CB37F7">
        <w:rPr>
          <w:bCs/>
          <w:color w:val="000000"/>
        </w:rPr>
        <w:t>анк – партнер в размере 944,8 млн. руб. (использован лимит на 63%), в 2017</w:t>
      </w:r>
      <w:r w:rsidR="00E33988" w:rsidRPr="00CB37F7">
        <w:rPr>
          <w:bCs/>
          <w:color w:val="000000"/>
        </w:rPr>
        <w:t xml:space="preserve"> </w:t>
      </w:r>
      <w:r w:rsidRPr="00CB37F7">
        <w:rPr>
          <w:bCs/>
          <w:color w:val="000000"/>
        </w:rPr>
        <w:t>году размер поручительств составил 605,1 млн. руб. при установленном лимите на 896,8 млн. руб. (использован лимит на 67,5%), т.е. наблюдается снижение освоения лимита условных обязательств.</w:t>
      </w:r>
      <w:proofErr w:type="gramEnd"/>
    </w:p>
    <w:p w:rsidR="00026BEF" w:rsidRDefault="004B6835" w:rsidP="00026BEF">
      <w:pPr>
        <w:ind w:firstLine="680"/>
        <w:jc w:val="both"/>
      </w:pPr>
      <w:r>
        <w:t>П</w:t>
      </w:r>
      <w:r w:rsidR="00026BEF">
        <w:t xml:space="preserve">оложительным моментом является постоянная динамика </w:t>
      </w:r>
      <w:bookmarkStart w:id="5" w:name="OLE_LINK6"/>
      <w:bookmarkStart w:id="6" w:name="OLE_LINK7"/>
      <w:r w:rsidR="00026BEF">
        <w:t>снижения доли ответственности Волгоградской области в займах (кредитах</w:t>
      </w:r>
      <w:bookmarkEnd w:id="5"/>
      <w:bookmarkEnd w:id="6"/>
      <w:r w:rsidR="00026BEF">
        <w:t>), предоставляемых СМСП (доля поручительств в выданных кредитах снизилась с 45,0% на 01.01.2015 до 42,0% на 01.04.2018), что характеризует более высокий уровень обеспечения ответственности непосредственно заемщиком и  снижает риски по исполнению поручительств.</w:t>
      </w:r>
    </w:p>
    <w:p w:rsidR="000E3EED" w:rsidRPr="00F04047" w:rsidRDefault="00026BEF" w:rsidP="000E3EED">
      <w:pPr>
        <w:ind w:firstLine="680"/>
        <w:jc w:val="both"/>
      </w:pPr>
      <w:r w:rsidRPr="00026BEF">
        <w:t>М</w:t>
      </w:r>
      <w:r w:rsidR="000E3EED" w:rsidRPr="00026BEF">
        <w:t xml:space="preserve">аксимальное значение по выплатам банкам </w:t>
      </w:r>
      <w:r w:rsidR="00E15FEE">
        <w:t xml:space="preserve">(исполнение поручительств) </w:t>
      </w:r>
      <w:r w:rsidR="000E3EED" w:rsidRPr="00026BEF">
        <w:t xml:space="preserve">было в 2016 году (52,7 млн. руб.). В 2017 году снижение выплат </w:t>
      </w:r>
      <w:r w:rsidRPr="00026BEF">
        <w:t>произошло</w:t>
      </w:r>
      <w:r w:rsidR="000E3EED" w:rsidRPr="00026BEF">
        <w:t xml:space="preserve"> практически в 2 раза, процент выплат по отношению к действующим поручительствам на начало года снизился более чем в 2 </w:t>
      </w:r>
      <w:r w:rsidR="000E3EED" w:rsidRPr="00F04047">
        <w:t>раза – с 13,4% до 6,0 процент</w:t>
      </w:r>
      <w:r w:rsidR="002378C5" w:rsidRPr="00F04047">
        <w:t>ов</w:t>
      </w:r>
      <w:r w:rsidR="000E3EED" w:rsidRPr="00F04047">
        <w:t xml:space="preserve">. </w:t>
      </w:r>
    </w:p>
    <w:p w:rsidR="003B027A" w:rsidRDefault="00545345" w:rsidP="003B027A">
      <w:pPr>
        <w:pStyle w:val="a5"/>
        <w:tabs>
          <w:tab w:val="left" w:pos="8931"/>
        </w:tabs>
        <w:ind w:firstLine="680"/>
        <w:jc w:val="both"/>
        <w:rPr>
          <w:b w:val="0"/>
          <w:szCs w:val="24"/>
        </w:rPr>
      </w:pPr>
      <w:r w:rsidRPr="00F04047">
        <w:rPr>
          <w:b w:val="0"/>
          <w:szCs w:val="24"/>
        </w:rPr>
        <w:t>Согласно данным баланса дебиторская задолженность</w:t>
      </w:r>
      <w:r w:rsidR="00E15FEE" w:rsidRPr="00F04047">
        <w:rPr>
          <w:b w:val="0"/>
          <w:szCs w:val="24"/>
        </w:rPr>
        <w:t>, сформированная по резерву по сомнительным долгам по</w:t>
      </w:r>
      <w:r w:rsidR="00F04047" w:rsidRPr="00F04047">
        <w:rPr>
          <w:b w:val="0"/>
          <w:szCs w:val="24"/>
        </w:rPr>
        <w:t xml:space="preserve"> исполненным обязательствам </w:t>
      </w:r>
      <w:r w:rsidR="00E15FEE" w:rsidRPr="00F04047">
        <w:rPr>
          <w:b w:val="0"/>
          <w:szCs w:val="24"/>
        </w:rPr>
        <w:t>перед банками за заемщиков</w:t>
      </w:r>
      <w:r w:rsidR="00F04047" w:rsidRPr="00F04047">
        <w:rPr>
          <w:b w:val="0"/>
          <w:szCs w:val="24"/>
        </w:rPr>
        <w:t>,</w:t>
      </w:r>
      <w:r w:rsidRPr="00F04047">
        <w:rPr>
          <w:b w:val="0"/>
          <w:szCs w:val="24"/>
        </w:rPr>
        <w:t xml:space="preserve"> на 01.01.2017 составляла 151,6 млн. руб</w:t>
      </w:r>
      <w:r w:rsidR="00E15FEE" w:rsidRPr="00F04047">
        <w:rPr>
          <w:b w:val="0"/>
          <w:szCs w:val="24"/>
        </w:rPr>
        <w:t>лей</w:t>
      </w:r>
      <w:r w:rsidRPr="00F04047">
        <w:rPr>
          <w:b w:val="0"/>
          <w:szCs w:val="24"/>
        </w:rPr>
        <w:t xml:space="preserve">. В течение проверяемого периода наблюдается рост дебиторской задолженности по резерву по сомнительным долгам </w:t>
      </w:r>
      <w:r w:rsidR="000209A8" w:rsidRPr="00F04047">
        <w:rPr>
          <w:b w:val="0"/>
          <w:szCs w:val="24"/>
        </w:rPr>
        <w:t>до</w:t>
      </w:r>
      <w:r w:rsidRPr="00F04047">
        <w:rPr>
          <w:b w:val="0"/>
          <w:szCs w:val="24"/>
        </w:rPr>
        <w:t xml:space="preserve"> 189,2 млн. руб. на 01.01.2018 и до </w:t>
      </w:r>
      <w:r w:rsidR="000209A8" w:rsidRPr="00F04047">
        <w:rPr>
          <w:b w:val="0"/>
          <w:szCs w:val="24"/>
        </w:rPr>
        <w:t>193,9 млн. руб.</w:t>
      </w:r>
      <w:r w:rsidRPr="00F04047">
        <w:rPr>
          <w:b w:val="0"/>
          <w:szCs w:val="24"/>
        </w:rPr>
        <w:t xml:space="preserve"> на 01.04.2018</w:t>
      </w:r>
      <w:r w:rsidR="00763F04" w:rsidRPr="00F04047">
        <w:rPr>
          <w:b w:val="0"/>
          <w:i/>
          <w:szCs w:val="24"/>
        </w:rPr>
        <w:t>,</w:t>
      </w:r>
      <w:r w:rsidR="00E711B5" w:rsidRPr="00F04047">
        <w:rPr>
          <w:b w:val="0"/>
          <w:i/>
        </w:rPr>
        <w:t xml:space="preserve"> </w:t>
      </w:r>
      <w:r w:rsidR="00E711B5" w:rsidRPr="00F04047">
        <w:rPr>
          <w:b w:val="0"/>
        </w:rPr>
        <w:t xml:space="preserve">в </w:t>
      </w:r>
      <w:proofErr w:type="gramStart"/>
      <w:r w:rsidR="00E711B5" w:rsidRPr="00F04047">
        <w:rPr>
          <w:b w:val="0"/>
        </w:rPr>
        <w:t>связи</w:t>
      </w:r>
      <w:proofErr w:type="gramEnd"/>
      <w:r w:rsidR="00E711B5" w:rsidRPr="00F04047">
        <w:rPr>
          <w:b w:val="0"/>
        </w:rPr>
        <w:t xml:space="preserve"> с чем имеются риски исполнения поручительств за счет гарантийного резерва или доходов от размещения временно свободных средств гарантийного фонда.</w:t>
      </w:r>
      <w:r w:rsidR="003B027A" w:rsidRPr="00F04047">
        <w:rPr>
          <w:rFonts w:eastAsiaTheme="minorHAnsi"/>
          <w:b w:val="0"/>
          <w:szCs w:val="24"/>
          <w:lang w:eastAsia="en-US"/>
        </w:rPr>
        <w:t xml:space="preserve"> </w:t>
      </w:r>
      <w:proofErr w:type="gramStart"/>
      <w:r w:rsidR="00F04047" w:rsidRPr="00F04047">
        <w:rPr>
          <w:rFonts w:eastAsiaTheme="minorHAnsi"/>
          <w:b w:val="0"/>
          <w:szCs w:val="24"/>
          <w:lang w:eastAsia="en-US"/>
        </w:rPr>
        <w:t xml:space="preserve">При этом </w:t>
      </w:r>
      <w:r w:rsidRPr="00F04047">
        <w:rPr>
          <w:b w:val="0"/>
        </w:rPr>
        <w:t xml:space="preserve">фактически получаемые в виде исполнения регрессных требований доходы </w:t>
      </w:r>
      <w:r w:rsidR="00633145" w:rsidRPr="00F04047">
        <w:rPr>
          <w:b w:val="0"/>
        </w:rPr>
        <w:t>незначительны</w:t>
      </w:r>
      <w:r w:rsidRPr="00F04047">
        <w:rPr>
          <w:b w:val="0"/>
        </w:rPr>
        <w:t xml:space="preserve"> – в 2017 году получено </w:t>
      </w:r>
      <w:r w:rsidR="00374572" w:rsidRPr="00F04047">
        <w:rPr>
          <w:b w:val="0"/>
        </w:rPr>
        <w:t>148,1 тыс.</w:t>
      </w:r>
      <w:r w:rsidR="003B027A" w:rsidRPr="00F04047">
        <w:rPr>
          <w:b w:val="0"/>
        </w:rPr>
        <w:t xml:space="preserve"> руб. (</w:t>
      </w:r>
      <w:r w:rsidRPr="00F04047">
        <w:rPr>
          <w:b w:val="0"/>
        </w:rPr>
        <w:t xml:space="preserve">менее 0,1% </w:t>
      </w:r>
      <w:r w:rsidR="003B027A" w:rsidRPr="00F04047">
        <w:rPr>
          <w:b w:val="0"/>
        </w:rPr>
        <w:t xml:space="preserve"> </w:t>
      </w:r>
      <w:r w:rsidRPr="00F04047">
        <w:rPr>
          <w:b w:val="0"/>
        </w:rPr>
        <w:t>задолженности на начало года</w:t>
      </w:r>
      <w:r w:rsidR="003B027A" w:rsidRPr="00F04047">
        <w:rPr>
          <w:b w:val="0"/>
        </w:rPr>
        <w:t xml:space="preserve">), </w:t>
      </w:r>
      <w:r w:rsidR="00374572" w:rsidRPr="00F04047">
        <w:rPr>
          <w:b w:val="0"/>
        </w:rPr>
        <w:t xml:space="preserve">а в 2018 году – 21,8 тыс. руб., </w:t>
      </w:r>
      <w:r w:rsidR="003B027A" w:rsidRPr="00F04047">
        <w:rPr>
          <w:b w:val="0"/>
        </w:rPr>
        <w:t xml:space="preserve">что </w:t>
      </w:r>
      <w:r w:rsidR="003B027A" w:rsidRPr="00F04047">
        <w:rPr>
          <w:b w:val="0"/>
          <w:szCs w:val="24"/>
        </w:rPr>
        <w:t>связано с выставлением банками к оплате Гарантийному фонду исполнения обязательств поручителя после того, когда практически исчерпана возможность взыскать задолженность с заемщика – у него отсутствует имущество (либо оно неликвидно</w:t>
      </w:r>
      <w:r w:rsidR="003B027A" w:rsidRPr="003B027A">
        <w:rPr>
          <w:b w:val="0"/>
          <w:szCs w:val="24"/>
        </w:rPr>
        <w:t xml:space="preserve">). </w:t>
      </w:r>
      <w:proofErr w:type="gramEnd"/>
    </w:p>
    <w:p w:rsidR="005D6208" w:rsidRPr="00C60CCF" w:rsidRDefault="00FB0A23" w:rsidP="005D6208">
      <w:pPr>
        <w:autoSpaceDE w:val="0"/>
        <w:autoSpaceDN w:val="0"/>
        <w:adjustRightInd w:val="0"/>
        <w:ind w:firstLine="680"/>
        <w:jc w:val="both"/>
        <w:rPr>
          <w:rFonts w:ascii="PT Sans" w:eastAsia="Times New Roman" w:hAnsi="PT Sans"/>
        </w:rPr>
      </w:pPr>
      <w:r w:rsidRPr="005D6208">
        <w:t xml:space="preserve">Как и в ситуации с Микрофинансовым центром, в связи с тем, что субсидия на увеличение гарантийного резерва была </w:t>
      </w:r>
      <w:r w:rsidR="009D11C1" w:rsidRPr="005D6208">
        <w:t xml:space="preserve">предоставлена </w:t>
      </w:r>
      <w:r w:rsidRPr="005D6208">
        <w:t xml:space="preserve">в 2015 году, </w:t>
      </w:r>
      <w:r w:rsidR="001603F7" w:rsidRPr="005D6208">
        <w:t>то</w:t>
      </w:r>
      <w:r w:rsidRPr="005D6208">
        <w:t xml:space="preserve"> результативность </w:t>
      </w:r>
      <w:r w:rsidR="001603F7" w:rsidRPr="005D6208">
        <w:t xml:space="preserve">ее использования </w:t>
      </w:r>
      <w:r w:rsidRPr="005D6208">
        <w:t>оценивалась только в следующем году за годом предоставления субсидии. Показатели результативности 2015 года</w:t>
      </w:r>
      <w:r w:rsidR="009D11C1" w:rsidRPr="005D6208">
        <w:t xml:space="preserve">, отраженные в Госпрограмме № 696-п, </w:t>
      </w:r>
      <w:r w:rsidRPr="005D6208">
        <w:t>с учетом переноса сроков выполнения обязательств по освоению субсидии  выполнены</w:t>
      </w:r>
      <w:r w:rsidR="00894E7F">
        <w:t xml:space="preserve"> </w:t>
      </w:r>
      <w:r w:rsidR="00894E7F" w:rsidRPr="00410C67">
        <w:t>(</w:t>
      </w:r>
      <w:r w:rsidRPr="00410C67">
        <w:rPr>
          <w:color w:val="365F91" w:themeColor="accent1" w:themeShade="BF"/>
        </w:rPr>
        <w:t>приложени</w:t>
      </w:r>
      <w:r w:rsidR="00894E7F" w:rsidRPr="00410C67">
        <w:rPr>
          <w:color w:val="365F91" w:themeColor="accent1" w:themeShade="BF"/>
        </w:rPr>
        <w:t>е</w:t>
      </w:r>
      <w:r w:rsidRPr="00410C67">
        <w:rPr>
          <w:color w:val="365F91" w:themeColor="accent1" w:themeShade="BF"/>
        </w:rPr>
        <w:t xml:space="preserve"> № </w:t>
      </w:r>
      <w:r w:rsidR="00AA48BE">
        <w:rPr>
          <w:color w:val="365F91" w:themeColor="accent1" w:themeShade="BF"/>
        </w:rPr>
        <w:t>5</w:t>
      </w:r>
      <w:r w:rsidR="003976A1" w:rsidRPr="00410C67">
        <w:t xml:space="preserve"> к н</w:t>
      </w:r>
      <w:r w:rsidRPr="00410C67">
        <w:t>астоящему отчету</w:t>
      </w:r>
      <w:r w:rsidR="003976A1" w:rsidRPr="00410C67">
        <w:t>)</w:t>
      </w:r>
      <w:r w:rsidRPr="00410C67">
        <w:t>.</w:t>
      </w:r>
      <w:r w:rsidR="00C02638" w:rsidRPr="00410C67">
        <w:t xml:space="preserve"> Одним из ключевых показателей является показатель количества</w:t>
      </w:r>
      <w:r w:rsidR="00C02638" w:rsidRPr="005D6208">
        <w:t xml:space="preserve"> созданных рабочих мест, который  в 2015 году  составил 150 ед. (при плане 38 </w:t>
      </w:r>
      <w:r w:rsidR="00C02638" w:rsidRPr="00C60CCF">
        <w:t>ед.), в 2016 и 2017 год</w:t>
      </w:r>
      <w:r w:rsidR="00E33988">
        <w:t>ах</w:t>
      </w:r>
      <w:r w:rsidR="00C02638" w:rsidRPr="00C60CCF">
        <w:t xml:space="preserve"> соответственно</w:t>
      </w:r>
      <w:r w:rsidR="00E33988">
        <w:t xml:space="preserve"> </w:t>
      </w:r>
      <w:r w:rsidR="00C02638" w:rsidRPr="00C60CCF">
        <w:t xml:space="preserve">157 и 163 </w:t>
      </w:r>
      <w:r w:rsidRPr="00C60CCF">
        <w:t xml:space="preserve"> </w:t>
      </w:r>
      <w:r w:rsidR="00C02638" w:rsidRPr="00C60CCF">
        <w:t xml:space="preserve">единицы. Проверкой установлено, что данные о создаваемых местах предоставляются непосредственно СМСП в виде писем и не </w:t>
      </w:r>
      <w:r w:rsidR="005D6208" w:rsidRPr="00C60CCF">
        <w:t>подтверждаются документально.</w:t>
      </w:r>
      <w:r w:rsidR="005D6208" w:rsidRPr="00C60CCF">
        <w:rPr>
          <w:rFonts w:ascii="PT Sans" w:eastAsia="Times New Roman" w:hAnsi="PT Sans"/>
        </w:rPr>
        <w:t xml:space="preserve"> Порядок подтверждения достоверности фактического значения показателя нормативно не определен.</w:t>
      </w:r>
    </w:p>
    <w:p w:rsidR="001603F7" w:rsidRPr="001603F7" w:rsidRDefault="001603F7" w:rsidP="004F423F">
      <w:pPr>
        <w:ind w:firstLine="708"/>
        <w:jc w:val="both"/>
      </w:pPr>
      <w:r w:rsidRPr="00C60CCF">
        <w:t xml:space="preserve">На 2016 – 2018 годы показатели результативности </w:t>
      </w:r>
      <w:r w:rsidR="00FB0A23" w:rsidRPr="00C60CCF">
        <w:t xml:space="preserve">предоставления субсидий </w:t>
      </w:r>
      <w:r w:rsidRPr="00C60CCF">
        <w:t xml:space="preserve">Гарантийному фонду </w:t>
      </w:r>
      <w:proofErr w:type="spellStart"/>
      <w:r w:rsidR="00FB0A23" w:rsidRPr="00C60CCF">
        <w:t>Облкомэкономразвития</w:t>
      </w:r>
      <w:proofErr w:type="spellEnd"/>
      <w:r w:rsidR="00FB0A23" w:rsidRPr="00C60CCF">
        <w:t xml:space="preserve"> не устанавливались</w:t>
      </w:r>
      <w:r w:rsidRPr="00C60CCF">
        <w:t>,</w:t>
      </w:r>
      <w:r w:rsidR="00FB0A23" w:rsidRPr="00C60CCF">
        <w:t xml:space="preserve"> </w:t>
      </w:r>
      <w:r w:rsidRPr="00C60CCF">
        <w:rPr>
          <w:rFonts w:eastAsia="Times New Roman"/>
          <w:bCs/>
          <w:color w:val="000000"/>
        </w:rPr>
        <w:t>что</w:t>
      </w:r>
      <w:r w:rsidRPr="001603F7">
        <w:rPr>
          <w:rFonts w:eastAsia="Times New Roman"/>
          <w:bCs/>
          <w:color w:val="000000"/>
        </w:rPr>
        <w:t xml:space="preserve"> </w:t>
      </w:r>
      <w:r w:rsidRPr="001603F7">
        <w:t xml:space="preserve">не позволяет оценить </w:t>
      </w:r>
      <w:r w:rsidR="004F423F">
        <w:t>эффективность мероприятия по содействию СМСП в привлечении финансовых ресурсов для осуществления предпринимательской деятельности,</w:t>
      </w:r>
      <w:r w:rsidRPr="001603F7">
        <w:t xml:space="preserve"> в исполнении котор</w:t>
      </w:r>
      <w:r w:rsidR="004F423F">
        <w:t>ого</w:t>
      </w:r>
      <w:r w:rsidRPr="001603F7">
        <w:t xml:space="preserve"> участвует Гарантийный фонд.</w:t>
      </w:r>
    </w:p>
    <w:p w:rsidR="000E3EED" w:rsidRDefault="000E3EED" w:rsidP="000E3EED">
      <w:pPr>
        <w:pStyle w:val="a5"/>
        <w:tabs>
          <w:tab w:val="left" w:pos="0"/>
        </w:tabs>
        <w:ind w:firstLine="680"/>
        <w:jc w:val="both"/>
        <w:rPr>
          <w:b w:val="0"/>
        </w:rPr>
      </w:pPr>
      <w:r w:rsidRPr="004F5C63">
        <w:rPr>
          <w:b w:val="0"/>
        </w:rPr>
        <w:t>Критерии оценки работы Гарантийного фонда утверждены  протоколом об</w:t>
      </w:r>
      <w:r>
        <w:rPr>
          <w:b w:val="0"/>
        </w:rPr>
        <w:t xml:space="preserve">щего собрания </w:t>
      </w:r>
      <w:r w:rsidR="0032099D">
        <w:rPr>
          <w:b w:val="0"/>
        </w:rPr>
        <w:t xml:space="preserve">его </w:t>
      </w:r>
      <w:r>
        <w:rPr>
          <w:b w:val="0"/>
        </w:rPr>
        <w:t>членов</w:t>
      </w:r>
      <w:r w:rsidR="0032099D">
        <w:rPr>
          <w:b w:val="0"/>
        </w:rPr>
        <w:t xml:space="preserve">, </w:t>
      </w:r>
      <w:r w:rsidR="0032099D" w:rsidRPr="00CB37F7">
        <w:rPr>
          <w:b w:val="0"/>
        </w:rPr>
        <w:t>являющегося высшим органом управления Гарантийного фонда,</w:t>
      </w:r>
      <w:r>
        <w:rPr>
          <w:b w:val="0"/>
        </w:rPr>
        <w:t xml:space="preserve"> от </w:t>
      </w:r>
      <w:r w:rsidRPr="002347D2">
        <w:rPr>
          <w:b w:val="0"/>
        </w:rPr>
        <w:t>29.11.2011</w:t>
      </w:r>
      <w:r w:rsidR="002A37A7">
        <w:rPr>
          <w:b w:val="0"/>
        </w:rPr>
        <w:t xml:space="preserve"> </w:t>
      </w:r>
      <w:r w:rsidRPr="002347D2">
        <w:rPr>
          <w:b w:val="0"/>
        </w:rPr>
        <w:t>по 4</w:t>
      </w:r>
      <w:r>
        <w:rPr>
          <w:b w:val="0"/>
        </w:rPr>
        <w:t xml:space="preserve">-м </w:t>
      </w:r>
      <w:r w:rsidRPr="002347D2">
        <w:rPr>
          <w:b w:val="0"/>
        </w:rPr>
        <w:t>показателям</w:t>
      </w:r>
      <w:r>
        <w:rPr>
          <w:b w:val="0"/>
        </w:rPr>
        <w:t xml:space="preserve"> (</w:t>
      </w:r>
      <w:r w:rsidRPr="001C1194">
        <w:rPr>
          <w:b w:val="0"/>
        </w:rPr>
        <w:t>годовой размер предоставляемых поручительств</w:t>
      </w:r>
      <w:r>
        <w:rPr>
          <w:b w:val="0"/>
        </w:rPr>
        <w:t xml:space="preserve">; годовой объем привлеченного финансирования с помощью предоставленных поручительств; отношение действующих поручительств к сумме гарантийного капитала на отчетную дату; результат от операционной и финансовой деятельности за год по основному виду деятельности), которые соответствуют ключевым показателям эффективности деятельности гарантийных организаций, утвержденным </w:t>
      </w:r>
      <w:r w:rsidR="002A37A7">
        <w:rPr>
          <w:b w:val="0"/>
        </w:rPr>
        <w:t>П</w:t>
      </w:r>
      <w:r>
        <w:rPr>
          <w:b w:val="0"/>
        </w:rPr>
        <w:t>риказом</w:t>
      </w:r>
      <w:r w:rsidRPr="008D6BF8">
        <w:rPr>
          <w:b w:val="0"/>
        </w:rPr>
        <w:t xml:space="preserve"> </w:t>
      </w:r>
      <w:r>
        <w:rPr>
          <w:b w:val="0"/>
        </w:rPr>
        <w:t>№</w:t>
      </w:r>
      <w:r w:rsidR="002A37A7">
        <w:rPr>
          <w:b w:val="0"/>
        </w:rPr>
        <w:t xml:space="preserve"> 763</w:t>
      </w:r>
      <w:r>
        <w:rPr>
          <w:b w:val="0"/>
        </w:rPr>
        <w:t>.</w:t>
      </w:r>
    </w:p>
    <w:p w:rsidR="000E3EED" w:rsidRPr="001C1194" w:rsidRDefault="000E3EED" w:rsidP="000E3EED">
      <w:pPr>
        <w:pStyle w:val="a5"/>
        <w:tabs>
          <w:tab w:val="left" w:pos="0"/>
        </w:tabs>
        <w:ind w:firstLine="680"/>
        <w:jc w:val="both"/>
        <w:rPr>
          <w:b w:val="0"/>
        </w:rPr>
      </w:pPr>
      <w:r w:rsidRPr="002347D2">
        <w:rPr>
          <w:b w:val="0"/>
        </w:rPr>
        <w:lastRenderedPageBreak/>
        <w:t>Общий итог работы оценивается по 100-балльной системе</w:t>
      </w:r>
      <w:r>
        <w:rPr>
          <w:b w:val="0"/>
        </w:rPr>
        <w:t>, в т.ч.</w:t>
      </w:r>
      <w:r w:rsidRPr="002347D2">
        <w:rPr>
          <w:b w:val="0"/>
        </w:rPr>
        <w:t xml:space="preserve"> достаточный – 100 баллов</w:t>
      </w:r>
      <w:r>
        <w:rPr>
          <w:b w:val="0"/>
        </w:rPr>
        <w:t>.</w:t>
      </w:r>
      <w:r w:rsidRPr="002347D2">
        <w:rPr>
          <w:b w:val="0"/>
        </w:rPr>
        <w:t xml:space="preserve"> </w:t>
      </w:r>
      <w:r>
        <w:rPr>
          <w:b w:val="0"/>
        </w:rPr>
        <w:t>За 2017 год и 1-й квартал 2018 года деятельность фонда оценена как достаточная (достигнута максимальная оценка).</w:t>
      </w:r>
    </w:p>
    <w:p w:rsidR="00550AC2" w:rsidRPr="00550AC2" w:rsidRDefault="00550AC2" w:rsidP="00550AC2">
      <w:pPr>
        <w:pStyle w:val="a5"/>
        <w:ind w:firstLine="709"/>
        <w:jc w:val="both"/>
        <w:rPr>
          <w:b w:val="0"/>
          <w:i/>
          <w:szCs w:val="24"/>
        </w:rPr>
      </w:pPr>
      <w:r w:rsidRPr="00CB37F7">
        <w:rPr>
          <w:b w:val="0"/>
          <w:i/>
          <w:szCs w:val="24"/>
        </w:rPr>
        <w:t xml:space="preserve">Анализ работы Гарантийного фонда показал, что наблюдается </w:t>
      </w:r>
      <w:r w:rsidR="00283B05" w:rsidRPr="00CB37F7">
        <w:rPr>
          <w:b w:val="0"/>
          <w:i/>
          <w:szCs w:val="24"/>
        </w:rPr>
        <w:t>положительн</w:t>
      </w:r>
      <w:r w:rsidRPr="00CB37F7">
        <w:rPr>
          <w:b w:val="0"/>
          <w:i/>
          <w:szCs w:val="24"/>
        </w:rPr>
        <w:t>ая</w:t>
      </w:r>
      <w:r w:rsidR="00283B05" w:rsidRPr="00CB37F7">
        <w:rPr>
          <w:b w:val="0"/>
          <w:i/>
          <w:szCs w:val="24"/>
        </w:rPr>
        <w:t xml:space="preserve"> динамики объема выданных поручительств и объема кредитных ресурсов, полученных предпринимателями под поручительство Волгоградской области, </w:t>
      </w:r>
      <w:r w:rsidRPr="00CB37F7">
        <w:rPr>
          <w:b w:val="0"/>
          <w:i/>
          <w:szCs w:val="24"/>
        </w:rPr>
        <w:t>снижается доля</w:t>
      </w:r>
      <w:r w:rsidR="00283B05" w:rsidRPr="00CB37F7">
        <w:rPr>
          <w:b w:val="0"/>
          <w:i/>
          <w:szCs w:val="24"/>
        </w:rPr>
        <w:t xml:space="preserve"> ответственности Волгоградской области в займах (кредитах)</w:t>
      </w:r>
      <w:r w:rsidRPr="00CB37F7">
        <w:rPr>
          <w:b w:val="0"/>
          <w:i/>
          <w:szCs w:val="24"/>
        </w:rPr>
        <w:t xml:space="preserve">. Вместе с тем в целом по состоянию на 01.04.2018 в сравнении с началом года произошло снижение процента использования кредитных лимитов от суммы </w:t>
      </w:r>
      <w:r w:rsidRPr="00CB37F7">
        <w:rPr>
          <w:b w:val="0"/>
          <w:bCs w:val="0"/>
          <w:i/>
          <w:color w:val="000000"/>
          <w:szCs w:val="24"/>
        </w:rPr>
        <w:t>лимита условных обязательств поручительств на банк – партнер</w:t>
      </w:r>
      <w:r w:rsidR="00635FA6" w:rsidRPr="00CB37F7">
        <w:rPr>
          <w:b w:val="0"/>
          <w:bCs w:val="0"/>
          <w:i/>
          <w:color w:val="000000"/>
          <w:szCs w:val="24"/>
        </w:rPr>
        <w:t xml:space="preserve"> с 67,5% до 63 процентов</w:t>
      </w:r>
      <w:r w:rsidRPr="00CB37F7">
        <w:rPr>
          <w:b w:val="0"/>
          <w:bCs w:val="0"/>
          <w:i/>
          <w:color w:val="000000"/>
          <w:szCs w:val="24"/>
        </w:rPr>
        <w:t>.</w:t>
      </w:r>
    </w:p>
    <w:p w:rsidR="00D95037" w:rsidRPr="001E64BF" w:rsidRDefault="00283B05" w:rsidP="00D95037">
      <w:pPr>
        <w:ind w:firstLine="680"/>
        <w:jc w:val="both"/>
        <w:rPr>
          <w:i/>
        </w:rPr>
      </w:pPr>
      <w:r>
        <w:rPr>
          <w:i/>
        </w:rPr>
        <w:t xml:space="preserve"> </w:t>
      </w:r>
      <w:r>
        <w:rPr>
          <w:rFonts w:eastAsia="Times New Roman"/>
          <w:i/>
        </w:rPr>
        <w:t xml:space="preserve">Установлено, что </w:t>
      </w:r>
      <w:r w:rsidR="00D95037">
        <w:rPr>
          <w:rFonts w:eastAsia="Times New Roman"/>
          <w:i/>
        </w:rPr>
        <w:t xml:space="preserve">в годах, когда предоставление субсидий не осуществляется, </w:t>
      </w:r>
      <w:proofErr w:type="spellStart"/>
      <w:r w:rsidR="00D95037">
        <w:rPr>
          <w:rFonts w:eastAsia="Times New Roman"/>
          <w:i/>
        </w:rPr>
        <w:t>Облкомэкономразвития</w:t>
      </w:r>
      <w:proofErr w:type="spellEnd"/>
      <w:r w:rsidR="00D95037">
        <w:rPr>
          <w:rFonts w:eastAsia="Times New Roman"/>
          <w:i/>
        </w:rPr>
        <w:t xml:space="preserve"> не доводятся до Гарантийного фонда  показатели результативности использования субсидий, что не позволяет осуществить оценку эффективности ранее предоставленных бюджетных средств</w:t>
      </w:r>
      <w:r w:rsidR="00550AC2">
        <w:rPr>
          <w:rFonts w:eastAsia="Times New Roman"/>
          <w:i/>
        </w:rPr>
        <w:t xml:space="preserve"> </w:t>
      </w:r>
      <w:r w:rsidR="00550AC2" w:rsidRPr="00CB37F7">
        <w:rPr>
          <w:rFonts w:eastAsia="Times New Roman"/>
          <w:i/>
        </w:rPr>
        <w:t>и оценка не проводится</w:t>
      </w:r>
      <w:r w:rsidR="00D95037" w:rsidRPr="00CB37F7">
        <w:rPr>
          <w:rFonts w:eastAsia="Times New Roman"/>
          <w:i/>
        </w:rPr>
        <w:t>.</w:t>
      </w:r>
    </w:p>
    <w:p w:rsidR="00374572" w:rsidRPr="00CE0F23" w:rsidRDefault="00374572" w:rsidP="00E8104F">
      <w:pPr>
        <w:ind w:firstLine="680"/>
        <w:jc w:val="both"/>
        <w:rPr>
          <w:i/>
        </w:rPr>
      </w:pPr>
    </w:p>
    <w:p w:rsidR="00180D8F" w:rsidRPr="00CB37F7" w:rsidRDefault="00180D8F" w:rsidP="00180D8F">
      <w:pPr>
        <w:ind w:firstLine="680"/>
        <w:jc w:val="center"/>
        <w:rPr>
          <w:b/>
        </w:rPr>
      </w:pPr>
      <w:r w:rsidRPr="00CB37F7">
        <w:rPr>
          <w:b/>
        </w:rPr>
        <w:t>Центры молодежного инновационного творчества (</w:t>
      </w:r>
      <w:proofErr w:type="spellStart"/>
      <w:r w:rsidRPr="00CB37F7">
        <w:rPr>
          <w:b/>
        </w:rPr>
        <w:t>ЦМИТы</w:t>
      </w:r>
      <w:proofErr w:type="spellEnd"/>
      <w:r w:rsidRPr="00CB37F7">
        <w:rPr>
          <w:b/>
        </w:rPr>
        <w:t>)</w:t>
      </w:r>
    </w:p>
    <w:p w:rsidR="00180D8F" w:rsidRDefault="00180D8F" w:rsidP="00180D8F">
      <w:pPr>
        <w:autoSpaceDE w:val="0"/>
        <w:autoSpaceDN w:val="0"/>
        <w:adjustRightInd w:val="0"/>
        <w:ind w:firstLine="680"/>
        <w:jc w:val="both"/>
      </w:pPr>
      <w:proofErr w:type="gramStart"/>
      <w:r>
        <w:rPr>
          <w:rFonts w:eastAsiaTheme="minorHAnsi"/>
          <w:lang w:eastAsia="en-US"/>
        </w:rPr>
        <w:t xml:space="preserve">В целях создания благоприятных условий для детей, молодежи и СМСП для их развития в научно-технической, инновационной и производственной сферах в 2017 году образованы </w:t>
      </w:r>
      <w:r w:rsidRPr="003C3768">
        <w:t>два ЦМИТ по направлениям деятельности: «3D технологии: сканирование, моделирование и печать», «Робототехника, обучающие компьютерные игры и робототехнические наборы» на базе ФГАОУ ВО «</w:t>
      </w:r>
      <w:proofErr w:type="spellStart"/>
      <w:r w:rsidRPr="003C3768">
        <w:t>ВолГУ</w:t>
      </w:r>
      <w:proofErr w:type="spellEnd"/>
      <w:r w:rsidRPr="003C3768">
        <w:t>» и ФГБОУ ВО «</w:t>
      </w:r>
      <w:proofErr w:type="spellStart"/>
      <w:r w:rsidRPr="003C3768">
        <w:t>ВолгГТУ</w:t>
      </w:r>
      <w:proofErr w:type="spellEnd"/>
      <w:r w:rsidRPr="003C3768">
        <w:t>» соответственно.</w:t>
      </w:r>
      <w:proofErr w:type="gramEnd"/>
    </w:p>
    <w:p w:rsidR="00180D8F" w:rsidRDefault="00180D8F" w:rsidP="00180D8F">
      <w:pPr>
        <w:ind w:firstLine="680"/>
        <w:jc w:val="both"/>
      </w:pPr>
      <w:r>
        <w:t>Подпрограммой предусмотрено финансирование мероприятия по созданию ЦМИТ в 2017 году в размере 5,0 млн. руб.  (средства федерального бюджета – 4,0 млн. руб.,  областного бюджета – 1,0 млн. руб.), фактически средства израсходованы в указанных размерах.</w:t>
      </w:r>
    </w:p>
    <w:p w:rsidR="00180D8F" w:rsidRPr="006D082C" w:rsidRDefault="00180D8F" w:rsidP="00DC48E7">
      <w:pPr>
        <w:ind w:firstLine="680"/>
        <w:jc w:val="both"/>
      </w:pPr>
      <w:proofErr w:type="gramStart"/>
      <w:r w:rsidRPr="009E2053">
        <w:t xml:space="preserve">По результатам конкурсного отбора </w:t>
      </w:r>
      <w:r>
        <w:t xml:space="preserve">в октябре и ноябре 2017 года </w:t>
      </w:r>
      <w:r w:rsidRPr="009E2053">
        <w:t>предоставлены субсидии ООО «Моделирование и информационные технологии» (направление: 3D-технологии: сканирование, моделирование и печать) и ООО «Центр молодежного инновационного творчества «Лаборатория  юных конструкторов» (направление: робототехника, обучающие компьютерные игры и робототехнические наборы) в  размере по 2,5 млн. руб. (средства федерального бюджета – 2,0 млн. руб., областного бюджета – 0,5 млн. руб.)</w:t>
      </w:r>
      <w:r>
        <w:t xml:space="preserve">, которые израсходованы </w:t>
      </w:r>
      <w:r w:rsidRPr="006D082C">
        <w:t>на</w:t>
      </w:r>
      <w:proofErr w:type="gramEnd"/>
      <w:r w:rsidRPr="006D082C">
        <w:t xml:space="preserve"> приобретение вы</w:t>
      </w:r>
      <w:r>
        <w:t>сокотехнологичного оборудования</w:t>
      </w:r>
      <w:r w:rsidRPr="006D082C">
        <w:t>, эл</w:t>
      </w:r>
      <w:r>
        <w:t>ектронно-вычислительной техники</w:t>
      </w:r>
      <w:r w:rsidRPr="006D082C">
        <w:t>, программного обеспечения, оборудования для проведения видеоконференций, периферийных устройств, копировально-множительного оборудования; на обеспечение связи.</w:t>
      </w:r>
    </w:p>
    <w:p w:rsidR="00DC48E7" w:rsidRDefault="00180D8F" w:rsidP="00DC48E7">
      <w:pPr>
        <w:ind w:firstLine="680"/>
        <w:jc w:val="both"/>
      </w:pPr>
      <w:proofErr w:type="gramStart"/>
      <w:r>
        <w:t>Порядком субсидирования части затрат СМСП,</w:t>
      </w:r>
      <w:r w:rsidRPr="005C1FFE">
        <w:t xml:space="preserve"> </w:t>
      </w:r>
      <w:r w:rsidRPr="004579E4">
        <w:t>связанных с созданием и (или) обеспечением деятельности центров молоде</w:t>
      </w:r>
      <w:r>
        <w:t>жного инновационного творчества, утвержденным постановлением А</w:t>
      </w:r>
      <w:r w:rsidRPr="004579E4">
        <w:t>дминистрации Волгоградс</w:t>
      </w:r>
      <w:r>
        <w:t>кой области от 22.08.2017 №444-п, а также соглашениями с ЦМИТ на предоставление субсидий предусмотрены значения 12-ти показателей результативности использования субсидии, которые по состоянию на 31.12.2017 ЦМИТ исполнены</w:t>
      </w:r>
      <w:r w:rsidR="00DC48E7">
        <w:t xml:space="preserve"> (</w:t>
      </w:r>
      <w:r w:rsidR="00DC48E7" w:rsidRPr="00D95348">
        <w:rPr>
          <w:color w:val="365F91" w:themeColor="accent1" w:themeShade="BF"/>
        </w:rPr>
        <w:t xml:space="preserve">приложение </w:t>
      </w:r>
      <w:r w:rsidR="00886E5E" w:rsidRPr="00D95348">
        <w:rPr>
          <w:color w:val="365F91" w:themeColor="accent1" w:themeShade="BF"/>
        </w:rPr>
        <w:t>№ 9</w:t>
      </w:r>
      <w:r w:rsidR="00886E5E" w:rsidRPr="00D95348">
        <w:t xml:space="preserve"> к настоящему отчету</w:t>
      </w:r>
      <w:r w:rsidR="00DC48E7" w:rsidRPr="00D95348">
        <w:t>).</w:t>
      </w:r>
      <w:proofErr w:type="gramEnd"/>
    </w:p>
    <w:p w:rsidR="00180D8F" w:rsidRPr="00BC607D" w:rsidRDefault="00180D8F" w:rsidP="00DC48E7">
      <w:pPr>
        <w:autoSpaceDE w:val="0"/>
        <w:autoSpaceDN w:val="0"/>
        <w:adjustRightInd w:val="0"/>
        <w:ind w:firstLine="680"/>
        <w:jc w:val="both"/>
        <w:rPr>
          <w:rFonts w:eastAsiaTheme="minorHAnsi"/>
          <w:lang w:eastAsia="en-US"/>
        </w:rPr>
      </w:pPr>
      <w:r w:rsidRPr="000059F3">
        <w:t xml:space="preserve">В 2017 году в мероприятиях, проводимых </w:t>
      </w:r>
      <w:proofErr w:type="spellStart"/>
      <w:r w:rsidRPr="000059F3">
        <w:t>ЦМИТами</w:t>
      </w:r>
      <w:proofErr w:type="spellEnd"/>
      <w:r>
        <w:t>,</w:t>
      </w:r>
      <w:r w:rsidRPr="000059F3">
        <w:t xml:space="preserve"> приняли участие 1160 молодых людей из числа учащихся ВУЗов, профильных молодых специалистов и школьников (при показателе результативности по 2-м ЦМИТ не менее 1000 чел.). К</w:t>
      </w:r>
      <w:r w:rsidRPr="000059F3">
        <w:rPr>
          <w:rFonts w:eastAsiaTheme="minorHAnsi"/>
          <w:lang w:eastAsia="en-US"/>
        </w:rPr>
        <w:t xml:space="preserve">оличество СМСП, </w:t>
      </w:r>
      <w:proofErr w:type="gramStart"/>
      <w:r w:rsidRPr="000059F3">
        <w:rPr>
          <w:rFonts w:eastAsiaTheme="minorHAnsi"/>
          <w:lang w:eastAsia="en-US"/>
        </w:rPr>
        <w:t>получивших</w:t>
      </w:r>
      <w:proofErr w:type="gramEnd"/>
      <w:r w:rsidRPr="000059F3">
        <w:rPr>
          <w:rFonts w:eastAsiaTheme="minorHAnsi"/>
          <w:lang w:eastAsia="en-US"/>
        </w:rPr>
        <w:t xml:space="preserve"> информационную и консультационную поддержку в ЦМИТ, составило 10 ед. </w:t>
      </w:r>
      <w:r>
        <w:rPr>
          <w:rFonts w:eastAsiaTheme="minorHAnsi"/>
          <w:lang w:eastAsia="en-US"/>
        </w:rPr>
        <w:t xml:space="preserve">(план - </w:t>
      </w:r>
      <w:r w:rsidRPr="000059F3">
        <w:rPr>
          <w:rFonts w:eastAsiaTheme="minorHAnsi"/>
          <w:lang w:eastAsia="en-US"/>
        </w:rPr>
        <w:t>не менее 6 ед</w:t>
      </w:r>
      <w:r>
        <w:rPr>
          <w:rFonts w:eastAsiaTheme="minorHAnsi"/>
          <w:lang w:eastAsia="en-US"/>
        </w:rPr>
        <w:t xml:space="preserve">.). </w:t>
      </w:r>
      <w:r w:rsidRPr="00A209DE">
        <w:t>Проведено 16 семинаров и тренингов, организованных в целях вовлечения в предпринимательство и развития научно-инновационной деятельности детей и молодежи (при плане не менее 8 ед.)</w:t>
      </w:r>
      <w:r w:rsidR="00B518CA">
        <w:t>.</w:t>
      </w:r>
      <w:r>
        <w:t xml:space="preserve"> Таким образом, цель мероприятия по созданию ЦМИТ в </w:t>
      </w:r>
      <w:r w:rsidRPr="00BC607D">
        <w:t>2017 году достигнута.</w:t>
      </w:r>
    </w:p>
    <w:p w:rsidR="00410C67" w:rsidRPr="00353363" w:rsidRDefault="00180D8F" w:rsidP="00410C67">
      <w:pPr>
        <w:ind w:firstLine="709"/>
        <w:jc w:val="both"/>
      </w:pPr>
      <w:r w:rsidRPr="00BC607D">
        <w:t xml:space="preserve">На 2018 год запланирован объем финансирования в размере 7,1 млн. руб. (федеральный бюджет – 6,1 млн. руб., областной бюджет – 1,0 млн. руб.), планируется </w:t>
      </w:r>
      <w:r w:rsidRPr="00BC607D">
        <w:lastRenderedPageBreak/>
        <w:t xml:space="preserve">открытие 2-х ЦМИТ по направлениям «биомедицина» и «бионика и </w:t>
      </w:r>
      <w:proofErr w:type="spellStart"/>
      <w:r w:rsidRPr="00BC607D">
        <w:t>нейротехнологии</w:t>
      </w:r>
      <w:proofErr w:type="spellEnd"/>
      <w:r w:rsidRPr="00BC607D">
        <w:t>».</w:t>
      </w:r>
      <w:r w:rsidR="0082332A" w:rsidRPr="00BC607D">
        <w:t xml:space="preserve"> </w:t>
      </w:r>
      <w:r w:rsidR="00410C67" w:rsidRPr="00BC607D">
        <w:t xml:space="preserve">На момент окончания проверки </w:t>
      </w:r>
      <w:r w:rsidR="004669FA" w:rsidRPr="00BC607D">
        <w:t>(</w:t>
      </w:r>
      <w:r w:rsidR="00BC607D" w:rsidRPr="00BC607D">
        <w:t>20</w:t>
      </w:r>
      <w:r w:rsidR="004669FA" w:rsidRPr="00BC607D">
        <w:t xml:space="preserve">.06.2018) </w:t>
      </w:r>
      <w:r w:rsidR="00410C67" w:rsidRPr="00BC607D">
        <w:t xml:space="preserve">финансирование </w:t>
      </w:r>
      <w:r w:rsidR="000B5A94">
        <w:t xml:space="preserve">этих </w:t>
      </w:r>
      <w:r w:rsidR="00410C67" w:rsidRPr="00BC607D">
        <w:t>мероприятий не осуществлялось.</w:t>
      </w:r>
    </w:p>
    <w:p w:rsidR="00180D8F" w:rsidRPr="0085791C" w:rsidRDefault="00180D8F" w:rsidP="00DC48E7">
      <w:pPr>
        <w:ind w:firstLine="680"/>
        <w:jc w:val="both"/>
        <w:rPr>
          <w:b/>
        </w:rPr>
      </w:pPr>
    </w:p>
    <w:p w:rsidR="00180D8F" w:rsidRPr="00CB37F7" w:rsidRDefault="00180D8F" w:rsidP="00180D8F">
      <w:pPr>
        <w:pStyle w:val="a3"/>
        <w:ind w:firstLine="709"/>
        <w:jc w:val="center"/>
        <w:rPr>
          <w:rStyle w:val="extended-textshort"/>
          <w:rFonts w:ascii="Times New Roman" w:hAnsi="Times New Roman"/>
          <w:b/>
          <w:bCs/>
        </w:rPr>
      </w:pPr>
      <w:r w:rsidRPr="00CB37F7">
        <w:rPr>
          <w:rFonts w:ascii="Times New Roman" w:eastAsiaTheme="minorHAnsi" w:hAnsi="Times New Roman" w:cs="Times New Roman"/>
          <w:b/>
        </w:rPr>
        <w:t>Создание многофункциональных центров для бизнеса, в которых организуется предоставление услуг и мер поддержки для СМСП</w:t>
      </w:r>
    </w:p>
    <w:p w:rsidR="00180D8F" w:rsidRPr="001F0592" w:rsidRDefault="00180D8F" w:rsidP="00180D8F">
      <w:pPr>
        <w:autoSpaceDE w:val="0"/>
        <w:autoSpaceDN w:val="0"/>
        <w:adjustRightInd w:val="0"/>
        <w:ind w:firstLine="680"/>
        <w:jc w:val="both"/>
        <w:rPr>
          <w:rFonts w:eastAsiaTheme="minorHAnsi"/>
          <w:lang w:eastAsia="en-US"/>
        </w:rPr>
      </w:pPr>
      <w:proofErr w:type="gramStart"/>
      <w:r w:rsidRPr="001F0592">
        <w:rPr>
          <w:rFonts w:eastAsiaTheme="minorHAnsi"/>
          <w:lang w:eastAsia="en-US"/>
        </w:rPr>
        <w:t>В рамках оказания всесторонней поддержки СМСП, а также гражданам, планирующим начать предпринимательскую деятельность, на территории Волгоградской области открыты и функционируют по состоянию на 01.01.2018 15 структурных подразделений для бизнеса (количество окон для бизнеса «Мои документы» в которых – 17) и 1 филиал по работе с юридическими лицами с 7 окнами для бизнеса.</w:t>
      </w:r>
      <w:proofErr w:type="gramEnd"/>
    </w:p>
    <w:p w:rsidR="00180D8F" w:rsidRDefault="003A71A6" w:rsidP="00180D8F">
      <w:pPr>
        <w:pStyle w:val="a3"/>
        <w:ind w:firstLine="680"/>
        <w:jc w:val="both"/>
        <w:rPr>
          <w:rStyle w:val="extended-textshort"/>
          <w:rFonts w:ascii="Times New Roman" w:hAnsi="Times New Roman"/>
          <w:bCs/>
        </w:rPr>
      </w:pPr>
      <w:r>
        <w:rPr>
          <w:rStyle w:val="extended-textshort"/>
          <w:rFonts w:ascii="Times New Roman" w:hAnsi="Times New Roman"/>
          <w:bCs/>
        </w:rPr>
        <w:t>Из вышеизложенных структурных подразделений для бизнеса в</w:t>
      </w:r>
      <w:r w:rsidR="00180D8F" w:rsidRPr="008A092C">
        <w:rPr>
          <w:rStyle w:val="extended-textshort"/>
          <w:rFonts w:ascii="Times New Roman" w:hAnsi="Times New Roman"/>
          <w:bCs/>
        </w:rPr>
        <w:t xml:space="preserve"> 2017 году в структуре ГКУ «МФЦ» создан филиал по работе с юридическими лицами г. Волжского Волгоградской области</w:t>
      </w:r>
      <w:r w:rsidR="00180D8F">
        <w:rPr>
          <w:rStyle w:val="extended-textshort"/>
          <w:rFonts w:ascii="Times New Roman" w:hAnsi="Times New Roman"/>
          <w:bCs/>
        </w:rPr>
        <w:t xml:space="preserve">, на </w:t>
      </w:r>
      <w:proofErr w:type="gramStart"/>
      <w:r w:rsidR="00180D8F">
        <w:rPr>
          <w:rStyle w:val="extended-textshort"/>
          <w:rFonts w:ascii="Times New Roman" w:hAnsi="Times New Roman"/>
          <w:bCs/>
        </w:rPr>
        <w:t>развитие</w:t>
      </w:r>
      <w:proofErr w:type="gramEnd"/>
      <w:r w:rsidR="00180D8F">
        <w:rPr>
          <w:rStyle w:val="extended-textshort"/>
          <w:rFonts w:ascii="Times New Roman" w:hAnsi="Times New Roman"/>
          <w:bCs/>
        </w:rPr>
        <w:t xml:space="preserve"> которого использовано 5,0 млн. руб. (4 млн. руб. федеральных средств и 1 млн. руб. средств областного бюджета).</w:t>
      </w:r>
    </w:p>
    <w:p w:rsidR="00180D8F" w:rsidRPr="004C54DF" w:rsidRDefault="0032099D" w:rsidP="00180D8F">
      <w:pPr>
        <w:pStyle w:val="a3"/>
        <w:ind w:firstLine="680"/>
        <w:jc w:val="both"/>
        <w:rPr>
          <w:rFonts w:ascii="Times New Roman" w:hAnsi="Times New Roman" w:cs="Times New Roman"/>
        </w:rPr>
      </w:pPr>
      <w:r>
        <w:rPr>
          <w:rStyle w:val="extended-textshort"/>
          <w:rFonts w:ascii="Times New Roman" w:hAnsi="Times New Roman"/>
          <w:bCs/>
        </w:rPr>
        <w:t>В соответствии с</w:t>
      </w:r>
      <w:r w:rsidR="00180D8F">
        <w:rPr>
          <w:rStyle w:val="extended-textshort"/>
          <w:rFonts w:ascii="Times New Roman" w:hAnsi="Times New Roman"/>
          <w:bCs/>
        </w:rPr>
        <w:t xml:space="preserve"> Соглашени</w:t>
      </w:r>
      <w:r>
        <w:rPr>
          <w:rStyle w:val="extended-textshort"/>
          <w:rFonts w:ascii="Times New Roman" w:hAnsi="Times New Roman"/>
          <w:bCs/>
        </w:rPr>
        <w:t>ем</w:t>
      </w:r>
      <w:r w:rsidR="00180D8F">
        <w:rPr>
          <w:rStyle w:val="extended-textshort"/>
          <w:rFonts w:ascii="Times New Roman" w:hAnsi="Times New Roman"/>
          <w:bCs/>
        </w:rPr>
        <w:t xml:space="preserve"> с Минэкономразвития</w:t>
      </w:r>
      <w:r w:rsidR="002A37A7">
        <w:rPr>
          <w:rStyle w:val="extended-textshort"/>
          <w:rFonts w:ascii="Times New Roman" w:hAnsi="Times New Roman"/>
          <w:bCs/>
        </w:rPr>
        <w:t xml:space="preserve"> РФ</w:t>
      </w:r>
      <w:r w:rsidR="00180D8F">
        <w:rPr>
          <w:rStyle w:val="extended-textshort"/>
          <w:rFonts w:ascii="Times New Roman" w:hAnsi="Times New Roman"/>
          <w:bCs/>
        </w:rPr>
        <w:t xml:space="preserve"> на 2017 год</w:t>
      </w:r>
      <w:r w:rsidR="00180D8F" w:rsidRPr="008B0DB2">
        <w:rPr>
          <w:rFonts w:ascii="Times New Roman" w:hAnsi="Times New Roman"/>
          <w:lang w:eastAsia="ru-RU"/>
        </w:rPr>
        <w:t xml:space="preserve"> </w:t>
      </w:r>
      <w:r w:rsidR="00180D8F">
        <w:rPr>
          <w:rFonts w:ascii="Times New Roman" w:hAnsi="Times New Roman"/>
          <w:lang w:eastAsia="ru-RU"/>
        </w:rPr>
        <w:t xml:space="preserve">субсидия предоставлена на организацию предоставления услуг по принципу «одного окна» в целях поддержки СМСП, в результате ее использования в 2017 году необходимо </w:t>
      </w:r>
      <w:r w:rsidR="00180D8F" w:rsidRPr="004C54DF">
        <w:rPr>
          <w:rFonts w:ascii="Times New Roman" w:hAnsi="Times New Roman" w:cs="Times New Roman"/>
        </w:rPr>
        <w:t>достижение следующих показателей:</w:t>
      </w:r>
    </w:p>
    <w:p w:rsidR="00180D8F" w:rsidRDefault="00180D8F" w:rsidP="00180D8F">
      <w:pPr>
        <w:ind w:firstLine="680"/>
        <w:jc w:val="both"/>
      </w:pPr>
      <w:r>
        <w:t xml:space="preserve">- количество уникальных СМСП, которым были предоставлены услуги и меры поддержки, необходимые для начала осуществления и развития предпринимательской деятельности, через МФЦ для бизнеса, а также граждан, которым была оказана </w:t>
      </w:r>
      <w:proofErr w:type="spellStart"/>
      <w:r>
        <w:t>госуслуга</w:t>
      </w:r>
      <w:proofErr w:type="spellEnd"/>
      <w:r>
        <w:t xml:space="preserve"> по регистрации предпринимательской деятельности через МФЦ для бизнеса – 375 единиц. Фактически показатель </w:t>
      </w:r>
      <w:r w:rsidR="0032099D">
        <w:t xml:space="preserve">перевыполнен </w:t>
      </w:r>
      <w:r>
        <w:t>более чем в 2 раза (864 ед.);</w:t>
      </w:r>
    </w:p>
    <w:p w:rsidR="00180D8F" w:rsidRDefault="00180D8F" w:rsidP="00180D8F">
      <w:pPr>
        <w:ind w:firstLine="709"/>
        <w:jc w:val="both"/>
      </w:pPr>
      <w:r>
        <w:t>- количество услуг и мер поддержки, необходимые для начала осуществления и развития предпринимательской деятельности, через МФЦ для бизнеса, а также граждан, которым была оказана государственная услуга по регистрации предпринимательской деятельности через МФЦ для бизнеса –14 300 единиц. Показатель исполнен на 100,4% (14357 ед.).</w:t>
      </w:r>
    </w:p>
    <w:p w:rsidR="00180D8F" w:rsidRPr="00BA5EEA" w:rsidRDefault="00180D8F" w:rsidP="00180D8F">
      <w:pPr>
        <w:ind w:firstLine="709"/>
        <w:jc w:val="both"/>
        <w:rPr>
          <w:b/>
        </w:rPr>
      </w:pPr>
      <w:r>
        <w:t>На 2018 год П</w:t>
      </w:r>
      <w:r w:rsidRPr="00C43469">
        <w:t>одпрограммой предусмотрено</w:t>
      </w:r>
      <w:r>
        <w:t xml:space="preserve"> финансирование мероприятия в размере 5,1 млн. руб. (в т.ч. 0,9 млн. руб. за счет средств федерального бюджета). При этом Соглашением на 2018 год не предусмотрено финансирование МФЦ для бизнеса за счет средств федерального бюджета, в результате объем финансирования по этому мероприятию подлежит корректировке. </w:t>
      </w:r>
    </w:p>
    <w:p w:rsidR="004214F4" w:rsidRDefault="004214F4" w:rsidP="00180D8F">
      <w:pPr>
        <w:ind w:firstLine="680"/>
        <w:jc w:val="both"/>
        <w:rPr>
          <w:rFonts w:eastAsiaTheme="minorHAnsi"/>
          <w:b/>
          <w:i/>
          <w:u w:val="single"/>
          <w:lang w:eastAsia="en-US"/>
        </w:rPr>
      </w:pPr>
    </w:p>
    <w:p w:rsidR="00180D8F" w:rsidRPr="00CB37F7" w:rsidRDefault="00180D8F" w:rsidP="00CB37F7">
      <w:pPr>
        <w:ind w:firstLine="680"/>
        <w:jc w:val="center"/>
        <w:rPr>
          <w:b/>
        </w:rPr>
      </w:pPr>
      <w:r w:rsidRPr="00CB37F7">
        <w:rPr>
          <w:rFonts w:eastAsiaTheme="minorHAnsi"/>
          <w:b/>
          <w:lang w:eastAsia="en-US"/>
        </w:rPr>
        <w:t xml:space="preserve">Поддержка СМСП в рамках реализации муниципальных программ (подпрограмм) развития малого и среднего предпринимательства, в том числе </w:t>
      </w:r>
      <w:proofErr w:type="spellStart"/>
      <w:r w:rsidRPr="00CB37F7">
        <w:rPr>
          <w:rFonts w:eastAsiaTheme="minorHAnsi"/>
          <w:b/>
          <w:lang w:eastAsia="en-US"/>
        </w:rPr>
        <w:t>монопрофильных</w:t>
      </w:r>
      <w:proofErr w:type="spellEnd"/>
      <w:r w:rsidRPr="00CB37F7">
        <w:rPr>
          <w:rFonts w:eastAsiaTheme="minorHAnsi"/>
          <w:b/>
          <w:lang w:eastAsia="en-US"/>
        </w:rPr>
        <w:t xml:space="preserve"> муниципальных образований</w:t>
      </w:r>
    </w:p>
    <w:p w:rsidR="00F13C45" w:rsidRPr="00C24D45" w:rsidRDefault="00F13C45" w:rsidP="00E004DE">
      <w:pPr>
        <w:ind w:firstLine="680"/>
        <w:jc w:val="both"/>
      </w:pPr>
      <w:r w:rsidRPr="00C24D45">
        <w:rPr>
          <w:rFonts w:eastAsiaTheme="minorHAnsi"/>
          <w:lang w:eastAsia="en-US"/>
        </w:rPr>
        <w:t>Гос</w:t>
      </w:r>
      <w:r w:rsidRPr="00C24D45">
        <w:t xml:space="preserve">программой № 696-п было предусмотрено мероприятие по финансированию муниципальных районов и городских округов </w:t>
      </w:r>
      <w:r w:rsidRPr="00C24D45">
        <w:rPr>
          <w:rFonts w:eastAsiaTheme="minorHAnsi"/>
          <w:lang w:eastAsia="en-US"/>
        </w:rPr>
        <w:t xml:space="preserve">Волгоградской области на развитие малого и среднего предпринимательства, финансирование которого </w:t>
      </w:r>
      <w:r w:rsidR="00101176" w:rsidRPr="00C24D45">
        <w:rPr>
          <w:rFonts w:eastAsiaTheme="minorHAnsi"/>
          <w:lang w:eastAsia="en-US"/>
        </w:rPr>
        <w:t xml:space="preserve">было предусмотрено </w:t>
      </w:r>
      <w:r w:rsidRPr="00C24D45">
        <w:rPr>
          <w:rFonts w:eastAsiaTheme="minorHAnsi"/>
          <w:lang w:eastAsia="en-US"/>
        </w:rPr>
        <w:t>только в 2014 году</w:t>
      </w:r>
      <w:r w:rsidR="00101176" w:rsidRPr="00C24D45">
        <w:rPr>
          <w:rFonts w:eastAsiaTheme="minorHAnsi"/>
          <w:lang w:eastAsia="en-US"/>
        </w:rPr>
        <w:t xml:space="preserve"> и в связи с</w:t>
      </w:r>
      <w:r w:rsidR="00101176" w:rsidRPr="00C24D45">
        <w:t xml:space="preserve"> недостаточностью средств областного бюджета фактически не осуществлялось.</w:t>
      </w:r>
      <w:r w:rsidRPr="00C24D45">
        <w:rPr>
          <w:rFonts w:eastAsiaTheme="minorHAnsi"/>
          <w:lang w:eastAsia="en-US"/>
        </w:rPr>
        <w:t xml:space="preserve"> </w:t>
      </w:r>
      <w:r w:rsidR="00E004DE" w:rsidRPr="00C24D45">
        <w:rPr>
          <w:rFonts w:eastAsiaTheme="minorHAnsi"/>
          <w:lang w:eastAsia="en-US"/>
        </w:rPr>
        <w:t xml:space="preserve">В </w:t>
      </w:r>
      <w:r w:rsidRPr="00C24D45">
        <w:rPr>
          <w:rFonts w:eastAsiaTheme="minorHAnsi"/>
          <w:lang w:eastAsia="en-US"/>
        </w:rPr>
        <w:t>Г</w:t>
      </w:r>
      <w:r w:rsidR="00E004DE" w:rsidRPr="00C24D45">
        <w:rPr>
          <w:rFonts w:eastAsiaTheme="minorHAnsi"/>
          <w:lang w:eastAsia="en-US"/>
        </w:rPr>
        <w:t>о</w:t>
      </w:r>
      <w:r w:rsidRPr="00C24D45">
        <w:rPr>
          <w:rFonts w:eastAsiaTheme="minorHAnsi"/>
          <w:lang w:eastAsia="en-US"/>
        </w:rPr>
        <w:t>спрограмм</w:t>
      </w:r>
      <w:r w:rsidR="00E004DE" w:rsidRPr="00C24D45">
        <w:rPr>
          <w:rFonts w:eastAsiaTheme="minorHAnsi"/>
          <w:lang w:eastAsia="en-US"/>
        </w:rPr>
        <w:t>у</w:t>
      </w:r>
      <w:r w:rsidRPr="00C24D45">
        <w:rPr>
          <w:rFonts w:eastAsiaTheme="minorHAnsi"/>
          <w:lang w:eastAsia="en-US"/>
        </w:rPr>
        <w:t xml:space="preserve"> № </w:t>
      </w:r>
      <w:r w:rsidRPr="00C24D45">
        <w:t xml:space="preserve"> 14-п </w:t>
      </w:r>
      <w:r w:rsidR="00E004DE" w:rsidRPr="00C24D45">
        <w:t xml:space="preserve">включено мероприятие по </w:t>
      </w:r>
      <w:r w:rsidRPr="00C24D45">
        <w:t>финансированию  муниципальных программ развития малого и среднего предпринимательства</w:t>
      </w:r>
      <w:r w:rsidR="00E004DE" w:rsidRPr="00C24D45">
        <w:t>, в т.ч.</w:t>
      </w:r>
      <w:r w:rsidRPr="00C24D45">
        <w:t xml:space="preserve"> </w:t>
      </w:r>
      <w:proofErr w:type="spellStart"/>
      <w:r w:rsidRPr="00C24D45">
        <w:t>монопрофильных</w:t>
      </w:r>
      <w:proofErr w:type="spellEnd"/>
      <w:r w:rsidRPr="00C24D45">
        <w:t xml:space="preserve"> муниципальных образований. </w:t>
      </w:r>
    </w:p>
    <w:p w:rsidR="00180D8F" w:rsidRDefault="00180D8F" w:rsidP="00180D8F">
      <w:pPr>
        <w:pStyle w:val="ConsPlusNormal"/>
        <w:ind w:firstLine="680"/>
        <w:jc w:val="both"/>
        <w:rPr>
          <w:rFonts w:ascii="Times New Roman" w:hAnsi="Times New Roman" w:cs="Times New Roman"/>
          <w:sz w:val="24"/>
          <w:szCs w:val="24"/>
        </w:rPr>
      </w:pPr>
      <w:r w:rsidRPr="00C24D45">
        <w:rPr>
          <w:rFonts w:ascii="Times New Roman" w:eastAsiaTheme="minorHAnsi" w:hAnsi="Times New Roman" w:cs="Times New Roman"/>
          <w:sz w:val="24"/>
          <w:szCs w:val="24"/>
          <w:lang w:eastAsia="en-US"/>
        </w:rPr>
        <w:t>По этому мероприятию</w:t>
      </w:r>
      <w:r w:rsidRPr="00C24D45">
        <w:rPr>
          <w:rFonts w:ascii="Times New Roman" w:eastAsiaTheme="minorHAnsi" w:hAnsi="Times New Roman" w:cs="Times New Roman"/>
          <w:b/>
          <w:i/>
          <w:sz w:val="24"/>
          <w:szCs w:val="24"/>
          <w:lang w:eastAsia="en-US"/>
        </w:rPr>
        <w:t xml:space="preserve"> </w:t>
      </w:r>
      <w:r w:rsidRPr="00C24D45">
        <w:rPr>
          <w:rFonts w:ascii="Times New Roman" w:hAnsi="Times New Roman" w:cs="Times New Roman"/>
          <w:sz w:val="24"/>
          <w:szCs w:val="24"/>
        </w:rPr>
        <w:t>в 2017 году предусмотрен объем финансирования в размере 30,7 млн. руб., в т.ч. за счет средств федерального бюджета – 24,0 млн. руб., областного бюджета – 6,0 млн., местного бюджета – 0,7 млн. рублей.</w:t>
      </w:r>
      <w:r w:rsidR="00E004DE" w:rsidRPr="00C24D45">
        <w:rPr>
          <w:rFonts w:ascii="Times New Roman" w:hAnsi="Times New Roman" w:cs="Times New Roman"/>
          <w:sz w:val="24"/>
          <w:szCs w:val="24"/>
        </w:rPr>
        <w:t xml:space="preserve"> Фактически в этих размерах осуществлено финансирование только </w:t>
      </w:r>
      <w:proofErr w:type="spellStart"/>
      <w:r w:rsidR="00E004DE" w:rsidRPr="00C24D45">
        <w:rPr>
          <w:rFonts w:ascii="Times New Roman" w:hAnsi="Times New Roman" w:cs="Times New Roman"/>
          <w:sz w:val="24"/>
          <w:szCs w:val="24"/>
        </w:rPr>
        <w:t>монопрофильных</w:t>
      </w:r>
      <w:proofErr w:type="spellEnd"/>
      <w:r w:rsidR="00E004DE" w:rsidRPr="00C24D45">
        <w:rPr>
          <w:rFonts w:ascii="Times New Roman" w:hAnsi="Times New Roman" w:cs="Times New Roman"/>
          <w:sz w:val="24"/>
          <w:szCs w:val="24"/>
        </w:rPr>
        <w:t xml:space="preserve"> образований.</w:t>
      </w:r>
    </w:p>
    <w:p w:rsidR="00180D8F" w:rsidRDefault="00180D8F" w:rsidP="00180D8F">
      <w:pPr>
        <w:pStyle w:val="ConsPlusNormal"/>
        <w:ind w:firstLine="680"/>
        <w:jc w:val="both"/>
        <w:rPr>
          <w:rFonts w:ascii="Times New Roman" w:hAnsi="Times New Roman" w:cs="Times New Roman"/>
          <w:sz w:val="24"/>
          <w:szCs w:val="24"/>
        </w:rPr>
      </w:pPr>
      <w:r w:rsidRPr="0047613F">
        <w:rPr>
          <w:rFonts w:ascii="Times New Roman" w:hAnsi="Times New Roman" w:cs="Times New Roman"/>
          <w:sz w:val="24"/>
          <w:szCs w:val="24"/>
        </w:rPr>
        <w:t xml:space="preserve">Между </w:t>
      </w:r>
      <w:proofErr w:type="spellStart"/>
      <w:r w:rsidRPr="0047613F">
        <w:rPr>
          <w:rFonts w:ascii="Times New Roman" w:hAnsi="Times New Roman" w:cs="Times New Roman"/>
          <w:sz w:val="24"/>
          <w:szCs w:val="24"/>
        </w:rPr>
        <w:t>Облкомэкономразвития</w:t>
      </w:r>
      <w:proofErr w:type="spellEnd"/>
      <w:r w:rsidRPr="0047613F">
        <w:rPr>
          <w:rFonts w:ascii="Times New Roman" w:hAnsi="Times New Roman" w:cs="Times New Roman"/>
          <w:sz w:val="24"/>
          <w:szCs w:val="24"/>
        </w:rPr>
        <w:t xml:space="preserve"> и администрациями городских округов </w:t>
      </w:r>
      <w:proofErr w:type="gramStart"/>
      <w:r w:rsidRPr="0047613F">
        <w:rPr>
          <w:rFonts w:ascii="Times New Roman" w:hAnsi="Times New Roman" w:cs="Times New Roman"/>
          <w:sz w:val="24"/>
          <w:szCs w:val="24"/>
        </w:rPr>
        <w:t>г</w:t>
      </w:r>
      <w:proofErr w:type="gramEnd"/>
      <w:r w:rsidRPr="0047613F">
        <w:rPr>
          <w:rFonts w:ascii="Times New Roman" w:hAnsi="Times New Roman" w:cs="Times New Roman"/>
          <w:sz w:val="24"/>
          <w:szCs w:val="24"/>
        </w:rPr>
        <w:t xml:space="preserve">. Михайловка и г. Фролово подписаны соглашения о предоставлении субсидии местным бюджетам для реализации муниципальных программ развития малого и среднего предпринимательства в </w:t>
      </w:r>
      <w:r w:rsidRPr="0047613F">
        <w:rPr>
          <w:rFonts w:ascii="Times New Roman" w:hAnsi="Times New Roman" w:cs="Times New Roman"/>
          <w:sz w:val="24"/>
          <w:szCs w:val="24"/>
        </w:rPr>
        <w:lastRenderedPageBreak/>
        <w:t>сумме 30 млн. руб.: г. Михайловка – 18 млн. руб.; г. Фролово – 12 млн. рублей.</w:t>
      </w:r>
      <w:r>
        <w:rPr>
          <w:rFonts w:ascii="Times New Roman" w:hAnsi="Times New Roman" w:cs="Times New Roman"/>
          <w:sz w:val="24"/>
          <w:szCs w:val="24"/>
        </w:rPr>
        <w:t xml:space="preserve"> </w:t>
      </w:r>
      <w:r w:rsidR="0005161D">
        <w:rPr>
          <w:rFonts w:ascii="Times New Roman" w:hAnsi="Times New Roman" w:cs="Times New Roman"/>
          <w:sz w:val="24"/>
          <w:szCs w:val="24"/>
        </w:rPr>
        <w:t>Средства израсходованы в полном объеме, предусмотренном Подпрограммой, и</w:t>
      </w:r>
      <w:r>
        <w:rPr>
          <w:rFonts w:ascii="Times New Roman" w:hAnsi="Times New Roman" w:cs="Times New Roman"/>
          <w:sz w:val="24"/>
          <w:szCs w:val="24"/>
        </w:rPr>
        <w:t xml:space="preserve"> направлены моногородами на </w:t>
      </w:r>
      <w:r w:rsidRPr="0040654C">
        <w:rPr>
          <w:rFonts w:ascii="Times New Roman" w:hAnsi="Times New Roman" w:cs="Times New Roman"/>
          <w:sz w:val="24"/>
          <w:szCs w:val="24"/>
        </w:rPr>
        <w:t>субсидирование части затрат</w:t>
      </w:r>
      <w:r>
        <w:rPr>
          <w:rFonts w:ascii="Times New Roman" w:hAnsi="Times New Roman" w:cs="Times New Roman"/>
          <w:sz w:val="24"/>
          <w:szCs w:val="24"/>
        </w:rPr>
        <w:t xml:space="preserve"> СМСП</w:t>
      </w:r>
      <w:r w:rsidRPr="00BC6BE1">
        <w:rPr>
          <w:rFonts w:ascii="Times New Roman" w:hAnsi="Times New Roman" w:cs="Times New Roman"/>
          <w:sz w:val="24"/>
          <w:szCs w:val="24"/>
        </w:rPr>
        <w:t>, связанных с уплатой лизинговых платежей и с уплатой первого взноса (аванса</w:t>
      </w:r>
      <w:r>
        <w:rPr>
          <w:rFonts w:ascii="Times New Roman" w:hAnsi="Times New Roman" w:cs="Times New Roman"/>
          <w:sz w:val="24"/>
          <w:szCs w:val="24"/>
        </w:rPr>
        <w:t>)</w:t>
      </w:r>
      <w:r w:rsidRPr="00BC6BE1">
        <w:rPr>
          <w:rFonts w:ascii="Times New Roman" w:hAnsi="Times New Roman" w:cs="Times New Roman"/>
          <w:sz w:val="24"/>
          <w:szCs w:val="24"/>
        </w:rPr>
        <w:t xml:space="preserve"> по </w:t>
      </w:r>
      <w:r w:rsidRPr="008F6934">
        <w:rPr>
          <w:rFonts w:ascii="Times New Roman" w:hAnsi="Times New Roman" w:cs="Times New Roman"/>
          <w:sz w:val="24"/>
          <w:szCs w:val="24"/>
        </w:rPr>
        <w:t>договор</w:t>
      </w:r>
      <w:r w:rsidR="008F6934" w:rsidRPr="008F6934">
        <w:rPr>
          <w:rFonts w:ascii="Times New Roman" w:hAnsi="Times New Roman" w:cs="Times New Roman"/>
          <w:sz w:val="24"/>
          <w:szCs w:val="24"/>
        </w:rPr>
        <w:t>ам</w:t>
      </w:r>
      <w:r w:rsidRPr="008F6934">
        <w:rPr>
          <w:rFonts w:ascii="Times New Roman" w:hAnsi="Times New Roman" w:cs="Times New Roman"/>
          <w:sz w:val="24"/>
          <w:szCs w:val="24"/>
        </w:rPr>
        <w:t xml:space="preserve"> лизинга</w:t>
      </w:r>
      <w:r w:rsidR="008F6934" w:rsidRPr="008F6934">
        <w:rPr>
          <w:rFonts w:ascii="Times New Roman" w:hAnsi="Times New Roman" w:cs="Times New Roman"/>
          <w:sz w:val="24"/>
          <w:szCs w:val="24"/>
        </w:rPr>
        <w:t xml:space="preserve"> грузового автотранспорта (подъемники) для обновления автопарка и оборудования (тестомесильная, формовочная машина и т.д.) в целях модернизации производства</w:t>
      </w:r>
      <w:r w:rsidRPr="008F6934">
        <w:rPr>
          <w:rFonts w:ascii="Times New Roman" w:hAnsi="Times New Roman" w:cs="Times New Roman"/>
          <w:sz w:val="24"/>
          <w:szCs w:val="24"/>
        </w:rPr>
        <w:t>, а и</w:t>
      </w:r>
      <w:r>
        <w:rPr>
          <w:rFonts w:ascii="Times New Roman" w:hAnsi="Times New Roman" w:cs="Times New Roman"/>
          <w:sz w:val="24"/>
          <w:szCs w:val="24"/>
        </w:rPr>
        <w:t>менно</w:t>
      </w:r>
      <w:r w:rsidR="0005161D">
        <w:rPr>
          <w:rFonts w:ascii="Times New Roman" w:hAnsi="Times New Roman" w:cs="Times New Roman"/>
          <w:sz w:val="24"/>
          <w:szCs w:val="24"/>
        </w:rPr>
        <w:t xml:space="preserve"> по</w:t>
      </w:r>
      <w:r>
        <w:rPr>
          <w:rFonts w:ascii="Times New Roman" w:hAnsi="Times New Roman" w:cs="Times New Roman"/>
          <w:sz w:val="24"/>
          <w:szCs w:val="24"/>
        </w:rPr>
        <w:t xml:space="preserve"> г. </w:t>
      </w:r>
      <w:r w:rsidRPr="00BB5E3E">
        <w:rPr>
          <w:rFonts w:ascii="Times New Roman" w:hAnsi="Times New Roman" w:cs="Times New Roman"/>
          <w:sz w:val="24"/>
          <w:szCs w:val="24"/>
        </w:rPr>
        <w:t xml:space="preserve">Фролово – </w:t>
      </w:r>
      <w:r>
        <w:rPr>
          <w:rFonts w:ascii="Times New Roman" w:hAnsi="Times New Roman" w:cs="Times New Roman"/>
          <w:sz w:val="24"/>
          <w:szCs w:val="24"/>
        </w:rPr>
        <w:t xml:space="preserve">6-ти </w:t>
      </w:r>
      <w:r w:rsidRPr="006B6F02">
        <w:rPr>
          <w:rFonts w:ascii="Times New Roman" w:hAnsi="Times New Roman" w:cs="Times New Roman"/>
          <w:sz w:val="24"/>
          <w:szCs w:val="24"/>
        </w:rPr>
        <w:t xml:space="preserve">СМСП,  </w:t>
      </w:r>
      <w:r w:rsidR="0005161D">
        <w:rPr>
          <w:rFonts w:ascii="Times New Roman" w:hAnsi="Times New Roman" w:cs="Times New Roman"/>
          <w:sz w:val="24"/>
          <w:szCs w:val="24"/>
        </w:rPr>
        <w:t xml:space="preserve">по </w:t>
      </w:r>
      <w:r w:rsidRPr="006B6F02">
        <w:rPr>
          <w:rFonts w:ascii="Times New Roman" w:hAnsi="Times New Roman" w:cs="Times New Roman"/>
          <w:sz w:val="24"/>
          <w:szCs w:val="24"/>
        </w:rPr>
        <w:t>г. Михайловка</w:t>
      </w:r>
      <w:r>
        <w:rPr>
          <w:rFonts w:ascii="Times New Roman" w:hAnsi="Times New Roman" w:cs="Times New Roman"/>
          <w:sz w:val="24"/>
          <w:szCs w:val="24"/>
        </w:rPr>
        <w:t xml:space="preserve"> – 11-ти СМСП.</w:t>
      </w:r>
    </w:p>
    <w:p w:rsidR="00180D8F" w:rsidRPr="00C60CCF" w:rsidRDefault="00180D8F" w:rsidP="00180D8F">
      <w:pPr>
        <w:pStyle w:val="ConsPlusNormal"/>
        <w:ind w:firstLine="680"/>
        <w:jc w:val="both"/>
        <w:rPr>
          <w:rFonts w:ascii="Times New Roman" w:hAnsi="Times New Roman" w:cs="Times New Roman"/>
          <w:color w:val="000000"/>
          <w:sz w:val="24"/>
          <w:szCs w:val="24"/>
        </w:rPr>
      </w:pPr>
      <w:r>
        <w:rPr>
          <w:rFonts w:ascii="Times New Roman" w:hAnsi="Times New Roman" w:cs="Times New Roman"/>
          <w:sz w:val="24"/>
          <w:szCs w:val="24"/>
        </w:rPr>
        <w:t>Порядком</w:t>
      </w:r>
      <w:r w:rsidRPr="00C62105">
        <w:rPr>
          <w:rFonts w:ascii="Times New Roman" w:hAnsi="Times New Roman" w:cs="Times New Roman"/>
          <w:sz w:val="24"/>
          <w:szCs w:val="24"/>
        </w:rPr>
        <w:t xml:space="preserve"> предоставления субсидий бюджетам </w:t>
      </w:r>
      <w:proofErr w:type="spellStart"/>
      <w:r w:rsidRPr="00C62105">
        <w:rPr>
          <w:rFonts w:ascii="Times New Roman" w:hAnsi="Times New Roman" w:cs="Times New Roman"/>
          <w:sz w:val="24"/>
          <w:szCs w:val="24"/>
        </w:rPr>
        <w:t>монопрофильных</w:t>
      </w:r>
      <w:proofErr w:type="spellEnd"/>
      <w:r w:rsidRPr="00C62105">
        <w:rPr>
          <w:rFonts w:ascii="Times New Roman" w:hAnsi="Times New Roman" w:cs="Times New Roman"/>
          <w:sz w:val="24"/>
          <w:szCs w:val="24"/>
        </w:rPr>
        <w:t xml:space="preserve"> муниципальных образований (моногородов) Волгоградской области </w:t>
      </w:r>
      <w:r>
        <w:rPr>
          <w:rFonts w:ascii="Times New Roman" w:hAnsi="Times New Roman" w:cs="Times New Roman"/>
          <w:sz w:val="24"/>
          <w:szCs w:val="24"/>
        </w:rPr>
        <w:t xml:space="preserve">…, утвержденным </w:t>
      </w:r>
      <w:hyperlink r:id="rId12" w:history="1">
        <w:r w:rsidRPr="0048615E">
          <w:rPr>
            <w:rFonts w:ascii="Times New Roman" w:hAnsi="Times New Roman" w:cs="Times New Roman"/>
            <w:sz w:val="24"/>
            <w:szCs w:val="24"/>
          </w:rPr>
          <w:t>постановлением</w:t>
        </w:r>
      </w:hyperlink>
      <w:r w:rsidRPr="0048615E">
        <w:rPr>
          <w:rFonts w:ascii="Times New Roman" w:hAnsi="Times New Roman" w:cs="Times New Roman"/>
          <w:sz w:val="24"/>
          <w:szCs w:val="24"/>
        </w:rPr>
        <w:t xml:space="preserve"> Администрации </w:t>
      </w:r>
      <w:r w:rsidRPr="002A7D70">
        <w:rPr>
          <w:rFonts w:ascii="Times New Roman" w:hAnsi="Times New Roman" w:cs="Times New Roman"/>
          <w:sz w:val="24"/>
          <w:szCs w:val="24"/>
        </w:rPr>
        <w:t xml:space="preserve">Волгоградской области от 22.08.2017 №443-п (далее - Постановление № 443-п), а также соглашениями </w:t>
      </w:r>
      <w:r>
        <w:rPr>
          <w:rFonts w:ascii="Times New Roman" w:eastAsiaTheme="minorHAnsi" w:hAnsi="Times New Roman" w:cs="Times New Roman"/>
          <w:sz w:val="24"/>
          <w:szCs w:val="24"/>
          <w:lang w:eastAsia="en-US"/>
        </w:rPr>
        <w:t xml:space="preserve">о предоставлении субсидии предусмотрены 4 показателя результативности использования субсидии. </w:t>
      </w:r>
      <w:r>
        <w:rPr>
          <w:rFonts w:ascii="Times New Roman" w:hAnsi="Times New Roman" w:cs="Times New Roman"/>
          <w:sz w:val="24"/>
          <w:szCs w:val="24"/>
        </w:rPr>
        <w:t xml:space="preserve">По состоянию на 31.12.2017 </w:t>
      </w:r>
      <w:r>
        <w:rPr>
          <w:rFonts w:ascii="Times New Roman" w:eastAsiaTheme="minorHAnsi" w:hAnsi="Times New Roman" w:cs="Times New Roman"/>
          <w:sz w:val="24"/>
          <w:szCs w:val="24"/>
          <w:lang w:eastAsia="en-US"/>
        </w:rPr>
        <w:t xml:space="preserve">из 4-х показателей </w:t>
      </w:r>
      <w:r w:rsidRPr="001C5B2F">
        <w:rPr>
          <w:rFonts w:ascii="Times New Roman" w:hAnsi="Times New Roman" w:cs="Times New Roman"/>
          <w:color w:val="000000"/>
          <w:sz w:val="24"/>
          <w:szCs w:val="24"/>
        </w:rPr>
        <w:t>по г</w:t>
      </w:r>
      <w:proofErr w:type="gramStart"/>
      <w:r w:rsidRPr="001C5B2F">
        <w:rPr>
          <w:rFonts w:ascii="Times New Roman" w:hAnsi="Times New Roman" w:cs="Times New Roman"/>
          <w:color w:val="000000"/>
          <w:sz w:val="24"/>
          <w:szCs w:val="24"/>
        </w:rPr>
        <w:t>.Ф</w:t>
      </w:r>
      <w:proofErr w:type="gramEnd"/>
      <w:r w:rsidRPr="001C5B2F">
        <w:rPr>
          <w:rFonts w:ascii="Times New Roman" w:hAnsi="Times New Roman" w:cs="Times New Roman"/>
          <w:color w:val="000000"/>
          <w:sz w:val="24"/>
          <w:szCs w:val="24"/>
        </w:rPr>
        <w:t>ролово</w:t>
      </w:r>
      <w:r>
        <w:rPr>
          <w:rFonts w:ascii="Times New Roman" w:eastAsiaTheme="minorHAnsi" w:hAnsi="Times New Roman" w:cs="Times New Roman"/>
          <w:sz w:val="24"/>
          <w:szCs w:val="24"/>
          <w:lang w:eastAsia="en-US"/>
        </w:rPr>
        <w:t xml:space="preserve"> не выполнен </w:t>
      </w:r>
      <w:r>
        <w:rPr>
          <w:rFonts w:ascii="Times New Roman" w:hAnsi="Times New Roman" w:cs="Times New Roman"/>
          <w:sz w:val="24"/>
          <w:szCs w:val="24"/>
        </w:rPr>
        <w:t>показатель</w:t>
      </w:r>
      <w:r w:rsidRPr="006C749E">
        <w:rPr>
          <w:rFonts w:ascii="Times New Roman" w:hAnsi="Times New Roman" w:cs="Times New Roman"/>
          <w:sz w:val="24"/>
          <w:szCs w:val="24"/>
        </w:rPr>
        <w:t xml:space="preserve"> «</w:t>
      </w:r>
      <w:r w:rsidRPr="006C749E">
        <w:rPr>
          <w:rFonts w:ascii="Times New Roman" w:hAnsi="Times New Roman" w:cs="Times New Roman"/>
          <w:color w:val="000000"/>
          <w:sz w:val="24"/>
          <w:szCs w:val="24"/>
        </w:rPr>
        <w:t xml:space="preserve">Увеличение оборота </w:t>
      </w:r>
      <w:r>
        <w:rPr>
          <w:rFonts w:ascii="Times New Roman" w:hAnsi="Times New Roman" w:cs="Times New Roman"/>
          <w:color w:val="000000"/>
          <w:sz w:val="24"/>
          <w:szCs w:val="24"/>
        </w:rPr>
        <w:t>СМСП</w:t>
      </w:r>
      <w:r w:rsidRPr="006C749E">
        <w:rPr>
          <w:rFonts w:ascii="Times New Roman" w:hAnsi="Times New Roman" w:cs="Times New Roman"/>
          <w:color w:val="000000"/>
          <w:sz w:val="24"/>
          <w:szCs w:val="24"/>
        </w:rPr>
        <w:t>, получивших гос</w:t>
      </w:r>
      <w:r w:rsidRPr="001C5B2F">
        <w:rPr>
          <w:rFonts w:ascii="Times New Roman" w:hAnsi="Times New Roman" w:cs="Times New Roman"/>
          <w:color w:val="000000"/>
          <w:sz w:val="24"/>
          <w:szCs w:val="24"/>
        </w:rPr>
        <w:t>поддержку, в постоянных ценах по отношению к показателю 2014 года»</w:t>
      </w:r>
      <w:r>
        <w:rPr>
          <w:rFonts w:ascii="Times New Roman" w:hAnsi="Times New Roman" w:cs="Times New Roman"/>
          <w:color w:val="000000"/>
          <w:sz w:val="24"/>
          <w:szCs w:val="24"/>
        </w:rPr>
        <w:t xml:space="preserve">: </w:t>
      </w:r>
      <w:r w:rsidRPr="001C5B2F">
        <w:rPr>
          <w:rFonts w:ascii="Times New Roman" w:hAnsi="Times New Roman" w:cs="Times New Roman"/>
          <w:color w:val="000000"/>
          <w:sz w:val="24"/>
          <w:szCs w:val="24"/>
        </w:rPr>
        <w:t>плановый показатель – не менее 5%, фактический показатель – (-</w:t>
      </w:r>
      <w:r>
        <w:rPr>
          <w:rFonts w:ascii="Times New Roman" w:hAnsi="Times New Roman" w:cs="Times New Roman"/>
          <w:color w:val="000000"/>
          <w:sz w:val="24"/>
          <w:szCs w:val="24"/>
        </w:rPr>
        <w:t>)</w:t>
      </w:r>
      <w:r w:rsidRPr="001C5B2F">
        <w:rPr>
          <w:rFonts w:ascii="Times New Roman" w:hAnsi="Times New Roman" w:cs="Times New Roman"/>
          <w:color w:val="000000"/>
          <w:sz w:val="24"/>
          <w:szCs w:val="24"/>
        </w:rPr>
        <w:t>42,8</w:t>
      </w:r>
      <w:r>
        <w:rPr>
          <w:rFonts w:ascii="Times New Roman" w:hAnsi="Times New Roman" w:cs="Times New Roman"/>
          <w:color w:val="000000"/>
          <w:sz w:val="24"/>
          <w:szCs w:val="24"/>
        </w:rPr>
        <w:t>% (ч</w:t>
      </w:r>
      <w:r>
        <w:rPr>
          <w:rFonts w:ascii="Times New Roman" w:eastAsiaTheme="minorHAnsi" w:hAnsi="Times New Roman" w:cs="Times New Roman"/>
          <w:sz w:val="24"/>
          <w:szCs w:val="24"/>
          <w:lang w:eastAsia="en-US"/>
        </w:rPr>
        <w:t xml:space="preserve">астично информация об исполнении показателей приведена в </w:t>
      </w:r>
      <w:r w:rsidRPr="008B76BA">
        <w:rPr>
          <w:rFonts w:ascii="Times New Roman" w:eastAsiaTheme="minorHAnsi" w:hAnsi="Times New Roman" w:cs="Times New Roman"/>
          <w:color w:val="365F91" w:themeColor="accent1" w:themeShade="BF"/>
          <w:sz w:val="24"/>
          <w:szCs w:val="24"/>
          <w:lang w:eastAsia="en-US"/>
        </w:rPr>
        <w:t xml:space="preserve">приложениях № </w:t>
      </w:r>
      <w:r w:rsidR="00AA48BE">
        <w:rPr>
          <w:rFonts w:ascii="Times New Roman" w:eastAsiaTheme="minorHAnsi" w:hAnsi="Times New Roman" w:cs="Times New Roman"/>
          <w:color w:val="365F91" w:themeColor="accent1" w:themeShade="BF"/>
          <w:sz w:val="24"/>
          <w:szCs w:val="24"/>
          <w:lang w:eastAsia="en-US"/>
        </w:rPr>
        <w:t>5</w:t>
      </w:r>
      <w:r w:rsidRPr="008B76BA">
        <w:rPr>
          <w:rFonts w:ascii="Times New Roman" w:eastAsiaTheme="minorHAnsi" w:hAnsi="Times New Roman" w:cs="Times New Roman"/>
          <w:color w:val="365F91" w:themeColor="accent1" w:themeShade="BF"/>
          <w:sz w:val="24"/>
          <w:szCs w:val="24"/>
          <w:lang w:eastAsia="en-US"/>
        </w:rPr>
        <w:t xml:space="preserve"> и </w:t>
      </w:r>
      <w:r w:rsidR="00AA48BE">
        <w:rPr>
          <w:rFonts w:ascii="Times New Roman" w:eastAsiaTheme="minorHAnsi" w:hAnsi="Times New Roman" w:cs="Times New Roman"/>
          <w:color w:val="365F91" w:themeColor="accent1" w:themeShade="BF"/>
          <w:sz w:val="24"/>
          <w:szCs w:val="24"/>
          <w:lang w:eastAsia="en-US"/>
        </w:rPr>
        <w:t>7</w:t>
      </w:r>
      <w:r w:rsidRPr="008B76BA">
        <w:rPr>
          <w:rFonts w:ascii="Times New Roman" w:eastAsiaTheme="minorHAnsi" w:hAnsi="Times New Roman" w:cs="Times New Roman"/>
          <w:sz w:val="24"/>
          <w:szCs w:val="24"/>
          <w:lang w:eastAsia="en-US"/>
        </w:rPr>
        <w:t xml:space="preserve"> к настоящему отчету).</w:t>
      </w:r>
      <w:r>
        <w:rPr>
          <w:rFonts w:ascii="Times New Roman" w:eastAsiaTheme="minorHAnsi" w:hAnsi="Times New Roman" w:cs="Times New Roman"/>
          <w:sz w:val="24"/>
          <w:szCs w:val="24"/>
          <w:lang w:eastAsia="en-US"/>
        </w:rPr>
        <w:t xml:space="preserve"> </w:t>
      </w:r>
      <w:r>
        <w:rPr>
          <w:rFonts w:ascii="Times New Roman" w:hAnsi="Times New Roman" w:cs="Times New Roman"/>
          <w:color w:val="000000"/>
          <w:sz w:val="24"/>
          <w:szCs w:val="24"/>
        </w:rPr>
        <w:t xml:space="preserve">Указанный показатель не выполнен и по состоянию на 01.04.2018 (возможность устранения нарушения до </w:t>
      </w:r>
      <w:r w:rsidRPr="00CB37F7">
        <w:rPr>
          <w:rFonts w:ascii="Times New Roman" w:hAnsi="Times New Roman" w:cs="Times New Roman"/>
          <w:color w:val="000000"/>
          <w:sz w:val="24"/>
          <w:szCs w:val="24"/>
        </w:rPr>
        <w:t xml:space="preserve">первой </w:t>
      </w:r>
      <w:r w:rsidR="0032099D" w:rsidRPr="00CB37F7">
        <w:rPr>
          <w:rFonts w:ascii="Times New Roman" w:hAnsi="Times New Roman" w:cs="Times New Roman"/>
          <w:color w:val="000000"/>
          <w:sz w:val="24"/>
          <w:szCs w:val="24"/>
        </w:rPr>
        <w:t>даты</w:t>
      </w:r>
      <w:r w:rsidR="0032099D">
        <w:rPr>
          <w:rFonts w:ascii="Times New Roman" w:hAnsi="Times New Roman" w:cs="Times New Roman"/>
          <w:color w:val="000000"/>
          <w:sz w:val="24"/>
          <w:szCs w:val="24"/>
        </w:rPr>
        <w:t xml:space="preserve"> </w:t>
      </w:r>
      <w:r w:rsidRPr="00F96801">
        <w:rPr>
          <w:rFonts w:ascii="Times New Roman" w:eastAsiaTheme="minorHAnsi" w:hAnsi="Times New Roman" w:cs="Times New Roman"/>
          <w:sz w:val="24"/>
          <w:szCs w:val="24"/>
          <w:lang w:eastAsia="en-US"/>
        </w:rPr>
        <w:t xml:space="preserve">представления отчетности о достижении плановых </w:t>
      </w:r>
      <w:proofErr w:type="gramStart"/>
      <w:r w:rsidRPr="00F96801">
        <w:rPr>
          <w:rFonts w:ascii="Times New Roman" w:eastAsiaTheme="minorHAnsi" w:hAnsi="Times New Roman" w:cs="Times New Roman"/>
          <w:sz w:val="24"/>
          <w:szCs w:val="24"/>
          <w:lang w:eastAsia="en-US"/>
        </w:rPr>
        <w:t>значений показателей результативности использования субсидии</w:t>
      </w:r>
      <w:proofErr w:type="gramEnd"/>
      <w:r w:rsidRPr="00F96801">
        <w:rPr>
          <w:rFonts w:ascii="Times New Roman" w:eastAsiaTheme="minorHAnsi" w:hAnsi="Times New Roman" w:cs="Times New Roman"/>
          <w:sz w:val="24"/>
          <w:szCs w:val="24"/>
          <w:lang w:eastAsia="en-US"/>
        </w:rPr>
        <w:t xml:space="preserve"> в году, </w:t>
      </w:r>
      <w:r w:rsidRPr="00135B06">
        <w:rPr>
          <w:rFonts w:ascii="Times New Roman" w:eastAsiaTheme="minorHAnsi" w:hAnsi="Times New Roman" w:cs="Times New Roman"/>
          <w:sz w:val="24"/>
          <w:szCs w:val="24"/>
          <w:lang w:eastAsia="en-US"/>
        </w:rPr>
        <w:t>следующем за годом предоставления субсидии</w:t>
      </w:r>
      <w:r w:rsidR="002A37A7">
        <w:rPr>
          <w:rFonts w:ascii="Times New Roman" w:eastAsiaTheme="minorHAnsi" w:hAnsi="Times New Roman" w:cs="Times New Roman"/>
          <w:sz w:val="24"/>
          <w:szCs w:val="24"/>
          <w:lang w:eastAsia="en-US"/>
        </w:rPr>
        <w:t>,</w:t>
      </w:r>
      <w:r w:rsidRPr="00135B06">
        <w:rPr>
          <w:rFonts w:ascii="Times New Roman" w:hAnsi="Times New Roman" w:cs="Times New Roman"/>
          <w:color w:val="000000"/>
          <w:sz w:val="24"/>
          <w:szCs w:val="24"/>
        </w:rPr>
        <w:t xml:space="preserve"> предусмотрена Постановлением № 443-п</w:t>
      </w:r>
      <w:r w:rsidRPr="00C60CCF">
        <w:rPr>
          <w:rFonts w:ascii="Times New Roman" w:hAnsi="Times New Roman" w:cs="Times New Roman"/>
          <w:color w:val="000000"/>
          <w:sz w:val="24"/>
          <w:szCs w:val="24"/>
        </w:rPr>
        <w:t xml:space="preserve">). За нарушение условия предоставления </w:t>
      </w:r>
      <w:r w:rsidRPr="00C60CCF">
        <w:rPr>
          <w:rFonts w:ascii="Times New Roman" w:hAnsi="Times New Roman" w:cs="Times New Roman"/>
          <w:sz w:val="24"/>
          <w:szCs w:val="24"/>
        </w:rPr>
        <w:t>субсидии</w:t>
      </w:r>
      <w:r w:rsidRPr="00C60CCF">
        <w:rPr>
          <w:rFonts w:ascii="Times New Roman" w:hAnsi="Times New Roman" w:cs="Times New Roman"/>
          <w:color w:val="000000"/>
          <w:sz w:val="24"/>
          <w:szCs w:val="24"/>
        </w:rPr>
        <w:t xml:space="preserve"> Администрацией городского округа </w:t>
      </w:r>
      <w:proofErr w:type="gramStart"/>
      <w:r w:rsidRPr="00C60CCF">
        <w:rPr>
          <w:rFonts w:ascii="Times New Roman" w:hAnsi="Times New Roman" w:cs="Times New Roman"/>
          <w:color w:val="000000"/>
          <w:sz w:val="24"/>
          <w:szCs w:val="24"/>
        </w:rPr>
        <w:t>г</w:t>
      </w:r>
      <w:proofErr w:type="gramEnd"/>
      <w:r w:rsidRPr="00C60CCF">
        <w:rPr>
          <w:rFonts w:ascii="Times New Roman" w:hAnsi="Times New Roman" w:cs="Times New Roman"/>
          <w:color w:val="000000"/>
          <w:sz w:val="24"/>
          <w:szCs w:val="24"/>
        </w:rPr>
        <w:t>. Фролово в апреле 2018 года произведен возврат средств из местного бюджета в областной бюджет в размере 0,3 млн. рублей.</w:t>
      </w:r>
    </w:p>
    <w:p w:rsidR="00180D8F" w:rsidRPr="00C60CCF" w:rsidRDefault="00180D8F" w:rsidP="00180D8F">
      <w:pPr>
        <w:ind w:firstLine="680"/>
        <w:jc w:val="both"/>
      </w:pPr>
      <w:r w:rsidRPr="00C60CCF">
        <w:rPr>
          <w:color w:val="000000"/>
        </w:rPr>
        <w:t xml:space="preserve">Проверкой установлено, что одним </w:t>
      </w:r>
      <w:r w:rsidRPr="00C60CCF">
        <w:t xml:space="preserve">из факторов, повлиявших на </w:t>
      </w:r>
      <w:r w:rsidRPr="00C60CCF">
        <w:rPr>
          <w:color w:val="000000"/>
        </w:rPr>
        <w:t>возврат средств из местного бюджета г</w:t>
      </w:r>
      <w:proofErr w:type="gramStart"/>
      <w:r w:rsidRPr="00C60CCF">
        <w:rPr>
          <w:color w:val="000000"/>
        </w:rPr>
        <w:t>.Ф</w:t>
      </w:r>
      <w:proofErr w:type="gramEnd"/>
      <w:r w:rsidRPr="00C60CCF">
        <w:rPr>
          <w:color w:val="000000"/>
        </w:rPr>
        <w:t>ролово в областной бюджет, явилась</w:t>
      </w:r>
      <w:r w:rsidRPr="00C60CCF">
        <w:t xml:space="preserve"> длительность процедур согласования </w:t>
      </w:r>
      <w:proofErr w:type="spellStart"/>
      <w:r w:rsidRPr="00C60CCF">
        <w:t>Облкомэкономразвития</w:t>
      </w:r>
      <w:proofErr w:type="spellEnd"/>
      <w:r w:rsidRPr="00C60CCF">
        <w:t xml:space="preserve"> проекта порядка предоставления субсидий бюджетам </w:t>
      </w:r>
      <w:proofErr w:type="spellStart"/>
      <w:r w:rsidRPr="00C60CCF">
        <w:t>монопрофильных</w:t>
      </w:r>
      <w:proofErr w:type="spellEnd"/>
      <w:r w:rsidRPr="00C60CCF">
        <w:t xml:space="preserve"> муниципальных образований. </w:t>
      </w:r>
      <w:r w:rsidRPr="00C60CCF">
        <w:rPr>
          <w:color w:val="000000"/>
        </w:rPr>
        <w:t xml:space="preserve">Так, </w:t>
      </w:r>
      <w:r w:rsidRPr="00C60CCF">
        <w:t xml:space="preserve">Соглашение с Минэкономразвития РФ на 2017 год было заключено </w:t>
      </w:r>
      <w:proofErr w:type="spellStart"/>
      <w:r w:rsidRPr="00C60CCF">
        <w:t>Облкомэкономразвития</w:t>
      </w:r>
      <w:proofErr w:type="spellEnd"/>
      <w:r w:rsidRPr="00C60CCF">
        <w:t xml:space="preserve"> 20.02.2017, а Постановление № 443-п было принято 22.08.2017, т.е. спустя 6 месяцев с момента подписания указанного соглашения.  </w:t>
      </w:r>
      <w:proofErr w:type="gramStart"/>
      <w:r w:rsidRPr="00C60CCF">
        <w:t xml:space="preserve">При этом в соответствии с п.18 </w:t>
      </w:r>
      <w:hyperlink r:id="rId13" w:history="1">
        <w:r w:rsidRPr="00C60CCF">
          <w:t>постановления Губернатора Волгоградской области от 10.09.2012 № 832 «Об утверждении Положения о подготовке проектов правовых актов Губернатора Волгоградской области и Администрации Волгоградской области»</w:t>
        </w:r>
      </w:hyperlink>
      <w:r w:rsidRPr="00C60CCF">
        <w:t xml:space="preserve"> период работы над проектом правового акта с момента начала работы и до его представления на рассмотрение Губернатору Волгоградской области, в Администрацию Волгоградской области не должен превышать трех месяцев.</w:t>
      </w:r>
      <w:proofErr w:type="gramEnd"/>
    </w:p>
    <w:p w:rsidR="00180D8F" w:rsidRPr="003A6C73" w:rsidRDefault="00180D8F" w:rsidP="00180D8F">
      <w:pPr>
        <w:pStyle w:val="ConsPlusNormal"/>
        <w:ind w:firstLine="680"/>
        <w:jc w:val="both"/>
        <w:rPr>
          <w:rFonts w:ascii="Times New Roman" w:eastAsiaTheme="minorHAnsi" w:hAnsi="Times New Roman" w:cs="Times New Roman"/>
          <w:sz w:val="24"/>
          <w:szCs w:val="24"/>
          <w:lang w:eastAsia="en-US"/>
        </w:rPr>
      </w:pPr>
      <w:r w:rsidRPr="000D5573">
        <w:rPr>
          <w:rFonts w:ascii="Times New Roman" w:eastAsiaTheme="minorHAnsi" w:hAnsi="Times New Roman" w:cs="Times New Roman"/>
          <w:sz w:val="24"/>
          <w:szCs w:val="24"/>
          <w:lang w:eastAsia="en-US"/>
        </w:rPr>
        <w:t>Кроме того,</w:t>
      </w:r>
      <w:r w:rsidRPr="000D5573">
        <w:rPr>
          <w:rFonts w:ascii="Times New Roman" w:hAnsi="Times New Roman" w:cs="Times New Roman"/>
          <w:sz w:val="24"/>
          <w:szCs w:val="24"/>
        </w:rPr>
        <w:t xml:space="preserve"> с момента распределения субсидий из областного бюджета бюджетам </w:t>
      </w:r>
      <w:proofErr w:type="spellStart"/>
      <w:r w:rsidRPr="000D5573">
        <w:rPr>
          <w:rFonts w:ascii="Times New Roman" w:hAnsi="Times New Roman" w:cs="Times New Roman"/>
          <w:sz w:val="24"/>
          <w:szCs w:val="24"/>
        </w:rPr>
        <w:t>монопрофильных</w:t>
      </w:r>
      <w:proofErr w:type="spellEnd"/>
      <w:r w:rsidRPr="000D5573">
        <w:rPr>
          <w:rFonts w:ascii="Times New Roman" w:hAnsi="Times New Roman" w:cs="Times New Roman"/>
          <w:sz w:val="24"/>
          <w:szCs w:val="24"/>
        </w:rPr>
        <w:t xml:space="preserve"> муниципальных образований (моногородов) </w:t>
      </w:r>
      <w:r w:rsidRPr="000D5573">
        <w:rPr>
          <w:rFonts w:ascii="Times New Roman" w:eastAsiaTheme="minorHAnsi" w:hAnsi="Times New Roman" w:cs="Times New Roman"/>
          <w:sz w:val="24"/>
          <w:szCs w:val="24"/>
          <w:lang w:eastAsia="en-US"/>
        </w:rPr>
        <w:t xml:space="preserve"> (</w:t>
      </w:r>
      <w:r w:rsidRPr="000D5573">
        <w:rPr>
          <w:rFonts w:ascii="Times New Roman" w:hAnsi="Times New Roman" w:cs="Times New Roman"/>
          <w:sz w:val="24"/>
          <w:szCs w:val="24"/>
        </w:rPr>
        <w:t>15.09.2017) до  перечисления субсидии в м</w:t>
      </w:r>
      <w:r>
        <w:rPr>
          <w:rFonts w:ascii="Times New Roman" w:hAnsi="Times New Roman" w:cs="Times New Roman"/>
          <w:sz w:val="24"/>
          <w:szCs w:val="24"/>
        </w:rPr>
        <w:t>естные</w:t>
      </w:r>
      <w:r w:rsidRPr="000D5573">
        <w:rPr>
          <w:rFonts w:ascii="Times New Roman" w:hAnsi="Times New Roman" w:cs="Times New Roman"/>
          <w:sz w:val="24"/>
          <w:szCs w:val="24"/>
        </w:rPr>
        <w:t xml:space="preserve"> бюджеты (24.10.2017) прошло еще более одного месяца. </w:t>
      </w:r>
      <w:r>
        <w:rPr>
          <w:rFonts w:ascii="Times New Roman" w:hAnsi="Times New Roman" w:cs="Times New Roman"/>
          <w:sz w:val="24"/>
          <w:szCs w:val="24"/>
        </w:rPr>
        <w:t xml:space="preserve">С </w:t>
      </w:r>
      <w:r w:rsidRPr="000D5573">
        <w:rPr>
          <w:rFonts w:ascii="Times New Roman" w:hAnsi="Times New Roman" w:cs="Times New Roman"/>
          <w:sz w:val="24"/>
          <w:szCs w:val="24"/>
        </w:rPr>
        <w:t xml:space="preserve">учетом конкурсных процедур непосредственное </w:t>
      </w:r>
      <w:r w:rsidRPr="003A6C73">
        <w:rPr>
          <w:rFonts w:ascii="Times New Roman" w:hAnsi="Times New Roman" w:cs="Times New Roman"/>
          <w:sz w:val="24"/>
          <w:szCs w:val="24"/>
        </w:rPr>
        <w:t>субсидирование СМСП произведено в конце декабря 2017 года (20.12.2017, 26.12.2017, 28.12.2017). Т.е. СМСП не могли быть достигнуты плановые значения показателей результативности использования субсидии в срок до 31.12.2017.</w:t>
      </w:r>
    </w:p>
    <w:p w:rsidR="00180D8F" w:rsidRDefault="00180D8F" w:rsidP="00180D8F">
      <w:pPr>
        <w:ind w:firstLine="680"/>
        <w:jc w:val="both"/>
      </w:pPr>
      <w:r>
        <w:t xml:space="preserve">На основании вышеизложенного </w:t>
      </w:r>
      <w:r w:rsidRPr="00C60CCF">
        <w:t>возврат субсидии произошел из-за отсутствия четкого взаимодействия между структурными подразделениями Администрации Волгоградской области,</w:t>
      </w:r>
      <w:r>
        <w:t xml:space="preserve"> </w:t>
      </w:r>
      <w:r w:rsidRPr="000D5573">
        <w:t xml:space="preserve">что повлекло отвлечение средств местного бюджета в размере </w:t>
      </w:r>
      <w:r>
        <w:t>0,3 млн.</w:t>
      </w:r>
      <w:r w:rsidRPr="000D5573">
        <w:t xml:space="preserve"> руб., которые могли быть направлены на нужды, способствующие улучшению социально-экономического положения г</w:t>
      </w:r>
      <w:proofErr w:type="gramStart"/>
      <w:r w:rsidRPr="000D5573">
        <w:t>.Ф</w:t>
      </w:r>
      <w:proofErr w:type="gramEnd"/>
      <w:r w:rsidRPr="000D5573">
        <w:t>ролово.</w:t>
      </w:r>
      <w:r>
        <w:t xml:space="preserve"> </w:t>
      </w:r>
      <w:r w:rsidRPr="00B75403">
        <w:t>Каких либо исключающих обстоятельств</w:t>
      </w:r>
      <w:r>
        <w:t xml:space="preserve">, в результате которых средства субсидии не подлежат возврату, </w:t>
      </w:r>
      <w:r w:rsidRPr="00B75403">
        <w:t xml:space="preserve">соглашением </w:t>
      </w:r>
      <w:r w:rsidRPr="002A7D70">
        <w:rPr>
          <w:rFonts w:eastAsiaTheme="minorHAnsi"/>
          <w:lang w:eastAsia="en-US"/>
        </w:rPr>
        <w:t>о предоставлении субсидии, заключенн</w:t>
      </w:r>
      <w:r>
        <w:rPr>
          <w:rFonts w:eastAsiaTheme="minorHAnsi"/>
          <w:lang w:eastAsia="en-US"/>
        </w:rPr>
        <w:t>ым</w:t>
      </w:r>
      <w:r w:rsidRPr="002A7D70">
        <w:rPr>
          <w:rFonts w:eastAsiaTheme="minorHAnsi"/>
          <w:lang w:eastAsia="en-US"/>
        </w:rPr>
        <w:t xml:space="preserve"> между </w:t>
      </w:r>
      <w:proofErr w:type="spellStart"/>
      <w:r>
        <w:rPr>
          <w:rFonts w:eastAsiaTheme="minorHAnsi"/>
          <w:lang w:eastAsia="en-US"/>
        </w:rPr>
        <w:t>Облкомэкономразвития</w:t>
      </w:r>
      <w:proofErr w:type="spellEnd"/>
      <w:r>
        <w:rPr>
          <w:rFonts w:eastAsiaTheme="minorHAnsi"/>
          <w:lang w:eastAsia="en-US"/>
        </w:rPr>
        <w:t xml:space="preserve"> </w:t>
      </w:r>
      <w:r w:rsidRPr="002A7D70">
        <w:rPr>
          <w:rFonts w:eastAsiaTheme="minorHAnsi"/>
          <w:lang w:eastAsia="en-US"/>
        </w:rPr>
        <w:t>и администрацией моногорода</w:t>
      </w:r>
      <w:r>
        <w:rPr>
          <w:rFonts w:eastAsiaTheme="minorHAnsi"/>
          <w:lang w:eastAsia="en-US"/>
        </w:rPr>
        <w:t>,</w:t>
      </w:r>
      <w:r w:rsidRPr="00BF27F8">
        <w:t xml:space="preserve"> </w:t>
      </w:r>
      <w:r w:rsidRPr="00B75403">
        <w:t>не было установлено.</w:t>
      </w:r>
    </w:p>
    <w:p w:rsidR="003A21DD" w:rsidRPr="002841CC" w:rsidRDefault="002841CC" w:rsidP="003A21DD">
      <w:pPr>
        <w:autoSpaceDE w:val="0"/>
        <w:autoSpaceDN w:val="0"/>
        <w:adjustRightInd w:val="0"/>
        <w:ind w:firstLine="794"/>
        <w:jc w:val="both"/>
        <w:rPr>
          <w:rFonts w:eastAsiaTheme="minorHAnsi"/>
          <w:i/>
          <w:lang w:eastAsia="en-US"/>
        </w:rPr>
      </w:pPr>
      <w:r w:rsidRPr="002841CC">
        <w:rPr>
          <w:rFonts w:eastAsiaTheme="minorHAnsi"/>
          <w:i/>
          <w:lang w:eastAsia="en-US"/>
        </w:rPr>
        <w:t xml:space="preserve">Согласно изложенному </w:t>
      </w:r>
      <w:r w:rsidR="00643220" w:rsidRPr="002841CC">
        <w:rPr>
          <w:rFonts w:eastAsiaTheme="minorHAnsi"/>
          <w:i/>
          <w:lang w:eastAsia="en-US"/>
        </w:rPr>
        <w:t>можно сделать вывод о</w:t>
      </w:r>
      <w:r w:rsidRPr="002841CC">
        <w:rPr>
          <w:rFonts w:eastAsiaTheme="minorHAnsi"/>
          <w:i/>
          <w:lang w:eastAsia="en-US"/>
        </w:rPr>
        <w:t xml:space="preserve"> том, что задача, предусмотренная Подпрограммой Госпрограмм № 696-п и № 14-п по развитию малого и среднего </w:t>
      </w:r>
      <w:r w:rsidRPr="002841CC">
        <w:rPr>
          <w:rFonts w:eastAsiaTheme="minorHAnsi"/>
          <w:i/>
          <w:lang w:eastAsia="en-US"/>
        </w:rPr>
        <w:lastRenderedPageBreak/>
        <w:t xml:space="preserve">предпринимательства на территории муниципальных образований, осуществлена не в полной мере, так как </w:t>
      </w:r>
      <w:r w:rsidR="00643220" w:rsidRPr="002841CC">
        <w:rPr>
          <w:rFonts w:eastAsiaTheme="minorHAnsi"/>
          <w:i/>
          <w:lang w:eastAsia="en-US"/>
        </w:rPr>
        <w:t xml:space="preserve">финансирование мероприятия в 2015-2016 годах не осуществлялось, а в 2017 году профинансированы только </w:t>
      </w:r>
      <w:proofErr w:type="spellStart"/>
      <w:r w:rsidR="00643220" w:rsidRPr="002841CC">
        <w:rPr>
          <w:rFonts w:eastAsiaTheme="minorHAnsi"/>
          <w:i/>
          <w:lang w:eastAsia="en-US"/>
        </w:rPr>
        <w:t>монопрофильные</w:t>
      </w:r>
      <w:proofErr w:type="spellEnd"/>
      <w:r w:rsidR="00643220" w:rsidRPr="002841CC">
        <w:rPr>
          <w:rFonts w:eastAsiaTheme="minorHAnsi"/>
          <w:i/>
          <w:lang w:eastAsia="en-US"/>
        </w:rPr>
        <w:t xml:space="preserve"> образования (г</w:t>
      </w:r>
      <w:proofErr w:type="gramStart"/>
      <w:r w:rsidR="00643220" w:rsidRPr="002841CC">
        <w:rPr>
          <w:rFonts w:eastAsiaTheme="minorHAnsi"/>
          <w:i/>
          <w:lang w:eastAsia="en-US"/>
        </w:rPr>
        <w:t>.М</w:t>
      </w:r>
      <w:proofErr w:type="gramEnd"/>
      <w:r w:rsidR="00643220" w:rsidRPr="002841CC">
        <w:rPr>
          <w:rFonts w:eastAsiaTheme="minorHAnsi"/>
          <w:i/>
          <w:lang w:eastAsia="en-US"/>
        </w:rPr>
        <w:t xml:space="preserve">ихайловка и г. </w:t>
      </w:r>
      <w:r w:rsidR="0032099D">
        <w:rPr>
          <w:rFonts w:eastAsiaTheme="minorHAnsi"/>
          <w:i/>
          <w:lang w:eastAsia="en-US"/>
        </w:rPr>
        <w:t>Фролово</w:t>
      </w:r>
      <w:r w:rsidRPr="002841CC">
        <w:rPr>
          <w:rFonts w:eastAsiaTheme="minorHAnsi"/>
          <w:i/>
          <w:lang w:eastAsia="en-US"/>
        </w:rPr>
        <w:t>).</w:t>
      </w:r>
    </w:p>
    <w:p w:rsidR="00643220" w:rsidRDefault="00643220" w:rsidP="005C4282">
      <w:pPr>
        <w:pStyle w:val="ConsPlusNormal"/>
        <w:ind w:firstLine="680"/>
        <w:jc w:val="both"/>
        <w:rPr>
          <w:rFonts w:eastAsiaTheme="minorHAnsi"/>
          <w:highlight w:val="green"/>
          <w:lang w:eastAsia="en-US"/>
        </w:rPr>
      </w:pPr>
    </w:p>
    <w:p w:rsidR="000E3EED" w:rsidRDefault="000E3EED" w:rsidP="000E3EED">
      <w:pPr>
        <w:ind w:firstLine="680"/>
        <w:jc w:val="center"/>
      </w:pPr>
      <w:r w:rsidRPr="00EC7E5E">
        <w:rPr>
          <w:b/>
        </w:rPr>
        <w:t>Вовлечение молодежи в предпринимательскую деятельность</w:t>
      </w:r>
    </w:p>
    <w:p w:rsidR="000E3EED" w:rsidRDefault="000E3EED" w:rsidP="000E3EED">
      <w:pPr>
        <w:ind w:firstLine="680"/>
        <w:jc w:val="both"/>
      </w:pPr>
      <w:r w:rsidRPr="00EC7E5E">
        <w:t xml:space="preserve">По </w:t>
      </w:r>
      <w:r>
        <w:t>указанному мероприятию в</w:t>
      </w:r>
      <w:r w:rsidRPr="00EC7E5E">
        <w:t xml:space="preserve"> Подпрограмме предусмотрен объем финансирования </w:t>
      </w:r>
      <w:r>
        <w:t xml:space="preserve">на 2017 год </w:t>
      </w:r>
      <w:r w:rsidRPr="00EC7E5E">
        <w:t>в размере 3,2 млн. руб. (за счет средств федерального бюджета – 2,6 млн. руб., областного бюджета – 0,6 млн. руб.)</w:t>
      </w:r>
      <w:r>
        <w:t>, фактически средства израсходованы полностью.</w:t>
      </w:r>
    </w:p>
    <w:p w:rsidR="000E3EED" w:rsidRDefault="000E3EED" w:rsidP="000E3EED">
      <w:pPr>
        <w:ind w:firstLine="680"/>
        <w:jc w:val="both"/>
      </w:pPr>
      <w:r>
        <w:t xml:space="preserve"> На 2018 год предусмотрен объем финансирования в </w:t>
      </w:r>
      <w:r w:rsidRPr="007F1676">
        <w:t>размере 5,0 млн. руб.</w:t>
      </w:r>
      <w:r w:rsidR="004351D5">
        <w:t xml:space="preserve"> (за счет средств федерального бюджета – 4,3 млн. руб., областного бюджета – 0,7 млн. руб.)</w:t>
      </w:r>
      <w:r w:rsidRPr="007F1676">
        <w:t>, на момент окончания проверки (01.06.2018) использование бюджетных средств на реализацию мероприятий Подпрограммы не осуществлялось.</w:t>
      </w:r>
      <w:r>
        <w:t xml:space="preserve"> </w:t>
      </w:r>
    </w:p>
    <w:p w:rsidR="000E3EED" w:rsidRDefault="000E3EED" w:rsidP="000E3EED">
      <w:pPr>
        <w:ind w:firstLine="680"/>
        <w:jc w:val="both"/>
      </w:pPr>
      <w:r w:rsidRPr="0054636C">
        <w:t>За 2015 - 2017 годы наблюдается уменьшение финансирования мероприятия по развитию молодежного предпринимательства на 6,8 млн. руб. (- 67,8%) с 10,0 млн. руб. в 2015 году до 3,2 млн. руб. в 2017 году.</w:t>
      </w:r>
      <w:r>
        <w:t xml:space="preserve"> Соответственно происходит уменьшение целевых показателей Подпрограммы, что приведено в </w:t>
      </w:r>
      <w:r w:rsidRPr="002841CC">
        <w:rPr>
          <w:color w:val="365F91" w:themeColor="accent1" w:themeShade="BF"/>
        </w:rPr>
        <w:t xml:space="preserve">приложениях № </w:t>
      </w:r>
      <w:r w:rsidR="00AA48BE">
        <w:rPr>
          <w:color w:val="365F91" w:themeColor="accent1" w:themeShade="BF"/>
        </w:rPr>
        <w:t>4</w:t>
      </w:r>
      <w:r w:rsidR="00164A12" w:rsidRPr="002841CC">
        <w:rPr>
          <w:color w:val="365F91" w:themeColor="accent1" w:themeShade="BF"/>
        </w:rPr>
        <w:t>,</w:t>
      </w:r>
      <w:r w:rsidR="00AA48BE">
        <w:rPr>
          <w:color w:val="365F91" w:themeColor="accent1" w:themeShade="BF"/>
        </w:rPr>
        <w:t xml:space="preserve"> 5</w:t>
      </w:r>
      <w:r w:rsidR="00164A12" w:rsidRPr="002841CC">
        <w:rPr>
          <w:color w:val="365F91" w:themeColor="accent1" w:themeShade="BF"/>
        </w:rPr>
        <w:t xml:space="preserve"> и </w:t>
      </w:r>
      <w:r w:rsidR="00AA48BE">
        <w:rPr>
          <w:color w:val="365F91" w:themeColor="accent1" w:themeShade="BF"/>
        </w:rPr>
        <w:t>7</w:t>
      </w:r>
      <w:r w:rsidRPr="002841CC">
        <w:t xml:space="preserve"> к настоящему отчету.</w:t>
      </w:r>
      <w:r w:rsidR="00FF47FF">
        <w:t xml:space="preserve"> </w:t>
      </w:r>
      <w:proofErr w:type="gramStart"/>
      <w:r w:rsidR="00FF47FF">
        <w:t>Например, такой значимый показатель, как «количество СМСП, созданных физическими лицами в возрасте до 30 лет (включительно» снижен с 84 ед. в 2015 году до 43 ед. в 2017 году.</w:t>
      </w:r>
      <w:proofErr w:type="gramEnd"/>
    </w:p>
    <w:p w:rsidR="00246243" w:rsidRDefault="000E3EED" w:rsidP="00246243">
      <w:pPr>
        <w:ind w:firstLine="680"/>
        <w:jc w:val="both"/>
        <w:rPr>
          <w:rFonts w:eastAsia="Times New Roman"/>
        </w:rPr>
      </w:pPr>
      <w:r w:rsidRPr="00C97430">
        <w:rPr>
          <w:rFonts w:eastAsia="Times New Roman"/>
        </w:rPr>
        <w:t>В отношении отдельных</w:t>
      </w:r>
      <w:r w:rsidR="003735B0">
        <w:rPr>
          <w:rFonts w:eastAsia="Times New Roman"/>
        </w:rPr>
        <w:t xml:space="preserve"> целевых</w:t>
      </w:r>
      <w:r w:rsidRPr="00C97430">
        <w:rPr>
          <w:rFonts w:eastAsia="Times New Roman"/>
        </w:rPr>
        <w:t xml:space="preserve"> показателе</w:t>
      </w:r>
      <w:r w:rsidR="008579DF">
        <w:rPr>
          <w:rFonts w:eastAsia="Times New Roman"/>
        </w:rPr>
        <w:t>й проверкой установлен</w:t>
      </w:r>
      <w:r w:rsidR="003735B0">
        <w:rPr>
          <w:rFonts w:eastAsia="Times New Roman"/>
        </w:rPr>
        <w:t>ы</w:t>
      </w:r>
      <w:r w:rsidR="008579DF">
        <w:rPr>
          <w:rFonts w:eastAsia="Times New Roman"/>
        </w:rPr>
        <w:t xml:space="preserve"> следующие недостатки, </w:t>
      </w:r>
      <w:r w:rsidR="00246243">
        <w:rPr>
          <w:rFonts w:eastAsia="Times New Roman"/>
        </w:rPr>
        <w:t xml:space="preserve">влияющие </w:t>
      </w:r>
      <w:r w:rsidR="00246243" w:rsidRPr="00246243">
        <w:rPr>
          <w:rFonts w:eastAsia="Times New Roman"/>
        </w:rPr>
        <w:t>на</w:t>
      </w:r>
      <w:r w:rsidR="00F24D08" w:rsidRPr="00246243">
        <w:rPr>
          <w:rFonts w:eastAsia="Times New Roman"/>
        </w:rPr>
        <w:t xml:space="preserve"> эффективность исполнения мероприятий по поддержке молодежного предпринимательства</w:t>
      </w:r>
      <w:r w:rsidR="00246243" w:rsidRPr="00246243">
        <w:rPr>
          <w:rFonts w:eastAsia="Times New Roman"/>
        </w:rPr>
        <w:t>:</w:t>
      </w:r>
    </w:p>
    <w:p w:rsidR="005B7DBE" w:rsidRDefault="004214F4" w:rsidP="00246243">
      <w:pPr>
        <w:ind w:firstLine="680"/>
        <w:jc w:val="both"/>
        <w:rPr>
          <w:rFonts w:eastAsia="Times New Roman"/>
          <w:color w:val="000000"/>
        </w:rPr>
      </w:pPr>
      <w:proofErr w:type="gramStart"/>
      <w:r>
        <w:t>- показатели</w:t>
      </w:r>
      <w:r w:rsidR="000E3EED" w:rsidRPr="00C97430">
        <w:t xml:space="preserve"> «к</w:t>
      </w:r>
      <w:r w:rsidR="000E3EED" w:rsidRPr="00C97430">
        <w:rPr>
          <w:rFonts w:eastAsia="Times New Roman"/>
          <w:color w:val="000000"/>
        </w:rPr>
        <w:t xml:space="preserve">оличество вновь созданных рабочих мест …субъектами  молодежного предпринимательства, получившими государственную поддержку» </w:t>
      </w:r>
      <w:r w:rsidRPr="0022069C">
        <w:rPr>
          <w:rFonts w:eastAsia="Times New Roman"/>
          <w:color w:val="000000"/>
        </w:rPr>
        <w:t xml:space="preserve">и </w:t>
      </w:r>
      <w:r w:rsidR="0022069C" w:rsidRPr="0022069C">
        <w:rPr>
          <w:rFonts w:eastAsia="Times New Roman"/>
          <w:color w:val="000000"/>
        </w:rPr>
        <w:t>«количество субъектов малого предпринимательства, созданных физическими лицами в возрасте до 30 лет (включительно), вовлеченными в реализацию мероприятий</w:t>
      </w:r>
      <w:r w:rsidR="0022069C">
        <w:rPr>
          <w:rFonts w:eastAsia="Times New Roman"/>
          <w:color w:val="000000"/>
        </w:rPr>
        <w:t>»</w:t>
      </w:r>
      <w:r w:rsidRPr="00C97430">
        <w:rPr>
          <w:rFonts w:eastAsia="Times New Roman"/>
          <w:color w:val="000000"/>
        </w:rPr>
        <w:t xml:space="preserve">  (план – 41 ед., факт – 43 ед.) за 2017 год определены </w:t>
      </w:r>
      <w:proofErr w:type="spellStart"/>
      <w:r w:rsidRPr="00C97430">
        <w:rPr>
          <w:rFonts w:eastAsia="Times New Roman"/>
          <w:color w:val="000000"/>
        </w:rPr>
        <w:t>Облкомобразования</w:t>
      </w:r>
      <w:proofErr w:type="spellEnd"/>
      <w:r w:rsidRPr="00C97430">
        <w:rPr>
          <w:rFonts w:eastAsia="Times New Roman"/>
          <w:color w:val="000000"/>
        </w:rPr>
        <w:t>, исходя из данных УФНС России по Волгоградской области о количестве зарегистрированных в течение года лиц в качестве ИП</w:t>
      </w:r>
      <w:r w:rsidR="005B7DBE">
        <w:rPr>
          <w:rFonts w:eastAsia="Times New Roman"/>
          <w:color w:val="000000"/>
        </w:rPr>
        <w:t>.</w:t>
      </w:r>
      <w:proofErr w:type="gramEnd"/>
    </w:p>
    <w:p w:rsidR="003735B0" w:rsidRPr="005C4282" w:rsidRDefault="005B7DBE" w:rsidP="00246243">
      <w:pPr>
        <w:ind w:firstLine="680"/>
        <w:jc w:val="both"/>
      </w:pPr>
      <w:r>
        <w:rPr>
          <w:rFonts w:eastAsia="Times New Roman"/>
          <w:color w:val="000000"/>
        </w:rPr>
        <w:t xml:space="preserve">Проверкой </w:t>
      </w:r>
      <w:proofErr w:type="spellStart"/>
      <w:r>
        <w:rPr>
          <w:rFonts w:eastAsia="Times New Roman"/>
          <w:color w:val="000000"/>
        </w:rPr>
        <w:t>Облкомобразования</w:t>
      </w:r>
      <w:proofErr w:type="spellEnd"/>
      <w:r>
        <w:rPr>
          <w:rFonts w:eastAsia="Times New Roman"/>
          <w:color w:val="000000"/>
        </w:rPr>
        <w:t xml:space="preserve"> установлено, что </w:t>
      </w:r>
      <w:r w:rsidR="000E3EED" w:rsidRPr="005C4282">
        <w:t xml:space="preserve">38 чел. </w:t>
      </w:r>
      <w:r w:rsidRPr="005C4282">
        <w:t xml:space="preserve">(88,4% от общего количества) </w:t>
      </w:r>
      <w:r w:rsidR="000E3EED" w:rsidRPr="005C4282">
        <w:t>были зарегистрированы в качестве ИП до получения ими господдержки</w:t>
      </w:r>
      <w:r w:rsidR="003735B0" w:rsidRPr="005C4282">
        <w:t>.</w:t>
      </w:r>
      <w:r w:rsidR="000E3EED" w:rsidRPr="005C4282">
        <w:t xml:space="preserve"> При этом Подпрограммой предусмотрен показатель созданных рабочих мест по СМСП, получившим господдержку</w:t>
      </w:r>
      <w:r w:rsidR="003735B0" w:rsidRPr="005C4282">
        <w:t>. В результате искажается фактическое значение показателя и не обеспечивается</w:t>
      </w:r>
      <w:r w:rsidR="00F53039">
        <w:t xml:space="preserve"> достоверность отчетности для оценки</w:t>
      </w:r>
      <w:r w:rsidR="003735B0" w:rsidRPr="005C4282">
        <w:t xml:space="preserve"> эффективност</w:t>
      </w:r>
      <w:r w:rsidR="00F53039">
        <w:t>и</w:t>
      </w:r>
      <w:r w:rsidR="003735B0" w:rsidRPr="005C4282">
        <w:t xml:space="preserve"> предоставляемой господдержки</w:t>
      </w:r>
      <w:r w:rsidR="004214F4" w:rsidRPr="005C4282">
        <w:t>.</w:t>
      </w:r>
    </w:p>
    <w:p w:rsidR="00FF47FF" w:rsidRPr="005C4282" w:rsidRDefault="005B7DBE" w:rsidP="00FF47FF">
      <w:pPr>
        <w:ind w:firstLine="680"/>
        <w:jc w:val="both"/>
        <w:rPr>
          <w:rFonts w:eastAsiaTheme="minorHAnsi"/>
          <w:lang w:eastAsia="en-US"/>
        </w:rPr>
      </w:pPr>
      <w:r w:rsidRPr="005C4282">
        <w:t xml:space="preserve">Кроме того, </w:t>
      </w:r>
      <w:r w:rsidR="00FF47FF" w:rsidRPr="005C4282">
        <w:rPr>
          <w:rFonts w:eastAsia="Times New Roman"/>
          <w:color w:val="000000"/>
        </w:rPr>
        <w:t>из 43 ИП, зарегистрированных в 2017 году, в период 2017 – 1 полугодие 2018 года прекратили деятельность 6 ИП</w:t>
      </w:r>
      <w:r w:rsidRPr="005C4282">
        <w:rPr>
          <w:rFonts w:eastAsia="Times New Roman"/>
          <w:color w:val="000000"/>
        </w:rPr>
        <w:t xml:space="preserve"> (14%)</w:t>
      </w:r>
      <w:r w:rsidR="00FF47FF" w:rsidRPr="005C4282">
        <w:rPr>
          <w:rFonts w:eastAsia="Times New Roman"/>
          <w:color w:val="000000"/>
        </w:rPr>
        <w:t xml:space="preserve">, что не способствует развитию </w:t>
      </w:r>
      <w:r w:rsidR="00FF47FF" w:rsidRPr="005C4282">
        <w:rPr>
          <w:rFonts w:eastAsiaTheme="minorHAnsi"/>
          <w:lang w:eastAsia="en-US"/>
        </w:rPr>
        <w:t xml:space="preserve">молодежного </w:t>
      </w:r>
      <w:r w:rsidR="00F53039">
        <w:rPr>
          <w:rFonts w:eastAsiaTheme="minorHAnsi"/>
          <w:lang w:eastAsia="en-US"/>
        </w:rPr>
        <w:t>предпринимательства и достижению</w:t>
      </w:r>
      <w:r w:rsidR="00FF47FF" w:rsidRPr="005C4282">
        <w:rPr>
          <w:rFonts w:eastAsiaTheme="minorHAnsi"/>
          <w:lang w:eastAsia="en-US"/>
        </w:rPr>
        <w:t xml:space="preserve"> целевого показателя на последний год реализации Подпрограммы</w:t>
      </w:r>
      <w:r w:rsidRPr="005C4282">
        <w:rPr>
          <w:rFonts w:eastAsiaTheme="minorHAnsi"/>
          <w:lang w:eastAsia="en-US"/>
        </w:rPr>
        <w:t xml:space="preserve"> (2020 год) в размере 79 единиц;</w:t>
      </w:r>
    </w:p>
    <w:p w:rsidR="00DA4164" w:rsidRDefault="00656400" w:rsidP="00DA4164">
      <w:pPr>
        <w:autoSpaceDE w:val="0"/>
        <w:autoSpaceDN w:val="0"/>
        <w:adjustRightInd w:val="0"/>
        <w:ind w:firstLine="680"/>
        <w:jc w:val="both"/>
        <w:rPr>
          <w:rFonts w:eastAsia="Times New Roman"/>
          <w:bCs/>
          <w:color w:val="000000"/>
        </w:rPr>
      </w:pPr>
      <w:r w:rsidRPr="005C4282">
        <w:rPr>
          <w:rFonts w:eastAsia="Times New Roman"/>
          <w:bCs/>
          <w:color w:val="000000"/>
        </w:rPr>
        <w:t xml:space="preserve">- </w:t>
      </w:r>
      <w:r w:rsidR="003735B0" w:rsidRPr="005C4282">
        <w:rPr>
          <w:rFonts w:eastAsia="Times New Roman"/>
          <w:bCs/>
          <w:color w:val="000000"/>
        </w:rPr>
        <w:t xml:space="preserve">показатель </w:t>
      </w:r>
      <w:r w:rsidRPr="005C4282">
        <w:rPr>
          <w:rFonts w:eastAsia="Times New Roman"/>
          <w:bCs/>
          <w:color w:val="000000"/>
        </w:rPr>
        <w:t>«</w:t>
      </w:r>
      <w:r w:rsidR="003735B0" w:rsidRPr="005C4282">
        <w:rPr>
          <w:rFonts w:eastAsia="Times New Roman"/>
          <w:bCs/>
          <w:color w:val="000000"/>
        </w:rPr>
        <w:t>к</w:t>
      </w:r>
      <w:r w:rsidRPr="005C4282">
        <w:rPr>
          <w:rFonts w:eastAsia="Times New Roman"/>
          <w:color w:val="000000"/>
        </w:rPr>
        <w:t>оличество физических лиц в возрасте до 30 лет (включительно), вовлеченных в реализацию мероприятий»</w:t>
      </w:r>
      <w:r w:rsidR="003735B0" w:rsidRPr="005C4282">
        <w:rPr>
          <w:rFonts w:eastAsia="Times New Roman"/>
          <w:color w:val="000000"/>
        </w:rPr>
        <w:t>, составивший по</w:t>
      </w:r>
      <w:r w:rsidRPr="005C4282">
        <w:rPr>
          <w:rFonts w:eastAsia="Times New Roman"/>
          <w:bCs/>
          <w:color w:val="000000"/>
        </w:rPr>
        <w:t xml:space="preserve"> данным </w:t>
      </w:r>
      <w:proofErr w:type="spellStart"/>
      <w:r w:rsidR="003735B0" w:rsidRPr="005C4282">
        <w:rPr>
          <w:rFonts w:eastAsia="Times New Roman"/>
          <w:bCs/>
          <w:color w:val="000000"/>
        </w:rPr>
        <w:t>Облкомобразования</w:t>
      </w:r>
      <w:proofErr w:type="spellEnd"/>
      <w:r w:rsidR="003735B0" w:rsidRPr="005C4282">
        <w:rPr>
          <w:rFonts w:eastAsia="Times New Roman"/>
          <w:bCs/>
          <w:color w:val="000000"/>
        </w:rPr>
        <w:t xml:space="preserve"> 1435 ед. (план – 1100 ед.), завышен </w:t>
      </w:r>
      <w:r w:rsidRPr="005C4282">
        <w:rPr>
          <w:rFonts w:eastAsiaTheme="minorHAnsi"/>
          <w:lang w:eastAsia="en-US"/>
        </w:rPr>
        <w:t>на 49 ед</w:t>
      </w:r>
      <w:r w:rsidR="003735B0" w:rsidRPr="005C4282">
        <w:rPr>
          <w:rFonts w:eastAsiaTheme="minorHAnsi"/>
          <w:lang w:eastAsia="en-US"/>
        </w:rPr>
        <w:t xml:space="preserve">иниц, что привело к искажению </w:t>
      </w:r>
      <w:r w:rsidR="00DA4164" w:rsidRPr="005C4282">
        <w:rPr>
          <w:rFonts w:eastAsiaTheme="minorHAnsi"/>
          <w:lang w:eastAsia="en-US"/>
        </w:rPr>
        <w:t>информации, пред</w:t>
      </w:r>
      <w:r w:rsidR="005B7DBE" w:rsidRPr="005C4282">
        <w:rPr>
          <w:rFonts w:eastAsiaTheme="minorHAnsi"/>
          <w:lang w:eastAsia="en-US"/>
        </w:rPr>
        <w:t xml:space="preserve">ставленной </w:t>
      </w:r>
      <w:r w:rsidR="00DA4164" w:rsidRPr="005C4282">
        <w:rPr>
          <w:rFonts w:eastAsiaTheme="minorHAnsi"/>
          <w:lang w:eastAsia="en-US"/>
        </w:rPr>
        <w:t>в</w:t>
      </w:r>
      <w:r w:rsidR="005B7DBE" w:rsidRPr="005C4282">
        <w:t xml:space="preserve"> годовом докладе о ходе реализации </w:t>
      </w:r>
      <w:r w:rsidR="005B7DBE" w:rsidRPr="005C4282">
        <w:rPr>
          <w:rFonts w:eastAsiaTheme="minorHAnsi"/>
          <w:lang w:eastAsia="en-US"/>
        </w:rPr>
        <w:t>и оценке эффективности реализации государственной программы (далее – Доклад о реализации Госпрограммы).</w:t>
      </w:r>
      <w:r w:rsidR="00042C34">
        <w:rPr>
          <w:rFonts w:eastAsiaTheme="minorHAnsi"/>
          <w:lang w:eastAsia="en-US"/>
        </w:rPr>
        <w:t xml:space="preserve"> </w:t>
      </w:r>
      <w:r w:rsidR="00DA7121">
        <w:rPr>
          <w:rFonts w:eastAsiaTheme="minorHAnsi"/>
          <w:lang w:eastAsia="en-US"/>
        </w:rPr>
        <w:t xml:space="preserve">Завышение показателя произошло </w:t>
      </w:r>
      <w:r w:rsidR="00DA4164" w:rsidRPr="00784735">
        <w:rPr>
          <w:rFonts w:eastAsia="Times New Roman"/>
          <w:bCs/>
          <w:color w:val="000000"/>
        </w:rPr>
        <w:t xml:space="preserve">в связи с дублированием отдельных ФИО лиц в реестрах физических лиц, вовлеченных в реализацию мероприятий, представленных исполнителем работ Союзом «Волгоградская торгово-промышленная палата» по </w:t>
      </w:r>
      <w:proofErr w:type="spellStart"/>
      <w:r w:rsidR="00DA4164" w:rsidRPr="00784735">
        <w:rPr>
          <w:rFonts w:eastAsia="Times New Roman"/>
          <w:bCs/>
          <w:color w:val="000000"/>
        </w:rPr>
        <w:t>госконтракту</w:t>
      </w:r>
      <w:proofErr w:type="spellEnd"/>
      <w:r w:rsidR="00DA4164" w:rsidRPr="00784735">
        <w:rPr>
          <w:rFonts w:eastAsia="Times New Roman"/>
          <w:bCs/>
          <w:color w:val="000000"/>
        </w:rPr>
        <w:t xml:space="preserve"> от 11.09.2017</w:t>
      </w:r>
      <w:r w:rsidR="00DA7121">
        <w:rPr>
          <w:rFonts w:eastAsia="Times New Roman"/>
          <w:bCs/>
          <w:color w:val="000000"/>
        </w:rPr>
        <w:t>.</w:t>
      </w:r>
      <w:r w:rsidR="00DA4164" w:rsidRPr="00784735">
        <w:rPr>
          <w:rFonts w:eastAsia="Times New Roman"/>
          <w:bCs/>
          <w:color w:val="000000"/>
        </w:rPr>
        <w:t xml:space="preserve"> </w:t>
      </w:r>
    </w:p>
    <w:p w:rsidR="00353213" w:rsidRDefault="004351D5" w:rsidP="000E3EED">
      <w:pPr>
        <w:ind w:firstLine="709"/>
        <w:jc w:val="both"/>
        <w:rPr>
          <w:i/>
        </w:rPr>
      </w:pPr>
      <w:r w:rsidRPr="007431C4">
        <w:rPr>
          <w:i/>
        </w:rPr>
        <w:t xml:space="preserve">На основании вышеизложенного можно сделать вывод, что за 2015-2018 годы </w:t>
      </w:r>
      <w:r w:rsidR="000F63FC" w:rsidRPr="007431C4">
        <w:rPr>
          <w:i/>
        </w:rPr>
        <w:t xml:space="preserve">наблюдается уменьшение финансирования мероприятия Подпрограммы по вовлечению молодежи в предпринимательскую деятельность, что соответственно влияет </w:t>
      </w:r>
      <w:r w:rsidR="00FF47FF" w:rsidRPr="007431C4">
        <w:rPr>
          <w:i/>
        </w:rPr>
        <w:t xml:space="preserve">на </w:t>
      </w:r>
      <w:r w:rsidR="007431C4">
        <w:rPr>
          <w:i/>
        </w:rPr>
        <w:t>уменьшение</w:t>
      </w:r>
      <w:r w:rsidR="00FF47FF" w:rsidRPr="007431C4">
        <w:rPr>
          <w:i/>
        </w:rPr>
        <w:t xml:space="preserve"> целевых показателей Подпрограммы.</w:t>
      </w:r>
      <w:r w:rsidR="00353213">
        <w:rPr>
          <w:i/>
        </w:rPr>
        <w:t xml:space="preserve"> Кроме того, установлены факты </w:t>
      </w:r>
      <w:r w:rsidR="00353213">
        <w:rPr>
          <w:i/>
        </w:rPr>
        <w:lastRenderedPageBreak/>
        <w:t>искажения достижения значений отдельных целевых показателей, влияющие на эффективность реализации мероприятия.</w:t>
      </w:r>
    </w:p>
    <w:p w:rsidR="00C13B6D" w:rsidRDefault="00C13B6D" w:rsidP="008B26E6">
      <w:pPr>
        <w:autoSpaceDE w:val="0"/>
        <w:autoSpaceDN w:val="0"/>
        <w:adjustRightInd w:val="0"/>
        <w:ind w:firstLine="680"/>
        <w:jc w:val="center"/>
        <w:rPr>
          <w:b/>
        </w:rPr>
      </w:pPr>
    </w:p>
    <w:p w:rsidR="008B26E6" w:rsidRPr="00275044" w:rsidRDefault="008B26E6" w:rsidP="008B26E6">
      <w:pPr>
        <w:autoSpaceDE w:val="0"/>
        <w:autoSpaceDN w:val="0"/>
        <w:adjustRightInd w:val="0"/>
        <w:ind w:firstLine="680"/>
        <w:jc w:val="center"/>
        <w:rPr>
          <w:b/>
        </w:rPr>
      </w:pPr>
      <w:r w:rsidRPr="00275044">
        <w:rPr>
          <w:b/>
        </w:rPr>
        <w:t xml:space="preserve">Анализ достижения целевых </w:t>
      </w:r>
      <w:r w:rsidR="005065B5">
        <w:rPr>
          <w:b/>
        </w:rPr>
        <w:t xml:space="preserve"> </w:t>
      </w:r>
      <w:r w:rsidRPr="00275044">
        <w:rPr>
          <w:b/>
        </w:rPr>
        <w:t>показателей Подпрограммы</w:t>
      </w:r>
    </w:p>
    <w:p w:rsidR="00EA73DE" w:rsidRDefault="00EA73DE" w:rsidP="00EA73DE">
      <w:pPr>
        <w:autoSpaceDE w:val="0"/>
        <w:autoSpaceDN w:val="0"/>
        <w:adjustRightInd w:val="0"/>
        <w:ind w:firstLine="680"/>
        <w:jc w:val="both"/>
        <w:rPr>
          <w:rFonts w:eastAsiaTheme="minorHAnsi"/>
          <w:lang w:eastAsia="en-US"/>
        </w:rPr>
      </w:pPr>
      <w:r w:rsidRPr="002841CC">
        <w:rPr>
          <w:rFonts w:eastAsiaTheme="minorHAnsi"/>
          <w:bCs/>
          <w:lang w:eastAsia="en-US"/>
        </w:rPr>
        <w:t>Подпрограммой утверждены целевые показатели,</w:t>
      </w:r>
      <w:r w:rsidRPr="002841CC">
        <w:rPr>
          <w:rFonts w:eastAsiaTheme="minorHAnsi"/>
          <w:lang w:eastAsia="en-US"/>
        </w:rPr>
        <w:t xml:space="preserve"> характеризующие достижение целей и решение поставленных задач подпрограммы.</w:t>
      </w:r>
      <w:r w:rsidRPr="002841CC">
        <w:rPr>
          <w:rFonts w:eastAsiaTheme="minorHAnsi"/>
          <w:bCs/>
          <w:lang w:eastAsia="en-US"/>
        </w:rPr>
        <w:t xml:space="preserve"> Показатели, указанные в вышеприведенных разделах, частично включены в состав целевых показателей.</w:t>
      </w:r>
    </w:p>
    <w:p w:rsidR="00EA73DE" w:rsidRDefault="002A37A7" w:rsidP="00EA73DE">
      <w:pPr>
        <w:autoSpaceDE w:val="0"/>
        <w:autoSpaceDN w:val="0"/>
        <w:adjustRightInd w:val="0"/>
        <w:ind w:firstLine="680"/>
        <w:jc w:val="both"/>
        <w:rPr>
          <w:rFonts w:eastAsiaTheme="minorHAnsi"/>
          <w:lang w:eastAsia="en-US"/>
        </w:rPr>
      </w:pPr>
      <w:r>
        <w:rPr>
          <w:rFonts w:eastAsiaTheme="minorHAnsi"/>
          <w:lang w:eastAsia="en-US"/>
        </w:rPr>
        <w:t>Подпрограммой Г</w:t>
      </w:r>
      <w:r w:rsidR="00EA73DE">
        <w:rPr>
          <w:rFonts w:eastAsiaTheme="minorHAnsi"/>
          <w:lang w:eastAsia="en-US"/>
        </w:rPr>
        <w:t>оспрограмм</w:t>
      </w:r>
      <w:r>
        <w:rPr>
          <w:rFonts w:eastAsiaTheme="minorHAnsi"/>
          <w:lang w:eastAsia="en-US"/>
        </w:rPr>
        <w:t>ы</w:t>
      </w:r>
      <w:r w:rsidR="00CB73C3">
        <w:rPr>
          <w:rFonts w:eastAsiaTheme="minorHAnsi"/>
          <w:lang w:eastAsia="en-US"/>
        </w:rPr>
        <w:t xml:space="preserve"> № 696-п было определено 7</w:t>
      </w:r>
      <w:r w:rsidR="00EA73DE">
        <w:rPr>
          <w:rFonts w:eastAsiaTheme="minorHAnsi"/>
          <w:lang w:eastAsia="en-US"/>
        </w:rPr>
        <w:t xml:space="preserve"> целевых показателей, </w:t>
      </w:r>
      <w:r>
        <w:rPr>
          <w:rFonts w:eastAsiaTheme="minorHAnsi"/>
          <w:lang w:eastAsia="en-US"/>
        </w:rPr>
        <w:t xml:space="preserve">а </w:t>
      </w:r>
      <w:r w:rsidR="00EA73DE">
        <w:rPr>
          <w:rFonts w:eastAsiaTheme="minorHAnsi"/>
          <w:lang w:eastAsia="en-US"/>
        </w:rPr>
        <w:t>Госпрограмм</w:t>
      </w:r>
      <w:r>
        <w:rPr>
          <w:rFonts w:eastAsiaTheme="minorHAnsi"/>
          <w:lang w:eastAsia="en-US"/>
        </w:rPr>
        <w:t>ы</w:t>
      </w:r>
      <w:r w:rsidR="00EA73DE">
        <w:rPr>
          <w:rFonts w:eastAsiaTheme="minorHAnsi"/>
          <w:lang w:eastAsia="en-US"/>
        </w:rPr>
        <w:t xml:space="preserve"> № 14-п – 1</w:t>
      </w:r>
      <w:r w:rsidR="00CB73C3">
        <w:rPr>
          <w:rFonts w:eastAsiaTheme="minorHAnsi"/>
          <w:lang w:eastAsia="en-US"/>
        </w:rPr>
        <w:t>3</w:t>
      </w:r>
      <w:r w:rsidR="00EA73DE">
        <w:rPr>
          <w:rFonts w:eastAsiaTheme="minorHAnsi"/>
          <w:lang w:eastAsia="en-US"/>
        </w:rPr>
        <w:t xml:space="preserve"> целевых показателей. При этом Подпрограмма обеих госпрограмм содержит только два одинаковых показателя «количество СМСП, получивших господдержку» и «количество вновь созданных рабочих мест (включая вновь зарегистрированных индивидуальных предпринимателей)». Информация об исполнении целевых показателей за 2015-2017 годы приведена в </w:t>
      </w:r>
      <w:r w:rsidR="00EA73DE" w:rsidRPr="002841CC">
        <w:rPr>
          <w:rFonts w:eastAsiaTheme="minorHAnsi"/>
          <w:color w:val="365F91" w:themeColor="accent1" w:themeShade="BF"/>
          <w:lang w:eastAsia="en-US"/>
        </w:rPr>
        <w:t xml:space="preserve">приложении № </w:t>
      </w:r>
      <w:r w:rsidR="003A314B">
        <w:rPr>
          <w:rFonts w:eastAsiaTheme="minorHAnsi"/>
          <w:color w:val="365F91" w:themeColor="accent1" w:themeShade="BF"/>
          <w:lang w:eastAsia="en-US"/>
        </w:rPr>
        <w:t>7</w:t>
      </w:r>
      <w:r w:rsidR="00EA73DE" w:rsidRPr="002841CC">
        <w:rPr>
          <w:rFonts w:eastAsiaTheme="minorHAnsi"/>
          <w:lang w:eastAsia="en-US"/>
        </w:rPr>
        <w:t xml:space="preserve"> к настоящему отчету.</w:t>
      </w:r>
      <w:r w:rsidR="00EA73DE">
        <w:rPr>
          <w:rFonts w:eastAsiaTheme="minorHAnsi"/>
          <w:lang w:eastAsia="en-US"/>
        </w:rPr>
        <w:t xml:space="preserve"> </w:t>
      </w:r>
    </w:p>
    <w:p w:rsidR="00A84B1D" w:rsidRDefault="002E149B" w:rsidP="00555E83">
      <w:pPr>
        <w:autoSpaceDE w:val="0"/>
        <w:autoSpaceDN w:val="0"/>
        <w:adjustRightInd w:val="0"/>
        <w:ind w:firstLine="680"/>
        <w:jc w:val="both"/>
        <w:rPr>
          <w:rFonts w:eastAsiaTheme="minorHAnsi"/>
          <w:lang w:eastAsia="en-US"/>
        </w:rPr>
      </w:pPr>
      <w:r>
        <w:rPr>
          <w:rFonts w:eastAsiaTheme="minorHAnsi"/>
          <w:lang w:eastAsia="en-US"/>
        </w:rPr>
        <w:t xml:space="preserve">По данным </w:t>
      </w:r>
      <w:r>
        <w:t>годового д</w:t>
      </w:r>
      <w:r w:rsidRPr="0099153E">
        <w:t>оклад</w:t>
      </w:r>
      <w:r>
        <w:t>а</w:t>
      </w:r>
      <w:r w:rsidRPr="0099153E">
        <w:t xml:space="preserve"> </w:t>
      </w:r>
      <w:r w:rsidRPr="00C25C77">
        <w:t xml:space="preserve">о ходе реализации </w:t>
      </w:r>
      <w:r>
        <w:rPr>
          <w:rFonts w:eastAsiaTheme="minorHAnsi"/>
          <w:lang w:eastAsia="en-US"/>
        </w:rPr>
        <w:t xml:space="preserve">и оценке эффективности реализации государственной </w:t>
      </w:r>
      <w:r w:rsidRPr="00986F7F">
        <w:rPr>
          <w:rFonts w:eastAsiaTheme="minorHAnsi"/>
          <w:lang w:eastAsia="en-US"/>
        </w:rPr>
        <w:t xml:space="preserve">программы (далее – Доклад о реализации Госпрограммы) </w:t>
      </w:r>
      <w:r>
        <w:t>п</w:t>
      </w:r>
      <w:r w:rsidR="00A84B1D">
        <w:rPr>
          <w:rFonts w:eastAsiaTheme="minorHAnsi"/>
          <w:lang w:eastAsia="en-US"/>
        </w:rPr>
        <w:t xml:space="preserve">рактически все целевые показатели </w:t>
      </w:r>
      <w:r>
        <w:rPr>
          <w:rFonts w:eastAsiaTheme="minorHAnsi"/>
          <w:lang w:eastAsia="en-US"/>
        </w:rPr>
        <w:t xml:space="preserve">(за исключением показателя «количество СМСП, </w:t>
      </w:r>
      <w:proofErr w:type="gramStart"/>
      <w:r>
        <w:rPr>
          <w:rFonts w:eastAsiaTheme="minorHAnsi"/>
          <w:lang w:eastAsia="en-US"/>
        </w:rPr>
        <w:t>получивших</w:t>
      </w:r>
      <w:proofErr w:type="gramEnd"/>
      <w:r>
        <w:rPr>
          <w:rFonts w:eastAsiaTheme="minorHAnsi"/>
          <w:lang w:eastAsia="en-US"/>
        </w:rPr>
        <w:t xml:space="preserve"> господдержку» в 2015 году) были выполнены или перевыполнены. Перевыполнение колеблется в пределах от 2,9% до 10 раз.</w:t>
      </w:r>
    </w:p>
    <w:p w:rsidR="007420E8" w:rsidRDefault="00456182" w:rsidP="00986F7F">
      <w:pPr>
        <w:autoSpaceDE w:val="0"/>
        <w:autoSpaceDN w:val="0"/>
        <w:adjustRightInd w:val="0"/>
        <w:ind w:firstLine="680"/>
        <w:jc w:val="both"/>
      </w:pPr>
      <w:r>
        <w:t>Следует отметить, что з</w:t>
      </w:r>
      <w:r w:rsidRPr="00BA7A57">
        <w:t xml:space="preserve">начения </w:t>
      </w:r>
      <w:r>
        <w:t xml:space="preserve">большинства </w:t>
      </w:r>
      <w:r w:rsidR="00555E83" w:rsidRPr="00BA7A57">
        <w:t xml:space="preserve">целевых </w:t>
      </w:r>
      <w:r w:rsidR="008055CB">
        <w:t>показателей («к</w:t>
      </w:r>
      <w:r w:rsidR="008055CB" w:rsidRPr="008055CB">
        <w:t xml:space="preserve">оличество </w:t>
      </w:r>
      <w:r w:rsidR="008055CB">
        <w:t>СМСП</w:t>
      </w:r>
      <w:r w:rsidR="008055CB" w:rsidRPr="008055CB">
        <w:t xml:space="preserve"> в расчете на 1 тыс. человек населения В</w:t>
      </w:r>
      <w:r w:rsidR="008055CB">
        <w:t>О», «доля</w:t>
      </w:r>
      <w:r w:rsidR="008055CB" w:rsidRPr="008055CB">
        <w:t xml:space="preserve"> среднесписочной численности работников </w:t>
      </w:r>
      <w:r w:rsidR="008055CB">
        <w:t>СМСП</w:t>
      </w:r>
      <w:r w:rsidR="008055CB" w:rsidRPr="008055CB">
        <w:t xml:space="preserve"> в среднесписочной численности работников всех предприятий и организаций</w:t>
      </w:r>
      <w:r w:rsidR="008055CB">
        <w:t>» и др.)</w:t>
      </w:r>
      <w:r w:rsidR="008055CB" w:rsidRPr="008055CB">
        <w:t xml:space="preserve"> </w:t>
      </w:r>
      <w:r w:rsidR="00555E83" w:rsidRPr="00BA7A57">
        <w:t>формируются на основании статистических данных, характеризующих развитие малого и среднего предпринимательства на территории Волгоградской области</w:t>
      </w:r>
      <w:r w:rsidR="00555E83">
        <w:t>.</w:t>
      </w:r>
      <w:r w:rsidR="008055CB" w:rsidRPr="008055CB">
        <w:t xml:space="preserve"> </w:t>
      </w:r>
      <w:proofErr w:type="gramStart"/>
      <w:r w:rsidR="008055CB">
        <w:t xml:space="preserve">В </w:t>
      </w:r>
      <w:r w:rsidR="00253A97">
        <w:t>с</w:t>
      </w:r>
      <w:r w:rsidR="008055CB">
        <w:t xml:space="preserve">вязи с тем, что </w:t>
      </w:r>
      <w:r w:rsidR="008055CB" w:rsidRPr="0099153E">
        <w:t>на момент составления</w:t>
      </w:r>
      <w:r w:rsidR="008055CB" w:rsidRPr="00986F7F">
        <w:rPr>
          <w:rFonts w:eastAsiaTheme="minorHAnsi"/>
          <w:lang w:eastAsia="en-US"/>
        </w:rPr>
        <w:t xml:space="preserve"> Доклад</w:t>
      </w:r>
      <w:r w:rsidR="008055CB">
        <w:rPr>
          <w:rFonts w:eastAsiaTheme="minorHAnsi"/>
          <w:lang w:eastAsia="en-US"/>
        </w:rPr>
        <w:t xml:space="preserve">а о реализации Госпрограммы (до 1 марта года, следующего за отчетным) </w:t>
      </w:r>
      <w:r w:rsidR="008055CB" w:rsidRPr="00986F7F">
        <w:t>данные по показателям отсутствовали</w:t>
      </w:r>
      <w:r w:rsidR="008055CB" w:rsidRPr="00986F7F">
        <w:rPr>
          <w:rFonts w:eastAsiaTheme="minorHAnsi"/>
          <w:lang w:eastAsia="en-US"/>
        </w:rPr>
        <w:t xml:space="preserve"> в</w:t>
      </w:r>
      <w:r w:rsidR="008055CB" w:rsidRPr="00986F7F">
        <w:t xml:space="preserve">виду более позднего формирования </w:t>
      </w:r>
      <w:r w:rsidR="008055CB">
        <w:t xml:space="preserve">по ним </w:t>
      </w:r>
      <w:r w:rsidR="008055CB" w:rsidRPr="00986F7F">
        <w:t>официальной статистической отчетности</w:t>
      </w:r>
      <w:r w:rsidR="008055CB">
        <w:t>, то при</w:t>
      </w:r>
      <w:r w:rsidR="00555E83" w:rsidRPr="00CD5F04">
        <w:t xml:space="preserve"> </w:t>
      </w:r>
      <w:r w:rsidR="00555E83">
        <w:t>оценке</w:t>
      </w:r>
      <w:r w:rsidR="00555E83" w:rsidRPr="00CD5F04">
        <w:t xml:space="preserve"> эффективности Госпрограммы </w:t>
      </w:r>
      <w:r w:rsidR="00F16D0B">
        <w:t xml:space="preserve">за 2015-2017 годы </w:t>
      </w:r>
      <w:r w:rsidR="00555E83">
        <w:t>фактические значения этих показателей принима</w:t>
      </w:r>
      <w:r w:rsidR="00F16D0B">
        <w:t xml:space="preserve">лись </w:t>
      </w:r>
      <w:proofErr w:type="spellStart"/>
      <w:r w:rsidR="00555E83">
        <w:t>Облкомэкономразвития</w:t>
      </w:r>
      <w:proofErr w:type="spellEnd"/>
      <w:r w:rsidR="00555E83">
        <w:t xml:space="preserve"> на уровне плановых</w:t>
      </w:r>
      <w:r w:rsidR="00685154">
        <w:t xml:space="preserve"> и носили оценочный характер</w:t>
      </w:r>
      <w:r w:rsidR="008055CB">
        <w:t>.</w:t>
      </w:r>
      <w:proofErr w:type="gramEnd"/>
      <w:r w:rsidR="008055CB">
        <w:t xml:space="preserve"> </w:t>
      </w:r>
      <w:r w:rsidR="00555E83" w:rsidRPr="00986F7F">
        <w:t xml:space="preserve">В дальнейшем </w:t>
      </w:r>
      <w:proofErr w:type="spellStart"/>
      <w:r w:rsidR="00555E83" w:rsidRPr="00986F7F">
        <w:t>Облкомэкономразвития</w:t>
      </w:r>
      <w:proofErr w:type="spellEnd"/>
      <w:r w:rsidR="00555E83" w:rsidRPr="00986F7F">
        <w:t xml:space="preserve"> оценка влияния достижения указанных</w:t>
      </w:r>
      <w:r w:rsidR="00555E83">
        <w:t xml:space="preserve"> показателей на эффективность </w:t>
      </w:r>
      <w:r w:rsidR="00555E83" w:rsidRPr="0099153E">
        <w:t>Госпрограммы</w:t>
      </w:r>
      <w:r w:rsidR="00555E83">
        <w:t xml:space="preserve"> не производи</w:t>
      </w:r>
      <w:r w:rsidR="00F16D0B">
        <w:t>лась</w:t>
      </w:r>
      <w:r w:rsidR="007420E8">
        <w:t>, так как это не предусмотрено Порядком разработки госпрограмм.</w:t>
      </w:r>
    </w:p>
    <w:p w:rsidR="00555E83" w:rsidRDefault="00BE080D" w:rsidP="00986F7F">
      <w:pPr>
        <w:autoSpaceDE w:val="0"/>
        <w:autoSpaceDN w:val="0"/>
        <w:adjustRightInd w:val="0"/>
        <w:ind w:firstLine="680"/>
        <w:jc w:val="both"/>
        <w:rPr>
          <w:rFonts w:eastAsiaTheme="minorHAnsi"/>
          <w:lang w:eastAsia="en-US"/>
        </w:rPr>
      </w:pPr>
      <w:r>
        <w:t xml:space="preserve">В целях </w:t>
      </w:r>
      <w:r w:rsidR="008A3176">
        <w:t xml:space="preserve">реальной </w:t>
      </w:r>
      <w:r>
        <w:t xml:space="preserve">оценки </w:t>
      </w:r>
      <w:r w:rsidR="008A3176">
        <w:t xml:space="preserve">эффективности Госпрограммы </w:t>
      </w:r>
      <w:r>
        <w:t>в</w:t>
      </w:r>
      <w:r w:rsidR="0032264A">
        <w:t xml:space="preserve"> ходе настоящей проверки</w:t>
      </w:r>
      <w:r w:rsidR="00F16D0B">
        <w:t xml:space="preserve"> на основании статистических данных</w:t>
      </w:r>
      <w:r w:rsidR="0032264A">
        <w:t xml:space="preserve"> рассчитаны фактические значения показателей</w:t>
      </w:r>
      <w:r w:rsidR="00C36B95">
        <w:t>:</w:t>
      </w:r>
    </w:p>
    <w:p w:rsidR="007420E8" w:rsidRPr="00C36B95" w:rsidRDefault="008D40D7" w:rsidP="00C36B95">
      <w:pPr>
        <w:pStyle w:val="ab"/>
        <w:numPr>
          <w:ilvl w:val="0"/>
          <w:numId w:val="39"/>
        </w:numPr>
        <w:autoSpaceDE w:val="0"/>
        <w:autoSpaceDN w:val="0"/>
        <w:adjustRightInd w:val="0"/>
        <w:ind w:left="0" w:firstLine="680"/>
        <w:jc w:val="both"/>
        <w:rPr>
          <w:rFonts w:ascii="Times New Roman" w:hAnsi="Times New Roman"/>
          <w:sz w:val="24"/>
          <w:szCs w:val="24"/>
          <w:lang w:eastAsia="en-US"/>
        </w:rPr>
      </w:pPr>
      <w:r w:rsidRPr="00C36B95">
        <w:rPr>
          <w:rFonts w:ascii="Times New Roman" w:hAnsi="Times New Roman"/>
          <w:sz w:val="24"/>
          <w:szCs w:val="24"/>
          <w:lang w:eastAsia="en-US"/>
        </w:rPr>
        <w:t>Госпрограммой № 696-п в части поддержки СМС</w:t>
      </w:r>
      <w:r w:rsidR="00E7399A" w:rsidRPr="00C36B95">
        <w:rPr>
          <w:rFonts w:ascii="Times New Roman" w:hAnsi="Times New Roman"/>
          <w:sz w:val="24"/>
          <w:szCs w:val="24"/>
          <w:lang w:eastAsia="en-US"/>
        </w:rPr>
        <w:t>П утвержден</w:t>
      </w:r>
      <w:r w:rsidRPr="00C36B95">
        <w:rPr>
          <w:rFonts w:ascii="Times New Roman" w:hAnsi="Times New Roman"/>
          <w:sz w:val="24"/>
          <w:szCs w:val="24"/>
          <w:lang w:eastAsia="en-US"/>
        </w:rPr>
        <w:t xml:space="preserve"> показатель «доля среднесписочной численности работников СМСП в среднесписочной численности работников всех предприятий и организаций» - 25,9% на последний год реализации программы</w:t>
      </w:r>
      <w:r w:rsidR="00771F90" w:rsidRPr="00C36B95">
        <w:rPr>
          <w:rFonts w:ascii="Times New Roman" w:hAnsi="Times New Roman"/>
          <w:sz w:val="24"/>
          <w:szCs w:val="24"/>
          <w:lang w:eastAsia="en-US"/>
        </w:rPr>
        <w:t xml:space="preserve"> (2016 год)</w:t>
      </w:r>
      <w:r w:rsidR="00DE4E13" w:rsidRPr="00C36B95">
        <w:rPr>
          <w:rFonts w:ascii="Times New Roman" w:hAnsi="Times New Roman"/>
          <w:sz w:val="24"/>
          <w:szCs w:val="24"/>
          <w:lang w:eastAsia="en-US"/>
        </w:rPr>
        <w:t>,</w:t>
      </w:r>
      <w:r w:rsidR="00771F90" w:rsidRPr="00C36B95">
        <w:rPr>
          <w:rFonts w:ascii="Times New Roman" w:hAnsi="Times New Roman"/>
          <w:sz w:val="24"/>
          <w:szCs w:val="24"/>
          <w:lang w:eastAsia="en-US"/>
        </w:rPr>
        <w:t xml:space="preserve"> который в 2016 году не выполнен и составил </w:t>
      </w:r>
      <w:r w:rsidR="007420E8" w:rsidRPr="00C36B95">
        <w:rPr>
          <w:rFonts w:ascii="Times New Roman" w:hAnsi="Times New Roman"/>
          <w:sz w:val="24"/>
          <w:szCs w:val="24"/>
          <w:lang w:eastAsia="en-US"/>
        </w:rPr>
        <w:t xml:space="preserve">по данным статистической отчетности </w:t>
      </w:r>
      <w:r w:rsidR="00771F90" w:rsidRPr="00C36B95">
        <w:rPr>
          <w:rFonts w:ascii="Times New Roman" w:hAnsi="Times New Roman"/>
          <w:sz w:val="24"/>
          <w:szCs w:val="24"/>
          <w:lang w:eastAsia="en-US"/>
        </w:rPr>
        <w:t>23,5</w:t>
      </w:r>
      <w:r w:rsidR="007420E8" w:rsidRPr="00C36B95">
        <w:rPr>
          <w:rFonts w:ascii="Times New Roman" w:hAnsi="Times New Roman"/>
          <w:sz w:val="24"/>
          <w:szCs w:val="24"/>
          <w:lang w:eastAsia="en-US"/>
        </w:rPr>
        <w:t xml:space="preserve"> процента.</w:t>
      </w:r>
    </w:p>
    <w:p w:rsidR="00720825" w:rsidRDefault="00771F90" w:rsidP="00E7399A">
      <w:pPr>
        <w:autoSpaceDE w:val="0"/>
        <w:autoSpaceDN w:val="0"/>
        <w:adjustRightInd w:val="0"/>
        <w:ind w:firstLine="680"/>
        <w:jc w:val="both"/>
        <w:rPr>
          <w:rFonts w:eastAsiaTheme="minorHAnsi"/>
          <w:lang w:eastAsia="en-US"/>
        </w:rPr>
      </w:pPr>
      <w:r w:rsidRPr="00E7399A">
        <w:rPr>
          <w:rFonts w:eastAsiaTheme="minorHAnsi"/>
          <w:lang w:eastAsia="en-US"/>
        </w:rPr>
        <w:t>П</w:t>
      </w:r>
      <w:r w:rsidR="00DE4E13" w:rsidRPr="00E7399A">
        <w:rPr>
          <w:rFonts w:eastAsiaTheme="minorHAnsi"/>
          <w:lang w:eastAsia="en-US"/>
        </w:rPr>
        <w:t xml:space="preserve">одпрограммой </w:t>
      </w:r>
      <w:r w:rsidR="007420E8">
        <w:rPr>
          <w:rFonts w:eastAsiaTheme="minorHAnsi"/>
          <w:lang w:eastAsia="en-US"/>
        </w:rPr>
        <w:t xml:space="preserve">Госпрограммы № 696-п </w:t>
      </w:r>
      <w:r w:rsidRPr="00E7399A">
        <w:rPr>
          <w:rFonts w:eastAsiaTheme="minorHAnsi"/>
          <w:lang w:eastAsia="en-US"/>
        </w:rPr>
        <w:t xml:space="preserve">утверждены </w:t>
      </w:r>
      <w:r w:rsidR="007851AC">
        <w:rPr>
          <w:rFonts w:eastAsiaTheme="minorHAnsi"/>
          <w:lang w:eastAsia="en-US"/>
        </w:rPr>
        <w:t>шесть</w:t>
      </w:r>
      <w:r w:rsidR="00DE4E13" w:rsidRPr="00E7399A">
        <w:rPr>
          <w:rFonts w:eastAsiaTheme="minorHAnsi"/>
          <w:lang w:eastAsia="en-US"/>
        </w:rPr>
        <w:t xml:space="preserve"> показателей</w:t>
      </w:r>
      <w:r w:rsidRPr="00E7399A">
        <w:rPr>
          <w:rFonts w:eastAsiaTheme="minorHAnsi"/>
          <w:lang w:eastAsia="en-US"/>
        </w:rPr>
        <w:t xml:space="preserve">, из которых плановые значения </w:t>
      </w:r>
      <w:r w:rsidR="007851AC">
        <w:rPr>
          <w:rFonts w:eastAsiaTheme="minorHAnsi"/>
          <w:lang w:eastAsia="en-US"/>
        </w:rPr>
        <w:t>двух</w:t>
      </w:r>
      <w:r w:rsidRPr="00E7399A">
        <w:rPr>
          <w:rFonts w:eastAsiaTheme="minorHAnsi"/>
          <w:lang w:eastAsia="en-US"/>
        </w:rPr>
        <w:t xml:space="preserve">  («прирост оборота продукции</w:t>
      </w:r>
      <w:proofErr w:type="gramStart"/>
      <w:r w:rsidRPr="00E7399A">
        <w:rPr>
          <w:rFonts w:eastAsiaTheme="minorHAnsi"/>
          <w:lang w:eastAsia="en-US"/>
        </w:rPr>
        <w:t xml:space="preserve"> </w:t>
      </w:r>
      <w:r w:rsidR="001F071B">
        <w:rPr>
          <w:rFonts w:eastAsiaTheme="minorHAnsi"/>
          <w:lang w:eastAsia="en-US"/>
        </w:rPr>
        <w:t>….</w:t>
      </w:r>
      <w:proofErr w:type="gramEnd"/>
      <w:r w:rsidRPr="00E7399A">
        <w:rPr>
          <w:rFonts w:eastAsiaTheme="minorHAnsi"/>
          <w:lang w:eastAsia="en-US"/>
        </w:rPr>
        <w:t xml:space="preserve">к предыдущему году» </w:t>
      </w:r>
      <w:r w:rsidR="00E7399A" w:rsidRPr="00E7399A">
        <w:rPr>
          <w:rFonts w:eastAsiaTheme="minorHAnsi"/>
          <w:lang w:eastAsia="en-US"/>
        </w:rPr>
        <w:t xml:space="preserve">- </w:t>
      </w:r>
      <w:r w:rsidRPr="00E7399A">
        <w:rPr>
          <w:rFonts w:eastAsiaTheme="minorHAnsi"/>
          <w:lang w:eastAsia="en-US"/>
        </w:rPr>
        <w:t xml:space="preserve">6% и  «доля среднесписочной численности работников (без внешних совместителей), занятых на </w:t>
      </w:r>
      <w:proofErr w:type="spellStart"/>
      <w:r w:rsidRPr="00E7399A">
        <w:rPr>
          <w:rFonts w:eastAsiaTheme="minorHAnsi"/>
          <w:lang w:eastAsia="en-US"/>
        </w:rPr>
        <w:t>микропредприятиях</w:t>
      </w:r>
      <w:proofErr w:type="spellEnd"/>
      <w:r w:rsidRPr="00E7399A">
        <w:rPr>
          <w:rFonts w:eastAsiaTheme="minorHAnsi"/>
          <w:lang w:eastAsia="en-US"/>
        </w:rPr>
        <w:t xml:space="preserve">, малых и средних предприятиях и у индивидуальных предпринимателей, в общей численности занятого населения» - 24,5%) </w:t>
      </w:r>
      <w:r w:rsidR="005C2C68">
        <w:rPr>
          <w:rFonts w:eastAsiaTheme="minorHAnsi"/>
          <w:lang w:eastAsia="en-US"/>
        </w:rPr>
        <w:t xml:space="preserve">в 2016 году </w:t>
      </w:r>
      <w:r w:rsidRPr="00E7399A">
        <w:rPr>
          <w:rFonts w:eastAsiaTheme="minorHAnsi"/>
          <w:lang w:eastAsia="en-US"/>
        </w:rPr>
        <w:t xml:space="preserve">не выполнены. </w:t>
      </w:r>
    </w:p>
    <w:p w:rsidR="000B6A3F" w:rsidRPr="000B1DE9" w:rsidRDefault="00771F90" w:rsidP="00A97FDD">
      <w:pPr>
        <w:autoSpaceDE w:val="0"/>
        <w:autoSpaceDN w:val="0"/>
        <w:adjustRightInd w:val="0"/>
        <w:ind w:firstLine="680"/>
        <w:jc w:val="both"/>
        <w:rPr>
          <w:rFonts w:eastAsiaTheme="minorHAnsi"/>
          <w:lang w:eastAsia="en-US"/>
        </w:rPr>
      </w:pPr>
      <w:r w:rsidRPr="00253A97">
        <w:rPr>
          <w:rFonts w:eastAsiaTheme="minorHAnsi"/>
          <w:lang w:eastAsia="en-US"/>
        </w:rPr>
        <w:t xml:space="preserve">Таким образом, из </w:t>
      </w:r>
      <w:r w:rsidR="007851AC" w:rsidRPr="00253A97">
        <w:rPr>
          <w:rFonts w:eastAsiaTheme="minorHAnsi"/>
          <w:lang w:eastAsia="en-US"/>
        </w:rPr>
        <w:t>семи</w:t>
      </w:r>
      <w:r w:rsidRPr="00253A97">
        <w:rPr>
          <w:rFonts w:eastAsiaTheme="minorHAnsi"/>
          <w:lang w:eastAsia="en-US"/>
        </w:rPr>
        <w:t xml:space="preserve"> целевых показателей</w:t>
      </w:r>
      <w:r w:rsidR="00E7399A" w:rsidRPr="00253A97">
        <w:rPr>
          <w:rFonts w:eastAsiaTheme="minorHAnsi"/>
          <w:lang w:eastAsia="en-US"/>
        </w:rPr>
        <w:t xml:space="preserve"> Госпрограммы № 696-п</w:t>
      </w:r>
      <w:r w:rsidRPr="00253A97">
        <w:rPr>
          <w:rFonts w:eastAsiaTheme="minorHAnsi"/>
          <w:lang w:eastAsia="en-US"/>
        </w:rPr>
        <w:t xml:space="preserve"> </w:t>
      </w:r>
      <w:r w:rsidR="007420E8" w:rsidRPr="00253A97">
        <w:rPr>
          <w:rFonts w:eastAsiaTheme="minorHAnsi"/>
          <w:lang w:eastAsia="en-US"/>
        </w:rPr>
        <w:t xml:space="preserve">на последний год </w:t>
      </w:r>
      <w:r w:rsidR="005C2C68" w:rsidRPr="00253A97">
        <w:rPr>
          <w:rFonts w:eastAsiaTheme="minorHAnsi"/>
          <w:lang w:eastAsia="en-US"/>
        </w:rPr>
        <w:t xml:space="preserve">реализации Госпрограммы </w:t>
      </w:r>
      <w:r w:rsidRPr="00253A97">
        <w:rPr>
          <w:rFonts w:eastAsiaTheme="minorHAnsi"/>
          <w:lang w:eastAsia="en-US"/>
        </w:rPr>
        <w:t xml:space="preserve">не выполнены </w:t>
      </w:r>
      <w:r w:rsidR="007851AC" w:rsidRPr="00253A97">
        <w:rPr>
          <w:rFonts w:eastAsiaTheme="minorHAnsi"/>
          <w:lang w:eastAsia="en-US"/>
        </w:rPr>
        <w:t>три</w:t>
      </w:r>
      <w:r w:rsidRPr="00253A97">
        <w:rPr>
          <w:rFonts w:eastAsiaTheme="minorHAnsi"/>
          <w:lang w:eastAsia="en-US"/>
        </w:rPr>
        <w:t xml:space="preserve"> (42,9%)</w:t>
      </w:r>
      <w:r w:rsidR="000B6A3F" w:rsidRPr="00253A97">
        <w:rPr>
          <w:rFonts w:eastAsiaTheme="minorHAnsi"/>
          <w:lang w:eastAsia="en-US"/>
        </w:rPr>
        <w:t xml:space="preserve">, т.е. цель Подпрограммы Госпрограммы № 696-п в виде обеспечения устойчивого развития малого и среднего </w:t>
      </w:r>
      <w:r w:rsidR="000B6A3F" w:rsidRPr="000B1DE9">
        <w:rPr>
          <w:rFonts w:eastAsiaTheme="minorHAnsi"/>
          <w:lang w:eastAsia="en-US"/>
        </w:rPr>
        <w:t>предпринимательства в Волгоградской области</w:t>
      </w:r>
      <w:r w:rsidR="00832993" w:rsidRPr="000B1DE9">
        <w:rPr>
          <w:rFonts w:eastAsiaTheme="minorHAnsi"/>
          <w:lang w:eastAsia="en-US"/>
        </w:rPr>
        <w:t xml:space="preserve"> достигнута не </w:t>
      </w:r>
      <w:r w:rsidR="009D7949" w:rsidRPr="000B1DE9">
        <w:rPr>
          <w:rFonts w:eastAsiaTheme="minorHAnsi"/>
          <w:lang w:eastAsia="en-US"/>
        </w:rPr>
        <w:t>полностью</w:t>
      </w:r>
      <w:r w:rsidR="005065B5" w:rsidRPr="000B1DE9">
        <w:rPr>
          <w:rFonts w:eastAsiaTheme="minorHAnsi"/>
          <w:lang w:eastAsia="en-US"/>
        </w:rPr>
        <w:t>;</w:t>
      </w:r>
    </w:p>
    <w:p w:rsidR="006B5ADE" w:rsidRPr="000B1DE9" w:rsidRDefault="00BD6671" w:rsidP="00AF6F16">
      <w:pPr>
        <w:pStyle w:val="ConsPlusNormal"/>
        <w:numPr>
          <w:ilvl w:val="0"/>
          <w:numId w:val="39"/>
        </w:numPr>
        <w:ind w:left="0" w:firstLine="680"/>
        <w:jc w:val="both"/>
        <w:rPr>
          <w:rFonts w:ascii="Times New Roman" w:eastAsiaTheme="minorHAnsi" w:hAnsi="Times New Roman" w:cs="Times New Roman"/>
          <w:sz w:val="24"/>
          <w:szCs w:val="24"/>
          <w:lang w:eastAsia="en-US"/>
        </w:rPr>
      </w:pPr>
      <w:r w:rsidRPr="000B1DE9">
        <w:rPr>
          <w:rFonts w:ascii="Times New Roman" w:eastAsiaTheme="minorHAnsi" w:hAnsi="Times New Roman" w:cs="Times New Roman"/>
          <w:sz w:val="24"/>
          <w:szCs w:val="24"/>
          <w:lang w:eastAsia="en-US"/>
        </w:rPr>
        <w:t>Госпр</w:t>
      </w:r>
      <w:r w:rsidR="00AF6F16" w:rsidRPr="000B1DE9">
        <w:rPr>
          <w:rFonts w:ascii="Times New Roman" w:eastAsiaTheme="minorHAnsi" w:hAnsi="Times New Roman" w:cs="Times New Roman"/>
          <w:sz w:val="24"/>
          <w:szCs w:val="24"/>
          <w:lang w:eastAsia="en-US"/>
        </w:rPr>
        <w:t>ограммой №</w:t>
      </w:r>
      <w:r w:rsidRPr="000B1DE9">
        <w:rPr>
          <w:rFonts w:ascii="Times New Roman" w:eastAsiaTheme="minorHAnsi" w:hAnsi="Times New Roman" w:cs="Times New Roman"/>
          <w:sz w:val="24"/>
          <w:szCs w:val="24"/>
          <w:lang w:eastAsia="en-US"/>
        </w:rPr>
        <w:t xml:space="preserve">14-п </w:t>
      </w:r>
      <w:r w:rsidRPr="000B1DE9">
        <w:rPr>
          <w:rFonts w:ascii="Times New Roman" w:hAnsi="Times New Roman" w:cs="Times New Roman"/>
          <w:sz w:val="24"/>
          <w:szCs w:val="24"/>
        </w:rPr>
        <w:t xml:space="preserve">утвержден </w:t>
      </w:r>
      <w:r w:rsidR="00AE31C5" w:rsidRPr="000B1DE9">
        <w:rPr>
          <w:rFonts w:ascii="Times New Roman" w:hAnsi="Times New Roman" w:cs="Times New Roman"/>
          <w:sz w:val="24"/>
          <w:szCs w:val="24"/>
        </w:rPr>
        <w:t xml:space="preserve">целевой </w:t>
      </w:r>
      <w:r w:rsidRPr="000B1DE9">
        <w:rPr>
          <w:rFonts w:ascii="Times New Roman" w:hAnsi="Times New Roman" w:cs="Times New Roman"/>
          <w:sz w:val="24"/>
          <w:szCs w:val="24"/>
        </w:rPr>
        <w:t>показатель «</w:t>
      </w:r>
      <w:r w:rsidRPr="000B1DE9">
        <w:rPr>
          <w:rFonts w:ascii="Times New Roman" w:eastAsiaTheme="minorHAnsi" w:hAnsi="Times New Roman" w:cs="Times New Roman"/>
          <w:sz w:val="24"/>
          <w:szCs w:val="24"/>
          <w:lang w:eastAsia="en-US"/>
        </w:rPr>
        <w:t xml:space="preserve">доля среднесписочной численности работников (без внешних совместителей), занятых у </w:t>
      </w:r>
      <w:r w:rsidR="000403C2" w:rsidRPr="000B1DE9">
        <w:rPr>
          <w:rFonts w:ascii="Times New Roman" w:eastAsiaTheme="minorHAnsi" w:hAnsi="Times New Roman" w:cs="Times New Roman"/>
          <w:sz w:val="24"/>
          <w:szCs w:val="24"/>
          <w:lang w:eastAsia="en-US"/>
        </w:rPr>
        <w:t>СМСП</w:t>
      </w:r>
      <w:r w:rsidRPr="000B1DE9">
        <w:rPr>
          <w:rFonts w:ascii="Times New Roman" w:eastAsiaTheme="minorHAnsi" w:hAnsi="Times New Roman" w:cs="Times New Roman"/>
          <w:sz w:val="24"/>
          <w:szCs w:val="24"/>
          <w:lang w:eastAsia="en-US"/>
        </w:rPr>
        <w:t>, в общей численности занятого населения»</w:t>
      </w:r>
      <w:r w:rsidR="00446938" w:rsidRPr="000B1DE9">
        <w:rPr>
          <w:rFonts w:ascii="Times New Roman" w:eastAsiaTheme="minorHAnsi" w:hAnsi="Times New Roman" w:cs="Times New Roman"/>
          <w:sz w:val="24"/>
          <w:szCs w:val="24"/>
          <w:lang w:eastAsia="en-US"/>
        </w:rPr>
        <w:t>,</w:t>
      </w:r>
      <w:r w:rsidRPr="000B1DE9">
        <w:rPr>
          <w:rFonts w:ascii="Times New Roman" w:eastAsiaTheme="minorHAnsi" w:hAnsi="Times New Roman" w:cs="Times New Roman"/>
          <w:sz w:val="24"/>
          <w:szCs w:val="24"/>
          <w:lang w:eastAsia="en-US"/>
        </w:rPr>
        <w:t xml:space="preserve"> которы</w:t>
      </w:r>
      <w:r w:rsidR="00AE5E82" w:rsidRPr="000B1DE9">
        <w:rPr>
          <w:rFonts w:ascii="Times New Roman" w:eastAsiaTheme="minorHAnsi" w:hAnsi="Times New Roman" w:cs="Times New Roman"/>
          <w:sz w:val="24"/>
          <w:szCs w:val="24"/>
          <w:lang w:eastAsia="en-US"/>
        </w:rPr>
        <w:t>й</w:t>
      </w:r>
      <w:r w:rsidRPr="000B1DE9">
        <w:rPr>
          <w:rFonts w:ascii="Times New Roman" w:eastAsiaTheme="minorHAnsi" w:hAnsi="Times New Roman" w:cs="Times New Roman"/>
          <w:sz w:val="24"/>
          <w:szCs w:val="24"/>
          <w:lang w:eastAsia="en-US"/>
        </w:rPr>
        <w:t xml:space="preserve"> на 2017 год предусмотрен</w:t>
      </w:r>
      <w:r w:rsidR="00321BC0" w:rsidRPr="000B1DE9">
        <w:rPr>
          <w:rFonts w:ascii="Times New Roman" w:eastAsiaTheme="minorHAnsi" w:hAnsi="Times New Roman" w:cs="Times New Roman"/>
          <w:sz w:val="24"/>
          <w:szCs w:val="24"/>
          <w:lang w:eastAsia="en-US"/>
        </w:rPr>
        <w:t xml:space="preserve"> в размере 20,9</w:t>
      </w:r>
      <w:r w:rsidRPr="000B1DE9">
        <w:rPr>
          <w:rFonts w:ascii="Times New Roman" w:eastAsiaTheme="minorHAnsi" w:hAnsi="Times New Roman" w:cs="Times New Roman"/>
          <w:sz w:val="24"/>
          <w:szCs w:val="24"/>
          <w:lang w:eastAsia="en-US"/>
        </w:rPr>
        <w:t>%</w:t>
      </w:r>
      <w:r w:rsidR="00446938" w:rsidRPr="000B1DE9">
        <w:rPr>
          <w:rFonts w:ascii="Times New Roman" w:eastAsiaTheme="minorHAnsi" w:hAnsi="Times New Roman" w:cs="Times New Roman"/>
          <w:sz w:val="24"/>
          <w:szCs w:val="24"/>
          <w:lang w:eastAsia="en-US"/>
        </w:rPr>
        <w:t xml:space="preserve">, фактическое значение которого </w:t>
      </w:r>
      <w:r w:rsidRPr="000B1DE9">
        <w:rPr>
          <w:rFonts w:ascii="Times New Roman" w:eastAsiaTheme="minorHAnsi" w:hAnsi="Times New Roman" w:cs="Times New Roman"/>
          <w:sz w:val="24"/>
          <w:szCs w:val="24"/>
          <w:lang w:eastAsia="en-US"/>
        </w:rPr>
        <w:t>в ходе проверки не рассчитывал</w:t>
      </w:r>
      <w:r w:rsidR="00446938" w:rsidRPr="000B1DE9">
        <w:rPr>
          <w:rFonts w:ascii="Times New Roman" w:eastAsiaTheme="minorHAnsi" w:hAnsi="Times New Roman" w:cs="Times New Roman"/>
          <w:sz w:val="24"/>
          <w:szCs w:val="24"/>
          <w:lang w:eastAsia="en-US"/>
        </w:rPr>
        <w:t xml:space="preserve">ось </w:t>
      </w:r>
      <w:r w:rsidRPr="000B1DE9">
        <w:rPr>
          <w:rFonts w:ascii="Times New Roman" w:eastAsiaTheme="minorHAnsi" w:hAnsi="Times New Roman" w:cs="Times New Roman"/>
          <w:sz w:val="24"/>
          <w:szCs w:val="24"/>
          <w:lang w:eastAsia="en-US"/>
        </w:rPr>
        <w:t xml:space="preserve">в связи </w:t>
      </w:r>
      <w:r w:rsidR="00446938" w:rsidRPr="000B1DE9">
        <w:rPr>
          <w:rFonts w:ascii="Times New Roman" w:eastAsiaTheme="minorHAnsi" w:hAnsi="Times New Roman" w:cs="Times New Roman"/>
          <w:sz w:val="24"/>
          <w:szCs w:val="24"/>
          <w:lang w:eastAsia="en-US"/>
        </w:rPr>
        <w:t xml:space="preserve">с более поздним формированием статистической отчетности в отношении ИП. </w:t>
      </w:r>
      <w:r w:rsidR="00AE5E82" w:rsidRPr="000B1DE9">
        <w:rPr>
          <w:rFonts w:ascii="Times New Roman" w:eastAsiaTheme="minorHAnsi" w:hAnsi="Times New Roman" w:cs="Times New Roman"/>
          <w:sz w:val="24"/>
          <w:szCs w:val="24"/>
          <w:lang w:eastAsia="en-US"/>
        </w:rPr>
        <w:t xml:space="preserve">Подпрограммой </w:t>
      </w:r>
      <w:proofErr w:type="spellStart"/>
      <w:r w:rsidR="00AF6F16" w:rsidRPr="000B1DE9">
        <w:rPr>
          <w:rFonts w:ascii="Times New Roman" w:eastAsiaTheme="minorHAnsi" w:hAnsi="Times New Roman" w:cs="Times New Roman"/>
          <w:sz w:val="24"/>
          <w:szCs w:val="24"/>
          <w:lang w:eastAsia="en-US"/>
        </w:rPr>
        <w:lastRenderedPageBreak/>
        <w:t>Госпрограммы№</w:t>
      </w:r>
      <w:proofErr w:type="spellEnd"/>
      <w:r w:rsidR="00AF6F16" w:rsidRPr="000B1DE9">
        <w:rPr>
          <w:rFonts w:ascii="Times New Roman" w:eastAsiaTheme="minorHAnsi" w:hAnsi="Times New Roman" w:cs="Times New Roman"/>
          <w:sz w:val="24"/>
          <w:szCs w:val="24"/>
          <w:lang w:eastAsia="en-US"/>
        </w:rPr>
        <w:t xml:space="preserve"> 14-п</w:t>
      </w:r>
      <w:r w:rsidR="008510D9" w:rsidRPr="000B1DE9">
        <w:rPr>
          <w:rFonts w:ascii="Times New Roman" w:eastAsiaTheme="minorHAnsi" w:hAnsi="Times New Roman" w:cs="Times New Roman"/>
          <w:sz w:val="24"/>
          <w:szCs w:val="24"/>
          <w:lang w:eastAsia="en-US"/>
        </w:rPr>
        <w:t xml:space="preserve"> </w:t>
      </w:r>
      <w:r w:rsidR="00AE5E82" w:rsidRPr="000B1DE9">
        <w:rPr>
          <w:rFonts w:ascii="Times New Roman" w:eastAsiaTheme="minorHAnsi" w:hAnsi="Times New Roman" w:cs="Times New Roman"/>
          <w:sz w:val="24"/>
          <w:szCs w:val="24"/>
          <w:lang w:eastAsia="en-US"/>
        </w:rPr>
        <w:t xml:space="preserve">утверждены </w:t>
      </w:r>
      <w:r w:rsidR="000403C2" w:rsidRPr="000B1DE9">
        <w:rPr>
          <w:rFonts w:ascii="Times New Roman" w:eastAsiaTheme="minorHAnsi" w:hAnsi="Times New Roman" w:cs="Times New Roman"/>
          <w:sz w:val="24"/>
          <w:szCs w:val="24"/>
          <w:lang w:eastAsia="en-US"/>
        </w:rPr>
        <w:t>12</w:t>
      </w:r>
      <w:r w:rsidR="008A3176" w:rsidRPr="000B1DE9">
        <w:rPr>
          <w:rFonts w:ascii="Times New Roman" w:eastAsiaTheme="minorHAnsi" w:hAnsi="Times New Roman" w:cs="Times New Roman"/>
          <w:sz w:val="24"/>
          <w:szCs w:val="24"/>
          <w:lang w:eastAsia="en-US"/>
        </w:rPr>
        <w:t xml:space="preserve"> целевых показателей</w:t>
      </w:r>
      <w:r w:rsidR="009C06DA" w:rsidRPr="000B1DE9">
        <w:rPr>
          <w:rFonts w:ascii="Times New Roman" w:eastAsiaTheme="minorHAnsi" w:hAnsi="Times New Roman" w:cs="Times New Roman"/>
          <w:sz w:val="24"/>
          <w:szCs w:val="24"/>
          <w:lang w:eastAsia="en-US"/>
        </w:rPr>
        <w:t xml:space="preserve">, из которых </w:t>
      </w:r>
      <w:r w:rsidR="00517740" w:rsidRPr="000B1DE9">
        <w:rPr>
          <w:rFonts w:ascii="Times New Roman" w:eastAsiaTheme="minorHAnsi" w:hAnsi="Times New Roman" w:cs="Times New Roman"/>
          <w:sz w:val="24"/>
          <w:szCs w:val="24"/>
          <w:lang w:eastAsia="en-US"/>
        </w:rPr>
        <w:t>по итогам 2017 года</w:t>
      </w:r>
      <w:r w:rsidR="009C06DA" w:rsidRPr="000B1DE9">
        <w:rPr>
          <w:rFonts w:ascii="Times New Roman" w:eastAsiaTheme="minorHAnsi" w:hAnsi="Times New Roman" w:cs="Times New Roman"/>
          <w:sz w:val="24"/>
          <w:szCs w:val="24"/>
          <w:lang w:eastAsia="en-US"/>
        </w:rPr>
        <w:t xml:space="preserve"> </w:t>
      </w:r>
      <w:r w:rsidR="006B5ADE" w:rsidRPr="000B1DE9">
        <w:rPr>
          <w:rFonts w:ascii="Times New Roman" w:eastAsiaTheme="minorHAnsi" w:hAnsi="Times New Roman" w:cs="Times New Roman"/>
          <w:sz w:val="24"/>
          <w:szCs w:val="24"/>
          <w:lang w:eastAsia="en-US"/>
        </w:rPr>
        <w:t>плановые значения</w:t>
      </w:r>
      <w:r w:rsidR="007851AC" w:rsidRPr="000B1DE9">
        <w:rPr>
          <w:rFonts w:ascii="Times New Roman" w:eastAsiaTheme="minorHAnsi" w:hAnsi="Times New Roman" w:cs="Times New Roman"/>
          <w:sz w:val="24"/>
          <w:szCs w:val="24"/>
          <w:lang w:eastAsia="en-US"/>
        </w:rPr>
        <w:t xml:space="preserve"> </w:t>
      </w:r>
      <w:r w:rsidR="000403C2" w:rsidRPr="000B1DE9">
        <w:rPr>
          <w:rFonts w:ascii="Times New Roman" w:eastAsiaTheme="minorHAnsi" w:hAnsi="Times New Roman" w:cs="Times New Roman"/>
          <w:sz w:val="24"/>
          <w:szCs w:val="24"/>
          <w:lang w:eastAsia="en-US"/>
        </w:rPr>
        <w:t>10-ти</w:t>
      </w:r>
      <w:r w:rsidR="007851AC" w:rsidRPr="000B1DE9">
        <w:rPr>
          <w:rFonts w:ascii="Times New Roman" w:eastAsiaTheme="minorHAnsi" w:hAnsi="Times New Roman" w:cs="Times New Roman"/>
          <w:sz w:val="24"/>
          <w:szCs w:val="24"/>
          <w:lang w:eastAsia="en-US"/>
        </w:rPr>
        <w:t xml:space="preserve"> </w:t>
      </w:r>
      <w:r w:rsidR="009C06DA" w:rsidRPr="000B1DE9">
        <w:rPr>
          <w:rFonts w:ascii="Times New Roman" w:eastAsiaTheme="minorHAnsi" w:hAnsi="Times New Roman" w:cs="Times New Roman"/>
          <w:sz w:val="24"/>
          <w:szCs w:val="24"/>
          <w:lang w:eastAsia="en-US"/>
        </w:rPr>
        <w:t xml:space="preserve">перевыполнены, а значения </w:t>
      </w:r>
      <w:r w:rsidR="000403C2" w:rsidRPr="000B1DE9">
        <w:rPr>
          <w:rFonts w:ascii="Times New Roman" w:eastAsiaTheme="minorHAnsi" w:hAnsi="Times New Roman" w:cs="Times New Roman"/>
          <w:sz w:val="24"/>
          <w:szCs w:val="24"/>
          <w:lang w:eastAsia="en-US"/>
        </w:rPr>
        <w:t>2-х</w:t>
      </w:r>
      <w:r w:rsidR="009C06DA" w:rsidRPr="000B1DE9">
        <w:rPr>
          <w:rFonts w:ascii="Times New Roman" w:eastAsiaTheme="minorHAnsi" w:hAnsi="Times New Roman" w:cs="Times New Roman"/>
          <w:sz w:val="24"/>
          <w:szCs w:val="24"/>
          <w:lang w:eastAsia="en-US"/>
        </w:rPr>
        <w:t xml:space="preserve"> показателей </w:t>
      </w:r>
      <w:r w:rsidR="00446938" w:rsidRPr="000B1DE9">
        <w:rPr>
          <w:rFonts w:ascii="Times New Roman" w:eastAsiaTheme="minorHAnsi" w:hAnsi="Times New Roman" w:cs="Times New Roman"/>
          <w:sz w:val="24"/>
          <w:szCs w:val="24"/>
          <w:lang w:eastAsia="en-US"/>
        </w:rPr>
        <w:t xml:space="preserve">также </w:t>
      </w:r>
      <w:r w:rsidR="006B5ADE" w:rsidRPr="000B1DE9">
        <w:rPr>
          <w:rFonts w:ascii="Times New Roman" w:eastAsiaTheme="minorHAnsi" w:hAnsi="Times New Roman" w:cs="Times New Roman"/>
          <w:sz w:val="24"/>
          <w:szCs w:val="24"/>
          <w:lang w:eastAsia="en-US"/>
        </w:rPr>
        <w:t>не рассчитывались</w:t>
      </w:r>
      <w:r w:rsidR="00446938" w:rsidRPr="000B1DE9">
        <w:rPr>
          <w:rFonts w:ascii="Times New Roman" w:eastAsiaTheme="minorHAnsi" w:hAnsi="Times New Roman" w:cs="Times New Roman"/>
          <w:sz w:val="24"/>
          <w:szCs w:val="24"/>
          <w:lang w:eastAsia="en-US"/>
        </w:rPr>
        <w:t xml:space="preserve"> по вышеназванной причине.</w:t>
      </w:r>
    </w:p>
    <w:p w:rsidR="009310DA" w:rsidRDefault="007B08A4" w:rsidP="00D062A4">
      <w:pPr>
        <w:pStyle w:val="ConsPlusNormal"/>
        <w:ind w:firstLine="680"/>
        <w:jc w:val="both"/>
        <w:rPr>
          <w:rFonts w:ascii="Times New Roman" w:eastAsiaTheme="minorHAnsi" w:hAnsi="Times New Roman" w:cs="Times New Roman"/>
          <w:sz w:val="24"/>
          <w:szCs w:val="24"/>
          <w:lang w:eastAsia="en-US"/>
        </w:rPr>
      </w:pPr>
      <w:r w:rsidRPr="009172F2">
        <w:rPr>
          <w:rFonts w:ascii="Times New Roman" w:eastAsiaTheme="minorHAnsi" w:hAnsi="Times New Roman" w:cs="Times New Roman"/>
          <w:sz w:val="24"/>
          <w:szCs w:val="24"/>
          <w:lang w:eastAsia="en-US"/>
        </w:rPr>
        <w:t>Таким образом</w:t>
      </w:r>
      <w:r w:rsidR="00446090" w:rsidRPr="009172F2">
        <w:rPr>
          <w:rFonts w:ascii="Times New Roman" w:eastAsiaTheme="minorHAnsi" w:hAnsi="Times New Roman" w:cs="Times New Roman"/>
          <w:sz w:val="24"/>
          <w:szCs w:val="24"/>
          <w:lang w:eastAsia="en-US"/>
        </w:rPr>
        <w:t>,</w:t>
      </w:r>
      <w:r w:rsidRPr="009172F2">
        <w:rPr>
          <w:rFonts w:ascii="Times New Roman" w:eastAsiaTheme="minorHAnsi" w:hAnsi="Times New Roman" w:cs="Times New Roman"/>
          <w:sz w:val="24"/>
          <w:szCs w:val="24"/>
          <w:lang w:eastAsia="en-US"/>
        </w:rPr>
        <w:t xml:space="preserve"> в целях реальной оценки эффективности реализации госпрограмм</w:t>
      </w:r>
      <w:r w:rsidR="00D062A4" w:rsidRPr="009172F2">
        <w:rPr>
          <w:rFonts w:ascii="Times New Roman" w:eastAsiaTheme="minorHAnsi" w:hAnsi="Times New Roman" w:cs="Times New Roman"/>
          <w:sz w:val="24"/>
          <w:szCs w:val="24"/>
          <w:lang w:eastAsia="en-US"/>
        </w:rPr>
        <w:t>ы</w:t>
      </w:r>
      <w:r w:rsidRPr="009172F2">
        <w:rPr>
          <w:rFonts w:ascii="Times New Roman" w:eastAsiaTheme="minorHAnsi" w:hAnsi="Times New Roman" w:cs="Times New Roman"/>
          <w:sz w:val="24"/>
          <w:szCs w:val="24"/>
          <w:lang w:eastAsia="en-US"/>
        </w:rPr>
        <w:t xml:space="preserve"> </w:t>
      </w:r>
      <w:r w:rsidR="00D062A4" w:rsidRPr="009172F2">
        <w:rPr>
          <w:rFonts w:ascii="Times New Roman" w:eastAsiaTheme="minorHAnsi" w:hAnsi="Times New Roman" w:cs="Times New Roman"/>
          <w:sz w:val="24"/>
          <w:szCs w:val="24"/>
          <w:lang w:eastAsia="en-US"/>
        </w:rPr>
        <w:t xml:space="preserve">требуется проведение корректировки показателей и пересчета эффективности госпрограммы в более поздние сроки </w:t>
      </w:r>
      <w:r w:rsidR="00D062A4" w:rsidRPr="00CB37F7">
        <w:rPr>
          <w:rFonts w:ascii="Times New Roman" w:eastAsiaTheme="minorHAnsi" w:hAnsi="Times New Roman" w:cs="Times New Roman"/>
          <w:sz w:val="24"/>
          <w:szCs w:val="24"/>
          <w:lang w:eastAsia="en-US"/>
        </w:rPr>
        <w:t xml:space="preserve">или </w:t>
      </w:r>
      <w:r w:rsidR="009310DA" w:rsidRPr="00CB37F7">
        <w:rPr>
          <w:rFonts w:ascii="Times New Roman" w:eastAsiaTheme="minorHAnsi" w:hAnsi="Times New Roman" w:cs="Times New Roman"/>
          <w:sz w:val="24"/>
          <w:szCs w:val="24"/>
          <w:lang w:eastAsia="en-US"/>
        </w:rPr>
        <w:t>замен</w:t>
      </w:r>
      <w:r w:rsidR="002A37A7" w:rsidRPr="00CB37F7">
        <w:rPr>
          <w:rFonts w:ascii="Times New Roman" w:eastAsiaTheme="minorHAnsi" w:hAnsi="Times New Roman" w:cs="Times New Roman"/>
          <w:sz w:val="24"/>
          <w:szCs w:val="24"/>
          <w:lang w:eastAsia="en-US"/>
        </w:rPr>
        <w:t>а</w:t>
      </w:r>
      <w:r w:rsidR="009310DA" w:rsidRPr="00CB37F7">
        <w:rPr>
          <w:rFonts w:ascii="Times New Roman" w:eastAsiaTheme="minorHAnsi" w:hAnsi="Times New Roman" w:cs="Times New Roman"/>
          <w:sz w:val="24"/>
          <w:szCs w:val="24"/>
          <w:lang w:eastAsia="en-US"/>
        </w:rPr>
        <w:t xml:space="preserve"> показателей, формируемых на основании данных статистической отчетности, аналогичными показателями, формируемыми по </w:t>
      </w:r>
      <w:r w:rsidR="001117A4" w:rsidRPr="00CB37F7">
        <w:rPr>
          <w:rFonts w:ascii="Times New Roman" w:eastAsiaTheme="minorHAnsi" w:hAnsi="Times New Roman" w:cs="Times New Roman"/>
          <w:sz w:val="24"/>
          <w:szCs w:val="24"/>
          <w:lang w:eastAsia="en-US"/>
        </w:rPr>
        <w:t>сведениям</w:t>
      </w:r>
      <w:r w:rsidR="009310DA" w:rsidRPr="00CB37F7">
        <w:rPr>
          <w:rFonts w:ascii="Times New Roman" w:eastAsiaTheme="minorHAnsi" w:hAnsi="Times New Roman" w:cs="Times New Roman"/>
          <w:sz w:val="24"/>
          <w:szCs w:val="24"/>
          <w:lang w:eastAsia="en-US"/>
        </w:rPr>
        <w:t xml:space="preserve"> СМСП, получившим господдержку.</w:t>
      </w:r>
    </w:p>
    <w:p w:rsidR="00855EF7" w:rsidRDefault="00576995" w:rsidP="00B17977">
      <w:pPr>
        <w:pStyle w:val="ConsPlusNormal"/>
        <w:ind w:firstLine="68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Далее в целях оценки развития малого и среднего предпринимательства на территории региона </w:t>
      </w:r>
      <w:r w:rsidRPr="00576995">
        <w:rPr>
          <w:rFonts w:ascii="Times New Roman" w:eastAsiaTheme="minorHAnsi" w:hAnsi="Times New Roman" w:cs="Times New Roman"/>
          <w:sz w:val="24"/>
          <w:szCs w:val="24"/>
          <w:lang w:eastAsia="en-US"/>
        </w:rPr>
        <w:t>проведен</w:t>
      </w:r>
      <w:r>
        <w:rPr>
          <w:rFonts w:ascii="Times New Roman" w:eastAsiaTheme="minorHAnsi" w:hAnsi="Times New Roman" w:cs="Times New Roman"/>
          <w:sz w:val="24"/>
          <w:szCs w:val="24"/>
          <w:lang w:eastAsia="en-US"/>
        </w:rPr>
        <w:t xml:space="preserve"> анализ динамики фактических значений </w:t>
      </w:r>
      <w:r w:rsidR="000B5A94">
        <w:rPr>
          <w:rFonts w:ascii="Times New Roman" w:eastAsiaTheme="minorHAnsi" w:hAnsi="Times New Roman" w:cs="Times New Roman"/>
          <w:sz w:val="24"/>
          <w:szCs w:val="24"/>
          <w:lang w:eastAsia="en-US"/>
        </w:rPr>
        <w:t xml:space="preserve">отдельных </w:t>
      </w:r>
      <w:r>
        <w:rPr>
          <w:rFonts w:ascii="Times New Roman" w:eastAsiaTheme="minorHAnsi" w:hAnsi="Times New Roman" w:cs="Times New Roman"/>
          <w:sz w:val="24"/>
          <w:szCs w:val="24"/>
          <w:lang w:eastAsia="en-US"/>
        </w:rPr>
        <w:t>целевых показателей,</w:t>
      </w:r>
      <w:r w:rsidR="000B5A94">
        <w:rPr>
          <w:rFonts w:ascii="Times New Roman" w:eastAsiaTheme="minorHAnsi" w:hAnsi="Times New Roman" w:cs="Times New Roman"/>
          <w:sz w:val="24"/>
          <w:szCs w:val="24"/>
          <w:lang w:eastAsia="en-US"/>
        </w:rPr>
        <w:t xml:space="preserve"> сформированных </w:t>
      </w:r>
      <w:r>
        <w:rPr>
          <w:rFonts w:ascii="Times New Roman" w:eastAsiaTheme="minorHAnsi" w:hAnsi="Times New Roman" w:cs="Times New Roman"/>
          <w:sz w:val="24"/>
          <w:szCs w:val="24"/>
          <w:lang w:eastAsia="en-US"/>
        </w:rPr>
        <w:t xml:space="preserve">на основании статистических данных, что представлено </w:t>
      </w:r>
      <w:r w:rsidR="00855EF7" w:rsidRPr="00A9448C">
        <w:rPr>
          <w:rFonts w:ascii="Times New Roman" w:eastAsiaTheme="minorHAnsi" w:hAnsi="Times New Roman" w:cs="Times New Roman"/>
          <w:sz w:val="24"/>
          <w:szCs w:val="24"/>
          <w:lang w:eastAsia="en-US"/>
        </w:rPr>
        <w:t>на диаграмме.</w:t>
      </w:r>
    </w:p>
    <w:p w:rsidR="00855EF7" w:rsidRDefault="00A9448C" w:rsidP="00A9448C">
      <w:pPr>
        <w:pStyle w:val="ConsPlusNormal"/>
        <w:jc w:val="both"/>
        <w:rPr>
          <w:rFonts w:ascii="Times New Roman" w:eastAsiaTheme="minorHAnsi" w:hAnsi="Times New Roman" w:cs="Times New Roman"/>
          <w:sz w:val="24"/>
          <w:szCs w:val="24"/>
          <w:lang w:eastAsia="en-US"/>
        </w:rPr>
      </w:pPr>
      <w:r w:rsidRPr="00A9448C">
        <w:rPr>
          <w:rFonts w:ascii="Times New Roman" w:eastAsiaTheme="minorHAnsi" w:hAnsi="Times New Roman" w:cs="Times New Roman"/>
          <w:noProof/>
          <w:sz w:val="24"/>
          <w:szCs w:val="24"/>
        </w:rPr>
        <w:drawing>
          <wp:inline distT="0" distB="0" distL="0" distR="0">
            <wp:extent cx="6310189" cy="2642704"/>
            <wp:effectExtent l="19050" t="0" r="14411" b="5246"/>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FA0B7C" w:rsidRDefault="00855EF7" w:rsidP="0056609C">
      <w:pPr>
        <w:pStyle w:val="ConsPlusNormal"/>
        <w:ind w:firstLine="680"/>
        <w:jc w:val="both"/>
        <w:rPr>
          <w:rFonts w:ascii="Times New Roman" w:hAnsi="Times New Roman" w:cs="Times New Roman"/>
          <w:sz w:val="24"/>
          <w:szCs w:val="24"/>
        </w:rPr>
      </w:pPr>
      <w:r>
        <w:rPr>
          <w:rFonts w:ascii="Times New Roman" w:eastAsiaTheme="minorHAnsi" w:hAnsi="Times New Roman" w:cs="Times New Roman"/>
          <w:sz w:val="24"/>
          <w:szCs w:val="24"/>
          <w:lang w:eastAsia="en-US"/>
        </w:rPr>
        <w:t>Как видно из диаграммы</w:t>
      </w:r>
      <w:r w:rsidR="0056609C">
        <w:rPr>
          <w:rFonts w:ascii="Times New Roman" w:eastAsiaTheme="minorHAnsi" w:hAnsi="Times New Roman" w:cs="Times New Roman"/>
          <w:sz w:val="24"/>
          <w:szCs w:val="24"/>
          <w:lang w:eastAsia="en-US"/>
        </w:rPr>
        <w:t xml:space="preserve">, несмотря на оказываемую господдержку, </w:t>
      </w:r>
      <w:r>
        <w:rPr>
          <w:rFonts w:ascii="Times New Roman" w:eastAsiaTheme="minorHAnsi" w:hAnsi="Times New Roman" w:cs="Times New Roman"/>
          <w:sz w:val="24"/>
          <w:szCs w:val="24"/>
          <w:lang w:eastAsia="en-US"/>
        </w:rPr>
        <w:t xml:space="preserve">наблюдается различная тенденция </w:t>
      </w:r>
      <w:r w:rsidR="00A72D39">
        <w:rPr>
          <w:rFonts w:ascii="Times New Roman" w:eastAsiaTheme="minorHAnsi" w:hAnsi="Times New Roman" w:cs="Times New Roman"/>
          <w:sz w:val="24"/>
          <w:szCs w:val="24"/>
          <w:lang w:eastAsia="en-US"/>
        </w:rPr>
        <w:t>развития малого и среднего предпринимательства на территории Волгоградской области.</w:t>
      </w:r>
      <w:r w:rsidR="0056609C">
        <w:rPr>
          <w:rFonts w:ascii="Times New Roman" w:eastAsiaTheme="minorHAnsi" w:hAnsi="Times New Roman" w:cs="Times New Roman"/>
          <w:sz w:val="24"/>
          <w:szCs w:val="24"/>
          <w:lang w:eastAsia="en-US"/>
        </w:rPr>
        <w:t xml:space="preserve"> Так, </w:t>
      </w:r>
      <w:r w:rsidR="0056609C" w:rsidRPr="0056609C">
        <w:rPr>
          <w:rFonts w:ascii="Times New Roman" w:eastAsiaTheme="minorHAnsi" w:hAnsi="Times New Roman" w:cs="Times New Roman"/>
          <w:sz w:val="24"/>
          <w:szCs w:val="24"/>
          <w:lang w:eastAsia="en-US"/>
        </w:rPr>
        <w:t>п</w:t>
      </w:r>
      <w:r w:rsidR="00FA0B7C" w:rsidRPr="0056609C">
        <w:rPr>
          <w:rFonts w:ascii="Times New Roman" w:hAnsi="Times New Roman" w:cs="Times New Roman"/>
          <w:sz w:val="24"/>
          <w:szCs w:val="24"/>
        </w:rPr>
        <w:t>оказатели доли среднесписочной работников СМСП и прироста оборота продукции в 2016 году снизились по сравнению с 2015 годом, а в 2017 году увеличились. Показатель  количества СМСП в 2017 году снижен в сравнении с предыдущим годом.</w:t>
      </w:r>
    </w:p>
    <w:p w:rsidR="00FA0B7C" w:rsidRDefault="00FA0B7C" w:rsidP="00FA0B7C">
      <w:pPr>
        <w:autoSpaceDE w:val="0"/>
        <w:autoSpaceDN w:val="0"/>
        <w:adjustRightInd w:val="0"/>
        <w:ind w:firstLine="680"/>
        <w:jc w:val="both"/>
        <w:rPr>
          <w:rFonts w:eastAsia="Times New Roman"/>
          <w:color w:val="000000"/>
        </w:rPr>
      </w:pPr>
      <w:r>
        <w:t>Постоянный рост наблюдается только по показателю объема налоговых поступлений</w:t>
      </w:r>
      <w:r w:rsidR="00B66BDF">
        <w:t xml:space="preserve"> на одного жителя Волгоградской области</w:t>
      </w:r>
      <w:r>
        <w:t xml:space="preserve">, который </w:t>
      </w:r>
      <w:r>
        <w:rPr>
          <w:rFonts w:eastAsia="Times New Roman"/>
          <w:color w:val="000000"/>
        </w:rPr>
        <w:t>увеличился с 1,75 тыс. руб. в 2015 году до 2,15 тыс. руб. в 2017 году.</w:t>
      </w:r>
    </w:p>
    <w:p w:rsidR="0056609C" w:rsidRDefault="0056609C" w:rsidP="0056609C">
      <w:pPr>
        <w:autoSpaceDE w:val="0"/>
        <w:autoSpaceDN w:val="0"/>
        <w:adjustRightInd w:val="0"/>
        <w:ind w:firstLine="680"/>
        <w:jc w:val="both"/>
        <w:rPr>
          <w:rFonts w:eastAsiaTheme="minorHAnsi"/>
          <w:lang w:eastAsia="en-US"/>
        </w:rPr>
      </w:pPr>
      <w:r>
        <w:rPr>
          <w:rFonts w:eastAsiaTheme="minorHAnsi"/>
          <w:lang w:eastAsia="en-US"/>
        </w:rPr>
        <w:t xml:space="preserve">Полагаем, что оказываемая в рамках реализации </w:t>
      </w:r>
      <w:r w:rsidRPr="001A292A">
        <w:rPr>
          <w:rFonts w:eastAsiaTheme="minorHAnsi"/>
          <w:lang w:eastAsia="en-US"/>
        </w:rPr>
        <w:t>Подпрограммы господдержка СМСП не оказывает значительного влияния на динамику вышеприведенных показателей, так как количество СМСП, получивших господдержку по Подпрограмме, за три года в среднем составило 3,9% от общего количества СМСП,</w:t>
      </w:r>
      <w:r>
        <w:rPr>
          <w:rFonts w:eastAsiaTheme="minorHAnsi"/>
          <w:lang w:eastAsia="en-US"/>
        </w:rPr>
        <w:t xml:space="preserve"> зарегистрированных на территории Волгоградской области.</w:t>
      </w:r>
    </w:p>
    <w:p w:rsidR="004F3225" w:rsidRDefault="00C33919" w:rsidP="00C33919">
      <w:pPr>
        <w:autoSpaceDE w:val="0"/>
        <w:autoSpaceDN w:val="0"/>
        <w:adjustRightInd w:val="0"/>
        <w:ind w:firstLine="540"/>
        <w:jc w:val="both"/>
        <w:rPr>
          <w:rFonts w:eastAsia="Times New Roman"/>
          <w:color w:val="000000"/>
        </w:rPr>
      </w:pPr>
      <w:r w:rsidRPr="00C33919">
        <w:rPr>
          <w:rFonts w:eastAsiaTheme="minorHAnsi"/>
          <w:lang w:eastAsia="en-US"/>
        </w:rPr>
        <w:t xml:space="preserve">Одним из основных индикаторов качества экономической среды в регионе является количество </w:t>
      </w:r>
      <w:r>
        <w:rPr>
          <w:rFonts w:eastAsiaTheme="minorHAnsi"/>
          <w:lang w:eastAsia="en-US"/>
        </w:rPr>
        <w:t>СМСП</w:t>
      </w:r>
      <w:r w:rsidRPr="00C33919">
        <w:rPr>
          <w:rFonts w:eastAsiaTheme="minorHAnsi"/>
          <w:lang w:eastAsia="en-US"/>
        </w:rPr>
        <w:t xml:space="preserve">. </w:t>
      </w:r>
      <w:r w:rsidR="00D025CE">
        <w:rPr>
          <w:rFonts w:eastAsia="Times New Roman"/>
          <w:color w:val="000000"/>
        </w:rPr>
        <w:t xml:space="preserve">На основании данных Волгоградстата в целом количество СМСП </w:t>
      </w:r>
      <w:r>
        <w:rPr>
          <w:rFonts w:eastAsia="Times New Roman"/>
          <w:color w:val="000000"/>
        </w:rPr>
        <w:t xml:space="preserve">(с учетом ИП) </w:t>
      </w:r>
      <w:r w:rsidR="00D025CE">
        <w:rPr>
          <w:rFonts w:eastAsia="Times New Roman"/>
          <w:color w:val="000000"/>
        </w:rPr>
        <w:t xml:space="preserve">в 2017 году составило 90,8 тыс. ед. и снизилось в сравнении с 2015 </w:t>
      </w:r>
      <w:r w:rsidR="004F3225">
        <w:rPr>
          <w:rFonts w:eastAsia="Times New Roman"/>
          <w:color w:val="000000"/>
        </w:rPr>
        <w:t>и 2016 годами соответственно на 0,8 тыс. ед. и 3,8 тыс. ед. (2015 год – 91,6 тыс. ед.</w:t>
      </w:r>
      <w:r w:rsidR="00F320FC">
        <w:rPr>
          <w:rFonts w:eastAsia="Times New Roman"/>
          <w:color w:val="000000"/>
        </w:rPr>
        <w:t xml:space="preserve">, 2016 год - </w:t>
      </w:r>
      <w:r w:rsidR="004F3225">
        <w:rPr>
          <w:rFonts w:eastAsia="Times New Roman"/>
          <w:color w:val="000000"/>
        </w:rPr>
        <w:t>94,6 тыс. ед.</w:t>
      </w:r>
      <w:r w:rsidR="00F320FC">
        <w:rPr>
          <w:rFonts w:eastAsia="Times New Roman"/>
          <w:color w:val="000000"/>
        </w:rPr>
        <w:t>)</w:t>
      </w:r>
      <w:r w:rsidR="004F3225">
        <w:rPr>
          <w:rFonts w:eastAsia="Times New Roman"/>
          <w:color w:val="000000"/>
        </w:rPr>
        <w:t xml:space="preserve">. </w:t>
      </w:r>
    </w:p>
    <w:p w:rsidR="00D025CE" w:rsidRDefault="00D025CE" w:rsidP="00D025CE">
      <w:pPr>
        <w:autoSpaceDE w:val="0"/>
        <w:autoSpaceDN w:val="0"/>
        <w:adjustRightInd w:val="0"/>
        <w:ind w:firstLine="680"/>
        <w:jc w:val="both"/>
        <w:rPr>
          <w:rFonts w:eastAsia="Times New Roman"/>
          <w:color w:val="000000"/>
        </w:rPr>
      </w:pPr>
      <w:r>
        <w:rPr>
          <w:rFonts w:eastAsia="Times New Roman"/>
          <w:color w:val="000000"/>
        </w:rPr>
        <w:t xml:space="preserve">Количество занятого населения у СМСП </w:t>
      </w:r>
      <w:r w:rsidR="00516A88">
        <w:rPr>
          <w:rFonts w:eastAsia="Times New Roman"/>
          <w:color w:val="000000"/>
        </w:rPr>
        <w:t xml:space="preserve">(без </w:t>
      </w:r>
      <w:r w:rsidR="00321485">
        <w:rPr>
          <w:rFonts w:eastAsia="Times New Roman"/>
          <w:color w:val="000000"/>
        </w:rPr>
        <w:t>ИП</w:t>
      </w:r>
      <w:r w:rsidR="00516A88">
        <w:rPr>
          <w:rFonts w:eastAsia="Times New Roman"/>
          <w:color w:val="000000"/>
        </w:rPr>
        <w:t xml:space="preserve">) </w:t>
      </w:r>
      <w:r>
        <w:rPr>
          <w:rFonts w:eastAsia="Times New Roman"/>
          <w:color w:val="000000"/>
        </w:rPr>
        <w:t>за это</w:t>
      </w:r>
      <w:r w:rsidR="00F320FC">
        <w:rPr>
          <w:rFonts w:eastAsia="Times New Roman"/>
          <w:color w:val="000000"/>
        </w:rPr>
        <w:t>т</w:t>
      </w:r>
      <w:r>
        <w:rPr>
          <w:rFonts w:eastAsia="Times New Roman"/>
          <w:color w:val="000000"/>
        </w:rPr>
        <w:t xml:space="preserve"> период сократилось на 7,5 тыс. чел., или на 4,5% (</w:t>
      </w:r>
      <w:r w:rsidR="00C33919">
        <w:rPr>
          <w:rFonts w:eastAsia="Times New Roman"/>
          <w:color w:val="000000"/>
        </w:rPr>
        <w:t xml:space="preserve">среднесписочная численность работников средних и малых предприятий уменьшилась </w:t>
      </w:r>
      <w:r>
        <w:rPr>
          <w:rFonts w:eastAsia="Times New Roman"/>
          <w:color w:val="000000"/>
        </w:rPr>
        <w:t>с</w:t>
      </w:r>
      <w:r w:rsidR="00C33919">
        <w:rPr>
          <w:rFonts w:eastAsia="Times New Roman"/>
          <w:color w:val="000000"/>
        </w:rPr>
        <w:t>о</w:t>
      </w:r>
      <w:r>
        <w:rPr>
          <w:rFonts w:eastAsia="Times New Roman"/>
          <w:color w:val="000000"/>
        </w:rPr>
        <w:t xml:space="preserve"> 164,9 тыс. чел. в 2015 году до 157,4 тыс. чел. в 2017 году). Причем в 2017 году при снижении количества СМСП </w:t>
      </w:r>
      <w:r w:rsidR="00516A88">
        <w:rPr>
          <w:rFonts w:eastAsia="Times New Roman"/>
          <w:color w:val="000000"/>
        </w:rPr>
        <w:t xml:space="preserve">(без </w:t>
      </w:r>
      <w:r w:rsidR="00321485">
        <w:rPr>
          <w:rFonts w:eastAsia="Times New Roman"/>
          <w:color w:val="000000"/>
        </w:rPr>
        <w:t>ИП</w:t>
      </w:r>
      <w:r w:rsidR="00516A88">
        <w:rPr>
          <w:rFonts w:eastAsia="Times New Roman"/>
          <w:color w:val="000000"/>
        </w:rPr>
        <w:t xml:space="preserve">) </w:t>
      </w:r>
      <w:r w:rsidR="005A776A">
        <w:rPr>
          <w:rFonts w:eastAsia="Times New Roman"/>
          <w:color w:val="000000"/>
        </w:rPr>
        <w:t xml:space="preserve">в сравнении с 2016 годом </w:t>
      </w:r>
      <w:r>
        <w:rPr>
          <w:rFonts w:eastAsia="Times New Roman"/>
          <w:color w:val="000000"/>
        </w:rPr>
        <w:t xml:space="preserve">на </w:t>
      </w:r>
      <w:r w:rsidR="00516A88">
        <w:rPr>
          <w:rFonts w:eastAsia="Times New Roman"/>
          <w:color w:val="000000"/>
        </w:rPr>
        <w:t xml:space="preserve">5,1 </w:t>
      </w:r>
      <w:r>
        <w:rPr>
          <w:rFonts w:eastAsia="Times New Roman"/>
          <w:color w:val="000000"/>
        </w:rPr>
        <w:t xml:space="preserve">тыс. ед. произошел рост среднесписочной численности работников на 13,6 тыс. чел. (2016 год – 143,8 тыс. чел.). </w:t>
      </w:r>
    </w:p>
    <w:p w:rsidR="008B26E6" w:rsidRDefault="008B26E6" w:rsidP="008B26E6">
      <w:pPr>
        <w:autoSpaceDE w:val="0"/>
        <w:autoSpaceDN w:val="0"/>
        <w:adjustRightInd w:val="0"/>
        <w:ind w:firstLine="680"/>
        <w:jc w:val="both"/>
        <w:rPr>
          <w:rFonts w:eastAsia="Times New Roman"/>
          <w:color w:val="000000"/>
        </w:rPr>
      </w:pPr>
      <w:r>
        <w:rPr>
          <w:rFonts w:eastAsia="Times New Roman"/>
          <w:color w:val="000000"/>
        </w:rPr>
        <w:lastRenderedPageBreak/>
        <w:t>За анализируемый период объем налоговых поступлений по специальным режимам налогообложения вырос с 4 459,2 млн. руб. до 5 428,0 млн. руб., или на 21,7% (в 2016 году наблюдалось снижение по сравнению с предыдущим годом до 4 006,8 млн. руб.).</w:t>
      </w:r>
    </w:p>
    <w:p w:rsidR="008B26E6" w:rsidRPr="00B162E7" w:rsidRDefault="008B26E6" w:rsidP="008B26E6">
      <w:pPr>
        <w:autoSpaceDE w:val="0"/>
        <w:autoSpaceDN w:val="0"/>
        <w:adjustRightInd w:val="0"/>
        <w:ind w:firstLine="680"/>
        <w:jc w:val="both"/>
        <w:rPr>
          <w:rFonts w:eastAsia="Times New Roman"/>
          <w:bCs/>
        </w:rPr>
      </w:pPr>
      <w:r w:rsidRPr="001A292A">
        <w:rPr>
          <w:rFonts w:eastAsia="Times New Roman"/>
          <w:bCs/>
          <w:color w:val="000000"/>
        </w:rPr>
        <w:t xml:space="preserve">Проверкой достоверности </w:t>
      </w:r>
      <w:r w:rsidR="00B162E7" w:rsidRPr="001A292A">
        <w:rPr>
          <w:rFonts w:eastAsia="Times New Roman"/>
          <w:bCs/>
          <w:color w:val="000000"/>
        </w:rPr>
        <w:t xml:space="preserve">фактических </w:t>
      </w:r>
      <w:r w:rsidRPr="001A292A">
        <w:rPr>
          <w:rFonts w:eastAsia="Times New Roman"/>
          <w:bCs/>
          <w:color w:val="000000"/>
        </w:rPr>
        <w:t>значений целевых показателей Подпрограммы, отраженных в Докладе о ходе реализации Госпрограммы за 2017 год, установлены расхождения по следующим показателям</w:t>
      </w:r>
      <w:r w:rsidR="001A292A" w:rsidRPr="001A292A">
        <w:rPr>
          <w:rFonts w:eastAsia="Times New Roman"/>
          <w:bCs/>
          <w:color w:val="000000"/>
        </w:rPr>
        <w:t xml:space="preserve"> (</w:t>
      </w:r>
      <w:r w:rsidRPr="00DB7629">
        <w:rPr>
          <w:rFonts w:eastAsia="Times New Roman"/>
          <w:bCs/>
          <w:color w:val="365F91" w:themeColor="accent1" w:themeShade="BF"/>
        </w:rPr>
        <w:t>приложени</w:t>
      </w:r>
      <w:r w:rsidR="001A292A" w:rsidRPr="00DB7629">
        <w:rPr>
          <w:rFonts w:eastAsia="Times New Roman"/>
          <w:bCs/>
          <w:color w:val="365F91" w:themeColor="accent1" w:themeShade="BF"/>
        </w:rPr>
        <w:t>е</w:t>
      </w:r>
      <w:r w:rsidRPr="00DB7629">
        <w:rPr>
          <w:rFonts w:eastAsia="Times New Roman"/>
          <w:bCs/>
          <w:color w:val="365F91" w:themeColor="accent1" w:themeShade="BF"/>
        </w:rPr>
        <w:t xml:space="preserve"> № </w:t>
      </w:r>
      <w:r w:rsidR="003A314B">
        <w:rPr>
          <w:rFonts w:eastAsia="Times New Roman"/>
          <w:bCs/>
          <w:color w:val="365F91" w:themeColor="accent1" w:themeShade="BF"/>
        </w:rPr>
        <w:t>7</w:t>
      </w:r>
      <w:r w:rsidR="00B162E7" w:rsidRPr="00DB7629">
        <w:rPr>
          <w:rFonts w:eastAsia="Times New Roman"/>
          <w:bCs/>
        </w:rPr>
        <w:t xml:space="preserve"> к настоящему отчету</w:t>
      </w:r>
      <w:r w:rsidR="001A292A" w:rsidRPr="00DB7629">
        <w:rPr>
          <w:rFonts w:eastAsia="Times New Roman"/>
          <w:bCs/>
        </w:rPr>
        <w:t>)</w:t>
      </w:r>
      <w:r w:rsidRPr="00DB7629">
        <w:rPr>
          <w:rFonts w:eastAsia="Times New Roman"/>
          <w:bCs/>
        </w:rPr>
        <w:t>:</w:t>
      </w:r>
    </w:p>
    <w:p w:rsidR="00B162E7" w:rsidRDefault="000D3930" w:rsidP="008B26E6">
      <w:pPr>
        <w:autoSpaceDE w:val="0"/>
        <w:autoSpaceDN w:val="0"/>
        <w:adjustRightInd w:val="0"/>
        <w:ind w:firstLine="680"/>
        <w:jc w:val="both"/>
        <w:rPr>
          <w:rFonts w:eastAsiaTheme="minorHAnsi"/>
          <w:lang w:eastAsia="en-US"/>
        </w:rPr>
      </w:pPr>
      <w:r>
        <w:rPr>
          <w:rFonts w:eastAsiaTheme="minorHAnsi"/>
          <w:lang w:eastAsia="en-US"/>
        </w:rPr>
        <w:t>- «к</w:t>
      </w:r>
      <w:r w:rsidR="008B26E6" w:rsidRPr="00784735">
        <w:rPr>
          <w:rFonts w:eastAsiaTheme="minorHAnsi"/>
          <w:lang w:eastAsia="en-US"/>
        </w:rPr>
        <w:t xml:space="preserve">оличество СМСП, </w:t>
      </w:r>
      <w:proofErr w:type="gramStart"/>
      <w:r w:rsidR="008B26E6" w:rsidRPr="00784735">
        <w:rPr>
          <w:rFonts w:eastAsiaTheme="minorHAnsi"/>
          <w:lang w:eastAsia="en-US"/>
        </w:rPr>
        <w:t>получивших</w:t>
      </w:r>
      <w:proofErr w:type="gramEnd"/>
      <w:r w:rsidR="008B26E6" w:rsidRPr="00784735">
        <w:rPr>
          <w:rFonts w:eastAsiaTheme="minorHAnsi"/>
          <w:lang w:eastAsia="en-US"/>
        </w:rPr>
        <w:t xml:space="preserve"> господдержку (ежегодно)»: по данным </w:t>
      </w:r>
      <w:proofErr w:type="spellStart"/>
      <w:r w:rsidR="008B26E6" w:rsidRPr="00784735">
        <w:rPr>
          <w:rFonts w:eastAsiaTheme="minorHAnsi"/>
          <w:lang w:eastAsia="en-US"/>
        </w:rPr>
        <w:t>Облкомэкономразвития</w:t>
      </w:r>
      <w:proofErr w:type="spellEnd"/>
      <w:r w:rsidR="008B26E6" w:rsidRPr="00784735">
        <w:rPr>
          <w:rFonts w:eastAsiaTheme="minorHAnsi"/>
          <w:lang w:eastAsia="en-US"/>
        </w:rPr>
        <w:t xml:space="preserve"> – 4</w:t>
      </w:r>
      <w:r w:rsidR="00B162E7">
        <w:rPr>
          <w:rFonts w:eastAsiaTheme="minorHAnsi"/>
          <w:lang w:eastAsia="en-US"/>
        </w:rPr>
        <w:t> </w:t>
      </w:r>
      <w:r w:rsidR="008B26E6" w:rsidRPr="00784735">
        <w:rPr>
          <w:rFonts w:eastAsiaTheme="minorHAnsi"/>
          <w:lang w:eastAsia="en-US"/>
        </w:rPr>
        <w:t>357</w:t>
      </w:r>
      <w:r w:rsidR="00B162E7">
        <w:rPr>
          <w:rFonts w:eastAsiaTheme="minorHAnsi"/>
          <w:lang w:eastAsia="en-US"/>
        </w:rPr>
        <w:t xml:space="preserve"> ед.</w:t>
      </w:r>
      <w:r w:rsidR="008B26E6" w:rsidRPr="00784735">
        <w:rPr>
          <w:rFonts w:eastAsiaTheme="minorHAnsi"/>
          <w:lang w:eastAsia="en-US"/>
        </w:rPr>
        <w:t xml:space="preserve">, по </w:t>
      </w:r>
      <w:r w:rsidR="00B162E7">
        <w:rPr>
          <w:rFonts w:eastAsiaTheme="minorHAnsi"/>
          <w:lang w:eastAsia="en-US"/>
        </w:rPr>
        <w:t xml:space="preserve">результатам проверки </w:t>
      </w:r>
      <w:r w:rsidR="008B26E6" w:rsidRPr="00784735">
        <w:rPr>
          <w:rFonts w:eastAsiaTheme="minorHAnsi"/>
          <w:lang w:eastAsia="en-US"/>
        </w:rPr>
        <w:t>КСП – 4</w:t>
      </w:r>
      <w:r w:rsidR="00B162E7">
        <w:rPr>
          <w:rFonts w:eastAsiaTheme="minorHAnsi"/>
          <w:lang w:eastAsia="en-US"/>
        </w:rPr>
        <w:t> </w:t>
      </w:r>
      <w:r w:rsidR="008B26E6" w:rsidRPr="00784735">
        <w:rPr>
          <w:rFonts w:eastAsiaTheme="minorHAnsi"/>
          <w:lang w:eastAsia="en-US"/>
        </w:rPr>
        <w:t>363</w:t>
      </w:r>
      <w:r w:rsidR="00B162E7">
        <w:rPr>
          <w:rFonts w:eastAsiaTheme="minorHAnsi"/>
          <w:lang w:eastAsia="en-US"/>
        </w:rPr>
        <w:t xml:space="preserve"> ед.</w:t>
      </w:r>
      <w:r w:rsidR="00391226">
        <w:rPr>
          <w:rFonts w:eastAsiaTheme="minorHAnsi"/>
          <w:lang w:eastAsia="en-US"/>
        </w:rPr>
        <w:t>,</w:t>
      </w:r>
      <w:r w:rsidR="00B162E7">
        <w:rPr>
          <w:rFonts w:eastAsiaTheme="minorHAnsi"/>
          <w:lang w:eastAsia="en-US"/>
        </w:rPr>
        <w:t xml:space="preserve"> на что в основном повлияло не включение информации по деятельности </w:t>
      </w:r>
      <w:proofErr w:type="spellStart"/>
      <w:r w:rsidR="00B162E7">
        <w:rPr>
          <w:rFonts w:eastAsiaTheme="minorHAnsi"/>
          <w:lang w:eastAsia="en-US"/>
        </w:rPr>
        <w:t>ЦМИТов</w:t>
      </w:r>
      <w:proofErr w:type="spellEnd"/>
      <w:r w:rsidR="00B162E7">
        <w:rPr>
          <w:rFonts w:eastAsiaTheme="minorHAnsi"/>
          <w:lang w:eastAsia="en-US"/>
        </w:rPr>
        <w:t xml:space="preserve"> </w:t>
      </w:r>
      <w:r w:rsidR="00A7754E">
        <w:rPr>
          <w:rFonts w:eastAsiaTheme="minorHAnsi"/>
          <w:lang w:eastAsia="en-US"/>
        </w:rPr>
        <w:t>(в план значение также не включалось</w:t>
      </w:r>
      <w:r w:rsidR="00B162E7">
        <w:rPr>
          <w:rFonts w:eastAsiaTheme="minorHAnsi"/>
          <w:lang w:eastAsia="en-US"/>
        </w:rPr>
        <w:t>);</w:t>
      </w:r>
    </w:p>
    <w:p w:rsidR="00F329A5" w:rsidRDefault="008B26E6" w:rsidP="008B26E6">
      <w:pPr>
        <w:autoSpaceDE w:val="0"/>
        <w:autoSpaceDN w:val="0"/>
        <w:adjustRightInd w:val="0"/>
        <w:ind w:firstLine="680"/>
        <w:jc w:val="both"/>
        <w:rPr>
          <w:rFonts w:eastAsia="Times New Roman"/>
          <w:bCs/>
          <w:color w:val="000000"/>
        </w:rPr>
      </w:pPr>
      <w:r w:rsidRPr="00784735">
        <w:rPr>
          <w:rFonts w:eastAsiaTheme="minorHAnsi"/>
          <w:lang w:eastAsia="en-US"/>
        </w:rPr>
        <w:t>- «</w:t>
      </w:r>
      <w:r w:rsidR="000D3930">
        <w:rPr>
          <w:rFonts w:eastAsiaTheme="minorHAnsi"/>
          <w:lang w:eastAsia="en-US"/>
        </w:rPr>
        <w:t>к</w:t>
      </w:r>
      <w:r w:rsidRPr="00784735">
        <w:rPr>
          <w:rFonts w:eastAsiaTheme="minorHAnsi"/>
          <w:lang w:eastAsia="en-US"/>
        </w:rPr>
        <w:t>оличество вновь созданных рабочих мест</w:t>
      </w:r>
      <w:r w:rsidR="00B162E7">
        <w:rPr>
          <w:rFonts w:eastAsiaTheme="minorHAnsi"/>
          <w:lang w:eastAsia="en-US"/>
        </w:rPr>
        <w:t>…</w:t>
      </w:r>
      <w:r w:rsidRPr="00E34522">
        <w:rPr>
          <w:rFonts w:eastAsia="Times New Roman"/>
          <w:bCs/>
          <w:color w:val="000000"/>
        </w:rPr>
        <w:t>»</w:t>
      </w:r>
      <w:r>
        <w:rPr>
          <w:rFonts w:eastAsia="Times New Roman"/>
          <w:bCs/>
          <w:color w:val="000000"/>
        </w:rPr>
        <w:t>:</w:t>
      </w:r>
      <w:r w:rsidRPr="006D7E5C">
        <w:rPr>
          <w:rFonts w:eastAsia="Times New Roman"/>
          <w:bCs/>
          <w:color w:val="000000"/>
        </w:rPr>
        <w:t xml:space="preserve"> </w:t>
      </w:r>
      <w:r w:rsidRPr="00A517D2">
        <w:rPr>
          <w:rFonts w:eastAsia="Times New Roman"/>
          <w:bCs/>
          <w:color w:val="000000"/>
        </w:rPr>
        <w:t xml:space="preserve">по данным </w:t>
      </w:r>
      <w:proofErr w:type="spellStart"/>
      <w:r w:rsidRPr="00A517D2">
        <w:rPr>
          <w:rFonts w:eastAsia="Times New Roman"/>
          <w:bCs/>
          <w:color w:val="000000"/>
        </w:rPr>
        <w:t>Облкомэкономразвития</w:t>
      </w:r>
      <w:proofErr w:type="spellEnd"/>
      <w:r w:rsidRPr="00A517D2">
        <w:rPr>
          <w:rFonts w:eastAsia="Times New Roman"/>
          <w:bCs/>
          <w:color w:val="000000"/>
        </w:rPr>
        <w:t xml:space="preserve"> – 1</w:t>
      </w:r>
      <w:r w:rsidR="00B162E7">
        <w:rPr>
          <w:rFonts w:eastAsia="Times New Roman"/>
          <w:bCs/>
          <w:color w:val="000000"/>
        </w:rPr>
        <w:t> </w:t>
      </w:r>
      <w:r w:rsidRPr="00A517D2">
        <w:rPr>
          <w:rFonts w:eastAsia="Times New Roman"/>
          <w:bCs/>
          <w:color w:val="000000"/>
        </w:rPr>
        <w:t>587</w:t>
      </w:r>
      <w:r w:rsidR="00B162E7">
        <w:rPr>
          <w:rFonts w:eastAsia="Times New Roman"/>
          <w:bCs/>
          <w:color w:val="000000"/>
        </w:rPr>
        <w:t xml:space="preserve"> ед.</w:t>
      </w:r>
      <w:r w:rsidRPr="00A517D2">
        <w:rPr>
          <w:rFonts w:eastAsia="Times New Roman"/>
          <w:bCs/>
          <w:color w:val="000000"/>
        </w:rPr>
        <w:t xml:space="preserve">, по </w:t>
      </w:r>
      <w:r w:rsidR="00B162E7">
        <w:rPr>
          <w:rFonts w:eastAsia="Times New Roman"/>
          <w:bCs/>
          <w:color w:val="000000"/>
        </w:rPr>
        <w:t>результатам проверки КСП</w:t>
      </w:r>
      <w:r w:rsidRPr="00A517D2">
        <w:rPr>
          <w:rFonts w:eastAsia="Times New Roman"/>
          <w:bCs/>
          <w:color w:val="000000"/>
        </w:rPr>
        <w:t xml:space="preserve"> – 1</w:t>
      </w:r>
      <w:r w:rsidR="00B162E7">
        <w:rPr>
          <w:rFonts w:eastAsia="Times New Roman"/>
          <w:bCs/>
          <w:color w:val="000000"/>
        </w:rPr>
        <w:t> </w:t>
      </w:r>
      <w:r w:rsidRPr="00A517D2">
        <w:rPr>
          <w:rFonts w:eastAsia="Times New Roman"/>
          <w:bCs/>
          <w:color w:val="000000"/>
        </w:rPr>
        <w:t>630</w:t>
      </w:r>
      <w:r w:rsidR="00B162E7">
        <w:rPr>
          <w:rFonts w:eastAsia="Times New Roman"/>
          <w:bCs/>
          <w:color w:val="000000"/>
        </w:rPr>
        <w:t xml:space="preserve"> ед.</w:t>
      </w:r>
      <w:r w:rsidR="00F329A5">
        <w:rPr>
          <w:rFonts w:eastAsia="Times New Roman"/>
          <w:bCs/>
          <w:color w:val="000000"/>
        </w:rPr>
        <w:t>, за счет не включения значения по мероприятию поддержки молодежного предпринимательства (в плане значение предусматривалось);</w:t>
      </w:r>
    </w:p>
    <w:p w:rsidR="00B91531" w:rsidRDefault="008B26E6" w:rsidP="008B26E6">
      <w:pPr>
        <w:autoSpaceDE w:val="0"/>
        <w:autoSpaceDN w:val="0"/>
        <w:adjustRightInd w:val="0"/>
        <w:ind w:firstLine="680"/>
        <w:jc w:val="both"/>
        <w:rPr>
          <w:rFonts w:eastAsiaTheme="minorHAnsi"/>
          <w:lang w:eastAsia="en-US"/>
        </w:rPr>
      </w:pPr>
      <w:proofErr w:type="gramStart"/>
      <w:r w:rsidRPr="00A517D2">
        <w:rPr>
          <w:rFonts w:eastAsia="Times New Roman"/>
          <w:bCs/>
          <w:color w:val="000000"/>
        </w:rPr>
        <w:t>- «</w:t>
      </w:r>
      <w:r w:rsidR="000D3930">
        <w:rPr>
          <w:rFonts w:eastAsia="Times New Roman"/>
          <w:bCs/>
          <w:color w:val="000000"/>
        </w:rPr>
        <w:t>к</w:t>
      </w:r>
      <w:r w:rsidRPr="00A517D2">
        <w:rPr>
          <w:rFonts w:eastAsia="Times New Roman"/>
          <w:color w:val="000000"/>
        </w:rPr>
        <w:t>оличество физических лиц в возрасте до 30 лет (включительно), вовлеченных в реализацию мероприятий»:</w:t>
      </w:r>
      <w:r w:rsidRPr="00A517D2">
        <w:rPr>
          <w:rFonts w:eastAsia="Times New Roman"/>
          <w:bCs/>
          <w:color w:val="000000"/>
        </w:rPr>
        <w:t xml:space="preserve"> по данным </w:t>
      </w:r>
      <w:proofErr w:type="spellStart"/>
      <w:r w:rsidRPr="00A517D2">
        <w:rPr>
          <w:rFonts w:eastAsia="Times New Roman"/>
          <w:bCs/>
          <w:color w:val="000000"/>
        </w:rPr>
        <w:t>Облкомэкономразвития</w:t>
      </w:r>
      <w:proofErr w:type="spellEnd"/>
      <w:r w:rsidRPr="00A517D2">
        <w:rPr>
          <w:rFonts w:eastAsia="Times New Roman"/>
          <w:bCs/>
          <w:color w:val="000000"/>
        </w:rPr>
        <w:t xml:space="preserve"> – 1</w:t>
      </w:r>
      <w:r w:rsidR="00F329A5">
        <w:rPr>
          <w:rFonts w:eastAsia="Times New Roman"/>
          <w:bCs/>
          <w:color w:val="000000"/>
        </w:rPr>
        <w:t> </w:t>
      </w:r>
      <w:r>
        <w:rPr>
          <w:rFonts w:eastAsia="Times New Roman"/>
          <w:bCs/>
          <w:color w:val="000000"/>
        </w:rPr>
        <w:t>484</w:t>
      </w:r>
      <w:r w:rsidR="00F329A5">
        <w:rPr>
          <w:rFonts w:eastAsia="Times New Roman"/>
          <w:bCs/>
          <w:color w:val="000000"/>
        </w:rPr>
        <w:t xml:space="preserve"> ед.</w:t>
      </w:r>
      <w:r w:rsidRPr="00A517D2">
        <w:rPr>
          <w:rFonts w:eastAsia="Times New Roman"/>
          <w:bCs/>
          <w:color w:val="000000"/>
        </w:rPr>
        <w:t xml:space="preserve">, по данным КСП </w:t>
      </w:r>
      <w:r w:rsidRPr="00784735">
        <w:rPr>
          <w:rFonts w:eastAsia="Times New Roman"/>
          <w:bCs/>
          <w:color w:val="000000"/>
        </w:rPr>
        <w:t>– 2</w:t>
      </w:r>
      <w:r w:rsidR="00F329A5">
        <w:rPr>
          <w:rFonts w:eastAsia="Times New Roman"/>
          <w:bCs/>
          <w:color w:val="000000"/>
        </w:rPr>
        <w:t> </w:t>
      </w:r>
      <w:r w:rsidRPr="00784735">
        <w:rPr>
          <w:rFonts w:eastAsia="Times New Roman"/>
          <w:bCs/>
          <w:color w:val="000000"/>
        </w:rPr>
        <w:t>495</w:t>
      </w:r>
      <w:r w:rsidR="00F329A5">
        <w:rPr>
          <w:rFonts w:eastAsia="Times New Roman"/>
          <w:bCs/>
          <w:color w:val="000000"/>
        </w:rPr>
        <w:t xml:space="preserve"> ед., за счет </w:t>
      </w:r>
      <w:r w:rsidR="00F329A5">
        <w:rPr>
          <w:rFonts w:eastAsiaTheme="minorHAnsi"/>
          <w:lang w:eastAsia="en-US"/>
        </w:rPr>
        <w:t xml:space="preserve">не включения в этот показатель значений по </w:t>
      </w:r>
      <w:proofErr w:type="spellStart"/>
      <w:r w:rsidR="00F329A5">
        <w:rPr>
          <w:rFonts w:eastAsiaTheme="minorHAnsi"/>
          <w:lang w:eastAsia="en-US"/>
        </w:rPr>
        <w:t>ЦМИТам</w:t>
      </w:r>
      <w:proofErr w:type="spellEnd"/>
      <w:r w:rsidR="00F329A5">
        <w:rPr>
          <w:rFonts w:eastAsiaTheme="minorHAnsi"/>
          <w:lang w:eastAsia="en-US"/>
        </w:rPr>
        <w:t xml:space="preserve"> </w:t>
      </w:r>
      <w:r w:rsidR="00B91531">
        <w:rPr>
          <w:rFonts w:eastAsiaTheme="minorHAnsi"/>
          <w:lang w:eastAsia="en-US"/>
        </w:rPr>
        <w:t xml:space="preserve"> в размере 1 060 ед. </w:t>
      </w:r>
      <w:r w:rsidR="00F329A5">
        <w:rPr>
          <w:rFonts w:eastAsiaTheme="minorHAnsi"/>
          <w:lang w:eastAsia="en-US"/>
        </w:rPr>
        <w:t>(в план значение также не включ</w:t>
      </w:r>
      <w:r w:rsidR="00A7754E">
        <w:rPr>
          <w:rFonts w:eastAsiaTheme="minorHAnsi"/>
          <w:lang w:eastAsia="en-US"/>
        </w:rPr>
        <w:t>алось</w:t>
      </w:r>
      <w:r w:rsidR="00F329A5">
        <w:rPr>
          <w:rFonts w:eastAsiaTheme="minorHAnsi"/>
          <w:lang w:eastAsia="en-US"/>
        </w:rPr>
        <w:t>)</w:t>
      </w:r>
      <w:r w:rsidR="00B91531">
        <w:rPr>
          <w:rFonts w:eastAsiaTheme="minorHAnsi"/>
          <w:lang w:eastAsia="en-US"/>
        </w:rPr>
        <w:t xml:space="preserve"> и завышения показателя по мероприятию поддержки молодежного предпринимательства на 49 ед. (по дан</w:t>
      </w:r>
      <w:r w:rsidR="00185B61">
        <w:rPr>
          <w:rFonts w:eastAsiaTheme="minorHAnsi"/>
          <w:lang w:eastAsia="en-US"/>
        </w:rPr>
        <w:t xml:space="preserve">ным </w:t>
      </w:r>
      <w:proofErr w:type="spellStart"/>
      <w:r w:rsidR="00185B61">
        <w:rPr>
          <w:rFonts w:eastAsiaTheme="minorHAnsi"/>
          <w:lang w:eastAsia="en-US"/>
        </w:rPr>
        <w:t>Облкоммолодежи</w:t>
      </w:r>
      <w:proofErr w:type="spellEnd"/>
      <w:proofErr w:type="gramEnd"/>
      <w:r w:rsidR="00185B61">
        <w:rPr>
          <w:rFonts w:eastAsiaTheme="minorHAnsi"/>
          <w:lang w:eastAsia="en-US"/>
        </w:rPr>
        <w:t xml:space="preserve"> – </w:t>
      </w:r>
      <w:proofErr w:type="gramStart"/>
      <w:r w:rsidR="00185B61">
        <w:rPr>
          <w:rFonts w:eastAsiaTheme="minorHAnsi"/>
          <w:lang w:eastAsia="en-US"/>
        </w:rPr>
        <w:t>1 484 ед.);</w:t>
      </w:r>
      <w:proofErr w:type="gramEnd"/>
    </w:p>
    <w:p w:rsidR="00676F79" w:rsidRDefault="008B26E6" w:rsidP="008B26E6">
      <w:pPr>
        <w:autoSpaceDE w:val="0"/>
        <w:autoSpaceDN w:val="0"/>
        <w:adjustRightInd w:val="0"/>
        <w:ind w:firstLine="680"/>
        <w:jc w:val="both"/>
        <w:rPr>
          <w:rFonts w:eastAsia="Times New Roman"/>
          <w:bCs/>
          <w:color w:val="000000"/>
        </w:rPr>
      </w:pPr>
      <w:r w:rsidRPr="00784735">
        <w:rPr>
          <w:rFonts w:eastAsia="Times New Roman"/>
          <w:bCs/>
          <w:color w:val="000000"/>
        </w:rPr>
        <w:t>- «Количество физических лиц в возрасте до 30 лет (включительно), завершивших обучение по образовательным программам</w:t>
      </w:r>
      <w:r w:rsidR="00676F79">
        <w:rPr>
          <w:rFonts w:eastAsia="Times New Roman"/>
          <w:bCs/>
          <w:color w:val="000000"/>
        </w:rPr>
        <w:t>:</w:t>
      </w:r>
      <w:r w:rsidRPr="00A517D2">
        <w:rPr>
          <w:rFonts w:eastAsia="Times New Roman"/>
          <w:bCs/>
          <w:color w:val="000000"/>
        </w:rPr>
        <w:t xml:space="preserve"> по данным </w:t>
      </w:r>
      <w:proofErr w:type="spellStart"/>
      <w:r w:rsidRPr="00A517D2">
        <w:rPr>
          <w:rFonts w:eastAsia="Times New Roman"/>
          <w:bCs/>
          <w:color w:val="000000"/>
        </w:rPr>
        <w:t>Облкомэкономразвития</w:t>
      </w:r>
      <w:proofErr w:type="spellEnd"/>
      <w:r w:rsidRPr="00A517D2">
        <w:rPr>
          <w:rFonts w:eastAsia="Times New Roman"/>
          <w:bCs/>
          <w:color w:val="000000"/>
        </w:rPr>
        <w:t xml:space="preserve"> – </w:t>
      </w:r>
      <w:r>
        <w:rPr>
          <w:rFonts w:eastAsia="Times New Roman"/>
          <w:bCs/>
          <w:color w:val="000000"/>
        </w:rPr>
        <w:t>412</w:t>
      </w:r>
      <w:r w:rsidR="00676F79">
        <w:rPr>
          <w:rFonts w:eastAsia="Times New Roman"/>
          <w:bCs/>
          <w:color w:val="000000"/>
        </w:rPr>
        <w:t xml:space="preserve"> ед.</w:t>
      </w:r>
      <w:r w:rsidRPr="00A517D2">
        <w:rPr>
          <w:rFonts w:eastAsia="Times New Roman"/>
          <w:bCs/>
          <w:color w:val="000000"/>
        </w:rPr>
        <w:t>, по данным КСП –</w:t>
      </w:r>
      <w:r>
        <w:rPr>
          <w:rFonts w:eastAsia="Times New Roman"/>
          <w:bCs/>
          <w:color w:val="000000"/>
        </w:rPr>
        <w:t xml:space="preserve"> 424</w:t>
      </w:r>
      <w:r w:rsidR="00676F79">
        <w:rPr>
          <w:rFonts w:eastAsia="Times New Roman"/>
          <w:bCs/>
          <w:color w:val="000000"/>
        </w:rPr>
        <w:t xml:space="preserve"> ед.</w:t>
      </w:r>
      <w:r w:rsidR="00FC3BE1">
        <w:rPr>
          <w:rFonts w:eastAsia="Times New Roman"/>
          <w:bCs/>
          <w:color w:val="000000"/>
        </w:rPr>
        <w:t>,</w:t>
      </w:r>
      <w:r w:rsidR="00676F79">
        <w:rPr>
          <w:rFonts w:eastAsia="Times New Roman"/>
          <w:bCs/>
          <w:color w:val="000000"/>
        </w:rPr>
        <w:t xml:space="preserve"> за счет не включения информации по деятельности </w:t>
      </w:r>
      <w:proofErr w:type="spellStart"/>
      <w:r w:rsidR="00676F79">
        <w:rPr>
          <w:rFonts w:eastAsia="Times New Roman"/>
          <w:bCs/>
          <w:color w:val="000000"/>
        </w:rPr>
        <w:t>ЦМИТов</w:t>
      </w:r>
      <w:proofErr w:type="spellEnd"/>
      <w:r w:rsidR="00935A9B">
        <w:rPr>
          <w:rFonts w:eastAsia="Times New Roman"/>
          <w:bCs/>
          <w:color w:val="000000"/>
        </w:rPr>
        <w:t xml:space="preserve"> (в план также не</w:t>
      </w:r>
      <w:r w:rsidR="00D63031">
        <w:rPr>
          <w:rFonts w:eastAsia="Times New Roman"/>
          <w:bCs/>
          <w:color w:val="000000"/>
        </w:rPr>
        <w:t xml:space="preserve"> </w:t>
      </w:r>
      <w:r w:rsidR="00935A9B">
        <w:rPr>
          <w:rFonts w:eastAsia="Times New Roman"/>
          <w:bCs/>
          <w:color w:val="000000"/>
        </w:rPr>
        <w:t>включено)</w:t>
      </w:r>
      <w:r w:rsidR="00676F79">
        <w:rPr>
          <w:rFonts w:eastAsia="Times New Roman"/>
          <w:bCs/>
          <w:color w:val="000000"/>
        </w:rPr>
        <w:t>.</w:t>
      </w:r>
    </w:p>
    <w:p w:rsidR="00442536" w:rsidRDefault="003F0CBE" w:rsidP="00442536">
      <w:pPr>
        <w:autoSpaceDE w:val="0"/>
        <w:autoSpaceDN w:val="0"/>
        <w:adjustRightInd w:val="0"/>
        <w:ind w:firstLine="680"/>
        <w:jc w:val="both"/>
        <w:rPr>
          <w:rFonts w:eastAsia="Times New Roman"/>
          <w:bCs/>
          <w:color w:val="000000"/>
        </w:rPr>
      </w:pPr>
      <w:r>
        <w:rPr>
          <w:rFonts w:eastAsia="Times New Roman"/>
          <w:bCs/>
          <w:color w:val="000000"/>
        </w:rPr>
        <w:t>Кроме того, в</w:t>
      </w:r>
      <w:r w:rsidR="001A791E">
        <w:rPr>
          <w:rFonts w:eastAsia="Times New Roman"/>
          <w:bCs/>
          <w:color w:val="000000"/>
        </w:rPr>
        <w:t xml:space="preserve"> 2017 году в плановые значения показателей «количество СМСП, получивших господдержку» и «количество вновь созданных рабочих мест…»</w:t>
      </w:r>
      <w:r w:rsidR="00002548">
        <w:rPr>
          <w:rFonts w:eastAsia="Times New Roman"/>
          <w:bCs/>
          <w:color w:val="000000"/>
        </w:rPr>
        <w:t xml:space="preserve"> не включены значения </w:t>
      </w:r>
      <w:r w:rsidR="00002548" w:rsidRPr="00784735">
        <w:rPr>
          <w:rFonts w:eastAsia="Times New Roman"/>
          <w:bCs/>
          <w:color w:val="000000"/>
        </w:rPr>
        <w:t>Гарантийно</w:t>
      </w:r>
      <w:r w:rsidR="00002548">
        <w:rPr>
          <w:rFonts w:eastAsia="Times New Roman"/>
          <w:bCs/>
          <w:color w:val="000000"/>
        </w:rPr>
        <w:t>го фонда и</w:t>
      </w:r>
      <w:r w:rsidR="00002548" w:rsidRPr="00784735">
        <w:rPr>
          <w:rFonts w:eastAsia="Times New Roman"/>
          <w:bCs/>
          <w:color w:val="000000"/>
        </w:rPr>
        <w:t xml:space="preserve"> Микрофинансово</w:t>
      </w:r>
      <w:r w:rsidR="00002548">
        <w:rPr>
          <w:rFonts w:eastAsia="Times New Roman"/>
          <w:bCs/>
          <w:color w:val="000000"/>
        </w:rPr>
        <w:t>го центра</w:t>
      </w:r>
      <w:r w:rsidR="004C0B05">
        <w:rPr>
          <w:rFonts w:eastAsia="Times New Roman"/>
          <w:bCs/>
          <w:color w:val="000000"/>
        </w:rPr>
        <w:t xml:space="preserve">, в 2016 году по показателю созданных рабочих мест – значения </w:t>
      </w:r>
      <w:r w:rsidR="004C0B05" w:rsidRPr="00784735">
        <w:rPr>
          <w:rFonts w:eastAsia="Times New Roman"/>
          <w:bCs/>
          <w:color w:val="000000"/>
        </w:rPr>
        <w:t>Гарантийного фонда</w:t>
      </w:r>
      <w:r w:rsidR="004C0B05">
        <w:rPr>
          <w:rFonts w:eastAsia="Times New Roman"/>
          <w:bCs/>
          <w:color w:val="000000"/>
        </w:rPr>
        <w:t>,</w:t>
      </w:r>
      <w:r w:rsidR="004C0B05" w:rsidRPr="00784735">
        <w:rPr>
          <w:rFonts w:eastAsia="Times New Roman"/>
          <w:bCs/>
          <w:color w:val="000000"/>
        </w:rPr>
        <w:t xml:space="preserve"> Микрофинансового центра</w:t>
      </w:r>
      <w:r w:rsidR="004C0B05">
        <w:rPr>
          <w:rFonts w:eastAsia="Times New Roman"/>
          <w:bCs/>
          <w:color w:val="000000"/>
        </w:rPr>
        <w:t xml:space="preserve"> и </w:t>
      </w:r>
      <w:r w:rsidR="00B0396D">
        <w:rPr>
          <w:rFonts w:eastAsia="Times New Roman"/>
          <w:bCs/>
          <w:color w:val="000000"/>
        </w:rPr>
        <w:t xml:space="preserve">ГАУ </w:t>
      </w:r>
      <w:r w:rsidR="004C0B05" w:rsidRPr="00784735">
        <w:rPr>
          <w:rFonts w:eastAsia="Times New Roman"/>
          <w:bCs/>
          <w:color w:val="000000"/>
        </w:rPr>
        <w:t>Бизнес-инкубатор</w:t>
      </w:r>
      <w:r w:rsidR="004C0B05">
        <w:rPr>
          <w:rFonts w:eastAsia="Times New Roman"/>
          <w:bCs/>
          <w:color w:val="000000"/>
        </w:rPr>
        <w:t xml:space="preserve"> (по имущественной поддержке)</w:t>
      </w:r>
      <w:r w:rsidR="00CF4F98">
        <w:rPr>
          <w:rFonts w:eastAsia="Times New Roman"/>
          <w:bCs/>
          <w:color w:val="000000"/>
        </w:rPr>
        <w:t xml:space="preserve">. </w:t>
      </w:r>
      <w:r w:rsidR="00002548" w:rsidRPr="00784735">
        <w:rPr>
          <w:rFonts w:eastAsia="Times New Roman"/>
          <w:bCs/>
          <w:color w:val="000000"/>
        </w:rPr>
        <w:t>При этом фактические значения показател</w:t>
      </w:r>
      <w:r w:rsidR="00002548">
        <w:rPr>
          <w:rFonts w:eastAsia="Times New Roman"/>
          <w:bCs/>
          <w:color w:val="000000"/>
        </w:rPr>
        <w:t>ей</w:t>
      </w:r>
      <w:r w:rsidR="00002548" w:rsidRPr="00784735">
        <w:rPr>
          <w:rFonts w:eastAsia="Times New Roman"/>
          <w:bCs/>
          <w:color w:val="000000"/>
        </w:rPr>
        <w:t xml:space="preserve"> формировал</w:t>
      </w:r>
      <w:r w:rsidR="006C6737">
        <w:rPr>
          <w:rFonts w:eastAsia="Times New Roman"/>
          <w:bCs/>
          <w:color w:val="000000"/>
        </w:rPr>
        <w:t>и</w:t>
      </w:r>
      <w:r w:rsidR="00002548" w:rsidRPr="00784735">
        <w:rPr>
          <w:rFonts w:eastAsia="Times New Roman"/>
          <w:bCs/>
          <w:color w:val="000000"/>
        </w:rPr>
        <w:t xml:space="preserve">сь с учетом деятельности </w:t>
      </w:r>
      <w:r w:rsidR="00002548">
        <w:rPr>
          <w:rFonts w:eastAsia="Times New Roman"/>
          <w:bCs/>
          <w:color w:val="000000"/>
        </w:rPr>
        <w:t>названных субъектов инфраструктуры</w:t>
      </w:r>
      <w:r w:rsidR="003759A5">
        <w:rPr>
          <w:rFonts w:eastAsia="Times New Roman"/>
          <w:bCs/>
          <w:color w:val="000000"/>
        </w:rPr>
        <w:t xml:space="preserve">, в результате </w:t>
      </w:r>
      <w:r w:rsidR="006C6737">
        <w:rPr>
          <w:rFonts w:eastAsia="Times New Roman"/>
          <w:bCs/>
          <w:color w:val="000000"/>
        </w:rPr>
        <w:t xml:space="preserve"> исполнение показателей в целом завышено.</w:t>
      </w:r>
      <w:r w:rsidR="003759A5" w:rsidRPr="00784735">
        <w:rPr>
          <w:rFonts w:eastAsia="Times New Roman"/>
          <w:bCs/>
          <w:color w:val="000000"/>
        </w:rPr>
        <w:t xml:space="preserve"> </w:t>
      </w:r>
    </w:p>
    <w:p w:rsidR="00AC4FAC" w:rsidRDefault="00C80701" w:rsidP="00442536">
      <w:pPr>
        <w:autoSpaceDE w:val="0"/>
        <w:autoSpaceDN w:val="0"/>
        <w:adjustRightInd w:val="0"/>
        <w:ind w:firstLine="680"/>
        <w:jc w:val="both"/>
        <w:rPr>
          <w:rFonts w:eastAsia="Times New Roman"/>
          <w:bCs/>
          <w:color w:val="000000"/>
        </w:rPr>
      </w:pPr>
      <w:r>
        <w:rPr>
          <w:rFonts w:eastAsia="Times New Roman"/>
          <w:bCs/>
          <w:color w:val="000000"/>
        </w:rPr>
        <w:t>Таким образом, вышеприведенные показатели формировались не по всем мероприятиям Подпрограммы</w:t>
      </w:r>
      <w:r w:rsidR="00AC4FAC">
        <w:rPr>
          <w:rFonts w:eastAsia="Times New Roman"/>
          <w:bCs/>
          <w:color w:val="000000"/>
        </w:rPr>
        <w:t>, что не отражает реальной картины эффективности их реализации.</w:t>
      </w:r>
    </w:p>
    <w:p w:rsidR="0026456E" w:rsidRDefault="0026456E" w:rsidP="0026456E">
      <w:pPr>
        <w:autoSpaceDE w:val="0"/>
        <w:autoSpaceDN w:val="0"/>
        <w:adjustRightInd w:val="0"/>
        <w:ind w:firstLine="680"/>
        <w:jc w:val="both"/>
      </w:pPr>
      <w:r w:rsidRPr="009A6620">
        <w:rPr>
          <w:rFonts w:eastAsiaTheme="minorHAnsi"/>
          <w:iCs/>
          <w:lang w:eastAsia="en-US"/>
        </w:rPr>
        <w:t xml:space="preserve">Кроме </w:t>
      </w:r>
      <w:r w:rsidR="008D75E5">
        <w:rPr>
          <w:rFonts w:eastAsiaTheme="minorHAnsi"/>
          <w:iCs/>
          <w:lang w:eastAsia="en-US"/>
        </w:rPr>
        <w:t>приложения с целевыми показателями («Перечень целевых показателей государственной программы…»)</w:t>
      </w:r>
      <w:r w:rsidRPr="009A6620">
        <w:rPr>
          <w:rFonts w:eastAsiaTheme="minorHAnsi"/>
          <w:iCs/>
          <w:lang w:eastAsia="en-US"/>
        </w:rPr>
        <w:t xml:space="preserve"> госпрограммы</w:t>
      </w:r>
      <w:r>
        <w:rPr>
          <w:rFonts w:eastAsiaTheme="minorHAnsi"/>
          <w:iCs/>
          <w:lang w:eastAsia="en-US"/>
        </w:rPr>
        <w:t xml:space="preserve"> </w:t>
      </w:r>
      <w:r w:rsidRPr="009A6620">
        <w:rPr>
          <w:rFonts w:eastAsiaTheme="minorHAnsi"/>
          <w:iCs/>
          <w:lang w:eastAsia="en-US"/>
        </w:rPr>
        <w:t>содержат</w:t>
      </w:r>
      <w:r>
        <w:rPr>
          <w:rFonts w:eastAsiaTheme="minorHAnsi"/>
          <w:iCs/>
          <w:lang w:eastAsia="en-US"/>
        </w:rPr>
        <w:t xml:space="preserve"> отдельное </w:t>
      </w:r>
      <w:r w:rsidRPr="009A6620">
        <w:rPr>
          <w:rFonts w:eastAsiaTheme="minorHAnsi"/>
          <w:iCs/>
          <w:lang w:eastAsia="en-US"/>
        </w:rPr>
        <w:t xml:space="preserve">приложение </w:t>
      </w:r>
      <w:r>
        <w:t>«Сведения об индивидуальных</w:t>
      </w:r>
      <w:r w:rsidRPr="00CA0BA5">
        <w:t xml:space="preserve"> </w:t>
      </w:r>
      <w:r w:rsidRPr="00DB3765">
        <w:t>показател</w:t>
      </w:r>
      <w:r w:rsidR="002A37A7">
        <w:t>ях</w:t>
      </w:r>
      <w:r w:rsidRPr="00DB3765">
        <w:t xml:space="preserve"> результативности использования средств федерального бюджета, выделяемых на реализацию </w:t>
      </w:r>
      <w:r>
        <w:t xml:space="preserve">мероприятий </w:t>
      </w:r>
      <w:r w:rsidRPr="00DB3765">
        <w:t>Подпрограммы</w:t>
      </w:r>
      <w:r>
        <w:t>…», в которые включены показатели результативности исполнения мероприятий, предусмотренные Соглашениями с Минэкономразвития РФ о предоставлении субсидий.</w:t>
      </w:r>
      <w:r w:rsidRPr="0026456E">
        <w:t xml:space="preserve"> </w:t>
      </w:r>
      <w:r>
        <w:t>В</w:t>
      </w:r>
      <w:r w:rsidRPr="00CE0CB7">
        <w:t xml:space="preserve"> 2015-2016 годах значения </w:t>
      </w:r>
      <w:r w:rsidR="008D75E5">
        <w:t xml:space="preserve">индивидуальных </w:t>
      </w:r>
      <w:r w:rsidRPr="00CE0CB7">
        <w:t>показателей формировались только в части средств федерального бюджета,  а в 2017 году – в части  средств федерального бюджета с учетом софинансирования из областного бюджета.</w:t>
      </w:r>
    </w:p>
    <w:p w:rsidR="001447E1" w:rsidRDefault="0026456E" w:rsidP="001447E1">
      <w:pPr>
        <w:autoSpaceDE w:val="0"/>
        <w:autoSpaceDN w:val="0"/>
        <w:adjustRightInd w:val="0"/>
        <w:ind w:firstLine="680"/>
        <w:jc w:val="both"/>
        <w:rPr>
          <w:rFonts w:eastAsia="Times New Roman"/>
          <w:bCs/>
          <w:color w:val="000000"/>
        </w:rPr>
      </w:pPr>
      <w:r>
        <w:rPr>
          <w:rFonts w:eastAsia="Times New Roman"/>
          <w:bCs/>
          <w:color w:val="000000"/>
        </w:rPr>
        <w:t>Проверкой установлено, что</w:t>
      </w:r>
      <w:r w:rsidR="00A858B9" w:rsidRPr="00A858B9">
        <w:rPr>
          <w:rFonts w:eastAsia="Times New Roman"/>
          <w:bCs/>
          <w:color w:val="000000"/>
        </w:rPr>
        <w:t xml:space="preserve"> </w:t>
      </w:r>
      <w:r w:rsidR="00A858B9">
        <w:rPr>
          <w:rFonts w:eastAsia="Times New Roman"/>
          <w:bCs/>
          <w:color w:val="000000"/>
        </w:rPr>
        <w:t xml:space="preserve">в то время как </w:t>
      </w:r>
      <w:r w:rsidR="00A858B9" w:rsidRPr="00A42EAE">
        <w:rPr>
          <w:rFonts w:eastAsia="Times New Roman"/>
          <w:bCs/>
          <w:color w:val="000000"/>
        </w:rPr>
        <w:t>наибольшую долю от общего объема финансирования</w:t>
      </w:r>
      <w:r w:rsidR="00A858B9">
        <w:rPr>
          <w:rFonts w:eastAsia="Times New Roman"/>
          <w:bCs/>
          <w:color w:val="000000"/>
        </w:rPr>
        <w:t xml:space="preserve"> подпрограммы составляют средства федерального бюджета</w:t>
      </w:r>
      <w:r w:rsidR="00301026">
        <w:rPr>
          <w:rFonts w:eastAsia="Times New Roman"/>
          <w:bCs/>
          <w:color w:val="000000"/>
        </w:rPr>
        <w:t>,</w:t>
      </w:r>
      <w:r w:rsidR="00A858B9">
        <w:rPr>
          <w:rFonts w:eastAsia="Times New Roman"/>
          <w:bCs/>
          <w:color w:val="000000"/>
        </w:rPr>
        <w:t xml:space="preserve"> п</w:t>
      </w:r>
      <w:r w:rsidR="0001579D">
        <w:rPr>
          <w:rFonts w:eastAsia="Times New Roman"/>
          <w:bCs/>
          <w:color w:val="000000"/>
        </w:rPr>
        <w:t xml:space="preserve">ри </w:t>
      </w:r>
      <w:r w:rsidR="00A858B9">
        <w:rPr>
          <w:rFonts w:eastAsia="Times New Roman"/>
          <w:bCs/>
          <w:color w:val="000000"/>
        </w:rPr>
        <w:t xml:space="preserve">оценке </w:t>
      </w:r>
      <w:r w:rsidR="0001579D">
        <w:rPr>
          <w:rFonts w:eastAsia="Times New Roman"/>
          <w:bCs/>
          <w:color w:val="000000"/>
        </w:rPr>
        <w:t xml:space="preserve"> </w:t>
      </w:r>
      <w:r w:rsidR="00301026">
        <w:rPr>
          <w:rFonts w:eastAsia="Times New Roman"/>
          <w:bCs/>
          <w:color w:val="000000"/>
        </w:rPr>
        <w:t xml:space="preserve"> </w:t>
      </w:r>
      <w:r w:rsidR="0001579D">
        <w:rPr>
          <w:rFonts w:eastAsia="Times New Roman"/>
          <w:bCs/>
          <w:color w:val="000000"/>
        </w:rPr>
        <w:t>эффективности</w:t>
      </w:r>
      <w:r w:rsidR="00301026">
        <w:rPr>
          <w:rFonts w:eastAsia="Times New Roman"/>
          <w:bCs/>
          <w:color w:val="000000"/>
        </w:rPr>
        <w:t xml:space="preserve"> ее</w:t>
      </w:r>
      <w:r w:rsidR="0001579D">
        <w:rPr>
          <w:rFonts w:eastAsia="Times New Roman"/>
          <w:bCs/>
          <w:color w:val="000000"/>
        </w:rPr>
        <w:t xml:space="preserve"> </w:t>
      </w:r>
      <w:r w:rsidR="00301026">
        <w:rPr>
          <w:rFonts w:eastAsia="Times New Roman"/>
          <w:bCs/>
          <w:color w:val="000000"/>
        </w:rPr>
        <w:t xml:space="preserve">реализации </w:t>
      </w:r>
      <w:r w:rsidR="0001579D">
        <w:rPr>
          <w:rFonts w:eastAsia="Times New Roman"/>
          <w:bCs/>
          <w:color w:val="000000"/>
        </w:rPr>
        <w:t>достижение индивидуальных показателей никак не учит</w:t>
      </w:r>
      <w:r w:rsidR="00A858B9">
        <w:rPr>
          <w:rFonts w:eastAsia="Times New Roman"/>
          <w:bCs/>
          <w:color w:val="000000"/>
        </w:rPr>
        <w:t>ы</w:t>
      </w:r>
      <w:r w:rsidR="0001579D">
        <w:rPr>
          <w:rFonts w:eastAsia="Times New Roman"/>
          <w:bCs/>
          <w:color w:val="000000"/>
        </w:rPr>
        <w:t>вается</w:t>
      </w:r>
      <w:r w:rsidR="00A858B9">
        <w:rPr>
          <w:rFonts w:eastAsia="Times New Roman"/>
          <w:bCs/>
          <w:color w:val="000000"/>
        </w:rPr>
        <w:t>,</w:t>
      </w:r>
      <w:r w:rsidR="0001579D">
        <w:rPr>
          <w:rFonts w:eastAsia="Times New Roman"/>
          <w:bCs/>
          <w:color w:val="000000"/>
        </w:rPr>
        <w:t xml:space="preserve"> </w:t>
      </w:r>
      <w:r w:rsidR="00A858B9" w:rsidRPr="0026456E">
        <w:rPr>
          <w:rFonts w:eastAsia="Times New Roman"/>
          <w:bCs/>
          <w:color w:val="000000"/>
        </w:rPr>
        <w:t>так как Порядком разработки госпрограмм это не предусмотрено</w:t>
      </w:r>
      <w:r w:rsidR="00A858B9">
        <w:rPr>
          <w:rFonts w:eastAsia="Times New Roman"/>
          <w:bCs/>
          <w:color w:val="000000"/>
        </w:rPr>
        <w:t>.</w:t>
      </w:r>
      <w:r w:rsidR="00301026">
        <w:rPr>
          <w:rFonts w:eastAsia="Times New Roman"/>
          <w:bCs/>
          <w:color w:val="000000"/>
        </w:rPr>
        <w:t xml:space="preserve"> </w:t>
      </w:r>
    </w:p>
    <w:p w:rsidR="001447E1" w:rsidRDefault="00F43A58" w:rsidP="001447E1">
      <w:pPr>
        <w:autoSpaceDE w:val="0"/>
        <w:autoSpaceDN w:val="0"/>
        <w:adjustRightInd w:val="0"/>
        <w:ind w:firstLine="680"/>
        <w:jc w:val="both"/>
        <w:rPr>
          <w:rFonts w:eastAsia="Times New Roman"/>
          <w:bCs/>
          <w:color w:val="000000"/>
        </w:rPr>
      </w:pPr>
      <w:r>
        <w:rPr>
          <w:rFonts w:eastAsia="Times New Roman"/>
          <w:bCs/>
          <w:color w:val="000000"/>
        </w:rPr>
        <w:t xml:space="preserve"> Следует отметить, что </w:t>
      </w:r>
      <w:r w:rsidR="00301026">
        <w:rPr>
          <w:rFonts w:eastAsia="Times New Roman"/>
          <w:bCs/>
          <w:color w:val="000000"/>
        </w:rPr>
        <w:t xml:space="preserve">не все индивидуальные показатели включены в состав целевых показателей </w:t>
      </w:r>
      <w:r w:rsidR="00301026" w:rsidRPr="0026456E">
        <w:rPr>
          <w:rFonts w:eastAsia="Times New Roman"/>
          <w:bCs/>
          <w:color w:val="000000"/>
        </w:rPr>
        <w:t>(</w:t>
      </w:r>
      <w:r w:rsidR="00301026" w:rsidRPr="0026456E">
        <w:t xml:space="preserve">например, </w:t>
      </w:r>
      <w:r w:rsidR="001447E1">
        <w:t xml:space="preserve">индивидуальные </w:t>
      </w:r>
      <w:r w:rsidR="00301026" w:rsidRPr="0026456E">
        <w:t>показател</w:t>
      </w:r>
      <w:r w:rsidR="001447E1">
        <w:t>и</w:t>
      </w:r>
      <w:r w:rsidR="00301026" w:rsidRPr="0026456E">
        <w:t xml:space="preserve"> «прирост среднесписочной численности рабо</w:t>
      </w:r>
      <w:r w:rsidR="00BB3810">
        <w:t>тников…получивших господдержку»</w:t>
      </w:r>
      <w:r w:rsidR="00301026" w:rsidRPr="0026456E">
        <w:rPr>
          <w:rFonts w:eastAsia="Times New Roman"/>
          <w:bCs/>
          <w:color w:val="000000"/>
        </w:rPr>
        <w:t>)</w:t>
      </w:r>
      <w:r>
        <w:rPr>
          <w:rFonts w:eastAsia="Times New Roman"/>
          <w:bCs/>
          <w:color w:val="000000"/>
        </w:rPr>
        <w:t>.</w:t>
      </w:r>
      <w:r w:rsidR="001447E1">
        <w:rPr>
          <w:rFonts w:eastAsia="Times New Roman"/>
          <w:bCs/>
          <w:color w:val="000000"/>
        </w:rPr>
        <w:t xml:space="preserve"> </w:t>
      </w:r>
      <w:r>
        <w:rPr>
          <w:rFonts w:eastAsia="Times New Roman"/>
          <w:bCs/>
          <w:color w:val="000000"/>
        </w:rPr>
        <w:t>К</w:t>
      </w:r>
      <w:r w:rsidR="001447E1">
        <w:rPr>
          <w:rFonts w:eastAsia="Times New Roman"/>
          <w:bCs/>
          <w:color w:val="000000"/>
        </w:rPr>
        <w:t>роме того, подходы к формированию идентичных показателей различны (например, по показателю «д</w:t>
      </w:r>
      <w:r w:rsidR="001447E1" w:rsidRPr="001447E1">
        <w:rPr>
          <w:rFonts w:eastAsia="Times New Roman"/>
          <w:bCs/>
          <w:color w:val="000000"/>
        </w:rPr>
        <w:t>оля обрабатывающей промышленности в обороте субъектов малого и среднего предпринимательства</w:t>
      </w:r>
      <w:r w:rsidR="001447E1">
        <w:rPr>
          <w:rFonts w:eastAsia="Times New Roman"/>
          <w:bCs/>
          <w:color w:val="000000"/>
        </w:rPr>
        <w:t xml:space="preserve">…» в составе </w:t>
      </w:r>
      <w:r w:rsidR="001447E1">
        <w:rPr>
          <w:rFonts w:eastAsia="Times New Roman"/>
          <w:bCs/>
          <w:color w:val="000000"/>
        </w:rPr>
        <w:lastRenderedPageBreak/>
        <w:t xml:space="preserve">целевых </w:t>
      </w:r>
      <w:r w:rsidR="001447E1" w:rsidRPr="0026456E">
        <w:t>указывается общий статистический показатель деятельности СМСП Волгоградской области</w:t>
      </w:r>
      <w:r w:rsidR="001447E1">
        <w:t xml:space="preserve">, а индивидуальный показатель </w:t>
      </w:r>
      <w:r w:rsidR="001447E1" w:rsidRPr="0026456E">
        <w:rPr>
          <w:rFonts w:eastAsia="Times New Roman"/>
          <w:bCs/>
          <w:color w:val="000000"/>
        </w:rPr>
        <w:t>формируется в отношении СМСП, получивших господдержку, и</w:t>
      </w:r>
      <w:r w:rsidR="001447E1">
        <w:rPr>
          <w:rFonts w:eastAsia="Times New Roman"/>
          <w:bCs/>
          <w:color w:val="000000"/>
        </w:rPr>
        <w:t xml:space="preserve"> лучше отражает ситуацию о результатах предоставления господдержки).</w:t>
      </w:r>
    </w:p>
    <w:p w:rsidR="005E0DEC" w:rsidRDefault="00A047E8" w:rsidP="0026456E">
      <w:pPr>
        <w:autoSpaceDE w:val="0"/>
        <w:autoSpaceDN w:val="0"/>
        <w:adjustRightInd w:val="0"/>
        <w:ind w:firstLine="680"/>
        <w:jc w:val="both"/>
      </w:pPr>
      <w:r>
        <w:t>Вышеприведенная несогласованность между показателями влияет на оценку эффективности госпрограммы</w:t>
      </w:r>
      <w:r w:rsidR="005E0DEC">
        <w:t>.</w:t>
      </w:r>
    </w:p>
    <w:p w:rsidR="0026456E" w:rsidRDefault="0026456E" w:rsidP="0026456E">
      <w:pPr>
        <w:autoSpaceDE w:val="0"/>
        <w:autoSpaceDN w:val="0"/>
        <w:adjustRightInd w:val="0"/>
        <w:ind w:firstLine="680"/>
        <w:jc w:val="both"/>
      </w:pPr>
      <w:r w:rsidRPr="007E5CCD">
        <w:t xml:space="preserve">Информация об исполнении индивидуальных показателей </w:t>
      </w:r>
      <w:r w:rsidRPr="00CE0CB7">
        <w:rPr>
          <w:rFonts w:eastAsia="Times New Roman"/>
          <w:bCs/>
          <w:iCs/>
        </w:rPr>
        <w:t xml:space="preserve">результативности использования  средств федерального бюджета, приведена в </w:t>
      </w:r>
      <w:r w:rsidRPr="00CE0CB7">
        <w:t>приложени</w:t>
      </w:r>
      <w:r>
        <w:t>ях</w:t>
      </w:r>
      <w:r w:rsidRPr="00CE0CB7">
        <w:t xml:space="preserve"> № </w:t>
      </w:r>
      <w:r w:rsidR="003A314B">
        <w:t>4</w:t>
      </w:r>
      <w:r w:rsidRPr="00CE0CB7">
        <w:t xml:space="preserve"> </w:t>
      </w:r>
      <w:r>
        <w:t xml:space="preserve">и № </w:t>
      </w:r>
      <w:r w:rsidR="003A314B">
        <w:t>5</w:t>
      </w:r>
      <w:r>
        <w:t xml:space="preserve"> </w:t>
      </w:r>
      <w:r w:rsidRPr="00CE0CB7">
        <w:t>к настоящему отчету</w:t>
      </w:r>
      <w:r>
        <w:t>.</w:t>
      </w:r>
      <w:r w:rsidRPr="00CE0CB7">
        <w:t xml:space="preserve"> </w:t>
      </w:r>
      <w:r w:rsidRPr="000E09E6">
        <w:t>С учетом переноса сроков достижения показателей согласно условиям Соглашений с Минэкономразвития РФ</w:t>
      </w:r>
      <w:r>
        <w:t>, о чем упоминалось выше,</w:t>
      </w:r>
      <w:r w:rsidRPr="000E09E6">
        <w:t xml:space="preserve"> обеспечено достижение всех индивидуальных показателей (</w:t>
      </w:r>
      <w:r w:rsidRPr="00322B0E">
        <w:t>больш</w:t>
      </w:r>
      <w:r>
        <w:t>инство показателей перевыполнено</w:t>
      </w:r>
      <w:r w:rsidRPr="00322B0E">
        <w:t>).</w:t>
      </w:r>
    </w:p>
    <w:p w:rsidR="0026456E" w:rsidRDefault="0026456E" w:rsidP="0026456E">
      <w:pPr>
        <w:autoSpaceDE w:val="0"/>
        <w:autoSpaceDN w:val="0"/>
        <w:adjustRightInd w:val="0"/>
        <w:ind w:firstLine="680"/>
        <w:jc w:val="both"/>
      </w:pPr>
    </w:p>
    <w:p w:rsidR="000164FE" w:rsidRDefault="000164FE" w:rsidP="000164FE">
      <w:pPr>
        <w:autoSpaceDE w:val="0"/>
        <w:autoSpaceDN w:val="0"/>
        <w:adjustRightInd w:val="0"/>
        <w:ind w:firstLine="680"/>
        <w:jc w:val="both"/>
      </w:pPr>
      <w:proofErr w:type="gramStart"/>
      <w:r w:rsidRPr="000B5A94">
        <w:rPr>
          <w:rFonts w:eastAsiaTheme="minorHAnsi"/>
          <w:lang w:eastAsia="en-US"/>
        </w:rPr>
        <w:t xml:space="preserve">Следует отметить, что согласно разделу 6 «Требования к оценке эффективности реализации государственной программы» </w:t>
      </w:r>
      <w:r w:rsidRPr="000B5A94">
        <w:rPr>
          <w:rFonts w:eastAsia="Times New Roman"/>
        </w:rPr>
        <w:t>Поряд</w:t>
      </w:r>
      <w:r w:rsidR="00CF3907" w:rsidRPr="000B5A94">
        <w:rPr>
          <w:rFonts w:eastAsia="Times New Roman"/>
        </w:rPr>
        <w:t>ка</w:t>
      </w:r>
      <w:r w:rsidRPr="000B5A94">
        <w:rPr>
          <w:rFonts w:eastAsia="Times New Roman"/>
        </w:rPr>
        <w:t xml:space="preserve"> разработки госпрограмм, при определении эффективности реализации госпрограммы оценивается степень </w:t>
      </w:r>
      <w:r w:rsidRPr="000B5A94">
        <w:rPr>
          <w:rFonts w:eastAsiaTheme="minorHAnsi"/>
          <w:lang w:eastAsia="en-US"/>
        </w:rPr>
        <w:t>соответствия запланированному уровню затрат путем соотнесения фактических расходов (под которыми подразумевается кассовое  исполнение областного бюджета по состоянию на 31 декабря отчетного года) на реализацию подпрограммы к плановым расходам.</w:t>
      </w:r>
      <w:proofErr w:type="gramEnd"/>
      <w:r w:rsidRPr="000B5A94">
        <w:rPr>
          <w:rFonts w:eastAsiaTheme="minorHAnsi"/>
          <w:lang w:eastAsia="en-US"/>
        </w:rPr>
        <w:t xml:space="preserve"> Как правило, этот показатель приближен к 100% (например, по госпрограмме 2017 года составил 99,78%). Вместе с тем бюджетные расходы осуществляются путем предоставления субсидий организациям, </w:t>
      </w:r>
      <w:r w:rsidRPr="000B5A94">
        <w:t xml:space="preserve">образующим инфраструктуру поддержки СМСП, в свою очередь у которых эти средства в полном объеме не используются и имеются значительные остатки на счетах (информация описана </w:t>
      </w:r>
      <w:r w:rsidR="00FD2973" w:rsidRPr="000B5A94">
        <w:t>выше</w:t>
      </w:r>
      <w:r w:rsidRPr="000B5A94">
        <w:t>). В результате показатель степени соответствия запланированному уровню затрат в действительности складывается значительно ниже, что соответственно влияет на оценку эффективности госпрограммы.</w:t>
      </w:r>
    </w:p>
    <w:p w:rsidR="005327A6" w:rsidRPr="005327A6" w:rsidRDefault="00221395" w:rsidP="005327A6">
      <w:pPr>
        <w:autoSpaceDE w:val="0"/>
        <w:autoSpaceDN w:val="0"/>
        <w:adjustRightInd w:val="0"/>
        <w:ind w:firstLine="680"/>
        <w:jc w:val="both"/>
        <w:rPr>
          <w:rFonts w:eastAsiaTheme="minorHAnsi"/>
          <w:i/>
          <w:lang w:eastAsia="en-US"/>
        </w:rPr>
      </w:pPr>
      <w:proofErr w:type="gramStart"/>
      <w:r w:rsidRPr="00221395">
        <w:rPr>
          <w:i/>
        </w:rPr>
        <w:t xml:space="preserve">На основании вышеизложенного можно сделать вывод, что </w:t>
      </w:r>
      <w:r w:rsidRPr="00221395">
        <w:rPr>
          <w:rFonts w:eastAsiaTheme="minorHAnsi"/>
          <w:i/>
          <w:lang w:eastAsia="en-US"/>
        </w:rPr>
        <w:t xml:space="preserve">цель Подпрограммы Госпрограммы № 696-п в виде обеспечения устойчивого развития малого и среднего предпринимательства в Волгоградской области достигнута не полностью, так как 42,9% показателей </w:t>
      </w:r>
      <w:r w:rsidR="005327A6">
        <w:rPr>
          <w:rFonts w:eastAsiaTheme="minorHAnsi"/>
          <w:i/>
          <w:lang w:eastAsia="en-US"/>
        </w:rPr>
        <w:t>н</w:t>
      </w:r>
      <w:r w:rsidRPr="00221395">
        <w:rPr>
          <w:rFonts w:eastAsiaTheme="minorHAnsi"/>
          <w:i/>
          <w:lang w:eastAsia="en-US"/>
        </w:rPr>
        <w:t>е выполнены на последний год реализации Госпрограммы № 696-п.</w:t>
      </w:r>
      <w:proofErr w:type="gramEnd"/>
      <w:r w:rsidR="005327A6">
        <w:rPr>
          <w:rFonts w:eastAsiaTheme="minorHAnsi"/>
          <w:i/>
          <w:lang w:eastAsia="en-US"/>
        </w:rPr>
        <w:t xml:space="preserve"> Не в полной мере решены задачи </w:t>
      </w:r>
      <w:r w:rsidR="005327A6" w:rsidRPr="005327A6">
        <w:rPr>
          <w:rFonts w:eastAsiaTheme="minorHAnsi"/>
          <w:i/>
          <w:lang w:eastAsia="en-US"/>
        </w:rPr>
        <w:t>по повышению эффективности инфраструктуры поддержки малого и среднего предпринимательства (в части имущественной поддержки по ГАУ Бизнес-инкубатор), развитию малого и среднего предпринимательства в муниципальных образованиях (в 2015-2016 года</w:t>
      </w:r>
      <w:r w:rsidR="00155777">
        <w:rPr>
          <w:rFonts w:eastAsiaTheme="minorHAnsi"/>
          <w:i/>
          <w:lang w:eastAsia="en-US"/>
        </w:rPr>
        <w:t>х</w:t>
      </w:r>
      <w:r w:rsidR="005327A6" w:rsidRPr="005327A6">
        <w:rPr>
          <w:rFonts w:eastAsiaTheme="minorHAnsi"/>
          <w:i/>
          <w:lang w:eastAsia="en-US"/>
        </w:rPr>
        <w:t>).</w:t>
      </w:r>
    </w:p>
    <w:p w:rsidR="00CF1468" w:rsidRDefault="005327A6" w:rsidP="00CF1468">
      <w:pPr>
        <w:autoSpaceDE w:val="0"/>
        <w:autoSpaceDN w:val="0"/>
        <w:adjustRightInd w:val="0"/>
        <w:ind w:firstLine="680"/>
        <w:jc w:val="both"/>
        <w:rPr>
          <w:rFonts w:eastAsiaTheme="minorHAnsi"/>
          <w:i/>
          <w:iCs/>
          <w:lang w:eastAsia="en-US"/>
        </w:rPr>
      </w:pPr>
      <w:r>
        <w:rPr>
          <w:rFonts w:eastAsiaTheme="minorHAnsi"/>
          <w:i/>
          <w:lang w:eastAsia="en-US"/>
        </w:rPr>
        <w:t xml:space="preserve">Оценить достижение цели и решение задач Подпрограммы Госпрограммы № 14-п в полной мере не представляется возможным, так как на момент проведения проверки значения </w:t>
      </w:r>
      <w:r w:rsidR="0026752C">
        <w:rPr>
          <w:rFonts w:eastAsiaTheme="minorHAnsi"/>
          <w:i/>
          <w:lang w:eastAsia="en-US"/>
        </w:rPr>
        <w:t>трех</w:t>
      </w:r>
      <w:r w:rsidR="004D6284">
        <w:rPr>
          <w:rFonts w:eastAsiaTheme="minorHAnsi"/>
          <w:i/>
          <w:lang w:eastAsia="en-US"/>
        </w:rPr>
        <w:t xml:space="preserve"> </w:t>
      </w:r>
      <w:r>
        <w:rPr>
          <w:rFonts w:eastAsiaTheme="minorHAnsi"/>
          <w:i/>
          <w:lang w:eastAsia="en-US"/>
        </w:rPr>
        <w:t>статистических показателей (</w:t>
      </w:r>
      <w:r w:rsidRPr="004D6284">
        <w:rPr>
          <w:rFonts w:eastAsiaTheme="minorHAnsi"/>
          <w:i/>
          <w:lang w:eastAsia="en-US"/>
        </w:rPr>
        <w:t>из 13) не</w:t>
      </w:r>
      <w:r>
        <w:rPr>
          <w:rFonts w:eastAsiaTheme="minorHAnsi"/>
          <w:i/>
          <w:lang w:eastAsia="en-US"/>
        </w:rPr>
        <w:t xml:space="preserve"> рассчитывались ввиду более позднего формировани</w:t>
      </w:r>
      <w:r w:rsidR="00CF1468">
        <w:rPr>
          <w:rFonts w:eastAsiaTheme="minorHAnsi"/>
          <w:i/>
          <w:lang w:eastAsia="en-US"/>
        </w:rPr>
        <w:t>я статистической отчетности</w:t>
      </w:r>
      <w:r w:rsidR="00BB2833">
        <w:rPr>
          <w:rFonts w:eastAsiaTheme="minorHAnsi"/>
          <w:i/>
          <w:lang w:eastAsia="en-US"/>
        </w:rPr>
        <w:t xml:space="preserve"> </w:t>
      </w:r>
      <w:r w:rsidR="00BB2833" w:rsidRPr="00CB37F7">
        <w:rPr>
          <w:rFonts w:eastAsiaTheme="minorHAnsi"/>
          <w:i/>
          <w:lang w:eastAsia="en-US"/>
        </w:rPr>
        <w:t>(в июле месяце)</w:t>
      </w:r>
      <w:r w:rsidR="00CF1468" w:rsidRPr="00CB37F7">
        <w:rPr>
          <w:rFonts w:eastAsiaTheme="minorHAnsi"/>
          <w:i/>
          <w:lang w:eastAsia="en-US"/>
        </w:rPr>
        <w:t>.</w:t>
      </w:r>
      <w:r w:rsidR="00CF1468">
        <w:rPr>
          <w:rFonts w:eastAsiaTheme="minorHAnsi"/>
          <w:i/>
          <w:lang w:eastAsia="en-US"/>
        </w:rPr>
        <w:t xml:space="preserve"> При этом цель Подпрограммы в виде увеличения доли СМСП</w:t>
      </w:r>
      <w:r w:rsidR="00CF1468">
        <w:rPr>
          <w:rFonts w:eastAsiaTheme="minorHAnsi"/>
          <w:i/>
          <w:iCs/>
          <w:lang w:eastAsia="en-US"/>
        </w:rPr>
        <w:t xml:space="preserve"> в экономике Волгоградской области за первый год реализации Госпрограммы № 14-п не совсем достигнута, так как в 2017 году в сравнении с 2016 годом наблюдается снижение количества СМСП.</w:t>
      </w:r>
    </w:p>
    <w:p w:rsidR="00A047E8" w:rsidRPr="003E53A9" w:rsidRDefault="0026456E" w:rsidP="00A047E8">
      <w:pPr>
        <w:autoSpaceDE w:val="0"/>
        <w:autoSpaceDN w:val="0"/>
        <w:adjustRightInd w:val="0"/>
        <w:ind w:firstLine="680"/>
        <w:jc w:val="both"/>
        <w:rPr>
          <w:i/>
        </w:rPr>
      </w:pPr>
      <w:r>
        <w:rPr>
          <w:i/>
        </w:rPr>
        <w:t>При расчете эффективности Госпрограммы не учитывается достижение индивидуальных показателей, в то время как в состав целевых показателей не включаются отдельные индивидуальные показатели, характеризующие результативность использования средств федерального бюджета, составляющих наибольшую долю в объеме финансирования Подпрограммы.</w:t>
      </w:r>
      <w:r w:rsidR="00A047E8" w:rsidRPr="00A047E8">
        <w:rPr>
          <w:rFonts w:eastAsiaTheme="minorHAnsi"/>
          <w:i/>
          <w:iCs/>
          <w:lang w:eastAsia="en-US"/>
        </w:rPr>
        <w:t xml:space="preserve"> </w:t>
      </w:r>
      <w:r w:rsidR="00A047E8">
        <w:rPr>
          <w:rFonts w:eastAsiaTheme="minorHAnsi"/>
          <w:i/>
          <w:iCs/>
          <w:lang w:eastAsia="en-US"/>
        </w:rPr>
        <w:t>С</w:t>
      </w:r>
      <w:r w:rsidR="00A047E8">
        <w:rPr>
          <w:i/>
        </w:rPr>
        <w:t xml:space="preserve"> учетом возможного переноса срока по исполнению индивидуальных показателей, предусмотренного условиями соглашений с Минэкономразвития РФ о предоставлении субсидий, все индивидуальные показатели за 2015-2017 годы исполнены.</w:t>
      </w:r>
      <w:r w:rsidR="00A047E8" w:rsidRPr="003E53A9">
        <w:t xml:space="preserve"> </w:t>
      </w:r>
    </w:p>
    <w:p w:rsidR="00254C97" w:rsidRPr="00254C97" w:rsidRDefault="00FD2973" w:rsidP="002F183E">
      <w:pPr>
        <w:autoSpaceDE w:val="0"/>
        <w:autoSpaceDN w:val="0"/>
        <w:adjustRightInd w:val="0"/>
        <w:ind w:firstLine="680"/>
        <w:jc w:val="both"/>
        <w:rPr>
          <w:i/>
        </w:rPr>
      </w:pPr>
      <w:r w:rsidRPr="00281FB4">
        <w:rPr>
          <w:i/>
        </w:rPr>
        <w:t>Кроме того, при оценке эффективности госпрограммы в части фактических расходов учитывается</w:t>
      </w:r>
      <w:r w:rsidRPr="00281FB4">
        <w:rPr>
          <w:rFonts w:eastAsiaTheme="minorHAnsi"/>
          <w:i/>
          <w:lang w:eastAsia="en-US"/>
        </w:rPr>
        <w:t xml:space="preserve"> кассовое  исполнение областного бюджета по состоянию на 31 декабря отчетного года</w:t>
      </w:r>
      <w:r w:rsidR="00254C97" w:rsidRPr="00281FB4">
        <w:rPr>
          <w:i/>
        </w:rPr>
        <w:t>, которое в 2017 году составило практически 100</w:t>
      </w:r>
      <w:r w:rsidR="00281FB4" w:rsidRPr="00281FB4">
        <w:rPr>
          <w:i/>
        </w:rPr>
        <w:t xml:space="preserve"> процентов</w:t>
      </w:r>
      <w:r w:rsidR="00254C97" w:rsidRPr="00281FB4">
        <w:rPr>
          <w:i/>
        </w:rPr>
        <w:t>. При этом предоставленные организациям инфраструктуры поддержки СМСП средства в виде субсидий на проведение мероприятий Подпрограммы и</w:t>
      </w:r>
      <w:r w:rsidR="00281FB4">
        <w:rPr>
          <w:i/>
        </w:rPr>
        <w:t>зрасходованы</w:t>
      </w:r>
      <w:r w:rsidR="00254C97" w:rsidRPr="00281FB4">
        <w:rPr>
          <w:i/>
        </w:rPr>
        <w:t xml:space="preserve"> не в полном объеме </w:t>
      </w:r>
      <w:r w:rsidR="00254C97" w:rsidRPr="00281FB4">
        <w:rPr>
          <w:i/>
        </w:rPr>
        <w:lastRenderedPageBreak/>
        <w:t>(сложились неиспользованные остатки денежных сре</w:t>
      </w:r>
      <w:proofErr w:type="gramStart"/>
      <w:r w:rsidR="00254C97" w:rsidRPr="00281FB4">
        <w:rPr>
          <w:i/>
        </w:rPr>
        <w:t>дств в с</w:t>
      </w:r>
      <w:proofErr w:type="gramEnd"/>
      <w:r w:rsidR="00254C97" w:rsidRPr="00281FB4">
        <w:rPr>
          <w:i/>
        </w:rPr>
        <w:t>ущественных размерах), т.е. искажается реальная ситуация о</w:t>
      </w:r>
      <w:r w:rsidR="00281FB4" w:rsidRPr="00281FB4">
        <w:rPr>
          <w:i/>
        </w:rPr>
        <w:t xml:space="preserve">б использовании бюджетных средств при реализации </w:t>
      </w:r>
      <w:r w:rsidR="00254C97" w:rsidRPr="00281FB4">
        <w:rPr>
          <w:i/>
        </w:rPr>
        <w:t xml:space="preserve"> мероприятий Подпрограммы, что влияет на расчет </w:t>
      </w:r>
      <w:r w:rsidR="00281FB4">
        <w:rPr>
          <w:i/>
        </w:rPr>
        <w:t xml:space="preserve">ее </w:t>
      </w:r>
      <w:r w:rsidR="00254C97" w:rsidRPr="00281FB4">
        <w:rPr>
          <w:i/>
        </w:rPr>
        <w:t>эффективности</w:t>
      </w:r>
      <w:r w:rsidR="00281FB4">
        <w:rPr>
          <w:i/>
        </w:rPr>
        <w:t>.</w:t>
      </w:r>
    </w:p>
    <w:p w:rsidR="00254C97" w:rsidRDefault="00254C97" w:rsidP="002F183E">
      <w:pPr>
        <w:autoSpaceDE w:val="0"/>
        <w:autoSpaceDN w:val="0"/>
        <w:adjustRightInd w:val="0"/>
        <w:ind w:firstLine="680"/>
        <w:jc w:val="both"/>
      </w:pPr>
    </w:p>
    <w:p w:rsidR="00550B1C" w:rsidRPr="00CB37F7" w:rsidRDefault="00550B1C" w:rsidP="00550B1C">
      <w:pPr>
        <w:ind w:firstLine="680"/>
        <w:jc w:val="center"/>
        <w:rPr>
          <w:b/>
        </w:rPr>
      </w:pPr>
      <w:r w:rsidRPr="00CB37F7">
        <w:rPr>
          <w:b/>
        </w:rPr>
        <w:t xml:space="preserve">Сравнение развития малого и среднего предпринимательства </w:t>
      </w:r>
      <w:r w:rsidR="00BB2833" w:rsidRPr="00CB37F7">
        <w:rPr>
          <w:b/>
        </w:rPr>
        <w:t xml:space="preserve">Волгоградской области </w:t>
      </w:r>
      <w:r w:rsidRPr="00CB37F7">
        <w:rPr>
          <w:b/>
        </w:rPr>
        <w:t>с другими субъектами РФ</w:t>
      </w:r>
    </w:p>
    <w:p w:rsidR="00BB2833" w:rsidRPr="009D4847" w:rsidRDefault="00BB2833" w:rsidP="00550B1C">
      <w:pPr>
        <w:ind w:firstLine="708"/>
        <w:jc w:val="both"/>
      </w:pPr>
      <w:proofErr w:type="gramStart"/>
      <w:r w:rsidRPr="009D4847">
        <w:t xml:space="preserve">В ходе настоящего контрольного мероприятия проведено сравнение развития малого и среднего предпринимательства на территории нашего регионами с другими субъектами РФ: отдельными регионами ЮФО (Краснодарский край, Астраханская, Ростовская области), </w:t>
      </w:r>
      <w:r w:rsidR="00F43A58" w:rsidRPr="009D4847">
        <w:t>также В</w:t>
      </w:r>
      <w:r w:rsidRPr="009D4847">
        <w:t>оронежской и Саратовской областью, которые сравнимы с Волгоградской област</w:t>
      </w:r>
      <w:r w:rsidR="00F43A58" w:rsidRPr="009D4847">
        <w:t>ью</w:t>
      </w:r>
      <w:r w:rsidRPr="009D4847">
        <w:t xml:space="preserve"> по объему бюджета, а также Белгородской областью, опыт развития которой отнесен к лучшим практикам. </w:t>
      </w:r>
      <w:proofErr w:type="gramEnd"/>
    </w:p>
    <w:p w:rsidR="00550B1C" w:rsidRPr="00345CCE" w:rsidRDefault="00E453ED" w:rsidP="00550B1C">
      <w:pPr>
        <w:ind w:firstLine="708"/>
        <w:jc w:val="both"/>
      </w:pPr>
      <w:r w:rsidRPr="009D4847">
        <w:t>Для сравнения о</w:t>
      </w:r>
      <w:r w:rsidR="00550B1C" w:rsidRPr="009D4847">
        <w:t>пределены</w:t>
      </w:r>
      <w:r w:rsidR="00550B1C" w:rsidRPr="003E4C40">
        <w:t xml:space="preserve"> основные характеризующие развитие малого и среднего предпринимательств</w:t>
      </w:r>
      <w:r w:rsidR="00550B1C">
        <w:t xml:space="preserve">а </w:t>
      </w:r>
      <w:r w:rsidR="00550B1C" w:rsidRPr="003E4C40">
        <w:t>показатели, данные по которым имеются в базе данных Федеральной службы государственной статистки и Федеральной налоговой службы России.</w:t>
      </w:r>
      <w:r w:rsidR="00550B1C">
        <w:t xml:space="preserve"> Следует отметить, что </w:t>
      </w:r>
      <w:r w:rsidR="00550B1C" w:rsidRPr="00345CCE">
        <w:t xml:space="preserve">по отдельным статистическим показателям в разрезе анализируемых периодов их формирование было различным, </w:t>
      </w:r>
      <w:r w:rsidR="00550B1C">
        <w:t xml:space="preserve">в </w:t>
      </w:r>
      <w:proofErr w:type="gramStart"/>
      <w:r w:rsidR="00550B1C">
        <w:t>связи</w:t>
      </w:r>
      <w:proofErr w:type="gramEnd"/>
      <w:r w:rsidR="00550B1C">
        <w:t xml:space="preserve"> с чем </w:t>
      </w:r>
      <w:r w:rsidR="00550B1C" w:rsidRPr="00345CCE">
        <w:t>ниже указываются составляющие таких показателей.</w:t>
      </w:r>
    </w:p>
    <w:p w:rsidR="00550B1C" w:rsidRPr="003224EE" w:rsidRDefault="00550B1C" w:rsidP="00550B1C">
      <w:pPr>
        <w:autoSpaceDE w:val="0"/>
        <w:autoSpaceDN w:val="0"/>
        <w:adjustRightInd w:val="0"/>
        <w:jc w:val="both"/>
      </w:pPr>
      <w:r w:rsidRPr="00345CCE">
        <w:tab/>
        <w:t>Информация о количестве СМСП в 2016-2017</w:t>
      </w:r>
      <w:r>
        <w:t xml:space="preserve"> годах, указанных в</w:t>
      </w:r>
      <w:r w:rsidRPr="003224EE">
        <w:t xml:space="preserve"> реестре субъектов малого и среднего предпринимательства Федеральной налоговой службы Р</w:t>
      </w:r>
      <w:r>
        <w:t>Ф, представлена в таблице</w:t>
      </w:r>
      <w:r w:rsidRPr="003224EE">
        <w:t>.</w:t>
      </w:r>
    </w:p>
    <w:p w:rsidR="00550B1C" w:rsidRPr="00F44D89" w:rsidRDefault="00550B1C" w:rsidP="00550B1C">
      <w:pPr>
        <w:jc w:val="right"/>
        <w:rPr>
          <w:sz w:val="20"/>
          <w:szCs w:val="20"/>
        </w:rPr>
      </w:pPr>
      <w:r w:rsidRPr="00F44D89">
        <w:rPr>
          <w:sz w:val="20"/>
          <w:szCs w:val="20"/>
        </w:rPr>
        <w:t>ед.</w:t>
      </w:r>
    </w:p>
    <w:tbl>
      <w:tblPr>
        <w:tblStyle w:val="ad"/>
        <w:tblW w:w="9747"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tblPr>
      <w:tblGrid>
        <w:gridCol w:w="534"/>
        <w:gridCol w:w="3827"/>
        <w:gridCol w:w="1971"/>
        <w:gridCol w:w="1971"/>
        <w:gridCol w:w="1444"/>
      </w:tblGrid>
      <w:tr w:rsidR="00550B1C" w:rsidRPr="00356BFF" w:rsidTr="005D3A6F">
        <w:tc>
          <w:tcPr>
            <w:tcW w:w="534" w:type="dxa"/>
            <w:shd w:val="clear" w:color="auto" w:fill="EEECE1" w:themeFill="background2"/>
            <w:vAlign w:val="center"/>
          </w:tcPr>
          <w:p w:rsidR="00550B1C" w:rsidRPr="003B65D3" w:rsidRDefault="00550B1C" w:rsidP="005D3A6F">
            <w:pPr>
              <w:jc w:val="center"/>
              <w:rPr>
                <w:b/>
                <w:sz w:val="16"/>
                <w:szCs w:val="16"/>
              </w:rPr>
            </w:pPr>
            <w:r w:rsidRPr="003B65D3">
              <w:rPr>
                <w:b/>
                <w:sz w:val="16"/>
                <w:szCs w:val="16"/>
              </w:rPr>
              <w:t xml:space="preserve">№ </w:t>
            </w:r>
            <w:proofErr w:type="spellStart"/>
            <w:proofErr w:type="gramStart"/>
            <w:r w:rsidRPr="003B65D3">
              <w:rPr>
                <w:b/>
                <w:sz w:val="16"/>
                <w:szCs w:val="16"/>
              </w:rPr>
              <w:t>п</w:t>
            </w:r>
            <w:proofErr w:type="spellEnd"/>
            <w:proofErr w:type="gramEnd"/>
            <w:r w:rsidRPr="003B65D3">
              <w:rPr>
                <w:b/>
                <w:sz w:val="16"/>
                <w:szCs w:val="16"/>
              </w:rPr>
              <w:t>/</w:t>
            </w:r>
            <w:proofErr w:type="spellStart"/>
            <w:r w:rsidRPr="003B65D3">
              <w:rPr>
                <w:b/>
                <w:sz w:val="16"/>
                <w:szCs w:val="16"/>
              </w:rPr>
              <w:t>п</w:t>
            </w:r>
            <w:proofErr w:type="spellEnd"/>
          </w:p>
        </w:tc>
        <w:tc>
          <w:tcPr>
            <w:tcW w:w="3827" w:type="dxa"/>
            <w:shd w:val="clear" w:color="auto" w:fill="EEECE1" w:themeFill="background2"/>
            <w:vAlign w:val="center"/>
          </w:tcPr>
          <w:p w:rsidR="00550B1C" w:rsidRPr="003B65D3" w:rsidRDefault="00550B1C" w:rsidP="005D3A6F">
            <w:pPr>
              <w:jc w:val="center"/>
              <w:rPr>
                <w:b/>
                <w:sz w:val="16"/>
                <w:szCs w:val="16"/>
              </w:rPr>
            </w:pPr>
            <w:r w:rsidRPr="003B65D3">
              <w:rPr>
                <w:b/>
                <w:sz w:val="16"/>
                <w:szCs w:val="16"/>
              </w:rPr>
              <w:t>Наименование</w:t>
            </w:r>
          </w:p>
        </w:tc>
        <w:tc>
          <w:tcPr>
            <w:tcW w:w="1971" w:type="dxa"/>
            <w:shd w:val="clear" w:color="auto" w:fill="EEECE1" w:themeFill="background2"/>
            <w:vAlign w:val="center"/>
          </w:tcPr>
          <w:p w:rsidR="00550B1C" w:rsidRPr="003B65D3" w:rsidRDefault="00550B1C" w:rsidP="005D3A6F">
            <w:pPr>
              <w:jc w:val="center"/>
              <w:rPr>
                <w:b/>
                <w:sz w:val="16"/>
                <w:szCs w:val="16"/>
              </w:rPr>
            </w:pPr>
            <w:r w:rsidRPr="003B65D3">
              <w:rPr>
                <w:b/>
                <w:sz w:val="16"/>
                <w:szCs w:val="16"/>
              </w:rPr>
              <w:t>2016</w:t>
            </w:r>
          </w:p>
        </w:tc>
        <w:tc>
          <w:tcPr>
            <w:tcW w:w="1971" w:type="dxa"/>
            <w:shd w:val="clear" w:color="auto" w:fill="EEECE1" w:themeFill="background2"/>
            <w:vAlign w:val="center"/>
          </w:tcPr>
          <w:p w:rsidR="00550B1C" w:rsidRPr="003B65D3" w:rsidRDefault="00550B1C" w:rsidP="005D3A6F">
            <w:pPr>
              <w:jc w:val="center"/>
              <w:rPr>
                <w:b/>
                <w:sz w:val="16"/>
                <w:szCs w:val="16"/>
              </w:rPr>
            </w:pPr>
            <w:r w:rsidRPr="003B65D3">
              <w:rPr>
                <w:b/>
                <w:sz w:val="16"/>
                <w:szCs w:val="16"/>
              </w:rPr>
              <w:t>2017</w:t>
            </w:r>
          </w:p>
        </w:tc>
        <w:tc>
          <w:tcPr>
            <w:tcW w:w="1444" w:type="dxa"/>
            <w:shd w:val="clear" w:color="auto" w:fill="EEECE1" w:themeFill="background2"/>
            <w:vAlign w:val="center"/>
          </w:tcPr>
          <w:p w:rsidR="00550B1C" w:rsidRPr="003B65D3" w:rsidRDefault="00550B1C" w:rsidP="005D3A6F">
            <w:pPr>
              <w:jc w:val="center"/>
              <w:rPr>
                <w:b/>
                <w:sz w:val="16"/>
                <w:szCs w:val="16"/>
              </w:rPr>
            </w:pPr>
            <w:r w:rsidRPr="003B65D3">
              <w:rPr>
                <w:b/>
                <w:sz w:val="16"/>
                <w:szCs w:val="16"/>
              </w:rPr>
              <w:t xml:space="preserve">Изменение </w:t>
            </w:r>
          </w:p>
          <w:p w:rsidR="00550B1C" w:rsidRPr="003B65D3" w:rsidRDefault="00550B1C" w:rsidP="005D3A6F">
            <w:pPr>
              <w:jc w:val="center"/>
              <w:rPr>
                <w:b/>
                <w:sz w:val="16"/>
                <w:szCs w:val="16"/>
              </w:rPr>
            </w:pPr>
            <w:r w:rsidRPr="003B65D3">
              <w:rPr>
                <w:b/>
                <w:sz w:val="16"/>
                <w:szCs w:val="16"/>
              </w:rPr>
              <w:t>(%)</w:t>
            </w:r>
          </w:p>
        </w:tc>
      </w:tr>
      <w:tr w:rsidR="00550B1C" w:rsidRPr="00356BFF" w:rsidTr="005D3A6F">
        <w:tc>
          <w:tcPr>
            <w:tcW w:w="534" w:type="dxa"/>
            <w:vAlign w:val="center"/>
          </w:tcPr>
          <w:p w:rsidR="00550B1C" w:rsidRPr="003B65D3" w:rsidRDefault="00550B1C" w:rsidP="005D3A6F">
            <w:pPr>
              <w:jc w:val="center"/>
              <w:rPr>
                <w:sz w:val="16"/>
                <w:szCs w:val="16"/>
              </w:rPr>
            </w:pPr>
            <w:r w:rsidRPr="003B65D3">
              <w:rPr>
                <w:sz w:val="16"/>
                <w:szCs w:val="16"/>
              </w:rPr>
              <w:t>1</w:t>
            </w:r>
          </w:p>
        </w:tc>
        <w:tc>
          <w:tcPr>
            <w:tcW w:w="3827" w:type="dxa"/>
            <w:vAlign w:val="bottom"/>
          </w:tcPr>
          <w:p w:rsidR="00550B1C" w:rsidRPr="003B65D3" w:rsidRDefault="00550B1C" w:rsidP="005D3A6F">
            <w:pPr>
              <w:rPr>
                <w:rFonts w:eastAsia="Times New Roman"/>
                <w:b/>
                <w:i/>
                <w:color w:val="000000"/>
                <w:sz w:val="16"/>
                <w:szCs w:val="16"/>
              </w:rPr>
            </w:pPr>
            <w:r w:rsidRPr="003B65D3">
              <w:rPr>
                <w:rFonts w:eastAsia="Times New Roman"/>
                <w:b/>
                <w:i/>
                <w:color w:val="000000"/>
                <w:sz w:val="16"/>
                <w:szCs w:val="16"/>
              </w:rPr>
              <w:t>Волгоградская область</w:t>
            </w:r>
          </w:p>
        </w:tc>
        <w:tc>
          <w:tcPr>
            <w:tcW w:w="1971" w:type="dxa"/>
            <w:vAlign w:val="bottom"/>
          </w:tcPr>
          <w:p w:rsidR="00550B1C" w:rsidRPr="003B65D3" w:rsidRDefault="00550B1C" w:rsidP="005D3A6F">
            <w:pPr>
              <w:jc w:val="center"/>
              <w:rPr>
                <w:rFonts w:eastAsia="Times New Roman"/>
                <w:b/>
                <w:i/>
                <w:color w:val="000000"/>
                <w:sz w:val="16"/>
                <w:szCs w:val="16"/>
              </w:rPr>
            </w:pPr>
            <w:r w:rsidRPr="003B65D3">
              <w:rPr>
                <w:rFonts w:eastAsia="Times New Roman"/>
                <w:b/>
                <w:i/>
                <w:color w:val="000000"/>
                <w:sz w:val="16"/>
                <w:szCs w:val="16"/>
              </w:rPr>
              <w:t>81 908</w:t>
            </w:r>
          </w:p>
        </w:tc>
        <w:tc>
          <w:tcPr>
            <w:tcW w:w="1971" w:type="dxa"/>
            <w:vAlign w:val="bottom"/>
          </w:tcPr>
          <w:p w:rsidR="00550B1C" w:rsidRPr="003B65D3" w:rsidRDefault="00550B1C" w:rsidP="005D3A6F">
            <w:pPr>
              <w:jc w:val="center"/>
              <w:rPr>
                <w:rFonts w:eastAsia="Times New Roman"/>
                <w:b/>
                <w:i/>
                <w:color w:val="000000"/>
                <w:sz w:val="16"/>
                <w:szCs w:val="16"/>
              </w:rPr>
            </w:pPr>
            <w:r w:rsidRPr="003B65D3">
              <w:rPr>
                <w:rFonts w:eastAsia="Times New Roman"/>
                <w:b/>
                <w:i/>
                <w:color w:val="000000"/>
                <w:sz w:val="16"/>
                <w:szCs w:val="16"/>
              </w:rPr>
              <w:t>82 377</w:t>
            </w:r>
          </w:p>
        </w:tc>
        <w:tc>
          <w:tcPr>
            <w:tcW w:w="1444" w:type="dxa"/>
            <w:vAlign w:val="bottom"/>
          </w:tcPr>
          <w:p w:rsidR="00550B1C" w:rsidRPr="003B65D3" w:rsidRDefault="00550B1C" w:rsidP="005D3A6F">
            <w:pPr>
              <w:jc w:val="center"/>
              <w:rPr>
                <w:rFonts w:eastAsia="Times New Roman"/>
                <w:b/>
                <w:i/>
                <w:color w:val="000000"/>
                <w:sz w:val="16"/>
                <w:szCs w:val="16"/>
              </w:rPr>
            </w:pPr>
            <w:r w:rsidRPr="003B65D3">
              <w:rPr>
                <w:rFonts w:eastAsia="Times New Roman"/>
                <w:b/>
                <w:i/>
                <w:color w:val="000000"/>
                <w:sz w:val="16"/>
                <w:szCs w:val="16"/>
              </w:rPr>
              <w:t>0,6</w:t>
            </w:r>
          </w:p>
        </w:tc>
      </w:tr>
      <w:tr w:rsidR="00550B1C" w:rsidRPr="00356BFF" w:rsidTr="005D3A6F">
        <w:tc>
          <w:tcPr>
            <w:tcW w:w="534" w:type="dxa"/>
            <w:vAlign w:val="center"/>
          </w:tcPr>
          <w:p w:rsidR="00550B1C" w:rsidRPr="003B65D3" w:rsidRDefault="00550B1C" w:rsidP="005D3A6F">
            <w:pPr>
              <w:jc w:val="center"/>
              <w:rPr>
                <w:sz w:val="16"/>
                <w:szCs w:val="16"/>
              </w:rPr>
            </w:pPr>
            <w:r w:rsidRPr="003B65D3">
              <w:rPr>
                <w:sz w:val="16"/>
                <w:szCs w:val="16"/>
              </w:rPr>
              <w:t>2</w:t>
            </w:r>
          </w:p>
        </w:tc>
        <w:tc>
          <w:tcPr>
            <w:tcW w:w="3827" w:type="dxa"/>
            <w:vAlign w:val="bottom"/>
          </w:tcPr>
          <w:p w:rsidR="00550B1C" w:rsidRPr="003B65D3" w:rsidRDefault="00550B1C" w:rsidP="005D3A6F">
            <w:pPr>
              <w:tabs>
                <w:tab w:val="left" w:pos="3900"/>
              </w:tabs>
              <w:rPr>
                <w:rFonts w:eastAsia="Times New Roman"/>
                <w:color w:val="000000"/>
                <w:sz w:val="16"/>
                <w:szCs w:val="16"/>
              </w:rPr>
            </w:pPr>
            <w:r w:rsidRPr="003B65D3">
              <w:rPr>
                <w:rFonts w:eastAsia="Times New Roman"/>
                <w:color w:val="000000"/>
                <w:sz w:val="16"/>
                <w:szCs w:val="16"/>
              </w:rPr>
              <w:t>Ростовская область</w:t>
            </w:r>
          </w:p>
        </w:tc>
        <w:tc>
          <w:tcPr>
            <w:tcW w:w="1971" w:type="dxa"/>
            <w:vAlign w:val="bottom"/>
          </w:tcPr>
          <w:p w:rsidR="00550B1C" w:rsidRPr="003B65D3" w:rsidRDefault="00550B1C" w:rsidP="005D3A6F">
            <w:pPr>
              <w:jc w:val="center"/>
              <w:rPr>
                <w:rFonts w:eastAsia="Times New Roman"/>
                <w:color w:val="000000"/>
                <w:sz w:val="16"/>
                <w:szCs w:val="16"/>
              </w:rPr>
            </w:pPr>
            <w:r w:rsidRPr="003B65D3">
              <w:rPr>
                <w:rFonts w:eastAsia="Times New Roman"/>
                <w:color w:val="000000"/>
                <w:sz w:val="16"/>
                <w:szCs w:val="16"/>
              </w:rPr>
              <w:t>172 310</w:t>
            </w:r>
          </w:p>
        </w:tc>
        <w:tc>
          <w:tcPr>
            <w:tcW w:w="1971" w:type="dxa"/>
            <w:vAlign w:val="bottom"/>
          </w:tcPr>
          <w:p w:rsidR="00550B1C" w:rsidRPr="003B65D3" w:rsidRDefault="00550B1C" w:rsidP="005D3A6F">
            <w:pPr>
              <w:jc w:val="center"/>
              <w:rPr>
                <w:rFonts w:eastAsia="Times New Roman"/>
                <w:color w:val="000000"/>
                <w:sz w:val="16"/>
                <w:szCs w:val="16"/>
              </w:rPr>
            </w:pPr>
            <w:r w:rsidRPr="003B65D3">
              <w:rPr>
                <w:rFonts w:eastAsia="Times New Roman"/>
                <w:color w:val="000000"/>
                <w:sz w:val="16"/>
                <w:szCs w:val="16"/>
              </w:rPr>
              <w:t>177 409</w:t>
            </w:r>
          </w:p>
        </w:tc>
        <w:tc>
          <w:tcPr>
            <w:tcW w:w="1444" w:type="dxa"/>
            <w:vAlign w:val="bottom"/>
          </w:tcPr>
          <w:p w:rsidR="00550B1C" w:rsidRPr="003B65D3" w:rsidRDefault="00550B1C" w:rsidP="005D3A6F">
            <w:pPr>
              <w:jc w:val="center"/>
              <w:rPr>
                <w:rFonts w:eastAsia="Times New Roman"/>
                <w:color w:val="000000"/>
                <w:sz w:val="16"/>
                <w:szCs w:val="16"/>
              </w:rPr>
            </w:pPr>
            <w:r w:rsidRPr="003B65D3">
              <w:rPr>
                <w:rFonts w:eastAsia="Times New Roman"/>
                <w:color w:val="000000"/>
                <w:sz w:val="16"/>
                <w:szCs w:val="16"/>
              </w:rPr>
              <w:t>3,0</w:t>
            </w:r>
          </w:p>
        </w:tc>
      </w:tr>
      <w:tr w:rsidR="00550B1C" w:rsidRPr="00356BFF" w:rsidTr="005D3A6F">
        <w:tc>
          <w:tcPr>
            <w:tcW w:w="534" w:type="dxa"/>
            <w:vAlign w:val="center"/>
          </w:tcPr>
          <w:p w:rsidR="00550B1C" w:rsidRPr="003B65D3" w:rsidRDefault="00550B1C" w:rsidP="005D3A6F">
            <w:pPr>
              <w:jc w:val="center"/>
              <w:rPr>
                <w:sz w:val="16"/>
                <w:szCs w:val="16"/>
              </w:rPr>
            </w:pPr>
            <w:r w:rsidRPr="003B65D3">
              <w:rPr>
                <w:sz w:val="16"/>
                <w:szCs w:val="16"/>
              </w:rPr>
              <w:t>3</w:t>
            </w:r>
          </w:p>
        </w:tc>
        <w:tc>
          <w:tcPr>
            <w:tcW w:w="3827" w:type="dxa"/>
            <w:vAlign w:val="bottom"/>
          </w:tcPr>
          <w:p w:rsidR="00550B1C" w:rsidRPr="003B65D3" w:rsidRDefault="00550B1C" w:rsidP="005D3A6F">
            <w:pPr>
              <w:rPr>
                <w:rFonts w:eastAsia="Times New Roman"/>
                <w:color w:val="000000"/>
                <w:sz w:val="16"/>
                <w:szCs w:val="16"/>
              </w:rPr>
            </w:pPr>
            <w:r w:rsidRPr="003B65D3">
              <w:rPr>
                <w:rFonts w:eastAsia="Times New Roman"/>
                <w:color w:val="000000"/>
                <w:sz w:val="16"/>
                <w:szCs w:val="16"/>
              </w:rPr>
              <w:t>Краснодарский край</w:t>
            </w:r>
          </w:p>
        </w:tc>
        <w:tc>
          <w:tcPr>
            <w:tcW w:w="1971" w:type="dxa"/>
            <w:vAlign w:val="bottom"/>
          </w:tcPr>
          <w:p w:rsidR="00550B1C" w:rsidRPr="003B65D3" w:rsidRDefault="00550B1C" w:rsidP="005D3A6F">
            <w:pPr>
              <w:jc w:val="center"/>
              <w:rPr>
                <w:rFonts w:eastAsia="Times New Roman"/>
                <w:color w:val="000000"/>
                <w:sz w:val="16"/>
                <w:szCs w:val="16"/>
              </w:rPr>
            </w:pPr>
            <w:r w:rsidRPr="003B65D3">
              <w:rPr>
                <w:rFonts w:eastAsia="Times New Roman"/>
                <w:color w:val="000000"/>
                <w:sz w:val="16"/>
                <w:szCs w:val="16"/>
              </w:rPr>
              <w:t>273 962</w:t>
            </w:r>
          </w:p>
        </w:tc>
        <w:tc>
          <w:tcPr>
            <w:tcW w:w="1971" w:type="dxa"/>
            <w:vAlign w:val="bottom"/>
          </w:tcPr>
          <w:p w:rsidR="00550B1C" w:rsidRPr="003B65D3" w:rsidRDefault="00550B1C" w:rsidP="005D3A6F">
            <w:pPr>
              <w:jc w:val="center"/>
              <w:rPr>
                <w:rFonts w:eastAsia="Times New Roman"/>
                <w:color w:val="000000"/>
                <w:sz w:val="16"/>
                <w:szCs w:val="16"/>
              </w:rPr>
            </w:pPr>
            <w:r w:rsidRPr="003B65D3">
              <w:rPr>
                <w:rFonts w:eastAsia="Times New Roman"/>
                <w:color w:val="000000"/>
                <w:sz w:val="16"/>
                <w:szCs w:val="16"/>
              </w:rPr>
              <w:t>281 417</w:t>
            </w:r>
          </w:p>
        </w:tc>
        <w:tc>
          <w:tcPr>
            <w:tcW w:w="1444" w:type="dxa"/>
            <w:vAlign w:val="bottom"/>
          </w:tcPr>
          <w:p w:rsidR="00550B1C" w:rsidRPr="003B65D3" w:rsidRDefault="00550B1C" w:rsidP="005D3A6F">
            <w:pPr>
              <w:jc w:val="center"/>
              <w:rPr>
                <w:rFonts w:eastAsia="Times New Roman"/>
                <w:color w:val="000000"/>
                <w:sz w:val="16"/>
                <w:szCs w:val="16"/>
              </w:rPr>
            </w:pPr>
            <w:r w:rsidRPr="003B65D3">
              <w:rPr>
                <w:rFonts w:eastAsia="Times New Roman"/>
                <w:color w:val="000000"/>
                <w:sz w:val="16"/>
                <w:szCs w:val="16"/>
              </w:rPr>
              <w:t>2,7</w:t>
            </w:r>
          </w:p>
        </w:tc>
      </w:tr>
      <w:tr w:rsidR="00550B1C" w:rsidRPr="00356BFF" w:rsidTr="005D3A6F">
        <w:tc>
          <w:tcPr>
            <w:tcW w:w="534" w:type="dxa"/>
            <w:vAlign w:val="center"/>
          </w:tcPr>
          <w:p w:rsidR="00550B1C" w:rsidRPr="003B65D3" w:rsidRDefault="00550B1C" w:rsidP="005D3A6F">
            <w:pPr>
              <w:jc w:val="center"/>
              <w:rPr>
                <w:sz w:val="16"/>
                <w:szCs w:val="16"/>
              </w:rPr>
            </w:pPr>
            <w:r w:rsidRPr="003B65D3">
              <w:rPr>
                <w:sz w:val="16"/>
                <w:szCs w:val="16"/>
              </w:rPr>
              <w:t>4</w:t>
            </w:r>
          </w:p>
        </w:tc>
        <w:tc>
          <w:tcPr>
            <w:tcW w:w="3827" w:type="dxa"/>
            <w:vAlign w:val="bottom"/>
          </w:tcPr>
          <w:p w:rsidR="00550B1C" w:rsidRPr="003B65D3" w:rsidRDefault="00550B1C" w:rsidP="005D3A6F">
            <w:pPr>
              <w:rPr>
                <w:rFonts w:eastAsia="Times New Roman"/>
                <w:color w:val="000000"/>
                <w:sz w:val="16"/>
                <w:szCs w:val="16"/>
              </w:rPr>
            </w:pPr>
            <w:r w:rsidRPr="003B65D3">
              <w:rPr>
                <w:rFonts w:eastAsia="Times New Roman"/>
                <w:color w:val="000000"/>
                <w:sz w:val="16"/>
                <w:szCs w:val="16"/>
              </w:rPr>
              <w:t>Астраханская область</w:t>
            </w:r>
          </w:p>
        </w:tc>
        <w:tc>
          <w:tcPr>
            <w:tcW w:w="1971" w:type="dxa"/>
            <w:vAlign w:val="bottom"/>
          </w:tcPr>
          <w:p w:rsidR="00550B1C" w:rsidRPr="003B65D3" w:rsidRDefault="00550B1C" w:rsidP="005D3A6F">
            <w:pPr>
              <w:jc w:val="center"/>
              <w:rPr>
                <w:rFonts w:eastAsia="Times New Roman"/>
                <w:color w:val="000000"/>
                <w:sz w:val="16"/>
                <w:szCs w:val="16"/>
              </w:rPr>
            </w:pPr>
            <w:r w:rsidRPr="003B65D3">
              <w:rPr>
                <w:rFonts w:eastAsia="Times New Roman"/>
                <w:color w:val="000000"/>
                <w:sz w:val="16"/>
                <w:szCs w:val="16"/>
              </w:rPr>
              <w:t>33 103</w:t>
            </w:r>
          </w:p>
        </w:tc>
        <w:tc>
          <w:tcPr>
            <w:tcW w:w="1971" w:type="dxa"/>
            <w:vAlign w:val="bottom"/>
          </w:tcPr>
          <w:p w:rsidR="00550B1C" w:rsidRPr="003B65D3" w:rsidRDefault="00550B1C" w:rsidP="005D3A6F">
            <w:pPr>
              <w:jc w:val="center"/>
              <w:rPr>
                <w:rFonts w:eastAsia="Times New Roman"/>
                <w:color w:val="000000"/>
                <w:sz w:val="16"/>
                <w:szCs w:val="16"/>
              </w:rPr>
            </w:pPr>
            <w:r w:rsidRPr="003B65D3">
              <w:rPr>
                <w:rFonts w:eastAsia="Times New Roman"/>
                <w:color w:val="000000"/>
                <w:sz w:val="16"/>
                <w:szCs w:val="16"/>
              </w:rPr>
              <w:t>32 298</w:t>
            </w:r>
          </w:p>
        </w:tc>
        <w:tc>
          <w:tcPr>
            <w:tcW w:w="1444" w:type="dxa"/>
            <w:vAlign w:val="bottom"/>
          </w:tcPr>
          <w:p w:rsidR="00550B1C" w:rsidRPr="003B65D3" w:rsidRDefault="00550B1C" w:rsidP="005D3A6F">
            <w:pPr>
              <w:jc w:val="center"/>
              <w:rPr>
                <w:rFonts w:eastAsia="Times New Roman"/>
                <w:color w:val="000000"/>
                <w:sz w:val="16"/>
                <w:szCs w:val="16"/>
              </w:rPr>
            </w:pPr>
            <w:r w:rsidRPr="003B65D3">
              <w:rPr>
                <w:rFonts w:eastAsia="Times New Roman"/>
                <w:color w:val="000000"/>
                <w:sz w:val="16"/>
                <w:szCs w:val="16"/>
              </w:rPr>
              <w:t>-2,4</w:t>
            </w:r>
          </w:p>
        </w:tc>
      </w:tr>
      <w:tr w:rsidR="00550B1C" w:rsidRPr="00356BFF" w:rsidTr="005D3A6F">
        <w:tc>
          <w:tcPr>
            <w:tcW w:w="534" w:type="dxa"/>
            <w:vAlign w:val="center"/>
          </w:tcPr>
          <w:p w:rsidR="00550B1C" w:rsidRPr="003B65D3" w:rsidRDefault="00550B1C" w:rsidP="005D3A6F">
            <w:pPr>
              <w:jc w:val="center"/>
              <w:rPr>
                <w:sz w:val="16"/>
                <w:szCs w:val="16"/>
              </w:rPr>
            </w:pPr>
            <w:r w:rsidRPr="003B65D3">
              <w:rPr>
                <w:sz w:val="16"/>
                <w:szCs w:val="16"/>
              </w:rPr>
              <w:t>5</w:t>
            </w:r>
          </w:p>
        </w:tc>
        <w:tc>
          <w:tcPr>
            <w:tcW w:w="3827" w:type="dxa"/>
            <w:vAlign w:val="bottom"/>
          </w:tcPr>
          <w:p w:rsidR="00550B1C" w:rsidRPr="003B65D3" w:rsidRDefault="00550B1C" w:rsidP="005D3A6F">
            <w:pPr>
              <w:rPr>
                <w:rFonts w:eastAsia="Times New Roman"/>
                <w:color w:val="000000"/>
                <w:sz w:val="16"/>
                <w:szCs w:val="16"/>
              </w:rPr>
            </w:pPr>
            <w:r w:rsidRPr="003B65D3">
              <w:rPr>
                <w:rFonts w:eastAsia="Times New Roman"/>
                <w:color w:val="000000"/>
                <w:sz w:val="16"/>
                <w:szCs w:val="16"/>
              </w:rPr>
              <w:t>Саратовская область</w:t>
            </w:r>
          </w:p>
        </w:tc>
        <w:tc>
          <w:tcPr>
            <w:tcW w:w="1971" w:type="dxa"/>
            <w:vAlign w:val="bottom"/>
          </w:tcPr>
          <w:p w:rsidR="00550B1C" w:rsidRPr="003B65D3" w:rsidRDefault="00550B1C" w:rsidP="005D3A6F">
            <w:pPr>
              <w:jc w:val="center"/>
              <w:rPr>
                <w:rFonts w:eastAsia="Times New Roman"/>
                <w:color w:val="000000"/>
                <w:sz w:val="16"/>
                <w:szCs w:val="16"/>
              </w:rPr>
            </w:pPr>
            <w:r w:rsidRPr="003B65D3">
              <w:rPr>
                <w:rFonts w:eastAsia="Times New Roman"/>
                <w:color w:val="000000"/>
                <w:sz w:val="16"/>
                <w:szCs w:val="16"/>
              </w:rPr>
              <w:t>73 688</w:t>
            </w:r>
          </w:p>
        </w:tc>
        <w:tc>
          <w:tcPr>
            <w:tcW w:w="1971" w:type="dxa"/>
            <w:vAlign w:val="bottom"/>
          </w:tcPr>
          <w:p w:rsidR="00550B1C" w:rsidRPr="003B65D3" w:rsidRDefault="00550B1C" w:rsidP="005D3A6F">
            <w:pPr>
              <w:jc w:val="center"/>
              <w:rPr>
                <w:rFonts w:eastAsia="Times New Roman"/>
                <w:color w:val="000000"/>
                <w:sz w:val="16"/>
                <w:szCs w:val="16"/>
              </w:rPr>
            </w:pPr>
            <w:r w:rsidRPr="003B65D3">
              <w:rPr>
                <w:rFonts w:eastAsia="Times New Roman"/>
                <w:color w:val="000000"/>
                <w:sz w:val="16"/>
                <w:szCs w:val="16"/>
              </w:rPr>
              <w:t>74 899</w:t>
            </w:r>
          </w:p>
        </w:tc>
        <w:tc>
          <w:tcPr>
            <w:tcW w:w="1444" w:type="dxa"/>
            <w:vAlign w:val="bottom"/>
          </w:tcPr>
          <w:p w:rsidR="00550B1C" w:rsidRPr="003B65D3" w:rsidRDefault="00550B1C" w:rsidP="005D3A6F">
            <w:pPr>
              <w:jc w:val="center"/>
              <w:rPr>
                <w:rFonts w:eastAsia="Times New Roman"/>
                <w:color w:val="000000"/>
                <w:sz w:val="16"/>
                <w:szCs w:val="16"/>
              </w:rPr>
            </w:pPr>
            <w:r w:rsidRPr="003B65D3">
              <w:rPr>
                <w:rFonts w:eastAsia="Times New Roman"/>
                <w:color w:val="000000"/>
                <w:sz w:val="16"/>
                <w:szCs w:val="16"/>
              </w:rPr>
              <w:t>1,6</w:t>
            </w:r>
          </w:p>
        </w:tc>
      </w:tr>
      <w:tr w:rsidR="00550B1C" w:rsidRPr="00356BFF" w:rsidTr="005D3A6F">
        <w:tc>
          <w:tcPr>
            <w:tcW w:w="534" w:type="dxa"/>
            <w:vAlign w:val="center"/>
          </w:tcPr>
          <w:p w:rsidR="00550B1C" w:rsidRPr="003B65D3" w:rsidRDefault="00550B1C" w:rsidP="005D3A6F">
            <w:pPr>
              <w:jc w:val="center"/>
              <w:rPr>
                <w:sz w:val="16"/>
                <w:szCs w:val="16"/>
              </w:rPr>
            </w:pPr>
            <w:r w:rsidRPr="003B65D3">
              <w:rPr>
                <w:sz w:val="16"/>
                <w:szCs w:val="16"/>
              </w:rPr>
              <w:t>6</w:t>
            </w:r>
          </w:p>
        </w:tc>
        <w:tc>
          <w:tcPr>
            <w:tcW w:w="3827" w:type="dxa"/>
            <w:vAlign w:val="bottom"/>
          </w:tcPr>
          <w:p w:rsidR="00550B1C" w:rsidRPr="003B65D3" w:rsidRDefault="00550B1C" w:rsidP="005D3A6F">
            <w:pPr>
              <w:rPr>
                <w:rFonts w:eastAsia="Times New Roman"/>
                <w:color w:val="000000"/>
                <w:sz w:val="16"/>
                <w:szCs w:val="16"/>
              </w:rPr>
            </w:pPr>
            <w:r w:rsidRPr="003B65D3">
              <w:rPr>
                <w:rFonts w:eastAsia="Times New Roman"/>
                <w:color w:val="000000"/>
                <w:sz w:val="16"/>
                <w:szCs w:val="16"/>
              </w:rPr>
              <w:t>Воронежская область</w:t>
            </w:r>
          </w:p>
        </w:tc>
        <w:tc>
          <w:tcPr>
            <w:tcW w:w="1971" w:type="dxa"/>
            <w:vAlign w:val="bottom"/>
          </w:tcPr>
          <w:p w:rsidR="00550B1C" w:rsidRPr="003B65D3" w:rsidRDefault="00550B1C" w:rsidP="005D3A6F">
            <w:pPr>
              <w:jc w:val="center"/>
              <w:rPr>
                <w:rFonts w:eastAsia="Times New Roman"/>
                <w:color w:val="000000"/>
                <w:sz w:val="16"/>
                <w:szCs w:val="16"/>
              </w:rPr>
            </w:pPr>
            <w:r w:rsidRPr="003B65D3">
              <w:rPr>
                <w:rFonts w:eastAsia="Times New Roman"/>
                <w:color w:val="000000"/>
                <w:sz w:val="16"/>
                <w:szCs w:val="16"/>
              </w:rPr>
              <w:t>85 480</w:t>
            </w:r>
          </w:p>
        </w:tc>
        <w:tc>
          <w:tcPr>
            <w:tcW w:w="1971" w:type="dxa"/>
            <w:vAlign w:val="bottom"/>
          </w:tcPr>
          <w:p w:rsidR="00550B1C" w:rsidRPr="003B65D3" w:rsidRDefault="00550B1C" w:rsidP="005D3A6F">
            <w:pPr>
              <w:jc w:val="center"/>
              <w:rPr>
                <w:rFonts w:eastAsia="Times New Roman"/>
                <w:color w:val="000000"/>
                <w:sz w:val="16"/>
                <w:szCs w:val="16"/>
              </w:rPr>
            </w:pPr>
            <w:r w:rsidRPr="003B65D3">
              <w:rPr>
                <w:rFonts w:eastAsia="Times New Roman"/>
                <w:color w:val="000000"/>
                <w:sz w:val="16"/>
                <w:szCs w:val="16"/>
              </w:rPr>
              <w:t>88 247</w:t>
            </w:r>
          </w:p>
        </w:tc>
        <w:tc>
          <w:tcPr>
            <w:tcW w:w="1444" w:type="dxa"/>
            <w:vAlign w:val="bottom"/>
          </w:tcPr>
          <w:p w:rsidR="00550B1C" w:rsidRPr="003B65D3" w:rsidRDefault="00550B1C" w:rsidP="005D3A6F">
            <w:pPr>
              <w:jc w:val="center"/>
              <w:rPr>
                <w:rFonts w:eastAsia="Times New Roman"/>
                <w:color w:val="000000"/>
                <w:sz w:val="16"/>
                <w:szCs w:val="16"/>
              </w:rPr>
            </w:pPr>
            <w:r w:rsidRPr="003B65D3">
              <w:rPr>
                <w:rFonts w:eastAsia="Times New Roman"/>
                <w:color w:val="000000"/>
                <w:sz w:val="16"/>
                <w:szCs w:val="16"/>
              </w:rPr>
              <w:t>3,2</w:t>
            </w:r>
          </w:p>
        </w:tc>
      </w:tr>
      <w:tr w:rsidR="00550B1C" w:rsidRPr="00356BFF" w:rsidTr="005D3A6F">
        <w:tc>
          <w:tcPr>
            <w:tcW w:w="534" w:type="dxa"/>
            <w:vAlign w:val="center"/>
          </w:tcPr>
          <w:p w:rsidR="00550B1C" w:rsidRPr="003B65D3" w:rsidRDefault="00550B1C" w:rsidP="005D3A6F">
            <w:pPr>
              <w:jc w:val="center"/>
              <w:rPr>
                <w:sz w:val="16"/>
                <w:szCs w:val="16"/>
              </w:rPr>
            </w:pPr>
            <w:r w:rsidRPr="003B65D3">
              <w:rPr>
                <w:sz w:val="16"/>
                <w:szCs w:val="16"/>
              </w:rPr>
              <w:t>7</w:t>
            </w:r>
          </w:p>
        </w:tc>
        <w:tc>
          <w:tcPr>
            <w:tcW w:w="3827" w:type="dxa"/>
            <w:vAlign w:val="bottom"/>
          </w:tcPr>
          <w:p w:rsidR="00550B1C" w:rsidRPr="003B65D3" w:rsidRDefault="00550B1C" w:rsidP="005D3A6F">
            <w:pPr>
              <w:rPr>
                <w:rFonts w:eastAsia="Times New Roman"/>
                <w:color w:val="000000"/>
                <w:sz w:val="16"/>
                <w:szCs w:val="16"/>
              </w:rPr>
            </w:pPr>
            <w:r w:rsidRPr="003B65D3">
              <w:rPr>
                <w:rFonts w:eastAsia="Times New Roman"/>
                <w:color w:val="000000"/>
                <w:sz w:val="16"/>
                <w:szCs w:val="16"/>
              </w:rPr>
              <w:t>Белгородская область</w:t>
            </w:r>
          </w:p>
        </w:tc>
        <w:tc>
          <w:tcPr>
            <w:tcW w:w="1971" w:type="dxa"/>
            <w:vAlign w:val="bottom"/>
          </w:tcPr>
          <w:p w:rsidR="00550B1C" w:rsidRPr="003B65D3" w:rsidRDefault="00550B1C" w:rsidP="005D3A6F">
            <w:pPr>
              <w:jc w:val="center"/>
              <w:rPr>
                <w:rFonts w:eastAsia="Times New Roman"/>
                <w:color w:val="000000"/>
                <w:sz w:val="16"/>
                <w:szCs w:val="16"/>
              </w:rPr>
            </w:pPr>
            <w:r w:rsidRPr="003B65D3">
              <w:rPr>
                <w:rFonts w:eastAsia="Times New Roman"/>
                <w:color w:val="000000"/>
                <w:sz w:val="16"/>
                <w:szCs w:val="16"/>
              </w:rPr>
              <w:t>62 056</w:t>
            </w:r>
          </w:p>
        </w:tc>
        <w:tc>
          <w:tcPr>
            <w:tcW w:w="1971" w:type="dxa"/>
            <w:vAlign w:val="bottom"/>
          </w:tcPr>
          <w:p w:rsidR="00550B1C" w:rsidRPr="003B65D3" w:rsidRDefault="00550B1C" w:rsidP="005D3A6F">
            <w:pPr>
              <w:jc w:val="center"/>
              <w:rPr>
                <w:rFonts w:eastAsia="Times New Roman"/>
                <w:color w:val="000000"/>
                <w:sz w:val="16"/>
                <w:szCs w:val="16"/>
              </w:rPr>
            </w:pPr>
            <w:r w:rsidRPr="003B65D3">
              <w:rPr>
                <w:rFonts w:eastAsia="Times New Roman"/>
                <w:color w:val="000000"/>
                <w:sz w:val="16"/>
                <w:szCs w:val="16"/>
              </w:rPr>
              <w:t>65 417</w:t>
            </w:r>
          </w:p>
        </w:tc>
        <w:tc>
          <w:tcPr>
            <w:tcW w:w="1444" w:type="dxa"/>
            <w:vAlign w:val="bottom"/>
          </w:tcPr>
          <w:p w:rsidR="00550B1C" w:rsidRPr="003B65D3" w:rsidRDefault="00550B1C" w:rsidP="005D3A6F">
            <w:pPr>
              <w:jc w:val="center"/>
              <w:rPr>
                <w:rFonts w:eastAsia="Times New Roman"/>
                <w:color w:val="000000"/>
                <w:sz w:val="16"/>
                <w:szCs w:val="16"/>
              </w:rPr>
            </w:pPr>
            <w:r w:rsidRPr="003B65D3">
              <w:rPr>
                <w:rFonts w:eastAsia="Times New Roman"/>
                <w:color w:val="000000"/>
                <w:sz w:val="16"/>
                <w:szCs w:val="16"/>
              </w:rPr>
              <w:t>5,4</w:t>
            </w:r>
          </w:p>
        </w:tc>
      </w:tr>
    </w:tbl>
    <w:p w:rsidR="00550B1C" w:rsidRDefault="00550B1C" w:rsidP="00550B1C">
      <w:pPr>
        <w:ind w:firstLine="680"/>
        <w:jc w:val="both"/>
      </w:pPr>
      <w:r>
        <w:t>Волгоградская область</w:t>
      </w:r>
      <w:r w:rsidRPr="00DE635D">
        <w:t xml:space="preserve"> занимает предпоследнее место в сравн</w:t>
      </w:r>
      <w:r w:rsidR="0052162A">
        <w:t>иваемых</w:t>
      </w:r>
      <w:r w:rsidRPr="00DE635D">
        <w:t xml:space="preserve"> региона</w:t>
      </w:r>
      <w:r w:rsidR="0052162A">
        <w:t>х</w:t>
      </w:r>
      <w:r w:rsidRPr="00DE635D">
        <w:t xml:space="preserve"> </w:t>
      </w:r>
      <w:r>
        <w:t xml:space="preserve">по </w:t>
      </w:r>
      <w:r w:rsidRPr="00DE635D">
        <w:t>рост</w:t>
      </w:r>
      <w:r>
        <w:t>у</w:t>
      </w:r>
      <w:r w:rsidRPr="00DE635D">
        <w:t xml:space="preserve"> количества СМСП (+0,6%)</w:t>
      </w:r>
      <w:r>
        <w:t xml:space="preserve">, оставив позади только </w:t>
      </w:r>
      <w:r w:rsidRPr="00DE635D">
        <w:t>А</w:t>
      </w:r>
      <w:r>
        <w:t>страханскую</w:t>
      </w:r>
      <w:r w:rsidRPr="00DE635D">
        <w:t xml:space="preserve"> область (-2,4%)</w:t>
      </w:r>
      <w:r>
        <w:t>. Н</w:t>
      </w:r>
      <w:r w:rsidRPr="00DE635D">
        <w:t>аибольший рост количества СМ</w:t>
      </w:r>
      <w:r>
        <w:t>С</w:t>
      </w:r>
      <w:r w:rsidRPr="00DE635D">
        <w:t>П отмечен в Белгородской (+5,4%)</w:t>
      </w:r>
      <w:r>
        <w:t xml:space="preserve"> и</w:t>
      </w:r>
      <w:r w:rsidRPr="00DE635D">
        <w:t xml:space="preserve"> Воронежской</w:t>
      </w:r>
      <w:r>
        <w:t xml:space="preserve"> областях</w:t>
      </w:r>
      <w:r w:rsidRPr="00DE635D">
        <w:t xml:space="preserve"> (+3,2%)</w:t>
      </w:r>
      <w:r>
        <w:t>.</w:t>
      </w:r>
      <w:r w:rsidR="00447235">
        <w:t xml:space="preserve"> Необходимо отметить, что </w:t>
      </w:r>
      <w:r w:rsidR="00E56F34">
        <w:t xml:space="preserve">за 2016 – 2017 годы </w:t>
      </w:r>
      <w:r w:rsidR="00447235">
        <w:t>установлено значительное расхождение по количеству СМСП по статистическим данным</w:t>
      </w:r>
      <w:r w:rsidR="00E56F34">
        <w:t xml:space="preserve"> и зарегистрированных в реестре СМСП, размещенном на сайте ФНС РФ (от 8,4 тыс. ед. до 12,7 тыс. ед.).  По данным ФНС РФ на 10.07.2018 отмечается снижение количества СМСП по сравнению с аналогичным периодом прошлого года по Волгоградской области  с 83,8 тыс. ед. до 83,3 тыс. единиц. </w:t>
      </w:r>
    </w:p>
    <w:p w:rsidR="00550B1C" w:rsidRDefault="00550B1C" w:rsidP="00550B1C">
      <w:pPr>
        <w:ind w:firstLine="680"/>
        <w:jc w:val="both"/>
      </w:pPr>
      <w:r w:rsidRPr="00F41283">
        <w:t xml:space="preserve">Занятость населения в сфере малого предпринимательства </w:t>
      </w:r>
      <w:r>
        <w:t xml:space="preserve">проанализирована </w:t>
      </w:r>
      <w:proofErr w:type="gramStart"/>
      <w:r>
        <w:t>по</w:t>
      </w:r>
      <w:proofErr w:type="gramEnd"/>
      <w:r>
        <w:t xml:space="preserve"> показателю доли численности работников субъектов малого предпринимательства (далее – СМП) в среднегодовой численности занятых в экономике. Численность работников субъектов малого предпринимательства рассчитана с учетом </w:t>
      </w:r>
      <w:r w:rsidRPr="00F41283">
        <w:t>средн</w:t>
      </w:r>
      <w:r>
        <w:t>ей</w:t>
      </w:r>
      <w:r w:rsidRPr="00F41283">
        <w:t xml:space="preserve"> численност</w:t>
      </w:r>
      <w:r>
        <w:t>и</w:t>
      </w:r>
      <w:r w:rsidRPr="00F41283">
        <w:t xml:space="preserve"> работников малых предприятий (включая </w:t>
      </w:r>
      <w:proofErr w:type="spellStart"/>
      <w:r w:rsidRPr="00F41283">
        <w:t>микро</w:t>
      </w:r>
      <w:r>
        <w:t>предприятия</w:t>
      </w:r>
      <w:proofErr w:type="spellEnd"/>
      <w:r w:rsidRPr="00F41283">
        <w:t>), а также численност</w:t>
      </w:r>
      <w:r>
        <w:t>и</w:t>
      </w:r>
      <w:r w:rsidRPr="00F41283">
        <w:t xml:space="preserve"> занятых в сфере ИП и численност</w:t>
      </w:r>
      <w:r>
        <w:t>и</w:t>
      </w:r>
      <w:r w:rsidRPr="00F41283">
        <w:t xml:space="preserve"> действующих ИП</w:t>
      </w:r>
      <w:r>
        <w:t>. При этом в 2015 году в средней численности работников малых предприятий учтена тол</w:t>
      </w:r>
      <w:r w:rsidRPr="00F41283">
        <w:t>ько средняя численность работников малых п</w:t>
      </w:r>
      <w:r>
        <w:t>редприятий без микропредприятий.</w:t>
      </w:r>
    </w:p>
    <w:p w:rsidR="00550B1C" w:rsidRDefault="00550B1C" w:rsidP="00550B1C">
      <w:pPr>
        <w:ind w:firstLine="680"/>
        <w:jc w:val="both"/>
      </w:pPr>
      <w:r w:rsidRPr="00F41283">
        <w:t>Доля численности субъектов малого предпринимательства в среднегодовой численности занятых в экономике в 2015-2017 годах  представлена на диаграмме.</w:t>
      </w:r>
    </w:p>
    <w:p w:rsidR="00550B1C" w:rsidRDefault="00550B1C" w:rsidP="00550B1C">
      <w:pPr>
        <w:ind w:left="-142"/>
        <w:jc w:val="both"/>
      </w:pPr>
      <w:r w:rsidRPr="00F41283">
        <w:rPr>
          <w:noProof/>
        </w:rPr>
        <w:lastRenderedPageBreak/>
        <w:drawing>
          <wp:inline distT="0" distB="0" distL="0" distR="0">
            <wp:extent cx="6081007" cy="2199005"/>
            <wp:effectExtent l="95250" t="19050" r="53093" b="67945"/>
            <wp:docPr id="2"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550B1C" w:rsidRDefault="00550B1C" w:rsidP="00550B1C">
      <w:pPr>
        <w:ind w:firstLine="680"/>
        <w:jc w:val="both"/>
      </w:pPr>
      <w:r>
        <w:t>В сравнении с рассматриваемыми регионами РФ указанный показатель ниже только в Астраханской области (в 2015 и 2017 годах).  В других регионах этот показатель выше, чем в Волгоградской области.</w:t>
      </w:r>
      <w:r w:rsidRPr="009A394F">
        <w:t xml:space="preserve"> </w:t>
      </w:r>
      <w:r w:rsidRPr="00DF1655">
        <w:t xml:space="preserve">Максимальный показатель среди сравниваемых субъектов </w:t>
      </w:r>
      <w:r>
        <w:t>в 2015 году в</w:t>
      </w:r>
      <w:r w:rsidRPr="00DF1655">
        <w:t xml:space="preserve"> </w:t>
      </w:r>
      <w:r>
        <w:t>Воронежской области (15,1%), в 2016 году - в Краснодарском крае (33,5%), в 2017 году в Ростовской области – 33,5 процента.</w:t>
      </w:r>
    </w:p>
    <w:p w:rsidR="00550B1C" w:rsidRPr="004E44BE" w:rsidRDefault="00550B1C" w:rsidP="00550B1C">
      <w:pPr>
        <w:ind w:firstLine="680"/>
        <w:jc w:val="both"/>
      </w:pPr>
      <w:r>
        <w:t>Далее проанализирован показатель отношения оборота СМСП к общему обороту организаций. В оборот СМСП включен</w:t>
      </w:r>
      <w:r w:rsidRPr="00B2180D">
        <w:t xml:space="preserve"> </w:t>
      </w:r>
      <w:r>
        <w:t>оборот</w:t>
      </w:r>
      <w:r w:rsidRPr="00463218">
        <w:t xml:space="preserve"> малых (включая микро) и средних предприятий, а также объема выручки ИП</w:t>
      </w:r>
      <w:r>
        <w:t xml:space="preserve">. </w:t>
      </w:r>
      <w:r w:rsidRPr="004E44BE">
        <w:rPr>
          <w:bCs/>
        </w:rPr>
        <w:t>Оборот организаций</w:t>
      </w:r>
      <w:r w:rsidRPr="004E44BE">
        <w:rPr>
          <w:b/>
          <w:bCs/>
        </w:rPr>
        <w:t xml:space="preserve"> </w:t>
      </w:r>
      <w:r w:rsidRPr="004E44BE">
        <w:t>включает стоимость отгруженных товаров собственного производства, выполненных работ и услуг собственными силами, а также выручку от продажи приобретенных на стороне товаров (без налога на добавленную стоимость, акцизов и аналогичных обязательных платежей).</w:t>
      </w:r>
    </w:p>
    <w:p w:rsidR="00550B1C" w:rsidRPr="004E17DF" w:rsidRDefault="00550B1C" w:rsidP="00550B1C">
      <w:pPr>
        <w:ind w:firstLine="680"/>
        <w:jc w:val="both"/>
      </w:pPr>
      <w:r>
        <w:rPr>
          <w:rFonts w:eastAsia="Times New Roman"/>
          <w:bCs/>
          <w:color w:val="000000"/>
        </w:rPr>
        <w:t xml:space="preserve">Показатель </w:t>
      </w:r>
      <w:r w:rsidRPr="004E17DF">
        <w:rPr>
          <w:rFonts w:eastAsia="Times New Roman"/>
          <w:bCs/>
          <w:color w:val="000000"/>
        </w:rPr>
        <w:t xml:space="preserve">общего оборота </w:t>
      </w:r>
      <w:r>
        <w:rPr>
          <w:rFonts w:eastAsia="Times New Roman"/>
          <w:bCs/>
          <w:color w:val="000000"/>
        </w:rPr>
        <w:t xml:space="preserve">организаций </w:t>
      </w:r>
      <w:r w:rsidRPr="004E17DF">
        <w:rPr>
          <w:rFonts w:eastAsia="Times New Roman"/>
          <w:bCs/>
          <w:color w:val="000000"/>
        </w:rPr>
        <w:t>в 2015-2016 годах</w:t>
      </w:r>
      <w:r>
        <w:rPr>
          <w:rFonts w:eastAsia="Times New Roman"/>
          <w:bCs/>
          <w:color w:val="000000"/>
        </w:rPr>
        <w:t xml:space="preserve"> сформирован </w:t>
      </w:r>
      <w:r w:rsidRPr="004E17DF">
        <w:rPr>
          <w:rFonts w:eastAsia="Times New Roman"/>
          <w:color w:val="000000"/>
        </w:rPr>
        <w:t xml:space="preserve">без </w:t>
      </w:r>
      <w:r>
        <w:rPr>
          <w:rFonts w:eastAsia="Times New Roman"/>
          <w:color w:val="000000"/>
        </w:rPr>
        <w:t xml:space="preserve">учета оборотов </w:t>
      </w:r>
      <w:r w:rsidRPr="004E17DF">
        <w:rPr>
          <w:rFonts w:eastAsia="Times New Roman"/>
          <w:color w:val="000000"/>
        </w:rPr>
        <w:t>малого предпринимательства, банков, страховых и прочих финансово-кредитных организац</w:t>
      </w:r>
      <w:r>
        <w:rPr>
          <w:rFonts w:eastAsia="Times New Roman"/>
          <w:color w:val="000000"/>
        </w:rPr>
        <w:t>ий</w:t>
      </w:r>
      <w:r w:rsidRPr="004E17DF">
        <w:rPr>
          <w:rFonts w:eastAsia="Times New Roman"/>
          <w:color w:val="000000"/>
        </w:rPr>
        <w:t>, а в 2017 году -</w:t>
      </w:r>
      <w:r w:rsidRPr="004E17DF">
        <w:rPr>
          <w:rFonts w:eastAsia="Times New Roman"/>
          <w:bCs/>
          <w:color w:val="000000"/>
        </w:rPr>
        <w:t xml:space="preserve"> </w:t>
      </w:r>
      <w:r>
        <w:rPr>
          <w:rFonts w:eastAsia="Times New Roman"/>
          <w:color w:val="000000"/>
        </w:rPr>
        <w:t xml:space="preserve">без оборота </w:t>
      </w:r>
      <w:r w:rsidRPr="004E17DF">
        <w:rPr>
          <w:rFonts w:eastAsia="Times New Roman"/>
          <w:color w:val="000000"/>
        </w:rPr>
        <w:t>финансовых и страховых организаций.</w:t>
      </w:r>
    </w:p>
    <w:p w:rsidR="00550B1C" w:rsidRDefault="00550B1C" w:rsidP="00550B1C">
      <w:pPr>
        <w:ind w:firstLine="680"/>
        <w:jc w:val="both"/>
      </w:pPr>
      <w:r w:rsidRPr="00463218">
        <w:t>Показатель отношения оборота</w:t>
      </w:r>
      <w:r>
        <w:t xml:space="preserve"> СМСП к общему обороту организаций</w:t>
      </w:r>
      <w:r w:rsidRPr="00463218">
        <w:t xml:space="preserve"> представлен следующей диаграммой.</w:t>
      </w:r>
    </w:p>
    <w:p w:rsidR="00550B1C" w:rsidRDefault="00550B1C" w:rsidP="00550B1C">
      <w:pPr>
        <w:jc w:val="both"/>
      </w:pPr>
      <w:r w:rsidRPr="00463218">
        <w:rPr>
          <w:noProof/>
        </w:rPr>
        <w:drawing>
          <wp:inline distT="0" distB="0" distL="0" distR="0">
            <wp:extent cx="6206225" cy="2197289"/>
            <wp:effectExtent l="19050" t="0" r="23125" b="0"/>
            <wp:docPr id="8"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550B1C" w:rsidRPr="00ED7A9A" w:rsidRDefault="00550B1C" w:rsidP="00550B1C">
      <w:pPr>
        <w:ind w:firstLine="680"/>
        <w:jc w:val="both"/>
        <w:rPr>
          <w:rFonts w:ascii="Calibri" w:eastAsia="Times New Roman" w:hAnsi="Calibri"/>
          <w:color w:val="000000"/>
          <w:sz w:val="22"/>
          <w:szCs w:val="22"/>
        </w:rPr>
      </w:pPr>
      <w:r>
        <w:t xml:space="preserve">По </w:t>
      </w:r>
      <w:r w:rsidRPr="004E17DF">
        <w:t xml:space="preserve">Волгоградской области </w:t>
      </w:r>
      <w:r>
        <w:t xml:space="preserve">указанный показатель </w:t>
      </w:r>
      <w:r w:rsidRPr="004E17DF">
        <w:t>состав</w:t>
      </w:r>
      <w:r>
        <w:t xml:space="preserve">ил </w:t>
      </w:r>
      <w:r w:rsidRPr="004E17DF">
        <w:t xml:space="preserve">в 2015-2017 годах соответственно 40,1%, 36,8% и 36,5 процента. В сравнении с </w:t>
      </w:r>
      <w:r>
        <w:t>рассматриваемыми</w:t>
      </w:r>
      <w:r w:rsidRPr="004E17DF">
        <w:t xml:space="preserve"> </w:t>
      </w:r>
      <w:r>
        <w:t>субъектами РФ</w:t>
      </w:r>
      <w:r w:rsidRPr="004E17DF">
        <w:t xml:space="preserve"> указанный показатель ниже только в нашем регионе. Максимальный показатель среди сравниваемых субъектов</w:t>
      </w:r>
      <w:r>
        <w:t xml:space="preserve"> зафиксирован</w:t>
      </w:r>
      <w:r w:rsidRPr="004E17DF">
        <w:t xml:space="preserve"> в Воронежской области (2015 год – 103,0%, 2016 год – 94,4%, 2017 год – 59,6%).</w:t>
      </w:r>
    </w:p>
    <w:p w:rsidR="00550B1C" w:rsidRDefault="00550B1C" w:rsidP="00550B1C">
      <w:pPr>
        <w:ind w:firstLine="680"/>
        <w:jc w:val="both"/>
      </w:pPr>
      <w:r w:rsidRPr="006D7334">
        <w:t>Центр</w:t>
      </w:r>
      <w:r>
        <w:t>ом</w:t>
      </w:r>
      <w:r w:rsidRPr="006D7334">
        <w:t xml:space="preserve"> иссле</w:t>
      </w:r>
      <w:r>
        <w:t>дований региональной экономики (</w:t>
      </w:r>
      <w:r w:rsidRPr="006D7334">
        <w:t>источник: </w:t>
      </w:r>
      <w:hyperlink r:id="rId17" w:history="1">
        <w:r w:rsidRPr="008A737A">
          <w:rPr>
            <w:rStyle w:val="a4"/>
            <w:i/>
            <w:iCs/>
            <w:color w:val="auto"/>
            <w:bdr w:val="none" w:sz="0" w:space="0" w:color="auto" w:frame="1"/>
          </w:rPr>
          <w:t>http://viperson.ru</w:t>
        </w:r>
        <w:r w:rsidRPr="008A737A">
          <w:rPr>
            <w:rStyle w:val="a4"/>
            <w:rFonts w:ascii="Tahoma" w:hAnsi="Tahoma" w:cs="Tahoma"/>
            <w:i/>
            <w:iCs/>
            <w:color w:val="auto"/>
            <w:sz w:val="13"/>
            <w:szCs w:val="13"/>
            <w:bdr w:val="none" w:sz="0" w:space="0" w:color="auto" w:frame="1"/>
          </w:rPr>
          <w:t>/</w:t>
        </w:r>
      </w:hyperlink>
      <w:r w:rsidRPr="008A737A">
        <w:t xml:space="preserve">) </w:t>
      </w:r>
      <w:r>
        <w:t xml:space="preserve">определялся  рейтинг регионов </w:t>
      </w:r>
      <w:r w:rsidRPr="00356BFF">
        <w:t>по обороту продукции (услуг) на душу населения, производимы</w:t>
      </w:r>
      <w:r>
        <w:t>х</w:t>
      </w:r>
      <w:r w:rsidRPr="00356BFF">
        <w:t xml:space="preserve"> малыми предприятиями, в том числе </w:t>
      </w:r>
      <w:proofErr w:type="spellStart"/>
      <w:r w:rsidRPr="00356BFF">
        <w:t>микропредприятиями</w:t>
      </w:r>
      <w:proofErr w:type="spellEnd"/>
      <w:r w:rsidRPr="00356BFF">
        <w:t xml:space="preserve"> и </w:t>
      </w:r>
      <w:r>
        <w:t xml:space="preserve">ИП.  Информация об этом рейтинге в разрезе рассматриваемых регионов представлена в следующей таблице. </w:t>
      </w:r>
    </w:p>
    <w:tbl>
      <w:tblPr>
        <w:tblStyle w:val="ad"/>
        <w:tblW w:w="0" w:type="auto"/>
        <w:tblInd w:w="250"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tblPr>
      <w:tblGrid>
        <w:gridCol w:w="538"/>
        <w:gridCol w:w="3974"/>
        <w:gridCol w:w="2431"/>
        <w:gridCol w:w="2378"/>
      </w:tblGrid>
      <w:tr w:rsidR="00550B1C" w:rsidRPr="005D4944" w:rsidTr="005D3A6F">
        <w:tc>
          <w:tcPr>
            <w:tcW w:w="538" w:type="dxa"/>
            <w:shd w:val="clear" w:color="auto" w:fill="EEECE1" w:themeFill="background2"/>
          </w:tcPr>
          <w:p w:rsidR="00550B1C" w:rsidRPr="005D4944" w:rsidRDefault="00550B1C" w:rsidP="005D3A6F">
            <w:pPr>
              <w:jc w:val="both"/>
              <w:rPr>
                <w:b/>
                <w:sz w:val="20"/>
                <w:szCs w:val="20"/>
              </w:rPr>
            </w:pPr>
            <w:r w:rsidRPr="005D4944">
              <w:rPr>
                <w:b/>
                <w:sz w:val="20"/>
                <w:szCs w:val="20"/>
              </w:rPr>
              <w:t xml:space="preserve">№ </w:t>
            </w:r>
            <w:proofErr w:type="spellStart"/>
            <w:proofErr w:type="gramStart"/>
            <w:r w:rsidRPr="005D4944">
              <w:rPr>
                <w:b/>
                <w:sz w:val="20"/>
                <w:szCs w:val="20"/>
              </w:rPr>
              <w:lastRenderedPageBreak/>
              <w:t>п</w:t>
            </w:r>
            <w:proofErr w:type="spellEnd"/>
            <w:proofErr w:type="gramEnd"/>
            <w:r w:rsidRPr="005D4944">
              <w:rPr>
                <w:b/>
                <w:sz w:val="20"/>
                <w:szCs w:val="20"/>
              </w:rPr>
              <w:t>/</w:t>
            </w:r>
            <w:proofErr w:type="spellStart"/>
            <w:r w:rsidRPr="005D4944">
              <w:rPr>
                <w:b/>
                <w:sz w:val="20"/>
                <w:szCs w:val="20"/>
              </w:rPr>
              <w:t>п</w:t>
            </w:r>
            <w:proofErr w:type="spellEnd"/>
          </w:p>
        </w:tc>
        <w:tc>
          <w:tcPr>
            <w:tcW w:w="3974" w:type="dxa"/>
            <w:shd w:val="clear" w:color="auto" w:fill="EEECE1" w:themeFill="background2"/>
            <w:vAlign w:val="center"/>
          </w:tcPr>
          <w:p w:rsidR="00550B1C" w:rsidRPr="005D4944" w:rsidRDefault="00550B1C" w:rsidP="005D3A6F">
            <w:pPr>
              <w:jc w:val="center"/>
              <w:rPr>
                <w:rFonts w:eastAsia="Times New Roman"/>
                <w:b/>
                <w:bCs/>
                <w:color w:val="000000"/>
                <w:sz w:val="20"/>
                <w:szCs w:val="20"/>
              </w:rPr>
            </w:pPr>
            <w:r w:rsidRPr="005D4944">
              <w:rPr>
                <w:rFonts w:eastAsia="Times New Roman"/>
                <w:b/>
                <w:bCs/>
                <w:color w:val="000000"/>
                <w:sz w:val="20"/>
                <w:szCs w:val="20"/>
              </w:rPr>
              <w:lastRenderedPageBreak/>
              <w:t>Наименование</w:t>
            </w:r>
          </w:p>
        </w:tc>
        <w:tc>
          <w:tcPr>
            <w:tcW w:w="2431" w:type="dxa"/>
            <w:shd w:val="clear" w:color="auto" w:fill="EEECE1" w:themeFill="background2"/>
            <w:vAlign w:val="center"/>
          </w:tcPr>
          <w:p w:rsidR="00550B1C" w:rsidRPr="00C93488" w:rsidRDefault="00550B1C" w:rsidP="005D3A6F">
            <w:pPr>
              <w:ind w:firstLine="209"/>
              <w:jc w:val="center"/>
              <w:rPr>
                <w:rFonts w:eastAsia="Times New Roman"/>
                <w:b/>
                <w:bCs/>
                <w:color w:val="000000"/>
                <w:sz w:val="16"/>
                <w:szCs w:val="16"/>
              </w:rPr>
            </w:pPr>
            <w:r w:rsidRPr="00C93488">
              <w:rPr>
                <w:rFonts w:eastAsia="Times New Roman"/>
                <w:b/>
                <w:bCs/>
                <w:color w:val="000000"/>
                <w:sz w:val="16"/>
                <w:szCs w:val="16"/>
              </w:rPr>
              <w:t xml:space="preserve">Оборот продукции </w:t>
            </w:r>
            <w:r w:rsidRPr="005D4944">
              <w:rPr>
                <w:rFonts w:eastAsia="Times New Roman"/>
                <w:b/>
                <w:bCs/>
                <w:color w:val="000000"/>
                <w:sz w:val="16"/>
                <w:szCs w:val="16"/>
              </w:rPr>
              <w:t>на душу</w:t>
            </w:r>
            <w:r w:rsidRPr="00C93488">
              <w:rPr>
                <w:rFonts w:eastAsia="Times New Roman"/>
                <w:b/>
                <w:bCs/>
                <w:color w:val="000000"/>
                <w:sz w:val="16"/>
                <w:szCs w:val="16"/>
              </w:rPr>
              <w:t xml:space="preserve"> </w:t>
            </w:r>
            <w:r w:rsidRPr="00C93488">
              <w:rPr>
                <w:rFonts w:eastAsia="Times New Roman"/>
                <w:b/>
                <w:bCs/>
                <w:color w:val="000000"/>
                <w:sz w:val="16"/>
                <w:szCs w:val="16"/>
              </w:rPr>
              <w:lastRenderedPageBreak/>
              <w:t>населения</w:t>
            </w:r>
            <w:r w:rsidRPr="005D4944">
              <w:rPr>
                <w:rFonts w:eastAsia="Times New Roman"/>
                <w:b/>
                <w:bCs/>
                <w:color w:val="000000"/>
                <w:sz w:val="16"/>
                <w:szCs w:val="16"/>
              </w:rPr>
              <w:t>,</w:t>
            </w:r>
            <w:r w:rsidRPr="00C93488">
              <w:rPr>
                <w:sz w:val="16"/>
                <w:szCs w:val="16"/>
              </w:rPr>
              <w:t xml:space="preserve"> </w:t>
            </w:r>
            <w:proofErr w:type="gramStart"/>
            <w:r w:rsidRPr="00C93488">
              <w:rPr>
                <w:b/>
                <w:sz w:val="16"/>
                <w:szCs w:val="16"/>
              </w:rPr>
              <w:t>производ</w:t>
            </w:r>
            <w:r>
              <w:rPr>
                <w:b/>
                <w:sz w:val="16"/>
                <w:szCs w:val="16"/>
              </w:rPr>
              <w:t>имых</w:t>
            </w:r>
            <w:proofErr w:type="gramEnd"/>
            <w:r>
              <w:rPr>
                <w:b/>
                <w:sz w:val="16"/>
                <w:szCs w:val="16"/>
              </w:rPr>
              <w:t xml:space="preserve"> малыми предприятиями, в т.ч.</w:t>
            </w:r>
            <w:r w:rsidRPr="00C93488">
              <w:rPr>
                <w:b/>
                <w:sz w:val="16"/>
                <w:szCs w:val="16"/>
              </w:rPr>
              <w:t xml:space="preserve"> </w:t>
            </w:r>
            <w:proofErr w:type="spellStart"/>
            <w:r w:rsidRPr="00C93488">
              <w:rPr>
                <w:b/>
                <w:sz w:val="16"/>
                <w:szCs w:val="16"/>
              </w:rPr>
              <w:t>микропредприятиями</w:t>
            </w:r>
            <w:proofErr w:type="spellEnd"/>
            <w:r w:rsidRPr="00C93488">
              <w:rPr>
                <w:b/>
                <w:sz w:val="16"/>
                <w:szCs w:val="16"/>
              </w:rPr>
              <w:t xml:space="preserve"> и ИП</w:t>
            </w:r>
          </w:p>
          <w:p w:rsidR="00550B1C" w:rsidRPr="005D4944" w:rsidRDefault="00550B1C" w:rsidP="005D3A6F">
            <w:pPr>
              <w:jc w:val="center"/>
              <w:rPr>
                <w:rFonts w:eastAsia="Times New Roman"/>
                <w:b/>
                <w:bCs/>
                <w:color w:val="000000"/>
                <w:sz w:val="20"/>
                <w:szCs w:val="20"/>
              </w:rPr>
            </w:pPr>
            <w:r w:rsidRPr="005D4944">
              <w:rPr>
                <w:rFonts w:eastAsia="Times New Roman"/>
                <w:b/>
                <w:bCs/>
                <w:color w:val="000000"/>
                <w:sz w:val="16"/>
                <w:szCs w:val="16"/>
              </w:rPr>
              <w:t xml:space="preserve"> </w:t>
            </w:r>
            <w:r w:rsidRPr="00C93488">
              <w:rPr>
                <w:rFonts w:eastAsia="Times New Roman"/>
                <w:b/>
                <w:bCs/>
                <w:color w:val="000000"/>
                <w:sz w:val="16"/>
                <w:szCs w:val="16"/>
              </w:rPr>
              <w:t>(</w:t>
            </w:r>
            <w:r w:rsidRPr="005D4944">
              <w:rPr>
                <w:rFonts w:eastAsia="Times New Roman"/>
                <w:b/>
                <w:bCs/>
                <w:color w:val="000000"/>
                <w:sz w:val="16"/>
                <w:szCs w:val="16"/>
              </w:rPr>
              <w:t>тыс. руб</w:t>
            </w:r>
            <w:r w:rsidRPr="00C93488">
              <w:rPr>
                <w:rFonts w:eastAsia="Times New Roman"/>
                <w:b/>
                <w:bCs/>
                <w:color w:val="000000"/>
                <w:sz w:val="16"/>
                <w:szCs w:val="16"/>
              </w:rPr>
              <w:t>.)</w:t>
            </w:r>
          </w:p>
        </w:tc>
        <w:tc>
          <w:tcPr>
            <w:tcW w:w="2378" w:type="dxa"/>
            <w:shd w:val="clear" w:color="auto" w:fill="EEECE1" w:themeFill="background2"/>
            <w:vAlign w:val="center"/>
          </w:tcPr>
          <w:p w:rsidR="00550B1C" w:rsidRPr="005D4944" w:rsidRDefault="00550B1C" w:rsidP="005D3A6F">
            <w:pPr>
              <w:jc w:val="center"/>
              <w:rPr>
                <w:rFonts w:eastAsia="Times New Roman"/>
                <w:b/>
                <w:bCs/>
                <w:color w:val="000000"/>
                <w:sz w:val="20"/>
                <w:szCs w:val="20"/>
              </w:rPr>
            </w:pPr>
            <w:r w:rsidRPr="005D4944">
              <w:rPr>
                <w:rFonts w:eastAsia="Times New Roman"/>
                <w:b/>
                <w:bCs/>
                <w:color w:val="000000"/>
                <w:sz w:val="20"/>
                <w:szCs w:val="20"/>
              </w:rPr>
              <w:lastRenderedPageBreak/>
              <w:t>Место</w:t>
            </w:r>
          </w:p>
        </w:tc>
      </w:tr>
      <w:tr w:rsidR="00550B1C" w:rsidRPr="005D4944" w:rsidTr="005D3A6F">
        <w:tc>
          <w:tcPr>
            <w:tcW w:w="538" w:type="dxa"/>
            <w:vAlign w:val="bottom"/>
          </w:tcPr>
          <w:p w:rsidR="00550B1C" w:rsidRPr="005D4944" w:rsidRDefault="00550B1C" w:rsidP="005D3A6F">
            <w:pPr>
              <w:jc w:val="center"/>
              <w:rPr>
                <w:rFonts w:eastAsia="Times New Roman"/>
                <w:color w:val="000000"/>
                <w:sz w:val="20"/>
                <w:szCs w:val="20"/>
              </w:rPr>
            </w:pPr>
            <w:r w:rsidRPr="005D4944">
              <w:rPr>
                <w:rFonts w:eastAsia="Times New Roman"/>
                <w:color w:val="000000"/>
                <w:sz w:val="20"/>
                <w:szCs w:val="20"/>
              </w:rPr>
              <w:lastRenderedPageBreak/>
              <w:t>1</w:t>
            </w:r>
          </w:p>
        </w:tc>
        <w:tc>
          <w:tcPr>
            <w:tcW w:w="3974" w:type="dxa"/>
            <w:vAlign w:val="bottom"/>
          </w:tcPr>
          <w:p w:rsidR="00550B1C" w:rsidRPr="005D4944" w:rsidRDefault="00550B1C" w:rsidP="005D3A6F">
            <w:pPr>
              <w:rPr>
                <w:rFonts w:eastAsia="Times New Roman"/>
                <w:color w:val="000000"/>
                <w:sz w:val="20"/>
                <w:szCs w:val="20"/>
              </w:rPr>
            </w:pPr>
            <w:r w:rsidRPr="005D4944">
              <w:rPr>
                <w:rFonts w:eastAsia="Times New Roman"/>
                <w:color w:val="000000"/>
                <w:sz w:val="20"/>
                <w:szCs w:val="20"/>
              </w:rPr>
              <w:t>Воронежская область</w:t>
            </w:r>
          </w:p>
        </w:tc>
        <w:tc>
          <w:tcPr>
            <w:tcW w:w="2431" w:type="dxa"/>
            <w:vAlign w:val="bottom"/>
          </w:tcPr>
          <w:p w:rsidR="00550B1C" w:rsidRPr="005D4944" w:rsidRDefault="00550B1C" w:rsidP="005D3A6F">
            <w:pPr>
              <w:jc w:val="right"/>
              <w:rPr>
                <w:rFonts w:eastAsia="Times New Roman"/>
                <w:color w:val="000000"/>
                <w:sz w:val="20"/>
                <w:szCs w:val="20"/>
              </w:rPr>
            </w:pPr>
            <w:r w:rsidRPr="005D4944">
              <w:rPr>
                <w:rFonts w:eastAsia="Times New Roman"/>
                <w:color w:val="000000"/>
                <w:sz w:val="20"/>
                <w:szCs w:val="20"/>
              </w:rPr>
              <w:t>382</w:t>
            </w:r>
          </w:p>
        </w:tc>
        <w:tc>
          <w:tcPr>
            <w:tcW w:w="2378" w:type="dxa"/>
            <w:vAlign w:val="bottom"/>
          </w:tcPr>
          <w:p w:rsidR="00550B1C" w:rsidRPr="005D4944" w:rsidRDefault="00550B1C" w:rsidP="005D3A6F">
            <w:pPr>
              <w:jc w:val="right"/>
              <w:rPr>
                <w:rFonts w:eastAsia="Times New Roman"/>
                <w:color w:val="000000"/>
                <w:sz w:val="20"/>
                <w:szCs w:val="20"/>
              </w:rPr>
            </w:pPr>
            <w:r w:rsidRPr="005D4944">
              <w:rPr>
                <w:rFonts w:eastAsia="Times New Roman"/>
                <w:color w:val="000000"/>
                <w:sz w:val="20"/>
                <w:szCs w:val="20"/>
              </w:rPr>
              <w:t>9</w:t>
            </w:r>
          </w:p>
        </w:tc>
      </w:tr>
      <w:tr w:rsidR="00550B1C" w:rsidRPr="005D4944" w:rsidTr="005D3A6F">
        <w:tc>
          <w:tcPr>
            <w:tcW w:w="538" w:type="dxa"/>
            <w:vAlign w:val="bottom"/>
          </w:tcPr>
          <w:p w:rsidR="00550B1C" w:rsidRPr="005D4944" w:rsidRDefault="00550B1C" w:rsidP="005D3A6F">
            <w:pPr>
              <w:jc w:val="center"/>
              <w:rPr>
                <w:rFonts w:eastAsia="Times New Roman"/>
                <w:color w:val="000000"/>
                <w:sz w:val="20"/>
                <w:szCs w:val="20"/>
              </w:rPr>
            </w:pPr>
            <w:r w:rsidRPr="005D4944">
              <w:rPr>
                <w:rFonts w:eastAsia="Times New Roman"/>
                <w:color w:val="000000"/>
                <w:sz w:val="20"/>
                <w:szCs w:val="20"/>
              </w:rPr>
              <w:t>2</w:t>
            </w:r>
          </w:p>
        </w:tc>
        <w:tc>
          <w:tcPr>
            <w:tcW w:w="3974" w:type="dxa"/>
            <w:vAlign w:val="bottom"/>
          </w:tcPr>
          <w:p w:rsidR="00550B1C" w:rsidRPr="005D4944" w:rsidRDefault="00550B1C" w:rsidP="005D3A6F">
            <w:pPr>
              <w:rPr>
                <w:rFonts w:eastAsia="Times New Roman"/>
                <w:color w:val="000000"/>
                <w:sz w:val="20"/>
                <w:szCs w:val="20"/>
              </w:rPr>
            </w:pPr>
            <w:r w:rsidRPr="005D4944">
              <w:rPr>
                <w:rFonts w:eastAsia="Times New Roman"/>
                <w:color w:val="000000"/>
                <w:sz w:val="20"/>
                <w:szCs w:val="20"/>
              </w:rPr>
              <w:t>Белгородская область</w:t>
            </w:r>
          </w:p>
        </w:tc>
        <w:tc>
          <w:tcPr>
            <w:tcW w:w="2431" w:type="dxa"/>
            <w:vAlign w:val="bottom"/>
          </w:tcPr>
          <w:p w:rsidR="00550B1C" w:rsidRPr="005D4944" w:rsidRDefault="00550B1C" w:rsidP="005D3A6F">
            <w:pPr>
              <w:jc w:val="right"/>
              <w:rPr>
                <w:rFonts w:eastAsia="Times New Roman"/>
                <w:color w:val="000000"/>
                <w:sz w:val="20"/>
                <w:szCs w:val="20"/>
              </w:rPr>
            </w:pPr>
            <w:r w:rsidRPr="005D4944">
              <w:rPr>
                <w:rFonts w:eastAsia="Times New Roman"/>
                <w:color w:val="000000"/>
                <w:sz w:val="20"/>
                <w:szCs w:val="20"/>
              </w:rPr>
              <w:t>364</w:t>
            </w:r>
          </w:p>
        </w:tc>
        <w:tc>
          <w:tcPr>
            <w:tcW w:w="2378" w:type="dxa"/>
            <w:vAlign w:val="bottom"/>
          </w:tcPr>
          <w:p w:rsidR="00550B1C" w:rsidRPr="005D4944" w:rsidRDefault="00550B1C" w:rsidP="005D3A6F">
            <w:pPr>
              <w:jc w:val="right"/>
              <w:rPr>
                <w:rFonts w:eastAsia="Times New Roman"/>
                <w:color w:val="000000"/>
                <w:sz w:val="20"/>
                <w:szCs w:val="20"/>
              </w:rPr>
            </w:pPr>
            <w:r w:rsidRPr="005D4944">
              <w:rPr>
                <w:rFonts w:eastAsia="Times New Roman"/>
                <w:color w:val="000000"/>
                <w:sz w:val="20"/>
                <w:szCs w:val="20"/>
              </w:rPr>
              <w:t>12</w:t>
            </w:r>
          </w:p>
        </w:tc>
      </w:tr>
      <w:tr w:rsidR="00550B1C" w:rsidRPr="005D4944" w:rsidTr="005D3A6F">
        <w:tc>
          <w:tcPr>
            <w:tcW w:w="538" w:type="dxa"/>
            <w:vAlign w:val="bottom"/>
          </w:tcPr>
          <w:p w:rsidR="00550B1C" w:rsidRPr="005D4944" w:rsidRDefault="00550B1C" w:rsidP="005D3A6F">
            <w:pPr>
              <w:jc w:val="center"/>
              <w:rPr>
                <w:rFonts w:eastAsia="Times New Roman"/>
                <w:color w:val="000000"/>
                <w:sz w:val="20"/>
                <w:szCs w:val="20"/>
              </w:rPr>
            </w:pPr>
            <w:r w:rsidRPr="005D4944">
              <w:rPr>
                <w:rFonts w:eastAsia="Times New Roman"/>
                <w:color w:val="000000"/>
                <w:sz w:val="20"/>
                <w:szCs w:val="20"/>
              </w:rPr>
              <w:t>3</w:t>
            </w:r>
          </w:p>
        </w:tc>
        <w:tc>
          <w:tcPr>
            <w:tcW w:w="3974" w:type="dxa"/>
            <w:vAlign w:val="bottom"/>
          </w:tcPr>
          <w:p w:rsidR="00550B1C" w:rsidRPr="005D4944" w:rsidRDefault="00550B1C" w:rsidP="005D3A6F">
            <w:pPr>
              <w:rPr>
                <w:rFonts w:eastAsia="Times New Roman"/>
                <w:color w:val="000000"/>
                <w:sz w:val="20"/>
                <w:szCs w:val="20"/>
              </w:rPr>
            </w:pPr>
            <w:r w:rsidRPr="005D4944">
              <w:rPr>
                <w:rFonts w:eastAsia="Times New Roman"/>
                <w:color w:val="000000"/>
                <w:sz w:val="20"/>
                <w:szCs w:val="20"/>
              </w:rPr>
              <w:t>Краснодарский край</w:t>
            </w:r>
          </w:p>
        </w:tc>
        <w:tc>
          <w:tcPr>
            <w:tcW w:w="2431" w:type="dxa"/>
            <w:vAlign w:val="bottom"/>
          </w:tcPr>
          <w:p w:rsidR="00550B1C" w:rsidRPr="005D4944" w:rsidRDefault="00550B1C" w:rsidP="005D3A6F">
            <w:pPr>
              <w:jc w:val="right"/>
              <w:rPr>
                <w:rFonts w:eastAsia="Times New Roman"/>
                <w:color w:val="000000"/>
                <w:sz w:val="20"/>
                <w:szCs w:val="20"/>
              </w:rPr>
            </w:pPr>
            <w:r w:rsidRPr="005D4944">
              <w:rPr>
                <w:rFonts w:eastAsia="Times New Roman"/>
                <w:color w:val="000000"/>
                <w:sz w:val="20"/>
                <w:szCs w:val="20"/>
              </w:rPr>
              <w:t>304</w:t>
            </w:r>
          </w:p>
        </w:tc>
        <w:tc>
          <w:tcPr>
            <w:tcW w:w="2378" w:type="dxa"/>
            <w:vAlign w:val="bottom"/>
          </w:tcPr>
          <w:p w:rsidR="00550B1C" w:rsidRPr="005D4944" w:rsidRDefault="00550B1C" w:rsidP="005D3A6F">
            <w:pPr>
              <w:jc w:val="right"/>
              <w:rPr>
                <w:rFonts w:eastAsia="Times New Roman"/>
                <w:color w:val="000000"/>
                <w:sz w:val="20"/>
                <w:szCs w:val="20"/>
              </w:rPr>
            </w:pPr>
            <w:r w:rsidRPr="005D4944">
              <w:rPr>
                <w:rFonts w:eastAsia="Times New Roman"/>
                <w:color w:val="000000"/>
                <w:sz w:val="20"/>
                <w:szCs w:val="20"/>
              </w:rPr>
              <w:t>18</w:t>
            </w:r>
          </w:p>
        </w:tc>
      </w:tr>
      <w:tr w:rsidR="00550B1C" w:rsidRPr="005D4944" w:rsidTr="005D3A6F">
        <w:tc>
          <w:tcPr>
            <w:tcW w:w="538" w:type="dxa"/>
            <w:vAlign w:val="bottom"/>
          </w:tcPr>
          <w:p w:rsidR="00550B1C" w:rsidRPr="005D4944" w:rsidRDefault="00550B1C" w:rsidP="005D3A6F">
            <w:pPr>
              <w:jc w:val="center"/>
              <w:rPr>
                <w:rFonts w:eastAsia="Times New Roman"/>
                <w:color w:val="000000"/>
                <w:sz w:val="20"/>
                <w:szCs w:val="20"/>
              </w:rPr>
            </w:pPr>
            <w:r w:rsidRPr="005D4944">
              <w:rPr>
                <w:rFonts w:eastAsia="Times New Roman"/>
                <w:color w:val="000000"/>
                <w:sz w:val="20"/>
                <w:szCs w:val="20"/>
              </w:rPr>
              <w:t>4</w:t>
            </w:r>
          </w:p>
        </w:tc>
        <w:tc>
          <w:tcPr>
            <w:tcW w:w="3974" w:type="dxa"/>
            <w:vAlign w:val="bottom"/>
          </w:tcPr>
          <w:p w:rsidR="00550B1C" w:rsidRPr="005D4944" w:rsidRDefault="00550B1C" w:rsidP="005D3A6F">
            <w:pPr>
              <w:rPr>
                <w:rFonts w:eastAsia="Times New Roman"/>
                <w:color w:val="000000"/>
                <w:sz w:val="20"/>
                <w:szCs w:val="20"/>
              </w:rPr>
            </w:pPr>
            <w:r w:rsidRPr="005D4944">
              <w:rPr>
                <w:rFonts w:eastAsia="Times New Roman"/>
                <w:color w:val="000000"/>
                <w:sz w:val="20"/>
                <w:szCs w:val="20"/>
              </w:rPr>
              <w:t>Ростовская область</w:t>
            </w:r>
          </w:p>
        </w:tc>
        <w:tc>
          <w:tcPr>
            <w:tcW w:w="2431" w:type="dxa"/>
            <w:vAlign w:val="bottom"/>
          </w:tcPr>
          <w:p w:rsidR="00550B1C" w:rsidRPr="005D4944" w:rsidRDefault="00550B1C" w:rsidP="005D3A6F">
            <w:pPr>
              <w:jc w:val="right"/>
              <w:rPr>
                <w:rFonts w:eastAsia="Times New Roman"/>
                <w:color w:val="000000"/>
                <w:sz w:val="20"/>
                <w:szCs w:val="20"/>
              </w:rPr>
            </w:pPr>
            <w:r w:rsidRPr="005D4944">
              <w:rPr>
                <w:rFonts w:eastAsia="Times New Roman"/>
                <w:color w:val="000000"/>
                <w:sz w:val="20"/>
                <w:szCs w:val="20"/>
              </w:rPr>
              <w:t>263</w:t>
            </w:r>
          </w:p>
        </w:tc>
        <w:tc>
          <w:tcPr>
            <w:tcW w:w="2378" w:type="dxa"/>
            <w:vAlign w:val="bottom"/>
          </w:tcPr>
          <w:p w:rsidR="00550B1C" w:rsidRPr="005D4944" w:rsidRDefault="00550B1C" w:rsidP="005D3A6F">
            <w:pPr>
              <w:jc w:val="right"/>
              <w:rPr>
                <w:rFonts w:eastAsia="Times New Roman"/>
                <w:color w:val="000000"/>
                <w:sz w:val="20"/>
                <w:szCs w:val="20"/>
              </w:rPr>
            </w:pPr>
            <w:r w:rsidRPr="005D4944">
              <w:rPr>
                <w:rFonts w:eastAsia="Times New Roman"/>
                <w:color w:val="000000"/>
                <w:sz w:val="20"/>
                <w:szCs w:val="20"/>
              </w:rPr>
              <w:t>33</w:t>
            </w:r>
          </w:p>
        </w:tc>
      </w:tr>
      <w:tr w:rsidR="00550B1C" w:rsidRPr="005D4944" w:rsidTr="005D3A6F">
        <w:tc>
          <w:tcPr>
            <w:tcW w:w="538" w:type="dxa"/>
            <w:vAlign w:val="bottom"/>
          </w:tcPr>
          <w:p w:rsidR="00550B1C" w:rsidRPr="005D4944" w:rsidRDefault="00550B1C" w:rsidP="005D3A6F">
            <w:pPr>
              <w:jc w:val="center"/>
              <w:rPr>
                <w:rFonts w:eastAsia="Times New Roman"/>
                <w:color w:val="000000"/>
                <w:sz w:val="20"/>
                <w:szCs w:val="20"/>
              </w:rPr>
            </w:pPr>
            <w:r w:rsidRPr="005D4944">
              <w:rPr>
                <w:rFonts w:eastAsia="Times New Roman"/>
                <w:color w:val="000000"/>
                <w:sz w:val="20"/>
                <w:szCs w:val="20"/>
              </w:rPr>
              <w:t>5</w:t>
            </w:r>
          </w:p>
        </w:tc>
        <w:tc>
          <w:tcPr>
            <w:tcW w:w="3974" w:type="dxa"/>
            <w:vAlign w:val="bottom"/>
          </w:tcPr>
          <w:p w:rsidR="00550B1C" w:rsidRPr="005D4944" w:rsidRDefault="00550B1C" w:rsidP="005D3A6F">
            <w:pPr>
              <w:rPr>
                <w:rFonts w:eastAsia="Times New Roman"/>
                <w:color w:val="000000"/>
                <w:sz w:val="20"/>
                <w:szCs w:val="20"/>
              </w:rPr>
            </w:pPr>
            <w:r w:rsidRPr="005D4944">
              <w:rPr>
                <w:rFonts w:eastAsia="Times New Roman"/>
                <w:color w:val="000000"/>
                <w:sz w:val="20"/>
                <w:szCs w:val="20"/>
              </w:rPr>
              <w:t>Саратовская область</w:t>
            </w:r>
          </w:p>
        </w:tc>
        <w:tc>
          <w:tcPr>
            <w:tcW w:w="2431" w:type="dxa"/>
            <w:vAlign w:val="bottom"/>
          </w:tcPr>
          <w:p w:rsidR="00550B1C" w:rsidRPr="005D4944" w:rsidRDefault="00550B1C" w:rsidP="005D3A6F">
            <w:pPr>
              <w:jc w:val="right"/>
              <w:rPr>
                <w:rFonts w:eastAsia="Times New Roman"/>
                <w:color w:val="000000"/>
                <w:sz w:val="20"/>
                <w:szCs w:val="20"/>
              </w:rPr>
            </w:pPr>
            <w:r w:rsidRPr="005D4944">
              <w:rPr>
                <w:rFonts w:eastAsia="Times New Roman"/>
                <w:color w:val="000000"/>
                <w:sz w:val="20"/>
                <w:szCs w:val="20"/>
              </w:rPr>
              <w:t>202</w:t>
            </w:r>
          </w:p>
        </w:tc>
        <w:tc>
          <w:tcPr>
            <w:tcW w:w="2378" w:type="dxa"/>
            <w:vAlign w:val="bottom"/>
          </w:tcPr>
          <w:p w:rsidR="00550B1C" w:rsidRPr="005D4944" w:rsidRDefault="00550B1C" w:rsidP="005D3A6F">
            <w:pPr>
              <w:jc w:val="right"/>
              <w:rPr>
                <w:rFonts w:eastAsia="Times New Roman"/>
                <w:color w:val="000000"/>
                <w:sz w:val="20"/>
                <w:szCs w:val="20"/>
              </w:rPr>
            </w:pPr>
            <w:r w:rsidRPr="005D4944">
              <w:rPr>
                <w:rFonts w:eastAsia="Times New Roman"/>
                <w:color w:val="000000"/>
                <w:sz w:val="20"/>
                <w:szCs w:val="20"/>
              </w:rPr>
              <w:t>56</w:t>
            </w:r>
          </w:p>
        </w:tc>
      </w:tr>
      <w:tr w:rsidR="00550B1C" w:rsidRPr="005D4944" w:rsidTr="005D3A6F">
        <w:tc>
          <w:tcPr>
            <w:tcW w:w="538" w:type="dxa"/>
            <w:vAlign w:val="bottom"/>
          </w:tcPr>
          <w:p w:rsidR="00550B1C" w:rsidRPr="005D4944" w:rsidRDefault="00550B1C" w:rsidP="005D3A6F">
            <w:pPr>
              <w:jc w:val="center"/>
              <w:rPr>
                <w:rFonts w:eastAsia="Times New Roman"/>
                <w:i/>
                <w:iCs/>
                <w:color w:val="000000"/>
                <w:sz w:val="20"/>
                <w:szCs w:val="20"/>
              </w:rPr>
            </w:pPr>
            <w:r w:rsidRPr="005D4944">
              <w:rPr>
                <w:rFonts w:eastAsia="Times New Roman"/>
                <w:i/>
                <w:iCs/>
                <w:color w:val="000000"/>
                <w:sz w:val="20"/>
                <w:szCs w:val="20"/>
              </w:rPr>
              <w:t>6</w:t>
            </w:r>
          </w:p>
        </w:tc>
        <w:tc>
          <w:tcPr>
            <w:tcW w:w="3974" w:type="dxa"/>
            <w:vAlign w:val="bottom"/>
          </w:tcPr>
          <w:p w:rsidR="00550B1C" w:rsidRPr="005D4944" w:rsidRDefault="00550B1C" w:rsidP="005D3A6F">
            <w:pPr>
              <w:rPr>
                <w:rFonts w:eastAsia="Times New Roman"/>
                <w:b/>
                <w:bCs/>
                <w:i/>
                <w:iCs/>
                <w:color w:val="000000"/>
                <w:sz w:val="20"/>
                <w:szCs w:val="20"/>
              </w:rPr>
            </w:pPr>
            <w:r w:rsidRPr="005D4944">
              <w:rPr>
                <w:rFonts w:eastAsia="Times New Roman"/>
                <w:b/>
                <w:bCs/>
                <w:i/>
                <w:iCs/>
                <w:color w:val="000000"/>
                <w:sz w:val="20"/>
                <w:szCs w:val="20"/>
              </w:rPr>
              <w:t>Волгоградская область</w:t>
            </w:r>
          </w:p>
        </w:tc>
        <w:tc>
          <w:tcPr>
            <w:tcW w:w="2431" w:type="dxa"/>
            <w:vAlign w:val="bottom"/>
          </w:tcPr>
          <w:p w:rsidR="00550B1C" w:rsidRPr="005D4944" w:rsidRDefault="00550B1C" w:rsidP="005D3A6F">
            <w:pPr>
              <w:jc w:val="right"/>
              <w:rPr>
                <w:rFonts w:eastAsia="Times New Roman"/>
                <w:b/>
                <w:bCs/>
                <w:i/>
                <w:iCs/>
                <w:color w:val="000000"/>
                <w:sz w:val="20"/>
                <w:szCs w:val="20"/>
              </w:rPr>
            </w:pPr>
            <w:r w:rsidRPr="005D4944">
              <w:rPr>
                <w:rFonts w:eastAsia="Times New Roman"/>
                <w:b/>
                <w:bCs/>
                <w:i/>
                <w:iCs/>
                <w:color w:val="000000"/>
                <w:sz w:val="20"/>
                <w:szCs w:val="20"/>
              </w:rPr>
              <w:t>197</w:t>
            </w:r>
          </w:p>
        </w:tc>
        <w:tc>
          <w:tcPr>
            <w:tcW w:w="2378" w:type="dxa"/>
            <w:vAlign w:val="bottom"/>
          </w:tcPr>
          <w:p w:rsidR="00550B1C" w:rsidRPr="005D4944" w:rsidRDefault="00550B1C" w:rsidP="005D3A6F">
            <w:pPr>
              <w:jc w:val="right"/>
              <w:rPr>
                <w:rFonts w:eastAsia="Times New Roman"/>
                <w:b/>
                <w:bCs/>
                <w:i/>
                <w:iCs/>
                <w:color w:val="000000"/>
                <w:sz w:val="20"/>
                <w:szCs w:val="20"/>
              </w:rPr>
            </w:pPr>
            <w:r w:rsidRPr="005D4944">
              <w:rPr>
                <w:rFonts w:eastAsia="Times New Roman"/>
                <w:b/>
                <w:bCs/>
                <w:i/>
                <w:iCs/>
                <w:color w:val="000000"/>
                <w:sz w:val="20"/>
                <w:szCs w:val="20"/>
              </w:rPr>
              <w:t>58</w:t>
            </w:r>
          </w:p>
        </w:tc>
      </w:tr>
      <w:tr w:rsidR="00550B1C" w:rsidRPr="005D4944" w:rsidTr="005D3A6F">
        <w:tc>
          <w:tcPr>
            <w:tcW w:w="538" w:type="dxa"/>
            <w:vAlign w:val="bottom"/>
          </w:tcPr>
          <w:p w:rsidR="00550B1C" w:rsidRPr="005D4944" w:rsidRDefault="00550B1C" w:rsidP="005D3A6F">
            <w:pPr>
              <w:jc w:val="center"/>
              <w:rPr>
                <w:rFonts w:eastAsia="Times New Roman"/>
                <w:color w:val="000000"/>
                <w:sz w:val="20"/>
                <w:szCs w:val="20"/>
              </w:rPr>
            </w:pPr>
            <w:r w:rsidRPr="005D4944">
              <w:rPr>
                <w:rFonts w:eastAsia="Times New Roman"/>
                <w:color w:val="000000"/>
                <w:sz w:val="20"/>
                <w:szCs w:val="20"/>
              </w:rPr>
              <w:t>7</w:t>
            </w:r>
          </w:p>
        </w:tc>
        <w:tc>
          <w:tcPr>
            <w:tcW w:w="3974" w:type="dxa"/>
            <w:vAlign w:val="bottom"/>
          </w:tcPr>
          <w:p w:rsidR="00550B1C" w:rsidRPr="005D4944" w:rsidRDefault="00550B1C" w:rsidP="005D3A6F">
            <w:pPr>
              <w:rPr>
                <w:rFonts w:eastAsia="Times New Roman"/>
                <w:color w:val="000000"/>
                <w:sz w:val="20"/>
                <w:szCs w:val="20"/>
              </w:rPr>
            </w:pPr>
            <w:r w:rsidRPr="005D4944">
              <w:rPr>
                <w:rFonts w:eastAsia="Times New Roman"/>
                <w:color w:val="000000"/>
                <w:sz w:val="20"/>
                <w:szCs w:val="20"/>
              </w:rPr>
              <w:t>Астраханская область</w:t>
            </w:r>
          </w:p>
        </w:tc>
        <w:tc>
          <w:tcPr>
            <w:tcW w:w="2431" w:type="dxa"/>
            <w:vAlign w:val="bottom"/>
          </w:tcPr>
          <w:p w:rsidR="00550B1C" w:rsidRPr="005D4944" w:rsidRDefault="00550B1C" w:rsidP="005D3A6F">
            <w:pPr>
              <w:jc w:val="right"/>
              <w:rPr>
                <w:rFonts w:eastAsia="Times New Roman"/>
                <w:color w:val="000000"/>
                <w:sz w:val="20"/>
                <w:szCs w:val="20"/>
              </w:rPr>
            </w:pPr>
            <w:r w:rsidRPr="005D4944">
              <w:rPr>
                <w:rFonts w:eastAsia="Times New Roman"/>
                <w:color w:val="000000"/>
                <w:sz w:val="20"/>
                <w:szCs w:val="20"/>
              </w:rPr>
              <w:t>150</w:t>
            </w:r>
          </w:p>
        </w:tc>
        <w:tc>
          <w:tcPr>
            <w:tcW w:w="2378" w:type="dxa"/>
            <w:vAlign w:val="bottom"/>
          </w:tcPr>
          <w:p w:rsidR="00550B1C" w:rsidRPr="005D4944" w:rsidRDefault="00550B1C" w:rsidP="005D3A6F">
            <w:pPr>
              <w:jc w:val="right"/>
              <w:rPr>
                <w:rFonts w:eastAsia="Times New Roman"/>
                <w:color w:val="000000"/>
                <w:sz w:val="20"/>
                <w:szCs w:val="20"/>
              </w:rPr>
            </w:pPr>
            <w:r w:rsidRPr="005D4944">
              <w:rPr>
                <w:rFonts w:eastAsia="Times New Roman"/>
                <w:color w:val="000000"/>
                <w:sz w:val="20"/>
                <w:szCs w:val="20"/>
              </w:rPr>
              <w:t>68</w:t>
            </w:r>
          </w:p>
        </w:tc>
      </w:tr>
    </w:tbl>
    <w:p w:rsidR="00550B1C" w:rsidRDefault="00550B1C" w:rsidP="00550B1C">
      <w:pPr>
        <w:autoSpaceDE w:val="0"/>
        <w:autoSpaceDN w:val="0"/>
        <w:adjustRightInd w:val="0"/>
        <w:ind w:firstLine="708"/>
        <w:jc w:val="both"/>
        <w:rPr>
          <w:rFonts w:asciiTheme="minorHAnsi" w:hAnsiTheme="minorHAnsi"/>
        </w:rPr>
      </w:pPr>
      <w:r>
        <w:t xml:space="preserve">Воронежская область входит в первую </w:t>
      </w:r>
      <w:r w:rsidRPr="00356BFF">
        <w:t xml:space="preserve">десятку </w:t>
      </w:r>
      <w:r>
        <w:t>лидеров среди 82 регионов, Белгородская область и Краснодарский край входят в 20 лидеров, Волгоградская и Астраханская область находятся на 58 и 68 местах соответственно.</w:t>
      </w:r>
    </w:p>
    <w:p w:rsidR="00550B1C" w:rsidRDefault="00550B1C" w:rsidP="00550B1C">
      <w:pPr>
        <w:autoSpaceDE w:val="0"/>
        <w:autoSpaceDN w:val="0"/>
        <w:adjustRightInd w:val="0"/>
        <w:ind w:firstLine="708"/>
        <w:jc w:val="both"/>
      </w:pPr>
      <w:r w:rsidRPr="00635AB7">
        <w:rPr>
          <w:rFonts w:ascii="Open Sans" w:hAnsi="Open Sans"/>
        </w:rPr>
        <w:t xml:space="preserve">С учетом того, что специальные режимы </w:t>
      </w:r>
      <w:r w:rsidRPr="00F81FEE">
        <w:t xml:space="preserve">налогообложения (далее – </w:t>
      </w:r>
      <w:proofErr w:type="spellStart"/>
      <w:r w:rsidRPr="00F81FEE">
        <w:t>спецрежимы</w:t>
      </w:r>
      <w:proofErr w:type="spellEnd"/>
      <w:r w:rsidRPr="00F81FEE">
        <w:t>) созданы для малого бизне</w:t>
      </w:r>
      <w:r>
        <w:t>са, проведено сравнение</w:t>
      </w:r>
      <w:r w:rsidRPr="00F81FEE">
        <w:rPr>
          <w:i/>
        </w:rPr>
        <w:t xml:space="preserve"> </w:t>
      </w:r>
      <w:r w:rsidRPr="00F81FEE">
        <w:t>объема</w:t>
      </w:r>
      <w:r w:rsidRPr="00F81FEE">
        <w:rPr>
          <w:i/>
        </w:rPr>
        <w:t xml:space="preserve"> </w:t>
      </w:r>
      <w:r w:rsidRPr="00F81FEE">
        <w:t>поступлений налогов,</w:t>
      </w:r>
      <w:r>
        <w:t xml:space="preserve"> относящихся к специальным налоговым режимам, на 1 СМСП, результаты которого приведены на диаграмме.</w:t>
      </w:r>
    </w:p>
    <w:p w:rsidR="00550B1C" w:rsidRDefault="00550B1C" w:rsidP="00550B1C">
      <w:pPr>
        <w:autoSpaceDE w:val="0"/>
        <w:autoSpaceDN w:val="0"/>
        <w:adjustRightInd w:val="0"/>
        <w:ind w:firstLine="680"/>
        <w:jc w:val="both"/>
      </w:pPr>
    </w:p>
    <w:p w:rsidR="00550B1C" w:rsidRDefault="00550B1C" w:rsidP="00550B1C">
      <w:pPr>
        <w:autoSpaceDE w:val="0"/>
        <w:autoSpaceDN w:val="0"/>
        <w:adjustRightInd w:val="0"/>
        <w:jc w:val="both"/>
      </w:pPr>
      <w:r w:rsidRPr="00CE0972">
        <w:rPr>
          <w:noProof/>
        </w:rPr>
        <w:drawing>
          <wp:inline distT="0" distB="0" distL="0" distR="0">
            <wp:extent cx="5940425" cy="2586099"/>
            <wp:effectExtent l="19050" t="0" r="22225" b="4701"/>
            <wp:docPr id="9"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550B1C" w:rsidRDefault="00550B1C" w:rsidP="00550B1C">
      <w:pPr>
        <w:autoSpaceDE w:val="0"/>
        <w:autoSpaceDN w:val="0"/>
        <w:adjustRightInd w:val="0"/>
        <w:ind w:firstLine="680"/>
        <w:jc w:val="both"/>
      </w:pPr>
      <w:r w:rsidRPr="001D0E63">
        <w:t>В Волгоградской области на 1 СМСП</w:t>
      </w:r>
      <w:r>
        <w:t xml:space="preserve"> в 2016 году</w:t>
      </w:r>
      <w:r w:rsidRPr="001D0E63">
        <w:t xml:space="preserve"> </w:t>
      </w:r>
      <w:r>
        <w:t xml:space="preserve">приходится 61,0 тыс. руб. </w:t>
      </w:r>
      <w:r w:rsidRPr="001D0E63">
        <w:t xml:space="preserve">поступлений по </w:t>
      </w:r>
      <w:proofErr w:type="spellStart"/>
      <w:r w:rsidRPr="001D0E63">
        <w:t>спецрежимам</w:t>
      </w:r>
      <w:proofErr w:type="spellEnd"/>
      <w:r>
        <w:t>,</w:t>
      </w:r>
      <w:r w:rsidRPr="001D0E63">
        <w:t xml:space="preserve"> в 2017</w:t>
      </w:r>
      <w:r>
        <w:t xml:space="preserve"> году</w:t>
      </w:r>
      <w:r w:rsidRPr="001D0E63">
        <w:t xml:space="preserve"> - 65,9 тыс.</w:t>
      </w:r>
      <w:r>
        <w:t xml:space="preserve"> </w:t>
      </w:r>
      <w:r w:rsidRPr="001D0E63">
        <w:t xml:space="preserve">рублей. </w:t>
      </w:r>
      <w:r>
        <w:t xml:space="preserve"> </w:t>
      </w:r>
      <w:proofErr w:type="gramStart"/>
      <w:r w:rsidR="00183156" w:rsidRPr="00CB37F7">
        <w:t xml:space="preserve">Больше </w:t>
      </w:r>
      <w:r w:rsidRPr="00CB37F7">
        <w:t>показател</w:t>
      </w:r>
      <w:r w:rsidR="00183156" w:rsidRPr="00CB37F7">
        <w:t>и</w:t>
      </w:r>
      <w:r w:rsidRPr="001D0E63">
        <w:t xml:space="preserve"> среди сравниваемых субъектов </w:t>
      </w:r>
      <w:r>
        <w:t>зафиксирован</w:t>
      </w:r>
      <w:r w:rsidR="00F43A58">
        <w:t xml:space="preserve"> только</w:t>
      </w:r>
      <w:r>
        <w:t xml:space="preserve"> </w:t>
      </w:r>
      <w:r w:rsidRPr="001D0E63">
        <w:t>в Краснодарском крае (2016 год – 70,6 тыс.</w:t>
      </w:r>
      <w:r>
        <w:t xml:space="preserve"> </w:t>
      </w:r>
      <w:r w:rsidRPr="001D0E63">
        <w:t>руб., 2017 год – 74,9 тыс.</w:t>
      </w:r>
      <w:r>
        <w:t xml:space="preserve"> </w:t>
      </w:r>
      <w:r w:rsidRPr="001D0E63">
        <w:t>руб.)  и Ростовской области (2016 год – 64,2 тыс.</w:t>
      </w:r>
      <w:r>
        <w:t xml:space="preserve"> </w:t>
      </w:r>
      <w:r w:rsidRPr="001D0E63">
        <w:t>руб., 2017 год – 71,2 тыс.</w:t>
      </w:r>
      <w:r>
        <w:t xml:space="preserve"> руб.)</w:t>
      </w:r>
      <w:r w:rsidRPr="001D0E63">
        <w:t xml:space="preserve">. </w:t>
      </w:r>
      <w:proofErr w:type="gramEnd"/>
    </w:p>
    <w:p w:rsidR="00550B1C" w:rsidRDefault="00550B1C" w:rsidP="00550B1C">
      <w:pPr>
        <w:ind w:firstLine="680"/>
        <w:jc w:val="both"/>
      </w:pPr>
      <w:r>
        <w:t>Результаты анализа</w:t>
      </w:r>
      <w:r w:rsidRPr="00955BF7">
        <w:t xml:space="preserve"> доли налоговых поступлений по </w:t>
      </w:r>
      <w:proofErr w:type="spellStart"/>
      <w:r w:rsidRPr="00955BF7">
        <w:t>спецрежимам</w:t>
      </w:r>
      <w:proofErr w:type="spellEnd"/>
      <w:r w:rsidRPr="00955BF7">
        <w:t xml:space="preserve"> </w:t>
      </w:r>
      <w:r>
        <w:t>в</w:t>
      </w:r>
      <w:r w:rsidRPr="00955BF7">
        <w:t xml:space="preserve"> общем объем</w:t>
      </w:r>
      <w:r>
        <w:t>е</w:t>
      </w:r>
      <w:r w:rsidRPr="00955BF7">
        <w:t xml:space="preserve"> налоговых доходов консолидированного бюджета субъекта РФ </w:t>
      </w:r>
      <w:proofErr w:type="gramStart"/>
      <w:r w:rsidRPr="00955BF7">
        <w:t>приведен</w:t>
      </w:r>
      <w:proofErr w:type="gramEnd"/>
      <w:r w:rsidRPr="00955BF7">
        <w:t xml:space="preserve"> в следующей диаграмме.</w:t>
      </w:r>
    </w:p>
    <w:p w:rsidR="00550B1C" w:rsidRDefault="00550B1C" w:rsidP="00550B1C">
      <w:pPr>
        <w:jc w:val="both"/>
      </w:pPr>
      <w:r w:rsidRPr="00B73BD8">
        <w:rPr>
          <w:noProof/>
        </w:rPr>
        <w:lastRenderedPageBreak/>
        <w:drawing>
          <wp:inline distT="0" distB="0" distL="0" distR="0">
            <wp:extent cx="5940425" cy="2332884"/>
            <wp:effectExtent l="19050" t="0" r="22225" b="0"/>
            <wp:docPr id="10"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550B1C" w:rsidRPr="00955BF7" w:rsidRDefault="00550B1C" w:rsidP="00550B1C">
      <w:pPr>
        <w:jc w:val="both"/>
      </w:pPr>
    </w:p>
    <w:p w:rsidR="00550B1C" w:rsidRDefault="00550B1C" w:rsidP="00550B1C">
      <w:pPr>
        <w:autoSpaceDE w:val="0"/>
        <w:autoSpaceDN w:val="0"/>
        <w:adjustRightInd w:val="0"/>
        <w:ind w:firstLine="680"/>
        <w:jc w:val="both"/>
      </w:pPr>
      <w:r>
        <w:t>Указанный показатель по Волгоградской области составлял в 2015-2017 годах соответственно 5,6%, 5,7% и 6,2%, среди рассматриваемых регионов Волгоградская область занимает 5-е место.</w:t>
      </w:r>
    </w:p>
    <w:p w:rsidR="00550B1C" w:rsidRDefault="00550B1C" w:rsidP="00550B1C">
      <w:pPr>
        <w:ind w:firstLine="680"/>
        <w:jc w:val="both"/>
        <w:rPr>
          <w:rFonts w:eastAsiaTheme="minorHAnsi"/>
          <w:i/>
          <w:iCs/>
          <w:lang w:eastAsia="en-US"/>
        </w:rPr>
      </w:pPr>
      <w:r w:rsidRPr="000C3375">
        <w:rPr>
          <w:i/>
        </w:rPr>
        <w:t>Таким образом,</w:t>
      </w:r>
      <w:r>
        <w:rPr>
          <w:i/>
        </w:rPr>
        <w:t xml:space="preserve"> сравнение приведенных субъектов РФ по вышеприведенным показателям, характеризующим вклад с</w:t>
      </w:r>
      <w:r>
        <w:rPr>
          <w:rFonts w:eastAsiaTheme="minorHAnsi"/>
          <w:i/>
          <w:iCs/>
          <w:lang w:eastAsia="en-US"/>
        </w:rPr>
        <w:t>убъектов малого и среднего предпринимательства в экономику регионов, свидетельствует об отставании Волгоградской области</w:t>
      </w:r>
      <w:r w:rsidR="00F43A58">
        <w:rPr>
          <w:rFonts w:eastAsiaTheme="minorHAnsi"/>
          <w:i/>
          <w:iCs/>
          <w:lang w:eastAsia="en-US"/>
        </w:rPr>
        <w:t xml:space="preserve"> от сравниваемых регионов</w:t>
      </w:r>
      <w:r>
        <w:rPr>
          <w:rFonts w:eastAsiaTheme="minorHAnsi"/>
          <w:i/>
          <w:iCs/>
          <w:lang w:eastAsia="en-US"/>
        </w:rPr>
        <w:t xml:space="preserve"> </w:t>
      </w:r>
      <w:r w:rsidR="005E30A2" w:rsidRPr="00CB37F7">
        <w:rPr>
          <w:rFonts w:eastAsiaTheme="minorHAnsi"/>
          <w:i/>
          <w:iCs/>
          <w:lang w:eastAsia="en-US"/>
        </w:rPr>
        <w:t>по большинству показателей.</w:t>
      </w:r>
    </w:p>
    <w:p w:rsidR="00550B1C" w:rsidRPr="002A4E09" w:rsidRDefault="00550B1C" w:rsidP="00550B1C">
      <w:pPr>
        <w:ind w:firstLine="680"/>
        <w:jc w:val="both"/>
        <w:rPr>
          <w:rFonts w:eastAsia="Times New Roman"/>
          <w:color w:val="000000"/>
        </w:rPr>
      </w:pPr>
      <w:r w:rsidRPr="002A4E09">
        <w:t>В ходе проверки предпринята попытка анализа влияния оказы</w:t>
      </w:r>
      <w:r>
        <w:t xml:space="preserve">ваемой господдержки на развитие </w:t>
      </w:r>
      <w:r w:rsidRPr="002A4E09">
        <w:t>предпринимательства: проанализированы объемы финансировани</w:t>
      </w:r>
      <w:r>
        <w:t>я</w:t>
      </w:r>
      <w:r w:rsidRPr="002A4E09">
        <w:t>, предусмотренные аналогичными подпрограммами</w:t>
      </w:r>
      <w:r w:rsidRPr="002A4E09">
        <w:rPr>
          <w:i/>
        </w:rPr>
        <w:t xml:space="preserve"> «</w:t>
      </w:r>
      <w:r w:rsidRPr="002A4E09">
        <w:rPr>
          <w:rFonts w:eastAsia="Times New Roman"/>
          <w:color w:val="000000"/>
        </w:rPr>
        <w:t>Развитие и государственная поддержка малого и среднего предпринимательства», а также наличие субъектов инфраструктуры поддержки СМСП, информация о которых размещена на сайтах рассматриваемых субъектов РФ.</w:t>
      </w:r>
    </w:p>
    <w:p w:rsidR="00550B1C" w:rsidRDefault="00550B1C" w:rsidP="00550B1C">
      <w:pPr>
        <w:ind w:firstLine="708"/>
        <w:jc w:val="both"/>
      </w:pPr>
      <w:r>
        <w:t xml:space="preserve">Сравнение </w:t>
      </w:r>
      <w:r w:rsidRPr="00DE635D">
        <w:t>объема финансирования, предусмотренн</w:t>
      </w:r>
      <w:r>
        <w:t>ого указанной п</w:t>
      </w:r>
      <w:r w:rsidRPr="00DE635D">
        <w:t>одпрограммой</w:t>
      </w:r>
      <w:r>
        <w:t>, на 1 субъект малого и среднего предпринимательства приведено на диаграмме.</w:t>
      </w:r>
    </w:p>
    <w:p w:rsidR="00550B1C" w:rsidRDefault="00550B1C" w:rsidP="00550B1C">
      <w:pPr>
        <w:jc w:val="both"/>
      </w:pPr>
      <w:r w:rsidRPr="00F43E72">
        <w:rPr>
          <w:noProof/>
        </w:rPr>
        <w:drawing>
          <wp:inline distT="0" distB="0" distL="0" distR="0">
            <wp:extent cx="5946443" cy="2860315"/>
            <wp:effectExtent l="19050" t="0" r="16207" b="0"/>
            <wp:docPr id="11"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550B1C" w:rsidRDefault="00550B1C" w:rsidP="00550B1C">
      <w:pPr>
        <w:ind w:firstLine="708"/>
        <w:jc w:val="both"/>
      </w:pPr>
      <w:r>
        <w:t>Из диаграммы видно, что объем финансирования подпрограммы в 2017 году у всех сравниваемых субъектов (за исключением Воронежской области) меньше, чем в 2016 году, что обусловлено снижением финансирования из федерального бюджета.</w:t>
      </w:r>
    </w:p>
    <w:p w:rsidR="00550B1C" w:rsidRDefault="00550B1C" w:rsidP="00550B1C">
      <w:pPr>
        <w:ind w:firstLine="708"/>
        <w:jc w:val="both"/>
      </w:pPr>
      <w:r>
        <w:t>В</w:t>
      </w:r>
      <w:r w:rsidRPr="00DE635D">
        <w:t xml:space="preserve"> Волгоградской области объем финансирования</w:t>
      </w:r>
      <w:r>
        <w:t xml:space="preserve"> на 1 СМСП составил</w:t>
      </w:r>
      <w:r w:rsidRPr="00DE635D">
        <w:t xml:space="preserve"> в 2016 году</w:t>
      </w:r>
      <w:r>
        <w:t xml:space="preserve"> </w:t>
      </w:r>
      <w:r w:rsidRPr="00DE635D">
        <w:t>–</w:t>
      </w:r>
      <w:r>
        <w:t xml:space="preserve"> 2,1 тыс. руб.</w:t>
      </w:r>
      <w:r w:rsidRPr="00DE635D">
        <w:t>, в 2017 году – 2,</w:t>
      </w:r>
      <w:r>
        <w:t xml:space="preserve">0 тыс. руб. (в среднем за 2 </w:t>
      </w:r>
      <w:proofErr w:type="gramStart"/>
      <w:r>
        <w:t>анализируемых</w:t>
      </w:r>
      <w:proofErr w:type="gramEnd"/>
      <w:r>
        <w:t xml:space="preserve"> года – 2,1 тыс. руб.). Наибольший объем финансирования на 1 СМСП зафиксирован в Белгородской области (в среднем за 2 </w:t>
      </w:r>
      <w:proofErr w:type="gramStart"/>
      <w:r>
        <w:t>анализируемых</w:t>
      </w:r>
      <w:proofErr w:type="gramEnd"/>
      <w:r>
        <w:t xml:space="preserve"> года – 2,7 тыс. руб.) и в Астраханской области (2,2 тыс. руб.). В </w:t>
      </w:r>
      <w:r>
        <w:lastRenderedPageBreak/>
        <w:t>Ростовской и Саратовской областях усредненный показатель сложился на уровне нашего региона. Наименьшие показатели зафиксированы в Краснодарском крае (1,5 тыс. руб.) и Воронежской области (1,3 тыс. руб.).</w:t>
      </w:r>
    </w:p>
    <w:p w:rsidR="00550B1C" w:rsidRDefault="00550B1C" w:rsidP="00550B1C">
      <w:pPr>
        <w:ind w:firstLine="708"/>
        <w:jc w:val="both"/>
      </w:pPr>
      <w:r w:rsidRPr="00C93488">
        <w:t>Таким образом, при наименьшем объеме</w:t>
      </w:r>
      <w:r>
        <w:t xml:space="preserve"> финансирования на подпрограмму в Воронежской области и Краснодарском крае они занимают лидирующие позиции по вышеприведенным анализируемым показателям.</w:t>
      </w:r>
    </w:p>
    <w:p w:rsidR="00550B1C" w:rsidRDefault="00550B1C" w:rsidP="00550B1C">
      <w:pPr>
        <w:ind w:firstLine="708"/>
        <w:jc w:val="both"/>
      </w:pPr>
      <w:r>
        <w:t xml:space="preserve"> В тоже время  Астраханская область, получившая наибольшую финансовую поддержку, занимает по вышеприведенным показателям последние места. </w:t>
      </w:r>
      <w:proofErr w:type="gramStart"/>
      <w:r>
        <w:t xml:space="preserve">В связи с этим </w:t>
      </w:r>
      <w:r w:rsidRPr="001E616D">
        <w:t xml:space="preserve">можно сделать вывод о том, что развитие предпринимательства на территориях регионов не зависит напрямую от </w:t>
      </w:r>
      <w:r>
        <w:t>объемов финансирования</w:t>
      </w:r>
      <w:r w:rsidRPr="001E616D">
        <w:t>, что</w:t>
      </w:r>
      <w:r w:rsidR="002C2D83">
        <w:t xml:space="preserve"> и показала </w:t>
      </w:r>
      <w:r w:rsidRPr="001E616D">
        <w:t>настоящая проверка, так как доля СМСП, получивших господдержку в общем количестве СМСП</w:t>
      </w:r>
      <w:r>
        <w:t>,</w:t>
      </w:r>
      <w:r w:rsidRPr="001E616D">
        <w:t xml:space="preserve"> незначительна.</w:t>
      </w:r>
      <w:proofErr w:type="gramEnd"/>
    </w:p>
    <w:p w:rsidR="00550B1C" w:rsidRDefault="00550B1C" w:rsidP="00550B1C">
      <w:pPr>
        <w:ind w:firstLine="708"/>
        <w:jc w:val="both"/>
        <w:rPr>
          <w:color w:val="000000"/>
        </w:rPr>
      </w:pPr>
      <w:proofErr w:type="gramStart"/>
      <w:r>
        <w:t xml:space="preserve">Полагаем, что на развитие предпринимательства влияют, в том числе следующие факторы: наличие у СМСП </w:t>
      </w:r>
      <w:r w:rsidRPr="00CC2C4E">
        <w:t xml:space="preserve">собственных финансовых ресурсов для обеспечения собственных инвестиционных и оборотных потребностей, административные барьеры, </w:t>
      </w:r>
      <w:r w:rsidR="00046C4B" w:rsidRPr="00A20C70">
        <w:rPr>
          <w:color w:val="000000"/>
        </w:rPr>
        <w:t xml:space="preserve">доступ к </w:t>
      </w:r>
      <w:r w:rsidR="00A20C70" w:rsidRPr="00A20C70">
        <w:rPr>
          <w:color w:val="000000"/>
        </w:rPr>
        <w:t>кредитным средствам</w:t>
      </w:r>
      <w:r w:rsidR="00046C4B" w:rsidRPr="00A20C70">
        <w:rPr>
          <w:color w:val="000000"/>
        </w:rPr>
        <w:t xml:space="preserve">, </w:t>
      </w:r>
      <w:r w:rsidRPr="00A20C70">
        <w:rPr>
          <w:color w:val="000000"/>
        </w:rPr>
        <w:t>спрос на товары и услуги, уровень платежеспособного спро</w:t>
      </w:r>
      <w:r w:rsidRPr="00CC2C4E">
        <w:rPr>
          <w:color w:val="000000"/>
        </w:rPr>
        <w:t>са населения, уровень инфляции, налоговая нагрузка, цены на ресурсы, необходимые малому бизнесу, уровень конкуренции на товарных рынках, степень монополизации рынка и другие.</w:t>
      </w:r>
      <w:proofErr w:type="gramEnd"/>
    </w:p>
    <w:p w:rsidR="00550B1C" w:rsidRDefault="00550B1C" w:rsidP="00550B1C">
      <w:pPr>
        <w:ind w:firstLine="708"/>
        <w:jc w:val="both"/>
      </w:pPr>
      <w:r>
        <w:t xml:space="preserve">Также </w:t>
      </w:r>
      <w:r w:rsidRPr="00684681">
        <w:t xml:space="preserve">по мнению КСП влияет объем и качество предоставляемой господдержки через организации инфраструктуры. </w:t>
      </w:r>
    </w:p>
    <w:p w:rsidR="00550B1C" w:rsidRPr="00684681" w:rsidRDefault="00550B1C" w:rsidP="00550B1C">
      <w:pPr>
        <w:ind w:firstLine="708"/>
        <w:jc w:val="both"/>
        <w:rPr>
          <w:rFonts w:asciiTheme="minorHAnsi" w:hAnsiTheme="minorHAnsi"/>
        </w:rPr>
      </w:pPr>
      <w:r w:rsidRPr="00684681">
        <w:t xml:space="preserve">Анализ количества организаций, составляющих инфраструктуру поддержки СМСП, по регионам показал, что в Волгоградской области </w:t>
      </w:r>
      <w:r>
        <w:t>действует 1</w:t>
      </w:r>
      <w:r w:rsidR="00F53CBB">
        <w:t>1</w:t>
      </w:r>
      <w:r>
        <w:t xml:space="preserve"> ед. инфраструктуры</w:t>
      </w:r>
      <w:r w:rsidR="00F53CBB">
        <w:t xml:space="preserve"> (с учетом координационного совета, уполномоченного по защите прав предпринимателей и общественных объединений предпринимателей)</w:t>
      </w:r>
      <w:r w:rsidRPr="00684681">
        <w:t xml:space="preserve">, что ниже </w:t>
      </w:r>
      <w:r w:rsidR="0026752C">
        <w:t xml:space="preserve">количества организаций инфраструктуры </w:t>
      </w:r>
      <w:r w:rsidRPr="00684681">
        <w:t xml:space="preserve">сравниваемых регионов, за </w:t>
      </w:r>
      <w:r>
        <w:t>исключением Краснодарского края</w:t>
      </w:r>
      <w:r w:rsidRPr="00684681">
        <w:t xml:space="preserve"> (информация представлена в </w:t>
      </w:r>
      <w:r w:rsidRPr="003A314B">
        <w:rPr>
          <w:color w:val="365F91" w:themeColor="accent1" w:themeShade="BF"/>
        </w:rPr>
        <w:t xml:space="preserve">приложении № </w:t>
      </w:r>
      <w:r w:rsidR="003A314B" w:rsidRPr="003A314B">
        <w:rPr>
          <w:color w:val="365F91" w:themeColor="accent1" w:themeShade="BF"/>
        </w:rPr>
        <w:t>9</w:t>
      </w:r>
      <w:r w:rsidR="003A314B">
        <w:t xml:space="preserve"> </w:t>
      </w:r>
      <w:r w:rsidRPr="00684681">
        <w:t xml:space="preserve">к настоящему отчету). При этом в Воронежской области, занимающей лидирующие позиции по обороту организаций, действуют 34 </w:t>
      </w:r>
      <w:r>
        <w:t>ед. инфраструктуры.</w:t>
      </w:r>
      <w:r w:rsidRPr="00A728F5">
        <w:t xml:space="preserve"> </w:t>
      </w:r>
      <w:r>
        <w:t>Наибольшее количество организаций инфраструктуры зафиксировано в Ростовской области (74 ед.) и Саратовской областях (71 ед.), которые по вышеприведенным показателя</w:t>
      </w:r>
      <w:r w:rsidR="00A93337">
        <w:t>м</w:t>
      </w:r>
      <w:r>
        <w:t xml:space="preserve"> опережают Волгоградскую область. </w:t>
      </w:r>
    </w:p>
    <w:p w:rsidR="00550B1C" w:rsidRDefault="00550B1C" w:rsidP="00550B1C">
      <w:pPr>
        <w:autoSpaceDE w:val="0"/>
        <w:autoSpaceDN w:val="0"/>
        <w:adjustRightInd w:val="0"/>
        <w:ind w:firstLine="680"/>
        <w:jc w:val="both"/>
      </w:pPr>
      <w:r>
        <w:t xml:space="preserve">В отношении видов инфраструктуры можно отметить следующее. </w:t>
      </w:r>
      <w:proofErr w:type="gramStart"/>
      <w:r>
        <w:t xml:space="preserve">В Белгородской области, в которой отмечен наибольший рост количества СМСП в 2017 году, и которая  входит в  первую </w:t>
      </w:r>
      <w:r w:rsidRPr="00356BFF">
        <w:t xml:space="preserve">десятку </w:t>
      </w:r>
      <w:r>
        <w:t xml:space="preserve">лидеров среди 82 регионов, </w:t>
      </w:r>
      <w:r w:rsidRPr="00356BFF">
        <w:t>по обороту продукции (услуг) на душу населения</w:t>
      </w:r>
      <w:r>
        <w:t xml:space="preserve">, одним из субъектов инфраструктуры является </w:t>
      </w:r>
      <w:r w:rsidRPr="00E819E6">
        <w:t>Областное государственное бюджетное учреждение «Белгородский региональный ресурсный инновационный центр»</w:t>
      </w:r>
      <w:r>
        <w:t xml:space="preserve">, структурными подразделениями которого являются </w:t>
      </w:r>
      <w:r w:rsidRPr="00425D2D">
        <w:t>инновационный бизнес-инкубатор, Технопарк, Региональный центр инжиниринга, Центр кластерного развития, Центр инновационной социальной</w:t>
      </w:r>
      <w:proofErr w:type="gramEnd"/>
      <w:r w:rsidRPr="00425D2D">
        <w:t xml:space="preserve"> сферы</w:t>
      </w:r>
      <w:r>
        <w:t>.</w:t>
      </w:r>
    </w:p>
    <w:p w:rsidR="00550B1C" w:rsidRPr="00881AD4" w:rsidRDefault="00550B1C" w:rsidP="00550B1C">
      <w:pPr>
        <w:spacing w:after="25"/>
        <w:ind w:firstLine="680"/>
        <w:jc w:val="both"/>
        <w:rPr>
          <w:rFonts w:eastAsia="Times New Roman"/>
        </w:rPr>
      </w:pPr>
      <w:r w:rsidRPr="00881AD4">
        <w:t xml:space="preserve">В Ростовской области действует бизнес-акселератор, осуществляющий содействие в создании </w:t>
      </w:r>
      <w:r w:rsidRPr="00881AD4">
        <w:rPr>
          <w:rFonts w:eastAsia="Times New Roman"/>
        </w:rPr>
        <w:t xml:space="preserve">и продвижении инновационных </w:t>
      </w:r>
      <w:proofErr w:type="spellStart"/>
      <w:r w:rsidRPr="00881AD4">
        <w:rPr>
          <w:rFonts w:eastAsia="Times New Roman"/>
        </w:rPr>
        <w:t>стартапов</w:t>
      </w:r>
      <w:proofErr w:type="spellEnd"/>
      <w:r>
        <w:rPr>
          <w:rFonts w:eastAsia="Times New Roman"/>
        </w:rPr>
        <w:t xml:space="preserve"> (новых коммерческих проектов)</w:t>
      </w:r>
      <w:r w:rsidRPr="00881AD4">
        <w:rPr>
          <w:rFonts w:eastAsia="Times New Roman"/>
        </w:rPr>
        <w:t>, коммерциализации инновационных разработок.</w:t>
      </w:r>
    </w:p>
    <w:p w:rsidR="00550B1C" w:rsidRPr="00EC4B17" w:rsidRDefault="00550B1C" w:rsidP="00550B1C">
      <w:pPr>
        <w:ind w:firstLine="680"/>
        <w:jc w:val="both"/>
        <w:rPr>
          <w:i/>
        </w:rPr>
      </w:pPr>
      <w:r w:rsidRPr="00EC4B17">
        <w:rPr>
          <w:i/>
        </w:rPr>
        <w:t>В связи с изложенным можно сделать вывод, что необходимо создание новых видов инфраструктуры, способствующих увеличению количества СМСП и росту оборота продукции, например, таких как центры кластерного развития, частные промышленные парки</w:t>
      </w:r>
      <w:r w:rsidR="00590E8D">
        <w:rPr>
          <w:i/>
        </w:rPr>
        <w:t xml:space="preserve"> </w:t>
      </w:r>
      <w:proofErr w:type="spellStart"/>
      <w:r w:rsidR="00590E8D">
        <w:rPr>
          <w:i/>
        </w:rPr>
        <w:t>т.д</w:t>
      </w:r>
      <w:proofErr w:type="spellEnd"/>
      <w:proofErr w:type="gramStart"/>
      <w:r w:rsidR="00590E8D">
        <w:rPr>
          <w:i/>
        </w:rPr>
        <w:t xml:space="preserve"> </w:t>
      </w:r>
      <w:r w:rsidRPr="00EC4B17">
        <w:rPr>
          <w:i/>
        </w:rPr>
        <w:t>.</w:t>
      </w:r>
      <w:proofErr w:type="gramEnd"/>
    </w:p>
    <w:p w:rsidR="00550B1C" w:rsidRDefault="00550B1C" w:rsidP="006F5BD3">
      <w:pPr>
        <w:rPr>
          <w:rFonts w:eastAsia="Times New Roman"/>
          <w:bCs/>
          <w:color w:val="000000"/>
        </w:rPr>
      </w:pPr>
      <w:r>
        <w:t xml:space="preserve"> </w:t>
      </w:r>
    </w:p>
    <w:p w:rsidR="00550B1C" w:rsidRPr="00EC4B17" w:rsidRDefault="00EC4B17" w:rsidP="00EC4B17">
      <w:pPr>
        <w:autoSpaceDE w:val="0"/>
        <w:autoSpaceDN w:val="0"/>
        <w:adjustRightInd w:val="0"/>
        <w:ind w:firstLine="680"/>
        <w:jc w:val="center"/>
        <w:rPr>
          <w:rFonts w:eastAsia="Times New Roman"/>
          <w:b/>
          <w:bCs/>
          <w:color w:val="000000"/>
        </w:rPr>
      </w:pPr>
      <w:r w:rsidRPr="00EC4B17">
        <w:rPr>
          <w:rFonts w:eastAsia="Times New Roman"/>
          <w:b/>
          <w:bCs/>
          <w:color w:val="000000"/>
        </w:rPr>
        <w:t>ВЫВОДЫ</w:t>
      </w:r>
    </w:p>
    <w:p w:rsidR="00EC4B17" w:rsidRDefault="00EC4B17" w:rsidP="000F535F">
      <w:pPr>
        <w:autoSpaceDE w:val="0"/>
        <w:autoSpaceDN w:val="0"/>
        <w:adjustRightInd w:val="0"/>
        <w:ind w:firstLine="680"/>
        <w:jc w:val="both"/>
        <w:rPr>
          <w:rFonts w:eastAsia="Times New Roman"/>
          <w:bCs/>
          <w:color w:val="000000"/>
        </w:rPr>
      </w:pPr>
    </w:p>
    <w:p w:rsidR="00EB65D0" w:rsidRPr="00EB65D0" w:rsidRDefault="00EB65D0" w:rsidP="00EB65D0">
      <w:pPr>
        <w:pStyle w:val="ab"/>
        <w:numPr>
          <w:ilvl w:val="0"/>
          <w:numId w:val="45"/>
        </w:numPr>
        <w:autoSpaceDE w:val="0"/>
        <w:autoSpaceDN w:val="0"/>
        <w:adjustRightInd w:val="0"/>
        <w:ind w:left="0" w:firstLine="680"/>
        <w:contextualSpacing/>
        <w:jc w:val="both"/>
        <w:rPr>
          <w:rFonts w:ascii="Times New Roman" w:hAnsi="Times New Roman"/>
          <w:lang w:eastAsia="en-US"/>
        </w:rPr>
      </w:pPr>
      <w:r w:rsidRPr="00EB65D0">
        <w:rPr>
          <w:rFonts w:ascii="Times New Roman" w:hAnsi="Times New Roman"/>
          <w:lang w:eastAsia="en-US"/>
        </w:rPr>
        <w:t>Фактические расходы на исполнение Подпрограммы в 2017 году составили 159,4 млн. руб. (федеральный бюджет – 124,4 млн. руб., областной бюджет – 34,3 млн. руб., местный бюджет – 0,7 млн. руб.), или 99% от планируемого объема финансирования. За анализируемый период (2015-2017 годы) наблюдается сокращение расходов на исполнение мероприятий Подпрограммы (без учета внебюджетных источников) с 484,5 млн. руб. в 2015 году до 159,4 млн. руб. в 2017 году (-67,1%), что в основном связано</w:t>
      </w:r>
      <w:r w:rsidRPr="00EB65D0">
        <w:rPr>
          <w:rFonts w:ascii="Times New Roman" w:hAnsi="Times New Roman"/>
          <w:bCs/>
          <w:lang w:eastAsia="en-US"/>
        </w:rPr>
        <w:t xml:space="preserve"> с </w:t>
      </w:r>
      <w:r w:rsidRPr="00EB65D0">
        <w:rPr>
          <w:rFonts w:ascii="Times New Roman" w:hAnsi="Times New Roman"/>
          <w:lang w:eastAsia="en-US"/>
        </w:rPr>
        <w:t xml:space="preserve">уменьшением  расходов по субсидированию части затрат непосредственно </w:t>
      </w:r>
      <w:r w:rsidRPr="00EB65D0">
        <w:rPr>
          <w:rFonts w:ascii="Times New Roman" w:hAnsi="Times New Roman"/>
          <w:lang w:eastAsia="en-US"/>
        </w:rPr>
        <w:lastRenderedPageBreak/>
        <w:t>СМСП на различные цели. Начиная с 2017 года, господдержка осуществляется через организации инфраструктуры поддержки СМСП.</w:t>
      </w:r>
    </w:p>
    <w:p w:rsidR="00EB65D0" w:rsidRPr="00EB65D0" w:rsidRDefault="00EB65D0" w:rsidP="00EB65D0">
      <w:pPr>
        <w:pStyle w:val="ab"/>
        <w:numPr>
          <w:ilvl w:val="0"/>
          <w:numId w:val="45"/>
        </w:numPr>
        <w:autoSpaceDE w:val="0"/>
        <w:autoSpaceDN w:val="0"/>
        <w:adjustRightInd w:val="0"/>
        <w:ind w:left="0" w:firstLine="680"/>
        <w:contextualSpacing/>
        <w:jc w:val="both"/>
        <w:rPr>
          <w:rFonts w:ascii="Times New Roman" w:hAnsi="Times New Roman"/>
          <w:lang w:eastAsia="en-US"/>
        </w:rPr>
      </w:pPr>
      <w:proofErr w:type="gramStart"/>
      <w:r w:rsidRPr="00EB65D0">
        <w:rPr>
          <w:rFonts w:ascii="Times New Roman" w:hAnsi="Times New Roman"/>
          <w:bCs/>
          <w:iCs/>
          <w:lang w:eastAsia="en-US"/>
        </w:rPr>
        <w:t xml:space="preserve">Инфраструктура поддержки малого и среднего бизнеса представлена </w:t>
      </w:r>
      <w:r w:rsidRPr="00EB65D0">
        <w:rPr>
          <w:rFonts w:ascii="Times New Roman" w:hAnsi="Times New Roman"/>
        </w:rPr>
        <w:t xml:space="preserve">Гарантийным фондом, Микрофинансовым центром, Фондом </w:t>
      </w:r>
      <w:proofErr w:type="spellStart"/>
      <w:r w:rsidRPr="00EB65D0">
        <w:rPr>
          <w:rFonts w:ascii="Times New Roman" w:hAnsi="Times New Roman"/>
        </w:rPr>
        <w:t>микрофинансирования</w:t>
      </w:r>
      <w:proofErr w:type="spellEnd"/>
      <w:r w:rsidRPr="00EB65D0">
        <w:rPr>
          <w:rFonts w:ascii="Times New Roman" w:hAnsi="Times New Roman"/>
          <w:bCs/>
          <w:iCs/>
          <w:lang w:eastAsia="en-US"/>
        </w:rPr>
        <w:t xml:space="preserve"> и ГАУ Бизнес-инкубатор, на базе которого созданы </w:t>
      </w:r>
      <w:r w:rsidRPr="00EB65D0">
        <w:rPr>
          <w:rFonts w:ascii="Times New Roman" w:hAnsi="Times New Roman"/>
        </w:rPr>
        <w:t>ЦИВО, ЦПП и ЦПЭ.</w:t>
      </w:r>
      <w:proofErr w:type="gramEnd"/>
      <w:r w:rsidRPr="00EB65D0">
        <w:rPr>
          <w:rFonts w:ascii="Times New Roman" w:hAnsi="Times New Roman"/>
        </w:rPr>
        <w:t xml:space="preserve"> В анализируемом периоде начал действовать ЦПЭ (создан в мае 2016 года) и Фонд </w:t>
      </w:r>
      <w:proofErr w:type="spellStart"/>
      <w:r w:rsidRPr="00EB65D0">
        <w:rPr>
          <w:rFonts w:ascii="Times New Roman" w:hAnsi="Times New Roman"/>
        </w:rPr>
        <w:t>микрофинансирования</w:t>
      </w:r>
      <w:proofErr w:type="spellEnd"/>
      <w:r w:rsidRPr="00EB65D0">
        <w:rPr>
          <w:rFonts w:ascii="Times New Roman" w:hAnsi="Times New Roman"/>
        </w:rPr>
        <w:t xml:space="preserve"> (создан в июле 2017 года).  </w:t>
      </w:r>
    </w:p>
    <w:p w:rsidR="00EB65D0" w:rsidRDefault="00EB65D0" w:rsidP="00EB65D0">
      <w:pPr>
        <w:pStyle w:val="ab"/>
        <w:numPr>
          <w:ilvl w:val="0"/>
          <w:numId w:val="45"/>
        </w:numPr>
        <w:autoSpaceDE w:val="0"/>
        <w:autoSpaceDN w:val="0"/>
        <w:adjustRightInd w:val="0"/>
        <w:ind w:left="0" w:firstLine="680"/>
        <w:contextualSpacing/>
        <w:jc w:val="both"/>
        <w:rPr>
          <w:rFonts w:ascii="Times New Roman" w:hAnsi="Times New Roman"/>
          <w:lang w:eastAsia="en-US"/>
        </w:rPr>
      </w:pPr>
      <w:r w:rsidRPr="00EB65D0">
        <w:rPr>
          <w:rFonts w:ascii="Times New Roman" w:hAnsi="Times New Roman"/>
        </w:rPr>
        <w:t xml:space="preserve"> Бизнес-инкубатором предоставлялось несколько видов господдержки для СМСП.</w:t>
      </w:r>
    </w:p>
    <w:p w:rsidR="00EB65D0" w:rsidRPr="00EB65D0" w:rsidRDefault="00EB65D0" w:rsidP="00EB65D0">
      <w:pPr>
        <w:ind w:firstLine="680"/>
        <w:jc w:val="center"/>
        <w:rPr>
          <w:b/>
          <w:i/>
        </w:rPr>
      </w:pPr>
      <w:r w:rsidRPr="00EB65D0">
        <w:rPr>
          <w:b/>
          <w:i/>
        </w:rPr>
        <w:t>Предоставление в аренду нежилых помещений и имущества на льготных условиях</w:t>
      </w:r>
    </w:p>
    <w:p w:rsidR="00EB65D0" w:rsidRDefault="00EB65D0" w:rsidP="00EB65D0">
      <w:pPr>
        <w:ind w:firstLine="680"/>
        <w:jc w:val="both"/>
        <w:rPr>
          <w:rFonts w:eastAsiaTheme="minorHAnsi"/>
          <w:iCs/>
        </w:rPr>
      </w:pPr>
      <w:r w:rsidRPr="005C22B6">
        <w:rPr>
          <w:rStyle w:val="af6"/>
        </w:rPr>
        <w:t>3.1.</w:t>
      </w:r>
      <w:r w:rsidRPr="004A050D">
        <w:rPr>
          <w:rStyle w:val="af6"/>
        </w:rPr>
        <w:t xml:space="preserve"> </w:t>
      </w:r>
      <w:r w:rsidRPr="00EB65D0">
        <w:rPr>
          <w:rStyle w:val="af6"/>
          <w:b w:val="0"/>
        </w:rPr>
        <w:t xml:space="preserve">ГАУ Бизнес-инкубатор </w:t>
      </w:r>
      <w:r w:rsidRPr="00EB65D0">
        <w:rPr>
          <w:rFonts w:eastAsiaTheme="minorHAnsi"/>
          <w:lang w:eastAsia="en-US"/>
        </w:rPr>
        <w:t xml:space="preserve">показатели объема и качества </w:t>
      </w:r>
      <w:proofErr w:type="spellStart"/>
      <w:r w:rsidRPr="00EB65D0">
        <w:rPr>
          <w:rFonts w:eastAsiaTheme="minorHAnsi"/>
          <w:lang w:eastAsia="en-US"/>
        </w:rPr>
        <w:t>госуслуги</w:t>
      </w:r>
      <w:proofErr w:type="spellEnd"/>
      <w:r w:rsidRPr="00EB65D0">
        <w:rPr>
          <w:rFonts w:eastAsiaTheme="minorHAnsi"/>
          <w:lang w:eastAsia="en-US"/>
        </w:rPr>
        <w:t xml:space="preserve"> по</w:t>
      </w:r>
      <w:r w:rsidRPr="00EB65D0">
        <w:rPr>
          <w:rFonts w:eastAsiaTheme="minorHAnsi"/>
          <w:b/>
          <w:lang w:eastAsia="en-US"/>
        </w:rPr>
        <w:t xml:space="preserve"> </w:t>
      </w:r>
      <w:r w:rsidRPr="00EB65D0">
        <w:rPr>
          <w:rStyle w:val="af6"/>
          <w:b w:val="0"/>
        </w:rPr>
        <w:t>предоставлению</w:t>
      </w:r>
      <w:r w:rsidRPr="004A050D">
        <w:rPr>
          <w:rStyle w:val="af6"/>
        </w:rPr>
        <w:t xml:space="preserve"> </w:t>
      </w:r>
      <w:r w:rsidRPr="004A050D">
        <w:rPr>
          <w:rFonts w:eastAsiaTheme="minorHAnsi"/>
          <w:lang w:eastAsia="en-US"/>
        </w:rPr>
        <w:t xml:space="preserve">субъектам малого предпринимательства </w:t>
      </w:r>
      <w:r w:rsidRPr="00EB65D0">
        <w:rPr>
          <w:rStyle w:val="af6"/>
          <w:b w:val="0"/>
        </w:rPr>
        <w:t>имущественной поддержки</w:t>
      </w:r>
      <w:r w:rsidRPr="004A050D">
        <w:rPr>
          <w:rFonts w:eastAsiaTheme="minorHAnsi"/>
          <w:lang w:eastAsia="en-US"/>
        </w:rPr>
        <w:t xml:space="preserve"> в 2015-2017 годах выполнены. Вместе с тем проверка показала, что </w:t>
      </w:r>
      <w:r w:rsidRPr="00591CF6">
        <w:t>в 2016 году показател</w:t>
      </w:r>
      <w:r w:rsidR="00150EA4">
        <w:t>ь</w:t>
      </w:r>
      <w:r w:rsidRPr="00591CF6">
        <w:t xml:space="preserve"> «площадь помещений, предоставленных СМСП» необоснованно завышен на 461,7 кв</w:t>
      </w:r>
      <w:proofErr w:type="gramStart"/>
      <w:r w:rsidRPr="00591CF6">
        <w:t>.м</w:t>
      </w:r>
      <w:proofErr w:type="gramEnd"/>
      <w:r w:rsidRPr="00591CF6">
        <w:t xml:space="preserve"> </w:t>
      </w:r>
      <w:r w:rsidRPr="00733788">
        <w:t>в результате</w:t>
      </w:r>
      <w:r w:rsidRPr="00733788">
        <w:rPr>
          <w:rFonts w:eastAsiaTheme="minorHAnsi"/>
          <w:iCs/>
        </w:rPr>
        <w:t xml:space="preserve"> включения площади предоставленных в почасовую аренду помещений актового зала и переговорной комнаты, которые не учитывались в плановом показателе (показатель не исполнен на 27,1%),</w:t>
      </w:r>
      <w:r w:rsidRPr="00733788">
        <w:t xml:space="preserve"> а в 2017 году его исполнение «искусственно» </w:t>
      </w:r>
      <w:r>
        <w:t>завышено</w:t>
      </w:r>
      <w:r w:rsidRPr="00733788">
        <w:t xml:space="preserve"> в результате «</w:t>
      </w:r>
      <w:proofErr w:type="spellStart"/>
      <w:r w:rsidRPr="00733788">
        <w:t>задвоения</w:t>
      </w:r>
      <w:proofErr w:type="spellEnd"/>
      <w:r w:rsidRPr="00733788">
        <w:t xml:space="preserve">» площадей на </w:t>
      </w:r>
      <w:r w:rsidRPr="00733788">
        <w:rPr>
          <w:rFonts w:eastAsia="Times New Roman"/>
        </w:rPr>
        <w:t xml:space="preserve">473,9 кв. м (расчет производился с учетом </w:t>
      </w:r>
      <w:r w:rsidRPr="00733788">
        <w:rPr>
          <w:rFonts w:eastAsiaTheme="minorHAnsi"/>
          <w:iCs/>
        </w:rPr>
        <w:t>заключенных с несколькими</w:t>
      </w:r>
      <w:r>
        <w:rPr>
          <w:rFonts w:eastAsiaTheme="minorHAnsi"/>
          <w:iCs/>
        </w:rPr>
        <w:t xml:space="preserve"> арендаторами договоров аренды на одни и те же помещения в течение года).</w:t>
      </w:r>
    </w:p>
    <w:p w:rsidR="00EB65D0" w:rsidRPr="00591CF6" w:rsidRDefault="00EB65D0" w:rsidP="00EB65D0">
      <w:pPr>
        <w:autoSpaceDE w:val="0"/>
        <w:autoSpaceDN w:val="0"/>
        <w:adjustRightInd w:val="0"/>
        <w:ind w:firstLine="680"/>
        <w:jc w:val="both"/>
      </w:pPr>
      <w:r w:rsidRPr="00591CF6">
        <w:rPr>
          <w:rFonts w:eastAsia="Times New Roman"/>
        </w:rPr>
        <w:t>На момент проведения проверки</w:t>
      </w:r>
      <w:r w:rsidRPr="00591CF6">
        <w:t xml:space="preserve"> (31.05.2018) были свободными 44 помещения площадью 928,1 кв. м, или 55,8% от общей площади помещений, подлежащих сдаче в аренду. </w:t>
      </w:r>
      <w:proofErr w:type="gramStart"/>
      <w:r w:rsidRPr="00591CF6">
        <w:t>Низкая</w:t>
      </w:r>
      <w:proofErr w:type="gramEnd"/>
      <w:r w:rsidRPr="00591CF6">
        <w:t xml:space="preserve"> </w:t>
      </w:r>
      <w:proofErr w:type="spellStart"/>
      <w:r w:rsidRPr="00591CF6">
        <w:t>заполняемость</w:t>
      </w:r>
      <w:proofErr w:type="spellEnd"/>
      <w:r w:rsidRPr="00591CF6">
        <w:t xml:space="preserve"> помещений приводит к неэффективному использованию государственного имущества и </w:t>
      </w:r>
      <w:proofErr w:type="spellStart"/>
      <w:r w:rsidRPr="00591CF6">
        <w:t>недополучению</w:t>
      </w:r>
      <w:proofErr w:type="spellEnd"/>
      <w:r w:rsidRPr="00591CF6">
        <w:t xml:space="preserve"> доходов от сдачи в аренду помещений и прочего имущества (за 2016-2017 - порядка 250,0 тыс. руб., резерв доходов на 2018 год составляет 286,8 тыс. руб.).</w:t>
      </w:r>
    </w:p>
    <w:p w:rsidR="00EB65D0" w:rsidRPr="00591CF6" w:rsidRDefault="00EB65D0" w:rsidP="00EB65D0">
      <w:pPr>
        <w:ind w:firstLine="680"/>
        <w:jc w:val="both"/>
      </w:pPr>
      <w:r w:rsidRPr="00591CF6">
        <w:t xml:space="preserve">По мнению КСП причинами сложившейся ситуации в  использовании государственного  имущества является отсутствие спроса на помещения </w:t>
      </w:r>
      <w:proofErr w:type="spellStart"/>
      <w:proofErr w:type="gramStart"/>
      <w:r w:rsidRPr="00591CF6">
        <w:t>бизнес-инкубатора</w:t>
      </w:r>
      <w:proofErr w:type="spellEnd"/>
      <w:proofErr w:type="gramEnd"/>
      <w:r w:rsidRPr="00591CF6">
        <w:t xml:space="preserve"> у арендаторов в связи с ограничением видов деятельности потенциальных резидентов </w:t>
      </w:r>
      <w:proofErr w:type="spellStart"/>
      <w:r w:rsidRPr="00591CF6">
        <w:t>бизнес-инкубатора</w:t>
      </w:r>
      <w:proofErr w:type="spellEnd"/>
      <w:r w:rsidRPr="00591CF6">
        <w:t xml:space="preserve">, а также неудобным местонахождением ГАУ </w:t>
      </w:r>
      <w:proofErr w:type="spellStart"/>
      <w:r w:rsidRPr="00591CF6">
        <w:t>Бизнес-инкубатора</w:t>
      </w:r>
      <w:proofErr w:type="spellEnd"/>
      <w:r w:rsidRPr="00591CF6">
        <w:t xml:space="preserve"> (в промышленной зоне г. Волжского).</w:t>
      </w:r>
    </w:p>
    <w:p w:rsidR="00EB65D0" w:rsidRPr="00591CF6" w:rsidRDefault="00EB65D0" w:rsidP="00EB65D0">
      <w:pPr>
        <w:ind w:firstLine="680"/>
        <w:jc w:val="both"/>
      </w:pPr>
      <w:r w:rsidRPr="00591CF6">
        <w:t xml:space="preserve">По результатам Проверки КСП за 2012-2014 годы было предложено Администрации Волгоградской области рассмотреть вопрос о смене  месторасположения </w:t>
      </w:r>
      <w:proofErr w:type="spellStart"/>
      <w:proofErr w:type="gramStart"/>
      <w:r w:rsidRPr="00591CF6">
        <w:t>Бизнес-инкубатора</w:t>
      </w:r>
      <w:proofErr w:type="spellEnd"/>
      <w:proofErr w:type="gramEnd"/>
      <w:r w:rsidRPr="00591CF6">
        <w:t xml:space="preserve"> и (или) создания по возможности </w:t>
      </w:r>
      <w:proofErr w:type="spellStart"/>
      <w:r w:rsidRPr="00591CF6">
        <w:t>Бизнес-инкубатора</w:t>
      </w:r>
      <w:proofErr w:type="spellEnd"/>
      <w:r w:rsidRPr="00591CF6">
        <w:t xml:space="preserve"> в черте г. Волгограда. Однако в результате недостаточно оперативной работы органов исполнительной власти</w:t>
      </w:r>
      <w:r w:rsidRPr="00591CF6">
        <w:rPr>
          <w:i/>
        </w:rPr>
        <w:t xml:space="preserve"> </w:t>
      </w:r>
      <w:r w:rsidRPr="00591CF6">
        <w:t xml:space="preserve">до настоящего времени  бизнес-инкубатор в </w:t>
      </w:r>
      <w:proofErr w:type="gramStart"/>
      <w:r w:rsidRPr="00591CF6">
        <w:t>г</w:t>
      </w:r>
      <w:proofErr w:type="gramEnd"/>
      <w:r w:rsidRPr="00591CF6">
        <w:t>. Волгограде не создан.</w:t>
      </w:r>
    </w:p>
    <w:p w:rsidR="00EB65D0" w:rsidRPr="00EB65D0" w:rsidRDefault="00EB65D0" w:rsidP="00EB65D0">
      <w:pPr>
        <w:pStyle w:val="ab"/>
        <w:numPr>
          <w:ilvl w:val="1"/>
          <w:numId w:val="45"/>
        </w:numPr>
        <w:ind w:left="0" w:firstLine="680"/>
        <w:contextualSpacing/>
        <w:jc w:val="both"/>
        <w:rPr>
          <w:rFonts w:ascii="Times New Roman" w:hAnsi="Times New Roman"/>
        </w:rPr>
      </w:pPr>
      <w:r w:rsidRPr="00EB65D0">
        <w:rPr>
          <w:rFonts w:ascii="Times New Roman" w:hAnsi="Times New Roman"/>
        </w:rPr>
        <w:t xml:space="preserve">Всего в 2015 году – мае 2018 года арендовали помещения 50 СМСП, что составляет </w:t>
      </w:r>
      <w:r w:rsidRPr="00EB65D0">
        <w:rPr>
          <w:rFonts w:ascii="Times New Roman" w:eastAsia="Times New Roman" w:hAnsi="Times New Roman"/>
        </w:rPr>
        <w:t xml:space="preserve">крайне малую долю от СМСП, </w:t>
      </w:r>
      <w:proofErr w:type="gramStart"/>
      <w:r w:rsidRPr="00EB65D0">
        <w:rPr>
          <w:rFonts w:ascii="Times New Roman" w:eastAsia="Times New Roman" w:hAnsi="Times New Roman"/>
        </w:rPr>
        <w:t>зарегистрированных</w:t>
      </w:r>
      <w:proofErr w:type="gramEnd"/>
      <w:r w:rsidRPr="00EB65D0">
        <w:rPr>
          <w:rFonts w:ascii="Times New Roman" w:eastAsia="Times New Roman" w:hAnsi="Times New Roman"/>
        </w:rPr>
        <w:t xml:space="preserve"> на территории Волгоградской области</w:t>
      </w:r>
      <w:r w:rsidRPr="00EB65D0">
        <w:rPr>
          <w:rFonts w:ascii="Times New Roman" w:hAnsi="Times New Roman"/>
        </w:rPr>
        <w:t>. Из них  10 СМСП (20% от общего количества) прекратили свою деятельность.</w:t>
      </w:r>
    </w:p>
    <w:p w:rsidR="00EB65D0" w:rsidRDefault="00EB65D0" w:rsidP="00EB65D0">
      <w:pPr>
        <w:pStyle w:val="ab"/>
        <w:numPr>
          <w:ilvl w:val="1"/>
          <w:numId w:val="45"/>
        </w:numPr>
        <w:ind w:left="0" w:firstLine="680"/>
        <w:contextualSpacing/>
        <w:jc w:val="both"/>
        <w:rPr>
          <w:rFonts w:ascii="Times New Roman" w:hAnsi="Times New Roman"/>
        </w:rPr>
      </w:pPr>
      <w:r w:rsidRPr="00EB65D0">
        <w:rPr>
          <w:rFonts w:ascii="Times New Roman" w:hAnsi="Times New Roman"/>
        </w:rPr>
        <w:t>Установлены отдельные недостатки в работе ГАУ Бизнес-инкубатор, влияющие на недопоступление доходов от приносящей доход деятельности (</w:t>
      </w:r>
      <w:r w:rsidRPr="00EB65D0">
        <w:rPr>
          <w:rFonts w:ascii="Times New Roman" w:hAnsi="Times New Roman"/>
          <w:color w:val="000000"/>
        </w:rPr>
        <w:t xml:space="preserve">несвоевременное заключение договоров аренды, </w:t>
      </w:r>
      <w:r w:rsidRPr="00EB65D0">
        <w:rPr>
          <w:rFonts w:ascii="Times New Roman" w:hAnsi="Times New Roman"/>
        </w:rPr>
        <w:t xml:space="preserve">формирование стоимости возмещаемых коммунальных и эксплуатационных услуг по договорам аренды  не в полном объеме, недостаточная работа ГАУ </w:t>
      </w:r>
      <w:proofErr w:type="spellStart"/>
      <w:proofErr w:type="gramStart"/>
      <w:r w:rsidRPr="00EB65D0">
        <w:rPr>
          <w:rFonts w:ascii="Times New Roman" w:hAnsi="Times New Roman"/>
        </w:rPr>
        <w:t>Бизнес-инкубатора</w:t>
      </w:r>
      <w:proofErr w:type="spellEnd"/>
      <w:proofErr w:type="gramEnd"/>
      <w:r w:rsidRPr="00EB65D0">
        <w:rPr>
          <w:rFonts w:ascii="Times New Roman" w:hAnsi="Times New Roman"/>
        </w:rPr>
        <w:t xml:space="preserve"> по взысканию дебиторской задолженности на общую сумму 0,4 млн. руб.).</w:t>
      </w:r>
    </w:p>
    <w:p w:rsidR="00EB65D0" w:rsidRPr="00EB65D0" w:rsidRDefault="00EB65D0" w:rsidP="00EB65D0">
      <w:pPr>
        <w:pStyle w:val="ab"/>
        <w:ind w:left="360"/>
        <w:jc w:val="center"/>
        <w:rPr>
          <w:rFonts w:ascii="Times New Roman" w:hAnsi="Times New Roman"/>
          <w:b/>
          <w:i/>
        </w:rPr>
      </w:pPr>
      <w:r w:rsidRPr="00EB65D0">
        <w:rPr>
          <w:rFonts w:ascii="Times New Roman" w:hAnsi="Times New Roman"/>
          <w:b/>
          <w:i/>
        </w:rPr>
        <w:t>Оказание господдержки через ЦПП, ЦИВО, ЦПЭ</w:t>
      </w:r>
    </w:p>
    <w:p w:rsidR="00EB65D0" w:rsidRPr="00EB65D0" w:rsidRDefault="00EB65D0" w:rsidP="00EB65D0">
      <w:pPr>
        <w:pStyle w:val="ab"/>
        <w:numPr>
          <w:ilvl w:val="1"/>
          <w:numId w:val="45"/>
        </w:numPr>
        <w:ind w:left="0" w:firstLine="680"/>
        <w:contextualSpacing/>
        <w:jc w:val="both"/>
        <w:rPr>
          <w:rFonts w:ascii="Times New Roman" w:hAnsi="Times New Roman"/>
        </w:rPr>
      </w:pPr>
      <w:r w:rsidRPr="00EB65D0">
        <w:rPr>
          <w:rFonts w:ascii="Times New Roman" w:hAnsi="Times New Roman"/>
        </w:rPr>
        <w:t xml:space="preserve">Финансирование центров проводилось за счет средств субсидии на госзадание (областной бюджет) и субсидии на иные цели (федеральный бюджет), на которую приходится наибольший объем (в 2017 году 79,8% от общего объема финансирования). </w:t>
      </w:r>
      <w:proofErr w:type="gramStart"/>
      <w:r w:rsidRPr="00EB65D0">
        <w:rPr>
          <w:rFonts w:ascii="Times New Roman" w:hAnsi="Times New Roman"/>
        </w:rPr>
        <w:t>Кассовые расходы на содержание центров в 2017</w:t>
      </w:r>
      <w:r w:rsidR="009D4847">
        <w:rPr>
          <w:rFonts w:ascii="Times New Roman" w:hAnsi="Times New Roman"/>
        </w:rPr>
        <w:t xml:space="preserve"> году</w:t>
      </w:r>
      <w:r w:rsidRPr="00EB65D0">
        <w:rPr>
          <w:rFonts w:ascii="Times New Roman" w:hAnsi="Times New Roman"/>
        </w:rPr>
        <w:t xml:space="preserve"> осуществлены на общую сумму 82,8 млн. руб., или на 75,3% от суммы поступивших субсидий с учетом остатка средств на начало года в размере 57,3 млн. руб.).</w:t>
      </w:r>
      <w:proofErr w:type="gramEnd"/>
      <w:r w:rsidRPr="00EB65D0">
        <w:rPr>
          <w:rFonts w:ascii="Times New Roman" w:hAnsi="Times New Roman"/>
          <w:bCs/>
        </w:rPr>
        <w:t xml:space="preserve"> </w:t>
      </w:r>
      <w:r w:rsidRPr="00EB65D0">
        <w:rPr>
          <w:rStyle w:val="af6"/>
          <w:rFonts w:ascii="Times New Roman" w:hAnsi="Times New Roman"/>
        </w:rPr>
        <w:t xml:space="preserve">На 01.01.2018 </w:t>
      </w:r>
      <w:r w:rsidRPr="00EB65D0">
        <w:rPr>
          <w:rFonts w:ascii="Times New Roman" w:hAnsi="Times New Roman"/>
          <w:bCs/>
        </w:rPr>
        <w:t xml:space="preserve">остаток средств субсидий составил 27,1 млн. руб., из которого субсидии на иные цели 25,2 млн. руб. (в т.ч. </w:t>
      </w:r>
      <w:r w:rsidRPr="00EB65D0">
        <w:rPr>
          <w:rFonts w:ascii="Times New Roman" w:eastAsia="Times New Roman" w:hAnsi="Times New Roman"/>
          <w:bCs/>
          <w:iCs/>
        </w:rPr>
        <w:t xml:space="preserve">по субсидиям, предоставленным в 2014-2016 годах, – 14,6 млн. руб.). Наличие остатков обусловлено </w:t>
      </w:r>
      <w:r w:rsidRPr="00EB65D0">
        <w:rPr>
          <w:rFonts w:ascii="Times New Roman" w:hAnsi="Times New Roman"/>
          <w:bCs/>
        </w:rPr>
        <w:t xml:space="preserve"> сложившейся экономией </w:t>
      </w:r>
      <w:r w:rsidRPr="00EB65D0">
        <w:rPr>
          <w:rFonts w:ascii="Times New Roman" w:hAnsi="Times New Roman"/>
        </w:rPr>
        <w:t>денежных сре</w:t>
      </w:r>
      <w:proofErr w:type="gramStart"/>
      <w:r w:rsidRPr="00EB65D0">
        <w:rPr>
          <w:rFonts w:ascii="Times New Roman" w:hAnsi="Times New Roman"/>
        </w:rPr>
        <w:t>дств пр</w:t>
      </w:r>
      <w:proofErr w:type="gramEnd"/>
      <w:r w:rsidRPr="00EB65D0">
        <w:rPr>
          <w:rFonts w:ascii="Times New Roman" w:hAnsi="Times New Roman"/>
        </w:rPr>
        <w:t>и отборе поставщиков услуг, предложивших наименьшую цену, а также отсутствием потребности в ней по отдельным направлениям расходования субсидии на иные цели.</w:t>
      </w:r>
    </w:p>
    <w:p w:rsidR="00EB65D0" w:rsidRPr="00EB65D0" w:rsidRDefault="00EB65D0" w:rsidP="00EB65D0">
      <w:pPr>
        <w:pStyle w:val="ab"/>
        <w:numPr>
          <w:ilvl w:val="1"/>
          <w:numId w:val="45"/>
        </w:numPr>
        <w:ind w:left="0" w:firstLine="680"/>
        <w:contextualSpacing/>
        <w:jc w:val="both"/>
        <w:rPr>
          <w:rFonts w:ascii="Times New Roman" w:hAnsi="Times New Roman"/>
        </w:rPr>
      </w:pPr>
      <w:r w:rsidRPr="00EB65D0">
        <w:rPr>
          <w:rFonts w:ascii="Times New Roman" w:hAnsi="Times New Roman"/>
        </w:rPr>
        <w:t xml:space="preserve">Показатели </w:t>
      </w:r>
      <w:proofErr w:type="spellStart"/>
      <w:r w:rsidRPr="00EB65D0">
        <w:rPr>
          <w:rFonts w:ascii="Times New Roman" w:hAnsi="Times New Roman"/>
        </w:rPr>
        <w:t>госзадания</w:t>
      </w:r>
      <w:proofErr w:type="spellEnd"/>
      <w:r w:rsidRPr="00EB65D0">
        <w:rPr>
          <w:rFonts w:ascii="Times New Roman" w:hAnsi="Times New Roman"/>
        </w:rPr>
        <w:t xml:space="preserve">, характеризующие объем предоставленной услуги и ее качество, а также показатели </w:t>
      </w:r>
      <w:r w:rsidRPr="00EB65D0">
        <w:rPr>
          <w:rFonts w:ascii="Times New Roman" w:eastAsia="Times New Roman" w:hAnsi="Times New Roman"/>
        </w:rPr>
        <w:t xml:space="preserve">результативности исполнения мероприятий, в целях софинансирования </w:t>
      </w:r>
      <w:r w:rsidRPr="00EB65D0">
        <w:rPr>
          <w:rFonts w:ascii="Times New Roman" w:eastAsia="Times New Roman" w:hAnsi="Times New Roman"/>
        </w:rPr>
        <w:lastRenderedPageBreak/>
        <w:t>которых предоставляется субсидия на иные цели, выполнены. Вместе с тем не</w:t>
      </w:r>
      <w:r w:rsidRPr="00EB65D0">
        <w:rPr>
          <w:rFonts w:ascii="Times New Roman" w:hAnsi="Times New Roman"/>
        </w:rPr>
        <w:t xml:space="preserve"> обеспечена объективная оценка</w:t>
      </w:r>
      <w:r w:rsidRPr="00EB65D0">
        <w:rPr>
          <w:rFonts w:ascii="Times New Roman" w:eastAsia="Times New Roman" w:hAnsi="Times New Roman"/>
        </w:rPr>
        <w:t xml:space="preserve"> эффективности оказываемой господдержки и искажается представление о результатах реализации мероприятий через ЦПП, ЦИВО и ЦПЭ, так как:</w:t>
      </w:r>
    </w:p>
    <w:p w:rsidR="00EB65D0" w:rsidRPr="00EB65D0" w:rsidRDefault="00EB65D0" w:rsidP="00EB65D0">
      <w:pPr>
        <w:ind w:firstLine="680"/>
        <w:jc w:val="both"/>
      </w:pPr>
      <w:r w:rsidRPr="00EB65D0">
        <w:t xml:space="preserve">- выполнение показателя «количество вновь созданных рабочих мест» (в 2017 году план составил – 345 ед., факт – 989 ед.) формируется на момент оказания господдержки (или в момент обращения за господдержкой до ее получения), что никаким образом не связано с господдержкой. </w:t>
      </w:r>
      <w:r w:rsidRPr="00EB65D0">
        <w:rPr>
          <w:rFonts w:eastAsia="Times New Roman"/>
        </w:rPr>
        <w:t xml:space="preserve">Кроме того, проводимые в целом ЦПП мероприятия и осуществляемые ЦИВО и ЦПЭ отдельные мероприятия не влияют на этот показатель; </w:t>
      </w:r>
    </w:p>
    <w:p w:rsidR="00EB65D0" w:rsidRPr="00EB65D0" w:rsidRDefault="00EB65D0" w:rsidP="00EB65D0">
      <w:pPr>
        <w:ind w:firstLine="680"/>
        <w:jc w:val="both"/>
        <w:rPr>
          <w:rFonts w:eastAsia="Times New Roman"/>
        </w:rPr>
      </w:pPr>
      <w:r w:rsidRPr="00EB65D0">
        <w:rPr>
          <w:rFonts w:eastAsia="Times New Roman"/>
        </w:rPr>
        <w:t xml:space="preserve">- достоверность отдельных показателей, характеризующих экономическую деятельность СМСП (количество созданных рабочих мест, прирост среднесписочной численности, увеличение оборота СМСП и т.д.) вызывает сомнение, так как они предоставляются СМСП без подтверждения какими-либо документами (например, документами бухгалтерской и статистической отчетности). Также указанные показатели (в части деятельности ЦИВО)  формируются не по большинству СМСП, </w:t>
      </w:r>
      <w:proofErr w:type="gramStart"/>
      <w:r w:rsidRPr="00EB65D0">
        <w:rPr>
          <w:rFonts w:eastAsia="Times New Roman"/>
        </w:rPr>
        <w:t>получивших</w:t>
      </w:r>
      <w:proofErr w:type="gramEnd"/>
      <w:r w:rsidRPr="00EB65D0">
        <w:rPr>
          <w:rFonts w:eastAsia="Times New Roman"/>
        </w:rPr>
        <w:t xml:space="preserve"> поддержку.</w:t>
      </w:r>
    </w:p>
    <w:p w:rsidR="00EB65D0" w:rsidRDefault="00EB65D0" w:rsidP="00EB65D0">
      <w:pPr>
        <w:ind w:firstLine="680"/>
        <w:jc w:val="both"/>
        <w:rPr>
          <w:rFonts w:eastAsiaTheme="minorHAnsi"/>
        </w:rPr>
      </w:pPr>
      <w:r w:rsidRPr="005C22B6">
        <w:rPr>
          <w:rFonts w:ascii="PT Sans" w:eastAsia="Times New Roman" w:hAnsi="PT Sans"/>
          <w:b/>
        </w:rPr>
        <w:t>3.6.</w:t>
      </w:r>
      <w:r w:rsidRPr="005231F8">
        <w:t xml:space="preserve"> В</w:t>
      </w:r>
      <w:r w:rsidRPr="005231F8">
        <w:rPr>
          <w:rFonts w:eastAsia="Times New Roman"/>
        </w:rPr>
        <w:t xml:space="preserve"> размещенном на сайте </w:t>
      </w:r>
      <w:proofErr w:type="spellStart"/>
      <w:r w:rsidRPr="005231F8">
        <w:rPr>
          <w:rFonts w:eastAsiaTheme="minorHAnsi"/>
        </w:rPr>
        <w:t>Об</w:t>
      </w:r>
      <w:r>
        <w:rPr>
          <w:rFonts w:eastAsiaTheme="minorHAnsi"/>
        </w:rPr>
        <w:t>л</w:t>
      </w:r>
      <w:r w:rsidRPr="005231F8">
        <w:rPr>
          <w:rFonts w:eastAsiaTheme="minorHAnsi"/>
        </w:rPr>
        <w:t>комэкономразвития</w:t>
      </w:r>
      <w:proofErr w:type="spellEnd"/>
      <w:r w:rsidRPr="005231F8">
        <w:rPr>
          <w:rFonts w:eastAsiaTheme="minorHAnsi"/>
        </w:rPr>
        <w:t xml:space="preserve"> реестре </w:t>
      </w:r>
      <w:proofErr w:type="spellStart"/>
      <w:r w:rsidRPr="005231F8">
        <w:rPr>
          <w:rFonts w:eastAsiaTheme="minorHAnsi"/>
        </w:rPr>
        <w:t>СМСП-получателей</w:t>
      </w:r>
      <w:proofErr w:type="spellEnd"/>
      <w:r w:rsidRPr="005231F8">
        <w:rPr>
          <w:rFonts w:eastAsiaTheme="minorHAnsi"/>
        </w:rPr>
        <w:t xml:space="preserve"> поддержки на момент начала проверки (31.05.2018) не была размещена информация о СМСП, </w:t>
      </w:r>
      <w:proofErr w:type="gramStart"/>
      <w:r w:rsidRPr="005231F8">
        <w:rPr>
          <w:rFonts w:eastAsiaTheme="minorHAnsi"/>
        </w:rPr>
        <w:t>получивших</w:t>
      </w:r>
      <w:proofErr w:type="gramEnd"/>
      <w:r w:rsidRPr="005231F8">
        <w:rPr>
          <w:rFonts w:eastAsiaTheme="minorHAnsi"/>
        </w:rPr>
        <w:t xml:space="preserve"> господдержку через ЦПЭ, чем не обеспечено </w:t>
      </w:r>
      <w:r w:rsidRPr="005231F8">
        <w:rPr>
          <w:rFonts w:eastAsiaTheme="minorHAnsi"/>
          <w:lang w:eastAsia="en-US"/>
        </w:rPr>
        <w:t xml:space="preserve">исполнение п. 3 ст. 8 Закона № 209-ФЗ. </w:t>
      </w:r>
      <w:r w:rsidRPr="005231F8">
        <w:rPr>
          <w:rFonts w:eastAsiaTheme="minorHAnsi"/>
        </w:rPr>
        <w:t xml:space="preserve">В ходе проверки ГАУ Бизнес-инкубатор </w:t>
      </w:r>
      <w:proofErr w:type="spellStart"/>
      <w:r w:rsidRPr="005231F8">
        <w:rPr>
          <w:rFonts w:eastAsiaTheme="minorHAnsi"/>
        </w:rPr>
        <w:t>Облкомэкономразвития</w:t>
      </w:r>
      <w:proofErr w:type="spellEnd"/>
      <w:r w:rsidRPr="005231F8">
        <w:rPr>
          <w:rFonts w:eastAsiaTheme="minorHAnsi"/>
        </w:rPr>
        <w:t xml:space="preserve"> указанный реестр был обновлен и дополнен сведениями о получателях господдержки через ЦПЭ.</w:t>
      </w:r>
    </w:p>
    <w:p w:rsidR="00EB65D0" w:rsidRPr="00EB65D0" w:rsidRDefault="00EB65D0" w:rsidP="00EB65D0">
      <w:pPr>
        <w:pStyle w:val="ab"/>
        <w:numPr>
          <w:ilvl w:val="0"/>
          <w:numId w:val="46"/>
        </w:numPr>
        <w:ind w:left="0" w:firstLine="709"/>
        <w:contextualSpacing/>
        <w:jc w:val="both"/>
        <w:rPr>
          <w:rFonts w:ascii="Times New Roman" w:hAnsi="Times New Roman"/>
          <w:b/>
        </w:rPr>
      </w:pPr>
      <w:r w:rsidRPr="00EB65D0">
        <w:rPr>
          <w:rFonts w:ascii="Times New Roman" w:hAnsi="Times New Roman"/>
          <w:b/>
        </w:rPr>
        <w:t xml:space="preserve">Деятельность </w:t>
      </w:r>
      <w:proofErr w:type="spellStart"/>
      <w:r w:rsidRPr="00EB65D0">
        <w:rPr>
          <w:rFonts w:ascii="Times New Roman" w:hAnsi="Times New Roman"/>
          <w:b/>
        </w:rPr>
        <w:t>Микрофинансовго</w:t>
      </w:r>
      <w:proofErr w:type="spellEnd"/>
      <w:r w:rsidRPr="00EB65D0">
        <w:rPr>
          <w:rFonts w:ascii="Times New Roman" w:hAnsi="Times New Roman"/>
          <w:b/>
        </w:rPr>
        <w:t xml:space="preserve"> центра характеризуется следующим:</w:t>
      </w:r>
    </w:p>
    <w:p w:rsidR="00EB65D0" w:rsidRPr="00EB65D0" w:rsidRDefault="00EB65D0" w:rsidP="00EB65D0">
      <w:pPr>
        <w:pStyle w:val="ab"/>
        <w:numPr>
          <w:ilvl w:val="1"/>
          <w:numId w:val="46"/>
        </w:numPr>
        <w:ind w:left="0" w:firstLine="680"/>
        <w:contextualSpacing/>
        <w:jc w:val="both"/>
        <w:rPr>
          <w:rFonts w:ascii="Times New Roman" w:hAnsi="Times New Roman"/>
        </w:rPr>
      </w:pPr>
      <w:r w:rsidRPr="00EB65D0">
        <w:rPr>
          <w:rFonts w:ascii="Times New Roman" w:hAnsi="Times New Roman"/>
          <w:b/>
        </w:rPr>
        <w:t xml:space="preserve"> </w:t>
      </w:r>
      <w:r w:rsidRPr="00EB65D0">
        <w:rPr>
          <w:rFonts w:ascii="Times New Roman" w:hAnsi="Times New Roman"/>
        </w:rPr>
        <w:t xml:space="preserve">Для выдачи займов Микрофинансовым центром сформирован фонд </w:t>
      </w:r>
      <w:proofErr w:type="spellStart"/>
      <w:r w:rsidRPr="00EB65D0">
        <w:rPr>
          <w:rFonts w:ascii="Times New Roman" w:hAnsi="Times New Roman"/>
        </w:rPr>
        <w:t>микрофинансирования</w:t>
      </w:r>
      <w:proofErr w:type="spellEnd"/>
      <w:r w:rsidRPr="00EB65D0">
        <w:rPr>
          <w:rFonts w:ascii="Times New Roman" w:hAnsi="Times New Roman"/>
        </w:rPr>
        <w:t xml:space="preserve"> в размере 242,5 млн. руб., в том числе 240 млн. руб. бюджетных средств (165 млн. руб. из федерального бюджета и 75 млн. руб. из областного бюджета) и 2,5 млн. руб. внебюджетных средств (за счет доходов организации). </w:t>
      </w:r>
      <w:proofErr w:type="gramStart"/>
      <w:r w:rsidRPr="00EB65D0">
        <w:rPr>
          <w:rFonts w:ascii="Times New Roman" w:hAnsi="Times New Roman"/>
        </w:rPr>
        <w:t>Из них в 2015 году были предоставлены бюджетные средства в размере 100 млн. руб. (95 млн. руб. из федерального и 5 млн. руб. из областного бюджетов).</w:t>
      </w:r>
      <w:proofErr w:type="gramEnd"/>
      <w:r w:rsidRPr="00EB65D0">
        <w:rPr>
          <w:rFonts w:ascii="Times New Roman" w:hAnsi="Times New Roman"/>
        </w:rPr>
        <w:t xml:space="preserve"> Микрофинансовым центром за 2017 год – 1 квартал 2018 года  было выдано 34 </w:t>
      </w:r>
      <w:proofErr w:type="spellStart"/>
      <w:r w:rsidRPr="00EB65D0">
        <w:rPr>
          <w:rFonts w:ascii="Times New Roman" w:hAnsi="Times New Roman"/>
        </w:rPr>
        <w:t>микрозайма</w:t>
      </w:r>
      <w:proofErr w:type="spellEnd"/>
      <w:r w:rsidRPr="00EB65D0">
        <w:rPr>
          <w:rFonts w:ascii="Times New Roman" w:hAnsi="Times New Roman"/>
        </w:rPr>
        <w:t xml:space="preserve"> 10-ти МФО/КПК, через которые выданы </w:t>
      </w:r>
      <w:proofErr w:type="spellStart"/>
      <w:r w:rsidRPr="00EB65D0">
        <w:rPr>
          <w:rFonts w:ascii="Times New Roman" w:hAnsi="Times New Roman"/>
        </w:rPr>
        <w:t>микрозаймы</w:t>
      </w:r>
      <w:proofErr w:type="spellEnd"/>
      <w:r w:rsidRPr="00EB65D0">
        <w:rPr>
          <w:rFonts w:ascii="Times New Roman" w:hAnsi="Times New Roman"/>
        </w:rPr>
        <w:t xml:space="preserve"> 147 СМСП на сумму 197,6 млн. рублей. </w:t>
      </w:r>
    </w:p>
    <w:p w:rsidR="00EB65D0" w:rsidRPr="00EB65D0" w:rsidRDefault="00EB65D0" w:rsidP="00EB65D0">
      <w:pPr>
        <w:ind w:firstLine="680"/>
        <w:jc w:val="both"/>
      </w:pPr>
      <w:r w:rsidRPr="00EB65D0">
        <w:t xml:space="preserve">В целом по Микрофинансовому центру можно отметить, что займы, получаемые СМСП в МФО/КПК, которыми в свою очередь были получены займы в </w:t>
      </w:r>
      <w:proofErr w:type="spellStart"/>
      <w:r w:rsidRPr="00EB65D0">
        <w:t>Микрофинансовом</w:t>
      </w:r>
      <w:proofErr w:type="spellEnd"/>
      <w:r w:rsidRPr="00EB65D0">
        <w:t xml:space="preserve"> центре, более выгодные, чем в кредитных учреждениях. </w:t>
      </w:r>
      <w:proofErr w:type="gramStart"/>
      <w:r w:rsidRPr="00EB65D0">
        <w:t xml:space="preserve">Вместе с тем увеличение фонда </w:t>
      </w:r>
      <w:proofErr w:type="spellStart"/>
      <w:r w:rsidRPr="00EB65D0">
        <w:t>микрофинансирования</w:t>
      </w:r>
      <w:proofErr w:type="spellEnd"/>
      <w:r w:rsidRPr="00EB65D0">
        <w:t xml:space="preserve"> в 2015 году на 100 млн. руб. не способствовало существенному увеличению СМСП - получателей займов, о чем свидетельствуют значительные остатки средств на расчетных счетах, которые составляли от 88,2 млн. руб. на 01.07.2017 до 159,9 млн. руб. на 01.01.2017 (в т.ч. бюджетных средств - от 85,7 млн. руб. до 157,4 млн. руб.).</w:t>
      </w:r>
      <w:proofErr w:type="gramEnd"/>
      <w:r w:rsidRPr="00EB65D0">
        <w:t xml:space="preserve"> Обусловлено это снижением количества МФО/К</w:t>
      </w:r>
      <w:proofErr w:type="gramStart"/>
      <w:r w:rsidRPr="00EB65D0">
        <w:t>ПК в св</w:t>
      </w:r>
      <w:proofErr w:type="gramEnd"/>
      <w:r w:rsidRPr="00EB65D0">
        <w:t xml:space="preserve">язи с банкротством и ликвидацией отдельных заемщиков, несоответствия КПК требованиям порядка отбора для предоставления займов. </w:t>
      </w:r>
    </w:p>
    <w:p w:rsidR="00EB65D0" w:rsidRPr="00EB65D0" w:rsidRDefault="00EB65D0" w:rsidP="00EB65D0">
      <w:pPr>
        <w:pStyle w:val="ab"/>
        <w:numPr>
          <w:ilvl w:val="1"/>
          <w:numId w:val="46"/>
        </w:numPr>
        <w:ind w:left="0" w:firstLine="737"/>
        <w:contextualSpacing/>
        <w:jc w:val="both"/>
        <w:rPr>
          <w:rFonts w:ascii="Times New Roman" w:hAnsi="Times New Roman"/>
        </w:rPr>
      </w:pPr>
      <w:r w:rsidRPr="00EB65D0">
        <w:rPr>
          <w:rFonts w:ascii="Times New Roman" w:hAnsi="Times New Roman"/>
        </w:rPr>
        <w:t xml:space="preserve"> </w:t>
      </w:r>
      <w:proofErr w:type="spellStart"/>
      <w:r w:rsidRPr="00EB65D0">
        <w:rPr>
          <w:rFonts w:ascii="Times New Roman" w:hAnsi="Times New Roman"/>
        </w:rPr>
        <w:t>Облкомэкономразвития</w:t>
      </w:r>
      <w:proofErr w:type="spellEnd"/>
      <w:r w:rsidRPr="00EB65D0">
        <w:rPr>
          <w:rFonts w:ascii="Times New Roman" w:hAnsi="Times New Roman"/>
        </w:rPr>
        <w:t xml:space="preserve"> не доводит до Микрофинансового центра ежегодные плановые показатели результативности использования субсидий (кроме года выдачи субсидии), в </w:t>
      </w:r>
      <w:proofErr w:type="gramStart"/>
      <w:r w:rsidRPr="00EB65D0">
        <w:rPr>
          <w:rFonts w:ascii="Times New Roman" w:hAnsi="Times New Roman"/>
        </w:rPr>
        <w:t>связи</w:t>
      </w:r>
      <w:proofErr w:type="gramEnd"/>
      <w:r w:rsidRPr="00EB65D0">
        <w:rPr>
          <w:rFonts w:ascii="Times New Roman" w:hAnsi="Times New Roman"/>
        </w:rPr>
        <w:t xml:space="preserve"> с чем не представляется возможным произвести оценку эффективности ранее предоставленных бюджетных средств. Проверкой установлено, что </w:t>
      </w:r>
      <w:r w:rsidRPr="00EB65D0">
        <w:rPr>
          <w:rFonts w:ascii="Times New Roman" w:hAnsi="Times New Roman"/>
          <w:color w:val="000000"/>
        </w:rPr>
        <w:t xml:space="preserve">показатель «количество вновь созданных рабочих мест» формируется Микрофинансовым центром по запросам в МФО/КПК без </w:t>
      </w:r>
      <w:r w:rsidRPr="00EB65D0">
        <w:rPr>
          <w:rFonts w:ascii="Times New Roman" w:hAnsi="Times New Roman"/>
        </w:rPr>
        <w:t xml:space="preserve">подтверждения какими-либо документами, в результате </w:t>
      </w:r>
      <w:r w:rsidRPr="00EB65D0">
        <w:rPr>
          <w:rFonts w:ascii="Times New Roman" w:eastAsia="Times New Roman" w:hAnsi="Times New Roman"/>
          <w:bCs/>
        </w:rPr>
        <w:t>оценить достоверность показателя не представляется возможным.</w:t>
      </w:r>
    </w:p>
    <w:p w:rsidR="00EB65D0" w:rsidRPr="00EB65D0" w:rsidRDefault="00EB65D0" w:rsidP="00EB65D0">
      <w:pPr>
        <w:pStyle w:val="ab"/>
        <w:numPr>
          <w:ilvl w:val="0"/>
          <w:numId w:val="46"/>
        </w:numPr>
        <w:ind w:left="0" w:firstLine="680"/>
        <w:contextualSpacing/>
        <w:jc w:val="both"/>
        <w:rPr>
          <w:rFonts w:ascii="Times New Roman" w:hAnsi="Times New Roman"/>
          <w:b/>
        </w:rPr>
      </w:pPr>
      <w:r w:rsidRPr="00EB65D0">
        <w:rPr>
          <w:rFonts w:ascii="Times New Roman" w:hAnsi="Times New Roman"/>
          <w:b/>
        </w:rPr>
        <w:t xml:space="preserve">Деятельность Фонда </w:t>
      </w:r>
      <w:proofErr w:type="spellStart"/>
      <w:r w:rsidRPr="00EB65D0">
        <w:rPr>
          <w:rFonts w:ascii="Times New Roman" w:hAnsi="Times New Roman"/>
          <w:b/>
        </w:rPr>
        <w:t>микрофинансирования</w:t>
      </w:r>
      <w:proofErr w:type="spellEnd"/>
      <w:r w:rsidRPr="00EB65D0">
        <w:rPr>
          <w:rFonts w:ascii="Times New Roman" w:hAnsi="Times New Roman"/>
          <w:b/>
        </w:rPr>
        <w:t xml:space="preserve"> характеризуется следующим:</w:t>
      </w:r>
    </w:p>
    <w:p w:rsidR="00EB65D0" w:rsidRPr="00EB65D0" w:rsidRDefault="00EB65D0" w:rsidP="00EB65D0">
      <w:pPr>
        <w:pStyle w:val="ab"/>
        <w:numPr>
          <w:ilvl w:val="1"/>
          <w:numId w:val="46"/>
        </w:numPr>
        <w:ind w:left="0" w:firstLine="680"/>
        <w:contextualSpacing/>
        <w:jc w:val="both"/>
        <w:rPr>
          <w:rFonts w:ascii="Times New Roman" w:hAnsi="Times New Roman"/>
        </w:rPr>
      </w:pPr>
      <w:r w:rsidRPr="00EB65D0">
        <w:rPr>
          <w:rFonts w:ascii="Times New Roman" w:hAnsi="Times New Roman"/>
        </w:rPr>
        <w:t xml:space="preserve"> Фонд </w:t>
      </w:r>
      <w:proofErr w:type="spellStart"/>
      <w:r w:rsidRPr="00EB65D0">
        <w:rPr>
          <w:rFonts w:ascii="Times New Roman" w:hAnsi="Times New Roman"/>
        </w:rPr>
        <w:t>микрофинансирования</w:t>
      </w:r>
      <w:proofErr w:type="spellEnd"/>
      <w:r w:rsidRPr="00EB65D0">
        <w:rPr>
          <w:rFonts w:ascii="Times New Roman" w:hAnsi="Times New Roman"/>
        </w:rPr>
        <w:t xml:space="preserve">, относящийся к </w:t>
      </w:r>
      <w:proofErr w:type="spellStart"/>
      <w:r w:rsidRPr="00EB65D0">
        <w:rPr>
          <w:rFonts w:ascii="Times New Roman" w:hAnsi="Times New Roman"/>
        </w:rPr>
        <w:t>микрофинансовой</w:t>
      </w:r>
      <w:proofErr w:type="spellEnd"/>
      <w:r w:rsidRPr="00EB65D0">
        <w:rPr>
          <w:rFonts w:ascii="Times New Roman" w:hAnsi="Times New Roman"/>
        </w:rPr>
        <w:t xml:space="preserve"> организации первого уровня, создан в июле 2017 года в целях обеспечения доступа СМСП к финансовым ресурсам администрации Волгоградской области посредством предоставления </w:t>
      </w:r>
      <w:proofErr w:type="spellStart"/>
      <w:r w:rsidRPr="00EB65D0">
        <w:rPr>
          <w:rFonts w:ascii="Times New Roman" w:hAnsi="Times New Roman"/>
        </w:rPr>
        <w:t>микрозаймов</w:t>
      </w:r>
      <w:proofErr w:type="spellEnd"/>
      <w:r w:rsidRPr="00EB65D0">
        <w:rPr>
          <w:rFonts w:ascii="Times New Roman" w:hAnsi="Times New Roman"/>
        </w:rPr>
        <w:t xml:space="preserve"> СМСП.  Всего за 2017 год </w:t>
      </w:r>
      <w:proofErr w:type="gramStart"/>
      <w:r w:rsidRPr="00EB65D0">
        <w:rPr>
          <w:rFonts w:ascii="Times New Roman" w:hAnsi="Times New Roman"/>
        </w:rPr>
        <w:t>выданы</w:t>
      </w:r>
      <w:proofErr w:type="gramEnd"/>
      <w:r w:rsidRPr="00EB65D0">
        <w:rPr>
          <w:rFonts w:ascii="Times New Roman" w:hAnsi="Times New Roman"/>
        </w:rPr>
        <w:t xml:space="preserve"> </w:t>
      </w:r>
      <w:proofErr w:type="spellStart"/>
      <w:r w:rsidRPr="00EB65D0">
        <w:rPr>
          <w:rFonts w:ascii="Times New Roman" w:hAnsi="Times New Roman"/>
        </w:rPr>
        <w:t>микрозаймы</w:t>
      </w:r>
      <w:proofErr w:type="spellEnd"/>
      <w:r w:rsidRPr="00EB65D0">
        <w:rPr>
          <w:rFonts w:ascii="Times New Roman" w:hAnsi="Times New Roman"/>
        </w:rPr>
        <w:t xml:space="preserve"> 15-ти СМСП на общую сумму 42,6 млн. руб., за 1 квартал 2018 года – 9-ти СМСП на сумму 15,4 млн. рублей. По состоянию на 01.05.2018 общая сумма займов составила 63,1 млн. руб., превысив объем предоставленной субсидии (59,7 млн. руб.), в связи с ее оборачиваемостью в 1,06 раза. Средневзвешенная ставка по предоставляемым займам за 2017 год </w:t>
      </w:r>
      <w:r w:rsidRPr="00EB65D0">
        <w:rPr>
          <w:rFonts w:ascii="Times New Roman" w:hAnsi="Times New Roman"/>
        </w:rPr>
        <w:lastRenderedPageBreak/>
        <w:t>составила 9,96%, за 1 квартал 2018 года – 7,53 процента.  Осуществлялось кредитование СМСП до 3 млн. руб. на срок до 3 лет.</w:t>
      </w:r>
    </w:p>
    <w:p w:rsidR="00EB65D0" w:rsidRPr="00EB65D0" w:rsidRDefault="00EB65D0" w:rsidP="00EB65D0">
      <w:pPr>
        <w:pStyle w:val="ab"/>
        <w:numPr>
          <w:ilvl w:val="1"/>
          <w:numId w:val="46"/>
        </w:numPr>
        <w:ind w:left="0" w:firstLine="680"/>
        <w:contextualSpacing/>
        <w:jc w:val="both"/>
        <w:rPr>
          <w:rFonts w:ascii="Times New Roman" w:hAnsi="Times New Roman"/>
        </w:rPr>
      </w:pPr>
      <w:r w:rsidRPr="00EB65D0">
        <w:rPr>
          <w:rFonts w:ascii="Times New Roman" w:hAnsi="Times New Roman"/>
        </w:rPr>
        <w:t xml:space="preserve">Показатели результативности использования средств субсидии на предоставление </w:t>
      </w:r>
      <w:proofErr w:type="spellStart"/>
      <w:r w:rsidRPr="00EB65D0">
        <w:rPr>
          <w:rFonts w:ascii="Times New Roman" w:hAnsi="Times New Roman"/>
        </w:rPr>
        <w:t>микрозаймов</w:t>
      </w:r>
      <w:proofErr w:type="spellEnd"/>
      <w:r w:rsidRPr="00EB65D0">
        <w:rPr>
          <w:rFonts w:ascii="Times New Roman" w:hAnsi="Times New Roman"/>
        </w:rPr>
        <w:t xml:space="preserve"> СМСП были утверждены только в год выделения субсидии, на последующие годы установлены не были, что не позволит произвести оценку результативности использования бюджетных </w:t>
      </w:r>
      <w:proofErr w:type="gramStart"/>
      <w:r w:rsidRPr="00EB65D0">
        <w:rPr>
          <w:rFonts w:ascii="Times New Roman" w:hAnsi="Times New Roman"/>
        </w:rPr>
        <w:t>средств</w:t>
      </w:r>
      <w:proofErr w:type="gramEnd"/>
      <w:r w:rsidRPr="00EB65D0">
        <w:rPr>
          <w:rFonts w:ascii="Times New Roman" w:hAnsi="Times New Roman"/>
        </w:rPr>
        <w:t xml:space="preserve"> и свидетельствует о формальном подходе к оценке данного инструмента поддержки СМСП.</w:t>
      </w:r>
    </w:p>
    <w:p w:rsidR="00EB65D0" w:rsidRDefault="00EB65D0" w:rsidP="00EB65D0">
      <w:pPr>
        <w:pStyle w:val="ab"/>
        <w:numPr>
          <w:ilvl w:val="1"/>
          <w:numId w:val="46"/>
        </w:numPr>
        <w:ind w:left="0" w:firstLine="680"/>
        <w:contextualSpacing/>
        <w:jc w:val="both"/>
        <w:rPr>
          <w:rFonts w:ascii="Times New Roman" w:hAnsi="Times New Roman"/>
        </w:rPr>
      </w:pPr>
      <w:r w:rsidRPr="00EB65D0">
        <w:rPr>
          <w:rFonts w:ascii="Times New Roman" w:hAnsi="Times New Roman"/>
        </w:rPr>
        <w:t xml:space="preserve">В нарушение п. 2.2.18 Приказа Минэкономразвития №167 оценка деятельности Фонда </w:t>
      </w:r>
      <w:proofErr w:type="spellStart"/>
      <w:r w:rsidRPr="00EB65D0">
        <w:rPr>
          <w:rFonts w:ascii="Times New Roman" w:hAnsi="Times New Roman"/>
        </w:rPr>
        <w:t>микрофинансирования</w:t>
      </w:r>
      <w:proofErr w:type="spellEnd"/>
      <w:r w:rsidRPr="00EB65D0">
        <w:rPr>
          <w:rFonts w:ascii="Times New Roman" w:hAnsi="Times New Roman"/>
        </w:rPr>
        <w:t xml:space="preserve">  по показателям, указанным в пунктах 2.2.19. – 2.2.24 указанного приказа</w:t>
      </w:r>
      <w:r w:rsidRPr="00EB65D0">
        <w:rPr>
          <w:rFonts w:ascii="Times New Roman" w:hAnsi="Times New Roman"/>
          <w:lang w:eastAsia="en-US"/>
        </w:rPr>
        <w:t xml:space="preserve"> (достаточность собственных средств относительно объема активов </w:t>
      </w:r>
      <w:proofErr w:type="spellStart"/>
      <w:r w:rsidRPr="00EB65D0">
        <w:rPr>
          <w:rFonts w:ascii="Times New Roman" w:hAnsi="Times New Roman"/>
          <w:lang w:eastAsia="en-US"/>
        </w:rPr>
        <w:t>микрофинансовой</w:t>
      </w:r>
      <w:proofErr w:type="spellEnd"/>
      <w:r w:rsidRPr="00EB65D0">
        <w:rPr>
          <w:rFonts w:ascii="Times New Roman" w:hAnsi="Times New Roman"/>
          <w:lang w:eastAsia="en-US"/>
        </w:rPr>
        <w:t xml:space="preserve"> организации</w:t>
      </w:r>
      <w:r w:rsidRPr="00EB65D0">
        <w:rPr>
          <w:rFonts w:ascii="Times New Roman" w:hAnsi="Times New Roman"/>
        </w:rPr>
        <w:t xml:space="preserve">, </w:t>
      </w:r>
      <w:r w:rsidRPr="00EB65D0">
        <w:rPr>
          <w:rFonts w:ascii="Times New Roman" w:hAnsi="Times New Roman"/>
          <w:lang w:eastAsia="en-US"/>
        </w:rPr>
        <w:t xml:space="preserve">операционная эффективность </w:t>
      </w:r>
      <w:proofErr w:type="spellStart"/>
      <w:r w:rsidRPr="00EB65D0">
        <w:rPr>
          <w:rFonts w:ascii="Times New Roman" w:hAnsi="Times New Roman"/>
          <w:lang w:eastAsia="en-US"/>
        </w:rPr>
        <w:t>микрофинансовой</w:t>
      </w:r>
      <w:proofErr w:type="spellEnd"/>
      <w:r w:rsidRPr="00EB65D0">
        <w:rPr>
          <w:rFonts w:ascii="Times New Roman" w:hAnsi="Times New Roman"/>
          <w:lang w:eastAsia="en-US"/>
        </w:rPr>
        <w:t xml:space="preserve"> организации, эффективность размещения средств </w:t>
      </w:r>
      <w:proofErr w:type="spellStart"/>
      <w:r w:rsidRPr="00EB65D0">
        <w:rPr>
          <w:rFonts w:ascii="Times New Roman" w:hAnsi="Times New Roman"/>
          <w:lang w:eastAsia="en-US"/>
        </w:rPr>
        <w:t>микрофинансовой</w:t>
      </w:r>
      <w:proofErr w:type="spellEnd"/>
      <w:r w:rsidRPr="00EB65D0">
        <w:rPr>
          <w:rFonts w:ascii="Times New Roman" w:hAnsi="Times New Roman"/>
          <w:lang w:eastAsia="en-US"/>
        </w:rPr>
        <w:t xml:space="preserve"> организации,</w:t>
      </w:r>
      <w:r w:rsidRPr="00EB65D0">
        <w:rPr>
          <w:rFonts w:ascii="Times New Roman" w:hAnsi="Times New Roman"/>
        </w:rPr>
        <w:t xml:space="preserve"> </w:t>
      </w:r>
      <w:r w:rsidRPr="00EB65D0">
        <w:rPr>
          <w:rFonts w:ascii="Times New Roman" w:hAnsi="Times New Roman"/>
          <w:lang w:eastAsia="en-US"/>
        </w:rPr>
        <w:t xml:space="preserve">риск портфеля больше 30 дней </w:t>
      </w:r>
      <w:proofErr w:type="spellStart"/>
      <w:r w:rsidRPr="00EB65D0">
        <w:rPr>
          <w:rFonts w:ascii="Times New Roman" w:hAnsi="Times New Roman"/>
          <w:lang w:eastAsia="en-US"/>
        </w:rPr>
        <w:t>микрофинансовой</w:t>
      </w:r>
      <w:proofErr w:type="spellEnd"/>
      <w:r w:rsidRPr="00EB65D0">
        <w:rPr>
          <w:rFonts w:ascii="Times New Roman" w:hAnsi="Times New Roman"/>
          <w:lang w:eastAsia="en-US"/>
        </w:rPr>
        <w:t xml:space="preserve"> организации) за 2017 год не проводилась.</w:t>
      </w:r>
    </w:p>
    <w:p w:rsidR="00EB65D0" w:rsidRPr="00EB65D0" w:rsidRDefault="00EB65D0" w:rsidP="00EB65D0">
      <w:pPr>
        <w:pStyle w:val="ab"/>
        <w:numPr>
          <w:ilvl w:val="0"/>
          <w:numId w:val="46"/>
        </w:numPr>
        <w:ind w:left="0" w:firstLine="680"/>
        <w:contextualSpacing/>
        <w:jc w:val="both"/>
        <w:rPr>
          <w:rFonts w:ascii="Times New Roman" w:hAnsi="Times New Roman"/>
          <w:b/>
        </w:rPr>
      </w:pPr>
      <w:r w:rsidRPr="00EB65D0">
        <w:rPr>
          <w:rFonts w:ascii="Times New Roman" w:hAnsi="Times New Roman"/>
          <w:b/>
        </w:rPr>
        <w:t>Деятельность Гарантийного фонда:</w:t>
      </w:r>
    </w:p>
    <w:p w:rsidR="00EB65D0" w:rsidRPr="00CB37F7" w:rsidRDefault="00EB65D0" w:rsidP="00EB65D0">
      <w:pPr>
        <w:pStyle w:val="ab"/>
        <w:numPr>
          <w:ilvl w:val="1"/>
          <w:numId w:val="46"/>
        </w:numPr>
        <w:ind w:left="0" w:firstLine="680"/>
        <w:contextualSpacing/>
        <w:jc w:val="both"/>
        <w:rPr>
          <w:rFonts w:ascii="Times New Roman" w:hAnsi="Times New Roman"/>
        </w:rPr>
      </w:pPr>
      <w:r w:rsidRPr="00EB65D0">
        <w:rPr>
          <w:rFonts w:ascii="Times New Roman" w:hAnsi="Times New Roman"/>
        </w:rPr>
        <w:t xml:space="preserve"> </w:t>
      </w:r>
      <w:r w:rsidRPr="00CB37F7">
        <w:rPr>
          <w:rFonts w:ascii="Times New Roman" w:hAnsi="Times New Roman"/>
        </w:rPr>
        <w:t xml:space="preserve">В 2017 году выдано поручительств 52-м СМСП на сумму 363,5 млн. руб. по кредитам на сумму 853,2 млн. рублей. Наблюдается положительная динамика объема выданных поручительств и объема кредитных ресурсов, полученных предпринимателями под поручительство Волгоградской области, снижается доля ответственности Волгоградской области в займах (кредитах). Вместе с тем в 1 квартале 2018 года произошло снижение процента использования Гарантийным фондом кредитных лимитов от суммы </w:t>
      </w:r>
      <w:r w:rsidRPr="00CB37F7">
        <w:rPr>
          <w:rFonts w:ascii="Times New Roman" w:hAnsi="Times New Roman"/>
          <w:color w:val="000000"/>
        </w:rPr>
        <w:t>лимита условных обязательств поручительств на банк – партнер с 67,5% до 63 процентов.</w:t>
      </w:r>
    </w:p>
    <w:p w:rsidR="00EB65D0" w:rsidRDefault="00EB65D0" w:rsidP="00EB65D0">
      <w:pPr>
        <w:pStyle w:val="ab"/>
        <w:numPr>
          <w:ilvl w:val="1"/>
          <w:numId w:val="46"/>
        </w:numPr>
        <w:ind w:left="0" w:firstLine="680"/>
        <w:contextualSpacing/>
        <w:jc w:val="both"/>
        <w:rPr>
          <w:rFonts w:ascii="Times New Roman" w:hAnsi="Times New Roman"/>
        </w:rPr>
      </w:pPr>
      <w:r w:rsidRPr="00EB65D0">
        <w:rPr>
          <w:rFonts w:ascii="Times New Roman" w:hAnsi="Times New Roman"/>
        </w:rPr>
        <w:t xml:space="preserve">На 2016 – 2018 годы показатели результативности предоставления субсидий Гарантийному фонду </w:t>
      </w:r>
      <w:proofErr w:type="spellStart"/>
      <w:r w:rsidRPr="00EB65D0">
        <w:rPr>
          <w:rFonts w:ascii="Times New Roman" w:hAnsi="Times New Roman"/>
        </w:rPr>
        <w:t>Облкомэкономразвития</w:t>
      </w:r>
      <w:proofErr w:type="spellEnd"/>
      <w:r w:rsidRPr="00EB65D0">
        <w:rPr>
          <w:rFonts w:ascii="Times New Roman" w:hAnsi="Times New Roman"/>
        </w:rPr>
        <w:t xml:space="preserve"> не устанавливались, </w:t>
      </w:r>
      <w:r w:rsidR="00986FE1">
        <w:rPr>
          <w:rFonts w:ascii="Times New Roman" w:hAnsi="Times New Roman"/>
        </w:rPr>
        <w:t xml:space="preserve">поэтому </w:t>
      </w:r>
      <w:r w:rsidRPr="00EB65D0">
        <w:rPr>
          <w:rFonts w:ascii="Times New Roman" w:eastAsia="Times New Roman" w:hAnsi="Times New Roman"/>
        </w:rPr>
        <w:t>оценк</w:t>
      </w:r>
      <w:r w:rsidR="00986FE1">
        <w:rPr>
          <w:rFonts w:ascii="Times New Roman" w:eastAsia="Times New Roman" w:hAnsi="Times New Roman"/>
        </w:rPr>
        <w:t>а</w:t>
      </w:r>
      <w:r w:rsidRPr="00EB65D0">
        <w:rPr>
          <w:rFonts w:ascii="Times New Roman" w:eastAsia="Times New Roman" w:hAnsi="Times New Roman"/>
        </w:rPr>
        <w:t xml:space="preserve"> эффективности ранее предоставленных бюджетных средств и эффе</w:t>
      </w:r>
      <w:r w:rsidRPr="00EB65D0">
        <w:rPr>
          <w:rFonts w:ascii="Times New Roman" w:hAnsi="Times New Roman"/>
        </w:rPr>
        <w:t>ктивности мероприятия по содействию СМСП в привлечении финансовых ресурсов для осуществления предпринимательской деятельности, в исполнении которого участвует Гарантийный фонд</w:t>
      </w:r>
      <w:r w:rsidR="00986FE1">
        <w:rPr>
          <w:rFonts w:ascii="Times New Roman" w:hAnsi="Times New Roman"/>
        </w:rPr>
        <w:t>, не осуществлялась.</w:t>
      </w:r>
    </w:p>
    <w:p w:rsidR="000C1C4D" w:rsidRPr="000C1C4D" w:rsidRDefault="000C1C4D" w:rsidP="000C1C4D">
      <w:pPr>
        <w:pStyle w:val="ab"/>
        <w:numPr>
          <w:ilvl w:val="0"/>
          <w:numId w:val="46"/>
        </w:numPr>
        <w:contextualSpacing/>
        <w:rPr>
          <w:rFonts w:ascii="Times New Roman" w:hAnsi="Times New Roman"/>
          <w:b/>
        </w:rPr>
      </w:pPr>
      <w:r w:rsidRPr="000C1C4D">
        <w:rPr>
          <w:rFonts w:ascii="Times New Roman" w:hAnsi="Times New Roman"/>
          <w:b/>
        </w:rPr>
        <w:t>МФЦ для бизнеса</w:t>
      </w:r>
      <w:r>
        <w:rPr>
          <w:rFonts w:ascii="Times New Roman" w:hAnsi="Times New Roman"/>
          <w:b/>
        </w:rPr>
        <w:t>:</w:t>
      </w:r>
    </w:p>
    <w:p w:rsidR="000C1C4D" w:rsidRDefault="000C1C4D" w:rsidP="000C1C4D">
      <w:pPr>
        <w:pStyle w:val="a3"/>
        <w:numPr>
          <w:ilvl w:val="1"/>
          <w:numId w:val="48"/>
        </w:numPr>
        <w:ind w:left="0" w:firstLine="709"/>
        <w:jc w:val="both"/>
        <w:rPr>
          <w:rStyle w:val="extended-textshort"/>
          <w:rFonts w:ascii="Times New Roman" w:hAnsi="Times New Roman"/>
          <w:bCs/>
        </w:rPr>
      </w:pPr>
      <w:proofErr w:type="gramStart"/>
      <w:r w:rsidRPr="00DF054A">
        <w:rPr>
          <w:rStyle w:val="extended-textshort"/>
          <w:rFonts w:ascii="Times New Roman" w:hAnsi="Times New Roman"/>
          <w:bCs/>
        </w:rPr>
        <w:t>В 2017 году в структуре ГКУ «МФЦ» созда</w:t>
      </w:r>
      <w:r w:rsidRPr="00DF054A">
        <w:rPr>
          <w:rStyle w:val="extended-textshort"/>
          <w:rFonts w:ascii="Times New Roman" w:eastAsiaTheme="minorHAnsi" w:hAnsi="Times New Roman" w:cs="Times New Roman"/>
          <w:bCs/>
        </w:rPr>
        <w:t>н</w:t>
      </w:r>
      <w:r w:rsidRPr="00DF054A">
        <w:rPr>
          <w:rFonts w:ascii="Times New Roman" w:eastAsiaTheme="minorHAnsi" w:hAnsi="Times New Roman" w:cs="Times New Roman"/>
          <w:bCs/>
        </w:rPr>
        <w:t xml:space="preserve"> </w:t>
      </w:r>
      <w:r w:rsidRPr="00DF054A">
        <w:rPr>
          <w:rStyle w:val="extended-textshort"/>
          <w:rFonts w:ascii="Times New Roman" w:hAnsi="Times New Roman"/>
          <w:bCs/>
        </w:rPr>
        <w:t>филиал по работе с юридическими лицами г. Волжского Волгоградской области, представляющий собой  МФ</w:t>
      </w:r>
      <w:r w:rsidRPr="00DF054A">
        <w:rPr>
          <w:rStyle w:val="extended-textshort"/>
          <w:rFonts w:ascii="Times New Roman" w:eastAsiaTheme="minorHAnsi" w:hAnsi="Times New Roman" w:cs="Times New Roman"/>
          <w:bCs/>
        </w:rPr>
        <w:t>Ц</w:t>
      </w:r>
      <w:r w:rsidRPr="00DF054A">
        <w:rPr>
          <w:rFonts w:ascii="Times New Roman" w:eastAsiaTheme="minorHAnsi" w:hAnsi="Times New Roman" w:cs="Times New Roman"/>
        </w:rPr>
        <w:t xml:space="preserve"> для бизнеса, в котором организуется предоставление услуг и мер поддержки для СМСП.</w:t>
      </w:r>
      <w:proofErr w:type="gramEnd"/>
      <w:r w:rsidRPr="00DF054A">
        <w:rPr>
          <w:rFonts w:ascii="Times New Roman" w:eastAsiaTheme="minorHAnsi" w:hAnsi="Times New Roman" w:cs="Times New Roman"/>
        </w:rPr>
        <w:t xml:space="preserve"> </w:t>
      </w:r>
      <w:r w:rsidRPr="00DF054A">
        <w:rPr>
          <w:rFonts w:ascii="Times New Roman" w:eastAsiaTheme="minorHAnsi" w:hAnsi="Times New Roman" w:cs="Times New Roman"/>
          <w:bCs/>
        </w:rPr>
        <w:t>Н</w:t>
      </w:r>
      <w:r w:rsidRPr="00DF054A">
        <w:rPr>
          <w:rStyle w:val="extended-textshort"/>
          <w:rFonts w:ascii="Times New Roman" w:hAnsi="Times New Roman"/>
          <w:bCs/>
        </w:rPr>
        <w:t>а создание и развитие МФЦ для бизнеса использовано 5,0 млн. руб. (4 млн. руб. федеральных средств и 1 млн. руб. средств областного бюджета).</w:t>
      </w:r>
    </w:p>
    <w:p w:rsidR="000C1C4D" w:rsidRDefault="000C1C4D" w:rsidP="000C1C4D">
      <w:pPr>
        <w:ind w:firstLine="680"/>
        <w:jc w:val="both"/>
      </w:pPr>
      <w:proofErr w:type="gramStart"/>
      <w:r>
        <w:t>Количество уникальных СМСП, которым были предоставлены услуги и меры поддержки, необходимые для начала осуществления и развития предпринимательской деятельности, через МФЦ для бизнеса, в 2017 году составило 864 ед. и перевыполнено в 2,3 раза, количество услуг и мер поддержки, необходимых для начала осуществления и развития предпринимательской деятельности, через МФЦ для бизнеса - 14 357 ед. и выполнено на 100,4 процента.</w:t>
      </w:r>
      <w:proofErr w:type="gramEnd"/>
    </w:p>
    <w:p w:rsidR="00EB65D0" w:rsidRPr="00EB65D0" w:rsidRDefault="00EB65D0" w:rsidP="00EB65D0">
      <w:pPr>
        <w:pStyle w:val="ab"/>
        <w:numPr>
          <w:ilvl w:val="0"/>
          <w:numId w:val="46"/>
        </w:numPr>
        <w:ind w:left="0" w:firstLine="680"/>
        <w:contextualSpacing/>
        <w:jc w:val="both"/>
        <w:rPr>
          <w:rFonts w:ascii="Times New Roman" w:hAnsi="Times New Roman"/>
          <w:bCs/>
        </w:rPr>
      </w:pPr>
      <w:proofErr w:type="gramStart"/>
      <w:r w:rsidRPr="00EB65D0">
        <w:rPr>
          <w:rFonts w:ascii="Times New Roman" w:hAnsi="Times New Roman"/>
          <w:lang w:eastAsia="en-US"/>
        </w:rPr>
        <w:t xml:space="preserve">В целях создания благоприятных условий для детей, молодежи и СМСП для их развития в научно-технической, инновационной и производственной сферах в 2017 году образованы </w:t>
      </w:r>
      <w:r w:rsidRPr="00EB65D0">
        <w:rPr>
          <w:rFonts w:ascii="Times New Roman" w:hAnsi="Times New Roman"/>
        </w:rPr>
        <w:t>два ЦМИТ по направлениям деятельности: «3D-технологии: сканирование, моделирование и печать», «Робототехника, обучающие компьютерные игры и робототехнические наборы» на базе ФГАОУ ВО «</w:t>
      </w:r>
      <w:proofErr w:type="spellStart"/>
      <w:r w:rsidRPr="00EB65D0">
        <w:rPr>
          <w:rFonts w:ascii="Times New Roman" w:hAnsi="Times New Roman"/>
        </w:rPr>
        <w:t>ВолГУ</w:t>
      </w:r>
      <w:proofErr w:type="spellEnd"/>
      <w:r w:rsidRPr="00EB65D0">
        <w:rPr>
          <w:rFonts w:ascii="Times New Roman" w:hAnsi="Times New Roman"/>
        </w:rPr>
        <w:t>» и ФГБОУ ВО «</w:t>
      </w:r>
      <w:proofErr w:type="spellStart"/>
      <w:r w:rsidRPr="00EB65D0">
        <w:rPr>
          <w:rFonts w:ascii="Times New Roman" w:hAnsi="Times New Roman"/>
        </w:rPr>
        <w:t>ВолгГТУ</w:t>
      </w:r>
      <w:proofErr w:type="spellEnd"/>
      <w:r w:rsidRPr="00EB65D0">
        <w:rPr>
          <w:rFonts w:ascii="Times New Roman" w:hAnsi="Times New Roman"/>
        </w:rPr>
        <w:t>» соответственно.</w:t>
      </w:r>
      <w:proofErr w:type="gramEnd"/>
      <w:r w:rsidRPr="00EB65D0">
        <w:rPr>
          <w:rFonts w:ascii="Times New Roman" w:hAnsi="Times New Roman"/>
        </w:rPr>
        <w:t xml:space="preserve"> Фактически израсходованы средства на проведение этих мероприятий в размере 5,0 млн. руб.  (средства федерального бюджета – 4,0 млн. руб.,  областного бюджета – 1,0 млн. руб.). К</w:t>
      </w:r>
      <w:r w:rsidRPr="00EB65D0">
        <w:rPr>
          <w:rFonts w:ascii="Times New Roman" w:hAnsi="Times New Roman"/>
          <w:lang w:eastAsia="en-US"/>
        </w:rPr>
        <w:t xml:space="preserve">оличество СМСП, </w:t>
      </w:r>
      <w:proofErr w:type="gramStart"/>
      <w:r w:rsidRPr="00EB65D0">
        <w:rPr>
          <w:rFonts w:ascii="Times New Roman" w:hAnsi="Times New Roman"/>
          <w:lang w:eastAsia="en-US"/>
        </w:rPr>
        <w:t>получивших</w:t>
      </w:r>
      <w:proofErr w:type="gramEnd"/>
      <w:r w:rsidRPr="00EB65D0">
        <w:rPr>
          <w:rFonts w:ascii="Times New Roman" w:hAnsi="Times New Roman"/>
          <w:lang w:eastAsia="en-US"/>
        </w:rPr>
        <w:t xml:space="preserve"> информационную и консультационную поддержку в ЦМИТ, составило 10 ед. (план - не менее 6 ед.). </w:t>
      </w:r>
      <w:r w:rsidRPr="00EB65D0">
        <w:rPr>
          <w:rFonts w:ascii="Times New Roman" w:hAnsi="Times New Roman"/>
        </w:rPr>
        <w:t xml:space="preserve">Проведено 16 семинаров и тренингов, организованных в целях вовлечения в предпринимательство и развития научно-инновационной деятельности детей и молодежи (при плане не менее 8 ед.). </w:t>
      </w:r>
    </w:p>
    <w:p w:rsidR="00EB65D0" w:rsidRPr="00EB65D0" w:rsidRDefault="00EB65D0" w:rsidP="00EB65D0">
      <w:pPr>
        <w:pStyle w:val="ab"/>
        <w:numPr>
          <w:ilvl w:val="0"/>
          <w:numId w:val="46"/>
        </w:numPr>
        <w:autoSpaceDE w:val="0"/>
        <w:autoSpaceDN w:val="0"/>
        <w:adjustRightInd w:val="0"/>
        <w:ind w:left="0" w:firstLine="680"/>
        <w:contextualSpacing/>
        <w:jc w:val="both"/>
        <w:rPr>
          <w:rFonts w:ascii="Times New Roman" w:hAnsi="Times New Roman"/>
        </w:rPr>
      </w:pPr>
      <w:r w:rsidRPr="00EB65D0">
        <w:rPr>
          <w:rFonts w:ascii="Times New Roman" w:hAnsi="Times New Roman"/>
          <w:lang w:eastAsia="en-US"/>
        </w:rPr>
        <w:t xml:space="preserve">Предусмотренная Подпрограммой Госпрограмм № 696-п и № 14-п задача по развитию малого и среднего предпринимательства на территории муниципальных образований осуществлена не в полной мере, так как финансирование мероприятия в 2015-2016 годах не осуществлялось, а в 2017 году профинансированы только </w:t>
      </w:r>
      <w:proofErr w:type="spellStart"/>
      <w:r w:rsidRPr="00EB65D0">
        <w:rPr>
          <w:rFonts w:ascii="Times New Roman" w:hAnsi="Times New Roman"/>
          <w:lang w:eastAsia="en-US"/>
        </w:rPr>
        <w:t>монопрофильные</w:t>
      </w:r>
      <w:proofErr w:type="spellEnd"/>
      <w:r w:rsidRPr="00EB65D0">
        <w:rPr>
          <w:rFonts w:ascii="Times New Roman" w:hAnsi="Times New Roman"/>
          <w:lang w:eastAsia="en-US"/>
        </w:rPr>
        <w:t xml:space="preserve"> образования: г</w:t>
      </w:r>
      <w:proofErr w:type="gramStart"/>
      <w:r w:rsidRPr="00EB65D0">
        <w:rPr>
          <w:rFonts w:ascii="Times New Roman" w:hAnsi="Times New Roman"/>
          <w:lang w:eastAsia="en-US"/>
        </w:rPr>
        <w:t>.М</w:t>
      </w:r>
      <w:proofErr w:type="gramEnd"/>
      <w:r w:rsidRPr="00EB65D0">
        <w:rPr>
          <w:rFonts w:ascii="Times New Roman" w:hAnsi="Times New Roman"/>
          <w:lang w:eastAsia="en-US"/>
        </w:rPr>
        <w:t xml:space="preserve">ихайловка и г. Фролово в размере 18 млн. руб. и 12 млн. руб. соответственно на субсидирование </w:t>
      </w:r>
      <w:r w:rsidRPr="00EB65D0">
        <w:rPr>
          <w:rFonts w:ascii="Times New Roman" w:hAnsi="Times New Roman"/>
        </w:rPr>
        <w:t>части затрат СМСП, связанных с уплатой лизинговых платежей и с уплатой первого взноса (аванса) по договорам лизинга грузового автотранспорта для обновления автопарка и оборудования в целях модернизации производства.</w:t>
      </w:r>
    </w:p>
    <w:p w:rsidR="00EB65D0" w:rsidRDefault="00EB65D0" w:rsidP="00EB65D0">
      <w:pPr>
        <w:autoSpaceDE w:val="0"/>
        <w:autoSpaceDN w:val="0"/>
        <w:adjustRightInd w:val="0"/>
        <w:ind w:firstLine="680"/>
        <w:jc w:val="both"/>
      </w:pPr>
      <w:proofErr w:type="gramStart"/>
      <w:r w:rsidRPr="005E1174">
        <w:rPr>
          <w:color w:val="000000"/>
        </w:rPr>
        <w:lastRenderedPageBreak/>
        <w:t xml:space="preserve">За нарушение условия предоставления </w:t>
      </w:r>
      <w:r w:rsidRPr="005E1174">
        <w:t xml:space="preserve">субсидии </w:t>
      </w:r>
      <w:r w:rsidRPr="005E1174">
        <w:rPr>
          <w:color w:val="000000"/>
        </w:rPr>
        <w:t xml:space="preserve">(по </w:t>
      </w:r>
      <w:r w:rsidRPr="005E1174">
        <w:t>состоянию на 31.12.2017 не выполнен показатель результативности использования субсидии «у</w:t>
      </w:r>
      <w:r w:rsidRPr="005E1174">
        <w:rPr>
          <w:color w:val="000000"/>
        </w:rPr>
        <w:t>величение оборота СМСП, получивших господдержку, в постоянных ценах по отношению к показателю 2014 года») администрацией городского округа г. Фролово в апреле 2018 года произведен возврат средств из местного бюджета в областной бюджет в размере 0,3 млн. рублей.</w:t>
      </w:r>
      <w:proofErr w:type="gramEnd"/>
      <w:r w:rsidRPr="005E1174">
        <w:rPr>
          <w:color w:val="000000"/>
        </w:rPr>
        <w:t xml:space="preserve"> Одним </w:t>
      </w:r>
      <w:r w:rsidRPr="005E1174">
        <w:t xml:space="preserve">из факторов, повлиявших на </w:t>
      </w:r>
      <w:r w:rsidRPr="005E1174">
        <w:rPr>
          <w:color w:val="000000"/>
        </w:rPr>
        <w:t>возврат средств из местного бюджета г</w:t>
      </w:r>
      <w:proofErr w:type="gramStart"/>
      <w:r w:rsidRPr="005E1174">
        <w:rPr>
          <w:color w:val="000000"/>
        </w:rPr>
        <w:t>.Ф</w:t>
      </w:r>
      <w:proofErr w:type="gramEnd"/>
      <w:r w:rsidRPr="005E1174">
        <w:rPr>
          <w:color w:val="000000"/>
        </w:rPr>
        <w:t>ролово в областной бюджет, явилась</w:t>
      </w:r>
      <w:r w:rsidRPr="005E1174">
        <w:t xml:space="preserve"> длительность </w:t>
      </w:r>
      <w:r>
        <w:t xml:space="preserve">(около 6 месяцев) </w:t>
      </w:r>
      <w:r w:rsidRPr="005E1174">
        <w:t xml:space="preserve">процедур согласования </w:t>
      </w:r>
      <w:proofErr w:type="spellStart"/>
      <w:r w:rsidRPr="005E1174">
        <w:t>Облкомэкономразвития</w:t>
      </w:r>
      <w:proofErr w:type="spellEnd"/>
      <w:r w:rsidRPr="005E1174">
        <w:t xml:space="preserve"> проекта порядка предоставления субсидий бюджетам </w:t>
      </w:r>
      <w:proofErr w:type="spellStart"/>
      <w:r w:rsidRPr="005E1174">
        <w:t>монопрофильных</w:t>
      </w:r>
      <w:proofErr w:type="spellEnd"/>
      <w:r w:rsidRPr="005E1174">
        <w:t xml:space="preserve"> муниципальных образований из-за отсутствия четкого взаимодействия между структурными подразделениями Администрации Волгоградской области</w:t>
      </w:r>
      <w:r>
        <w:t>.</w:t>
      </w:r>
    </w:p>
    <w:p w:rsidR="00EB65D0" w:rsidRPr="00EB65D0" w:rsidRDefault="00EB65D0" w:rsidP="00EB65D0">
      <w:pPr>
        <w:pStyle w:val="ab"/>
        <w:numPr>
          <w:ilvl w:val="0"/>
          <w:numId w:val="46"/>
        </w:numPr>
        <w:ind w:left="0" w:firstLine="680"/>
        <w:contextualSpacing/>
        <w:jc w:val="both"/>
        <w:rPr>
          <w:rFonts w:ascii="Times New Roman" w:hAnsi="Times New Roman"/>
        </w:rPr>
      </w:pPr>
      <w:r w:rsidRPr="00EB65D0">
        <w:rPr>
          <w:rFonts w:ascii="Times New Roman" w:hAnsi="Times New Roman"/>
        </w:rPr>
        <w:t xml:space="preserve">По мероприятию вовлечения молодежи в предпринимательскую деятельность Подпрограммой предусмотрен объем финансирования на 2017 год в размере 3,2 млн. руб. (за счет средств федерального бюджета – 2,6 млн. руб., областного бюджета – 0,6 млн. руб.), фактически средства израсходованы </w:t>
      </w:r>
      <w:r w:rsidR="00EB4CF9">
        <w:rPr>
          <w:rFonts w:ascii="Times New Roman" w:hAnsi="Times New Roman"/>
        </w:rPr>
        <w:t>в этом же объеме.</w:t>
      </w:r>
      <w:r w:rsidRPr="00EB65D0">
        <w:rPr>
          <w:rFonts w:ascii="Times New Roman" w:hAnsi="Times New Roman"/>
        </w:rPr>
        <w:t xml:space="preserve"> За 2015 - 2017 годы </w:t>
      </w:r>
      <w:r w:rsidR="0098716F">
        <w:rPr>
          <w:rFonts w:ascii="Times New Roman" w:hAnsi="Times New Roman"/>
        </w:rPr>
        <w:t>произошло</w:t>
      </w:r>
      <w:r w:rsidRPr="00EB65D0">
        <w:rPr>
          <w:rFonts w:ascii="Times New Roman" w:hAnsi="Times New Roman"/>
        </w:rPr>
        <w:t xml:space="preserve"> уменьшение финансирования мероприятия по развитию молодежного предпринимательства на 6,8 млн. руб. (- 67,8%) с 10,0 млн. руб. в 2015 году до 3,2 млн. руб. в 2017 году.</w:t>
      </w:r>
    </w:p>
    <w:p w:rsidR="00EB65D0" w:rsidRPr="00E6335A" w:rsidRDefault="00EB65D0" w:rsidP="00EB65D0">
      <w:pPr>
        <w:ind w:firstLine="709"/>
        <w:jc w:val="both"/>
      </w:pPr>
      <w:r>
        <w:t xml:space="preserve">Целевые показатели мероприятия выполнены. </w:t>
      </w:r>
      <w:r w:rsidRPr="00E6335A">
        <w:t xml:space="preserve">В тоже время установлены </w:t>
      </w:r>
      <w:r>
        <w:t>случаи</w:t>
      </w:r>
      <w:r w:rsidRPr="00E6335A">
        <w:t xml:space="preserve"> искажения достижения значений отдельных целевых показателей, влияющие на эффек</w:t>
      </w:r>
      <w:r>
        <w:t>тивность реализации мероприятия.</w:t>
      </w:r>
    </w:p>
    <w:p w:rsidR="00EB65D0" w:rsidRPr="00C270D4" w:rsidRDefault="00EB65D0" w:rsidP="00EB65D0">
      <w:pPr>
        <w:autoSpaceDE w:val="0"/>
        <w:autoSpaceDN w:val="0"/>
        <w:adjustRightInd w:val="0"/>
        <w:ind w:firstLine="680"/>
        <w:jc w:val="both"/>
        <w:rPr>
          <w:rFonts w:eastAsiaTheme="minorHAnsi"/>
          <w:lang w:eastAsia="en-US"/>
        </w:rPr>
      </w:pPr>
      <w:r w:rsidRPr="005C22B6">
        <w:rPr>
          <w:rFonts w:eastAsiaTheme="minorHAnsi"/>
          <w:b/>
          <w:bCs/>
          <w:lang w:eastAsia="en-US"/>
        </w:rPr>
        <w:t xml:space="preserve">11. </w:t>
      </w:r>
      <w:r>
        <w:rPr>
          <w:rFonts w:eastAsiaTheme="minorHAnsi"/>
          <w:b/>
          <w:bCs/>
          <w:lang w:eastAsia="en-US"/>
        </w:rPr>
        <w:t xml:space="preserve"> </w:t>
      </w:r>
      <w:r>
        <w:rPr>
          <w:rFonts w:eastAsiaTheme="minorHAnsi"/>
          <w:lang w:eastAsia="en-US"/>
        </w:rPr>
        <w:t xml:space="preserve">По данным </w:t>
      </w:r>
      <w:r>
        <w:t>годового д</w:t>
      </w:r>
      <w:r w:rsidRPr="0099153E">
        <w:t>оклад</w:t>
      </w:r>
      <w:r>
        <w:t>а</w:t>
      </w:r>
      <w:r w:rsidRPr="0099153E">
        <w:t xml:space="preserve"> </w:t>
      </w:r>
      <w:r w:rsidRPr="00C25C77">
        <w:t xml:space="preserve">о ходе реализации </w:t>
      </w:r>
      <w:r>
        <w:rPr>
          <w:rFonts w:eastAsiaTheme="minorHAnsi"/>
          <w:lang w:eastAsia="en-US"/>
        </w:rPr>
        <w:t xml:space="preserve">и оценке эффективности реализации государственной </w:t>
      </w:r>
      <w:r w:rsidRPr="00986F7F">
        <w:rPr>
          <w:rFonts w:eastAsiaTheme="minorHAnsi"/>
          <w:lang w:eastAsia="en-US"/>
        </w:rPr>
        <w:t xml:space="preserve">программы </w:t>
      </w:r>
      <w:r w:rsidR="00A353CA">
        <w:rPr>
          <w:rFonts w:eastAsiaTheme="minorHAnsi"/>
          <w:lang w:eastAsia="en-US"/>
        </w:rPr>
        <w:t xml:space="preserve"> №696 </w:t>
      </w:r>
      <w:r w:rsidRPr="00986F7F">
        <w:rPr>
          <w:rFonts w:eastAsiaTheme="minorHAnsi"/>
          <w:lang w:eastAsia="en-US"/>
        </w:rPr>
        <w:t xml:space="preserve">(далее – Доклад о реализации Госпрограммы) </w:t>
      </w:r>
      <w:r>
        <w:t>п</w:t>
      </w:r>
      <w:r>
        <w:rPr>
          <w:rFonts w:eastAsiaTheme="minorHAnsi"/>
          <w:lang w:eastAsia="en-US"/>
        </w:rPr>
        <w:t xml:space="preserve">рактически все целевые показатели (за исключением одного показателя) были выполнены или перевыполнены. Перевыполнение колеблется в пределах от 2,9% до 10 раз. </w:t>
      </w:r>
      <w:r w:rsidR="00A353CA">
        <w:rPr>
          <w:rFonts w:eastAsiaTheme="minorHAnsi"/>
          <w:lang w:eastAsia="en-US"/>
        </w:rPr>
        <w:t xml:space="preserve"> При этом, и</w:t>
      </w:r>
      <w:r>
        <w:rPr>
          <w:rFonts w:eastAsiaTheme="minorHAnsi"/>
          <w:lang w:eastAsia="en-US"/>
        </w:rPr>
        <w:t xml:space="preserve">сходя из </w:t>
      </w:r>
      <w:r w:rsidR="00A353CA">
        <w:rPr>
          <w:rFonts w:eastAsiaTheme="minorHAnsi"/>
          <w:lang w:eastAsia="en-US"/>
        </w:rPr>
        <w:t xml:space="preserve">проведенного </w:t>
      </w:r>
      <w:r>
        <w:rPr>
          <w:rFonts w:eastAsiaTheme="minorHAnsi"/>
          <w:lang w:eastAsia="en-US"/>
        </w:rPr>
        <w:t>анализа достижения целевых показателей</w:t>
      </w:r>
      <w:r w:rsidR="00262544">
        <w:rPr>
          <w:rFonts w:eastAsiaTheme="minorHAnsi"/>
          <w:lang w:eastAsia="en-US"/>
        </w:rPr>
        <w:t>,</w:t>
      </w:r>
      <w:r>
        <w:rPr>
          <w:rFonts w:eastAsiaTheme="minorHAnsi"/>
          <w:lang w:eastAsia="en-US"/>
        </w:rPr>
        <w:t xml:space="preserve"> можно сделать вывод, что ц</w:t>
      </w:r>
      <w:r w:rsidRPr="00C270D4">
        <w:rPr>
          <w:rFonts w:eastAsiaTheme="minorHAnsi"/>
          <w:lang w:eastAsia="en-US"/>
        </w:rPr>
        <w:t>ель Подпрограммы Госпрограммы № 696-п в виде обеспечения устойчивого развития малого и среднего предпринимательства в Волгоградской области достигнута не полностью, так как 42,9% показателей не выполнены на последний год реализации Госпрограммы № 696-п. Не в полной мере решены задачи по повышению эффективности инфраструктуры поддержки малого и среднего предпринимательства (в части имущественной поддержки по ГАУ Бизнес-инкубатор), развитию малого и среднего предпринимательства в муниципальных образованиях (в 2015-2016 годах).</w:t>
      </w:r>
    </w:p>
    <w:p w:rsidR="008A00C0" w:rsidRDefault="00EB65D0" w:rsidP="008A00C0">
      <w:pPr>
        <w:ind w:firstLine="680"/>
        <w:jc w:val="both"/>
      </w:pPr>
      <w:r w:rsidRPr="00C270D4">
        <w:rPr>
          <w:rFonts w:eastAsiaTheme="minorHAnsi"/>
          <w:lang w:eastAsia="en-US"/>
        </w:rPr>
        <w:t xml:space="preserve">Оценить достижение цели и решение задач Подпрограммы Госпрограммы № 14-п в полной мере не представляется возможным, так как на момент проведения проверки значения трех </w:t>
      </w:r>
      <w:r>
        <w:rPr>
          <w:rFonts w:eastAsiaTheme="minorHAnsi"/>
          <w:lang w:eastAsia="en-US"/>
        </w:rPr>
        <w:t xml:space="preserve">целевых показателей, формируемых на основании статистических данных, </w:t>
      </w:r>
      <w:r w:rsidRPr="00C270D4">
        <w:rPr>
          <w:rFonts w:eastAsiaTheme="minorHAnsi"/>
          <w:lang w:eastAsia="en-US"/>
        </w:rPr>
        <w:t xml:space="preserve"> не рассчитывались ввиду более позднего формирования статистической отчетности. При этом цель Подпрограммы в виде увеличения доли СМСП</w:t>
      </w:r>
      <w:r w:rsidRPr="00C270D4">
        <w:rPr>
          <w:rFonts w:eastAsiaTheme="minorHAnsi"/>
          <w:iCs/>
          <w:lang w:eastAsia="en-US"/>
        </w:rPr>
        <w:t xml:space="preserve"> в экономике Волгоградской области за первый год реализации Госпрограммы № 14-п не совсем достигнута, так как в 2017 году в сравнении с 2016 годом наблюдается снижение количества СМСП с 94,6 тыс. ед. до </w:t>
      </w:r>
      <w:r w:rsidRPr="00C270D4">
        <w:rPr>
          <w:rFonts w:eastAsia="Times New Roman"/>
          <w:color w:val="000000"/>
        </w:rPr>
        <w:t xml:space="preserve">90,8 тыс. </w:t>
      </w:r>
      <w:r w:rsidRPr="00C62957">
        <w:rPr>
          <w:rFonts w:eastAsia="Times New Roman"/>
          <w:color w:val="000000"/>
        </w:rPr>
        <w:t>единиц.</w:t>
      </w:r>
      <w:r w:rsidR="008A00C0" w:rsidRPr="008A00C0">
        <w:t xml:space="preserve"> </w:t>
      </w:r>
      <w:r w:rsidR="008A00C0">
        <w:t>По данным ФНС РФ на 10.07.2018 отмечается снижение количества СМСП по сравнению с аналогичным периодом прошлого года по Волгоградской области  с 83,8 тыс. ед. до 83,3 тыс. единиц. По данным ФНС РФ на 10.07.2018 отмечается снижение количества СМСП по сравнению с аналогичным периодом прошлого года по Волгоградской области  с 83,8 тыс. ед. до 83,3 тыс. единиц.  При этом установлено значительное расхождение</w:t>
      </w:r>
      <w:r w:rsidR="008A00C0" w:rsidRPr="008A00C0">
        <w:t xml:space="preserve"> </w:t>
      </w:r>
      <w:r w:rsidR="008A00C0">
        <w:t xml:space="preserve">за 2016 – 2017 годы по количеству СМСП по статистическим данным и зарегистрированных в реестре СМСП, размещенном на сайте ФНС РФ (от 8,4 тыс. ед. до 12,7 тыс. ед.).  </w:t>
      </w:r>
    </w:p>
    <w:p w:rsidR="00EB65D0" w:rsidRPr="00AD40E7" w:rsidRDefault="00EB65D0" w:rsidP="00EB65D0">
      <w:pPr>
        <w:autoSpaceDE w:val="0"/>
        <w:autoSpaceDN w:val="0"/>
        <w:adjustRightInd w:val="0"/>
        <w:ind w:firstLine="680"/>
        <w:jc w:val="both"/>
        <w:rPr>
          <w:highlight w:val="yellow"/>
        </w:rPr>
      </w:pPr>
      <w:r w:rsidRPr="005C22B6">
        <w:rPr>
          <w:b/>
        </w:rPr>
        <w:t>12.</w:t>
      </w:r>
      <w:r w:rsidRPr="00C62957">
        <w:t xml:space="preserve"> В состав целевых показателей</w:t>
      </w:r>
      <w:r w:rsidR="00A353CA">
        <w:t xml:space="preserve"> Подпрограммы</w:t>
      </w:r>
      <w:r w:rsidRPr="00C62957">
        <w:t xml:space="preserve"> не включаются отдельные индивидуальные показатели, характеризующие результативность использования средств федерального бюджета (составляют наибольшую долю в объеме финансирования Подпрограммы) и отраженные в Сведениях об индивидуальных показател</w:t>
      </w:r>
      <w:r w:rsidR="00A353CA">
        <w:t>ях</w:t>
      </w:r>
      <w:r w:rsidRPr="00C62957">
        <w:t xml:space="preserve"> результативности использования средств федерального бюджета, выделяемых на реализацию мероприятий Подпрограммы…, являющихся приложением к Госпрограмме. </w:t>
      </w:r>
      <w:r w:rsidR="00C03694">
        <w:t xml:space="preserve">  Также они не учитываю</w:t>
      </w:r>
      <w:r w:rsidRPr="00C62957">
        <w:t xml:space="preserve">тся </w:t>
      </w:r>
      <w:r w:rsidR="00C03694" w:rsidRPr="00C62957">
        <w:t xml:space="preserve">при оценке эффективности Госпрограммы </w:t>
      </w:r>
      <w:r w:rsidRPr="00C62957">
        <w:t>достижение индивидуальных показателей,</w:t>
      </w:r>
      <w:r w:rsidRPr="00C62957">
        <w:rPr>
          <w:rFonts w:eastAsia="Times New Roman"/>
          <w:bCs/>
          <w:color w:val="000000"/>
        </w:rPr>
        <w:t xml:space="preserve"> так как Порядком разработки госпрограмм это не </w:t>
      </w:r>
      <w:r w:rsidRPr="00C62957">
        <w:rPr>
          <w:rFonts w:eastAsia="Times New Roman"/>
          <w:bCs/>
          <w:color w:val="000000"/>
        </w:rPr>
        <w:lastRenderedPageBreak/>
        <w:t xml:space="preserve">предусмотрено. </w:t>
      </w:r>
      <w:proofErr w:type="gramStart"/>
      <w:r w:rsidR="00C03694">
        <w:rPr>
          <w:rFonts w:eastAsia="Times New Roman"/>
          <w:bCs/>
          <w:color w:val="000000"/>
        </w:rPr>
        <w:t>П</w:t>
      </w:r>
      <w:r w:rsidRPr="00C62957">
        <w:rPr>
          <w:rFonts w:eastAsia="Times New Roman"/>
          <w:bCs/>
          <w:color w:val="000000"/>
        </w:rPr>
        <w:t>одходы к формированию</w:t>
      </w:r>
      <w:r>
        <w:rPr>
          <w:rFonts w:eastAsia="Times New Roman"/>
          <w:bCs/>
          <w:color w:val="000000"/>
        </w:rPr>
        <w:t xml:space="preserve"> отдельных идентичных целевых и индивидуальных показателей различны (индивидуальный показатель формируется по СМСП, </w:t>
      </w:r>
      <w:r w:rsidRPr="00A606A2">
        <w:rPr>
          <w:rFonts w:eastAsia="Times New Roman"/>
          <w:bCs/>
          <w:color w:val="000000"/>
        </w:rPr>
        <w:t>получившим господдержку, а целевой показатель по всем СМСП Волгоградской области)</w:t>
      </w:r>
      <w:r w:rsidR="00C03694">
        <w:rPr>
          <w:rFonts w:eastAsia="Times New Roman"/>
          <w:bCs/>
          <w:color w:val="000000"/>
        </w:rPr>
        <w:t>, что</w:t>
      </w:r>
      <w:r w:rsidRPr="00A606A2">
        <w:t xml:space="preserve"> не позволяет сформировать реальную оценку эффективности Госпрограммы</w:t>
      </w:r>
      <w:r w:rsidR="00C03694" w:rsidRPr="00C03694">
        <w:t xml:space="preserve"> </w:t>
      </w:r>
      <w:r w:rsidR="00C03694">
        <w:t xml:space="preserve">и </w:t>
      </w:r>
      <w:r w:rsidR="00C03694" w:rsidRPr="00A606A2">
        <w:t>Подпрограммы</w:t>
      </w:r>
      <w:r w:rsidRPr="00A606A2">
        <w:t>.</w:t>
      </w:r>
      <w:proofErr w:type="gramEnd"/>
    </w:p>
    <w:p w:rsidR="00EB65D0" w:rsidRPr="000F0594" w:rsidRDefault="00EB65D0" w:rsidP="00EB65D0">
      <w:pPr>
        <w:autoSpaceDE w:val="0"/>
        <w:autoSpaceDN w:val="0"/>
        <w:adjustRightInd w:val="0"/>
        <w:ind w:firstLine="680"/>
        <w:jc w:val="both"/>
        <w:rPr>
          <w:rFonts w:eastAsia="Times New Roman"/>
          <w:color w:val="000000"/>
        </w:rPr>
      </w:pPr>
      <w:r w:rsidRPr="005C22B6">
        <w:rPr>
          <w:rFonts w:eastAsia="Times New Roman"/>
          <w:b/>
          <w:color w:val="000000"/>
        </w:rPr>
        <w:t>13.</w:t>
      </w:r>
      <w:r w:rsidRPr="000F0594">
        <w:rPr>
          <w:rFonts w:eastAsia="Times New Roman"/>
          <w:color w:val="000000"/>
        </w:rPr>
        <w:t xml:space="preserve"> </w:t>
      </w:r>
      <w:r w:rsidRPr="000F0594">
        <w:rPr>
          <w:rFonts w:eastAsia="Times New Roman"/>
          <w:bCs/>
          <w:color w:val="000000"/>
        </w:rPr>
        <w:t xml:space="preserve">Проверкой достоверности фактических значений целевых показателей Подпрограммы, отраженных в Докладе о ходе реализации Госпрограммы за 2017 год, установлено, что 4 показателя формировались не по всем мероприятиям Подпрограммы (не включена информация по деятельности </w:t>
      </w:r>
      <w:proofErr w:type="spellStart"/>
      <w:r w:rsidRPr="000F0594">
        <w:rPr>
          <w:rFonts w:eastAsia="Times New Roman"/>
          <w:bCs/>
          <w:color w:val="000000"/>
        </w:rPr>
        <w:t>ЦМИТов</w:t>
      </w:r>
      <w:proofErr w:type="spellEnd"/>
      <w:r w:rsidRPr="000F0594">
        <w:rPr>
          <w:rFonts w:eastAsia="Times New Roman"/>
          <w:bCs/>
          <w:color w:val="000000"/>
        </w:rPr>
        <w:t>, мероприятию поддержки молодежного предпринимательства), что не отражает реальной картины эффективности их реализации</w:t>
      </w:r>
      <w:r>
        <w:rPr>
          <w:rFonts w:eastAsia="Times New Roman"/>
          <w:bCs/>
          <w:color w:val="000000"/>
        </w:rPr>
        <w:t>.</w:t>
      </w:r>
      <w:r w:rsidRPr="000F0594">
        <w:rPr>
          <w:rFonts w:eastAsia="Times New Roman"/>
          <w:bCs/>
          <w:color w:val="000000"/>
        </w:rPr>
        <w:t xml:space="preserve"> </w:t>
      </w:r>
    </w:p>
    <w:p w:rsidR="00EB65D0" w:rsidRPr="00D37150" w:rsidRDefault="00EB65D0" w:rsidP="00EB65D0">
      <w:pPr>
        <w:autoSpaceDE w:val="0"/>
        <w:autoSpaceDN w:val="0"/>
        <w:adjustRightInd w:val="0"/>
        <w:ind w:firstLine="680"/>
        <w:jc w:val="both"/>
      </w:pPr>
      <w:r w:rsidRPr="005C22B6">
        <w:rPr>
          <w:b/>
        </w:rPr>
        <w:t>14.</w:t>
      </w:r>
      <w:r w:rsidR="00C03694">
        <w:t xml:space="preserve"> При оценке эффективности Г</w:t>
      </w:r>
      <w:r w:rsidRPr="00D37150">
        <w:t>оспрограммы в части фактических расходов учитывается</w:t>
      </w:r>
      <w:r w:rsidRPr="00D37150">
        <w:rPr>
          <w:rFonts w:eastAsiaTheme="minorHAnsi"/>
          <w:lang w:eastAsia="en-US"/>
        </w:rPr>
        <w:t xml:space="preserve"> кассовое  исполнение областного бюджета по состоянию на 31 декабря отчетного года</w:t>
      </w:r>
      <w:r w:rsidRPr="00D37150">
        <w:t>, которое в 2017 году составило практически 100 процентов. При этом предоставленные организациям инфраструктуры поддержки СМСП средства в виде субсидий на проведение мероприятий Подпрограммы израсходованы не в полном объеме (сложились неиспользованные остатки денежных сре</w:t>
      </w:r>
      <w:proofErr w:type="gramStart"/>
      <w:r w:rsidRPr="00D37150">
        <w:t>дств в с</w:t>
      </w:r>
      <w:proofErr w:type="gramEnd"/>
      <w:r w:rsidRPr="00D37150">
        <w:t>ущественных размерах), т.е. искажается реальная ситуация об использовании бюджетных средств при реализации  мероприятий Подпрограммы, что влияет на расчет ее эффективности.</w:t>
      </w:r>
    </w:p>
    <w:p w:rsidR="00EB65D0" w:rsidRDefault="00EB65D0" w:rsidP="00EB65D0">
      <w:pPr>
        <w:ind w:firstLine="708"/>
        <w:jc w:val="both"/>
      </w:pPr>
      <w:r w:rsidRPr="005C22B6">
        <w:rPr>
          <w:b/>
        </w:rPr>
        <w:t>15.</w:t>
      </w:r>
      <w:r>
        <w:rPr>
          <w:b/>
        </w:rPr>
        <w:t xml:space="preserve"> </w:t>
      </w:r>
      <w:r>
        <w:t xml:space="preserve"> </w:t>
      </w:r>
      <w:proofErr w:type="gramStart"/>
      <w:r>
        <w:t>С</w:t>
      </w:r>
      <w:r w:rsidRPr="003E4C40">
        <w:t>равнени</w:t>
      </w:r>
      <w:r>
        <w:t>е</w:t>
      </w:r>
      <w:r w:rsidRPr="003E4C40">
        <w:t xml:space="preserve"> Волгоградской области с </w:t>
      </w:r>
      <w:r>
        <w:t xml:space="preserve">отдельными субъектами РФ </w:t>
      </w:r>
      <w:r w:rsidRPr="003E4C40">
        <w:t xml:space="preserve"> </w:t>
      </w:r>
      <w:r>
        <w:t>(</w:t>
      </w:r>
      <w:r w:rsidRPr="003E4C40">
        <w:t>Краснодарский край, Астраханская, Белгородская, Воронежская, Ростовская, Саратовская</w:t>
      </w:r>
      <w:r>
        <w:t xml:space="preserve"> области)</w:t>
      </w:r>
      <w:r w:rsidRPr="003E4C40">
        <w:t xml:space="preserve"> </w:t>
      </w:r>
      <w:r>
        <w:t>по</w:t>
      </w:r>
      <w:r w:rsidRPr="003E4C40">
        <w:t xml:space="preserve"> основны</w:t>
      </w:r>
      <w:r>
        <w:t>м, характеризующим</w:t>
      </w:r>
      <w:r w:rsidRPr="003E4C40">
        <w:t xml:space="preserve"> развитие малого и среднего предпринимательств</w:t>
      </w:r>
      <w:r>
        <w:t xml:space="preserve">а, </w:t>
      </w:r>
      <w:r w:rsidRPr="003E4C40">
        <w:t>показател</w:t>
      </w:r>
      <w:r>
        <w:t>ям</w:t>
      </w:r>
      <w:r w:rsidRPr="00A90564">
        <w:t xml:space="preserve"> </w:t>
      </w:r>
      <w:r>
        <w:t>(количество СМСП, д</w:t>
      </w:r>
      <w:r w:rsidRPr="00F41283">
        <w:t>оля численности субъектов малого предпринимательства в среднегодовой численности занятых в экономике</w:t>
      </w:r>
      <w:r>
        <w:t>,</w:t>
      </w:r>
      <w:r w:rsidRPr="00A90564">
        <w:t xml:space="preserve"> </w:t>
      </w:r>
      <w:r w:rsidRPr="00463218">
        <w:t>отношени</w:t>
      </w:r>
      <w:r>
        <w:t>е</w:t>
      </w:r>
      <w:r w:rsidRPr="00463218">
        <w:t xml:space="preserve"> оборота</w:t>
      </w:r>
      <w:r>
        <w:t xml:space="preserve"> СМСП к общему обороту организаций, оборот </w:t>
      </w:r>
      <w:r w:rsidRPr="00A90564">
        <w:t xml:space="preserve">продукции </w:t>
      </w:r>
      <w:r w:rsidRPr="00A90564">
        <w:rPr>
          <w:rFonts w:eastAsia="Times New Roman"/>
          <w:bCs/>
          <w:color w:val="000000"/>
        </w:rPr>
        <w:t>на душу населения,</w:t>
      </w:r>
      <w:r w:rsidRPr="00A90564">
        <w:t xml:space="preserve"> производимых малыми предприятиями, в т.ч. </w:t>
      </w:r>
      <w:proofErr w:type="spellStart"/>
      <w:r w:rsidRPr="00A90564">
        <w:t>микропредприятиями</w:t>
      </w:r>
      <w:proofErr w:type="spellEnd"/>
      <w:r w:rsidRPr="00A90564">
        <w:t xml:space="preserve"> и ИП,</w:t>
      </w:r>
      <w:r w:rsidRPr="00740287">
        <w:t xml:space="preserve"> </w:t>
      </w:r>
      <w:r w:rsidRPr="00F81FEE">
        <w:t>объем</w:t>
      </w:r>
      <w:r w:rsidRPr="00F81FEE">
        <w:rPr>
          <w:i/>
        </w:rPr>
        <w:t xml:space="preserve"> </w:t>
      </w:r>
      <w:r w:rsidRPr="00F81FEE">
        <w:t>поступлений</w:t>
      </w:r>
      <w:proofErr w:type="gramEnd"/>
      <w:r w:rsidRPr="00F81FEE">
        <w:t xml:space="preserve"> налогов,</w:t>
      </w:r>
      <w:r>
        <w:t xml:space="preserve"> относящихся к специальным налоговым режимам, на 1 СМСП, </w:t>
      </w:r>
      <w:r w:rsidRPr="00955BF7">
        <w:t>дол</w:t>
      </w:r>
      <w:r>
        <w:t>я</w:t>
      </w:r>
      <w:r w:rsidRPr="00955BF7">
        <w:t xml:space="preserve"> налоговых поступлений по </w:t>
      </w:r>
      <w:proofErr w:type="spellStart"/>
      <w:r w:rsidRPr="00955BF7">
        <w:t>спецрежимам</w:t>
      </w:r>
      <w:proofErr w:type="spellEnd"/>
      <w:r w:rsidRPr="00955BF7">
        <w:t xml:space="preserve"> </w:t>
      </w:r>
      <w:r>
        <w:t>в</w:t>
      </w:r>
      <w:r w:rsidRPr="00955BF7">
        <w:t xml:space="preserve"> общем объем</w:t>
      </w:r>
      <w:r>
        <w:t>е</w:t>
      </w:r>
      <w:r w:rsidRPr="00955BF7">
        <w:t xml:space="preserve"> налоговых доходов консолидированного бюджета субъекта РФ</w:t>
      </w:r>
      <w:r>
        <w:t>) показало, что Волгоградская область отстает по большинству показателей.</w:t>
      </w:r>
    </w:p>
    <w:p w:rsidR="00EB65D0" w:rsidRPr="0002694C" w:rsidRDefault="00EB65D0" w:rsidP="00EB65D0">
      <w:pPr>
        <w:ind w:firstLine="708"/>
        <w:jc w:val="both"/>
        <w:rPr>
          <w:rFonts w:eastAsia="Times New Roman"/>
          <w:color w:val="000000"/>
        </w:rPr>
      </w:pPr>
      <w:proofErr w:type="gramStart"/>
      <w:r>
        <w:t xml:space="preserve">Из сравнения </w:t>
      </w:r>
      <w:r w:rsidRPr="00DE635D">
        <w:t>объем</w:t>
      </w:r>
      <w:r>
        <w:t>ов</w:t>
      </w:r>
      <w:r w:rsidRPr="00DE635D">
        <w:t xml:space="preserve"> финансирования, </w:t>
      </w:r>
      <w:r w:rsidRPr="002A4E09">
        <w:t>предусмотренны</w:t>
      </w:r>
      <w:r>
        <w:t>х</w:t>
      </w:r>
      <w:r w:rsidRPr="002A4E09">
        <w:t xml:space="preserve"> аналогичными подпрограммами</w:t>
      </w:r>
      <w:r w:rsidRPr="002A4E09">
        <w:rPr>
          <w:i/>
        </w:rPr>
        <w:t xml:space="preserve"> «</w:t>
      </w:r>
      <w:r w:rsidRPr="002A4E09">
        <w:rPr>
          <w:rFonts w:eastAsia="Times New Roman"/>
          <w:color w:val="000000"/>
        </w:rPr>
        <w:t>Развитие и государственная поддержка малого и среднего предпринимательства»,</w:t>
      </w:r>
      <w:r>
        <w:rPr>
          <w:rFonts w:eastAsia="Times New Roman"/>
          <w:color w:val="000000"/>
        </w:rPr>
        <w:t xml:space="preserve"> приходящихся на 1 субъект малого и среднего предпринимательства </w:t>
      </w:r>
      <w:r w:rsidRPr="001E616D">
        <w:t xml:space="preserve">можно сделать вывод о том, что развитие предпринимательства на территориях регионов не зависит напрямую от </w:t>
      </w:r>
      <w:r>
        <w:t>объемов финансирования</w:t>
      </w:r>
      <w:r w:rsidRPr="001E616D">
        <w:t xml:space="preserve">, что </w:t>
      </w:r>
      <w:r>
        <w:t>и п</w:t>
      </w:r>
      <w:r w:rsidRPr="001E616D">
        <w:t>оказала настоящая проверка, так как доля СМСП, получивших господдержку</w:t>
      </w:r>
      <w:r>
        <w:t>,</w:t>
      </w:r>
      <w:r w:rsidRPr="001E616D">
        <w:t xml:space="preserve"> в общем количестве СМСП</w:t>
      </w:r>
      <w:r>
        <w:t xml:space="preserve"> </w:t>
      </w:r>
      <w:r w:rsidRPr="001E616D">
        <w:t xml:space="preserve"> незначительна.</w:t>
      </w:r>
      <w:proofErr w:type="gramEnd"/>
    </w:p>
    <w:p w:rsidR="00EB65D0" w:rsidRPr="00CC2C4E" w:rsidRDefault="00EB65D0" w:rsidP="00EB65D0">
      <w:pPr>
        <w:ind w:firstLine="708"/>
        <w:jc w:val="both"/>
      </w:pPr>
      <w:proofErr w:type="gramStart"/>
      <w:r>
        <w:t xml:space="preserve">Полагаем, что на развитие предпринимательства влияют, в том числе следующие факторы: наличие у СМСП </w:t>
      </w:r>
      <w:r w:rsidRPr="00CC2C4E">
        <w:t xml:space="preserve">собственных финансовых ресурсов для обеспечения собственных инвестиционных и оборотных потребностей, </w:t>
      </w:r>
      <w:r>
        <w:t xml:space="preserve">доступ к кредитным средствам, </w:t>
      </w:r>
      <w:r w:rsidRPr="00CC2C4E">
        <w:t xml:space="preserve">административные барьеры, </w:t>
      </w:r>
      <w:r w:rsidRPr="00CC2C4E">
        <w:rPr>
          <w:color w:val="000000"/>
        </w:rPr>
        <w:t>спрос на товары и услуги, уровень платежеспособного спроса населения,  уровень инфляции, налоговая нагрузка, цены на ресурсы, необходимые малому бизнесу, уровень конкуренции на товарных рынках, степень монополизации рынка и другие.</w:t>
      </w:r>
      <w:proofErr w:type="gramEnd"/>
    </w:p>
    <w:p w:rsidR="00EB65D0" w:rsidRPr="00E44C3E" w:rsidRDefault="00EB65D0" w:rsidP="00EB65D0">
      <w:pPr>
        <w:ind w:firstLine="680"/>
        <w:jc w:val="both"/>
      </w:pPr>
      <w:proofErr w:type="gramStart"/>
      <w:r>
        <w:t>Также</w:t>
      </w:r>
      <w:proofErr w:type="gramEnd"/>
      <w:r>
        <w:t xml:space="preserve"> </w:t>
      </w:r>
      <w:r w:rsidRPr="00684681">
        <w:t xml:space="preserve">по мнению КСП влияет объем и качество предоставляемой господдержки через организации инфраструктуры. </w:t>
      </w:r>
      <w:r>
        <w:t>В</w:t>
      </w:r>
      <w:r w:rsidRPr="00684681">
        <w:t xml:space="preserve"> Волгоградской области </w:t>
      </w:r>
      <w:r>
        <w:t>действует 10 ед. инфраструктуры</w:t>
      </w:r>
      <w:r w:rsidRPr="00684681">
        <w:t xml:space="preserve">, что ниже </w:t>
      </w:r>
      <w:r>
        <w:t>количества организаций инфраструктуры сравниваемых регионов (</w:t>
      </w:r>
      <w:r w:rsidRPr="00684681">
        <w:t xml:space="preserve">за </w:t>
      </w:r>
      <w:r>
        <w:t xml:space="preserve">исключением Краснодарского края), в </w:t>
      </w:r>
      <w:proofErr w:type="gramStart"/>
      <w:r>
        <w:t>связи</w:t>
      </w:r>
      <w:proofErr w:type="gramEnd"/>
      <w:r>
        <w:t xml:space="preserve"> с чем </w:t>
      </w:r>
      <w:r w:rsidRPr="00E44C3E">
        <w:t>необходимо создание новых видов инфраструктуры, способствующих увеличению количества СМСП и росту оборота продукции, например, таких как центры кластерного развития, частные промышленные парки.</w:t>
      </w:r>
    </w:p>
    <w:p w:rsidR="00EB65D0" w:rsidRPr="00E44C3E" w:rsidRDefault="00EB65D0" w:rsidP="00EB65D0">
      <w:pPr>
        <w:ind w:firstLine="708"/>
        <w:jc w:val="both"/>
      </w:pPr>
    </w:p>
    <w:p w:rsidR="00EB65D0" w:rsidRDefault="00EB65D0" w:rsidP="00EB65D0">
      <w:pPr>
        <w:ind w:firstLine="708"/>
        <w:jc w:val="both"/>
      </w:pPr>
    </w:p>
    <w:p w:rsidR="00EC4B17" w:rsidRPr="00EB65D0" w:rsidRDefault="00EC4B17" w:rsidP="000F535F">
      <w:pPr>
        <w:autoSpaceDE w:val="0"/>
        <w:autoSpaceDN w:val="0"/>
        <w:adjustRightInd w:val="0"/>
        <w:ind w:firstLine="680"/>
        <w:jc w:val="both"/>
        <w:rPr>
          <w:rFonts w:eastAsia="Times New Roman"/>
          <w:bCs/>
          <w:color w:val="000000"/>
        </w:rPr>
      </w:pPr>
    </w:p>
    <w:p w:rsidR="00684681" w:rsidRPr="00EB65D0" w:rsidRDefault="00684681" w:rsidP="00F81968">
      <w:pPr>
        <w:ind w:firstLine="680"/>
        <w:jc w:val="both"/>
        <w:rPr>
          <w:i/>
        </w:rPr>
      </w:pPr>
    </w:p>
    <w:p w:rsidR="00684681" w:rsidRDefault="00684681" w:rsidP="00F81968">
      <w:pPr>
        <w:ind w:firstLine="680"/>
        <w:jc w:val="both"/>
        <w:rPr>
          <w:i/>
        </w:rPr>
      </w:pPr>
    </w:p>
    <w:p w:rsidR="00EC4B17" w:rsidRPr="00753436" w:rsidRDefault="00EC4B17" w:rsidP="00EC4B17">
      <w:pPr>
        <w:ind w:firstLine="680"/>
        <w:jc w:val="both"/>
        <w:rPr>
          <w:b/>
        </w:rPr>
      </w:pPr>
      <w:r w:rsidRPr="00753436">
        <w:rPr>
          <w:b/>
        </w:rPr>
        <w:t>Аудитор                                                                                          Н.</w:t>
      </w:r>
      <w:r w:rsidR="00EB65D0">
        <w:rPr>
          <w:b/>
        </w:rPr>
        <w:t xml:space="preserve"> </w:t>
      </w:r>
      <w:r w:rsidRPr="00753436">
        <w:rPr>
          <w:b/>
        </w:rPr>
        <w:t xml:space="preserve">Л. </w:t>
      </w:r>
      <w:proofErr w:type="spellStart"/>
      <w:r w:rsidRPr="00753436">
        <w:rPr>
          <w:b/>
        </w:rPr>
        <w:t>Ноздрюхина</w:t>
      </w:r>
      <w:proofErr w:type="spellEnd"/>
    </w:p>
    <w:sectPr w:rsidR="00EC4B17" w:rsidRPr="00753436" w:rsidSect="00A06D1F">
      <w:headerReference w:type="even" r:id="rId21"/>
      <w:headerReference w:type="default" r:id="rId22"/>
      <w:footerReference w:type="even" r:id="rId23"/>
      <w:footerReference w:type="default" r:id="rId24"/>
      <w:headerReference w:type="first" r:id="rId25"/>
      <w:footerReference w:type="first" r:id="rId26"/>
      <w:pgSz w:w="11906" w:h="16838"/>
      <w:pgMar w:top="567" w:right="851" w:bottom="567"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5F41" w:rsidRDefault="00375F41" w:rsidP="00F3079F">
      <w:r>
        <w:separator/>
      </w:r>
    </w:p>
  </w:endnote>
  <w:endnote w:type="continuationSeparator" w:id="0">
    <w:p w:rsidR="00375F41" w:rsidRDefault="00375F41" w:rsidP="00F3079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ndale Sans UI">
    <w:altName w:val="Times New Roman"/>
    <w:charset w:val="00"/>
    <w:family w:val="auto"/>
    <w:pitch w:val="variable"/>
    <w:sig w:usb0="00000000" w:usb1="00000000" w:usb2="00000000" w:usb3="00000000" w:csb0="00000000" w:csb1="00000000"/>
  </w:font>
  <w:font w:name="PT Sans">
    <w:altName w:val="Times New Roman"/>
    <w:panose1 w:val="00000000000000000000"/>
    <w:charset w:val="00"/>
    <w:family w:val="roman"/>
    <w:notTrueType/>
    <w:pitch w:val="default"/>
    <w:sig w:usb0="00000000" w:usb1="00000000" w:usb2="00000000" w:usb3="00000000" w:csb0="00000000" w:csb1="00000000"/>
  </w:font>
  <w:font w:name="Open Sans">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7235" w:rsidRDefault="00447235">
    <w:pPr>
      <w:pStyle w:val="af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7235" w:rsidRDefault="00447235">
    <w:pPr>
      <w:pStyle w:val="af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7235" w:rsidRDefault="00447235">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5F41" w:rsidRDefault="00375F41" w:rsidP="00F3079F">
      <w:r>
        <w:separator/>
      </w:r>
    </w:p>
  </w:footnote>
  <w:footnote w:type="continuationSeparator" w:id="0">
    <w:p w:rsidR="00375F41" w:rsidRDefault="00375F41" w:rsidP="00F3079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7235" w:rsidRDefault="00447235">
    <w:pPr>
      <w:pStyle w:val="a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7235" w:rsidRDefault="00447235">
    <w:pPr>
      <w:pStyle w:val="ae"/>
      <w:jc w:val="center"/>
    </w:pPr>
    <w:sdt>
      <w:sdtPr>
        <w:id w:val="24821444"/>
        <w:docPartObj>
          <w:docPartGallery w:val="Page Numbers (Top of Page)"/>
          <w:docPartUnique/>
        </w:docPartObj>
      </w:sdtPr>
      <w:sdtContent>
        <w:fldSimple w:instr=" PAGE   \* MERGEFORMAT ">
          <w:r w:rsidR="001B5880">
            <w:rPr>
              <w:noProof/>
            </w:rPr>
            <w:t>2</w:t>
          </w:r>
        </w:fldSimple>
      </w:sdtContent>
    </w:sdt>
  </w:p>
  <w:p w:rsidR="00447235" w:rsidRDefault="00447235">
    <w:pPr>
      <w:pStyle w:val="a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7235" w:rsidRDefault="00447235">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958DF"/>
    <w:multiLevelType w:val="hybridMultilevel"/>
    <w:tmpl w:val="3D4841B2"/>
    <w:lvl w:ilvl="0" w:tplc="04190011">
      <w:start w:val="1"/>
      <w:numFmt w:val="decimal"/>
      <w:lvlText w:val="%1)"/>
      <w:lvlJc w:val="left"/>
      <w:pPr>
        <w:ind w:left="1429" w:hanging="360"/>
      </w:pPr>
    </w:lvl>
    <w:lvl w:ilvl="1" w:tplc="04190001">
      <w:start w:val="1"/>
      <w:numFmt w:val="bullet"/>
      <w:lvlText w:val=""/>
      <w:lvlJc w:val="left"/>
      <w:pPr>
        <w:ind w:left="2149" w:hanging="360"/>
      </w:pPr>
      <w:rPr>
        <w:rFonts w:ascii="Symbol" w:hAnsi="Symbol"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084706C"/>
    <w:multiLevelType w:val="hybridMultilevel"/>
    <w:tmpl w:val="8116AE5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23D002A"/>
    <w:multiLevelType w:val="multilevel"/>
    <w:tmpl w:val="033A405A"/>
    <w:lvl w:ilvl="0">
      <w:start w:val="7"/>
      <w:numFmt w:val="decimal"/>
      <w:lvlText w:val="%1"/>
      <w:lvlJc w:val="left"/>
      <w:pPr>
        <w:ind w:left="360" w:hanging="360"/>
      </w:pPr>
      <w:rPr>
        <w:rFonts w:hint="default"/>
      </w:rPr>
    </w:lvl>
    <w:lvl w:ilvl="1">
      <w:start w:val="1"/>
      <w:numFmt w:val="decimal"/>
      <w:lvlText w:val="%1.%2"/>
      <w:lvlJc w:val="left"/>
      <w:pPr>
        <w:ind w:left="1040" w:hanging="36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2760" w:hanging="72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7240" w:hanging="1800"/>
      </w:pPr>
      <w:rPr>
        <w:rFonts w:hint="default"/>
      </w:rPr>
    </w:lvl>
  </w:abstractNum>
  <w:abstractNum w:abstractNumId="3">
    <w:nsid w:val="05EE1FF6"/>
    <w:multiLevelType w:val="hybridMultilevel"/>
    <w:tmpl w:val="539E535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86D7067"/>
    <w:multiLevelType w:val="hybridMultilevel"/>
    <w:tmpl w:val="75CCA64E"/>
    <w:lvl w:ilvl="0" w:tplc="5E18465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0FDB7F96"/>
    <w:multiLevelType w:val="multilevel"/>
    <w:tmpl w:val="D0A85F2A"/>
    <w:lvl w:ilvl="0">
      <w:start w:val="4"/>
      <w:numFmt w:val="decimal"/>
      <w:lvlText w:val="%1."/>
      <w:lvlJc w:val="left"/>
      <w:pPr>
        <w:ind w:left="1070" w:hanging="360"/>
      </w:pPr>
      <w:rPr>
        <w:rFonts w:hint="default"/>
        <w:b/>
      </w:rPr>
    </w:lvl>
    <w:lvl w:ilvl="1">
      <w:start w:val="1"/>
      <w:numFmt w:val="decimal"/>
      <w:lvlText w:val="%1.%2."/>
      <w:lvlJc w:val="left"/>
      <w:pPr>
        <w:ind w:left="1212" w:hanging="360"/>
      </w:pPr>
      <w:rPr>
        <w:rFonts w:hint="default"/>
        <w:b/>
      </w:rPr>
    </w:lvl>
    <w:lvl w:ilvl="2">
      <w:start w:val="1"/>
      <w:numFmt w:val="decimal"/>
      <w:lvlText w:val="%1.%2.%3."/>
      <w:lvlJc w:val="left"/>
      <w:pPr>
        <w:ind w:left="1430" w:hanging="720"/>
      </w:pPr>
      <w:rPr>
        <w:rFonts w:hint="default"/>
      </w:rPr>
    </w:lvl>
    <w:lvl w:ilvl="3">
      <w:start w:val="1"/>
      <w:numFmt w:val="decimal"/>
      <w:lvlText w:val="%1.%2.%3.%4."/>
      <w:lvlJc w:val="left"/>
      <w:pPr>
        <w:ind w:left="1430" w:hanging="720"/>
      </w:pPr>
      <w:rPr>
        <w:rFonts w:hint="default"/>
      </w:rPr>
    </w:lvl>
    <w:lvl w:ilvl="4">
      <w:start w:val="1"/>
      <w:numFmt w:val="decimal"/>
      <w:lvlText w:val="%1.%2.%3.%4.%5."/>
      <w:lvlJc w:val="left"/>
      <w:pPr>
        <w:ind w:left="1790"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150" w:hanging="1440"/>
      </w:pPr>
      <w:rPr>
        <w:rFonts w:hint="default"/>
      </w:rPr>
    </w:lvl>
    <w:lvl w:ilvl="7">
      <w:start w:val="1"/>
      <w:numFmt w:val="decimal"/>
      <w:lvlText w:val="%1.%2.%3.%4.%5.%6.%7.%8."/>
      <w:lvlJc w:val="left"/>
      <w:pPr>
        <w:ind w:left="2150" w:hanging="1440"/>
      </w:pPr>
      <w:rPr>
        <w:rFonts w:hint="default"/>
      </w:rPr>
    </w:lvl>
    <w:lvl w:ilvl="8">
      <w:start w:val="1"/>
      <w:numFmt w:val="decimal"/>
      <w:lvlText w:val="%1.%2.%3.%4.%5.%6.%7.%8.%9."/>
      <w:lvlJc w:val="left"/>
      <w:pPr>
        <w:ind w:left="2510" w:hanging="1800"/>
      </w:pPr>
      <w:rPr>
        <w:rFonts w:hint="default"/>
      </w:rPr>
    </w:lvl>
  </w:abstractNum>
  <w:abstractNum w:abstractNumId="6">
    <w:nsid w:val="10A70D83"/>
    <w:multiLevelType w:val="hybridMultilevel"/>
    <w:tmpl w:val="3DD20BA0"/>
    <w:lvl w:ilvl="0" w:tplc="70284640">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141775EB"/>
    <w:multiLevelType w:val="hybridMultilevel"/>
    <w:tmpl w:val="082E119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nsid w:val="1B375218"/>
    <w:multiLevelType w:val="multilevel"/>
    <w:tmpl w:val="6C2E950E"/>
    <w:lvl w:ilvl="0">
      <w:start w:val="7"/>
      <w:numFmt w:val="decimal"/>
      <w:lvlText w:val="%1"/>
      <w:lvlJc w:val="left"/>
      <w:pPr>
        <w:ind w:left="360" w:hanging="360"/>
      </w:pPr>
      <w:rPr>
        <w:rFonts w:hint="default"/>
      </w:rPr>
    </w:lvl>
    <w:lvl w:ilvl="1">
      <w:start w:val="1"/>
      <w:numFmt w:val="decimal"/>
      <w:lvlText w:val="%1.%2"/>
      <w:lvlJc w:val="left"/>
      <w:pPr>
        <w:ind w:left="1040" w:hanging="36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2760" w:hanging="72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7240" w:hanging="1800"/>
      </w:pPr>
      <w:rPr>
        <w:rFonts w:hint="default"/>
      </w:rPr>
    </w:lvl>
  </w:abstractNum>
  <w:abstractNum w:abstractNumId="9">
    <w:nsid w:val="1BE267F8"/>
    <w:multiLevelType w:val="hybridMultilevel"/>
    <w:tmpl w:val="B3600E12"/>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0">
    <w:nsid w:val="1E9E5279"/>
    <w:multiLevelType w:val="multilevel"/>
    <w:tmpl w:val="58FAE21E"/>
    <w:lvl w:ilvl="0">
      <w:start w:val="1"/>
      <w:numFmt w:val="decimal"/>
      <w:lvlText w:val="%1."/>
      <w:lvlJc w:val="left"/>
      <w:pPr>
        <w:ind w:left="1200" w:hanging="1200"/>
      </w:pPr>
      <w:rPr>
        <w:rFonts w:hint="default"/>
      </w:rPr>
    </w:lvl>
    <w:lvl w:ilvl="1">
      <w:start w:val="1"/>
      <w:numFmt w:val="decimal"/>
      <w:lvlText w:val="%1.%2."/>
      <w:lvlJc w:val="left"/>
      <w:pPr>
        <w:ind w:left="1909" w:hanging="1200"/>
      </w:pPr>
      <w:rPr>
        <w:rFonts w:hint="default"/>
      </w:rPr>
    </w:lvl>
    <w:lvl w:ilvl="2">
      <w:start w:val="1"/>
      <w:numFmt w:val="decimal"/>
      <w:lvlText w:val="%1.%2.%3."/>
      <w:lvlJc w:val="left"/>
      <w:pPr>
        <w:ind w:left="2618" w:hanging="1200"/>
      </w:pPr>
      <w:rPr>
        <w:rFonts w:hint="default"/>
      </w:rPr>
    </w:lvl>
    <w:lvl w:ilvl="3">
      <w:start w:val="1"/>
      <w:numFmt w:val="decimal"/>
      <w:lvlText w:val="%1.%2.%3.%4."/>
      <w:lvlJc w:val="left"/>
      <w:pPr>
        <w:ind w:left="3327" w:hanging="1200"/>
      </w:pPr>
      <w:rPr>
        <w:rFonts w:hint="default"/>
      </w:rPr>
    </w:lvl>
    <w:lvl w:ilvl="4">
      <w:start w:val="1"/>
      <w:numFmt w:val="decimal"/>
      <w:lvlText w:val="%1.%2.%3.%4.%5."/>
      <w:lvlJc w:val="left"/>
      <w:pPr>
        <w:ind w:left="4036" w:hanging="120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nsid w:val="211B4F40"/>
    <w:multiLevelType w:val="hybridMultilevel"/>
    <w:tmpl w:val="54825078"/>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2">
    <w:nsid w:val="21B541FC"/>
    <w:multiLevelType w:val="hybridMultilevel"/>
    <w:tmpl w:val="6D4A0CA6"/>
    <w:lvl w:ilvl="0" w:tplc="36A02456">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13">
    <w:nsid w:val="21D10578"/>
    <w:multiLevelType w:val="multilevel"/>
    <w:tmpl w:val="F1863458"/>
    <w:lvl w:ilvl="0">
      <w:start w:val="1"/>
      <w:numFmt w:val="decimal"/>
      <w:lvlText w:val="%1."/>
      <w:lvlJc w:val="left"/>
      <w:pPr>
        <w:ind w:left="1040" w:hanging="360"/>
      </w:pPr>
      <w:rPr>
        <w:rFonts w:hint="default"/>
        <w:b/>
      </w:rPr>
    </w:lvl>
    <w:lvl w:ilvl="1">
      <w:start w:val="2"/>
      <w:numFmt w:val="decimal"/>
      <w:isLgl/>
      <w:lvlText w:val="%1.%2."/>
      <w:lvlJc w:val="left"/>
      <w:pPr>
        <w:ind w:left="1865" w:hanging="1185"/>
      </w:pPr>
      <w:rPr>
        <w:rFonts w:hint="default"/>
        <w:b/>
      </w:rPr>
    </w:lvl>
    <w:lvl w:ilvl="2">
      <w:start w:val="1"/>
      <w:numFmt w:val="decimal"/>
      <w:isLgl/>
      <w:lvlText w:val="%1.%2.%3."/>
      <w:lvlJc w:val="left"/>
      <w:pPr>
        <w:ind w:left="1865" w:hanging="1185"/>
      </w:pPr>
      <w:rPr>
        <w:rFonts w:hint="default"/>
      </w:rPr>
    </w:lvl>
    <w:lvl w:ilvl="3">
      <w:start w:val="1"/>
      <w:numFmt w:val="decimal"/>
      <w:isLgl/>
      <w:lvlText w:val="%1.%2.%3.%4."/>
      <w:lvlJc w:val="left"/>
      <w:pPr>
        <w:ind w:left="1865" w:hanging="1185"/>
      </w:pPr>
      <w:rPr>
        <w:rFonts w:hint="default"/>
      </w:rPr>
    </w:lvl>
    <w:lvl w:ilvl="4">
      <w:start w:val="1"/>
      <w:numFmt w:val="decimal"/>
      <w:isLgl/>
      <w:lvlText w:val="%1.%2.%3.%4.%5."/>
      <w:lvlJc w:val="left"/>
      <w:pPr>
        <w:ind w:left="1865" w:hanging="1185"/>
      </w:pPr>
      <w:rPr>
        <w:rFonts w:hint="default"/>
      </w:rPr>
    </w:lvl>
    <w:lvl w:ilvl="5">
      <w:start w:val="1"/>
      <w:numFmt w:val="decimal"/>
      <w:isLgl/>
      <w:lvlText w:val="%1.%2.%3.%4.%5.%6."/>
      <w:lvlJc w:val="left"/>
      <w:pPr>
        <w:ind w:left="1865" w:hanging="1185"/>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14">
    <w:nsid w:val="231C2509"/>
    <w:multiLevelType w:val="multilevel"/>
    <w:tmpl w:val="E5D24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5CE144A"/>
    <w:multiLevelType w:val="hybridMultilevel"/>
    <w:tmpl w:val="A8E03BD6"/>
    <w:lvl w:ilvl="0" w:tplc="D00879C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6">
    <w:nsid w:val="292116FE"/>
    <w:multiLevelType w:val="multilevel"/>
    <w:tmpl w:val="6F5A3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B260567"/>
    <w:multiLevelType w:val="hybridMultilevel"/>
    <w:tmpl w:val="82E628DE"/>
    <w:lvl w:ilvl="0" w:tplc="9AB0E9D4">
      <w:start w:val="1"/>
      <w:numFmt w:val="decimal"/>
      <w:lvlText w:val="%1."/>
      <w:lvlJc w:val="left"/>
      <w:pPr>
        <w:tabs>
          <w:tab w:val="num" w:pos="1876"/>
        </w:tabs>
        <w:ind w:left="1876" w:hanging="1152"/>
      </w:pPr>
      <w:rPr>
        <w:rFonts w:hint="default"/>
      </w:rPr>
    </w:lvl>
    <w:lvl w:ilvl="1" w:tplc="6284C000">
      <w:start w:val="1"/>
      <w:numFmt w:val="bullet"/>
      <w:lvlText w:val=""/>
      <w:lvlJc w:val="left"/>
      <w:pPr>
        <w:tabs>
          <w:tab w:val="num" w:pos="1804"/>
        </w:tabs>
        <w:ind w:left="1804" w:hanging="360"/>
      </w:pPr>
      <w:rPr>
        <w:rFonts w:ascii="Symbol" w:hAnsi="Symbol" w:hint="default"/>
      </w:rPr>
    </w:lvl>
    <w:lvl w:ilvl="2" w:tplc="0419001B" w:tentative="1">
      <w:start w:val="1"/>
      <w:numFmt w:val="lowerRoman"/>
      <w:lvlText w:val="%3."/>
      <w:lvlJc w:val="right"/>
      <w:pPr>
        <w:tabs>
          <w:tab w:val="num" w:pos="2524"/>
        </w:tabs>
        <w:ind w:left="2524" w:hanging="180"/>
      </w:pPr>
    </w:lvl>
    <w:lvl w:ilvl="3" w:tplc="0419000F" w:tentative="1">
      <w:start w:val="1"/>
      <w:numFmt w:val="decimal"/>
      <w:lvlText w:val="%4."/>
      <w:lvlJc w:val="left"/>
      <w:pPr>
        <w:tabs>
          <w:tab w:val="num" w:pos="3244"/>
        </w:tabs>
        <w:ind w:left="3244" w:hanging="360"/>
      </w:pPr>
    </w:lvl>
    <w:lvl w:ilvl="4" w:tplc="04190019" w:tentative="1">
      <w:start w:val="1"/>
      <w:numFmt w:val="lowerLetter"/>
      <w:lvlText w:val="%5."/>
      <w:lvlJc w:val="left"/>
      <w:pPr>
        <w:tabs>
          <w:tab w:val="num" w:pos="3964"/>
        </w:tabs>
        <w:ind w:left="3964" w:hanging="360"/>
      </w:pPr>
    </w:lvl>
    <w:lvl w:ilvl="5" w:tplc="0419001B" w:tentative="1">
      <w:start w:val="1"/>
      <w:numFmt w:val="lowerRoman"/>
      <w:lvlText w:val="%6."/>
      <w:lvlJc w:val="right"/>
      <w:pPr>
        <w:tabs>
          <w:tab w:val="num" w:pos="4684"/>
        </w:tabs>
        <w:ind w:left="4684" w:hanging="180"/>
      </w:pPr>
    </w:lvl>
    <w:lvl w:ilvl="6" w:tplc="0419000F" w:tentative="1">
      <w:start w:val="1"/>
      <w:numFmt w:val="decimal"/>
      <w:lvlText w:val="%7."/>
      <w:lvlJc w:val="left"/>
      <w:pPr>
        <w:tabs>
          <w:tab w:val="num" w:pos="5404"/>
        </w:tabs>
        <w:ind w:left="5404" w:hanging="360"/>
      </w:pPr>
    </w:lvl>
    <w:lvl w:ilvl="7" w:tplc="04190019" w:tentative="1">
      <w:start w:val="1"/>
      <w:numFmt w:val="lowerLetter"/>
      <w:lvlText w:val="%8."/>
      <w:lvlJc w:val="left"/>
      <w:pPr>
        <w:tabs>
          <w:tab w:val="num" w:pos="6124"/>
        </w:tabs>
        <w:ind w:left="6124" w:hanging="360"/>
      </w:pPr>
    </w:lvl>
    <w:lvl w:ilvl="8" w:tplc="0419001B" w:tentative="1">
      <w:start w:val="1"/>
      <w:numFmt w:val="lowerRoman"/>
      <w:lvlText w:val="%9."/>
      <w:lvlJc w:val="right"/>
      <w:pPr>
        <w:tabs>
          <w:tab w:val="num" w:pos="6844"/>
        </w:tabs>
        <w:ind w:left="6844" w:hanging="180"/>
      </w:pPr>
    </w:lvl>
  </w:abstractNum>
  <w:abstractNum w:abstractNumId="18">
    <w:nsid w:val="2F7F4E27"/>
    <w:multiLevelType w:val="hybridMultilevel"/>
    <w:tmpl w:val="02C6D3FE"/>
    <w:lvl w:ilvl="0" w:tplc="C352CF4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378707C2"/>
    <w:multiLevelType w:val="hybridMultilevel"/>
    <w:tmpl w:val="8962DFF4"/>
    <w:lvl w:ilvl="0" w:tplc="181E9F2A">
      <w:start w:val="13"/>
      <w:numFmt w:val="decimal"/>
      <w:lvlText w:val="%1."/>
      <w:lvlJc w:val="left"/>
      <w:pPr>
        <w:ind w:left="2204" w:hanging="360"/>
      </w:pPr>
      <w:rPr>
        <w:rFonts w:cs="Times New Roman" w:hint="default"/>
      </w:rPr>
    </w:lvl>
    <w:lvl w:ilvl="1" w:tplc="04190019" w:tentative="1">
      <w:start w:val="1"/>
      <w:numFmt w:val="lowerLetter"/>
      <w:lvlText w:val="%2."/>
      <w:lvlJc w:val="left"/>
      <w:pPr>
        <w:ind w:left="2829" w:hanging="360"/>
      </w:pPr>
      <w:rPr>
        <w:rFonts w:cs="Times New Roman"/>
      </w:rPr>
    </w:lvl>
    <w:lvl w:ilvl="2" w:tplc="0419001B" w:tentative="1">
      <w:start w:val="1"/>
      <w:numFmt w:val="lowerRoman"/>
      <w:lvlText w:val="%3."/>
      <w:lvlJc w:val="right"/>
      <w:pPr>
        <w:ind w:left="3549" w:hanging="180"/>
      </w:pPr>
      <w:rPr>
        <w:rFonts w:cs="Times New Roman"/>
      </w:rPr>
    </w:lvl>
    <w:lvl w:ilvl="3" w:tplc="0419000F" w:tentative="1">
      <w:start w:val="1"/>
      <w:numFmt w:val="decimal"/>
      <w:lvlText w:val="%4."/>
      <w:lvlJc w:val="left"/>
      <w:pPr>
        <w:ind w:left="4269" w:hanging="360"/>
      </w:pPr>
      <w:rPr>
        <w:rFonts w:cs="Times New Roman"/>
      </w:rPr>
    </w:lvl>
    <w:lvl w:ilvl="4" w:tplc="04190019" w:tentative="1">
      <w:start w:val="1"/>
      <w:numFmt w:val="lowerLetter"/>
      <w:lvlText w:val="%5."/>
      <w:lvlJc w:val="left"/>
      <w:pPr>
        <w:ind w:left="4989" w:hanging="360"/>
      </w:pPr>
      <w:rPr>
        <w:rFonts w:cs="Times New Roman"/>
      </w:rPr>
    </w:lvl>
    <w:lvl w:ilvl="5" w:tplc="0419001B" w:tentative="1">
      <w:start w:val="1"/>
      <w:numFmt w:val="lowerRoman"/>
      <w:lvlText w:val="%6."/>
      <w:lvlJc w:val="right"/>
      <w:pPr>
        <w:ind w:left="5709" w:hanging="180"/>
      </w:pPr>
      <w:rPr>
        <w:rFonts w:cs="Times New Roman"/>
      </w:rPr>
    </w:lvl>
    <w:lvl w:ilvl="6" w:tplc="0419000F" w:tentative="1">
      <w:start w:val="1"/>
      <w:numFmt w:val="decimal"/>
      <w:lvlText w:val="%7."/>
      <w:lvlJc w:val="left"/>
      <w:pPr>
        <w:ind w:left="6429" w:hanging="360"/>
      </w:pPr>
      <w:rPr>
        <w:rFonts w:cs="Times New Roman"/>
      </w:rPr>
    </w:lvl>
    <w:lvl w:ilvl="7" w:tplc="04190019" w:tentative="1">
      <w:start w:val="1"/>
      <w:numFmt w:val="lowerLetter"/>
      <w:lvlText w:val="%8."/>
      <w:lvlJc w:val="left"/>
      <w:pPr>
        <w:ind w:left="7149" w:hanging="360"/>
      </w:pPr>
      <w:rPr>
        <w:rFonts w:cs="Times New Roman"/>
      </w:rPr>
    </w:lvl>
    <w:lvl w:ilvl="8" w:tplc="0419001B" w:tentative="1">
      <w:start w:val="1"/>
      <w:numFmt w:val="lowerRoman"/>
      <w:lvlText w:val="%9."/>
      <w:lvlJc w:val="right"/>
      <w:pPr>
        <w:ind w:left="7869" w:hanging="180"/>
      </w:pPr>
      <w:rPr>
        <w:rFonts w:cs="Times New Roman"/>
      </w:rPr>
    </w:lvl>
  </w:abstractNum>
  <w:abstractNum w:abstractNumId="20">
    <w:nsid w:val="384E4B9F"/>
    <w:multiLevelType w:val="hybridMultilevel"/>
    <w:tmpl w:val="055290D4"/>
    <w:lvl w:ilvl="0" w:tplc="8334C6FA">
      <w:start w:val="7"/>
      <w:numFmt w:val="decimal"/>
      <w:lvlText w:val="%1."/>
      <w:lvlJc w:val="left"/>
      <w:pPr>
        <w:ind w:left="1069" w:hanging="360"/>
      </w:pPr>
      <w:rPr>
        <w:rFonts w:eastAsia="Times New Roman"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1">
    <w:nsid w:val="3AD67370"/>
    <w:multiLevelType w:val="hybridMultilevel"/>
    <w:tmpl w:val="D228EDA6"/>
    <w:lvl w:ilvl="0" w:tplc="0419000D">
      <w:start w:val="1"/>
      <w:numFmt w:val="bullet"/>
      <w:lvlText w:val=""/>
      <w:lvlJc w:val="left"/>
      <w:pPr>
        <w:ind w:left="1400" w:hanging="360"/>
      </w:pPr>
      <w:rPr>
        <w:rFonts w:ascii="Wingdings" w:hAnsi="Wingdings"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22">
    <w:nsid w:val="3CD86568"/>
    <w:multiLevelType w:val="multilevel"/>
    <w:tmpl w:val="3C249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F9A25C7"/>
    <w:multiLevelType w:val="hybridMultilevel"/>
    <w:tmpl w:val="4C6C33CA"/>
    <w:lvl w:ilvl="0" w:tplc="C45A47AE">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439C77A3"/>
    <w:multiLevelType w:val="hybridMultilevel"/>
    <w:tmpl w:val="D52CA6F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476C4C28"/>
    <w:multiLevelType w:val="hybridMultilevel"/>
    <w:tmpl w:val="C240A172"/>
    <w:lvl w:ilvl="0" w:tplc="D8AE0DE0">
      <w:start w:val="1"/>
      <w:numFmt w:val="decimal"/>
      <w:lvlText w:val="%1."/>
      <w:lvlJc w:val="left"/>
      <w:pPr>
        <w:ind w:left="1069" w:hanging="360"/>
      </w:pPr>
      <w:rPr>
        <w:color w:val="1F497D"/>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6">
    <w:nsid w:val="479B55CE"/>
    <w:multiLevelType w:val="multilevel"/>
    <w:tmpl w:val="E968E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86939A3"/>
    <w:multiLevelType w:val="multilevel"/>
    <w:tmpl w:val="A3E2B9CC"/>
    <w:lvl w:ilvl="0">
      <w:start w:val="11"/>
      <w:numFmt w:val="decimal"/>
      <w:lvlText w:val="%1."/>
      <w:lvlJc w:val="left"/>
      <w:pPr>
        <w:ind w:left="480" w:hanging="480"/>
      </w:pPr>
      <w:rPr>
        <w:rFonts w:cs="Times New Roman" w:hint="default"/>
      </w:rPr>
    </w:lvl>
    <w:lvl w:ilvl="1">
      <w:start w:val="2"/>
      <w:numFmt w:val="decimal"/>
      <w:lvlText w:val="%1.%2."/>
      <w:lvlJc w:val="left"/>
      <w:pPr>
        <w:ind w:left="480" w:hanging="48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8">
    <w:nsid w:val="4E4C7AD9"/>
    <w:multiLevelType w:val="hybridMultilevel"/>
    <w:tmpl w:val="4B5EAD02"/>
    <w:lvl w:ilvl="0" w:tplc="6164C850">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29">
    <w:nsid w:val="54602BFF"/>
    <w:multiLevelType w:val="hybridMultilevel"/>
    <w:tmpl w:val="44D4F49E"/>
    <w:lvl w:ilvl="0" w:tplc="0419000D">
      <w:start w:val="1"/>
      <w:numFmt w:val="bullet"/>
      <w:lvlText w:val=""/>
      <w:lvlJc w:val="left"/>
      <w:pPr>
        <w:ind w:left="1400" w:hanging="360"/>
      </w:pPr>
      <w:rPr>
        <w:rFonts w:ascii="Wingdings" w:hAnsi="Wingdings"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30">
    <w:nsid w:val="56443382"/>
    <w:multiLevelType w:val="multilevel"/>
    <w:tmpl w:val="20B0588A"/>
    <w:lvl w:ilvl="0">
      <w:start w:val="10"/>
      <w:numFmt w:val="decimal"/>
      <w:lvlText w:val="%1."/>
      <w:lvlJc w:val="left"/>
      <w:pPr>
        <w:ind w:left="1069" w:hanging="360"/>
      </w:pPr>
      <w:rPr>
        <w:rFonts w:cs="Times New Roman" w:hint="default"/>
      </w:rPr>
    </w:lvl>
    <w:lvl w:ilvl="1">
      <w:start w:val="1"/>
      <w:numFmt w:val="decimal"/>
      <w:isLgl/>
      <w:lvlText w:val="%1.%2."/>
      <w:lvlJc w:val="left"/>
      <w:pPr>
        <w:ind w:left="764" w:hanging="48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429" w:hanging="72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1789" w:hanging="108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149" w:hanging="1440"/>
      </w:pPr>
      <w:rPr>
        <w:rFonts w:cs="Times New Roman" w:hint="default"/>
      </w:rPr>
    </w:lvl>
    <w:lvl w:ilvl="8">
      <w:start w:val="1"/>
      <w:numFmt w:val="decimal"/>
      <w:isLgl/>
      <w:lvlText w:val="%1.%2.%3.%4.%5.%6.%7.%8.%9."/>
      <w:lvlJc w:val="left"/>
      <w:pPr>
        <w:ind w:left="2509" w:hanging="1800"/>
      </w:pPr>
      <w:rPr>
        <w:rFonts w:cs="Times New Roman" w:hint="default"/>
      </w:rPr>
    </w:lvl>
  </w:abstractNum>
  <w:abstractNum w:abstractNumId="31">
    <w:nsid w:val="571D309B"/>
    <w:multiLevelType w:val="multilevel"/>
    <w:tmpl w:val="09345C1A"/>
    <w:lvl w:ilvl="0">
      <w:start w:val="11"/>
      <w:numFmt w:val="decimal"/>
      <w:lvlText w:val="%1."/>
      <w:lvlJc w:val="left"/>
      <w:pPr>
        <w:ind w:left="1069" w:hanging="360"/>
      </w:pPr>
      <w:rPr>
        <w:rFonts w:cs="Times New Roman" w:hint="default"/>
      </w:rPr>
    </w:lvl>
    <w:lvl w:ilvl="1">
      <w:start w:val="1"/>
      <w:numFmt w:val="decimal"/>
      <w:isLgl/>
      <w:lvlText w:val="%1.%2."/>
      <w:lvlJc w:val="left"/>
      <w:pPr>
        <w:ind w:left="480" w:hanging="48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429" w:hanging="72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1789" w:hanging="108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149" w:hanging="1440"/>
      </w:pPr>
      <w:rPr>
        <w:rFonts w:cs="Times New Roman" w:hint="default"/>
      </w:rPr>
    </w:lvl>
    <w:lvl w:ilvl="8">
      <w:start w:val="1"/>
      <w:numFmt w:val="decimal"/>
      <w:isLgl/>
      <w:lvlText w:val="%1.%2.%3.%4.%5.%6.%7.%8.%9."/>
      <w:lvlJc w:val="left"/>
      <w:pPr>
        <w:ind w:left="2509" w:hanging="1800"/>
      </w:pPr>
      <w:rPr>
        <w:rFonts w:cs="Times New Roman" w:hint="default"/>
      </w:rPr>
    </w:lvl>
  </w:abstractNum>
  <w:abstractNum w:abstractNumId="32">
    <w:nsid w:val="573F5006"/>
    <w:multiLevelType w:val="multilevel"/>
    <w:tmpl w:val="09345C1A"/>
    <w:lvl w:ilvl="0">
      <w:start w:val="11"/>
      <w:numFmt w:val="decimal"/>
      <w:lvlText w:val="%1."/>
      <w:lvlJc w:val="left"/>
      <w:pPr>
        <w:ind w:left="1069" w:hanging="360"/>
      </w:pPr>
      <w:rPr>
        <w:rFonts w:cs="Times New Roman" w:hint="default"/>
      </w:rPr>
    </w:lvl>
    <w:lvl w:ilvl="1">
      <w:start w:val="1"/>
      <w:numFmt w:val="decimal"/>
      <w:isLgl/>
      <w:lvlText w:val="%1.%2."/>
      <w:lvlJc w:val="left"/>
      <w:pPr>
        <w:ind w:left="480" w:hanging="48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429" w:hanging="72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1789" w:hanging="108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149" w:hanging="1440"/>
      </w:pPr>
      <w:rPr>
        <w:rFonts w:cs="Times New Roman" w:hint="default"/>
      </w:rPr>
    </w:lvl>
    <w:lvl w:ilvl="8">
      <w:start w:val="1"/>
      <w:numFmt w:val="decimal"/>
      <w:isLgl/>
      <w:lvlText w:val="%1.%2.%3.%4.%5.%6.%7.%8.%9."/>
      <w:lvlJc w:val="left"/>
      <w:pPr>
        <w:ind w:left="2509" w:hanging="1800"/>
      </w:pPr>
      <w:rPr>
        <w:rFonts w:cs="Times New Roman" w:hint="default"/>
      </w:rPr>
    </w:lvl>
  </w:abstractNum>
  <w:abstractNum w:abstractNumId="33">
    <w:nsid w:val="57C978E7"/>
    <w:multiLevelType w:val="multilevel"/>
    <w:tmpl w:val="1A34B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BEE7B36"/>
    <w:multiLevelType w:val="multilevel"/>
    <w:tmpl w:val="50008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F2A133B"/>
    <w:multiLevelType w:val="hybridMultilevel"/>
    <w:tmpl w:val="914EDAC2"/>
    <w:lvl w:ilvl="0" w:tplc="4DCE4D58">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5FBC6D80"/>
    <w:multiLevelType w:val="hybridMultilevel"/>
    <w:tmpl w:val="0DDC201E"/>
    <w:lvl w:ilvl="0" w:tplc="F676D7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63AB7199"/>
    <w:multiLevelType w:val="hybridMultilevel"/>
    <w:tmpl w:val="BAD874F8"/>
    <w:lvl w:ilvl="0" w:tplc="0419000D">
      <w:start w:val="1"/>
      <w:numFmt w:val="bullet"/>
      <w:lvlText w:val=""/>
      <w:lvlJc w:val="left"/>
      <w:pPr>
        <w:ind w:left="1400" w:hanging="360"/>
      </w:pPr>
      <w:rPr>
        <w:rFonts w:ascii="Wingdings" w:hAnsi="Wingdings"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38">
    <w:nsid w:val="658A339C"/>
    <w:multiLevelType w:val="multilevel"/>
    <w:tmpl w:val="2CA05DDA"/>
    <w:lvl w:ilvl="0">
      <w:start w:val="1"/>
      <w:numFmt w:val="decimal"/>
      <w:lvlText w:val="%1."/>
      <w:lvlJc w:val="left"/>
      <w:pPr>
        <w:ind w:left="1069" w:hanging="360"/>
      </w:pPr>
      <w:rPr>
        <w:rFonts w:cs="Times New Roman" w:hint="default"/>
      </w:rPr>
    </w:lvl>
    <w:lvl w:ilvl="1">
      <w:start w:val="1"/>
      <w:numFmt w:val="decimal"/>
      <w:isLgl/>
      <w:lvlText w:val="%1.%2."/>
      <w:lvlJc w:val="left"/>
      <w:pPr>
        <w:ind w:left="1069" w:hanging="36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429" w:hanging="72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1789" w:hanging="108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149" w:hanging="1440"/>
      </w:pPr>
      <w:rPr>
        <w:rFonts w:cs="Times New Roman" w:hint="default"/>
      </w:rPr>
    </w:lvl>
    <w:lvl w:ilvl="8">
      <w:start w:val="1"/>
      <w:numFmt w:val="decimal"/>
      <w:isLgl/>
      <w:lvlText w:val="%1.%2.%3.%4.%5.%6.%7.%8.%9."/>
      <w:lvlJc w:val="left"/>
      <w:pPr>
        <w:ind w:left="2509" w:hanging="1800"/>
      </w:pPr>
      <w:rPr>
        <w:rFonts w:cs="Times New Roman" w:hint="default"/>
      </w:rPr>
    </w:lvl>
  </w:abstractNum>
  <w:abstractNum w:abstractNumId="39">
    <w:nsid w:val="68F260C2"/>
    <w:multiLevelType w:val="hybridMultilevel"/>
    <w:tmpl w:val="391E9A0A"/>
    <w:lvl w:ilvl="0" w:tplc="0419000D">
      <w:start w:val="1"/>
      <w:numFmt w:val="bullet"/>
      <w:lvlText w:val=""/>
      <w:lvlJc w:val="left"/>
      <w:pPr>
        <w:ind w:left="1400" w:hanging="360"/>
      </w:pPr>
      <w:rPr>
        <w:rFonts w:ascii="Wingdings" w:hAnsi="Wingdings"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40">
    <w:nsid w:val="6955376C"/>
    <w:multiLevelType w:val="hybridMultilevel"/>
    <w:tmpl w:val="1430C60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1">
    <w:nsid w:val="6BC659EA"/>
    <w:multiLevelType w:val="hybridMultilevel"/>
    <w:tmpl w:val="6DB41514"/>
    <w:lvl w:ilvl="0" w:tplc="04190001">
      <w:start w:val="1"/>
      <w:numFmt w:val="bullet"/>
      <w:lvlText w:val=""/>
      <w:lvlJc w:val="left"/>
      <w:pPr>
        <w:tabs>
          <w:tab w:val="num" w:pos="786"/>
        </w:tabs>
        <w:ind w:left="786" w:hanging="360"/>
      </w:pPr>
      <w:rPr>
        <w:rFonts w:ascii="Symbol" w:hAnsi="Symbol" w:hint="default"/>
      </w:rPr>
    </w:lvl>
    <w:lvl w:ilvl="1" w:tplc="04190019">
      <w:start w:val="1"/>
      <w:numFmt w:val="decimal"/>
      <w:lvlText w:val="%2."/>
      <w:lvlJc w:val="left"/>
      <w:pPr>
        <w:tabs>
          <w:tab w:val="num" w:pos="1866"/>
        </w:tabs>
        <w:ind w:left="1866" w:hanging="360"/>
      </w:pPr>
      <w:rPr>
        <w:rFonts w:cs="Times New Roman"/>
      </w:rPr>
    </w:lvl>
    <w:lvl w:ilvl="2" w:tplc="0419001B">
      <w:start w:val="1"/>
      <w:numFmt w:val="decimal"/>
      <w:lvlText w:val="%3."/>
      <w:lvlJc w:val="left"/>
      <w:pPr>
        <w:tabs>
          <w:tab w:val="num" w:pos="2586"/>
        </w:tabs>
        <w:ind w:left="2586" w:hanging="360"/>
      </w:pPr>
      <w:rPr>
        <w:rFonts w:cs="Times New Roman"/>
      </w:rPr>
    </w:lvl>
    <w:lvl w:ilvl="3" w:tplc="0419000F">
      <w:start w:val="1"/>
      <w:numFmt w:val="decimal"/>
      <w:lvlText w:val="%4."/>
      <w:lvlJc w:val="left"/>
      <w:pPr>
        <w:tabs>
          <w:tab w:val="num" w:pos="3306"/>
        </w:tabs>
        <w:ind w:left="3306" w:hanging="360"/>
      </w:pPr>
      <w:rPr>
        <w:rFonts w:cs="Times New Roman"/>
      </w:rPr>
    </w:lvl>
    <w:lvl w:ilvl="4" w:tplc="04190019">
      <w:start w:val="1"/>
      <w:numFmt w:val="decimal"/>
      <w:lvlText w:val="%5."/>
      <w:lvlJc w:val="left"/>
      <w:pPr>
        <w:tabs>
          <w:tab w:val="num" w:pos="4026"/>
        </w:tabs>
        <w:ind w:left="4026" w:hanging="360"/>
      </w:pPr>
      <w:rPr>
        <w:rFonts w:cs="Times New Roman"/>
      </w:rPr>
    </w:lvl>
    <w:lvl w:ilvl="5" w:tplc="0419001B">
      <w:start w:val="1"/>
      <w:numFmt w:val="decimal"/>
      <w:lvlText w:val="%6."/>
      <w:lvlJc w:val="left"/>
      <w:pPr>
        <w:tabs>
          <w:tab w:val="num" w:pos="4746"/>
        </w:tabs>
        <w:ind w:left="4746" w:hanging="360"/>
      </w:pPr>
      <w:rPr>
        <w:rFonts w:cs="Times New Roman"/>
      </w:rPr>
    </w:lvl>
    <w:lvl w:ilvl="6" w:tplc="0419000F">
      <w:start w:val="1"/>
      <w:numFmt w:val="decimal"/>
      <w:lvlText w:val="%7."/>
      <w:lvlJc w:val="left"/>
      <w:pPr>
        <w:tabs>
          <w:tab w:val="num" w:pos="5466"/>
        </w:tabs>
        <w:ind w:left="5466" w:hanging="360"/>
      </w:pPr>
      <w:rPr>
        <w:rFonts w:cs="Times New Roman"/>
      </w:rPr>
    </w:lvl>
    <w:lvl w:ilvl="7" w:tplc="04190019">
      <w:start w:val="1"/>
      <w:numFmt w:val="decimal"/>
      <w:lvlText w:val="%8."/>
      <w:lvlJc w:val="left"/>
      <w:pPr>
        <w:tabs>
          <w:tab w:val="num" w:pos="6186"/>
        </w:tabs>
        <w:ind w:left="6186" w:hanging="360"/>
      </w:pPr>
      <w:rPr>
        <w:rFonts w:cs="Times New Roman"/>
      </w:rPr>
    </w:lvl>
    <w:lvl w:ilvl="8" w:tplc="0419001B">
      <w:start w:val="1"/>
      <w:numFmt w:val="decimal"/>
      <w:lvlText w:val="%9."/>
      <w:lvlJc w:val="left"/>
      <w:pPr>
        <w:tabs>
          <w:tab w:val="num" w:pos="6906"/>
        </w:tabs>
        <w:ind w:left="6906" w:hanging="360"/>
      </w:pPr>
      <w:rPr>
        <w:rFonts w:cs="Times New Roman"/>
      </w:rPr>
    </w:lvl>
  </w:abstractNum>
  <w:abstractNum w:abstractNumId="42">
    <w:nsid w:val="6E58703E"/>
    <w:multiLevelType w:val="hybridMultilevel"/>
    <w:tmpl w:val="8BD61F54"/>
    <w:lvl w:ilvl="0" w:tplc="0419000D">
      <w:start w:val="1"/>
      <w:numFmt w:val="bullet"/>
      <w:lvlText w:val=""/>
      <w:lvlJc w:val="left"/>
      <w:pPr>
        <w:ind w:left="1400" w:hanging="360"/>
      </w:pPr>
      <w:rPr>
        <w:rFonts w:ascii="Wingdings" w:hAnsi="Wingdings"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43">
    <w:nsid w:val="70E6699A"/>
    <w:multiLevelType w:val="multilevel"/>
    <w:tmpl w:val="FB70B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17904EB"/>
    <w:multiLevelType w:val="hybridMultilevel"/>
    <w:tmpl w:val="A1B66004"/>
    <w:lvl w:ilvl="0" w:tplc="E1BECF26">
      <w:start w:val="14"/>
      <w:numFmt w:val="decimal"/>
      <w:lvlText w:val="%1."/>
      <w:lvlJc w:val="left"/>
      <w:pPr>
        <w:ind w:left="1040" w:hanging="360"/>
      </w:pPr>
      <w:rPr>
        <w:rFonts w:cs="Times New Roman" w:hint="default"/>
      </w:rPr>
    </w:lvl>
    <w:lvl w:ilvl="1" w:tplc="04190019" w:tentative="1">
      <w:start w:val="1"/>
      <w:numFmt w:val="lowerLetter"/>
      <w:lvlText w:val="%2."/>
      <w:lvlJc w:val="left"/>
      <w:pPr>
        <w:ind w:left="1760" w:hanging="360"/>
      </w:pPr>
      <w:rPr>
        <w:rFonts w:cs="Times New Roman"/>
      </w:rPr>
    </w:lvl>
    <w:lvl w:ilvl="2" w:tplc="0419001B" w:tentative="1">
      <w:start w:val="1"/>
      <w:numFmt w:val="lowerRoman"/>
      <w:lvlText w:val="%3."/>
      <w:lvlJc w:val="right"/>
      <w:pPr>
        <w:ind w:left="2480" w:hanging="180"/>
      </w:pPr>
      <w:rPr>
        <w:rFonts w:cs="Times New Roman"/>
      </w:rPr>
    </w:lvl>
    <w:lvl w:ilvl="3" w:tplc="0419000F" w:tentative="1">
      <w:start w:val="1"/>
      <w:numFmt w:val="decimal"/>
      <w:lvlText w:val="%4."/>
      <w:lvlJc w:val="left"/>
      <w:pPr>
        <w:ind w:left="3200" w:hanging="360"/>
      </w:pPr>
      <w:rPr>
        <w:rFonts w:cs="Times New Roman"/>
      </w:rPr>
    </w:lvl>
    <w:lvl w:ilvl="4" w:tplc="04190019" w:tentative="1">
      <w:start w:val="1"/>
      <w:numFmt w:val="lowerLetter"/>
      <w:lvlText w:val="%5."/>
      <w:lvlJc w:val="left"/>
      <w:pPr>
        <w:ind w:left="3920" w:hanging="360"/>
      </w:pPr>
      <w:rPr>
        <w:rFonts w:cs="Times New Roman"/>
      </w:rPr>
    </w:lvl>
    <w:lvl w:ilvl="5" w:tplc="0419001B" w:tentative="1">
      <w:start w:val="1"/>
      <w:numFmt w:val="lowerRoman"/>
      <w:lvlText w:val="%6."/>
      <w:lvlJc w:val="right"/>
      <w:pPr>
        <w:ind w:left="4640" w:hanging="180"/>
      </w:pPr>
      <w:rPr>
        <w:rFonts w:cs="Times New Roman"/>
      </w:rPr>
    </w:lvl>
    <w:lvl w:ilvl="6" w:tplc="0419000F" w:tentative="1">
      <w:start w:val="1"/>
      <w:numFmt w:val="decimal"/>
      <w:lvlText w:val="%7."/>
      <w:lvlJc w:val="left"/>
      <w:pPr>
        <w:ind w:left="5360" w:hanging="360"/>
      </w:pPr>
      <w:rPr>
        <w:rFonts w:cs="Times New Roman"/>
      </w:rPr>
    </w:lvl>
    <w:lvl w:ilvl="7" w:tplc="04190019" w:tentative="1">
      <w:start w:val="1"/>
      <w:numFmt w:val="lowerLetter"/>
      <w:lvlText w:val="%8."/>
      <w:lvlJc w:val="left"/>
      <w:pPr>
        <w:ind w:left="6080" w:hanging="360"/>
      </w:pPr>
      <w:rPr>
        <w:rFonts w:cs="Times New Roman"/>
      </w:rPr>
    </w:lvl>
    <w:lvl w:ilvl="8" w:tplc="0419001B" w:tentative="1">
      <w:start w:val="1"/>
      <w:numFmt w:val="lowerRoman"/>
      <w:lvlText w:val="%9."/>
      <w:lvlJc w:val="right"/>
      <w:pPr>
        <w:ind w:left="6800" w:hanging="180"/>
      </w:pPr>
      <w:rPr>
        <w:rFonts w:cs="Times New Roman"/>
      </w:rPr>
    </w:lvl>
  </w:abstractNum>
  <w:abstractNum w:abstractNumId="45">
    <w:nsid w:val="73037B5F"/>
    <w:multiLevelType w:val="hybridMultilevel"/>
    <w:tmpl w:val="00B0C982"/>
    <w:lvl w:ilvl="0" w:tplc="540CE1F4">
      <w:start w:val="2"/>
      <w:numFmt w:val="bullet"/>
      <w:lvlText w:val=""/>
      <w:lvlJc w:val="left"/>
      <w:pPr>
        <w:ind w:left="1040" w:hanging="360"/>
      </w:pPr>
      <w:rPr>
        <w:rFonts w:ascii="Symbol" w:eastAsia="Calibri" w:hAnsi="Symbol" w:cs="Times New Roman" w:hint="default"/>
      </w:rPr>
    </w:lvl>
    <w:lvl w:ilvl="1" w:tplc="04190003" w:tentative="1">
      <w:start w:val="1"/>
      <w:numFmt w:val="bullet"/>
      <w:lvlText w:val="o"/>
      <w:lvlJc w:val="left"/>
      <w:pPr>
        <w:ind w:left="1760" w:hanging="360"/>
      </w:pPr>
      <w:rPr>
        <w:rFonts w:ascii="Courier New" w:hAnsi="Courier New" w:cs="Courier New" w:hint="default"/>
      </w:rPr>
    </w:lvl>
    <w:lvl w:ilvl="2" w:tplc="04190005" w:tentative="1">
      <w:start w:val="1"/>
      <w:numFmt w:val="bullet"/>
      <w:lvlText w:val=""/>
      <w:lvlJc w:val="left"/>
      <w:pPr>
        <w:ind w:left="2480" w:hanging="360"/>
      </w:pPr>
      <w:rPr>
        <w:rFonts w:ascii="Wingdings" w:hAnsi="Wingdings" w:hint="default"/>
      </w:rPr>
    </w:lvl>
    <w:lvl w:ilvl="3" w:tplc="04190001" w:tentative="1">
      <w:start w:val="1"/>
      <w:numFmt w:val="bullet"/>
      <w:lvlText w:val=""/>
      <w:lvlJc w:val="left"/>
      <w:pPr>
        <w:ind w:left="3200" w:hanging="360"/>
      </w:pPr>
      <w:rPr>
        <w:rFonts w:ascii="Symbol" w:hAnsi="Symbol" w:hint="default"/>
      </w:rPr>
    </w:lvl>
    <w:lvl w:ilvl="4" w:tplc="04190003" w:tentative="1">
      <w:start w:val="1"/>
      <w:numFmt w:val="bullet"/>
      <w:lvlText w:val="o"/>
      <w:lvlJc w:val="left"/>
      <w:pPr>
        <w:ind w:left="3920" w:hanging="360"/>
      </w:pPr>
      <w:rPr>
        <w:rFonts w:ascii="Courier New" w:hAnsi="Courier New" w:cs="Courier New" w:hint="default"/>
      </w:rPr>
    </w:lvl>
    <w:lvl w:ilvl="5" w:tplc="04190005" w:tentative="1">
      <w:start w:val="1"/>
      <w:numFmt w:val="bullet"/>
      <w:lvlText w:val=""/>
      <w:lvlJc w:val="left"/>
      <w:pPr>
        <w:ind w:left="4640" w:hanging="360"/>
      </w:pPr>
      <w:rPr>
        <w:rFonts w:ascii="Wingdings" w:hAnsi="Wingdings" w:hint="default"/>
      </w:rPr>
    </w:lvl>
    <w:lvl w:ilvl="6" w:tplc="04190001" w:tentative="1">
      <w:start w:val="1"/>
      <w:numFmt w:val="bullet"/>
      <w:lvlText w:val=""/>
      <w:lvlJc w:val="left"/>
      <w:pPr>
        <w:ind w:left="5360" w:hanging="360"/>
      </w:pPr>
      <w:rPr>
        <w:rFonts w:ascii="Symbol" w:hAnsi="Symbol" w:hint="default"/>
      </w:rPr>
    </w:lvl>
    <w:lvl w:ilvl="7" w:tplc="04190003" w:tentative="1">
      <w:start w:val="1"/>
      <w:numFmt w:val="bullet"/>
      <w:lvlText w:val="o"/>
      <w:lvlJc w:val="left"/>
      <w:pPr>
        <w:ind w:left="6080" w:hanging="360"/>
      </w:pPr>
      <w:rPr>
        <w:rFonts w:ascii="Courier New" w:hAnsi="Courier New" w:cs="Courier New" w:hint="default"/>
      </w:rPr>
    </w:lvl>
    <w:lvl w:ilvl="8" w:tplc="04190005" w:tentative="1">
      <w:start w:val="1"/>
      <w:numFmt w:val="bullet"/>
      <w:lvlText w:val=""/>
      <w:lvlJc w:val="left"/>
      <w:pPr>
        <w:ind w:left="6800" w:hanging="360"/>
      </w:pPr>
      <w:rPr>
        <w:rFonts w:ascii="Wingdings" w:hAnsi="Wingdings" w:hint="default"/>
      </w:rPr>
    </w:lvl>
  </w:abstractNum>
  <w:abstractNum w:abstractNumId="46">
    <w:nsid w:val="7A3B766C"/>
    <w:multiLevelType w:val="hybridMultilevel"/>
    <w:tmpl w:val="B502988A"/>
    <w:lvl w:ilvl="0" w:tplc="0419000D">
      <w:start w:val="1"/>
      <w:numFmt w:val="bullet"/>
      <w:lvlText w:val=""/>
      <w:lvlJc w:val="left"/>
      <w:pPr>
        <w:ind w:left="1459" w:hanging="360"/>
      </w:pPr>
      <w:rPr>
        <w:rFonts w:ascii="Wingdings" w:hAnsi="Wingdings" w:hint="default"/>
      </w:rPr>
    </w:lvl>
    <w:lvl w:ilvl="1" w:tplc="04190003" w:tentative="1">
      <w:start w:val="1"/>
      <w:numFmt w:val="bullet"/>
      <w:lvlText w:val="o"/>
      <w:lvlJc w:val="left"/>
      <w:pPr>
        <w:ind w:left="2179" w:hanging="360"/>
      </w:pPr>
      <w:rPr>
        <w:rFonts w:ascii="Courier New" w:hAnsi="Courier New" w:hint="default"/>
      </w:rPr>
    </w:lvl>
    <w:lvl w:ilvl="2" w:tplc="04190005" w:tentative="1">
      <w:start w:val="1"/>
      <w:numFmt w:val="bullet"/>
      <w:lvlText w:val=""/>
      <w:lvlJc w:val="left"/>
      <w:pPr>
        <w:ind w:left="2899" w:hanging="360"/>
      </w:pPr>
      <w:rPr>
        <w:rFonts w:ascii="Wingdings" w:hAnsi="Wingdings" w:hint="default"/>
      </w:rPr>
    </w:lvl>
    <w:lvl w:ilvl="3" w:tplc="04190001" w:tentative="1">
      <w:start w:val="1"/>
      <w:numFmt w:val="bullet"/>
      <w:lvlText w:val=""/>
      <w:lvlJc w:val="left"/>
      <w:pPr>
        <w:ind w:left="3619" w:hanging="360"/>
      </w:pPr>
      <w:rPr>
        <w:rFonts w:ascii="Symbol" w:hAnsi="Symbol" w:hint="default"/>
      </w:rPr>
    </w:lvl>
    <w:lvl w:ilvl="4" w:tplc="04190003" w:tentative="1">
      <w:start w:val="1"/>
      <w:numFmt w:val="bullet"/>
      <w:lvlText w:val="o"/>
      <w:lvlJc w:val="left"/>
      <w:pPr>
        <w:ind w:left="4339" w:hanging="360"/>
      </w:pPr>
      <w:rPr>
        <w:rFonts w:ascii="Courier New" w:hAnsi="Courier New" w:hint="default"/>
      </w:rPr>
    </w:lvl>
    <w:lvl w:ilvl="5" w:tplc="04190005" w:tentative="1">
      <w:start w:val="1"/>
      <w:numFmt w:val="bullet"/>
      <w:lvlText w:val=""/>
      <w:lvlJc w:val="left"/>
      <w:pPr>
        <w:ind w:left="5059" w:hanging="360"/>
      </w:pPr>
      <w:rPr>
        <w:rFonts w:ascii="Wingdings" w:hAnsi="Wingdings" w:hint="default"/>
      </w:rPr>
    </w:lvl>
    <w:lvl w:ilvl="6" w:tplc="04190001" w:tentative="1">
      <w:start w:val="1"/>
      <w:numFmt w:val="bullet"/>
      <w:lvlText w:val=""/>
      <w:lvlJc w:val="left"/>
      <w:pPr>
        <w:ind w:left="5779" w:hanging="360"/>
      </w:pPr>
      <w:rPr>
        <w:rFonts w:ascii="Symbol" w:hAnsi="Symbol" w:hint="default"/>
      </w:rPr>
    </w:lvl>
    <w:lvl w:ilvl="7" w:tplc="04190003" w:tentative="1">
      <w:start w:val="1"/>
      <w:numFmt w:val="bullet"/>
      <w:lvlText w:val="o"/>
      <w:lvlJc w:val="left"/>
      <w:pPr>
        <w:ind w:left="6499" w:hanging="360"/>
      </w:pPr>
      <w:rPr>
        <w:rFonts w:ascii="Courier New" w:hAnsi="Courier New" w:hint="default"/>
      </w:rPr>
    </w:lvl>
    <w:lvl w:ilvl="8" w:tplc="04190005" w:tentative="1">
      <w:start w:val="1"/>
      <w:numFmt w:val="bullet"/>
      <w:lvlText w:val=""/>
      <w:lvlJc w:val="left"/>
      <w:pPr>
        <w:ind w:left="7219" w:hanging="360"/>
      </w:pPr>
      <w:rPr>
        <w:rFonts w:ascii="Wingdings" w:hAnsi="Wingdings" w:hint="default"/>
      </w:rPr>
    </w:lvl>
  </w:abstractNum>
  <w:abstractNum w:abstractNumId="47">
    <w:nsid w:val="7C0176BE"/>
    <w:multiLevelType w:val="hybridMultilevel"/>
    <w:tmpl w:val="539E535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6"/>
  </w:num>
  <w:num w:numId="3">
    <w:abstractNumId w:val="15"/>
  </w:num>
  <w:num w:numId="4">
    <w:abstractNumId w:val="11"/>
  </w:num>
  <w:num w:numId="5">
    <w:abstractNumId w:val="21"/>
  </w:num>
  <w:num w:numId="6">
    <w:abstractNumId w:val="29"/>
  </w:num>
  <w:num w:numId="7">
    <w:abstractNumId w:val="28"/>
  </w:num>
  <w:num w:numId="8">
    <w:abstractNumId w:val="41"/>
  </w:num>
  <w:num w:numId="9">
    <w:abstractNumId w:val="40"/>
  </w:num>
  <w:num w:numId="10">
    <w:abstractNumId w:val="7"/>
  </w:num>
  <w:num w:numId="11">
    <w:abstractNumId w:val="12"/>
  </w:num>
  <w:num w:numId="12">
    <w:abstractNumId w:val="46"/>
  </w:num>
  <w:num w:numId="13">
    <w:abstractNumId w:val="38"/>
  </w:num>
  <w:num w:numId="14">
    <w:abstractNumId w:val="20"/>
  </w:num>
  <w:num w:numId="15">
    <w:abstractNumId w:val="30"/>
  </w:num>
  <w:num w:numId="16">
    <w:abstractNumId w:val="19"/>
  </w:num>
  <w:num w:numId="17">
    <w:abstractNumId w:val="31"/>
  </w:num>
  <w:num w:numId="18">
    <w:abstractNumId w:val="44"/>
  </w:num>
  <w:num w:numId="19">
    <w:abstractNumId w:val="27"/>
  </w:num>
  <w:num w:numId="20">
    <w:abstractNumId w:val="32"/>
  </w:num>
  <w:num w:numId="21">
    <w:abstractNumId w:val="4"/>
  </w:num>
  <w:num w:numId="22">
    <w:abstractNumId w:val="9"/>
  </w:num>
  <w:num w:numId="23">
    <w:abstractNumId w:val="37"/>
  </w:num>
  <w:num w:numId="24">
    <w:abstractNumId w:val="42"/>
  </w:num>
  <w:num w:numId="25">
    <w:abstractNumId w:val="17"/>
  </w:num>
  <w:num w:numId="26">
    <w:abstractNumId w:val="6"/>
  </w:num>
  <w:num w:numId="27">
    <w:abstractNumId w:val="24"/>
  </w:num>
  <w:num w:numId="28">
    <w:abstractNumId w:val="35"/>
  </w:num>
  <w:num w:numId="29">
    <w:abstractNumId w:val="1"/>
  </w:num>
  <w:num w:numId="30">
    <w:abstractNumId w:val="23"/>
  </w:num>
  <w:num w:numId="31">
    <w:abstractNumId w:val="18"/>
  </w:num>
  <w:num w:numId="32">
    <w:abstractNumId w:val="0"/>
  </w:num>
  <w:num w:numId="33">
    <w:abstractNumId w:val="10"/>
  </w:num>
  <w:num w:numId="34">
    <w:abstractNumId w:val="47"/>
  </w:num>
  <w:num w:numId="35">
    <w:abstractNumId w:val="3"/>
  </w:num>
  <w:num w:numId="36">
    <w:abstractNumId w:val="33"/>
  </w:num>
  <w:num w:numId="37">
    <w:abstractNumId w:val="34"/>
  </w:num>
  <w:num w:numId="38">
    <w:abstractNumId w:val="45"/>
  </w:num>
  <w:num w:numId="39">
    <w:abstractNumId w:val="39"/>
  </w:num>
  <w:num w:numId="40">
    <w:abstractNumId w:val="14"/>
  </w:num>
  <w:num w:numId="41">
    <w:abstractNumId w:val="22"/>
  </w:num>
  <w:num w:numId="42">
    <w:abstractNumId w:val="43"/>
  </w:num>
  <w:num w:numId="43">
    <w:abstractNumId w:val="16"/>
  </w:num>
  <w:num w:numId="44">
    <w:abstractNumId w:val="26"/>
  </w:num>
  <w:num w:numId="45">
    <w:abstractNumId w:val="13"/>
  </w:num>
  <w:num w:numId="46">
    <w:abstractNumId w:val="5"/>
  </w:num>
  <w:num w:numId="47">
    <w:abstractNumId w:val="2"/>
  </w:num>
  <w:num w:numId="48">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20"/>
  <w:displayHorizontalDrawingGridEvery w:val="2"/>
  <w:characterSpacingControl w:val="doNotCompress"/>
  <w:hdrShapeDefaults>
    <o:shapedefaults v:ext="edit" spidmax="6146"/>
  </w:hdrShapeDefaults>
  <w:footnotePr>
    <w:footnote w:id="-1"/>
    <w:footnote w:id="0"/>
  </w:footnotePr>
  <w:endnotePr>
    <w:endnote w:id="-1"/>
    <w:endnote w:id="0"/>
  </w:endnotePr>
  <w:compat/>
  <w:rsids>
    <w:rsidRoot w:val="003E03B0"/>
    <w:rsid w:val="00002548"/>
    <w:rsid w:val="00002BD2"/>
    <w:rsid w:val="00004D5C"/>
    <w:rsid w:val="00004DD9"/>
    <w:rsid w:val="0000508C"/>
    <w:rsid w:val="000059F3"/>
    <w:rsid w:val="0000695F"/>
    <w:rsid w:val="00006F43"/>
    <w:rsid w:val="00013375"/>
    <w:rsid w:val="0001579D"/>
    <w:rsid w:val="000164FE"/>
    <w:rsid w:val="0001782F"/>
    <w:rsid w:val="00020589"/>
    <w:rsid w:val="0002070B"/>
    <w:rsid w:val="000209A8"/>
    <w:rsid w:val="000218E1"/>
    <w:rsid w:val="000222EA"/>
    <w:rsid w:val="00023508"/>
    <w:rsid w:val="000248D6"/>
    <w:rsid w:val="00025CEF"/>
    <w:rsid w:val="00026BEF"/>
    <w:rsid w:val="000273D1"/>
    <w:rsid w:val="000314FE"/>
    <w:rsid w:val="00031BE5"/>
    <w:rsid w:val="0003263A"/>
    <w:rsid w:val="00033A82"/>
    <w:rsid w:val="000354B0"/>
    <w:rsid w:val="00035A36"/>
    <w:rsid w:val="00036C70"/>
    <w:rsid w:val="000403C2"/>
    <w:rsid w:val="000416CC"/>
    <w:rsid w:val="000419C6"/>
    <w:rsid w:val="000419D2"/>
    <w:rsid w:val="00042589"/>
    <w:rsid w:val="00042C34"/>
    <w:rsid w:val="000447BE"/>
    <w:rsid w:val="00046C4B"/>
    <w:rsid w:val="0005161D"/>
    <w:rsid w:val="000540DA"/>
    <w:rsid w:val="00055834"/>
    <w:rsid w:val="0005596D"/>
    <w:rsid w:val="0005786F"/>
    <w:rsid w:val="00060CA6"/>
    <w:rsid w:val="00065769"/>
    <w:rsid w:val="000665B3"/>
    <w:rsid w:val="00066F4E"/>
    <w:rsid w:val="00067BBE"/>
    <w:rsid w:val="00070795"/>
    <w:rsid w:val="00070FFF"/>
    <w:rsid w:val="000710E6"/>
    <w:rsid w:val="000726F5"/>
    <w:rsid w:val="00072F4F"/>
    <w:rsid w:val="000756C0"/>
    <w:rsid w:val="000765EA"/>
    <w:rsid w:val="0008265F"/>
    <w:rsid w:val="00082E3F"/>
    <w:rsid w:val="00084D2B"/>
    <w:rsid w:val="00085B14"/>
    <w:rsid w:val="00087012"/>
    <w:rsid w:val="0008797F"/>
    <w:rsid w:val="0009202E"/>
    <w:rsid w:val="000937EE"/>
    <w:rsid w:val="00093BF8"/>
    <w:rsid w:val="00093F88"/>
    <w:rsid w:val="000943AE"/>
    <w:rsid w:val="00095CA9"/>
    <w:rsid w:val="0009604F"/>
    <w:rsid w:val="00097D73"/>
    <w:rsid w:val="000A0B4F"/>
    <w:rsid w:val="000A296C"/>
    <w:rsid w:val="000A40B2"/>
    <w:rsid w:val="000A455C"/>
    <w:rsid w:val="000A54D9"/>
    <w:rsid w:val="000A59DE"/>
    <w:rsid w:val="000B19A4"/>
    <w:rsid w:val="000B1DE9"/>
    <w:rsid w:val="000B34F0"/>
    <w:rsid w:val="000B3E65"/>
    <w:rsid w:val="000B4A2F"/>
    <w:rsid w:val="000B58C3"/>
    <w:rsid w:val="000B59A1"/>
    <w:rsid w:val="000B5A94"/>
    <w:rsid w:val="000B6A3F"/>
    <w:rsid w:val="000B774A"/>
    <w:rsid w:val="000C0103"/>
    <w:rsid w:val="000C042A"/>
    <w:rsid w:val="000C0D04"/>
    <w:rsid w:val="000C1C4D"/>
    <w:rsid w:val="000C308C"/>
    <w:rsid w:val="000C3375"/>
    <w:rsid w:val="000C5541"/>
    <w:rsid w:val="000C6346"/>
    <w:rsid w:val="000C6B6D"/>
    <w:rsid w:val="000C7D8A"/>
    <w:rsid w:val="000D055D"/>
    <w:rsid w:val="000D16B7"/>
    <w:rsid w:val="000D2A9E"/>
    <w:rsid w:val="000D2B85"/>
    <w:rsid w:val="000D3930"/>
    <w:rsid w:val="000D51AC"/>
    <w:rsid w:val="000D5873"/>
    <w:rsid w:val="000D6973"/>
    <w:rsid w:val="000E00C3"/>
    <w:rsid w:val="000E09E6"/>
    <w:rsid w:val="000E1565"/>
    <w:rsid w:val="000E1A13"/>
    <w:rsid w:val="000E1A8F"/>
    <w:rsid w:val="000E2D55"/>
    <w:rsid w:val="000E3623"/>
    <w:rsid w:val="000E3EED"/>
    <w:rsid w:val="000E4D6A"/>
    <w:rsid w:val="000F1C6D"/>
    <w:rsid w:val="000F30E8"/>
    <w:rsid w:val="000F535F"/>
    <w:rsid w:val="000F5854"/>
    <w:rsid w:val="000F5B64"/>
    <w:rsid w:val="000F63FC"/>
    <w:rsid w:val="000F6D55"/>
    <w:rsid w:val="000F7993"/>
    <w:rsid w:val="000F7EB8"/>
    <w:rsid w:val="001001F4"/>
    <w:rsid w:val="00101176"/>
    <w:rsid w:val="00101DB0"/>
    <w:rsid w:val="0011079B"/>
    <w:rsid w:val="001117A4"/>
    <w:rsid w:val="0011284F"/>
    <w:rsid w:val="00114620"/>
    <w:rsid w:val="001148D5"/>
    <w:rsid w:val="00116C0A"/>
    <w:rsid w:val="001174AF"/>
    <w:rsid w:val="00122137"/>
    <w:rsid w:val="00122820"/>
    <w:rsid w:val="00122A6F"/>
    <w:rsid w:val="0012432B"/>
    <w:rsid w:val="00126B6A"/>
    <w:rsid w:val="00126F38"/>
    <w:rsid w:val="00127CCF"/>
    <w:rsid w:val="00130751"/>
    <w:rsid w:val="001324E3"/>
    <w:rsid w:val="00133058"/>
    <w:rsid w:val="0013343E"/>
    <w:rsid w:val="00133900"/>
    <w:rsid w:val="00135B06"/>
    <w:rsid w:val="001362E0"/>
    <w:rsid w:val="00140D43"/>
    <w:rsid w:val="001411D4"/>
    <w:rsid w:val="00141532"/>
    <w:rsid w:val="001447BC"/>
    <w:rsid w:val="001447E1"/>
    <w:rsid w:val="00150EA4"/>
    <w:rsid w:val="00152595"/>
    <w:rsid w:val="00152FCF"/>
    <w:rsid w:val="00155777"/>
    <w:rsid w:val="00155DF1"/>
    <w:rsid w:val="0015693F"/>
    <w:rsid w:val="00157CCF"/>
    <w:rsid w:val="001603F7"/>
    <w:rsid w:val="00160EF9"/>
    <w:rsid w:val="00161167"/>
    <w:rsid w:val="00163012"/>
    <w:rsid w:val="00164066"/>
    <w:rsid w:val="00164A12"/>
    <w:rsid w:val="0016533B"/>
    <w:rsid w:val="00166CDF"/>
    <w:rsid w:val="00166D3C"/>
    <w:rsid w:val="00172E98"/>
    <w:rsid w:val="00175712"/>
    <w:rsid w:val="00175861"/>
    <w:rsid w:val="00175936"/>
    <w:rsid w:val="00180D8F"/>
    <w:rsid w:val="00183156"/>
    <w:rsid w:val="001831C7"/>
    <w:rsid w:val="0018364B"/>
    <w:rsid w:val="00183D5D"/>
    <w:rsid w:val="00185B61"/>
    <w:rsid w:val="00190078"/>
    <w:rsid w:val="00190166"/>
    <w:rsid w:val="00191046"/>
    <w:rsid w:val="001916E0"/>
    <w:rsid w:val="001920A1"/>
    <w:rsid w:val="00193545"/>
    <w:rsid w:val="00194807"/>
    <w:rsid w:val="00195100"/>
    <w:rsid w:val="00195AD1"/>
    <w:rsid w:val="00196B0F"/>
    <w:rsid w:val="001A0858"/>
    <w:rsid w:val="001A1908"/>
    <w:rsid w:val="001A20A7"/>
    <w:rsid w:val="001A280A"/>
    <w:rsid w:val="001A292A"/>
    <w:rsid w:val="001A362F"/>
    <w:rsid w:val="001A58CA"/>
    <w:rsid w:val="001A5F4C"/>
    <w:rsid w:val="001A791E"/>
    <w:rsid w:val="001B05FD"/>
    <w:rsid w:val="001B2828"/>
    <w:rsid w:val="001B37B8"/>
    <w:rsid w:val="001B487A"/>
    <w:rsid w:val="001B4F64"/>
    <w:rsid w:val="001B52CB"/>
    <w:rsid w:val="001B5880"/>
    <w:rsid w:val="001B78BF"/>
    <w:rsid w:val="001C0075"/>
    <w:rsid w:val="001C15E7"/>
    <w:rsid w:val="001C46A4"/>
    <w:rsid w:val="001C5B2F"/>
    <w:rsid w:val="001C5DEA"/>
    <w:rsid w:val="001D038E"/>
    <w:rsid w:val="001D0F2D"/>
    <w:rsid w:val="001D2116"/>
    <w:rsid w:val="001D21A9"/>
    <w:rsid w:val="001D2EE8"/>
    <w:rsid w:val="001D3620"/>
    <w:rsid w:val="001D3B9B"/>
    <w:rsid w:val="001D7124"/>
    <w:rsid w:val="001D7A63"/>
    <w:rsid w:val="001E08BB"/>
    <w:rsid w:val="001E0BD7"/>
    <w:rsid w:val="001E1561"/>
    <w:rsid w:val="001E421F"/>
    <w:rsid w:val="001E4D49"/>
    <w:rsid w:val="001E616D"/>
    <w:rsid w:val="001E64BF"/>
    <w:rsid w:val="001E6B0E"/>
    <w:rsid w:val="001E79DE"/>
    <w:rsid w:val="001F0592"/>
    <w:rsid w:val="001F0692"/>
    <w:rsid w:val="001F071B"/>
    <w:rsid w:val="001F192C"/>
    <w:rsid w:val="001F2133"/>
    <w:rsid w:val="001F3616"/>
    <w:rsid w:val="001F3E9E"/>
    <w:rsid w:val="001F4E0E"/>
    <w:rsid w:val="0020177A"/>
    <w:rsid w:val="002028D6"/>
    <w:rsid w:val="0020324E"/>
    <w:rsid w:val="002033DB"/>
    <w:rsid w:val="00203B1B"/>
    <w:rsid w:val="002046F7"/>
    <w:rsid w:val="00204D84"/>
    <w:rsid w:val="00206ECE"/>
    <w:rsid w:val="0021005E"/>
    <w:rsid w:val="0021018D"/>
    <w:rsid w:val="00210C7F"/>
    <w:rsid w:val="002117C8"/>
    <w:rsid w:val="00211D75"/>
    <w:rsid w:val="00211E02"/>
    <w:rsid w:val="0021260D"/>
    <w:rsid w:val="002129C6"/>
    <w:rsid w:val="00212E58"/>
    <w:rsid w:val="00213391"/>
    <w:rsid w:val="002138FA"/>
    <w:rsid w:val="00213C07"/>
    <w:rsid w:val="0022069C"/>
    <w:rsid w:val="00221395"/>
    <w:rsid w:val="002222E9"/>
    <w:rsid w:val="00222A97"/>
    <w:rsid w:val="002232F7"/>
    <w:rsid w:val="00223F48"/>
    <w:rsid w:val="00231F96"/>
    <w:rsid w:val="00234166"/>
    <w:rsid w:val="0023584B"/>
    <w:rsid w:val="002378C5"/>
    <w:rsid w:val="00237FF2"/>
    <w:rsid w:val="00242303"/>
    <w:rsid w:val="002437CF"/>
    <w:rsid w:val="00246243"/>
    <w:rsid w:val="00247783"/>
    <w:rsid w:val="002523AC"/>
    <w:rsid w:val="002530EF"/>
    <w:rsid w:val="00253A97"/>
    <w:rsid w:val="00253BF7"/>
    <w:rsid w:val="00254C97"/>
    <w:rsid w:val="00254E52"/>
    <w:rsid w:val="0025500D"/>
    <w:rsid w:val="00256ABC"/>
    <w:rsid w:val="00257034"/>
    <w:rsid w:val="00257EE9"/>
    <w:rsid w:val="00260700"/>
    <w:rsid w:val="00262544"/>
    <w:rsid w:val="00262D1D"/>
    <w:rsid w:val="0026456E"/>
    <w:rsid w:val="00264AE3"/>
    <w:rsid w:val="0026752C"/>
    <w:rsid w:val="002724A6"/>
    <w:rsid w:val="00276F2D"/>
    <w:rsid w:val="00277C0F"/>
    <w:rsid w:val="00281FB4"/>
    <w:rsid w:val="0028208C"/>
    <w:rsid w:val="00282CE4"/>
    <w:rsid w:val="00283B05"/>
    <w:rsid w:val="002841CC"/>
    <w:rsid w:val="00284225"/>
    <w:rsid w:val="002847A7"/>
    <w:rsid w:val="00285C09"/>
    <w:rsid w:val="00285D62"/>
    <w:rsid w:val="002920F5"/>
    <w:rsid w:val="00292445"/>
    <w:rsid w:val="00293AF2"/>
    <w:rsid w:val="00295CEF"/>
    <w:rsid w:val="002A009B"/>
    <w:rsid w:val="002A2730"/>
    <w:rsid w:val="002A36F3"/>
    <w:rsid w:val="002A37A7"/>
    <w:rsid w:val="002A4E09"/>
    <w:rsid w:val="002A51B0"/>
    <w:rsid w:val="002A6631"/>
    <w:rsid w:val="002A6BC6"/>
    <w:rsid w:val="002A7D70"/>
    <w:rsid w:val="002B1FE5"/>
    <w:rsid w:val="002B2D2A"/>
    <w:rsid w:val="002B3E85"/>
    <w:rsid w:val="002B65AB"/>
    <w:rsid w:val="002C2415"/>
    <w:rsid w:val="002C29EC"/>
    <w:rsid w:val="002C2D83"/>
    <w:rsid w:val="002C365E"/>
    <w:rsid w:val="002C5E11"/>
    <w:rsid w:val="002C70FC"/>
    <w:rsid w:val="002C7FD5"/>
    <w:rsid w:val="002D08DA"/>
    <w:rsid w:val="002D12C5"/>
    <w:rsid w:val="002D1EED"/>
    <w:rsid w:val="002D2265"/>
    <w:rsid w:val="002D3132"/>
    <w:rsid w:val="002D3875"/>
    <w:rsid w:val="002D3991"/>
    <w:rsid w:val="002D477F"/>
    <w:rsid w:val="002D56F7"/>
    <w:rsid w:val="002E0D44"/>
    <w:rsid w:val="002E0D8E"/>
    <w:rsid w:val="002E149B"/>
    <w:rsid w:val="002E1A02"/>
    <w:rsid w:val="002E2D4F"/>
    <w:rsid w:val="002E3733"/>
    <w:rsid w:val="002E495C"/>
    <w:rsid w:val="002E4BD0"/>
    <w:rsid w:val="002E6986"/>
    <w:rsid w:val="002E761F"/>
    <w:rsid w:val="002E7B96"/>
    <w:rsid w:val="002E7DEC"/>
    <w:rsid w:val="002F009A"/>
    <w:rsid w:val="002F183E"/>
    <w:rsid w:val="002F1B02"/>
    <w:rsid w:val="002F26E7"/>
    <w:rsid w:val="002F5661"/>
    <w:rsid w:val="002F6595"/>
    <w:rsid w:val="00301026"/>
    <w:rsid w:val="003037CC"/>
    <w:rsid w:val="003059A4"/>
    <w:rsid w:val="003067C2"/>
    <w:rsid w:val="00307080"/>
    <w:rsid w:val="00310D86"/>
    <w:rsid w:val="00312FED"/>
    <w:rsid w:val="003137BF"/>
    <w:rsid w:val="00315073"/>
    <w:rsid w:val="00315EAA"/>
    <w:rsid w:val="00316433"/>
    <w:rsid w:val="0031684F"/>
    <w:rsid w:val="0031700C"/>
    <w:rsid w:val="003201C9"/>
    <w:rsid w:val="0032099D"/>
    <w:rsid w:val="00320C86"/>
    <w:rsid w:val="00321475"/>
    <w:rsid w:val="00321485"/>
    <w:rsid w:val="00321774"/>
    <w:rsid w:val="00321BC0"/>
    <w:rsid w:val="003224E8"/>
    <w:rsid w:val="003224FB"/>
    <w:rsid w:val="0032264A"/>
    <w:rsid w:val="00322B0E"/>
    <w:rsid w:val="00322CDB"/>
    <w:rsid w:val="00322DD4"/>
    <w:rsid w:val="00323F3B"/>
    <w:rsid w:val="0032445A"/>
    <w:rsid w:val="00324F13"/>
    <w:rsid w:val="00330F8D"/>
    <w:rsid w:val="0033169E"/>
    <w:rsid w:val="0033253E"/>
    <w:rsid w:val="0033267C"/>
    <w:rsid w:val="00332D15"/>
    <w:rsid w:val="003336FC"/>
    <w:rsid w:val="00334407"/>
    <w:rsid w:val="0033567F"/>
    <w:rsid w:val="003369A7"/>
    <w:rsid w:val="00342E0D"/>
    <w:rsid w:val="003446D9"/>
    <w:rsid w:val="00345619"/>
    <w:rsid w:val="00345669"/>
    <w:rsid w:val="00346D37"/>
    <w:rsid w:val="00350197"/>
    <w:rsid w:val="00350CDA"/>
    <w:rsid w:val="00353213"/>
    <w:rsid w:val="00353363"/>
    <w:rsid w:val="00357445"/>
    <w:rsid w:val="00363357"/>
    <w:rsid w:val="00367D4A"/>
    <w:rsid w:val="00370EDA"/>
    <w:rsid w:val="00372899"/>
    <w:rsid w:val="003735B0"/>
    <w:rsid w:val="00373693"/>
    <w:rsid w:val="00374572"/>
    <w:rsid w:val="00374A22"/>
    <w:rsid w:val="003759A5"/>
    <w:rsid w:val="00375F41"/>
    <w:rsid w:val="00375F6D"/>
    <w:rsid w:val="003773D5"/>
    <w:rsid w:val="00380E07"/>
    <w:rsid w:val="0038134C"/>
    <w:rsid w:val="00385D92"/>
    <w:rsid w:val="003864C4"/>
    <w:rsid w:val="003878AC"/>
    <w:rsid w:val="00391226"/>
    <w:rsid w:val="00394F82"/>
    <w:rsid w:val="00395AFC"/>
    <w:rsid w:val="003966CF"/>
    <w:rsid w:val="00397666"/>
    <w:rsid w:val="003976A1"/>
    <w:rsid w:val="003A084B"/>
    <w:rsid w:val="003A0BA3"/>
    <w:rsid w:val="003A1CC9"/>
    <w:rsid w:val="003A21DD"/>
    <w:rsid w:val="003A23F3"/>
    <w:rsid w:val="003A2D88"/>
    <w:rsid w:val="003A314B"/>
    <w:rsid w:val="003A39A9"/>
    <w:rsid w:val="003A3D7D"/>
    <w:rsid w:val="003A53E5"/>
    <w:rsid w:val="003A5B50"/>
    <w:rsid w:val="003A5ECD"/>
    <w:rsid w:val="003A623F"/>
    <w:rsid w:val="003A6C73"/>
    <w:rsid w:val="003A71A6"/>
    <w:rsid w:val="003B027A"/>
    <w:rsid w:val="003B107A"/>
    <w:rsid w:val="003B19E7"/>
    <w:rsid w:val="003B263C"/>
    <w:rsid w:val="003B324E"/>
    <w:rsid w:val="003B3936"/>
    <w:rsid w:val="003B48F9"/>
    <w:rsid w:val="003B65D3"/>
    <w:rsid w:val="003B672F"/>
    <w:rsid w:val="003B72CF"/>
    <w:rsid w:val="003C0FE1"/>
    <w:rsid w:val="003C3768"/>
    <w:rsid w:val="003C44A7"/>
    <w:rsid w:val="003C4667"/>
    <w:rsid w:val="003C5C3A"/>
    <w:rsid w:val="003C78AC"/>
    <w:rsid w:val="003C7ACD"/>
    <w:rsid w:val="003D0640"/>
    <w:rsid w:val="003D0F11"/>
    <w:rsid w:val="003D1F5A"/>
    <w:rsid w:val="003D20B9"/>
    <w:rsid w:val="003D2120"/>
    <w:rsid w:val="003D2ADC"/>
    <w:rsid w:val="003D4284"/>
    <w:rsid w:val="003D47B4"/>
    <w:rsid w:val="003D7C44"/>
    <w:rsid w:val="003D7E9F"/>
    <w:rsid w:val="003E03B0"/>
    <w:rsid w:val="003E3459"/>
    <w:rsid w:val="003E53A9"/>
    <w:rsid w:val="003E57EF"/>
    <w:rsid w:val="003E5865"/>
    <w:rsid w:val="003E5F88"/>
    <w:rsid w:val="003F0CBE"/>
    <w:rsid w:val="003F1F89"/>
    <w:rsid w:val="003F24F4"/>
    <w:rsid w:val="003F3C69"/>
    <w:rsid w:val="003F6230"/>
    <w:rsid w:val="003F719E"/>
    <w:rsid w:val="003F7BA1"/>
    <w:rsid w:val="004008BB"/>
    <w:rsid w:val="00400BCF"/>
    <w:rsid w:val="00400CAE"/>
    <w:rsid w:val="00401838"/>
    <w:rsid w:val="00401DA6"/>
    <w:rsid w:val="0040290C"/>
    <w:rsid w:val="004053C6"/>
    <w:rsid w:val="004058D4"/>
    <w:rsid w:val="00410C67"/>
    <w:rsid w:val="00410D42"/>
    <w:rsid w:val="00413AC6"/>
    <w:rsid w:val="00413CC8"/>
    <w:rsid w:val="00413FFC"/>
    <w:rsid w:val="004168E4"/>
    <w:rsid w:val="004214F4"/>
    <w:rsid w:val="0042564B"/>
    <w:rsid w:val="004256A9"/>
    <w:rsid w:val="00425B0F"/>
    <w:rsid w:val="00425D2D"/>
    <w:rsid w:val="004309E6"/>
    <w:rsid w:val="00433B37"/>
    <w:rsid w:val="004351D5"/>
    <w:rsid w:val="00436AE3"/>
    <w:rsid w:val="00437762"/>
    <w:rsid w:val="0044114F"/>
    <w:rsid w:val="004413B8"/>
    <w:rsid w:val="00441B3F"/>
    <w:rsid w:val="00441C24"/>
    <w:rsid w:val="00442536"/>
    <w:rsid w:val="004432EB"/>
    <w:rsid w:val="00443486"/>
    <w:rsid w:val="00446090"/>
    <w:rsid w:val="00446938"/>
    <w:rsid w:val="00446CDB"/>
    <w:rsid w:val="0044719F"/>
    <w:rsid w:val="00447235"/>
    <w:rsid w:val="00450095"/>
    <w:rsid w:val="00452CED"/>
    <w:rsid w:val="00453D96"/>
    <w:rsid w:val="00455391"/>
    <w:rsid w:val="00456182"/>
    <w:rsid w:val="004571AB"/>
    <w:rsid w:val="0046019C"/>
    <w:rsid w:val="0046051D"/>
    <w:rsid w:val="00461052"/>
    <w:rsid w:val="004636AF"/>
    <w:rsid w:val="00463F24"/>
    <w:rsid w:val="0046418D"/>
    <w:rsid w:val="00465804"/>
    <w:rsid w:val="004669FA"/>
    <w:rsid w:val="00470F4F"/>
    <w:rsid w:val="00471BC5"/>
    <w:rsid w:val="0047453D"/>
    <w:rsid w:val="00474A2B"/>
    <w:rsid w:val="00475281"/>
    <w:rsid w:val="004757D7"/>
    <w:rsid w:val="00475FAB"/>
    <w:rsid w:val="0047613F"/>
    <w:rsid w:val="00476DD2"/>
    <w:rsid w:val="00477308"/>
    <w:rsid w:val="0048094D"/>
    <w:rsid w:val="00482B9F"/>
    <w:rsid w:val="0048316E"/>
    <w:rsid w:val="0048443C"/>
    <w:rsid w:val="00485602"/>
    <w:rsid w:val="0048628A"/>
    <w:rsid w:val="00490D3B"/>
    <w:rsid w:val="004914D4"/>
    <w:rsid w:val="004939DB"/>
    <w:rsid w:val="004948A0"/>
    <w:rsid w:val="00496096"/>
    <w:rsid w:val="00496D6E"/>
    <w:rsid w:val="00497B26"/>
    <w:rsid w:val="004A0495"/>
    <w:rsid w:val="004A1B24"/>
    <w:rsid w:val="004A3026"/>
    <w:rsid w:val="004A55E6"/>
    <w:rsid w:val="004A7582"/>
    <w:rsid w:val="004B0482"/>
    <w:rsid w:val="004B0C59"/>
    <w:rsid w:val="004B0FEC"/>
    <w:rsid w:val="004B2A05"/>
    <w:rsid w:val="004B3A5F"/>
    <w:rsid w:val="004B5A62"/>
    <w:rsid w:val="004B64A7"/>
    <w:rsid w:val="004B6835"/>
    <w:rsid w:val="004B6C19"/>
    <w:rsid w:val="004C0B05"/>
    <w:rsid w:val="004C155D"/>
    <w:rsid w:val="004C26D0"/>
    <w:rsid w:val="004C2E9B"/>
    <w:rsid w:val="004C2F9C"/>
    <w:rsid w:val="004C54DF"/>
    <w:rsid w:val="004C5BA9"/>
    <w:rsid w:val="004C6D6B"/>
    <w:rsid w:val="004D0E87"/>
    <w:rsid w:val="004D2403"/>
    <w:rsid w:val="004D278D"/>
    <w:rsid w:val="004D3996"/>
    <w:rsid w:val="004D4840"/>
    <w:rsid w:val="004D4C8E"/>
    <w:rsid w:val="004D4FF7"/>
    <w:rsid w:val="004D6284"/>
    <w:rsid w:val="004D6C16"/>
    <w:rsid w:val="004E0306"/>
    <w:rsid w:val="004E283C"/>
    <w:rsid w:val="004E2B4F"/>
    <w:rsid w:val="004E49C8"/>
    <w:rsid w:val="004E6279"/>
    <w:rsid w:val="004E6CBF"/>
    <w:rsid w:val="004F16FE"/>
    <w:rsid w:val="004F1C1E"/>
    <w:rsid w:val="004F3225"/>
    <w:rsid w:val="004F423F"/>
    <w:rsid w:val="004F51A5"/>
    <w:rsid w:val="004F7B1C"/>
    <w:rsid w:val="004F7BED"/>
    <w:rsid w:val="005014C1"/>
    <w:rsid w:val="00502475"/>
    <w:rsid w:val="00505EF7"/>
    <w:rsid w:val="00506394"/>
    <w:rsid w:val="005065B5"/>
    <w:rsid w:val="00506971"/>
    <w:rsid w:val="00506C77"/>
    <w:rsid w:val="00506D4A"/>
    <w:rsid w:val="00506E6F"/>
    <w:rsid w:val="00506EBC"/>
    <w:rsid w:val="00510B28"/>
    <w:rsid w:val="00511263"/>
    <w:rsid w:val="00511A30"/>
    <w:rsid w:val="00513D9C"/>
    <w:rsid w:val="0051568F"/>
    <w:rsid w:val="00516A88"/>
    <w:rsid w:val="00517740"/>
    <w:rsid w:val="00517C43"/>
    <w:rsid w:val="0052162A"/>
    <w:rsid w:val="0052364A"/>
    <w:rsid w:val="00524DC2"/>
    <w:rsid w:val="005250BD"/>
    <w:rsid w:val="00525D68"/>
    <w:rsid w:val="005261D0"/>
    <w:rsid w:val="00526F46"/>
    <w:rsid w:val="005276DF"/>
    <w:rsid w:val="005327A6"/>
    <w:rsid w:val="005342FB"/>
    <w:rsid w:val="0053455A"/>
    <w:rsid w:val="005355E3"/>
    <w:rsid w:val="00535A93"/>
    <w:rsid w:val="00535FEA"/>
    <w:rsid w:val="00537A16"/>
    <w:rsid w:val="00542E6F"/>
    <w:rsid w:val="005441F5"/>
    <w:rsid w:val="00544CD3"/>
    <w:rsid w:val="00544F43"/>
    <w:rsid w:val="00544F9D"/>
    <w:rsid w:val="00545345"/>
    <w:rsid w:val="005460C5"/>
    <w:rsid w:val="0054636C"/>
    <w:rsid w:val="00546588"/>
    <w:rsid w:val="005479A3"/>
    <w:rsid w:val="00547B77"/>
    <w:rsid w:val="00550AC2"/>
    <w:rsid w:val="00550B1C"/>
    <w:rsid w:val="00550E4F"/>
    <w:rsid w:val="00554DD1"/>
    <w:rsid w:val="00555E83"/>
    <w:rsid w:val="005572DC"/>
    <w:rsid w:val="00557AA2"/>
    <w:rsid w:val="00561095"/>
    <w:rsid w:val="00561E3D"/>
    <w:rsid w:val="00562682"/>
    <w:rsid w:val="00564D6D"/>
    <w:rsid w:val="0056609C"/>
    <w:rsid w:val="00573C07"/>
    <w:rsid w:val="00575687"/>
    <w:rsid w:val="00576995"/>
    <w:rsid w:val="00577B00"/>
    <w:rsid w:val="00581947"/>
    <w:rsid w:val="00581D8B"/>
    <w:rsid w:val="005833B0"/>
    <w:rsid w:val="00584D6E"/>
    <w:rsid w:val="005854E3"/>
    <w:rsid w:val="00585600"/>
    <w:rsid w:val="005908A6"/>
    <w:rsid w:val="00590E8D"/>
    <w:rsid w:val="0059118E"/>
    <w:rsid w:val="005923D0"/>
    <w:rsid w:val="005942EA"/>
    <w:rsid w:val="00596208"/>
    <w:rsid w:val="00597F03"/>
    <w:rsid w:val="005A5529"/>
    <w:rsid w:val="005A5D38"/>
    <w:rsid w:val="005A776A"/>
    <w:rsid w:val="005A7F00"/>
    <w:rsid w:val="005B04AB"/>
    <w:rsid w:val="005B1367"/>
    <w:rsid w:val="005B27CA"/>
    <w:rsid w:val="005B48E5"/>
    <w:rsid w:val="005B583A"/>
    <w:rsid w:val="005B5F1C"/>
    <w:rsid w:val="005B6657"/>
    <w:rsid w:val="005B720C"/>
    <w:rsid w:val="005B7471"/>
    <w:rsid w:val="005B7A6C"/>
    <w:rsid w:val="005B7AC3"/>
    <w:rsid w:val="005B7DBE"/>
    <w:rsid w:val="005C1FFE"/>
    <w:rsid w:val="005C22E3"/>
    <w:rsid w:val="005C2C68"/>
    <w:rsid w:val="005C4282"/>
    <w:rsid w:val="005C5764"/>
    <w:rsid w:val="005C62A7"/>
    <w:rsid w:val="005C7D63"/>
    <w:rsid w:val="005D1B05"/>
    <w:rsid w:val="005D2830"/>
    <w:rsid w:val="005D32EC"/>
    <w:rsid w:val="005D3A6F"/>
    <w:rsid w:val="005D4226"/>
    <w:rsid w:val="005D5F1C"/>
    <w:rsid w:val="005D6208"/>
    <w:rsid w:val="005D6E75"/>
    <w:rsid w:val="005E0DEC"/>
    <w:rsid w:val="005E0F05"/>
    <w:rsid w:val="005E30A2"/>
    <w:rsid w:val="005E3D98"/>
    <w:rsid w:val="005E48C1"/>
    <w:rsid w:val="005E5CCF"/>
    <w:rsid w:val="005F0746"/>
    <w:rsid w:val="005F097E"/>
    <w:rsid w:val="005F0A84"/>
    <w:rsid w:val="005F0E41"/>
    <w:rsid w:val="005F1B75"/>
    <w:rsid w:val="005F4347"/>
    <w:rsid w:val="005F625F"/>
    <w:rsid w:val="006000FD"/>
    <w:rsid w:val="006002DD"/>
    <w:rsid w:val="006004AA"/>
    <w:rsid w:val="006028EA"/>
    <w:rsid w:val="00602F00"/>
    <w:rsid w:val="00606507"/>
    <w:rsid w:val="00607014"/>
    <w:rsid w:val="00607333"/>
    <w:rsid w:val="0060736F"/>
    <w:rsid w:val="00611BE8"/>
    <w:rsid w:val="00612DBC"/>
    <w:rsid w:val="0061564B"/>
    <w:rsid w:val="0061664D"/>
    <w:rsid w:val="00616D90"/>
    <w:rsid w:val="00617117"/>
    <w:rsid w:val="006210EA"/>
    <w:rsid w:val="00626981"/>
    <w:rsid w:val="00627FC7"/>
    <w:rsid w:val="00632B4E"/>
    <w:rsid w:val="00633145"/>
    <w:rsid w:val="00634867"/>
    <w:rsid w:val="00635AB7"/>
    <w:rsid w:val="00635FA6"/>
    <w:rsid w:val="006403B3"/>
    <w:rsid w:val="00640E63"/>
    <w:rsid w:val="00642D4C"/>
    <w:rsid w:val="00643220"/>
    <w:rsid w:val="00646BEE"/>
    <w:rsid w:val="00647B88"/>
    <w:rsid w:val="0065033A"/>
    <w:rsid w:val="00650A83"/>
    <w:rsid w:val="00654A64"/>
    <w:rsid w:val="00654D78"/>
    <w:rsid w:val="0065590E"/>
    <w:rsid w:val="00656400"/>
    <w:rsid w:val="00656BE5"/>
    <w:rsid w:val="00656ED5"/>
    <w:rsid w:val="00662284"/>
    <w:rsid w:val="00662794"/>
    <w:rsid w:val="00662927"/>
    <w:rsid w:val="00663DD4"/>
    <w:rsid w:val="0066509E"/>
    <w:rsid w:val="006661CD"/>
    <w:rsid w:val="0066649D"/>
    <w:rsid w:val="006671A4"/>
    <w:rsid w:val="00667F8F"/>
    <w:rsid w:val="00670AD0"/>
    <w:rsid w:val="006716B6"/>
    <w:rsid w:val="00671E11"/>
    <w:rsid w:val="00673B0A"/>
    <w:rsid w:val="00673D57"/>
    <w:rsid w:val="006742E3"/>
    <w:rsid w:val="00676F79"/>
    <w:rsid w:val="006773E1"/>
    <w:rsid w:val="00677723"/>
    <w:rsid w:val="0068013D"/>
    <w:rsid w:val="006811F2"/>
    <w:rsid w:val="00681598"/>
    <w:rsid w:val="00684664"/>
    <w:rsid w:val="00684681"/>
    <w:rsid w:val="00684CF3"/>
    <w:rsid w:val="00685154"/>
    <w:rsid w:val="00686610"/>
    <w:rsid w:val="00687BB3"/>
    <w:rsid w:val="00690EEA"/>
    <w:rsid w:val="0069124B"/>
    <w:rsid w:val="00691884"/>
    <w:rsid w:val="00694663"/>
    <w:rsid w:val="0069475B"/>
    <w:rsid w:val="006947BC"/>
    <w:rsid w:val="00695629"/>
    <w:rsid w:val="006969C2"/>
    <w:rsid w:val="006A0973"/>
    <w:rsid w:val="006A0EB7"/>
    <w:rsid w:val="006A2659"/>
    <w:rsid w:val="006A2CA7"/>
    <w:rsid w:val="006A4DB7"/>
    <w:rsid w:val="006A5DB4"/>
    <w:rsid w:val="006A61E0"/>
    <w:rsid w:val="006B0772"/>
    <w:rsid w:val="006B1124"/>
    <w:rsid w:val="006B2A97"/>
    <w:rsid w:val="006B4089"/>
    <w:rsid w:val="006B5537"/>
    <w:rsid w:val="006B5ADE"/>
    <w:rsid w:val="006C18A3"/>
    <w:rsid w:val="006C4999"/>
    <w:rsid w:val="006C5B1C"/>
    <w:rsid w:val="006C6737"/>
    <w:rsid w:val="006C789A"/>
    <w:rsid w:val="006D073E"/>
    <w:rsid w:val="006D0F94"/>
    <w:rsid w:val="006D5C2F"/>
    <w:rsid w:val="006D6B71"/>
    <w:rsid w:val="006D7D6C"/>
    <w:rsid w:val="006E093D"/>
    <w:rsid w:val="006E0CEF"/>
    <w:rsid w:val="006E1363"/>
    <w:rsid w:val="006E1E20"/>
    <w:rsid w:val="006E2BF2"/>
    <w:rsid w:val="006E4894"/>
    <w:rsid w:val="006E4EC5"/>
    <w:rsid w:val="006E5134"/>
    <w:rsid w:val="006E6FA0"/>
    <w:rsid w:val="006F09FB"/>
    <w:rsid w:val="006F12AE"/>
    <w:rsid w:val="006F303C"/>
    <w:rsid w:val="006F5BD3"/>
    <w:rsid w:val="006F6475"/>
    <w:rsid w:val="006F6ED3"/>
    <w:rsid w:val="006F7A0A"/>
    <w:rsid w:val="00701274"/>
    <w:rsid w:val="00704924"/>
    <w:rsid w:val="007053DF"/>
    <w:rsid w:val="00705869"/>
    <w:rsid w:val="00705EFA"/>
    <w:rsid w:val="00706B37"/>
    <w:rsid w:val="00713474"/>
    <w:rsid w:val="00713E74"/>
    <w:rsid w:val="007159EA"/>
    <w:rsid w:val="00720825"/>
    <w:rsid w:val="007215F3"/>
    <w:rsid w:val="00722292"/>
    <w:rsid w:val="00724C8C"/>
    <w:rsid w:val="00725716"/>
    <w:rsid w:val="00725DE1"/>
    <w:rsid w:val="00731014"/>
    <w:rsid w:val="0073219E"/>
    <w:rsid w:val="0073262C"/>
    <w:rsid w:val="00732D6B"/>
    <w:rsid w:val="007341A9"/>
    <w:rsid w:val="00734353"/>
    <w:rsid w:val="00734AF6"/>
    <w:rsid w:val="00734D97"/>
    <w:rsid w:val="00735001"/>
    <w:rsid w:val="00735053"/>
    <w:rsid w:val="007366A2"/>
    <w:rsid w:val="00736FD3"/>
    <w:rsid w:val="007370C5"/>
    <w:rsid w:val="00737EFF"/>
    <w:rsid w:val="00740887"/>
    <w:rsid w:val="00740FA2"/>
    <w:rsid w:val="007411CD"/>
    <w:rsid w:val="007420E8"/>
    <w:rsid w:val="007431C4"/>
    <w:rsid w:val="00745A4A"/>
    <w:rsid w:val="00747038"/>
    <w:rsid w:val="0075052F"/>
    <w:rsid w:val="007520DE"/>
    <w:rsid w:val="00752F17"/>
    <w:rsid w:val="00753653"/>
    <w:rsid w:val="00753D22"/>
    <w:rsid w:val="00755632"/>
    <w:rsid w:val="007567F4"/>
    <w:rsid w:val="007572E0"/>
    <w:rsid w:val="007572F9"/>
    <w:rsid w:val="007601D6"/>
    <w:rsid w:val="00761286"/>
    <w:rsid w:val="007618EA"/>
    <w:rsid w:val="00763F04"/>
    <w:rsid w:val="007648CC"/>
    <w:rsid w:val="00770827"/>
    <w:rsid w:val="007709CC"/>
    <w:rsid w:val="00771F90"/>
    <w:rsid w:val="007726FD"/>
    <w:rsid w:val="00774D4D"/>
    <w:rsid w:val="00775765"/>
    <w:rsid w:val="0077630F"/>
    <w:rsid w:val="00776505"/>
    <w:rsid w:val="00780607"/>
    <w:rsid w:val="007830CB"/>
    <w:rsid w:val="007851AC"/>
    <w:rsid w:val="00786AFD"/>
    <w:rsid w:val="00786B66"/>
    <w:rsid w:val="0079142D"/>
    <w:rsid w:val="007930F9"/>
    <w:rsid w:val="00793DE9"/>
    <w:rsid w:val="007940C3"/>
    <w:rsid w:val="007945F2"/>
    <w:rsid w:val="007A545C"/>
    <w:rsid w:val="007A6A3A"/>
    <w:rsid w:val="007B04DC"/>
    <w:rsid w:val="007B08A4"/>
    <w:rsid w:val="007B2ACF"/>
    <w:rsid w:val="007B3DF4"/>
    <w:rsid w:val="007B4848"/>
    <w:rsid w:val="007B49FB"/>
    <w:rsid w:val="007B4A72"/>
    <w:rsid w:val="007B7FFA"/>
    <w:rsid w:val="007C0746"/>
    <w:rsid w:val="007C2600"/>
    <w:rsid w:val="007C2799"/>
    <w:rsid w:val="007C620E"/>
    <w:rsid w:val="007C6D44"/>
    <w:rsid w:val="007D04D3"/>
    <w:rsid w:val="007D161B"/>
    <w:rsid w:val="007D645D"/>
    <w:rsid w:val="007D6FDA"/>
    <w:rsid w:val="007D7305"/>
    <w:rsid w:val="007E0544"/>
    <w:rsid w:val="007E1712"/>
    <w:rsid w:val="007E25E5"/>
    <w:rsid w:val="007E4042"/>
    <w:rsid w:val="007E52BA"/>
    <w:rsid w:val="007E5CCD"/>
    <w:rsid w:val="007E7672"/>
    <w:rsid w:val="007F132A"/>
    <w:rsid w:val="007F1676"/>
    <w:rsid w:val="007F2366"/>
    <w:rsid w:val="007F2600"/>
    <w:rsid w:val="007F6705"/>
    <w:rsid w:val="008003D8"/>
    <w:rsid w:val="00800799"/>
    <w:rsid w:val="00802768"/>
    <w:rsid w:val="008055CB"/>
    <w:rsid w:val="00816E53"/>
    <w:rsid w:val="0082332A"/>
    <w:rsid w:val="0082488B"/>
    <w:rsid w:val="00830F4D"/>
    <w:rsid w:val="0083179C"/>
    <w:rsid w:val="00832993"/>
    <w:rsid w:val="00833151"/>
    <w:rsid w:val="00834251"/>
    <w:rsid w:val="00834837"/>
    <w:rsid w:val="00834D16"/>
    <w:rsid w:val="00843F27"/>
    <w:rsid w:val="008509D0"/>
    <w:rsid w:val="00850D10"/>
    <w:rsid w:val="00850F47"/>
    <w:rsid w:val="008510D9"/>
    <w:rsid w:val="00851812"/>
    <w:rsid w:val="00852B3D"/>
    <w:rsid w:val="00855EF7"/>
    <w:rsid w:val="0085791C"/>
    <w:rsid w:val="008579DF"/>
    <w:rsid w:val="00857E7C"/>
    <w:rsid w:val="00862408"/>
    <w:rsid w:val="00864F9B"/>
    <w:rsid w:val="008657DD"/>
    <w:rsid w:val="00865B78"/>
    <w:rsid w:val="008709F3"/>
    <w:rsid w:val="00872070"/>
    <w:rsid w:val="0087222C"/>
    <w:rsid w:val="00873E61"/>
    <w:rsid w:val="00880611"/>
    <w:rsid w:val="00880E8B"/>
    <w:rsid w:val="00881241"/>
    <w:rsid w:val="00881AD4"/>
    <w:rsid w:val="008827BF"/>
    <w:rsid w:val="00882AF2"/>
    <w:rsid w:val="00886583"/>
    <w:rsid w:val="00886C10"/>
    <w:rsid w:val="00886E5E"/>
    <w:rsid w:val="00891DA2"/>
    <w:rsid w:val="0089300D"/>
    <w:rsid w:val="008931E8"/>
    <w:rsid w:val="00893A4A"/>
    <w:rsid w:val="00893A51"/>
    <w:rsid w:val="00894E7F"/>
    <w:rsid w:val="00895B5C"/>
    <w:rsid w:val="008973A3"/>
    <w:rsid w:val="008A00C0"/>
    <w:rsid w:val="008A14BB"/>
    <w:rsid w:val="008A1D3F"/>
    <w:rsid w:val="008A3050"/>
    <w:rsid w:val="008A3176"/>
    <w:rsid w:val="008A3A08"/>
    <w:rsid w:val="008A710F"/>
    <w:rsid w:val="008B08B9"/>
    <w:rsid w:val="008B0DB2"/>
    <w:rsid w:val="008B26E6"/>
    <w:rsid w:val="008B2939"/>
    <w:rsid w:val="008B47D7"/>
    <w:rsid w:val="008B4E9E"/>
    <w:rsid w:val="008B5019"/>
    <w:rsid w:val="008B6912"/>
    <w:rsid w:val="008B74AA"/>
    <w:rsid w:val="008B76BA"/>
    <w:rsid w:val="008B7A6F"/>
    <w:rsid w:val="008C14E6"/>
    <w:rsid w:val="008C1CD2"/>
    <w:rsid w:val="008C22B3"/>
    <w:rsid w:val="008C264E"/>
    <w:rsid w:val="008C26CD"/>
    <w:rsid w:val="008C2E5E"/>
    <w:rsid w:val="008C35EE"/>
    <w:rsid w:val="008C3955"/>
    <w:rsid w:val="008C497B"/>
    <w:rsid w:val="008C4F6A"/>
    <w:rsid w:val="008C5298"/>
    <w:rsid w:val="008C6E5E"/>
    <w:rsid w:val="008C7EB6"/>
    <w:rsid w:val="008D024C"/>
    <w:rsid w:val="008D1172"/>
    <w:rsid w:val="008D40D7"/>
    <w:rsid w:val="008D5276"/>
    <w:rsid w:val="008D75E5"/>
    <w:rsid w:val="008E0FC5"/>
    <w:rsid w:val="008E11CD"/>
    <w:rsid w:val="008E1699"/>
    <w:rsid w:val="008E3598"/>
    <w:rsid w:val="008E3FBC"/>
    <w:rsid w:val="008E7ED9"/>
    <w:rsid w:val="008F21E6"/>
    <w:rsid w:val="008F6934"/>
    <w:rsid w:val="0090071B"/>
    <w:rsid w:val="00901899"/>
    <w:rsid w:val="00901C7F"/>
    <w:rsid w:val="00903CC5"/>
    <w:rsid w:val="00905477"/>
    <w:rsid w:val="00906B77"/>
    <w:rsid w:val="00906EC2"/>
    <w:rsid w:val="0090796E"/>
    <w:rsid w:val="00911AD5"/>
    <w:rsid w:val="00911DF9"/>
    <w:rsid w:val="009143D2"/>
    <w:rsid w:val="00915026"/>
    <w:rsid w:val="00916960"/>
    <w:rsid w:val="00916C41"/>
    <w:rsid w:val="00917003"/>
    <w:rsid w:val="009172F2"/>
    <w:rsid w:val="0092181B"/>
    <w:rsid w:val="00923022"/>
    <w:rsid w:val="00924B13"/>
    <w:rsid w:val="00924FCF"/>
    <w:rsid w:val="009310DA"/>
    <w:rsid w:val="00934D7F"/>
    <w:rsid w:val="009350CC"/>
    <w:rsid w:val="00935A9B"/>
    <w:rsid w:val="009366A9"/>
    <w:rsid w:val="00937CA4"/>
    <w:rsid w:val="00942703"/>
    <w:rsid w:val="00947085"/>
    <w:rsid w:val="009470A9"/>
    <w:rsid w:val="00950FE0"/>
    <w:rsid w:val="00954B2A"/>
    <w:rsid w:val="009553F3"/>
    <w:rsid w:val="00955BF7"/>
    <w:rsid w:val="0095646D"/>
    <w:rsid w:val="00962F02"/>
    <w:rsid w:val="00963C9D"/>
    <w:rsid w:val="00965603"/>
    <w:rsid w:val="009667B4"/>
    <w:rsid w:val="00970FFC"/>
    <w:rsid w:val="009713D1"/>
    <w:rsid w:val="00973325"/>
    <w:rsid w:val="00973A1C"/>
    <w:rsid w:val="00974115"/>
    <w:rsid w:val="0097745D"/>
    <w:rsid w:val="00980A99"/>
    <w:rsid w:val="00982F22"/>
    <w:rsid w:val="00982F7E"/>
    <w:rsid w:val="00983D50"/>
    <w:rsid w:val="00986253"/>
    <w:rsid w:val="00986F7F"/>
    <w:rsid w:val="00986FE1"/>
    <w:rsid w:val="009870D2"/>
    <w:rsid w:val="0098716F"/>
    <w:rsid w:val="00987DF0"/>
    <w:rsid w:val="00990825"/>
    <w:rsid w:val="00992988"/>
    <w:rsid w:val="00992A0D"/>
    <w:rsid w:val="00994485"/>
    <w:rsid w:val="00994DD4"/>
    <w:rsid w:val="00996301"/>
    <w:rsid w:val="009A1BEE"/>
    <w:rsid w:val="009A2A78"/>
    <w:rsid w:val="009A2AFA"/>
    <w:rsid w:val="009A2D3D"/>
    <w:rsid w:val="009A35EC"/>
    <w:rsid w:val="009A394F"/>
    <w:rsid w:val="009A6089"/>
    <w:rsid w:val="009A6620"/>
    <w:rsid w:val="009A6EE8"/>
    <w:rsid w:val="009B1CAB"/>
    <w:rsid w:val="009B3BF4"/>
    <w:rsid w:val="009B69F7"/>
    <w:rsid w:val="009C06DA"/>
    <w:rsid w:val="009C07BB"/>
    <w:rsid w:val="009C1D80"/>
    <w:rsid w:val="009C7005"/>
    <w:rsid w:val="009D0206"/>
    <w:rsid w:val="009D11C1"/>
    <w:rsid w:val="009D20F3"/>
    <w:rsid w:val="009D311E"/>
    <w:rsid w:val="009D36D2"/>
    <w:rsid w:val="009D4847"/>
    <w:rsid w:val="009D5A38"/>
    <w:rsid w:val="009D6D4E"/>
    <w:rsid w:val="009D7130"/>
    <w:rsid w:val="009D730D"/>
    <w:rsid w:val="009D7949"/>
    <w:rsid w:val="009D79E6"/>
    <w:rsid w:val="009E0D35"/>
    <w:rsid w:val="009E2053"/>
    <w:rsid w:val="009E2AD9"/>
    <w:rsid w:val="009E2AF6"/>
    <w:rsid w:val="009E370C"/>
    <w:rsid w:val="009E41B1"/>
    <w:rsid w:val="009F19CA"/>
    <w:rsid w:val="009F24D9"/>
    <w:rsid w:val="009F6583"/>
    <w:rsid w:val="009F7BE9"/>
    <w:rsid w:val="00A000D7"/>
    <w:rsid w:val="00A032D2"/>
    <w:rsid w:val="00A042AE"/>
    <w:rsid w:val="00A047E8"/>
    <w:rsid w:val="00A04BC7"/>
    <w:rsid w:val="00A05795"/>
    <w:rsid w:val="00A06AB6"/>
    <w:rsid w:val="00A06D1F"/>
    <w:rsid w:val="00A07468"/>
    <w:rsid w:val="00A07AA3"/>
    <w:rsid w:val="00A11A3A"/>
    <w:rsid w:val="00A14F0B"/>
    <w:rsid w:val="00A17559"/>
    <w:rsid w:val="00A1770B"/>
    <w:rsid w:val="00A17E98"/>
    <w:rsid w:val="00A20975"/>
    <w:rsid w:val="00A209DE"/>
    <w:rsid w:val="00A20C70"/>
    <w:rsid w:val="00A2357D"/>
    <w:rsid w:val="00A23759"/>
    <w:rsid w:val="00A2377A"/>
    <w:rsid w:val="00A2409F"/>
    <w:rsid w:val="00A31AA1"/>
    <w:rsid w:val="00A31DEC"/>
    <w:rsid w:val="00A322E4"/>
    <w:rsid w:val="00A353CA"/>
    <w:rsid w:val="00A357E3"/>
    <w:rsid w:val="00A378EA"/>
    <w:rsid w:val="00A416EC"/>
    <w:rsid w:val="00A42EAE"/>
    <w:rsid w:val="00A44886"/>
    <w:rsid w:val="00A50A9F"/>
    <w:rsid w:val="00A536FF"/>
    <w:rsid w:val="00A53CD1"/>
    <w:rsid w:val="00A567D1"/>
    <w:rsid w:val="00A611A0"/>
    <w:rsid w:val="00A61D76"/>
    <w:rsid w:val="00A625C2"/>
    <w:rsid w:val="00A64277"/>
    <w:rsid w:val="00A65F76"/>
    <w:rsid w:val="00A70086"/>
    <w:rsid w:val="00A70EF3"/>
    <w:rsid w:val="00A71EEB"/>
    <w:rsid w:val="00A728F5"/>
    <w:rsid w:val="00A72C0A"/>
    <w:rsid w:val="00A72D39"/>
    <w:rsid w:val="00A73145"/>
    <w:rsid w:val="00A7321F"/>
    <w:rsid w:val="00A74D16"/>
    <w:rsid w:val="00A75F9D"/>
    <w:rsid w:val="00A76B42"/>
    <w:rsid w:val="00A7754E"/>
    <w:rsid w:val="00A77A61"/>
    <w:rsid w:val="00A815FA"/>
    <w:rsid w:val="00A84B1D"/>
    <w:rsid w:val="00A858B9"/>
    <w:rsid w:val="00A86EF0"/>
    <w:rsid w:val="00A915E8"/>
    <w:rsid w:val="00A9241E"/>
    <w:rsid w:val="00A93067"/>
    <w:rsid w:val="00A93337"/>
    <w:rsid w:val="00A93968"/>
    <w:rsid w:val="00A9448C"/>
    <w:rsid w:val="00A94744"/>
    <w:rsid w:val="00A94B19"/>
    <w:rsid w:val="00A969BF"/>
    <w:rsid w:val="00A96A92"/>
    <w:rsid w:val="00A9735E"/>
    <w:rsid w:val="00A97FDD"/>
    <w:rsid w:val="00AA0C42"/>
    <w:rsid w:val="00AA1F03"/>
    <w:rsid w:val="00AA215C"/>
    <w:rsid w:val="00AA48BE"/>
    <w:rsid w:val="00AA62EA"/>
    <w:rsid w:val="00AB1F76"/>
    <w:rsid w:val="00AB64D9"/>
    <w:rsid w:val="00AB66A4"/>
    <w:rsid w:val="00AC0D60"/>
    <w:rsid w:val="00AC1FCC"/>
    <w:rsid w:val="00AC33FA"/>
    <w:rsid w:val="00AC4FAC"/>
    <w:rsid w:val="00AC51A9"/>
    <w:rsid w:val="00AC54E1"/>
    <w:rsid w:val="00AC5D0C"/>
    <w:rsid w:val="00AD0749"/>
    <w:rsid w:val="00AD10B6"/>
    <w:rsid w:val="00AD3946"/>
    <w:rsid w:val="00AD774B"/>
    <w:rsid w:val="00AD7B73"/>
    <w:rsid w:val="00AE1513"/>
    <w:rsid w:val="00AE31C5"/>
    <w:rsid w:val="00AE322F"/>
    <w:rsid w:val="00AE3D4C"/>
    <w:rsid w:val="00AE42B8"/>
    <w:rsid w:val="00AE5E82"/>
    <w:rsid w:val="00AE6F05"/>
    <w:rsid w:val="00AF0430"/>
    <w:rsid w:val="00AF053B"/>
    <w:rsid w:val="00AF0A82"/>
    <w:rsid w:val="00AF1521"/>
    <w:rsid w:val="00AF1813"/>
    <w:rsid w:val="00AF495B"/>
    <w:rsid w:val="00AF54FE"/>
    <w:rsid w:val="00AF59A9"/>
    <w:rsid w:val="00AF6017"/>
    <w:rsid w:val="00AF6F16"/>
    <w:rsid w:val="00AF7775"/>
    <w:rsid w:val="00AF78EB"/>
    <w:rsid w:val="00B007F7"/>
    <w:rsid w:val="00B025D0"/>
    <w:rsid w:val="00B02FF7"/>
    <w:rsid w:val="00B032F8"/>
    <w:rsid w:val="00B0396D"/>
    <w:rsid w:val="00B07D62"/>
    <w:rsid w:val="00B10C22"/>
    <w:rsid w:val="00B11ADA"/>
    <w:rsid w:val="00B1232A"/>
    <w:rsid w:val="00B12E14"/>
    <w:rsid w:val="00B143EB"/>
    <w:rsid w:val="00B1441B"/>
    <w:rsid w:val="00B14A04"/>
    <w:rsid w:val="00B14FDE"/>
    <w:rsid w:val="00B15565"/>
    <w:rsid w:val="00B159DE"/>
    <w:rsid w:val="00B162E7"/>
    <w:rsid w:val="00B16CDC"/>
    <w:rsid w:val="00B17977"/>
    <w:rsid w:val="00B210D2"/>
    <w:rsid w:val="00B21C88"/>
    <w:rsid w:val="00B220AB"/>
    <w:rsid w:val="00B22729"/>
    <w:rsid w:val="00B22C88"/>
    <w:rsid w:val="00B245EE"/>
    <w:rsid w:val="00B261F9"/>
    <w:rsid w:val="00B2710D"/>
    <w:rsid w:val="00B305A6"/>
    <w:rsid w:val="00B32D6E"/>
    <w:rsid w:val="00B34D11"/>
    <w:rsid w:val="00B35682"/>
    <w:rsid w:val="00B3619D"/>
    <w:rsid w:val="00B36A0C"/>
    <w:rsid w:val="00B40634"/>
    <w:rsid w:val="00B42316"/>
    <w:rsid w:val="00B43617"/>
    <w:rsid w:val="00B43688"/>
    <w:rsid w:val="00B4392C"/>
    <w:rsid w:val="00B43C94"/>
    <w:rsid w:val="00B43ECD"/>
    <w:rsid w:val="00B514E5"/>
    <w:rsid w:val="00B518CA"/>
    <w:rsid w:val="00B51D74"/>
    <w:rsid w:val="00B5352E"/>
    <w:rsid w:val="00B53C5B"/>
    <w:rsid w:val="00B60CB8"/>
    <w:rsid w:val="00B619DF"/>
    <w:rsid w:val="00B634F2"/>
    <w:rsid w:val="00B66BDF"/>
    <w:rsid w:val="00B717A3"/>
    <w:rsid w:val="00B74C38"/>
    <w:rsid w:val="00B80536"/>
    <w:rsid w:val="00B816DE"/>
    <w:rsid w:val="00B85873"/>
    <w:rsid w:val="00B86EE9"/>
    <w:rsid w:val="00B8776C"/>
    <w:rsid w:val="00B87A0B"/>
    <w:rsid w:val="00B900F8"/>
    <w:rsid w:val="00B91531"/>
    <w:rsid w:val="00B934ED"/>
    <w:rsid w:val="00B93D71"/>
    <w:rsid w:val="00B93EAE"/>
    <w:rsid w:val="00B9475D"/>
    <w:rsid w:val="00B94B81"/>
    <w:rsid w:val="00B9510E"/>
    <w:rsid w:val="00BA242F"/>
    <w:rsid w:val="00BA40CB"/>
    <w:rsid w:val="00BA434A"/>
    <w:rsid w:val="00BA4C85"/>
    <w:rsid w:val="00BA5EEA"/>
    <w:rsid w:val="00BA792F"/>
    <w:rsid w:val="00BB15C8"/>
    <w:rsid w:val="00BB2833"/>
    <w:rsid w:val="00BB2BEA"/>
    <w:rsid w:val="00BB3810"/>
    <w:rsid w:val="00BB4375"/>
    <w:rsid w:val="00BC2BD6"/>
    <w:rsid w:val="00BC3C2E"/>
    <w:rsid w:val="00BC42B2"/>
    <w:rsid w:val="00BC59F9"/>
    <w:rsid w:val="00BC5F1D"/>
    <w:rsid w:val="00BC607D"/>
    <w:rsid w:val="00BC73E4"/>
    <w:rsid w:val="00BD1A7E"/>
    <w:rsid w:val="00BD2E16"/>
    <w:rsid w:val="00BD4433"/>
    <w:rsid w:val="00BD6671"/>
    <w:rsid w:val="00BD6A0A"/>
    <w:rsid w:val="00BD6CB3"/>
    <w:rsid w:val="00BD7BEA"/>
    <w:rsid w:val="00BE080D"/>
    <w:rsid w:val="00BE3DED"/>
    <w:rsid w:val="00BE454C"/>
    <w:rsid w:val="00BF06AD"/>
    <w:rsid w:val="00BF13E7"/>
    <w:rsid w:val="00BF27F8"/>
    <w:rsid w:val="00BF3E52"/>
    <w:rsid w:val="00BF6967"/>
    <w:rsid w:val="00C01653"/>
    <w:rsid w:val="00C02638"/>
    <w:rsid w:val="00C02A18"/>
    <w:rsid w:val="00C03694"/>
    <w:rsid w:val="00C04E55"/>
    <w:rsid w:val="00C06A96"/>
    <w:rsid w:val="00C0726F"/>
    <w:rsid w:val="00C102A1"/>
    <w:rsid w:val="00C11717"/>
    <w:rsid w:val="00C11C2E"/>
    <w:rsid w:val="00C128C2"/>
    <w:rsid w:val="00C13B6D"/>
    <w:rsid w:val="00C14543"/>
    <w:rsid w:val="00C178CB"/>
    <w:rsid w:val="00C236A0"/>
    <w:rsid w:val="00C24D45"/>
    <w:rsid w:val="00C25F24"/>
    <w:rsid w:val="00C2622F"/>
    <w:rsid w:val="00C33919"/>
    <w:rsid w:val="00C346C8"/>
    <w:rsid w:val="00C35387"/>
    <w:rsid w:val="00C36B95"/>
    <w:rsid w:val="00C3744D"/>
    <w:rsid w:val="00C376BB"/>
    <w:rsid w:val="00C405EB"/>
    <w:rsid w:val="00C40BB9"/>
    <w:rsid w:val="00C41745"/>
    <w:rsid w:val="00C45408"/>
    <w:rsid w:val="00C4623F"/>
    <w:rsid w:val="00C536C5"/>
    <w:rsid w:val="00C54668"/>
    <w:rsid w:val="00C55A3C"/>
    <w:rsid w:val="00C56A20"/>
    <w:rsid w:val="00C60CCF"/>
    <w:rsid w:val="00C6315B"/>
    <w:rsid w:val="00C63DF4"/>
    <w:rsid w:val="00C6453E"/>
    <w:rsid w:val="00C646B3"/>
    <w:rsid w:val="00C6525B"/>
    <w:rsid w:val="00C674B3"/>
    <w:rsid w:val="00C705F1"/>
    <w:rsid w:val="00C713C9"/>
    <w:rsid w:val="00C7155A"/>
    <w:rsid w:val="00C75F61"/>
    <w:rsid w:val="00C7725F"/>
    <w:rsid w:val="00C80701"/>
    <w:rsid w:val="00C809A7"/>
    <w:rsid w:val="00C817C0"/>
    <w:rsid w:val="00C81EE2"/>
    <w:rsid w:val="00C82986"/>
    <w:rsid w:val="00C82FB6"/>
    <w:rsid w:val="00C844D1"/>
    <w:rsid w:val="00C8504A"/>
    <w:rsid w:val="00C85790"/>
    <w:rsid w:val="00C85A40"/>
    <w:rsid w:val="00C934E4"/>
    <w:rsid w:val="00C954C2"/>
    <w:rsid w:val="00C95A3B"/>
    <w:rsid w:val="00C96A45"/>
    <w:rsid w:val="00C97430"/>
    <w:rsid w:val="00CA0B37"/>
    <w:rsid w:val="00CA0BA5"/>
    <w:rsid w:val="00CA1820"/>
    <w:rsid w:val="00CA1D91"/>
    <w:rsid w:val="00CB0E9B"/>
    <w:rsid w:val="00CB30A4"/>
    <w:rsid w:val="00CB37F7"/>
    <w:rsid w:val="00CB56FC"/>
    <w:rsid w:val="00CB604F"/>
    <w:rsid w:val="00CB73C3"/>
    <w:rsid w:val="00CB7419"/>
    <w:rsid w:val="00CC0347"/>
    <w:rsid w:val="00CC24BE"/>
    <w:rsid w:val="00CC2C4E"/>
    <w:rsid w:val="00CC2F9B"/>
    <w:rsid w:val="00CC3F19"/>
    <w:rsid w:val="00CC40F7"/>
    <w:rsid w:val="00CC5C72"/>
    <w:rsid w:val="00CC77DA"/>
    <w:rsid w:val="00CD30F8"/>
    <w:rsid w:val="00CD594B"/>
    <w:rsid w:val="00CD774A"/>
    <w:rsid w:val="00CE0094"/>
    <w:rsid w:val="00CE07F6"/>
    <w:rsid w:val="00CE0CB7"/>
    <w:rsid w:val="00CE0F23"/>
    <w:rsid w:val="00CE3127"/>
    <w:rsid w:val="00CE367D"/>
    <w:rsid w:val="00CE5188"/>
    <w:rsid w:val="00CE5396"/>
    <w:rsid w:val="00CE7753"/>
    <w:rsid w:val="00CF1468"/>
    <w:rsid w:val="00CF1C7B"/>
    <w:rsid w:val="00CF1E54"/>
    <w:rsid w:val="00CF2512"/>
    <w:rsid w:val="00CF3907"/>
    <w:rsid w:val="00CF3C43"/>
    <w:rsid w:val="00CF3CE5"/>
    <w:rsid w:val="00CF4445"/>
    <w:rsid w:val="00CF4F98"/>
    <w:rsid w:val="00D01AB7"/>
    <w:rsid w:val="00D0247C"/>
    <w:rsid w:val="00D025CE"/>
    <w:rsid w:val="00D03D7C"/>
    <w:rsid w:val="00D062A4"/>
    <w:rsid w:val="00D13B4F"/>
    <w:rsid w:val="00D20334"/>
    <w:rsid w:val="00D211B4"/>
    <w:rsid w:val="00D22B86"/>
    <w:rsid w:val="00D24C0B"/>
    <w:rsid w:val="00D24EC3"/>
    <w:rsid w:val="00D31A86"/>
    <w:rsid w:val="00D3278E"/>
    <w:rsid w:val="00D3436C"/>
    <w:rsid w:val="00D361A6"/>
    <w:rsid w:val="00D404E9"/>
    <w:rsid w:val="00D42003"/>
    <w:rsid w:val="00D4332F"/>
    <w:rsid w:val="00D4408D"/>
    <w:rsid w:val="00D45F37"/>
    <w:rsid w:val="00D464F1"/>
    <w:rsid w:val="00D467BB"/>
    <w:rsid w:val="00D50CBC"/>
    <w:rsid w:val="00D50DA9"/>
    <w:rsid w:val="00D52C1A"/>
    <w:rsid w:val="00D52EEF"/>
    <w:rsid w:val="00D53269"/>
    <w:rsid w:val="00D5449E"/>
    <w:rsid w:val="00D54B17"/>
    <w:rsid w:val="00D60D8D"/>
    <w:rsid w:val="00D61BF2"/>
    <w:rsid w:val="00D621C3"/>
    <w:rsid w:val="00D62482"/>
    <w:rsid w:val="00D62BF5"/>
    <w:rsid w:val="00D63031"/>
    <w:rsid w:val="00D66C97"/>
    <w:rsid w:val="00D67E47"/>
    <w:rsid w:val="00D70F31"/>
    <w:rsid w:val="00D71445"/>
    <w:rsid w:val="00D7327B"/>
    <w:rsid w:val="00D75E4C"/>
    <w:rsid w:val="00D762BE"/>
    <w:rsid w:val="00D770BB"/>
    <w:rsid w:val="00D774AC"/>
    <w:rsid w:val="00D777B5"/>
    <w:rsid w:val="00D77C7B"/>
    <w:rsid w:val="00D809C3"/>
    <w:rsid w:val="00D81BCB"/>
    <w:rsid w:val="00D81FB9"/>
    <w:rsid w:val="00D84712"/>
    <w:rsid w:val="00D84A36"/>
    <w:rsid w:val="00D84D46"/>
    <w:rsid w:val="00D860FA"/>
    <w:rsid w:val="00D87E9A"/>
    <w:rsid w:val="00D9221C"/>
    <w:rsid w:val="00D926D8"/>
    <w:rsid w:val="00D932F1"/>
    <w:rsid w:val="00D938D6"/>
    <w:rsid w:val="00D941DE"/>
    <w:rsid w:val="00D95037"/>
    <w:rsid w:val="00D95348"/>
    <w:rsid w:val="00D961F9"/>
    <w:rsid w:val="00D96885"/>
    <w:rsid w:val="00DA0003"/>
    <w:rsid w:val="00DA0197"/>
    <w:rsid w:val="00DA0649"/>
    <w:rsid w:val="00DA24D3"/>
    <w:rsid w:val="00DA2624"/>
    <w:rsid w:val="00DA2CF3"/>
    <w:rsid w:val="00DA4164"/>
    <w:rsid w:val="00DA7121"/>
    <w:rsid w:val="00DB0509"/>
    <w:rsid w:val="00DB1672"/>
    <w:rsid w:val="00DB1D66"/>
    <w:rsid w:val="00DB2D52"/>
    <w:rsid w:val="00DB3765"/>
    <w:rsid w:val="00DB554D"/>
    <w:rsid w:val="00DB6881"/>
    <w:rsid w:val="00DB7629"/>
    <w:rsid w:val="00DC1BC2"/>
    <w:rsid w:val="00DC248C"/>
    <w:rsid w:val="00DC3C97"/>
    <w:rsid w:val="00DC48E7"/>
    <w:rsid w:val="00DC4DFC"/>
    <w:rsid w:val="00DC7A8C"/>
    <w:rsid w:val="00DC7E1E"/>
    <w:rsid w:val="00DD099F"/>
    <w:rsid w:val="00DD0C3E"/>
    <w:rsid w:val="00DD11C2"/>
    <w:rsid w:val="00DD2D62"/>
    <w:rsid w:val="00DD3425"/>
    <w:rsid w:val="00DD3CBC"/>
    <w:rsid w:val="00DD50BA"/>
    <w:rsid w:val="00DD53C5"/>
    <w:rsid w:val="00DE00BD"/>
    <w:rsid w:val="00DE2A2D"/>
    <w:rsid w:val="00DE398C"/>
    <w:rsid w:val="00DE3A49"/>
    <w:rsid w:val="00DE4E13"/>
    <w:rsid w:val="00DF0331"/>
    <w:rsid w:val="00DF2F3D"/>
    <w:rsid w:val="00DF4513"/>
    <w:rsid w:val="00DF7CD7"/>
    <w:rsid w:val="00E004C1"/>
    <w:rsid w:val="00E004DE"/>
    <w:rsid w:val="00E0148F"/>
    <w:rsid w:val="00E017F4"/>
    <w:rsid w:val="00E03A42"/>
    <w:rsid w:val="00E04DDE"/>
    <w:rsid w:val="00E050CF"/>
    <w:rsid w:val="00E11D1B"/>
    <w:rsid w:val="00E138EF"/>
    <w:rsid w:val="00E13EE5"/>
    <w:rsid w:val="00E14A68"/>
    <w:rsid w:val="00E15269"/>
    <w:rsid w:val="00E1583D"/>
    <w:rsid w:val="00E15B57"/>
    <w:rsid w:val="00E15FEE"/>
    <w:rsid w:val="00E165F4"/>
    <w:rsid w:val="00E17D46"/>
    <w:rsid w:val="00E2017D"/>
    <w:rsid w:val="00E2071E"/>
    <w:rsid w:val="00E21C30"/>
    <w:rsid w:val="00E25976"/>
    <w:rsid w:val="00E26FCB"/>
    <w:rsid w:val="00E2735E"/>
    <w:rsid w:val="00E274AF"/>
    <w:rsid w:val="00E30A2C"/>
    <w:rsid w:val="00E31DDE"/>
    <w:rsid w:val="00E33988"/>
    <w:rsid w:val="00E34AA0"/>
    <w:rsid w:val="00E355B3"/>
    <w:rsid w:val="00E401DD"/>
    <w:rsid w:val="00E41D92"/>
    <w:rsid w:val="00E432E2"/>
    <w:rsid w:val="00E44966"/>
    <w:rsid w:val="00E453ED"/>
    <w:rsid w:val="00E45832"/>
    <w:rsid w:val="00E47716"/>
    <w:rsid w:val="00E50516"/>
    <w:rsid w:val="00E50CC7"/>
    <w:rsid w:val="00E5143D"/>
    <w:rsid w:val="00E525FC"/>
    <w:rsid w:val="00E52816"/>
    <w:rsid w:val="00E54271"/>
    <w:rsid w:val="00E56F34"/>
    <w:rsid w:val="00E57B68"/>
    <w:rsid w:val="00E57F76"/>
    <w:rsid w:val="00E60198"/>
    <w:rsid w:val="00E615FA"/>
    <w:rsid w:val="00E664BC"/>
    <w:rsid w:val="00E6675A"/>
    <w:rsid w:val="00E6769F"/>
    <w:rsid w:val="00E67AF1"/>
    <w:rsid w:val="00E711B5"/>
    <w:rsid w:val="00E738C8"/>
    <w:rsid w:val="00E7391E"/>
    <w:rsid w:val="00E7399A"/>
    <w:rsid w:val="00E74279"/>
    <w:rsid w:val="00E77A0B"/>
    <w:rsid w:val="00E8104F"/>
    <w:rsid w:val="00E817AB"/>
    <w:rsid w:val="00E819E6"/>
    <w:rsid w:val="00E83209"/>
    <w:rsid w:val="00E844CE"/>
    <w:rsid w:val="00E86330"/>
    <w:rsid w:val="00E903F4"/>
    <w:rsid w:val="00E9173F"/>
    <w:rsid w:val="00E928EE"/>
    <w:rsid w:val="00E95A1A"/>
    <w:rsid w:val="00E97B72"/>
    <w:rsid w:val="00EA0008"/>
    <w:rsid w:val="00EA126C"/>
    <w:rsid w:val="00EA1A26"/>
    <w:rsid w:val="00EA4317"/>
    <w:rsid w:val="00EA56D1"/>
    <w:rsid w:val="00EA73DE"/>
    <w:rsid w:val="00EA7C82"/>
    <w:rsid w:val="00EB0454"/>
    <w:rsid w:val="00EB1A1F"/>
    <w:rsid w:val="00EB2156"/>
    <w:rsid w:val="00EB2481"/>
    <w:rsid w:val="00EB34D0"/>
    <w:rsid w:val="00EB4CF9"/>
    <w:rsid w:val="00EB5BB7"/>
    <w:rsid w:val="00EB65D0"/>
    <w:rsid w:val="00EC0857"/>
    <w:rsid w:val="00EC0BE5"/>
    <w:rsid w:val="00EC4B17"/>
    <w:rsid w:val="00EC7D0B"/>
    <w:rsid w:val="00EC7E5E"/>
    <w:rsid w:val="00ED17D0"/>
    <w:rsid w:val="00ED3B9F"/>
    <w:rsid w:val="00ED3C3D"/>
    <w:rsid w:val="00ED4B30"/>
    <w:rsid w:val="00ED5D66"/>
    <w:rsid w:val="00ED66F9"/>
    <w:rsid w:val="00ED6963"/>
    <w:rsid w:val="00ED6E97"/>
    <w:rsid w:val="00ED7284"/>
    <w:rsid w:val="00ED759C"/>
    <w:rsid w:val="00ED7A9A"/>
    <w:rsid w:val="00ED7CC4"/>
    <w:rsid w:val="00EE0829"/>
    <w:rsid w:val="00EE3B28"/>
    <w:rsid w:val="00EF0081"/>
    <w:rsid w:val="00EF0CC8"/>
    <w:rsid w:val="00EF15CC"/>
    <w:rsid w:val="00EF3762"/>
    <w:rsid w:val="00EF6D3D"/>
    <w:rsid w:val="00F009BE"/>
    <w:rsid w:val="00F04047"/>
    <w:rsid w:val="00F049E5"/>
    <w:rsid w:val="00F04F8C"/>
    <w:rsid w:val="00F06B1E"/>
    <w:rsid w:val="00F06EE0"/>
    <w:rsid w:val="00F12AAF"/>
    <w:rsid w:val="00F12D5A"/>
    <w:rsid w:val="00F131FD"/>
    <w:rsid w:val="00F13C45"/>
    <w:rsid w:val="00F1658A"/>
    <w:rsid w:val="00F16D0B"/>
    <w:rsid w:val="00F175C3"/>
    <w:rsid w:val="00F1766B"/>
    <w:rsid w:val="00F20420"/>
    <w:rsid w:val="00F2059A"/>
    <w:rsid w:val="00F22E6F"/>
    <w:rsid w:val="00F23413"/>
    <w:rsid w:val="00F23CBA"/>
    <w:rsid w:val="00F24C36"/>
    <w:rsid w:val="00F24D08"/>
    <w:rsid w:val="00F25660"/>
    <w:rsid w:val="00F25ACD"/>
    <w:rsid w:val="00F26D50"/>
    <w:rsid w:val="00F27DC8"/>
    <w:rsid w:val="00F3079F"/>
    <w:rsid w:val="00F320FC"/>
    <w:rsid w:val="00F329A5"/>
    <w:rsid w:val="00F33F46"/>
    <w:rsid w:val="00F3468E"/>
    <w:rsid w:val="00F347EF"/>
    <w:rsid w:val="00F36403"/>
    <w:rsid w:val="00F370C3"/>
    <w:rsid w:val="00F379CE"/>
    <w:rsid w:val="00F40172"/>
    <w:rsid w:val="00F43A58"/>
    <w:rsid w:val="00F44872"/>
    <w:rsid w:val="00F44D89"/>
    <w:rsid w:val="00F47306"/>
    <w:rsid w:val="00F479CD"/>
    <w:rsid w:val="00F5070D"/>
    <w:rsid w:val="00F53039"/>
    <w:rsid w:val="00F53CBB"/>
    <w:rsid w:val="00F53F4B"/>
    <w:rsid w:val="00F5581A"/>
    <w:rsid w:val="00F5659B"/>
    <w:rsid w:val="00F567D5"/>
    <w:rsid w:val="00F568D5"/>
    <w:rsid w:val="00F579FD"/>
    <w:rsid w:val="00F60815"/>
    <w:rsid w:val="00F619CF"/>
    <w:rsid w:val="00F629DD"/>
    <w:rsid w:val="00F64565"/>
    <w:rsid w:val="00F665FC"/>
    <w:rsid w:val="00F66F95"/>
    <w:rsid w:val="00F67B31"/>
    <w:rsid w:val="00F70AC7"/>
    <w:rsid w:val="00F7448F"/>
    <w:rsid w:val="00F75018"/>
    <w:rsid w:val="00F7526F"/>
    <w:rsid w:val="00F7753F"/>
    <w:rsid w:val="00F81968"/>
    <w:rsid w:val="00F81FEE"/>
    <w:rsid w:val="00F8218E"/>
    <w:rsid w:val="00F839E3"/>
    <w:rsid w:val="00F87D17"/>
    <w:rsid w:val="00F90C6C"/>
    <w:rsid w:val="00F91E1B"/>
    <w:rsid w:val="00F924FE"/>
    <w:rsid w:val="00F92639"/>
    <w:rsid w:val="00F93402"/>
    <w:rsid w:val="00F935C5"/>
    <w:rsid w:val="00F94308"/>
    <w:rsid w:val="00F9445E"/>
    <w:rsid w:val="00F94A13"/>
    <w:rsid w:val="00F96801"/>
    <w:rsid w:val="00FA0B7C"/>
    <w:rsid w:val="00FA0D1E"/>
    <w:rsid w:val="00FA51F6"/>
    <w:rsid w:val="00FA5307"/>
    <w:rsid w:val="00FA6F7F"/>
    <w:rsid w:val="00FB081E"/>
    <w:rsid w:val="00FB0A23"/>
    <w:rsid w:val="00FB4106"/>
    <w:rsid w:val="00FB4362"/>
    <w:rsid w:val="00FB4D58"/>
    <w:rsid w:val="00FB7DA9"/>
    <w:rsid w:val="00FC0566"/>
    <w:rsid w:val="00FC1304"/>
    <w:rsid w:val="00FC1F4F"/>
    <w:rsid w:val="00FC1FB7"/>
    <w:rsid w:val="00FC24FC"/>
    <w:rsid w:val="00FC3304"/>
    <w:rsid w:val="00FC3BE1"/>
    <w:rsid w:val="00FC5860"/>
    <w:rsid w:val="00FC64D0"/>
    <w:rsid w:val="00FC6791"/>
    <w:rsid w:val="00FC6D67"/>
    <w:rsid w:val="00FC78D9"/>
    <w:rsid w:val="00FD2973"/>
    <w:rsid w:val="00FD46A7"/>
    <w:rsid w:val="00FD4D32"/>
    <w:rsid w:val="00FD6180"/>
    <w:rsid w:val="00FE0384"/>
    <w:rsid w:val="00FE2740"/>
    <w:rsid w:val="00FE439C"/>
    <w:rsid w:val="00FE4E1F"/>
    <w:rsid w:val="00FE782E"/>
    <w:rsid w:val="00FE7BAB"/>
    <w:rsid w:val="00FF1AB3"/>
    <w:rsid w:val="00FF236D"/>
    <w:rsid w:val="00FF418E"/>
    <w:rsid w:val="00FF47FF"/>
    <w:rsid w:val="00FF60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03B0"/>
    <w:pPr>
      <w:spacing w:after="0" w:line="240" w:lineRule="auto"/>
    </w:pPr>
    <w:rPr>
      <w:rFonts w:ascii="Times New Roman" w:eastAsia="Calibri" w:hAnsi="Times New Roman" w:cs="Times New Roman"/>
      <w:sz w:val="24"/>
      <w:szCs w:val="24"/>
      <w:lang w:eastAsia="ru-RU"/>
    </w:rPr>
  </w:style>
  <w:style w:type="paragraph" w:styleId="1">
    <w:name w:val="heading 1"/>
    <w:basedOn w:val="a"/>
    <w:next w:val="a"/>
    <w:link w:val="10"/>
    <w:uiPriority w:val="99"/>
    <w:qFormat/>
    <w:rsid w:val="00F3079F"/>
    <w:pPr>
      <w:autoSpaceDE w:val="0"/>
      <w:autoSpaceDN w:val="0"/>
      <w:adjustRightInd w:val="0"/>
      <w:spacing w:before="108" w:after="108"/>
      <w:jc w:val="center"/>
      <w:outlineLvl w:val="0"/>
    </w:pPr>
    <w:rPr>
      <w:rFonts w:ascii="Arial" w:hAnsi="Arial" w:cs="Arial"/>
      <w:b/>
      <w:bCs/>
      <w:color w:val="26282F"/>
      <w:lang w:eastAsia="en-US"/>
    </w:rPr>
  </w:style>
  <w:style w:type="paragraph" w:styleId="2">
    <w:name w:val="heading 2"/>
    <w:basedOn w:val="a"/>
    <w:next w:val="a"/>
    <w:link w:val="20"/>
    <w:uiPriority w:val="99"/>
    <w:qFormat/>
    <w:rsid w:val="00F3079F"/>
    <w:pPr>
      <w:keepNext/>
      <w:keepLines/>
      <w:spacing w:before="200" w:line="276" w:lineRule="auto"/>
      <w:outlineLvl w:val="1"/>
    </w:pPr>
    <w:rPr>
      <w:rFonts w:ascii="Cambria" w:eastAsia="Times New Roman" w:hAnsi="Cambria"/>
      <w:b/>
      <w:bCs/>
      <w:color w:val="4F81BD"/>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Прижатый влево"/>
    <w:basedOn w:val="a"/>
    <w:next w:val="a"/>
    <w:uiPriority w:val="99"/>
    <w:rsid w:val="003E03B0"/>
    <w:pPr>
      <w:autoSpaceDE w:val="0"/>
      <w:autoSpaceDN w:val="0"/>
      <w:adjustRightInd w:val="0"/>
    </w:pPr>
    <w:rPr>
      <w:rFonts w:ascii="Arial" w:hAnsi="Arial" w:cs="Arial"/>
      <w:lang w:eastAsia="en-US"/>
    </w:rPr>
  </w:style>
  <w:style w:type="character" w:customStyle="1" w:styleId="extended-textshort">
    <w:name w:val="extended-text__short"/>
    <w:basedOn w:val="a0"/>
    <w:rsid w:val="003E03B0"/>
  </w:style>
  <w:style w:type="paragraph" w:customStyle="1" w:styleId="ConsPlusNormal">
    <w:name w:val="ConsPlusNormal"/>
    <w:link w:val="ConsPlusNormal0"/>
    <w:qFormat/>
    <w:rsid w:val="00905477"/>
    <w:pPr>
      <w:widowControl w:val="0"/>
      <w:autoSpaceDE w:val="0"/>
      <w:autoSpaceDN w:val="0"/>
      <w:spacing w:after="0" w:line="240" w:lineRule="auto"/>
    </w:pPr>
    <w:rPr>
      <w:rFonts w:ascii="Calibri" w:eastAsia="Times New Roman" w:hAnsi="Calibri" w:cs="Calibri"/>
      <w:szCs w:val="20"/>
      <w:lang w:eastAsia="ru-RU"/>
    </w:rPr>
  </w:style>
  <w:style w:type="character" w:styleId="a4">
    <w:name w:val="Hyperlink"/>
    <w:basedOn w:val="a0"/>
    <w:uiPriority w:val="99"/>
    <w:unhideWhenUsed/>
    <w:rsid w:val="00B210D2"/>
    <w:rPr>
      <w:color w:val="0000FF"/>
      <w:u w:val="single"/>
    </w:rPr>
  </w:style>
  <w:style w:type="paragraph" w:styleId="a5">
    <w:name w:val="Body Text"/>
    <w:aliases w:val="Òàáë òåêñò"/>
    <w:basedOn w:val="a"/>
    <w:link w:val="a6"/>
    <w:rsid w:val="00276F2D"/>
    <w:pPr>
      <w:jc w:val="center"/>
    </w:pPr>
    <w:rPr>
      <w:rFonts w:eastAsia="Times New Roman"/>
      <w:b/>
      <w:bCs/>
      <w:szCs w:val="20"/>
    </w:rPr>
  </w:style>
  <w:style w:type="character" w:customStyle="1" w:styleId="a6">
    <w:name w:val="Основной текст Знак"/>
    <w:aliases w:val="Òàáë òåêñò Знак"/>
    <w:basedOn w:val="a0"/>
    <w:link w:val="a5"/>
    <w:rsid w:val="00276F2D"/>
    <w:rPr>
      <w:rFonts w:ascii="Times New Roman" w:eastAsia="Times New Roman" w:hAnsi="Times New Roman" w:cs="Times New Roman"/>
      <w:b/>
      <w:bCs/>
      <w:sz w:val="24"/>
      <w:szCs w:val="20"/>
      <w:lang w:eastAsia="ru-RU"/>
    </w:rPr>
  </w:style>
  <w:style w:type="paragraph" w:styleId="a7">
    <w:name w:val="Normal (Web)"/>
    <w:basedOn w:val="a"/>
    <w:link w:val="a8"/>
    <w:uiPriority w:val="99"/>
    <w:rsid w:val="00C11717"/>
    <w:rPr>
      <w:rFonts w:ascii="Verdana" w:eastAsia="Times New Roman" w:hAnsi="Verdana"/>
      <w:sz w:val="19"/>
      <w:szCs w:val="19"/>
    </w:rPr>
  </w:style>
  <w:style w:type="character" w:customStyle="1" w:styleId="a8">
    <w:name w:val="Обычный (веб) Знак"/>
    <w:link w:val="a7"/>
    <w:uiPriority w:val="99"/>
    <w:locked/>
    <w:rsid w:val="00C11717"/>
    <w:rPr>
      <w:rFonts w:ascii="Verdana" w:eastAsia="Times New Roman" w:hAnsi="Verdana" w:cs="Times New Roman"/>
      <w:sz w:val="19"/>
      <w:szCs w:val="19"/>
    </w:rPr>
  </w:style>
  <w:style w:type="paragraph" w:styleId="a9">
    <w:name w:val="Balloon Text"/>
    <w:basedOn w:val="a"/>
    <w:link w:val="aa"/>
    <w:uiPriority w:val="99"/>
    <w:semiHidden/>
    <w:unhideWhenUsed/>
    <w:rsid w:val="00992988"/>
    <w:rPr>
      <w:rFonts w:ascii="Tahoma" w:hAnsi="Tahoma" w:cs="Tahoma"/>
      <w:sz w:val="16"/>
      <w:szCs w:val="16"/>
    </w:rPr>
  </w:style>
  <w:style w:type="character" w:customStyle="1" w:styleId="aa">
    <w:name w:val="Текст выноски Знак"/>
    <w:basedOn w:val="a0"/>
    <w:link w:val="a9"/>
    <w:uiPriority w:val="99"/>
    <w:semiHidden/>
    <w:rsid w:val="00992988"/>
    <w:rPr>
      <w:rFonts w:ascii="Tahoma" w:eastAsia="Calibri" w:hAnsi="Tahoma" w:cs="Tahoma"/>
      <w:sz w:val="16"/>
      <w:szCs w:val="16"/>
      <w:lang w:eastAsia="ru-RU"/>
    </w:rPr>
  </w:style>
  <w:style w:type="paragraph" w:styleId="ab">
    <w:name w:val="List Paragraph"/>
    <w:basedOn w:val="a"/>
    <w:uiPriority w:val="99"/>
    <w:qFormat/>
    <w:rsid w:val="00F3079F"/>
    <w:pPr>
      <w:ind w:left="720"/>
    </w:pPr>
    <w:rPr>
      <w:rFonts w:ascii="Calibri" w:eastAsiaTheme="minorHAnsi" w:hAnsi="Calibri"/>
      <w:sz w:val="22"/>
      <w:szCs w:val="22"/>
    </w:rPr>
  </w:style>
  <w:style w:type="character" w:customStyle="1" w:styleId="10">
    <w:name w:val="Заголовок 1 Знак"/>
    <w:basedOn w:val="a0"/>
    <w:link w:val="1"/>
    <w:uiPriority w:val="99"/>
    <w:rsid w:val="00F3079F"/>
    <w:rPr>
      <w:rFonts w:ascii="Arial" w:eastAsia="Calibri" w:hAnsi="Arial" w:cs="Arial"/>
      <w:b/>
      <w:bCs/>
      <w:color w:val="26282F"/>
      <w:sz w:val="24"/>
      <w:szCs w:val="24"/>
    </w:rPr>
  </w:style>
  <w:style w:type="character" w:customStyle="1" w:styleId="20">
    <w:name w:val="Заголовок 2 Знак"/>
    <w:basedOn w:val="a0"/>
    <w:link w:val="2"/>
    <w:uiPriority w:val="99"/>
    <w:rsid w:val="00F3079F"/>
    <w:rPr>
      <w:rFonts w:ascii="Cambria" w:eastAsia="Times New Roman" w:hAnsi="Cambria" w:cs="Times New Roman"/>
      <w:b/>
      <w:bCs/>
      <w:color w:val="4F81BD"/>
      <w:sz w:val="26"/>
      <w:szCs w:val="26"/>
    </w:rPr>
  </w:style>
  <w:style w:type="paragraph" w:styleId="ac">
    <w:name w:val="No Spacing"/>
    <w:uiPriority w:val="1"/>
    <w:qFormat/>
    <w:rsid w:val="00F3079F"/>
    <w:pPr>
      <w:spacing w:after="0" w:line="240" w:lineRule="auto"/>
    </w:pPr>
    <w:rPr>
      <w:rFonts w:ascii="Calibri" w:eastAsia="Times New Roman" w:hAnsi="Calibri" w:cs="Times New Roman"/>
      <w:lang w:eastAsia="ru-RU"/>
    </w:rPr>
  </w:style>
  <w:style w:type="table" w:styleId="ad">
    <w:name w:val="Table Grid"/>
    <w:basedOn w:val="a1"/>
    <w:uiPriority w:val="59"/>
    <w:rsid w:val="00F307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header"/>
    <w:basedOn w:val="a"/>
    <w:link w:val="af"/>
    <w:uiPriority w:val="99"/>
    <w:unhideWhenUsed/>
    <w:rsid w:val="00F3079F"/>
    <w:pPr>
      <w:tabs>
        <w:tab w:val="center" w:pos="4677"/>
        <w:tab w:val="right" w:pos="9355"/>
      </w:tabs>
    </w:pPr>
  </w:style>
  <w:style w:type="character" w:customStyle="1" w:styleId="af">
    <w:name w:val="Верхний колонтитул Знак"/>
    <w:basedOn w:val="a0"/>
    <w:link w:val="ae"/>
    <w:uiPriority w:val="99"/>
    <w:rsid w:val="00F3079F"/>
    <w:rPr>
      <w:rFonts w:ascii="Times New Roman" w:eastAsia="Calibri" w:hAnsi="Times New Roman" w:cs="Times New Roman"/>
      <w:sz w:val="24"/>
      <w:szCs w:val="24"/>
      <w:lang w:eastAsia="ru-RU"/>
    </w:rPr>
  </w:style>
  <w:style w:type="paragraph" w:styleId="af0">
    <w:name w:val="footer"/>
    <w:basedOn w:val="a"/>
    <w:link w:val="af1"/>
    <w:uiPriority w:val="99"/>
    <w:unhideWhenUsed/>
    <w:rsid w:val="00F3079F"/>
    <w:pPr>
      <w:tabs>
        <w:tab w:val="center" w:pos="4677"/>
        <w:tab w:val="right" w:pos="9355"/>
      </w:tabs>
    </w:pPr>
  </w:style>
  <w:style w:type="character" w:customStyle="1" w:styleId="af1">
    <w:name w:val="Нижний колонтитул Знак"/>
    <w:basedOn w:val="a0"/>
    <w:link w:val="af0"/>
    <w:uiPriority w:val="99"/>
    <w:rsid w:val="00F3079F"/>
    <w:rPr>
      <w:rFonts w:ascii="Times New Roman" w:eastAsia="Calibri" w:hAnsi="Times New Roman" w:cs="Times New Roman"/>
      <w:sz w:val="24"/>
      <w:szCs w:val="24"/>
      <w:lang w:eastAsia="ru-RU"/>
    </w:rPr>
  </w:style>
  <w:style w:type="paragraph" w:styleId="af2">
    <w:name w:val="Title"/>
    <w:basedOn w:val="a"/>
    <w:link w:val="af3"/>
    <w:qFormat/>
    <w:rsid w:val="00F3079F"/>
    <w:pPr>
      <w:jc w:val="center"/>
    </w:pPr>
    <w:rPr>
      <w:rFonts w:eastAsia="Times New Roman"/>
      <w:b/>
      <w:bCs/>
      <w:szCs w:val="20"/>
    </w:rPr>
  </w:style>
  <w:style w:type="character" w:customStyle="1" w:styleId="af3">
    <w:name w:val="Название Знак"/>
    <w:basedOn w:val="a0"/>
    <w:link w:val="af2"/>
    <w:rsid w:val="00F3079F"/>
    <w:rPr>
      <w:rFonts w:ascii="Times New Roman" w:eastAsia="Times New Roman" w:hAnsi="Times New Roman" w:cs="Times New Roman"/>
      <w:b/>
      <w:bCs/>
      <w:sz w:val="24"/>
      <w:szCs w:val="20"/>
      <w:lang w:eastAsia="ru-RU"/>
    </w:rPr>
  </w:style>
  <w:style w:type="paragraph" w:styleId="af4">
    <w:name w:val="Body Text Indent"/>
    <w:aliases w:val="Основной текст 1,Нумерованный список !!,Нумерованный список !! Знак"/>
    <w:basedOn w:val="a"/>
    <w:link w:val="11"/>
    <w:uiPriority w:val="99"/>
    <w:rsid w:val="00F3079F"/>
    <w:pPr>
      <w:ind w:firstLine="708"/>
      <w:jc w:val="both"/>
    </w:pPr>
    <w:rPr>
      <w:rFonts w:eastAsia="Times New Roman"/>
      <w:szCs w:val="20"/>
    </w:rPr>
  </w:style>
  <w:style w:type="character" w:customStyle="1" w:styleId="af5">
    <w:name w:val="Основной текст с отступом Знак"/>
    <w:aliases w:val="Основной текст 1 Знак1,Нумерованный список !! Знак2,Нумерованный список !! Знак Знак1"/>
    <w:basedOn w:val="a0"/>
    <w:link w:val="af4"/>
    <w:uiPriority w:val="99"/>
    <w:rsid w:val="00F3079F"/>
    <w:rPr>
      <w:rFonts w:ascii="Times New Roman" w:eastAsia="Calibri" w:hAnsi="Times New Roman" w:cs="Times New Roman"/>
      <w:sz w:val="24"/>
      <w:szCs w:val="24"/>
      <w:lang w:eastAsia="ru-RU"/>
    </w:rPr>
  </w:style>
  <w:style w:type="character" w:customStyle="1" w:styleId="11">
    <w:name w:val="Основной текст с отступом Знак1"/>
    <w:aliases w:val="Основной текст 1 Знак,Нумерованный список !! Знак1,Нумерованный список !! Знак Знак"/>
    <w:basedOn w:val="a0"/>
    <w:link w:val="af4"/>
    <w:uiPriority w:val="99"/>
    <w:rsid w:val="00F3079F"/>
    <w:rPr>
      <w:rFonts w:ascii="Times New Roman" w:eastAsia="Times New Roman" w:hAnsi="Times New Roman" w:cs="Times New Roman"/>
      <w:sz w:val="24"/>
      <w:szCs w:val="20"/>
      <w:lang w:eastAsia="ru-RU"/>
    </w:rPr>
  </w:style>
  <w:style w:type="character" w:styleId="af6">
    <w:name w:val="Strong"/>
    <w:basedOn w:val="a0"/>
    <w:uiPriority w:val="22"/>
    <w:qFormat/>
    <w:rsid w:val="00F3079F"/>
    <w:rPr>
      <w:b/>
      <w:bCs/>
    </w:rPr>
  </w:style>
  <w:style w:type="paragraph" w:customStyle="1" w:styleId="ConsPlusTitle">
    <w:name w:val="ConsPlusTitle"/>
    <w:uiPriority w:val="99"/>
    <w:rsid w:val="00F3079F"/>
    <w:pPr>
      <w:widowControl w:val="0"/>
      <w:autoSpaceDE w:val="0"/>
      <w:autoSpaceDN w:val="0"/>
      <w:spacing w:after="0" w:line="240" w:lineRule="auto"/>
    </w:pPr>
    <w:rPr>
      <w:rFonts w:ascii="Calibri" w:eastAsia="Times New Roman" w:hAnsi="Calibri" w:cs="Calibri"/>
      <w:b/>
      <w:szCs w:val="20"/>
      <w:lang w:eastAsia="ru-RU"/>
    </w:rPr>
  </w:style>
  <w:style w:type="paragraph" w:customStyle="1" w:styleId="12">
    <w:name w:val="Абзац списка1"/>
    <w:basedOn w:val="a"/>
    <w:rsid w:val="00F3079F"/>
    <w:pPr>
      <w:suppressAutoHyphens/>
      <w:spacing w:after="200" w:line="276" w:lineRule="auto"/>
      <w:ind w:left="720"/>
    </w:pPr>
    <w:rPr>
      <w:rFonts w:ascii="Calibri" w:eastAsia="SimSun" w:hAnsi="Calibri" w:cs="Calibri"/>
      <w:kern w:val="1"/>
      <w:sz w:val="22"/>
      <w:szCs w:val="22"/>
      <w:lang w:eastAsia="ar-SA"/>
    </w:rPr>
  </w:style>
  <w:style w:type="paragraph" w:customStyle="1" w:styleId="ConsPlusNonformat">
    <w:name w:val="ConsPlusNonformat"/>
    <w:uiPriority w:val="99"/>
    <w:rsid w:val="00F3079F"/>
    <w:pPr>
      <w:autoSpaceDE w:val="0"/>
      <w:autoSpaceDN w:val="0"/>
      <w:adjustRightInd w:val="0"/>
      <w:spacing w:after="0" w:line="240" w:lineRule="auto"/>
    </w:pPr>
    <w:rPr>
      <w:rFonts w:ascii="Courier New" w:hAnsi="Courier New" w:cs="Courier New"/>
      <w:sz w:val="20"/>
      <w:szCs w:val="20"/>
    </w:rPr>
  </w:style>
  <w:style w:type="character" w:customStyle="1" w:styleId="af7">
    <w:name w:val="Гипертекстовая ссылка"/>
    <w:basedOn w:val="a0"/>
    <w:uiPriority w:val="99"/>
    <w:rsid w:val="00F3079F"/>
    <w:rPr>
      <w:rFonts w:cs="Times New Roman"/>
      <w:b/>
      <w:bCs/>
      <w:color w:val="106BBE"/>
    </w:rPr>
  </w:style>
  <w:style w:type="paragraph" w:customStyle="1" w:styleId="ConsPlusCell">
    <w:name w:val="ConsPlusCell"/>
    <w:uiPriority w:val="99"/>
    <w:rsid w:val="00F3079F"/>
    <w:pPr>
      <w:autoSpaceDE w:val="0"/>
      <w:autoSpaceDN w:val="0"/>
      <w:adjustRightInd w:val="0"/>
      <w:spacing w:after="0" w:line="240" w:lineRule="auto"/>
    </w:pPr>
    <w:rPr>
      <w:rFonts w:ascii="Times New Roman" w:eastAsia="Calibri" w:hAnsi="Times New Roman" w:cs="Times New Roman"/>
      <w:sz w:val="24"/>
      <w:szCs w:val="24"/>
    </w:rPr>
  </w:style>
  <w:style w:type="character" w:customStyle="1" w:styleId="af8">
    <w:name w:val="Цветовое выделение"/>
    <w:uiPriority w:val="99"/>
    <w:rsid w:val="00F3079F"/>
    <w:rPr>
      <w:b/>
      <w:color w:val="26282F"/>
    </w:rPr>
  </w:style>
  <w:style w:type="paragraph" w:customStyle="1" w:styleId="af9">
    <w:name w:val="Заголовок статьи"/>
    <w:basedOn w:val="a"/>
    <w:next w:val="a"/>
    <w:uiPriority w:val="99"/>
    <w:rsid w:val="00F3079F"/>
    <w:pPr>
      <w:autoSpaceDE w:val="0"/>
      <w:autoSpaceDN w:val="0"/>
      <w:adjustRightInd w:val="0"/>
      <w:ind w:left="1612" w:hanging="892"/>
      <w:jc w:val="both"/>
    </w:pPr>
    <w:rPr>
      <w:rFonts w:ascii="Arial" w:hAnsi="Arial" w:cs="Arial"/>
      <w:lang w:eastAsia="en-US"/>
    </w:rPr>
  </w:style>
  <w:style w:type="paragraph" w:customStyle="1" w:styleId="afa">
    <w:name w:val="Таблицы (моноширинный)"/>
    <w:basedOn w:val="a"/>
    <w:next w:val="a"/>
    <w:uiPriority w:val="99"/>
    <w:rsid w:val="00F3079F"/>
    <w:pPr>
      <w:autoSpaceDE w:val="0"/>
      <w:autoSpaceDN w:val="0"/>
      <w:adjustRightInd w:val="0"/>
    </w:pPr>
    <w:rPr>
      <w:rFonts w:ascii="Courier New" w:hAnsi="Courier New" w:cs="Courier New"/>
      <w:lang w:eastAsia="en-US"/>
    </w:rPr>
  </w:style>
  <w:style w:type="paragraph" w:styleId="21">
    <w:name w:val="Body Text 2"/>
    <w:basedOn w:val="a"/>
    <w:link w:val="22"/>
    <w:uiPriority w:val="99"/>
    <w:rsid w:val="00F3079F"/>
    <w:pPr>
      <w:jc w:val="both"/>
    </w:pPr>
    <w:rPr>
      <w:rFonts w:eastAsia="Times New Roman"/>
      <w:szCs w:val="20"/>
    </w:rPr>
  </w:style>
  <w:style w:type="character" w:customStyle="1" w:styleId="22">
    <w:name w:val="Основной текст 2 Знак"/>
    <w:basedOn w:val="a0"/>
    <w:link w:val="21"/>
    <w:uiPriority w:val="99"/>
    <w:rsid w:val="00F3079F"/>
    <w:rPr>
      <w:rFonts w:ascii="Times New Roman" w:eastAsia="Times New Roman" w:hAnsi="Times New Roman" w:cs="Times New Roman"/>
      <w:sz w:val="24"/>
      <w:szCs w:val="20"/>
      <w:lang w:eastAsia="ru-RU"/>
    </w:rPr>
  </w:style>
  <w:style w:type="paragraph" w:styleId="3">
    <w:name w:val="Body Text Indent 3"/>
    <w:basedOn w:val="a"/>
    <w:link w:val="30"/>
    <w:uiPriority w:val="99"/>
    <w:rsid w:val="00F3079F"/>
    <w:pPr>
      <w:spacing w:after="120" w:line="276" w:lineRule="auto"/>
      <w:ind w:left="283"/>
    </w:pPr>
    <w:rPr>
      <w:rFonts w:ascii="Calibri" w:hAnsi="Calibri"/>
      <w:sz w:val="16"/>
      <w:szCs w:val="16"/>
      <w:lang w:eastAsia="en-US"/>
    </w:rPr>
  </w:style>
  <w:style w:type="character" w:customStyle="1" w:styleId="30">
    <w:name w:val="Основной текст с отступом 3 Знак"/>
    <w:basedOn w:val="a0"/>
    <w:link w:val="3"/>
    <w:uiPriority w:val="99"/>
    <w:rsid w:val="00F3079F"/>
    <w:rPr>
      <w:rFonts w:ascii="Calibri" w:eastAsia="Calibri" w:hAnsi="Calibri" w:cs="Times New Roman"/>
      <w:sz w:val="16"/>
      <w:szCs w:val="16"/>
    </w:rPr>
  </w:style>
  <w:style w:type="character" w:customStyle="1" w:styleId="apple-converted-space">
    <w:name w:val="apple-converted-space"/>
    <w:basedOn w:val="a0"/>
    <w:uiPriority w:val="99"/>
    <w:rsid w:val="00F3079F"/>
    <w:rPr>
      <w:rFonts w:cs="Times New Roman"/>
    </w:rPr>
  </w:style>
  <w:style w:type="paragraph" w:customStyle="1" w:styleId="afb">
    <w:name w:val="Нормальный (таблица)"/>
    <w:basedOn w:val="a"/>
    <w:next w:val="a"/>
    <w:uiPriority w:val="99"/>
    <w:rsid w:val="00F3079F"/>
    <w:pPr>
      <w:autoSpaceDE w:val="0"/>
      <w:autoSpaceDN w:val="0"/>
      <w:adjustRightInd w:val="0"/>
      <w:jc w:val="both"/>
    </w:pPr>
    <w:rPr>
      <w:rFonts w:ascii="Arial" w:hAnsi="Arial" w:cs="Arial"/>
      <w:lang w:eastAsia="en-US"/>
    </w:rPr>
  </w:style>
  <w:style w:type="paragraph" w:customStyle="1" w:styleId="afc">
    <w:name w:val="Комментарий"/>
    <w:basedOn w:val="a"/>
    <w:next w:val="a"/>
    <w:uiPriority w:val="99"/>
    <w:rsid w:val="00F3079F"/>
    <w:pPr>
      <w:autoSpaceDE w:val="0"/>
      <w:autoSpaceDN w:val="0"/>
      <w:adjustRightInd w:val="0"/>
      <w:spacing w:before="75"/>
      <w:ind w:left="170"/>
      <w:jc w:val="both"/>
    </w:pPr>
    <w:rPr>
      <w:rFonts w:ascii="Arial" w:hAnsi="Arial" w:cs="Arial"/>
      <w:color w:val="353842"/>
      <w:shd w:val="clear" w:color="auto" w:fill="F0F0F0"/>
      <w:lang w:eastAsia="en-US"/>
    </w:rPr>
  </w:style>
  <w:style w:type="character" w:customStyle="1" w:styleId="afd">
    <w:name w:val="Сравнение редакций. Добавленный фрагмент"/>
    <w:uiPriority w:val="99"/>
    <w:rsid w:val="00F3079F"/>
    <w:rPr>
      <w:color w:val="000000"/>
      <w:shd w:val="clear" w:color="auto" w:fill="C1D7FF"/>
    </w:rPr>
  </w:style>
  <w:style w:type="paragraph" w:customStyle="1" w:styleId="afe">
    <w:name w:val="Информация об изменениях документа"/>
    <w:basedOn w:val="afc"/>
    <w:next w:val="a"/>
    <w:uiPriority w:val="99"/>
    <w:rsid w:val="00F3079F"/>
    <w:rPr>
      <w:i/>
      <w:iCs/>
    </w:rPr>
  </w:style>
  <w:style w:type="character" w:customStyle="1" w:styleId="aff">
    <w:name w:val="Сравнение редакций. Удаленный фрагмент"/>
    <w:uiPriority w:val="99"/>
    <w:rsid w:val="00F3079F"/>
    <w:rPr>
      <w:color w:val="000000"/>
      <w:shd w:val="clear" w:color="auto" w:fill="C4C413"/>
    </w:rPr>
  </w:style>
  <w:style w:type="paragraph" w:customStyle="1" w:styleId="13">
    <w:name w:val="1"/>
    <w:uiPriority w:val="99"/>
    <w:rsid w:val="00F3079F"/>
    <w:pPr>
      <w:spacing w:after="0" w:line="240" w:lineRule="auto"/>
    </w:pPr>
    <w:rPr>
      <w:rFonts w:ascii="Times New Roman" w:eastAsia="Times New Roman" w:hAnsi="Times New Roman" w:cs="Times New Roman"/>
      <w:sz w:val="24"/>
      <w:szCs w:val="24"/>
      <w:lang w:eastAsia="ru-RU"/>
    </w:rPr>
  </w:style>
  <w:style w:type="character" w:styleId="aff0">
    <w:name w:val="page number"/>
    <w:basedOn w:val="a0"/>
    <w:uiPriority w:val="99"/>
    <w:rsid w:val="00F3079F"/>
    <w:rPr>
      <w:rFonts w:cs="Times New Roman"/>
    </w:rPr>
  </w:style>
  <w:style w:type="paragraph" w:styleId="aff1">
    <w:name w:val="footnote text"/>
    <w:basedOn w:val="a"/>
    <w:link w:val="aff2"/>
    <w:uiPriority w:val="99"/>
    <w:rsid w:val="00F3079F"/>
    <w:pPr>
      <w:autoSpaceDE w:val="0"/>
      <w:autoSpaceDN w:val="0"/>
    </w:pPr>
    <w:rPr>
      <w:rFonts w:eastAsia="Times New Roman"/>
      <w:sz w:val="20"/>
      <w:szCs w:val="20"/>
    </w:rPr>
  </w:style>
  <w:style w:type="character" w:customStyle="1" w:styleId="aff2">
    <w:name w:val="Текст сноски Знак"/>
    <w:basedOn w:val="a0"/>
    <w:link w:val="aff1"/>
    <w:uiPriority w:val="99"/>
    <w:rsid w:val="00F3079F"/>
    <w:rPr>
      <w:rFonts w:ascii="Times New Roman" w:eastAsia="Times New Roman" w:hAnsi="Times New Roman" w:cs="Times New Roman"/>
      <w:sz w:val="20"/>
      <w:szCs w:val="20"/>
      <w:lang w:eastAsia="ru-RU"/>
    </w:rPr>
  </w:style>
  <w:style w:type="character" w:styleId="aff3">
    <w:name w:val="footnote reference"/>
    <w:basedOn w:val="a0"/>
    <w:uiPriority w:val="99"/>
    <w:rsid w:val="00F3079F"/>
    <w:rPr>
      <w:rFonts w:cs="Times New Roman"/>
      <w:vertAlign w:val="superscript"/>
    </w:rPr>
  </w:style>
  <w:style w:type="paragraph" w:customStyle="1" w:styleId="CM11">
    <w:name w:val="CM11"/>
    <w:basedOn w:val="a"/>
    <w:next w:val="a"/>
    <w:uiPriority w:val="99"/>
    <w:rsid w:val="006F6475"/>
    <w:pPr>
      <w:widowControl w:val="0"/>
      <w:autoSpaceDE w:val="0"/>
      <w:autoSpaceDN w:val="0"/>
      <w:adjustRightInd w:val="0"/>
      <w:spacing w:line="276" w:lineRule="atLeast"/>
    </w:pPr>
    <w:rPr>
      <w:rFonts w:eastAsia="Times New Roman"/>
    </w:rPr>
  </w:style>
  <w:style w:type="paragraph" w:styleId="23">
    <w:name w:val="Body Text Indent 2"/>
    <w:basedOn w:val="a"/>
    <w:link w:val="24"/>
    <w:uiPriority w:val="99"/>
    <w:unhideWhenUsed/>
    <w:rsid w:val="003B48F9"/>
    <w:pPr>
      <w:ind w:firstLine="709"/>
      <w:jc w:val="both"/>
    </w:pPr>
    <w:rPr>
      <w:color w:val="FF0000"/>
      <w:sz w:val="28"/>
      <w:szCs w:val="28"/>
      <w:lang w:eastAsia="en-US"/>
    </w:rPr>
  </w:style>
  <w:style w:type="character" w:customStyle="1" w:styleId="24">
    <w:name w:val="Основной текст с отступом 2 Знак"/>
    <w:basedOn w:val="a0"/>
    <w:link w:val="23"/>
    <w:uiPriority w:val="99"/>
    <w:rsid w:val="003B48F9"/>
    <w:rPr>
      <w:rFonts w:ascii="Times New Roman" w:eastAsia="Calibri" w:hAnsi="Times New Roman" w:cs="Times New Roman"/>
      <w:color w:val="FF0000"/>
      <w:sz w:val="28"/>
      <w:szCs w:val="28"/>
    </w:rPr>
  </w:style>
  <w:style w:type="character" w:customStyle="1" w:styleId="aff4">
    <w:name w:val="Основной текст_"/>
    <w:basedOn w:val="a0"/>
    <w:link w:val="25"/>
    <w:rsid w:val="003B48F9"/>
    <w:rPr>
      <w:rFonts w:eastAsia="Times New Roman" w:cs="Times New Roman"/>
      <w:spacing w:val="-1"/>
      <w:sz w:val="27"/>
      <w:szCs w:val="27"/>
      <w:shd w:val="clear" w:color="auto" w:fill="FFFFFF"/>
    </w:rPr>
  </w:style>
  <w:style w:type="paragraph" w:customStyle="1" w:styleId="25">
    <w:name w:val="Основной текст2"/>
    <w:basedOn w:val="a"/>
    <w:link w:val="aff4"/>
    <w:rsid w:val="003B48F9"/>
    <w:pPr>
      <w:widowControl w:val="0"/>
      <w:shd w:val="clear" w:color="auto" w:fill="FFFFFF"/>
      <w:spacing w:before="120" w:line="302" w:lineRule="exact"/>
      <w:jc w:val="both"/>
    </w:pPr>
    <w:rPr>
      <w:rFonts w:asciiTheme="minorHAnsi" w:eastAsia="Times New Roman" w:hAnsiTheme="minorHAnsi"/>
      <w:spacing w:val="-1"/>
      <w:sz w:val="27"/>
      <w:szCs w:val="27"/>
      <w:lang w:eastAsia="en-US"/>
    </w:rPr>
  </w:style>
  <w:style w:type="character" w:customStyle="1" w:styleId="ConsPlusNormal0">
    <w:name w:val="ConsPlusNormal Знак"/>
    <w:link w:val="ConsPlusNormal"/>
    <w:locked/>
    <w:rsid w:val="003B48F9"/>
    <w:rPr>
      <w:rFonts w:ascii="Calibri" w:eastAsia="Times New Roman" w:hAnsi="Calibri" w:cs="Calibri"/>
      <w:szCs w:val="20"/>
      <w:lang w:eastAsia="ru-RU"/>
    </w:rPr>
  </w:style>
</w:styles>
</file>

<file path=word/webSettings.xml><?xml version="1.0" encoding="utf-8"?>
<w:webSettings xmlns:r="http://schemas.openxmlformats.org/officeDocument/2006/relationships" xmlns:w="http://schemas.openxmlformats.org/wordprocessingml/2006/main">
  <w:divs>
    <w:div w:id="26756653">
      <w:bodyDiv w:val="1"/>
      <w:marLeft w:val="0"/>
      <w:marRight w:val="0"/>
      <w:marTop w:val="0"/>
      <w:marBottom w:val="0"/>
      <w:divBdr>
        <w:top w:val="none" w:sz="0" w:space="0" w:color="auto"/>
        <w:left w:val="none" w:sz="0" w:space="0" w:color="auto"/>
        <w:bottom w:val="none" w:sz="0" w:space="0" w:color="auto"/>
        <w:right w:val="none" w:sz="0" w:space="0" w:color="auto"/>
      </w:divBdr>
    </w:div>
    <w:div w:id="41486681">
      <w:bodyDiv w:val="1"/>
      <w:marLeft w:val="0"/>
      <w:marRight w:val="0"/>
      <w:marTop w:val="0"/>
      <w:marBottom w:val="0"/>
      <w:divBdr>
        <w:top w:val="none" w:sz="0" w:space="0" w:color="auto"/>
        <w:left w:val="none" w:sz="0" w:space="0" w:color="auto"/>
        <w:bottom w:val="none" w:sz="0" w:space="0" w:color="auto"/>
        <w:right w:val="none" w:sz="0" w:space="0" w:color="auto"/>
      </w:divBdr>
    </w:div>
    <w:div w:id="294337344">
      <w:bodyDiv w:val="1"/>
      <w:marLeft w:val="0"/>
      <w:marRight w:val="0"/>
      <w:marTop w:val="0"/>
      <w:marBottom w:val="0"/>
      <w:divBdr>
        <w:top w:val="none" w:sz="0" w:space="0" w:color="auto"/>
        <w:left w:val="none" w:sz="0" w:space="0" w:color="auto"/>
        <w:bottom w:val="none" w:sz="0" w:space="0" w:color="auto"/>
        <w:right w:val="none" w:sz="0" w:space="0" w:color="auto"/>
      </w:divBdr>
    </w:div>
    <w:div w:id="317533914">
      <w:bodyDiv w:val="1"/>
      <w:marLeft w:val="0"/>
      <w:marRight w:val="0"/>
      <w:marTop w:val="0"/>
      <w:marBottom w:val="0"/>
      <w:divBdr>
        <w:top w:val="none" w:sz="0" w:space="0" w:color="auto"/>
        <w:left w:val="none" w:sz="0" w:space="0" w:color="auto"/>
        <w:bottom w:val="none" w:sz="0" w:space="0" w:color="auto"/>
        <w:right w:val="none" w:sz="0" w:space="0" w:color="auto"/>
      </w:divBdr>
    </w:div>
    <w:div w:id="325521140">
      <w:bodyDiv w:val="1"/>
      <w:marLeft w:val="0"/>
      <w:marRight w:val="0"/>
      <w:marTop w:val="0"/>
      <w:marBottom w:val="0"/>
      <w:divBdr>
        <w:top w:val="none" w:sz="0" w:space="0" w:color="auto"/>
        <w:left w:val="none" w:sz="0" w:space="0" w:color="auto"/>
        <w:bottom w:val="none" w:sz="0" w:space="0" w:color="auto"/>
        <w:right w:val="none" w:sz="0" w:space="0" w:color="auto"/>
      </w:divBdr>
    </w:div>
    <w:div w:id="339360030">
      <w:bodyDiv w:val="1"/>
      <w:marLeft w:val="0"/>
      <w:marRight w:val="0"/>
      <w:marTop w:val="0"/>
      <w:marBottom w:val="0"/>
      <w:divBdr>
        <w:top w:val="none" w:sz="0" w:space="0" w:color="auto"/>
        <w:left w:val="none" w:sz="0" w:space="0" w:color="auto"/>
        <w:bottom w:val="none" w:sz="0" w:space="0" w:color="auto"/>
        <w:right w:val="none" w:sz="0" w:space="0" w:color="auto"/>
      </w:divBdr>
    </w:div>
    <w:div w:id="419647254">
      <w:bodyDiv w:val="1"/>
      <w:marLeft w:val="0"/>
      <w:marRight w:val="0"/>
      <w:marTop w:val="0"/>
      <w:marBottom w:val="0"/>
      <w:divBdr>
        <w:top w:val="none" w:sz="0" w:space="0" w:color="auto"/>
        <w:left w:val="none" w:sz="0" w:space="0" w:color="auto"/>
        <w:bottom w:val="none" w:sz="0" w:space="0" w:color="auto"/>
        <w:right w:val="none" w:sz="0" w:space="0" w:color="auto"/>
      </w:divBdr>
    </w:div>
    <w:div w:id="447429928">
      <w:bodyDiv w:val="1"/>
      <w:marLeft w:val="0"/>
      <w:marRight w:val="0"/>
      <w:marTop w:val="0"/>
      <w:marBottom w:val="0"/>
      <w:divBdr>
        <w:top w:val="none" w:sz="0" w:space="0" w:color="auto"/>
        <w:left w:val="none" w:sz="0" w:space="0" w:color="auto"/>
        <w:bottom w:val="none" w:sz="0" w:space="0" w:color="auto"/>
        <w:right w:val="none" w:sz="0" w:space="0" w:color="auto"/>
      </w:divBdr>
      <w:divsChild>
        <w:div w:id="839201923">
          <w:marLeft w:val="0"/>
          <w:marRight w:val="0"/>
          <w:marTop w:val="0"/>
          <w:marBottom w:val="0"/>
          <w:divBdr>
            <w:top w:val="none" w:sz="0" w:space="0" w:color="auto"/>
            <w:left w:val="none" w:sz="0" w:space="0" w:color="auto"/>
            <w:bottom w:val="none" w:sz="0" w:space="0" w:color="auto"/>
            <w:right w:val="none" w:sz="0" w:space="0" w:color="auto"/>
          </w:divBdr>
          <w:divsChild>
            <w:div w:id="1376811401">
              <w:marLeft w:val="0"/>
              <w:marRight w:val="0"/>
              <w:marTop w:val="138"/>
              <w:marBottom w:val="0"/>
              <w:divBdr>
                <w:top w:val="none" w:sz="0" w:space="0" w:color="auto"/>
                <w:left w:val="none" w:sz="0" w:space="0" w:color="auto"/>
                <w:bottom w:val="none" w:sz="0" w:space="0" w:color="auto"/>
                <w:right w:val="none" w:sz="0" w:space="0" w:color="auto"/>
              </w:divBdr>
              <w:divsChild>
                <w:div w:id="930044152">
                  <w:marLeft w:val="25"/>
                  <w:marRight w:val="0"/>
                  <w:marTop w:val="0"/>
                  <w:marBottom w:val="0"/>
                  <w:divBdr>
                    <w:top w:val="none" w:sz="0" w:space="0" w:color="auto"/>
                    <w:left w:val="none" w:sz="0" w:space="0" w:color="auto"/>
                    <w:bottom w:val="none" w:sz="0" w:space="0" w:color="auto"/>
                    <w:right w:val="none" w:sz="0" w:space="0" w:color="auto"/>
                  </w:divBdr>
                  <w:divsChild>
                    <w:div w:id="968127681">
                      <w:marLeft w:val="0"/>
                      <w:marRight w:val="0"/>
                      <w:marTop w:val="0"/>
                      <w:marBottom w:val="0"/>
                      <w:divBdr>
                        <w:top w:val="none" w:sz="0" w:space="0" w:color="auto"/>
                        <w:left w:val="none" w:sz="0" w:space="0" w:color="auto"/>
                        <w:bottom w:val="none" w:sz="0" w:space="0" w:color="auto"/>
                        <w:right w:val="none" w:sz="0" w:space="0" w:color="auto"/>
                      </w:divBdr>
                      <w:divsChild>
                        <w:div w:id="1686982963">
                          <w:marLeft w:val="0"/>
                          <w:marRight w:val="0"/>
                          <w:marTop w:val="0"/>
                          <w:marBottom w:val="0"/>
                          <w:divBdr>
                            <w:top w:val="none" w:sz="0" w:space="0" w:color="auto"/>
                            <w:left w:val="none" w:sz="0" w:space="0" w:color="auto"/>
                            <w:bottom w:val="none" w:sz="0" w:space="0" w:color="auto"/>
                            <w:right w:val="none" w:sz="0" w:space="0" w:color="auto"/>
                          </w:divBdr>
                          <w:divsChild>
                            <w:div w:id="1515731471">
                              <w:marLeft w:val="0"/>
                              <w:marRight w:val="3068"/>
                              <w:marTop w:val="0"/>
                              <w:marBottom w:val="0"/>
                              <w:divBdr>
                                <w:top w:val="none" w:sz="0" w:space="0" w:color="auto"/>
                                <w:left w:val="none" w:sz="0" w:space="0" w:color="auto"/>
                                <w:bottom w:val="none" w:sz="0" w:space="0" w:color="auto"/>
                                <w:right w:val="none" w:sz="0" w:space="0" w:color="auto"/>
                              </w:divBdr>
                              <w:divsChild>
                                <w:div w:id="1933775642">
                                  <w:marLeft w:val="0"/>
                                  <w:marRight w:val="0"/>
                                  <w:marTop w:val="0"/>
                                  <w:marBottom w:val="0"/>
                                  <w:divBdr>
                                    <w:top w:val="none" w:sz="0" w:space="0" w:color="auto"/>
                                    <w:left w:val="none" w:sz="0" w:space="0" w:color="auto"/>
                                    <w:bottom w:val="none" w:sz="0" w:space="0" w:color="auto"/>
                                    <w:right w:val="none" w:sz="0" w:space="0" w:color="auto"/>
                                  </w:divBdr>
                                  <w:divsChild>
                                    <w:div w:id="619457549">
                                      <w:marLeft w:val="0"/>
                                      <w:marRight w:val="0"/>
                                      <w:marTop w:val="0"/>
                                      <w:marBottom w:val="0"/>
                                      <w:divBdr>
                                        <w:top w:val="none" w:sz="0" w:space="0" w:color="auto"/>
                                        <w:left w:val="none" w:sz="0" w:space="0" w:color="auto"/>
                                        <w:bottom w:val="none" w:sz="0" w:space="0" w:color="auto"/>
                                        <w:right w:val="none" w:sz="0" w:space="0" w:color="auto"/>
                                      </w:divBdr>
                                      <w:divsChild>
                                        <w:div w:id="35284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9633855">
      <w:bodyDiv w:val="1"/>
      <w:marLeft w:val="0"/>
      <w:marRight w:val="0"/>
      <w:marTop w:val="0"/>
      <w:marBottom w:val="0"/>
      <w:divBdr>
        <w:top w:val="none" w:sz="0" w:space="0" w:color="auto"/>
        <w:left w:val="none" w:sz="0" w:space="0" w:color="auto"/>
        <w:bottom w:val="none" w:sz="0" w:space="0" w:color="auto"/>
        <w:right w:val="none" w:sz="0" w:space="0" w:color="auto"/>
      </w:divBdr>
    </w:div>
    <w:div w:id="490676689">
      <w:bodyDiv w:val="1"/>
      <w:marLeft w:val="0"/>
      <w:marRight w:val="0"/>
      <w:marTop w:val="0"/>
      <w:marBottom w:val="0"/>
      <w:divBdr>
        <w:top w:val="none" w:sz="0" w:space="0" w:color="auto"/>
        <w:left w:val="none" w:sz="0" w:space="0" w:color="auto"/>
        <w:bottom w:val="none" w:sz="0" w:space="0" w:color="auto"/>
        <w:right w:val="none" w:sz="0" w:space="0" w:color="auto"/>
      </w:divBdr>
    </w:div>
    <w:div w:id="502940086">
      <w:bodyDiv w:val="1"/>
      <w:marLeft w:val="0"/>
      <w:marRight w:val="0"/>
      <w:marTop w:val="0"/>
      <w:marBottom w:val="0"/>
      <w:divBdr>
        <w:top w:val="none" w:sz="0" w:space="0" w:color="auto"/>
        <w:left w:val="none" w:sz="0" w:space="0" w:color="auto"/>
        <w:bottom w:val="none" w:sz="0" w:space="0" w:color="auto"/>
        <w:right w:val="none" w:sz="0" w:space="0" w:color="auto"/>
      </w:divBdr>
      <w:divsChild>
        <w:div w:id="943195340">
          <w:marLeft w:val="0"/>
          <w:marRight w:val="0"/>
          <w:marTop w:val="0"/>
          <w:marBottom w:val="0"/>
          <w:divBdr>
            <w:top w:val="none" w:sz="0" w:space="0" w:color="auto"/>
            <w:left w:val="none" w:sz="0" w:space="0" w:color="auto"/>
            <w:bottom w:val="none" w:sz="0" w:space="0" w:color="auto"/>
            <w:right w:val="none" w:sz="0" w:space="0" w:color="auto"/>
          </w:divBdr>
          <w:divsChild>
            <w:div w:id="377124677">
              <w:marLeft w:val="0"/>
              <w:marRight w:val="0"/>
              <w:marTop w:val="0"/>
              <w:marBottom w:val="0"/>
              <w:divBdr>
                <w:top w:val="none" w:sz="0" w:space="0" w:color="auto"/>
                <w:left w:val="none" w:sz="0" w:space="0" w:color="auto"/>
                <w:bottom w:val="none" w:sz="0" w:space="0" w:color="auto"/>
                <w:right w:val="none" w:sz="0" w:space="0" w:color="auto"/>
              </w:divBdr>
              <w:divsChild>
                <w:div w:id="1253733955">
                  <w:marLeft w:val="-115"/>
                  <w:marRight w:val="-115"/>
                  <w:marTop w:val="0"/>
                  <w:marBottom w:val="0"/>
                  <w:divBdr>
                    <w:top w:val="none" w:sz="0" w:space="0" w:color="auto"/>
                    <w:left w:val="none" w:sz="0" w:space="0" w:color="auto"/>
                    <w:bottom w:val="none" w:sz="0" w:space="0" w:color="auto"/>
                    <w:right w:val="none" w:sz="0" w:space="0" w:color="auto"/>
                  </w:divBdr>
                  <w:divsChild>
                    <w:div w:id="20961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4638904">
      <w:bodyDiv w:val="1"/>
      <w:marLeft w:val="0"/>
      <w:marRight w:val="0"/>
      <w:marTop w:val="0"/>
      <w:marBottom w:val="0"/>
      <w:divBdr>
        <w:top w:val="none" w:sz="0" w:space="0" w:color="auto"/>
        <w:left w:val="none" w:sz="0" w:space="0" w:color="auto"/>
        <w:bottom w:val="none" w:sz="0" w:space="0" w:color="auto"/>
        <w:right w:val="none" w:sz="0" w:space="0" w:color="auto"/>
      </w:divBdr>
    </w:div>
    <w:div w:id="523249708">
      <w:bodyDiv w:val="1"/>
      <w:marLeft w:val="0"/>
      <w:marRight w:val="0"/>
      <w:marTop w:val="0"/>
      <w:marBottom w:val="0"/>
      <w:divBdr>
        <w:top w:val="none" w:sz="0" w:space="0" w:color="auto"/>
        <w:left w:val="none" w:sz="0" w:space="0" w:color="auto"/>
        <w:bottom w:val="none" w:sz="0" w:space="0" w:color="auto"/>
        <w:right w:val="none" w:sz="0" w:space="0" w:color="auto"/>
      </w:divBdr>
    </w:div>
    <w:div w:id="529226723">
      <w:bodyDiv w:val="1"/>
      <w:marLeft w:val="0"/>
      <w:marRight w:val="0"/>
      <w:marTop w:val="0"/>
      <w:marBottom w:val="0"/>
      <w:divBdr>
        <w:top w:val="none" w:sz="0" w:space="0" w:color="auto"/>
        <w:left w:val="none" w:sz="0" w:space="0" w:color="auto"/>
        <w:bottom w:val="none" w:sz="0" w:space="0" w:color="auto"/>
        <w:right w:val="none" w:sz="0" w:space="0" w:color="auto"/>
      </w:divBdr>
    </w:div>
    <w:div w:id="606079193">
      <w:bodyDiv w:val="1"/>
      <w:marLeft w:val="0"/>
      <w:marRight w:val="0"/>
      <w:marTop w:val="0"/>
      <w:marBottom w:val="0"/>
      <w:divBdr>
        <w:top w:val="none" w:sz="0" w:space="0" w:color="auto"/>
        <w:left w:val="none" w:sz="0" w:space="0" w:color="auto"/>
        <w:bottom w:val="none" w:sz="0" w:space="0" w:color="auto"/>
        <w:right w:val="none" w:sz="0" w:space="0" w:color="auto"/>
      </w:divBdr>
    </w:div>
    <w:div w:id="636031295">
      <w:bodyDiv w:val="1"/>
      <w:marLeft w:val="0"/>
      <w:marRight w:val="0"/>
      <w:marTop w:val="0"/>
      <w:marBottom w:val="0"/>
      <w:divBdr>
        <w:top w:val="none" w:sz="0" w:space="0" w:color="auto"/>
        <w:left w:val="none" w:sz="0" w:space="0" w:color="auto"/>
        <w:bottom w:val="none" w:sz="0" w:space="0" w:color="auto"/>
        <w:right w:val="none" w:sz="0" w:space="0" w:color="auto"/>
      </w:divBdr>
    </w:div>
    <w:div w:id="645554523">
      <w:bodyDiv w:val="1"/>
      <w:marLeft w:val="0"/>
      <w:marRight w:val="0"/>
      <w:marTop w:val="0"/>
      <w:marBottom w:val="0"/>
      <w:divBdr>
        <w:top w:val="none" w:sz="0" w:space="0" w:color="auto"/>
        <w:left w:val="none" w:sz="0" w:space="0" w:color="auto"/>
        <w:bottom w:val="none" w:sz="0" w:space="0" w:color="auto"/>
        <w:right w:val="none" w:sz="0" w:space="0" w:color="auto"/>
      </w:divBdr>
    </w:div>
    <w:div w:id="735204738">
      <w:bodyDiv w:val="1"/>
      <w:marLeft w:val="0"/>
      <w:marRight w:val="0"/>
      <w:marTop w:val="0"/>
      <w:marBottom w:val="0"/>
      <w:divBdr>
        <w:top w:val="none" w:sz="0" w:space="0" w:color="auto"/>
        <w:left w:val="none" w:sz="0" w:space="0" w:color="auto"/>
        <w:bottom w:val="none" w:sz="0" w:space="0" w:color="auto"/>
        <w:right w:val="none" w:sz="0" w:space="0" w:color="auto"/>
      </w:divBdr>
    </w:div>
    <w:div w:id="751851481">
      <w:bodyDiv w:val="1"/>
      <w:marLeft w:val="0"/>
      <w:marRight w:val="0"/>
      <w:marTop w:val="0"/>
      <w:marBottom w:val="0"/>
      <w:divBdr>
        <w:top w:val="none" w:sz="0" w:space="0" w:color="auto"/>
        <w:left w:val="none" w:sz="0" w:space="0" w:color="auto"/>
        <w:bottom w:val="none" w:sz="0" w:space="0" w:color="auto"/>
        <w:right w:val="none" w:sz="0" w:space="0" w:color="auto"/>
      </w:divBdr>
    </w:div>
    <w:div w:id="754940651">
      <w:bodyDiv w:val="1"/>
      <w:marLeft w:val="0"/>
      <w:marRight w:val="0"/>
      <w:marTop w:val="0"/>
      <w:marBottom w:val="0"/>
      <w:divBdr>
        <w:top w:val="none" w:sz="0" w:space="0" w:color="auto"/>
        <w:left w:val="none" w:sz="0" w:space="0" w:color="auto"/>
        <w:bottom w:val="none" w:sz="0" w:space="0" w:color="auto"/>
        <w:right w:val="none" w:sz="0" w:space="0" w:color="auto"/>
      </w:divBdr>
    </w:div>
    <w:div w:id="881865273">
      <w:bodyDiv w:val="1"/>
      <w:marLeft w:val="0"/>
      <w:marRight w:val="0"/>
      <w:marTop w:val="0"/>
      <w:marBottom w:val="0"/>
      <w:divBdr>
        <w:top w:val="none" w:sz="0" w:space="0" w:color="auto"/>
        <w:left w:val="none" w:sz="0" w:space="0" w:color="auto"/>
        <w:bottom w:val="none" w:sz="0" w:space="0" w:color="auto"/>
        <w:right w:val="none" w:sz="0" w:space="0" w:color="auto"/>
      </w:divBdr>
      <w:divsChild>
        <w:div w:id="1076509601">
          <w:marLeft w:val="0"/>
          <w:marRight w:val="0"/>
          <w:marTop w:val="0"/>
          <w:marBottom w:val="0"/>
          <w:divBdr>
            <w:top w:val="none" w:sz="0" w:space="0" w:color="auto"/>
            <w:left w:val="none" w:sz="0" w:space="0" w:color="auto"/>
            <w:bottom w:val="none" w:sz="0" w:space="0" w:color="auto"/>
            <w:right w:val="none" w:sz="0" w:space="0" w:color="auto"/>
          </w:divBdr>
          <w:divsChild>
            <w:div w:id="2145727967">
              <w:marLeft w:val="0"/>
              <w:marRight w:val="0"/>
              <w:marTop w:val="100"/>
              <w:marBottom w:val="100"/>
              <w:divBdr>
                <w:top w:val="none" w:sz="0" w:space="0" w:color="auto"/>
                <w:left w:val="none" w:sz="0" w:space="0" w:color="auto"/>
                <w:bottom w:val="none" w:sz="0" w:space="0" w:color="auto"/>
                <w:right w:val="none" w:sz="0" w:space="0" w:color="auto"/>
              </w:divBdr>
              <w:divsChild>
                <w:div w:id="1606647600">
                  <w:marLeft w:val="0"/>
                  <w:marRight w:val="0"/>
                  <w:marTop w:val="0"/>
                  <w:marBottom w:val="691"/>
                  <w:divBdr>
                    <w:top w:val="none" w:sz="0" w:space="0" w:color="auto"/>
                    <w:left w:val="none" w:sz="0" w:space="0" w:color="auto"/>
                    <w:bottom w:val="none" w:sz="0" w:space="0" w:color="auto"/>
                    <w:right w:val="none" w:sz="0" w:space="0" w:color="auto"/>
                  </w:divBdr>
                  <w:divsChild>
                    <w:div w:id="808472707">
                      <w:marLeft w:val="0"/>
                      <w:marRight w:val="4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0043251">
      <w:bodyDiv w:val="1"/>
      <w:marLeft w:val="0"/>
      <w:marRight w:val="0"/>
      <w:marTop w:val="0"/>
      <w:marBottom w:val="0"/>
      <w:divBdr>
        <w:top w:val="none" w:sz="0" w:space="0" w:color="auto"/>
        <w:left w:val="none" w:sz="0" w:space="0" w:color="auto"/>
        <w:bottom w:val="none" w:sz="0" w:space="0" w:color="auto"/>
        <w:right w:val="none" w:sz="0" w:space="0" w:color="auto"/>
      </w:divBdr>
    </w:div>
    <w:div w:id="958758257">
      <w:bodyDiv w:val="1"/>
      <w:marLeft w:val="0"/>
      <w:marRight w:val="0"/>
      <w:marTop w:val="0"/>
      <w:marBottom w:val="0"/>
      <w:divBdr>
        <w:top w:val="none" w:sz="0" w:space="0" w:color="auto"/>
        <w:left w:val="none" w:sz="0" w:space="0" w:color="auto"/>
        <w:bottom w:val="none" w:sz="0" w:space="0" w:color="auto"/>
        <w:right w:val="none" w:sz="0" w:space="0" w:color="auto"/>
      </w:divBdr>
    </w:div>
    <w:div w:id="968240699">
      <w:bodyDiv w:val="1"/>
      <w:marLeft w:val="0"/>
      <w:marRight w:val="0"/>
      <w:marTop w:val="0"/>
      <w:marBottom w:val="0"/>
      <w:divBdr>
        <w:top w:val="none" w:sz="0" w:space="0" w:color="auto"/>
        <w:left w:val="none" w:sz="0" w:space="0" w:color="auto"/>
        <w:bottom w:val="none" w:sz="0" w:space="0" w:color="auto"/>
        <w:right w:val="none" w:sz="0" w:space="0" w:color="auto"/>
      </w:divBdr>
    </w:div>
    <w:div w:id="991298680">
      <w:bodyDiv w:val="1"/>
      <w:marLeft w:val="0"/>
      <w:marRight w:val="0"/>
      <w:marTop w:val="0"/>
      <w:marBottom w:val="0"/>
      <w:divBdr>
        <w:top w:val="none" w:sz="0" w:space="0" w:color="auto"/>
        <w:left w:val="none" w:sz="0" w:space="0" w:color="auto"/>
        <w:bottom w:val="none" w:sz="0" w:space="0" w:color="auto"/>
        <w:right w:val="none" w:sz="0" w:space="0" w:color="auto"/>
      </w:divBdr>
    </w:div>
    <w:div w:id="1071006995">
      <w:bodyDiv w:val="1"/>
      <w:marLeft w:val="0"/>
      <w:marRight w:val="0"/>
      <w:marTop w:val="0"/>
      <w:marBottom w:val="0"/>
      <w:divBdr>
        <w:top w:val="none" w:sz="0" w:space="0" w:color="auto"/>
        <w:left w:val="none" w:sz="0" w:space="0" w:color="auto"/>
        <w:bottom w:val="none" w:sz="0" w:space="0" w:color="auto"/>
        <w:right w:val="none" w:sz="0" w:space="0" w:color="auto"/>
      </w:divBdr>
    </w:div>
    <w:div w:id="1101685418">
      <w:bodyDiv w:val="1"/>
      <w:marLeft w:val="0"/>
      <w:marRight w:val="0"/>
      <w:marTop w:val="0"/>
      <w:marBottom w:val="0"/>
      <w:divBdr>
        <w:top w:val="none" w:sz="0" w:space="0" w:color="auto"/>
        <w:left w:val="none" w:sz="0" w:space="0" w:color="auto"/>
        <w:bottom w:val="none" w:sz="0" w:space="0" w:color="auto"/>
        <w:right w:val="none" w:sz="0" w:space="0" w:color="auto"/>
      </w:divBdr>
    </w:div>
    <w:div w:id="1123574693">
      <w:bodyDiv w:val="1"/>
      <w:marLeft w:val="0"/>
      <w:marRight w:val="0"/>
      <w:marTop w:val="0"/>
      <w:marBottom w:val="0"/>
      <w:divBdr>
        <w:top w:val="none" w:sz="0" w:space="0" w:color="auto"/>
        <w:left w:val="none" w:sz="0" w:space="0" w:color="auto"/>
        <w:bottom w:val="none" w:sz="0" w:space="0" w:color="auto"/>
        <w:right w:val="none" w:sz="0" w:space="0" w:color="auto"/>
      </w:divBdr>
    </w:div>
    <w:div w:id="1146825969">
      <w:bodyDiv w:val="1"/>
      <w:marLeft w:val="0"/>
      <w:marRight w:val="0"/>
      <w:marTop w:val="0"/>
      <w:marBottom w:val="0"/>
      <w:divBdr>
        <w:top w:val="none" w:sz="0" w:space="0" w:color="auto"/>
        <w:left w:val="none" w:sz="0" w:space="0" w:color="auto"/>
        <w:bottom w:val="none" w:sz="0" w:space="0" w:color="auto"/>
        <w:right w:val="none" w:sz="0" w:space="0" w:color="auto"/>
      </w:divBdr>
    </w:div>
    <w:div w:id="1153253781">
      <w:bodyDiv w:val="1"/>
      <w:marLeft w:val="0"/>
      <w:marRight w:val="0"/>
      <w:marTop w:val="0"/>
      <w:marBottom w:val="0"/>
      <w:divBdr>
        <w:top w:val="none" w:sz="0" w:space="0" w:color="auto"/>
        <w:left w:val="none" w:sz="0" w:space="0" w:color="auto"/>
        <w:bottom w:val="none" w:sz="0" w:space="0" w:color="auto"/>
        <w:right w:val="none" w:sz="0" w:space="0" w:color="auto"/>
      </w:divBdr>
    </w:div>
    <w:div w:id="1207717872">
      <w:bodyDiv w:val="1"/>
      <w:marLeft w:val="0"/>
      <w:marRight w:val="0"/>
      <w:marTop w:val="0"/>
      <w:marBottom w:val="0"/>
      <w:divBdr>
        <w:top w:val="none" w:sz="0" w:space="0" w:color="auto"/>
        <w:left w:val="none" w:sz="0" w:space="0" w:color="auto"/>
        <w:bottom w:val="none" w:sz="0" w:space="0" w:color="auto"/>
        <w:right w:val="none" w:sz="0" w:space="0" w:color="auto"/>
      </w:divBdr>
    </w:div>
    <w:div w:id="1210143516">
      <w:bodyDiv w:val="1"/>
      <w:marLeft w:val="0"/>
      <w:marRight w:val="0"/>
      <w:marTop w:val="0"/>
      <w:marBottom w:val="0"/>
      <w:divBdr>
        <w:top w:val="none" w:sz="0" w:space="0" w:color="auto"/>
        <w:left w:val="none" w:sz="0" w:space="0" w:color="auto"/>
        <w:bottom w:val="none" w:sz="0" w:space="0" w:color="auto"/>
        <w:right w:val="none" w:sz="0" w:space="0" w:color="auto"/>
      </w:divBdr>
    </w:div>
    <w:div w:id="1233270006">
      <w:bodyDiv w:val="1"/>
      <w:marLeft w:val="0"/>
      <w:marRight w:val="0"/>
      <w:marTop w:val="0"/>
      <w:marBottom w:val="0"/>
      <w:divBdr>
        <w:top w:val="none" w:sz="0" w:space="0" w:color="auto"/>
        <w:left w:val="none" w:sz="0" w:space="0" w:color="auto"/>
        <w:bottom w:val="none" w:sz="0" w:space="0" w:color="auto"/>
        <w:right w:val="none" w:sz="0" w:space="0" w:color="auto"/>
      </w:divBdr>
    </w:div>
    <w:div w:id="1264342503">
      <w:bodyDiv w:val="1"/>
      <w:marLeft w:val="0"/>
      <w:marRight w:val="0"/>
      <w:marTop w:val="0"/>
      <w:marBottom w:val="0"/>
      <w:divBdr>
        <w:top w:val="none" w:sz="0" w:space="0" w:color="auto"/>
        <w:left w:val="none" w:sz="0" w:space="0" w:color="auto"/>
        <w:bottom w:val="none" w:sz="0" w:space="0" w:color="auto"/>
        <w:right w:val="none" w:sz="0" w:space="0" w:color="auto"/>
      </w:divBdr>
    </w:div>
    <w:div w:id="1274291790">
      <w:bodyDiv w:val="1"/>
      <w:marLeft w:val="0"/>
      <w:marRight w:val="0"/>
      <w:marTop w:val="0"/>
      <w:marBottom w:val="0"/>
      <w:divBdr>
        <w:top w:val="none" w:sz="0" w:space="0" w:color="auto"/>
        <w:left w:val="none" w:sz="0" w:space="0" w:color="auto"/>
        <w:bottom w:val="none" w:sz="0" w:space="0" w:color="auto"/>
        <w:right w:val="none" w:sz="0" w:space="0" w:color="auto"/>
      </w:divBdr>
    </w:div>
    <w:div w:id="1312249122">
      <w:bodyDiv w:val="1"/>
      <w:marLeft w:val="0"/>
      <w:marRight w:val="0"/>
      <w:marTop w:val="0"/>
      <w:marBottom w:val="0"/>
      <w:divBdr>
        <w:top w:val="none" w:sz="0" w:space="0" w:color="auto"/>
        <w:left w:val="none" w:sz="0" w:space="0" w:color="auto"/>
        <w:bottom w:val="none" w:sz="0" w:space="0" w:color="auto"/>
        <w:right w:val="none" w:sz="0" w:space="0" w:color="auto"/>
      </w:divBdr>
    </w:div>
    <w:div w:id="1370253373">
      <w:bodyDiv w:val="1"/>
      <w:marLeft w:val="0"/>
      <w:marRight w:val="0"/>
      <w:marTop w:val="0"/>
      <w:marBottom w:val="0"/>
      <w:divBdr>
        <w:top w:val="none" w:sz="0" w:space="0" w:color="auto"/>
        <w:left w:val="none" w:sz="0" w:space="0" w:color="auto"/>
        <w:bottom w:val="none" w:sz="0" w:space="0" w:color="auto"/>
        <w:right w:val="none" w:sz="0" w:space="0" w:color="auto"/>
      </w:divBdr>
    </w:div>
    <w:div w:id="1381630498">
      <w:bodyDiv w:val="1"/>
      <w:marLeft w:val="0"/>
      <w:marRight w:val="0"/>
      <w:marTop w:val="0"/>
      <w:marBottom w:val="0"/>
      <w:divBdr>
        <w:top w:val="none" w:sz="0" w:space="0" w:color="auto"/>
        <w:left w:val="none" w:sz="0" w:space="0" w:color="auto"/>
        <w:bottom w:val="none" w:sz="0" w:space="0" w:color="auto"/>
        <w:right w:val="none" w:sz="0" w:space="0" w:color="auto"/>
      </w:divBdr>
      <w:divsChild>
        <w:div w:id="2048139388">
          <w:marLeft w:val="0"/>
          <w:marRight w:val="0"/>
          <w:marTop w:val="0"/>
          <w:marBottom w:val="0"/>
          <w:divBdr>
            <w:top w:val="none" w:sz="0" w:space="0" w:color="auto"/>
            <w:left w:val="none" w:sz="0" w:space="0" w:color="auto"/>
            <w:bottom w:val="none" w:sz="0" w:space="0" w:color="auto"/>
            <w:right w:val="none" w:sz="0" w:space="0" w:color="auto"/>
          </w:divBdr>
          <w:divsChild>
            <w:div w:id="1711606885">
              <w:marLeft w:val="0"/>
              <w:marRight w:val="0"/>
              <w:marTop w:val="0"/>
              <w:marBottom w:val="0"/>
              <w:divBdr>
                <w:top w:val="none" w:sz="0" w:space="0" w:color="auto"/>
                <w:left w:val="none" w:sz="0" w:space="0" w:color="auto"/>
                <w:bottom w:val="none" w:sz="0" w:space="0" w:color="auto"/>
                <w:right w:val="none" w:sz="0" w:space="0" w:color="auto"/>
              </w:divBdr>
              <w:divsChild>
                <w:div w:id="1975090624">
                  <w:marLeft w:val="-115"/>
                  <w:marRight w:val="-115"/>
                  <w:marTop w:val="0"/>
                  <w:marBottom w:val="0"/>
                  <w:divBdr>
                    <w:top w:val="none" w:sz="0" w:space="0" w:color="auto"/>
                    <w:left w:val="none" w:sz="0" w:space="0" w:color="auto"/>
                    <w:bottom w:val="none" w:sz="0" w:space="0" w:color="auto"/>
                    <w:right w:val="none" w:sz="0" w:space="0" w:color="auto"/>
                  </w:divBdr>
                  <w:divsChild>
                    <w:div w:id="1583755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6125551">
      <w:bodyDiv w:val="1"/>
      <w:marLeft w:val="0"/>
      <w:marRight w:val="0"/>
      <w:marTop w:val="0"/>
      <w:marBottom w:val="0"/>
      <w:divBdr>
        <w:top w:val="none" w:sz="0" w:space="0" w:color="auto"/>
        <w:left w:val="none" w:sz="0" w:space="0" w:color="auto"/>
        <w:bottom w:val="none" w:sz="0" w:space="0" w:color="auto"/>
        <w:right w:val="none" w:sz="0" w:space="0" w:color="auto"/>
      </w:divBdr>
    </w:div>
    <w:div w:id="1473717940">
      <w:bodyDiv w:val="1"/>
      <w:marLeft w:val="0"/>
      <w:marRight w:val="0"/>
      <w:marTop w:val="0"/>
      <w:marBottom w:val="0"/>
      <w:divBdr>
        <w:top w:val="none" w:sz="0" w:space="0" w:color="auto"/>
        <w:left w:val="none" w:sz="0" w:space="0" w:color="auto"/>
        <w:bottom w:val="none" w:sz="0" w:space="0" w:color="auto"/>
        <w:right w:val="none" w:sz="0" w:space="0" w:color="auto"/>
      </w:divBdr>
    </w:div>
    <w:div w:id="1480609943">
      <w:bodyDiv w:val="1"/>
      <w:marLeft w:val="0"/>
      <w:marRight w:val="0"/>
      <w:marTop w:val="0"/>
      <w:marBottom w:val="0"/>
      <w:divBdr>
        <w:top w:val="none" w:sz="0" w:space="0" w:color="auto"/>
        <w:left w:val="none" w:sz="0" w:space="0" w:color="auto"/>
        <w:bottom w:val="none" w:sz="0" w:space="0" w:color="auto"/>
        <w:right w:val="none" w:sz="0" w:space="0" w:color="auto"/>
      </w:divBdr>
    </w:div>
    <w:div w:id="1493328287">
      <w:bodyDiv w:val="1"/>
      <w:marLeft w:val="0"/>
      <w:marRight w:val="0"/>
      <w:marTop w:val="0"/>
      <w:marBottom w:val="0"/>
      <w:divBdr>
        <w:top w:val="none" w:sz="0" w:space="0" w:color="auto"/>
        <w:left w:val="none" w:sz="0" w:space="0" w:color="auto"/>
        <w:bottom w:val="none" w:sz="0" w:space="0" w:color="auto"/>
        <w:right w:val="none" w:sz="0" w:space="0" w:color="auto"/>
      </w:divBdr>
    </w:div>
    <w:div w:id="1497842992">
      <w:bodyDiv w:val="1"/>
      <w:marLeft w:val="0"/>
      <w:marRight w:val="0"/>
      <w:marTop w:val="0"/>
      <w:marBottom w:val="0"/>
      <w:divBdr>
        <w:top w:val="none" w:sz="0" w:space="0" w:color="auto"/>
        <w:left w:val="none" w:sz="0" w:space="0" w:color="auto"/>
        <w:bottom w:val="none" w:sz="0" w:space="0" w:color="auto"/>
        <w:right w:val="none" w:sz="0" w:space="0" w:color="auto"/>
      </w:divBdr>
    </w:div>
    <w:div w:id="1564485066">
      <w:bodyDiv w:val="1"/>
      <w:marLeft w:val="0"/>
      <w:marRight w:val="0"/>
      <w:marTop w:val="0"/>
      <w:marBottom w:val="0"/>
      <w:divBdr>
        <w:top w:val="none" w:sz="0" w:space="0" w:color="auto"/>
        <w:left w:val="none" w:sz="0" w:space="0" w:color="auto"/>
        <w:bottom w:val="none" w:sz="0" w:space="0" w:color="auto"/>
        <w:right w:val="none" w:sz="0" w:space="0" w:color="auto"/>
      </w:divBdr>
    </w:div>
    <w:div w:id="1572929847">
      <w:bodyDiv w:val="1"/>
      <w:marLeft w:val="0"/>
      <w:marRight w:val="0"/>
      <w:marTop w:val="0"/>
      <w:marBottom w:val="0"/>
      <w:divBdr>
        <w:top w:val="none" w:sz="0" w:space="0" w:color="auto"/>
        <w:left w:val="none" w:sz="0" w:space="0" w:color="auto"/>
        <w:bottom w:val="none" w:sz="0" w:space="0" w:color="auto"/>
        <w:right w:val="none" w:sz="0" w:space="0" w:color="auto"/>
      </w:divBdr>
    </w:div>
    <w:div w:id="1656909591">
      <w:bodyDiv w:val="1"/>
      <w:marLeft w:val="0"/>
      <w:marRight w:val="0"/>
      <w:marTop w:val="0"/>
      <w:marBottom w:val="0"/>
      <w:divBdr>
        <w:top w:val="none" w:sz="0" w:space="0" w:color="auto"/>
        <w:left w:val="none" w:sz="0" w:space="0" w:color="auto"/>
        <w:bottom w:val="none" w:sz="0" w:space="0" w:color="auto"/>
        <w:right w:val="none" w:sz="0" w:space="0" w:color="auto"/>
      </w:divBdr>
    </w:div>
    <w:div w:id="1681658743">
      <w:bodyDiv w:val="1"/>
      <w:marLeft w:val="0"/>
      <w:marRight w:val="0"/>
      <w:marTop w:val="0"/>
      <w:marBottom w:val="0"/>
      <w:divBdr>
        <w:top w:val="none" w:sz="0" w:space="0" w:color="auto"/>
        <w:left w:val="none" w:sz="0" w:space="0" w:color="auto"/>
        <w:bottom w:val="none" w:sz="0" w:space="0" w:color="auto"/>
        <w:right w:val="none" w:sz="0" w:space="0" w:color="auto"/>
      </w:divBdr>
      <w:divsChild>
        <w:div w:id="1315455213">
          <w:marLeft w:val="0"/>
          <w:marRight w:val="0"/>
          <w:marTop w:val="0"/>
          <w:marBottom w:val="0"/>
          <w:divBdr>
            <w:top w:val="none" w:sz="0" w:space="0" w:color="auto"/>
            <w:left w:val="none" w:sz="0" w:space="0" w:color="auto"/>
            <w:bottom w:val="none" w:sz="0" w:space="0" w:color="auto"/>
            <w:right w:val="none" w:sz="0" w:space="0" w:color="auto"/>
          </w:divBdr>
          <w:divsChild>
            <w:div w:id="1894534315">
              <w:marLeft w:val="0"/>
              <w:marRight w:val="0"/>
              <w:marTop w:val="0"/>
              <w:marBottom w:val="0"/>
              <w:divBdr>
                <w:top w:val="none" w:sz="0" w:space="0" w:color="auto"/>
                <w:left w:val="none" w:sz="0" w:space="0" w:color="auto"/>
                <w:bottom w:val="none" w:sz="0" w:space="0" w:color="auto"/>
                <w:right w:val="none" w:sz="0" w:space="0" w:color="auto"/>
              </w:divBdr>
              <w:divsChild>
                <w:div w:id="1067148391">
                  <w:marLeft w:val="0"/>
                  <w:marRight w:val="0"/>
                  <w:marTop w:val="0"/>
                  <w:marBottom w:val="0"/>
                  <w:divBdr>
                    <w:top w:val="none" w:sz="0" w:space="0" w:color="auto"/>
                    <w:left w:val="none" w:sz="0" w:space="0" w:color="auto"/>
                    <w:bottom w:val="none" w:sz="0" w:space="0" w:color="auto"/>
                    <w:right w:val="none" w:sz="0" w:space="0" w:color="auto"/>
                  </w:divBdr>
                  <w:divsChild>
                    <w:div w:id="1340110768">
                      <w:marLeft w:val="-173"/>
                      <w:marRight w:val="-173"/>
                      <w:marTop w:val="0"/>
                      <w:marBottom w:val="0"/>
                      <w:divBdr>
                        <w:top w:val="none" w:sz="0" w:space="0" w:color="auto"/>
                        <w:left w:val="none" w:sz="0" w:space="0" w:color="auto"/>
                        <w:bottom w:val="none" w:sz="0" w:space="0" w:color="auto"/>
                        <w:right w:val="none" w:sz="0" w:space="0" w:color="auto"/>
                      </w:divBdr>
                      <w:divsChild>
                        <w:div w:id="447624011">
                          <w:marLeft w:val="0"/>
                          <w:marRight w:val="0"/>
                          <w:marTop w:val="0"/>
                          <w:marBottom w:val="0"/>
                          <w:divBdr>
                            <w:top w:val="none" w:sz="0" w:space="0" w:color="auto"/>
                            <w:left w:val="none" w:sz="0" w:space="0" w:color="auto"/>
                            <w:bottom w:val="none" w:sz="0" w:space="0" w:color="auto"/>
                            <w:right w:val="none" w:sz="0" w:space="0" w:color="auto"/>
                          </w:divBdr>
                          <w:divsChild>
                            <w:div w:id="1680231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7509044">
      <w:bodyDiv w:val="1"/>
      <w:marLeft w:val="0"/>
      <w:marRight w:val="0"/>
      <w:marTop w:val="0"/>
      <w:marBottom w:val="0"/>
      <w:divBdr>
        <w:top w:val="none" w:sz="0" w:space="0" w:color="auto"/>
        <w:left w:val="none" w:sz="0" w:space="0" w:color="auto"/>
        <w:bottom w:val="none" w:sz="0" w:space="0" w:color="auto"/>
        <w:right w:val="none" w:sz="0" w:space="0" w:color="auto"/>
      </w:divBdr>
      <w:divsChild>
        <w:div w:id="2090228802">
          <w:marLeft w:val="0"/>
          <w:marRight w:val="0"/>
          <w:marTop w:val="0"/>
          <w:marBottom w:val="0"/>
          <w:divBdr>
            <w:top w:val="none" w:sz="0" w:space="0" w:color="auto"/>
            <w:left w:val="none" w:sz="0" w:space="0" w:color="auto"/>
            <w:bottom w:val="none" w:sz="0" w:space="0" w:color="auto"/>
            <w:right w:val="none" w:sz="0" w:space="0" w:color="auto"/>
          </w:divBdr>
          <w:divsChild>
            <w:div w:id="758336070">
              <w:marLeft w:val="0"/>
              <w:marRight w:val="0"/>
              <w:marTop w:val="100"/>
              <w:marBottom w:val="100"/>
              <w:divBdr>
                <w:top w:val="none" w:sz="0" w:space="0" w:color="auto"/>
                <w:left w:val="none" w:sz="0" w:space="0" w:color="auto"/>
                <w:bottom w:val="none" w:sz="0" w:space="0" w:color="auto"/>
                <w:right w:val="none" w:sz="0" w:space="0" w:color="auto"/>
              </w:divBdr>
              <w:divsChild>
                <w:div w:id="1117332697">
                  <w:marLeft w:val="0"/>
                  <w:marRight w:val="0"/>
                  <w:marTop w:val="0"/>
                  <w:marBottom w:val="691"/>
                  <w:divBdr>
                    <w:top w:val="none" w:sz="0" w:space="0" w:color="auto"/>
                    <w:left w:val="none" w:sz="0" w:space="0" w:color="auto"/>
                    <w:bottom w:val="none" w:sz="0" w:space="0" w:color="auto"/>
                    <w:right w:val="none" w:sz="0" w:space="0" w:color="auto"/>
                  </w:divBdr>
                  <w:divsChild>
                    <w:div w:id="1925141468">
                      <w:marLeft w:val="0"/>
                      <w:marRight w:val="4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4663802">
      <w:bodyDiv w:val="1"/>
      <w:marLeft w:val="0"/>
      <w:marRight w:val="0"/>
      <w:marTop w:val="0"/>
      <w:marBottom w:val="0"/>
      <w:divBdr>
        <w:top w:val="none" w:sz="0" w:space="0" w:color="auto"/>
        <w:left w:val="none" w:sz="0" w:space="0" w:color="auto"/>
        <w:bottom w:val="none" w:sz="0" w:space="0" w:color="auto"/>
        <w:right w:val="none" w:sz="0" w:space="0" w:color="auto"/>
      </w:divBdr>
    </w:div>
    <w:div w:id="1883514909">
      <w:bodyDiv w:val="1"/>
      <w:marLeft w:val="0"/>
      <w:marRight w:val="0"/>
      <w:marTop w:val="0"/>
      <w:marBottom w:val="0"/>
      <w:divBdr>
        <w:top w:val="none" w:sz="0" w:space="0" w:color="auto"/>
        <w:left w:val="none" w:sz="0" w:space="0" w:color="auto"/>
        <w:bottom w:val="none" w:sz="0" w:space="0" w:color="auto"/>
        <w:right w:val="none" w:sz="0" w:space="0" w:color="auto"/>
      </w:divBdr>
    </w:div>
    <w:div w:id="1928078975">
      <w:bodyDiv w:val="1"/>
      <w:marLeft w:val="0"/>
      <w:marRight w:val="0"/>
      <w:marTop w:val="0"/>
      <w:marBottom w:val="0"/>
      <w:divBdr>
        <w:top w:val="none" w:sz="0" w:space="0" w:color="auto"/>
        <w:left w:val="none" w:sz="0" w:space="0" w:color="auto"/>
        <w:bottom w:val="none" w:sz="0" w:space="0" w:color="auto"/>
        <w:right w:val="none" w:sz="0" w:space="0" w:color="auto"/>
      </w:divBdr>
    </w:div>
    <w:div w:id="1991323774">
      <w:bodyDiv w:val="1"/>
      <w:marLeft w:val="0"/>
      <w:marRight w:val="0"/>
      <w:marTop w:val="0"/>
      <w:marBottom w:val="0"/>
      <w:divBdr>
        <w:top w:val="none" w:sz="0" w:space="0" w:color="auto"/>
        <w:left w:val="none" w:sz="0" w:space="0" w:color="auto"/>
        <w:bottom w:val="none" w:sz="0" w:space="0" w:color="auto"/>
        <w:right w:val="none" w:sz="0" w:space="0" w:color="auto"/>
      </w:divBdr>
    </w:div>
    <w:div w:id="2043170758">
      <w:bodyDiv w:val="1"/>
      <w:marLeft w:val="0"/>
      <w:marRight w:val="0"/>
      <w:marTop w:val="0"/>
      <w:marBottom w:val="0"/>
      <w:divBdr>
        <w:top w:val="none" w:sz="0" w:space="0" w:color="auto"/>
        <w:left w:val="none" w:sz="0" w:space="0" w:color="auto"/>
        <w:bottom w:val="none" w:sz="0" w:space="0" w:color="auto"/>
        <w:right w:val="none" w:sz="0" w:space="0" w:color="auto"/>
      </w:divBdr>
    </w:div>
    <w:div w:id="2108191531">
      <w:bodyDiv w:val="1"/>
      <w:marLeft w:val="0"/>
      <w:marRight w:val="0"/>
      <w:marTop w:val="0"/>
      <w:marBottom w:val="0"/>
      <w:divBdr>
        <w:top w:val="none" w:sz="0" w:space="0" w:color="auto"/>
        <w:left w:val="none" w:sz="0" w:space="0" w:color="auto"/>
        <w:bottom w:val="none" w:sz="0" w:space="0" w:color="auto"/>
        <w:right w:val="none" w:sz="0" w:space="0" w:color="auto"/>
      </w:divBdr>
    </w:div>
    <w:div w:id="2114130014">
      <w:bodyDiv w:val="1"/>
      <w:marLeft w:val="0"/>
      <w:marRight w:val="0"/>
      <w:marTop w:val="0"/>
      <w:marBottom w:val="0"/>
      <w:divBdr>
        <w:top w:val="none" w:sz="0" w:space="0" w:color="auto"/>
        <w:left w:val="none" w:sz="0" w:space="0" w:color="auto"/>
        <w:bottom w:val="none" w:sz="0" w:space="0" w:color="auto"/>
        <w:right w:val="none" w:sz="0" w:space="0" w:color="auto"/>
      </w:divBdr>
    </w:div>
    <w:div w:id="2141455940">
      <w:bodyDiv w:val="1"/>
      <w:marLeft w:val="0"/>
      <w:marRight w:val="0"/>
      <w:marTop w:val="0"/>
      <w:marBottom w:val="0"/>
      <w:divBdr>
        <w:top w:val="none" w:sz="0" w:space="0" w:color="auto"/>
        <w:left w:val="none" w:sz="0" w:space="0" w:color="auto"/>
        <w:bottom w:val="none" w:sz="0" w:space="0" w:color="auto"/>
        <w:right w:val="none" w:sz="0" w:space="0" w:color="auto"/>
      </w:divBdr>
    </w:div>
    <w:div w:id="2142456861">
      <w:bodyDiv w:val="1"/>
      <w:marLeft w:val="0"/>
      <w:marRight w:val="0"/>
      <w:marTop w:val="0"/>
      <w:marBottom w:val="0"/>
      <w:divBdr>
        <w:top w:val="none" w:sz="0" w:space="0" w:color="auto"/>
        <w:left w:val="none" w:sz="0" w:space="0" w:color="auto"/>
        <w:bottom w:val="none" w:sz="0" w:space="0" w:color="auto"/>
        <w:right w:val="none" w:sz="0" w:space="0" w:color="auto"/>
      </w:divBdr>
    </w:div>
    <w:div w:id="2145536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0E650BBAB7EA7929A46DCF8923A117BF265CDE6B166C3A4E5C348BB35D2F42AC8422F55530D53C3E274EC1Dk8CDO" TargetMode="External"/><Relationship Id="rId13" Type="http://schemas.openxmlformats.org/officeDocument/2006/relationships/hyperlink" Target="consultantplus://offline/ref=970A5C7313A7A232A915A748028202782BA10C4144382756FA0DDD4A78EC8B3BA353C46765A96C4B13F8AC7EdELFI" TargetMode="External"/><Relationship Id="rId18" Type="http://schemas.openxmlformats.org/officeDocument/2006/relationships/chart" Target="charts/chart4.xm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20292D6756E6FEECD41BECA2C92FEA9FE1F92FE4DFB5AE9B0B32926D4EA4919D7F3EZ5I" TargetMode="External"/><Relationship Id="rId17" Type="http://schemas.openxmlformats.org/officeDocument/2006/relationships/hyperlink" Target="http://viperson.ru/"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chart" Target="charts/chart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447F76E9E26FB41B063CC2176C7E65924D7B67EE5B4AC71FBF522AF52XDDER"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consultantplus://offline/ref=BC9BA7F37F761DAA793C93810B5AFB10C945627F4F260EEB43BDD071CBv1oFL" TargetMode="External"/><Relationship Id="rId19" Type="http://schemas.openxmlformats.org/officeDocument/2006/relationships/chart" Target="charts/chart5.xml"/><Relationship Id="rId4" Type="http://schemas.openxmlformats.org/officeDocument/2006/relationships/settings" Target="settings.xml"/><Relationship Id="rId9" Type="http://schemas.openxmlformats.org/officeDocument/2006/relationships/hyperlink" Target="consultantplus://offline/ref=E157297AE5A7B64B2DE2F8235B55F62A0303B1BF617CE1BA6BF5C2EC914E0D0ACF5586609D118474F552B5F2B8l5H" TargetMode="External"/><Relationship Id="rId14" Type="http://schemas.openxmlformats.org/officeDocument/2006/relationships/chart" Target="charts/chart1.xml"/><Relationship Id="rId22" Type="http://schemas.openxmlformats.org/officeDocument/2006/relationships/header" Target="header2.xml"/><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oleObject" Target="file:///D:\&#1057;&#1052;&#1057;&#1055;%202015-2017\&#1072;&#1082;&#1090;&#1099;\&#1089;&#1086;&#1082;&#1088;&#1072;&#1097;&#1077;&#1085;&#1080;&#1103;\&#1087;&#1088;&#1080;&#1083;&#1086;&#1078;&#1077;&#1085;&#1080;&#1103;%20&#1082;%20&#1086;&#1090;&#1095;&#1077;&#1090;&#1091;\&#1087;&#1088;&#1080;&#1083;&#1086;&#1078;&#1077;&#1085;&#1080;&#1077;%202.xlsx" TargetMode="External"/><Relationship Id="rId1" Type="http://schemas.openxmlformats.org/officeDocument/2006/relationships/image" Target="../media/image1.jpeg"/></Relationships>
</file>

<file path=word/charts/_rels/chart2.xml.rels><?xml version="1.0" encoding="UTF-8" standalone="yes"?>
<Relationships xmlns="http://schemas.openxmlformats.org/package/2006/relationships"><Relationship Id="rId2" Type="http://schemas.openxmlformats.org/officeDocument/2006/relationships/oleObject" Target="file:///\\10.10.30.4\&#1076;&#1086;&#1082;&#1091;&#1084;&#1077;&#1085;&#1090;&#1099;\2018\&#1047;&#1091;&#1073;&#1088;&#1077;&#1074;&#1072;\&#1086;&#1090;%20&#1047;&#1072;&#1073;&#1088;&#1086;&#1076;&#1099;\&#1085;&#1086;&#1074;&#1099;&#1077;%20&#1075;&#1088;&#1072;&#1092;&#1080;&#1082;&#1080;\&#1043;&#1088;&#1072;&#1092;&#1080;&#1082;.xlsx" TargetMode="External"/><Relationship Id="rId1" Type="http://schemas.openxmlformats.org/officeDocument/2006/relationships/image" Target="../media/image2.jpeg"/></Relationships>
</file>

<file path=word/charts/_rels/chart3.xml.rels><?xml version="1.0" encoding="UTF-8" standalone="yes"?>
<Relationships xmlns="http://schemas.openxmlformats.org/package/2006/relationships"><Relationship Id="rId1" Type="http://schemas.openxmlformats.org/officeDocument/2006/relationships/oleObject" Target="file:///\\10.10.30.4\&#1076;&#1086;&#1082;&#1091;&#1084;&#1077;&#1085;&#1090;&#1099;\2018\&#1047;&#1091;&#1073;&#1088;&#1077;&#1074;&#1072;\&#1086;&#1090;%20&#1047;&#1072;&#1073;&#1088;&#1086;&#1076;&#1099;\&#1085;&#1086;&#1074;&#1099;&#1077;%20&#1075;&#1088;&#1072;&#1092;&#1080;&#1082;&#1080;\&#1043;&#1088;&#1072;&#1092;&#1080;&#1082;.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10.10.30.4\&#1076;&#1086;&#1082;&#1091;&#1084;&#1077;&#1085;&#1090;&#1099;\2018\&#1047;&#1091;&#1073;&#1088;&#1077;&#1074;&#1072;\&#1086;&#1090;%20&#1047;&#1072;&#1073;&#1088;&#1086;&#1076;&#1099;\&#1085;&#1086;&#1074;&#1099;&#1077;%20&#1075;&#1088;&#1072;&#1092;&#1080;&#1082;&#1080;\&#1050;&#1086;&#1087;&#1080;&#1103;%2011&#1054;%20&#1055;&#1086;&#1089;&#1090;&#1091;&#1087;&#1083;&#1077;&#1085;&#1080;&#1077;%20&#1085;&#1072;&#1083;&#1086;&#1075;&#1086;&#1074;%20%20&#1087;&#1086;%20&#1090;&#1077;&#1088;&#1088;&#1080;&#1090;&#1086;&#1088;&#1080;&#1103;&#1084;2015.xls" TargetMode="External"/></Relationships>
</file>

<file path=word/charts/_rels/chart5.xml.rels><?xml version="1.0" encoding="UTF-8" standalone="yes"?>
<Relationships xmlns="http://schemas.openxmlformats.org/package/2006/relationships"><Relationship Id="rId2" Type="http://schemas.openxmlformats.org/officeDocument/2006/relationships/oleObject" Target="file:///\\10.10.30.4\&#1076;&#1086;&#1082;&#1091;&#1084;&#1077;&#1085;&#1090;&#1099;\2018\&#1047;&#1091;&#1073;&#1088;&#1077;&#1074;&#1072;\&#1086;&#1090;%20&#1047;&#1072;&#1073;&#1088;&#1086;&#1076;&#1099;\&#1085;&#1086;&#1074;&#1099;&#1077;%20&#1075;&#1088;&#1072;&#1092;&#1080;&#1082;&#1080;\&#1050;&#1086;&#1087;&#1080;&#1103;%2011&#1054;%20&#1055;&#1086;&#1089;&#1090;&#1091;&#1087;&#1083;&#1077;&#1085;&#1080;&#1077;%20&#1085;&#1072;&#1083;&#1086;&#1075;&#1086;&#1074;%20%20&#1087;&#1086;%20&#1090;&#1077;&#1088;&#1088;&#1080;&#1090;&#1086;&#1088;&#1080;&#1103;&#1084;2015.xls" TargetMode="External"/><Relationship Id="rId1" Type="http://schemas.openxmlformats.org/officeDocument/2006/relationships/image" Target="../media/image3.jpeg"/></Relationships>
</file>

<file path=word/charts/_rels/chart6.xml.rels><?xml version="1.0" encoding="UTF-8" standalone="yes"?>
<Relationships xmlns="http://schemas.openxmlformats.org/package/2006/relationships"><Relationship Id="rId1" Type="http://schemas.openxmlformats.org/officeDocument/2006/relationships/oleObject" Target="file:///\\10.10.30.4\&#1076;&#1086;&#1082;&#1091;&#1084;&#1077;&#1085;&#1090;&#1099;\2018\&#1047;&#1091;&#1073;&#1088;&#1077;&#1074;&#1072;\&#1086;&#1090;%20&#1047;&#1072;&#1073;&#1088;&#1086;&#1076;&#1099;\&#1085;&#1086;&#1074;&#1099;&#1077;%20&#1075;&#1088;&#1072;&#1092;&#1080;&#1082;&#1080;\&#1060;&#1080;&#1085;&#1072;&#1085;&#1089;&#1080;&#1088;&#1086;&#1074;&#1072;&#1085;&#1080;&#1077;%20&#1055;&#1086;&#1076;&#1087;&#1088;&#1086;&#1075;&#1088;&#1072;&#1084;&#1084;&#1099;%20&#1057;&#1052;&#1057;&#1055;.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bar"/>
        <c:grouping val="clustered"/>
        <c:ser>
          <c:idx val="0"/>
          <c:order val="0"/>
          <c:tx>
            <c:strRef>
              <c:f>Лист1!$C$1</c:f>
              <c:strCache>
                <c:ptCount val="1"/>
                <c:pt idx="0">
                  <c:v>2015 год</c:v>
                </c:pt>
              </c:strCache>
            </c:strRef>
          </c:tx>
          <c:spPr>
            <a:blipFill>
              <a:blip xmlns:r="http://schemas.openxmlformats.org/officeDocument/2006/relationships" r:embed="rId1"/>
              <a:tile tx="0" ty="0" sx="100000" sy="100000" flip="none" algn="tl"/>
            </a:blipFill>
          </c:spPr>
          <c:dLbls>
            <c:txPr>
              <a:bodyPr/>
              <a:lstStyle/>
              <a:p>
                <a:pPr>
                  <a:defRPr sz="800">
                    <a:latin typeface="Times New Roman" pitchFamily="18" charset="0"/>
                    <a:cs typeface="Times New Roman" pitchFamily="18" charset="0"/>
                  </a:defRPr>
                </a:pPr>
                <a:endParaRPr lang="ru-RU"/>
              </a:p>
            </c:txPr>
            <c:showVal val="1"/>
          </c:dLbls>
          <c:cat>
            <c:strRef>
              <c:f>Лист1!$B$2:$B$5</c:f>
              <c:strCache>
                <c:ptCount val="4"/>
                <c:pt idx="0">
                  <c:v> Доля среднеспис. числ-ти работников СМСП в среднеспис. числ-ти работников всех предпр-й и организ-й,%</c:v>
                </c:pt>
                <c:pt idx="1">
                  <c:v>Количество СМСП в расчете на 1 тыс. человек населения ВО, ед.</c:v>
                </c:pt>
                <c:pt idx="2">
                  <c:v>Прирост оборота продукции и услуг, производ. малыми предприятиями, в т.ч. микропредпр. и ИП, к предыдущ. году, %</c:v>
                </c:pt>
                <c:pt idx="3">
                  <c:v>Объем налог. поступл-й в консолид. бюджет ВО по спец. режимам налогообл-я в расчете на одного жителя ВО, тыс. руб.</c:v>
                </c:pt>
              </c:strCache>
            </c:strRef>
          </c:cat>
          <c:val>
            <c:numRef>
              <c:f>Лист1!$C$2:$C$5</c:f>
              <c:numCache>
                <c:formatCode>General</c:formatCode>
                <c:ptCount val="4"/>
                <c:pt idx="0">
                  <c:v>25.1</c:v>
                </c:pt>
                <c:pt idx="1">
                  <c:v>35.800000000000004</c:v>
                </c:pt>
                <c:pt idx="2">
                  <c:v>14</c:v>
                </c:pt>
                <c:pt idx="3">
                  <c:v>1.7500000000000104</c:v>
                </c:pt>
              </c:numCache>
            </c:numRef>
          </c:val>
        </c:ser>
        <c:ser>
          <c:idx val="1"/>
          <c:order val="1"/>
          <c:tx>
            <c:strRef>
              <c:f>Лист1!$D$1</c:f>
              <c:strCache>
                <c:ptCount val="1"/>
                <c:pt idx="0">
                  <c:v>2016 год</c:v>
                </c:pt>
              </c:strCache>
            </c:strRef>
          </c:tx>
          <c:spPr>
            <a:solidFill>
              <a:schemeClr val="accent4">
                <a:lumMod val="60000"/>
                <a:lumOff val="40000"/>
              </a:schemeClr>
            </a:solidFill>
          </c:spPr>
          <c:dLbls>
            <c:txPr>
              <a:bodyPr/>
              <a:lstStyle/>
              <a:p>
                <a:pPr>
                  <a:defRPr sz="800">
                    <a:latin typeface="Times New Roman" pitchFamily="18" charset="0"/>
                    <a:cs typeface="Times New Roman" pitchFamily="18" charset="0"/>
                  </a:defRPr>
                </a:pPr>
                <a:endParaRPr lang="ru-RU"/>
              </a:p>
            </c:txPr>
            <c:showVal val="1"/>
          </c:dLbls>
          <c:cat>
            <c:strRef>
              <c:f>Лист1!$B$2:$B$5</c:f>
              <c:strCache>
                <c:ptCount val="4"/>
                <c:pt idx="0">
                  <c:v> Доля среднеспис. числ-ти работников СМСП в среднеспис. числ-ти работников всех предпр-й и организ-й,%</c:v>
                </c:pt>
                <c:pt idx="1">
                  <c:v>Количество СМСП в расчете на 1 тыс. человек населения ВО, ед.</c:v>
                </c:pt>
                <c:pt idx="2">
                  <c:v>Прирост оборота продукции и услуг, производ. малыми предприятиями, в т.ч. микропредпр. и ИП, к предыдущ. году, %</c:v>
                </c:pt>
                <c:pt idx="3">
                  <c:v>Объем налог. поступл-й в консолид. бюджет ВО по спец. режимам налогообл-я в расчете на одного жителя ВО, тыс. руб.</c:v>
                </c:pt>
              </c:strCache>
            </c:strRef>
          </c:cat>
          <c:val>
            <c:numRef>
              <c:f>Лист1!$D$2:$D$5</c:f>
              <c:numCache>
                <c:formatCode>General</c:formatCode>
                <c:ptCount val="4"/>
                <c:pt idx="0">
                  <c:v>23.5</c:v>
                </c:pt>
                <c:pt idx="1">
                  <c:v>37.300000000000004</c:v>
                </c:pt>
                <c:pt idx="2">
                  <c:v>-12.8</c:v>
                </c:pt>
                <c:pt idx="3">
                  <c:v>1.9700000000000049</c:v>
                </c:pt>
              </c:numCache>
            </c:numRef>
          </c:val>
        </c:ser>
        <c:ser>
          <c:idx val="2"/>
          <c:order val="2"/>
          <c:tx>
            <c:strRef>
              <c:f>Лист1!$E$1</c:f>
              <c:strCache>
                <c:ptCount val="1"/>
                <c:pt idx="0">
                  <c:v>2017 год</c:v>
                </c:pt>
              </c:strCache>
            </c:strRef>
          </c:tx>
          <c:spPr>
            <a:gradFill>
              <a:gsLst>
                <a:gs pos="0">
                  <a:srgbClr val="000082"/>
                </a:gs>
                <a:gs pos="30000">
                  <a:srgbClr val="66008F"/>
                </a:gs>
                <a:gs pos="64999">
                  <a:srgbClr val="BA0066"/>
                </a:gs>
                <a:gs pos="89999">
                  <a:srgbClr val="FF0000"/>
                </a:gs>
                <a:gs pos="100000">
                  <a:srgbClr val="FF8200"/>
                </a:gs>
              </a:gsLst>
              <a:lin ang="5400000" scaled="0"/>
            </a:gradFill>
          </c:spPr>
          <c:dLbls>
            <c:txPr>
              <a:bodyPr/>
              <a:lstStyle/>
              <a:p>
                <a:pPr>
                  <a:defRPr sz="800">
                    <a:latin typeface="Times New Roman" pitchFamily="18" charset="0"/>
                    <a:cs typeface="Times New Roman" pitchFamily="18" charset="0"/>
                  </a:defRPr>
                </a:pPr>
                <a:endParaRPr lang="ru-RU"/>
              </a:p>
            </c:txPr>
            <c:showVal val="1"/>
          </c:dLbls>
          <c:cat>
            <c:strRef>
              <c:f>Лист1!$B$2:$B$5</c:f>
              <c:strCache>
                <c:ptCount val="4"/>
                <c:pt idx="0">
                  <c:v> Доля среднеспис. числ-ти работников СМСП в среднеспис. числ-ти работников всех предпр-й и организ-й,%</c:v>
                </c:pt>
                <c:pt idx="1">
                  <c:v>Количество СМСП в расчете на 1 тыс. человек населения ВО, ед.</c:v>
                </c:pt>
                <c:pt idx="2">
                  <c:v>Прирост оборота продукции и услуг, производ. малыми предприятиями, в т.ч. микропредпр. и ИП, к предыдущ. году, %</c:v>
                </c:pt>
                <c:pt idx="3">
                  <c:v>Объем налог. поступл-й в консолид. бюджет ВО по спец. режимам налогообл-я в расчете на одного жителя ВО, тыс. руб.</c:v>
                </c:pt>
              </c:strCache>
            </c:strRef>
          </c:cat>
          <c:val>
            <c:numRef>
              <c:f>Лист1!$E$2:$E$5</c:f>
              <c:numCache>
                <c:formatCode>General</c:formatCode>
                <c:ptCount val="4"/>
                <c:pt idx="0">
                  <c:v>26</c:v>
                </c:pt>
                <c:pt idx="1">
                  <c:v>35.9</c:v>
                </c:pt>
                <c:pt idx="2">
                  <c:v>32.800000000000004</c:v>
                </c:pt>
                <c:pt idx="3">
                  <c:v>2.15</c:v>
                </c:pt>
              </c:numCache>
            </c:numRef>
          </c:val>
        </c:ser>
        <c:axId val="137717248"/>
        <c:axId val="137718784"/>
      </c:barChart>
      <c:catAx>
        <c:axId val="137717248"/>
        <c:scaling>
          <c:orientation val="minMax"/>
        </c:scaling>
        <c:axPos val="l"/>
        <c:tickLblPos val="low"/>
        <c:txPr>
          <a:bodyPr/>
          <a:lstStyle/>
          <a:p>
            <a:pPr>
              <a:defRPr sz="800" b="0">
                <a:latin typeface="Times New Roman" pitchFamily="18" charset="0"/>
                <a:cs typeface="Times New Roman" pitchFamily="18" charset="0"/>
              </a:defRPr>
            </a:pPr>
            <a:endParaRPr lang="ru-RU"/>
          </a:p>
        </c:txPr>
        <c:crossAx val="137718784"/>
        <c:crosses val="autoZero"/>
        <c:auto val="1"/>
        <c:lblAlgn val="ctr"/>
        <c:lblOffset val="100"/>
      </c:catAx>
      <c:valAx>
        <c:axId val="137718784"/>
        <c:scaling>
          <c:orientation val="minMax"/>
        </c:scaling>
        <c:axPos val="b"/>
        <c:majorGridlines/>
        <c:numFmt formatCode="General" sourceLinked="1"/>
        <c:tickLblPos val="nextTo"/>
        <c:txPr>
          <a:bodyPr/>
          <a:lstStyle/>
          <a:p>
            <a:pPr>
              <a:defRPr sz="800">
                <a:latin typeface="Times New Roman" pitchFamily="18" charset="0"/>
                <a:cs typeface="Times New Roman" pitchFamily="18" charset="0"/>
              </a:defRPr>
            </a:pPr>
            <a:endParaRPr lang="ru-RU"/>
          </a:p>
        </c:txPr>
        <c:crossAx val="137717248"/>
        <c:crosses val="autoZero"/>
        <c:crossBetween val="between"/>
      </c:valAx>
    </c:plotArea>
    <c:legend>
      <c:legendPos val="r"/>
      <c:txPr>
        <a:bodyPr/>
        <a:lstStyle/>
        <a:p>
          <a:pPr>
            <a:defRPr sz="800">
              <a:latin typeface="Times New Roman" pitchFamily="18" charset="0"/>
              <a:cs typeface="Times New Roman" pitchFamily="18" charset="0"/>
            </a:defRPr>
          </a:pPr>
          <a:endParaRPr lang="ru-RU"/>
        </a:p>
      </c:txPr>
    </c:legend>
    <c:plotVisOnly val="1"/>
  </c:chart>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900">
                <a:latin typeface="Times New Roman" pitchFamily="18" charset="0"/>
                <a:cs typeface="Times New Roman" pitchFamily="18" charset="0"/>
              </a:defRPr>
            </a:pPr>
            <a:r>
              <a:rPr lang="ru-RU" sz="900">
                <a:latin typeface="Times New Roman" pitchFamily="18" charset="0"/>
                <a:cs typeface="Times New Roman" pitchFamily="18" charset="0"/>
              </a:rPr>
              <a:t>Доля численности</a:t>
            </a:r>
            <a:r>
              <a:rPr lang="ru-RU" sz="900" baseline="0">
                <a:latin typeface="Times New Roman" pitchFamily="18" charset="0"/>
                <a:cs typeface="Times New Roman" pitchFamily="18" charset="0"/>
              </a:rPr>
              <a:t> работников СМП</a:t>
            </a:r>
          </a:p>
          <a:p>
            <a:pPr>
              <a:defRPr sz="900">
                <a:latin typeface="Times New Roman" pitchFamily="18" charset="0"/>
                <a:cs typeface="Times New Roman" pitchFamily="18" charset="0"/>
              </a:defRPr>
            </a:pPr>
            <a:r>
              <a:rPr lang="ru-RU" sz="900" baseline="0">
                <a:latin typeface="Times New Roman" pitchFamily="18" charset="0"/>
                <a:cs typeface="Times New Roman" pitchFamily="18" charset="0"/>
              </a:rPr>
              <a:t> в среднегодовой  численности занятых в экономике (%) </a:t>
            </a:r>
            <a:endParaRPr lang="ru-RU" sz="900">
              <a:latin typeface="Times New Roman" pitchFamily="18" charset="0"/>
              <a:cs typeface="Times New Roman" pitchFamily="18" charset="0"/>
            </a:endParaRPr>
          </a:p>
        </c:rich>
      </c:tx>
    </c:title>
    <c:view3D>
      <c:rotY val="0"/>
      <c:rAngAx val="1"/>
    </c:view3D>
    <c:plotArea>
      <c:layout>
        <c:manualLayout>
          <c:layoutTarget val="inner"/>
          <c:xMode val="edge"/>
          <c:yMode val="edge"/>
          <c:x val="9.5564838554454898E-2"/>
          <c:y val="0.24202362202217573"/>
          <c:w val="0.82445605239036568"/>
          <c:h val="0.32588874307378729"/>
        </c:manualLayout>
      </c:layout>
      <c:bar3DChart>
        <c:barDir val="col"/>
        <c:grouping val="clustered"/>
        <c:ser>
          <c:idx val="0"/>
          <c:order val="0"/>
          <c:tx>
            <c:strRef>
              <c:f>численность!$J$20</c:f>
              <c:strCache>
                <c:ptCount val="1"/>
                <c:pt idx="0">
                  <c:v>2015</c:v>
                </c:pt>
              </c:strCache>
            </c:strRef>
          </c:tx>
          <c:spPr>
            <a:solidFill>
              <a:schemeClr val="tx2">
                <a:lumMod val="60000"/>
                <a:lumOff val="40000"/>
              </a:schemeClr>
            </a:solidFill>
            <a:ln>
              <a:solidFill>
                <a:schemeClr val="tx2">
                  <a:lumMod val="60000"/>
                  <a:lumOff val="40000"/>
                </a:schemeClr>
              </a:solidFill>
            </a:ln>
          </c:spPr>
          <c:dLbls>
            <c:txPr>
              <a:bodyPr/>
              <a:lstStyle/>
              <a:p>
                <a:pPr>
                  <a:defRPr sz="800" b="1">
                    <a:latin typeface="Times New Roman" pitchFamily="18" charset="0"/>
                    <a:cs typeface="Times New Roman" pitchFamily="18" charset="0"/>
                  </a:defRPr>
                </a:pPr>
                <a:endParaRPr lang="ru-RU"/>
              </a:p>
            </c:txPr>
            <c:showVal val="1"/>
          </c:dLbls>
          <c:cat>
            <c:strRef>
              <c:f>численность!$H$21:$H$27</c:f>
              <c:strCache>
                <c:ptCount val="7"/>
                <c:pt idx="0">
                  <c:v>Волгоградская область</c:v>
                </c:pt>
                <c:pt idx="1">
                  <c:v>Ростовская область</c:v>
                </c:pt>
                <c:pt idx="2">
                  <c:v>Краснодарский край</c:v>
                </c:pt>
                <c:pt idx="3">
                  <c:v>Астраханская область</c:v>
                </c:pt>
                <c:pt idx="4">
                  <c:v>Саратовская область</c:v>
                </c:pt>
                <c:pt idx="5">
                  <c:v>Воронежская область</c:v>
                </c:pt>
                <c:pt idx="6">
                  <c:v>Белгородская область</c:v>
                </c:pt>
              </c:strCache>
            </c:strRef>
          </c:cat>
          <c:val>
            <c:numRef>
              <c:f>численность!$J$21:$J$27</c:f>
              <c:numCache>
                <c:formatCode>0.0</c:formatCode>
                <c:ptCount val="7"/>
                <c:pt idx="0">
                  <c:v>6.601731780126892</c:v>
                </c:pt>
                <c:pt idx="1">
                  <c:v>7.0205068755996045</c:v>
                </c:pt>
                <c:pt idx="2">
                  <c:v>8.7894466783413616</c:v>
                </c:pt>
                <c:pt idx="3">
                  <c:v>5.9427777891232934</c:v>
                </c:pt>
                <c:pt idx="4">
                  <c:v>7.0877934672083116</c:v>
                </c:pt>
                <c:pt idx="5">
                  <c:v>15.062126768696359</c:v>
                </c:pt>
                <c:pt idx="6">
                  <c:v>10.212312688087531</c:v>
                </c:pt>
              </c:numCache>
            </c:numRef>
          </c:val>
        </c:ser>
        <c:ser>
          <c:idx val="1"/>
          <c:order val="1"/>
          <c:tx>
            <c:strRef>
              <c:f>численность!$K$20</c:f>
              <c:strCache>
                <c:ptCount val="1"/>
                <c:pt idx="0">
                  <c:v>2016</c:v>
                </c:pt>
              </c:strCache>
            </c:strRef>
          </c:tx>
          <c:spPr>
            <a:solidFill>
              <a:srgbClr val="FFFF00"/>
            </a:solidFill>
            <a:ln>
              <a:solidFill>
                <a:srgbClr val="EEECE1">
                  <a:lumMod val="90000"/>
                </a:srgbClr>
              </a:solidFill>
            </a:ln>
            <a:effectLst>
              <a:outerShdw blurRad="50800" dist="50800" dir="5400000" algn="ctr" rotWithShape="0">
                <a:schemeClr val="tx2"/>
              </a:outerShdw>
            </a:effectLst>
            <a:scene3d>
              <a:camera prst="orthographicFront"/>
              <a:lightRig rig="threePt" dir="t"/>
            </a:scene3d>
            <a:sp3d>
              <a:bevelB/>
              <a:contourClr>
                <a:srgbClr val="000000"/>
              </a:contourClr>
            </a:sp3d>
          </c:spPr>
          <c:dLbls>
            <c:dLbl>
              <c:idx val="0"/>
              <c:layout>
                <c:manualLayout>
                  <c:x val="-1.2720545382118037E-2"/>
                  <c:y val="1.5699198303005715E-2"/>
                </c:manualLayout>
              </c:layout>
              <c:showVal val="1"/>
            </c:dLbl>
            <c:dLbl>
              <c:idx val="1"/>
              <c:layout>
                <c:manualLayout>
                  <c:x val="-1.6830424333149865E-2"/>
                  <c:y val="5.4502387990054184E-2"/>
                </c:manualLayout>
              </c:layout>
              <c:showVal val="1"/>
            </c:dLbl>
            <c:dLbl>
              <c:idx val="2"/>
              <c:layout>
                <c:manualLayout>
                  <c:x val="-1.327503359774671E-2"/>
                  <c:y val="4.6396729720277023E-2"/>
                </c:manualLayout>
              </c:layout>
              <c:showVal val="1"/>
            </c:dLbl>
            <c:dLbl>
              <c:idx val="3"/>
              <c:layout>
                <c:manualLayout>
                  <c:x val="-1.4960341229491461E-2"/>
                  <c:y val="4.9237939865675914E-2"/>
                </c:manualLayout>
              </c:layout>
              <c:showVal val="1"/>
            </c:dLbl>
            <c:dLbl>
              <c:idx val="4"/>
              <c:layout>
                <c:manualLayout>
                  <c:x val="-1.1774663237803381E-2"/>
                  <c:y val="4.5185565542720262E-2"/>
                </c:manualLayout>
              </c:layout>
              <c:showVal val="1"/>
            </c:dLbl>
            <c:dLbl>
              <c:idx val="5"/>
              <c:layout>
                <c:manualLayout>
                  <c:x val="-1.1220336822062521E-2"/>
                  <c:y val="3.1303795723949333E-2"/>
                </c:manualLayout>
              </c:layout>
              <c:showVal val="1"/>
            </c:dLbl>
            <c:dLbl>
              <c:idx val="6"/>
              <c:layout>
                <c:manualLayout>
                  <c:x val="-2.2048956115663758E-2"/>
                  <c:y val="3.7685716767688143E-2"/>
                </c:manualLayout>
              </c:layout>
              <c:showVal val="1"/>
            </c:dLbl>
            <c:txPr>
              <a:bodyPr/>
              <a:lstStyle/>
              <a:p>
                <a:pPr>
                  <a:defRPr sz="800" b="1">
                    <a:latin typeface="Times New Roman" pitchFamily="18" charset="0"/>
                    <a:cs typeface="Times New Roman" pitchFamily="18" charset="0"/>
                  </a:defRPr>
                </a:pPr>
                <a:endParaRPr lang="ru-RU"/>
              </a:p>
            </c:txPr>
            <c:showVal val="1"/>
          </c:dLbls>
          <c:cat>
            <c:strRef>
              <c:f>численность!$H$21:$H$27</c:f>
              <c:strCache>
                <c:ptCount val="7"/>
                <c:pt idx="0">
                  <c:v>Волгоградская область</c:v>
                </c:pt>
                <c:pt idx="1">
                  <c:v>Ростовская область</c:v>
                </c:pt>
                <c:pt idx="2">
                  <c:v>Краснодарский край</c:v>
                </c:pt>
                <c:pt idx="3">
                  <c:v>Астраханская область</c:v>
                </c:pt>
                <c:pt idx="4">
                  <c:v>Саратовская область</c:v>
                </c:pt>
                <c:pt idx="5">
                  <c:v>Воронежская область</c:v>
                </c:pt>
                <c:pt idx="6">
                  <c:v>Белгородская область</c:v>
                </c:pt>
              </c:strCache>
            </c:strRef>
          </c:cat>
          <c:val>
            <c:numRef>
              <c:f>численность!$K$21:$K$27</c:f>
              <c:numCache>
                <c:formatCode>0.0</c:formatCode>
                <c:ptCount val="7"/>
                <c:pt idx="0">
                  <c:v>21.523658452076745</c:v>
                </c:pt>
                <c:pt idx="1">
                  <c:v>30.478073273099689</c:v>
                </c:pt>
                <c:pt idx="2">
                  <c:v>33.488645972133753</c:v>
                </c:pt>
                <c:pt idx="3">
                  <c:v>27.481764746072923</c:v>
                </c:pt>
                <c:pt idx="4">
                  <c:v>24.279687530494712</c:v>
                </c:pt>
                <c:pt idx="5">
                  <c:v>30.046880476218735</c:v>
                </c:pt>
                <c:pt idx="6">
                  <c:v>30.069018954901789</c:v>
                </c:pt>
              </c:numCache>
            </c:numRef>
          </c:val>
        </c:ser>
        <c:ser>
          <c:idx val="2"/>
          <c:order val="2"/>
          <c:tx>
            <c:strRef>
              <c:f>численность!$L$20</c:f>
              <c:strCache>
                <c:ptCount val="1"/>
                <c:pt idx="0">
                  <c:v>2017</c:v>
                </c:pt>
              </c:strCache>
            </c:strRef>
          </c:tx>
          <c:spPr>
            <a:blipFill>
              <a:blip xmlns:r="http://schemas.openxmlformats.org/officeDocument/2006/relationships" r:embed="rId1"/>
              <a:tile tx="0" ty="0" sx="100000" sy="100000" flip="none" algn="tl"/>
            </a:blipFill>
          </c:spPr>
          <c:dLbls>
            <c:dLbl>
              <c:idx val="3"/>
              <c:layout>
                <c:manualLayout>
                  <c:x val="1.4960261804581579E-2"/>
                  <c:y val="1.6210739614994949E-2"/>
                </c:manualLayout>
              </c:layout>
              <c:showVal val="1"/>
            </c:dLbl>
            <c:txPr>
              <a:bodyPr/>
              <a:lstStyle/>
              <a:p>
                <a:pPr>
                  <a:defRPr sz="800" b="1">
                    <a:latin typeface="Times New Roman" pitchFamily="18" charset="0"/>
                    <a:cs typeface="Times New Roman" pitchFamily="18" charset="0"/>
                  </a:defRPr>
                </a:pPr>
                <a:endParaRPr lang="ru-RU"/>
              </a:p>
            </c:txPr>
            <c:showVal val="1"/>
          </c:dLbls>
          <c:cat>
            <c:strRef>
              <c:f>численность!$H$21:$H$27</c:f>
              <c:strCache>
                <c:ptCount val="7"/>
                <c:pt idx="0">
                  <c:v>Волгоградская область</c:v>
                </c:pt>
                <c:pt idx="1">
                  <c:v>Ростовская область</c:v>
                </c:pt>
                <c:pt idx="2">
                  <c:v>Краснодарский край</c:v>
                </c:pt>
                <c:pt idx="3">
                  <c:v>Астраханская область</c:v>
                </c:pt>
                <c:pt idx="4">
                  <c:v>Саратовская область</c:v>
                </c:pt>
                <c:pt idx="5">
                  <c:v>Воронежская область</c:v>
                </c:pt>
                <c:pt idx="6">
                  <c:v>Белгородская область</c:v>
                </c:pt>
              </c:strCache>
            </c:strRef>
          </c:cat>
          <c:val>
            <c:numRef>
              <c:f>численность!$L$21:$L$27</c:f>
              <c:numCache>
                <c:formatCode>0.0</c:formatCode>
                <c:ptCount val="7"/>
                <c:pt idx="0">
                  <c:v>23.74635359620682</c:v>
                </c:pt>
                <c:pt idx="1">
                  <c:v>33.499431885471282</c:v>
                </c:pt>
                <c:pt idx="2">
                  <c:v>32.953057625171965</c:v>
                </c:pt>
                <c:pt idx="3">
                  <c:v>22.696259164411604</c:v>
                </c:pt>
                <c:pt idx="4">
                  <c:v>25.622121187447533</c:v>
                </c:pt>
                <c:pt idx="5">
                  <c:v>31.220017240919589</c:v>
                </c:pt>
                <c:pt idx="6">
                  <c:v>32.134757600657345</c:v>
                </c:pt>
              </c:numCache>
            </c:numRef>
          </c:val>
        </c:ser>
        <c:shape val="box"/>
        <c:axId val="151951232"/>
        <c:axId val="152114304"/>
        <c:axId val="0"/>
      </c:bar3DChart>
      <c:catAx>
        <c:axId val="151951232"/>
        <c:scaling>
          <c:orientation val="minMax"/>
        </c:scaling>
        <c:axPos val="b"/>
        <c:tickLblPos val="nextTo"/>
        <c:txPr>
          <a:bodyPr/>
          <a:lstStyle/>
          <a:p>
            <a:pPr>
              <a:defRPr sz="800" b="0">
                <a:latin typeface="Times New Roman" pitchFamily="18" charset="0"/>
                <a:cs typeface="Times New Roman" pitchFamily="18" charset="0"/>
              </a:defRPr>
            </a:pPr>
            <a:endParaRPr lang="ru-RU"/>
          </a:p>
        </c:txPr>
        <c:crossAx val="152114304"/>
        <c:crosses val="autoZero"/>
        <c:auto val="1"/>
        <c:lblAlgn val="ctr"/>
        <c:lblOffset val="100"/>
      </c:catAx>
      <c:valAx>
        <c:axId val="152114304"/>
        <c:scaling>
          <c:orientation val="minMax"/>
        </c:scaling>
        <c:axPos val="l"/>
        <c:minorGridlines/>
        <c:numFmt formatCode="0.0" sourceLinked="1"/>
        <c:tickLblPos val="nextTo"/>
        <c:txPr>
          <a:bodyPr/>
          <a:lstStyle/>
          <a:p>
            <a:pPr>
              <a:defRPr sz="800">
                <a:latin typeface="Times New Roman" pitchFamily="18" charset="0"/>
                <a:cs typeface="Times New Roman" pitchFamily="18" charset="0"/>
              </a:defRPr>
            </a:pPr>
            <a:endParaRPr lang="ru-RU"/>
          </a:p>
        </c:txPr>
        <c:crossAx val="151951232"/>
        <c:crosses val="autoZero"/>
        <c:crossBetween val="between"/>
      </c:valAx>
    </c:plotArea>
    <c:legend>
      <c:legendPos val="r"/>
      <c:txPr>
        <a:bodyPr/>
        <a:lstStyle/>
        <a:p>
          <a:pPr>
            <a:defRPr sz="800">
              <a:latin typeface="Times New Roman" pitchFamily="18" charset="0"/>
              <a:cs typeface="Times New Roman" pitchFamily="18" charset="0"/>
            </a:defRPr>
          </a:pPr>
          <a:endParaRPr lang="ru-RU"/>
        </a:p>
      </c:txPr>
    </c:legend>
    <c:plotVisOnly val="1"/>
  </c:chart>
  <c:spPr>
    <a:gradFill>
      <a:gsLst>
        <a:gs pos="0">
          <a:schemeClr val="bg2">
            <a:lumMod val="75000"/>
          </a:schemeClr>
        </a:gs>
        <a:gs pos="50000">
          <a:srgbClr val="4F81BD">
            <a:tint val="44500"/>
            <a:satMod val="160000"/>
          </a:srgbClr>
        </a:gs>
        <a:gs pos="100000">
          <a:srgbClr val="4F81BD">
            <a:tint val="23500"/>
            <a:satMod val="160000"/>
          </a:srgbClr>
        </a:gs>
      </a:gsLst>
      <a:lin ang="5400000" scaled="0"/>
    </a:gradFill>
    <a:ln w="19050" cmpd="dbl">
      <a:solidFill>
        <a:schemeClr val="tx1"/>
      </a:solidFill>
    </a:ln>
    <a:effectLst>
      <a:outerShdw blurRad="50800" dist="50800" dir="5400000" algn="ctr" rotWithShape="0">
        <a:schemeClr val="accent1">
          <a:lumMod val="20000"/>
          <a:lumOff val="80000"/>
        </a:schemeClr>
      </a:outerShdw>
    </a:effectLst>
    <a:scene3d>
      <a:camera prst="orthographicFront"/>
      <a:lightRig rig="threePt" dir="t"/>
    </a:scene3d>
    <a:sp3d prstMaterial="matte">
      <a:bevelB prst="convex"/>
    </a:sp3d>
  </c:spPr>
  <c:externalData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900"/>
            </a:pPr>
            <a:r>
              <a:rPr lang="ru-RU" sz="900">
                <a:latin typeface="Times New Roman" pitchFamily="18" charset="0"/>
                <a:cs typeface="Times New Roman" pitchFamily="18" charset="0"/>
              </a:rPr>
              <a:t>Отношение  </a:t>
            </a:r>
            <a:r>
              <a:rPr lang="ru-RU" sz="900" baseline="0">
                <a:latin typeface="Times New Roman" pitchFamily="18" charset="0"/>
                <a:cs typeface="Times New Roman" pitchFamily="18" charset="0"/>
              </a:rPr>
              <a:t>оборота  СМСП к общему обороту организаций , %</a:t>
            </a:r>
            <a:endParaRPr lang="ru-RU" sz="900">
              <a:latin typeface="Times New Roman" pitchFamily="18" charset="0"/>
              <a:cs typeface="Times New Roman" pitchFamily="18" charset="0"/>
            </a:endParaRPr>
          </a:p>
        </c:rich>
      </c:tx>
    </c:title>
    <c:plotArea>
      <c:layout>
        <c:manualLayout>
          <c:layoutTarget val="inner"/>
          <c:xMode val="edge"/>
          <c:yMode val="edge"/>
          <c:x val="8.2300418743867024E-2"/>
          <c:y val="0.11687622130478682"/>
          <c:w val="0.7913262871294956"/>
          <c:h val="0.50115924978122528"/>
        </c:manualLayout>
      </c:layout>
      <c:lineChart>
        <c:grouping val="standard"/>
        <c:ser>
          <c:idx val="0"/>
          <c:order val="0"/>
          <c:tx>
            <c:strRef>
              <c:f>оборот!$P$60</c:f>
              <c:strCache>
                <c:ptCount val="1"/>
                <c:pt idx="0">
                  <c:v>2015</c:v>
                </c:pt>
              </c:strCache>
            </c:strRef>
          </c:tx>
          <c:dLbls>
            <c:dLbl>
              <c:idx val="0"/>
              <c:layout>
                <c:manualLayout>
                  <c:x val="-2.3941064668281397E-2"/>
                  <c:y val="-6.0150391766921704E-2"/>
                </c:manualLayout>
              </c:layout>
              <c:showVal val="1"/>
            </c:dLbl>
            <c:dLbl>
              <c:idx val="1"/>
              <c:layout>
                <c:manualLayout>
                  <c:x val="-8.2872916159435581E-2"/>
                  <c:y val="-2.6733507451965444E-2"/>
                </c:manualLayout>
              </c:layout>
              <c:showVal val="1"/>
            </c:dLbl>
            <c:dLbl>
              <c:idx val="2"/>
              <c:layout>
                <c:manualLayout>
                  <c:x val="-3.8674027541070126E-2"/>
                  <c:y val="-4.3441949609443455E-2"/>
                </c:manualLayout>
              </c:layout>
              <c:showVal val="1"/>
            </c:dLbl>
            <c:dLbl>
              <c:idx val="3"/>
              <c:layout>
                <c:manualLayout>
                  <c:x val="-5.5248610772956966E-2"/>
                  <c:y val="-1.6708442157478253E-2"/>
                </c:manualLayout>
              </c:layout>
              <c:showVal val="1"/>
            </c:dLbl>
            <c:spPr>
              <a:solidFill>
                <a:schemeClr val="accent1">
                  <a:lumMod val="20000"/>
                  <a:lumOff val="80000"/>
                </a:schemeClr>
              </a:solidFill>
            </c:spPr>
            <c:txPr>
              <a:bodyPr/>
              <a:lstStyle/>
              <a:p>
                <a:pPr>
                  <a:defRPr sz="800">
                    <a:latin typeface="Times New Roman" pitchFamily="18" charset="0"/>
                    <a:cs typeface="Times New Roman" pitchFamily="18" charset="0"/>
                  </a:defRPr>
                </a:pPr>
                <a:endParaRPr lang="ru-RU"/>
              </a:p>
            </c:txPr>
            <c:showVal val="1"/>
          </c:dLbls>
          <c:cat>
            <c:strRef>
              <c:f>оборот!$N$61:$O$67</c:f>
              <c:strCache>
                <c:ptCount val="7"/>
                <c:pt idx="0">
                  <c:v>Волгоградская область</c:v>
                </c:pt>
                <c:pt idx="1">
                  <c:v>Ростовская область</c:v>
                </c:pt>
                <c:pt idx="2">
                  <c:v>Краснодарский край</c:v>
                </c:pt>
                <c:pt idx="3">
                  <c:v>Астраханская область</c:v>
                </c:pt>
                <c:pt idx="4">
                  <c:v>Саратовская область</c:v>
                </c:pt>
                <c:pt idx="5">
                  <c:v>Воронежская область</c:v>
                </c:pt>
                <c:pt idx="6">
                  <c:v>Белгородская область</c:v>
                </c:pt>
              </c:strCache>
            </c:strRef>
          </c:cat>
          <c:val>
            <c:numRef>
              <c:f>оборот!$P$61:$P$67</c:f>
              <c:numCache>
                <c:formatCode>0.0</c:formatCode>
                <c:ptCount val="7"/>
                <c:pt idx="0">
                  <c:v>40.079628400796032</c:v>
                </c:pt>
                <c:pt idx="1">
                  <c:v>63.468554315273614</c:v>
                </c:pt>
                <c:pt idx="2">
                  <c:v>68.259347113972169</c:v>
                </c:pt>
                <c:pt idx="3">
                  <c:v>49.507021213026391</c:v>
                </c:pt>
                <c:pt idx="4">
                  <c:v>59.288025889967642</c:v>
                </c:pt>
                <c:pt idx="5">
                  <c:v>102.98270033803895</c:v>
                </c:pt>
                <c:pt idx="6">
                  <c:v>53.238022295975135</c:v>
                </c:pt>
              </c:numCache>
            </c:numRef>
          </c:val>
        </c:ser>
        <c:ser>
          <c:idx val="1"/>
          <c:order val="1"/>
          <c:tx>
            <c:strRef>
              <c:f>оборот!$Q$60</c:f>
              <c:strCache>
                <c:ptCount val="1"/>
                <c:pt idx="0">
                  <c:v>2016</c:v>
                </c:pt>
              </c:strCache>
            </c:strRef>
          </c:tx>
          <c:dLbls>
            <c:dLbl>
              <c:idx val="0"/>
              <c:layout>
                <c:manualLayout>
                  <c:x val="-6.2615092209351339E-2"/>
                  <c:y val="3.3416884314956502E-3"/>
                </c:manualLayout>
              </c:layout>
              <c:showVal val="1"/>
            </c:dLbl>
            <c:dLbl>
              <c:idx val="1"/>
              <c:layout>
                <c:manualLayout>
                  <c:x val="-4.0515647900168532E-2"/>
                  <c:y val="-4.0100261177947814E-2"/>
                </c:manualLayout>
              </c:layout>
              <c:showVal val="1"/>
            </c:dLbl>
            <c:dLbl>
              <c:idx val="3"/>
              <c:layout>
                <c:manualLayout>
                  <c:x val="-3.8674027541070126E-2"/>
                  <c:y val="-3.6758572746452153E-2"/>
                </c:manualLayout>
              </c:layout>
              <c:showVal val="1"/>
            </c:dLbl>
            <c:dLbl>
              <c:idx val="4"/>
              <c:layout>
                <c:manualLayout>
                  <c:x val="-3.8674027541070057E-2"/>
                  <c:y val="-3.6758572746452153E-2"/>
                </c:manualLayout>
              </c:layout>
              <c:showVal val="1"/>
            </c:dLbl>
            <c:dLbl>
              <c:idx val="5"/>
              <c:layout>
                <c:manualLayout>
                  <c:x val="-3.3149166463774256E-2"/>
                  <c:y val="4.0100261177947814E-2"/>
                </c:manualLayout>
              </c:layout>
              <c:tx>
                <c:rich>
                  <a:bodyPr/>
                  <a:lstStyle/>
                  <a:p>
                    <a:r>
                      <a:rPr lang="en-US" sz="800" b="0" i="1">
                        <a:latin typeface="Times New Roman" pitchFamily="18" charset="0"/>
                        <a:cs typeface="Times New Roman" pitchFamily="18" charset="0"/>
                      </a:rPr>
                      <a:t>9</a:t>
                    </a:r>
                    <a:r>
                      <a:rPr lang="en-US" sz="800"/>
                      <a:t>4,4</a:t>
                    </a:r>
                  </a:p>
                </c:rich>
              </c:tx>
              <c:showVal val="1"/>
            </c:dLbl>
            <c:spPr>
              <a:solidFill>
                <a:schemeClr val="accent2">
                  <a:lumMod val="40000"/>
                  <a:lumOff val="60000"/>
                </a:schemeClr>
              </a:solidFill>
            </c:spPr>
            <c:txPr>
              <a:bodyPr/>
              <a:lstStyle/>
              <a:p>
                <a:pPr>
                  <a:defRPr sz="800" b="0">
                    <a:latin typeface="Times New Roman" pitchFamily="18" charset="0"/>
                    <a:cs typeface="Times New Roman" pitchFamily="18" charset="0"/>
                  </a:defRPr>
                </a:pPr>
                <a:endParaRPr lang="ru-RU"/>
              </a:p>
            </c:txPr>
            <c:showVal val="1"/>
          </c:dLbls>
          <c:cat>
            <c:strRef>
              <c:f>оборот!$N$61:$O$67</c:f>
              <c:strCache>
                <c:ptCount val="7"/>
                <c:pt idx="0">
                  <c:v>Волгоградская область</c:v>
                </c:pt>
                <c:pt idx="1">
                  <c:v>Ростовская область</c:v>
                </c:pt>
                <c:pt idx="2">
                  <c:v>Краснодарский край</c:v>
                </c:pt>
                <c:pt idx="3">
                  <c:v>Астраханская область</c:v>
                </c:pt>
                <c:pt idx="4">
                  <c:v>Саратовская область</c:v>
                </c:pt>
                <c:pt idx="5">
                  <c:v>Воронежская область</c:v>
                </c:pt>
                <c:pt idx="6">
                  <c:v>Белгородская область</c:v>
                </c:pt>
              </c:strCache>
            </c:strRef>
          </c:cat>
          <c:val>
            <c:numRef>
              <c:f>оборот!$Q$61:$Q$67</c:f>
              <c:numCache>
                <c:formatCode>0.0</c:formatCode>
                <c:ptCount val="7"/>
                <c:pt idx="0">
                  <c:v>36.773717238833562</c:v>
                </c:pt>
                <c:pt idx="1">
                  <c:v>71.948971672487389</c:v>
                </c:pt>
                <c:pt idx="2">
                  <c:v>61.304222924446997</c:v>
                </c:pt>
                <c:pt idx="3">
                  <c:v>66.309859154929228</c:v>
                </c:pt>
                <c:pt idx="4">
                  <c:v>56.032030344537191</c:v>
                </c:pt>
                <c:pt idx="5">
                  <c:v>94.444444444444727</c:v>
                </c:pt>
                <c:pt idx="6">
                  <c:v>53.696465696465864</c:v>
                </c:pt>
              </c:numCache>
            </c:numRef>
          </c:val>
        </c:ser>
        <c:ser>
          <c:idx val="2"/>
          <c:order val="2"/>
          <c:tx>
            <c:strRef>
              <c:f>оборот!$R$60</c:f>
              <c:strCache>
                <c:ptCount val="1"/>
                <c:pt idx="0">
                  <c:v>2017</c:v>
                </c:pt>
              </c:strCache>
            </c:strRef>
          </c:tx>
          <c:dLbls>
            <c:spPr>
              <a:solidFill>
                <a:schemeClr val="accent3"/>
              </a:solidFill>
            </c:spPr>
            <c:txPr>
              <a:bodyPr/>
              <a:lstStyle/>
              <a:p>
                <a:pPr>
                  <a:defRPr sz="800" b="0">
                    <a:latin typeface="Times New Roman" pitchFamily="18" charset="0"/>
                    <a:cs typeface="Times New Roman" pitchFamily="18" charset="0"/>
                  </a:defRPr>
                </a:pPr>
                <a:endParaRPr lang="ru-RU"/>
              </a:p>
            </c:txPr>
            <c:showVal val="1"/>
          </c:dLbls>
          <c:cat>
            <c:strRef>
              <c:f>оборот!$N$61:$O$67</c:f>
              <c:strCache>
                <c:ptCount val="7"/>
                <c:pt idx="0">
                  <c:v>Волгоградская область</c:v>
                </c:pt>
                <c:pt idx="1">
                  <c:v>Ростовская область</c:v>
                </c:pt>
                <c:pt idx="2">
                  <c:v>Краснодарский край</c:v>
                </c:pt>
                <c:pt idx="3">
                  <c:v>Астраханская область</c:v>
                </c:pt>
                <c:pt idx="4">
                  <c:v>Саратовская область</c:v>
                </c:pt>
                <c:pt idx="5">
                  <c:v>Воронежская область</c:v>
                </c:pt>
                <c:pt idx="6">
                  <c:v>Белгородская область</c:v>
                </c:pt>
              </c:strCache>
            </c:strRef>
          </c:cat>
          <c:val>
            <c:numRef>
              <c:f>оборот!$R$61:$R$67</c:f>
              <c:numCache>
                <c:formatCode>0.0</c:formatCode>
                <c:ptCount val="7"/>
                <c:pt idx="0">
                  <c:v>36.486559284598393</c:v>
                </c:pt>
                <c:pt idx="1">
                  <c:v>52.487908301861793</c:v>
                </c:pt>
                <c:pt idx="2">
                  <c:v>50.746490223522933</c:v>
                </c:pt>
                <c:pt idx="3">
                  <c:v>43.843951324266136</c:v>
                </c:pt>
                <c:pt idx="4">
                  <c:v>48.137278878291347</c:v>
                </c:pt>
                <c:pt idx="5">
                  <c:v>59.596348438187462</c:v>
                </c:pt>
                <c:pt idx="6">
                  <c:v>38.709312199264083</c:v>
                </c:pt>
              </c:numCache>
            </c:numRef>
          </c:val>
        </c:ser>
        <c:marker val="1"/>
        <c:axId val="154311296"/>
        <c:axId val="160028160"/>
      </c:lineChart>
      <c:catAx>
        <c:axId val="154311296"/>
        <c:scaling>
          <c:orientation val="minMax"/>
        </c:scaling>
        <c:axPos val="b"/>
        <c:majorGridlines/>
        <c:tickLblPos val="nextTo"/>
        <c:txPr>
          <a:bodyPr/>
          <a:lstStyle/>
          <a:p>
            <a:pPr>
              <a:defRPr sz="800" b="0" i="0">
                <a:latin typeface="Times New Roman" pitchFamily="18" charset="0"/>
                <a:cs typeface="Times New Roman" pitchFamily="18" charset="0"/>
              </a:defRPr>
            </a:pPr>
            <a:endParaRPr lang="ru-RU"/>
          </a:p>
        </c:txPr>
        <c:crossAx val="160028160"/>
        <c:crosses val="autoZero"/>
        <c:auto val="1"/>
        <c:lblAlgn val="ctr"/>
        <c:lblOffset val="100"/>
      </c:catAx>
      <c:valAx>
        <c:axId val="160028160"/>
        <c:scaling>
          <c:orientation val="minMax"/>
        </c:scaling>
        <c:axPos val="l"/>
        <c:majorGridlines/>
        <c:numFmt formatCode="0" sourceLinked="0"/>
        <c:tickLblPos val="nextTo"/>
        <c:txPr>
          <a:bodyPr/>
          <a:lstStyle/>
          <a:p>
            <a:pPr>
              <a:defRPr sz="800">
                <a:latin typeface="Times New Roman" pitchFamily="18" charset="0"/>
                <a:cs typeface="Times New Roman" pitchFamily="18" charset="0"/>
              </a:defRPr>
            </a:pPr>
            <a:endParaRPr lang="ru-RU"/>
          </a:p>
        </c:txPr>
        <c:crossAx val="154311296"/>
        <c:crosses val="autoZero"/>
        <c:crossBetween val="between"/>
      </c:valAx>
      <c:spPr>
        <a:ln>
          <a:solidFill>
            <a:schemeClr val="tx1">
              <a:lumMod val="85000"/>
              <a:lumOff val="15000"/>
            </a:schemeClr>
          </a:solidFill>
        </a:ln>
      </c:spPr>
    </c:plotArea>
    <c:legend>
      <c:legendPos val="r"/>
      <c:txPr>
        <a:bodyPr/>
        <a:lstStyle/>
        <a:p>
          <a:pPr>
            <a:defRPr sz="800">
              <a:latin typeface="Times New Roman" pitchFamily="18" charset="0"/>
              <a:cs typeface="Times New Roman" pitchFamily="18" charset="0"/>
            </a:defRPr>
          </a:pPr>
          <a:endParaRPr lang="ru-RU"/>
        </a:p>
      </c:txPr>
    </c:legend>
    <c:plotVisOnly val="1"/>
  </c:chart>
  <c:spPr>
    <a:solidFill>
      <a:schemeClr val="bg2">
        <a:lumMod val="90000"/>
      </a:schemeClr>
    </a:solidFill>
    <a:ln>
      <a:solidFill>
        <a:schemeClr val="bg2">
          <a:lumMod val="90000"/>
        </a:schemeClr>
      </a:solidFill>
    </a:ln>
  </c:sp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900">
                <a:latin typeface="Times New Roman" pitchFamily="18" charset="0"/>
                <a:cs typeface="Times New Roman" pitchFamily="18" charset="0"/>
              </a:defRPr>
            </a:pPr>
            <a:r>
              <a:rPr lang="ru-RU" sz="900">
                <a:latin typeface="Times New Roman" pitchFamily="18" charset="0"/>
                <a:cs typeface="Times New Roman" pitchFamily="18" charset="0"/>
              </a:rPr>
              <a:t>Объем налоговых поступлений по спецрежимам</a:t>
            </a:r>
            <a:r>
              <a:rPr lang="ru-RU" sz="900" baseline="0">
                <a:latin typeface="Times New Roman" pitchFamily="18" charset="0"/>
                <a:cs typeface="Times New Roman" pitchFamily="18" charset="0"/>
              </a:rPr>
              <a:t> </a:t>
            </a:r>
            <a:r>
              <a:rPr lang="ru-RU" sz="900">
                <a:latin typeface="Times New Roman" pitchFamily="18" charset="0"/>
                <a:cs typeface="Times New Roman" pitchFamily="18" charset="0"/>
              </a:rPr>
              <a:t>на 1 СМСП (тыс.руб.) </a:t>
            </a:r>
          </a:p>
        </c:rich>
      </c:tx>
    </c:title>
    <c:view3D>
      <c:rAngAx val="1"/>
    </c:view3D>
    <c:plotArea>
      <c:layout/>
      <c:bar3DChart>
        <c:barDir val="bar"/>
        <c:grouping val="clustered"/>
        <c:ser>
          <c:idx val="0"/>
          <c:order val="0"/>
          <c:tx>
            <c:strRef>
              <c:f>'Мест-Спец (2)'!$M$42</c:f>
              <c:strCache>
                <c:ptCount val="1"/>
                <c:pt idx="0">
                  <c:v>2016</c:v>
                </c:pt>
              </c:strCache>
            </c:strRef>
          </c:tx>
          <c:spPr>
            <a:solidFill>
              <a:srgbClr val="FFC000"/>
            </a:solidFill>
          </c:spPr>
          <c:dLbls>
            <c:txPr>
              <a:bodyPr/>
              <a:lstStyle/>
              <a:p>
                <a:pPr>
                  <a:defRPr sz="800" b="0">
                    <a:latin typeface="Times New Roman" pitchFamily="18" charset="0"/>
                    <a:cs typeface="Times New Roman" pitchFamily="18" charset="0"/>
                  </a:defRPr>
                </a:pPr>
                <a:endParaRPr lang="ru-RU"/>
              </a:p>
            </c:txPr>
            <c:showVal val="1"/>
          </c:dLbls>
          <c:cat>
            <c:strRef>
              <c:f>'Мест-Спец (2)'!$K$43:$L$49</c:f>
              <c:strCache>
                <c:ptCount val="7"/>
                <c:pt idx="0">
                  <c:v>Волгоградская область</c:v>
                </c:pt>
                <c:pt idx="1">
                  <c:v>Ростовская область</c:v>
                </c:pt>
                <c:pt idx="2">
                  <c:v>Краснодарский край</c:v>
                </c:pt>
                <c:pt idx="3">
                  <c:v>Астраханская область</c:v>
                </c:pt>
                <c:pt idx="4">
                  <c:v>Саратовская область</c:v>
                </c:pt>
                <c:pt idx="5">
                  <c:v>Воронежская область</c:v>
                </c:pt>
                <c:pt idx="6">
                  <c:v>Белгородская область</c:v>
                </c:pt>
              </c:strCache>
            </c:strRef>
          </c:cat>
          <c:val>
            <c:numRef>
              <c:f>'Мест-Спец (2)'!$M$43:$M$49</c:f>
              <c:numCache>
                <c:formatCode>#,##0.0</c:formatCode>
                <c:ptCount val="7"/>
                <c:pt idx="0">
                  <c:v>61.011098901098897</c:v>
                </c:pt>
                <c:pt idx="1">
                  <c:v>64.248444573418453</c:v>
                </c:pt>
                <c:pt idx="2">
                  <c:v>70.554985401459859</c:v>
                </c:pt>
                <c:pt idx="3">
                  <c:v>56.876767371600998</c:v>
                </c:pt>
                <c:pt idx="4">
                  <c:v>59.128507462686414</c:v>
                </c:pt>
                <c:pt idx="5">
                  <c:v>58.199777777777783</c:v>
                </c:pt>
                <c:pt idx="6">
                  <c:v>44.549388083735906</c:v>
                </c:pt>
              </c:numCache>
            </c:numRef>
          </c:val>
        </c:ser>
        <c:ser>
          <c:idx val="1"/>
          <c:order val="1"/>
          <c:tx>
            <c:strRef>
              <c:f>'Мест-Спец (2)'!$N$42</c:f>
              <c:strCache>
                <c:ptCount val="1"/>
                <c:pt idx="0">
                  <c:v>2017</c:v>
                </c:pt>
              </c:strCache>
            </c:strRef>
          </c:tx>
          <c:spPr>
            <a:solidFill>
              <a:schemeClr val="accent4">
                <a:lumMod val="75000"/>
              </a:schemeClr>
            </a:solidFill>
          </c:spPr>
          <c:dLbls>
            <c:dLbl>
              <c:idx val="6"/>
              <c:layout>
                <c:manualLayout>
                  <c:x val="8.5515766969535226E-3"/>
                  <c:y val="-1.4732614644682987E-2"/>
                </c:manualLayout>
              </c:layout>
              <c:showVal val="1"/>
            </c:dLbl>
            <c:txPr>
              <a:bodyPr/>
              <a:lstStyle/>
              <a:p>
                <a:pPr>
                  <a:defRPr sz="800" b="0">
                    <a:latin typeface="Times New Roman" pitchFamily="18" charset="0"/>
                    <a:cs typeface="Times New Roman" pitchFamily="18" charset="0"/>
                  </a:defRPr>
                </a:pPr>
                <a:endParaRPr lang="ru-RU"/>
              </a:p>
            </c:txPr>
            <c:showVal val="1"/>
          </c:dLbls>
          <c:cat>
            <c:strRef>
              <c:f>'Мест-Спец (2)'!$K$43:$L$49</c:f>
              <c:strCache>
                <c:ptCount val="7"/>
                <c:pt idx="0">
                  <c:v>Волгоградская область</c:v>
                </c:pt>
                <c:pt idx="1">
                  <c:v>Ростовская область</c:v>
                </c:pt>
                <c:pt idx="2">
                  <c:v>Краснодарский край</c:v>
                </c:pt>
                <c:pt idx="3">
                  <c:v>Астраханская область</c:v>
                </c:pt>
                <c:pt idx="4">
                  <c:v>Саратовская область</c:v>
                </c:pt>
                <c:pt idx="5">
                  <c:v>Воронежская область</c:v>
                </c:pt>
                <c:pt idx="6">
                  <c:v>Белгородская область</c:v>
                </c:pt>
              </c:strCache>
            </c:strRef>
          </c:cat>
          <c:val>
            <c:numRef>
              <c:f>'Мест-Спец (2)'!$N$43:$N$49</c:f>
              <c:numCache>
                <c:formatCode>#,##0.0</c:formatCode>
                <c:ptCount val="7"/>
                <c:pt idx="0">
                  <c:v>65.873531553397598</c:v>
                </c:pt>
                <c:pt idx="1">
                  <c:v>71.177981961668479</c:v>
                </c:pt>
                <c:pt idx="2">
                  <c:v>74.880813788201863</c:v>
                </c:pt>
                <c:pt idx="3">
                  <c:v>61.512198142415073</c:v>
                </c:pt>
                <c:pt idx="4">
                  <c:v>65.145407209612813</c:v>
                </c:pt>
                <c:pt idx="5">
                  <c:v>65.760102040816335</c:v>
                </c:pt>
                <c:pt idx="6">
                  <c:v>47.855015290520051</c:v>
                </c:pt>
              </c:numCache>
            </c:numRef>
          </c:val>
        </c:ser>
        <c:shape val="box"/>
        <c:axId val="168314368"/>
        <c:axId val="168315904"/>
        <c:axId val="0"/>
      </c:bar3DChart>
      <c:catAx>
        <c:axId val="168314368"/>
        <c:scaling>
          <c:orientation val="minMax"/>
        </c:scaling>
        <c:axPos val="l"/>
        <c:tickLblPos val="nextTo"/>
        <c:txPr>
          <a:bodyPr/>
          <a:lstStyle/>
          <a:p>
            <a:pPr>
              <a:defRPr sz="800" b="0" i="0">
                <a:latin typeface="Times New Roman" pitchFamily="18" charset="0"/>
                <a:cs typeface="Times New Roman" pitchFamily="18" charset="0"/>
              </a:defRPr>
            </a:pPr>
            <a:endParaRPr lang="ru-RU"/>
          </a:p>
        </c:txPr>
        <c:crossAx val="168315904"/>
        <c:crosses val="autoZero"/>
        <c:auto val="1"/>
        <c:lblAlgn val="ctr"/>
        <c:lblOffset val="100"/>
      </c:catAx>
      <c:valAx>
        <c:axId val="168315904"/>
        <c:scaling>
          <c:orientation val="minMax"/>
        </c:scaling>
        <c:axPos val="b"/>
        <c:majorGridlines/>
        <c:numFmt formatCode="#,##0.0" sourceLinked="1"/>
        <c:tickLblPos val="nextTo"/>
        <c:txPr>
          <a:bodyPr/>
          <a:lstStyle/>
          <a:p>
            <a:pPr>
              <a:defRPr sz="800" b="0">
                <a:latin typeface="Times New Roman" pitchFamily="18" charset="0"/>
                <a:cs typeface="Times New Roman" pitchFamily="18" charset="0"/>
              </a:defRPr>
            </a:pPr>
            <a:endParaRPr lang="ru-RU"/>
          </a:p>
        </c:txPr>
        <c:crossAx val="168314368"/>
        <c:crosses val="autoZero"/>
        <c:crossBetween val="between"/>
      </c:valAx>
      <c:spPr>
        <a:solidFill>
          <a:schemeClr val="bg1"/>
        </a:solidFill>
        <a:ln>
          <a:solidFill>
            <a:schemeClr val="bg2">
              <a:lumMod val="90000"/>
            </a:schemeClr>
          </a:solidFill>
        </a:ln>
      </c:spPr>
    </c:plotArea>
    <c:legend>
      <c:legendPos val="r"/>
      <c:txPr>
        <a:bodyPr/>
        <a:lstStyle/>
        <a:p>
          <a:pPr>
            <a:defRPr sz="800" b="0">
              <a:latin typeface="Times New Roman" pitchFamily="18" charset="0"/>
              <a:cs typeface="Times New Roman" pitchFamily="18" charset="0"/>
            </a:defRPr>
          </a:pPr>
          <a:endParaRPr lang="ru-RU"/>
        </a:p>
      </c:txPr>
    </c:legend>
    <c:plotVisOnly val="1"/>
  </c:chart>
  <c:spPr>
    <a:solidFill>
      <a:srgbClr val="EEECE1">
        <a:lumMod val="90000"/>
      </a:srgbClr>
    </a:solidFill>
  </c:sp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roundedCorners val="1"/>
  <c:chart>
    <c:title>
      <c:tx>
        <c:rich>
          <a:bodyPr/>
          <a:lstStyle/>
          <a:p>
            <a:pPr>
              <a:defRPr sz="800">
                <a:latin typeface="Times New Roman" pitchFamily="18" charset="0"/>
                <a:cs typeface="Times New Roman" pitchFamily="18" charset="0"/>
              </a:defRPr>
            </a:pPr>
            <a:r>
              <a:rPr lang="ru-RU" sz="800">
                <a:latin typeface="Times New Roman" pitchFamily="18" charset="0"/>
                <a:cs typeface="Times New Roman" pitchFamily="18" charset="0"/>
              </a:rPr>
              <a:t>Доля</a:t>
            </a:r>
            <a:r>
              <a:rPr lang="ru-RU" sz="800" baseline="0">
                <a:latin typeface="Times New Roman" pitchFamily="18" charset="0"/>
                <a:cs typeface="Times New Roman" pitchFamily="18" charset="0"/>
              </a:rPr>
              <a:t>  поступлений по спецрежимам  в общем объеме поступлений  налоговых доходов в консолидированные бюджеты (%)</a:t>
            </a:r>
            <a:endParaRPr lang="ru-RU" sz="800">
              <a:latin typeface="Times New Roman" pitchFamily="18" charset="0"/>
              <a:cs typeface="Times New Roman" pitchFamily="18" charset="0"/>
            </a:endParaRPr>
          </a:p>
        </c:rich>
      </c:tx>
      <c:layout>
        <c:manualLayout>
          <c:xMode val="edge"/>
          <c:yMode val="edge"/>
          <c:x val="0.18179833563458644"/>
          <c:y val="1.8272935181347948E-2"/>
        </c:manualLayout>
      </c:layout>
    </c:title>
    <c:plotArea>
      <c:layout>
        <c:manualLayout>
          <c:layoutTarget val="inner"/>
          <c:xMode val="edge"/>
          <c:yMode val="edge"/>
          <c:x val="0.2286548521360004"/>
          <c:y val="0.16488689536213544"/>
          <c:w val="0.66120998550099974"/>
          <c:h val="0.67999266144394765"/>
        </c:manualLayout>
      </c:layout>
      <c:barChart>
        <c:barDir val="col"/>
        <c:grouping val="clustered"/>
        <c:ser>
          <c:idx val="0"/>
          <c:order val="0"/>
          <c:tx>
            <c:strRef>
              <c:f>'Мест-Спец (2)'!$P$5</c:f>
              <c:strCache>
                <c:ptCount val="1"/>
                <c:pt idx="0">
                  <c:v>2015</c:v>
                </c:pt>
              </c:strCache>
            </c:strRef>
          </c:tx>
          <c:spPr>
            <a:blipFill>
              <a:blip xmlns:r="http://schemas.openxmlformats.org/officeDocument/2006/relationships" r:embed="rId1"/>
              <a:tile tx="0" ty="0" sx="100000" sy="100000" flip="none" algn="tl"/>
            </a:blipFill>
            <a:ln>
              <a:solidFill>
                <a:srgbClr val="FF0000"/>
              </a:solidFill>
            </a:ln>
          </c:spPr>
          <c:dLbls>
            <c:dLbl>
              <c:idx val="0"/>
              <c:layout>
                <c:manualLayout>
                  <c:x val="-6.3008658481163585E-3"/>
                  <c:y val="0"/>
                </c:manualLayout>
              </c:layout>
              <c:showVal val="1"/>
            </c:dLbl>
            <c:dLbl>
              <c:idx val="1"/>
              <c:layout>
                <c:manualLayout>
                  <c:x val="-1.575216462029097E-2"/>
                  <c:y val="1.1861613266576282E-2"/>
                </c:manualLayout>
              </c:layout>
              <c:showVal val="1"/>
            </c:dLbl>
            <c:dLbl>
              <c:idx val="2"/>
              <c:layout>
                <c:manualLayout>
                  <c:x val="-1.1026515234203765E-2"/>
                  <c:y val="1.1861613266576282E-2"/>
                </c:manualLayout>
              </c:layout>
              <c:showVal val="1"/>
            </c:dLbl>
            <c:dLbl>
              <c:idx val="3"/>
              <c:layout>
                <c:manualLayout>
                  <c:x val="-1.2601731696232955E-2"/>
                  <c:y val="1.1861613266576318E-2"/>
                </c:manualLayout>
              </c:layout>
              <c:showVal val="1"/>
            </c:dLbl>
            <c:dLbl>
              <c:idx val="4"/>
              <c:layout>
                <c:manualLayout>
                  <c:x val="-1.575216462029097E-2"/>
                  <c:y val="-3.6243399627694214E-17"/>
                </c:manualLayout>
              </c:layout>
              <c:showVal val="1"/>
            </c:dLbl>
            <c:dLbl>
              <c:idx val="5"/>
              <c:layout>
                <c:manualLayout>
                  <c:x val="-7.8760823101454852E-3"/>
                  <c:y val="3.9538710888587392E-3"/>
                </c:manualLayout>
              </c:layout>
              <c:showVal val="1"/>
            </c:dLbl>
            <c:dLbl>
              <c:idx val="6"/>
              <c:layout>
                <c:manualLayout>
                  <c:x val="-1.7327381082320067E-2"/>
                  <c:y val="7.9077421777174802E-3"/>
                </c:manualLayout>
              </c:layout>
              <c:showVal val="1"/>
            </c:dLbl>
            <c:spPr>
              <a:solidFill>
                <a:sysClr val="window" lastClr="FFFFFF"/>
              </a:solidFill>
            </c:spPr>
            <c:txPr>
              <a:bodyPr/>
              <a:lstStyle/>
              <a:p>
                <a:pPr>
                  <a:defRPr sz="800" b="1">
                    <a:latin typeface="Times New Roman" pitchFamily="18" charset="0"/>
                    <a:cs typeface="Times New Roman" pitchFamily="18" charset="0"/>
                  </a:defRPr>
                </a:pPr>
                <a:endParaRPr lang="ru-RU"/>
              </a:p>
            </c:txPr>
            <c:showVal val="1"/>
          </c:dLbls>
          <c:cat>
            <c:strRef>
              <c:f>'Мест-Спец (2)'!$O$6:$O$12</c:f>
              <c:strCache>
                <c:ptCount val="7"/>
                <c:pt idx="0">
                  <c:v>Волгоградская область</c:v>
                </c:pt>
                <c:pt idx="1">
                  <c:v>Ростовская область</c:v>
                </c:pt>
                <c:pt idx="2">
                  <c:v>Краснодарский край</c:v>
                </c:pt>
                <c:pt idx="3">
                  <c:v>Астраханская область</c:v>
                </c:pt>
                <c:pt idx="4">
                  <c:v>Саратовская область</c:v>
                </c:pt>
                <c:pt idx="5">
                  <c:v>Воронежская область</c:v>
                </c:pt>
                <c:pt idx="6">
                  <c:v>Белгородская область</c:v>
                </c:pt>
              </c:strCache>
            </c:strRef>
          </c:cat>
          <c:val>
            <c:numRef>
              <c:f>'Мест-Спец (2)'!$P$6:$P$12</c:f>
              <c:numCache>
                <c:formatCode>#,##0.0</c:formatCode>
                <c:ptCount val="7"/>
                <c:pt idx="0">
                  <c:v>5.6443179526999616</c:v>
                </c:pt>
                <c:pt idx="1">
                  <c:v>8.7036602824033533</c:v>
                </c:pt>
                <c:pt idx="2">
                  <c:v>9.8734690213140848</c:v>
                </c:pt>
                <c:pt idx="3">
                  <c:v>5.2854423057600872</c:v>
                </c:pt>
                <c:pt idx="4">
                  <c:v>6.1791060972512142</c:v>
                </c:pt>
                <c:pt idx="5">
                  <c:v>7.3237082535408966</c:v>
                </c:pt>
                <c:pt idx="6">
                  <c:v>5.0899412018344714</c:v>
                </c:pt>
              </c:numCache>
            </c:numRef>
          </c:val>
        </c:ser>
        <c:ser>
          <c:idx val="1"/>
          <c:order val="1"/>
          <c:tx>
            <c:strRef>
              <c:f>'Мест-Спец (2)'!$Q$5</c:f>
              <c:strCache>
                <c:ptCount val="1"/>
                <c:pt idx="0">
                  <c:v>2016</c:v>
                </c:pt>
              </c:strCache>
            </c:strRef>
          </c:tx>
          <c:spPr>
            <a:solidFill>
              <a:srgbClr val="FFFF00"/>
            </a:solidFill>
          </c:spPr>
          <c:dLbls>
            <c:dLbl>
              <c:idx val="0"/>
              <c:layout>
                <c:manualLayout>
                  <c:x val="0"/>
                  <c:y val="0.14154154257134197"/>
                </c:manualLayout>
              </c:layout>
              <c:showVal val="1"/>
            </c:dLbl>
            <c:dLbl>
              <c:idx val="1"/>
              <c:layout>
                <c:manualLayout>
                  <c:x val="4.27578834847675E-3"/>
                  <c:y val="0.14154154257134194"/>
                </c:manualLayout>
              </c:layout>
              <c:showVal val="1"/>
            </c:dLbl>
            <c:dLbl>
              <c:idx val="2"/>
              <c:layout>
                <c:manualLayout>
                  <c:x val="2.1378941742383802E-3"/>
                  <c:y val="0.15787325902188021"/>
                </c:manualLayout>
              </c:layout>
              <c:showVal val="1"/>
            </c:dLbl>
            <c:dLbl>
              <c:idx val="3"/>
              <c:layout>
                <c:manualLayout>
                  <c:x val="0"/>
                  <c:y val="0.10343420418674953"/>
                </c:manualLayout>
              </c:layout>
              <c:showVal val="1"/>
            </c:dLbl>
            <c:dLbl>
              <c:idx val="4"/>
              <c:layout>
                <c:manualLayout>
                  <c:x val="2.1378941742384592E-3"/>
                  <c:y val="0.10887810967026221"/>
                </c:manualLayout>
              </c:layout>
              <c:showVal val="1"/>
            </c:dLbl>
            <c:dLbl>
              <c:idx val="5"/>
              <c:layout>
                <c:manualLayout>
                  <c:x val="0"/>
                  <c:y val="0.13065373160431465"/>
                </c:manualLayout>
              </c:layout>
              <c:showVal val="1"/>
            </c:dLbl>
            <c:dLbl>
              <c:idx val="6"/>
              <c:layout>
                <c:manualLayout>
                  <c:x val="0"/>
                  <c:y val="0.16331716450539432"/>
                </c:manualLayout>
              </c:layout>
              <c:showVal val="1"/>
            </c:dLbl>
            <c:spPr>
              <a:solidFill>
                <a:sysClr val="window" lastClr="FFFFFF"/>
              </a:solidFill>
            </c:spPr>
            <c:txPr>
              <a:bodyPr/>
              <a:lstStyle/>
              <a:p>
                <a:pPr>
                  <a:defRPr sz="800" b="1">
                    <a:latin typeface="Times New Roman" pitchFamily="18" charset="0"/>
                    <a:cs typeface="Times New Roman" pitchFamily="18" charset="0"/>
                  </a:defRPr>
                </a:pPr>
                <a:endParaRPr lang="ru-RU"/>
              </a:p>
            </c:txPr>
            <c:showVal val="1"/>
          </c:dLbls>
          <c:cat>
            <c:strRef>
              <c:f>'Мест-Спец (2)'!$O$6:$O$12</c:f>
              <c:strCache>
                <c:ptCount val="7"/>
                <c:pt idx="0">
                  <c:v>Волгоградская область</c:v>
                </c:pt>
                <c:pt idx="1">
                  <c:v>Ростовская область</c:v>
                </c:pt>
                <c:pt idx="2">
                  <c:v>Краснодарский край</c:v>
                </c:pt>
                <c:pt idx="3">
                  <c:v>Астраханская область</c:v>
                </c:pt>
                <c:pt idx="4">
                  <c:v>Саратовская область</c:v>
                </c:pt>
                <c:pt idx="5">
                  <c:v>Воронежская область</c:v>
                </c:pt>
                <c:pt idx="6">
                  <c:v>Белгородская область</c:v>
                </c:pt>
              </c:strCache>
            </c:strRef>
          </c:cat>
          <c:val>
            <c:numRef>
              <c:f>'Мест-Спец (2)'!$Q$6:$Q$12</c:f>
              <c:numCache>
                <c:formatCode>#,##0.0</c:formatCode>
                <c:ptCount val="7"/>
                <c:pt idx="0">
                  <c:v>5.7455753699052181</c:v>
                </c:pt>
                <c:pt idx="1">
                  <c:v>8.1890554474971609</c:v>
                </c:pt>
                <c:pt idx="2">
                  <c:v>10.155665618317935</c:v>
                </c:pt>
                <c:pt idx="3">
                  <c:v>5.1727269270267255</c:v>
                </c:pt>
                <c:pt idx="4">
                  <c:v>5.9363989992868911</c:v>
                </c:pt>
                <c:pt idx="5">
                  <c:v>7.167055334340465</c:v>
                </c:pt>
                <c:pt idx="6">
                  <c:v>5.3147667345636034</c:v>
                </c:pt>
              </c:numCache>
            </c:numRef>
          </c:val>
        </c:ser>
        <c:ser>
          <c:idx val="2"/>
          <c:order val="2"/>
          <c:tx>
            <c:strRef>
              <c:f>'Мест-Спец (2)'!$R$5</c:f>
              <c:strCache>
                <c:ptCount val="1"/>
                <c:pt idx="0">
                  <c:v>2017</c:v>
                </c:pt>
              </c:strCache>
            </c:strRef>
          </c:tx>
          <c:dLbls>
            <c:dLbl>
              <c:idx val="0"/>
              <c:layout>
                <c:manualLayout>
                  <c:x val="1.1026515234203765E-2"/>
                  <c:y val="1.1861613266576282E-2"/>
                </c:manualLayout>
              </c:layout>
              <c:showVal val="1"/>
            </c:dLbl>
            <c:dLbl>
              <c:idx val="2"/>
              <c:layout>
                <c:manualLayout>
                  <c:x val="1.1026515234203765E-2"/>
                  <c:y val="1.9769355444293771E-2"/>
                </c:manualLayout>
              </c:layout>
              <c:showVal val="1"/>
            </c:dLbl>
            <c:dLbl>
              <c:idx val="3"/>
              <c:layout>
                <c:manualLayout>
                  <c:x val="9.4512987721745833E-3"/>
                  <c:y val="1.1861613266576282E-2"/>
                </c:manualLayout>
              </c:layout>
              <c:showVal val="1"/>
            </c:dLbl>
            <c:dLbl>
              <c:idx val="4"/>
              <c:layout>
                <c:manualLayout>
                  <c:x val="1.2601731696232904E-2"/>
                  <c:y val="1.1861613266576282E-2"/>
                </c:manualLayout>
              </c:layout>
              <c:showVal val="1"/>
            </c:dLbl>
            <c:dLbl>
              <c:idx val="5"/>
              <c:layout>
                <c:manualLayout>
                  <c:x val="1.575216462029097E-2"/>
                  <c:y val="1.1861613266576282E-2"/>
                </c:manualLayout>
              </c:layout>
              <c:showVal val="1"/>
            </c:dLbl>
            <c:dLbl>
              <c:idx val="6"/>
              <c:layout>
                <c:manualLayout>
                  <c:x val="1.1026515234203765E-2"/>
                  <c:y val="7.9077421777174802E-3"/>
                </c:manualLayout>
              </c:layout>
              <c:showVal val="1"/>
            </c:dLbl>
            <c:spPr>
              <a:solidFill>
                <a:sysClr val="window" lastClr="FFFFFF"/>
              </a:solidFill>
            </c:spPr>
            <c:txPr>
              <a:bodyPr/>
              <a:lstStyle/>
              <a:p>
                <a:pPr>
                  <a:defRPr sz="800" b="1">
                    <a:latin typeface="Times New Roman" pitchFamily="18" charset="0"/>
                    <a:cs typeface="Times New Roman" pitchFamily="18" charset="0"/>
                  </a:defRPr>
                </a:pPr>
                <a:endParaRPr lang="ru-RU"/>
              </a:p>
            </c:txPr>
            <c:showVal val="1"/>
          </c:dLbls>
          <c:cat>
            <c:strRef>
              <c:f>'Мест-Спец (2)'!$O$6:$O$12</c:f>
              <c:strCache>
                <c:ptCount val="7"/>
                <c:pt idx="0">
                  <c:v>Волгоградская область</c:v>
                </c:pt>
                <c:pt idx="1">
                  <c:v>Ростовская область</c:v>
                </c:pt>
                <c:pt idx="2">
                  <c:v>Краснодарский край</c:v>
                </c:pt>
                <c:pt idx="3">
                  <c:v>Астраханская область</c:v>
                </c:pt>
                <c:pt idx="4">
                  <c:v>Саратовская область</c:v>
                </c:pt>
                <c:pt idx="5">
                  <c:v>Воронежская область</c:v>
                </c:pt>
                <c:pt idx="6">
                  <c:v>Белгородская область</c:v>
                </c:pt>
              </c:strCache>
            </c:strRef>
          </c:cat>
          <c:val>
            <c:numRef>
              <c:f>'Мест-Спец (2)'!$R$6:$R$12</c:f>
              <c:numCache>
                <c:formatCode>#,##0.0</c:formatCode>
                <c:ptCount val="7"/>
                <c:pt idx="0">
                  <c:v>6.1789928887917789</c:v>
                </c:pt>
                <c:pt idx="1">
                  <c:v>9.127952499676903</c:v>
                </c:pt>
                <c:pt idx="2">
                  <c:v>9.7091368254282973</c:v>
                </c:pt>
                <c:pt idx="3">
                  <c:v>4.8564932881390597</c:v>
                </c:pt>
                <c:pt idx="4">
                  <c:v>6.4772100257742924</c:v>
                </c:pt>
                <c:pt idx="5">
                  <c:v>7.7396487566722731</c:v>
                </c:pt>
                <c:pt idx="6">
                  <c:v>4.5951427519421513</c:v>
                </c:pt>
              </c:numCache>
            </c:numRef>
          </c:val>
        </c:ser>
        <c:axId val="168414208"/>
        <c:axId val="78738176"/>
      </c:barChart>
      <c:catAx>
        <c:axId val="168414208"/>
        <c:scaling>
          <c:orientation val="minMax"/>
        </c:scaling>
        <c:axPos val="b"/>
        <c:numFmt formatCode="#,##0" sourceLinked="1"/>
        <c:tickLblPos val="nextTo"/>
        <c:txPr>
          <a:bodyPr/>
          <a:lstStyle/>
          <a:p>
            <a:pPr>
              <a:defRPr sz="600" b="1">
                <a:latin typeface="Times New Roman" pitchFamily="18" charset="0"/>
                <a:cs typeface="Times New Roman" pitchFamily="18" charset="0"/>
              </a:defRPr>
            </a:pPr>
            <a:endParaRPr lang="ru-RU"/>
          </a:p>
        </c:txPr>
        <c:crossAx val="78738176"/>
        <c:crosses val="autoZero"/>
        <c:auto val="1"/>
        <c:lblAlgn val="ctr"/>
        <c:lblOffset val="100"/>
      </c:catAx>
      <c:valAx>
        <c:axId val="78738176"/>
        <c:scaling>
          <c:orientation val="minMax"/>
        </c:scaling>
        <c:axPos val="l"/>
        <c:majorGridlines/>
        <c:numFmt formatCode="#,##0" sourceLinked="0"/>
        <c:tickLblPos val="nextTo"/>
        <c:txPr>
          <a:bodyPr/>
          <a:lstStyle/>
          <a:p>
            <a:pPr>
              <a:defRPr sz="800">
                <a:latin typeface="Times New Roman" pitchFamily="18" charset="0"/>
                <a:cs typeface="Times New Roman" pitchFamily="18" charset="0"/>
              </a:defRPr>
            </a:pPr>
            <a:endParaRPr lang="ru-RU"/>
          </a:p>
        </c:txPr>
        <c:crossAx val="168414208"/>
        <c:crosses val="autoZero"/>
        <c:crossBetween val="between"/>
      </c:valAx>
    </c:plotArea>
    <c:legend>
      <c:legendPos val="r"/>
      <c:txPr>
        <a:bodyPr/>
        <a:lstStyle/>
        <a:p>
          <a:pPr>
            <a:defRPr sz="800">
              <a:latin typeface="Times New Roman" pitchFamily="18" charset="0"/>
              <a:cs typeface="Times New Roman" pitchFamily="18" charset="0"/>
            </a:defRPr>
          </a:pPr>
          <a:endParaRPr lang="ru-RU"/>
        </a:p>
      </c:txPr>
    </c:legend>
    <c:plotVisOnly val="1"/>
    <c:dispBlanksAs val="gap"/>
  </c:chart>
  <c:spPr>
    <a:solidFill>
      <a:schemeClr val="bg2">
        <a:lumMod val="90000"/>
      </a:schemeClr>
    </a:solidFill>
    <a:ln>
      <a:solidFill>
        <a:schemeClr val="bg2">
          <a:lumMod val="90000"/>
        </a:schemeClr>
      </a:solidFill>
    </a:ln>
  </c:spPr>
  <c:externalData r:id="rId2"/>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roundedCorners val="1"/>
  <c:chart>
    <c:title>
      <c:tx>
        <c:rich>
          <a:bodyPr/>
          <a:lstStyle/>
          <a:p>
            <a:pPr>
              <a:defRPr sz="800"/>
            </a:pPr>
            <a:r>
              <a:rPr lang="ru-RU" sz="800">
                <a:latin typeface="Times New Roman" pitchFamily="18" charset="0"/>
                <a:cs typeface="Times New Roman" pitchFamily="18" charset="0"/>
              </a:rPr>
              <a:t>Объем</a:t>
            </a:r>
            <a:r>
              <a:rPr lang="ru-RU" sz="800" baseline="0">
                <a:latin typeface="Times New Roman" pitchFamily="18" charset="0"/>
                <a:cs typeface="Times New Roman" pitchFamily="18" charset="0"/>
              </a:rPr>
              <a:t> финансирования, предусмотренный подпрограммой </a:t>
            </a:r>
          </a:p>
          <a:p>
            <a:pPr>
              <a:defRPr sz="800"/>
            </a:pPr>
            <a:r>
              <a:rPr lang="ru-RU" sz="800" baseline="0">
                <a:latin typeface="Times New Roman" pitchFamily="18" charset="0"/>
                <a:cs typeface="Times New Roman" pitchFamily="18" charset="0"/>
              </a:rPr>
              <a:t> "Развитие и государственная поддержка малого и среднего предпринимательства", </a:t>
            </a:r>
          </a:p>
          <a:p>
            <a:pPr>
              <a:defRPr sz="800"/>
            </a:pPr>
            <a:r>
              <a:rPr lang="ru-RU" sz="800" baseline="0">
                <a:latin typeface="Times New Roman" pitchFamily="18" charset="0"/>
                <a:cs typeface="Times New Roman" pitchFamily="18" charset="0"/>
              </a:rPr>
              <a:t>приходящийся на количество СМСП</a:t>
            </a:r>
          </a:p>
          <a:p>
            <a:pPr>
              <a:defRPr sz="800"/>
            </a:pPr>
            <a:r>
              <a:rPr lang="ru-RU" sz="800" baseline="0">
                <a:latin typeface="Times New Roman" pitchFamily="18" charset="0"/>
                <a:cs typeface="Times New Roman" pitchFamily="18" charset="0"/>
              </a:rPr>
              <a:t> (тыс.руб. на 1 субъект) </a:t>
            </a:r>
            <a:endParaRPr lang="ru-RU" sz="800">
              <a:latin typeface="Times New Roman" pitchFamily="18" charset="0"/>
              <a:cs typeface="Times New Roman" pitchFamily="18" charset="0"/>
            </a:endParaRPr>
          </a:p>
        </c:rich>
      </c:tx>
      <c:layout>
        <c:manualLayout>
          <c:xMode val="edge"/>
          <c:yMode val="edge"/>
          <c:x val="0.17451696637093941"/>
          <c:y val="2.1739130434782612E-2"/>
        </c:manualLayout>
      </c:layout>
    </c:title>
    <c:plotArea>
      <c:layout>
        <c:manualLayout>
          <c:layoutTarget val="inner"/>
          <c:xMode val="edge"/>
          <c:yMode val="edge"/>
          <c:x val="0.22374476573645824"/>
          <c:y val="0.19739726282172296"/>
          <c:w val="0.66087628410425181"/>
          <c:h val="0.70315916657145972"/>
        </c:manualLayout>
      </c:layout>
      <c:barChart>
        <c:barDir val="bar"/>
        <c:grouping val="clustered"/>
        <c:ser>
          <c:idx val="0"/>
          <c:order val="0"/>
          <c:tx>
            <c:strRef>
              <c:f>'Лист2 (2)'!$H$33</c:f>
              <c:strCache>
                <c:ptCount val="1"/>
                <c:pt idx="0">
                  <c:v>2016</c:v>
                </c:pt>
              </c:strCache>
            </c:strRef>
          </c:tx>
          <c:dLbls>
            <c:dLbl>
              <c:idx val="5"/>
              <c:layout>
                <c:manualLayout>
                  <c:x val="5.5096418732782657E-3"/>
                  <c:y val="7.246376811594249E-3"/>
                </c:manualLayout>
              </c:layout>
              <c:showVal val="1"/>
            </c:dLbl>
            <c:txPr>
              <a:bodyPr/>
              <a:lstStyle/>
              <a:p>
                <a:pPr>
                  <a:defRPr sz="800" b="0">
                    <a:latin typeface="Times New Roman" pitchFamily="18" charset="0"/>
                    <a:cs typeface="Times New Roman" pitchFamily="18" charset="0"/>
                  </a:defRPr>
                </a:pPr>
                <a:endParaRPr lang="ru-RU"/>
              </a:p>
            </c:txPr>
            <c:showVal val="1"/>
          </c:dLbls>
          <c:cat>
            <c:strRef>
              <c:f>'Лист2 (2)'!$G$34:$G$40</c:f>
              <c:strCache>
                <c:ptCount val="7"/>
                <c:pt idx="0">
                  <c:v>Волгоградская область</c:v>
                </c:pt>
                <c:pt idx="1">
                  <c:v>Ростовская область</c:v>
                </c:pt>
                <c:pt idx="2">
                  <c:v>Краснодарский край</c:v>
                </c:pt>
                <c:pt idx="3">
                  <c:v>Астраханская область</c:v>
                </c:pt>
                <c:pt idx="4">
                  <c:v>Саратовская область</c:v>
                </c:pt>
                <c:pt idx="5">
                  <c:v>Воронежская область</c:v>
                </c:pt>
                <c:pt idx="6">
                  <c:v>Белгородская область</c:v>
                </c:pt>
              </c:strCache>
            </c:strRef>
          </c:cat>
          <c:val>
            <c:numRef>
              <c:f>'Лист2 (2)'!$H$34:$H$40</c:f>
              <c:numCache>
                <c:formatCode>0.0</c:formatCode>
                <c:ptCount val="7"/>
                <c:pt idx="0">
                  <c:v>2.1037224691116871</c:v>
                </c:pt>
                <c:pt idx="1">
                  <c:v>2.2544820381869886</c:v>
                </c:pt>
                <c:pt idx="2">
                  <c:v>1.6115567122447638</c:v>
                </c:pt>
                <c:pt idx="3">
                  <c:v>2.5120814729782777</c:v>
                </c:pt>
                <c:pt idx="4">
                  <c:v>2.8745901639344265</c:v>
                </c:pt>
                <c:pt idx="5">
                  <c:v>1.0580346279831538</c:v>
                </c:pt>
                <c:pt idx="6">
                  <c:v>3.2365282970220446</c:v>
                </c:pt>
              </c:numCache>
            </c:numRef>
          </c:val>
        </c:ser>
        <c:ser>
          <c:idx val="1"/>
          <c:order val="1"/>
          <c:tx>
            <c:strRef>
              <c:f>'Лист2 (2)'!$I$33</c:f>
              <c:strCache>
                <c:ptCount val="1"/>
                <c:pt idx="0">
                  <c:v>2017</c:v>
                </c:pt>
              </c:strCache>
            </c:strRef>
          </c:tx>
          <c:spPr>
            <a:solidFill>
              <a:schemeClr val="accent2">
                <a:lumMod val="75000"/>
              </a:schemeClr>
            </a:solidFill>
            <a:ln>
              <a:gradFill>
                <a:gsLst>
                  <a:gs pos="0">
                    <a:schemeClr val="accent2">
                      <a:lumMod val="75000"/>
                    </a:schemeClr>
                  </a:gs>
                  <a:gs pos="50000">
                    <a:srgbClr val="4F81BD">
                      <a:tint val="44500"/>
                      <a:satMod val="160000"/>
                    </a:srgbClr>
                  </a:gs>
                  <a:gs pos="100000">
                    <a:srgbClr val="4F81BD">
                      <a:tint val="23500"/>
                      <a:satMod val="160000"/>
                    </a:srgbClr>
                  </a:gs>
                </a:gsLst>
                <a:lin ang="5400000" scaled="0"/>
              </a:gradFill>
            </a:ln>
          </c:spPr>
          <c:dLbls>
            <c:txPr>
              <a:bodyPr/>
              <a:lstStyle/>
              <a:p>
                <a:pPr>
                  <a:defRPr sz="800" b="0">
                    <a:latin typeface="Times New Roman" pitchFamily="18" charset="0"/>
                    <a:cs typeface="Times New Roman" pitchFamily="18" charset="0"/>
                  </a:defRPr>
                </a:pPr>
                <a:endParaRPr lang="ru-RU"/>
              </a:p>
            </c:txPr>
            <c:showVal val="1"/>
          </c:dLbls>
          <c:cat>
            <c:strRef>
              <c:f>'Лист2 (2)'!$G$34:$G$40</c:f>
              <c:strCache>
                <c:ptCount val="7"/>
                <c:pt idx="0">
                  <c:v>Волгоградская область</c:v>
                </c:pt>
                <c:pt idx="1">
                  <c:v>Ростовская область</c:v>
                </c:pt>
                <c:pt idx="2">
                  <c:v>Краснодарский край</c:v>
                </c:pt>
                <c:pt idx="3">
                  <c:v>Астраханская область</c:v>
                </c:pt>
                <c:pt idx="4">
                  <c:v>Саратовская область</c:v>
                </c:pt>
                <c:pt idx="5">
                  <c:v>Воронежская область</c:v>
                </c:pt>
                <c:pt idx="6">
                  <c:v>Белгородская область</c:v>
                </c:pt>
              </c:strCache>
            </c:strRef>
          </c:cat>
          <c:val>
            <c:numRef>
              <c:f>'Лист2 (2)'!$I$34:$I$40</c:f>
              <c:numCache>
                <c:formatCode>0.0</c:formatCode>
                <c:ptCount val="7"/>
                <c:pt idx="0">
                  <c:v>1.9541704602012797</c:v>
                </c:pt>
                <c:pt idx="1">
                  <c:v>2.0409156243482567</c:v>
                </c:pt>
                <c:pt idx="2">
                  <c:v>1.4853519865537621</c:v>
                </c:pt>
                <c:pt idx="3">
                  <c:v>1.8061216115548895</c:v>
                </c:pt>
                <c:pt idx="4">
                  <c:v>1.3326866847354439</c:v>
                </c:pt>
                <c:pt idx="5">
                  <c:v>1.5919022742982765</c:v>
                </c:pt>
                <c:pt idx="6">
                  <c:v>2.1215127566229151</c:v>
                </c:pt>
              </c:numCache>
            </c:numRef>
          </c:val>
        </c:ser>
        <c:axId val="78747520"/>
        <c:axId val="78749056"/>
      </c:barChart>
      <c:catAx>
        <c:axId val="78747520"/>
        <c:scaling>
          <c:orientation val="minMax"/>
        </c:scaling>
        <c:axPos val="l"/>
        <c:numFmt formatCode="General" sourceLinked="1"/>
        <c:tickLblPos val="nextTo"/>
        <c:txPr>
          <a:bodyPr/>
          <a:lstStyle/>
          <a:p>
            <a:pPr>
              <a:defRPr sz="800" b="0" i="0">
                <a:latin typeface="Times New Roman" pitchFamily="18" charset="0"/>
                <a:cs typeface="Times New Roman" pitchFamily="18" charset="0"/>
              </a:defRPr>
            </a:pPr>
            <a:endParaRPr lang="ru-RU"/>
          </a:p>
        </c:txPr>
        <c:crossAx val="78749056"/>
        <c:crosses val="autoZero"/>
        <c:auto val="1"/>
        <c:lblAlgn val="ctr"/>
        <c:lblOffset val="100"/>
      </c:catAx>
      <c:valAx>
        <c:axId val="78749056"/>
        <c:scaling>
          <c:orientation val="minMax"/>
        </c:scaling>
        <c:axPos val="b"/>
        <c:majorGridlines/>
        <c:numFmt formatCode="0" sourceLinked="0"/>
        <c:tickLblPos val="nextTo"/>
        <c:txPr>
          <a:bodyPr/>
          <a:lstStyle/>
          <a:p>
            <a:pPr>
              <a:defRPr sz="800" b="0">
                <a:latin typeface="Times New Roman" pitchFamily="18" charset="0"/>
                <a:cs typeface="Times New Roman" pitchFamily="18" charset="0"/>
              </a:defRPr>
            </a:pPr>
            <a:endParaRPr lang="ru-RU"/>
          </a:p>
        </c:txPr>
        <c:crossAx val="78747520"/>
        <c:crosses val="autoZero"/>
        <c:crossBetween val="between"/>
      </c:valAx>
    </c:plotArea>
    <c:legend>
      <c:legendPos val="r"/>
      <c:txPr>
        <a:bodyPr/>
        <a:lstStyle/>
        <a:p>
          <a:pPr>
            <a:defRPr sz="800" b="0">
              <a:latin typeface="Times New Roman" pitchFamily="18" charset="0"/>
              <a:cs typeface="Times New Roman" pitchFamily="18" charset="0"/>
            </a:defRPr>
          </a:pPr>
          <a:endParaRPr lang="ru-RU"/>
        </a:p>
      </c:txPr>
    </c:legend>
    <c:plotVisOnly val="1"/>
    <c:dispBlanksAs val="gap"/>
  </c:chart>
  <c:spPr>
    <a:solidFill>
      <a:schemeClr val="bg2">
        <a:lumMod val="90000"/>
      </a:schemeClr>
    </a:solidFill>
  </c:sp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569BC4-D506-417A-9861-F49AC8035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TotalTime>
  <Pages>1</Pages>
  <Words>20825</Words>
  <Characters>118703</Characters>
  <Application>Microsoft Office Word</Application>
  <DocSecurity>0</DocSecurity>
  <Lines>989</Lines>
  <Paragraphs>278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Ноздрюхина</cp:lastModifiedBy>
  <cp:revision>46</cp:revision>
  <cp:lastPrinted>2018-08-01T06:41:00Z</cp:lastPrinted>
  <dcterms:created xsi:type="dcterms:W3CDTF">2018-07-20T13:37:00Z</dcterms:created>
  <dcterms:modified xsi:type="dcterms:W3CDTF">2018-08-01T06:54:00Z</dcterms:modified>
</cp:coreProperties>
</file>