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6A1" w:rsidRPr="005654DF" w:rsidRDefault="00B356A1" w:rsidP="001061B8">
      <w:pPr>
        <w:jc w:val="center"/>
        <w:outlineLvl w:val="0"/>
        <w:rPr>
          <w:b/>
        </w:rPr>
      </w:pPr>
      <w:r>
        <w:t xml:space="preserve">                                                                   </w:t>
      </w:r>
      <w:r w:rsidR="003E44B4">
        <w:t xml:space="preserve">                         </w:t>
      </w:r>
      <w:r w:rsidRPr="005654DF">
        <w:rPr>
          <w:b/>
        </w:rPr>
        <w:t>УТВЕРЖДЕНО</w:t>
      </w:r>
    </w:p>
    <w:p w:rsidR="00B356A1" w:rsidRDefault="00B356A1" w:rsidP="00B356A1">
      <w:pPr>
        <w:jc w:val="center"/>
      </w:pPr>
      <w:r>
        <w:t xml:space="preserve">                                                                      </w:t>
      </w:r>
      <w:r w:rsidR="003E44B4">
        <w:t xml:space="preserve">                       </w:t>
      </w:r>
      <w:r>
        <w:t>постановлением коллегии</w:t>
      </w:r>
    </w:p>
    <w:p w:rsidR="00B356A1" w:rsidRDefault="00B356A1" w:rsidP="00B356A1">
      <w:pPr>
        <w:jc w:val="center"/>
      </w:pPr>
      <w:r>
        <w:t xml:space="preserve">                                                                         </w:t>
      </w:r>
      <w:r w:rsidR="00110D07">
        <w:t xml:space="preserve">                       </w:t>
      </w:r>
      <w:r>
        <w:t xml:space="preserve">контрольно-счетной палаты                            </w:t>
      </w:r>
    </w:p>
    <w:p w:rsidR="00B356A1" w:rsidRDefault="00B356A1" w:rsidP="001061B8">
      <w:pPr>
        <w:jc w:val="center"/>
        <w:outlineLvl w:val="0"/>
      </w:pPr>
      <w:r>
        <w:t xml:space="preserve">                                                                 </w:t>
      </w:r>
      <w:r w:rsidR="00110D07">
        <w:t xml:space="preserve">                       </w:t>
      </w:r>
      <w:r w:rsidR="00D32B59">
        <w:t xml:space="preserve"> </w:t>
      </w:r>
      <w:r>
        <w:t xml:space="preserve">Волгоградской области </w:t>
      </w:r>
    </w:p>
    <w:p w:rsidR="00B356A1" w:rsidRDefault="00B356A1" w:rsidP="001061B8">
      <w:pPr>
        <w:jc w:val="center"/>
        <w:outlineLvl w:val="0"/>
      </w:pPr>
      <w:r>
        <w:t xml:space="preserve">                                    </w:t>
      </w:r>
      <w:r w:rsidR="00BD1A3E">
        <w:t xml:space="preserve">            </w:t>
      </w:r>
      <w:r w:rsidR="00647E60">
        <w:t xml:space="preserve">                        </w:t>
      </w:r>
      <w:r w:rsidR="00FA2C74">
        <w:t xml:space="preserve">    </w:t>
      </w:r>
      <w:r w:rsidR="00216C00">
        <w:t xml:space="preserve">                 </w:t>
      </w:r>
      <w:r w:rsidR="004223D6">
        <w:t xml:space="preserve"> </w:t>
      </w:r>
      <w:r w:rsidR="002D49EE">
        <w:t>о</w:t>
      </w:r>
      <w:r>
        <w:t>т</w:t>
      </w:r>
      <w:r w:rsidR="002D49EE">
        <w:t xml:space="preserve"> </w:t>
      </w:r>
      <w:r w:rsidR="004223D6">
        <w:t xml:space="preserve">25 мая 2018 года </w:t>
      </w:r>
      <w:r>
        <w:t>№</w:t>
      </w:r>
      <w:r w:rsidR="004223D6">
        <w:t xml:space="preserve"> 13/1</w:t>
      </w:r>
    </w:p>
    <w:p w:rsidR="00177986" w:rsidRDefault="00177986" w:rsidP="00B356A1">
      <w:pPr>
        <w:jc w:val="center"/>
        <w:rPr>
          <w:b/>
          <w:i/>
        </w:rPr>
      </w:pPr>
    </w:p>
    <w:p w:rsidR="00557154" w:rsidRDefault="00557154" w:rsidP="00B356A1">
      <w:pPr>
        <w:jc w:val="center"/>
        <w:rPr>
          <w:b/>
          <w:i/>
        </w:rPr>
      </w:pPr>
    </w:p>
    <w:p w:rsidR="00B356A1" w:rsidRPr="006A3192" w:rsidRDefault="00B356A1" w:rsidP="001061B8">
      <w:pPr>
        <w:jc w:val="center"/>
        <w:outlineLvl w:val="0"/>
        <w:rPr>
          <w:b/>
        </w:rPr>
      </w:pPr>
      <w:r w:rsidRPr="006A3192">
        <w:rPr>
          <w:b/>
        </w:rPr>
        <w:t>ЗАКЛЮЧЕНИЕ</w:t>
      </w:r>
    </w:p>
    <w:p w:rsidR="00B356A1" w:rsidRPr="006A3192" w:rsidRDefault="00B356A1" w:rsidP="00B356A1">
      <w:pPr>
        <w:jc w:val="center"/>
        <w:rPr>
          <w:b/>
        </w:rPr>
      </w:pPr>
      <w:r w:rsidRPr="006A3192">
        <w:rPr>
          <w:b/>
        </w:rPr>
        <w:t xml:space="preserve">о результатах внешней проверки исполнения </w:t>
      </w:r>
      <w:r w:rsidR="009739A7">
        <w:rPr>
          <w:b/>
        </w:rPr>
        <w:t>в 20</w:t>
      </w:r>
      <w:r w:rsidR="00E371A1">
        <w:rPr>
          <w:b/>
        </w:rPr>
        <w:t>1</w:t>
      </w:r>
      <w:r w:rsidR="00E4177B">
        <w:rPr>
          <w:b/>
        </w:rPr>
        <w:t>7</w:t>
      </w:r>
      <w:r w:rsidR="009739A7">
        <w:rPr>
          <w:b/>
        </w:rPr>
        <w:t xml:space="preserve"> году </w:t>
      </w:r>
      <w:r w:rsidR="00A72063">
        <w:rPr>
          <w:b/>
        </w:rPr>
        <w:t>З</w:t>
      </w:r>
      <w:r w:rsidRPr="006A3192">
        <w:rPr>
          <w:b/>
        </w:rPr>
        <w:t xml:space="preserve">акона Волгоградской области </w:t>
      </w:r>
      <w:r w:rsidR="00A071C0" w:rsidRPr="00A071C0">
        <w:rPr>
          <w:b/>
          <w:bCs/>
          <w:iCs/>
          <w:szCs w:val="24"/>
        </w:rPr>
        <w:t xml:space="preserve">от </w:t>
      </w:r>
      <w:r w:rsidR="00A071C0" w:rsidRPr="00A071C0">
        <w:rPr>
          <w:b/>
        </w:rPr>
        <w:t>0</w:t>
      </w:r>
      <w:r w:rsidR="00E4177B">
        <w:rPr>
          <w:b/>
        </w:rPr>
        <w:t>6</w:t>
      </w:r>
      <w:r w:rsidR="00A071C0" w:rsidRPr="00A071C0">
        <w:rPr>
          <w:b/>
        </w:rPr>
        <w:t>.12.201</w:t>
      </w:r>
      <w:r w:rsidR="00E4177B">
        <w:rPr>
          <w:b/>
        </w:rPr>
        <w:t>6</w:t>
      </w:r>
      <w:r w:rsidR="00A071C0" w:rsidRPr="00A071C0">
        <w:rPr>
          <w:b/>
        </w:rPr>
        <w:t xml:space="preserve"> №</w:t>
      </w:r>
      <w:r w:rsidR="00E4177B">
        <w:rPr>
          <w:b/>
        </w:rPr>
        <w:t>12</w:t>
      </w:r>
      <w:r w:rsidR="00A071C0" w:rsidRPr="00A071C0">
        <w:rPr>
          <w:b/>
        </w:rPr>
        <w:t>6-ОД</w:t>
      </w:r>
      <w:r w:rsidR="00A071C0">
        <w:t xml:space="preserve"> </w:t>
      </w:r>
      <w:r w:rsidR="00A72063">
        <w:rPr>
          <w:b/>
        </w:rPr>
        <w:t>«О</w:t>
      </w:r>
      <w:r w:rsidRPr="006A3192">
        <w:rPr>
          <w:b/>
        </w:rPr>
        <w:t>б областном бюджете на 20</w:t>
      </w:r>
      <w:r w:rsidR="00E371A1">
        <w:rPr>
          <w:b/>
        </w:rPr>
        <w:t>1</w:t>
      </w:r>
      <w:r w:rsidR="00E4177B">
        <w:rPr>
          <w:b/>
        </w:rPr>
        <w:t>7</w:t>
      </w:r>
      <w:r w:rsidRPr="006A3192">
        <w:rPr>
          <w:b/>
        </w:rPr>
        <w:t xml:space="preserve"> год </w:t>
      </w:r>
      <w:r w:rsidR="001F3151">
        <w:rPr>
          <w:b/>
        </w:rPr>
        <w:t xml:space="preserve">и на </w:t>
      </w:r>
      <w:r w:rsidR="006013D1">
        <w:rPr>
          <w:b/>
        </w:rPr>
        <w:t xml:space="preserve">плановый </w:t>
      </w:r>
      <w:r w:rsidR="001F3151">
        <w:rPr>
          <w:b/>
        </w:rPr>
        <w:t>период 201</w:t>
      </w:r>
      <w:r w:rsidR="00E4177B">
        <w:rPr>
          <w:b/>
        </w:rPr>
        <w:t>8</w:t>
      </w:r>
      <w:r w:rsidR="006013D1">
        <w:rPr>
          <w:b/>
        </w:rPr>
        <w:t xml:space="preserve"> и 201</w:t>
      </w:r>
      <w:r w:rsidR="00E4177B">
        <w:rPr>
          <w:b/>
        </w:rPr>
        <w:t>9</w:t>
      </w:r>
      <w:r w:rsidR="001F3151">
        <w:rPr>
          <w:b/>
        </w:rPr>
        <w:t xml:space="preserve"> год</w:t>
      </w:r>
      <w:r w:rsidR="006013D1">
        <w:rPr>
          <w:b/>
        </w:rPr>
        <w:t>ов</w:t>
      </w:r>
      <w:r w:rsidR="00A72063">
        <w:rPr>
          <w:b/>
        </w:rPr>
        <w:t>»</w:t>
      </w:r>
      <w:r w:rsidR="00644E27">
        <w:rPr>
          <w:b/>
        </w:rPr>
        <w:t xml:space="preserve"> </w:t>
      </w:r>
      <w:r w:rsidRPr="006A3192">
        <w:rPr>
          <w:b/>
        </w:rPr>
        <w:t xml:space="preserve">и </w:t>
      </w:r>
      <w:r w:rsidR="009F5D7A">
        <w:rPr>
          <w:b/>
        </w:rPr>
        <w:t xml:space="preserve">годовой </w:t>
      </w:r>
      <w:r w:rsidRPr="006A3192">
        <w:rPr>
          <w:b/>
        </w:rPr>
        <w:t>бюджетной отчетности главных администраторов</w:t>
      </w:r>
      <w:r w:rsidR="00644E27">
        <w:rPr>
          <w:b/>
        </w:rPr>
        <w:t xml:space="preserve"> </w:t>
      </w:r>
      <w:r w:rsidRPr="006A3192">
        <w:rPr>
          <w:b/>
        </w:rPr>
        <w:t>бюджет</w:t>
      </w:r>
      <w:r w:rsidR="00644E27">
        <w:rPr>
          <w:b/>
        </w:rPr>
        <w:t>ных средств</w:t>
      </w:r>
      <w:r w:rsidR="009F5D7A">
        <w:rPr>
          <w:b/>
        </w:rPr>
        <w:t xml:space="preserve"> </w:t>
      </w:r>
      <w:r w:rsidRPr="006A3192">
        <w:rPr>
          <w:b/>
        </w:rPr>
        <w:t>за 20</w:t>
      </w:r>
      <w:r w:rsidR="00E371A1">
        <w:rPr>
          <w:b/>
        </w:rPr>
        <w:t>1</w:t>
      </w:r>
      <w:r w:rsidR="00E4177B">
        <w:rPr>
          <w:b/>
        </w:rPr>
        <w:t>7</w:t>
      </w:r>
      <w:r w:rsidRPr="006A3192">
        <w:rPr>
          <w:b/>
        </w:rPr>
        <w:t xml:space="preserve"> год.</w:t>
      </w:r>
    </w:p>
    <w:p w:rsidR="00177986" w:rsidRDefault="00177986" w:rsidP="00B356A1">
      <w:pPr>
        <w:jc w:val="center"/>
        <w:rPr>
          <w:b/>
          <w:i/>
        </w:rPr>
      </w:pPr>
    </w:p>
    <w:p w:rsidR="00B356A1" w:rsidRPr="00655B3D" w:rsidRDefault="00B356A1" w:rsidP="00B356A1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 w:rsidRPr="00655B3D">
        <w:rPr>
          <w:rFonts w:ascii="Times New Roman" w:hAnsi="Times New Roman"/>
          <w:b/>
        </w:rPr>
        <w:t>Общие положения.</w:t>
      </w:r>
    </w:p>
    <w:p w:rsidR="00B356A1" w:rsidRDefault="00B356A1" w:rsidP="00B356A1">
      <w:pPr>
        <w:pStyle w:val="a3"/>
        <w:ind w:left="708" w:firstLine="0"/>
        <w:jc w:val="center"/>
        <w:rPr>
          <w:rFonts w:ascii="Times New Roman" w:hAnsi="Times New Roman"/>
        </w:rPr>
      </w:pPr>
    </w:p>
    <w:p w:rsidR="003F1750" w:rsidRDefault="00B356A1" w:rsidP="003F1750">
      <w:pPr>
        <w:pStyle w:val="a3"/>
        <w:ind w:firstLine="708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Заключение контрольно-счетной палаты Волгоградской области (далее КСП, палата) на отчет</w:t>
      </w:r>
      <w:r w:rsidR="00C829DB">
        <w:rPr>
          <w:rFonts w:ascii="Times New Roman" w:hAnsi="Times New Roman"/>
        </w:rPr>
        <w:t xml:space="preserve"> </w:t>
      </w:r>
      <w:r w:rsidR="00A15F8D">
        <w:rPr>
          <w:rFonts w:ascii="Times New Roman" w:hAnsi="Times New Roman"/>
        </w:rPr>
        <w:t>А</w:t>
      </w:r>
      <w:r w:rsidR="00C42871">
        <w:rPr>
          <w:rFonts w:ascii="Times New Roman" w:hAnsi="Times New Roman"/>
        </w:rPr>
        <w:t>дминистрации</w:t>
      </w:r>
      <w:r w:rsidR="00C829DB">
        <w:rPr>
          <w:rFonts w:ascii="Times New Roman" w:hAnsi="Times New Roman"/>
        </w:rPr>
        <w:t xml:space="preserve"> Волгоградской</w:t>
      </w:r>
      <w:r>
        <w:rPr>
          <w:rFonts w:ascii="Times New Roman" w:hAnsi="Times New Roman"/>
        </w:rPr>
        <w:t xml:space="preserve"> области об исполнении областного бюджета за 20</w:t>
      </w:r>
      <w:r w:rsidR="00A57CD7">
        <w:rPr>
          <w:rFonts w:ascii="Times New Roman" w:hAnsi="Times New Roman"/>
        </w:rPr>
        <w:t>1</w:t>
      </w:r>
      <w:r w:rsidR="00F13E31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год подготовлено в соответствии с требованиями статьи 264.4 Бюджетного кодекса РФ (далее БК РФ) </w:t>
      </w:r>
      <w:r w:rsidR="000A2B1C">
        <w:rPr>
          <w:rFonts w:ascii="Times New Roman" w:hAnsi="Times New Roman"/>
        </w:rPr>
        <w:t xml:space="preserve">и </w:t>
      </w:r>
      <w:r w:rsidR="000A2B1C" w:rsidRPr="00DF4C6F">
        <w:rPr>
          <w:rFonts w:ascii="Times New Roman" w:hAnsi="Times New Roman"/>
          <w:color w:val="auto"/>
        </w:rPr>
        <w:t xml:space="preserve">статьи </w:t>
      </w:r>
      <w:r w:rsidR="00DF4C6F">
        <w:rPr>
          <w:rFonts w:ascii="Times New Roman" w:hAnsi="Times New Roman"/>
          <w:color w:val="auto"/>
        </w:rPr>
        <w:t>44</w:t>
      </w:r>
      <w:r w:rsidR="000A2B1C">
        <w:rPr>
          <w:rFonts w:ascii="Times New Roman" w:hAnsi="Times New Roman"/>
        </w:rPr>
        <w:t xml:space="preserve"> Закона Волгоградской области от 11.06.2008 №1694-ОД «О бюджетном процессе в Волгоградской области» </w:t>
      </w:r>
      <w:r w:rsidR="003F1750">
        <w:rPr>
          <w:rFonts w:ascii="Times New Roman" w:hAnsi="Times New Roman"/>
        </w:rPr>
        <w:t xml:space="preserve">на основании данных внешней проверки бюджетной отчетности главных администраторов </w:t>
      </w:r>
      <w:r w:rsidR="00A15F8D">
        <w:rPr>
          <w:rFonts w:ascii="Times New Roman" w:hAnsi="Times New Roman"/>
        </w:rPr>
        <w:t xml:space="preserve">бюджетных </w:t>
      </w:r>
      <w:r w:rsidR="003F1750">
        <w:rPr>
          <w:rFonts w:ascii="Times New Roman" w:hAnsi="Times New Roman"/>
        </w:rPr>
        <w:t>средств (далее</w:t>
      </w:r>
      <w:proofErr w:type="gramEnd"/>
      <w:r w:rsidR="003F1750">
        <w:rPr>
          <w:rFonts w:ascii="Times New Roman" w:hAnsi="Times New Roman"/>
        </w:rPr>
        <w:t xml:space="preserve"> </w:t>
      </w:r>
      <w:proofErr w:type="gramStart"/>
      <w:r w:rsidR="003F1750">
        <w:rPr>
          <w:rFonts w:ascii="Times New Roman" w:hAnsi="Times New Roman"/>
        </w:rPr>
        <w:t>ГАБС).</w:t>
      </w:r>
      <w:proofErr w:type="gramEnd"/>
    </w:p>
    <w:p w:rsidR="00565077" w:rsidRDefault="007B2A16" w:rsidP="007B2A16">
      <w:pPr>
        <w:jc w:val="both"/>
      </w:pPr>
      <w:r>
        <w:tab/>
      </w:r>
      <w:r w:rsidR="00B356A1">
        <w:t xml:space="preserve">Законом Волгоградской области </w:t>
      </w:r>
      <w:r w:rsidRPr="007B2A16">
        <w:rPr>
          <w:bCs/>
          <w:iCs/>
          <w:szCs w:val="24"/>
        </w:rPr>
        <w:t xml:space="preserve">от </w:t>
      </w:r>
      <w:r w:rsidR="00B02E3E">
        <w:t>0</w:t>
      </w:r>
      <w:r w:rsidR="00F13E31">
        <w:t>6</w:t>
      </w:r>
      <w:r w:rsidR="00B02E3E">
        <w:t>.12.201</w:t>
      </w:r>
      <w:r w:rsidR="00F13E31">
        <w:t>6</w:t>
      </w:r>
      <w:r w:rsidR="00B02E3E">
        <w:t xml:space="preserve"> №</w:t>
      </w:r>
      <w:r w:rsidR="00F13E31">
        <w:t>1</w:t>
      </w:r>
      <w:r w:rsidR="00B02E3E">
        <w:t>26-ОД «Об областном бюджете на 201</w:t>
      </w:r>
      <w:r w:rsidR="00F13E31">
        <w:t>7</w:t>
      </w:r>
      <w:r w:rsidR="00B02E3E">
        <w:t xml:space="preserve"> год и на плановый период 201</w:t>
      </w:r>
      <w:r w:rsidR="00F13E31">
        <w:t>8</w:t>
      </w:r>
      <w:r w:rsidR="00B02E3E">
        <w:t xml:space="preserve"> и 201</w:t>
      </w:r>
      <w:r w:rsidR="00F13E31">
        <w:t>9</w:t>
      </w:r>
      <w:r w:rsidR="00B02E3E">
        <w:t xml:space="preserve"> годов»</w:t>
      </w:r>
      <w:r w:rsidR="00B02E3E">
        <w:rPr>
          <w:bCs/>
          <w:iCs/>
          <w:szCs w:val="24"/>
        </w:rPr>
        <w:t xml:space="preserve"> </w:t>
      </w:r>
      <w:r w:rsidR="00ED54FD">
        <w:rPr>
          <w:bCs/>
          <w:iCs/>
          <w:szCs w:val="24"/>
        </w:rPr>
        <w:t>(</w:t>
      </w:r>
      <w:r w:rsidR="00730189">
        <w:rPr>
          <w:bCs/>
          <w:iCs/>
          <w:szCs w:val="24"/>
        </w:rPr>
        <w:t>в окончательной редакции</w:t>
      </w:r>
      <w:r w:rsidR="00ED54FD">
        <w:rPr>
          <w:bCs/>
          <w:iCs/>
          <w:szCs w:val="24"/>
        </w:rPr>
        <w:t xml:space="preserve">) </w:t>
      </w:r>
      <w:r w:rsidR="00B356A1">
        <w:t xml:space="preserve">утверждено </w:t>
      </w:r>
      <w:r w:rsidR="001F3151">
        <w:t>3</w:t>
      </w:r>
      <w:r w:rsidR="00F13E31">
        <w:t>5</w:t>
      </w:r>
      <w:r w:rsidR="00B356A1">
        <w:t xml:space="preserve"> главных </w:t>
      </w:r>
      <w:r w:rsidR="00ED54FD">
        <w:t xml:space="preserve">администраторов </w:t>
      </w:r>
      <w:r w:rsidR="00730189">
        <w:t>средств</w:t>
      </w:r>
      <w:r w:rsidR="00ED54FD">
        <w:t xml:space="preserve"> </w:t>
      </w:r>
      <w:r w:rsidR="00B356A1">
        <w:t>областного бюджета</w:t>
      </w:r>
      <w:r w:rsidR="00C40614">
        <w:t xml:space="preserve"> (далее ГАБС)</w:t>
      </w:r>
      <w:r w:rsidR="00730189">
        <w:t xml:space="preserve">. </w:t>
      </w:r>
      <w:r w:rsidR="00A614C9">
        <w:t>Ф</w:t>
      </w:r>
      <w:r w:rsidR="00B356A1">
        <w:t xml:space="preserve">ункции </w:t>
      </w:r>
      <w:r w:rsidR="005A1F1C">
        <w:t xml:space="preserve">главных </w:t>
      </w:r>
      <w:proofErr w:type="gramStart"/>
      <w:r w:rsidR="00B356A1">
        <w:t>администратор</w:t>
      </w:r>
      <w:r w:rsidR="00A614C9">
        <w:t>ов</w:t>
      </w:r>
      <w:r w:rsidR="00B356A1">
        <w:t xml:space="preserve"> источников финансирования дефицита областного бюджета</w:t>
      </w:r>
      <w:proofErr w:type="gramEnd"/>
      <w:r w:rsidR="00B356A1">
        <w:t xml:space="preserve"> </w:t>
      </w:r>
      <w:r w:rsidR="00A021BC">
        <w:t>в 201</w:t>
      </w:r>
      <w:r w:rsidR="00F13E31">
        <w:t>7</w:t>
      </w:r>
      <w:r w:rsidR="00A021BC">
        <w:t xml:space="preserve"> году </w:t>
      </w:r>
      <w:r w:rsidR="00B356A1">
        <w:t>выполнял</w:t>
      </w:r>
      <w:r w:rsidR="00A614C9">
        <w:t xml:space="preserve">и </w:t>
      </w:r>
      <w:r w:rsidR="004305DC">
        <w:t>комитет</w:t>
      </w:r>
      <w:r w:rsidR="003F1750">
        <w:t xml:space="preserve"> финансов и </w:t>
      </w:r>
      <w:r w:rsidR="004305DC">
        <w:t>комитет</w:t>
      </w:r>
      <w:r w:rsidR="003F1750">
        <w:t xml:space="preserve"> по управлению государственным имуществом Волгоградской области</w:t>
      </w:r>
      <w:r w:rsidR="005A1F1C">
        <w:t xml:space="preserve">. </w:t>
      </w:r>
    </w:p>
    <w:p w:rsidR="00B356A1" w:rsidRDefault="00B356A1" w:rsidP="00B356A1">
      <w:pPr>
        <w:pStyle w:val="a3"/>
        <w:ind w:firstLine="709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 xml:space="preserve">В рамках внешней проверки отчета </w:t>
      </w:r>
      <w:r w:rsidR="00E84947">
        <w:rPr>
          <w:rFonts w:ascii="Times New Roman" w:hAnsi="Times New Roman"/>
        </w:rPr>
        <w:t xml:space="preserve">Администрации </w:t>
      </w:r>
      <w:r w:rsidR="0033237A">
        <w:rPr>
          <w:rFonts w:ascii="Times New Roman" w:hAnsi="Times New Roman"/>
        </w:rPr>
        <w:t xml:space="preserve">Волгоградской </w:t>
      </w:r>
      <w:r>
        <w:rPr>
          <w:rFonts w:ascii="Times New Roman" w:hAnsi="Times New Roman"/>
        </w:rPr>
        <w:t>области об исполнении областного бюджета за 20</w:t>
      </w:r>
      <w:r w:rsidR="002D1066">
        <w:rPr>
          <w:rFonts w:ascii="Times New Roman" w:hAnsi="Times New Roman"/>
        </w:rPr>
        <w:t>1</w:t>
      </w:r>
      <w:r w:rsidR="00F13E31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год палатой проведены проверки бюджетной отчетности всех </w:t>
      </w:r>
      <w:r w:rsidR="005A0D71">
        <w:rPr>
          <w:rFonts w:ascii="Times New Roman" w:hAnsi="Times New Roman"/>
        </w:rPr>
        <w:t>ГАБС</w:t>
      </w:r>
      <w:r>
        <w:rPr>
          <w:rFonts w:ascii="Times New Roman" w:hAnsi="Times New Roman"/>
        </w:rPr>
        <w:t>, утвержденных законом о бюджете</w:t>
      </w:r>
      <w:r w:rsidR="0033237A">
        <w:rPr>
          <w:rFonts w:ascii="Times New Roman" w:hAnsi="Times New Roman"/>
        </w:rPr>
        <w:t>, в том числе</w:t>
      </w:r>
      <w:r w:rsidR="00CB6FB5">
        <w:rPr>
          <w:rFonts w:ascii="Times New Roman" w:hAnsi="Times New Roman"/>
        </w:rPr>
        <w:t xml:space="preserve"> </w:t>
      </w:r>
      <w:r w:rsidR="005A0D71">
        <w:rPr>
          <w:rFonts w:ascii="Times New Roman" w:hAnsi="Times New Roman"/>
        </w:rPr>
        <w:t>по</w:t>
      </w:r>
      <w:r w:rsidR="00A9540E">
        <w:rPr>
          <w:rFonts w:ascii="Times New Roman" w:hAnsi="Times New Roman"/>
        </w:rPr>
        <w:t xml:space="preserve"> </w:t>
      </w:r>
      <w:r w:rsidR="00F13E31">
        <w:rPr>
          <w:rFonts w:ascii="Times New Roman" w:hAnsi="Times New Roman"/>
        </w:rPr>
        <w:t>4</w:t>
      </w:r>
      <w:r w:rsidR="005A0D71">
        <w:rPr>
          <w:rFonts w:ascii="Times New Roman" w:hAnsi="Times New Roman"/>
        </w:rPr>
        <w:t xml:space="preserve"> </w:t>
      </w:r>
      <w:r w:rsidR="00512BB4">
        <w:rPr>
          <w:rFonts w:ascii="Times New Roman" w:hAnsi="Times New Roman"/>
        </w:rPr>
        <w:t>администратор</w:t>
      </w:r>
      <w:r w:rsidR="002D1066">
        <w:rPr>
          <w:rFonts w:ascii="Times New Roman" w:hAnsi="Times New Roman"/>
        </w:rPr>
        <w:t>ам</w:t>
      </w:r>
      <w:r w:rsidR="005A0D71">
        <w:rPr>
          <w:rFonts w:ascii="Times New Roman" w:hAnsi="Times New Roman"/>
        </w:rPr>
        <w:t xml:space="preserve"> </w:t>
      </w:r>
      <w:r w:rsidR="004C54E7">
        <w:rPr>
          <w:rFonts w:ascii="Times New Roman" w:hAnsi="Times New Roman"/>
        </w:rPr>
        <w:t>(</w:t>
      </w:r>
      <w:r w:rsidR="00B50C83">
        <w:rPr>
          <w:rFonts w:ascii="Times New Roman" w:hAnsi="Times New Roman"/>
        </w:rPr>
        <w:t xml:space="preserve">комитету </w:t>
      </w:r>
      <w:r w:rsidR="00F13E31">
        <w:rPr>
          <w:rFonts w:ascii="Times New Roman" w:hAnsi="Times New Roman"/>
        </w:rPr>
        <w:t>юстиции, комитету строительства, комитету социальной защиты населения</w:t>
      </w:r>
      <w:r w:rsidR="00E3352D">
        <w:rPr>
          <w:rFonts w:ascii="Times New Roman" w:hAnsi="Times New Roman"/>
        </w:rPr>
        <w:t xml:space="preserve"> и</w:t>
      </w:r>
      <w:r w:rsidR="006D6664">
        <w:rPr>
          <w:rFonts w:ascii="Times New Roman" w:hAnsi="Times New Roman"/>
        </w:rPr>
        <w:t xml:space="preserve"> комитету по делам территориальных образований, внутренней и информационной политики</w:t>
      </w:r>
      <w:r w:rsidR="00E3352D">
        <w:rPr>
          <w:rFonts w:ascii="Times New Roman" w:hAnsi="Times New Roman"/>
        </w:rPr>
        <w:t xml:space="preserve"> Волгоградской области</w:t>
      </w:r>
      <w:r w:rsidR="004C54E7">
        <w:rPr>
          <w:rFonts w:ascii="Times New Roman" w:hAnsi="Times New Roman"/>
        </w:rPr>
        <w:t xml:space="preserve">) </w:t>
      </w:r>
      <w:r w:rsidR="0033237A">
        <w:rPr>
          <w:rFonts w:ascii="Times New Roman" w:hAnsi="Times New Roman"/>
        </w:rPr>
        <w:t>-</w:t>
      </w:r>
      <w:r w:rsidR="005A0D71">
        <w:rPr>
          <w:rFonts w:ascii="Times New Roman" w:hAnsi="Times New Roman"/>
        </w:rPr>
        <w:t xml:space="preserve"> выездные, по </w:t>
      </w:r>
      <w:r w:rsidR="00272934">
        <w:rPr>
          <w:rFonts w:ascii="Times New Roman" w:hAnsi="Times New Roman"/>
        </w:rPr>
        <w:t>3</w:t>
      </w:r>
      <w:r w:rsidR="00E3352D">
        <w:rPr>
          <w:rFonts w:ascii="Times New Roman" w:hAnsi="Times New Roman"/>
        </w:rPr>
        <w:t>3</w:t>
      </w:r>
      <w:r w:rsidR="005A0D71">
        <w:rPr>
          <w:rFonts w:ascii="Times New Roman" w:hAnsi="Times New Roman"/>
        </w:rPr>
        <w:t xml:space="preserve"> – камеральные.</w:t>
      </w:r>
      <w:proofErr w:type="gramEnd"/>
      <w:r w:rsidR="005A0D7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По результатам проведенных проверок оформлено</w:t>
      </w:r>
      <w:r w:rsidR="004C54E7">
        <w:rPr>
          <w:rFonts w:ascii="Times New Roman" w:hAnsi="Times New Roman"/>
        </w:rPr>
        <w:t xml:space="preserve"> </w:t>
      </w:r>
      <w:r w:rsidR="00E3352D">
        <w:rPr>
          <w:rFonts w:ascii="Times New Roman" w:hAnsi="Times New Roman"/>
        </w:rPr>
        <w:t>36</w:t>
      </w:r>
      <w:r w:rsidR="00E0043F">
        <w:rPr>
          <w:rFonts w:ascii="Times New Roman" w:hAnsi="Times New Roman"/>
          <w:color w:val="FF0000"/>
        </w:rPr>
        <w:t xml:space="preserve"> </w:t>
      </w:r>
      <w:r w:rsidR="003652ED">
        <w:rPr>
          <w:rFonts w:ascii="Times New Roman" w:hAnsi="Times New Roman"/>
        </w:rPr>
        <w:t>акт</w:t>
      </w:r>
      <w:r w:rsidR="00A17EB1">
        <w:rPr>
          <w:rFonts w:ascii="Times New Roman" w:hAnsi="Times New Roman"/>
        </w:rPr>
        <w:t>ов</w:t>
      </w:r>
      <w:r w:rsidR="00E0043F">
        <w:rPr>
          <w:rFonts w:ascii="Times New Roman" w:hAnsi="Times New Roman"/>
        </w:rPr>
        <w:t xml:space="preserve">, на основании которых </w:t>
      </w:r>
      <w:r>
        <w:rPr>
          <w:rFonts w:ascii="Times New Roman" w:hAnsi="Times New Roman"/>
        </w:rPr>
        <w:t>подготовлены соответствующие заключения</w:t>
      </w:r>
      <w:r w:rsidR="005E54FC">
        <w:rPr>
          <w:rFonts w:ascii="Times New Roman" w:hAnsi="Times New Roman"/>
        </w:rPr>
        <w:t xml:space="preserve"> </w:t>
      </w:r>
      <w:r w:rsidR="005E54FC" w:rsidRPr="000F310C">
        <w:rPr>
          <w:rFonts w:ascii="Times New Roman" w:hAnsi="Times New Roman"/>
          <w:b/>
          <w:i/>
          <w:u w:val="single"/>
        </w:rPr>
        <w:t>(прилагаются</w:t>
      </w:r>
      <w:r w:rsidR="005E54FC" w:rsidRPr="000F310C">
        <w:rPr>
          <w:rFonts w:ascii="Times New Roman" w:hAnsi="Times New Roman"/>
          <w:b/>
          <w:i/>
        </w:rPr>
        <w:t>)</w:t>
      </w:r>
      <w:r w:rsidR="00D97089" w:rsidRPr="000F310C">
        <w:rPr>
          <w:rFonts w:ascii="Times New Roman" w:hAnsi="Times New Roman"/>
          <w:b/>
          <w:i/>
        </w:rPr>
        <w:t>.</w:t>
      </w:r>
      <w:r w:rsidR="00D97089">
        <w:rPr>
          <w:rFonts w:ascii="Times New Roman" w:hAnsi="Times New Roman"/>
        </w:rPr>
        <w:t xml:space="preserve"> </w:t>
      </w:r>
    </w:p>
    <w:p w:rsidR="00486137" w:rsidRPr="00564517" w:rsidRDefault="00B356A1" w:rsidP="00B356A1">
      <w:pPr>
        <w:pStyle w:val="a3"/>
        <w:ind w:firstLine="709"/>
        <w:rPr>
          <w:rFonts w:ascii="Times New Roman" w:hAnsi="Times New Roman"/>
          <w:color w:val="auto"/>
        </w:rPr>
      </w:pPr>
      <w:r w:rsidRPr="00564517">
        <w:rPr>
          <w:rFonts w:ascii="Times New Roman" w:hAnsi="Times New Roman"/>
          <w:color w:val="auto"/>
        </w:rPr>
        <w:t xml:space="preserve">Кроме того, в рамках внешней проверки исполнения областного бюджета </w:t>
      </w:r>
      <w:r w:rsidR="0085192E" w:rsidRPr="00564517">
        <w:rPr>
          <w:rFonts w:ascii="Times New Roman" w:hAnsi="Times New Roman"/>
          <w:color w:val="auto"/>
        </w:rPr>
        <w:t>за 201</w:t>
      </w:r>
      <w:r w:rsidR="00B51D15">
        <w:rPr>
          <w:rFonts w:ascii="Times New Roman" w:hAnsi="Times New Roman"/>
          <w:color w:val="auto"/>
        </w:rPr>
        <w:t>7</w:t>
      </w:r>
      <w:r w:rsidR="0085192E" w:rsidRPr="00564517">
        <w:rPr>
          <w:rFonts w:ascii="Times New Roman" w:hAnsi="Times New Roman"/>
          <w:color w:val="auto"/>
        </w:rPr>
        <w:t xml:space="preserve"> год </w:t>
      </w:r>
      <w:r w:rsidRPr="00564517">
        <w:rPr>
          <w:rFonts w:ascii="Times New Roman" w:hAnsi="Times New Roman"/>
          <w:color w:val="auto"/>
        </w:rPr>
        <w:t>о</w:t>
      </w:r>
      <w:r w:rsidR="0008578D" w:rsidRPr="00564517">
        <w:rPr>
          <w:rFonts w:ascii="Times New Roman" w:hAnsi="Times New Roman"/>
          <w:color w:val="auto"/>
        </w:rPr>
        <w:t xml:space="preserve">формлено </w:t>
      </w:r>
      <w:r w:rsidR="00E3352D">
        <w:rPr>
          <w:rFonts w:ascii="Times New Roman" w:hAnsi="Times New Roman"/>
          <w:color w:val="auto"/>
        </w:rPr>
        <w:t>8</w:t>
      </w:r>
      <w:r w:rsidR="00E308BE" w:rsidRPr="00564517">
        <w:rPr>
          <w:rFonts w:ascii="Times New Roman" w:hAnsi="Times New Roman"/>
          <w:color w:val="auto"/>
        </w:rPr>
        <w:t xml:space="preserve"> актов встречных проверок</w:t>
      </w:r>
      <w:r w:rsidRPr="00564517">
        <w:rPr>
          <w:rFonts w:ascii="Times New Roman" w:hAnsi="Times New Roman"/>
          <w:color w:val="auto"/>
        </w:rPr>
        <w:t xml:space="preserve"> и направлен</w:t>
      </w:r>
      <w:r w:rsidR="00DB795B" w:rsidRPr="00564517">
        <w:rPr>
          <w:rFonts w:ascii="Times New Roman" w:hAnsi="Times New Roman"/>
          <w:color w:val="auto"/>
        </w:rPr>
        <w:t>о</w:t>
      </w:r>
      <w:r w:rsidR="005E0BC2" w:rsidRPr="00564517">
        <w:rPr>
          <w:rFonts w:ascii="Times New Roman" w:hAnsi="Times New Roman"/>
          <w:color w:val="auto"/>
        </w:rPr>
        <w:t xml:space="preserve"> </w:t>
      </w:r>
      <w:r w:rsidR="00E3352D">
        <w:rPr>
          <w:rFonts w:ascii="Times New Roman" w:hAnsi="Times New Roman"/>
          <w:color w:val="auto"/>
        </w:rPr>
        <w:t>64</w:t>
      </w:r>
      <w:r w:rsidR="005E0BC2" w:rsidRPr="00564517">
        <w:rPr>
          <w:rFonts w:ascii="Times New Roman" w:hAnsi="Times New Roman"/>
          <w:color w:val="auto"/>
        </w:rPr>
        <w:t xml:space="preserve"> </w:t>
      </w:r>
      <w:r w:rsidRPr="00564517">
        <w:rPr>
          <w:rFonts w:ascii="Times New Roman" w:hAnsi="Times New Roman"/>
          <w:color w:val="auto"/>
        </w:rPr>
        <w:t>запрос</w:t>
      </w:r>
      <w:r w:rsidR="005E54FC">
        <w:rPr>
          <w:rFonts w:ascii="Times New Roman" w:hAnsi="Times New Roman"/>
          <w:color w:val="auto"/>
        </w:rPr>
        <w:t>а</w:t>
      </w:r>
      <w:r w:rsidRPr="00564517">
        <w:rPr>
          <w:rFonts w:ascii="Times New Roman" w:hAnsi="Times New Roman"/>
          <w:color w:val="auto"/>
        </w:rPr>
        <w:t xml:space="preserve"> в различные </w:t>
      </w:r>
      <w:r w:rsidR="00AB5F57" w:rsidRPr="00564517">
        <w:rPr>
          <w:rFonts w:ascii="Times New Roman" w:hAnsi="Times New Roman"/>
          <w:color w:val="auto"/>
        </w:rPr>
        <w:t>орга</w:t>
      </w:r>
      <w:r w:rsidR="00152105">
        <w:rPr>
          <w:rFonts w:ascii="Times New Roman" w:hAnsi="Times New Roman"/>
          <w:color w:val="auto"/>
        </w:rPr>
        <w:t>ны государственной власти, государственные учреждения и иные организации</w:t>
      </w:r>
      <w:r w:rsidRPr="00564517">
        <w:rPr>
          <w:rFonts w:ascii="Times New Roman" w:hAnsi="Times New Roman"/>
          <w:color w:val="auto"/>
        </w:rPr>
        <w:t xml:space="preserve"> для получения дополнительной информации. </w:t>
      </w:r>
    </w:p>
    <w:p w:rsidR="00B356A1" w:rsidRDefault="00B356A1" w:rsidP="00B356A1">
      <w:pPr>
        <w:pStyle w:val="a3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Перечень оформленных актов и запросов приведен </w:t>
      </w:r>
      <w:r w:rsidRPr="00D847A6">
        <w:rPr>
          <w:rFonts w:ascii="Times New Roman" w:hAnsi="Times New Roman"/>
        </w:rPr>
        <w:t>в</w:t>
      </w:r>
      <w:r w:rsidRPr="00D847A6">
        <w:rPr>
          <w:rFonts w:ascii="Times New Roman" w:hAnsi="Times New Roman"/>
          <w:b/>
          <w:i/>
          <w:u w:val="single"/>
        </w:rPr>
        <w:t xml:space="preserve"> </w:t>
      </w:r>
      <w:r w:rsidRPr="00D847A6">
        <w:rPr>
          <w:rFonts w:ascii="Times New Roman" w:hAnsi="Times New Roman"/>
          <w:b/>
          <w:i/>
          <w:color w:val="auto"/>
          <w:u w:val="single"/>
        </w:rPr>
        <w:t>приложении №1</w:t>
      </w:r>
      <w:r w:rsidRPr="00D847A6">
        <w:rPr>
          <w:rFonts w:ascii="Times New Roman" w:hAnsi="Times New Roman"/>
          <w:b/>
          <w:i/>
          <w:color w:val="auto"/>
        </w:rPr>
        <w:t>.</w:t>
      </w:r>
      <w:r>
        <w:rPr>
          <w:rFonts w:ascii="Times New Roman" w:hAnsi="Times New Roman"/>
        </w:rPr>
        <w:t xml:space="preserve"> </w:t>
      </w:r>
    </w:p>
    <w:p w:rsidR="00B356A1" w:rsidRDefault="00B356A1" w:rsidP="00B356A1">
      <w:pPr>
        <w:pStyle w:val="a3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Из </w:t>
      </w:r>
      <w:r w:rsidR="00E3352D">
        <w:rPr>
          <w:rFonts w:ascii="Times New Roman" w:hAnsi="Times New Roman"/>
        </w:rPr>
        <w:t>44</w:t>
      </w:r>
      <w:r>
        <w:rPr>
          <w:rFonts w:ascii="Times New Roman" w:hAnsi="Times New Roman"/>
        </w:rPr>
        <w:t xml:space="preserve"> акт</w:t>
      </w:r>
      <w:r w:rsidR="002907BD">
        <w:rPr>
          <w:rFonts w:ascii="Times New Roman" w:hAnsi="Times New Roman"/>
        </w:rPr>
        <w:t>ов</w:t>
      </w:r>
      <w:r>
        <w:rPr>
          <w:rFonts w:ascii="Times New Roman" w:hAnsi="Times New Roman"/>
        </w:rPr>
        <w:t>, оформленн</w:t>
      </w:r>
      <w:r w:rsidR="002907BD">
        <w:rPr>
          <w:rFonts w:ascii="Times New Roman" w:hAnsi="Times New Roman"/>
        </w:rPr>
        <w:t>ых</w:t>
      </w:r>
      <w:r>
        <w:rPr>
          <w:rFonts w:ascii="Times New Roman" w:hAnsi="Times New Roman"/>
        </w:rPr>
        <w:t xml:space="preserve"> в ходе внешней проверки исполнения бюджета, на </w:t>
      </w:r>
      <w:r w:rsidR="00E3352D">
        <w:rPr>
          <w:rFonts w:ascii="Times New Roman" w:hAnsi="Times New Roman"/>
        </w:rPr>
        <w:t>2</w:t>
      </w:r>
      <w:r w:rsidR="000A37B8">
        <w:rPr>
          <w:rFonts w:ascii="Times New Roman" w:hAnsi="Times New Roman"/>
          <w:color w:val="auto"/>
        </w:rPr>
        <w:t xml:space="preserve"> </w:t>
      </w:r>
      <w:r>
        <w:rPr>
          <w:rFonts w:ascii="Times New Roman" w:hAnsi="Times New Roman"/>
        </w:rPr>
        <w:t>акт</w:t>
      </w:r>
      <w:r w:rsidR="00E3352D">
        <w:rPr>
          <w:rFonts w:ascii="Times New Roman" w:hAnsi="Times New Roman"/>
        </w:rPr>
        <w:t>а</w:t>
      </w:r>
      <w:r>
        <w:rPr>
          <w:rFonts w:ascii="Times New Roman" w:hAnsi="Times New Roman"/>
        </w:rPr>
        <w:t xml:space="preserve"> проверенны</w:t>
      </w:r>
      <w:r w:rsidR="00EC0592">
        <w:rPr>
          <w:rFonts w:ascii="Times New Roman" w:hAnsi="Times New Roman"/>
        </w:rPr>
        <w:t>ми</w:t>
      </w:r>
      <w:r>
        <w:rPr>
          <w:rFonts w:ascii="Times New Roman" w:hAnsi="Times New Roman"/>
        </w:rPr>
        <w:t xml:space="preserve"> </w:t>
      </w:r>
      <w:r w:rsidR="000A37B8">
        <w:rPr>
          <w:rFonts w:ascii="Times New Roman" w:hAnsi="Times New Roman"/>
        </w:rPr>
        <w:t xml:space="preserve">органами и </w:t>
      </w:r>
      <w:r w:rsidR="006C6E3A">
        <w:rPr>
          <w:rFonts w:ascii="Times New Roman" w:hAnsi="Times New Roman"/>
        </w:rPr>
        <w:t>учреждениями</w:t>
      </w:r>
      <w:r w:rsidR="00CF18F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представлены разногласия</w:t>
      </w:r>
      <w:r w:rsidR="00E308BE">
        <w:rPr>
          <w:rFonts w:ascii="Times New Roman" w:hAnsi="Times New Roman"/>
        </w:rPr>
        <w:t xml:space="preserve"> (возражения)</w:t>
      </w:r>
      <w:r>
        <w:rPr>
          <w:rFonts w:ascii="Times New Roman" w:hAnsi="Times New Roman"/>
        </w:rPr>
        <w:t>,</w:t>
      </w:r>
      <w:r w:rsidR="00E3352D">
        <w:rPr>
          <w:rFonts w:ascii="Times New Roman" w:hAnsi="Times New Roman"/>
        </w:rPr>
        <w:t xml:space="preserve"> 4</w:t>
      </w:r>
      <w:r w:rsidR="006C6E3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акт</w:t>
      </w:r>
      <w:r w:rsidR="00E3352D">
        <w:rPr>
          <w:rFonts w:ascii="Times New Roman" w:hAnsi="Times New Roman"/>
        </w:rPr>
        <w:t>а</w:t>
      </w:r>
      <w:r>
        <w:rPr>
          <w:rFonts w:ascii="Times New Roman" w:hAnsi="Times New Roman"/>
        </w:rPr>
        <w:t xml:space="preserve"> подписан</w:t>
      </w:r>
      <w:r w:rsidR="00044E21">
        <w:rPr>
          <w:rFonts w:ascii="Times New Roman" w:hAnsi="Times New Roman"/>
        </w:rPr>
        <w:t>ы</w:t>
      </w:r>
      <w:r>
        <w:rPr>
          <w:rFonts w:ascii="Times New Roman" w:hAnsi="Times New Roman"/>
        </w:rPr>
        <w:t xml:space="preserve"> с пояснениями. На все представленные разногласия</w:t>
      </w:r>
      <w:r w:rsidR="000A37B8">
        <w:rPr>
          <w:rFonts w:ascii="Times New Roman" w:hAnsi="Times New Roman"/>
        </w:rPr>
        <w:t xml:space="preserve"> (возражения)</w:t>
      </w:r>
      <w:r>
        <w:rPr>
          <w:rFonts w:ascii="Times New Roman" w:hAnsi="Times New Roman"/>
        </w:rPr>
        <w:t xml:space="preserve"> палатой подготовлены и направлены проверенным </w:t>
      </w:r>
      <w:r w:rsidR="0041612A">
        <w:rPr>
          <w:rFonts w:ascii="Times New Roman" w:hAnsi="Times New Roman"/>
        </w:rPr>
        <w:t>комитетам, инспекциям</w:t>
      </w:r>
      <w:r>
        <w:rPr>
          <w:rFonts w:ascii="Times New Roman" w:hAnsi="Times New Roman"/>
        </w:rPr>
        <w:t xml:space="preserve"> </w:t>
      </w:r>
      <w:r w:rsidR="005E54FC">
        <w:rPr>
          <w:rFonts w:ascii="Times New Roman" w:hAnsi="Times New Roman"/>
        </w:rPr>
        <w:t xml:space="preserve">и учреждениям </w:t>
      </w:r>
      <w:r w:rsidR="002D1066">
        <w:rPr>
          <w:rFonts w:ascii="Times New Roman" w:hAnsi="Times New Roman"/>
        </w:rPr>
        <w:t xml:space="preserve">соответствующие </w:t>
      </w:r>
      <w:r>
        <w:rPr>
          <w:rFonts w:ascii="Times New Roman" w:hAnsi="Times New Roman"/>
        </w:rPr>
        <w:t>заключения.</w:t>
      </w:r>
    </w:p>
    <w:p w:rsidR="00DB155C" w:rsidRPr="00DB155C" w:rsidRDefault="00DB155C" w:rsidP="00DB155C">
      <w:pPr>
        <w:pStyle w:val="a3"/>
        <w:ind w:firstLine="709"/>
        <w:rPr>
          <w:rFonts w:ascii="Times New Roman" w:hAnsi="Times New Roman"/>
        </w:rPr>
      </w:pPr>
      <w:r w:rsidRPr="00DB155C">
        <w:rPr>
          <w:rFonts w:ascii="Times New Roman" w:hAnsi="Times New Roman"/>
        </w:rPr>
        <w:t xml:space="preserve">В ходе проведения внешних проверок бюджетной отчетности ГАБС сотрудниками КСП составлено </w:t>
      </w:r>
      <w:r w:rsidR="00E3352D">
        <w:rPr>
          <w:rFonts w:ascii="Times New Roman" w:hAnsi="Times New Roman"/>
        </w:rPr>
        <w:t>13</w:t>
      </w:r>
      <w:r w:rsidRPr="00DB155C">
        <w:rPr>
          <w:rFonts w:ascii="Times New Roman" w:hAnsi="Times New Roman"/>
        </w:rPr>
        <w:t xml:space="preserve"> протоколов о привлечении к административной ответственности должностных лиц органов исполнительной власти и учреждений, в том числе:</w:t>
      </w:r>
    </w:p>
    <w:p w:rsidR="00E3352D" w:rsidRDefault="00DB155C" w:rsidP="00DB155C">
      <w:pPr>
        <w:pStyle w:val="a3"/>
        <w:ind w:firstLine="709"/>
        <w:rPr>
          <w:rFonts w:ascii="Times New Roman" w:hAnsi="Times New Roman"/>
        </w:rPr>
      </w:pPr>
      <w:r w:rsidRPr="00DB155C">
        <w:rPr>
          <w:rFonts w:ascii="Times New Roman" w:hAnsi="Times New Roman"/>
        </w:rPr>
        <w:t>-</w:t>
      </w:r>
      <w:r w:rsidR="00E3352D">
        <w:rPr>
          <w:rFonts w:ascii="Times New Roman" w:hAnsi="Times New Roman"/>
        </w:rPr>
        <w:t>7</w:t>
      </w:r>
      <w:r w:rsidRPr="00DB155C">
        <w:rPr>
          <w:rFonts w:ascii="Times New Roman" w:hAnsi="Times New Roman"/>
        </w:rPr>
        <w:t xml:space="preserve"> протокол</w:t>
      </w:r>
      <w:r w:rsidR="00E3352D">
        <w:rPr>
          <w:rFonts w:ascii="Times New Roman" w:hAnsi="Times New Roman"/>
        </w:rPr>
        <w:t>ов</w:t>
      </w:r>
      <w:r>
        <w:rPr>
          <w:rFonts w:ascii="Times New Roman" w:hAnsi="Times New Roman"/>
        </w:rPr>
        <w:t xml:space="preserve"> </w:t>
      </w:r>
      <w:r w:rsidRPr="00DB155C">
        <w:rPr>
          <w:rFonts w:ascii="Times New Roman" w:hAnsi="Times New Roman"/>
        </w:rPr>
        <w:t>за грубое нарушение правил ведения бух</w:t>
      </w:r>
      <w:r w:rsidR="00E3352D">
        <w:rPr>
          <w:rFonts w:ascii="Times New Roman" w:hAnsi="Times New Roman"/>
        </w:rPr>
        <w:t xml:space="preserve">галтерского </w:t>
      </w:r>
      <w:r w:rsidRPr="00DB155C">
        <w:rPr>
          <w:rFonts w:ascii="Times New Roman" w:hAnsi="Times New Roman"/>
        </w:rPr>
        <w:t xml:space="preserve">учета (статья 15.11 </w:t>
      </w:r>
      <w:proofErr w:type="spellStart"/>
      <w:r w:rsidRPr="00DB155C">
        <w:rPr>
          <w:rFonts w:ascii="Times New Roman" w:hAnsi="Times New Roman"/>
        </w:rPr>
        <w:t>КоАП</w:t>
      </w:r>
      <w:proofErr w:type="spellEnd"/>
      <w:r w:rsidRPr="00DB155C">
        <w:rPr>
          <w:rFonts w:ascii="Times New Roman" w:hAnsi="Times New Roman"/>
        </w:rPr>
        <w:t xml:space="preserve"> РФ)</w:t>
      </w:r>
      <w:r w:rsidR="00E3352D">
        <w:rPr>
          <w:rFonts w:ascii="Times New Roman" w:hAnsi="Times New Roman"/>
        </w:rPr>
        <w:t>;</w:t>
      </w:r>
    </w:p>
    <w:p w:rsidR="00E3352D" w:rsidRDefault="00E3352D" w:rsidP="00DB155C">
      <w:pPr>
        <w:pStyle w:val="a3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-5 протоколов за нарушение условий предоставления межбюджетных трансфертов (статья 15.15.3 </w:t>
      </w:r>
      <w:proofErr w:type="spellStart"/>
      <w:r>
        <w:rPr>
          <w:rFonts w:ascii="Times New Roman" w:hAnsi="Times New Roman"/>
        </w:rPr>
        <w:t>КоАП</w:t>
      </w:r>
      <w:proofErr w:type="spellEnd"/>
      <w:r>
        <w:rPr>
          <w:rFonts w:ascii="Times New Roman" w:hAnsi="Times New Roman"/>
        </w:rPr>
        <w:t xml:space="preserve"> РФ);</w:t>
      </w:r>
    </w:p>
    <w:p w:rsidR="00DB155C" w:rsidRDefault="00E3352D" w:rsidP="00DB155C">
      <w:pPr>
        <w:pStyle w:val="a3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-1 протокол за нарушение порядка формирования государственного задания (статья </w:t>
      </w:r>
      <w:r>
        <w:rPr>
          <w:rFonts w:ascii="Times New Roman" w:hAnsi="Times New Roman"/>
        </w:rPr>
        <w:lastRenderedPageBreak/>
        <w:t xml:space="preserve">15.15.15 </w:t>
      </w:r>
      <w:proofErr w:type="spellStart"/>
      <w:r>
        <w:rPr>
          <w:rFonts w:ascii="Times New Roman" w:hAnsi="Times New Roman"/>
        </w:rPr>
        <w:t>КоАП</w:t>
      </w:r>
      <w:proofErr w:type="spellEnd"/>
      <w:r>
        <w:rPr>
          <w:rFonts w:ascii="Times New Roman" w:hAnsi="Times New Roman"/>
        </w:rPr>
        <w:t xml:space="preserve"> РФ).</w:t>
      </w:r>
      <w:r w:rsidR="00DB155C" w:rsidRPr="00DB155C">
        <w:rPr>
          <w:rFonts w:ascii="Times New Roman" w:hAnsi="Times New Roman"/>
        </w:rPr>
        <w:t xml:space="preserve">  </w:t>
      </w:r>
    </w:p>
    <w:p w:rsidR="00DB155C" w:rsidRDefault="00DB155C" w:rsidP="00DB155C">
      <w:pPr>
        <w:pStyle w:val="a3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Одновременно с внешней проверкой отчета </w:t>
      </w:r>
      <w:r w:rsidRPr="0041612A">
        <w:rPr>
          <w:rFonts w:ascii="Times New Roman" w:hAnsi="Times New Roman"/>
          <w:color w:val="auto"/>
        </w:rPr>
        <w:t>Администрации</w:t>
      </w:r>
      <w:r>
        <w:rPr>
          <w:rFonts w:ascii="Times New Roman" w:hAnsi="Times New Roman"/>
        </w:rPr>
        <w:t xml:space="preserve"> Волгоградской области об исполнении </w:t>
      </w:r>
      <w:r w:rsidR="00263067">
        <w:rPr>
          <w:rFonts w:ascii="Times New Roman" w:hAnsi="Times New Roman"/>
        </w:rPr>
        <w:t xml:space="preserve">областного </w:t>
      </w:r>
      <w:r>
        <w:rPr>
          <w:rFonts w:ascii="Times New Roman" w:hAnsi="Times New Roman"/>
        </w:rPr>
        <w:t xml:space="preserve">бюджета проведена проверка </w:t>
      </w:r>
      <w:proofErr w:type="gramStart"/>
      <w:r>
        <w:rPr>
          <w:rFonts w:ascii="Times New Roman" w:hAnsi="Times New Roman"/>
        </w:rPr>
        <w:t>исполнения бюджета Территориального фонда обязательного медицинского страхования Волгоградской области</w:t>
      </w:r>
      <w:proofErr w:type="gramEnd"/>
      <w:r>
        <w:rPr>
          <w:rFonts w:ascii="Times New Roman" w:hAnsi="Times New Roman"/>
        </w:rPr>
        <w:t xml:space="preserve"> за 201</w:t>
      </w:r>
      <w:r w:rsidR="0041612A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год. Ее результаты оформлены отдельным заключением </w:t>
      </w:r>
      <w:r w:rsidRPr="005F4FB2">
        <w:rPr>
          <w:rFonts w:ascii="Times New Roman" w:hAnsi="Times New Roman"/>
          <w:b/>
          <w:i/>
          <w:u w:val="single"/>
        </w:rPr>
        <w:t>(прилагается)</w:t>
      </w:r>
      <w:r>
        <w:rPr>
          <w:rFonts w:ascii="Times New Roman" w:hAnsi="Times New Roman"/>
        </w:rPr>
        <w:t xml:space="preserve">. </w:t>
      </w:r>
    </w:p>
    <w:p w:rsidR="008855A6" w:rsidRDefault="008855A6" w:rsidP="00DB155C">
      <w:pPr>
        <w:pStyle w:val="a3"/>
        <w:ind w:firstLine="709"/>
        <w:rPr>
          <w:rFonts w:ascii="Times New Roman" w:hAnsi="Times New Roman"/>
        </w:rPr>
      </w:pPr>
    </w:p>
    <w:p w:rsidR="007D2F38" w:rsidRPr="006A3192" w:rsidRDefault="007D2F38" w:rsidP="007D2F38">
      <w:pPr>
        <w:pStyle w:val="a3"/>
        <w:ind w:firstLine="0"/>
        <w:jc w:val="center"/>
        <w:rPr>
          <w:rFonts w:ascii="Times New Roman" w:hAnsi="Times New Roman"/>
          <w:b/>
        </w:rPr>
      </w:pPr>
      <w:r w:rsidRPr="006A3192">
        <w:rPr>
          <w:rFonts w:ascii="Times New Roman" w:hAnsi="Times New Roman"/>
          <w:b/>
        </w:rPr>
        <w:t xml:space="preserve">2. Общая характеристика исполнения </w:t>
      </w:r>
      <w:r w:rsidR="002B53E1">
        <w:rPr>
          <w:rFonts w:ascii="Times New Roman" w:hAnsi="Times New Roman"/>
          <w:b/>
        </w:rPr>
        <w:t>в 20</w:t>
      </w:r>
      <w:r w:rsidR="00A57CD7">
        <w:rPr>
          <w:rFonts w:ascii="Times New Roman" w:hAnsi="Times New Roman"/>
          <w:b/>
        </w:rPr>
        <w:t>1</w:t>
      </w:r>
      <w:r w:rsidR="0069137D">
        <w:rPr>
          <w:rFonts w:ascii="Times New Roman" w:hAnsi="Times New Roman"/>
          <w:b/>
        </w:rPr>
        <w:t>7</w:t>
      </w:r>
      <w:r w:rsidR="00C5676F">
        <w:rPr>
          <w:rFonts w:ascii="Times New Roman" w:hAnsi="Times New Roman"/>
          <w:b/>
        </w:rPr>
        <w:t xml:space="preserve"> году з</w:t>
      </w:r>
      <w:r w:rsidRPr="006A3192">
        <w:rPr>
          <w:rFonts w:ascii="Times New Roman" w:hAnsi="Times New Roman"/>
          <w:b/>
        </w:rPr>
        <w:t>акона Волгоградской области</w:t>
      </w:r>
    </w:p>
    <w:p w:rsidR="007D2F38" w:rsidRPr="006A3192" w:rsidRDefault="007D2F38" w:rsidP="007D2F38">
      <w:pPr>
        <w:pStyle w:val="a3"/>
        <w:ind w:firstLine="0"/>
        <w:jc w:val="center"/>
        <w:rPr>
          <w:rFonts w:ascii="Times New Roman" w:hAnsi="Times New Roman"/>
          <w:b/>
        </w:rPr>
      </w:pPr>
      <w:r w:rsidRPr="006A3192">
        <w:rPr>
          <w:rFonts w:ascii="Times New Roman" w:hAnsi="Times New Roman"/>
          <w:b/>
        </w:rPr>
        <w:t>«Об областном бюджете на 20</w:t>
      </w:r>
      <w:r w:rsidR="00A57CD7">
        <w:rPr>
          <w:rFonts w:ascii="Times New Roman" w:hAnsi="Times New Roman"/>
          <w:b/>
        </w:rPr>
        <w:t>1</w:t>
      </w:r>
      <w:r w:rsidR="0069137D">
        <w:rPr>
          <w:rFonts w:ascii="Times New Roman" w:hAnsi="Times New Roman"/>
          <w:b/>
        </w:rPr>
        <w:t>7</w:t>
      </w:r>
      <w:r w:rsidR="003E056D">
        <w:rPr>
          <w:rFonts w:ascii="Times New Roman" w:hAnsi="Times New Roman"/>
          <w:b/>
        </w:rPr>
        <w:t xml:space="preserve"> год</w:t>
      </w:r>
      <w:r>
        <w:rPr>
          <w:rFonts w:ascii="Times New Roman" w:hAnsi="Times New Roman"/>
          <w:b/>
        </w:rPr>
        <w:t xml:space="preserve"> и </w:t>
      </w:r>
      <w:r w:rsidR="002B53E1">
        <w:rPr>
          <w:rFonts w:ascii="Times New Roman" w:hAnsi="Times New Roman"/>
          <w:b/>
        </w:rPr>
        <w:t>плановый период</w:t>
      </w:r>
      <w:r>
        <w:rPr>
          <w:rFonts w:ascii="Times New Roman" w:hAnsi="Times New Roman"/>
          <w:b/>
        </w:rPr>
        <w:t xml:space="preserve"> 201</w:t>
      </w:r>
      <w:r w:rsidR="0069137D">
        <w:rPr>
          <w:rFonts w:ascii="Times New Roman" w:hAnsi="Times New Roman"/>
          <w:b/>
        </w:rPr>
        <w:t>8</w:t>
      </w:r>
      <w:r w:rsidR="002B53E1">
        <w:rPr>
          <w:rFonts w:ascii="Times New Roman" w:hAnsi="Times New Roman"/>
          <w:b/>
        </w:rPr>
        <w:t xml:space="preserve"> и 201</w:t>
      </w:r>
      <w:r w:rsidR="0069137D">
        <w:rPr>
          <w:rFonts w:ascii="Times New Roman" w:hAnsi="Times New Roman"/>
          <w:b/>
        </w:rPr>
        <w:t>9</w:t>
      </w:r>
      <w:r w:rsidRPr="006A3192">
        <w:rPr>
          <w:rFonts w:ascii="Times New Roman" w:hAnsi="Times New Roman"/>
          <w:b/>
        </w:rPr>
        <w:t xml:space="preserve"> год</w:t>
      </w:r>
      <w:r w:rsidR="002B53E1">
        <w:rPr>
          <w:rFonts w:ascii="Times New Roman" w:hAnsi="Times New Roman"/>
          <w:b/>
        </w:rPr>
        <w:t>ов</w:t>
      </w:r>
      <w:r w:rsidRPr="006A3192">
        <w:rPr>
          <w:rFonts w:ascii="Times New Roman" w:hAnsi="Times New Roman"/>
          <w:b/>
        </w:rPr>
        <w:t>».</w:t>
      </w:r>
    </w:p>
    <w:p w:rsidR="007D2F38" w:rsidRDefault="007D2F38" w:rsidP="007D2F38">
      <w:pPr>
        <w:pStyle w:val="a3"/>
        <w:ind w:firstLine="0"/>
        <w:rPr>
          <w:rFonts w:ascii="Times New Roman" w:hAnsi="Times New Roman"/>
        </w:rPr>
      </w:pPr>
    </w:p>
    <w:p w:rsidR="00B43079" w:rsidRDefault="007D2F38" w:rsidP="001061B8">
      <w:pPr>
        <w:ind w:firstLine="720"/>
        <w:jc w:val="center"/>
        <w:outlineLvl w:val="0"/>
        <w:rPr>
          <w:b/>
        </w:rPr>
      </w:pPr>
      <w:r w:rsidRPr="006A3192">
        <w:rPr>
          <w:b/>
        </w:rPr>
        <w:t>2.1. Анализ макроэкономически</w:t>
      </w:r>
      <w:r>
        <w:rPr>
          <w:b/>
        </w:rPr>
        <w:t>х</w:t>
      </w:r>
      <w:r w:rsidRPr="006A3192">
        <w:rPr>
          <w:b/>
        </w:rPr>
        <w:t xml:space="preserve"> услови</w:t>
      </w:r>
      <w:r>
        <w:rPr>
          <w:b/>
        </w:rPr>
        <w:t xml:space="preserve">й </w:t>
      </w:r>
      <w:r w:rsidRPr="006A3192">
        <w:rPr>
          <w:b/>
        </w:rPr>
        <w:t>исполнения</w:t>
      </w:r>
      <w:r w:rsidR="00F9712A">
        <w:rPr>
          <w:b/>
        </w:rPr>
        <w:t xml:space="preserve"> </w:t>
      </w:r>
    </w:p>
    <w:p w:rsidR="007D2F38" w:rsidRPr="006A3192" w:rsidRDefault="007D2F38" w:rsidP="007D2F38">
      <w:pPr>
        <w:ind w:firstLine="720"/>
        <w:jc w:val="center"/>
        <w:rPr>
          <w:b/>
        </w:rPr>
      </w:pPr>
      <w:r w:rsidRPr="006A3192">
        <w:rPr>
          <w:b/>
        </w:rPr>
        <w:t>областного бюджета</w:t>
      </w:r>
      <w:r w:rsidR="00B43079">
        <w:rPr>
          <w:b/>
        </w:rPr>
        <w:t xml:space="preserve"> </w:t>
      </w:r>
      <w:r w:rsidRPr="006A3192">
        <w:rPr>
          <w:b/>
        </w:rPr>
        <w:t xml:space="preserve">в </w:t>
      </w:r>
      <w:r w:rsidR="00A57CD7">
        <w:rPr>
          <w:b/>
        </w:rPr>
        <w:t>2</w:t>
      </w:r>
      <w:r w:rsidRPr="006A3192">
        <w:rPr>
          <w:b/>
        </w:rPr>
        <w:t>0</w:t>
      </w:r>
      <w:r w:rsidR="00A57CD7">
        <w:rPr>
          <w:b/>
        </w:rPr>
        <w:t>1</w:t>
      </w:r>
      <w:r w:rsidR="0069137D">
        <w:rPr>
          <w:b/>
        </w:rPr>
        <w:t>7</w:t>
      </w:r>
      <w:r w:rsidRPr="006A3192">
        <w:rPr>
          <w:b/>
        </w:rPr>
        <w:t xml:space="preserve"> году.</w:t>
      </w:r>
    </w:p>
    <w:p w:rsidR="006E42FD" w:rsidRDefault="006E42FD" w:rsidP="001061B8">
      <w:pPr>
        <w:pStyle w:val="a3"/>
        <w:ind w:left="1260" w:hanging="1260"/>
        <w:jc w:val="center"/>
        <w:outlineLvl w:val="0"/>
        <w:rPr>
          <w:rFonts w:ascii="Times New Roman" w:hAnsi="Times New Roman"/>
          <w:b/>
        </w:rPr>
      </w:pPr>
    </w:p>
    <w:p w:rsidR="00367A2A" w:rsidRDefault="00367A2A" w:rsidP="00367A2A">
      <w:pPr>
        <w:pStyle w:val="11"/>
        <w:ind w:firstLine="680"/>
        <w:jc w:val="both"/>
      </w:pPr>
      <w:r>
        <w:tab/>
      </w:r>
      <w:r w:rsidRPr="00F21D7E">
        <w:t>Проверке испол</w:t>
      </w:r>
      <w:r>
        <w:t>нения областного бюджета за 2017</w:t>
      </w:r>
      <w:r w:rsidRPr="00F21D7E">
        <w:t xml:space="preserve"> год предшествовал анализ основных макроэкономических показателей, принятых в расчетах к областному бюджету на данный период, и фактически сложившихся</w:t>
      </w:r>
      <w:r w:rsidRPr="00F21D7E">
        <w:rPr>
          <w:color w:val="92D050"/>
        </w:rPr>
        <w:t xml:space="preserve"> </w:t>
      </w:r>
      <w:r w:rsidRPr="00F21D7E">
        <w:t xml:space="preserve">по итогам </w:t>
      </w:r>
      <w:r>
        <w:t>2016-2017 годов (согласно статистическим данным на момент проведения анализа)</w:t>
      </w:r>
      <w:r w:rsidRPr="00F21D7E">
        <w:t>, результаты которого приведены в следующей таблице:</w:t>
      </w:r>
    </w:p>
    <w:tbl>
      <w:tblPr>
        <w:tblW w:w="10207" w:type="dxa"/>
        <w:tblInd w:w="-176" w:type="dxa"/>
        <w:tblLayout w:type="fixed"/>
        <w:tblLook w:val="04A0"/>
      </w:tblPr>
      <w:tblGrid>
        <w:gridCol w:w="4112"/>
        <w:gridCol w:w="1275"/>
        <w:gridCol w:w="1701"/>
        <w:gridCol w:w="1134"/>
        <w:gridCol w:w="993"/>
        <w:gridCol w:w="992"/>
      </w:tblGrid>
      <w:tr w:rsidR="00367A2A" w:rsidRPr="00F21D7E" w:rsidTr="00826435">
        <w:trPr>
          <w:trHeight w:val="300"/>
        </w:trPr>
        <w:tc>
          <w:tcPr>
            <w:tcW w:w="4112" w:type="dxa"/>
            <w:vMerge w:val="restart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D8E4BC"/>
            <w:vAlign w:val="center"/>
            <w:hideMark/>
          </w:tcPr>
          <w:p w:rsidR="00367A2A" w:rsidRPr="006E4D23" w:rsidRDefault="00367A2A" w:rsidP="003F7C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bookmarkStart w:id="0" w:name="OLE_LINK1"/>
            <w:r w:rsidRPr="006E4D23">
              <w:rPr>
                <w:b/>
                <w:bCs/>
                <w:color w:val="000000"/>
                <w:sz w:val="18"/>
                <w:szCs w:val="18"/>
              </w:rPr>
              <w:t>Показатели</w:t>
            </w:r>
          </w:p>
        </w:tc>
        <w:tc>
          <w:tcPr>
            <w:tcW w:w="1275" w:type="dxa"/>
            <w:vMerge w:val="restar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8E4BC"/>
            <w:vAlign w:val="center"/>
            <w:hideMark/>
          </w:tcPr>
          <w:p w:rsidR="00367A2A" w:rsidRPr="006E4D23" w:rsidRDefault="00367A2A" w:rsidP="003F7C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Данные статистики за 2016</w:t>
            </w:r>
            <w:r w:rsidRPr="006E4D23">
              <w:rPr>
                <w:b/>
                <w:bCs/>
                <w:color w:val="000000"/>
                <w:sz w:val="18"/>
                <w:szCs w:val="18"/>
              </w:rPr>
              <w:t xml:space="preserve"> г.</w:t>
            </w:r>
          </w:p>
        </w:tc>
        <w:tc>
          <w:tcPr>
            <w:tcW w:w="1701" w:type="dxa"/>
            <w:vMerge w:val="restar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8E4BC"/>
            <w:vAlign w:val="bottom"/>
            <w:hideMark/>
          </w:tcPr>
          <w:p w:rsidR="00367A2A" w:rsidRPr="006E4D23" w:rsidRDefault="00367A2A" w:rsidP="003F7C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Прогноз СЭР на 2017-2019</w:t>
            </w:r>
            <w:r w:rsidRPr="006E4D23">
              <w:rPr>
                <w:b/>
                <w:bCs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8E4BC"/>
            <w:vAlign w:val="center"/>
            <w:hideMark/>
          </w:tcPr>
          <w:p w:rsidR="00367A2A" w:rsidRPr="006E4D23" w:rsidRDefault="00367A2A" w:rsidP="003F7C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Данные статистики за 2017</w:t>
            </w:r>
            <w:r w:rsidRPr="006E4D23">
              <w:rPr>
                <w:b/>
                <w:bCs/>
                <w:color w:val="000000"/>
                <w:sz w:val="18"/>
                <w:szCs w:val="18"/>
              </w:rPr>
              <w:t xml:space="preserve"> г. 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D8E4BC"/>
            <w:vAlign w:val="bottom"/>
            <w:hideMark/>
          </w:tcPr>
          <w:p w:rsidR="00367A2A" w:rsidRPr="006E4D23" w:rsidRDefault="00367A2A" w:rsidP="003F7C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в % к 2016</w:t>
            </w:r>
            <w:r w:rsidRPr="006E4D23">
              <w:rPr>
                <w:b/>
                <w:bCs/>
                <w:color w:val="000000"/>
                <w:sz w:val="18"/>
                <w:szCs w:val="18"/>
              </w:rPr>
              <w:t xml:space="preserve"> году</w:t>
            </w:r>
          </w:p>
        </w:tc>
      </w:tr>
      <w:tr w:rsidR="00367A2A" w:rsidRPr="00F21D7E" w:rsidTr="00826435">
        <w:trPr>
          <w:trHeight w:val="315"/>
        </w:trPr>
        <w:tc>
          <w:tcPr>
            <w:tcW w:w="4112" w:type="dxa"/>
            <w:vMerge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7A2A" w:rsidRPr="006E4D23" w:rsidRDefault="00367A2A" w:rsidP="003F7CC6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7A2A" w:rsidRPr="006E4D23" w:rsidRDefault="00367A2A" w:rsidP="003F7CC6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7A2A" w:rsidRPr="006E4D23" w:rsidRDefault="00367A2A" w:rsidP="003F7CC6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7A2A" w:rsidRPr="006E4D23" w:rsidRDefault="00367A2A" w:rsidP="003F7CC6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8E4BC"/>
            <w:vAlign w:val="center"/>
            <w:hideMark/>
          </w:tcPr>
          <w:p w:rsidR="00367A2A" w:rsidRPr="006E4D23" w:rsidRDefault="00367A2A" w:rsidP="003F7C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E4D23">
              <w:rPr>
                <w:b/>
                <w:bCs/>
                <w:color w:val="000000"/>
                <w:sz w:val="18"/>
                <w:szCs w:val="18"/>
              </w:rPr>
              <w:t xml:space="preserve">Расчеты к </w:t>
            </w:r>
            <w:r>
              <w:rPr>
                <w:b/>
                <w:bCs/>
                <w:color w:val="000000"/>
                <w:sz w:val="18"/>
                <w:szCs w:val="18"/>
              </w:rPr>
              <w:t>бюджету на 2017</w:t>
            </w:r>
            <w:r w:rsidRPr="006E4D23">
              <w:rPr>
                <w:b/>
                <w:bCs/>
                <w:color w:val="000000"/>
                <w:sz w:val="18"/>
                <w:szCs w:val="18"/>
              </w:rPr>
              <w:t xml:space="preserve"> г.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D8E4BC"/>
            <w:vAlign w:val="center"/>
            <w:hideMark/>
          </w:tcPr>
          <w:p w:rsidR="00367A2A" w:rsidRPr="006E4D23" w:rsidRDefault="00367A2A" w:rsidP="00367A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E4D23">
              <w:rPr>
                <w:b/>
                <w:bCs/>
                <w:color w:val="000000"/>
                <w:sz w:val="18"/>
                <w:szCs w:val="18"/>
              </w:rPr>
              <w:t>Статис</w:t>
            </w:r>
            <w:r>
              <w:rPr>
                <w:b/>
                <w:bCs/>
                <w:color w:val="000000"/>
                <w:sz w:val="18"/>
                <w:szCs w:val="18"/>
              </w:rPr>
              <w:t>тика за 2017</w:t>
            </w:r>
            <w:r w:rsidRPr="006E4D23">
              <w:rPr>
                <w:b/>
                <w:bCs/>
                <w:color w:val="000000"/>
                <w:sz w:val="18"/>
                <w:szCs w:val="18"/>
              </w:rPr>
              <w:t xml:space="preserve"> г.</w:t>
            </w:r>
          </w:p>
        </w:tc>
      </w:tr>
      <w:tr w:rsidR="00367A2A" w:rsidRPr="00F21D7E" w:rsidTr="00826435">
        <w:trPr>
          <w:trHeight w:val="658"/>
        </w:trPr>
        <w:tc>
          <w:tcPr>
            <w:tcW w:w="4112" w:type="dxa"/>
            <w:vMerge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7A2A" w:rsidRPr="007F045D" w:rsidRDefault="00367A2A" w:rsidP="003F7CC6">
            <w:pPr>
              <w:rPr>
                <w:b/>
                <w:bCs/>
                <w:color w:val="000000"/>
                <w:sz w:val="20"/>
                <w:highlight w:val="yellow"/>
              </w:rPr>
            </w:pPr>
          </w:p>
        </w:tc>
        <w:tc>
          <w:tcPr>
            <w:tcW w:w="12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7A2A" w:rsidRPr="007F045D" w:rsidRDefault="00367A2A" w:rsidP="003F7CC6">
            <w:pPr>
              <w:rPr>
                <w:b/>
                <w:bCs/>
                <w:color w:val="000000"/>
                <w:sz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8E4BC"/>
            <w:vAlign w:val="bottom"/>
            <w:hideMark/>
          </w:tcPr>
          <w:p w:rsidR="00367A2A" w:rsidRPr="006E4D23" w:rsidRDefault="00367A2A" w:rsidP="003F7CC6">
            <w:pPr>
              <w:jc w:val="center"/>
              <w:rPr>
                <w:b/>
                <w:bCs/>
                <w:color w:val="000000"/>
                <w:sz w:val="18"/>
                <w:szCs w:val="18"/>
                <w:highlight w:val="yellow"/>
              </w:rPr>
            </w:pPr>
            <w:r w:rsidRPr="006E4D23">
              <w:rPr>
                <w:b/>
                <w:bCs/>
                <w:color w:val="000000"/>
                <w:sz w:val="18"/>
                <w:szCs w:val="18"/>
              </w:rPr>
              <w:t>Прин</w:t>
            </w:r>
            <w:r>
              <w:rPr>
                <w:b/>
                <w:bCs/>
                <w:color w:val="000000"/>
                <w:sz w:val="18"/>
                <w:szCs w:val="18"/>
              </w:rPr>
              <w:t>ято в расчетах к бюджету на 2017</w:t>
            </w:r>
            <w:r w:rsidRPr="006E4D23">
              <w:rPr>
                <w:b/>
                <w:bCs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7A2A" w:rsidRPr="007F045D" w:rsidRDefault="00367A2A" w:rsidP="003F7CC6">
            <w:pPr>
              <w:rPr>
                <w:b/>
                <w:bCs/>
                <w:color w:val="000000"/>
                <w:sz w:val="20"/>
                <w:highlight w:val="yellow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7A2A" w:rsidRPr="007F045D" w:rsidRDefault="00367A2A" w:rsidP="003F7CC6">
            <w:pPr>
              <w:rPr>
                <w:b/>
                <w:bCs/>
                <w:color w:val="000000"/>
                <w:sz w:val="20"/>
                <w:highlight w:val="yellow"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:rsidR="00367A2A" w:rsidRPr="007F045D" w:rsidRDefault="00367A2A" w:rsidP="003F7CC6">
            <w:pPr>
              <w:rPr>
                <w:b/>
                <w:bCs/>
                <w:color w:val="000000"/>
                <w:sz w:val="20"/>
                <w:highlight w:val="yellow"/>
              </w:rPr>
            </w:pPr>
          </w:p>
        </w:tc>
      </w:tr>
      <w:tr w:rsidR="00367A2A" w:rsidRPr="00F21D7E" w:rsidTr="00826435">
        <w:trPr>
          <w:trHeight w:val="288"/>
        </w:trPr>
        <w:tc>
          <w:tcPr>
            <w:tcW w:w="41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2A" w:rsidRPr="007F045D" w:rsidRDefault="00367A2A" w:rsidP="003F7CC6">
            <w:pPr>
              <w:jc w:val="both"/>
              <w:rPr>
                <w:color w:val="000000"/>
                <w:sz w:val="20"/>
              </w:rPr>
            </w:pPr>
            <w:r w:rsidRPr="007F045D">
              <w:rPr>
                <w:color w:val="000000"/>
                <w:sz w:val="20"/>
              </w:rPr>
              <w:t>Валовой региональный продукт, млн. руб.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67A2A" w:rsidRPr="00817DBC" w:rsidRDefault="00367A2A" w:rsidP="003F7CC6">
            <w:pPr>
              <w:jc w:val="center"/>
              <w:rPr>
                <w:sz w:val="20"/>
              </w:rPr>
            </w:pPr>
            <w:r w:rsidRPr="00817DBC">
              <w:rPr>
                <w:sz w:val="20"/>
              </w:rPr>
              <w:t>743 283,7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367A2A" w:rsidRPr="00817DBC" w:rsidRDefault="00367A2A" w:rsidP="003F7CC6">
            <w:pPr>
              <w:jc w:val="center"/>
              <w:rPr>
                <w:sz w:val="20"/>
              </w:rPr>
            </w:pPr>
            <w:r w:rsidRPr="00817DBC">
              <w:rPr>
                <w:sz w:val="20"/>
              </w:rPr>
              <w:t>864 455,3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367A2A" w:rsidRPr="00817DBC" w:rsidRDefault="00367A2A" w:rsidP="003F7CC6">
            <w:pPr>
              <w:jc w:val="center"/>
              <w:rPr>
                <w:sz w:val="20"/>
              </w:rPr>
            </w:pPr>
            <w:r w:rsidRPr="00817DBC">
              <w:rPr>
                <w:sz w:val="20"/>
              </w:rPr>
              <w:t>819 753,3*</w:t>
            </w:r>
          </w:p>
          <w:p w:rsidR="00367A2A" w:rsidRPr="00817DBC" w:rsidRDefault="00367A2A" w:rsidP="003F7CC6">
            <w:pPr>
              <w:jc w:val="center"/>
              <w:rPr>
                <w:sz w:val="20"/>
              </w:rPr>
            </w:pPr>
            <w:r w:rsidRPr="00817DBC">
              <w:rPr>
                <w:sz w:val="20"/>
              </w:rPr>
              <w:t>(оценка)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367A2A" w:rsidRPr="00B13F85" w:rsidRDefault="00367A2A" w:rsidP="003F7CC6">
            <w:pPr>
              <w:jc w:val="center"/>
              <w:rPr>
                <w:sz w:val="20"/>
              </w:rPr>
            </w:pPr>
            <w:r w:rsidRPr="00B13F85">
              <w:rPr>
                <w:sz w:val="20"/>
              </w:rPr>
              <w:t>116,3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FFFFFF"/>
            <w:vAlign w:val="bottom"/>
            <w:hideMark/>
          </w:tcPr>
          <w:p w:rsidR="00367A2A" w:rsidRPr="002B62E0" w:rsidRDefault="00367A2A" w:rsidP="003F7CC6">
            <w:pPr>
              <w:jc w:val="center"/>
              <w:rPr>
                <w:sz w:val="20"/>
              </w:rPr>
            </w:pPr>
            <w:r w:rsidRPr="002B62E0">
              <w:rPr>
                <w:sz w:val="20"/>
              </w:rPr>
              <w:t>110,3</w:t>
            </w:r>
            <w:r>
              <w:rPr>
                <w:sz w:val="20"/>
              </w:rPr>
              <w:t>*</w:t>
            </w:r>
          </w:p>
          <w:p w:rsidR="00367A2A" w:rsidRPr="00162908" w:rsidRDefault="00367A2A" w:rsidP="003F7CC6">
            <w:pPr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(оценка)</w:t>
            </w:r>
          </w:p>
        </w:tc>
      </w:tr>
      <w:tr w:rsidR="00367A2A" w:rsidRPr="00F21D7E" w:rsidTr="00826435">
        <w:trPr>
          <w:trHeight w:val="175"/>
        </w:trPr>
        <w:tc>
          <w:tcPr>
            <w:tcW w:w="41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2A" w:rsidRPr="00D759B8" w:rsidRDefault="00367A2A" w:rsidP="003F7CC6">
            <w:pPr>
              <w:jc w:val="both"/>
              <w:rPr>
                <w:color w:val="000000"/>
                <w:sz w:val="20"/>
              </w:rPr>
            </w:pPr>
            <w:r w:rsidRPr="00D759B8">
              <w:rPr>
                <w:color w:val="000000"/>
                <w:sz w:val="20"/>
              </w:rPr>
              <w:t xml:space="preserve">Индекс физического объема ВРП (в сопоставимых ценах), </w:t>
            </w:r>
            <w:proofErr w:type="gramStart"/>
            <w:r w:rsidRPr="00D759B8">
              <w:rPr>
                <w:color w:val="000000"/>
                <w:sz w:val="20"/>
              </w:rPr>
              <w:t>в</w:t>
            </w:r>
            <w:proofErr w:type="gramEnd"/>
            <w:r w:rsidRPr="00D759B8">
              <w:rPr>
                <w:color w:val="000000"/>
                <w:sz w:val="20"/>
              </w:rPr>
              <w:t xml:space="preserve"> % </w:t>
            </w:r>
            <w:proofErr w:type="gramStart"/>
            <w:r w:rsidRPr="00D759B8">
              <w:rPr>
                <w:color w:val="000000"/>
                <w:sz w:val="20"/>
              </w:rPr>
              <w:t>к</w:t>
            </w:r>
            <w:proofErr w:type="gramEnd"/>
            <w:r w:rsidRPr="00D759B8">
              <w:rPr>
                <w:color w:val="000000"/>
                <w:sz w:val="20"/>
              </w:rPr>
              <w:t xml:space="preserve"> предыдущему году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367A2A" w:rsidRPr="00817DBC" w:rsidRDefault="00367A2A" w:rsidP="003F7CC6">
            <w:pPr>
              <w:jc w:val="center"/>
              <w:rPr>
                <w:sz w:val="20"/>
              </w:rPr>
            </w:pPr>
            <w:r w:rsidRPr="00817DBC">
              <w:rPr>
                <w:sz w:val="20"/>
              </w:rPr>
              <w:t>98,6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367A2A" w:rsidRPr="00817DBC" w:rsidRDefault="00367A2A" w:rsidP="003F7CC6">
            <w:pPr>
              <w:jc w:val="center"/>
              <w:rPr>
                <w:sz w:val="20"/>
              </w:rPr>
            </w:pPr>
            <w:r w:rsidRPr="00817DBC">
              <w:rPr>
                <w:sz w:val="20"/>
              </w:rPr>
              <w:t>101,0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367A2A" w:rsidRPr="00817DBC" w:rsidRDefault="00367A2A" w:rsidP="003F7CC6">
            <w:pPr>
              <w:jc w:val="center"/>
              <w:rPr>
                <w:sz w:val="20"/>
              </w:rPr>
            </w:pPr>
            <w:r w:rsidRPr="00817DBC">
              <w:rPr>
                <w:sz w:val="20"/>
              </w:rPr>
              <w:t>102,0</w:t>
            </w:r>
            <w:r>
              <w:rPr>
                <w:sz w:val="20"/>
              </w:rPr>
              <w:t>* (оценка)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367A2A" w:rsidRPr="00277757" w:rsidRDefault="001B34AF" w:rsidP="003F7CC6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FFFFFF"/>
            <w:vAlign w:val="bottom"/>
            <w:hideMark/>
          </w:tcPr>
          <w:p w:rsidR="00367A2A" w:rsidRPr="00277757" w:rsidRDefault="00557154" w:rsidP="003F7CC6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х</w:t>
            </w:r>
            <w:proofErr w:type="spellEnd"/>
          </w:p>
        </w:tc>
      </w:tr>
      <w:tr w:rsidR="00367A2A" w:rsidRPr="00F21D7E" w:rsidTr="00826435">
        <w:trPr>
          <w:trHeight w:val="621"/>
        </w:trPr>
        <w:tc>
          <w:tcPr>
            <w:tcW w:w="41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2A" w:rsidRPr="00D759B8" w:rsidRDefault="00367A2A" w:rsidP="003F7CC6">
            <w:pPr>
              <w:jc w:val="both"/>
              <w:rPr>
                <w:color w:val="000000"/>
                <w:sz w:val="20"/>
              </w:rPr>
            </w:pPr>
            <w:r w:rsidRPr="00D759B8">
              <w:rPr>
                <w:color w:val="000000"/>
                <w:sz w:val="20"/>
              </w:rPr>
              <w:t>Объем отгруженных товаров собственного производства, выполненных работ и услуг собственными силами, млн. руб.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367A2A" w:rsidRPr="00817DBC" w:rsidRDefault="00367A2A" w:rsidP="003F7CC6">
            <w:pPr>
              <w:jc w:val="center"/>
              <w:rPr>
                <w:sz w:val="20"/>
              </w:rPr>
            </w:pPr>
            <w:r w:rsidRPr="00817DBC">
              <w:rPr>
                <w:sz w:val="20"/>
              </w:rPr>
              <w:t>724 777,0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367A2A" w:rsidRPr="00817DBC" w:rsidRDefault="00367A2A" w:rsidP="003F7CC6">
            <w:pPr>
              <w:jc w:val="center"/>
              <w:rPr>
                <w:sz w:val="20"/>
              </w:rPr>
            </w:pPr>
            <w:r w:rsidRPr="00817DBC">
              <w:rPr>
                <w:sz w:val="20"/>
              </w:rPr>
              <w:t>747 700,0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367A2A" w:rsidRPr="00817DBC" w:rsidRDefault="00367A2A" w:rsidP="003F7CC6">
            <w:pPr>
              <w:jc w:val="center"/>
              <w:rPr>
                <w:sz w:val="20"/>
              </w:rPr>
            </w:pPr>
            <w:r w:rsidRPr="00817DBC">
              <w:rPr>
                <w:sz w:val="20"/>
              </w:rPr>
              <w:t>821 014,3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367A2A" w:rsidRPr="00277757" w:rsidRDefault="00367A2A" w:rsidP="003F7CC6">
            <w:pPr>
              <w:jc w:val="center"/>
              <w:rPr>
                <w:sz w:val="20"/>
              </w:rPr>
            </w:pPr>
            <w:r w:rsidRPr="00277757">
              <w:rPr>
                <w:sz w:val="20"/>
              </w:rPr>
              <w:t>10</w:t>
            </w:r>
            <w:r>
              <w:rPr>
                <w:sz w:val="20"/>
              </w:rPr>
              <w:t>3</w:t>
            </w:r>
            <w:r w:rsidRPr="00277757">
              <w:rPr>
                <w:sz w:val="20"/>
              </w:rPr>
              <w:t>,</w:t>
            </w:r>
            <w:r>
              <w:rPr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FFFFFF"/>
            <w:vAlign w:val="bottom"/>
            <w:hideMark/>
          </w:tcPr>
          <w:p w:rsidR="00367A2A" w:rsidRPr="002B62E0" w:rsidRDefault="00367A2A" w:rsidP="003F7CC6">
            <w:pPr>
              <w:jc w:val="center"/>
              <w:rPr>
                <w:sz w:val="20"/>
              </w:rPr>
            </w:pPr>
            <w:r w:rsidRPr="00F74BFC">
              <w:rPr>
                <w:sz w:val="20"/>
              </w:rPr>
              <w:t>11</w:t>
            </w:r>
            <w:r>
              <w:rPr>
                <w:sz w:val="20"/>
              </w:rPr>
              <w:t>3</w:t>
            </w:r>
            <w:r w:rsidRPr="00F74BFC">
              <w:rPr>
                <w:sz w:val="20"/>
              </w:rPr>
              <w:t>,3</w:t>
            </w:r>
          </w:p>
        </w:tc>
      </w:tr>
      <w:tr w:rsidR="00367A2A" w:rsidRPr="00F21D7E" w:rsidTr="00826435">
        <w:trPr>
          <w:trHeight w:val="405"/>
        </w:trPr>
        <w:tc>
          <w:tcPr>
            <w:tcW w:w="41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2A" w:rsidRPr="00D875F4" w:rsidRDefault="00367A2A" w:rsidP="003F7CC6">
            <w:pPr>
              <w:jc w:val="both"/>
              <w:rPr>
                <w:color w:val="000000"/>
                <w:sz w:val="20"/>
              </w:rPr>
            </w:pPr>
            <w:r w:rsidRPr="00D875F4">
              <w:rPr>
                <w:color w:val="000000"/>
                <w:sz w:val="20"/>
              </w:rPr>
              <w:t>Индекс промышленного производства, в процентах к предыдущему году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367A2A" w:rsidRPr="00817DBC" w:rsidRDefault="00367A2A" w:rsidP="003F7CC6">
            <w:pPr>
              <w:jc w:val="center"/>
              <w:rPr>
                <w:sz w:val="20"/>
              </w:rPr>
            </w:pPr>
            <w:r w:rsidRPr="00817DBC">
              <w:rPr>
                <w:sz w:val="20"/>
              </w:rPr>
              <w:t>103,2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367A2A" w:rsidRPr="00817DBC" w:rsidRDefault="00367A2A" w:rsidP="003F7CC6">
            <w:pPr>
              <w:jc w:val="center"/>
              <w:rPr>
                <w:sz w:val="20"/>
              </w:rPr>
            </w:pPr>
            <w:r w:rsidRPr="00817DBC">
              <w:rPr>
                <w:sz w:val="20"/>
              </w:rPr>
              <w:t>101,5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367A2A" w:rsidRPr="00817DBC" w:rsidRDefault="00367A2A" w:rsidP="003F7CC6">
            <w:pPr>
              <w:jc w:val="center"/>
              <w:rPr>
                <w:sz w:val="20"/>
              </w:rPr>
            </w:pPr>
            <w:r w:rsidRPr="00817DBC">
              <w:rPr>
                <w:sz w:val="20"/>
              </w:rPr>
              <w:t>100,3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367A2A" w:rsidRPr="00D875F4" w:rsidRDefault="001B34AF" w:rsidP="003F7CC6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FFFFFF"/>
            <w:vAlign w:val="bottom"/>
            <w:hideMark/>
          </w:tcPr>
          <w:p w:rsidR="00367A2A" w:rsidRPr="00D875F4" w:rsidRDefault="00557154" w:rsidP="003F7CC6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х</w:t>
            </w:r>
            <w:proofErr w:type="spellEnd"/>
          </w:p>
        </w:tc>
      </w:tr>
      <w:tr w:rsidR="00367A2A" w:rsidRPr="00F21D7E" w:rsidTr="00826435">
        <w:trPr>
          <w:trHeight w:val="396"/>
        </w:trPr>
        <w:tc>
          <w:tcPr>
            <w:tcW w:w="41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2A" w:rsidRPr="00FD138A" w:rsidRDefault="00367A2A" w:rsidP="003F7CC6">
            <w:pPr>
              <w:jc w:val="both"/>
              <w:rPr>
                <w:color w:val="000000"/>
                <w:sz w:val="20"/>
              </w:rPr>
            </w:pPr>
            <w:r w:rsidRPr="00FD138A">
              <w:rPr>
                <w:color w:val="000000"/>
                <w:sz w:val="20"/>
              </w:rPr>
              <w:t>Продукция сельского хозяйства, в действующих ценах, млн. руб.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367A2A" w:rsidRPr="00817DBC" w:rsidRDefault="00367A2A" w:rsidP="003F7CC6">
            <w:pPr>
              <w:rPr>
                <w:sz w:val="20"/>
              </w:rPr>
            </w:pPr>
            <w:r w:rsidRPr="00817DBC">
              <w:rPr>
                <w:sz w:val="20"/>
              </w:rPr>
              <w:t>145 488,2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367A2A" w:rsidRPr="00817DBC" w:rsidRDefault="00367A2A" w:rsidP="003F7CC6">
            <w:pPr>
              <w:jc w:val="center"/>
              <w:rPr>
                <w:sz w:val="20"/>
              </w:rPr>
            </w:pPr>
            <w:r w:rsidRPr="00817DBC">
              <w:rPr>
                <w:sz w:val="20"/>
              </w:rPr>
              <w:t>146 264,4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367A2A" w:rsidRPr="00817DBC" w:rsidRDefault="00367A2A" w:rsidP="003F7CC6">
            <w:pPr>
              <w:jc w:val="center"/>
              <w:rPr>
                <w:sz w:val="20"/>
              </w:rPr>
            </w:pPr>
            <w:r w:rsidRPr="00817DBC">
              <w:rPr>
                <w:sz w:val="20"/>
              </w:rPr>
              <w:t>144 672,6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367A2A" w:rsidRPr="00FD138A" w:rsidRDefault="00367A2A" w:rsidP="003F7CC6">
            <w:pPr>
              <w:jc w:val="center"/>
              <w:rPr>
                <w:sz w:val="20"/>
              </w:rPr>
            </w:pPr>
            <w:r w:rsidRPr="00FD138A">
              <w:rPr>
                <w:sz w:val="20"/>
              </w:rPr>
              <w:t>10</w:t>
            </w:r>
            <w:r>
              <w:rPr>
                <w:sz w:val="20"/>
              </w:rPr>
              <w:t>0,5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FFFFFF"/>
            <w:vAlign w:val="bottom"/>
            <w:hideMark/>
          </w:tcPr>
          <w:p w:rsidR="00367A2A" w:rsidRPr="00D875F4" w:rsidRDefault="00367A2A" w:rsidP="003F7CC6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99,4</w:t>
            </w:r>
          </w:p>
        </w:tc>
      </w:tr>
      <w:tr w:rsidR="00367A2A" w:rsidRPr="00F21D7E" w:rsidTr="00826435">
        <w:trPr>
          <w:trHeight w:val="672"/>
        </w:trPr>
        <w:tc>
          <w:tcPr>
            <w:tcW w:w="41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2A" w:rsidRPr="00D759B8" w:rsidRDefault="00367A2A" w:rsidP="003F7CC6">
            <w:pPr>
              <w:jc w:val="both"/>
              <w:rPr>
                <w:i/>
                <w:color w:val="000000"/>
                <w:sz w:val="20"/>
              </w:rPr>
            </w:pPr>
            <w:r w:rsidRPr="00D759B8">
              <w:rPr>
                <w:i/>
                <w:color w:val="000000"/>
                <w:sz w:val="20"/>
              </w:rPr>
              <w:t>Индекс производства продукции сельского хозяйства, в процентах к предыдущему году в сопоставимой оценке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367A2A" w:rsidRPr="00817DBC" w:rsidRDefault="00367A2A" w:rsidP="003F7CC6">
            <w:pPr>
              <w:jc w:val="center"/>
              <w:rPr>
                <w:i/>
                <w:sz w:val="20"/>
              </w:rPr>
            </w:pPr>
            <w:r w:rsidRPr="00817DBC">
              <w:rPr>
                <w:i/>
                <w:sz w:val="20"/>
              </w:rPr>
              <w:t>113,6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367A2A" w:rsidRPr="00817DBC" w:rsidRDefault="00367A2A" w:rsidP="003F7CC6">
            <w:pPr>
              <w:jc w:val="center"/>
              <w:rPr>
                <w:i/>
                <w:sz w:val="20"/>
              </w:rPr>
            </w:pPr>
            <w:r w:rsidRPr="00817DBC">
              <w:rPr>
                <w:i/>
                <w:sz w:val="20"/>
              </w:rPr>
              <w:t>94,1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367A2A" w:rsidRPr="00817DBC" w:rsidRDefault="00367A2A" w:rsidP="003F7CC6">
            <w:pPr>
              <w:jc w:val="center"/>
              <w:rPr>
                <w:i/>
                <w:sz w:val="20"/>
              </w:rPr>
            </w:pPr>
            <w:r w:rsidRPr="00817DBC">
              <w:rPr>
                <w:i/>
                <w:sz w:val="20"/>
              </w:rPr>
              <w:t>103,0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367A2A" w:rsidRPr="00C427D3" w:rsidRDefault="001B34AF" w:rsidP="003F7CC6">
            <w:pPr>
              <w:jc w:val="center"/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FFFFFF"/>
            <w:vAlign w:val="bottom"/>
            <w:hideMark/>
          </w:tcPr>
          <w:p w:rsidR="00367A2A" w:rsidRPr="00C427D3" w:rsidRDefault="00557154" w:rsidP="003F7CC6">
            <w:pPr>
              <w:jc w:val="center"/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х</w:t>
            </w:r>
            <w:proofErr w:type="spellEnd"/>
          </w:p>
        </w:tc>
      </w:tr>
      <w:tr w:rsidR="00367A2A" w:rsidRPr="00F21D7E" w:rsidTr="00826435">
        <w:trPr>
          <w:trHeight w:val="115"/>
        </w:trPr>
        <w:tc>
          <w:tcPr>
            <w:tcW w:w="41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2A" w:rsidRPr="00D759B8" w:rsidRDefault="00367A2A" w:rsidP="003F7CC6">
            <w:pPr>
              <w:jc w:val="both"/>
              <w:rPr>
                <w:color w:val="000000"/>
                <w:sz w:val="20"/>
              </w:rPr>
            </w:pPr>
            <w:r w:rsidRPr="00D759B8">
              <w:rPr>
                <w:color w:val="000000"/>
                <w:sz w:val="20"/>
              </w:rPr>
              <w:t>Оборот розничной торговли, млн. руб.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367A2A" w:rsidRPr="00817DBC" w:rsidRDefault="00367A2A" w:rsidP="003F7CC6">
            <w:pPr>
              <w:jc w:val="center"/>
              <w:rPr>
                <w:sz w:val="20"/>
              </w:rPr>
            </w:pPr>
            <w:r w:rsidRPr="00817DBC">
              <w:rPr>
                <w:sz w:val="20"/>
              </w:rPr>
              <w:t>345 656,8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367A2A" w:rsidRPr="00817DBC" w:rsidRDefault="00367A2A" w:rsidP="003F7CC6">
            <w:pPr>
              <w:jc w:val="center"/>
              <w:rPr>
                <w:sz w:val="20"/>
              </w:rPr>
            </w:pPr>
            <w:r w:rsidRPr="00817DBC">
              <w:rPr>
                <w:sz w:val="20"/>
              </w:rPr>
              <w:t>383 153,7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367A2A" w:rsidRPr="00817DBC" w:rsidRDefault="00367A2A" w:rsidP="003F7CC6">
            <w:pPr>
              <w:jc w:val="center"/>
              <w:rPr>
                <w:sz w:val="20"/>
              </w:rPr>
            </w:pPr>
            <w:r w:rsidRPr="00817DBC">
              <w:rPr>
                <w:sz w:val="20"/>
              </w:rPr>
              <w:t>362 266,2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367A2A" w:rsidRPr="00277757" w:rsidRDefault="00367A2A" w:rsidP="003F7CC6">
            <w:pPr>
              <w:jc w:val="center"/>
              <w:rPr>
                <w:sz w:val="20"/>
                <w:highlight w:val="yellow"/>
              </w:rPr>
            </w:pPr>
            <w:r w:rsidRPr="00277757">
              <w:rPr>
                <w:sz w:val="20"/>
              </w:rPr>
              <w:t>1</w:t>
            </w:r>
            <w:r>
              <w:rPr>
                <w:sz w:val="20"/>
              </w:rPr>
              <w:t>10,8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FFFFFF"/>
            <w:vAlign w:val="bottom"/>
            <w:hideMark/>
          </w:tcPr>
          <w:p w:rsidR="00367A2A" w:rsidRPr="002B62E0" w:rsidRDefault="00367A2A" w:rsidP="003F7CC6">
            <w:pPr>
              <w:jc w:val="center"/>
              <w:rPr>
                <w:sz w:val="20"/>
              </w:rPr>
            </w:pPr>
            <w:r w:rsidRPr="00277757">
              <w:rPr>
                <w:sz w:val="20"/>
              </w:rPr>
              <w:t>10</w:t>
            </w:r>
            <w:r>
              <w:rPr>
                <w:sz w:val="20"/>
              </w:rPr>
              <w:t>4</w:t>
            </w:r>
            <w:r w:rsidRPr="00277757">
              <w:rPr>
                <w:sz w:val="20"/>
              </w:rPr>
              <w:t>,8</w:t>
            </w:r>
          </w:p>
        </w:tc>
      </w:tr>
      <w:tr w:rsidR="00367A2A" w:rsidRPr="00F21D7E" w:rsidTr="00826435">
        <w:trPr>
          <w:trHeight w:val="459"/>
        </w:trPr>
        <w:tc>
          <w:tcPr>
            <w:tcW w:w="41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2A" w:rsidRPr="00D759B8" w:rsidRDefault="00367A2A" w:rsidP="003F7CC6">
            <w:pPr>
              <w:jc w:val="both"/>
              <w:rPr>
                <w:i/>
                <w:color w:val="000000"/>
                <w:sz w:val="20"/>
              </w:rPr>
            </w:pPr>
            <w:r w:rsidRPr="00D759B8">
              <w:rPr>
                <w:i/>
                <w:color w:val="000000"/>
                <w:sz w:val="20"/>
              </w:rPr>
              <w:t xml:space="preserve"> -в процентах к предыдущему году в сопоставимой оценке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367A2A" w:rsidRPr="00817DBC" w:rsidRDefault="00367A2A" w:rsidP="003F7CC6">
            <w:pPr>
              <w:jc w:val="center"/>
              <w:rPr>
                <w:i/>
                <w:sz w:val="20"/>
              </w:rPr>
            </w:pPr>
            <w:r w:rsidRPr="00817DBC">
              <w:rPr>
                <w:i/>
                <w:sz w:val="20"/>
              </w:rPr>
              <w:t>93,4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367A2A" w:rsidRPr="00817DBC" w:rsidRDefault="00367A2A" w:rsidP="003F7CC6">
            <w:pPr>
              <w:jc w:val="center"/>
              <w:rPr>
                <w:i/>
                <w:sz w:val="20"/>
              </w:rPr>
            </w:pPr>
            <w:r w:rsidRPr="00817DBC">
              <w:rPr>
                <w:i/>
                <w:sz w:val="20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367A2A" w:rsidRPr="00817DBC" w:rsidRDefault="00367A2A" w:rsidP="003F7CC6">
            <w:pPr>
              <w:jc w:val="center"/>
              <w:rPr>
                <w:i/>
                <w:sz w:val="20"/>
              </w:rPr>
            </w:pPr>
            <w:r w:rsidRPr="00817DBC">
              <w:rPr>
                <w:i/>
                <w:sz w:val="20"/>
              </w:rPr>
              <w:t>101,4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367A2A" w:rsidRPr="00C427D3" w:rsidRDefault="001B34AF" w:rsidP="003F7CC6">
            <w:pPr>
              <w:jc w:val="center"/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FFFFFF"/>
            <w:vAlign w:val="bottom"/>
            <w:hideMark/>
          </w:tcPr>
          <w:p w:rsidR="00367A2A" w:rsidRPr="00C427D3" w:rsidRDefault="00557154" w:rsidP="003F7CC6">
            <w:pPr>
              <w:jc w:val="center"/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х</w:t>
            </w:r>
            <w:proofErr w:type="spellEnd"/>
          </w:p>
        </w:tc>
      </w:tr>
      <w:tr w:rsidR="00367A2A" w:rsidRPr="00F21D7E" w:rsidTr="00826435">
        <w:trPr>
          <w:trHeight w:val="315"/>
        </w:trPr>
        <w:tc>
          <w:tcPr>
            <w:tcW w:w="41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2A" w:rsidRPr="00D759B8" w:rsidRDefault="00367A2A" w:rsidP="003F7CC6">
            <w:pPr>
              <w:jc w:val="both"/>
              <w:rPr>
                <w:color w:val="000000"/>
                <w:sz w:val="20"/>
              </w:rPr>
            </w:pPr>
            <w:r w:rsidRPr="00D759B8">
              <w:rPr>
                <w:color w:val="000000"/>
                <w:sz w:val="20"/>
              </w:rPr>
              <w:t>Объем платных услуг населению, млн. руб.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367A2A" w:rsidRPr="00817DBC" w:rsidRDefault="00367A2A" w:rsidP="003F7CC6">
            <w:pPr>
              <w:jc w:val="center"/>
              <w:rPr>
                <w:sz w:val="20"/>
              </w:rPr>
            </w:pPr>
            <w:r w:rsidRPr="00817DBC">
              <w:rPr>
                <w:sz w:val="20"/>
              </w:rPr>
              <w:t>125 910,5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367A2A" w:rsidRPr="00817DBC" w:rsidRDefault="00367A2A" w:rsidP="003F7CC6">
            <w:pPr>
              <w:jc w:val="center"/>
              <w:rPr>
                <w:sz w:val="20"/>
              </w:rPr>
            </w:pPr>
            <w:r w:rsidRPr="00817DBC">
              <w:rPr>
                <w:sz w:val="20"/>
              </w:rPr>
              <w:t>148 851,9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367A2A" w:rsidRPr="00817DBC" w:rsidRDefault="00367A2A" w:rsidP="003F7CC6">
            <w:pPr>
              <w:jc w:val="center"/>
              <w:rPr>
                <w:sz w:val="20"/>
              </w:rPr>
            </w:pPr>
            <w:r w:rsidRPr="00817DBC">
              <w:rPr>
                <w:sz w:val="20"/>
              </w:rPr>
              <w:t>133 012,6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367A2A" w:rsidRPr="00277757" w:rsidRDefault="00367A2A" w:rsidP="003F7CC6">
            <w:pPr>
              <w:jc w:val="center"/>
              <w:rPr>
                <w:sz w:val="20"/>
              </w:rPr>
            </w:pPr>
            <w:r w:rsidRPr="00277757">
              <w:rPr>
                <w:sz w:val="20"/>
              </w:rPr>
              <w:t>1</w:t>
            </w:r>
            <w:r>
              <w:rPr>
                <w:sz w:val="20"/>
              </w:rPr>
              <w:t>18,2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FFFFFF"/>
            <w:vAlign w:val="bottom"/>
            <w:hideMark/>
          </w:tcPr>
          <w:p w:rsidR="00367A2A" w:rsidRPr="00277757" w:rsidRDefault="00367A2A" w:rsidP="003F7CC6">
            <w:pPr>
              <w:jc w:val="center"/>
              <w:rPr>
                <w:sz w:val="20"/>
                <w:highlight w:val="yellow"/>
              </w:rPr>
            </w:pPr>
            <w:r w:rsidRPr="002B62E0">
              <w:rPr>
                <w:sz w:val="20"/>
              </w:rPr>
              <w:t>105,6</w:t>
            </w:r>
          </w:p>
        </w:tc>
      </w:tr>
      <w:tr w:rsidR="00367A2A" w:rsidRPr="00F21D7E" w:rsidTr="00826435">
        <w:trPr>
          <w:trHeight w:val="343"/>
        </w:trPr>
        <w:tc>
          <w:tcPr>
            <w:tcW w:w="41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2A" w:rsidRPr="00D759B8" w:rsidRDefault="00367A2A" w:rsidP="003F7CC6">
            <w:pPr>
              <w:jc w:val="both"/>
              <w:rPr>
                <w:i/>
                <w:color w:val="000000"/>
                <w:sz w:val="20"/>
              </w:rPr>
            </w:pPr>
            <w:r w:rsidRPr="00D759B8">
              <w:rPr>
                <w:i/>
                <w:color w:val="000000"/>
                <w:sz w:val="20"/>
              </w:rPr>
              <w:t xml:space="preserve"> -в процентах к предыдущему году в сопоставимой оценке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367A2A" w:rsidRPr="00817DBC" w:rsidRDefault="00367A2A" w:rsidP="003F7CC6">
            <w:pPr>
              <w:jc w:val="center"/>
              <w:rPr>
                <w:i/>
                <w:sz w:val="20"/>
              </w:rPr>
            </w:pPr>
            <w:r w:rsidRPr="00817DBC">
              <w:rPr>
                <w:i/>
                <w:sz w:val="20"/>
              </w:rPr>
              <w:t>91,3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367A2A" w:rsidRPr="00817DBC" w:rsidRDefault="00367A2A" w:rsidP="003F7CC6">
            <w:pPr>
              <w:jc w:val="center"/>
              <w:rPr>
                <w:i/>
                <w:sz w:val="20"/>
              </w:rPr>
            </w:pPr>
            <w:r w:rsidRPr="00817DBC">
              <w:rPr>
                <w:i/>
                <w:sz w:val="20"/>
              </w:rPr>
              <w:t>100,6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367A2A" w:rsidRPr="00817DBC" w:rsidRDefault="00367A2A" w:rsidP="003F7CC6">
            <w:pPr>
              <w:jc w:val="center"/>
              <w:rPr>
                <w:i/>
                <w:sz w:val="20"/>
              </w:rPr>
            </w:pPr>
            <w:r w:rsidRPr="00817DBC">
              <w:rPr>
                <w:i/>
                <w:sz w:val="20"/>
              </w:rPr>
              <w:t>91,4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367A2A" w:rsidRPr="00C427D3" w:rsidRDefault="001B34AF" w:rsidP="003F7CC6">
            <w:pPr>
              <w:jc w:val="center"/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FFFFFF"/>
            <w:vAlign w:val="bottom"/>
            <w:hideMark/>
          </w:tcPr>
          <w:p w:rsidR="00367A2A" w:rsidRPr="00C427D3" w:rsidRDefault="00557154" w:rsidP="003F7CC6">
            <w:pPr>
              <w:jc w:val="center"/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х</w:t>
            </w:r>
            <w:proofErr w:type="spellEnd"/>
          </w:p>
        </w:tc>
      </w:tr>
      <w:tr w:rsidR="00367A2A" w:rsidRPr="00F21D7E" w:rsidTr="00826435">
        <w:trPr>
          <w:trHeight w:val="414"/>
        </w:trPr>
        <w:tc>
          <w:tcPr>
            <w:tcW w:w="41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2A" w:rsidRPr="002E3F94" w:rsidRDefault="00367A2A" w:rsidP="003F7CC6">
            <w:pPr>
              <w:jc w:val="both"/>
              <w:rPr>
                <w:color w:val="000000"/>
                <w:sz w:val="20"/>
              </w:rPr>
            </w:pPr>
            <w:r w:rsidRPr="002E3F94">
              <w:rPr>
                <w:color w:val="000000"/>
                <w:sz w:val="20"/>
              </w:rPr>
              <w:t>Объем инвестиций в основной капитал в действующих ценах, млн. руб.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367A2A" w:rsidRPr="00817DBC" w:rsidRDefault="00367A2A" w:rsidP="003F7CC6">
            <w:pPr>
              <w:jc w:val="center"/>
              <w:rPr>
                <w:sz w:val="20"/>
              </w:rPr>
            </w:pPr>
            <w:r w:rsidRPr="00817DBC">
              <w:rPr>
                <w:sz w:val="20"/>
              </w:rPr>
              <w:t>183 642,1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367A2A" w:rsidRPr="002E3F94" w:rsidRDefault="00367A2A" w:rsidP="003F7CC6">
            <w:pPr>
              <w:jc w:val="center"/>
              <w:rPr>
                <w:sz w:val="20"/>
              </w:rPr>
            </w:pPr>
            <w:r w:rsidRPr="002E3F94">
              <w:rPr>
                <w:sz w:val="20"/>
              </w:rPr>
              <w:t>190 000,0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367A2A" w:rsidRPr="002B62E0" w:rsidRDefault="00367A2A" w:rsidP="003F7CC6">
            <w:pPr>
              <w:jc w:val="center"/>
              <w:rPr>
                <w:sz w:val="16"/>
                <w:szCs w:val="16"/>
                <w:highlight w:val="yellow"/>
              </w:rPr>
            </w:pPr>
            <w:r w:rsidRPr="00F336F7">
              <w:rPr>
                <w:sz w:val="20"/>
              </w:rPr>
              <w:t>190 770,4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367A2A" w:rsidRPr="002E3F94" w:rsidRDefault="00367A2A" w:rsidP="003F7CC6">
            <w:pPr>
              <w:jc w:val="center"/>
              <w:rPr>
                <w:sz w:val="20"/>
              </w:rPr>
            </w:pPr>
            <w:r w:rsidRPr="002E3F94">
              <w:rPr>
                <w:sz w:val="20"/>
              </w:rPr>
              <w:t>10</w:t>
            </w:r>
            <w:r>
              <w:rPr>
                <w:sz w:val="20"/>
              </w:rPr>
              <w:t>3,5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FFFFFF"/>
            <w:vAlign w:val="bottom"/>
            <w:hideMark/>
          </w:tcPr>
          <w:p w:rsidR="00367A2A" w:rsidRPr="000C27E0" w:rsidRDefault="00367A2A" w:rsidP="003F7CC6">
            <w:pPr>
              <w:jc w:val="center"/>
              <w:rPr>
                <w:color w:val="FF0000"/>
                <w:sz w:val="20"/>
                <w:highlight w:val="yellow"/>
              </w:rPr>
            </w:pPr>
            <w:r w:rsidRPr="002B62E0">
              <w:rPr>
                <w:sz w:val="20"/>
              </w:rPr>
              <w:t>103,</w:t>
            </w:r>
            <w:r>
              <w:rPr>
                <w:sz w:val="20"/>
              </w:rPr>
              <w:t>9</w:t>
            </w:r>
          </w:p>
        </w:tc>
      </w:tr>
      <w:tr w:rsidR="00367A2A" w:rsidRPr="00F21D7E" w:rsidTr="00826435">
        <w:trPr>
          <w:trHeight w:val="327"/>
        </w:trPr>
        <w:tc>
          <w:tcPr>
            <w:tcW w:w="41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2A" w:rsidRPr="00D759B8" w:rsidRDefault="00367A2A" w:rsidP="003F7CC6">
            <w:pPr>
              <w:jc w:val="both"/>
              <w:rPr>
                <w:i/>
                <w:color w:val="000000"/>
                <w:sz w:val="20"/>
              </w:rPr>
            </w:pPr>
            <w:r w:rsidRPr="00D759B8">
              <w:rPr>
                <w:i/>
                <w:color w:val="000000"/>
                <w:sz w:val="20"/>
              </w:rPr>
              <w:t xml:space="preserve"> -в процентах к предыдущему году в сопоставимой оценке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67A2A" w:rsidRPr="00817DBC" w:rsidRDefault="00367A2A" w:rsidP="003F7CC6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88,8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367A2A" w:rsidRPr="00BD43C7" w:rsidRDefault="00367A2A" w:rsidP="003F7CC6">
            <w:pPr>
              <w:jc w:val="center"/>
              <w:rPr>
                <w:i/>
                <w:sz w:val="20"/>
              </w:rPr>
            </w:pPr>
            <w:r w:rsidRPr="00BD43C7">
              <w:rPr>
                <w:i/>
                <w:sz w:val="20"/>
              </w:rPr>
              <w:t>111,0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367A2A" w:rsidRPr="00F336F7" w:rsidRDefault="00367A2A" w:rsidP="003F7CC6">
            <w:pPr>
              <w:jc w:val="center"/>
              <w:rPr>
                <w:i/>
                <w:sz w:val="20"/>
                <w:highlight w:val="yellow"/>
              </w:rPr>
            </w:pPr>
            <w:r w:rsidRPr="00F336F7">
              <w:rPr>
                <w:i/>
                <w:sz w:val="20"/>
              </w:rPr>
              <w:t>105,0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367A2A" w:rsidRPr="00C427D3" w:rsidRDefault="001B34AF" w:rsidP="003F7CC6">
            <w:pPr>
              <w:jc w:val="center"/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FFFFFF"/>
            <w:vAlign w:val="bottom"/>
            <w:hideMark/>
          </w:tcPr>
          <w:p w:rsidR="00367A2A" w:rsidRPr="00C427D3" w:rsidRDefault="00557154" w:rsidP="003F7CC6">
            <w:pPr>
              <w:jc w:val="center"/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х</w:t>
            </w:r>
            <w:proofErr w:type="spellEnd"/>
          </w:p>
        </w:tc>
      </w:tr>
      <w:tr w:rsidR="00367A2A" w:rsidRPr="00F21D7E" w:rsidTr="00826435">
        <w:trPr>
          <w:trHeight w:val="132"/>
        </w:trPr>
        <w:tc>
          <w:tcPr>
            <w:tcW w:w="41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2A" w:rsidRPr="00D759B8" w:rsidRDefault="00367A2A" w:rsidP="003F7CC6">
            <w:pPr>
              <w:jc w:val="both"/>
              <w:rPr>
                <w:color w:val="000000"/>
                <w:sz w:val="20"/>
              </w:rPr>
            </w:pPr>
            <w:r w:rsidRPr="00D759B8">
              <w:rPr>
                <w:color w:val="000000"/>
                <w:sz w:val="20"/>
              </w:rPr>
              <w:t>Денежные доходы населения, млн. руб.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367A2A" w:rsidRPr="00817DBC" w:rsidRDefault="00367A2A" w:rsidP="003F7CC6">
            <w:pPr>
              <w:jc w:val="center"/>
              <w:rPr>
                <w:sz w:val="20"/>
              </w:rPr>
            </w:pPr>
            <w:r w:rsidRPr="00817DBC">
              <w:rPr>
                <w:sz w:val="20"/>
              </w:rPr>
              <w:t>632 253,3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367A2A" w:rsidRPr="00BD43C7" w:rsidRDefault="00367A2A" w:rsidP="003F7CC6">
            <w:pPr>
              <w:jc w:val="center"/>
              <w:rPr>
                <w:sz w:val="20"/>
              </w:rPr>
            </w:pPr>
            <w:r w:rsidRPr="00BD43C7">
              <w:rPr>
                <w:sz w:val="20"/>
              </w:rPr>
              <w:t>722 896,9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367A2A" w:rsidRPr="00817DBC" w:rsidRDefault="00367A2A" w:rsidP="003F7CC6">
            <w:pPr>
              <w:jc w:val="center"/>
              <w:rPr>
                <w:sz w:val="20"/>
              </w:rPr>
            </w:pPr>
            <w:r w:rsidRPr="00817DBC">
              <w:rPr>
                <w:sz w:val="20"/>
              </w:rPr>
              <w:t>645 875,8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367A2A" w:rsidRPr="00817DBC" w:rsidRDefault="00367A2A" w:rsidP="003F7CC6">
            <w:pPr>
              <w:jc w:val="center"/>
              <w:rPr>
                <w:sz w:val="20"/>
              </w:rPr>
            </w:pPr>
            <w:r w:rsidRPr="00817DBC">
              <w:rPr>
                <w:sz w:val="20"/>
              </w:rPr>
              <w:t>114,3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FFFFFF"/>
            <w:vAlign w:val="bottom"/>
            <w:hideMark/>
          </w:tcPr>
          <w:p w:rsidR="00367A2A" w:rsidRPr="0099724E" w:rsidRDefault="00367A2A" w:rsidP="003F7CC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102</w:t>
            </w:r>
            <w:r w:rsidRPr="0099724E">
              <w:rPr>
                <w:sz w:val="20"/>
              </w:rPr>
              <w:t>,</w:t>
            </w:r>
            <w:r>
              <w:rPr>
                <w:sz w:val="20"/>
              </w:rPr>
              <w:t>2</w:t>
            </w:r>
          </w:p>
        </w:tc>
      </w:tr>
      <w:tr w:rsidR="00367A2A" w:rsidRPr="00F21D7E" w:rsidTr="00826435">
        <w:trPr>
          <w:trHeight w:val="315"/>
        </w:trPr>
        <w:tc>
          <w:tcPr>
            <w:tcW w:w="41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2A" w:rsidRPr="00D759B8" w:rsidRDefault="00367A2A" w:rsidP="003F7CC6">
            <w:pPr>
              <w:jc w:val="both"/>
              <w:rPr>
                <w:color w:val="000000"/>
                <w:sz w:val="20"/>
              </w:rPr>
            </w:pPr>
            <w:r w:rsidRPr="00D759B8">
              <w:rPr>
                <w:color w:val="000000"/>
                <w:sz w:val="20"/>
              </w:rPr>
              <w:t>Денежные расходы населения, млн. руб.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367A2A" w:rsidRPr="00817DBC" w:rsidRDefault="00367A2A" w:rsidP="003F7CC6">
            <w:pPr>
              <w:jc w:val="center"/>
              <w:rPr>
                <w:sz w:val="20"/>
              </w:rPr>
            </w:pPr>
            <w:r w:rsidRPr="00817DBC">
              <w:rPr>
                <w:sz w:val="20"/>
              </w:rPr>
              <w:t>618 426,8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367A2A" w:rsidRPr="00BD43C7" w:rsidRDefault="00367A2A" w:rsidP="003F7CC6">
            <w:pPr>
              <w:jc w:val="center"/>
              <w:rPr>
                <w:sz w:val="20"/>
              </w:rPr>
            </w:pPr>
            <w:r>
              <w:rPr>
                <w:sz w:val="20"/>
              </w:rPr>
              <w:t>721 484,9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367A2A" w:rsidRPr="00817DBC" w:rsidRDefault="00367A2A" w:rsidP="003F7CC6">
            <w:pPr>
              <w:jc w:val="center"/>
              <w:rPr>
                <w:sz w:val="20"/>
              </w:rPr>
            </w:pPr>
            <w:r w:rsidRPr="00817DBC">
              <w:rPr>
                <w:sz w:val="20"/>
              </w:rPr>
              <w:t>640 759,6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367A2A" w:rsidRPr="00817DBC" w:rsidRDefault="00367A2A" w:rsidP="003F7CC6">
            <w:pPr>
              <w:jc w:val="center"/>
              <w:rPr>
                <w:sz w:val="20"/>
              </w:rPr>
            </w:pPr>
            <w:r w:rsidRPr="00817DBC">
              <w:rPr>
                <w:sz w:val="20"/>
              </w:rPr>
              <w:t>116,7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FFFFFF"/>
            <w:vAlign w:val="bottom"/>
            <w:hideMark/>
          </w:tcPr>
          <w:p w:rsidR="00367A2A" w:rsidRPr="0099724E" w:rsidRDefault="00367A2A" w:rsidP="003F7CC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103</w:t>
            </w:r>
            <w:r w:rsidRPr="0099724E">
              <w:rPr>
                <w:sz w:val="20"/>
              </w:rPr>
              <w:t>,6</w:t>
            </w:r>
          </w:p>
        </w:tc>
      </w:tr>
      <w:tr w:rsidR="00367A2A" w:rsidRPr="00F21D7E" w:rsidTr="00826435">
        <w:trPr>
          <w:trHeight w:val="499"/>
        </w:trPr>
        <w:tc>
          <w:tcPr>
            <w:tcW w:w="41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2A" w:rsidRPr="007F045D" w:rsidRDefault="00367A2A" w:rsidP="003F7CC6">
            <w:pPr>
              <w:jc w:val="both"/>
              <w:rPr>
                <w:color w:val="000000"/>
                <w:sz w:val="20"/>
              </w:rPr>
            </w:pPr>
            <w:r w:rsidRPr="007F045D">
              <w:rPr>
                <w:color w:val="000000"/>
                <w:sz w:val="20"/>
              </w:rPr>
              <w:t>Превышение доходов над расходами, млн. руб.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367A2A" w:rsidRPr="00817DBC" w:rsidRDefault="00367A2A" w:rsidP="003F7CC6">
            <w:pPr>
              <w:jc w:val="center"/>
              <w:rPr>
                <w:sz w:val="20"/>
              </w:rPr>
            </w:pPr>
            <w:r w:rsidRPr="00817DBC">
              <w:rPr>
                <w:sz w:val="20"/>
              </w:rPr>
              <w:t>13 826,5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367A2A" w:rsidRPr="00BD43C7" w:rsidRDefault="00367A2A" w:rsidP="003F7CC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1 412,0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367A2A" w:rsidRPr="00817DBC" w:rsidRDefault="00367A2A" w:rsidP="003F7CC6">
            <w:pPr>
              <w:jc w:val="center"/>
              <w:rPr>
                <w:sz w:val="20"/>
              </w:rPr>
            </w:pPr>
            <w:r w:rsidRPr="00817DBC">
              <w:rPr>
                <w:sz w:val="20"/>
              </w:rPr>
              <w:t>5 116,2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367A2A" w:rsidRPr="00817DBC" w:rsidRDefault="00557154" w:rsidP="003F7CC6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FFFFFF"/>
            <w:vAlign w:val="bottom"/>
            <w:hideMark/>
          </w:tcPr>
          <w:p w:rsidR="00367A2A" w:rsidRPr="00C427D3" w:rsidRDefault="00557154" w:rsidP="003F7CC6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х</w:t>
            </w:r>
            <w:proofErr w:type="spellEnd"/>
          </w:p>
        </w:tc>
      </w:tr>
      <w:tr w:rsidR="00367A2A" w:rsidRPr="00F21D7E" w:rsidTr="00826435">
        <w:trPr>
          <w:trHeight w:val="237"/>
        </w:trPr>
        <w:tc>
          <w:tcPr>
            <w:tcW w:w="41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2A" w:rsidRPr="007F045D" w:rsidRDefault="00367A2A" w:rsidP="003F7CC6">
            <w:pPr>
              <w:jc w:val="both"/>
              <w:rPr>
                <w:color w:val="000000"/>
                <w:sz w:val="20"/>
              </w:rPr>
            </w:pPr>
            <w:r w:rsidRPr="007F045D">
              <w:rPr>
                <w:color w:val="000000"/>
                <w:sz w:val="20"/>
              </w:rPr>
              <w:t>Прибыль прибыльных предприятий, млн. руб.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367A2A" w:rsidRPr="00817DBC" w:rsidRDefault="00367A2A" w:rsidP="003F7CC6">
            <w:pPr>
              <w:jc w:val="center"/>
              <w:rPr>
                <w:sz w:val="20"/>
              </w:rPr>
            </w:pPr>
            <w:r w:rsidRPr="00817DBC">
              <w:rPr>
                <w:sz w:val="20"/>
              </w:rPr>
              <w:t>56 583,6**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367A2A" w:rsidRPr="00BD43C7" w:rsidRDefault="00367A2A" w:rsidP="003F7CC6">
            <w:pPr>
              <w:jc w:val="center"/>
              <w:rPr>
                <w:sz w:val="20"/>
              </w:rPr>
            </w:pPr>
            <w:r w:rsidRPr="00BD43C7">
              <w:rPr>
                <w:sz w:val="20"/>
              </w:rPr>
              <w:t>149 500,0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367A2A" w:rsidRPr="00817DBC" w:rsidRDefault="00367A2A" w:rsidP="003F7CC6">
            <w:pPr>
              <w:jc w:val="center"/>
              <w:rPr>
                <w:sz w:val="20"/>
              </w:rPr>
            </w:pPr>
            <w:r w:rsidRPr="00817DBC">
              <w:rPr>
                <w:sz w:val="20"/>
              </w:rPr>
              <w:t>63 745,6**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367A2A" w:rsidRPr="00817DBC" w:rsidRDefault="00367A2A" w:rsidP="003F7CC6">
            <w:pPr>
              <w:jc w:val="center"/>
              <w:rPr>
                <w:sz w:val="20"/>
              </w:rPr>
            </w:pPr>
            <w:r w:rsidRPr="00817DBC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FFFFFF"/>
            <w:vAlign w:val="bottom"/>
            <w:hideMark/>
          </w:tcPr>
          <w:p w:rsidR="00367A2A" w:rsidRPr="00784C74" w:rsidRDefault="00367A2A" w:rsidP="003F7CC6">
            <w:pPr>
              <w:jc w:val="center"/>
              <w:rPr>
                <w:sz w:val="20"/>
                <w:highlight w:val="yellow"/>
              </w:rPr>
            </w:pPr>
            <w:r w:rsidRPr="00784C74">
              <w:rPr>
                <w:sz w:val="20"/>
              </w:rPr>
              <w:t>112,7</w:t>
            </w:r>
          </w:p>
        </w:tc>
      </w:tr>
      <w:tr w:rsidR="00367A2A" w:rsidRPr="00F21D7E" w:rsidTr="00F147A2">
        <w:trPr>
          <w:trHeight w:val="127"/>
        </w:trPr>
        <w:tc>
          <w:tcPr>
            <w:tcW w:w="41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367A2A" w:rsidRPr="00242565" w:rsidRDefault="00367A2A" w:rsidP="00EB1715">
            <w:pPr>
              <w:rPr>
                <w:i/>
                <w:color w:val="000000"/>
                <w:sz w:val="20"/>
              </w:rPr>
            </w:pPr>
            <w:r w:rsidRPr="00242565">
              <w:rPr>
                <w:i/>
                <w:color w:val="000000"/>
                <w:sz w:val="20"/>
              </w:rPr>
              <w:t>Темп изменения прибыли прибыльных предприятий отчет</w:t>
            </w:r>
            <w:r w:rsidR="00EB1715">
              <w:rPr>
                <w:i/>
                <w:color w:val="000000"/>
                <w:sz w:val="20"/>
              </w:rPr>
              <w:t>ного</w:t>
            </w:r>
            <w:r w:rsidRPr="00242565">
              <w:rPr>
                <w:i/>
                <w:color w:val="000000"/>
                <w:sz w:val="20"/>
              </w:rPr>
              <w:t xml:space="preserve"> периода по сравнению с соответств</w:t>
            </w:r>
            <w:r w:rsidR="001B34AF">
              <w:rPr>
                <w:i/>
                <w:color w:val="000000"/>
                <w:sz w:val="20"/>
              </w:rPr>
              <w:t>ующим</w:t>
            </w:r>
            <w:r w:rsidRPr="00242565">
              <w:rPr>
                <w:i/>
                <w:color w:val="000000"/>
                <w:sz w:val="20"/>
              </w:rPr>
              <w:t xml:space="preserve"> периодом предыдущего года по сопоставимому кругу </w:t>
            </w:r>
            <w:r w:rsidRPr="00242565">
              <w:rPr>
                <w:i/>
                <w:color w:val="000000"/>
                <w:sz w:val="20"/>
              </w:rPr>
              <w:lastRenderedPageBreak/>
              <w:t xml:space="preserve">организаций, </w:t>
            </w:r>
            <w:proofErr w:type="gramStart"/>
            <w:r w:rsidRPr="00242565">
              <w:rPr>
                <w:i/>
                <w:color w:val="000000"/>
                <w:sz w:val="20"/>
              </w:rPr>
              <w:t>в</w:t>
            </w:r>
            <w:proofErr w:type="gramEnd"/>
            <w:r w:rsidRPr="00242565">
              <w:rPr>
                <w:i/>
                <w:color w:val="000000"/>
                <w:sz w:val="20"/>
              </w:rPr>
              <w:t xml:space="preserve"> </w:t>
            </w:r>
            <w:r>
              <w:rPr>
                <w:i/>
                <w:color w:val="000000"/>
                <w:sz w:val="20"/>
              </w:rPr>
              <w:t>%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367A2A" w:rsidRPr="00817DBC" w:rsidRDefault="00367A2A" w:rsidP="003F7CC6">
            <w:pPr>
              <w:jc w:val="center"/>
              <w:rPr>
                <w:i/>
                <w:sz w:val="20"/>
              </w:rPr>
            </w:pPr>
            <w:r w:rsidRPr="00817DBC">
              <w:rPr>
                <w:i/>
                <w:sz w:val="20"/>
              </w:rPr>
              <w:lastRenderedPageBreak/>
              <w:t>58,0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367A2A" w:rsidRPr="00BD43C7" w:rsidRDefault="00367A2A" w:rsidP="003F7CC6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105,0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367A2A" w:rsidRPr="00817DBC" w:rsidRDefault="00367A2A" w:rsidP="003F7CC6">
            <w:pPr>
              <w:jc w:val="center"/>
              <w:rPr>
                <w:i/>
                <w:sz w:val="20"/>
              </w:rPr>
            </w:pPr>
            <w:r w:rsidRPr="00817DBC">
              <w:rPr>
                <w:i/>
                <w:sz w:val="20"/>
              </w:rPr>
              <w:t>114,1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367A2A" w:rsidRPr="00817DBC" w:rsidRDefault="00557154" w:rsidP="001B34AF">
            <w:pPr>
              <w:jc w:val="center"/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FFFFFF"/>
            <w:vAlign w:val="bottom"/>
            <w:hideMark/>
          </w:tcPr>
          <w:p w:rsidR="00367A2A" w:rsidRPr="00C427D3" w:rsidRDefault="00557154" w:rsidP="003F7CC6">
            <w:pPr>
              <w:jc w:val="center"/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х</w:t>
            </w:r>
            <w:proofErr w:type="spellEnd"/>
          </w:p>
        </w:tc>
      </w:tr>
      <w:tr w:rsidR="00367A2A" w:rsidRPr="00F21D7E" w:rsidTr="00826435">
        <w:trPr>
          <w:trHeight w:val="369"/>
        </w:trPr>
        <w:tc>
          <w:tcPr>
            <w:tcW w:w="41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2A" w:rsidRPr="00817DBC" w:rsidRDefault="00367A2A" w:rsidP="001B34AF">
            <w:pPr>
              <w:jc w:val="both"/>
              <w:rPr>
                <w:color w:val="000000"/>
                <w:sz w:val="20"/>
              </w:rPr>
            </w:pPr>
            <w:r w:rsidRPr="00817DBC">
              <w:rPr>
                <w:color w:val="000000"/>
                <w:sz w:val="20"/>
              </w:rPr>
              <w:lastRenderedPageBreak/>
              <w:t xml:space="preserve">Индекс потребительских цен (декабрь к декабрю предыдущего года), </w:t>
            </w:r>
            <w:proofErr w:type="gramStart"/>
            <w:r w:rsidRPr="00817DBC">
              <w:rPr>
                <w:color w:val="000000"/>
                <w:sz w:val="20"/>
              </w:rPr>
              <w:t>в</w:t>
            </w:r>
            <w:proofErr w:type="gramEnd"/>
            <w:r w:rsidRPr="00817DBC">
              <w:rPr>
                <w:color w:val="000000"/>
                <w:sz w:val="20"/>
              </w:rPr>
              <w:t xml:space="preserve"> </w:t>
            </w:r>
            <w:r w:rsidR="001B34AF">
              <w:rPr>
                <w:color w:val="000000"/>
                <w:sz w:val="20"/>
              </w:rPr>
              <w:t>%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367A2A" w:rsidRPr="00817DBC" w:rsidRDefault="00367A2A" w:rsidP="003F7CC6">
            <w:pPr>
              <w:jc w:val="center"/>
              <w:rPr>
                <w:sz w:val="20"/>
              </w:rPr>
            </w:pPr>
            <w:r w:rsidRPr="00817DBC">
              <w:rPr>
                <w:sz w:val="20"/>
              </w:rPr>
              <w:t>105,1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367A2A" w:rsidRPr="00BE697D" w:rsidRDefault="00367A2A" w:rsidP="001B34AF">
            <w:pPr>
              <w:jc w:val="center"/>
              <w:rPr>
                <w:sz w:val="20"/>
              </w:rPr>
            </w:pPr>
            <w:r w:rsidRPr="00BE697D">
              <w:rPr>
                <w:sz w:val="20"/>
              </w:rPr>
              <w:t>105,5</w:t>
            </w:r>
            <w:r>
              <w:rPr>
                <w:sz w:val="20"/>
              </w:rPr>
              <w:t xml:space="preserve"> (за период с н</w:t>
            </w:r>
            <w:r w:rsidR="001B34AF">
              <w:rPr>
                <w:sz w:val="20"/>
              </w:rPr>
              <w:t>.г.)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367A2A" w:rsidRPr="00817DBC" w:rsidRDefault="00367A2A" w:rsidP="003F7CC6">
            <w:pPr>
              <w:jc w:val="center"/>
              <w:rPr>
                <w:sz w:val="20"/>
              </w:rPr>
            </w:pPr>
            <w:r w:rsidRPr="00817DBC">
              <w:rPr>
                <w:sz w:val="20"/>
              </w:rPr>
              <w:t>102,4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367A2A" w:rsidRPr="00817DBC" w:rsidRDefault="00557154" w:rsidP="003F7CC6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FFFFFF"/>
            <w:vAlign w:val="bottom"/>
            <w:hideMark/>
          </w:tcPr>
          <w:p w:rsidR="00367A2A" w:rsidRPr="00C427D3" w:rsidRDefault="00557154" w:rsidP="003F7CC6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х</w:t>
            </w:r>
            <w:proofErr w:type="spellEnd"/>
          </w:p>
        </w:tc>
      </w:tr>
      <w:tr w:rsidR="00367A2A" w:rsidRPr="00F21D7E" w:rsidTr="00826435">
        <w:trPr>
          <w:trHeight w:val="1070"/>
        </w:trPr>
        <w:tc>
          <w:tcPr>
            <w:tcW w:w="41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2A" w:rsidRPr="00817DBC" w:rsidRDefault="00367A2A" w:rsidP="001B34AF">
            <w:pPr>
              <w:jc w:val="both"/>
              <w:rPr>
                <w:color w:val="000000"/>
                <w:sz w:val="20"/>
              </w:rPr>
            </w:pPr>
            <w:r w:rsidRPr="00817DBC">
              <w:rPr>
                <w:color w:val="000000"/>
                <w:sz w:val="20"/>
              </w:rPr>
              <w:t>Среднегод</w:t>
            </w:r>
            <w:r w:rsidR="001B34AF">
              <w:rPr>
                <w:color w:val="000000"/>
                <w:sz w:val="20"/>
              </w:rPr>
              <w:t>овая</w:t>
            </w:r>
            <w:r w:rsidRPr="00817DBC">
              <w:rPr>
                <w:color w:val="000000"/>
                <w:sz w:val="20"/>
              </w:rPr>
              <w:t xml:space="preserve"> численность занятых в экономике, тыс. чел.</w:t>
            </w:r>
            <w:r w:rsidR="001B34AF">
              <w:rPr>
                <w:color w:val="000000"/>
                <w:sz w:val="20"/>
              </w:rPr>
              <w:t xml:space="preserve"> </w:t>
            </w:r>
            <w:r w:rsidRPr="00817DBC">
              <w:rPr>
                <w:b/>
                <w:bCs/>
                <w:color w:val="000000"/>
                <w:sz w:val="20"/>
              </w:rPr>
              <w:t>/</w:t>
            </w:r>
            <w:r w:rsidRPr="00817DBC">
              <w:rPr>
                <w:color w:val="000000"/>
                <w:sz w:val="20"/>
              </w:rPr>
              <w:t>среднесписоч</w:t>
            </w:r>
            <w:r w:rsidR="001B34AF">
              <w:rPr>
                <w:color w:val="000000"/>
                <w:sz w:val="20"/>
              </w:rPr>
              <w:t>ная</w:t>
            </w:r>
            <w:r w:rsidRPr="00817DBC">
              <w:rPr>
                <w:color w:val="000000"/>
                <w:sz w:val="20"/>
              </w:rPr>
              <w:t xml:space="preserve"> численность работающих в экономике по полному кругу организаций (без внешних совместителей), тыс. чел.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367A2A" w:rsidRPr="00817DBC" w:rsidRDefault="00367A2A" w:rsidP="003F7CC6">
            <w:pPr>
              <w:jc w:val="center"/>
              <w:rPr>
                <w:color w:val="000000"/>
                <w:sz w:val="20"/>
              </w:rPr>
            </w:pPr>
            <w:r w:rsidRPr="00817DBC">
              <w:rPr>
                <w:color w:val="000000"/>
                <w:sz w:val="20"/>
              </w:rPr>
              <w:t>1147,6/   620,3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367A2A" w:rsidRDefault="00367A2A" w:rsidP="003F7CC6">
            <w:pPr>
              <w:jc w:val="center"/>
              <w:rPr>
                <w:sz w:val="20"/>
              </w:rPr>
            </w:pPr>
            <w:r w:rsidRPr="005B00B3">
              <w:rPr>
                <w:sz w:val="20"/>
              </w:rPr>
              <w:t>1 205,8/</w:t>
            </w:r>
          </w:p>
          <w:p w:rsidR="00367A2A" w:rsidRPr="00BD43C7" w:rsidRDefault="00367A2A" w:rsidP="003F7CC6">
            <w:pPr>
              <w:jc w:val="center"/>
              <w:rPr>
                <w:sz w:val="20"/>
              </w:rPr>
            </w:pPr>
            <w:r>
              <w:rPr>
                <w:sz w:val="20"/>
              </w:rPr>
              <w:t>639,4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367A2A" w:rsidRPr="00817DBC" w:rsidRDefault="00367A2A" w:rsidP="003F7CC6">
            <w:pPr>
              <w:jc w:val="center"/>
              <w:rPr>
                <w:sz w:val="20"/>
              </w:rPr>
            </w:pPr>
            <w:r w:rsidRPr="00817DBC">
              <w:rPr>
                <w:sz w:val="20"/>
              </w:rPr>
              <w:t>1205,8* (оценка)/ 604,5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  <w:hideMark/>
          </w:tcPr>
          <w:p w:rsidR="00367A2A" w:rsidRPr="00817DBC" w:rsidRDefault="00367A2A" w:rsidP="003F7CC6">
            <w:pPr>
              <w:jc w:val="center"/>
              <w:rPr>
                <w:color w:val="000000"/>
                <w:sz w:val="20"/>
              </w:rPr>
            </w:pPr>
            <w:r w:rsidRPr="00817DBC">
              <w:rPr>
                <w:color w:val="000000"/>
                <w:sz w:val="20"/>
              </w:rPr>
              <w:t>105,1/  103,1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FFFFFF"/>
            <w:vAlign w:val="bottom"/>
            <w:hideMark/>
          </w:tcPr>
          <w:p w:rsidR="00367A2A" w:rsidRPr="00FD2EC5" w:rsidRDefault="00367A2A" w:rsidP="003F7CC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105,1 (оценка)/</w:t>
            </w:r>
            <w:r w:rsidRPr="00FD2EC5">
              <w:rPr>
                <w:color w:val="000000"/>
                <w:sz w:val="20"/>
              </w:rPr>
              <w:t>9</w:t>
            </w:r>
            <w:r>
              <w:rPr>
                <w:color w:val="000000"/>
                <w:sz w:val="20"/>
              </w:rPr>
              <w:t>7</w:t>
            </w:r>
            <w:r w:rsidRPr="00FD2EC5">
              <w:rPr>
                <w:color w:val="000000"/>
                <w:sz w:val="20"/>
              </w:rPr>
              <w:t>,</w:t>
            </w:r>
            <w:r>
              <w:rPr>
                <w:color w:val="000000"/>
                <w:sz w:val="20"/>
              </w:rPr>
              <w:t>5</w:t>
            </w:r>
          </w:p>
        </w:tc>
      </w:tr>
      <w:tr w:rsidR="00367A2A" w:rsidRPr="00F21D7E" w:rsidTr="00826435">
        <w:trPr>
          <w:trHeight w:val="404"/>
        </w:trPr>
        <w:tc>
          <w:tcPr>
            <w:tcW w:w="41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2A" w:rsidRPr="007F045D" w:rsidRDefault="00367A2A" w:rsidP="003F7CC6">
            <w:pPr>
              <w:jc w:val="both"/>
              <w:rPr>
                <w:color w:val="000000"/>
                <w:sz w:val="20"/>
              </w:rPr>
            </w:pPr>
            <w:r w:rsidRPr="007F045D">
              <w:rPr>
                <w:color w:val="000000"/>
                <w:sz w:val="20"/>
              </w:rPr>
              <w:t>Реальные денежные доходы населения в процентах к предыдущему году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  <w:hideMark/>
          </w:tcPr>
          <w:p w:rsidR="00367A2A" w:rsidRPr="00817DBC" w:rsidRDefault="00367A2A" w:rsidP="003F7CC6">
            <w:pPr>
              <w:jc w:val="center"/>
              <w:rPr>
                <w:sz w:val="20"/>
              </w:rPr>
            </w:pPr>
            <w:r w:rsidRPr="00817DBC">
              <w:rPr>
                <w:sz w:val="20"/>
              </w:rPr>
              <w:t>92,0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367A2A" w:rsidRPr="00BF34D2" w:rsidRDefault="00367A2A" w:rsidP="003F7CC6">
            <w:pPr>
              <w:jc w:val="center"/>
              <w:rPr>
                <w:sz w:val="20"/>
              </w:rPr>
            </w:pPr>
            <w:r w:rsidRPr="00BF34D2">
              <w:rPr>
                <w:sz w:val="20"/>
              </w:rPr>
              <w:t>98,9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  <w:hideMark/>
          </w:tcPr>
          <w:p w:rsidR="00367A2A" w:rsidRPr="00817DBC" w:rsidRDefault="00367A2A" w:rsidP="003F7CC6">
            <w:pPr>
              <w:jc w:val="center"/>
              <w:rPr>
                <w:sz w:val="20"/>
              </w:rPr>
            </w:pPr>
            <w:r w:rsidRPr="00817DBC">
              <w:rPr>
                <w:sz w:val="20"/>
              </w:rPr>
              <w:t>98,6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367A2A" w:rsidRPr="00817DBC" w:rsidRDefault="00557154" w:rsidP="003F7CC6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FFFFFF"/>
            <w:vAlign w:val="bottom"/>
            <w:hideMark/>
          </w:tcPr>
          <w:p w:rsidR="00367A2A" w:rsidRPr="00F87F18" w:rsidRDefault="00557154" w:rsidP="003F7CC6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х</w:t>
            </w:r>
            <w:proofErr w:type="spellEnd"/>
          </w:p>
        </w:tc>
      </w:tr>
      <w:tr w:rsidR="00367A2A" w:rsidRPr="00F21D7E" w:rsidTr="00826435">
        <w:trPr>
          <w:trHeight w:val="396"/>
        </w:trPr>
        <w:tc>
          <w:tcPr>
            <w:tcW w:w="41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2A" w:rsidRPr="007F045D" w:rsidRDefault="00367A2A" w:rsidP="003F7CC6">
            <w:pPr>
              <w:jc w:val="both"/>
              <w:rPr>
                <w:color w:val="000000"/>
                <w:sz w:val="20"/>
              </w:rPr>
            </w:pPr>
            <w:r w:rsidRPr="007F045D">
              <w:rPr>
                <w:color w:val="000000"/>
                <w:sz w:val="20"/>
              </w:rPr>
              <w:t>Денежные доходы в расчете на душу населения в месяц (руб.)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  <w:hideMark/>
          </w:tcPr>
          <w:p w:rsidR="00367A2A" w:rsidRPr="00817DBC" w:rsidRDefault="00367A2A" w:rsidP="003F7CC6">
            <w:pPr>
              <w:jc w:val="center"/>
              <w:rPr>
                <w:sz w:val="20"/>
              </w:rPr>
            </w:pPr>
            <w:r w:rsidRPr="00817DBC">
              <w:rPr>
                <w:sz w:val="20"/>
              </w:rPr>
              <w:t>21 465,3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367A2A" w:rsidRPr="00BD43C7" w:rsidRDefault="00367A2A" w:rsidP="003F7CC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23 812,7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  <w:hideMark/>
          </w:tcPr>
          <w:p w:rsidR="00367A2A" w:rsidRPr="00817DBC" w:rsidRDefault="00367A2A" w:rsidP="003F7CC6">
            <w:pPr>
              <w:jc w:val="center"/>
              <w:rPr>
                <w:sz w:val="20"/>
              </w:rPr>
            </w:pPr>
            <w:r w:rsidRPr="00817DBC">
              <w:rPr>
                <w:sz w:val="20"/>
              </w:rPr>
              <w:t>21 230,3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  <w:hideMark/>
          </w:tcPr>
          <w:p w:rsidR="00367A2A" w:rsidRPr="00817DBC" w:rsidRDefault="00367A2A" w:rsidP="00DC2318">
            <w:pPr>
              <w:jc w:val="center"/>
              <w:rPr>
                <w:sz w:val="20"/>
              </w:rPr>
            </w:pPr>
            <w:r w:rsidRPr="00817DBC">
              <w:rPr>
                <w:sz w:val="20"/>
              </w:rPr>
              <w:t>10</w:t>
            </w:r>
            <w:r w:rsidR="00DC2318">
              <w:rPr>
                <w:sz w:val="20"/>
              </w:rPr>
              <w:t>4</w:t>
            </w:r>
            <w:r w:rsidRPr="00817DBC">
              <w:rPr>
                <w:sz w:val="20"/>
              </w:rPr>
              <w:t>,</w:t>
            </w:r>
            <w:r w:rsidR="00DC2318">
              <w:rPr>
                <w:sz w:val="20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FFFFFF"/>
            <w:noWrap/>
            <w:vAlign w:val="bottom"/>
            <w:hideMark/>
          </w:tcPr>
          <w:p w:rsidR="00367A2A" w:rsidRPr="00784C74" w:rsidRDefault="00367A2A" w:rsidP="003F7CC6">
            <w:pPr>
              <w:jc w:val="center"/>
              <w:rPr>
                <w:sz w:val="20"/>
                <w:highlight w:val="yellow"/>
              </w:rPr>
            </w:pPr>
            <w:r w:rsidRPr="00784C74">
              <w:rPr>
                <w:sz w:val="20"/>
              </w:rPr>
              <w:t>98,</w:t>
            </w:r>
            <w:r>
              <w:rPr>
                <w:sz w:val="20"/>
              </w:rPr>
              <w:t>9</w:t>
            </w:r>
          </w:p>
        </w:tc>
      </w:tr>
      <w:tr w:rsidR="00367A2A" w:rsidRPr="00F21D7E" w:rsidTr="00826435">
        <w:trPr>
          <w:trHeight w:val="396"/>
        </w:trPr>
        <w:tc>
          <w:tcPr>
            <w:tcW w:w="41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2A" w:rsidRPr="007F045D" w:rsidRDefault="00367A2A" w:rsidP="003F7CC6">
            <w:pPr>
              <w:jc w:val="both"/>
              <w:rPr>
                <w:sz w:val="20"/>
              </w:rPr>
            </w:pPr>
            <w:r w:rsidRPr="007F045D">
              <w:rPr>
                <w:sz w:val="20"/>
              </w:rPr>
              <w:t>Среднемесячная номинальная начисленная заработанная плата, руб.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  <w:hideMark/>
          </w:tcPr>
          <w:p w:rsidR="00367A2A" w:rsidRPr="00817DBC" w:rsidRDefault="00367A2A" w:rsidP="003F7CC6">
            <w:pPr>
              <w:jc w:val="center"/>
              <w:rPr>
                <w:sz w:val="20"/>
              </w:rPr>
            </w:pPr>
            <w:r w:rsidRPr="00817DBC">
              <w:rPr>
                <w:sz w:val="20"/>
              </w:rPr>
              <w:t>26 554,1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367A2A" w:rsidRPr="00BD43C7" w:rsidRDefault="00367A2A" w:rsidP="003F7CC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27 900,0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  <w:hideMark/>
          </w:tcPr>
          <w:p w:rsidR="00367A2A" w:rsidRPr="00817DBC" w:rsidRDefault="00367A2A" w:rsidP="003F7CC6">
            <w:pPr>
              <w:jc w:val="center"/>
              <w:rPr>
                <w:sz w:val="20"/>
              </w:rPr>
            </w:pPr>
            <w:r w:rsidRPr="00817DBC">
              <w:rPr>
                <w:sz w:val="20"/>
              </w:rPr>
              <w:t>27 883,6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  <w:hideMark/>
          </w:tcPr>
          <w:p w:rsidR="00367A2A" w:rsidRPr="00817DBC" w:rsidRDefault="00367A2A" w:rsidP="003F7CC6">
            <w:pPr>
              <w:jc w:val="center"/>
              <w:rPr>
                <w:sz w:val="20"/>
              </w:rPr>
            </w:pPr>
            <w:r w:rsidRPr="00817DBC">
              <w:rPr>
                <w:sz w:val="20"/>
              </w:rPr>
              <w:t>105,1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FFFFFF"/>
            <w:noWrap/>
            <w:vAlign w:val="bottom"/>
            <w:hideMark/>
          </w:tcPr>
          <w:p w:rsidR="00367A2A" w:rsidRPr="00F52223" w:rsidRDefault="00367A2A" w:rsidP="003F7CC6">
            <w:pPr>
              <w:jc w:val="center"/>
              <w:rPr>
                <w:sz w:val="20"/>
              </w:rPr>
            </w:pPr>
            <w:r w:rsidRPr="00F52223">
              <w:rPr>
                <w:sz w:val="20"/>
              </w:rPr>
              <w:t>10</w:t>
            </w:r>
            <w:r>
              <w:rPr>
                <w:sz w:val="20"/>
              </w:rPr>
              <w:t>5,0</w:t>
            </w:r>
          </w:p>
        </w:tc>
      </w:tr>
      <w:tr w:rsidR="00367A2A" w:rsidRPr="00F21D7E" w:rsidTr="00826435">
        <w:trPr>
          <w:trHeight w:val="403"/>
        </w:trPr>
        <w:tc>
          <w:tcPr>
            <w:tcW w:w="41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2A" w:rsidRPr="007F045D" w:rsidRDefault="00367A2A" w:rsidP="003F7CC6">
            <w:pPr>
              <w:jc w:val="both"/>
              <w:rPr>
                <w:sz w:val="20"/>
              </w:rPr>
            </w:pPr>
            <w:r w:rsidRPr="007F045D">
              <w:rPr>
                <w:color w:val="000000"/>
                <w:sz w:val="20"/>
              </w:rPr>
              <w:t>Уровень зарегистрированной безработицы (на конец года),%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  <w:hideMark/>
          </w:tcPr>
          <w:p w:rsidR="00367A2A" w:rsidRPr="00817DBC" w:rsidRDefault="00367A2A" w:rsidP="003F7CC6">
            <w:pPr>
              <w:jc w:val="center"/>
              <w:rPr>
                <w:sz w:val="20"/>
              </w:rPr>
            </w:pPr>
            <w:r w:rsidRPr="00817DBC">
              <w:rPr>
                <w:sz w:val="20"/>
              </w:rPr>
              <w:t>1,0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367A2A" w:rsidRPr="00BD43C7" w:rsidRDefault="00367A2A" w:rsidP="003F7CC6">
            <w:pPr>
              <w:jc w:val="center"/>
              <w:rPr>
                <w:sz w:val="20"/>
              </w:rPr>
            </w:pPr>
            <w:r w:rsidRPr="00BD43C7">
              <w:rPr>
                <w:sz w:val="20"/>
              </w:rPr>
              <w:t>1,4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  <w:hideMark/>
          </w:tcPr>
          <w:p w:rsidR="00367A2A" w:rsidRPr="00817DBC" w:rsidRDefault="00367A2A" w:rsidP="003F7CC6">
            <w:pPr>
              <w:jc w:val="center"/>
              <w:rPr>
                <w:sz w:val="20"/>
              </w:rPr>
            </w:pPr>
            <w:r w:rsidRPr="00817DBC">
              <w:rPr>
                <w:sz w:val="20"/>
              </w:rPr>
              <w:t>0,8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  <w:hideMark/>
          </w:tcPr>
          <w:p w:rsidR="00367A2A" w:rsidRPr="00817DBC" w:rsidRDefault="00557154" w:rsidP="003F7CC6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FFFFFF"/>
            <w:noWrap/>
            <w:vAlign w:val="bottom"/>
            <w:hideMark/>
          </w:tcPr>
          <w:p w:rsidR="00367A2A" w:rsidRPr="00F52223" w:rsidRDefault="00557154" w:rsidP="003F7CC6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х</w:t>
            </w:r>
            <w:proofErr w:type="spellEnd"/>
          </w:p>
        </w:tc>
      </w:tr>
      <w:tr w:rsidR="00367A2A" w:rsidRPr="00F21D7E" w:rsidTr="00826435">
        <w:trPr>
          <w:trHeight w:val="131"/>
        </w:trPr>
        <w:tc>
          <w:tcPr>
            <w:tcW w:w="41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2A" w:rsidRPr="007F045D" w:rsidRDefault="00367A2A" w:rsidP="003F7CC6">
            <w:pPr>
              <w:spacing w:line="220" w:lineRule="exact"/>
              <w:ind w:left="-57" w:right="-57"/>
              <w:jc w:val="both"/>
              <w:rPr>
                <w:color w:val="000000"/>
                <w:sz w:val="20"/>
              </w:rPr>
            </w:pPr>
            <w:r w:rsidRPr="007F045D">
              <w:rPr>
                <w:color w:val="000000"/>
                <w:sz w:val="20"/>
              </w:rPr>
              <w:t>Численность безработных, зарегистрированных в государственных учреждениях службы занятости населения (на конец года), тыс. чел.,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  <w:hideMark/>
          </w:tcPr>
          <w:p w:rsidR="00367A2A" w:rsidRPr="00817DBC" w:rsidRDefault="00367A2A" w:rsidP="003F7CC6">
            <w:pPr>
              <w:jc w:val="center"/>
              <w:rPr>
                <w:sz w:val="20"/>
              </w:rPr>
            </w:pPr>
            <w:r w:rsidRPr="00817DBC">
              <w:rPr>
                <w:sz w:val="20"/>
              </w:rPr>
              <w:t>13,2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367A2A" w:rsidRPr="00BD43C7" w:rsidRDefault="00367A2A" w:rsidP="003F7CC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  <w:hideMark/>
          </w:tcPr>
          <w:p w:rsidR="00367A2A" w:rsidRPr="00817DBC" w:rsidRDefault="00367A2A" w:rsidP="003F7CC6">
            <w:pPr>
              <w:jc w:val="center"/>
              <w:rPr>
                <w:sz w:val="20"/>
              </w:rPr>
            </w:pPr>
            <w:r w:rsidRPr="00817DBC">
              <w:rPr>
                <w:sz w:val="20"/>
              </w:rPr>
              <w:t>10,9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  <w:hideMark/>
          </w:tcPr>
          <w:p w:rsidR="00367A2A" w:rsidRPr="00817DBC" w:rsidRDefault="00367A2A" w:rsidP="003F7CC6">
            <w:pPr>
              <w:jc w:val="center"/>
              <w:rPr>
                <w:sz w:val="20"/>
              </w:rPr>
            </w:pPr>
            <w:r w:rsidRPr="00817DBC">
              <w:rPr>
                <w:sz w:val="20"/>
              </w:rPr>
              <w:t>135,6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FFFFFF"/>
            <w:noWrap/>
            <w:vAlign w:val="bottom"/>
            <w:hideMark/>
          </w:tcPr>
          <w:p w:rsidR="00367A2A" w:rsidRPr="00784C74" w:rsidRDefault="00367A2A" w:rsidP="003F7CC6">
            <w:pPr>
              <w:jc w:val="center"/>
              <w:rPr>
                <w:sz w:val="20"/>
              </w:rPr>
            </w:pPr>
            <w:r w:rsidRPr="00784C74">
              <w:rPr>
                <w:sz w:val="20"/>
              </w:rPr>
              <w:t>82,6</w:t>
            </w:r>
          </w:p>
        </w:tc>
      </w:tr>
      <w:tr w:rsidR="00367A2A" w:rsidRPr="00F21D7E" w:rsidTr="00826435">
        <w:trPr>
          <w:trHeight w:val="165"/>
        </w:trPr>
        <w:tc>
          <w:tcPr>
            <w:tcW w:w="41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2A" w:rsidRPr="007F045D" w:rsidRDefault="00367A2A" w:rsidP="001F7E09">
            <w:pPr>
              <w:jc w:val="both"/>
              <w:rPr>
                <w:i/>
                <w:color w:val="000000"/>
                <w:sz w:val="20"/>
              </w:rPr>
            </w:pPr>
            <w:r w:rsidRPr="00F52223">
              <w:rPr>
                <w:i/>
                <w:color w:val="000000"/>
                <w:sz w:val="20"/>
              </w:rPr>
              <w:t>к соответств</w:t>
            </w:r>
            <w:r w:rsidR="001F7E09">
              <w:rPr>
                <w:i/>
                <w:color w:val="000000"/>
                <w:sz w:val="20"/>
              </w:rPr>
              <w:t>ующему</w:t>
            </w:r>
            <w:r w:rsidRPr="00F52223">
              <w:rPr>
                <w:i/>
                <w:color w:val="000000"/>
                <w:sz w:val="20"/>
              </w:rPr>
              <w:t xml:space="preserve"> периоду предыдущего года</w:t>
            </w:r>
            <w:proofErr w:type="gramStart"/>
            <w:r w:rsidRPr="00F52223">
              <w:rPr>
                <w:i/>
                <w:color w:val="000000"/>
                <w:sz w:val="20"/>
              </w:rPr>
              <w:t xml:space="preserve"> (%)</w:t>
            </w:r>
            <w:proofErr w:type="gramEnd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  <w:hideMark/>
          </w:tcPr>
          <w:p w:rsidR="00367A2A" w:rsidRPr="00817DBC" w:rsidRDefault="00367A2A" w:rsidP="003F7CC6">
            <w:pPr>
              <w:jc w:val="center"/>
              <w:rPr>
                <w:i/>
                <w:sz w:val="20"/>
              </w:rPr>
            </w:pPr>
            <w:r w:rsidRPr="00817DBC">
              <w:rPr>
                <w:i/>
                <w:sz w:val="20"/>
              </w:rPr>
              <w:t>84,6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367A2A" w:rsidRPr="00BD43C7" w:rsidRDefault="00367A2A" w:rsidP="003F7CC6">
            <w:pPr>
              <w:jc w:val="center"/>
              <w:rPr>
                <w:i/>
                <w:sz w:val="20"/>
              </w:rPr>
            </w:pPr>
            <w:r w:rsidRPr="005170BA">
              <w:rPr>
                <w:i/>
                <w:sz w:val="20"/>
              </w:rPr>
              <w:t>114,7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  <w:hideMark/>
          </w:tcPr>
          <w:p w:rsidR="00367A2A" w:rsidRPr="00817DBC" w:rsidRDefault="00367A2A" w:rsidP="003F7CC6">
            <w:pPr>
              <w:jc w:val="center"/>
              <w:rPr>
                <w:i/>
                <w:sz w:val="20"/>
              </w:rPr>
            </w:pPr>
            <w:r w:rsidRPr="00817DBC">
              <w:rPr>
                <w:i/>
                <w:sz w:val="20"/>
              </w:rPr>
              <w:t>82,5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  <w:hideMark/>
          </w:tcPr>
          <w:p w:rsidR="00367A2A" w:rsidRPr="00817DBC" w:rsidRDefault="00557154" w:rsidP="003F7CC6">
            <w:pPr>
              <w:jc w:val="center"/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FFFFFF"/>
            <w:noWrap/>
            <w:vAlign w:val="bottom"/>
            <w:hideMark/>
          </w:tcPr>
          <w:p w:rsidR="00367A2A" w:rsidRPr="00F87F18" w:rsidRDefault="00557154" w:rsidP="003F7CC6">
            <w:pPr>
              <w:jc w:val="center"/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х</w:t>
            </w:r>
            <w:proofErr w:type="spellEnd"/>
          </w:p>
        </w:tc>
      </w:tr>
      <w:tr w:rsidR="00367A2A" w:rsidRPr="00F21D7E" w:rsidTr="00826435">
        <w:trPr>
          <w:trHeight w:val="90"/>
        </w:trPr>
        <w:tc>
          <w:tcPr>
            <w:tcW w:w="41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2A" w:rsidRPr="007F045D" w:rsidRDefault="00367A2A" w:rsidP="003F7CC6">
            <w:pPr>
              <w:jc w:val="both"/>
              <w:rPr>
                <w:color w:val="000000"/>
                <w:sz w:val="20"/>
              </w:rPr>
            </w:pPr>
            <w:r w:rsidRPr="007F045D">
              <w:rPr>
                <w:color w:val="000000"/>
                <w:sz w:val="20"/>
              </w:rPr>
              <w:t xml:space="preserve">Экспорт товаров, млн. долл. США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  <w:hideMark/>
          </w:tcPr>
          <w:p w:rsidR="00367A2A" w:rsidRPr="00817DBC" w:rsidRDefault="00367A2A" w:rsidP="003F7CC6">
            <w:pPr>
              <w:jc w:val="center"/>
              <w:rPr>
                <w:sz w:val="20"/>
              </w:rPr>
            </w:pPr>
            <w:r w:rsidRPr="00817DBC">
              <w:rPr>
                <w:sz w:val="20"/>
              </w:rPr>
              <w:t>1</w:t>
            </w:r>
            <w:r>
              <w:rPr>
                <w:sz w:val="20"/>
              </w:rPr>
              <w:t> </w:t>
            </w:r>
            <w:r w:rsidRPr="00817DBC">
              <w:rPr>
                <w:sz w:val="20"/>
              </w:rPr>
              <w:t>31</w:t>
            </w:r>
            <w:r>
              <w:rPr>
                <w:sz w:val="20"/>
              </w:rPr>
              <w:t>4,8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367A2A" w:rsidRPr="00BD43C7" w:rsidRDefault="00367A2A" w:rsidP="003F7CC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1 260,1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  <w:hideMark/>
          </w:tcPr>
          <w:p w:rsidR="00367A2A" w:rsidRPr="003C4434" w:rsidRDefault="00367A2A" w:rsidP="003F7CC6">
            <w:pPr>
              <w:jc w:val="center"/>
              <w:rPr>
                <w:sz w:val="20"/>
              </w:rPr>
            </w:pPr>
            <w:r w:rsidRPr="003C4434">
              <w:rPr>
                <w:sz w:val="20"/>
              </w:rPr>
              <w:t xml:space="preserve">1 537,7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  <w:hideMark/>
          </w:tcPr>
          <w:p w:rsidR="00367A2A" w:rsidRPr="00817DBC" w:rsidRDefault="00367A2A" w:rsidP="003F7CC6">
            <w:pPr>
              <w:jc w:val="center"/>
              <w:rPr>
                <w:sz w:val="20"/>
              </w:rPr>
            </w:pPr>
            <w:r w:rsidRPr="00817DBC">
              <w:rPr>
                <w:sz w:val="20"/>
              </w:rPr>
              <w:t>95,8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FFFFFF"/>
            <w:noWrap/>
            <w:vAlign w:val="bottom"/>
            <w:hideMark/>
          </w:tcPr>
          <w:p w:rsidR="00367A2A" w:rsidRPr="003518E8" w:rsidRDefault="00367A2A" w:rsidP="003F7CC6">
            <w:pPr>
              <w:jc w:val="center"/>
              <w:rPr>
                <w:sz w:val="20"/>
              </w:rPr>
            </w:pPr>
            <w:r w:rsidRPr="003518E8">
              <w:rPr>
                <w:sz w:val="20"/>
              </w:rPr>
              <w:t>1</w:t>
            </w:r>
            <w:r>
              <w:rPr>
                <w:sz w:val="20"/>
              </w:rPr>
              <w:t xml:space="preserve">16,9 </w:t>
            </w:r>
          </w:p>
        </w:tc>
      </w:tr>
      <w:tr w:rsidR="00367A2A" w:rsidRPr="00F21D7E" w:rsidTr="00826435">
        <w:trPr>
          <w:trHeight w:val="285"/>
        </w:trPr>
        <w:tc>
          <w:tcPr>
            <w:tcW w:w="41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2A" w:rsidRPr="00F52223" w:rsidRDefault="00367A2A" w:rsidP="001F7E09">
            <w:pPr>
              <w:jc w:val="both"/>
              <w:rPr>
                <w:i/>
                <w:color w:val="000000"/>
                <w:sz w:val="20"/>
              </w:rPr>
            </w:pPr>
            <w:r w:rsidRPr="00F52223">
              <w:rPr>
                <w:i/>
                <w:color w:val="000000"/>
                <w:sz w:val="20"/>
              </w:rPr>
              <w:t>к соответств</w:t>
            </w:r>
            <w:r w:rsidR="001F7E09">
              <w:rPr>
                <w:i/>
                <w:color w:val="000000"/>
                <w:sz w:val="20"/>
              </w:rPr>
              <w:t>ующему</w:t>
            </w:r>
            <w:r w:rsidRPr="00F52223">
              <w:rPr>
                <w:i/>
                <w:color w:val="000000"/>
                <w:sz w:val="20"/>
              </w:rPr>
              <w:t xml:space="preserve"> периоду предыдущего года</w:t>
            </w:r>
            <w:r>
              <w:rPr>
                <w:i/>
                <w:color w:val="000000"/>
                <w:sz w:val="20"/>
              </w:rPr>
              <w:t xml:space="preserve"> в фактических ценах</w:t>
            </w:r>
            <w:proofErr w:type="gramStart"/>
            <w:r w:rsidRPr="00F52223">
              <w:rPr>
                <w:i/>
                <w:color w:val="000000"/>
                <w:sz w:val="20"/>
              </w:rPr>
              <w:t xml:space="preserve"> (%)</w:t>
            </w:r>
            <w:proofErr w:type="gramEnd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  <w:hideMark/>
          </w:tcPr>
          <w:p w:rsidR="00367A2A" w:rsidRPr="00817DBC" w:rsidRDefault="00367A2A" w:rsidP="003F7CC6">
            <w:pPr>
              <w:jc w:val="center"/>
              <w:rPr>
                <w:i/>
                <w:sz w:val="20"/>
              </w:rPr>
            </w:pPr>
            <w:r w:rsidRPr="000519BF">
              <w:rPr>
                <w:i/>
                <w:sz w:val="20"/>
              </w:rPr>
              <w:t>64,3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367A2A" w:rsidRPr="00BD43C7" w:rsidRDefault="00367A2A" w:rsidP="003F7CC6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101,8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  <w:hideMark/>
          </w:tcPr>
          <w:p w:rsidR="00367A2A" w:rsidRPr="003C4434" w:rsidRDefault="00367A2A" w:rsidP="003F7CC6">
            <w:pPr>
              <w:jc w:val="center"/>
              <w:rPr>
                <w:i/>
                <w:sz w:val="20"/>
              </w:rPr>
            </w:pPr>
            <w:r w:rsidRPr="003C4434">
              <w:rPr>
                <w:i/>
                <w:sz w:val="20"/>
              </w:rPr>
              <w:t>11</w:t>
            </w:r>
            <w:r>
              <w:rPr>
                <w:i/>
                <w:sz w:val="20"/>
              </w:rPr>
              <w:t>6,9</w:t>
            </w:r>
            <w:r w:rsidRPr="003C4434">
              <w:rPr>
                <w:i/>
                <w:sz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  <w:hideMark/>
          </w:tcPr>
          <w:p w:rsidR="00367A2A" w:rsidRPr="00817DBC" w:rsidRDefault="00557154" w:rsidP="003F7CC6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FFFFFF"/>
            <w:noWrap/>
            <w:vAlign w:val="bottom"/>
            <w:hideMark/>
          </w:tcPr>
          <w:p w:rsidR="00367A2A" w:rsidRPr="0010494E" w:rsidRDefault="00557154" w:rsidP="003F7CC6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х</w:t>
            </w:r>
            <w:proofErr w:type="spellEnd"/>
          </w:p>
        </w:tc>
      </w:tr>
      <w:tr w:rsidR="00367A2A" w:rsidRPr="00F21D7E" w:rsidTr="00826435">
        <w:trPr>
          <w:trHeight w:val="132"/>
        </w:trPr>
        <w:tc>
          <w:tcPr>
            <w:tcW w:w="41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2A" w:rsidRPr="00F52223" w:rsidRDefault="00367A2A" w:rsidP="009C2FAF">
            <w:pPr>
              <w:jc w:val="both"/>
              <w:rPr>
                <w:color w:val="000000"/>
                <w:sz w:val="20"/>
              </w:rPr>
            </w:pPr>
            <w:r w:rsidRPr="00F52223">
              <w:rPr>
                <w:color w:val="000000"/>
                <w:sz w:val="20"/>
              </w:rPr>
              <w:t>Импорт товаров, млн. долл. США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  <w:hideMark/>
          </w:tcPr>
          <w:p w:rsidR="00367A2A" w:rsidRPr="00817DBC" w:rsidRDefault="00367A2A" w:rsidP="003F7CC6">
            <w:pPr>
              <w:jc w:val="center"/>
              <w:rPr>
                <w:sz w:val="20"/>
              </w:rPr>
            </w:pPr>
            <w:r w:rsidRPr="00817DBC">
              <w:rPr>
                <w:sz w:val="20"/>
              </w:rPr>
              <w:t>6</w:t>
            </w:r>
            <w:r>
              <w:rPr>
                <w:sz w:val="20"/>
              </w:rPr>
              <w:t>69,1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367A2A" w:rsidRPr="00BD43C7" w:rsidRDefault="00367A2A" w:rsidP="003F7CC6">
            <w:pPr>
              <w:jc w:val="center"/>
              <w:rPr>
                <w:sz w:val="20"/>
              </w:rPr>
            </w:pPr>
            <w:r>
              <w:rPr>
                <w:sz w:val="20"/>
              </w:rPr>
              <w:t>630,5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  <w:hideMark/>
          </w:tcPr>
          <w:p w:rsidR="00367A2A" w:rsidRPr="003C4434" w:rsidRDefault="00367A2A" w:rsidP="003F7CC6">
            <w:pPr>
              <w:jc w:val="center"/>
              <w:rPr>
                <w:sz w:val="20"/>
              </w:rPr>
            </w:pPr>
            <w:r w:rsidRPr="003C4434">
              <w:rPr>
                <w:sz w:val="20"/>
              </w:rPr>
              <w:t xml:space="preserve">721,4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  <w:hideMark/>
          </w:tcPr>
          <w:p w:rsidR="00367A2A" w:rsidRPr="00817DBC" w:rsidRDefault="00367A2A" w:rsidP="003F7CC6">
            <w:pPr>
              <w:jc w:val="center"/>
              <w:rPr>
                <w:sz w:val="20"/>
              </w:rPr>
            </w:pPr>
            <w:r w:rsidRPr="00817DBC">
              <w:rPr>
                <w:sz w:val="20"/>
              </w:rPr>
              <w:t>94,</w:t>
            </w:r>
            <w:r>
              <w:rPr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FFFFFF"/>
            <w:noWrap/>
            <w:vAlign w:val="bottom"/>
            <w:hideMark/>
          </w:tcPr>
          <w:p w:rsidR="00367A2A" w:rsidRPr="003518E8" w:rsidRDefault="00367A2A" w:rsidP="003F7CC6">
            <w:pPr>
              <w:jc w:val="center"/>
              <w:rPr>
                <w:sz w:val="20"/>
              </w:rPr>
            </w:pPr>
            <w:r w:rsidRPr="003518E8">
              <w:rPr>
                <w:sz w:val="20"/>
              </w:rPr>
              <w:t>1</w:t>
            </w:r>
            <w:r>
              <w:rPr>
                <w:sz w:val="20"/>
              </w:rPr>
              <w:t>07,8</w:t>
            </w:r>
          </w:p>
        </w:tc>
      </w:tr>
      <w:tr w:rsidR="00367A2A" w:rsidRPr="00F21D7E" w:rsidTr="00826435">
        <w:trPr>
          <w:trHeight w:val="169"/>
        </w:trPr>
        <w:tc>
          <w:tcPr>
            <w:tcW w:w="41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367A2A" w:rsidRPr="00F52223" w:rsidRDefault="00367A2A" w:rsidP="001F7E09">
            <w:pPr>
              <w:jc w:val="both"/>
              <w:rPr>
                <w:i/>
                <w:color w:val="000000"/>
                <w:sz w:val="20"/>
              </w:rPr>
            </w:pPr>
            <w:r w:rsidRPr="00F52223">
              <w:rPr>
                <w:i/>
                <w:color w:val="000000"/>
                <w:sz w:val="20"/>
              </w:rPr>
              <w:t>к соответств</w:t>
            </w:r>
            <w:r w:rsidR="001F7E09">
              <w:rPr>
                <w:i/>
                <w:color w:val="000000"/>
                <w:sz w:val="20"/>
              </w:rPr>
              <w:t>ующему</w:t>
            </w:r>
            <w:r w:rsidRPr="00F52223">
              <w:rPr>
                <w:i/>
                <w:color w:val="000000"/>
                <w:sz w:val="20"/>
              </w:rPr>
              <w:t xml:space="preserve"> периоду предыдущего года </w:t>
            </w:r>
            <w:r>
              <w:rPr>
                <w:i/>
                <w:color w:val="000000"/>
                <w:sz w:val="20"/>
              </w:rPr>
              <w:t>в фактических ценах</w:t>
            </w:r>
            <w:proofErr w:type="gramStart"/>
            <w:r>
              <w:rPr>
                <w:i/>
                <w:color w:val="000000"/>
                <w:sz w:val="20"/>
              </w:rPr>
              <w:t xml:space="preserve"> </w:t>
            </w:r>
            <w:r w:rsidRPr="00F52223">
              <w:rPr>
                <w:i/>
                <w:color w:val="000000"/>
                <w:sz w:val="20"/>
              </w:rPr>
              <w:t>(%)</w:t>
            </w:r>
            <w:proofErr w:type="gramEnd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000000" w:fill="FFFFFF"/>
            <w:noWrap/>
            <w:vAlign w:val="bottom"/>
            <w:hideMark/>
          </w:tcPr>
          <w:p w:rsidR="00367A2A" w:rsidRPr="00817DBC" w:rsidRDefault="00367A2A" w:rsidP="003F7CC6">
            <w:pPr>
              <w:jc w:val="center"/>
              <w:rPr>
                <w:i/>
                <w:sz w:val="20"/>
              </w:rPr>
            </w:pPr>
            <w:r w:rsidRPr="000519BF">
              <w:rPr>
                <w:i/>
                <w:sz w:val="20"/>
              </w:rPr>
              <w:t>65,0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367A2A" w:rsidRPr="007F045D" w:rsidRDefault="00367A2A" w:rsidP="003F7CC6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104,2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000000" w:fill="FFFFFF"/>
            <w:noWrap/>
            <w:vAlign w:val="bottom"/>
            <w:hideMark/>
          </w:tcPr>
          <w:p w:rsidR="00367A2A" w:rsidRPr="003C4434" w:rsidRDefault="00367A2A" w:rsidP="003F7CC6">
            <w:pPr>
              <w:jc w:val="center"/>
              <w:rPr>
                <w:i/>
                <w:sz w:val="20"/>
              </w:rPr>
            </w:pPr>
            <w:r w:rsidRPr="003C4434">
              <w:rPr>
                <w:i/>
                <w:sz w:val="20"/>
              </w:rPr>
              <w:t xml:space="preserve">107,8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000000" w:fill="FFFFFF"/>
            <w:noWrap/>
            <w:vAlign w:val="bottom"/>
            <w:hideMark/>
          </w:tcPr>
          <w:p w:rsidR="00367A2A" w:rsidRPr="00817DBC" w:rsidRDefault="00557154" w:rsidP="003F7CC6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000000" w:fill="FFFFFF"/>
            <w:noWrap/>
            <w:vAlign w:val="bottom"/>
            <w:hideMark/>
          </w:tcPr>
          <w:p w:rsidR="00367A2A" w:rsidRPr="0010494E" w:rsidRDefault="00557154" w:rsidP="003F7CC6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х</w:t>
            </w:r>
            <w:proofErr w:type="spellEnd"/>
          </w:p>
        </w:tc>
      </w:tr>
    </w:tbl>
    <w:bookmarkEnd w:id="0"/>
    <w:p w:rsidR="00367A2A" w:rsidRDefault="00367A2A" w:rsidP="00367A2A">
      <w:pPr>
        <w:jc w:val="both"/>
        <w:rPr>
          <w:rFonts w:eastAsia="Calibri"/>
          <w:szCs w:val="24"/>
        </w:rPr>
      </w:pPr>
      <w:r w:rsidRPr="00966D77">
        <w:rPr>
          <w:color w:val="000000"/>
          <w:sz w:val="18"/>
          <w:szCs w:val="18"/>
        </w:rPr>
        <w:t>*</w:t>
      </w:r>
      <w:r>
        <w:rPr>
          <w:color w:val="000000"/>
          <w:sz w:val="18"/>
          <w:szCs w:val="18"/>
        </w:rPr>
        <w:t xml:space="preserve"> о</w:t>
      </w:r>
      <w:r w:rsidRPr="00966D77">
        <w:rPr>
          <w:color w:val="000000"/>
          <w:sz w:val="18"/>
          <w:szCs w:val="18"/>
        </w:rPr>
        <w:t>ценка согласно Прогнозу С</w:t>
      </w:r>
      <w:r>
        <w:rPr>
          <w:color w:val="000000"/>
          <w:sz w:val="18"/>
          <w:szCs w:val="18"/>
        </w:rPr>
        <w:t>Э</w:t>
      </w:r>
      <w:r w:rsidRPr="00966D77">
        <w:rPr>
          <w:color w:val="000000"/>
          <w:sz w:val="18"/>
          <w:szCs w:val="18"/>
        </w:rPr>
        <w:t>Р на 2018-2020 годы</w:t>
      </w:r>
    </w:p>
    <w:p w:rsidR="00367A2A" w:rsidRPr="00971578" w:rsidRDefault="00367A2A" w:rsidP="00367A2A">
      <w:pPr>
        <w:pStyle w:val="aff1"/>
        <w:rPr>
          <w:rFonts w:cs="Arial"/>
          <w:sz w:val="18"/>
          <w:szCs w:val="18"/>
        </w:rPr>
      </w:pPr>
      <w:r w:rsidRPr="00971578">
        <w:rPr>
          <w:rFonts w:cs="Arial"/>
          <w:sz w:val="18"/>
          <w:szCs w:val="18"/>
          <w:vertAlign w:val="superscript"/>
        </w:rPr>
        <w:t xml:space="preserve">** </w:t>
      </w:r>
      <w:r w:rsidRPr="00971578">
        <w:rPr>
          <w:rFonts w:cs="Arial"/>
          <w:sz w:val="18"/>
          <w:szCs w:val="18"/>
        </w:rPr>
        <w:t>данные приведены по организациям, средняя численность работников которых за предыдущий год превышает 15 человек, кроме субъектов малого предпринимательства, государственных, муниципальных учреждений, банков, страховых и прочих финансово-кредитных</w:t>
      </w:r>
      <w:r>
        <w:rPr>
          <w:rFonts w:cs="Arial"/>
          <w:sz w:val="18"/>
          <w:szCs w:val="18"/>
        </w:rPr>
        <w:t xml:space="preserve"> организаций</w:t>
      </w:r>
    </w:p>
    <w:p w:rsidR="00557154" w:rsidRDefault="00557154" w:rsidP="00367A2A">
      <w:pPr>
        <w:ind w:firstLine="680"/>
        <w:jc w:val="both"/>
        <w:rPr>
          <w:szCs w:val="24"/>
        </w:rPr>
      </w:pPr>
    </w:p>
    <w:p w:rsidR="00367A2A" w:rsidRDefault="00367A2A" w:rsidP="00367A2A">
      <w:pPr>
        <w:ind w:firstLine="680"/>
        <w:jc w:val="both"/>
        <w:rPr>
          <w:szCs w:val="24"/>
        </w:rPr>
      </w:pPr>
      <w:r>
        <w:rPr>
          <w:szCs w:val="24"/>
        </w:rPr>
        <w:t xml:space="preserve">Из таблицы видно, что по ряду показателей </w:t>
      </w:r>
      <w:r w:rsidRPr="00A3368A">
        <w:rPr>
          <w:szCs w:val="24"/>
        </w:rPr>
        <w:t>социально-экономического развития</w:t>
      </w:r>
      <w:r>
        <w:rPr>
          <w:szCs w:val="24"/>
        </w:rPr>
        <w:t xml:space="preserve"> региона </w:t>
      </w:r>
      <w:r w:rsidRPr="00A3368A">
        <w:rPr>
          <w:szCs w:val="24"/>
        </w:rPr>
        <w:t xml:space="preserve">(далее СЭР) </w:t>
      </w:r>
      <w:r>
        <w:rPr>
          <w:szCs w:val="24"/>
        </w:rPr>
        <w:t xml:space="preserve">отсутствуют статистические данные на момент составления настоящего заключения, в </w:t>
      </w:r>
      <w:proofErr w:type="gramStart"/>
      <w:r>
        <w:rPr>
          <w:szCs w:val="24"/>
        </w:rPr>
        <w:t>связи</w:t>
      </w:r>
      <w:proofErr w:type="gramEnd"/>
      <w:r>
        <w:rPr>
          <w:szCs w:val="24"/>
        </w:rPr>
        <w:t xml:space="preserve"> с чем фактические значения за 2017 год указаны на уровне оценочных значений, принятых при расчете показателей Прогноза социально-экономического развития Волгоградской области на 2018 год и на плановый период 2019-2020 годов (далее Прогноз СЭР на 2018-2020 годы).</w:t>
      </w:r>
    </w:p>
    <w:p w:rsidR="00367A2A" w:rsidRDefault="00367A2A" w:rsidP="00367A2A">
      <w:pPr>
        <w:ind w:firstLine="680"/>
        <w:jc w:val="both"/>
        <w:rPr>
          <w:szCs w:val="24"/>
        </w:rPr>
      </w:pPr>
      <w:r>
        <w:rPr>
          <w:szCs w:val="24"/>
        </w:rPr>
        <w:t xml:space="preserve">С учетом фактически сложившихся показателей СЭР можно сделать вывод, что исполнение бюджета Волгоградской области в 2017 году происходило в основном как в условиях незначительного роста </w:t>
      </w:r>
      <w:r w:rsidRPr="00A3368A">
        <w:rPr>
          <w:szCs w:val="24"/>
        </w:rPr>
        <w:t xml:space="preserve">отдельных показателей </w:t>
      </w:r>
      <w:r>
        <w:rPr>
          <w:szCs w:val="24"/>
        </w:rPr>
        <w:t>СЭР, так и снижения ряда показателей относительного 2016 года.</w:t>
      </w:r>
    </w:p>
    <w:p w:rsidR="00367A2A" w:rsidRDefault="00367A2A" w:rsidP="00367A2A">
      <w:pPr>
        <w:pStyle w:val="31"/>
        <w:widowControl/>
        <w:tabs>
          <w:tab w:val="clear" w:pos="4320"/>
          <w:tab w:val="clear" w:pos="8640"/>
          <w:tab w:val="left" w:pos="709"/>
        </w:tabs>
        <w:ind w:firstLine="680"/>
        <w:rPr>
          <w:rFonts w:ascii="Times New Roman" w:hAnsi="Times New Roman"/>
          <w:sz w:val="24"/>
          <w:szCs w:val="24"/>
        </w:rPr>
      </w:pPr>
      <w:r w:rsidRPr="00A3368A">
        <w:rPr>
          <w:rFonts w:ascii="Times New Roman" w:hAnsi="Times New Roman"/>
          <w:sz w:val="24"/>
          <w:szCs w:val="24"/>
        </w:rPr>
        <w:t xml:space="preserve">В 2017 году </w:t>
      </w:r>
      <w:r>
        <w:rPr>
          <w:rFonts w:ascii="Times New Roman" w:hAnsi="Times New Roman"/>
          <w:sz w:val="24"/>
          <w:szCs w:val="24"/>
        </w:rPr>
        <w:t xml:space="preserve">наблюдается </w:t>
      </w:r>
      <w:r w:rsidRPr="00A3368A">
        <w:rPr>
          <w:rFonts w:ascii="Times New Roman" w:hAnsi="Times New Roman"/>
          <w:sz w:val="24"/>
          <w:szCs w:val="24"/>
        </w:rPr>
        <w:t>рост объем</w:t>
      </w:r>
      <w:r>
        <w:rPr>
          <w:rFonts w:ascii="Times New Roman" w:hAnsi="Times New Roman"/>
          <w:sz w:val="24"/>
          <w:szCs w:val="24"/>
        </w:rPr>
        <w:t>а</w:t>
      </w:r>
      <w:r w:rsidRPr="00A3368A">
        <w:rPr>
          <w:rFonts w:ascii="Times New Roman" w:hAnsi="Times New Roman"/>
          <w:sz w:val="24"/>
          <w:szCs w:val="24"/>
        </w:rPr>
        <w:t xml:space="preserve"> отгруженных товаров собственного производства, выполненных работ и услуг с</w:t>
      </w:r>
      <w:r>
        <w:rPr>
          <w:rFonts w:ascii="Times New Roman" w:hAnsi="Times New Roman"/>
          <w:sz w:val="24"/>
          <w:szCs w:val="24"/>
        </w:rPr>
        <w:t xml:space="preserve">обственными силами на 96237,3 </w:t>
      </w:r>
      <w:r w:rsidRPr="00A3368A">
        <w:rPr>
          <w:rFonts w:ascii="Times New Roman" w:hAnsi="Times New Roman"/>
          <w:sz w:val="24"/>
          <w:szCs w:val="24"/>
        </w:rPr>
        <w:t>млн. руб. (+</w:t>
      </w:r>
      <w:r>
        <w:rPr>
          <w:rFonts w:ascii="Times New Roman" w:hAnsi="Times New Roman"/>
          <w:sz w:val="24"/>
          <w:szCs w:val="24"/>
        </w:rPr>
        <w:t>13,3</w:t>
      </w:r>
      <w:r w:rsidRPr="00A3368A">
        <w:rPr>
          <w:rFonts w:ascii="Times New Roman" w:hAnsi="Times New Roman"/>
          <w:sz w:val="24"/>
          <w:szCs w:val="24"/>
        </w:rPr>
        <w:t>%).</w:t>
      </w:r>
      <w:r>
        <w:rPr>
          <w:rFonts w:ascii="Times New Roman" w:hAnsi="Times New Roman"/>
          <w:sz w:val="24"/>
          <w:szCs w:val="24"/>
        </w:rPr>
        <w:t xml:space="preserve"> Вместе с тем показатель индекса промышленного производства, являющийся основным показателем, характеризующим изменение масштабов производства по видам деятельности «Добыча полезных ископаемых», «Обрабатывающие производства», «Обеспечение электрической энергией, газом и паром; кондиционирование воздуха», «Водоснабжение, водоотведение, организация сбора и утилизация отходов, деятельность по </w:t>
      </w:r>
      <w:r w:rsidRPr="00D769E2">
        <w:rPr>
          <w:rFonts w:ascii="Times New Roman" w:hAnsi="Times New Roman"/>
          <w:sz w:val="24"/>
          <w:szCs w:val="24"/>
        </w:rPr>
        <w:t>ликвидации загрязнений</w:t>
      </w:r>
      <w:r>
        <w:rPr>
          <w:rFonts w:ascii="Times New Roman" w:hAnsi="Times New Roman"/>
          <w:sz w:val="24"/>
          <w:szCs w:val="24"/>
        </w:rPr>
        <w:t xml:space="preserve">» в сравниваемых периодах, </w:t>
      </w:r>
      <w:r w:rsidRPr="00D769E2">
        <w:rPr>
          <w:rFonts w:ascii="Times New Roman" w:hAnsi="Times New Roman"/>
          <w:sz w:val="24"/>
          <w:szCs w:val="24"/>
        </w:rPr>
        <w:t xml:space="preserve">составил </w:t>
      </w:r>
      <w:r>
        <w:rPr>
          <w:rFonts w:ascii="Times New Roman" w:hAnsi="Times New Roman"/>
          <w:sz w:val="24"/>
          <w:szCs w:val="24"/>
        </w:rPr>
        <w:t xml:space="preserve">только </w:t>
      </w:r>
      <w:r w:rsidRPr="00D769E2">
        <w:rPr>
          <w:rFonts w:ascii="Times New Roman" w:hAnsi="Times New Roman"/>
          <w:sz w:val="24"/>
          <w:szCs w:val="24"/>
        </w:rPr>
        <w:t xml:space="preserve">100,3 процента. </w:t>
      </w:r>
      <w:r>
        <w:rPr>
          <w:rFonts w:ascii="Times New Roman" w:hAnsi="Times New Roman"/>
          <w:sz w:val="24"/>
          <w:szCs w:val="24"/>
        </w:rPr>
        <w:t>В предыдущие годы наблюдалось более высокое значение этого показателя: в 2012 году – 104,8%, 2013 году – 101,5%</w:t>
      </w:r>
      <w:r w:rsidR="00D80BAB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2014 году – 102,4%, 2015 г</w:t>
      </w:r>
      <w:r w:rsidR="00D80BAB">
        <w:rPr>
          <w:rFonts w:ascii="Times New Roman" w:hAnsi="Times New Roman"/>
          <w:sz w:val="24"/>
          <w:szCs w:val="24"/>
        </w:rPr>
        <w:t>оду – 101,1%, 2016 году – 103,2 процента</w:t>
      </w:r>
      <w:r>
        <w:rPr>
          <w:rFonts w:ascii="Times New Roman" w:hAnsi="Times New Roman"/>
          <w:sz w:val="24"/>
          <w:szCs w:val="24"/>
        </w:rPr>
        <w:t>. В 2017 году с</w:t>
      </w:r>
      <w:r w:rsidRPr="00D769E2">
        <w:rPr>
          <w:rFonts w:ascii="Times New Roman" w:hAnsi="Times New Roman"/>
          <w:sz w:val="24"/>
          <w:szCs w:val="24"/>
        </w:rPr>
        <w:t>нижение темпа роста отмечено по виду деятельности «Добыча полезных ископаемых»</w:t>
      </w:r>
      <w:r>
        <w:rPr>
          <w:rFonts w:ascii="Times New Roman" w:hAnsi="Times New Roman"/>
          <w:sz w:val="24"/>
          <w:szCs w:val="24"/>
        </w:rPr>
        <w:t xml:space="preserve"> (индекс - 86%). </w:t>
      </w:r>
    </w:p>
    <w:p w:rsidR="00367A2A" w:rsidRDefault="00367A2A" w:rsidP="00367A2A">
      <w:pPr>
        <w:pStyle w:val="aff1"/>
        <w:ind w:firstLine="680"/>
        <w:jc w:val="both"/>
        <w:rPr>
          <w:rFonts w:cs="Arial"/>
          <w:sz w:val="24"/>
          <w:szCs w:val="24"/>
        </w:rPr>
      </w:pPr>
      <w:r w:rsidRPr="00535C44">
        <w:rPr>
          <w:bCs/>
          <w:sz w:val="24"/>
          <w:szCs w:val="24"/>
        </w:rPr>
        <w:t>Оборот розничной торговли</w:t>
      </w:r>
      <w:r w:rsidRPr="00535C44">
        <w:rPr>
          <w:b/>
          <w:sz w:val="24"/>
          <w:szCs w:val="24"/>
        </w:rPr>
        <w:t xml:space="preserve"> </w:t>
      </w:r>
      <w:r w:rsidRPr="00535C44">
        <w:rPr>
          <w:bCs/>
          <w:sz w:val="24"/>
          <w:szCs w:val="24"/>
        </w:rPr>
        <w:t xml:space="preserve">в </w:t>
      </w:r>
      <w:r w:rsidRPr="00535C44">
        <w:rPr>
          <w:sz w:val="24"/>
          <w:szCs w:val="24"/>
        </w:rPr>
        <w:t xml:space="preserve">2017 </w:t>
      </w:r>
      <w:r w:rsidRPr="00255007">
        <w:rPr>
          <w:sz w:val="24"/>
          <w:szCs w:val="24"/>
        </w:rPr>
        <w:t xml:space="preserve">году составил 362266,2 млн. руб., или </w:t>
      </w:r>
      <w:r>
        <w:rPr>
          <w:sz w:val="24"/>
          <w:szCs w:val="24"/>
        </w:rPr>
        <w:t xml:space="preserve">в сопоставимой оценке </w:t>
      </w:r>
      <w:r w:rsidRPr="00255007">
        <w:rPr>
          <w:sz w:val="24"/>
          <w:szCs w:val="24"/>
        </w:rPr>
        <w:t xml:space="preserve">101,4% к </w:t>
      </w:r>
      <w:r w:rsidRPr="00255007">
        <w:rPr>
          <w:bCs/>
          <w:sz w:val="24"/>
          <w:szCs w:val="24"/>
        </w:rPr>
        <w:t>2016 году</w:t>
      </w:r>
      <w:r w:rsidR="00D80BAB">
        <w:rPr>
          <w:bCs/>
          <w:sz w:val="24"/>
          <w:szCs w:val="24"/>
        </w:rPr>
        <w:t>,</w:t>
      </w:r>
      <w:r w:rsidRPr="00255007">
        <w:rPr>
          <w:bCs/>
          <w:sz w:val="24"/>
          <w:szCs w:val="24"/>
        </w:rPr>
        <w:t xml:space="preserve"> </w:t>
      </w:r>
      <w:r w:rsidR="00D80BAB">
        <w:rPr>
          <w:bCs/>
          <w:sz w:val="24"/>
          <w:szCs w:val="24"/>
        </w:rPr>
        <w:t>о</w:t>
      </w:r>
      <w:r w:rsidRPr="00495ABA">
        <w:rPr>
          <w:rFonts w:cs="Arial"/>
          <w:sz w:val="24"/>
          <w:szCs w:val="24"/>
        </w:rPr>
        <w:t xml:space="preserve">бъем платных услуг населению </w:t>
      </w:r>
      <w:r w:rsidR="00D80BAB">
        <w:rPr>
          <w:rFonts w:cs="Arial"/>
          <w:sz w:val="24"/>
          <w:szCs w:val="24"/>
        </w:rPr>
        <w:t>-</w:t>
      </w:r>
      <w:r w:rsidRPr="00495ABA">
        <w:rPr>
          <w:rFonts w:cs="Arial"/>
          <w:sz w:val="24"/>
          <w:szCs w:val="24"/>
        </w:rPr>
        <w:t xml:space="preserve"> 133012,6 млн. руб.</w:t>
      </w:r>
      <w:r>
        <w:rPr>
          <w:rFonts w:cs="Arial"/>
          <w:sz w:val="24"/>
          <w:szCs w:val="24"/>
        </w:rPr>
        <w:t xml:space="preserve">, или 105,6% к 2016 году в фактических ценах. При этом в сопоставимой оценке </w:t>
      </w:r>
      <w:r w:rsidRPr="00495ABA">
        <w:rPr>
          <w:rFonts w:cs="Arial"/>
          <w:sz w:val="24"/>
          <w:szCs w:val="24"/>
        </w:rPr>
        <w:t xml:space="preserve"> </w:t>
      </w:r>
      <w:r w:rsidRPr="00495ABA">
        <w:rPr>
          <w:rFonts w:cs="Arial"/>
          <w:sz w:val="24"/>
          <w:szCs w:val="24"/>
        </w:rPr>
        <w:lastRenderedPageBreak/>
        <w:t xml:space="preserve">отмечено снижение </w:t>
      </w:r>
      <w:r w:rsidR="007F318F">
        <w:rPr>
          <w:rFonts w:cs="Arial"/>
          <w:sz w:val="24"/>
          <w:szCs w:val="24"/>
        </w:rPr>
        <w:t xml:space="preserve">объема платных услуг населению </w:t>
      </w:r>
      <w:r w:rsidRPr="00495ABA">
        <w:rPr>
          <w:rFonts w:cs="Arial"/>
          <w:sz w:val="24"/>
          <w:szCs w:val="24"/>
        </w:rPr>
        <w:t>на 8,6</w:t>
      </w:r>
      <w:r>
        <w:rPr>
          <w:rFonts w:cs="Arial"/>
          <w:sz w:val="24"/>
          <w:szCs w:val="24"/>
        </w:rPr>
        <w:t xml:space="preserve">%, что оказало влияние на снижение поступлений единого налога на вмененный доход в консолидированный бюджет </w:t>
      </w:r>
      <w:r w:rsidR="007F318F">
        <w:rPr>
          <w:rFonts w:cs="Arial"/>
          <w:sz w:val="24"/>
          <w:szCs w:val="24"/>
        </w:rPr>
        <w:t xml:space="preserve">Волгоградской </w:t>
      </w:r>
      <w:r w:rsidRPr="00D31EC0">
        <w:rPr>
          <w:rFonts w:cs="Arial"/>
          <w:sz w:val="24"/>
          <w:szCs w:val="24"/>
        </w:rPr>
        <w:t>области (-5,8%).</w:t>
      </w:r>
    </w:p>
    <w:p w:rsidR="00367A2A" w:rsidRDefault="00367A2A" w:rsidP="00367A2A">
      <w:pPr>
        <w:pStyle w:val="aff1"/>
        <w:ind w:firstLine="680"/>
        <w:jc w:val="both"/>
        <w:rPr>
          <w:rFonts w:cs="Arial"/>
          <w:sz w:val="24"/>
          <w:szCs w:val="24"/>
        </w:rPr>
      </w:pPr>
      <w:r>
        <w:rPr>
          <w:bCs/>
          <w:sz w:val="24"/>
          <w:szCs w:val="24"/>
        </w:rPr>
        <w:t>Значительный рост (14,1%) отмечен по показателю</w:t>
      </w:r>
      <w:r w:rsidRPr="00255007">
        <w:rPr>
          <w:bCs/>
          <w:sz w:val="24"/>
          <w:szCs w:val="24"/>
        </w:rPr>
        <w:t xml:space="preserve"> прибыли прибыльных предприятий по сопоставимому</w:t>
      </w:r>
      <w:r>
        <w:rPr>
          <w:bCs/>
          <w:sz w:val="24"/>
          <w:szCs w:val="24"/>
        </w:rPr>
        <w:t xml:space="preserve"> кругу </w:t>
      </w:r>
      <w:r>
        <w:rPr>
          <w:sz w:val="24"/>
          <w:szCs w:val="24"/>
        </w:rPr>
        <w:t>(</w:t>
      </w:r>
      <w:r w:rsidRPr="005D0D68">
        <w:rPr>
          <w:rFonts w:cs="Arial"/>
          <w:sz w:val="24"/>
          <w:szCs w:val="24"/>
        </w:rPr>
        <w:t>кроме субъектов малого предпринимательства, государственных, муниципальных учреждений, банков, страховых и прочих финансово-кредитных организаций</w:t>
      </w:r>
      <w:r>
        <w:rPr>
          <w:rFonts w:cs="Arial"/>
          <w:sz w:val="24"/>
          <w:szCs w:val="24"/>
        </w:rPr>
        <w:t xml:space="preserve">), что оказало влияние на рост поступлений налога на прибыль организаций в областной бюджет </w:t>
      </w:r>
      <w:r w:rsidR="007F318F">
        <w:rPr>
          <w:rFonts w:cs="Arial"/>
          <w:sz w:val="24"/>
          <w:szCs w:val="24"/>
        </w:rPr>
        <w:t xml:space="preserve">относительно предыдущего года </w:t>
      </w:r>
      <w:r>
        <w:rPr>
          <w:rFonts w:cs="Arial"/>
          <w:sz w:val="24"/>
          <w:szCs w:val="24"/>
        </w:rPr>
        <w:t xml:space="preserve">(+3,5%). </w:t>
      </w:r>
      <w:r w:rsidR="007F318F">
        <w:rPr>
          <w:rFonts w:cs="Arial"/>
          <w:sz w:val="24"/>
          <w:szCs w:val="24"/>
        </w:rPr>
        <w:t>В</w:t>
      </w:r>
      <w:r>
        <w:rPr>
          <w:rFonts w:cs="Arial"/>
          <w:sz w:val="24"/>
          <w:szCs w:val="24"/>
        </w:rPr>
        <w:t xml:space="preserve"> 2016 году отмеч</w:t>
      </w:r>
      <w:r w:rsidR="007F318F">
        <w:rPr>
          <w:rFonts w:cs="Arial"/>
          <w:sz w:val="24"/>
          <w:szCs w:val="24"/>
        </w:rPr>
        <w:t>алось</w:t>
      </w:r>
      <w:r>
        <w:rPr>
          <w:rFonts w:cs="Arial"/>
          <w:sz w:val="24"/>
          <w:szCs w:val="24"/>
        </w:rPr>
        <w:t xml:space="preserve"> снижение указанного показателя на 42 процента.</w:t>
      </w:r>
    </w:p>
    <w:p w:rsidR="000C72C7" w:rsidRDefault="00367A2A" w:rsidP="00367A2A">
      <w:pPr>
        <w:pStyle w:val="aff1"/>
        <w:ind w:firstLine="68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Также в 2017 году наблюда</w:t>
      </w:r>
      <w:r w:rsidR="000C72C7">
        <w:rPr>
          <w:rFonts w:cs="Arial"/>
          <w:sz w:val="24"/>
          <w:szCs w:val="24"/>
        </w:rPr>
        <w:t>л</w:t>
      </w:r>
      <w:r>
        <w:rPr>
          <w:rFonts w:cs="Arial"/>
          <w:sz w:val="24"/>
          <w:szCs w:val="24"/>
        </w:rPr>
        <w:t>ся рост инвестиционного спроса – объем инвестиций в основной капитал в действующих ценах по предварительной оценке составил 190770,4 млн. руб.</w:t>
      </w:r>
      <w:r w:rsidR="000C72C7">
        <w:rPr>
          <w:rFonts w:cs="Arial"/>
          <w:sz w:val="24"/>
          <w:szCs w:val="24"/>
        </w:rPr>
        <w:t>, т.е. увеличился</w:t>
      </w:r>
      <w:r>
        <w:rPr>
          <w:rFonts w:cs="Arial"/>
          <w:sz w:val="24"/>
          <w:szCs w:val="24"/>
        </w:rPr>
        <w:t xml:space="preserve"> в сравнении с </w:t>
      </w:r>
      <w:r w:rsidR="000C72C7">
        <w:rPr>
          <w:rFonts w:cs="Arial"/>
          <w:sz w:val="24"/>
          <w:szCs w:val="24"/>
        </w:rPr>
        <w:t>2016</w:t>
      </w:r>
      <w:r>
        <w:rPr>
          <w:rFonts w:cs="Arial"/>
          <w:sz w:val="24"/>
          <w:szCs w:val="24"/>
        </w:rPr>
        <w:t xml:space="preserve"> годом на 3,9 процента. Наибольший рост объема инвестиций (без субъектов малого предпринимательства и объема инвестиций, не наблюдаемых прямыми статистическими методами) отмечен по следующим видам экономической деятельности: </w:t>
      </w:r>
    </w:p>
    <w:p w:rsidR="000C72C7" w:rsidRDefault="000C72C7" w:rsidP="00367A2A">
      <w:pPr>
        <w:pStyle w:val="aff1"/>
        <w:ind w:firstLine="68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-</w:t>
      </w:r>
      <w:r w:rsidR="00367A2A">
        <w:rPr>
          <w:rFonts w:cs="Arial"/>
          <w:sz w:val="24"/>
          <w:szCs w:val="24"/>
        </w:rPr>
        <w:t>сельское хозяйство (7795,9 млн. руб.) – в 1,9 раза</w:t>
      </w:r>
      <w:r>
        <w:rPr>
          <w:rFonts w:cs="Arial"/>
          <w:sz w:val="24"/>
          <w:szCs w:val="24"/>
        </w:rPr>
        <w:t>;</w:t>
      </w:r>
    </w:p>
    <w:p w:rsidR="000C72C7" w:rsidRDefault="000C72C7" w:rsidP="00367A2A">
      <w:pPr>
        <w:pStyle w:val="aff1"/>
        <w:ind w:firstLine="68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-</w:t>
      </w:r>
      <w:r w:rsidR="00367A2A">
        <w:rPr>
          <w:rFonts w:cs="Arial"/>
          <w:sz w:val="24"/>
          <w:szCs w:val="24"/>
        </w:rPr>
        <w:t>деятельность в области культуры, спорта, организации досуга и развлечений (6366,3 млн. руб.) – 155,9%</w:t>
      </w:r>
      <w:r>
        <w:rPr>
          <w:rFonts w:cs="Arial"/>
          <w:sz w:val="24"/>
          <w:szCs w:val="24"/>
        </w:rPr>
        <w:t>;</w:t>
      </w:r>
    </w:p>
    <w:p w:rsidR="000C72C7" w:rsidRDefault="000C72C7" w:rsidP="00367A2A">
      <w:pPr>
        <w:pStyle w:val="aff1"/>
        <w:ind w:firstLine="68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-деятельность </w:t>
      </w:r>
      <w:r w:rsidR="00367A2A">
        <w:rPr>
          <w:rFonts w:cs="Arial"/>
          <w:sz w:val="24"/>
          <w:szCs w:val="24"/>
        </w:rPr>
        <w:t>в области информации и связи (5036,3 млн. руб.) – 142,8%</w:t>
      </w:r>
      <w:r>
        <w:rPr>
          <w:rFonts w:cs="Arial"/>
          <w:sz w:val="24"/>
          <w:szCs w:val="24"/>
        </w:rPr>
        <w:t>;</w:t>
      </w:r>
      <w:r w:rsidR="00367A2A">
        <w:rPr>
          <w:rFonts w:cs="Arial"/>
          <w:sz w:val="24"/>
          <w:szCs w:val="24"/>
        </w:rPr>
        <w:t xml:space="preserve"> </w:t>
      </w:r>
    </w:p>
    <w:p w:rsidR="000C72C7" w:rsidRDefault="000C72C7" w:rsidP="00367A2A">
      <w:pPr>
        <w:pStyle w:val="aff1"/>
        <w:ind w:firstLine="68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-</w:t>
      </w:r>
      <w:r w:rsidR="00367A2A">
        <w:rPr>
          <w:rFonts w:cs="Arial"/>
          <w:sz w:val="24"/>
          <w:szCs w:val="24"/>
        </w:rPr>
        <w:t>образование (2591,1 млн. руб.) – в 1,7 раза</w:t>
      </w:r>
      <w:r>
        <w:rPr>
          <w:rFonts w:cs="Arial"/>
          <w:sz w:val="24"/>
          <w:szCs w:val="24"/>
        </w:rPr>
        <w:t>;</w:t>
      </w:r>
    </w:p>
    <w:p w:rsidR="00367A2A" w:rsidRDefault="000C72C7" w:rsidP="00367A2A">
      <w:pPr>
        <w:pStyle w:val="aff1"/>
        <w:ind w:firstLine="68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-</w:t>
      </w:r>
      <w:r w:rsidR="00367A2A">
        <w:rPr>
          <w:rFonts w:cs="Arial"/>
          <w:sz w:val="24"/>
          <w:szCs w:val="24"/>
        </w:rPr>
        <w:t>деятельность профессиональная, научная</w:t>
      </w:r>
      <w:r>
        <w:rPr>
          <w:rFonts w:cs="Arial"/>
          <w:sz w:val="24"/>
          <w:szCs w:val="24"/>
        </w:rPr>
        <w:t xml:space="preserve"> и </w:t>
      </w:r>
      <w:r w:rsidR="00367A2A">
        <w:rPr>
          <w:rFonts w:cs="Arial"/>
          <w:sz w:val="24"/>
          <w:szCs w:val="24"/>
        </w:rPr>
        <w:t>техническая (2051,7 млн. руб.) в 2,6 раза.</w:t>
      </w:r>
    </w:p>
    <w:p w:rsidR="00367A2A" w:rsidRDefault="00367A2A" w:rsidP="00367A2A">
      <w:pPr>
        <w:ind w:firstLine="680"/>
        <w:jc w:val="both"/>
        <w:rPr>
          <w:rFonts w:cs="Arial"/>
          <w:szCs w:val="24"/>
        </w:rPr>
      </w:pPr>
      <w:r>
        <w:rPr>
          <w:szCs w:val="24"/>
        </w:rPr>
        <w:t>Согласно данным Южного таможенного управления Федеральной таможенной службы за 2017 год отмечен</w:t>
      </w:r>
      <w:r w:rsidRPr="00E3428C">
        <w:rPr>
          <w:szCs w:val="24"/>
        </w:rPr>
        <w:t xml:space="preserve"> рост внешнеторгового оборота к соответствующему периоду 2016 года: экспорт составил</w:t>
      </w:r>
      <w:r w:rsidRPr="00E3428C">
        <w:rPr>
          <w:rFonts w:cs="Arial"/>
          <w:szCs w:val="24"/>
        </w:rPr>
        <w:t xml:space="preserve"> 1</w:t>
      </w:r>
      <w:r>
        <w:rPr>
          <w:rFonts w:cs="Arial"/>
          <w:szCs w:val="24"/>
        </w:rPr>
        <w:t>537,7 млн. долл. США (116,9</w:t>
      </w:r>
      <w:r w:rsidRPr="00E3428C">
        <w:rPr>
          <w:rFonts w:cs="Arial"/>
          <w:szCs w:val="24"/>
        </w:rPr>
        <w:t xml:space="preserve">%), импорт – </w:t>
      </w:r>
      <w:r>
        <w:rPr>
          <w:rFonts w:cs="Arial"/>
          <w:szCs w:val="24"/>
        </w:rPr>
        <w:t>721,4</w:t>
      </w:r>
      <w:r w:rsidRPr="00E3428C">
        <w:rPr>
          <w:rFonts w:cs="Arial"/>
          <w:szCs w:val="24"/>
        </w:rPr>
        <w:t xml:space="preserve"> млн. долл. (10</w:t>
      </w:r>
      <w:r>
        <w:rPr>
          <w:rFonts w:cs="Arial"/>
          <w:szCs w:val="24"/>
        </w:rPr>
        <w:t>7,8</w:t>
      </w:r>
      <w:r w:rsidRPr="00E3428C">
        <w:rPr>
          <w:rFonts w:cs="Arial"/>
          <w:szCs w:val="24"/>
        </w:rPr>
        <w:t>%)</w:t>
      </w:r>
      <w:r>
        <w:rPr>
          <w:rFonts w:cs="Arial"/>
          <w:szCs w:val="24"/>
        </w:rPr>
        <w:t>, что связано с увеличением объема экспортируемых и импортируемых товаров. Рост экспортируемых товаров приходится в основном на продукцию химической промышленности, каучук</w:t>
      </w:r>
      <w:r w:rsidR="000C72C7">
        <w:rPr>
          <w:rFonts w:cs="Arial"/>
          <w:szCs w:val="24"/>
        </w:rPr>
        <w:t>а -</w:t>
      </w:r>
      <w:r>
        <w:rPr>
          <w:rFonts w:cs="Arial"/>
          <w:szCs w:val="24"/>
        </w:rPr>
        <w:t xml:space="preserve"> на 81,6 млн. долл. США (+31,8%), металлы и изделия из них – на 88,9 млн. долл. США (+25,2%), продовольственные товары и сельскохозяйственное сырье – на 38,6 млн. долл. США (+28%).  </w:t>
      </w:r>
    </w:p>
    <w:p w:rsidR="00367A2A" w:rsidRPr="006B116D" w:rsidRDefault="00367A2A" w:rsidP="00367A2A">
      <w:pPr>
        <w:pStyle w:val="a3"/>
        <w:ind w:firstLine="709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Импорт</w:t>
      </w:r>
      <w:r w:rsidRPr="0055785D">
        <w:rPr>
          <w:rFonts w:ascii="Times New Roman" w:hAnsi="Times New Roman"/>
        </w:rPr>
        <w:t xml:space="preserve"> характеризовал</w:t>
      </w:r>
      <w:r>
        <w:rPr>
          <w:rFonts w:ascii="Times New Roman" w:hAnsi="Times New Roman"/>
        </w:rPr>
        <w:t>ся</w:t>
      </w:r>
      <w:r w:rsidRPr="0055785D">
        <w:rPr>
          <w:rFonts w:ascii="Times New Roman" w:hAnsi="Times New Roman"/>
        </w:rPr>
        <w:t xml:space="preserve"> ростом </w:t>
      </w:r>
      <w:r w:rsidRPr="006B116D">
        <w:rPr>
          <w:rFonts w:ascii="Times New Roman" w:hAnsi="Times New Roman"/>
        </w:rPr>
        <w:t>объемов продук</w:t>
      </w:r>
      <w:r>
        <w:rPr>
          <w:rFonts w:ascii="Times New Roman" w:hAnsi="Times New Roman"/>
        </w:rPr>
        <w:t>ции химической промышленности</w:t>
      </w:r>
      <w:r w:rsidR="000C72C7">
        <w:rPr>
          <w:rFonts w:ascii="Times New Roman" w:hAnsi="Times New Roman"/>
        </w:rPr>
        <w:t xml:space="preserve"> - </w:t>
      </w:r>
      <w:r>
        <w:rPr>
          <w:rFonts w:ascii="Times New Roman" w:hAnsi="Times New Roman"/>
        </w:rPr>
        <w:t xml:space="preserve"> </w:t>
      </w:r>
      <w:r w:rsidRPr="006B116D">
        <w:rPr>
          <w:rFonts w:ascii="Times New Roman" w:hAnsi="Times New Roman"/>
        </w:rPr>
        <w:t>на 30,7 млн. долл. США (+25,3%), машин, оборудования и транспортных средств – на 24,9 млн. долл. США (+10,5%), продовольственных товаров и сельскохозяйственного сырья – на 15,2 млн. долл. США (+25,2%).</w:t>
      </w:r>
      <w:proofErr w:type="gramEnd"/>
      <w:r>
        <w:rPr>
          <w:rFonts w:ascii="Times New Roman" w:hAnsi="Times New Roman"/>
        </w:rPr>
        <w:t xml:space="preserve"> Темп роста экспорта опередил темп импорта на 9,1 </w:t>
      </w:r>
      <w:proofErr w:type="gramStart"/>
      <w:r>
        <w:rPr>
          <w:rFonts w:ascii="Times New Roman" w:hAnsi="Times New Roman"/>
        </w:rPr>
        <w:t>процентных</w:t>
      </w:r>
      <w:proofErr w:type="gramEnd"/>
      <w:r>
        <w:rPr>
          <w:rFonts w:ascii="Times New Roman" w:hAnsi="Times New Roman"/>
        </w:rPr>
        <w:t xml:space="preserve"> пункта. </w:t>
      </w:r>
    </w:p>
    <w:p w:rsidR="00367A2A" w:rsidRPr="00D40522" w:rsidRDefault="00367A2A" w:rsidP="00367A2A">
      <w:pPr>
        <w:ind w:firstLine="680"/>
        <w:jc w:val="both"/>
        <w:rPr>
          <w:rFonts w:cs="Arial"/>
          <w:szCs w:val="24"/>
        </w:rPr>
      </w:pPr>
      <w:r w:rsidRPr="00D40522">
        <w:rPr>
          <w:rFonts w:cs="Arial"/>
          <w:szCs w:val="24"/>
        </w:rPr>
        <w:t xml:space="preserve">Следует отметить, что фактический рост показателей внешнеторгового оборота существенно превысил запланированный в Прогнозе СЭР на 2017-2019 годы (экспорт на 15,1 процентных пункта, импорт на 3,6 процентных пункта), </w:t>
      </w:r>
      <w:r w:rsidRPr="00D40522">
        <w:rPr>
          <w:szCs w:val="24"/>
        </w:rPr>
        <w:t>что может свидетельствовать</w:t>
      </w:r>
      <w:r w:rsidR="00A45879">
        <w:rPr>
          <w:szCs w:val="24"/>
        </w:rPr>
        <w:t>, в том числе</w:t>
      </w:r>
      <w:r w:rsidRPr="00D40522">
        <w:rPr>
          <w:szCs w:val="24"/>
        </w:rPr>
        <w:t xml:space="preserve"> </w:t>
      </w:r>
      <w:r w:rsidR="00A45879">
        <w:rPr>
          <w:szCs w:val="24"/>
        </w:rPr>
        <w:t xml:space="preserve">и </w:t>
      </w:r>
      <w:r w:rsidRPr="00D40522">
        <w:rPr>
          <w:szCs w:val="24"/>
        </w:rPr>
        <w:t xml:space="preserve">о недостатках в расчетах прогнозируемых значений </w:t>
      </w:r>
      <w:r w:rsidR="00A45879">
        <w:rPr>
          <w:szCs w:val="24"/>
        </w:rPr>
        <w:t xml:space="preserve"> </w:t>
      </w:r>
      <w:r w:rsidRPr="00D40522">
        <w:rPr>
          <w:szCs w:val="24"/>
        </w:rPr>
        <w:t>показателей.</w:t>
      </w:r>
    </w:p>
    <w:p w:rsidR="00367A2A" w:rsidRPr="00795555" w:rsidRDefault="00367A2A" w:rsidP="00367A2A">
      <w:pPr>
        <w:ind w:firstLine="680"/>
        <w:jc w:val="both"/>
        <w:rPr>
          <w:rFonts w:cs="Arial"/>
          <w:szCs w:val="24"/>
        </w:rPr>
      </w:pPr>
      <w:r>
        <w:rPr>
          <w:szCs w:val="24"/>
        </w:rPr>
        <w:t>В 2017 году отмечено снижение о</w:t>
      </w:r>
      <w:r w:rsidRPr="00A3368A">
        <w:rPr>
          <w:szCs w:val="24"/>
        </w:rPr>
        <w:t>бъем</w:t>
      </w:r>
      <w:r>
        <w:rPr>
          <w:szCs w:val="24"/>
        </w:rPr>
        <w:t>а</w:t>
      </w:r>
      <w:r w:rsidRPr="00A3368A">
        <w:rPr>
          <w:szCs w:val="24"/>
        </w:rPr>
        <w:t xml:space="preserve"> продукции сельского хозяйства </w:t>
      </w:r>
      <w:r>
        <w:rPr>
          <w:szCs w:val="24"/>
        </w:rPr>
        <w:t xml:space="preserve">в фактических ценах на 815,6 млн. руб. (-0,6%). При этом в сопоставимой оценке наблюдается рост указанного показателя на 3 процента. По предварительным данным </w:t>
      </w:r>
      <w:r w:rsidRPr="00795555">
        <w:rPr>
          <w:rFonts w:cs="Arial"/>
          <w:szCs w:val="24"/>
        </w:rPr>
        <w:t>в хозяйствах всех категорий</w:t>
      </w:r>
      <w:r>
        <w:rPr>
          <w:rFonts w:cs="Arial"/>
          <w:szCs w:val="24"/>
        </w:rPr>
        <w:t xml:space="preserve"> валовой сбор зерна </w:t>
      </w:r>
      <w:r w:rsidRPr="00795555">
        <w:rPr>
          <w:rFonts w:cs="Arial"/>
          <w:szCs w:val="24"/>
        </w:rPr>
        <w:t>(в первоначально оприходованном весе) составил 5776,6 ты</w:t>
      </w:r>
      <w:r>
        <w:rPr>
          <w:rFonts w:cs="Arial"/>
          <w:szCs w:val="24"/>
        </w:rPr>
        <w:t>с. тонн (124,2% к уровню 2016 года</w:t>
      </w:r>
      <w:r w:rsidRPr="00795555">
        <w:rPr>
          <w:rFonts w:cs="Arial"/>
          <w:szCs w:val="24"/>
        </w:rPr>
        <w:t xml:space="preserve">). </w:t>
      </w:r>
      <w:r>
        <w:rPr>
          <w:rFonts w:cs="Arial"/>
          <w:szCs w:val="24"/>
        </w:rPr>
        <w:t xml:space="preserve">При этом </w:t>
      </w:r>
      <w:r w:rsidR="00A45879">
        <w:rPr>
          <w:rFonts w:cs="Arial"/>
          <w:szCs w:val="24"/>
        </w:rPr>
        <w:t xml:space="preserve">на продукцию сельского хозяйства </w:t>
      </w:r>
      <w:r>
        <w:rPr>
          <w:rFonts w:cs="Arial"/>
          <w:szCs w:val="24"/>
        </w:rPr>
        <w:t>негативно повлияли неблагоприятн</w:t>
      </w:r>
      <w:r w:rsidR="00A45879">
        <w:rPr>
          <w:rFonts w:cs="Arial"/>
          <w:szCs w:val="24"/>
        </w:rPr>
        <w:t>о сложившиеся</w:t>
      </w:r>
      <w:r>
        <w:rPr>
          <w:rFonts w:cs="Arial"/>
          <w:szCs w:val="24"/>
        </w:rPr>
        <w:t xml:space="preserve"> погодные условия</w:t>
      </w:r>
      <w:r w:rsidR="00A45879">
        <w:rPr>
          <w:rFonts w:cs="Arial"/>
          <w:szCs w:val="24"/>
        </w:rPr>
        <w:t>, в частности</w:t>
      </w:r>
      <w:r>
        <w:rPr>
          <w:rFonts w:cs="Arial"/>
          <w:szCs w:val="24"/>
        </w:rPr>
        <w:t xml:space="preserve"> на сбор масличных культур</w:t>
      </w:r>
      <w:r w:rsidRPr="00795555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 xml:space="preserve">- </w:t>
      </w:r>
      <w:r w:rsidRPr="00795555">
        <w:rPr>
          <w:rFonts w:cs="Arial"/>
          <w:szCs w:val="24"/>
        </w:rPr>
        <w:t xml:space="preserve">убрано 81,3% всех посевов, валовой сбор масличных культур составил 68,1% к </w:t>
      </w:r>
      <w:r w:rsidR="00193AE2">
        <w:rPr>
          <w:rFonts w:cs="Arial"/>
          <w:szCs w:val="24"/>
        </w:rPr>
        <w:t xml:space="preserve">уровню </w:t>
      </w:r>
      <w:r w:rsidRPr="00795555">
        <w:rPr>
          <w:rFonts w:cs="Arial"/>
          <w:szCs w:val="24"/>
        </w:rPr>
        <w:t>2016 г</w:t>
      </w:r>
      <w:r>
        <w:rPr>
          <w:rFonts w:cs="Arial"/>
          <w:szCs w:val="24"/>
        </w:rPr>
        <w:t>од</w:t>
      </w:r>
      <w:r w:rsidR="00193AE2">
        <w:rPr>
          <w:rFonts w:cs="Arial"/>
          <w:szCs w:val="24"/>
        </w:rPr>
        <w:t>а</w:t>
      </w:r>
      <w:r w:rsidRPr="00795555">
        <w:rPr>
          <w:rFonts w:cs="Arial"/>
          <w:szCs w:val="24"/>
        </w:rPr>
        <w:t>.</w:t>
      </w:r>
    </w:p>
    <w:p w:rsidR="00367A2A" w:rsidRPr="00FC7B8E" w:rsidRDefault="00367A2A" w:rsidP="00367A2A">
      <w:pPr>
        <w:pStyle w:val="3"/>
        <w:spacing w:after="0" w:line="240" w:lineRule="auto"/>
        <w:ind w:left="0" w:firstLine="680"/>
        <w:jc w:val="both"/>
        <w:rPr>
          <w:rFonts w:ascii="Times New Roman" w:hAnsi="Times New Roman"/>
          <w:sz w:val="24"/>
          <w:szCs w:val="24"/>
        </w:rPr>
      </w:pPr>
      <w:r w:rsidRPr="00FC7B8E">
        <w:rPr>
          <w:rFonts w:ascii="Times New Roman" w:hAnsi="Times New Roman"/>
          <w:sz w:val="24"/>
          <w:szCs w:val="24"/>
        </w:rPr>
        <w:t>Уровень инфляции (индекс потребительских</w:t>
      </w:r>
      <w:r>
        <w:rPr>
          <w:rFonts w:ascii="Times New Roman" w:hAnsi="Times New Roman"/>
          <w:sz w:val="24"/>
          <w:szCs w:val="24"/>
        </w:rPr>
        <w:t xml:space="preserve"> цен</w:t>
      </w:r>
      <w:r w:rsidRPr="00FC7B8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декабрь к декабрю предыдущего года)</w:t>
      </w:r>
      <w:r w:rsidRPr="00FC7B8E">
        <w:rPr>
          <w:rFonts w:ascii="Times New Roman" w:hAnsi="Times New Roman"/>
          <w:sz w:val="24"/>
          <w:szCs w:val="24"/>
        </w:rPr>
        <w:t xml:space="preserve"> в 2017 году по сравнению с 2016 годом составил 102,4%, или на 2,7 п</w:t>
      </w:r>
      <w:r>
        <w:rPr>
          <w:rFonts w:ascii="Times New Roman" w:hAnsi="Times New Roman"/>
          <w:sz w:val="24"/>
          <w:szCs w:val="24"/>
        </w:rPr>
        <w:t>роцентных пункта (далее п.п.)</w:t>
      </w:r>
      <w:r w:rsidRPr="00FC7B8E">
        <w:rPr>
          <w:rFonts w:ascii="Times New Roman" w:hAnsi="Times New Roman"/>
          <w:sz w:val="24"/>
          <w:szCs w:val="24"/>
        </w:rPr>
        <w:t xml:space="preserve"> ниже, чем в 2016 году (105,1%).</w:t>
      </w:r>
      <w:r w:rsidRPr="00FC7B8E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В разрезе видов</w:t>
      </w:r>
      <w:r w:rsidR="005238C0">
        <w:rPr>
          <w:rFonts w:ascii="Times New Roman" w:hAnsi="Times New Roman"/>
          <w:sz w:val="24"/>
          <w:szCs w:val="24"/>
          <w:lang w:eastAsia="ru-RU"/>
        </w:rPr>
        <w:t xml:space="preserve"> товаров</w:t>
      </w:r>
      <w:r>
        <w:rPr>
          <w:rFonts w:ascii="Times New Roman" w:hAnsi="Times New Roman"/>
          <w:sz w:val="24"/>
          <w:szCs w:val="24"/>
          <w:lang w:eastAsia="ru-RU"/>
        </w:rPr>
        <w:t xml:space="preserve"> рост цен за 2017 год составил </w:t>
      </w:r>
      <w:r w:rsidRPr="00FC7B8E">
        <w:rPr>
          <w:rFonts w:ascii="Times New Roman" w:hAnsi="Times New Roman"/>
          <w:color w:val="000000"/>
          <w:sz w:val="24"/>
          <w:szCs w:val="24"/>
        </w:rPr>
        <w:t xml:space="preserve">на </w:t>
      </w:r>
      <w:r w:rsidRPr="00FC7B8E">
        <w:rPr>
          <w:rFonts w:ascii="Times New Roman" w:hAnsi="Times New Roman"/>
          <w:sz w:val="24"/>
          <w:szCs w:val="24"/>
        </w:rPr>
        <w:t>продовольственные товары 1,7%,</w:t>
      </w:r>
      <w:r w:rsidRPr="00FC7B8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FC7B8E">
        <w:rPr>
          <w:rFonts w:ascii="Times New Roman" w:hAnsi="Times New Roman"/>
          <w:sz w:val="24"/>
          <w:szCs w:val="24"/>
        </w:rPr>
        <w:t>непродовольственные товары – 1,6%, услуги населению – 4,9 процента. По сравнению с 2016 г</w:t>
      </w:r>
      <w:r>
        <w:rPr>
          <w:rFonts w:ascii="Times New Roman" w:hAnsi="Times New Roman"/>
          <w:sz w:val="24"/>
          <w:szCs w:val="24"/>
        </w:rPr>
        <w:t>одом</w:t>
      </w:r>
      <w:r w:rsidRPr="00FC7B8E">
        <w:rPr>
          <w:rFonts w:ascii="Times New Roman" w:hAnsi="Times New Roman"/>
          <w:sz w:val="24"/>
          <w:szCs w:val="24"/>
        </w:rPr>
        <w:t xml:space="preserve"> отмеча</w:t>
      </w:r>
      <w:r>
        <w:rPr>
          <w:rFonts w:ascii="Times New Roman" w:hAnsi="Times New Roman"/>
          <w:sz w:val="24"/>
          <w:szCs w:val="24"/>
        </w:rPr>
        <w:t>ется</w:t>
      </w:r>
      <w:r w:rsidRPr="00FC7B8E">
        <w:rPr>
          <w:rFonts w:ascii="Times New Roman" w:hAnsi="Times New Roman"/>
          <w:sz w:val="24"/>
          <w:szCs w:val="24"/>
        </w:rPr>
        <w:t xml:space="preserve"> снижение темпов роста цен на продовольственные </w:t>
      </w:r>
      <w:r>
        <w:rPr>
          <w:rFonts w:ascii="Times New Roman" w:hAnsi="Times New Roman"/>
          <w:sz w:val="24"/>
          <w:szCs w:val="24"/>
        </w:rPr>
        <w:t xml:space="preserve">и непродовольственные товары соответственно на </w:t>
      </w:r>
      <w:r w:rsidRPr="00FC7B8E">
        <w:rPr>
          <w:rFonts w:ascii="Times New Roman" w:hAnsi="Times New Roman"/>
          <w:sz w:val="24"/>
          <w:szCs w:val="24"/>
        </w:rPr>
        <w:t>1,9 п.п.</w:t>
      </w:r>
      <w:r>
        <w:rPr>
          <w:rFonts w:ascii="Times New Roman" w:hAnsi="Times New Roman"/>
          <w:sz w:val="24"/>
          <w:szCs w:val="24"/>
        </w:rPr>
        <w:t xml:space="preserve"> и 5,1 п.п.</w:t>
      </w:r>
      <w:r w:rsidRPr="00FC7B8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</w:t>
      </w:r>
      <w:r w:rsidRPr="00FC7B8E">
        <w:rPr>
          <w:rFonts w:ascii="Times New Roman" w:hAnsi="Times New Roman"/>
          <w:sz w:val="24"/>
          <w:szCs w:val="24"/>
        </w:rPr>
        <w:t>увеличение темпа роста цен на услуги – на 0,1 п</w:t>
      </w:r>
      <w:r>
        <w:rPr>
          <w:rFonts w:ascii="Times New Roman" w:hAnsi="Times New Roman"/>
          <w:sz w:val="24"/>
          <w:szCs w:val="24"/>
        </w:rPr>
        <w:t>роцентных</w:t>
      </w:r>
      <w:r w:rsidRPr="00FC7B8E">
        <w:rPr>
          <w:rFonts w:ascii="Times New Roman" w:hAnsi="Times New Roman"/>
          <w:sz w:val="24"/>
          <w:szCs w:val="24"/>
        </w:rPr>
        <w:t xml:space="preserve"> пункта.</w:t>
      </w:r>
    </w:p>
    <w:p w:rsidR="00367A2A" w:rsidRPr="0083037C" w:rsidRDefault="00367A2A" w:rsidP="00367A2A">
      <w:pPr>
        <w:ind w:firstLine="680"/>
        <w:jc w:val="both"/>
        <w:rPr>
          <w:sz w:val="22"/>
          <w:szCs w:val="22"/>
        </w:rPr>
      </w:pPr>
      <w:r w:rsidRPr="0083037C">
        <w:rPr>
          <w:szCs w:val="24"/>
        </w:rPr>
        <w:lastRenderedPageBreak/>
        <w:t xml:space="preserve">В 2017 году более благоприятной сложилась ситуация в сфере занятости по сравнению с  2016 годом. Общая численность безработных, зарегистрированных в государственных учреждениях службы занятости населения, </w:t>
      </w:r>
      <w:proofErr w:type="gramStart"/>
      <w:r w:rsidRPr="0083037C">
        <w:rPr>
          <w:szCs w:val="24"/>
        </w:rPr>
        <w:t>на конец</w:t>
      </w:r>
      <w:proofErr w:type="gramEnd"/>
      <w:r w:rsidRPr="0083037C">
        <w:rPr>
          <w:szCs w:val="24"/>
        </w:rPr>
        <w:t xml:space="preserve"> 2017 года уменьшилась по сравнению с 2016 годом на 2,3 тыс. чел. (-17,4%). </w:t>
      </w:r>
      <w:r w:rsidRPr="0083037C">
        <w:rPr>
          <w:sz w:val="22"/>
          <w:szCs w:val="22"/>
        </w:rPr>
        <w:t xml:space="preserve"> </w:t>
      </w:r>
      <w:r w:rsidRPr="0083037C">
        <w:rPr>
          <w:szCs w:val="24"/>
        </w:rPr>
        <w:t xml:space="preserve">Уровень зарегистрированной безработицы </w:t>
      </w:r>
      <w:proofErr w:type="gramStart"/>
      <w:r w:rsidRPr="0083037C">
        <w:rPr>
          <w:szCs w:val="24"/>
        </w:rPr>
        <w:t>на конец</w:t>
      </w:r>
      <w:proofErr w:type="gramEnd"/>
      <w:r w:rsidRPr="0083037C">
        <w:rPr>
          <w:szCs w:val="24"/>
        </w:rPr>
        <w:t xml:space="preserve"> 2017 года </w:t>
      </w:r>
      <w:r>
        <w:rPr>
          <w:szCs w:val="24"/>
        </w:rPr>
        <w:t xml:space="preserve">составил 0,8% и </w:t>
      </w:r>
      <w:r w:rsidRPr="0083037C">
        <w:rPr>
          <w:szCs w:val="24"/>
        </w:rPr>
        <w:t>снизился по сравнению с 2016 годом (на конец 2016 года – 1%).</w:t>
      </w:r>
    </w:p>
    <w:p w:rsidR="00367A2A" w:rsidRPr="005905E7" w:rsidRDefault="00367A2A" w:rsidP="00367A2A">
      <w:pPr>
        <w:ind w:firstLine="680"/>
        <w:jc w:val="both"/>
        <w:rPr>
          <w:color w:val="000000"/>
          <w:szCs w:val="24"/>
        </w:rPr>
      </w:pPr>
      <w:r>
        <w:rPr>
          <w:color w:val="000000"/>
          <w:szCs w:val="24"/>
        </w:rPr>
        <w:t>Вместе с тем п</w:t>
      </w:r>
      <w:r w:rsidRPr="008C5F44">
        <w:rPr>
          <w:color w:val="000000"/>
          <w:szCs w:val="24"/>
        </w:rPr>
        <w:t>родолжается снижение показателя численности занятых в экономике</w:t>
      </w:r>
      <w:r>
        <w:rPr>
          <w:color w:val="000000"/>
          <w:szCs w:val="24"/>
        </w:rPr>
        <w:t>.</w:t>
      </w:r>
      <w:r w:rsidRPr="001A2001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С</w:t>
      </w:r>
      <w:r w:rsidRPr="008C5F44">
        <w:rPr>
          <w:color w:val="000000"/>
          <w:szCs w:val="24"/>
        </w:rPr>
        <w:t>реднесписочн</w:t>
      </w:r>
      <w:r>
        <w:rPr>
          <w:color w:val="000000"/>
          <w:szCs w:val="24"/>
        </w:rPr>
        <w:t>ая</w:t>
      </w:r>
      <w:r w:rsidRPr="008C5F44">
        <w:rPr>
          <w:color w:val="000000"/>
          <w:szCs w:val="24"/>
        </w:rPr>
        <w:t xml:space="preserve"> численност</w:t>
      </w:r>
      <w:r>
        <w:rPr>
          <w:color w:val="000000"/>
          <w:szCs w:val="24"/>
        </w:rPr>
        <w:t>ь</w:t>
      </w:r>
      <w:r w:rsidRPr="008C5F44">
        <w:rPr>
          <w:color w:val="000000"/>
          <w:szCs w:val="24"/>
        </w:rPr>
        <w:t xml:space="preserve"> работающих в экономике по полному кругу организаций (без внешних совместителей) </w:t>
      </w:r>
      <w:r>
        <w:rPr>
          <w:color w:val="000000"/>
          <w:szCs w:val="24"/>
        </w:rPr>
        <w:t xml:space="preserve">за 2017 год </w:t>
      </w:r>
      <w:r w:rsidRPr="008C5F44">
        <w:rPr>
          <w:color w:val="000000"/>
          <w:szCs w:val="24"/>
        </w:rPr>
        <w:t>составил</w:t>
      </w:r>
      <w:r>
        <w:rPr>
          <w:color w:val="000000"/>
          <w:szCs w:val="24"/>
        </w:rPr>
        <w:t>а</w:t>
      </w:r>
      <w:r w:rsidRPr="008C5F44">
        <w:rPr>
          <w:color w:val="000000"/>
          <w:szCs w:val="24"/>
        </w:rPr>
        <w:t xml:space="preserve"> 604,5 тыс. чел. и снизил</w:t>
      </w:r>
      <w:r>
        <w:rPr>
          <w:color w:val="000000"/>
          <w:szCs w:val="24"/>
        </w:rPr>
        <w:t>ась</w:t>
      </w:r>
      <w:r w:rsidRPr="008C5F44">
        <w:rPr>
          <w:color w:val="000000"/>
          <w:szCs w:val="24"/>
        </w:rPr>
        <w:t xml:space="preserve"> в сравнении с </w:t>
      </w:r>
      <w:r>
        <w:rPr>
          <w:color w:val="000000"/>
          <w:szCs w:val="24"/>
        </w:rPr>
        <w:t>предыдущим годом</w:t>
      </w:r>
      <w:r w:rsidRPr="008C5F44">
        <w:rPr>
          <w:color w:val="000000"/>
          <w:szCs w:val="24"/>
        </w:rPr>
        <w:t xml:space="preserve"> на 2,5</w:t>
      </w:r>
      <w:r>
        <w:rPr>
          <w:color w:val="000000"/>
          <w:szCs w:val="24"/>
        </w:rPr>
        <w:t xml:space="preserve">% (по данным комитета по труду и занятости населения Волгоградской области). За предыдущие годы наблюдалась негативная тенденция по </w:t>
      </w:r>
      <w:r w:rsidR="00193AE2">
        <w:rPr>
          <w:color w:val="000000"/>
          <w:szCs w:val="24"/>
        </w:rPr>
        <w:t xml:space="preserve">снижению </w:t>
      </w:r>
      <w:r>
        <w:rPr>
          <w:color w:val="000000"/>
          <w:szCs w:val="24"/>
        </w:rPr>
        <w:t>показател</w:t>
      </w:r>
      <w:r w:rsidR="00193AE2">
        <w:rPr>
          <w:color w:val="000000"/>
          <w:szCs w:val="24"/>
        </w:rPr>
        <w:t>я</w:t>
      </w:r>
      <w:r>
        <w:rPr>
          <w:color w:val="000000"/>
          <w:szCs w:val="24"/>
        </w:rPr>
        <w:t xml:space="preserve"> среднегодовой численности занятых в </w:t>
      </w:r>
      <w:r w:rsidRPr="005905E7">
        <w:rPr>
          <w:color w:val="000000"/>
          <w:szCs w:val="24"/>
        </w:rPr>
        <w:t xml:space="preserve">экономике (с учетом занятости по найму у физических лиц за плату, в домашнем хозяйстве, иностранных трудовых мигрантов): </w:t>
      </w:r>
      <w:r w:rsidRPr="005905E7">
        <w:rPr>
          <w:szCs w:val="24"/>
        </w:rPr>
        <w:t>за 2014 год – 1230,3 тыс. чел., 2015 год - 1176 тыс. чел., 2016 год – 1147,6 тыс. человек.</w:t>
      </w:r>
      <w:r w:rsidRPr="005905E7">
        <w:rPr>
          <w:color w:val="000000"/>
          <w:szCs w:val="24"/>
        </w:rPr>
        <w:t xml:space="preserve"> По оценке </w:t>
      </w:r>
      <w:r w:rsidR="00193AE2">
        <w:rPr>
          <w:color w:val="000000"/>
          <w:szCs w:val="24"/>
        </w:rPr>
        <w:t>комитета экономической политики и развития Волгоградской области</w:t>
      </w:r>
      <w:r w:rsidRPr="005905E7">
        <w:rPr>
          <w:color w:val="000000"/>
          <w:szCs w:val="24"/>
        </w:rPr>
        <w:t xml:space="preserve"> (Прогноз СЭР на 2018-2020 годы) среднегодовая численность занятых в экономике в 2017 году составит 1205,8 тыс. чел., или 105,1% к предыдущему году, что подлежит сомнению с учетом вышеприведенной ежегодной динамики снижения показателя. </w:t>
      </w:r>
      <w:proofErr w:type="gramStart"/>
      <w:r w:rsidRPr="005905E7">
        <w:rPr>
          <w:color w:val="000000"/>
          <w:szCs w:val="24"/>
        </w:rPr>
        <w:t>Полагаем, что снижени</w:t>
      </w:r>
      <w:r w:rsidR="00193AE2">
        <w:rPr>
          <w:color w:val="000000"/>
          <w:szCs w:val="24"/>
        </w:rPr>
        <w:t>е</w:t>
      </w:r>
      <w:r w:rsidRPr="005905E7">
        <w:rPr>
          <w:color w:val="000000"/>
          <w:szCs w:val="24"/>
        </w:rPr>
        <w:t xml:space="preserve"> численности занятых в экономике частично оказал</w:t>
      </w:r>
      <w:r w:rsidR="00193AE2">
        <w:rPr>
          <w:color w:val="000000"/>
          <w:szCs w:val="24"/>
        </w:rPr>
        <w:t>о</w:t>
      </w:r>
      <w:r w:rsidRPr="005905E7">
        <w:rPr>
          <w:color w:val="000000"/>
          <w:szCs w:val="24"/>
        </w:rPr>
        <w:t xml:space="preserve"> влияние на неисполнение прогнозных назначений по налогу на доходы физических лиц </w:t>
      </w:r>
      <w:r w:rsidR="00193AE2">
        <w:rPr>
          <w:color w:val="000000"/>
          <w:szCs w:val="24"/>
        </w:rPr>
        <w:t>в</w:t>
      </w:r>
      <w:r w:rsidRPr="005905E7">
        <w:rPr>
          <w:color w:val="000000"/>
          <w:szCs w:val="24"/>
        </w:rPr>
        <w:t xml:space="preserve"> 2017 год</w:t>
      </w:r>
      <w:r w:rsidR="00193AE2">
        <w:rPr>
          <w:color w:val="000000"/>
          <w:szCs w:val="24"/>
        </w:rPr>
        <w:t>у</w:t>
      </w:r>
      <w:r w:rsidRPr="005905E7">
        <w:rPr>
          <w:color w:val="000000"/>
          <w:szCs w:val="24"/>
        </w:rPr>
        <w:t xml:space="preserve"> (на 972,3 млн. руб., или </w:t>
      </w:r>
      <w:r w:rsidR="00193AE2">
        <w:rPr>
          <w:color w:val="000000"/>
          <w:szCs w:val="24"/>
        </w:rPr>
        <w:t xml:space="preserve">на </w:t>
      </w:r>
      <w:r w:rsidRPr="005905E7">
        <w:rPr>
          <w:color w:val="000000"/>
          <w:szCs w:val="24"/>
        </w:rPr>
        <w:t>3,2%), так как среднемесячная начисленная заработная плата</w:t>
      </w:r>
      <w:r w:rsidR="00193AE2">
        <w:rPr>
          <w:color w:val="000000"/>
          <w:szCs w:val="24"/>
        </w:rPr>
        <w:t xml:space="preserve"> за 2017 год</w:t>
      </w:r>
      <w:r w:rsidRPr="005905E7">
        <w:rPr>
          <w:color w:val="000000"/>
          <w:szCs w:val="24"/>
        </w:rPr>
        <w:t xml:space="preserve"> сложилась в размере 27883,6 тыс. руб., </w:t>
      </w:r>
      <w:r w:rsidR="00193AE2">
        <w:rPr>
          <w:color w:val="000000"/>
          <w:szCs w:val="24"/>
        </w:rPr>
        <w:t>т. е.</w:t>
      </w:r>
      <w:r w:rsidRPr="005905E7">
        <w:rPr>
          <w:color w:val="000000"/>
          <w:szCs w:val="24"/>
        </w:rPr>
        <w:t xml:space="preserve"> практически на уровне </w:t>
      </w:r>
      <w:r w:rsidR="00193AE2">
        <w:rPr>
          <w:color w:val="000000"/>
          <w:szCs w:val="24"/>
        </w:rPr>
        <w:t>за</w:t>
      </w:r>
      <w:r w:rsidRPr="005905E7">
        <w:rPr>
          <w:color w:val="000000"/>
          <w:szCs w:val="24"/>
        </w:rPr>
        <w:t>план</w:t>
      </w:r>
      <w:r w:rsidR="00193AE2">
        <w:rPr>
          <w:color w:val="000000"/>
          <w:szCs w:val="24"/>
        </w:rPr>
        <w:t>ированной в Прогнозе</w:t>
      </w:r>
      <w:r w:rsidRPr="005905E7">
        <w:rPr>
          <w:color w:val="000000"/>
          <w:szCs w:val="24"/>
        </w:rPr>
        <w:t xml:space="preserve"> </w:t>
      </w:r>
      <w:r w:rsidR="00193AE2">
        <w:rPr>
          <w:color w:val="000000"/>
          <w:szCs w:val="24"/>
        </w:rPr>
        <w:t xml:space="preserve">величины </w:t>
      </w:r>
      <w:r w:rsidRPr="005905E7">
        <w:rPr>
          <w:color w:val="000000"/>
          <w:szCs w:val="24"/>
        </w:rPr>
        <w:t>(27900 тыс. руб.).</w:t>
      </w:r>
      <w:proofErr w:type="gramEnd"/>
    </w:p>
    <w:p w:rsidR="00367A2A" w:rsidRPr="00D8716F" w:rsidRDefault="00367A2A" w:rsidP="00367A2A">
      <w:pPr>
        <w:ind w:firstLine="680"/>
        <w:jc w:val="both"/>
        <w:rPr>
          <w:szCs w:val="24"/>
        </w:rPr>
      </w:pPr>
      <w:r w:rsidRPr="005905E7">
        <w:rPr>
          <w:szCs w:val="24"/>
        </w:rPr>
        <w:t>В 2017 году отмеч</w:t>
      </w:r>
      <w:r w:rsidR="00193AE2">
        <w:rPr>
          <w:szCs w:val="24"/>
        </w:rPr>
        <w:t>ено</w:t>
      </w:r>
      <w:r w:rsidRPr="005905E7">
        <w:rPr>
          <w:szCs w:val="24"/>
        </w:rPr>
        <w:t xml:space="preserve"> ухудшение ряда показателей, характеризующих</w:t>
      </w:r>
      <w:r w:rsidRPr="00D8716F">
        <w:rPr>
          <w:szCs w:val="24"/>
        </w:rPr>
        <w:t xml:space="preserve"> жизненный уровень населения. Денежные доходы в расчете на душу населения в месяц составили 21,2 тыс. руб. и уменьшились в сравнении с 2016 годом на 1,1 процента.</w:t>
      </w:r>
    </w:p>
    <w:p w:rsidR="00367A2A" w:rsidRDefault="00367A2A" w:rsidP="00367A2A">
      <w:pPr>
        <w:ind w:firstLine="680"/>
        <w:jc w:val="both"/>
        <w:rPr>
          <w:szCs w:val="24"/>
        </w:rPr>
      </w:pPr>
      <w:r>
        <w:rPr>
          <w:szCs w:val="24"/>
        </w:rPr>
        <w:t>Реальный размер</w:t>
      </w:r>
      <w:r w:rsidRPr="00B354B0">
        <w:rPr>
          <w:szCs w:val="24"/>
        </w:rPr>
        <w:t xml:space="preserve"> денежны</w:t>
      </w:r>
      <w:r>
        <w:rPr>
          <w:szCs w:val="24"/>
        </w:rPr>
        <w:t>х</w:t>
      </w:r>
      <w:r w:rsidRPr="00B354B0">
        <w:rPr>
          <w:szCs w:val="24"/>
        </w:rPr>
        <w:t xml:space="preserve"> доход</w:t>
      </w:r>
      <w:r>
        <w:rPr>
          <w:szCs w:val="24"/>
        </w:rPr>
        <w:t>ов</w:t>
      </w:r>
      <w:r w:rsidRPr="00B354B0">
        <w:rPr>
          <w:szCs w:val="24"/>
        </w:rPr>
        <w:t xml:space="preserve"> </w:t>
      </w:r>
      <w:r>
        <w:rPr>
          <w:szCs w:val="24"/>
        </w:rPr>
        <w:t xml:space="preserve">(относительный показатель, исчисленный путем деления индекса номинального размера денежных доходов на индекс потребительских цен за соответствующий временной период) </w:t>
      </w:r>
      <w:r w:rsidRPr="00B354B0">
        <w:rPr>
          <w:szCs w:val="24"/>
        </w:rPr>
        <w:t xml:space="preserve">в </w:t>
      </w:r>
      <w:smartTag w:uri="urn:schemas-microsoft-com:office:smarttags" w:element="metricconverter">
        <w:smartTagPr>
          <w:attr w:name="ProductID" w:val="2017 г"/>
        </w:smartTagPr>
        <w:r w:rsidRPr="00B354B0">
          <w:rPr>
            <w:szCs w:val="24"/>
          </w:rPr>
          <w:t>2017 году</w:t>
        </w:r>
      </w:smartTag>
      <w:r w:rsidRPr="00B354B0">
        <w:rPr>
          <w:szCs w:val="24"/>
        </w:rPr>
        <w:t xml:space="preserve"> по сравнению с предыдущим годом уменьшилс</w:t>
      </w:r>
      <w:r w:rsidR="0033660A">
        <w:rPr>
          <w:szCs w:val="24"/>
        </w:rPr>
        <w:t>я</w:t>
      </w:r>
      <w:r w:rsidRPr="00B354B0">
        <w:rPr>
          <w:szCs w:val="24"/>
        </w:rPr>
        <w:t xml:space="preserve"> на 1,4%, реальные располагаемые денежные доходы (доходы за вычетом обязательных платежей, скорректированные на индекс потребительских цен)</w:t>
      </w:r>
      <w:r w:rsidR="00EB1715">
        <w:rPr>
          <w:szCs w:val="24"/>
        </w:rPr>
        <w:t>,</w:t>
      </w:r>
      <w:r w:rsidRPr="00B354B0">
        <w:rPr>
          <w:szCs w:val="24"/>
        </w:rPr>
        <w:t xml:space="preserve"> </w:t>
      </w:r>
      <w:r>
        <w:rPr>
          <w:szCs w:val="24"/>
        </w:rPr>
        <w:t>-</w:t>
      </w:r>
      <w:r w:rsidRPr="00B354B0">
        <w:rPr>
          <w:szCs w:val="24"/>
        </w:rPr>
        <w:t xml:space="preserve"> на 3,4 процента. При этом падение реальных денежных доходов населения происходило на фоне роста показателя среднемесячной номинальной заработной платы (+5,1%), который существенного позитивного влияния на уровень жизни населения не оказал. Реальная заработная плата, рассчитанная с учетом индекса потребительских цен, увеличилась по сравнению с 2016 г</w:t>
      </w:r>
      <w:r>
        <w:rPr>
          <w:szCs w:val="24"/>
        </w:rPr>
        <w:t>одом</w:t>
      </w:r>
      <w:r w:rsidRPr="00B354B0">
        <w:rPr>
          <w:szCs w:val="24"/>
        </w:rPr>
        <w:t xml:space="preserve"> на 1,4</w:t>
      </w:r>
      <w:r>
        <w:rPr>
          <w:szCs w:val="24"/>
        </w:rPr>
        <w:t xml:space="preserve"> процента. </w:t>
      </w:r>
    </w:p>
    <w:p w:rsidR="00367A2A" w:rsidRDefault="00367A2A" w:rsidP="00367A2A">
      <w:pPr>
        <w:ind w:firstLine="680"/>
        <w:jc w:val="both"/>
        <w:rPr>
          <w:szCs w:val="24"/>
        </w:rPr>
      </w:pPr>
      <w:r>
        <w:rPr>
          <w:szCs w:val="24"/>
        </w:rPr>
        <w:t>Превышение доходов над расходами за 2017 год составило 5116,2 млн. руб. (за 2016 год – 13826,5 млн. руб.). В 2017 году в сравнении с предыдущим годом  денежные доходы населения в наибольших размерах были направлены на покупку товаров и оплату услуг, а также оплату обязательных платежей и взносов. Использование доходов на накопление сбережений и покупку валюты снизилось.</w:t>
      </w:r>
    </w:p>
    <w:p w:rsidR="00367A2A" w:rsidRDefault="00367A2A" w:rsidP="00367A2A">
      <w:pPr>
        <w:ind w:firstLine="680"/>
        <w:jc w:val="both"/>
        <w:rPr>
          <w:szCs w:val="24"/>
        </w:rPr>
      </w:pPr>
      <w:r w:rsidRPr="00FF7601">
        <w:rPr>
          <w:rFonts w:eastAsia="Calibri"/>
          <w:szCs w:val="24"/>
          <w:u w:val="single"/>
        </w:rPr>
        <w:t xml:space="preserve">Сравнительный анализ показателей 2017 года, принятых в расчетах к бюджету (Прогноз СЭР на 2017-2019 годы), и фактически сложившихся показал, что </w:t>
      </w:r>
      <w:r w:rsidRPr="00FF7601">
        <w:rPr>
          <w:szCs w:val="24"/>
          <w:u w:val="single"/>
        </w:rPr>
        <w:t>выполнение ряда показателей СЭР на запланированном уровне</w:t>
      </w:r>
      <w:r w:rsidR="001827A3">
        <w:rPr>
          <w:szCs w:val="24"/>
          <w:u w:val="single"/>
        </w:rPr>
        <w:t xml:space="preserve"> </w:t>
      </w:r>
      <w:r w:rsidR="001827A3" w:rsidRPr="00FF7601">
        <w:rPr>
          <w:rFonts w:eastAsia="Calibri"/>
          <w:szCs w:val="24"/>
          <w:u w:val="single"/>
        </w:rPr>
        <w:t xml:space="preserve">не </w:t>
      </w:r>
      <w:r w:rsidR="001827A3" w:rsidRPr="00FF7601">
        <w:rPr>
          <w:szCs w:val="24"/>
          <w:u w:val="single"/>
        </w:rPr>
        <w:t>обеспечено</w:t>
      </w:r>
      <w:r>
        <w:rPr>
          <w:szCs w:val="24"/>
        </w:rPr>
        <w:t xml:space="preserve">. </w:t>
      </w:r>
      <w:r w:rsidRPr="00535C44">
        <w:rPr>
          <w:szCs w:val="24"/>
        </w:rPr>
        <w:t>По оценке</w:t>
      </w:r>
      <w:r>
        <w:rPr>
          <w:szCs w:val="24"/>
        </w:rPr>
        <w:t>, заложенной при расчете показателей Прогноза СЭР на 2018-2020 годы, валовой региональный продукт, являющийся ключевым показателем экономической деятельности региона, составит 819753,3 млн. руб., что ниже прогнозного назначения, принятого в расчетах к бюджету на 2017 год, на  44702,0 млн. руб. (-5,2%).</w:t>
      </w:r>
    </w:p>
    <w:p w:rsidR="00367A2A" w:rsidRDefault="00367A2A" w:rsidP="00367A2A">
      <w:pPr>
        <w:ind w:firstLine="680"/>
        <w:jc w:val="both"/>
        <w:rPr>
          <w:szCs w:val="24"/>
        </w:rPr>
      </w:pPr>
      <w:r>
        <w:rPr>
          <w:szCs w:val="24"/>
        </w:rPr>
        <w:t>При запланированном росте в 2017 году основного показателя СЭР - индекса промышленного производства  на 1,5% фактический рост составил только 0,3 процента. По объему инвестиций в основной капитал в сопоставимых ценах был запланирован рост на 11,1%, фактически составил 5 процентов.</w:t>
      </w:r>
    </w:p>
    <w:p w:rsidR="00367A2A" w:rsidRDefault="00367A2A" w:rsidP="00367A2A">
      <w:pPr>
        <w:ind w:firstLine="680"/>
        <w:jc w:val="both"/>
        <w:rPr>
          <w:szCs w:val="24"/>
        </w:rPr>
      </w:pPr>
      <w:r w:rsidRPr="00535C44">
        <w:rPr>
          <w:szCs w:val="24"/>
        </w:rPr>
        <w:lastRenderedPageBreak/>
        <w:t xml:space="preserve">Наиболее существенно по сравнению с прогнозными расчетами снизился оборот розничной торговли и объем платных услуг населению </w:t>
      </w:r>
      <w:r>
        <w:rPr>
          <w:szCs w:val="24"/>
        </w:rPr>
        <w:t xml:space="preserve">в фактических ценах </w:t>
      </w:r>
      <w:r w:rsidRPr="00535C44">
        <w:rPr>
          <w:szCs w:val="24"/>
        </w:rPr>
        <w:t xml:space="preserve">– соответственно на 20887,5 тыс. руб. (-5,5%) и 15839,3 тыс. руб. (-10,6%). </w:t>
      </w:r>
      <w:r>
        <w:rPr>
          <w:szCs w:val="24"/>
        </w:rPr>
        <w:t>В сопоставимых ценах при планируемом росте объема платных услуг населению на 0,6% фактическое снижение составило 8,6 процента.</w:t>
      </w:r>
    </w:p>
    <w:p w:rsidR="00DC2318" w:rsidRDefault="00DC2318" w:rsidP="00DC2318">
      <w:pPr>
        <w:ind w:firstLine="680"/>
        <w:jc w:val="both"/>
        <w:rPr>
          <w:szCs w:val="24"/>
        </w:rPr>
      </w:pPr>
      <w:r>
        <w:rPr>
          <w:szCs w:val="24"/>
        </w:rPr>
        <w:t>Также не выполнены прогнозируемые назначения по денежным доходам и расходам населения соответственно на 10,7 и 11,2 процента. Показатель денежных доходов в расчете на душу населения в месяц недовыполнен на 2582,4 руб. (-10,8%). При планируемом росте указанного показателя на 4,7% (Прогноз СЭР на 2017-2019 годы) произошло его фактическое снижение на 1,1 процента.</w:t>
      </w:r>
    </w:p>
    <w:p w:rsidR="00BD5912" w:rsidRPr="00BD5912" w:rsidRDefault="003459D2" w:rsidP="00BD5912">
      <w:pPr>
        <w:ind w:firstLine="680"/>
        <w:jc w:val="both"/>
        <w:rPr>
          <w:szCs w:val="24"/>
          <w:u w:val="single"/>
        </w:rPr>
      </w:pPr>
      <w:r>
        <w:rPr>
          <w:szCs w:val="24"/>
        </w:rPr>
        <w:t>С</w:t>
      </w:r>
      <w:r w:rsidR="00BD5912">
        <w:rPr>
          <w:szCs w:val="24"/>
        </w:rPr>
        <w:t xml:space="preserve"> 2015 года на территории Волгоградской области реализ</w:t>
      </w:r>
      <w:r>
        <w:rPr>
          <w:szCs w:val="24"/>
        </w:rPr>
        <w:t>овывались</w:t>
      </w:r>
      <w:r w:rsidR="00BD5912">
        <w:rPr>
          <w:szCs w:val="24"/>
        </w:rPr>
        <w:t xml:space="preserve"> </w:t>
      </w:r>
      <w:r w:rsidR="00BD5912" w:rsidRPr="00BD5912">
        <w:rPr>
          <w:szCs w:val="24"/>
        </w:rPr>
        <w:t>мероприяти</w:t>
      </w:r>
      <w:r w:rsidR="00BD5912">
        <w:rPr>
          <w:szCs w:val="24"/>
        </w:rPr>
        <w:t>я</w:t>
      </w:r>
      <w:r w:rsidR="00BD5912" w:rsidRPr="00BD5912">
        <w:rPr>
          <w:szCs w:val="24"/>
        </w:rPr>
        <w:t xml:space="preserve"> Плана обеспечения устойчивого развития экономики и социальной стабильности Волгоградской области на 2015-2017 годы, утвержденного постановлением Губернатора Волгоградской области от 13.02.2015 №127</w:t>
      </w:r>
      <w:r w:rsidR="00BD5912">
        <w:rPr>
          <w:szCs w:val="24"/>
        </w:rPr>
        <w:t xml:space="preserve">. Указанные мероприятия </w:t>
      </w:r>
      <w:r w:rsidR="00A13537">
        <w:rPr>
          <w:szCs w:val="24"/>
        </w:rPr>
        <w:t xml:space="preserve">были </w:t>
      </w:r>
      <w:r w:rsidR="00BD5912">
        <w:rPr>
          <w:szCs w:val="24"/>
        </w:rPr>
        <w:t>нацелены на смягчение</w:t>
      </w:r>
      <w:r w:rsidR="00BD5912" w:rsidRPr="00BD5912">
        <w:rPr>
          <w:szCs w:val="24"/>
        </w:rPr>
        <w:t xml:space="preserve"> негативны</w:t>
      </w:r>
      <w:r w:rsidR="00BD5912">
        <w:rPr>
          <w:szCs w:val="24"/>
        </w:rPr>
        <w:t>х</w:t>
      </w:r>
      <w:r w:rsidR="00BD5912" w:rsidRPr="00BD5912">
        <w:rPr>
          <w:szCs w:val="24"/>
        </w:rPr>
        <w:t xml:space="preserve"> последстви</w:t>
      </w:r>
      <w:r w:rsidR="00BD5912">
        <w:rPr>
          <w:szCs w:val="24"/>
        </w:rPr>
        <w:t>й</w:t>
      </w:r>
      <w:r w:rsidR="00BD5912" w:rsidRPr="00BD5912">
        <w:rPr>
          <w:szCs w:val="24"/>
        </w:rPr>
        <w:t xml:space="preserve"> кризисных явлений в экономике</w:t>
      </w:r>
      <w:r w:rsidR="00BD5912">
        <w:rPr>
          <w:szCs w:val="24"/>
        </w:rPr>
        <w:t xml:space="preserve"> страны</w:t>
      </w:r>
      <w:r w:rsidR="00BD5912" w:rsidRPr="00BD5912">
        <w:rPr>
          <w:szCs w:val="24"/>
        </w:rPr>
        <w:t>.</w:t>
      </w:r>
      <w:r w:rsidR="00BD5912">
        <w:rPr>
          <w:szCs w:val="24"/>
        </w:rPr>
        <w:t xml:space="preserve"> Однако, как показал </w:t>
      </w:r>
      <w:r w:rsidR="00A13537">
        <w:rPr>
          <w:szCs w:val="24"/>
        </w:rPr>
        <w:t>вышеприведенный</w:t>
      </w:r>
      <w:r w:rsidR="00BD5912">
        <w:rPr>
          <w:szCs w:val="24"/>
        </w:rPr>
        <w:t xml:space="preserve"> анализ макроэкономических условий исполнения бюджета в 201</w:t>
      </w:r>
      <w:r w:rsidR="00A13537">
        <w:rPr>
          <w:szCs w:val="24"/>
        </w:rPr>
        <w:t>7</w:t>
      </w:r>
      <w:r w:rsidR="00BD5912">
        <w:rPr>
          <w:szCs w:val="24"/>
        </w:rPr>
        <w:t xml:space="preserve"> году, а также мониторинги текущего исполнения мероприятий указанного </w:t>
      </w:r>
      <w:r w:rsidR="00825BC1">
        <w:rPr>
          <w:szCs w:val="24"/>
        </w:rPr>
        <w:t>П</w:t>
      </w:r>
      <w:r w:rsidR="00BD5912">
        <w:rPr>
          <w:szCs w:val="24"/>
        </w:rPr>
        <w:t>лана, проводимые КСП</w:t>
      </w:r>
      <w:r w:rsidR="00EB1715">
        <w:rPr>
          <w:szCs w:val="24"/>
        </w:rPr>
        <w:t xml:space="preserve"> в течение всего периода его действия</w:t>
      </w:r>
      <w:r w:rsidR="00BD5912">
        <w:rPr>
          <w:szCs w:val="24"/>
        </w:rPr>
        <w:t xml:space="preserve">, </w:t>
      </w:r>
      <w:r w:rsidR="00BD5912" w:rsidRPr="00BD5912">
        <w:rPr>
          <w:szCs w:val="24"/>
          <w:u w:val="single"/>
        </w:rPr>
        <w:t xml:space="preserve">реализация мер, предусмотренных </w:t>
      </w:r>
      <w:r w:rsidR="00825BC1">
        <w:rPr>
          <w:szCs w:val="24"/>
          <w:u w:val="single"/>
        </w:rPr>
        <w:t>П</w:t>
      </w:r>
      <w:r w:rsidR="00BD5912" w:rsidRPr="00BD5912">
        <w:rPr>
          <w:szCs w:val="24"/>
          <w:u w:val="single"/>
        </w:rPr>
        <w:t xml:space="preserve">ланом, не </w:t>
      </w:r>
      <w:r w:rsidR="00EB1715">
        <w:rPr>
          <w:szCs w:val="24"/>
          <w:u w:val="single"/>
        </w:rPr>
        <w:t>привела</w:t>
      </w:r>
      <w:r w:rsidR="00111E1C">
        <w:rPr>
          <w:szCs w:val="24"/>
          <w:u w:val="single"/>
        </w:rPr>
        <w:t xml:space="preserve"> </w:t>
      </w:r>
      <w:r w:rsidR="00EB1715">
        <w:rPr>
          <w:szCs w:val="24"/>
          <w:u w:val="single"/>
        </w:rPr>
        <w:t>к</w:t>
      </w:r>
      <w:r w:rsidR="00DE1269">
        <w:rPr>
          <w:szCs w:val="24"/>
          <w:u w:val="single"/>
        </w:rPr>
        <w:t xml:space="preserve"> ощутимому</w:t>
      </w:r>
      <w:r w:rsidR="00EB1715">
        <w:rPr>
          <w:szCs w:val="24"/>
          <w:u w:val="single"/>
        </w:rPr>
        <w:t xml:space="preserve"> </w:t>
      </w:r>
      <w:r w:rsidR="00FC7991">
        <w:rPr>
          <w:szCs w:val="24"/>
          <w:u w:val="single"/>
        </w:rPr>
        <w:t>смягч</w:t>
      </w:r>
      <w:r w:rsidR="00EB1715">
        <w:rPr>
          <w:szCs w:val="24"/>
          <w:u w:val="single"/>
        </w:rPr>
        <w:t xml:space="preserve">ению </w:t>
      </w:r>
      <w:r w:rsidR="00FC7991">
        <w:rPr>
          <w:szCs w:val="24"/>
          <w:u w:val="single"/>
        </w:rPr>
        <w:t>негативн</w:t>
      </w:r>
      <w:r w:rsidR="0071050D">
        <w:rPr>
          <w:szCs w:val="24"/>
          <w:u w:val="single"/>
        </w:rPr>
        <w:t>ого влияния на экономику региона</w:t>
      </w:r>
      <w:r w:rsidR="00FC7991">
        <w:rPr>
          <w:szCs w:val="24"/>
          <w:u w:val="single"/>
        </w:rPr>
        <w:t xml:space="preserve"> кризисных явлений</w:t>
      </w:r>
      <w:r w:rsidR="000700B6">
        <w:rPr>
          <w:szCs w:val="24"/>
          <w:u w:val="single"/>
        </w:rPr>
        <w:t>, происходящих</w:t>
      </w:r>
      <w:r w:rsidR="00FC7991">
        <w:rPr>
          <w:szCs w:val="24"/>
          <w:u w:val="single"/>
        </w:rPr>
        <w:t xml:space="preserve"> в экономике страны</w:t>
      </w:r>
      <w:r w:rsidR="00BD5912" w:rsidRPr="00BD5912">
        <w:rPr>
          <w:szCs w:val="24"/>
          <w:u w:val="single"/>
        </w:rPr>
        <w:t>.</w:t>
      </w:r>
    </w:p>
    <w:p w:rsidR="00B97E3A" w:rsidRDefault="00B97E3A" w:rsidP="00B97E3A">
      <w:pPr>
        <w:ind w:firstLine="709"/>
        <w:jc w:val="both"/>
        <w:rPr>
          <w:rFonts w:eastAsia="Calibri"/>
          <w:szCs w:val="24"/>
        </w:rPr>
      </w:pPr>
    </w:p>
    <w:p w:rsidR="00E518B8" w:rsidRPr="00440EAB" w:rsidRDefault="00E518B8" w:rsidP="001061B8">
      <w:pPr>
        <w:pStyle w:val="a3"/>
        <w:ind w:left="1260" w:hanging="1260"/>
        <w:jc w:val="center"/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</w:t>
      </w:r>
      <w:r w:rsidRPr="00440EAB">
        <w:rPr>
          <w:rFonts w:ascii="Times New Roman" w:hAnsi="Times New Roman"/>
          <w:b/>
        </w:rPr>
        <w:t>.</w:t>
      </w:r>
      <w:r>
        <w:rPr>
          <w:rFonts w:ascii="Times New Roman" w:hAnsi="Times New Roman"/>
          <w:b/>
        </w:rPr>
        <w:t>2</w:t>
      </w:r>
      <w:r w:rsidRPr="00440EAB">
        <w:rPr>
          <w:rFonts w:ascii="Times New Roman" w:hAnsi="Times New Roman"/>
          <w:b/>
        </w:rPr>
        <w:t xml:space="preserve">. </w:t>
      </w:r>
      <w:r>
        <w:rPr>
          <w:rFonts w:ascii="Times New Roman" w:hAnsi="Times New Roman"/>
          <w:b/>
        </w:rPr>
        <w:t>Анализ исполнения</w:t>
      </w:r>
      <w:r w:rsidRPr="00440EAB">
        <w:rPr>
          <w:rFonts w:ascii="Times New Roman" w:hAnsi="Times New Roman"/>
          <w:b/>
        </w:rPr>
        <w:t xml:space="preserve"> основных </w:t>
      </w:r>
      <w:r>
        <w:rPr>
          <w:rFonts w:ascii="Times New Roman" w:hAnsi="Times New Roman"/>
          <w:b/>
        </w:rPr>
        <w:t>характеристик</w:t>
      </w:r>
      <w:r w:rsidRPr="00440EAB">
        <w:rPr>
          <w:rFonts w:ascii="Times New Roman" w:hAnsi="Times New Roman"/>
          <w:b/>
        </w:rPr>
        <w:t xml:space="preserve"> областного бюджета</w:t>
      </w:r>
      <w:r>
        <w:rPr>
          <w:rFonts w:ascii="Times New Roman" w:hAnsi="Times New Roman"/>
          <w:b/>
        </w:rPr>
        <w:t xml:space="preserve"> </w:t>
      </w:r>
      <w:r w:rsidRPr="00440EAB">
        <w:rPr>
          <w:rFonts w:ascii="Times New Roman" w:hAnsi="Times New Roman"/>
          <w:b/>
        </w:rPr>
        <w:t>за 20</w:t>
      </w:r>
      <w:r w:rsidR="00A57CD7">
        <w:rPr>
          <w:rFonts w:ascii="Times New Roman" w:hAnsi="Times New Roman"/>
          <w:b/>
        </w:rPr>
        <w:t>1</w:t>
      </w:r>
      <w:r w:rsidR="003D356C">
        <w:rPr>
          <w:rFonts w:ascii="Times New Roman" w:hAnsi="Times New Roman"/>
          <w:b/>
        </w:rPr>
        <w:t>7</w:t>
      </w:r>
      <w:r w:rsidRPr="00440EAB">
        <w:rPr>
          <w:rFonts w:ascii="Times New Roman" w:hAnsi="Times New Roman"/>
          <w:b/>
        </w:rPr>
        <w:t xml:space="preserve"> год.</w:t>
      </w:r>
    </w:p>
    <w:p w:rsidR="001C4DCD" w:rsidRDefault="001C4DCD" w:rsidP="001C4DCD">
      <w:pPr>
        <w:pStyle w:val="a3"/>
        <w:ind w:firstLine="708"/>
        <w:rPr>
          <w:rFonts w:ascii="Times New Roman" w:hAnsi="Times New Roman"/>
        </w:rPr>
      </w:pPr>
    </w:p>
    <w:p w:rsidR="002E76F1" w:rsidRDefault="001C4DCD" w:rsidP="001C4DCD">
      <w:pPr>
        <w:pStyle w:val="a3"/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>Первоначально областной бюджет на 201</w:t>
      </w:r>
      <w:r w:rsidR="003D356C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год был утвержден </w:t>
      </w:r>
      <w:r w:rsidR="002E76F1">
        <w:rPr>
          <w:rFonts w:ascii="Times New Roman" w:hAnsi="Times New Roman"/>
        </w:rPr>
        <w:t xml:space="preserve">в </w:t>
      </w:r>
      <w:r w:rsidR="00E133B9">
        <w:rPr>
          <w:rFonts w:ascii="Times New Roman" w:hAnsi="Times New Roman"/>
        </w:rPr>
        <w:t>декабре</w:t>
      </w:r>
      <w:r w:rsidR="002E76F1">
        <w:rPr>
          <w:rFonts w:ascii="Times New Roman" w:hAnsi="Times New Roman"/>
        </w:rPr>
        <w:t xml:space="preserve"> 201</w:t>
      </w:r>
      <w:r w:rsidR="003D356C">
        <w:rPr>
          <w:rFonts w:ascii="Times New Roman" w:hAnsi="Times New Roman"/>
        </w:rPr>
        <w:t>6</w:t>
      </w:r>
      <w:r w:rsidR="002E76F1">
        <w:rPr>
          <w:rFonts w:ascii="Times New Roman" w:hAnsi="Times New Roman"/>
        </w:rPr>
        <w:t xml:space="preserve"> года со следующими основными характеристиками:</w:t>
      </w:r>
    </w:p>
    <w:p w:rsidR="0040246D" w:rsidRDefault="002E76F1" w:rsidP="0040246D">
      <w:pPr>
        <w:pStyle w:val="a3"/>
        <w:ind w:firstLine="708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-</w:t>
      </w:r>
      <w:r w:rsidR="001C4DCD">
        <w:rPr>
          <w:rFonts w:ascii="Times New Roman" w:hAnsi="Times New Roman"/>
        </w:rPr>
        <w:t xml:space="preserve">по доходам </w:t>
      </w:r>
      <w:r>
        <w:rPr>
          <w:rFonts w:ascii="Times New Roman" w:hAnsi="Times New Roman"/>
        </w:rPr>
        <w:t xml:space="preserve">– </w:t>
      </w:r>
      <w:r w:rsidR="00AC228B">
        <w:rPr>
          <w:rFonts w:ascii="Times New Roman" w:hAnsi="Times New Roman"/>
        </w:rPr>
        <w:t xml:space="preserve">73124,3 </w:t>
      </w:r>
      <w:r w:rsidR="001C4DCD">
        <w:rPr>
          <w:rFonts w:ascii="Times New Roman" w:hAnsi="Times New Roman"/>
        </w:rPr>
        <w:t>млн. руб.,</w:t>
      </w:r>
      <w:r>
        <w:rPr>
          <w:rFonts w:ascii="Times New Roman" w:hAnsi="Times New Roman"/>
        </w:rPr>
        <w:t xml:space="preserve"> в том числе безвозмездные поступления от других бюджетов бюджетной системы РФ – </w:t>
      </w:r>
      <w:r w:rsidR="002978BC">
        <w:rPr>
          <w:rFonts w:ascii="Times New Roman" w:hAnsi="Times New Roman"/>
        </w:rPr>
        <w:t>12983,9</w:t>
      </w:r>
      <w:r>
        <w:rPr>
          <w:rFonts w:ascii="Times New Roman" w:hAnsi="Times New Roman"/>
        </w:rPr>
        <w:t xml:space="preserve"> млн. руб.</w:t>
      </w:r>
      <w:r w:rsidR="0040246D">
        <w:rPr>
          <w:rFonts w:ascii="Times New Roman" w:hAnsi="Times New Roman"/>
        </w:rPr>
        <w:t>, от государственных (муниципальных) организаций – 21,1 млн. руб., доходы от возврата бюджетами бюджетной системы РФ и организациями остатков субсидий, субвенций и иных межбюджетных трансфертов, имеющих целевое назначение, прошлых лет, - 200 млн. руб.;</w:t>
      </w:r>
      <w:proofErr w:type="gramEnd"/>
    </w:p>
    <w:p w:rsidR="002E76F1" w:rsidRDefault="002E76F1" w:rsidP="001C4DCD">
      <w:pPr>
        <w:pStyle w:val="a3"/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1C4DCD">
        <w:rPr>
          <w:rFonts w:ascii="Times New Roman" w:hAnsi="Times New Roman"/>
        </w:rPr>
        <w:t xml:space="preserve">по расходам – </w:t>
      </w:r>
      <w:r w:rsidR="00CE1600">
        <w:rPr>
          <w:rFonts w:ascii="Times New Roman" w:hAnsi="Times New Roman"/>
        </w:rPr>
        <w:t>73124,3</w:t>
      </w:r>
      <w:r w:rsidR="001C4DCD">
        <w:rPr>
          <w:rFonts w:ascii="Times New Roman" w:hAnsi="Times New Roman"/>
        </w:rPr>
        <w:t xml:space="preserve"> млн. руб</w:t>
      </w:r>
      <w:r w:rsidR="008C59E4">
        <w:rPr>
          <w:rFonts w:ascii="Times New Roman" w:hAnsi="Times New Roman"/>
        </w:rPr>
        <w:t>лей.</w:t>
      </w:r>
    </w:p>
    <w:p w:rsidR="00E576D6" w:rsidRDefault="001C4DCD" w:rsidP="001C4DCD">
      <w:pPr>
        <w:pStyle w:val="a3"/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течение финансового года в первоначально принятый закон о бюджете изменения вносились </w:t>
      </w:r>
      <w:r w:rsidR="002A1288">
        <w:rPr>
          <w:rFonts w:ascii="Times New Roman" w:hAnsi="Times New Roman"/>
        </w:rPr>
        <w:t>5</w:t>
      </w:r>
      <w:r w:rsidR="00577F5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раз.</w:t>
      </w:r>
      <w:r w:rsidR="002812A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В </w:t>
      </w:r>
      <w:r w:rsidR="00E576D6">
        <w:rPr>
          <w:rFonts w:ascii="Times New Roman" w:hAnsi="Times New Roman"/>
        </w:rPr>
        <w:t xml:space="preserve">окончательной редакции закона </w:t>
      </w:r>
      <w:r w:rsidR="002812A5">
        <w:rPr>
          <w:rFonts w:ascii="Times New Roman" w:hAnsi="Times New Roman"/>
        </w:rPr>
        <w:t xml:space="preserve">(от </w:t>
      </w:r>
      <w:r w:rsidR="002A1288">
        <w:rPr>
          <w:rFonts w:ascii="Times New Roman" w:hAnsi="Times New Roman"/>
        </w:rPr>
        <w:t>29</w:t>
      </w:r>
      <w:r w:rsidR="002812A5">
        <w:rPr>
          <w:rFonts w:ascii="Times New Roman" w:hAnsi="Times New Roman"/>
        </w:rPr>
        <w:t>.1</w:t>
      </w:r>
      <w:r w:rsidR="002A1288">
        <w:rPr>
          <w:rFonts w:ascii="Times New Roman" w:hAnsi="Times New Roman"/>
        </w:rPr>
        <w:t>1</w:t>
      </w:r>
      <w:r w:rsidR="002812A5">
        <w:rPr>
          <w:rFonts w:ascii="Times New Roman" w:hAnsi="Times New Roman"/>
        </w:rPr>
        <w:t>.201</w:t>
      </w:r>
      <w:r w:rsidR="002A1288">
        <w:rPr>
          <w:rFonts w:ascii="Times New Roman" w:hAnsi="Times New Roman"/>
        </w:rPr>
        <w:t>7 №117-ОД</w:t>
      </w:r>
      <w:r w:rsidR="002812A5"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 xml:space="preserve">уточненные </w:t>
      </w:r>
      <w:r w:rsidR="00E576D6">
        <w:rPr>
          <w:rFonts w:ascii="Times New Roman" w:hAnsi="Times New Roman"/>
        </w:rPr>
        <w:t>показатели областного бюджета предусмотрены в следующих размерах:</w:t>
      </w:r>
    </w:p>
    <w:p w:rsidR="00E576D6" w:rsidRDefault="00E576D6" w:rsidP="001C4DCD">
      <w:pPr>
        <w:pStyle w:val="a3"/>
        <w:ind w:firstLine="708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-</w:t>
      </w:r>
      <w:r w:rsidR="001C4DCD">
        <w:rPr>
          <w:rFonts w:ascii="Times New Roman" w:hAnsi="Times New Roman"/>
        </w:rPr>
        <w:t xml:space="preserve">доходы </w:t>
      </w:r>
      <w:r w:rsidR="006C6E3A">
        <w:rPr>
          <w:rFonts w:ascii="Times New Roman" w:hAnsi="Times New Roman"/>
        </w:rPr>
        <w:t>–</w:t>
      </w:r>
      <w:r w:rsidR="001C4DCD">
        <w:rPr>
          <w:rFonts w:ascii="Times New Roman" w:hAnsi="Times New Roman"/>
        </w:rPr>
        <w:t xml:space="preserve"> </w:t>
      </w:r>
      <w:r w:rsidR="002A1288">
        <w:rPr>
          <w:rFonts w:ascii="Times New Roman" w:hAnsi="Times New Roman"/>
        </w:rPr>
        <w:t>87695,8</w:t>
      </w:r>
      <w:r w:rsidR="002812A5">
        <w:rPr>
          <w:rFonts w:ascii="Times New Roman" w:hAnsi="Times New Roman"/>
        </w:rPr>
        <w:t xml:space="preserve"> </w:t>
      </w:r>
      <w:r w:rsidR="001C4DCD">
        <w:rPr>
          <w:rFonts w:ascii="Times New Roman" w:hAnsi="Times New Roman"/>
        </w:rPr>
        <w:t xml:space="preserve">млн. руб., что </w:t>
      </w:r>
      <w:r w:rsidR="006C6E3A">
        <w:rPr>
          <w:rFonts w:ascii="Times New Roman" w:hAnsi="Times New Roman"/>
        </w:rPr>
        <w:t xml:space="preserve">на </w:t>
      </w:r>
      <w:r w:rsidR="0040246D">
        <w:rPr>
          <w:rFonts w:ascii="Times New Roman" w:hAnsi="Times New Roman"/>
        </w:rPr>
        <w:t>14571,5</w:t>
      </w:r>
      <w:r w:rsidR="001D49BD">
        <w:rPr>
          <w:rFonts w:ascii="Times New Roman" w:hAnsi="Times New Roman"/>
        </w:rPr>
        <w:t xml:space="preserve"> </w:t>
      </w:r>
      <w:r w:rsidR="001C4DCD">
        <w:rPr>
          <w:rFonts w:ascii="Times New Roman" w:hAnsi="Times New Roman"/>
        </w:rPr>
        <w:t xml:space="preserve">млн. руб., или на </w:t>
      </w:r>
      <w:r w:rsidR="0040246D">
        <w:rPr>
          <w:rFonts w:ascii="Times New Roman" w:hAnsi="Times New Roman"/>
        </w:rPr>
        <w:t>16,6</w:t>
      </w:r>
      <w:r w:rsidR="001C4DCD">
        <w:rPr>
          <w:rFonts w:ascii="Times New Roman" w:hAnsi="Times New Roman"/>
        </w:rPr>
        <w:t xml:space="preserve">% больше первоначально утвержденного показателя, </w:t>
      </w:r>
      <w:r>
        <w:rPr>
          <w:rFonts w:ascii="Times New Roman" w:hAnsi="Times New Roman"/>
        </w:rPr>
        <w:t xml:space="preserve">из них безвозмездные поступления от других бюджетов бюджетной системы РФ – </w:t>
      </w:r>
      <w:r w:rsidR="002A1288">
        <w:rPr>
          <w:rFonts w:ascii="Times New Roman" w:hAnsi="Times New Roman"/>
        </w:rPr>
        <w:t>25421,6</w:t>
      </w:r>
      <w:r>
        <w:rPr>
          <w:rFonts w:ascii="Times New Roman" w:hAnsi="Times New Roman"/>
        </w:rPr>
        <w:t xml:space="preserve"> млн. </w:t>
      </w:r>
      <w:proofErr w:type="spellStart"/>
      <w:r>
        <w:rPr>
          <w:rFonts w:ascii="Times New Roman" w:hAnsi="Times New Roman"/>
        </w:rPr>
        <w:t>руб</w:t>
      </w:r>
      <w:proofErr w:type="spellEnd"/>
      <w:r w:rsidR="008C59E4">
        <w:rPr>
          <w:rFonts w:ascii="Times New Roman" w:hAnsi="Times New Roman"/>
        </w:rPr>
        <w:t xml:space="preserve"> (+12437,6 млн. руб., или увеличены в 2 раза)</w:t>
      </w:r>
      <w:r>
        <w:rPr>
          <w:rFonts w:ascii="Times New Roman" w:hAnsi="Times New Roman"/>
        </w:rPr>
        <w:t xml:space="preserve">, </w:t>
      </w:r>
      <w:r w:rsidR="006C6E3A">
        <w:rPr>
          <w:rFonts w:ascii="Times New Roman" w:hAnsi="Times New Roman"/>
        </w:rPr>
        <w:t>из бюджетов государственных внебюджетных фондов</w:t>
      </w:r>
      <w:r w:rsidR="002A1288">
        <w:rPr>
          <w:rFonts w:ascii="Times New Roman" w:hAnsi="Times New Roman"/>
        </w:rPr>
        <w:t xml:space="preserve"> – 45,2 млн. руб.</w:t>
      </w:r>
      <w:r w:rsidR="006C6E3A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от государственных </w:t>
      </w:r>
      <w:r w:rsidR="002A1288">
        <w:rPr>
          <w:rFonts w:ascii="Times New Roman" w:hAnsi="Times New Roman"/>
        </w:rPr>
        <w:t>(муниципальны</w:t>
      </w:r>
      <w:r w:rsidR="0040246D">
        <w:rPr>
          <w:rFonts w:ascii="Times New Roman" w:hAnsi="Times New Roman"/>
        </w:rPr>
        <w:t>х</w:t>
      </w:r>
      <w:r w:rsidR="002A1288"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 организаций – </w:t>
      </w:r>
      <w:r w:rsidR="002A1288">
        <w:rPr>
          <w:rFonts w:ascii="Times New Roman" w:hAnsi="Times New Roman"/>
        </w:rPr>
        <w:t xml:space="preserve">21,1 </w:t>
      </w:r>
      <w:r>
        <w:rPr>
          <w:rFonts w:ascii="Times New Roman" w:hAnsi="Times New Roman"/>
        </w:rPr>
        <w:t>млн. руб.</w:t>
      </w:r>
      <w:r w:rsidR="00CD56AE">
        <w:rPr>
          <w:rFonts w:ascii="Times New Roman" w:hAnsi="Times New Roman"/>
        </w:rPr>
        <w:t xml:space="preserve">, доходы от возврата бюджетами бюджетной системы РФ </w:t>
      </w:r>
      <w:r w:rsidR="002A1288">
        <w:rPr>
          <w:rFonts w:ascii="Times New Roman" w:hAnsi="Times New Roman"/>
        </w:rPr>
        <w:t>и</w:t>
      </w:r>
      <w:proofErr w:type="gramEnd"/>
      <w:r w:rsidR="002A1288">
        <w:rPr>
          <w:rFonts w:ascii="Times New Roman" w:hAnsi="Times New Roman"/>
        </w:rPr>
        <w:t xml:space="preserve"> организациями </w:t>
      </w:r>
      <w:r w:rsidR="00CD56AE">
        <w:rPr>
          <w:rFonts w:ascii="Times New Roman" w:hAnsi="Times New Roman"/>
        </w:rPr>
        <w:t>остатков субсидий, субвенций</w:t>
      </w:r>
      <w:r w:rsidR="002A1288">
        <w:rPr>
          <w:rFonts w:ascii="Times New Roman" w:hAnsi="Times New Roman"/>
        </w:rPr>
        <w:t xml:space="preserve"> и иных межбюджетных трансфертов</w:t>
      </w:r>
      <w:r w:rsidR="00CD56AE">
        <w:rPr>
          <w:rFonts w:ascii="Times New Roman" w:hAnsi="Times New Roman"/>
        </w:rPr>
        <w:t xml:space="preserve">, имеющих целевое назначение, прошлых лет, - </w:t>
      </w:r>
      <w:r w:rsidR="002A1288">
        <w:rPr>
          <w:rFonts w:ascii="Times New Roman" w:hAnsi="Times New Roman"/>
        </w:rPr>
        <w:t>200</w:t>
      </w:r>
      <w:r w:rsidR="00CD56AE">
        <w:rPr>
          <w:rFonts w:ascii="Times New Roman" w:hAnsi="Times New Roman"/>
        </w:rPr>
        <w:t xml:space="preserve"> млн. руб.</w:t>
      </w:r>
      <w:r>
        <w:rPr>
          <w:rFonts w:ascii="Times New Roman" w:hAnsi="Times New Roman"/>
        </w:rPr>
        <w:t>;</w:t>
      </w:r>
    </w:p>
    <w:p w:rsidR="00CB2FC3" w:rsidRDefault="00CB2FC3" w:rsidP="001C4DCD">
      <w:pPr>
        <w:pStyle w:val="a3"/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1C4DCD">
        <w:rPr>
          <w:rFonts w:ascii="Times New Roman" w:hAnsi="Times New Roman"/>
        </w:rPr>
        <w:t xml:space="preserve">расходы – </w:t>
      </w:r>
      <w:r w:rsidR="002A1288">
        <w:rPr>
          <w:rFonts w:ascii="Times New Roman" w:hAnsi="Times New Roman"/>
        </w:rPr>
        <w:t>87695,8</w:t>
      </w:r>
      <w:r w:rsidR="001C4DCD">
        <w:rPr>
          <w:rFonts w:ascii="Times New Roman" w:hAnsi="Times New Roman"/>
        </w:rPr>
        <w:t xml:space="preserve"> млн. руб. (+</w:t>
      </w:r>
      <w:r w:rsidR="008C59E4">
        <w:rPr>
          <w:rFonts w:ascii="Times New Roman" w:hAnsi="Times New Roman"/>
        </w:rPr>
        <w:t>14571,5</w:t>
      </w:r>
      <w:r w:rsidR="001C4DCD">
        <w:rPr>
          <w:rFonts w:ascii="Times New Roman" w:hAnsi="Times New Roman"/>
        </w:rPr>
        <w:t xml:space="preserve"> млн. руб.</w:t>
      </w:r>
      <w:r w:rsidR="00CD56AE">
        <w:rPr>
          <w:rFonts w:ascii="Times New Roman" w:hAnsi="Times New Roman"/>
        </w:rPr>
        <w:t xml:space="preserve"> относительно первоначального показателя</w:t>
      </w:r>
      <w:r w:rsidR="001C4DCD">
        <w:rPr>
          <w:rFonts w:ascii="Times New Roman" w:hAnsi="Times New Roman"/>
        </w:rPr>
        <w:t xml:space="preserve">, или </w:t>
      </w:r>
      <w:r w:rsidR="001557FF">
        <w:rPr>
          <w:rFonts w:ascii="Times New Roman" w:hAnsi="Times New Roman"/>
        </w:rPr>
        <w:t xml:space="preserve">увеличены </w:t>
      </w:r>
      <w:r w:rsidR="00873BCD">
        <w:rPr>
          <w:rFonts w:ascii="Times New Roman" w:hAnsi="Times New Roman"/>
        </w:rPr>
        <w:t xml:space="preserve">на </w:t>
      </w:r>
      <w:r w:rsidR="008C59E4">
        <w:rPr>
          <w:rFonts w:ascii="Times New Roman" w:hAnsi="Times New Roman"/>
        </w:rPr>
        <w:t>16,6</w:t>
      </w:r>
      <w:r w:rsidR="001C4DCD">
        <w:rPr>
          <w:rFonts w:ascii="Times New Roman" w:hAnsi="Times New Roman"/>
        </w:rPr>
        <w:t>%)</w:t>
      </w:r>
      <w:r w:rsidR="002A1288">
        <w:rPr>
          <w:rFonts w:ascii="Times New Roman" w:hAnsi="Times New Roman"/>
        </w:rPr>
        <w:t>.</w:t>
      </w:r>
    </w:p>
    <w:p w:rsidR="009C1CB6" w:rsidRDefault="0031110E" w:rsidP="00915492">
      <w:pPr>
        <w:pStyle w:val="a3"/>
        <w:ind w:firstLine="0"/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r w:rsidR="001C4DCD" w:rsidRPr="001C4DCD">
        <w:rPr>
          <w:rFonts w:ascii="Times New Roman" w:hAnsi="Times New Roman"/>
        </w:rPr>
        <w:t xml:space="preserve">По данным отчета </w:t>
      </w:r>
      <w:r w:rsidR="00313786">
        <w:rPr>
          <w:rFonts w:ascii="Times New Roman" w:hAnsi="Times New Roman"/>
        </w:rPr>
        <w:t xml:space="preserve">Администрации Волгоградской </w:t>
      </w:r>
      <w:r w:rsidR="001C4DCD" w:rsidRPr="001C4DCD">
        <w:rPr>
          <w:rFonts w:ascii="Times New Roman" w:hAnsi="Times New Roman"/>
        </w:rPr>
        <w:t>области фактически в доходы областного бюджета за 201</w:t>
      </w:r>
      <w:r w:rsidR="00646B21">
        <w:rPr>
          <w:rFonts w:ascii="Times New Roman" w:hAnsi="Times New Roman"/>
        </w:rPr>
        <w:t>7</w:t>
      </w:r>
      <w:r w:rsidR="001C4DCD" w:rsidRPr="001C4DCD">
        <w:rPr>
          <w:rFonts w:ascii="Times New Roman" w:hAnsi="Times New Roman"/>
        </w:rPr>
        <w:t xml:space="preserve"> год поступило </w:t>
      </w:r>
      <w:r w:rsidR="000B5A6C">
        <w:rPr>
          <w:rFonts w:ascii="Times New Roman" w:hAnsi="Times New Roman"/>
          <w:color w:val="auto"/>
        </w:rPr>
        <w:t>85390,1</w:t>
      </w:r>
      <w:r w:rsidR="000B5A6C" w:rsidRPr="009F5436">
        <w:rPr>
          <w:rFonts w:ascii="Times New Roman" w:hAnsi="Times New Roman"/>
          <w:color w:val="auto"/>
        </w:rPr>
        <w:t xml:space="preserve"> млн. </w:t>
      </w:r>
      <w:r w:rsidR="00313786">
        <w:rPr>
          <w:rFonts w:ascii="Times New Roman" w:hAnsi="Times New Roman"/>
        </w:rPr>
        <w:t>руб.</w:t>
      </w:r>
      <w:r w:rsidR="001C4DCD" w:rsidRPr="001C4DCD">
        <w:rPr>
          <w:rFonts w:ascii="Times New Roman" w:hAnsi="Times New Roman"/>
        </w:rPr>
        <w:t xml:space="preserve">, что на </w:t>
      </w:r>
      <w:r w:rsidR="00CA75A6">
        <w:rPr>
          <w:rFonts w:ascii="Times New Roman" w:hAnsi="Times New Roman"/>
        </w:rPr>
        <w:t>2305,7</w:t>
      </w:r>
      <w:r w:rsidR="001C4DCD" w:rsidRPr="001C4DCD">
        <w:rPr>
          <w:rFonts w:ascii="Times New Roman" w:hAnsi="Times New Roman"/>
        </w:rPr>
        <w:t xml:space="preserve"> млн. руб., или на </w:t>
      </w:r>
      <w:r w:rsidR="00CA75A6">
        <w:rPr>
          <w:rFonts w:ascii="Times New Roman" w:hAnsi="Times New Roman"/>
        </w:rPr>
        <w:t>2,6</w:t>
      </w:r>
      <w:r w:rsidR="00646B21">
        <w:rPr>
          <w:rFonts w:ascii="Times New Roman" w:hAnsi="Times New Roman"/>
        </w:rPr>
        <w:t>%</w:t>
      </w:r>
      <w:r w:rsidR="001C4DCD" w:rsidRPr="001C4DCD">
        <w:rPr>
          <w:rFonts w:ascii="Times New Roman" w:hAnsi="Times New Roman"/>
        </w:rPr>
        <w:t xml:space="preserve"> меньше</w:t>
      </w:r>
      <w:r w:rsidR="001C4DCD" w:rsidRPr="001C4DCD">
        <w:rPr>
          <w:rFonts w:ascii="Times New Roman" w:hAnsi="Times New Roman"/>
          <w:color w:val="FF0000"/>
        </w:rPr>
        <w:t xml:space="preserve"> </w:t>
      </w:r>
      <w:r w:rsidR="001C4DCD" w:rsidRPr="001C4DCD">
        <w:rPr>
          <w:rFonts w:ascii="Times New Roman" w:hAnsi="Times New Roman"/>
        </w:rPr>
        <w:t xml:space="preserve">уточненного планового показателя. Расходы областного бюджета исполнены на </w:t>
      </w:r>
      <w:r w:rsidR="00005C28">
        <w:rPr>
          <w:rFonts w:ascii="Times New Roman" w:hAnsi="Times New Roman"/>
        </w:rPr>
        <w:t>86574,4</w:t>
      </w:r>
      <w:r w:rsidR="001C4DCD" w:rsidRPr="001C4DCD">
        <w:rPr>
          <w:rFonts w:ascii="Times New Roman" w:hAnsi="Times New Roman"/>
        </w:rPr>
        <w:t xml:space="preserve"> млн. руб</w:t>
      </w:r>
      <w:r w:rsidR="001C4DCD" w:rsidRPr="001C4DCD">
        <w:rPr>
          <w:rFonts w:ascii="Times New Roman" w:hAnsi="Times New Roman"/>
          <w:b/>
          <w:i/>
        </w:rPr>
        <w:t>.</w:t>
      </w:r>
      <w:r w:rsidR="001C4DCD" w:rsidRPr="001C4DCD">
        <w:rPr>
          <w:rFonts w:ascii="Times New Roman" w:hAnsi="Times New Roman"/>
        </w:rPr>
        <w:t xml:space="preserve">, или на </w:t>
      </w:r>
      <w:r w:rsidR="00005C28">
        <w:rPr>
          <w:rFonts w:ascii="Times New Roman" w:hAnsi="Times New Roman"/>
        </w:rPr>
        <w:t>1121,4</w:t>
      </w:r>
      <w:r w:rsidR="000F25D8">
        <w:rPr>
          <w:rFonts w:ascii="Times New Roman" w:hAnsi="Times New Roman"/>
        </w:rPr>
        <w:t xml:space="preserve"> </w:t>
      </w:r>
      <w:r w:rsidR="006761FA">
        <w:rPr>
          <w:rFonts w:ascii="Times New Roman" w:hAnsi="Times New Roman"/>
        </w:rPr>
        <w:t>млн. руб. (</w:t>
      </w:r>
      <w:r w:rsidR="00005C28">
        <w:rPr>
          <w:rFonts w:ascii="Times New Roman" w:hAnsi="Times New Roman"/>
        </w:rPr>
        <w:t>1,7</w:t>
      </w:r>
      <w:r w:rsidR="00F52B18">
        <w:rPr>
          <w:rFonts w:ascii="Times New Roman" w:hAnsi="Times New Roman"/>
        </w:rPr>
        <w:t>%</w:t>
      </w:r>
      <w:r w:rsidR="001C4DCD" w:rsidRPr="001C4DCD">
        <w:rPr>
          <w:rFonts w:ascii="Times New Roman" w:hAnsi="Times New Roman"/>
        </w:rPr>
        <w:t xml:space="preserve">) меньше уточненных бюджетных ассигнований. </w:t>
      </w:r>
      <w:proofErr w:type="gramStart"/>
      <w:r w:rsidR="001C4DCD" w:rsidRPr="001C4DCD">
        <w:rPr>
          <w:rFonts w:ascii="Times New Roman" w:hAnsi="Times New Roman"/>
        </w:rPr>
        <w:t>В результате</w:t>
      </w:r>
      <w:r w:rsidR="00646B21">
        <w:rPr>
          <w:rFonts w:ascii="Times New Roman" w:hAnsi="Times New Roman"/>
        </w:rPr>
        <w:t xml:space="preserve"> </w:t>
      </w:r>
      <w:r w:rsidR="000A3901">
        <w:rPr>
          <w:rFonts w:ascii="Times New Roman" w:hAnsi="Times New Roman"/>
        </w:rPr>
        <w:t>при планировании областного бюджета на 2017 год бездефицитным фактически он исполнен с дефицитом 1184,3 млн. рублей.</w:t>
      </w:r>
      <w:r w:rsidR="001C4DCD" w:rsidRPr="001C4DCD">
        <w:rPr>
          <w:rFonts w:ascii="Times New Roman" w:hAnsi="Times New Roman"/>
        </w:rPr>
        <w:t xml:space="preserve"> </w:t>
      </w:r>
      <w:r w:rsidR="00915492" w:rsidRPr="00915492">
        <w:rPr>
          <w:rFonts w:ascii="Times New Roman" w:hAnsi="Times New Roman"/>
          <w:b/>
        </w:rPr>
        <w:tab/>
      </w:r>
      <w:proofErr w:type="gramEnd"/>
    </w:p>
    <w:p w:rsidR="00981FD8" w:rsidRPr="00915492" w:rsidRDefault="00915492" w:rsidP="009C1CB6">
      <w:pPr>
        <w:pStyle w:val="a3"/>
        <w:ind w:firstLine="708"/>
        <w:rPr>
          <w:rFonts w:ascii="Times New Roman" w:hAnsi="Times New Roman"/>
        </w:rPr>
      </w:pPr>
      <w:r w:rsidRPr="0031110E">
        <w:rPr>
          <w:rFonts w:ascii="Times New Roman" w:hAnsi="Times New Roman"/>
        </w:rPr>
        <w:t>П</w:t>
      </w:r>
      <w:r w:rsidR="00F674D3" w:rsidRPr="00915492">
        <w:rPr>
          <w:rFonts w:ascii="Times New Roman" w:hAnsi="Times New Roman"/>
        </w:rPr>
        <w:t xml:space="preserve">ри этом кредиторская задолженность на конец отчетного года возросла относительно </w:t>
      </w:r>
      <w:r w:rsidR="009C1CB6">
        <w:rPr>
          <w:rFonts w:ascii="Times New Roman" w:hAnsi="Times New Roman"/>
        </w:rPr>
        <w:t>его начала</w:t>
      </w:r>
      <w:r w:rsidR="00F674D3" w:rsidRPr="00915492">
        <w:rPr>
          <w:rFonts w:ascii="Times New Roman" w:hAnsi="Times New Roman"/>
        </w:rPr>
        <w:t xml:space="preserve"> в 2,6 раза. Так, если на </w:t>
      </w:r>
      <w:r w:rsidR="009C1CB6">
        <w:rPr>
          <w:rFonts w:ascii="Times New Roman" w:hAnsi="Times New Roman"/>
        </w:rPr>
        <w:t>01.01.</w:t>
      </w:r>
      <w:r w:rsidR="00F674D3" w:rsidRPr="00915492">
        <w:rPr>
          <w:rFonts w:ascii="Times New Roman" w:hAnsi="Times New Roman"/>
        </w:rPr>
        <w:t xml:space="preserve">2017 она составляла 1374 млн. руб., сократившись по сравнению с началом 2016 года на 632,4 млн. руб., то на 01.01.2018 кредиторская задолженность областного бюджета </w:t>
      </w:r>
      <w:r w:rsidR="0012418E" w:rsidRPr="00915492">
        <w:rPr>
          <w:rFonts w:ascii="Times New Roman" w:hAnsi="Times New Roman"/>
        </w:rPr>
        <w:t>составила</w:t>
      </w:r>
      <w:r w:rsidR="00F674D3" w:rsidRPr="00915492">
        <w:rPr>
          <w:rFonts w:ascii="Times New Roman" w:hAnsi="Times New Roman"/>
        </w:rPr>
        <w:t xml:space="preserve"> 3567,1 млн. руб., т. е. </w:t>
      </w:r>
      <w:r w:rsidR="0012418E" w:rsidRPr="00915492">
        <w:rPr>
          <w:rFonts w:ascii="Times New Roman" w:hAnsi="Times New Roman"/>
        </w:rPr>
        <w:lastRenderedPageBreak/>
        <w:t xml:space="preserve">увеличилась </w:t>
      </w:r>
      <w:r w:rsidR="00381DE8" w:rsidRPr="00915492">
        <w:rPr>
          <w:rFonts w:ascii="Times New Roman" w:hAnsi="Times New Roman"/>
        </w:rPr>
        <w:t xml:space="preserve">за </w:t>
      </w:r>
      <w:r>
        <w:rPr>
          <w:rFonts w:ascii="Times New Roman" w:hAnsi="Times New Roman"/>
        </w:rPr>
        <w:t>отчетный</w:t>
      </w:r>
      <w:r w:rsidR="00381DE8" w:rsidRPr="00915492">
        <w:rPr>
          <w:rFonts w:ascii="Times New Roman" w:hAnsi="Times New Roman"/>
        </w:rPr>
        <w:t xml:space="preserve"> год </w:t>
      </w:r>
      <w:r w:rsidR="00F674D3" w:rsidRPr="00915492">
        <w:rPr>
          <w:rFonts w:ascii="Times New Roman" w:hAnsi="Times New Roman"/>
        </w:rPr>
        <w:t>на 2193,1 млн. руб</w:t>
      </w:r>
      <w:r w:rsidR="0012418E" w:rsidRPr="00915492">
        <w:rPr>
          <w:rFonts w:ascii="Times New Roman" w:hAnsi="Times New Roman"/>
        </w:rPr>
        <w:t>лей.</w:t>
      </w:r>
    </w:p>
    <w:p w:rsidR="00F674D3" w:rsidRDefault="00F674D3" w:rsidP="00F674D3">
      <w:pPr>
        <w:jc w:val="both"/>
      </w:pPr>
      <w:r>
        <w:tab/>
      </w:r>
      <w:r w:rsidR="00C428ED">
        <w:t>У</w:t>
      </w:r>
      <w:r>
        <w:t xml:space="preserve">величилась </w:t>
      </w:r>
      <w:r w:rsidR="00C428ED">
        <w:t xml:space="preserve">в минувшем году </w:t>
      </w:r>
      <w:r>
        <w:t xml:space="preserve">и просроченная кредиторская задолженность. Согласно данным, представленным комитетом финансов Волгоградской области, на 01.01.2018 ее объем составил 584,4 млн. руб., что в 4,8 раза превысило </w:t>
      </w:r>
      <w:r w:rsidR="00F7576E">
        <w:t>аналогичный показатель</w:t>
      </w:r>
      <w:r>
        <w:t xml:space="preserve"> на 01.01.2017 (121,8 млн. руб.). Особо следует отметить наличие на начало текущего года просроченной задолженности по заработной плате, которая составила 219,8 </w:t>
      </w:r>
      <w:r w:rsidRPr="00557154">
        <w:t>тыс. руб.</w:t>
      </w:r>
      <w:r>
        <w:t xml:space="preserve"> (на начало 2017 года просроченной задолженности по заработной плате практически не было). </w:t>
      </w:r>
    </w:p>
    <w:p w:rsidR="004E09E1" w:rsidRPr="00F674D3" w:rsidRDefault="004E09E1" w:rsidP="00F674D3">
      <w:pPr>
        <w:jc w:val="both"/>
        <w:rPr>
          <w:color w:val="FF0000"/>
        </w:rPr>
      </w:pPr>
      <w:r>
        <w:tab/>
        <w:t xml:space="preserve">Также в качестве отрицательного фактора следует отметить рост дебиторской задолженности по средствам областного бюджета, которая </w:t>
      </w:r>
      <w:r w:rsidR="000B5A6C">
        <w:t>увеличилась</w:t>
      </w:r>
      <w:r>
        <w:t xml:space="preserve"> на 01.01.2018 на 700,1 млн. руб.</w:t>
      </w:r>
      <w:r w:rsidR="000B5A6C">
        <w:t xml:space="preserve"> относительно начала 2017 года</w:t>
      </w:r>
      <w:r>
        <w:t xml:space="preserve">, или на 10,2 процента. При этом просроченная дебиторская задолженность </w:t>
      </w:r>
      <w:r w:rsidR="00381DE8">
        <w:t>возросла</w:t>
      </w:r>
      <w:r>
        <w:t xml:space="preserve"> со 198,4 млн. руб. до 406,1 млн. руб., </w:t>
      </w:r>
      <w:r w:rsidR="00381DE8">
        <w:t>или</w:t>
      </w:r>
      <w:r>
        <w:t xml:space="preserve"> в 2 раза.</w:t>
      </w:r>
    </w:p>
    <w:p w:rsidR="00F7576E" w:rsidRPr="00F7576E" w:rsidRDefault="00F7576E" w:rsidP="00981FD8">
      <w:pPr>
        <w:jc w:val="both"/>
      </w:pPr>
      <w:r>
        <w:rPr>
          <w:color w:val="FF0000"/>
        </w:rPr>
        <w:tab/>
      </w:r>
      <w:r w:rsidRPr="00F7576E">
        <w:t>В качестве положительного результата</w:t>
      </w:r>
      <w:r>
        <w:t xml:space="preserve">, полученного при исполнении областного бюджета в 2017 году, необходимо отметить отсутствие на конец финансового года </w:t>
      </w:r>
      <w:r w:rsidR="004E09E1">
        <w:t xml:space="preserve">непогашенных </w:t>
      </w:r>
      <w:r>
        <w:t>заимствований на расходы</w:t>
      </w:r>
      <w:r w:rsidR="004E09E1">
        <w:t xml:space="preserve"> областного бюджета</w:t>
      </w:r>
      <w:r>
        <w:t xml:space="preserve"> </w:t>
      </w:r>
      <w:r w:rsidR="007443B7">
        <w:t xml:space="preserve">за счет </w:t>
      </w:r>
      <w:r>
        <w:t xml:space="preserve">целевых </w:t>
      </w:r>
      <w:r w:rsidR="007443B7">
        <w:t xml:space="preserve">федеральных </w:t>
      </w:r>
      <w:r>
        <w:t>средств, о чем свидетельствуют остатки средств</w:t>
      </w:r>
      <w:r w:rsidR="004E09E1">
        <w:t xml:space="preserve"> на едином счете</w:t>
      </w:r>
      <w:r>
        <w:t xml:space="preserve"> областного бюджет</w:t>
      </w:r>
      <w:r w:rsidR="004E09E1">
        <w:t>а</w:t>
      </w:r>
      <w:r>
        <w:t xml:space="preserve"> на 01.01.2018. Так, общая сумма остатков составила </w:t>
      </w:r>
      <w:r w:rsidR="00C41328">
        <w:t xml:space="preserve">на начало 2018 года </w:t>
      </w:r>
      <w:r>
        <w:t xml:space="preserve">363,5 млн. руб., из них средств федерального бюджета – 119,2 млн. рублей. </w:t>
      </w:r>
      <w:r w:rsidR="009C1CB6">
        <w:t xml:space="preserve">В этой связи следует отметить, что на протяжении </w:t>
      </w:r>
      <w:r w:rsidR="004E09E1">
        <w:t xml:space="preserve">последних </w:t>
      </w:r>
      <w:r w:rsidR="007443B7">
        <w:t xml:space="preserve">нескольких </w:t>
      </w:r>
      <w:r w:rsidR="004E09E1">
        <w:t>лет</w:t>
      </w:r>
      <w:r>
        <w:t xml:space="preserve"> отмечалось </w:t>
      </w:r>
      <w:r w:rsidR="009C1CB6">
        <w:t xml:space="preserve">ежегодное </w:t>
      </w:r>
      <w:r>
        <w:t xml:space="preserve">превышение </w:t>
      </w:r>
      <w:r w:rsidR="009C1CB6">
        <w:t xml:space="preserve">на конец года </w:t>
      </w:r>
      <w:r>
        <w:t>остатков средств федерального бюджета над общим объемом остатков</w:t>
      </w:r>
      <w:r w:rsidR="009C1CB6">
        <w:t xml:space="preserve"> на счетах областного бюджета.</w:t>
      </w:r>
      <w:r w:rsidR="003463EE">
        <w:t xml:space="preserve"> Данное обстоятельство</w:t>
      </w:r>
      <w:r w:rsidR="009C1CB6">
        <w:t xml:space="preserve"> объяснялось</w:t>
      </w:r>
      <w:r w:rsidR="003463EE">
        <w:t xml:space="preserve"> заимствованием</w:t>
      </w:r>
      <w:r w:rsidR="004E09E1">
        <w:t xml:space="preserve"> в процессе исполнения </w:t>
      </w:r>
      <w:r w:rsidR="003463EE">
        <w:t xml:space="preserve">областного </w:t>
      </w:r>
      <w:r w:rsidR="004E09E1">
        <w:t>бюджета целевы</w:t>
      </w:r>
      <w:r w:rsidR="003463EE">
        <w:t>х</w:t>
      </w:r>
      <w:r w:rsidR="004E09E1">
        <w:t xml:space="preserve"> федеральны</w:t>
      </w:r>
      <w:r w:rsidR="003463EE">
        <w:t>х</w:t>
      </w:r>
      <w:r w:rsidR="004E09E1">
        <w:t xml:space="preserve"> средств, </w:t>
      </w:r>
      <w:r w:rsidR="003463EE">
        <w:t xml:space="preserve">причем, </w:t>
      </w:r>
      <w:r w:rsidR="004E09E1">
        <w:t>как правило,</w:t>
      </w:r>
      <w:r w:rsidR="003463EE">
        <w:t xml:space="preserve"> заимствованные средства</w:t>
      </w:r>
      <w:r>
        <w:t xml:space="preserve"> </w:t>
      </w:r>
      <w:r w:rsidR="004E09E1">
        <w:t xml:space="preserve">на начало следующего финансового года </w:t>
      </w:r>
      <w:r w:rsidR="007443B7">
        <w:t xml:space="preserve">в полном объеме </w:t>
      </w:r>
      <w:r w:rsidR="009C1CB6">
        <w:t xml:space="preserve">не </w:t>
      </w:r>
      <w:r w:rsidR="007443B7">
        <w:t>компенсирова</w:t>
      </w:r>
      <w:r w:rsidR="009C1CB6">
        <w:t>лись</w:t>
      </w:r>
      <w:r w:rsidR="004E09E1">
        <w:t xml:space="preserve"> собственными источниками. </w:t>
      </w:r>
      <w:r w:rsidR="007443B7">
        <w:t>Например</w:t>
      </w:r>
      <w:r>
        <w:t>, на начало 2016 года общая сумма остатков</w:t>
      </w:r>
      <w:r w:rsidR="003463EE">
        <w:t xml:space="preserve"> средств на счете областного бюджета</w:t>
      </w:r>
      <w:r>
        <w:t xml:space="preserve"> составляла 120,7 млн. руб., в том числе федеральных средств – 427,9 млн. руб., на начало 2017 года – 251,4 млн. руб. и 611 млн. руб. соответственно.  </w:t>
      </w:r>
      <w:r w:rsidR="00981FD8" w:rsidRPr="00F7576E">
        <w:tab/>
      </w:r>
    </w:p>
    <w:p w:rsidR="00981FD8" w:rsidRDefault="00981FD8" w:rsidP="00981FD8">
      <w:pPr>
        <w:jc w:val="both"/>
      </w:pPr>
      <w:r w:rsidRPr="00981FD8">
        <w:rPr>
          <w:color w:val="FF0000"/>
        </w:rPr>
        <w:tab/>
      </w:r>
      <w:r w:rsidR="00FC7A10" w:rsidRPr="00FC7A10">
        <w:t>Бюджетные</w:t>
      </w:r>
      <w:r w:rsidR="00FC7A10">
        <w:t xml:space="preserve"> назначения по источникам финансирования дефицита бюджета исполнены (без учета изменения остатков на счетах) на 1295,9 млн. руб. в то время как планировалось превышение погашения над привлечением источников на 50 млн. рублей.</w:t>
      </w:r>
    </w:p>
    <w:p w:rsidR="00643D57" w:rsidRDefault="00FC7A10" w:rsidP="00981FD8">
      <w:pPr>
        <w:jc w:val="both"/>
      </w:pPr>
      <w:r>
        <w:tab/>
      </w:r>
      <w:r w:rsidR="00643D57">
        <w:t>Как и в 2016 году, в</w:t>
      </w:r>
      <w:r>
        <w:t xml:space="preserve"> качестве источника финансирования дефицита </w:t>
      </w:r>
      <w:r w:rsidR="00643D57">
        <w:t xml:space="preserve">областного </w:t>
      </w:r>
      <w:r>
        <w:t>бюджета в 2017 году использованы неутвержденные назначения по строке «Увеличение финансовых активов за счет средств автономных и бюджетных учреждений» в сумме 1345,9 млн. рублей.</w:t>
      </w:r>
      <w:r w:rsidR="00643D57">
        <w:t xml:space="preserve"> </w:t>
      </w:r>
      <w:r w:rsidR="00643D57">
        <w:tab/>
        <w:t xml:space="preserve">На начало 2017 года остаток невозвращенных средств </w:t>
      </w:r>
      <w:r w:rsidR="00E92D99">
        <w:t xml:space="preserve">автономных и </w:t>
      </w:r>
      <w:r w:rsidR="00643D57">
        <w:t>бюджетных</w:t>
      </w:r>
      <w:r w:rsidR="00E92D99">
        <w:t xml:space="preserve"> учреждений составлял 954,1 млн. руб., в течение года на единый счет областного бюджета поступило 3980 млн. руб., возвращено 2634,1 млн. руб., остаток невозвращенных средств на 01.01.2018 составил 2300 млн. рублей.</w:t>
      </w:r>
    </w:p>
    <w:p w:rsidR="00B85D91" w:rsidRDefault="00FC7A10" w:rsidP="00981FD8">
      <w:pPr>
        <w:jc w:val="both"/>
      </w:pPr>
      <w:r>
        <w:tab/>
        <w:t>Основной особенностью исполнения областного бюджета в 2017 году явилось досрочное погашение бюджетных кредитов на сумму 13723,3 млн. руб. со сроком погашения в 2018-2019 годах, которое связано с превышением Волгоградской областью параметров государственного долга</w:t>
      </w:r>
      <w:r w:rsidR="00B85D91">
        <w:t>, предусмотренных соглашениями о предоставлении бюджетных кредитов, которое сложилось по итогам исполнения бюджета за 2016 год.</w:t>
      </w:r>
    </w:p>
    <w:p w:rsidR="00FC7A10" w:rsidRPr="00FC7A10" w:rsidRDefault="00B85D91" w:rsidP="00981FD8">
      <w:pPr>
        <w:jc w:val="both"/>
      </w:pPr>
      <w:r>
        <w:tab/>
        <w:t xml:space="preserve">На 01.01.2018 государственный долг Волгоградской области составил 53359,2 млн. руб., снизившись в течение 2017 года на 50 млн. руб., или на 0,1 процента. По отношению к доходам областного бюджета без учета безвозмездных поступлений государственный долг снизился с 90,5% до 88,9 процента. </w:t>
      </w:r>
    </w:p>
    <w:p w:rsidR="000445C9" w:rsidRPr="00BB7BB8" w:rsidRDefault="00981FD8" w:rsidP="006D70FB">
      <w:pPr>
        <w:ind w:hanging="426"/>
        <w:jc w:val="both"/>
      </w:pPr>
      <w:r>
        <w:rPr>
          <w:b/>
        </w:rPr>
        <w:tab/>
      </w:r>
      <w:r>
        <w:rPr>
          <w:b/>
        </w:rPr>
        <w:tab/>
      </w:r>
      <w:r w:rsidR="006D70FB" w:rsidRPr="006D70FB">
        <w:t>При проведении</w:t>
      </w:r>
      <w:r w:rsidR="006D70FB">
        <w:t xml:space="preserve"> внешней проверки исполнения областн</w:t>
      </w:r>
      <w:r w:rsidR="00DE2799">
        <w:t xml:space="preserve">ого бюджета за 2017 год </w:t>
      </w:r>
      <w:r w:rsidR="006D70FB">
        <w:t>проведено</w:t>
      </w:r>
      <w:r w:rsidR="00CF37EB">
        <w:t xml:space="preserve"> сопоставление бюджетных ассигнований по расходам, предусмотренных главным  распорядителям средств областного бюджета окончательной редакцией закона о бюджете, с ассигнованиями согласно сводной бюджетной росписи, отраженными в годовой бюджетной отчетности ГРБС</w:t>
      </w:r>
      <w:r w:rsidR="00BB7BB8">
        <w:t xml:space="preserve"> </w:t>
      </w:r>
      <w:r w:rsidR="00BB7BB8" w:rsidRPr="00BB7BB8">
        <w:rPr>
          <w:b/>
          <w:i/>
        </w:rPr>
        <w:t>(</w:t>
      </w:r>
      <w:r w:rsidR="00BB7BB8" w:rsidRPr="00BB7BB8">
        <w:rPr>
          <w:b/>
          <w:i/>
          <w:u w:val="single"/>
        </w:rPr>
        <w:t>приложение №2</w:t>
      </w:r>
      <w:r w:rsidR="00BB7BB8" w:rsidRPr="00BB7BB8">
        <w:rPr>
          <w:b/>
          <w:i/>
        </w:rPr>
        <w:t>).</w:t>
      </w:r>
      <w:r w:rsidR="00BB7BB8">
        <w:t xml:space="preserve"> </w:t>
      </w:r>
      <w:r w:rsidR="00DC2318">
        <w:t xml:space="preserve">Из приложения следует, что </w:t>
      </w:r>
      <w:r w:rsidR="00DC2318">
        <w:rPr>
          <w:u w:val="single"/>
        </w:rPr>
        <w:t xml:space="preserve">практически по </w:t>
      </w:r>
      <w:r w:rsidR="00DC2318" w:rsidRPr="00DE2799">
        <w:rPr>
          <w:u w:val="single"/>
        </w:rPr>
        <w:t>всем главным распорядителям</w:t>
      </w:r>
      <w:r w:rsidR="00DC2318">
        <w:rPr>
          <w:u w:val="single"/>
        </w:rPr>
        <w:t xml:space="preserve"> (за исключением Избирательной комиссии Волгоградской </w:t>
      </w:r>
      <w:r w:rsidR="00DC2318">
        <w:rPr>
          <w:u w:val="single"/>
        </w:rPr>
        <w:lastRenderedPageBreak/>
        <w:t xml:space="preserve">области) </w:t>
      </w:r>
      <w:r w:rsidR="00DC2318" w:rsidRPr="00DE2799">
        <w:rPr>
          <w:u w:val="single"/>
        </w:rPr>
        <w:t xml:space="preserve"> показатели сводной бюджетной росписи </w:t>
      </w:r>
      <w:r w:rsidR="00DC2318">
        <w:rPr>
          <w:u w:val="single"/>
        </w:rPr>
        <w:t>в той ил</w:t>
      </w:r>
      <w:r w:rsidR="00DC2318" w:rsidRPr="00DE2799">
        <w:rPr>
          <w:u w:val="single"/>
        </w:rPr>
        <w:t>и иной мере не соответствуют закону о бюджете, т. е. принима</w:t>
      </w:r>
      <w:r w:rsidR="00DC2318">
        <w:rPr>
          <w:u w:val="single"/>
        </w:rPr>
        <w:t>л</w:t>
      </w:r>
      <w:r w:rsidR="00DC2318" w:rsidRPr="00DE2799">
        <w:rPr>
          <w:u w:val="single"/>
        </w:rPr>
        <w:t>ся бюджет с одними ассигнованиями</w:t>
      </w:r>
      <w:r w:rsidR="00DC2318">
        <w:rPr>
          <w:u w:val="single"/>
        </w:rPr>
        <w:t xml:space="preserve"> по расходам</w:t>
      </w:r>
      <w:r w:rsidR="00DC2318" w:rsidRPr="00DE2799">
        <w:rPr>
          <w:u w:val="single"/>
        </w:rPr>
        <w:t>, а фактически исполня</w:t>
      </w:r>
      <w:r w:rsidR="00DC2318">
        <w:rPr>
          <w:u w:val="single"/>
        </w:rPr>
        <w:t>л</w:t>
      </w:r>
      <w:r w:rsidR="00DC2318" w:rsidRPr="00DE2799">
        <w:rPr>
          <w:u w:val="single"/>
        </w:rPr>
        <w:t>ся с другими.</w:t>
      </w:r>
      <w:r w:rsidR="00DC2318">
        <w:rPr>
          <w:u w:val="single"/>
        </w:rPr>
        <w:t xml:space="preserve"> </w:t>
      </w:r>
      <w:r w:rsidR="00BB7BB8">
        <w:t xml:space="preserve">При этом отклонения </w:t>
      </w:r>
      <w:r w:rsidR="004C0323">
        <w:t xml:space="preserve">бюджетной росписи </w:t>
      </w:r>
      <w:r w:rsidR="00BB7BB8">
        <w:t xml:space="preserve">отмечены как в сторону увеличения, так и в сторону снижения относительно утвержденного бюджета. Если </w:t>
      </w:r>
      <w:r w:rsidR="004C0323">
        <w:t xml:space="preserve">же </w:t>
      </w:r>
      <w:r w:rsidR="00BB7BB8">
        <w:t>говорить о величинах сложившихся отклонений, то они колеблются от 1,1% до 7 раз.</w:t>
      </w:r>
      <w:r w:rsidR="00C627E5">
        <w:t xml:space="preserve"> Общая сумма увеличения расходов сводной бюджетной росписи по сравнению с </w:t>
      </w:r>
      <w:proofErr w:type="gramStart"/>
      <w:r w:rsidR="00C627E5">
        <w:t>предусмотренными</w:t>
      </w:r>
      <w:proofErr w:type="gramEnd"/>
      <w:r w:rsidR="00C627E5">
        <w:t xml:space="preserve"> в законе о бюджете составила 1727,8 млн. рублей.</w:t>
      </w:r>
      <w:r w:rsidR="00DE5F18">
        <w:t xml:space="preserve"> Во многих случаях ассигнования в росписи были увеличены в связи с поступлением дополнительно финансирования </w:t>
      </w:r>
      <w:proofErr w:type="gramStart"/>
      <w:r w:rsidR="00DE5F18">
        <w:t>на те</w:t>
      </w:r>
      <w:proofErr w:type="gramEnd"/>
      <w:r w:rsidR="00DE5F18">
        <w:t xml:space="preserve"> или иные цели из федерального бюджета</w:t>
      </w:r>
      <w:r w:rsidR="00DE2799">
        <w:t xml:space="preserve"> (например, после внесения очередных поправок в закон о бюджете)</w:t>
      </w:r>
      <w:r w:rsidR="00DE5F18">
        <w:t xml:space="preserve">. Однако </w:t>
      </w:r>
      <w:r w:rsidR="00DE5F18" w:rsidRPr="002E69F7">
        <w:rPr>
          <w:u w:val="single"/>
        </w:rPr>
        <w:t>изменялись утвержденные бюджетом ассигнования и по ряду других оснований</w:t>
      </w:r>
      <w:r w:rsidR="002E69F7" w:rsidRPr="002E69F7">
        <w:rPr>
          <w:u w:val="single"/>
        </w:rPr>
        <w:t>,</w:t>
      </w:r>
      <w:r w:rsidR="002E69F7">
        <w:t xml:space="preserve"> при которых руководитель финансового органа вправе вносить изменения в сводную бюджетную роспись без внесения соответствующих изменений в закон о бюджете. Такие основания предусмотрены не только Бюджетным кодексом РФ, но и законодательными актами Волгоградской области. Причем в последние годы перечень оснований, установленных областным законодательством,</w:t>
      </w:r>
      <w:r w:rsidR="004C0323">
        <w:t xml:space="preserve"> постоянно расширялся</w:t>
      </w:r>
      <w:r w:rsidR="002E69F7">
        <w:t xml:space="preserve">. </w:t>
      </w:r>
      <w:r w:rsidR="00DE5F18">
        <w:t xml:space="preserve"> </w:t>
      </w:r>
    </w:p>
    <w:p w:rsidR="00557154" w:rsidRDefault="00E02621" w:rsidP="00E02621">
      <w:pPr>
        <w:jc w:val="both"/>
        <w:rPr>
          <w:szCs w:val="24"/>
        </w:rPr>
      </w:pPr>
      <w:r>
        <w:rPr>
          <w:szCs w:val="24"/>
        </w:rPr>
        <w:tab/>
      </w:r>
      <w:r w:rsidR="00D06679">
        <w:rPr>
          <w:szCs w:val="24"/>
        </w:rPr>
        <w:t xml:space="preserve">По отдельным главным распорядителям бюджетных средств отклонения сводной бюджетной росписи, согласно которой исполнялись его расходы, относительно ассигнований, утвержденных законом о бюджете, очень существенны. </w:t>
      </w:r>
      <w:proofErr w:type="gramStart"/>
      <w:r w:rsidR="00D06679">
        <w:rPr>
          <w:szCs w:val="24"/>
        </w:rPr>
        <w:t>Например, по комитету образования и науки они составила (+) 2387,5 млн. руб., или 13,8%, по комитету строительства – (-) 949,4 млн. руб., или 21,2% и т. д.</w:t>
      </w:r>
      <w:r w:rsidR="001560EB">
        <w:rPr>
          <w:szCs w:val="24"/>
        </w:rPr>
        <w:t xml:space="preserve"> При этом в соответствующих формах бюджетной отчетности этих ГРБС указано</w:t>
      </w:r>
      <w:r w:rsidR="005772F4">
        <w:rPr>
          <w:szCs w:val="24"/>
        </w:rPr>
        <w:t>, что</w:t>
      </w:r>
      <w:r w:rsidR="00D06679">
        <w:rPr>
          <w:szCs w:val="24"/>
        </w:rPr>
        <w:t xml:space="preserve"> </w:t>
      </w:r>
      <w:r w:rsidR="005772F4">
        <w:rPr>
          <w:szCs w:val="24"/>
        </w:rPr>
        <w:t xml:space="preserve">изменения в бюджетную роспись внесены в соответствии со статьей 42 закона об областном бюджете на 2017 год, которая содержала </w:t>
      </w:r>
      <w:r w:rsidR="0059600E">
        <w:rPr>
          <w:szCs w:val="24"/>
        </w:rPr>
        <w:t>1</w:t>
      </w:r>
      <w:r w:rsidR="00395BCD">
        <w:rPr>
          <w:szCs w:val="24"/>
        </w:rPr>
        <w:t>7</w:t>
      </w:r>
      <w:r w:rsidR="0059600E">
        <w:rPr>
          <w:szCs w:val="24"/>
        </w:rPr>
        <w:t xml:space="preserve"> </w:t>
      </w:r>
      <w:r w:rsidR="00B83258">
        <w:rPr>
          <w:szCs w:val="24"/>
        </w:rPr>
        <w:t xml:space="preserve">дополнительных </w:t>
      </w:r>
      <w:r w:rsidR="0059600E">
        <w:rPr>
          <w:szCs w:val="24"/>
        </w:rPr>
        <w:t>оснований для внесения в</w:t>
      </w:r>
      <w:proofErr w:type="gramEnd"/>
      <w:r w:rsidR="0059600E">
        <w:rPr>
          <w:szCs w:val="24"/>
        </w:rPr>
        <w:t xml:space="preserve"> сводную бюджетную роспись без внесения соответствующих изменений в закон о бюджете.</w:t>
      </w:r>
    </w:p>
    <w:p w:rsidR="00E02621" w:rsidRPr="00B83258" w:rsidRDefault="00557154" w:rsidP="00E02621">
      <w:pPr>
        <w:jc w:val="both"/>
        <w:rPr>
          <w:bCs/>
          <w:szCs w:val="24"/>
        </w:rPr>
      </w:pPr>
      <w:r>
        <w:rPr>
          <w:szCs w:val="24"/>
        </w:rPr>
        <w:tab/>
      </w:r>
      <w:r w:rsidR="00E02621">
        <w:rPr>
          <w:szCs w:val="24"/>
        </w:rPr>
        <w:t xml:space="preserve"> </w:t>
      </w:r>
      <w:proofErr w:type="gramStart"/>
      <w:r w:rsidR="00E02621" w:rsidRPr="001B1D03">
        <w:rPr>
          <w:b/>
          <w:i/>
          <w:szCs w:val="24"/>
          <w:u w:val="single"/>
        </w:rPr>
        <w:t>Для сравнения</w:t>
      </w:r>
      <w:r w:rsidR="00E02621">
        <w:rPr>
          <w:szCs w:val="24"/>
        </w:rPr>
        <w:t xml:space="preserve">: </w:t>
      </w:r>
      <w:r w:rsidR="00E02621" w:rsidRPr="00B83258">
        <w:rPr>
          <w:szCs w:val="24"/>
        </w:rPr>
        <w:t>при проведении палатой анализа реализации полномочий по внесению изменений в сводную бюджетную роспись без внесения изменений в закон о бюджете, предусмотренных статьей 5.1 Закона Волгогр</w:t>
      </w:r>
      <w:r w:rsidR="00B83258">
        <w:rPr>
          <w:szCs w:val="24"/>
        </w:rPr>
        <w:t xml:space="preserve">адской области от 11.06.2008 </w:t>
      </w:r>
      <w:r w:rsidR="00E02621" w:rsidRPr="00B83258">
        <w:rPr>
          <w:szCs w:val="24"/>
        </w:rPr>
        <w:t>№1694-ОД «О бюджетном процессе в Волгоградской области», проведенн</w:t>
      </w:r>
      <w:r w:rsidR="006A3831">
        <w:rPr>
          <w:szCs w:val="24"/>
        </w:rPr>
        <w:t>ого</w:t>
      </w:r>
      <w:r w:rsidR="00E02621" w:rsidRPr="00B83258">
        <w:rPr>
          <w:szCs w:val="24"/>
        </w:rPr>
        <w:t xml:space="preserve"> </w:t>
      </w:r>
      <w:r w:rsidR="000B0050">
        <w:rPr>
          <w:szCs w:val="24"/>
        </w:rPr>
        <w:t xml:space="preserve">в конце </w:t>
      </w:r>
      <w:r w:rsidR="00E02621" w:rsidRPr="00B83258">
        <w:rPr>
          <w:szCs w:val="24"/>
        </w:rPr>
        <w:t xml:space="preserve">2016 года, было установлено, что при </w:t>
      </w:r>
      <w:r w:rsidR="00F82E53" w:rsidRPr="00B83258">
        <w:rPr>
          <w:szCs w:val="24"/>
        </w:rPr>
        <w:t xml:space="preserve">27 основаниях </w:t>
      </w:r>
      <w:r w:rsidR="00E02621" w:rsidRPr="00B83258">
        <w:rPr>
          <w:szCs w:val="24"/>
        </w:rPr>
        <w:t>для внесения таких и</w:t>
      </w:r>
      <w:r w:rsidR="000B0050">
        <w:rPr>
          <w:szCs w:val="24"/>
        </w:rPr>
        <w:t>зменений (установленных БК РФ, з</w:t>
      </w:r>
      <w:r w:rsidR="00E02621" w:rsidRPr="00B83258">
        <w:rPr>
          <w:szCs w:val="24"/>
        </w:rPr>
        <w:t>аконом «О бюджетном процессе в</w:t>
      </w:r>
      <w:proofErr w:type="gramEnd"/>
      <w:r w:rsidR="00E02621" w:rsidRPr="00B83258">
        <w:rPr>
          <w:szCs w:val="24"/>
        </w:rPr>
        <w:t xml:space="preserve"> </w:t>
      </w:r>
      <w:proofErr w:type="gramStart"/>
      <w:r w:rsidR="00E02621" w:rsidRPr="00B83258">
        <w:rPr>
          <w:szCs w:val="24"/>
        </w:rPr>
        <w:t>Волгоградской области»</w:t>
      </w:r>
      <w:r w:rsidR="00F82E53" w:rsidRPr="00B83258">
        <w:rPr>
          <w:szCs w:val="24"/>
        </w:rPr>
        <w:t xml:space="preserve"> и законом о</w:t>
      </w:r>
      <w:r w:rsidR="000B0050">
        <w:rPr>
          <w:szCs w:val="24"/>
        </w:rPr>
        <w:t xml:space="preserve">б областном </w:t>
      </w:r>
      <w:r w:rsidR="00F82E53" w:rsidRPr="00B83258">
        <w:rPr>
          <w:szCs w:val="24"/>
        </w:rPr>
        <w:t>бюджете) законом о бюджете</w:t>
      </w:r>
      <w:r w:rsidR="008A4A41">
        <w:rPr>
          <w:szCs w:val="24"/>
        </w:rPr>
        <w:t xml:space="preserve"> на 2016-2018 годы</w:t>
      </w:r>
      <w:r w:rsidR="00F82E53" w:rsidRPr="00B83258">
        <w:rPr>
          <w:szCs w:val="24"/>
        </w:rPr>
        <w:t xml:space="preserve"> предусматривал</w:t>
      </w:r>
      <w:r w:rsidR="008A4A41">
        <w:rPr>
          <w:szCs w:val="24"/>
        </w:rPr>
        <w:t>а</w:t>
      </w:r>
      <w:r w:rsidR="00F82E53" w:rsidRPr="00B83258">
        <w:rPr>
          <w:szCs w:val="24"/>
        </w:rPr>
        <w:t xml:space="preserve">сь </w:t>
      </w:r>
      <w:r w:rsidR="008A4A41">
        <w:rPr>
          <w:szCs w:val="24"/>
        </w:rPr>
        <w:t xml:space="preserve">возможность перераспределения ассигнований в 2016 году </w:t>
      </w:r>
      <w:r w:rsidR="00F82E53" w:rsidRPr="00B83258">
        <w:rPr>
          <w:szCs w:val="24"/>
        </w:rPr>
        <w:t xml:space="preserve">только </w:t>
      </w:r>
      <w:r w:rsidR="008A4A41">
        <w:rPr>
          <w:szCs w:val="24"/>
        </w:rPr>
        <w:t xml:space="preserve">по </w:t>
      </w:r>
      <w:r w:rsidR="00F82E53" w:rsidRPr="00B83258">
        <w:rPr>
          <w:szCs w:val="24"/>
        </w:rPr>
        <w:t>8 основани</w:t>
      </w:r>
      <w:r w:rsidR="008A4A41">
        <w:rPr>
          <w:szCs w:val="24"/>
        </w:rPr>
        <w:t>ям</w:t>
      </w:r>
      <w:r w:rsidR="00F82E53" w:rsidRPr="00B83258">
        <w:rPr>
          <w:szCs w:val="24"/>
        </w:rPr>
        <w:t>, т. е. в 2 раза меньше, чем в 2017 году.</w:t>
      </w:r>
      <w:r w:rsidR="00E02621" w:rsidRPr="00B83258">
        <w:rPr>
          <w:szCs w:val="24"/>
        </w:rPr>
        <w:t xml:space="preserve">  </w:t>
      </w:r>
      <w:proofErr w:type="gramEnd"/>
    </w:p>
    <w:p w:rsidR="002854B1" w:rsidRDefault="002854B1" w:rsidP="00977E7E">
      <w:pPr>
        <w:ind w:firstLine="708"/>
        <w:jc w:val="both"/>
        <w:rPr>
          <w:szCs w:val="24"/>
        </w:rPr>
      </w:pPr>
      <w:proofErr w:type="gramStart"/>
      <w:r>
        <w:rPr>
          <w:szCs w:val="24"/>
        </w:rPr>
        <w:t>Наиболее активно в минувшем году использовалось основание, предусмотренное абзацем 11 статьи 5.1 Закона Волгоградской области «О бюджетном процессе в Волгоградской области» (введен Законом Волгоградской области от 13.10.2017 №83-ОД «О внесении изменений в Закон Волгоградской области от 11.06.2008 №1694-ОД «О бюджетном процессе…»), - «путем перераспределения бюджетных ассигнований между текущим финансовым годом и плановым периодом в пределах общего объема бюджетных ассигнований, утвержденных законом</w:t>
      </w:r>
      <w:proofErr w:type="gramEnd"/>
      <w:r>
        <w:rPr>
          <w:szCs w:val="24"/>
        </w:rPr>
        <w:t xml:space="preserve"> Волгоградской области об областном бюджете».</w:t>
      </w:r>
    </w:p>
    <w:p w:rsidR="007D3B64" w:rsidRDefault="002854B1" w:rsidP="007D3B64">
      <w:pPr>
        <w:ind w:firstLine="709"/>
        <w:jc w:val="both"/>
        <w:rPr>
          <w:szCs w:val="24"/>
        </w:rPr>
      </w:pPr>
      <w:proofErr w:type="gramStart"/>
      <w:r>
        <w:rPr>
          <w:szCs w:val="24"/>
        </w:rPr>
        <w:t xml:space="preserve">Так, по комитету строительства по данному основанию расходы сводной бюджетной росписи на 2017 год сокращены относительно утвержденных в законе о бюджете на 949,4 млн. руб., или на 21,2% (перемещены на 2018 год), </w:t>
      </w:r>
      <w:r w:rsidR="002006E8">
        <w:rPr>
          <w:szCs w:val="24"/>
        </w:rPr>
        <w:t xml:space="preserve">по комитету информационных технологий – на 636,7 млн. руб., или в 2,2 раза, </w:t>
      </w:r>
      <w:r w:rsidRPr="007D3B64">
        <w:rPr>
          <w:szCs w:val="24"/>
        </w:rPr>
        <w:t>по комитету образования и науки</w:t>
      </w:r>
      <w:r w:rsidR="00FC0D8B" w:rsidRPr="007D3B64">
        <w:rPr>
          <w:szCs w:val="24"/>
        </w:rPr>
        <w:t>, наоборот,</w:t>
      </w:r>
      <w:r w:rsidR="007D3B64">
        <w:rPr>
          <w:szCs w:val="24"/>
        </w:rPr>
        <w:t xml:space="preserve"> увеличены на 2387,5 млн. руб.. или на 13,7% и т</w:t>
      </w:r>
      <w:proofErr w:type="gramEnd"/>
      <w:r w:rsidR="007D3B64">
        <w:rPr>
          <w:szCs w:val="24"/>
        </w:rPr>
        <w:t>. д.</w:t>
      </w:r>
    </w:p>
    <w:p w:rsidR="00977E7E" w:rsidRPr="00E45CC3" w:rsidRDefault="00977E7E" w:rsidP="00977E7E">
      <w:pPr>
        <w:ind w:firstLine="708"/>
        <w:jc w:val="both"/>
        <w:rPr>
          <w:b/>
          <w:i/>
          <w:u w:val="single"/>
        </w:rPr>
      </w:pPr>
      <w:r>
        <w:rPr>
          <w:szCs w:val="24"/>
        </w:rPr>
        <w:t xml:space="preserve">Всего в 2017 году БК РФ и законодательством Волгоградской области предусматривалось </w:t>
      </w:r>
      <w:r w:rsidR="000B0050" w:rsidRPr="008A3757">
        <w:rPr>
          <w:i/>
          <w:szCs w:val="24"/>
        </w:rPr>
        <w:t>3</w:t>
      </w:r>
      <w:r w:rsidRPr="008A3757">
        <w:rPr>
          <w:b/>
          <w:i/>
          <w:szCs w:val="24"/>
        </w:rPr>
        <w:t>7 видов оснований</w:t>
      </w:r>
      <w:r>
        <w:rPr>
          <w:b/>
          <w:szCs w:val="24"/>
        </w:rPr>
        <w:t xml:space="preserve"> </w:t>
      </w:r>
      <w:proofErr w:type="gramStart"/>
      <w:r w:rsidR="000B0050" w:rsidRPr="000B0050">
        <w:rPr>
          <w:szCs w:val="24"/>
        </w:rPr>
        <w:t>для</w:t>
      </w:r>
      <w:r w:rsidR="000B0050">
        <w:rPr>
          <w:b/>
          <w:szCs w:val="24"/>
        </w:rPr>
        <w:t xml:space="preserve"> </w:t>
      </w:r>
      <w:r>
        <w:rPr>
          <w:szCs w:val="24"/>
        </w:rPr>
        <w:t xml:space="preserve">внесения изменений в сводную бюджетную роспись </w:t>
      </w:r>
      <w:r w:rsidR="000B0050">
        <w:rPr>
          <w:szCs w:val="24"/>
        </w:rPr>
        <w:t xml:space="preserve">по расходам </w:t>
      </w:r>
      <w:r>
        <w:rPr>
          <w:szCs w:val="24"/>
        </w:rPr>
        <w:t>в соответствии с решениями</w:t>
      </w:r>
      <w:proofErr w:type="gramEnd"/>
      <w:r>
        <w:rPr>
          <w:szCs w:val="24"/>
        </w:rPr>
        <w:t xml:space="preserve"> руководителя финансового органа без внесения изменений в закон о бюджете, в том числе:</w:t>
      </w:r>
    </w:p>
    <w:p w:rsidR="00977E7E" w:rsidRDefault="00977E7E" w:rsidP="00977E7E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0B0050">
        <w:rPr>
          <w:rFonts w:ascii="Times New Roman" w:hAnsi="Times New Roman"/>
          <w:sz w:val="24"/>
          <w:szCs w:val="24"/>
        </w:rPr>
        <w:t>1</w:t>
      </w:r>
      <w:r w:rsidR="000B0050">
        <w:rPr>
          <w:rFonts w:ascii="Times New Roman" w:hAnsi="Times New Roman"/>
          <w:sz w:val="24"/>
          <w:szCs w:val="24"/>
        </w:rPr>
        <w:t>0</w:t>
      </w:r>
      <w:r w:rsidRPr="000B005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оснований  - </w:t>
      </w:r>
      <w:r w:rsidR="00957F5D">
        <w:rPr>
          <w:rFonts w:ascii="Times New Roman" w:hAnsi="Times New Roman"/>
          <w:sz w:val="24"/>
          <w:szCs w:val="24"/>
        </w:rPr>
        <w:t>стать</w:t>
      </w:r>
      <w:r w:rsidR="005114D8">
        <w:rPr>
          <w:rFonts w:ascii="Times New Roman" w:hAnsi="Times New Roman"/>
          <w:sz w:val="24"/>
          <w:szCs w:val="24"/>
        </w:rPr>
        <w:t>я</w:t>
      </w:r>
      <w:r w:rsidR="00957F5D">
        <w:rPr>
          <w:rFonts w:ascii="Times New Roman" w:hAnsi="Times New Roman"/>
          <w:sz w:val="24"/>
          <w:szCs w:val="24"/>
        </w:rPr>
        <w:t xml:space="preserve"> 217 </w:t>
      </w:r>
      <w:r>
        <w:rPr>
          <w:rFonts w:ascii="Times New Roman" w:hAnsi="Times New Roman"/>
          <w:sz w:val="24"/>
          <w:szCs w:val="24"/>
        </w:rPr>
        <w:t>БК РФ;</w:t>
      </w:r>
    </w:p>
    <w:p w:rsidR="00977E7E" w:rsidRDefault="00977E7E" w:rsidP="00977E7E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0B0050">
        <w:rPr>
          <w:rFonts w:ascii="Times New Roman" w:hAnsi="Times New Roman"/>
          <w:sz w:val="24"/>
          <w:szCs w:val="24"/>
        </w:rPr>
        <w:t>10</w:t>
      </w:r>
      <w:r w:rsidRPr="00957F5D"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оснований  - ст</w:t>
      </w:r>
      <w:r w:rsidR="00957F5D">
        <w:rPr>
          <w:rFonts w:ascii="Times New Roman" w:hAnsi="Times New Roman"/>
          <w:sz w:val="24"/>
          <w:szCs w:val="24"/>
        </w:rPr>
        <w:t>ать</w:t>
      </w:r>
      <w:r w:rsidR="005114D8"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 xml:space="preserve"> 5.1 Закона</w:t>
      </w:r>
      <w:r w:rsidR="00957F5D">
        <w:rPr>
          <w:rFonts w:ascii="Times New Roman" w:hAnsi="Times New Roman"/>
          <w:sz w:val="24"/>
          <w:szCs w:val="24"/>
        </w:rPr>
        <w:t xml:space="preserve"> Волгоградской области «О бюджетном процессе в Волгоградской области»</w:t>
      </w:r>
      <w:r>
        <w:rPr>
          <w:rFonts w:ascii="Times New Roman" w:hAnsi="Times New Roman"/>
          <w:sz w:val="24"/>
          <w:szCs w:val="24"/>
        </w:rPr>
        <w:t>;</w:t>
      </w:r>
    </w:p>
    <w:p w:rsidR="00977E7E" w:rsidRDefault="00977E7E" w:rsidP="00977E7E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</w:t>
      </w:r>
      <w:r w:rsidR="000B0050">
        <w:rPr>
          <w:rFonts w:ascii="Times New Roman" w:hAnsi="Times New Roman"/>
          <w:sz w:val="24"/>
          <w:szCs w:val="24"/>
        </w:rPr>
        <w:t>17</w:t>
      </w:r>
      <w:r w:rsidRPr="00957F5D"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оснований  - ст</w:t>
      </w:r>
      <w:r w:rsidR="00957F5D">
        <w:rPr>
          <w:rFonts w:ascii="Times New Roman" w:hAnsi="Times New Roman"/>
          <w:sz w:val="24"/>
          <w:szCs w:val="24"/>
        </w:rPr>
        <w:t>атья</w:t>
      </w:r>
      <w:r>
        <w:rPr>
          <w:rFonts w:ascii="Times New Roman" w:hAnsi="Times New Roman"/>
          <w:sz w:val="24"/>
          <w:szCs w:val="24"/>
        </w:rPr>
        <w:t xml:space="preserve"> </w:t>
      </w:r>
      <w:r w:rsidR="00957F5D">
        <w:rPr>
          <w:rFonts w:ascii="Times New Roman" w:hAnsi="Times New Roman"/>
          <w:sz w:val="24"/>
          <w:szCs w:val="24"/>
        </w:rPr>
        <w:t>42</w:t>
      </w:r>
      <w:r>
        <w:rPr>
          <w:rFonts w:ascii="Times New Roman" w:hAnsi="Times New Roman"/>
          <w:sz w:val="24"/>
          <w:szCs w:val="24"/>
        </w:rPr>
        <w:t xml:space="preserve"> Закона</w:t>
      </w:r>
      <w:r w:rsidR="00957F5D">
        <w:rPr>
          <w:rFonts w:ascii="Times New Roman" w:hAnsi="Times New Roman"/>
          <w:sz w:val="24"/>
          <w:szCs w:val="24"/>
        </w:rPr>
        <w:t xml:space="preserve"> Волгоградской области</w:t>
      </w:r>
      <w:r w:rsidR="00957F5D" w:rsidRPr="00957F5D">
        <w:rPr>
          <w:rFonts w:ascii="Times New Roman" w:hAnsi="Times New Roman"/>
          <w:sz w:val="24"/>
          <w:szCs w:val="24"/>
        </w:rPr>
        <w:t xml:space="preserve"> «Об областном бюджете на 2017 год и на плановый период 2018 и 2019 годов»</w:t>
      </w:r>
      <w:r w:rsidRPr="00957F5D">
        <w:rPr>
          <w:rFonts w:ascii="Times New Roman" w:hAnsi="Times New Roman"/>
          <w:sz w:val="24"/>
          <w:szCs w:val="24"/>
        </w:rPr>
        <w:t>.</w:t>
      </w:r>
    </w:p>
    <w:p w:rsidR="00981644" w:rsidRPr="00860C1D" w:rsidRDefault="00981644" w:rsidP="00981644">
      <w:pPr>
        <w:autoSpaceDE w:val="0"/>
        <w:autoSpaceDN w:val="0"/>
        <w:adjustRightInd w:val="0"/>
        <w:ind w:firstLine="709"/>
        <w:jc w:val="both"/>
        <w:rPr>
          <w:szCs w:val="24"/>
        </w:rPr>
      </w:pPr>
      <w:r>
        <w:rPr>
          <w:szCs w:val="24"/>
        </w:rPr>
        <w:t xml:space="preserve"> </w:t>
      </w:r>
      <w:r w:rsidR="00557154">
        <w:rPr>
          <w:szCs w:val="24"/>
        </w:rPr>
        <w:t>Палатой</w:t>
      </w:r>
      <w:r w:rsidR="004E5F33">
        <w:rPr>
          <w:szCs w:val="24"/>
        </w:rPr>
        <w:t xml:space="preserve"> </w:t>
      </w:r>
      <w:r w:rsidR="00557154">
        <w:rPr>
          <w:szCs w:val="24"/>
        </w:rPr>
        <w:t>проведен</w:t>
      </w:r>
      <w:r>
        <w:rPr>
          <w:szCs w:val="24"/>
        </w:rPr>
        <w:t xml:space="preserve"> сравнительный анализ</w:t>
      </w:r>
      <w:r w:rsidRPr="00860C1D">
        <w:rPr>
          <w:szCs w:val="24"/>
        </w:rPr>
        <w:t xml:space="preserve"> нормативно</w:t>
      </w:r>
      <w:r>
        <w:rPr>
          <w:szCs w:val="24"/>
        </w:rPr>
        <w:t>го</w:t>
      </w:r>
      <w:r w:rsidRPr="00860C1D">
        <w:rPr>
          <w:szCs w:val="24"/>
        </w:rPr>
        <w:t xml:space="preserve"> регулировани</w:t>
      </w:r>
      <w:r>
        <w:rPr>
          <w:szCs w:val="24"/>
        </w:rPr>
        <w:t>я</w:t>
      </w:r>
      <w:r w:rsidRPr="00860C1D">
        <w:rPr>
          <w:szCs w:val="24"/>
        </w:rPr>
        <w:t xml:space="preserve"> вопросов внесения изменения в сводную бюджетную роспись </w:t>
      </w:r>
      <w:r w:rsidRPr="00D41A9C">
        <w:rPr>
          <w:b/>
          <w:i/>
          <w:szCs w:val="24"/>
        </w:rPr>
        <w:t>в отдельных регионах РФ</w:t>
      </w:r>
      <w:r w:rsidR="00C77D49">
        <w:rPr>
          <w:b/>
          <w:i/>
          <w:szCs w:val="24"/>
        </w:rPr>
        <w:t>,</w:t>
      </w:r>
      <w:r w:rsidR="00C77D49">
        <w:rPr>
          <w:szCs w:val="24"/>
        </w:rPr>
        <w:t xml:space="preserve"> в частности</w:t>
      </w:r>
      <w:r w:rsidRPr="00860C1D">
        <w:rPr>
          <w:szCs w:val="24"/>
        </w:rPr>
        <w:t xml:space="preserve"> </w:t>
      </w:r>
      <w:r w:rsidR="00C77D49">
        <w:rPr>
          <w:szCs w:val="24"/>
        </w:rPr>
        <w:t xml:space="preserve">в </w:t>
      </w:r>
      <w:r w:rsidRPr="00860C1D">
        <w:rPr>
          <w:szCs w:val="24"/>
        </w:rPr>
        <w:t>Московской, Ростовской, Саратовской, Астраханской, Самарской,  Воронежской областях и Ставропольском крае.</w:t>
      </w:r>
    </w:p>
    <w:p w:rsidR="00981644" w:rsidRDefault="00981644" w:rsidP="00981644">
      <w:pPr>
        <w:autoSpaceDE w:val="0"/>
        <w:autoSpaceDN w:val="0"/>
        <w:adjustRightInd w:val="0"/>
        <w:ind w:firstLine="709"/>
        <w:jc w:val="both"/>
        <w:rPr>
          <w:szCs w:val="24"/>
        </w:rPr>
      </w:pPr>
      <w:r w:rsidRPr="00860C1D">
        <w:rPr>
          <w:szCs w:val="24"/>
        </w:rPr>
        <w:t>Крат</w:t>
      </w:r>
      <w:r>
        <w:rPr>
          <w:szCs w:val="24"/>
        </w:rPr>
        <w:t>к</w:t>
      </w:r>
      <w:r w:rsidRPr="00860C1D">
        <w:rPr>
          <w:szCs w:val="24"/>
        </w:rPr>
        <w:t xml:space="preserve">ая информация о количестве </w:t>
      </w:r>
      <w:r w:rsidRPr="00A84A42">
        <w:rPr>
          <w:b/>
          <w:i/>
          <w:szCs w:val="24"/>
        </w:rPr>
        <w:t>дополнительных</w:t>
      </w:r>
      <w:r w:rsidRPr="00860C1D">
        <w:rPr>
          <w:szCs w:val="24"/>
        </w:rPr>
        <w:t xml:space="preserve"> (за исключением </w:t>
      </w:r>
      <w:r>
        <w:rPr>
          <w:szCs w:val="24"/>
        </w:rPr>
        <w:t xml:space="preserve">установленных </w:t>
      </w:r>
      <w:r w:rsidRPr="00860C1D">
        <w:rPr>
          <w:szCs w:val="24"/>
        </w:rPr>
        <w:t>п</w:t>
      </w:r>
      <w:r w:rsidR="00A84A42">
        <w:rPr>
          <w:szCs w:val="24"/>
        </w:rPr>
        <w:t>унктом</w:t>
      </w:r>
      <w:r>
        <w:rPr>
          <w:szCs w:val="24"/>
        </w:rPr>
        <w:t xml:space="preserve"> </w:t>
      </w:r>
      <w:r w:rsidRPr="00860C1D">
        <w:rPr>
          <w:szCs w:val="24"/>
        </w:rPr>
        <w:t>3 ст</w:t>
      </w:r>
      <w:r w:rsidR="00A84A42">
        <w:rPr>
          <w:szCs w:val="24"/>
        </w:rPr>
        <w:t>атьи</w:t>
      </w:r>
      <w:r w:rsidRPr="00860C1D">
        <w:rPr>
          <w:szCs w:val="24"/>
        </w:rPr>
        <w:t xml:space="preserve"> 217 БК РФ) оснований для внесения изменений в сводную бюджетную роспись</w:t>
      </w:r>
      <w:r>
        <w:rPr>
          <w:szCs w:val="24"/>
        </w:rPr>
        <w:t xml:space="preserve"> в 2016 и 2017 годах</w:t>
      </w:r>
      <w:r w:rsidRPr="00860C1D">
        <w:rPr>
          <w:szCs w:val="24"/>
        </w:rPr>
        <w:t xml:space="preserve"> </w:t>
      </w:r>
      <w:r>
        <w:rPr>
          <w:szCs w:val="24"/>
        </w:rPr>
        <w:t>представлена в таблице.</w:t>
      </w:r>
    </w:p>
    <w:p w:rsidR="00981644" w:rsidRDefault="00981644" w:rsidP="00981644">
      <w:pPr>
        <w:autoSpaceDE w:val="0"/>
        <w:autoSpaceDN w:val="0"/>
        <w:adjustRightInd w:val="0"/>
        <w:ind w:firstLine="709"/>
        <w:jc w:val="both"/>
        <w:rPr>
          <w:szCs w:val="24"/>
        </w:rPr>
      </w:pPr>
    </w:p>
    <w:tbl>
      <w:tblPr>
        <w:tblW w:w="9810" w:type="dxa"/>
        <w:jc w:val="center"/>
        <w:tblInd w:w="40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620"/>
        <w:gridCol w:w="1276"/>
        <w:gridCol w:w="1338"/>
        <w:gridCol w:w="1276"/>
        <w:gridCol w:w="1235"/>
        <w:gridCol w:w="1254"/>
        <w:gridCol w:w="811"/>
      </w:tblGrid>
      <w:tr w:rsidR="00981644" w:rsidRPr="007079B7" w:rsidTr="007079B7">
        <w:trPr>
          <w:trHeight w:val="20"/>
          <w:jc w:val="center"/>
        </w:trPr>
        <w:tc>
          <w:tcPr>
            <w:tcW w:w="2620" w:type="dxa"/>
            <w:vMerge w:val="restart"/>
            <w:tcBorders>
              <w:top w:val="double" w:sz="4" w:space="0" w:color="auto"/>
            </w:tcBorders>
            <w:shd w:val="clear" w:color="auto" w:fill="EAF1DD"/>
            <w:vAlign w:val="center"/>
          </w:tcPr>
          <w:p w:rsidR="00981644" w:rsidRPr="007079B7" w:rsidRDefault="00981644" w:rsidP="00981644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7079B7">
              <w:rPr>
                <w:b/>
                <w:sz w:val="22"/>
                <w:szCs w:val="22"/>
              </w:rPr>
              <w:t>Регион</w:t>
            </w:r>
          </w:p>
        </w:tc>
        <w:tc>
          <w:tcPr>
            <w:tcW w:w="2614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EAF1DD"/>
            <w:vAlign w:val="center"/>
          </w:tcPr>
          <w:p w:rsidR="00981644" w:rsidRPr="007079B7" w:rsidRDefault="00981644" w:rsidP="00981644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7079B7">
              <w:rPr>
                <w:b/>
                <w:sz w:val="22"/>
                <w:szCs w:val="22"/>
              </w:rPr>
              <w:t>Закон о бюджетном процессе</w:t>
            </w:r>
          </w:p>
        </w:tc>
        <w:tc>
          <w:tcPr>
            <w:tcW w:w="251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EAF1DD"/>
            <w:vAlign w:val="center"/>
          </w:tcPr>
          <w:p w:rsidR="00981644" w:rsidRPr="007079B7" w:rsidRDefault="00981644" w:rsidP="00A84A42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7079B7">
              <w:rPr>
                <w:b/>
                <w:sz w:val="22"/>
                <w:szCs w:val="22"/>
              </w:rPr>
              <w:t>Закон о</w:t>
            </w:r>
            <w:r w:rsidR="0066029B" w:rsidRPr="007079B7">
              <w:rPr>
                <w:b/>
                <w:sz w:val="22"/>
                <w:szCs w:val="22"/>
              </w:rPr>
              <w:t xml:space="preserve">б </w:t>
            </w:r>
            <w:r w:rsidR="00A84A42" w:rsidRPr="007079B7">
              <w:rPr>
                <w:b/>
                <w:sz w:val="22"/>
                <w:szCs w:val="22"/>
              </w:rPr>
              <w:t>об</w:t>
            </w:r>
            <w:r w:rsidR="0066029B" w:rsidRPr="007079B7">
              <w:rPr>
                <w:b/>
                <w:sz w:val="22"/>
                <w:szCs w:val="22"/>
              </w:rPr>
              <w:t>ластном</w:t>
            </w:r>
            <w:r w:rsidRPr="007079B7">
              <w:rPr>
                <w:b/>
                <w:sz w:val="22"/>
                <w:szCs w:val="22"/>
              </w:rPr>
              <w:t xml:space="preserve"> бюджете</w:t>
            </w:r>
          </w:p>
        </w:tc>
        <w:tc>
          <w:tcPr>
            <w:tcW w:w="206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EAF1DD"/>
          </w:tcPr>
          <w:p w:rsidR="00981644" w:rsidRPr="007079B7" w:rsidRDefault="00981644" w:rsidP="00981644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7079B7">
              <w:rPr>
                <w:b/>
                <w:sz w:val="22"/>
                <w:szCs w:val="22"/>
              </w:rPr>
              <w:t xml:space="preserve">Всего доп. </w:t>
            </w:r>
            <w:r w:rsidR="00295D00" w:rsidRPr="007079B7">
              <w:rPr>
                <w:b/>
                <w:sz w:val="22"/>
                <w:szCs w:val="22"/>
              </w:rPr>
              <w:t>О</w:t>
            </w:r>
            <w:r w:rsidRPr="007079B7">
              <w:rPr>
                <w:b/>
                <w:sz w:val="22"/>
                <w:szCs w:val="22"/>
              </w:rPr>
              <w:t>снований</w:t>
            </w:r>
          </w:p>
        </w:tc>
      </w:tr>
      <w:tr w:rsidR="00981644" w:rsidRPr="007079B7" w:rsidTr="007079B7">
        <w:trPr>
          <w:trHeight w:val="20"/>
          <w:jc w:val="center"/>
        </w:trPr>
        <w:tc>
          <w:tcPr>
            <w:tcW w:w="2620" w:type="dxa"/>
            <w:vMerge/>
            <w:tcBorders>
              <w:bottom w:val="double" w:sz="4" w:space="0" w:color="auto"/>
            </w:tcBorders>
            <w:shd w:val="clear" w:color="auto" w:fill="EAF1DD"/>
            <w:vAlign w:val="center"/>
          </w:tcPr>
          <w:p w:rsidR="00981644" w:rsidRPr="007079B7" w:rsidRDefault="00981644" w:rsidP="00981644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EAF1DD"/>
            <w:vAlign w:val="center"/>
          </w:tcPr>
          <w:p w:rsidR="00981644" w:rsidRPr="007079B7" w:rsidRDefault="00981644" w:rsidP="00981644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7079B7">
              <w:rPr>
                <w:b/>
                <w:sz w:val="22"/>
                <w:szCs w:val="22"/>
              </w:rPr>
              <w:t>2016</w:t>
            </w:r>
          </w:p>
        </w:tc>
        <w:tc>
          <w:tcPr>
            <w:tcW w:w="1338" w:type="dxa"/>
            <w:tcBorders>
              <w:top w:val="double" w:sz="4" w:space="0" w:color="auto"/>
              <w:bottom w:val="double" w:sz="4" w:space="0" w:color="auto"/>
            </w:tcBorders>
            <w:shd w:val="clear" w:color="auto" w:fill="EAF1DD"/>
          </w:tcPr>
          <w:p w:rsidR="00981644" w:rsidRPr="007079B7" w:rsidRDefault="00981644" w:rsidP="00981644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7079B7">
              <w:rPr>
                <w:b/>
                <w:sz w:val="22"/>
                <w:szCs w:val="22"/>
              </w:rPr>
              <w:t>2017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EAF1DD"/>
            <w:vAlign w:val="center"/>
          </w:tcPr>
          <w:p w:rsidR="00981644" w:rsidRPr="007079B7" w:rsidRDefault="00981644" w:rsidP="00981644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7079B7">
              <w:rPr>
                <w:b/>
                <w:sz w:val="22"/>
                <w:szCs w:val="22"/>
              </w:rPr>
              <w:t>2016</w:t>
            </w:r>
          </w:p>
        </w:tc>
        <w:tc>
          <w:tcPr>
            <w:tcW w:w="1235" w:type="dxa"/>
            <w:tcBorders>
              <w:top w:val="double" w:sz="4" w:space="0" w:color="auto"/>
              <w:bottom w:val="double" w:sz="4" w:space="0" w:color="auto"/>
            </w:tcBorders>
            <w:shd w:val="clear" w:color="auto" w:fill="EAF1DD"/>
          </w:tcPr>
          <w:p w:rsidR="00981644" w:rsidRPr="007079B7" w:rsidRDefault="00981644" w:rsidP="00981644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7079B7">
              <w:rPr>
                <w:b/>
                <w:sz w:val="22"/>
                <w:szCs w:val="22"/>
              </w:rPr>
              <w:t>2017</w:t>
            </w:r>
          </w:p>
        </w:tc>
        <w:tc>
          <w:tcPr>
            <w:tcW w:w="1254" w:type="dxa"/>
            <w:tcBorders>
              <w:top w:val="double" w:sz="4" w:space="0" w:color="auto"/>
              <w:bottom w:val="double" w:sz="4" w:space="0" w:color="auto"/>
            </w:tcBorders>
            <w:shd w:val="clear" w:color="auto" w:fill="EAF1DD"/>
          </w:tcPr>
          <w:p w:rsidR="00981644" w:rsidRPr="007079B7" w:rsidRDefault="00981644" w:rsidP="00981644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7079B7">
              <w:rPr>
                <w:b/>
                <w:sz w:val="22"/>
                <w:szCs w:val="22"/>
              </w:rPr>
              <w:t>2016</w:t>
            </w:r>
          </w:p>
        </w:tc>
        <w:tc>
          <w:tcPr>
            <w:tcW w:w="811" w:type="dxa"/>
            <w:tcBorders>
              <w:top w:val="double" w:sz="4" w:space="0" w:color="auto"/>
              <w:bottom w:val="double" w:sz="4" w:space="0" w:color="auto"/>
            </w:tcBorders>
            <w:shd w:val="clear" w:color="auto" w:fill="EAF1DD"/>
            <w:vAlign w:val="center"/>
          </w:tcPr>
          <w:p w:rsidR="00981644" w:rsidRPr="007079B7" w:rsidRDefault="00981644" w:rsidP="00981644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7079B7">
              <w:rPr>
                <w:b/>
                <w:sz w:val="22"/>
                <w:szCs w:val="22"/>
              </w:rPr>
              <w:t>2017</w:t>
            </w:r>
          </w:p>
        </w:tc>
      </w:tr>
      <w:tr w:rsidR="00981644" w:rsidRPr="007079B7" w:rsidTr="007079B7">
        <w:trPr>
          <w:trHeight w:val="20"/>
          <w:jc w:val="center"/>
        </w:trPr>
        <w:tc>
          <w:tcPr>
            <w:tcW w:w="2620" w:type="dxa"/>
            <w:tcBorders>
              <w:top w:val="double" w:sz="4" w:space="0" w:color="auto"/>
            </w:tcBorders>
            <w:shd w:val="clear" w:color="auto" w:fill="FDE9D9"/>
          </w:tcPr>
          <w:p w:rsidR="00981644" w:rsidRPr="007079B7" w:rsidRDefault="00981644" w:rsidP="0098164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079B7">
              <w:rPr>
                <w:sz w:val="22"/>
                <w:szCs w:val="22"/>
              </w:rPr>
              <w:t>Волгоградская область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FDE9D9"/>
          </w:tcPr>
          <w:p w:rsidR="00981644" w:rsidRPr="007079B7" w:rsidRDefault="00981644" w:rsidP="009816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079B7">
              <w:rPr>
                <w:sz w:val="22"/>
                <w:szCs w:val="22"/>
              </w:rPr>
              <w:t>8</w:t>
            </w:r>
          </w:p>
        </w:tc>
        <w:tc>
          <w:tcPr>
            <w:tcW w:w="1338" w:type="dxa"/>
            <w:tcBorders>
              <w:top w:val="double" w:sz="4" w:space="0" w:color="auto"/>
            </w:tcBorders>
            <w:shd w:val="clear" w:color="auto" w:fill="FDE9D9"/>
          </w:tcPr>
          <w:p w:rsidR="00981644" w:rsidRPr="007079B7" w:rsidRDefault="00981644" w:rsidP="009816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079B7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FDE9D9"/>
          </w:tcPr>
          <w:p w:rsidR="00981644" w:rsidRPr="007079B7" w:rsidRDefault="00981644" w:rsidP="009816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079B7">
              <w:rPr>
                <w:sz w:val="22"/>
                <w:szCs w:val="22"/>
              </w:rPr>
              <w:t>8</w:t>
            </w:r>
          </w:p>
        </w:tc>
        <w:tc>
          <w:tcPr>
            <w:tcW w:w="1235" w:type="dxa"/>
            <w:tcBorders>
              <w:top w:val="double" w:sz="4" w:space="0" w:color="auto"/>
            </w:tcBorders>
            <w:shd w:val="clear" w:color="auto" w:fill="FDE9D9"/>
          </w:tcPr>
          <w:p w:rsidR="00981644" w:rsidRPr="007079B7" w:rsidRDefault="00981644" w:rsidP="009816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079B7">
              <w:rPr>
                <w:sz w:val="22"/>
                <w:szCs w:val="22"/>
              </w:rPr>
              <w:t>17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FDE9D9"/>
          </w:tcPr>
          <w:p w:rsidR="00981644" w:rsidRPr="007079B7" w:rsidRDefault="00981644" w:rsidP="009816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079B7">
              <w:rPr>
                <w:sz w:val="22"/>
                <w:szCs w:val="22"/>
              </w:rPr>
              <w:t>16</w:t>
            </w:r>
          </w:p>
        </w:tc>
        <w:tc>
          <w:tcPr>
            <w:tcW w:w="811" w:type="dxa"/>
            <w:tcBorders>
              <w:top w:val="double" w:sz="4" w:space="0" w:color="auto"/>
            </w:tcBorders>
            <w:shd w:val="clear" w:color="auto" w:fill="FDE9D9"/>
          </w:tcPr>
          <w:p w:rsidR="00981644" w:rsidRPr="007079B7" w:rsidRDefault="00981644" w:rsidP="009816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079B7">
              <w:rPr>
                <w:sz w:val="22"/>
                <w:szCs w:val="22"/>
              </w:rPr>
              <w:t>27</w:t>
            </w:r>
          </w:p>
        </w:tc>
      </w:tr>
      <w:tr w:rsidR="00981644" w:rsidRPr="007079B7" w:rsidTr="007079B7">
        <w:trPr>
          <w:trHeight w:val="20"/>
          <w:jc w:val="center"/>
        </w:trPr>
        <w:tc>
          <w:tcPr>
            <w:tcW w:w="2620" w:type="dxa"/>
          </w:tcPr>
          <w:p w:rsidR="00981644" w:rsidRPr="007079B7" w:rsidRDefault="00981644" w:rsidP="0098164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079B7">
              <w:rPr>
                <w:sz w:val="22"/>
                <w:szCs w:val="22"/>
              </w:rPr>
              <w:t>Московская область</w:t>
            </w:r>
          </w:p>
        </w:tc>
        <w:tc>
          <w:tcPr>
            <w:tcW w:w="1276" w:type="dxa"/>
          </w:tcPr>
          <w:p w:rsidR="00981644" w:rsidRPr="007079B7" w:rsidRDefault="00981644" w:rsidP="009816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079B7">
              <w:rPr>
                <w:sz w:val="22"/>
                <w:szCs w:val="22"/>
              </w:rPr>
              <w:t>10</w:t>
            </w:r>
          </w:p>
        </w:tc>
        <w:tc>
          <w:tcPr>
            <w:tcW w:w="1338" w:type="dxa"/>
          </w:tcPr>
          <w:p w:rsidR="00981644" w:rsidRPr="007079B7" w:rsidRDefault="00981644" w:rsidP="009816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079B7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</w:tcPr>
          <w:p w:rsidR="00981644" w:rsidRPr="007079B7" w:rsidRDefault="00981644" w:rsidP="009816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079B7">
              <w:rPr>
                <w:sz w:val="22"/>
                <w:szCs w:val="22"/>
              </w:rPr>
              <w:t>-</w:t>
            </w:r>
          </w:p>
        </w:tc>
        <w:tc>
          <w:tcPr>
            <w:tcW w:w="1235" w:type="dxa"/>
          </w:tcPr>
          <w:p w:rsidR="00981644" w:rsidRPr="007079B7" w:rsidRDefault="00981644" w:rsidP="009816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079B7">
              <w:rPr>
                <w:sz w:val="22"/>
                <w:szCs w:val="22"/>
              </w:rPr>
              <w:t>-</w:t>
            </w:r>
          </w:p>
        </w:tc>
        <w:tc>
          <w:tcPr>
            <w:tcW w:w="1254" w:type="dxa"/>
          </w:tcPr>
          <w:p w:rsidR="00981644" w:rsidRPr="007079B7" w:rsidRDefault="00981644" w:rsidP="009816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079B7">
              <w:rPr>
                <w:sz w:val="22"/>
                <w:szCs w:val="22"/>
              </w:rPr>
              <w:t>10</w:t>
            </w:r>
          </w:p>
        </w:tc>
        <w:tc>
          <w:tcPr>
            <w:tcW w:w="811" w:type="dxa"/>
          </w:tcPr>
          <w:p w:rsidR="00981644" w:rsidRPr="007079B7" w:rsidRDefault="00981644" w:rsidP="009816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079B7">
              <w:rPr>
                <w:sz w:val="22"/>
                <w:szCs w:val="22"/>
              </w:rPr>
              <w:t>11</w:t>
            </w:r>
          </w:p>
        </w:tc>
      </w:tr>
      <w:tr w:rsidR="00981644" w:rsidRPr="007079B7" w:rsidTr="007079B7">
        <w:trPr>
          <w:trHeight w:val="20"/>
          <w:jc w:val="center"/>
        </w:trPr>
        <w:tc>
          <w:tcPr>
            <w:tcW w:w="2620" w:type="dxa"/>
          </w:tcPr>
          <w:p w:rsidR="00981644" w:rsidRPr="007079B7" w:rsidRDefault="00981644" w:rsidP="0098164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079B7">
              <w:rPr>
                <w:sz w:val="22"/>
                <w:szCs w:val="22"/>
              </w:rPr>
              <w:t>Ставропольский край</w:t>
            </w:r>
          </w:p>
        </w:tc>
        <w:tc>
          <w:tcPr>
            <w:tcW w:w="1276" w:type="dxa"/>
          </w:tcPr>
          <w:p w:rsidR="00981644" w:rsidRPr="007079B7" w:rsidRDefault="00981644" w:rsidP="009816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079B7">
              <w:rPr>
                <w:sz w:val="22"/>
                <w:szCs w:val="22"/>
              </w:rPr>
              <w:t>7</w:t>
            </w:r>
          </w:p>
        </w:tc>
        <w:tc>
          <w:tcPr>
            <w:tcW w:w="1338" w:type="dxa"/>
          </w:tcPr>
          <w:p w:rsidR="00981644" w:rsidRPr="007079B7" w:rsidRDefault="00981644" w:rsidP="009816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079B7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981644" w:rsidRPr="007079B7" w:rsidRDefault="00981644" w:rsidP="009816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079B7">
              <w:rPr>
                <w:sz w:val="22"/>
                <w:szCs w:val="22"/>
              </w:rPr>
              <w:t>-</w:t>
            </w:r>
          </w:p>
        </w:tc>
        <w:tc>
          <w:tcPr>
            <w:tcW w:w="1235" w:type="dxa"/>
          </w:tcPr>
          <w:p w:rsidR="00981644" w:rsidRPr="007079B7" w:rsidRDefault="00981644" w:rsidP="009816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079B7">
              <w:rPr>
                <w:sz w:val="22"/>
                <w:szCs w:val="22"/>
              </w:rPr>
              <w:t>-</w:t>
            </w:r>
          </w:p>
        </w:tc>
        <w:tc>
          <w:tcPr>
            <w:tcW w:w="1254" w:type="dxa"/>
          </w:tcPr>
          <w:p w:rsidR="00981644" w:rsidRPr="007079B7" w:rsidRDefault="00981644" w:rsidP="009816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079B7">
              <w:rPr>
                <w:sz w:val="22"/>
                <w:szCs w:val="22"/>
              </w:rPr>
              <w:t>7</w:t>
            </w:r>
          </w:p>
        </w:tc>
        <w:tc>
          <w:tcPr>
            <w:tcW w:w="811" w:type="dxa"/>
          </w:tcPr>
          <w:p w:rsidR="00981644" w:rsidRPr="007079B7" w:rsidRDefault="00981644" w:rsidP="009816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079B7">
              <w:rPr>
                <w:sz w:val="22"/>
                <w:szCs w:val="22"/>
              </w:rPr>
              <w:t>7</w:t>
            </w:r>
          </w:p>
        </w:tc>
      </w:tr>
      <w:tr w:rsidR="00981644" w:rsidRPr="007079B7" w:rsidTr="007079B7">
        <w:trPr>
          <w:trHeight w:val="20"/>
          <w:jc w:val="center"/>
        </w:trPr>
        <w:tc>
          <w:tcPr>
            <w:tcW w:w="2620" w:type="dxa"/>
          </w:tcPr>
          <w:p w:rsidR="00981644" w:rsidRPr="007079B7" w:rsidRDefault="00981644" w:rsidP="0098164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079B7">
              <w:rPr>
                <w:sz w:val="22"/>
                <w:szCs w:val="22"/>
              </w:rPr>
              <w:t>Саратовская область</w:t>
            </w:r>
          </w:p>
        </w:tc>
        <w:tc>
          <w:tcPr>
            <w:tcW w:w="1276" w:type="dxa"/>
          </w:tcPr>
          <w:p w:rsidR="00981644" w:rsidRPr="007079B7" w:rsidRDefault="00981644" w:rsidP="009816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079B7">
              <w:rPr>
                <w:sz w:val="22"/>
                <w:szCs w:val="22"/>
              </w:rPr>
              <w:t>5</w:t>
            </w:r>
          </w:p>
        </w:tc>
        <w:tc>
          <w:tcPr>
            <w:tcW w:w="1338" w:type="dxa"/>
          </w:tcPr>
          <w:p w:rsidR="00981644" w:rsidRPr="007079B7" w:rsidRDefault="00981644" w:rsidP="009816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079B7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981644" w:rsidRPr="007079B7" w:rsidRDefault="00981644" w:rsidP="009816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079B7">
              <w:rPr>
                <w:sz w:val="22"/>
                <w:szCs w:val="22"/>
              </w:rPr>
              <w:t>2</w:t>
            </w:r>
          </w:p>
        </w:tc>
        <w:tc>
          <w:tcPr>
            <w:tcW w:w="1235" w:type="dxa"/>
          </w:tcPr>
          <w:p w:rsidR="00981644" w:rsidRPr="007079B7" w:rsidRDefault="00981644" w:rsidP="009816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079B7">
              <w:rPr>
                <w:sz w:val="22"/>
                <w:szCs w:val="22"/>
              </w:rPr>
              <w:t>2</w:t>
            </w:r>
          </w:p>
        </w:tc>
        <w:tc>
          <w:tcPr>
            <w:tcW w:w="1254" w:type="dxa"/>
          </w:tcPr>
          <w:p w:rsidR="00981644" w:rsidRPr="007079B7" w:rsidRDefault="00981644" w:rsidP="009816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079B7">
              <w:rPr>
                <w:sz w:val="22"/>
                <w:szCs w:val="22"/>
              </w:rPr>
              <w:t>7</w:t>
            </w:r>
          </w:p>
        </w:tc>
        <w:tc>
          <w:tcPr>
            <w:tcW w:w="811" w:type="dxa"/>
          </w:tcPr>
          <w:p w:rsidR="00981644" w:rsidRPr="007079B7" w:rsidRDefault="00981644" w:rsidP="009816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079B7">
              <w:rPr>
                <w:sz w:val="22"/>
                <w:szCs w:val="22"/>
              </w:rPr>
              <w:t>7</w:t>
            </w:r>
          </w:p>
        </w:tc>
      </w:tr>
      <w:tr w:rsidR="00981644" w:rsidRPr="007079B7" w:rsidTr="007079B7">
        <w:trPr>
          <w:trHeight w:val="20"/>
          <w:jc w:val="center"/>
        </w:trPr>
        <w:tc>
          <w:tcPr>
            <w:tcW w:w="2620" w:type="dxa"/>
          </w:tcPr>
          <w:p w:rsidR="00981644" w:rsidRPr="007079B7" w:rsidRDefault="00981644" w:rsidP="0098164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079B7">
              <w:rPr>
                <w:sz w:val="22"/>
                <w:szCs w:val="22"/>
              </w:rPr>
              <w:t>Белгородская область</w:t>
            </w:r>
          </w:p>
        </w:tc>
        <w:tc>
          <w:tcPr>
            <w:tcW w:w="1276" w:type="dxa"/>
          </w:tcPr>
          <w:p w:rsidR="00981644" w:rsidRPr="007079B7" w:rsidRDefault="00981644" w:rsidP="009816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079B7">
              <w:rPr>
                <w:sz w:val="22"/>
                <w:szCs w:val="22"/>
              </w:rPr>
              <w:t>5</w:t>
            </w:r>
          </w:p>
        </w:tc>
        <w:tc>
          <w:tcPr>
            <w:tcW w:w="1338" w:type="dxa"/>
          </w:tcPr>
          <w:p w:rsidR="00981644" w:rsidRPr="007079B7" w:rsidRDefault="00981644" w:rsidP="009816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079B7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981644" w:rsidRPr="007079B7" w:rsidRDefault="00981644" w:rsidP="009816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079B7">
              <w:rPr>
                <w:sz w:val="22"/>
                <w:szCs w:val="22"/>
              </w:rPr>
              <w:t>-</w:t>
            </w:r>
          </w:p>
        </w:tc>
        <w:tc>
          <w:tcPr>
            <w:tcW w:w="1235" w:type="dxa"/>
          </w:tcPr>
          <w:p w:rsidR="00981644" w:rsidRPr="007079B7" w:rsidRDefault="00981644" w:rsidP="009816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079B7">
              <w:rPr>
                <w:sz w:val="22"/>
                <w:szCs w:val="22"/>
              </w:rPr>
              <w:t>-</w:t>
            </w:r>
          </w:p>
        </w:tc>
        <w:tc>
          <w:tcPr>
            <w:tcW w:w="1254" w:type="dxa"/>
          </w:tcPr>
          <w:p w:rsidR="00981644" w:rsidRPr="007079B7" w:rsidRDefault="00981644" w:rsidP="009816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079B7">
              <w:rPr>
                <w:sz w:val="22"/>
                <w:szCs w:val="22"/>
              </w:rPr>
              <w:t>5</w:t>
            </w:r>
          </w:p>
        </w:tc>
        <w:tc>
          <w:tcPr>
            <w:tcW w:w="811" w:type="dxa"/>
          </w:tcPr>
          <w:p w:rsidR="00981644" w:rsidRPr="007079B7" w:rsidRDefault="00981644" w:rsidP="009816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079B7">
              <w:rPr>
                <w:sz w:val="22"/>
                <w:szCs w:val="22"/>
              </w:rPr>
              <w:t>5</w:t>
            </w:r>
          </w:p>
        </w:tc>
      </w:tr>
      <w:tr w:rsidR="00981644" w:rsidRPr="007079B7" w:rsidTr="007079B7">
        <w:trPr>
          <w:trHeight w:val="20"/>
          <w:jc w:val="center"/>
        </w:trPr>
        <w:tc>
          <w:tcPr>
            <w:tcW w:w="2620" w:type="dxa"/>
          </w:tcPr>
          <w:p w:rsidR="00981644" w:rsidRPr="007079B7" w:rsidRDefault="00981644" w:rsidP="0098164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079B7">
              <w:rPr>
                <w:sz w:val="22"/>
                <w:szCs w:val="22"/>
              </w:rPr>
              <w:t>Астраханская область</w:t>
            </w:r>
          </w:p>
        </w:tc>
        <w:tc>
          <w:tcPr>
            <w:tcW w:w="1276" w:type="dxa"/>
          </w:tcPr>
          <w:p w:rsidR="00981644" w:rsidRPr="007079B7" w:rsidRDefault="00981644" w:rsidP="009816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079B7">
              <w:rPr>
                <w:sz w:val="22"/>
                <w:szCs w:val="22"/>
              </w:rPr>
              <w:t>4</w:t>
            </w:r>
          </w:p>
        </w:tc>
        <w:tc>
          <w:tcPr>
            <w:tcW w:w="1338" w:type="dxa"/>
          </w:tcPr>
          <w:p w:rsidR="00981644" w:rsidRPr="007079B7" w:rsidRDefault="00981644" w:rsidP="009816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079B7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981644" w:rsidRPr="007079B7" w:rsidRDefault="00981644" w:rsidP="009816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079B7">
              <w:rPr>
                <w:sz w:val="22"/>
                <w:szCs w:val="22"/>
              </w:rPr>
              <w:t>-</w:t>
            </w:r>
          </w:p>
        </w:tc>
        <w:tc>
          <w:tcPr>
            <w:tcW w:w="1235" w:type="dxa"/>
          </w:tcPr>
          <w:p w:rsidR="00981644" w:rsidRPr="007079B7" w:rsidRDefault="00981644" w:rsidP="009816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079B7">
              <w:rPr>
                <w:sz w:val="22"/>
                <w:szCs w:val="22"/>
              </w:rPr>
              <w:t>-</w:t>
            </w:r>
          </w:p>
        </w:tc>
        <w:tc>
          <w:tcPr>
            <w:tcW w:w="1254" w:type="dxa"/>
          </w:tcPr>
          <w:p w:rsidR="00981644" w:rsidRPr="007079B7" w:rsidRDefault="00981644" w:rsidP="009816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079B7">
              <w:rPr>
                <w:sz w:val="22"/>
                <w:szCs w:val="22"/>
              </w:rPr>
              <w:t>4</w:t>
            </w:r>
          </w:p>
        </w:tc>
        <w:tc>
          <w:tcPr>
            <w:tcW w:w="811" w:type="dxa"/>
          </w:tcPr>
          <w:p w:rsidR="00981644" w:rsidRPr="007079B7" w:rsidRDefault="00981644" w:rsidP="009816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079B7">
              <w:rPr>
                <w:sz w:val="22"/>
                <w:szCs w:val="22"/>
              </w:rPr>
              <w:t>4</w:t>
            </w:r>
          </w:p>
        </w:tc>
      </w:tr>
      <w:tr w:rsidR="00981644" w:rsidRPr="007079B7" w:rsidTr="007079B7">
        <w:trPr>
          <w:trHeight w:val="20"/>
          <w:jc w:val="center"/>
        </w:trPr>
        <w:tc>
          <w:tcPr>
            <w:tcW w:w="2620" w:type="dxa"/>
          </w:tcPr>
          <w:p w:rsidR="00981644" w:rsidRPr="007079B7" w:rsidRDefault="00981644" w:rsidP="0098164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079B7">
              <w:rPr>
                <w:sz w:val="22"/>
                <w:szCs w:val="22"/>
              </w:rPr>
              <w:t>Ростовская область</w:t>
            </w:r>
          </w:p>
        </w:tc>
        <w:tc>
          <w:tcPr>
            <w:tcW w:w="2614" w:type="dxa"/>
            <w:gridSpan w:val="2"/>
            <w:vMerge w:val="restart"/>
          </w:tcPr>
          <w:p w:rsidR="00981644" w:rsidRPr="007079B7" w:rsidRDefault="00981644" w:rsidP="0098164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079B7">
              <w:rPr>
                <w:sz w:val="20"/>
              </w:rPr>
              <w:t>Закреплено, что дополнительные основания устанавливаются законом  об областных бюджетах</w:t>
            </w:r>
          </w:p>
        </w:tc>
        <w:tc>
          <w:tcPr>
            <w:tcW w:w="1276" w:type="dxa"/>
            <w:vAlign w:val="center"/>
          </w:tcPr>
          <w:p w:rsidR="00981644" w:rsidRPr="007079B7" w:rsidRDefault="00981644" w:rsidP="009816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079B7">
              <w:rPr>
                <w:sz w:val="22"/>
                <w:szCs w:val="22"/>
              </w:rPr>
              <w:t>0</w:t>
            </w:r>
          </w:p>
        </w:tc>
        <w:tc>
          <w:tcPr>
            <w:tcW w:w="1235" w:type="dxa"/>
            <w:vAlign w:val="center"/>
          </w:tcPr>
          <w:p w:rsidR="00981644" w:rsidRPr="007079B7" w:rsidRDefault="00981644" w:rsidP="009816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079B7">
              <w:rPr>
                <w:sz w:val="22"/>
                <w:szCs w:val="22"/>
              </w:rPr>
              <w:t>0</w:t>
            </w:r>
          </w:p>
        </w:tc>
        <w:tc>
          <w:tcPr>
            <w:tcW w:w="1254" w:type="dxa"/>
          </w:tcPr>
          <w:p w:rsidR="00981644" w:rsidRPr="007079B7" w:rsidRDefault="00981644" w:rsidP="009816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079B7">
              <w:rPr>
                <w:sz w:val="22"/>
                <w:szCs w:val="22"/>
              </w:rPr>
              <w:t>0</w:t>
            </w:r>
          </w:p>
        </w:tc>
        <w:tc>
          <w:tcPr>
            <w:tcW w:w="811" w:type="dxa"/>
            <w:vAlign w:val="center"/>
          </w:tcPr>
          <w:p w:rsidR="00981644" w:rsidRPr="007079B7" w:rsidRDefault="00981644" w:rsidP="009816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079B7">
              <w:rPr>
                <w:sz w:val="22"/>
                <w:szCs w:val="22"/>
              </w:rPr>
              <w:t>0</w:t>
            </w:r>
          </w:p>
        </w:tc>
      </w:tr>
      <w:tr w:rsidR="00981644" w:rsidRPr="007079B7" w:rsidTr="007079B7">
        <w:trPr>
          <w:trHeight w:val="20"/>
          <w:jc w:val="center"/>
        </w:trPr>
        <w:tc>
          <w:tcPr>
            <w:tcW w:w="2620" w:type="dxa"/>
          </w:tcPr>
          <w:p w:rsidR="00981644" w:rsidRPr="007079B7" w:rsidRDefault="00981644" w:rsidP="0098164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079B7">
              <w:rPr>
                <w:sz w:val="22"/>
                <w:szCs w:val="22"/>
              </w:rPr>
              <w:t>Воронежская область</w:t>
            </w:r>
          </w:p>
        </w:tc>
        <w:tc>
          <w:tcPr>
            <w:tcW w:w="2614" w:type="dxa"/>
            <w:gridSpan w:val="2"/>
            <w:vMerge/>
          </w:tcPr>
          <w:p w:rsidR="00981644" w:rsidRPr="007079B7" w:rsidRDefault="00981644" w:rsidP="009816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981644" w:rsidRPr="007079B7" w:rsidRDefault="00981644" w:rsidP="009816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079B7">
              <w:rPr>
                <w:sz w:val="22"/>
                <w:szCs w:val="22"/>
              </w:rPr>
              <w:t>0</w:t>
            </w:r>
          </w:p>
        </w:tc>
        <w:tc>
          <w:tcPr>
            <w:tcW w:w="1235" w:type="dxa"/>
            <w:vAlign w:val="center"/>
          </w:tcPr>
          <w:p w:rsidR="00981644" w:rsidRPr="007079B7" w:rsidRDefault="00981644" w:rsidP="009816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079B7">
              <w:rPr>
                <w:sz w:val="22"/>
                <w:szCs w:val="22"/>
              </w:rPr>
              <w:t>0</w:t>
            </w:r>
          </w:p>
        </w:tc>
        <w:tc>
          <w:tcPr>
            <w:tcW w:w="1254" w:type="dxa"/>
          </w:tcPr>
          <w:p w:rsidR="00981644" w:rsidRPr="007079B7" w:rsidRDefault="00981644" w:rsidP="009816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079B7">
              <w:rPr>
                <w:sz w:val="22"/>
                <w:szCs w:val="22"/>
              </w:rPr>
              <w:t>0</w:t>
            </w:r>
          </w:p>
        </w:tc>
        <w:tc>
          <w:tcPr>
            <w:tcW w:w="811" w:type="dxa"/>
            <w:vAlign w:val="center"/>
          </w:tcPr>
          <w:p w:rsidR="00981644" w:rsidRPr="007079B7" w:rsidRDefault="00981644" w:rsidP="009816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079B7">
              <w:rPr>
                <w:sz w:val="22"/>
                <w:szCs w:val="22"/>
              </w:rPr>
              <w:t>0</w:t>
            </w:r>
          </w:p>
        </w:tc>
      </w:tr>
      <w:tr w:rsidR="00981644" w:rsidRPr="007079B7" w:rsidTr="007079B7">
        <w:trPr>
          <w:trHeight w:val="20"/>
          <w:jc w:val="center"/>
        </w:trPr>
        <w:tc>
          <w:tcPr>
            <w:tcW w:w="2620" w:type="dxa"/>
          </w:tcPr>
          <w:p w:rsidR="00981644" w:rsidRPr="007079B7" w:rsidRDefault="00981644" w:rsidP="0098164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079B7">
              <w:rPr>
                <w:sz w:val="22"/>
                <w:szCs w:val="22"/>
              </w:rPr>
              <w:t>Самарская область</w:t>
            </w:r>
          </w:p>
        </w:tc>
        <w:tc>
          <w:tcPr>
            <w:tcW w:w="2614" w:type="dxa"/>
            <w:gridSpan w:val="2"/>
            <w:vMerge/>
          </w:tcPr>
          <w:p w:rsidR="00981644" w:rsidRPr="007079B7" w:rsidRDefault="00981644" w:rsidP="009816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981644" w:rsidRPr="007079B7" w:rsidRDefault="00981644" w:rsidP="009816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079B7">
              <w:rPr>
                <w:sz w:val="22"/>
                <w:szCs w:val="22"/>
              </w:rPr>
              <w:t>10</w:t>
            </w:r>
          </w:p>
        </w:tc>
        <w:tc>
          <w:tcPr>
            <w:tcW w:w="1235" w:type="dxa"/>
          </w:tcPr>
          <w:p w:rsidR="00981644" w:rsidRPr="007079B7" w:rsidRDefault="00981644" w:rsidP="009816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079B7">
              <w:rPr>
                <w:sz w:val="22"/>
                <w:szCs w:val="22"/>
              </w:rPr>
              <w:t>12</w:t>
            </w:r>
          </w:p>
        </w:tc>
        <w:tc>
          <w:tcPr>
            <w:tcW w:w="1254" w:type="dxa"/>
          </w:tcPr>
          <w:p w:rsidR="00981644" w:rsidRPr="007079B7" w:rsidRDefault="00981644" w:rsidP="009816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079B7">
              <w:rPr>
                <w:sz w:val="22"/>
                <w:szCs w:val="22"/>
              </w:rPr>
              <w:t>10</w:t>
            </w:r>
          </w:p>
        </w:tc>
        <w:tc>
          <w:tcPr>
            <w:tcW w:w="811" w:type="dxa"/>
            <w:vAlign w:val="center"/>
          </w:tcPr>
          <w:p w:rsidR="00981644" w:rsidRPr="007079B7" w:rsidRDefault="00981644" w:rsidP="009816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079B7">
              <w:rPr>
                <w:sz w:val="22"/>
                <w:szCs w:val="22"/>
              </w:rPr>
              <w:t>12</w:t>
            </w:r>
          </w:p>
        </w:tc>
      </w:tr>
    </w:tbl>
    <w:p w:rsidR="00C41579" w:rsidRDefault="00C41579" w:rsidP="00981644">
      <w:pPr>
        <w:autoSpaceDE w:val="0"/>
        <w:autoSpaceDN w:val="0"/>
        <w:adjustRightInd w:val="0"/>
        <w:ind w:firstLine="709"/>
        <w:jc w:val="both"/>
        <w:rPr>
          <w:szCs w:val="24"/>
        </w:rPr>
      </w:pPr>
    </w:p>
    <w:p w:rsidR="00981644" w:rsidRPr="00860C1D" w:rsidRDefault="00981644" w:rsidP="00981644">
      <w:pPr>
        <w:autoSpaceDE w:val="0"/>
        <w:autoSpaceDN w:val="0"/>
        <w:adjustRightInd w:val="0"/>
        <w:ind w:firstLine="709"/>
        <w:jc w:val="both"/>
        <w:rPr>
          <w:szCs w:val="24"/>
        </w:rPr>
      </w:pPr>
      <w:r w:rsidRPr="00A84A42">
        <w:rPr>
          <w:szCs w:val="24"/>
        </w:rPr>
        <w:t xml:space="preserve">По сравнению с анализируемыми регионами наибольшее количество дополнительных оснований </w:t>
      </w:r>
      <w:r w:rsidR="00A84A42">
        <w:rPr>
          <w:szCs w:val="24"/>
        </w:rPr>
        <w:t xml:space="preserve">для </w:t>
      </w:r>
      <w:r w:rsidRPr="00A84A42">
        <w:rPr>
          <w:szCs w:val="24"/>
        </w:rPr>
        <w:t>изменения сводной бюджетной росписи предусмотрено в 2017 году законодательством</w:t>
      </w:r>
      <w:r>
        <w:rPr>
          <w:szCs w:val="24"/>
        </w:rPr>
        <w:t xml:space="preserve"> Волгоградской области </w:t>
      </w:r>
      <w:r w:rsidR="00A84A42">
        <w:rPr>
          <w:szCs w:val="24"/>
        </w:rPr>
        <w:t>(</w:t>
      </w:r>
      <w:r>
        <w:rPr>
          <w:szCs w:val="24"/>
        </w:rPr>
        <w:t>27</w:t>
      </w:r>
      <w:r w:rsidRPr="00860C1D">
        <w:rPr>
          <w:szCs w:val="24"/>
        </w:rPr>
        <w:t xml:space="preserve"> оснований</w:t>
      </w:r>
      <w:r w:rsidR="00A84A42">
        <w:rPr>
          <w:szCs w:val="24"/>
        </w:rPr>
        <w:t>)</w:t>
      </w:r>
      <w:r w:rsidRPr="00860C1D">
        <w:rPr>
          <w:szCs w:val="24"/>
        </w:rPr>
        <w:t xml:space="preserve">, наименьшее – законодательством Астраханской области </w:t>
      </w:r>
      <w:r w:rsidR="00A84A42">
        <w:rPr>
          <w:szCs w:val="24"/>
        </w:rPr>
        <w:t>(</w:t>
      </w:r>
      <w:r w:rsidRPr="00860C1D">
        <w:rPr>
          <w:szCs w:val="24"/>
        </w:rPr>
        <w:t>4 основания</w:t>
      </w:r>
      <w:r w:rsidR="00A84A42">
        <w:rPr>
          <w:szCs w:val="24"/>
        </w:rPr>
        <w:t>). При этом</w:t>
      </w:r>
      <w:r w:rsidRPr="00860C1D">
        <w:rPr>
          <w:szCs w:val="24"/>
        </w:rPr>
        <w:t xml:space="preserve"> законодательством Ростовской и Воронежской областей</w:t>
      </w:r>
      <w:r w:rsidR="00A84A42">
        <w:rPr>
          <w:szCs w:val="24"/>
        </w:rPr>
        <w:t xml:space="preserve"> вообще </w:t>
      </w:r>
      <w:r w:rsidR="00A84A42" w:rsidRPr="00860C1D">
        <w:rPr>
          <w:szCs w:val="24"/>
        </w:rPr>
        <w:t>не предусмотрено дополнительных оснований</w:t>
      </w:r>
      <w:r w:rsidRPr="00860C1D">
        <w:rPr>
          <w:szCs w:val="24"/>
        </w:rPr>
        <w:t xml:space="preserve">. Из рассмотренных 9 регионов </w:t>
      </w:r>
      <w:r w:rsidR="008C1AD8">
        <w:rPr>
          <w:szCs w:val="24"/>
        </w:rPr>
        <w:t xml:space="preserve">только </w:t>
      </w:r>
      <w:r w:rsidRPr="00860C1D">
        <w:rPr>
          <w:szCs w:val="24"/>
        </w:rPr>
        <w:t xml:space="preserve">в 3 регионах (Волгоградской, Саратовской и Самарской областях) предусмотрены основания в </w:t>
      </w:r>
      <w:r>
        <w:rPr>
          <w:szCs w:val="24"/>
        </w:rPr>
        <w:t>з</w:t>
      </w:r>
      <w:r w:rsidRPr="00860C1D">
        <w:rPr>
          <w:szCs w:val="24"/>
        </w:rPr>
        <w:t xml:space="preserve">аконах об областных бюджетах дополнительно к </w:t>
      </w:r>
      <w:r>
        <w:rPr>
          <w:szCs w:val="24"/>
        </w:rPr>
        <w:t>з</w:t>
      </w:r>
      <w:r w:rsidRPr="00860C1D">
        <w:rPr>
          <w:szCs w:val="24"/>
        </w:rPr>
        <w:t>аконам о бюджетных проце</w:t>
      </w:r>
      <w:r>
        <w:rPr>
          <w:szCs w:val="24"/>
        </w:rPr>
        <w:t>ссах</w:t>
      </w:r>
      <w:r w:rsidR="008C1AD8">
        <w:rPr>
          <w:szCs w:val="24"/>
        </w:rPr>
        <w:t xml:space="preserve">. Таким образом, результаты проведенного анализа подтверждают </w:t>
      </w:r>
      <w:r w:rsidR="008C1AD8" w:rsidRPr="008C1AD8">
        <w:rPr>
          <w:szCs w:val="24"/>
          <w:u w:val="single"/>
        </w:rPr>
        <w:t>вывод о широте полномочий, предоставленных в Волгоградской области финансовому органу по внесению изменений в сводную бюджетную роспись без внесения соответствующих изменений в закон о бюджете</w:t>
      </w:r>
      <w:r w:rsidR="008C1AD8">
        <w:rPr>
          <w:szCs w:val="24"/>
        </w:rPr>
        <w:t>.</w:t>
      </w:r>
    </w:p>
    <w:p w:rsidR="00C871F7" w:rsidRDefault="00981644" w:rsidP="00981644">
      <w:pPr>
        <w:jc w:val="both"/>
        <w:rPr>
          <w:b/>
        </w:rPr>
      </w:pPr>
      <w:r>
        <w:rPr>
          <w:szCs w:val="24"/>
        </w:rPr>
        <w:tab/>
      </w:r>
      <w:r w:rsidR="00977E7E">
        <w:rPr>
          <w:b/>
        </w:rPr>
        <w:tab/>
      </w:r>
    </w:p>
    <w:p w:rsidR="00680F4B" w:rsidRDefault="00680F4B" w:rsidP="00981644">
      <w:pPr>
        <w:jc w:val="both"/>
        <w:rPr>
          <w:b/>
        </w:rPr>
      </w:pPr>
    </w:p>
    <w:p w:rsidR="00087E09" w:rsidRDefault="00951AF1" w:rsidP="00951AF1">
      <w:pPr>
        <w:ind w:left="426"/>
        <w:jc w:val="center"/>
        <w:rPr>
          <w:b/>
        </w:rPr>
      </w:pPr>
      <w:r>
        <w:rPr>
          <w:b/>
        </w:rPr>
        <w:t>3.</w:t>
      </w:r>
      <w:r w:rsidR="007E5A77">
        <w:rPr>
          <w:b/>
        </w:rPr>
        <w:t xml:space="preserve"> </w:t>
      </w:r>
      <w:r w:rsidR="00087E09" w:rsidRPr="000D4283">
        <w:rPr>
          <w:b/>
        </w:rPr>
        <w:t>Доходы областного бюджета за 20</w:t>
      </w:r>
      <w:r w:rsidR="00A57CD7">
        <w:rPr>
          <w:b/>
        </w:rPr>
        <w:t>1</w:t>
      </w:r>
      <w:r w:rsidR="00F44889">
        <w:rPr>
          <w:b/>
        </w:rPr>
        <w:t>7</w:t>
      </w:r>
      <w:r w:rsidR="00087E09" w:rsidRPr="000D4283">
        <w:rPr>
          <w:b/>
        </w:rPr>
        <w:t xml:space="preserve"> год.</w:t>
      </w:r>
    </w:p>
    <w:p w:rsidR="007E260B" w:rsidRDefault="007E260B" w:rsidP="00951AF1">
      <w:pPr>
        <w:ind w:left="426"/>
        <w:jc w:val="center"/>
        <w:rPr>
          <w:b/>
        </w:rPr>
      </w:pPr>
    </w:p>
    <w:p w:rsidR="00AE600F" w:rsidRPr="009F5436" w:rsidRDefault="00AE600F" w:rsidP="00AE600F">
      <w:pPr>
        <w:pStyle w:val="a3"/>
        <w:ind w:firstLine="680"/>
        <w:rPr>
          <w:rFonts w:ascii="Times New Roman" w:hAnsi="Times New Roman"/>
          <w:color w:val="auto"/>
        </w:rPr>
      </w:pPr>
      <w:r w:rsidRPr="009F5436">
        <w:rPr>
          <w:rFonts w:ascii="Times New Roman" w:hAnsi="Times New Roman"/>
          <w:color w:val="auto"/>
        </w:rPr>
        <w:t>В целом в доходную часть областного бюджета в 201</w:t>
      </w:r>
      <w:r>
        <w:rPr>
          <w:rFonts w:ascii="Times New Roman" w:hAnsi="Times New Roman"/>
          <w:color w:val="auto"/>
        </w:rPr>
        <w:t>7</w:t>
      </w:r>
      <w:r w:rsidRPr="009F5436">
        <w:rPr>
          <w:rFonts w:ascii="Times New Roman" w:hAnsi="Times New Roman"/>
          <w:color w:val="auto"/>
        </w:rPr>
        <w:t xml:space="preserve"> году поступило </w:t>
      </w:r>
      <w:r>
        <w:rPr>
          <w:rFonts w:ascii="Times New Roman" w:hAnsi="Times New Roman"/>
          <w:color w:val="auto"/>
        </w:rPr>
        <w:t>85390,1</w:t>
      </w:r>
      <w:r w:rsidRPr="009F5436">
        <w:rPr>
          <w:rFonts w:ascii="Times New Roman" w:hAnsi="Times New Roman"/>
          <w:color w:val="auto"/>
        </w:rPr>
        <w:t xml:space="preserve"> млн. руб., что составило </w:t>
      </w:r>
      <w:r>
        <w:rPr>
          <w:rFonts w:ascii="Times New Roman" w:hAnsi="Times New Roman"/>
          <w:color w:val="auto"/>
        </w:rPr>
        <w:t>97,4</w:t>
      </w:r>
      <w:r w:rsidRPr="009F5436">
        <w:rPr>
          <w:rFonts w:ascii="Times New Roman" w:hAnsi="Times New Roman"/>
          <w:color w:val="auto"/>
        </w:rPr>
        <w:t>% от п</w:t>
      </w:r>
      <w:r>
        <w:rPr>
          <w:rFonts w:ascii="Times New Roman" w:hAnsi="Times New Roman"/>
          <w:color w:val="auto"/>
        </w:rPr>
        <w:t>рогнозных</w:t>
      </w:r>
      <w:r w:rsidRPr="009F5436">
        <w:rPr>
          <w:rFonts w:ascii="Times New Roman" w:hAnsi="Times New Roman"/>
          <w:color w:val="auto"/>
        </w:rPr>
        <w:t xml:space="preserve"> назначений, в том числе:</w:t>
      </w:r>
    </w:p>
    <w:p w:rsidR="00AE600F" w:rsidRPr="00A56593" w:rsidRDefault="00AE600F" w:rsidP="00AE600F">
      <w:pPr>
        <w:ind w:firstLine="567"/>
        <w:jc w:val="both"/>
      </w:pPr>
      <w:r w:rsidRPr="00A56593">
        <w:t xml:space="preserve">-по налоговым доходам – </w:t>
      </w:r>
      <w:r>
        <w:t>58444,7</w:t>
      </w:r>
      <w:r w:rsidRPr="00A56593">
        <w:t xml:space="preserve"> млн. руб. (</w:t>
      </w:r>
      <w:r>
        <w:t>97,5</w:t>
      </w:r>
      <w:r w:rsidRPr="00A56593">
        <w:t xml:space="preserve">% от </w:t>
      </w:r>
      <w:r>
        <w:t>плана</w:t>
      </w:r>
      <w:r w:rsidRPr="00A56593">
        <w:t>)</w:t>
      </w:r>
      <w:r w:rsidR="00851D6A">
        <w:t>,</w:t>
      </w:r>
      <w:r w:rsidRPr="00A56593">
        <w:t xml:space="preserve"> </w:t>
      </w:r>
      <w:r>
        <w:t>и</w:t>
      </w:r>
      <w:r w:rsidR="00851D6A">
        <w:t>ли</w:t>
      </w:r>
      <w:r w:rsidRPr="00A56593">
        <w:t xml:space="preserve"> на </w:t>
      </w:r>
      <w:r>
        <w:t>651,6</w:t>
      </w:r>
      <w:r w:rsidRPr="00A56593">
        <w:t xml:space="preserve"> млн. руб. (</w:t>
      </w:r>
      <w:r>
        <w:t>+1,1</w:t>
      </w:r>
      <w:r w:rsidRPr="00A56593">
        <w:t xml:space="preserve">%) </w:t>
      </w:r>
      <w:r w:rsidR="002A0CCC">
        <w:t>больше</w:t>
      </w:r>
      <w:r w:rsidRPr="00A56593">
        <w:t xml:space="preserve"> </w:t>
      </w:r>
      <w:r>
        <w:t>соответствующего показателя 2016</w:t>
      </w:r>
      <w:r w:rsidRPr="00A56593">
        <w:t xml:space="preserve"> года;</w:t>
      </w:r>
    </w:p>
    <w:p w:rsidR="00AE600F" w:rsidRPr="00A56593" w:rsidRDefault="00AE600F" w:rsidP="00AE600F">
      <w:pPr>
        <w:ind w:firstLine="567"/>
        <w:jc w:val="both"/>
      </w:pPr>
      <w:r w:rsidRPr="00A56593">
        <w:t xml:space="preserve">-по неналоговым доходам – </w:t>
      </w:r>
      <w:r>
        <w:t>1601</w:t>
      </w:r>
      <w:r w:rsidRPr="00A56593">
        <w:t xml:space="preserve"> млн. руб. (</w:t>
      </w:r>
      <w:r>
        <w:t>78,6</w:t>
      </w:r>
      <w:r w:rsidRPr="00A56593">
        <w:t>%</w:t>
      </w:r>
      <w:r w:rsidR="00851D6A">
        <w:t xml:space="preserve"> от плана</w:t>
      </w:r>
      <w:r w:rsidRPr="00A56593">
        <w:t>)</w:t>
      </w:r>
      <w:r w:rsidR="00851D6A">
        <w:t>,</w:t>
      </w:r>
      <w:r w:rsidRPr="00A56593">
        <w:t xml:space="preserve"> </w:t>
      </w:r>
      <w:r>
        <w:t>и</w:t>
      </w:r>
      <w:r w:rsidR="00851D6A">
        <w:t>ли</w:t>
      </w:r>
      <w:r w:rsidRPr="00A56593">
        <w:t xml:space="preserve"> на </w:t>
      </w:r>
      <w:r>
        <w:t>397</w:t>
      </w:r>
      <w:r w:rsidRPr="00A56593">
        <w:t xml:space="preserve"> млн. руб. (+</w:t>
      </w:r>
      <w:r>
        <w:t>33</w:t>
      </w:r>
      <w:r w:rsidRPr="00A56593">
        <w:t xml:space="preserve">%) </w:t>
      </w:r>
      <w:r>
        <w:t xml:space="preserve">выше </w:t>
      </w:r>
      <w:r w:rsidRPr="00A56593">
        <w:t>показателя предыдущего года;</w:t>
      </w:r>
    </w:p>
    <w:p w:rsidR="00AE600F" w:rsidRPr="00A56593" w:rsidRDefault="00AE600F" w:rsidP="00AE600F">
      <w:pPr>
        <w:ind w:firstLine="567"/>
        <w:jc w:val="both"/>
      </w:pPr>
      <w:r w:rsidRPr="00A56593">
        <w:t xml:space="preserve">-по безвозмездным поступлениям – </w:t>
      </w:r>
      <w:r>
        <w:t>25344,4</w:t>
      </w:r>
      <w:r w:rsidRPr="00A56593">
        <w:t xml:space="preserve"> млн. руб. (</w:t>
      </w:r>
      <w:r>
        <w:t>98,7</w:t>
      </w:r>
      <w:r w:rsidRPr="00A56593">
        <w:t>%</w:t>
      </w:r>
      <w:r w:rsidR="00851D6A">
        <w:t xml:space="preserve"> от плана</w:t>
      </w:r>
      <w:r w:rsidRPr="00A56593">
        <w:t>)</w:t>
      </w:r>
      <w:r w:rsidR="00851D6A">
        <w:t xml:space="preserve">, </w:t>
      </w:r>
      <w:r w:rsidRPr="00A56593">
        <w:t xml:space="preserve"> что на </w:t>
      </w:r>
      <w:r>
        <w:t>5273,5 млн. руб. (+26,3%) выше</w:t>
      </w:r>
      <w:r w:rsidRPr="00A56593">
        <w:t xml:space="preserve"> </w:t>
      </w:r>
      <w:r w:rsidR="004F009C">
        <w:t xml:space="preserve">поступлений </w:t>
      </w:r>
      <w:r>
        <w:t>2016</w:t>
      </w:r>
      <w:r w:rsidRPr="00A56593">
        <w:t xml:space="preserve"> года. </w:t>
      </w:r>
    </w:p>
    <w:p w:rsidR="00680F4B" w:rsidRDefault="00680F4B" w:rsidP="00680F4B">
      <w:pPr>
        <w:ind w:firstLine="708"/>
        <w:jc w:val="both"/>
      </w:pPr>
      <w:r>
        <w:t xml:space="preserve">Относительно 2016 года доходы областного бюджета в целом увеличились на 6322,2 млн. руб., или на 8%, что объясняется главным образом ростом безвозмездных поступлений из федерального бюджета (на 5273,6 млн. руб., или на 26,3%). Налоговые и неналоговые доходы областного бюджета увеличились в 2017 году незначительно – на 1048,6 млн. руб., или на 1,8 процента. </w:t>
      </w:r>
    </w:p>
    <w:p w:rsidR="00C871F7" w:rsidRDefault="00C871F7" w:rsidP="00AE600F">
      <w:pPr>
        <w:ind w:left="426"/>
        <w:jc w:val="both"/>
        <w:rPr>
          <w:b/>
        </w:rPr>
      </w:pPr>
    </w:p>
    <w:p w:rsidR="00680F4B" w:rsidRDefault="00680F4B" w:rsidP="00AE600F">
      <w:pPr>
        <w:ind w:left="426"/>
        <w:jc w:val="both"/>
        <w:rPr>
          <w:b/>
        </w:rPr>
      </w:pPr>
    </w:p>
    <w:p w:rsidR="008228DC" w:rsidRDefault="00951AF1" w:rsidP="00951AF1">
      <w:pPr>
        <w:tabs>
          <w:tab w:val="left" w:pos="0"/>
        </w:tabs>
        <w:jc w:val="center"/>
        <w:rPr>
          <w:b/>
        </w:rPr>
      </w:pPr>
      <w:r>
        <w:rPr>
          <w:b/>
        </w:rPr>
        <w:lastRenderedPageBreak/>
        <w:t xml:space="preserve">3.1. </w:t>
      </w:r>
      <w:r w:rsidR="008228DC">
        <w:rPr>
          <w:b/>
        </w:rPr>
        <w:t>Анализ исполнения налоговых доходов.</w:t>
      </w:r>
    </w:p>
    <w:p w:rsidR="001747A1" w:rsidRDefault="001747A1" w:rsidP="001747A1">
      <w:pPr>
        <w:jc w:val="both"/>
      </w:pPr>
    </w:p>
    <w:p w:rsidR="00C871F7" w:rsidRDefault="004F009C" w:rsidP="009C2FAF">
      <w:pPr>
        <w:pStyle w:val="11"/>
        <w:ind w:firstLine="567"/>
        <w:jc w:val="both"/>
        <w:rPr>
          <w:sz w:val="20"/>
        </w:rPr>
      </w:pPr>
      <w:r w:rsidRPr="009F5436">
        <w:t>Данные об исполнении налоговых доходов областного бюджета, доля которых в доходной части бюджета в 201</w:t>
      </w:r>
      <w:r>
        <w:t>7 году составила 68,4</w:t>
      </w:r>
      <w:r w:rsidRPr="009F5436">
        <w:t>% (</w:t>
      </w:r>
      <w:r>
        <w:t>в 2016 году - 73</w:t>
      </w:r>
      <w:r w:rsidRPr="00A2253B">
        <w:t>,1%),</w:t>
      </w:r>
      <w:r w:rsidRPr="009F5436">
        <w:t xml:space="preserve"> по видам налогов и сборов приведены в следующей таблице:</w:t>
      </w:r>
      <w:r w:rsidRPr="009F5436">
        <w:rPr>
          <w:sz w:val="20"/>
        </w:rPr>
        <w:t xml:space="preserve"> </w:t>
      </w:r>
    </w:p>
    <w:p w:rsidR="004F009C" w:rsidRPr="009F5436" w:rsidRDefault="009C2FAF" w:rsidP="009C2FAF">
      <w:pPr>
        <w:pStyle w:val="11"/>
        <w:ind w:firstLine="567"/>
        <w:jc w:val="both"/>
        <w:rPr>
          <w:szCs w:val="24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                </w:t>
      </w:r>
      <w:r w:rsidR="004F009C" w:rsidRPr="009F5436">
        <w:rPr>
          <w:sz w:val="20"/>
        </w:rPr>
        <w:t>млн. руб.</w:t>
      </w:r>
    </w:p>
    <w:tbl>
      <w:tblPr>
        <w:tblW w:w="10199" w:type="dxa"/>
        <w:jc w:val="center"/>
        <w:tblInd w:w="94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3253"/>
        <w:gridCol w:w="851"/>
        <w:gridCol w:w="1134"/>
        <w:gridCol w:w="1134"/>
        <w:gridCol w:w="850"/>
        <w:gridCol w:w="993"/>
        <w:gridCol w:w="992"/>
        <w:gridCol w:w="992"/>
      </w:tblGrid>
      <w:tr w:rsidR="004F009C" w:rsidRPr="00C03385" w:rsidTr="00B851E8">
        <w:trPr>
          <w:trHeight w:val="20"/>
          <w:jc w:val="center"/>
        </w:trPr>
        <w:tc>
          <w:tcPr>
            <w:tcW w:w="3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4F009C" w:rsidRPr="00546181" w:rsidRDefault="004F009C" w:rsidP="00D90187">
            <w:pPr>
              <w:jc w:val="center"/>
              <w:rPr>
                <w:b/>
                <w:sz w:val="20"/>
              </w:rPr>
            </w:pPr>
            <w:r w:rsidRPr="00546181">
              <w:rPr>
                <w:b/>
                <w:sz w:val="20"/>
              </w:rPr>
              <w:t>Наименование показателей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4F009C" w:rsidRPr="00546181" w:rsidRDefault="004F009C" w:rsidP="00D90187">
            <w:pPr>
              <w:jc w:val="center"/>
              <w:rPr>
                <w:b/>
                <w:sz w:val="20"/>
              </w:rPr>
            </w:pPr>
            <w:r w:rsidRPr="00546181">
              <w:rPr>
                <w:b/>
                <w:sz w:val="20"/>
              </w:rPr>
              <w:t>Утверждено бюджетом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4F009C" w:rsidRPr="00546181" w:rsidRDefault="004F009C" w:rsidP="004F009C">
            <w:pPr>
              <w:jc w:val="center"/>
              <w:rPr>
                <w:b/>
                <w:sz w:val="20"/>
              </w:rPr>
            </w:pPr>
            <w:r w:rsidRPr="00546181">
              <w:rPr>
                <w:b/>
                <w:sz w:val="20"/>
              </w:rPr>
              <w:t>Исполнено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4F009C" w:rsidRPr="00546181" w:rsidRDefault="004F009C" w:rsidP="00D90187">
            <w:pPr>
              <w:jc w:val="center"/>
              <w:rPr>
                <w:b/>
                <w:sz w:val="20"/>
              </w:rPr>
            </w:pPr>
            <w:r w:rsidRPr="00546181">
              <w:rPr>
                <w:b/>
                <w:sz w:val="20"/>
              </w:rPr>
              <w:t>% исполнения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4F009C" w:rsidRPr="00546181" w:rsidRDefault="004F009C" w:rsidP="00D90187">
            <w:pPr>
              <w:jc w:val="center"/>
              <w:rPr>
                <w:b/>
                <w:sz w:val="20"/>
              </w:rPr>
            </w:pPr>
            <w:r w:rsidRPr="00546181">
              <w:rPr>
                <w:b/>
                <w:sz w:val="20"/>
              </w:rPr>
              <w:t>Отклонения</w:t>
            </w:r>
          </w:p>
        </w:tc>
      </w:tr>
      <w:tr w:rsidR="00447FFD" w:rsidRPr="00C03385" w:rsidTr="00B851E8">
        <w:trPr>
          <w:trHeight w:val="20"/>
          <w:jc w:val="center"/>
        </w:trPr>
        <w:tc>
          <w:tcPr>
            <w:tcW w:w="3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4F009C" w:rsidRPr="00546181" w:rsidRDefault="004F009C" w:rsidP="00D90187">
            <w:pPr>
              <w:rPr>
                <w:b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4F009C" w:rsidRPr="00546181" w:rsidRDefault="004F009C" w:rsidP="004F009C">
            <w:pPr>
              <w:jc w:val="center"/>
              <w:rPr>
                <w:b/>
                <w:sz w:val="20"/>
              </w:rPr>
            </w:pPr>
            <w:r w:rsidRPr="00546181">
              <w:rPr>
                <w:b/>
                <w:sz w:val="20"/>
              </w:rPr>
              <w:t>первоначально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4F009C" w:rsidRPr="00546181" w:rsidRDefault="004F009C" w:rsidP="00D90187">
            <w:pPr>
              <w:jc w:val="center"/>
              <w:rPr>
                <w:b/>
                <w:sz w:val="20"/>
              </w:rPr>
            </w:pPr>
            <w:r w:rsidRPr="00546181">
              <w:rPr>
                <w:b/>
                <w:sz w:val="20"/>
              </w:rPr>
              <w:t>после уточнений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4F009C" w:rsidRPr="00546181" w:rsidRDefault="004F009C" w:rsidP="00D90187">
            <w:pPr>
              <w:rPr>
                <w:b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4F009C" w:rsidRPr="00546181" w:rsidRDefault="004F009C" w:rsidP="00D90187">
            <w:pPr>
              <w:jc w:val="center"/>
              <w:rPr>
                <w:b/>
                <w:sz w:val="20"/>
              </w:rPr>
            </w:pPr>
            <w:r w:rsidRPr="00546181">
              <w:rPr>
                <w:b/>
                <w:sz w:val="20"/>
              </w:rPr>
              <w:t xml:space="preserve">к </w:t>
            </w:r>
            <w:proofErr w:type="spellStart"/>
            <w:r w:rsidRPr="00546181">
              <w:rPr>
                <w:b/>
                <w:sz w:val="20"/>
              </w:rPr>
              <w:t>перв</w:t>
            </w:r>
            <w:proofErr w:type="spellEnd"/>
            <w:r w:rsidRPr="00546181">
              <w:rPr>
                <w:b/>
                <w:sz w:val="20"/>
              </w:rPr>
              <w:t>. плану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4F009C" w:rsidRPr="00546181" w:rsidRDefault="004F009C" w:rsidP="00D90187">
            <w:pPr>
              <w:jc w:val="center"/>
              <w:rPr>
                <w:b/>
                <w:sz w:val="20"/>
              </w:rPr>
            </w:pPr>
            <w:r w:rsidRPr="00546181">
              <w:rPr>
                <w:b/>
                <w:sz w:val="20"/>
              </w:rPr>
              <w:t xml:space="preserve">к </w:t>
            </w:r>
            <w:proofErr w:type="spellStart"/>
            <w:r w:rsidRPr="00546181">
              <w:rPr>
                <w:b/>
                <w:sz w:val="20"/>
              </w:rPr>
              <w:t>уточн</w:t>
            </w:r>
            <w:proofErr w:type="spellEnd"/>
            <w:r w:rsidRPr="00546181">
              <w:rPr>
                <w:b/>
                <w:sz w:val="20"/>
              </w:rPr>
              <w:t>. плану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4F009C" w:rsidRPr="00546181" w:rsidRDefault="004F009C" w:rsidP="009C2FAF">
            <w:pPr>
              <w:jc w:val="center"/>
              <w:rPr>
                <w:b/>
                <w:sz w:val="20"/>
              </w:rPr>
            </w:pPr>
            <w:r w:rsidRPr="00546181">
              <w:rPr>
                <w:b/>
                <w:sz w:val="20"/>
              </w:rPr>
              <w:t xml:space="preserve">от </w:t>
            </w:r>
            <w:proofErr w:type="spellStart"/>
            <w:r w:rsidRPr="00546181">
              <w:rPr>
                <w:b/>
                <w:sz w:val="20"/>
              </w:rPr>
              <w:t>перв</w:t>
            </w:r>
            <w:proofErr w:type="spellEnd"/>
            <w:r w:rsidRPr="00546181">
              <w:rPr>
                <w:b/>
                <w:sz w:val="20"/>
              </w:rPr>
              <w:t xml:space="preserve">. </w:t>
            </w:r>
            <w:r w:rsidR="009C2FAF">
              <w:rPr>
                <w:b/>
                <w:sz w:val="20"/>
              </w:rPr>
              <w:t>п</w:t>
            </w:r>
            <w:r w:rsidRPr="00546181">
              <w:rPr>
                <w:b/>
                <w:sz w:val="20"/>
              </w:rPr>
              <w:t>лана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4F009C" w:rsidRPr="00546181" w:rsidRDefault="004F009C" w:rsidP="00D90187">
            <w:pPr>
              <w:jc w:val="center"/>
              <w:rPr>
                <w:b/>
                <w:sz w:val="20"/>
              </w:rPr>
            </w:pPr>
            <w:r w:rsidRPr="00546181">
              <w:rPr>
                <w:b/>
                <w:sz w:val="20"/>
              </w:rPr>
              <w:t xml:space="preserve">от </w:t>
            </w:r>
            <w:proofErr w:type="spellStart"/>
            <w:r w:rsidRPr="00546181">
              <w:rPr>
                <w:b/>
                <w:sz w:val="20"/>
              </w:rPr>
              <w:t>уточн</w:t>
            </w:r>
            <w:proofErr w:type="spellEnd"/>
            <w:r w:rsidRPr="00546181">
              <w:rPr>
                <w:b/>
                <w:sz w:val="20"/>
              </w:rPr>
              <w:t>. плана</w:t>
            </w:r>
          </w:p>
        </w:tc>
      </w:tr>
      <w:tr w:rsidR="00447FFD" w:rsidRPr="00C03385" w:rsidTr="003F064C">
        <w:trPr>
          <w:trHeight w:val="20"/>
          <w:jc w:val="center"/>
        </w:trPr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09C" w:rsidRPr="00C03385" w:rsidRDefault="004F009C" w:rsidP="00D90187">
            <w:pPr>
              <w:rPr>
                <w:sz w:val="20"/>
              </w:rPr>
            </w:pPr>
            <w:r w:rsidRPr="00C03385">
              <w:rPr>
                <w:sz w:val="20"/>
              </w:rPr>
              <w:t>Налог на прибыль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9C" w:rsidRPr="00B30710" w:rsidRDefault="004F009C" w:rsidP="00447FFD">
            <w:pPr>
              <w:jc w:val="center"/>
              <w:rPr>
                <w:sz w:val="20"/>
                <w:highlight w:val="yellow"/>
              </w:rPr>
            </w:pPr>
            <w:r w:rsidRPr="001B0995">
              <w:rPr>
                <w:sz w:val="20"/>
              </w:rPr>
              <w:t>18 965,8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9C" w:rsidRPr="00C03385" w:rsidRDefault="004F009C" w:rsidP="00447FF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19 890,7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9C" w:rsidRPr="00C03385" w:rsidRDefault="004F009C" w:rsidP="00447FFD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20 104,0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9C" w:rsidRPr="00A94FAF" w:rsidRDefault="004F009C" w:rsidP="00447FFD">
            <w:pPr>
              <w:jc w:val="center"/>
              <w:rPr>
                <w:sz w:val="20"/>
              </w:rPr>
            </w:pPr>
            <w:r w:rsidRPr="00A94FAF">
              <w:rPr>
                <w:sz w:val="20"/>
              </w:rPr>
              <w:t>106,0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9C" w:rsidRPr="00A94FAF" w:rsidRDefault="004F009C" w:rsidP="00447FFD">
            <w:pPr>
              <w:jc w:val="center"/>
              <w:rPr>
                <w:sz w:val="20"/>
              </w:rPr>
            </w:pPr>
            <w:r w:rsidRPr="00A94FAF">
              <w:rPr>
                <w:sz w:val="20"/>
              </w:rPr>
              <w:t>101,</w:t>
            </w:r>
            <w:r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9C" w:rsidRPr="00B450F9" w:rsidRDefault="004F009C" w:rsidP="00447FFD">
            <w:pPr>
              <w:jc w:val="center"/>
              <w:rPr>
                <w:sz w:val="20"/>
              </w:rPr>
            </w:pPr>
            <w:r w:rsidRPr="00B450F9">
              <w:rPr>
                <w:sz w:val="20"/>
              </w:rPr>
              <w:t>1 138,2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9C" w:rsidRPr="00B450F9" w:rsidRDefault="004F009C" w:rsidP="00447FFD">
            <w:pPr>
              <w:jc w:val="center"/>
              <w:rPr>
                <w:sz w:val="20"/>
              </w:rPr>
            </w:pPr>
            <w:r w:rsidRPr="00B450F9">
              <w:rPr>
                <w:sz w:val="20"/>
              </w:rPr>
              <w:t>213,3</w:t>
            </w:r>
          </w:p>
        </w:tc>
      </w:tr>
      <w:tr w:rsidR="00447FFD" w:rsidRPr="00C03385" w:rsidTr="00447FFD">
        <w:trPr>
          <w:trHeight w:val="20"/>
          <w:jc w:val="center"/>
        </w:trPr>
        <w:tc>
          <w:tcPr>
            <w:tcW w:w="3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09C" w:rsidRPr="00C03385" w:rsidRDefault="004F009C" w:rsidP="00D90187">
            <w:pPr>
              <w:rPr>
                <w:sz w:val="20"/>
              </w:rPr>
            </w:pPr>
            <w:r w:rsidRPr="00C03385">
              <w:rPr>
                <w:snapToGrid w:val="0"/>
                <w:sz w:val="20"/>
              </w:rPr>
              <w:t>Налог на доходы физических лиц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9C" w:rsidRPr="001B0995" w:rsidRDefault="004F009C" w:rsidP="00447FFD">
            <w:pPr>
              <w:jc w:val="center"/>
              <w:rPr>
                <w:sz w:val="20"/>
              </w:rPr>
            </w:pPr>
            <w:r w:rsidRPr="001B0995">
              <w:rPr>
                <w:sz w:val="20"/>
              </w:rPr>
              <w:t>18 340,7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9C" w:rsidRPr="001B0995" w:rsidRDefault="004F009C" w:rsidP="00447FFD">
            <w:pPr>
              <w:jc w:val="center"/>
              <w:rPr>
                <w:sz w:val="20"/>
              </w:rPr>
            </w:pPr>
            <w:r w:rsidRPr="001B0995">
              <w:rPr>
                <w:sz w:val="20"/>
              </w:rPr>
              <w:t>18 463,7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9C" w:rsidRPr="00C03385" w:rsidRDefault="004F009C" w:rsidP="00447FF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17 669,5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9C" w:rsidRPr="00A94FAF" w:rsidRDefault="004F009C" w:rsidP="00447FFD">
            <w:pPr>
              <w:jc w:val="center"/>
              <w:rPr>
                <w:sz w:val="20"/>
              </w:rPr>
            </w:pPr>
            <w:r w:rsidRPr="00A94FAF">
              <w:rPr>
                <w:sz w:val="20"/>
              </w:rPr>
              <w:t>96,3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9C" w:rsidRPr="00A94FAF" w:rsidRDefault="004F009C" w:rsidP="00447FFD">
            <w:pPr>
              <w:jc w:val="center"/>
              <w:rPr>
                <w:sz w:val="20"/>
              </w:rPr>
            </w:pPr>
            <w:r w:rsidRPr="00A94FAF">
              <w:rPr>
                <w:sz w:val="20"/>
              </w:rPr>
              <w:t>95,7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9C" w:rsidRPr="00B450F9" w:rsidRDefault="004F009C" w:rsidP="00447FFD">
            <w:pPr>
              <w:jc w:val="center"/>
              <w:rPr>
                <w:sz w:val="20"/>
              </w:rPr>
            </w:pPr>
            <w:r w:rsidRPr="00B450F9">
              <w:rPr>
                <w:sz w:val="20"/>
              </w:rPr>
              <w:t>-671,2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9C" w:rsidRPr="00B450F9" w:rsidRDefault="004F009C" w:rsidP="00447FFD">
            <w:pPr>
              <w:jc w:val="center"/>
              <w:rPr>
                <w:sz w:val="20"/>
              </w:rPr>
            </w:pPr>
            <w:r w:rsidRPr="00B450F9">
              <w:rPr>
                <w:sz w:val="20"/>
              </w:rPr>
              <w:t>-794,2</w:t>
            </w:r>
          </w:p>
        </w:tc>
      </w:tr>
      <w:tr w:rsidR="00447FFD" w:rsidRPr="00C03385" w:rsidTr="00447FFD">
        <w:trPr>
          <w:trHeight w:val="20"/>
          <w:jc w:val="center"/>
        </w:trPr>
        <w:tc>
          <w:tcPr>
            <w:tcW w:w="3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09C" w:rsidRPr="00C03385" w:rsidRDefault="004F009C" w:rsidP="00D90187">
            <w:pPr>
              <w:rPr>
                <w:sz w:val="20"/>
              </w:rPr>
            </w:pPr>
            <w:r w:rsidRPr="00C03385">
              <w:rPr>
                <w:snapToGrid w:val="0"/>
                <w:sz w:val="20"/>
              </w:rPr>
              <w:t>Акцизы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9C" w:rsidRPr="001B0995" w:rsidRDefault="004F009C" w:rsidP="00447FFD">
            <w:pPr>
              <w:jc w:val="center"/>
              <w:rPr>
                <w:sz w:val="20"/>
              </w:rPr>
            </w:pPr>
            <w:r w:rsidRPr="001B0995">
              <w:rPr>
                <w:sz w:val="20"/>
              </w:rPr>
              <w:t>7 738,</w:t>
            </w:r>
            <w:r>
              <w:rPr>
                <w:sz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9C" w:rsidRPr="001B0995" w:rsidRDefault="004F009C" w:rsidP="00447FFD">
            <w:pPr>
              <w:jc w:val="center"/>
              <w:rPr>
                <w:sz w:val="20"/>
              </w:rPr>
            </w:pPr>
            <w:r w:rsidRPr="001B0995">
              <w:rPr>
                <w:sz w:val="20"/>
              </w:rPr>
              <w:t>8 400,4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9C" w:rsidRPr="00C03385" w:rsidRDefault="004F009C" w:rsidP="00447FFD">
            <w:pPr>
              <w:jc w:val="center"/>
              <w:rPr>
                <w:sz w:val="20"/>
              </w:rPr>
            </w:pPr>
            <w:r>
              <w:rPr>
                <w:sz w:val="20"/>
              </w:rPr>
              <w:t>7 297,8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9C" w:rsidRPr="00A94FAF" w:rsidRDefault="004F009C" w:rsidP="00447FFD">
            <w:pPr>
              <w:jc w:val="center"/>
              <w:rPr>
                <w:sz w:val="20"/>
              </w:rPr>
            </w:pPr>
            <w:r w:rsidRPr="00A94FAF">
              <w:rPr>
                <w:sz w:val="20"/>
              </w:rPr>
              <w:t>94,3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9C" w:rsidRPr="00A94FAF" w:rsidRDefault="004F009C" w:rsidP="00447FFD">
            <w:pPr>
              <w:jc w:val="center"/>
              <w:rPr>
                <w:sz w:val="20"/>
              </w:rPr>
            </w:pPr>
            <w:r w:rsidRPr="00A94FAF">
              <w:rPr>
                <w:sz w:val="20"/>
              </w:rPr>
              <w:t>86,9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9C" w:rsidRPr="00B450F9" w:rsidRDefault="004F009C" w:rsidP="00447FFD">
            <w:pPr>
              <w:jc w:val="center"/>
              <w:rPr>
                <w:sz w:val="20"/>
              </w:rPr>
            </w:pPr>
            <w:r w:rsidRPr="00B450F9">
              <w:rPr>
                <w:sz w:val="20"/>
              </w:rPr>
              <w:t>-440,9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9C" w:rsidRPr="00B450F9" w:rsidRDefault="004F009C" w:rsidP="00447FFD">
            <w:pPr>
              <w:jc w:val="center"/>
              <w:rPr>
                <w:sz w:val="20"/>
              </w:rPr>
            </w:pPr>
            <w:r w:rsidRPr="00B450F9">
              <w:rPr>
                <w:sz w:val="20"/>
              </w:rPr>
              <w:t>-1 102,6</w:t>
            </w:r>
          </w:p>
        </w:tc>
      </w:tr>
      <w:tr w:rsidR="00447FFD" w:rsidRPr="00C03385" w:rsidTr="00447FFD">
        <w:trPr>
          <w:trHeight w:val="20"/>
          <w:jc w:val="center"/>
        </w:trPr>
        <w:tc>
          <w:tcPr>
            <w:tcW w:w="3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09C" w:rsidRPr="00C03385" w:rsidRDefault="004F009C" w:rsidP="00D90187">
            <w:pPr>
              <w:rPr>
                <w:sz w:val="20"/>
              </w:rPr>
            </w:pPr>
            <w:r w:rsidRPr="00C03385">
              <w:rPr>
                <w:snapToGrid w:val="0"/>
                <w:sz w:val="20"/>
              </w:rPr>
              <w:t>Единый налог по упрощенной системе налогообложения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9C" w:rsidRPr="001B0995" w:rsidRDefault="004F009C" w:rsidP="00447FFD">
            <w:pPr>
              <w:jc w:val="center"/>
              <w:rPr>
                <w:sz w:val="20"/>
              </w:rPr>
            </w:pPr>
            <w:r w:rsidRPr="001B0995">
              <w:rPr>
                <w:sz w:val="20"/>
              </w:rPr>
              <w:t>3 550,2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9C" w:rsidRPr="001B0995" w:rsidRDefault="004F009C" w:rsidP="00447FFD">
            <w:pPr>
              <w:jc w:val="center"/>
              <w:rPr>
                <w:sz w:val="20"/>
              </w:rPr>
            </w:pPr>
            <w:r w:rsidRPr="001B0995">
              <w:rPr>
                <w:sz w:val="20"/>
              </w:rPr>
              <w:t>3 886,5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9C" w:rsidRPr="00C03385" w:rsidRDefault="004F009C" w:rsidP="00447FFD">
            <w:pPr>
              <w:jc w:val="center"/>
              <w:rPr>
                <w:sz w:val="20"/>
              </w:rPr>
            </w:pPr>
            <w:r>
              <w:rPr>
                <w:sz w:val="20"/>
              </w:rPr>
              <w:t>3 956,4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9C" w:rsidRPr="00B30710" w:rsidRDefault="004F009C" w:rsidP="00447FFD">
            <w:pPr>
              <w:jc w:val="center"/>
              <w:rPr>
                <w:sz w:val="20"/>
                <w:highlight w:val="yellow"/>
              </w:rPr>
            </w:pPr>
            <w:r w:rsidRPr="00A94FAF">
              <w:rPr>
                <w:sz w:val="20"/>
              </w:rPr>
              <w:t>111,4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9C" w:rsidRPr="009274D0" w:rsidRDefault="004F009C" w:rsidP="00447FFD">
            <w:pPr>
              <w:jc w:val="center"/>
              <w:rPr>
                <w:sz w:val="20"/>
                <w:highlight w:val="yellow"/>
              </w:rPr>
            </w:pPr>
            <w:r w:rsidRPr="008452EF">
              <w:rPr>
                <w:sz w:val="20"/>
              </w:rPr>
              <w:t>101,</w:t>
            </w:r>
            <w:r>
              <w:rPr>
                <w:sz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9C" w:rsidRPr="00B450F9" w:rsidRDefault="004F009C" w:rsidP="00447FFD">
            <w:pPr>
              <w:jc w:val="center"/>
              <w:rPr>
                <w:sz w:val="20"/>
              </w:rPr>
            </w:pPr>
            <w:r w:rsidRPr="00B450F9">
              <w:rPr>
                <w:sz w:val="20"/>
              </w:rPr>
              <w:t>406,2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9C" w:rsidRPr="00B450F9" w:rsidRDefault="004F009C" w:rsidP="00447FFD">
            <w:pPr>
              <w:jc w:val="center"/>
              <w:rPr>
                <w:sz w:val="20"/>
              </w:rPr>
            </w:pPr>
            <w:r w:rsidRPr="00B450F9">
              <w:rPr>
                <w:sz w:val="20"/>
              </w:rPr>
              <w:t>69,9</w:t>
            </w:r>
          </w:p>
        </w:tc>
      </w:tr>
      <w:tr w:rsidR="00447FFD" w:rsidRPr="00C03385" w:rsidTr="00447FFD">
        <w:trPr>
          <w:trHeight w:val="20"/>
          <w:jc w:val="center"/>
        </w:trPr>
        <w:tc>
          <w:tcPr>
            <w:tcW w:w="3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09C" w:rsidRPr="00C03385" w:rsidRDefault="004F009C" w:rsidP="00D90187">
            <w:pPr>
              <w:rPr>
                <w:sz w:val="20"/>
              </w:rPr>
            </w:pPr>
            <w:r w:rsidRPr="00C03385">
              <w:rPr>
                <w:snapToGrid w:val="0"/>
                <w:sz w:val="20"/>
              </w:rPr>
              <w:t>Налог на имущество организаций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9C" w:rsidRPr="001B0995" w:rsidRDefault="004F009C" w:rsidP="00447FFD">
            <w:pPr>
              <w:jc w:val="center"/>
              <w:rPr>
                <w:sz w:val="20"/>
              </w:rPr>
            </w:pPr>
            <w:r w:rsidRPr="001B0995">
              <w:rPr>
                <w:sz w:val="20"/>
              </w:rPr>
              <w:t>7 438,6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9C" w:rsidRPr="001B0995" w:rsidRDefault="004F009C" w:rsidP="00447FFD">
            <w:pPr>
              <w:jc w:val="center"/>
              <w:rPr>
                <w:sz w:val="20"/>
              </w:rPr>
            </w:pPr>
            <w:r w:rsidRPr="001B0995">
              <w:rPr>
                <w:sz w:val="20"/>
              </w:rPr>
              <w:t>7 438,6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9C" w:rsidRPr="00C03385" w:rsidRDefault="004F009C" w:rsidP="00447FFD">
            <w:pPr>
              <w:jc w:val="center"/>
              <w:rPr>
                <w:sz w:val="20"/>
              </w:rPr>
            </w:pPr>
            <w:r>
              <w:rPr>
                <w:sz w:val="20"/>
              </w:rPr>
              <w:t>7 286,4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9C" w:rsidRPr="00B30710" w:rsidRDefault="004F009C" w:rsidP="00447FFD">
            <w:pPr>
              <w:jc w:val="center"/>
              <w:rPr>
                <w:sz w:val="20"/>
                <w:highlight w:val="yellow"/>
              </w:rPr>
            </w:pPr>
            <w:r w:rsidRPr="00A94FAF">
              <w:rPr>
                <w:sz w:val="20"/>
              </w:rPr>
              <w:t>98,0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9C" w:rsidRPr="009274D0" w:rsidRDefault="004F009C" w:rsidP="00447FFD">
            <w:pPr>
              <w:jc w:val="center"/>
              <w:rPr>
                <w:sz w:val="20"/>
                <w:highlight w:val="yellow"/>
              </w:rPr>
            </w:pPr>
            <w:r>
              <w:rPr>
                <w:sz w:val="20"/>
              </w:rPr>
              <w:t>98,0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9C" w:rsidRPr="00B450F9" w:rsidRDefault="004F009C" w:rsidP="00447FFD">
            <w:pPr>
              <w:jc w:val="center"/>
              <w:rPr>
                <w:sz w:val="20"/>
              </w:rPr>
            </w:pPr>
            <w:r w:rsidRPr="00B450F9">
              <w:rPr>
                <w:sz w:val="20"/>
              </w:rPr>
              <w:t>-152,2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9C" w:rsidRPr="00B450F9" w:rsidRDefault="004F009C" w:rsidP="00447FFD">
            <w:pPr>
              <w:jc w:val="center"/>
              <w:rPr>
                <w:sz w:val="20"/>
              </w:rPr>
            </w:pPr>
            <w:r w:rsidRPr="00B450F9">
              <w:rPr>
                <w:sz w:val="20"/>
              </w:rPr>
              <w:t>-152,2</w:t>
            </w:r>
          </w:p>
        </w:tc>
      </w:tr>
      <w:tr w:rsidR="00447FFD" w:rsidRPr="00B450F9" w:rsidTr="00447FFD">
        <w:trPr>
          <w:trHeight w:val="20"/>
          <w:jc w:val="center"/>
        </w:trPr>
        <w:tc>
          <w:tcPr>
            <w:tcW w:w="3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09C" w:rsidRPr="00C03385" w:rsidRDefault="004F009C" w:rsidP="00D90187">
            <w:pPr>
              <w:rPr>
                <w:sz w:val="20"/>
              </w:rPr>
            </w:pPr>
            <w:r w:rsidRPr="00C03385">
              <w:rPr>
                <w:snapToGrid w:val="0"/>
                <w:sz w:val="20"/>
              </w:rPr>
              <w:t>Транспортный налог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9C" w:rsidRPr="00B30710" w:rsidRDefault="004F009C" w:rsidP="00447FFD">
            <w:pPr>
              <w:jc w:val="center"/>
              <w:rPr>
                <w:sz w:val="20"/>
                <w:highlight w:val="yellow"/>
              </w:rPr>
            </w:pPr>
            <w:r w:rsidRPr="001B0995">
              <w:rPr>
                <w:sz w:val="20"/>
              </w:rPr>
              <w:t>1 557,9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9C" w:rsidRPr="00C03385" w:rsidRDefault="004F009C" w:rsidP="00447FF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1 557,9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9C" w:rsidRPr="00C03385" w:rsidRDefault="004F009C" w:rsidP="00447FF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1 774,5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9C" w:rsidRPr="00A94FAF" w:rsidRDefault="004F009C" w:rsidP="00447FFD">
            <w:pPr>
              <w:jc w:val="center"/>
              <w:rPr>
                <w:sz w:val="20"/>
              </w:rPr>
            </w:pPr>
            <w:r w:rsidRPr="00A94FAF">
              <w:rPr>
                <w:sz w:val="20"/>
              </w:rPr>
              <w:t>113,9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9C" w:rsidRPr="00A94FAF" w:rsidRDefault="004F009C" w:rsidP="00447FFD">
            <w:pPr>
              <w:jc w:val="center"/>
              <w:rPr>
                <w:sz w:val="20"/>
              </w:rPr>
            </w:pPr>
            <w:r w:rsidRPr="00A94FAF">
              <w:rPr>
                <w:sz w:val="20"/>
              </w:rPr>
              <w:t>113,9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9C" w:rsidRPr="00B30710" w:rsidRDefault="004F009C" w:rsidP="00447FFD">
            <w:pPr>
              <w:jc w:val="center"/>
              <w:rPr>
                <w:sz w:val="20"/>
                <w:highlight w:val="yellow"/>
              </w:rPr>
            </w:pPr>
            <w:r w:rsidRPr="00B450F9">
              <w:rPr>
                <w:sz w:val="20"/>
              </w:rPr>
              <w:t>216,6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9C" w:rsidRPr="00B450F9" w:rsidRDefault="004F009C" w:rsidP="00447FFD">
            <w:pPr>
              <w:jc w:val="center"/>
              <w:rPr>
                <w:sz w:val="20"/>
              </w:rPr>
            </w:pPr>
            <w:r w:rsidRPr="00B450F9">
              <w:rPr>
                <w:sz w:val="20"/>
              </w:rPr>
              <w:t>216,6</w:t>
            </w:r>
          </w:p>
        </w:tc>
      </w:tr>
      <w:tr w:rsidR="00447FFD" w:rsidRPr="00B450F9" w:rsidTr="00447FFD">
        <w:trPr>
          <w:trHeight w:val="20"/>
          <w:jc w:val="center"/>
        </w:trPr>
        <w:tc>
          <w:tcPr>
            <w:tcW w:w="3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09C" w:rsidRPr="00C03385" w:rsidRDefault="004F009C" w:rsidP="00D90187">
            <w:pPr>
              <w:rPr>
                <w:sz w:val="20"/>
              </w:rPr>
            </w:pPr>
            <w:r w:rsidRPr="00C03385">
              <w:rPr>
                <w:snapToGrid w:val="0"/>
                <w:sz w:val="20"/>
              </w:rPr>
              <w:t>Налог на игорный бизнес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9C" w:rsidRPr="00B30710" w:rsidRDefault="004F009C" w:rsidP="00447FFD">
            <w:pPr>
              <w:jc w:val="center"/>
              <w:rPr>
                <w:sz w:val="20"/>
                <w:highlight w:val="yellow"/>
              </w:rPr>
            </w:pPr>
            <w:r w:rsidRPr="001B0995">
              <w:rPr>
                <w:sz w:val="20"/>
              </w:rPr>
              <w:t>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9C" w:rsidRPr="00C03385" w:rsidRDefault="004F009C" w:rsidP="00447FFD">
            <w:pPr>
              <w:jc w:val="center"/>
              <w:rPr>
                <w:sz w:val="20"/>
              </w:rPr>
            </w:pPr>
            <w:r>
              <w:rPr>
                <w:sz w:val="20"/>
              </w:rPr>
              <w:t>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9C" w:rsidRPr="00C03385" w:rsidRDefault="004F009C" w:rsidP="00447FFD">
            <w:pPr>
              <w:jc w:val="center"/>
              <w:rPr>
                <w:sz w:val="20"/>
              </w:rPr>
            </w:pPr>
            <w:r>
              <w:rPr>
                <w:sz w:val="20"/>
              </w:rPr>
              <w:t>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9C" w:rsidRPr="00B30710" w:rsidRDefault="004F009C" w:rsidP="00447FFD">
            <w:pPr>
              <w:jc w:val="center"/>
              <w:rPr>
                <w:sz w:val="20"/>
                <w:highlight w:val="yellow"/>
              </w:rPr>
            </w:pPr>
            <w:r w:rsidRPr="00A94FAF">
              <w:rPr>
                <w:sz w:val="20"/>
              </w:rPr>
              <w:t>94,</w:t>
            </w:r>
            <w:r>
              <w:rPr>
                <w:sz w:val="20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9C" w:rsidRPr="0060716B" w:rsidRDefault="004F009C" w:rsidP="00447FFD">
            <w:pPr>
              <w:jc w:val="center"/>
              <w:rPr>
                <w:sz w:val="20"/>
                <w:highlight w:val="yellow"/>
              </w:rPr>
            </w:pPr>
            <w:r>
              <w:rPr>
                <w:sz w:val="20"/>
              </w:rPr>
              <w:t>94,7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9C" w:rsidRPr="00B450F9" w:rsidRDefault="004F009C" w:rsidP="00447FFD">
            <w:pPr>
              <w:jc w:val="center"/>
              <w:rPr>
                <w:sz w:val="20"/>
              </w:rPr>
            </w:pPr>
            <w:r w:rsidRPr="00B450F9">
              <w:rPr>
                <w:sz w:val="20"/>
              </w:rPr>
              <w:t>-0,3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9C" w:rsidRPr="00B450F9" w:rsidRDefault="004F009C" w:rsidP="00447FFD">
            <w:pPr>
              <w:jc w:val="center"/>
              <w:rPr>
                <w:sz w:val="20"/>
              </w:rPr>
            </w:pPr>
            <w:r w:rsidRPr="00B450F9">
              <w:rPr>
                <w:sz w:val="20"/>
              </w:rPr>
              <w:t>-0,3</w:t>
            </w:r>
          </w:p>
        </w:tc>
      </w:tr>
      <w:tr w:rsidR="00447FFD" w:rsidRPr="00B450F9" w:rsidTr="00447FFD">
        <w:trPr>
          <w:trHeight w:val="20"/>
          <w:jc w:val="center"/>
        </w:trPr>
        <w:tc>
          <w:tcPr>
            <w:tcW w:w="3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09C" w:rsidRPr="00C03385" w:rsidRDefault="004F009C" w:rsidP="00D90187">
            <w:pPr>
              <w:rPr>
                <w:sz w:val="20"/>
              </w:rPr>
            </w:pPr>
            <w:r w:rsidRPr="00C03385">
              <w:rPr>
                <w:snapToGrid w:val="0"/>
                <w:sz w:val="20"/>
              </w:rPr>
              <w:t xml:space="preserve">Налоги, сборы и регулярные платежи за природные ресурсы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9C" w:rsidRPr="001B0995" w:rsidRDefault="004F009C" w:rsidP="00447FFD">
            <w:pPr>
              <w:jc w:val="center"/>
              <w:rPr>
                <w:sz w:val="20"/>
              </w:rPr>
            </w:pPr>
            <w:r w:rsidRPr="001B0995">
              <w:rPr>
                <w:sz w:val="20"/>
              </w:rPr>
              <w:t>47,8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9C" w:rsidRPr="001B0995" w:rsidRDefault="004F009C" w:rsidP="00447FFD">
            <w:pPr>
              <w:jc w:val="center"/>
              <w:rPr>
                <w:sz w:val="20"/>
              </w:rPr>
            </w:pPr>
            <w:r w:rsidRPr="001B0995">
              <w:rPr>
                <w:sz w:val="20"/>
              </w:rPr>
              <w:t>47,8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9C" w:rsidRPr="00C03385" w:rsidRDefault="004F009C" w:rsidP="00447FFD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9C" w:rsidRPr="00B30710" w:rsidRDefault="004F009C" w:rsidP="00447FFD">
            <w:pPr>
              <w:jc w:val="center"/>
              <w:rPr>
                <w:sz w:val="20"/>
                <w:highlight w:val="yellow"/>
              </w:rPr>
            </w:pPr>
            <w:r w:rsidRPr="00A94FAF">
              <w:rPr>
                <w:sz w:val="20"/>
              </w:rPr>
              <w:t>114,2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9C" w:rsidRPr="009274D0" w:rsidRDefault="004F009C" w:rsidP="00447FFD">
            <w:pPr>
              <w:jc w:val="center"/>
              <w:rPr>
                <w:sz w:val="20"/>
                <w:highlight w:val="yellow"/>
              </w:rPr>
            </w:pPr>
            <w:r w:rsidRPr="008452EF">
              <w:rPr>
                <w:sz w:val="20"/>
              </w:rPr>
              <w:t>1</w:t>
            </w:r>
            <w:r>
              <w:rPr>
                <w:sz w:val="20"/>
              </w:rPr>
              <w:t>14,2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9C" w:rsidRPr="00B450F9" w:rsidRDefault="004F009C" w:rsidP="00447FFD">
            <w:pPr>
              <w:jc w:val="center"/>
              <w:rPr>
                <w:sz w:val="20"/>
              </w:rPr>
            </w:pPr>
            <w:r w:rsidRPr="00B450F9">
              <w:rPr>
                <w:sz w:val="20"/>
              </w:rPr>
              <w:t>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9C" w:rsidRPr="00B450F9" w:rsidRDefault="004F009C" w:rsidP="00447FFD">
            <w:pPr>
              <w:jc w:val="center"/>
              <w:rPr>
                <w:sz w:val="20"/>
              </w:rPr>
            </w:pPr>
            <w:r w:rsidRPr="00B450F9">
              <w:rPr>
                <w:sz w:val="20"/>
              </w:rPr>
              <w:t>6,8</w:t>
            </w:r>
          </w:p>
        </w:tc>
      </w:tr>
      <w:tr w:rsidR="00447FFD" w:rsidRPr="00B450F9" w:rsidTr="00447FFD">
        <w:trPr>
          <w:trHeight w:val="20"/>
          <w:jc w:val="center"/>
        </w:trPr>
        <w:tc>
          <w:tcPr>
            <w:tcW w:w="3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09C" w:rsidRPr="00C03385" w:rsidRDefault="004F009C" w:rsidP="00D90187">
            <w:pPr>
              <w:rPr>
                <w:sz w:val="20"/>
              </w:rPr>
            </w:pPr>
            <w:r w:rsidRPr="00C03385">
              <w:rPr>
                <w:snapToGrid w:val="0"/>
                <w:sz w:val="20"/>
              </w:rPr>
              <w:t>Госпошлина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9C" w:rsidRPr="001B0995" w:rsidRDefault="004F009C" w:rsidP="00447FFD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277</w:t>
            </w:r>
            <w:r w:rsidRPr="001B0995">
              <w:rPr>
                <w:sz w:val="20"/>
              </w:rPr>
              <w:t>,</w:t>
            </w:r>
            <w:r>
              <w:rPr>
                <w:sz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9C" w:rsidRPr="00F94EEB" w:rsidRDefault="004F009C" w:rsidP="00447FFD">
            <w:pPr>
              <w:jc w:val="center"/>
              <w:rPr>
                <w:sz w:val="20"/>
              </w:rPr>
            </w:pPr>
            <w:r w:rsidRPr="00F94EEB">
              <w:rPr>
                <w:sz w:val="20"/>
              </w:rPr>
              <w:t>2</w:t>
            </w:r>
            <w:r>
              <w:rPr>
                <w:sz w:val="20"/>
              </w:rPr>
              <w:t>78,8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9C" w:rsidRPr="00F94EEB" w:rsidRDefault="004F009C" w:rsidP="00447FFD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9C" w:rsidRPr="00B30710" w:rsidRDefault="004F009C" w:rsidP="00447FFD">
            <w:pPr>
              <w:jc w:val="center"/>
              <w:rPr>
                <w:sz w:val="20"/>
                <w:highlight w:val="yellow"/>
              </w:rPr>
            </w:pPr>
            <w:r w:rsidRPr="00A94FAF">
              <w:rPr>
                <w:sz w:val="20"/>
              </w:rPr>
              <w:t>106,2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9C" w:rsidRPr="00F94EEB" w:rsidRDefault="004F009C" w:rsidP="00447FFD">
            <w:pPr>
              <w:jc w:val="center"/>
              <w:rPr>
                <w:sz w:val="20"/>
              </w:rPr>
            </w:pPr>
            <w:r w:rsidRPr="00F94EEB">
              <w:rPr>
                <w:sz w:val="20"/>
              </w:rPr>
              <w:t>10</w:t>
            </w:r>
            <w:r>
              <w:rPr>
                <w:sz w:val="20"/>
              </w:rPr>
              <w:t>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9C" w:rsidRPr="00B450F9" w:rsidRDefault="004F009C" w:rsidP="00447FFD">
            <w:pPr>
              <w:jc w:val="center"/>
              <w:rPr>
                <w:sz w:val="20"/>
              </w:rPr>
            </w:pPr>
            <w:r w:rsidRPr="00B450F9">
              <w:rPr>
                <w:sz w:val="20"/>
              </w:rPr>
              <w:t>17,3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9C" w:rsidRPr="00B450F9" w:rsidRDefault="004F009C" w:rsidP="00447FFD">
            <w:pPr>
              <w:jc w:val="center"/>
              <w:rPr>
                <w:sz w:val="20"/>
              </w:rPr>
            </w:pPr>
            <w:r w:rsidRPr="00B450F9">
              <w:rPr>
                <w:sz w:val="20"/>
              </w:rPr>
              <w:t>16,4</w:t>
            </w:r>
          </w:p>
        </w:tc>
      </w:tr>
      <w:tr w:rsidR="00447FFD" w:rsidRPr="00B450F9" w:rsidTr="00447FFD">
        <w:trPr>
          <w:trHeight w:val="312"/>
          <w:jc w:val="center"/>
        </w:trPr>
        <w:tc>
          <w:tcPr>
            <w:tcW w:w="3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09C" w:rsidRPr="00C03385" w:rsidRDefault="004F009C" w:rsidP="00D90187">
            <w:pPr>
              <w:rPr>
                <w:sz w:val="20"/>
              </w:rPr>
            </w:pPr>
            <w:r w:rsidRPr="00C03385">
              <w:rPr>
                <w:snapToGrid w:val="0"/>
                <w:sz w:val="20"/>
              </w:rPr>
              <w:t xml:space="preserve">Задолженность по отмененным налогам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9C" w:rsidRPr="001B0995" w:rsidRDefault="004F009C" w:rsidP="00447FFD">
            <w:pPr>
              <w:jc w:val="center"/>
              <w:rPr>
                <w:sz w:val="20"/>
              </w:rPr>
            </w:pPr>
            <w:r w:rsidRPr="001B0995">
              <w:rPr>
                <w:sz w:val="20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9C" w:rsidRPr="00C03385" w:rsidRDefault="004F009C" w:rsidP="00447FFD">
            <w:pPr>
              <w:jc w:val="center"/>
              <w:rPr>
                <w:sz w:val="20"/>
              </w:rPr>
            </w:pPr>
            <w:r>
              <w:rPr>
                <w:sz w:val="20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9C" w:rsidRPr="00C03385" w:rsidRDefault="004F009C" w:rsidP="00447FFD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9C" w:rsidRPr="00A55CB6" w:rsidRDefault="004F009C" w:rsidP="00447FFD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9C" w:rsidRPr="00A55CB6" w:rsidRDefault="004F009C" w:rsidP="00447FFD">
            <w:pPr>
              <w:jc w:val="center"/>
              <w:rPr>
                <w:sz w:val="20"/>
              </w:rPr>
            </w:pPr>
            <w:r w:rsidRPr="00A55CB6">
              <w:rPr>
                <w:sz w:val="20"/>
              </w:rPr>
              <w:t>4</w:t>
            </w:r>
            <w:r>
              <w:rPr>
                <w:sz w:val="20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9C" w:rsidRPr="00B450F9" w:rsidRDefault="004F009C" w:rsidP="00447FFD">
            <w:pPr>
              <w:jc w:val="center"/>
              <w:rPr>
                <w:sz w:val="20"/>
              </w:rPr>
            </w:pPr>
            <w:r w:rsidRPr="00B450F9">
              <w:rPr>
                <w:sz w:val="20"/>
              </w:rPr>
              <w:t>-1,1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9C" w:rsidRPr="00B450F9" w:rsidRDefault="004F009C" w:rsidP="00447FFD">
            <w:pPr>
              <w:jc w:val="center"/>
              <w:rPr>
                <w:sz w:val="20"/>
              </w:rPr>
            </w:pPr>
            <w:r w:rsidRPr="00B450F9">
              <w:rPr>
                <w:sz w:val="20"/>
              </w:rPr>
              <w:t>-1,1</w:t>
            </w:r>
          </w:p>
        </w:tc>
      </w:tr>
      <w:tr w:rsidR="00447FFD" w:rsidRPr="00B450F9" w:rsidTr="00B851E8">
        <w:trPr>
          <w:trHeight w:val="20"/>
          <w:jc w:val="center"/>
        </w:trPr>
        <w:tc>
          <w:tcPr>
            <w:tcW w:w="3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4F009C" w:rsidRPr="00C03385" w:rsidRDefault="004F009C" w:rsidP="00D90187">
            <w:pPr>
              <w:rPr>
                <w:b/>
                <w:bCs/>
                <w:sz w:val="20"/>
              </w:rPr>
            </w:pPr>
            <w:r w:rsidRPr="00C03385">
              <w:rPr>
                <w:b/>
                <w:bCs/>
                <w:snapToGrid w:val="0"/>
                <w:sz w:val="20"/>
              </w:rPr>
              <w:t>Итого налоговые доходы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bottom"/>
            <w:hideMark/>
          </w:tcPr>
          <w:p w:rsidR="004F009C" w:rsidRPr="00B30710" w:rsidRDefault="004F009C" w:rsidP="00447FFD">
            <w:pPr>
              <w:jc w:val="center"/>
              <w:rPr>
                <w:b/>
                <w:bCs/>
                <w:sz w:val="20"/>
                <w:highlight w:val="yellow"/>
              </w:rPr>
            </w:pPr>
            <w:r w:rsidRPr="001B0995">
              <w:rPr>
                <w:b/>
                <w:bCs/>
                <w:snapToGrid w:val="0"/>
                <w:sz w:val="20"/>
              </w:rPr>
              <w:t>57 925,3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bottom"/>
            <w:hideMark/>
          </w:tcPr>
          <w:p w:rsidR="004F009C" w:rsidRPr="00C03385" w:rsidRDefault="004F009C" w:rsidP="00447FFD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napToGrid w:val="0"/>
                <w:sz w:val="20"/>
              </w:rPr>
              <w:t>59 972,1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bottom"/>
            <w:hideMark/>
          </w:tcPr>
          <w:p w:rsidR="004F009C" w:rsidRPr="00C03385" w:rsidRDefault="004F009C" w:rsidP="00447FFD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napToGrid w:val="0"/>
                <w:sz w:val="20"/>
              </w:rPr>
              <w:t>58 444,7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bottom"/>
            <w:hideMark/>
          </w:tcPr>
          <w:p w:rsidR="004F009C" w:rsidRPr="00B30710" w:rsidRDefault="004F009C" w:rsidP="00447FFD">
            <w:pPr>
              <w:jc w:val="center"/>
              <w:rPr>
                <w:b/>
                <w:bCs/>
                <w:sz w:val="20"/>
                <w:highlight w:val="yellow"/>
              </w:rPr>
            </w:pPr>
            <w:r w:rsidRPr="00B450F9">
              <w:rPr>
                <w:b/>
                <w:bCs/>
                <w:sz w:val="20"/>
              </w:rPr>
              <w:t>100,9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bottom"/>
            <w:hideMark/>
          </w:tcPr>
          <w:p w:rsidR="004F009C" w:rsidRPr="008452EF" w:rsidRDefault="004F009C" w:rsidP="00447FFD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bottom"/>
            <w:hideMark/>
          </w:tcPr>
          <w:p w:rsidR="004F009C" w:rsidRPr="00B30710" w:rsidRDefault="004F009C" w:rsidP="00447FFD">
            <w:pPr>
              <w:jc w:val="center"/>
              <w:rPr>
                <w:b/>
                <w:bCs/>
                <w:sz w:val="20"/>
                <w:highlight w:val="yellow"/>
              </w:rPr>
            </w:pPr>
            <w:r w:rsidRPr="00B450F9">
              <w:rPr>
                <w:b/>
                <w:bCs/>
                <w:sz w:val="20"/>
              </w:rPr>
              <w:t>519,4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bottom"/>
            <w:hideMark/>
          </w:tcPr>
          <w:p w:rsidR="004F009C" w:rsidRPr="00B450F9" w:rsidRDefault="004F009C" w:rsidP="00447FFD">
            <w:pPr>
              <w:jc w:val="center"/>
              <w:rPr>
                <w:b/>
                <w:bCs/>
                <w:sz w:val="20"/>
              </w:rPr>
            </w:pPr>
            <w:r w:rsidRPr="00B450F9">
              <w:rPr>
                <w:b/>
                <w:bCs/>
                <w:sz w:val="20"/>
              </w:rPr>
              <w:t>-1 527,4</w:t>
            </w:r>
          </w:p>
        </w:tc>
      </w:tr>
    </w:tbl>
    <w:p w:rsidR="004F009C" w:rsidRDefault="004F009C" w:rsidP="004F009C">
      <w:pPr>
        <w:ind w:firstLine="567"/>
        <w:jc w:val="both"/>
        <w:rPr>
          <w:szCs w:val="24"/>
        </w:rPr>
      </w:pPr>
    </w:p>
    <w:p w:rsidR="004F009C" w:rsidRDefault="004F009C" w:rsidP="004F009C">
      <w:pPr>
        <w:ind w:firstLine="567"/>
        <w:jc w:val="both"/>
      </w:pPr>
      <w:r w:rsidRPr="00504437">
        <w:rPr>
          <w:szCs w:val="24"/>
        </w:rPr>
        <w:t>Из приведенных в таблице данных видно, что п</w:t>
      </w:r>
      <w:r w:rsidRPr="00504437">
        <w:t>ервоначально прогнозные назначения по налоговым доходам бы</w:t>
      </w:r>
      <w:r>
        <w:t>ли утверждены в размере 57925,3</w:t>
      </w:r>
      <w:r w:rsidRPr="00504437">
        <w:t xml:space="preserve"> млн. руб., в течение го</w:t>
      </w:r>
      <w:r>
        <w:t xml:space="preserve">да </w:t>
      </w:r>
      <w:r w:rsidR="00447FFD">
        <w:t xml:space="preserve">при внесении </w:t>
      </w:r>
      <w:r>
        <w:t>поправ</w:t>
      </w:r>
      <w:r w:rsidR="00447FFD">
        <w:t>о</w:t>
      </w:r>
      <w:r>
        <w:t xml:space="preserve">к в бюджет </w:t>
      </w:r>
      <w:r w:rsidR="00447FFD">
        <w:t xml:space="preserve">они </w:t>
      </w:r>
      <w:r>
        <w:t>увеличены</w:t>
      </w:r>
      <w:r w:rsidRPr="00504437">
        <w:t xml:space="preserve"> на </w:t>
      </w:r>
      <w:r>
        <w:t>2046,8 млн. руб. (+3,5</w:t>
      </w:r>
      <w:r w:rsidRPr="00504437">
        <w:t>%)</w:t>
      </w:r>
      <w:r w:rsidR="003763C6">
        <w:t xml:space="preserve">, т. е. до </w:t>
      </w:r>
      <w:r w:rsidR="003763C6" w:rsidRPr="003763C6">
        <w:rPr>
          <w:bCs/>
          <w:snapToGrid w:val="0"/>
          <w:szCs w:val="24"/>
        </w:rPr>
        <w:t>59972,1</w:t>
      </w:r>
      <w:r w:rsidR="003763C6">
        <w:rPr>
          <w:bCs/>
          <w:snapToGrid w:val="0"/>
          <w:szCs w:val="24"/>
        </w:rPr>
        <w:t xml:space="preserve"> млн. рублей.</w:t>
      </w:r>
      <w:r w:rsidRPr="00504437">
        <w:t xml:space="preserve"> </w:t>
      </w:r>
      <w:r w:rsidR="00447FFD">
        <w:t>Уточненный план</w:t>
      </w:r>
      <w:r w:rsidRPr="00504437">
        <w:t xml:space="preserve"> по налого</w:t>
      </w:r>
      <w:r>
        <w:t>вым доходам не</w:t>
      </w:r>
      <w:r w:rsidR="003763C6">
        <w:t>до</w:t>
      </w:r>
      <w:r>
        <w:t xml:space="preserve">выполнен </w:t>
      </w:r>
      <w:r w:rsidR="00B95ED6">
        <w:t xml:space="preserve">в минувшем году </w:t>
      </w:r>
      <w:r>
        <w:t>на 1527,4</w:t>
      </w:r>
      <w:r w:rsidRPr="00504437">
        <w:t xml:space="preserve"> млн. руб.</w:t>
      </w:r>
      <w:r>
        <w:t>, или на 2,5</w:t>
      </w:r>
      <w:r w:rsidR="0009378C">
        <w:t xml:space="preserve"> процента</w:t>
      </w:r>
      <w:r>
        <w:t>.</w:t>
      </w:r>
    </w:p>
    <w:p w:rsidR="004F009C" w:rsidRDefault="0009378C" w:rsidP="004F009C">
      <w:pPr>
        <w:ind w:firstLine="567"/>
        <w:jc w:val="both"/>
        <w:rPr>
          <w:szCs w:val="24"/>
        </w:rPr>
      </w:pPr>
      <w:r>
        <w:rPr>
          <w:szCs w:val="24"/>
        </w:rPr>
        <w:t>При этом</w:t>
      </w:r>
      <w:r w:rsidR="004F009C" w:rsidRPr="003C4EA6">
        <w:rPr>
          <w:szCs w:val="24"/>
        </w:rPr>
        <w:t xml:space="preserve"> наибольшее неисполнение произошло по акцизам </w:t>
      </w:r>
      <w:r>
        <w:rPr>
          <w:szCs w:val="24"/>
        </w:rPr>
        <w:t xml:space="preserve">- </w:t>
      </w:r>
      <w:r w:rsidR="004F009C" w:rsidRPr="003C4EA6">
        <w:rPr>
          <w:szCs w:val="24"/>
        </w:rPr>
        <w:t xml:space="preserve">на </w:t>
      </w:r>
      <w:r w:rsidR="004F009C">
        <w:rPr>
          <w:szCs w:val="24"/>
        </w:rPr>
        <w:t>1102,6 млн. руб.</w:t>
      </w:r>
      <w:r>
        <w:rPr>
          <w:szCs w:val="24"/>
        </w:rPr>
        <w:t>, что обусловлено невыполнением прогнозных поступлений</w:t>
      </w:r>
      <w:r w:rsidR="004F009C">
        <w:rPr>
          <w:szCs w:val="24"/>
        </w:rPr>
        <w:t xml:space="preserve"> по акцизам на пиво </w:t>
      </w:r>
      <w:r>
        <w:rPr>
          <w:szCs w:val="24"/>
        </w:rPr>
        <w:t>(-</w:t>
      </w:r>
      <w:r w:rsidR="004F009C">
        <w:rPr>
          <w:szCs w:val="24"/>
        </w:rPr>
        <w:t>1472,9</w:t>
      </w:r>
      <w:r w:rsidR="004F009C" w:rsidRPr="003C4EA6">
        <w:rPr>
          <w:szCs w:val="24"/>
        </w:rPr>
        <w:t xml:space="preserve"> мл</w:t>
      </w:r>
      <w:r w:rsidR="004F009C">
        <w:rPr>
          <w:szCs w:val="24"/>
        </w:rPr>
        <w:t>н. руб</w:t>
      </w:r>
      <w:r w:rsidR="004F009C" w:rsidRPr="003C4EA6">
        <w:rPr>
          <w:szCs w:val="24"/>
        </w:rPr>
        <w:t>.</w:t>
      </w:r>
      <w:r>
        <w:rPr>
          <w:szCs w:val="24"/>
        </w:rPr>
        <w:t>)</w:t>
      </w:r>
      <w:r w:rsidR="004F009C" w:rsidRPr="003C4EA6">
        <w:rPr>
          <w:szCs w:val="24"/>
        </w:rPr>
        <w:t xml:space="preserve">, </w:t>
      </w:r>
      <w:r>
        <w:rPr>
          <w:szCs w:val="24"/>
        </w:rPr>
        <w:t>по налогу на</w:t>
      </w:r>
      <w:r w:rsidR="004F009C" w:rsidRPr="003C4EA6">
        <w:rPr>
          <w:szCs w:val="24"/>
        </w:rPr>
        <w:t xml:space="preserve"> доходы физических</w:t>
      </w:r>
      <w:r w:rsidR="004F009C" w:rsidRPr="0055289E">
        <w:rPr>
          <w:szCs w:val="24"/>
        </w:rPr>
        <w:t xml:space="preserve"> </w:t>
      </w:r>
      <w:r w:rsidR="004F009C" w:rsidRPr="003C4EA6">
        <w:rPr>
          <w:szCs w:val="24"/>
        </w:rPr>
        <w:t>лиц</w:t>
      </w:r>
      <w:r w:rsidR="004F009C">
        <w:rPr>
          <w:szCs w:val="24"/>
        </w:rPr>
        <w:t xml:space="preserve"> </w:t>
      </w:r>
      <w:r>
        <w:rPr>
          <w:szCs w:val="24"/>
        </w:rPr>
        <w:t xml:space="preserve">- </w:t>
      </w:r>
      <w:r w:rsidR="004F009C">
        <w:rPr>
          <w:szCs w:val="24"/>
        </w:rPr>
        <w:t>на 794,2</w:t>
      </w:r>
      <w:r w:rsidR="004F009C" w:rsidRPr="003F5424">
        <w:rPr>
          <w:szCs w:val="24"/>
        </w:rPr>
        <w:t xml:space="preserve"> млн. руб</w:t>
      </w:r>
      <w:r w:rsidR="004F009C">
        <w:rPr>
          <w:szCs w:val="24"/>
        </w:rPr>
        <w:t>., что</w:t>
      </w:r>
      <w:r>
        <w:rPr>
          <w:szCs w:val="24"/>
        </w:rPr>
        <w:t>, по оценке КСП, в основном</w:t>
      </w:r>
      <w:r w:rsidR="004F009C">
        <w:rPr>
          <w:szCs w:val="24"/>
        </w:rPr>
        <w:t xml:space="preserve"> об</w:t>
      </w:r>
      <w:r>
        <w:rPr>
          <w:szCs w:val="24"/>
        </w:rPr>
        <w:t>ъясняется</w:t>
      </w:r>
      <w:r w:rsidR="004F009C">
        <w:rPr>
          <w:szCs w:val="24"/>
        </w:rPr>
        <w:t xml:space="preserve"> завышением прогнозируемых доходов.</w:t>
      </w:r>
      <w:r w:rsidR="004F009C" w:rsidRPr="003F5424">
        <w:rPr>
          <w:szCs w:val="24"/>
        </w:rPr>
        <w:t xml:space="preserve"> </w:t>
      </w:r>
      <w:r w:rsidR="001D6D94">
        <w:rPr>
          <w:szCs w:val="24"/>
        </w:rPr>
        <w:t xml:space="preserve">Также недовыполнены назначения по налогу на имущество организаций – на 152,2 млн. рублей. </w:t>
      </w:r>
      <w:r w:rsidR="004F009C" w:rsidRPr="003C4EA6">
        <w:rPr>
          <w:szCs w:val="24"/>
        </w:rPr>
        <w:t>Сверх плана в доходы областного бюджета поступил</w:t>
      </w:r>
      <w:r w:rsidR="004F009C">
        <w:rPr>
          <w:szCs w:val="24"/>
        </w:rPr>
        <w:t xml:space="preserve"> </w:t>
      </w:r>
      <w:r w:rsidR="00533147">
        <w:rPr>
          <w:szCs w:val="24"/>
        </w:rPr>
        <w:t>налог</w:t>
      </w:r>
      <w:r w:rsidR="004F009C" w:rsidRPr="003C4EA6">
        <w:rPr>
          <w:szCs w:val="24"/>
        </w:rPr>
        <w:t xml:space="preserve"> на прибыль организаций </w:t>
      </w:r>
      <w:r w:rsidR="00533147">
        <w:rPr>
          <w:szCs w:val="24"/>
        </w:rPr>
        <w:t xml:space="preserve">- </w:t>
      </w:r>
      <w:r w:rsidR="004F009C" w:rsidRPr="003C4EA6">
        <w:rPr>
          <w:szCs w:val="24"/>
        </w:rPr>
        <w:t xml:space="preserve">на </w:t>
      </w:r>
      <w:r w:rsidR="004F009C">
        <w:rPr>
          <w:szCs w:val="24"/>
        </w:rPr>
        <w:t xml:space="preserve">213,2 </w:t>
      </w:r>
      <w:r w:rsidR="004F009C" w:rsidRPr="003C4EA6">
        <w:rPr>
          <w:szCs w:val="24"/>
        </w:rPr>
        <w:t>мл</w:t>
      </w:r>
      <w:r w:rsidR="004F009C">
        <w:rPr>
          <w:szCs w:val="24"/>
        </w:rPr>
        <w:t>н. руб</w:t>
      </w:r>
      <w:r w:rsidR="004F009C" w:rsidRPr="003C4EA6">
        <w:rPr>
          <w:szCs w:val="24"/>
        </w:rPr>
        <w:t>., транспортн</w:t>
      </w:r>
      <w:r w:rsidR="00533147">
        <w:rPr>
          <w:szCs w:val="24"/>
        </w:rPr>
        <w:t>ый</w:t>
      </w:r>
      <w:r w:rsidR="004F009C" w:rsidRPr="003C4EA6">
        <w:rPr>
          <w:szCs w:val="24"/>
        </w:rPr>
        <w:t xml:space="preserve"> налог</w:t>
      </w:r>
      <w:r w:rsidR="00533147">
        <w:rPr>
          <w:szCs w:val="24"/>
        </w:rPr>
        <w:t xml:space="preserve"> -</w:t>
      </w:r>
      <w:r w:rsidR="004F009C" w:rsidRPr="003C4EA6">
        <w:rPr>
          <w:szCs w:val="24"/>
        </w:rPr>
        <w:t xml:space="preserve"> на</w:t>
      </w:r>
      <w:r w:rsidR="004F009C">
        <w:rPr>
          <w:szCs w:val="24"/>
        </w:rPr>
        <w:t xml:space="preserve"> 216,7</w:t>
      </w:r>
      <w:r w:rsidR="004F009C" w:rsidRPr="003C4EA6">
        <w:rPr>
          <w:szCs w:val="24"/>
        </w:rPr>
        <w:t xml:space="preserve"> мл</w:t>
      </w:r>
      <w:r w:rsidR="004F009C">
        <w:rPr>
          <w:szCs w:val="24"/>
        </w:rPr>
        <w:t>н.</w:t>
      </w:r>
      <w:r w:rsidR="004F009C" w:rsidRPr="003C4EA6">
        <w:rPr>
          <w:szCs w:val="24"/>
        </w:rPr>
        <w:t xml:space="preserve"> руб.</w:t>
      </w:r>
      <w:r w:rsidR="004F009C">
        <w:rPr>
          <w:szCs w:val="24"/>
        </w:rPr>
        <w:t xml:space="preserve"> и др</w:t>
      </w:r>
      <w:r w:rsidR="00533147">
        <w:rPr>
          <w:szCs w:val="24"/>
        </w:rPr>
        <w:t>угие</w:t>
      </w:r>
      <w:r w:rsidR="004F009C">
        <w:rPr>
          <w:szCs w:val="24"/>
        </w:rPr>
        <w:t>.</w:t>
      </w:r>
      <w:r w:rsidR="004F009C" w:rsidRPr="003C4EA6">
        <w:rPr>
          <w:szCs w:val="24"/>
        </w:rPr>
        <w:t xml:space="preserve"> </w:t>
      </w:r>
    </w:p>
    <w:p w:rsidR="004F009C" w:rsidRDefault="004F009C" w:rsidP="004F009C">
      <w:pPr>
        <w:autoSpaceDE w:val="0"/>
        <w:autoSpaceDN w:val="0"/>
        <w:adjustRightInd w:val="0"/>
        <w:spacing w:line="240" w:lineRule="atLeast"/>
        <w:ind w:firstLine="709"/>
        <w:jc w:val="both"/>
      </w:pPr>
      <w:r>
        <w:t xml:space="preserve">В отчетном году по сравнению с 2016 годом налоговых доходов поступило больше на 651,6 млн. руб., однако в разрезе отдельных видов доходов отмечаются </w:t>
      </w:r>
      <w:proofErr w:type="gramStart"/>
      <w:r>
        <w:t>отклонения</w:t>
      </w:r>
      <w:proofErr w:type="gramEnd"/>
      <w:r w:rsidR="00B95ED6">
        <w:t xml:space="preserve"> как в положительную, так и в отрицательную сторону</w:t>
      </w:r>
      <w:r>
        <w:t>. Так, в целом акцизов поступило меньше предыдущего года на 1387,7 млн. руб. (-16%)</w:t>
      </w:r>
      <w:r w:rsidR="00EB1E1F">
        <w:t>.</w:t>
      </w:r>
      <w:r>
        <w:t xml:space="preserve"> </w:t>
      </w:r>
      <w:r w:rsidR="00EB1E1F">
        <w:t>О</w:t>
      </w:r>
      <w:r>
        <w:t xml:space="preserve">дной из основных причин </w:t>
      </w:r>
      <w:r w:rsidR="00EB1E1F">
        <w:t xml:space="preserve">этого </w:t>
      </w:r>
      <w:r>
        <w:t xml:space="preserve">является снижение объемов производства пива </w:t>
      </w:r>
      <w:r w:rsidRPr="00FA5EDF">
        <w:t>ф</w:t>
      </w:r>
      <w:r w:rsidRPr="00FA5EDF">
        <w:rPr>
          <w:bCs/>
        </w:rPr>
        <w:t xml:space="preserve">илиалом АО «САН </w:t>
      </w:r>
      <w:proofErr w:type="spellStart"/>
      <w:r w:rsidRPr="00FA5EDF">
        <w:rPr>
          <w:bCs/>
        </w:rPr>
        <w:t>ИнБев</w:t>
      </w:r>
      <w:proofErr w:type="spellEnd"/>
      <w:r w:rsidRPr="00FA5EDF">
        <w:rPr>
          <w:bCs/>
        </w:rPr>
        <w:t>» в г. Волжский</w:t>
      </w:r>
      <w:r>
        <w:rPr>
          <w:bCs/>
        </w:rPr>
        <w:t xml:space="preserve"> (по этой причине</w:t>
      </w:r>
      <w:r w:rsidRPr="008D694D">
        <w:rPr>
          <w:bCs/>
        </w:rPr>
        <w:t xml:space="preserve"> </w:t>
      </w:r>
      <w:proofErr w:type="spellStart"/>
      <w:r>
        <w:rPr>
          <w:bCs/>
        </w:rPr>
        <w:t>недопоступило</w:t>
      </w:r>
      <w:proofErr w:type="spellEnd"/>
      <w:r>
        <w:rPr>
          <w:bCs/>
        </w:rPr>
        <w:t xml:space="preserve"> акцизов на 866,1 млн. руб.)</w:t>
      </w:r>
      <w:r w:rsidR="00EB1E1F">
        <w:rPr>
          <w:bCs/>
        </w:rPr>
        <w:t>.</w:t>
      </w:r>
      <w:r>
        <w:rPr>
          <w:bCs/>
        </w:rPr>
        <w:t xml:space="preserve"> Акцизов на нефтепродукты,</w:t>
      </w:r>
      <w:r w:rsidRPr="009A5CF1">
        <w:t xml:space="preserve"> </w:t>
      </w:r>
      <w:r w:rsidRPr="00492F3A">
        <w:t xml:space="preserve">распределяемых между субъектами РФ </w:t>
      </w:r>
      <w:r w:rsidR="00EB1E1F">
        <w:t>м</w:t>
      </w:r>
      <w:r w:rsidRPr="00492F3A">
        <w:t>ежрегиональным операционным управлением Федерального казначейства</w:t>
      </w:r>
      <w:r>
        <w:t>,</w:t>
      </w:r>
      <w:r>
        <w:rPr>
          <w:bCs/>
        </w:rPr>
        <w:t xml:space="preserve"> также поступило меньше прошлого года </w:t>
      </w:r>
      <w:r w:rsidR="00EB1E1F">
        <w:rPr>
          <w:bCs/>
        </w:rPr>
        <w:t xml:space="preserve">- </w:t>
      </w:r>
      <w:r>
        <w:rPr>
          <w:bCs/>
        </w:rPr>
        <w:t xml:space="preserve">на </w:t>
      </w:r>
      <w:r w:rsidRPr="00492F3A">
        <w:t>1007,6 млн. руб</w:t>
      </w:r>
      <w:r>
        <w:t>., несмотря на увеличение норматива распределения акцизов по Волгоградской области</w:t>
      </w:r>
      <w:r w:rsidRPr="009A5CF1">
        <w:t xml:space="preserve"> </w:t>
      </w:r>
      <w:r>
        <w:t xml:space="preserve">(в 2016 году </w:t>
      </w:r>
      <w:r w:rsidR="00EB1E1F">
        <w:t xml:space="preserve">- </w:t>
      </w:r>
      <w:r>
        <w:t>1,5778, в 2017 году</w:t>
      </w:r>
      <w:r w:rsidR="00EB1E1F">
        <w:t xml:space="preserve"> -</w:t>
      </w:r>
      <w:r>
        <w:t xml:space="preserve"> 1,6541). Основной причиной такого снижения яв</w:t>
      </w:r>
      <w:r w:rsidR="000A4A3E">
        <w:t>илось</w:t>
      </w:r>
      <w:r>
        <w:t xml:space="preserve"> </w:t>
      </w:r>
      <w:r w:rsidRPr="00BD4C0E">
        <w:t>изменени</w:t>
      </w:r>
      <w:r>
        <w:t>е</w:t>
      </w:r>
      <w:r w:rsidRPr="00BD4C0E">
        <w:t xml:space="preserve"> </w:t>
      </w:r>
      <w:r>
        <w:t xml:space="preserve">в соответствии с федеральным законодательством </w:t>
      </w:r>
      <w:r w:rsidRPr="00BD4C0E">
        <w:t xml:space="preserve">норматива отчислений в бюджеты субъектов РФ (до июня 2016 года </w:t>
      </w:r>
      <w:r w:rsidR="000A4A3E">
        <w:t>было</w:t>
      </w:r>
      <w:r w:rsidRPr="00BD4C0E">
        <w:t xml:space="preserve"> 100 %, с июня по декабрь 2016 года – 88%, в 2017 году – 61,7%)</w:t>
      </w:r>
      <w:r>
        <w:t>.</w:t>
      </w:r>
    </w:p>
    <w:p w:rsidR="004F009C" w:rsidRDefault="004F009C" w:rsidP="004F009C">
      <w:pPr>
        <w:autoSpaceDE w:val="0"/>
        <w:autoSpaceDN w:val="0"/>
        <w:adjustRightInd w:val="0"/>
        <w:spacing w:line="240" w:lineRule="atLeast"/>
        <w:ind w:firstLine="709"/>
        <w:jc w:val="both"/>
      </w:pPr>
      <w:proofErr w:type="gramStart"/>
      <w:r>
        <w:t xml:space="preserve">В тоже время </w:t>
      </w:r>
      <w:r>
        <w:rPr>
          <w:bCs/>
        </w:rPr>
        <w:t>поступления доходов от уплаты акцизов на алкогольную продукцию с объемной долей этилового спирта свыше 9</w:t>
      </w:r>
      <w:r w:rsidR="000A4A3E">
        <w:rPr>
          <w:bCs/>
        </w:rPr>
        <w:t>%</w:t>
      </w:r>
      <w:r>
        <w:rPr>
          <w:bCs/>
        </w:rPr>
        <w:t xml:space="preserve"> (за исключением пива, вин, фруктовых вин, игристых вин (шампанских), винных напитков) увеличились в 2017 году против прошлого года на 439 млн. руб., что обусловлено </w:t>
      </w:r>
      <w:r w:rsidRPr="00AB5CC8">
        <w:t xml:space="preserve">изменением механизма распределения этих </w:t>
      </w:r>
      <w:r>
        <w:t>доходов</w:t>
      </w:r>
      <w:r w:rsidRPr="00AB5CC8">
        <w:t>, утвержденного приказом Минфина России от 03.03.2017 №255</w:t>
      </w:r>
      <w:r>
        <w:t xml:space="preserve">. </w:t>
      </w:r>
      <w:proofErr w:type="gramEnd"/>
    </w:p>
    <w:p w:rsidR="004F009C" w:rsidRDefault="004F009C" w:rsidP="004F009C">
      <w:pPr>
        <w:ind w:firstLine="567"/>
        <w:jc w:val="both"/>
      </w:pPr>
      <w:r>
        <w:rPr>
          <w:szCs w:val="24"/>
        </w:rPr>
        <w:lastRenderedPageBreak/>
        <w:t xml:space="preserve"> </w:t>
      </w:r>
      <w:proofErr w:type="gramStart"/>
      <w:r>
        <w:rPr>
          <w:szCs w:val="24"/>
        </w:rPr>
        <w:t xml:space="preserve">Также по сравнению с прошлым годом произошло увеличение </w:t>
      </w:r>
      <w:r w:rsidRPr="004A0835">
        <w:t xml:space="preserve">по </w:t>
      </w:r>
      <w:r>
        <w:t xml:space="preserve">налогу на прибыль организаций </w:t>
      </w:r>
      <w:r w:rsidR="00554027">
        <w:t xml:space="preserve">- </w:t>
      </w:r>
      <w:r>
        <w:t>на 683,3 млн. руб. (+3,5</w:t>
      </w:r>
      <w:r w:rsidRPr="004A0835">
        <w:t>%)</w:t>
      </w:r>
      <w:r>
        <w:t xml:space="preserve">, </w:t>
      </w:r>
      <w:r w:rsidR="00445CAE">
        <w:t xml:space="preserve">по </w:t>
      </w:r>
      <w:r>
        <w:t>налогу, взимаемому</w:t>
      </w:r>
      <w:r w:rsidRPr="004A0835">
        <w:t xml:space="preserve"> в св</w:t>
      </w:r>
      <w:r>
        <w:t xml:space="preserve">язи с применением </w:t>
      </w:r>
      <w:r w:rsidR="00554027">
        <w:t>упрощенной системы налогообложения</w:t>
      </w:r>
      <w:r>
        <w:t xml:space="preserve">, </w:t>
      </w:r>
      <w:r w:rsidR="00554027">
        <w:t xml:space="preserve">- </w:t>
      </w:r>
      <w:r>
        <w:t>на 495,2</w:t>
      </w:r>
      <w:r w:rsidRPr="004A0835">
        <w:t xml:space="preserve"> млн.</w:t>
      </w:r>
      <w:r>
        <w:t xml:space="preserve"> руб. (+13,3</w:t>
      </w:r>
      <w:r w:rsidRPr="004A0835">
        <w:t>%)</w:t>
      </w:r>
      <w:r>
        <w:t xml:space="preserve">, </w:t>
      </w:r>
      <w:r w:rsidR="00445CAE">
        <w:t xml:space="preserve">по </w:t>
      </w:r>
      <w:r>
        <w:t xml:space="preserve">налогу на доходы физических лиц </w:t>
      </w:r>
      <w:r w:rsidR="00554027">
        <w:t>-</w:t>
      </w:r>
      <w:r>
        <w:t xml:space="preserve"> на 385,8 млн. руб. (+2,2%), </w:t>
      </w:r>
      <w:r w:rsidR="00445CAE">
        <w:t xml:space="preserve">по </w:t>
      </w:r>
      <w:r>
        <w:t>налогу на имущество организаций -  на 287,9 тыс. руб. (+4,1%).</w:t>
      </w:r>
      <w:proofErr w:type="gramEnd"/>
    </w:p>
    <w:p w:rsidR="004F009C" w:rsidRPr="004A0835" w:rsidRDefault="004F009C" w:rsidP="004F009C">
      <w:pPr>
        <w:ind w:firstLine="567"/>
        <w:jc w:val="both"/>
      </w:pPr>
      <w:r>
        <w:t xml:space="preserve"> </w:t>
      </w:r>
      <w:proofErr w:type="gramStart"/>
      <w:r>
        <w:t>На увеличение поступлений по налогу на прибыль организаций по сравнению с прошлым годом</w:t>
      </w:r>
      <w:proofErr w:type="gramEnd"/>
      <w:r>
        <w:t xml:space="preserve"> повлияло увеличение поступлений, зачисляемых в областной бюджет от консолидированной группы налогоплательщиков, </w:t>
      </w:r>
      <w:r w:rsidR="00BB1211">
        <w:t xml:space="preserve">- </w:t>
      </w:r>
      <w:r>
        <w:t>на 201,6 млн. руб. (</w:t>
      </w:r>
      <w:r w:rsidRPr="00D8380E">
        <w:t>в 2016 году – 5321,3  млн.</w:t>
      </w:r>
      <w:r>
        <w:t xml:space="preserve"> </w:t>
      </w:r>
      <w:r w:rsidRPr="00D8380E">
        <w:t xml:space="preserve">руб., </w:t>
      </w:r>
      <w:r>
        <w:t xml:space="preserve">в </w:t>
      </w:r>
      <w:r w:rsidRPr="00D8380E">
        <w:t>2017</w:t>
      </w:r>
      <w:r w:rsidR="00BB1211">
        <w:t xml:space="preserve"> </w:t>
      </w:r>
      <w:r>
        <w:t>году</w:t>
      </w:r>
      <w:r w:rsidRPr="00D8380E">
        <w:t xml:space="preserve"> -  5522,9 млн.</w:t>
      </w:r>
      <w:r>
        <w:t xml:space="preserve"> </w:t>
      </w:r>
      <w:r w:rsidRPr="00D8380E">
        <w:t>руб.</w:t>
      </w:r>
      <w:r>
        <w:t>). Кроме того,</w:t>
      </w:r>
      <w:r w:rsidRPr="00893818">
        <w:t xml:space="preserve"> </w:t>
      </w:r>
      <w:r>
        <w:t>в соответствии с изменениями, внесенными в Налоговый кодекс РФ, с</w:t>
      </w:r>
      <w:r w:rsidRPr="00893818">
        <w:t xml:space="preserve"> 01.01.2017 по 31.12.2020 организация вправе уменьшить прибыль отчетного (налогового) периода, облагаемую налогом по общей ставке, на сумму убытков, полученных в предыдущих налоговых периодах, но не более чем на 50% (</w:t>
      </w:r>
      <w:r>
        <w:t>в 2016 году было 100%)</w:t>
      </w:r>
      <w:r w:rsidRPr="00893818">
        <w:t>.</w:t>
      </w:r>
    </w:p>
    <w:p w:rsidR="004F009C" w:rsidRDefault="004F009C" w:rsidP="004F009C">
      <w:pPr>
        <w:ind w:firstLine="567"/>
        <w:jc w:val="both"/>
      </w:pPr>
      <w:r>
        <w:t>Налог, взимаемый</w:t>
      </w:r>
      <w:r w:rsidRPr="004A0835">
        <w:t xml:space="preserve"> в св</w:t>
      </w:r>
      <w:r>
        <w:t xml:space="preserve">язи с применением </w:t>
      </w:r>
      <w:r w:rsidR="00BB1211">
        <w:t>упрощенной системы налогообложения</w:t>
      </w:r>
      <w:r>
        <w:t>,</w:t>
      </w:r>
      <w:r w:rsidRPr="00614637">
        <w:t xml:space="preserve"> </w:t>
      </w:r>
      <w:r>
        <w:t xml:space="preserve">увеличился частично за счет перехода отдельных </w:t>
      </w:r>
      <w:r w:rsidRPr="0032646C">
        <w:t>налогоплательщиков с единого налога на вмененный доход на налог, взимаемый в связи с применением УСН, а также</w:t>
      </w:r>
      <w:r>
        <w:t xml:space="preserve"> </w:t>
      </w:r>
      <w:r w:rsidR="00BB1211">
        <w:t xml:space="preserve">в связи с </w:t>
      </w:r>
      <w:r>
        <w:t>ростом налоговой базы.</w:t>
      </w:r>
    </w:p>
    <w:p w:rsidR="004F009C" w:rsidRDefault="00BB1211" w:rsidP="004F009C">
      <w:pPr>
        <w:ind w:firstLine="567"/>
        <w:jc w:val="both"/>
      </w:pPr>
      <w:r>
        <w:t>Основной причиной увеличения поступлений по н</w:t>
      </w:r>
      <w:r w:rsidR="004F009C">
        <w:t>алог</w:t>
      </w:r>
      <w:r>
        <w:t>у</w:t>
      </w:r>
      <w:r w:rsidR="004F009C">
        <w:t xml:space="preserve"> на доходы физических лиц </w:t>
      </w:r>
      <w:r>
        <w:t>явилось</w:t>
      </w:r>
      <w:r w:rsidR="004F009C">
        <w:t xml:space="preserve"> увеличение среднемесячной номинальной начисленной зарплаты</w:t>
      </w:r>
      <w:r>
        <w:t xml:space="preserve"> -</w:t>
      </w:r>
      <w:r w:rsidR="004F009C">
        <w:t xml:space="preserve">  с 25739 руб. в 2016 году до 27884 руб. в 2017 году (+8,3%).</w:t>
      </w:r>
    </w:p>
    <w:p w:rsidR="004F009C" w:rsidRPr="004A0835" w:rsidRDefault="004F009C" w:rsidP="004F009C">
      <w:pPr>
        <w:ind w:firstLine="567"/>
        <w:jc w:val="both"/>
      </w:pPr>
      <w:r>
        <w:t xml:space="preserve">Налог на имущество организаций увеличился в связи с </w:t>
      </w:r>
      <w:r w:rsidRPr="00893818">
        <w:t>отмен</w:t>
      </w:r>
      <w:r>
        <w:t>ой</w:t>
      </w:r>
      <w:r w:rsidRPr="00893818">
        <w:t xml:space="preserve"> с </w:t>
      </w:r>
      <w:r>
        <w:t>01.01.2017</w:t>
      </w:r>
      <w:r w:rsidRPr="00893818">
        <w:t xml:space="preserve"> налоговой льготы по налогу на имущество организаций в отношении собственников имущества газораспределительной системы</w:t>
      </w:r>
      <w:r>
        <w:t>.</w:t>
      </w:r>
    </w:p>
    <w:p w:rsidR="004F009C" w:rsidRDefault="004F009C" w:rsidP="001747A1">
      <w:pPr>
        <w:jc w:val="both"/>
      </w:pPr>
    </w:p>
    <w:p w:rsidR="00FC14F6" w:rsidRDefault="00951AF1" w:rsidP="00951AF1">
      <w:pPr>
        <w:pStyle w:val="11"/>
        <w:ind w:left="426"/>
        <w:jc w:val="center"/>
        <w:rPr>
          <w:b/>
        </w:rPr>
      </w:pPr>
      <w:r>
        <w:rPr>
          <w:b/>
        </w:rPr>
        <w:t>3.2.</w:t>
      </w:r>
      <w:r w:rsidR="00FC14F6" w:rsidRPr="00D6564E">
        <w:rPr>
          <w:b/>
        </w:rPr>
        <w:t>Анализ исполнения неналоговых доходов.</w:t>
      </w:r>
    </w:p>
    <w:p w:rsidR="00467B7F" w:rsidRDefault="00467B7F" w:rsidP="00951AF1">
      <w:pPr>
        <w:pStyle w:val="11"/>
        <w:ind w:left="426"/>
        <w:jc w:val="center"/>
        <w:rPr>
          <w:b/>
        </w:rPr>
      </w:pPr>
    </w:p>
    <w:p w:rsidR="00445CAE" w:rsidRPr="00C03385" w:rsidRDefault="00445CAE" w:rsidP="00445CAE">
      <w:pPr>
        <w:ind w:firstLine="567"/>
        <w:jc w:val="both"/>
      </w:pPr>
      <w:r w:rsidRPr="00C03385">
        <w:t>Первоначально бюджетные назначения по неналоговым доходам на 201</w:t>
      </w:r>
      <w:r>
        <w:t>7</w:t>
      </w:r>
      <w:r w:rsidRPr="00C03385">
        <w:t xml:space="preserve"> год планировались в сумме </w:t>
      </w:r>
      <w:r>
        <w:t>1994,1</w:t>
      </w:r>
      <w:r w:rsidRPr="00C03385">
        <w:t xml:space="preserve"> млн. руб., в</w:t>
      </w:r>
      <w:r>
        <w:t xml:space="preserve"> течение года они были увеличены</w:t>
      </w:r>
      <w:r w:rsidRPr="00C03385">
        <w:t xml:space="preserve"> на </w:t>
      </w:r>
      <w:r>
        <w:t>41,7 млн. руб. (+2,1</w:t>
      </w:r>
      <w:r w:rsidRPr="00C03385">
        <w:t>%)</w:t>
      </w:r>
      <w:r>
        <w:t>, т. е. до 2035,8 млн. рублей.</w:t>
      </w:r>
      <w:r w:rsidRPr="00C03385">
        <w:t xml:space="preserve"> </w:t>
      </w:r>
    </w:p>
    <w:p w:rsidR="00445CAE" w:rsidRPr="00C03385" w:rsidRDefault="00445CAE" w:rsidP="00445CAE">
      <w:pPr>
        <w:spacing w:line="240" w:lineRule="atLeast"/>
        <w:ind w:firstLine="709"/>
        <w:jc w:val="both"/>
      </w:pPr>
      <w:r w:rsidRPr="00C03385">
        <w:t>Фактически неналоговые доходы исполнены на 1</w:t>
      </w:r>
      <w:r>
        <w:t>601</w:t>
      </w:r>
      <w:r w:rsidRPr="00C03385">
        <w:t xml:space="preserve"> млн. руб., или на </w:t>
      </w:r>
      <w:r>
        <w:t>434,8 млн. руб. (-21,4%) ниже</w:t>
      </w:r>
      <w:r w:rsidRPr="00C03385">
        <w:t xml:space="preserve"> бюджетных назначени</w:t>
      </w:r>
      <w:r>
        <w:t>й, что в основном связано с не</w:t>
      </w:r>
      <w:r w:rsidRPr="00C03385">
        <w:t xml:space="preserve">выполнением прогнозных показателей по </w:t>
      </w:r>
      <w:r>
        <w:t>штрафам, санкциям, возмещению ущерба (</w:t>
      </w:r>
      <w:r w:rsidRPr="00C03385">
        <w:t xml:space="preserve">на </w:t>
      </w:r>
      <w:r>
        <w:t xml:space="preserve">844,8 млн. руб., или на 53%). Невыполнение прогнозных назначений по указанным доходам обусловлено их необоснованным завышением, о чем отмечалось в экспертных заключениях КСП. </w:t>
      </w:r>
      <w:r w:rsidR="009E40BB">
        <w:t>При этом в сравнении с соответствующим периодом 2016 года эти поступления увеличились на 45,8 млн. руб. (+6,5%).</w:t>
      </w:r>
    </w:p>
    <w:p w:rsidR="00445CAE" w:rsidRPr="008C6827" w:rsidRDefault="00445CAE" w:rsidP="00445CAE">
      <w:pPr>
        <w:autoSpaceDE w:val="0"/>
        <w:autoSpaceDN w:val="0"/>
        <w:adjustRightInd w:val="0"/>
        <w:ind w:firstLine="709"/>
        <w:jc w:val="both"/>
      </w:pPr>
      <w:r>
        <w:t>Существенный рост к уровню 2016</w:t>
      </w:r>
      <w:r w:rsidRPr="00CC1AE0">
        <w:t xml:space="preserve"> года отмечается </w:t>
      </w:r>
      <w:r>
        <w:t xml:space="preserve">по </w:t>
      </w:r>
      <w:r w:rsidRPr="008C6827">
        <w:t>доходам от платных услуг и компенсации затрат государства</w:t>
      </w:r>
      <w:r w:rsidR="009E40BB">
        <w:t xml:space="preserve"> -</w:t>
      </w:r>
      <w:r w:rsidRPr="008C6827">
        <w:t xml:space="preserve"> </w:t>
      </w:r>
      <w:r>
        <w:t>на 365,4 млн. руб.</w:t>
      </w:r>
      <w:r w:rsidR="009E40BB">
        <w:t>, или</w:t>
      </w:r>
      <w:r>
        <w:t xml:space="preserve"> в 3,2 раза. </w:t>
      </w:r>
      <w:r w:rsidRPr="0001293B">
        <w:t xml:space="preserve">Основная доля поступлений этих доходов </w:t>
      </w:r>
      <w:r w:rsidRPr="0001293B">
        <w:rPr>
          <w:color w:val="000000"/>
        </w:rPr>
        <w:t>сложилась за счет перечисления Северо-Осетинским региональным филиалом АО «</w:t>
      </w:r>
      <w:proofErr w:type="spellStart"/>
      <w:r w:rsidRPr="0001293B">
        <w:rPr>
          <w:color w:val="000000"/>
        </w:rPr>
        <w:t>Россельхозбанк</w:t>
      </w:r>
      <w:proofErr w:type="spellEnd"/>
      <w:r w:rsidRPr="0001293B">
        <w:rPr>
          <w:color w:val="000000"/>
        </w:rPr>
        <w:t>» банковской гарантии по расторгнутому контракту на реконструкцию автомобильной дороги.</w:t>
      </w:r>
    </w:p>
    <w:p w:rsidR="00445CAE" w:rsidRDefault="00445CAE" w:rsidP="00951AF1">
      <w:pPr>
        <w:pStyle w:val="11"/>
        <w:ind w:left="426"/>
        <w:jc w:val="center"/>
        <w:rPr>
          <w:b/>
        </w:rPr>
      </w:pPr>
    </w:p>
    <w:p w:rsidR="00611A15" w:rsidRDefault="00611A15" w:rsidP="00F9712A">
      <w:pPr>
        <w:ind w:firstLine="680"/>
        <w:jc w:val="center"/>
        <w:rPr>
          <w:b/>
          <w:szCs w:val="24"/>
        </w:rPr>
      </w:pPr>
      <w:r>
        <w:rPr>
          <w:b/>
          <w:szCs w:val="24"/>
        </w:rPr>
        <w:t>3</w:t>
      </w:r>
      <w:r w:rsidRPr="00EE73A3">
        <w:rPr>
          <w:b/>
          <w:szCs w:val="24"/>
        </w:rPr>
        <w:t>.3. Безвозмездные поступления из федерального бюджета</w:t>
      </w:r>
      <w:r w:rsidR="00740F66">
        <w:rPr>
          <w:b/>
          <w:szCs w:val="24"/>
        </w:rPr>
        <w:t xml:space="preserve">, </w:t>
      </w:r>
      <w:r w:rsidR="00F44889">
        <w:rPr>
          <w:b/>
          <w:szCs w:val="24"/>
        </w:rPr>
        <w:t xml:space="preserve">бюджетов </w:t>
      </w:r>
      <w:r w:rsidR="0083781D">
        <w:rPr>
          <w:b/>
          <w:szCs w:val="24"/>
        </w:rPr>
        <w:t>г</w:t>
      </w:r>
      <w:r w:rsidR="00F44889">
        <w:rPr>
          <w:b/>
          <w:szCs w:val="24"/>
        </w:rPr>
        <w:t xml:space="preserve">осударственных внебюджетных фондов, </w:t>
      </w:r>
      <w:r w:rsidR="00740F66">
        <w:rPr>
          <w:b/>
          <w:szCs w:val="24"/>
        </w:rPr>
        <w:t>от государственных</w:t>
      </w:r>
      <w:r w:rsidR="00D00786">
        <w:rPr>
          <w:b/>
          <w:szCs w:val="24"/>
        </w:rPr>
        <w:t xml:space="preserve"> </w:t>
      </w:r>
      <w:r w:rsidR="00740F66">
        <w:rPr>
          <w:b/>
          <w:szCs w:val="24"/>
        </w:rPr>
        <w:t>организаций</w:t>
      </w:r>
      <w:r w:rsidRPr="00EE73A3">
        <w:rPr>
          <w:b/>
          <w:szCs w:val="24"/>
        </w:rPr>
        <w:t>.</w:t>
      </w:r>
    </w:p>
    <w:p w:rsidR="0083781D" w:rsidRDefault="0083781D" w:rsidP="00F9712A">
      <w:pPr>
        <w:ind w:firstLine="680"/>
        <w:jc w:val="center"/>
        <w:rPr>
          <w:b/>
          <w:szCs w:val="24"/>
        </w:rPr>
      </w:pPr>
    </w:p>
    <w:p w:rsidR="00132EE9" w:rsidRPr="00C131A5" w:rsidRDefault="00132EE9" w:rsidP="00132EE9">
      <w:pPr>
        <w:ind w:firstLine="567"/>
        <w:jc w:val="both"/>
        <w:rPr>
          <w:szCs w:val="24"/>
        </w:rPr>
      </w:pPr>
      <w:r>
        <w:rPr>
          <w:szCs w:val="24"/>
        </w:rPr>
        <w:t xml:space="preserve">Безвозмездные поступления </w:t>
      </w:r>
      <w:r w:rsidRPr="00C131A5">
        <w:rPr>
          <w:szCs w:val="24"/>
        </w:rPr>
        <w:t xml:space="preserve">в доходную часть областного бюджета </w:t>
      </w:r>
      <w:r>
        <w:rPr>
          <w:szCs w:val="24"/>
        </w:rPr>
        <w:t>в</w:t>
      </w:r>
      <w:r w:rsidRPr="00C131A5">
        <w:rPr>
          <w:szCs w:val="24"/>
        </w:rPr>
        <w:t xml:space="preserve"> 201</w:t>
      </w:r>
      <w:r>
        <w:rPr>
          <w:szCs w:val="24"/>
        </w:rPr>
        <w:t>7</w:t>
      </w:r>
      <w:r w:rsidRPr="00C131A5">
        <w:rPr>
          <w:szCs w:val="24"/>
        </w:rPr>
        <w:t xml:space="preserve"> году</w:t>
      </w:r>
      <w:r>
        <w:rPr>
          <w:szCs w:val="24"/>
        </w:rPr>
        <w:t xml:space="preserve"> составили 25344,4</w:t>
      </w:r>
      <w:r w:rsidRPr="00C131A5">
        <w:rPr>
          <w:szCs w:val="24"/>
        </w:rPr>
        <w:t xml:space="preserve"> млн. руб., или </w:t>
      </w:r>
      <w:r>
        <w:rPr>
          <w:szCs w:val="24"/>
        </w:rPr>
        <w:t>98,7</w:t>
      </w:r>
      <w:r w:rsidRPr="00C131A5">
        <w:t xml:space="preserve">% </w:t>
      </w:r>
      <w:r w:rsidRPr="00C131A5">
        <w:rPr>
          <w:szCs w:val="24"/>
        </w:rPr>
        <w:t>от утвержденных бюджетных назначений</w:t>
      </w:r>
      <w:r>
        <w:rPr>
          <w:szCs w:val="24"/>
        </w:rPr>
        <w:t xml:space="preserve"> и</w:t>
      </w:r>
      <w:r w:rsidRPr="00C131A5">
        <w:rPr>
          <w:szCs w:val="24"/>
        </w:rPr>
        <w:t xml:space="preserve"> на </w:t>
      </w:r>
      <w:r>
        <w:rPr>
          <w:szCs w:val="24"/>
        </w:rPr>
        <w:t>5273,5 млн. руб. (+26,3%) больше</w:t>
      </w:r>
      <w:r w:rsidRPr="00C131A5">
        <w:rPr>
          <w:szCs w:val="24"/>
        </w:rPr>
        <w:t xml:space="preserve"> поступлений 201</w:t>
      </w:r>
      <w:r>
        <w:rPr>
          <w:szCs w:val="24"/>
        </w:rPr>
        <w:t>6</w:t>
      </w:r>
      <w:r w:rsidRPr="00C131A5">
        <w:rPr>
          <w:szCs w:val="24"/>
        </w:rPr>
        <w:t xml:space="preserve"> года, в том числе:</w:t>
      </w:r>
    </w:p>
    <w:p w:rsidR="00132EE9" w:rsidRPr="0014115B" w:rsidRDefault="00132EE9" w:rsidP="00132EE9">
      <w:pPr>
        <w:ind w:firstLine="567"/>
        <w:jc w:val="both"/>
      </w:pPr>
      <w:r w:rsidRPr="0014115B">
        <w:t xml:space="preserve">-дотации – </w:t>
      </w:r>
      <w:r>
        <w:t>10086</w:t>
      </w:r>
      <w:r w:rsidRPr="0014115B">
        <w:t xml:space="preserve"> млн. руб. (</w:t>
      </w:r>
      <w:r>
        <w:t>100</w:t>
      </w:r>
      <w:r w:rsidRPr="0014115B">
        <w:t>% от годовых прогнозных назначений), или на</w:t>
      </w:r>
      <w:r w:rsidR="0008574E">
        <w:t xml:space="preserve"> </w:t>
      </w:r>
      <w:r>
        <w:t>2880</w:t>
      </w:r>
      <w:r w:rsidRPr="0014115B">
        <w:t>,</w:t>
      </w:r>
      <w:r>
        <w:t>8</w:t>
      </w:r>
      <w:r w:rsidRPr="0014115B">
        <w:t xml:space="preserve"> млн. руб. выше </w:t>
      </w:r>
      <w:r>
        <w:t>уровня</w:t>
      </w:r>
      <w:r w:rsidRPr="0014115B">
        <w:t xml:space="preserve"> прошл</w:t>
      </w:r>
      <w:r>
        <w:t>ого</w:t>
      </w:r>
      <w:r w:rsidRPr="0014115B">
        <w:t xml:space="preserve"> </w:t>
      </w:r>
      <w:r>
        <w:t>г</w:t>
      </w:r>
      <w:r w:rsidRPr="0014115B">
        <w:t>о</w:t>
      </w:r>
      <w:r>
        <w:t>да</w:t>
      </w:r>
      <w:r w:rsidRPr="0014115B">
        <w:t>;</w:t>
      </w:r>
    </w:p>
    <w:p w:rsidR="00132EE9" w:rsidRPr="0014115B" w:rsidRDefault="00132EE9" w:rsidP="00132EE9">
      <w:pPr>
        <w:ind w:firstLine="567"/>
        <w:jc w:val="both"/>
      </w:pPr>
      <w:r w:rsidRPr="0014115B">
        <w:t xml:space="preserve">-субсидии – </w:t>
      </w:r>
      <w:r>
        <w:t>8447,5</w:t>
      </w:r>
      <w:r w:rsidRPr="0014115B">
        <w:t xml:space="preserve"> млн. руб. (</w:t>
      </w:r>
      <w:r>
        <w:t>94,6</w:t>
      </w:r>
      <w:r w:rsidRPr="0014115B">
        <w:t>%</w:t>
      </w:r>
      <w:r w:rsidR="0008574E">
        <w:t xml:space="preserve"> от плана</w:t>
      </w:r>
      <w:r w:rsidRPr="0014115B">
        <w:t xml:space="preserve">), или на </w:t>
      </w:r>
      <w:r>
        <w:t>2402</w:t>
      </w:r>
      <w:r w:rsidRPr="0014115B">
        <w:t xml:space="preserve"> млн. руб. выше </w:t>
      </w:r>
      <w:r w:rsidR="0008574E">
        <w:t>2016</w:t>
      </w:r>
      <w:r w:rsidRPr="0014115B">
        <w:t xml:space="preserve"> </w:t>
      </w:r>
      <w:r w:rsidR="0008574E">
        <w:t>го</w:t>
      </w:r>
      <w:r w:rsidRPr="0014115B">
        <w:t>да;</w:t>
      </w:r>
    </w:p>
    <w:p w:rsidR="00132EE9" w:rsidRPr="0014115B" w:rsidRDefault="00132EE9" w:rsidP="00132EE9">
      <w:pPr>
        <w:ind w:firstLine="567"/>
        <w:jc w:val="both"/>
      </w:pPr>
      <w:r w:rsidRPr="0014115B">
        <w:t xml:space="preserve">-субвенции – </w:t>
      </w:r>
      <w:r>
        <w:t>3</w:t>
      </w:r>
      <w:r w:rsidRPr="0014115B">
        <w:t>9</w:t>
      </w:r>
      <w:r>
        <w:t>30</w:t>
      </w:r>
      <w:r w:rsidRPr="0014115B">
        <w:t>,</w:t>
      </w:r>
      <w:r>
        <w:t>8</w:t>
      </w:r>
      <w:r w:rsidRPr="0014115B">
        <w:t xml:space="preserve"> млн. руб. (</w:t>
      </w:r>
      <w:r>
        <w:t>87</w:t>
      </w:r>
      <w:r w:rsidRPr="0014115B">
        <w:t>%</w:t>
      </w:r>
      <w:r w:rsidR="0008574E">
        <w:t xml:space="preserve"> от плана</w:t>
      </w:r>
      <w:r w:rsidRPr="0014115B">
        <w:t xml:space="preserve">), или на </w:t>
      </w:r>
      <w:r>
        <w:t>273,5</w:t>
      </w:r>
      <w:r w:rsidRPr="0014115B">
        <w:t xml:space="preserve"> млн. руб. ниже </w:t>
      </w:r>
      <w:r w:rsidR="0008574E">
        <w:t>2016 года</w:t>
      </w:r>
      <w:r w:rsidRPr="0014115B">
        <w:t>;</w:t>
      </w:r>
    </w:p>
    <w:p w:rsidR="00132EE9" w:rsidRPr="0014115B" w:rsidRDefault="00132EE9" w:rsidP="00132EE9">
      <w:pPr>
        <w:ind w:firstLine="567"/>
        <w:jc w:val="both"/>
      </w:pPr>
      <w:r w:rsidRPr="0014115B">
        <w:lastRenderedPageBreak/>
        <w:t xml:space="preserve">-иные межбюджетные трансферты – </w:t>
      </w:r>
      <w:r>
        <w:t>2756</w:t>
      </w:r>
      <w:r w:rsidRPr="0014115B">
        <w:t>,</w:t>
      </w:r>
      <w:r>
        <w:t>6</w:t>
      </w:r>
      <w:r w:rsidRPr="0014115B">
        <w:t xml:space="preserve"> млн. руб. (</w:t>
      </w:r>
      <w:r>
        <w:t>142,6</w:t>
      </w:r>
      <w:r w:rsidRPr="0014115B">
        <w:t>%</w:t>
      </w:r>
      <w:r w:rsidR="0008574E">
        <w:t xml:space="preserve"> к бюджетным назначениям</w:t>
      </w:r>
      <w:r w:rsidRPr="0014115B">
        <w:t xml:space="preserve">), или на </w:t>
      </w:r>
      <w:r>
        <w:t>456</w:t>
      </w:r>
      <w:r w:rsidRPr="0014115B">
        <w:t xml:space="preserve"> млн. руб. </w:t>
      </w:r>
      <w:r>
        <w:t>выш</w:t>
      </w:r>
      <w:r w:rsidRPr="0014115B">
        <w:t xml:space="preserve">е уровня прошлого </w:t>
      </w:r>
      <w:r w:rsidR="0008574E">
        <w:t>г</w:t>
      </w:r>
      <w:r w:rsidRPr="0014115B">
        <w:t>ода;</w:t>
      </w:r>
    </w:p>
    <w:p w:rsidR="00132EE9" w:rsidRPr="00871E20" w:rsidRDefault="00132EE9" w:rsidP="00132EE9">
      <w:pPr>
        <w:ind w:firstLine="567"/>
        <w:jc w:val="both"/>
      </w:pPr>
      <w:r w:rsidRPr="0014115B">
        <w:t>-поступления от бюджета П</w:t>
      </w:r>
      <w:r w:rsidR="0008574E">
        <w:t>енсионного фонда</w:t>
      </w:r>
      <w:r w:rsidRPr="0014115B">
        <w:t xml:space="preserve"> РФ – </w:t>
      </w:r>
      <w:r w:rsidRPr="00871E20">
        <w:t xml:space="preserve">0,8 млн. руб., или на 0,8 млн. руб. меньше уровня прошлого </w:t>
      </w:r>
      <w:r w:rsidR="0008574E">
        <w:t>года</w:t>
      </w:r>
      <w:r w:rsidRPr="00871E20">
        <w:t>;</w:t>
      </w:r>
    </w:p>
    <w:p w:rsidR="00132EE9" w:rsidRPr="001F4221" w:rsidRDefault="00132EE9" w:rsidP="00132EE9">
      <w:pPr>
        <w:ind w:firstLine="567"/>
        <w:jc w:val="both"/>
      </w:pPr>
      <w:r w:rsidRPr="00FC110E">
        <w:t xml:space="preserve">-поступления в бюджеты субъектов РФ – 0,6 млн. руб. (назначений нет), что на 0,3 млн. руб. выше уровня прошлого </w:t>
      </w:r>
      <w:r w:rsidR="0008574E">
        <w:t>год</w:t>
      </w:r>
      <w:r w:rsidRPr="00FC110E">
        <w:t>а;</w:t>
      </w:r>
    </w:p>
    <w:p w:rsidR="00132EE9" w:rsidRPr="00871E20" w:rsidRDefault="00132EE9" w:rsidP="00132EE9">
      <w:pPr>
        <w:ind w:firstLine="567"/>
        <w:jc w:val="both"/>
      </w:pPr>
      <w:r w:rsidRPr="00871E20">
        <w:t xml:space="preserve">-поступления от государственных организаций – </w:t>
      </w:r>
      <w:r>
        <w:t>(-)8,2 млн. руб.</w:t>
      </w:r>
      <w:r w:rsidRPr="00E14776">
        <w:t xml:space="preserve">, что на </w:t>
      </w:r>
      <w:r>
        <w:t>339,3</w:t>
      </w:r>
      <w:r w:rsidRPr="00E14776">
        <w:t xml:space="preserve"> млн. руб. ниже уровня </w:t>
      </w:r>
      <w:r w:rsidR="0008574E">
        <w:t>2016 года</w:t>
      </w:r>
      <w:r w:rsidRPr="00871E20">
        <w:t>;</w:t>
      </w:r>
    </w:p>
    <w:p w:rsidR="00132EE9" w:rsidRPr="00E14776" w:rsidRDefault="00132EE9" w:rsidP="00132EE9">
      <w:pPr>
        <w:ind w:firstLine="567"/>
        <w:jc w:val="both"/>
      </w:pPr>
      <w:r w:rsidRPr="00871E20">
        <w:t>-поступления от негосударственных организаций –</w:t>
      </w:r>
      <w:r>
        <w:t xml:space="preserve"> 22,6 млн. руб. (назначений нет), что на 11 млн. </w:t>
      </w:r>
      <w:r w:rsidR="0008574E">
        <w:t>руб. меньше</w:t>
      </w:r>
      <w:r>
        <w:t xml:space="preserve"> </w:t>
      </w:r>
      <w:r w:rsidR="0008574E">
        <w:t>2016 года</w:t>
      </w:r>
      <w:r w:rsidRPr="00E14776">
        <w:t>;</w:t>
      </w:r>
    </w:p>
    <w:p w:rsidR="00132EE9" w:rsidRPr="00E14776" w:rsidRDefault="00132EE9" w:rsidP="00132EE9">
      <w:pPr>
        <w:ind w:firstLine="567"/>
        <w:jc w:val="both"/>
      </w:pPr>
      <w:r w:rsidRPr="00E14776">
        <w:t>-доходы от возврата остатков субсидий, субвенций прошлых лет – 1</w:t>
      </w:r>
      <w:r>
        <w:t>72</w:t>
      </w:r>
      <w:r w:rsidRPr="00E14776">
        <w:t>,</w:t>
      </w:r>
      <w:r>
        <w:t>7</w:t>
      </w:r>
      <w:r w:rsidRPr="00E14776">
        <w:t xml:space="preserve"> млн. руб. </w:t>
      </w:r>
      <w:r w:rsidRPr="00FC110E">
        <w:t xml:space="preserve">(86,3%), или на 44 млн. руб. ниже уровня прошлого </w:t>
      </w:r>
      <w:r w:rsidR="0008574E">
        <w:t>г</w:t>
      </w:r>
      <w:r w:rsidRPr="00FC110E">
        <w:t>ода;</w:t>
      </w:r>
    </w:p>
    <w:p w:rsidR="00132EE9" w:rsidRPr="00E14776" w:rsidRDefault="00132EE9" w:rsidP="00132EE9">
      <w:pPr>
        <w:ind w:firstLine="567"/>
        <w:jc w:val="both"/>
      </w:pPr>
      <w:r w:rsidRPr="00E14776">
        <w:t>-возврат остатков субсидий, субвенций и иных межбюджетных трансфертов прошлых лет</w:t>
      </w:r>
      <w:r w:rsidR="0024110F">
        <w:t xml:space="preserve"> - </w:t>
      </w:r>
      <w:r w:rsidRPr="00E14776">
        <w:t>(-)</w:t>
      </w:r>
      <w:r>
        <w:t>65</w:t>
      </w:r>
      <w:r w:rsidRPr="00E14776">
        <w:t xml:space="preserve"> млн. руб. (назначений нет), </w:t>
      </w:r>
      <w:r w:rsidR="0024110F">
        <w:t>что</w:t>
      </w:r>
      <w:r w:rsidRPr="00E14776">
        <w:t xml:space="preserve"> на </w:t>
      </w:r>
      <w:r>
        <w:t>203,1</w:t>
      </w:r>
      <w:r w:rsidR="005A3FF1">
        <w:t xml:space="preserve"> млн. руб. </w:t>
      </w:r>
      <w:r w:rsidR="00C41328">
        <w:t>ниже</w:t>
      </w:r>
      <w:r w:rsidRPr="00E14776">
        <w:t xml:space="preserve"> </w:t>
      </w:r>
      <w:r w:rsidR="0024110F">
        <w:t>2016 года</w:t>
      </w:r>
      <w:r w:rsidRPr="00E14776">
        <w:t>.</w:t>
      </w:r>
    </w:p>
    <w:p w:rsidR="00132EE9" w:rsidRDefault="00132EE9" w:rsidP="00132EE9">
      <w:pPr>
        <w:spacing w:line="240" w:lineRule="atLeast"/>
        <w:ind w:firstLine="567"/>
        <w:jc w:val="both"/>
      </w:pPr>
    </w:p>
    <w:p w:rsidR="00865948" w:rsidRDefault="00865948" w:rsidP="00384D36">
      <w:pPr>
        <w:ind w:firstLine="708"/>
        <w:jc w:val="center"/>
        <w:rPr>
          <w:b/>
        </w:rPr>
      </w:pPr>
      <w:r>
        <w:rPr>
          <w:b/>
        </w:rPr>
        <w:t>3.</w:t>
      </w:r>
      <w:r w:rsidR="00437856">
        <w:rPr>
          <w:b/>
        </w:rPr>
        <w:t>4</w:t>
      </w:r>
      <w:r>
        <w:rPr>
          <w:b/>
        </w:rPr>
        <w:t>. Администрирование</w:t>
      </w:r>
      <w:r w:rsidR="00D446B8">
        <w:rPr>
          <w:b/>
        </w:rPr>
        <w:t xml:space="preserve"> доходов областного бюджета.</w:t>
      </w:r>
    </w:p>
    <w:p w:rsidR="002C6ECB" w:rsidRDefault="002C6ECB" w:rsidP="00384D36">
      <w:pPr>
        <w:ind w:firstLine="708"/>
        <w:jc w:val="center"/>
        <w:rPr>
          <w:b/>
        </w:rPr>
      </w:pPr>
    </w:p>
    <w:p w:rsidR="00D11C3B" w:rsidRPr="00D11C3B" w:rsidRDefault="00D11C3B" w:rsidP="002C518D">
      <w:pPr>
        <w:ind w:firstLine="708"/>
        <w:jc w:val="both"/>
      </w:pPr>
      <w:r>
        <w:t>Обязанность администрирования закрепленных доходов возложена на администраторов доходов бюджетов статьей 160.2 Б</w:t>
      </w:r>
      <w:r w:rsidR="00977E81">
        <w:t>юджетного коде</w:t>
      </w:r>
      <w:r w:rsidR="00843374">
        <w:t>к</w:t>
      </w:r>
      <w:r w:rsidR="00977E81">
        <w:t>са</w:t>
      </w:r>
      <w:r>
        <w:t xml:space="preserve"> РФ. Перечень главных администраторов доходов областного бюджета </w:t>
      </w:r>
      <w:r w:rsidR="00977E81">
        <w:t xml:space="preserve">– органов государственной власти Волгоградской области </w:t>
      </w:r>
      <w:r>
        <w:t>на 201</w:t>
      </w:r>
      <w:r w:rsidR="0083781D">
        <w:t>7</w:t>
      </w:r>
      <w:r>
        <w:t xml:space="preserve"> год </w:t>
      </w:r>
      <w:r w:rsidR="00263779">
        <w:t xml:space="preserve">был </w:t>
      </w:r>
      <w:r>
        <w:t xml:space="preserve">утвержден </w:t>
      </w:r>
      <w:r w:rsidRPr="00AC6027">
        <w:t xml:space="preserve">приложением </w:t>
      </w:r>
      <w:r w:rsidR="00977E81">
        <w:t>6</w:t>
      </w:r>
      <w:r>
        <w:t xml:space="preserve"> к закону об областном бюджет</w:t>
      </w:r>
      <w:r w:rsidR="00D00033">
        <w:t>е</w:t>
      </w:r>
      <w:r>
        <w:t xml:space="preserve"> на 201</w:t>
      </w:r>
      <w:r w:rsidR="0083781D">
        <w:t>7</w:t>
      </w:r>
      <w:r>
        <w:t>-201</w:t>
      </w:r>
      <w:r w:rsidR="0083781D">
        <w:t>9</w:t>
      </w:r>
      <w:r>
        <w:t xml:space="preserve"> годы. </w:t>
      </w:r>
    </w:p>
    <w:p w:rsidR="00843374" w:rsidRDefault="00843374" w:rsidP="00263779">
      <w:pPr>
        <w:ind w:firstLine="540"/>
        <w:jc w:val="both"/>
      </w:pPr>
      <w:r>
        <w:t>Внешними проверками годовой бюджетной отчетности главных администраторов средств областного бюджета установлен ряд нарушений и недостатков</w:t>
      </w:r>
      <w:r w:rsidR="00D44EAB">
        <w:t xml:space="preserve">, допускаемых </w:t>
      </w:r>
      <w:proofErr w:type="spellStart"/>
      <w:r w:rsidR="00D44EAB">
        <w:t>ГАБСами</w:t>
      </w:r>
      <w:proofErr w:type="spellEnd"/>
      <w:r w:rsidR="00D44EAB">
        <w:t xml:space="preserve"> </w:t>
      </w:r>
      <w:r>
        <w:t>при администрировании закрепленных доходов.</w:t>
      </w:r>
    </w:p>
    <w:p w:rsidR="00CB7577" w:rsidRDefault="00D44EAB" w:rsidP="00F24008">
      <w:pPr>
        <w:autoSpaceDE w:val="0"/>
        <w:autoSpaceDN w:val="0"/>
        <w:adjustRightInd w:val="0"/>
        <w:ind w:firstLine="709"/>
        <w:jc w:val="both"/>
      </w:pPr>
      <w:proofErr w:type="gramStart"/>
      <w:r>
        <w:t>Так</w:t>
      </w:r>
      <w:r w:rsidR="00843374">
        <w:t>,</w:t>
      </w:r>
      <w:r w:rsidR="003577A1">
        <w:t xml:space="preserve"> </w:t>
      </w:r>
      <w:r w:rsidR="00354BB3">
        <w:t xml:space="preserve">при проверке </w:t>
      </w:r>
      <w:r w:rsidR="003577A1" w:rsidRPr="003577A1">
        <w:rPr>
          <w:b/>
          <w:i/>
        </w:rPr>
        <w:t>инспекци</w:t>
      </w:r>
      <w:r w:rsidR="00354BB3">
        <w:rPr>
          <w:b/>
          <w:i/>
        </w:rPr>
        <w:t>и</w:t>
      </w:r>
      <w:r w:rsidR="003577A1" w:rsidRPr="003577A1">
        <w:rPr>
          <w:b/>
          <w:i/>
        </w:rPr>
        <w:t xml:space="preserve"> государственного строительного надзора Волгоградской области</w:t>
      </w:r>
      <w:r w:rsidR="003577A1">
        <w:t xml:space="preserve"> (далее </w:t>
      </w:r>
      <w:proofErr w:type="spellStart"/>
      <w:r w:rsidR="003577A1">
        <w:t>Облстройнадзор</w:t>
      </w:r>
      <w:proofErr w:type="spellEnd"/>
      <w:r w:rsidR="003577A1">
        <w:t xml:space="preserve">) </w:t>
      </w:r>
      <w:r w:rsidR="00043220">
        <w:t xml:space="preserve">отмечен низкий уровень администрирования штрафов, налагаемых </w:t>
      </w:r>
      <w:proofErr w:type="spellStart"/>
      <w:r w:rsidR="00043220">
        <w:t>Облстройнадзором</w:t>
      </w:r>
      <w:proofErr w:type="spellEnd"/>
      <w:r w:rsidR="00043220">
        <w:t xml:space="preserve"> </w:t>
      </w:r>
      <w:r w:rsidR="003577A1">
        <w:t>по результатам рассмотрения дел об административных нарушениях, предусмотренных частями 1 и 2 статьи 9</w:t>
      </w:r>
      <w:r w:rsidR="00A30B1F">
        <w:t>.</w:t>
      </w:r>
      <w:r w:rsidR="003577A1">
        <w:t>4</w:t>
      </w:r>
      <w:r w:rsidR="00950DA4">
        <w:t>,</w:t>
      </w:r>
      <w:r w:rsidR="003577A1">
        <w:t xml:space="preserve"> </w:t>
      </w:r>
      <w:r w:rsidR="00950DA4">
        <w:t>ч</w:t>
      </w:r>
      <w:r w:rsidR="003577A1">
        <w:t>астями 1-3,5 статьи 9</w:t>
      </w:r>
      <w:r w:rsidR="00950DA4">
        <w:t>.</w:t>
      </w:r>
      <w:r w:rsidR="003577A1">
        <w:t xml:space="preserve">5 , частью 1 статьи 9.5.1, частями 2-4 статьи 19.5 </w:t>
      </w:r>
      <w:proofErr w:type="spellStart"/>
      <w:r w:rsidR="003577A1">
        <w:t>КоАП</w:t>
      </w:r>
      <w:proofErr w:type="spellEnd"/>
      <w:r w:rsidR="003577A1">
        <w:t xml:space="preserve"> РФ и статьи 7</w:t>
      </w:r>
      <w:r w:rsidR="00950DA4">
        <w:t>.</w:t>
      </w:r>
      <w:r w:rsidR="003577A1">
        <w:t>4 Кодекса Волгоградской области об административной ответственности.</w:t>
      </w:r>
      <w:r w:rsidR="006A547E">
        <w:t xml:space="preserve"> </w:t>
      </w:r>
      <w:proofErr w:type="gramEnd"/>
    </w:p>
    <w:p w:rsidR="00395364" w:rsidRDefault="00395364" w:rsidP="00395364">
      <w:pPr>
        <w:ind w:firstLine="720"/>
        <w:contextualSpacing/>
        <w:jc w:val="both"/>
        <w:rPr>
          <w:color w:val="000000"/>
        </w:rPr>
      </w:pPr>
      <w:r>
        <w:rPr>
          <w:color w:val="000000"/>
        </w:rPr>
        <w:t>В</w:t>
      </w:r>
      <w:r w:rsidRPr="00456234">
        <w:rPr>
          <w:color w:val="000000"/>
        </w:rPr>
        <w:t xml:space="preserve"> 2017 году уровень взыскания </w:t>
      </w:r>
      <w:r w:rsidR="00BC2D83">
        <w:rPr>
          <w:color w:val="000000"/>
        </w:rPr>
        <w:t xml:space="preserve">указанных </w:t>
      </w:r>
      <w:r w:rsidRPr="00456234">
        <w:rPr>
          <w:color w:val="000000"/>
        </w:rPr>
        <w:t xml:space="preserve">штрафов </w:t>
      </w:r>
      <w:r>
        <w:rPr>
          <w:color w:val="000000"/>
        </w:rPr>
        <w:t>снизился</w:t>
      </w:r>
      <w:r w:rsidRPr="00456234">
        <w:rPr>
          <w:color w:val="000000"/>
        </w:rPr>
        <w:t xml:space="preserve"> относительно 2016 года </w:t>
      </w:r>
      <w:r>
        <w:rPr>
          <w:color w:val="000000"/>
        </w:rPr>
        <w:t xml:space="preserve">на 5,6%, относительно 2015 года – на 52,6 </w:t>
      </w:r>
      <w:r w:rsidRPr="006E7306">
        <w:rPr>
          <w:color w:val="000000"/>
        </w:rPr>
        <w:t xml:space="preserve">процента. При этом задолженность по наложенным, но не оплаченным штрафам на конец отчетного периода </w:t>
      </w:r>
      <w:r>
        <w:rPr>
          <w:color w:val="000000"/>
        </w:rPr>
        <w:t xml:space="preserve">относительно 2016 года </w:t>
      </w:r>
      <w:r w:rsidRPr="006E7306">
        <w:rPr>
          <w:color w:val="000000"/>
        </w:rPr>
        <w:t>выросла на 8</w:t>
      </w:r>
      <w:r w:rsidR="00D35275">
        <w:rPr>
          <w:color w:val="000000"/>
        </w:rPr>
        <w:t>,9</w:t>
      </w:r>
      <w:r w:rsidRPr="006E7306">
        <w:rPr>
          <w:color w:val="000000"/>
        </w:rPr>
        <w:t xml:space="preserve"> </w:t>
      </w:r>
      <w:r w:rsidR="00D35275">
        <w:rPr>
          <w:color w:val="000000"/>
        </w:rPr>
        <w:t>млн</w:t>
      </w:r>
      <w:r w:rsidRPr="006E7306">
        <w:rPr>
          <w:color w:val="000000"/>
        </w:rPr>
        <w:t>. руб., или на 21%</w:t>
      </w:r>
      <w:r>
        <w:rPr>
          <w:color w:val="000000"/>
        </w:rPr>
        <w:t>,</w:t>
      </w:r>
      <w:r w:rsidRPr="006E7306">
        <w:rPr>
          <w:color w:val="000000"/>
        </w:rPr>
        <w:t xml:space="preserve"> </w:t>
      </w:r>
      <w:r>
        <w:rPr>
          <w:color w:val="000000"/>
        </w:rPr>
        <w:t>относительно 2015 года -</w:t>
      </w:r>
      <w:r w:rsidRPr="006E7306">
        <w:rPr>
          <w:color w:val="000000"/>
        </w:rPr>
        <w:t xml:space="preserve"> на 22</w:t>
      </w:r>
      <w:r w:rsidR="00D35275">
        <w:rPr>
          <w:color w:val="000000"/>
        </w:rPr>
        <w:t>,5</w:t>
      </w:r>
      <w:r w:rsidRPr="006E7306">
        <w:rPr>
          <w:color w:val="000000"/>
        </w:rPr>
        <w:t xml:space="preserve"> </w:t>
      </w:r>
      <w:r w:rsidR="00D35275">
        <w:rPr>
          <w:color w:val="000000"/>
        </w:rPr>
        <w:t>млн</w:t>
      </w:r>
      <w:r w:rsidRPr="006E7306">
        <w:rPr>
          <w:color w:val="000000"/>
        </w:rPr>
        <w:t xml:space="preserve">. руб., или </w:t>
      </w:r>
      <w:r>
        <w:rPr>
          <w:color w:val="000000"/>
        </w:rPr>
        <w:t xml:space="preserve">на </w:t>
      </w:r>
      <w:r w:rsidRPr="006E7306">
        <w:rPr>
          <w:color w:val="000000"/>
        </w:rPr>
        <w:t>7</w:t>
      </w:r>
      <w:r>
        <w:rPr>
          <w:color w:val="000000"/>
        </w:rPr>
        <w:t>9 процентов.</w:t>
      </w:r>
      <w:r w:rsidRPr="006615EE">
        <w:rPr>
          <w:color w:val="000000"/>
        </w:rPr>
        <w:t xml:space="preserve"> </w:t>
      </w:r>
      <w:r>
        <w:rPr>
          <w:color w:val="000000"/>
        </w:rPr>
        <w:t>П</w:t>
      </w:r>
      <w:r w:rsidRPr="006615EE">
        <w:rPr>
          <w:color w:val="000000"/>
        </w:rPr>
        <w:t>ричин</w:t>
      </w:r>
      <w:r w:rsidR="000878CC">
        <w:rPr>
          <w:color w:val="000000"/>
        </w:rPr>
        <w:t>ами</w:t>
      </w:r>
      <w:r w:rsidRPr="006615EE">
        <w:rPr>
          <w:color w:val="000000"/>
        </w:rPr>
        <w:t xml:space="preserve"> увеличения задолженности относительно 201</w:t>
      </w:r>
      <w:r>
        <w:rPr>
          <w:color w:val="000000"/>
        </w:rPr>
        <w:t>5</w:t>
      </w:r>
      <w:r w:rsidRPr="006615EE">
        <w:rPr>
          <w:color w:val="000000"/>
        </w:rPr>
        <w:t xml:space="preserve"> года стало снижение поступлений на </w:t>
      </w:r>
      <w:r>
        <w:rPr>
          <w:color w:val="000000"/>
        </w:rPr>
        <w:t>11,8</w:t>
      </w:r>
      <w:r w:rsidRPr="006615EE">
        <w:rPr>
          <w:color w:val="000000"/>
        </w:rPr>
        <w:t>%</w:t>
      </w:r>
      <w:r>
        <w:rPr>
          <w:color w:val="000000"/>
        </w:rPr>
        <w:t xml:space="preserve">, </w:t>
      </w:r>
      <w:r w:rsidRPr="006615EE">
        <w:rPr>
          <w:color w:val="000000"/>
        </w:rPr>
        <w:t>а также</w:t>
      </w:r>
      <w:r w:rsidRPr="00456234">
        <w:rPr>
          <w:color w:val="000000"/>
        </w:rPr>
        <w:t xml:space="preserve"> </w:t>
      </w:r>
      <w:r>
        <w:rPr>
          <w:color w:val="000000"/>
        </w:rPr>
        <w:t xml:space="preserve">существенное </w:t>
      </w:r>
      <w:r w:rsidRPr="006615EE">
        <w:rPr>
          <w:color w:val="000000"/>
        </w:rPr>
        <w:t xml:space="preserve">увеличение </w:t>
      </w:r>
      <w:r>
        <w:rPr>
          <w:color w:val="000000"/>
        </w:rPr>
        <w:t xml:space="preserve">общей суммы </w:t>
      </w:r>
      <w:r w:rsidRPr="006615EE">
        <w:rPr>
          <w:color w:val="000000"/>
        </w:rPr>
        <w:t xml:space="preserve">наложенных штрафов </w:t>
      </w:r>
      <w:r>
        <w:rPr>
          <w:color w:val="000000"/>
        </w:rPr>
        <w:t>- с 10</w:t>
      </w:r>
      <w:r w:rsidR="00D35275">
        <w:rPr>
          <w:color w:val="000000"/>
        </w:rPr>
        <w:t>,</w:t>
      </w:r>
      <w:r>
        <w:rPr>
          <w:color w:val="000000"/>
        </w:rPr>
        <w:t xml:space="preserve">1 </w:t>
      </w:r>
      <w:r w:rsidR="00D35275">
        <w:rPr>
          <w:color w:val="000000"/>
        </w:rPr>
        <w:t>млн</w:t>
      </w:r>
      <w:r>
        <w:rPr>
          <w:color w:val="000000"/>
        </w:rPr>
        <w:t xml:space="preserve">. руб. </w:t>
      </w:r>
      <w:r w:rsidRPr="006615EE">
        <w:rPr>
          <w:color w:val="000000"/>
        </w:rPr>
        <w:t>до 23</w:t>
      </w:r>
      <w:r w:rsidR="00D35275">
        <w:rPr>
          <w:color w:val="000000"/>
        </w:rPr>
        <w:t>,</w:t>
      </w:r>
      <w:r w:rsidRPr="006615EE">
        <w:rPr>
          <w:color w:val="000000"/>
        </w:rPr>
        <w:t xml:space="preserve">5 </w:t>
      </w:r>
      <w:r w:rsidR="00D35275">
        <w:rPr>
          <w:color w:val="000000"/>
        </w:rPr>
        <w:t>млн</w:t>
      </w:r>
      <w:r w:rsidRPr="006615EE">
        <w:rPr>
          <w:color w:val="000000"/>
        </w:rPr>
        <w:t>. руб.</w:t>
      </w:r>
      <w:r>
        <w:rPr>
          <w:color w:val="000000"/>
        </w:rPr>
        <w:t>,</w:t>
      </w:r>
      <w:r w:rsidRPr="006615EE">
        <w:rPr>
          <w:color w:val="000000"/>
        </w:rPr>
        <w:t xml:space="preserve"> или </w:t>
      </w:r>
      <w:r>
        <w:rPr>
          <w:color w:val="000000"/>
        </w:rPr>
        <w:t>в 2,3 раза.</w:t>
      </w:r>
    </w:p>
    <w:p w:rsidR="00395364" w:rsidRDefault="00395364" w:rsidP="00395364">
      <w:pPr>
        <w:ind w:firstLine="720"/>
        <w:contextualSpacing/>
        <w:jc w:val="both"/>
        <w:rPr>
          <w:color w:val="000000"/>
        </w:rPr>
      </w:pPr>
      <w:r w:rsidRPr="00905B1C">
        <w:t>Доля дебиторской задолженности по доходам (50</w:t>
      </w:r>
      <w:r w:rsidR="005E31B6">
        <w:t>,</w:t>
      </w:r>
      <w:r w:rsidRPr="00905B1C">
        <w:t xml:space="preserve">8 </w:t>
      </w:r>
      <w:r w:rsidR="005E31B6">
        <w:t>млн</w:t>
      </w:r>
      <w:r w:rsidRPr="00905B1C">
        <w:t>. руб.) относительно кассового исполнения доходов (7</w:t>
      </w:r>
      <w:r w:rsidR="005E31B6">
        <w:t>,6</w:t>
      </w:r>
      <w:r w:rsidRPr="00905B1C">
        <w:t xml:space="preserve"> </w:t>
      </w:r>
      <w:r w:rsidR="005E31B6">
        <w:t>млн</w:t>
      </w:r>
      <w:r w:rsidRPr="00905B1C">
        <w:t xml:space="preserve">. руб.) в отчетном году составила 15%, что свидетельствует о неудовлетворительной работе </w:t>
      </w:r>
      <w:proofErr w:type="spellStart"/>
      <w:r w:rsidRPr="00905B1C">
        <w:t>Облстройнадзора</w:t>
      </w:r>
      <w:proofErr w:type="spellEnd"/>
      <w:r w:rsidRPr="00905B1C">
        <w:t xml:space="preserve"> по администрированию </w:t>
      </w:r>
      <w:r w:rsidR="00032158">
        <w:t xml:space="preserve">закрепленных за ним </w:t>
      </w:r>
      <w:r w:rsidRPr="00905B1C">
        <w:t>доходов.</w:t>
      </w:r>
    </w:p>
    <w:p w:rsidR="003D6580" w:rsidRPr="003D6580" w:rsidRDefault="003D6580" w:rsidP="00F24008">
      <w:pPr>
        <w:autoSpaceDE w:val="0"/>
        <w:autoSpaceDN w:val="0"/>
        <w:adjustRightInd w:val="0"/>
        <w:ind w:firstLine="709"/>
        <w:jc w:val="both"/>
        <w:rPr>
          <w:b/>
          <w:i/>
        </w:rPr>
      </w:pPr>
      <w:r w:rsidRPr="003D6580">
        <w:t>Не</w:t>
      </w:r>
      <w:r>
        <w:t>достаточный уровень администрирования доходов отмечен и при проверке</w:t>
      </w:r>
      <w:r w:rsidRPr="003D6580">
        <w:t xml:space="preserve"> </w:t>
      </w:r>
      <w:r w:rsidRPr="003D6580">
        <w:rPr>
          <w:b/>
          <w:i/>
        </w:rPr>
        <w:t>к</w:t>
      </w:r>
      <w:r w:rsidR="00621C14" w:rsidRPr="003D6580">
        <w:rPr>
          <w:b/>
          <w:i/>
        </w:rPr>
        <w:t>омитет</w:t>
      </w:r>
      <w:r w:rsidRPr="003D6580">
        <w:rPr>
          <w:b/>
          <w:i/>
        </w:rPr>
        <w:t>а</w:t>
      </w:r>
      <w:r w:rsidR="00621C14" w:rsidRPr="003D6580">
        <w:rPr>
          <w:b/>
          <w:i/>
        </w:rPr>
        <w:t xml:space="preserve"> промышленности и торговли</w:t>
      </w:r>
      <w:r w:rsidRPr="003D6580">
        <w:rPr>
          <w:b/>
          <w:i/>
        </w:rPr>
        <w:t xml:space="preserve"> Волгоградской области. </w:t>
      </w:r>
    </w:p>
    <w:p w:rsidR="00D44EAB" w:rsidRDefault="003D6580" w:rsidP="001418D2">
      <w:pPr>
        <w:pStyle w:val="ad"/>
        <w:ind w:firstLine="708"/>
        <w:jc w:val="both"/>
        <w:rPr>
          <w:rFonts w:ascii="Times New Roman" w:hAnsi="Times New Roman" w:cs="Times New Roman"/>
        </w:rPr>
      </w:pPr>
      <w:proofErr w:type="gramStart"/>
      <w:r w:rsidRPr="00E16F9A">
        <w:rPr>
          <w:rFonts w:ascii="Times New Roman" w:hAnsi="Times New Roman" w:cs="Times New Roman"/>
        </w:rPr>
        <w:t xml:space="preserve">Комитет является администратором доходов </w:t>
      </w:r>
      <w:r>
        <w:rPr>
          <w:rFonts w:ascii="Times New Roman" w:hAnsi="Times New Roman" w:cs="Times New Roman"/>
        </w:rPr>
        <w:t>по</w:t>
      </w:r>
      <w:r w:rsidRPr="00E16F9A">
        <w:rPr>
          <w:rFonts w:ascii="Times New Roman" w:hAnsi="Times New Roman" w:cs="Times New Roman"/>
        </w:rPr>
        <w:t xml:space="preserve"> штрафам в рамках осуществления государственного контроля за представлением деклараций об объеме розничной продажи алкогольной и спиртосодержащей продукции и штрафам за нарушение административного законодательства в сфере оборота и реализации алкогольн</w:t>
      </w:r>
      <w:r>
        <w:rPr>
          <w:rFonts w:ascii="Times New Roman" w:hAnsi="Times New Roman" w:cs="Times New Roman"/>
        </w:rPr>
        <w:t xml:space="preserve">ой и спиртосодержащей продукции, по штрафам за нарушение условий </w:t>
      </w:r>
      <w:r w:rsidRPr="004F7805">
        <w:rPr>
          <w:rFonts w:ascii="Times New Roman" w:hAnsi="Times New Roman" w:cs="Times New Roman"/>
        </w:rPr>
        <w:t xml:space="preserve">лицензирования заготовки, хранения, переработки и реализации лома черных и (или) цветных металлов. </w:t>
      </w:r>
      <w:proofErr w:type="gramEnd"/>
    </w:p>
    <w:p w:rsidR="003D6580" w:rsidRPr="001E579E" w:rsidRDefault="003D6580" w:rsidP="001418D2">
      <w:pPr>
        <w:pStyle w:val="ad"/>
        <w:ind w:firstLine="708"/>
        <w:jc w:val="both"/>
        <w:rPr>
          <w:rFonts w:ascii="Times New Roman" w:hAnsi="Times New Roman" w:cs="Times New Roman"/>
        </w:rPr>
      </w:pPr>
      <w:r w:rsidRPr="004F7805">
        <w:rPr>
          <w:rFonts w:ascii="Times New Roman" w:hAnsi="Times New Roman" w:cs="Times New Roman"/>
        </w:rPr>
        <w:t>За</w:t>
      </w:r>
      <w:r w:rsidRPr="001E579E">
        <w:rPr>
          <w:rFonts w:ascii="Times New Roman" w:hAnsi="Times New Roman" w:cs="Times New Roman"/>
        </w:rPr>
        <w:t xml:space="preserve"> 2017 год </w:t>
      </w:r>
      <w:r>
        <w:rPr>
          <w:rFonts w:ascii="Times New Roman" w:hAnsi="Times New Roman" w:cs="Times New Roman"/>
        </w:rPr>
        <w:t xml:space="preserve">комитетом </w:t>
      </w:r>
      <w:r w:rsidRPr="001E579E">
        <w:rPr>
          <w:rFonts w:ascii="Times New Roman" w:hAnsi="Times New Roman" w:cs="Times New Roman"/>
        </w:rPr>
        <w:t>начислено штрафных санкций  на общую сумму 8</w:t>
      </w:r>
      <w:r>
        <w:rPr>
          <w:rFonts w:ascii="Times New Roman" w:hAnsi="Times New Roman" w:cs="Times New Roman"/>
        </w:rPr>
        <w:t>,</w:t>
      </w:r>
      <w:r w:rsidRPr="001E579E">
        <w:rPr>
          <w:rFonts w:ascii="Times New Roman" w:hAnsi="Times New Roman" w:cs="Times New Roman"/>
        </w:rPr>
        <w:t xml:space="preserve">7 </w:t>
      </w:r>
      <w:r>
        <w:rPr>
          <w:rFonts w:ascii="Times New Roman" w:hAnsi="Times New Roman" w:cs="Times New Roman"/>
        </w:rPr>
        <w:t>млн</w:t>
      </w:r>
      <w:r w:rsidRPr="001E579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1E579E">
        <w:rPr>
          <w:rFonts w:ascii="Times New Roman" w:hAnsi="Times New Roman" w:cs="Times New Roman"/>
        </w:rPr>
        <w:t xml:space="preserve">руб.,  поступило </w:t>
      </w:r>
      <w:r w:rsidR="00D44EAB">
        <w:rPr>
          <w:rFonts w:ascii="Times New Roman" w:hAnsi="Times New Roman" w:cs="Times New Roman"/>
        </w:rPr>
        <w:t xml:space="preserve">в бюджет Волгограда </w:t>
      </w:r>
      <w:r>
        <w:rPr>
          <w:rFonts w:ascii="Times New Roman" w:hAnsi="Times New Roman" w:cs="Times New Roman"/>
        </w:rPr>
        <w:t>–</w:t>
      </w:r>
      <w:r w:rsidRPr="001E579E">
        <w:rPr>
          <w:rFonts w:ascii="Times New Roman" w:hAnsi="Times New Roman" w:cs="Times New Roman"/>
        </w:rPr>
        <w:t xml:space="preserve"> 2</w:t>
      </w:r>
      <w:r>
        <w:rPr>
          <w:rFonts w:ascii="Times New Roman" w:hAnsi="Times New Roman" w:cs="Times New Roman"/>
        </w:rPr>
        <w:t>,</w:t>
      </w:r>
      <w:r w:rsidRPr="001E579E">
        <w:rPr>
          <w:rFonts w:ascii="Times New Roman" w:hAnsi="Times New Roman" w:cs="Times New Roman"/>
        </w:rPr>
        <w:t xml:space="preserve">9 </w:t>
      </w:r>
      <w:r>
        <w:rPr>
          <w:rFonts w:ascii="Times New Roman" w:hAnsi="Times New Roman" w:cs="Times New Roman"/>
        </w:rPr>
        <w:t>млн</w:t>
      </w:r>
      <w:r w:rsidRPr="001E579E">
        <w:rPr>
          <w:rFonts w:ascii="Times New Roman" w:hAnsi="Times New Roman" w:cs="Times New Roman"/>
        </w:rPr>
        <w:t>. руб., процент взыскания состав</w:t>
      </w:r>
      <w:r>
        <w:rPr>
          <w:rFonts w:ascii="Times New Roman" w:hAnsi="Times New Roman" w:cs="Times New Roman"/>
        </w:rPr>
        <w:t>ил</w:t>
      </w:r>
      <w:r w:rsidRPr="001E579E">
        <w:rPr>
          <w:rFonts w:ascii="Times New Roman" w:hAnsi="Times New Roman" w:cs="Times New Roman"/>
        </w:rPr>
        <w:t xml:space="preserve"> 33,2% от общей суммы начислений. Размер дебиторской задолженности </w:t>
      </w:r>
      <w:r>
        <w:rPr>
          <w:rFonts w:ascii="Times New Roman" w:hAnsi="Times New Roman" w:cs="Times New Roman"/>
        </w:rPr>
        <w:t xml:space="preserve">по штрафам </w:t>
      </w:r>
      <w:proofErr w:type="gramStart"/>
      <w:r w:rsidRPr="001E579E">
        <w:rPr>
          <w:rFonts w:ascii="Times New Roman" w:hAnsi="Times New Roman" w:cs="Times New Roman"/>
        </w:rPr>
        <w:t>на конец</w:t>
      </w:r>
      <w:proofErr w:type="gramEnd"/>
      <w:r w:rsidRPr="001E579E">
        <w:rPr>
          <w:rFonts w:ascii="Times New Roman" w:hAnsi="Times New Roman" w:cs="Times New Roman"/>
        </w:rPr>
        <w:t xml:space="preserve"> 2017 </w:t>
      </w:r>
      <w:r w:rsidRPr="001E579E">
        <w:rPr>
          <w:rFonts w:ascii="Times New Roman" w:hAnsi="Times New Roman" w:cs="Times New Roman"/>
        </w:rPr>
        <w:lastRenderedPageBreak/>
        <w:t>года увеличился на 2</w:t>
      </w:r>
      <w:r>
        <w:rPr>
          <w:rFonts w:ascii="Times New Roman" w:hAnsi="Times New Roman" w:cs="Times New Roman"/>
        </w:rPr>
        <w:t>,4</w:t>
      </w:r>
      <w:r w:rsidRPr="001E579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млн</w:t>
      </w:r>
      <w:r w:rsidRPr="001E579E">
        <w:rPr>
          <w:rFonts w:ascii="Times New Roman" w:hAnsi="Times New Roman" w:cs="Times New Roman"/>
        </w:rPr>
        <w:t>. руб. (+16,5%) и составил 16</w:t>
      </w:r>
      <w:r>
        <w:rPr>
          <w:rFonts w:ascii="Times New Roman" w:hAnsi="Times New Roman" w:cs="Times New Roman"/>
        </w:rPr>
        <w:t>,</w:t>
      </w:r>
      <w:r w:rsidRPr="001E579E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млн</w:t>
      </w:r>
      <w:r w:rsidRPr="001E579E">
        <w:rPr>
          <w:rFonts w:ascii="Times New Roman" w:hAnsi="Times New Roman" w:cs="Times New Roman"/>
        </w:rPr>
        <w:t xml:space="preserve">. рублей. </w:t>
      </w:r>
      <w:r>
        <w:rPr>
          <w:rFonts w:ascii="Times New Roman" w:hAnsi="Times New Roman" w:cs="Times New Roman"/>
        </w:rPr>
        <w:t>Следует отметить, что з</w:t>
      </w:r>
      <w:r w:rsidRPr="001E579E">
        <w:rPr>
          <w:rFonts w:ascii="Times New Roman" w:hAnsi="Times New Roman" w:cs="Times New Roman"/>
        </w:rPr>
        <w:t xml:space="preserve">а три последних года задолженность </w:t>
      </w:r>
      <w:r>
        <w:rPr>
          <w:rFonts w:ascii="Times New Roman" w:hAnsi="Times New Roman" w:cs="Times New Roman"/>
        </w:rPr>
        <w:t xml:space="preserve">по данному виду штрафов </w:t>
      </w:r>
      <w:r w:rsidRPr="001E579E">
        <w:rPr>
          <w:rFonts w:ascii="Times New Roman" w:hAnsi="Times New Roman" w:cs="Times New Roman"/>
        </w:rPr>
        <w:t>увеличилась на 10</w:t>
      </w:r>
      <w:r w:rsidR="00F147FC">
        <w:rPr>
          <w:rFonts w:ascii="Times New Roman" w:hAnsi="Times New Roman" w:cs="Times New Roman"/>
        </w:rPr>
        <w:t>,</w:t>
      </w:r>
      <w:r w:rsidRPr="001E579E">
        <w:rPr>
          <w:rFonts w:ascii="Times New Roman" w:hAnsi="Times New Roman" w:cs="Times New Roman"/>
        </w:rPr>
        <w:t xml:space="preserve">8 </w:t>
      </w:r>
      <w:r w:rsidR="00F147FC">
        <w:rPr>
          <w:rFonts w:ascii="Times New Roman" w:hAnsi="Times New Roman" w:cs="Times New Roman"/>
        </w:rPr>
        <w:t>млн</w:t>
      </w:r>
      <w:r w:rsidRPr="001E579E">
        <w:rPr>
          <w:rFonts w:ascii="Times New Roman" w:hAnsi="Times New Roman" w:cs="Times New Roman"/>
        </w:rPr>
        <w:t>.</w:t>
      </w:r>
      <w:r w:rsidR="00F147FC">
        <w:rPr>
          <w:rFonts w:ascii="Times New Roman" w:hAnsi="Times New Roman" w:cs="Times New Roman"/>
        </w:rPr>
        <w:t xml:space="preserve"> </w:t>
      </w:r>
      <w:r w:rsidRPr="001E579E">
        <w:rPr>
          <w:rFonts w:ascii="Times New Roman" w:hAnsi="Times New Roman" w:cs="Times New Roman"/>
        </w:rPr>
        <w:t xml:space="preserve">руб., или </w:t>
      </w:r>
      <w:r>
        <w:rPr>
          <w:rFonts w:ascii="Times New Roman" w:hAnsi="Times New Roman" w:cs="Times New Roman"/>
        </w:rPr>
        <w:t xml:space="preserve">в </w:t>
      </w:r>
      <w:r w:rsidRPr="001E579E">
        <w:rPr>
          <w:rFonts w:ascii="Times New Roman" w:hAnsi="Times New Roman" w:cs="Times New Roman"/>
        </w:rPr>
        <w:t>1,8 раза.</w:t>
      </w:r>
      <w:r w:rsidRPr="001E579E">
        <w:rPr>
          <w:rFonts w:ascii="Times New Roman" w:hAnsi="Times New Roman" w:cs="Times New Roman"/>
          <w:b/>
        </w:rPr>
        <w:t xml:space="preserve"> </w:t>
      </w:r>
      <w:r w:rsidRPr="001E579E">
        <w:rPr>
          <w:rFonts w:ascii="Times New Roman" w:hAnsi="Times New Roman" w:cs="Times New Roman"/>
        </w:rPr>
        <w:t>Низкий процент взыскания задолженности</w:t>
      </w:r>
      <w:r>
        <w:rPr>
          <w:rFonts w:ascii="Times New Roman" w:hAnsi="Times New Roman" w:cs="Times New Roman"/>
        </w:rPr>
        <w:t xml:space="preserve"> свидетельствует о недостаточном взаимодействии</w:t>
      </w:r>
      <w:r w:rsidRPr="001E579E">
        <w:rPr>
          <w:rFonts w:ascii="Times New Roman" w:hAnsi="Times New Roman" w:cs="Times New Roman"/>
        </w:rPr>
        <w:t xml:space="preserve"> </w:t>
      </w:r>
      <w:r w:rsidR="00F147FC">
        <w:rPr>
          <w:rFonts w:ascii="Times New Roman" w:hAnsi="Times New Roman" w:cs="Times New Roman"/>
        </w:rPr>
        <w:t>к</w:t>
      </w:r>
      <w:r w:rsidRPr="001E579E">
        <w:rPr>
          <w:rFonts w:ascii="Times New Roman" w:hAnsi="Times New Roman" w:cs="Times New Roman"/>
        </w:rPr>
        <w:t>омитета</w:t>
      </w:r>
      <w:r w:rsidR="00F147FC">
        <w:rPr>
          <w:rFonts w:ascii="Times New Roman" w:hAnsi="Times New Roman" w:cs="Times New Roman"/>
        </w:rPr>
        <w:t xml:space="preserve"> как администратора </w:t>
      </w:r>
      <w:r w:rsidR="00C35C93">
        <w:rPr>
          <w:rFonts w:ascii="Times New Roman" w:hAnsi="Times New Roman" w:cs="Times New Roman"/>
        </w:rPr>
        <w:t xml:space="preserve">данного вида </w:t>
      </w:r>
      <w:r w:rsidR="00F147FC">
        <w:rPr>
          <w:rFonts w:ascii="Times New Roman" w:hAnsi="Times New Roman" w:cs="Times New Roman"/>
        </w:rPr>
        <w:t xml:space="preserve">доходов </w:t>
      </w:r>
      <w:r w:rsidRPr="001E579E">
        <w:rPr>
          <w:rFonts w:ascii="Times New Roman" w:hAnsi="Times New Roman" w:cs="Times New Roman"/>
        </w:rPr>
        <w:t>со службой судебных приставов.</w:t>
      </w:r>
    </w:p>
    <w:p w:rsidR="00CC793F" w:rsidRDefault="00CC793F" w:rsidP="001418D2">
      <w:pPr>
        <w:autoSpaceDE w:val="0"/>
        <w:autoSpaceDN w:val="0"/>
        <w:adjustRightInd w:val="0"/>
        <w:ind w:firstLine="709"/>
        <w:jc w:val="both"/>
        <w:outlineLvl w:val="2"/>
        <w:rPr>
          <w:b/>
          <w:i/>
        </w:rPr>
      </w:pPr>
      <w:r>
        <w:t xml:space="preserve">Неудовлетворительный уровень работы по администрированию доходов отмечен и при внешней проверке бюджетной отчетности </w:t>
      </w:r>
      <w:r w:rsidRPr="00CC793F">
        <w:rPr>
          <w:b/>
          <w:i/>
        </w:rPr>
        <w:t>инспекции государственного жилищного надзора Волгоградской области</w:t>
      </w:r>
      <w:r w:rsidR="00977D8C">
        <w:rPr>
          <w:b/>
          <w:i/>
        </w:rPr>
        <w:t xml:space="preserve"> </w:t>
      </w:r>
      <w:r w:rsidR="00977D8C">
        <w:t xml:space="preserve">(далее </w:t>
      </w:r>
      <w:proofErr w:type="spellStart"/>
      <w:r w:rsidR="00977D8C">
        <w:t>Госжилнадзор</w:t>
      </w:r>
      <w:proofErr w:type="spellEnd"/>
      <w:r w:rsidR="00977D8C">
        <w:t>)</w:t>
      </w:r>
      <w:r w:rsidRPr="00CC793F">
        <w:rPr>
          <w:b/>
          <w:i/>
        </w:rPr>
        <w:t>.</w:t>
      </w:r>
    </w:p>
    <w:p w:rsidR="00977D8C" w:rsidRDefault="00977D8C" w:rsidP="00F32C47">
      <w:pPr>
        <w:ind w:firstLine="720"/>
        <w:contextualSpacing/>
        <w:jc w:val="both"/>
        <w:rPr>
          <w:bCs/>
          <w:iCs/>
        </w:rPr>
      </w:pPr>
      <w:r>
        <w:t xml:space="preserve">К числу </w:t>
      </w:r>
      <w:proofErr w:type="spellStart"/>
      <w:r w:rsidRPr="00CE314B">
        <w:rPr>
          <w:bCs/>
          <w:iCs/>
        </w:rPr>
        <w:t>администр</w:t>
      </w:r>
      <w:r>
        <w:rPr>
          <w:bCs/>
          <w:iCs/>
        </w:rPr>
        <w:t>ируемых</w:t>
      </w:r>
      <w:proofErr w:type="spellEnd"/>
      <w:r w:rsidRPr="00CE314B">
        <w:rPr>
          <w:bCs/>
          <w:iCs/>
        </w:rPr>
        <w:t xml:space="preserve"> </w:t>
      </w:r>
      <w:proofErr w:type="spellStart"/>
      <w:r>
        <w:rPr>
          <w:bCs/>
          <w:iCs/>
        </w:rPr>
        <w:t>Госжилнадзором</w:t>
      </w:r>
      <w:proofErr w:type="spellEnd"/>
      <w:r>
        <w:rPr>
          <w:bCs/>
          <w:iCs/>
        </w:rPr>
        <w:t xml:space="preserve"> </w:t>
      </w:r>
      <w:r w:rsidRPr="002F7FE0">
        <w:rPr>
          <w:bCs/>
          <w:iCs/>
        </w:rPr>
        <w:t>доходов</w:t>
      </w:r>
      <w:r>
        <w:rPr>
          <w:bCs/>
          <w:iCs/>
        </w:rPr>
        <w:t xml:space="preserve"> относятся «Прочие поступления от денежных взысканий (штрафов) и иных сумм в возмещение ущерба, зачисляемые в бюджеты городских округов»: за нарушение правил пользования жилыми помещениями; нарушение правил содержания и ремонта жилых домов и (или) жилых помещений; нарушение нормативов обеспечения населения коммунальными услугами; нарушение требований законодательства о раскрытии информации организациями, осуществляющими деятельность в сфере управления многоквартирными домами; нарушение законодательства об энергоснабжении и о повышении энергетической эффективности. </w:t>
      </w:r>
    </w:p>
    <w:p w:rsidR="00F32C47" w:rsidRDefault="00F32C47" w:rsidP="00F32C47">
      <w:pPr>
        <w:ind w:firstLine="720"/>
        <w:contextualSpacing/>
        <w:jc w:val="both"/>
      </w:pPr>
      <w:r>
        <w:t>В</w:t>
      </w:r>
      <w:r w:rsidRPr="0059306F">
        <w:t xml:space="preserve"> 2017 году уровень взыскания штрафов (79,5%) увеличился относительно 2016 года на 13,6% и снизился относительно 2015 года на 5,2 процента. При этом задолженность по наложенным, но не оплаченным штрафам на конец отчетного периода выросла на 3</w:t>
      </w:r>
      <w:r>
        <w:t>,</w:t>
      </w:r>
      <w:r w:rsidRPr="0059306F">
        <w:t xml:space="preserve">3 </w:t>
      </w:r>
      <w:r>
        <w:t>млн</w:t>
      </w:r>
      <w:r w:rsidRPr="0059306F">
        <w:t>. руб., или на 9,9 процента.</w:t>
      </w:r>
    </w:p>
    <w:p w:rsidR="00F32C47" w:rsidRPr="00F32C47" w:rsidRDefault="00F32C47" w:rsidP="00F32C47">
      <w:pPr>
        <w:ind w:firstLine="708"/>
        <w:jc w:val="both"/>
      </w:pPr>
      <w:r w:rsidRPr="00051765">
        <w:t>Дебиторская задолженность по доходам на 01.01.201</w:t>
      </w:r>
      <w:r>
        <w:t>8</w:t>
      </w:r>
      <w:r w:rsidRPr="00051765">
        <w:t xml:space="preserve"> составила </w:t>
      </w:r>
      <w:r>
        <w:t>36,9</w:t>
      </w:r>
      <w:r w:rsidRPr="00051765">
        <w:t xml:space="preserve"> </w:t>
      </w:r>
      <w:r>
        <w:t>млн</w:t>
      </w:r>
      <w:r w:rsidRPr="00051765">
        <w:t>. руб.</w:t>
      </w:r>
      <w:r w:rsidR="00A36D7C">
        <w:t>, а е</w:t>
      </w:r>
      <w:r>
        <w:t>е доля</w:t>
      </w:r>
      <w:r w:rsidRPr="00494F64">
        <w:t xml:space="preserve"> относительно кассового исполнения доходов в отчетном году </w:t>
      </w:r>
      <w:r w:rsidR="00A36D7C">
        <w:t>(24,1</w:t>
      </w:r>
      <w:r w:rsidR="00A36D7C" w:rsidRPr="00494F64">
        <w:t xml:space="preserve"> </w:t>
      </w:r>
      <w:r w:rsidR="00A36D7C">
        <w:t>млн</w:t>
      </w:r>
      <w:r w:rsidR="00A36D7C" w:rsidRPr="00494F64">
        <w:t>. руб</w:t>
      </w:r>
      <w:r w:rsidR="00A36D7C">
        <w:t>.)</w:t>
      </w:r>
      <w:r w:rsidR="00A36D7C" w:rsidRPr="00494F64">
        <w:t xml:space="preserve"> </w:t>
      </w:r>
      <w:r w:rsidR="00A36D7C">
        <w:t>-</w:t>
      </w:r>
      <w:r w:rsidRPr="0008479D">
        <w:t xml:space="preserve"> </w:t>
      </w:r>
      <w:r>
        <w:t>152</w:t>
      </w:r>
      <w:r w:rsidRPr="0008479D">
        <w:t xml:space="preserve">%, </w:t>
      </w:r>
      <w:r w:rsidRPr="00F32C47">
        <w:t xml:space="preserve">что свидетельствует о неудовлетворительной работе </w:t>
      </w:r>
      <w:proofErr w:type="spellStart"/>
      <w:r w:rsidRPr="00F32C47">
        <w:t>Госжилнадзора</w:t>
      </w:r>
      <w:proofErr w:type="spellEnd"/>
      <w:r w:rsidRPr="00F32C47">
        <w:t xml:space="preserve"> по администрированию </w:t>
      </w:r>
      <w:r w:rsidR="00F907C5">
        <w:t xml:space="preserve">закрепленных </w:t>
      </w:r>
      <w:r w:rsidRPr="00F32C47">
        <w:t>доходов.</w:t>
      </w:r>
    </w:p>
    <w:p w:rsidR="001418D2" w:rsidRPr="00E96486" w:rsidRDefault="001418D2" w:rsidP="001418D2">
      <w:pPr>
        <w:autoSpaceDE w:val="0"/>
        <w:autoSpaceDN w:val="0"/>
        <w:adjustRightInd w:val="0"/>
        <w:ind w:firstLine="709"/>
        <w:jc w:val="both"/>
        <w:outlineLvl w:val="2"/>
      </w:pPr>
      <w:proofErr w:type="gramStart"/>
      <w:r w:rsidRPr="00E96486">
        <w:t>Сравнительный анализ плановых и фактических показателей исполнения доходов</w:t>
      </w:r>
      <w:r>
        <w:t>, закрепленных за</w:t>
      </w:r>
      <w:r w:rsidRPr="00E96486">
        <w:t xml:space="preserve"> </w:t>
      </w:r>
      <w:r w:rsidRPr="001418D2">
        <w:rPr>
          <w:b/>
          <w:i/>
        </w:rPr>
        <w:t>комитетом молодежной политики Волгоградской области</w:t>
      </w:r>
      <w:r>
        <w:rPr>
          <w:b/>
          <w:i/>
        </w:rPr>
        <w:t>,</w:t>
      </w:r>
      <w:r>
        <w:t xml:space="preserve"> показал, что в</w:t>
      </w:r>
      <w:r w:rsidRPr="00E96486">
        <w:t xml:space="preserve"> разрезе отдельных источников доходов отклонение </w:t>
      </w:r>
      <w:r w:rsidR="00C35C93">
        <w:t xml:space="preserve">фактического </w:t>
      </w:r>
      <w:r w:rsidRPr="00E96486">
        <w:t>исполнения по отношению к прогнозным показателям превысило 10</w:t>
      </w:r>
      <w:r w:rsidR="00C35C93">
        <w:t>% (по д</w:t>
      </w:r>
      <w:r w:rsidR="00C35C93" w:rsidRPr="00E96486">
        <w:t>оход</w:t>
      </w:r>
      <w:r w:rsidR="00C35C93">
        <w:t>ам</w:t>
      </w:r>
      <w:r w:rsidR="00C35C93" w:rsidRPr="00E96486">
        <w:t xml:space="preserve"> от оказания  платных услуг (работ) и компенсации затрат</w:t>
      </w:r>
      <w:r w:rsidR="00C35C93">
        <w:t xml:space="preserve"> прогнозные поступления не выполнены</w:t>
      </w:r>
      <w:r w:rsidR="00C35C93" w:rsidRPr="00E96486">
        <w:t xml:space="preserve"> в 3,8 раза</w:t>
      </w:r>
      <w:r w:rsidR="00C35C93">
        <w:t>, ш</w:t>
      </w:r>
      <w:r w:rsidR="00C35C93" w:rsidRPr="00E96486">
        <w:t>трафы, санкции, возмещение ущерба</w:t>
      </w:r>
      <w:r w:rsidR="00C35C93">
        <w:t>, наоборот,</w:t>
      </w:r>
      <w:r w:rsidR="00C35C93" w:rsidRPr="00E96486">
        <w:t xml:space="preserve"> перевыполнены на 27,3</w:t>
      </w:r>
      <w:r w:rsidR="001E6488">
        <w:t>%)</w:t>
      </w:r>
      <w:r>
        <w:t>.</w:t>
      </w:r>
      <w:proofErr w:type="gramEnd"/>
      <w:r w:rsidRPr="00E96486">
        <w:t xml:space="preserve"> </w:t>
      </w:r>
      <w:r>
        <w:t>В</w:t>
      </w:r>
      <w:r w:rsidRPr="00E96486">
        <w:t xml:space="preserve"> соответствии со Стандартом финансового контроля </w:t>
      </w:r>
      <w:r>
        <w:t xml:space="preserve">по проведению внешних проверок бюджетной отчетности ГАБС за </w:t>
      </w:r>
      <w:r w:rsidR="00C35C93">
        <w:t>отчетный</w:t>
      </w:r>
      <w:r>
        <w:t xml:space="preserve"> год такие отклонения </w:t>
      </w:r>
      <w:r w:rsidRPr="00E96486">
        <w:t>расценива</w:t>
      </w:r>
      <w:r w:rsidR="00C35C93">
        <w:t>ю</w:t>
      </w:r>
      <w:r w:rsidRPr="00E96486">
        <w:t>тся как некачественное планирование</w:t>
      </w:r>
      <w:r>
        <w:t xml:space="preserve"> </w:t>
      </w:r>
      <w:proofErr w:type="spellStart"/>
      <w:r>
        <w:t>администрируемых</w:t>
      </w:r>
      <w:proofErr w:type="spellEnd"/>
      <w:r>
        <w:t xml:space="preserve"> доходов.</w:t>
      </w:r>
    </w:p>
    <w:p w:rsidR="001418D2" w:rsidRDefault="001418D2" w:rsidP="001418D2">
      <w:pPr>
        <w:autoSpaceDE w:val="0"/>
        <w:autoSpaceDN w:val="0"/>
        <w:adjustRightInd w:val="0"/>
        <w:ind w:firstLine="709"/>
        <w:jc w:val="both"/>
      </w:pPr>
      <w:r w:rsidRPr="00E96486">
        <w:t xml:space="preserve">Согласно информации </w:t>
      </w:r>
      <w:r>
        <w:t>к</w:t>
      </w:r>
      <w:r w:rsidRPr="00E96486">
        <w:t xml:space="preserve">омитета в связи с поступлением на счет </w:t>
      </w:r>
      <w:r>
        <w:t>к</w:t>
      </w:r>
      <w:r w:rsidRPr="00E96486">
        <w:t>омитета доходов (штрафов) после 23.12.2017</w:t>
      </w:r>
      <w:r>
        <w:t>, т. е.</w:t>
      </w:r>
      <w:r w:rsidRPr="00E96486">
        <w:t xml:space="preserve"> после внесения </w:t>
      </w:r>
      <w:r>
        <w:t>последних поправок</w:t>
      </w:r>
      <w:r w:rsidRPr="00E96486">
        <w:t xml:space="preserve"> в </w:t>
      </w:r>
      <w:r>
        <w:t>з</w:t>
      </w:r>
      <w:r w:rsidRPr="00E96486">
        <w:t xml:space="preserve">акон об областном бюджете </w:t>
      </w:r>
      <w:r>
        <w:t>(</w:t>
      </w:r>
      <w:r w:rsidRPr="00E96486">
        <w:t>29.11.2017)</w:t>
      </w:r>
      <w:r>
        <w:t>,</w:t>
      </w:r>
      <w:r w:rsidRPr="00E96486">
        <w:t xml:space="preserve"> предлож</w:t>
      </w:r>
      <w:r>
        <w:t xml:space="preserve">ения по корректировке доходов в </w:t>
      </w:r>
      <w:proofErr w:type="spellStart"/>
      <w:r>
        <w:t>Облфин</w:t>
      </w:r>
      <w:proofErr w:type="spellEnd"/>
      <w:r>
        <w:t xml:space="preserve"> </w:t>
      </w:r>
      <w:r w:rsidRPr="00E96486">
        <w:t>не направлялись.</w:t>
      </w:r>
    </w:p>
    <w:p w:rsidR="00043220" w:rsidRDefault="0032332C" w:rsidP="00F24008">
      <w:pPr>
        <w:autoSpaceDE w:val="0"/>
        <w:autoSpaceDN w:val="0"/>
        <w:adjustRightInd w:val="0"/>
        <w:ind w:firstLine="709"/>
        <w:jc w:val="both"/>
      </w:pPr>
      <w:r>
        <w:t xml:space="preserve">Проверками также установлены недостатки </w:t>
      </w:r>
      <w:r w:rsidR="00043220">
        <w:t xml:space="preserve">организации работы по </w:t>
      </w:r>
      <w:r>
        <w:t>администрировани</w:t>
      </w:r>
      <w:r w:rsidR="00043220">
        <w:t>ю</w:t>
      </w:r>
      <w:r>
        <w:t xml:space="preserve"> доходов, допущенные непосредственно </w:t>
      </w:r>
      <w:r w:rsidRPr="004C7FBC">
        <w:rPr>
          <w:b/>
          <w:i/>
        </w:rPr>
        <w:t>комитетом финансов Волгоградской области</w:t>
      </w:r>
      <w:r>
        <w:t xml:space="preserve"> (далее </w:t>
      </w:r>
      <w:proofErr w:type="spellStart"/>
      <w:r>
        <w:t>Облфин</w:t>
      </w:r>
      <w:proofErr w:type="spellEnd"/>
      <w:r>
        <w:t>), как органом, организующим исполнение областного бюджета</w:t>
      </w:r>
      <w:r w:rsidR="00043220">
        <w:t xml:space="preserve">. </w:t>
      </w:r>
    </w:p>
    <w:p w:rsidR="0032332C" w:rsidRDefault="00043220" w:rsidP="00F24008">
      <w:pPr>
        <w:autoSpaceDE w:val="0"/>
        <w:autoSpaceDN w:val="0"/>
        <w:adjustRightInd w:val="0"/>
        <w:ind w:firstLine="709"/>
        <w:jc w:val="both"/>
      </w:pPr>
      <w:r>
        <w:t xml:space="preserve">Так, </w:t>
      </w:r>
      <w:r w:rsidR="0032332C">
        <w:t>плановые назначения по доход</w:t>
      </w:r>
      <w:r w:rsidR="00F77F43">
        <w:t>а</w:t>
      </w:r>
      <w:r w:rsidR="0032332C">
        <w:t>м доводятся главным администраторам не по всем закрепленным за ними видам доходов.</w:t>
      </w:r>
    </w:p>
    <w:p w:rsidR="0032332C" w:rsidRPr="00582B88" w:rsidRDefault="0032332C" w:rsidP="00F24008">
      <w:pPr>
        <w:autoSpaceDE w:val="0"/>
        <w:autoSpaceDN w:val="0"/>
        <w:adjustRightInd w:val="0"/>
        <w:ind w:firstLine="709"/>
        <w:jc w:val="both"/>
      </w:pPr>
      <w:r>
        <w:t xml:space="preserve">Например, </w:t>
      </w:r>
      <w:r w:rsidRPr="00BF252C">
        <w:t>комитету по обеспечению безопасности жизнедеятельности населения Волгоградской области</w:t>
      </w:r>
      <w:r>
        <w:t xml:space="preserve"> не были доведены бюджетные назначения на 2017 год по двум видам </w:t>
      </w:r>
      <w:proofErr w:type="spellStart"/>
      <w:r>
        <w:t>администрируемых</w:t>
      </w:r>
      <w:proofErr w:type="spellEnd"/>
      <w:r>
        <w:t xml:space="preserve"> доходов: от сдачи  в аренду имущества (фактические поступления составили 46 тыс. руб.) и от реализации имущества, находящегося в оперативном управлении (40,8 тыс. руб.). При этом необходимо отметить, что комитет обращался в</w:t>
      </w:r>
      <w:r w:rsidR="004C7FBC">
        <w:t xml:space="preserve"> </w:t>
      </w:r>
      <w:proofErr w:type="spellStart"/>
      <w:r w:rsidR="004C7FBC">
        <w:t>Облфин</w:t>
      </w:r>
      <w:proofErr w:type="spellEnd"/>
      <w:r w:rsidR="004C7FBC">
        <w:t xml:space="preserve"> (письмо от 10.11.2017 №32/05-3973) по вопросу необходимости уточнения прогноза поступлений в областной бюджет </w:t>
      </w:r>
      <w:proofErr w:type="spellStart"/>
      <w:r w:rsidR="004C7FBC">
        <w:t>администрируемых</w:t>
      </w:r>
      <w:proofErr w:type="spellEnd"/>
      <w:r w:rsidR="004C7FBC">
        <w:t xml:space="preserve"> комитетом налоговых и неналоговых доходов на 2017 год. Однако </w:t>
      </w:r>
      <w:proofErr w:type="spellStart"/>
      <w:r w:rsidR="004C7FBC">
        <w:t>Облфин</w:t>
      </w:r>
      <w:r w:rsidR="0076653C">
        <w:t>ом</w:t>
      </w:r>
      <w:proofErr w:type="spellEnd"/>
      <w:r w:rsidR="004C7FBC">
        <w:t xml:space="preserve"> не </w:t>
      </w:r>
      <w:r w:rsidR="0076653C">
        <w:t>было пред</w:t>
      </w:r>
      <w:r w:rsidR="004C7FBC">
        <w:t>приня</w:t>
      </w:r>
      <w:r w:rsidR="0076653C">
        <w:t>то</w:t>
      </w:r>
      <w:r w:rsidR="004C7FBC">
        <w:t xml:space="preserve"> необходимых действий по уточнению планового показателя по доходам.</w:t>
      </w:r>
      <w:r w:rsidR="00814D06">
        <w:t xml:space="preserve"> </w:t>
      </w:r>
      <w:proofErr w:type="gramStart"/>
      <w:r w:rsidR="00814D06">
        <w:t>Аналогичные случаи установлен</w:t>
      </w:r>
      <w:r w:rsidR="0020379C">
        <w:t xml:space="preserve">ы в комитете по подготовке и проведению матчей чемпионата мира по </w:t>
      </w:r>
      <w:r w:rsidR="0020379C">
        <w:lastRenderedPageBreak/>
        <w:t xml:space="preserve">футболу 2018 года, </w:t>
      </w:r>
      <w:r w:rsidR="009B1499">
        <w:t xml:space="preserve">которому не были доведены плановые показатели по строке «Прочие доходы от компенсации затрат бюджетов субъектов РФ», несмотря на то, </w:t>
      </w:r>
      <w:r w:rsidR="009B1499" w:rsidRPr="00582B88">
        <w:t xml:space="preserve">что комитет </w:t>
      </w:r>
      <w:r w:rsidR="00AD5DA2" w:rsidRPr="00582B88">
        <w:t xml:space="preserve">также </w:t>
      </w:r>
      <w:r w:rsidR="009B1499" w:rsidRPr="00582B88">
        <w:t xml:space="preserve">направлял в </w:t>
      </w:r>
      <w:proofErr w:type="spellStart"/>
      <w:r w:rsidR="009B1499" w:rsidRPr="00582B88">
        <w:t>Облфин</w:t>
      </w:r>
      <w:proofErr w:type="spellEnd"/>
      <w:r w:rsidR="009B1499" w:rsidRPr="00582B88">
        <w:t xml:space="preserve"> соответствующее письмо, </w:t>
      </w:r>
      <w:r w:rsidR="00B96E28">
        <w:t xml:space="preserve">в </w:t>
      </w:r>
      <w:r w:rsidR="00E22611">
        <w:t>комитете по труду и занятости населения</w:t>
      </w:r>
      <w:r w:rsidR="00AA03C8">
        <w:t xml:space="preserve"> </w:t>
      </w:r>
      <w:r w:rsidR="00E22611">
        <w:t>и в</w:t>
      </w:r>
      <w:r w:rsidR="00F77F43">
        <w:t>о многих</w:t>
      </w:r>
      <w:r w:rsidR="00E22611">
        <w:t xml:space="preserve"> других комитет</w:t>
      </w:r>
      <w:r w:rsidR="00F77F43">
        <w:t>ах</w:t>
      </w:r>
      <w:r w:rsidR="00E22611">
        <w:t>.</w:t>
      </w:r>
      <w:r w:rsidRPr="00582B88">
        <w:t xml:space="preserve">  </w:t>
      </w:r>
      <w:proofErr w:type="gramEnd"/>
    </w:p>
    <w:p w:rsidR="002A2D31" w:rsidRDefault="00043220" w:rsidP="00F24008">
      <w:pPr>
        <w:autoSpaceDE w:val="0"/>
        <w:autoSpaceDN w:val="0"/>
        <w:adjustRightInd w:val="0"/>
        <w:ind w:firstLine="709"/>
        <w:jc w:val="both"/>
      </w:pPr>
      <w:r>
        <w:t>В</w:t>
      </w:r>
      <w:r w:rsidR="0032332C">
        <w:t xml:space="preserve"> течение финансового года не производятся корректировки бюджетных назначений по закрепленным за администраторами видам доходов, </w:t>
      </w:r>
      <w:r w:rsidR="002A2D31">
        <w:t>хотя</w:t>
      </w:r>
      <w:r w:rsidR="00AD4739">
        <w:t>, как правило,</w:t>
      </w:r>
      <w:r w:rsidR="002A2D31">
        <w:t xml:space="preserve"> комитеты обращаются в </w:t>
      </w:r>
      <w:proofErr w:type="spellStart"/>
      <w:r w:rsidR="002A2D31">
        <w:t>Облфин</w:t>
      </w:r>
      <w:proofErr w:type="spellEnd"/>
      <w:r w:rsidR="002A2D31">
        <w:t xml:space="preserve"> с просьбой уточнить первоначально доведенные показатели.</w:t>
      </w:r>
    </w:p>
    <w:p w:rsidR="00AD4739" w:rsidRPr="00DF6C64" w:rsidRDefault="00AD4739" w:rsidP="00F24008">
      <w:pPr>
        <w:autoSpaceDE w:val="0"/>
        <w:autoSpaceDN w:val="0"/>
        <w:adjustRightInd w:val="0"/>
        <w:ind w:firstLine="709"/>
        <w:jc w:val="both"/>
      </w:pPr>
      <w:r w:rsidRPr="00AD4739">
        <w:t>Например,</w:t>
      </w:r>
      <w:r>
        <w:t xml:space="preserve"> плановые показатели по доходам, </w:t>
      </w:r>
      <w:proofErr w:type="spellStart"/>
      <w:r>
        <w:t>администрируемым</w:t>
      </w:r>
      <w:proofErr w:type="spellEnd"/>
      <w:r>
        <w:t xml:space="preserve"> </w:t>
      </w:r>
      <w:r w:rsidRPr="00BF252C">
        <w:t>комитетом по управлению государственным имуществом Волгоградской области,</w:t>
      </w:r>
      <w:r>
        <w:t xml:space="preserve"> перевыполнены </w:t>
      </w:r>
      <w:r w:rsidR="005F2018">
        <w:t xml:space="preserve">в 2017 году </w:t>
      </w:r>
      <w:r>
        <w:t xml:space="preserve">на 30,9 млн. руб., или на 23,5 процента. При этом комитет обращался в </w:t>
      </w:r>
      <w:proofErr w:type="spellStart"/>
      <w:r>
        <w:t>Облфин</w:t>
      </w:r>
      <w:proofErr w:type="spellEnd"/>
      <w:r>
        <w:t xml:space="preserve"> с </w:t>
      </w:r>
      <w:r w:rsidR="00A81CCB">
        <w:t>просьбой</w:t>
      </w:r>
      <w:r>
        <w:t xml:space="preserve"> корректировк</w:t>
      </w:r>
      <w:r w:rsidR="00A81CCB">
        <w:t>и</w:t>
      </w:r>
      <w:r>
        <w:t xml:space="preserve"> прогнозных назначений по доходам (письмо от 14.09.2017 №21-10/19404)</w:t>
      </w:r>
      <w:r w:rsidR="008A3757">
        <w:t>,</w:t>
      </w:r>
      <w:r>
        <w:t xml:space="preserve"> </w:t>
      </w:r>
      <w:r w:rsidR="008A3757">
        <w:t>о</w:t>
      </w:r>
      <w:r>
        <w:t xml:space="preserve">днако соответствующие изменения не были внесены. </w:t>
      </w:r>
      <w:r w:rsidR="00DF6C64" w:rsidRPr="008A3757">
        <w:t xml:space="preserve">Аналогичные обращения направлялись в </w:t>
      </w:r>
      <w:proofErr w:type="spellStart"/>
      <w:r w:rsidR="00DF6C64" w:rsidRPr="008A3757">
        <w:t>Облфин</w:t>
      </w:r>
      <w:proofErr w:type="spellEnd"/>
      <w:r w:rsidR="00DF6C64" w:rsidRPr="008A3757">
        <w:t xml:space="preserve"> комитетом здравоохранения Волгоградской области, </w:t>
      </w:r>
      <w:r w:rsidR="008A3757">
        <w:t>комитетом образования и науки</w:t>
      </w:r>
      <w:r w:rsidR="009D5AA6">
        <w:t>, комитетом социальной защиты населения</w:t>
      </w:r>
      <w:r w:rsidR="008A3757">
        <w:t xml:space="preserve"> и рядом других главных администраторов доходов.</w:t>
      </w:r>
      <w:r w:rsidRPr="00DF6C64">
        <w:rPr>
          <w:color w:val="FF0000"/>
        </w:rPr>
        <w:t xml:space="preserve"> </w:t>
      </w:r>
      <w:r w:rsidR="00DF6C64">
        <w:t>Во всех случаях корректировки не были произведены, в результате отдельные виды доходов исполнены с</w:t>
      </w:r>
      <w:r w:rsidR="009D5AA6">
        <w:t>о значительными</w:t>
      </w:r>
      <w:r w:rsidR="00DF6C64">
        <w:t xml:space="preserve"> отклонениями от плановых назначений </w:t>
      </w:r>
      <w:r w:rsidR="009D5AA6">
        <w:t>(</w:t>
      </w:r>
      <w:r w:rsidR="00DF6C64">
        <w:t>более чем на 10</w:t>
      </w:r>
      <w:r w:rsidR="009D5AA6">
        <w:t>%)</w:t>
      </w:r>
      <w:r w:rsidR="00FB4168">
        <w:t>.</w:t>
      </w:r>
      <w:r w:rsidR="00DF6C64">
        <w:t xml:space="preserve"> </w:t>
      </w:r>
    </w:p>
    <w:p w:rsidR="005369E4" w:rsidRPr="00AD4739" w:rsidRDefault="00A81CCB" w:rsidP="00F24008">
      <w:pPr>
        <w:autoSpaceDE w:val="0"/>
        <w:autoSpaceDN w:val="0"/>
        <w:adjustRightInd w:val="0"/>
        <w:ind w:firstLine="709"/>
        <w:jc w:val="both"/>
      </w:pPr>
      <w:r>
        <w:t>Вместе с тем с</w:t>
      </w:r>
      <w:r w:rsidR="005369E4">
        <w:t>огласно Стандарту финансового контроля по проведению внешней проверки бюджетной отчетности главных администраторов бюджетных средств, утвержденному постановлением коллегии КСП от 30.09.20</w:t>
      </w:r>
      <w:r w:rsidR="006F7675">
        <w:t>1</w:t>
      </w:r>
      <w:r w:rsidR="005369E4">
        <w:t xml:space="preserve">8 №37, </w:t>
      </w:r>
      <w:r w:rsidR="000844A2">
        <w:t xml:space="preserve">отклонение </w:t>
      </w:r>
      <w:r w:rsidR="005369E4">
        <w:t>фактического исполнения по доходам от их прогноз</w:t>
      </w:r>
      <w:r>
        <w:t>ируемых</w:t>
      </w:r>
      <w:r w:rsidR="005369E4">
        <w:t xml:space="preserve"> по</w:t>
      </w:r>
      <w:r>
        <w:t>казателей</w:t>
      </w:r>
      <w:r w:rsidR="005369E4">
        <w:t xml:space="preserve"> </w:t>
      </w:r>
      <w:r w:rsidR="000844A2">
        <w:t>более чем на</w:t>
      </w:r>
      <w:r w:rsidR="005369E4">
        <w:t xml:space="preserve"> 10% как в положительную, так и в отрицательную сторону расценивается как некачественное планирование.</w:t>
      </w:r>
      <w:r w:rsidR="00ED5312">
        <w:t xml:space="preserve"> В</w:t>
      </w:r>
      <w:r w:rsidR="005369E4">
        <w:t xml:space="preserve"> вышеприведенн</w:t>
      </w:r>
      <w:r w:rsidR="000844A2">
        <w:t>ых</w:t>
      </w:r>
      <w:r w:rsidR="005369E4">
        <w:t xml:space="preserve"> пример</w:t>
      </w:r>
      <w:r w:rsidR="000844A2">
        <w:t>ах</w:t>
      </w:r>
      <w:r w:rsidR="005369E4">
        <w:t xml:space="preserve"> было бы некорректно предъявить претензии по некачественному планированию </w:t>
      </w:r>
      <w:proofErr w:type="spellStart"/>
      <w:r w:rsidR="005369E4">
        <w:t>администрируемых</w:t>
      </w:r>
      <w:proofErr w:type="spellEnd"/>
      <w:r w:rsidR="005369E4">
        <w:t xml:space="preserve"> доходов к</w:t>
      </w:r>
      <w:r w:rsidR="000844A2">
        <w:t xml:space="preserve"> главным администраторам доходов</w:t>
      </w:r>
      <w:r w:rsidR="005369E4">
        <w:t>, так как со своей</w:t>
      </w:r>
      <w:r w:rsidR="00C6612C">
        <w:t xml:space="preserve"> </w:t>
      </w:r>
      <w:r w:rsidR="005369E4">
        <w:t xml:space="preserve">стороны </w:t>
      </w:r>
      <w:r w:rsidR="00C6612C">
        <w:t>он</w:t>
      </w:r>
      <w:r w:rsidR="000844A2">
        <w:t>и</w:t>
      </w:r>
      <w:r w:rsidR="00C6612C">
        <w:t xml:space="preserve"> </w:t>
      </w:r>
      <w:r w:rsidR="005369E4">
        <w:t>предприня</w:t>
      </w:r>
      <w:r w:rsidR="00C6612C">
        <w:t>л</w:t>
      </w:r>
      <w:r w:rsidR="000844A2">
        <w:t>и</w:t>
      </w:r>
      <w:r w:rsidR="005369E4">
        <w:t xml:space="preserve"> все зависящие от </w:t>
      </w:r>
      <w:r w:rsidR="000844A2">
        <w:t>них</w:t>
      </w:r>
      <w:r w:rsidR="005369E4">
        <w:t xml:space="preserve"> меры для </w:t>
      </w:r>
      <w:r w:rsidR="00ED5312">
        <w:t xml:space="preserve">своевременно </w:t>
      </w:r>
      <w:r w:rsidR="005369E4">
        <w:t>корректировки</w:t>
      </w:r>
      <w:r w:rsidR="000844A2">
        <w:t xml:space="preserve"> прогнозных показателей</w:t>
      </w:r>
      <w:r w:rsidR="005369E4">
        <w:t>.</w:t>
      </w:r>
    </w:p>
    <w:p w:rsidR="0032332C" w:rsidRDefault="002A2D31" w:rsidP="00F24008">
      <w:pPr>
        <w:autoSpaceDE w:val="0"/>
        <w:autoSpaceDN w:val="0"/>
        <w:adjustRightInd w:val="0"/>
        <w:ind w:firstLine="709"/>
        <w:jc w:val="both"/>
      </w:pPr>
      <w:r w:rsidRPr="00C762C9">
        <w:rPr>
          <w:u w:val="single"/>
        </w:rPr>
        <w:t>Пере</w:t>
      </w:r>
      <w:r w:rsidR="0032332C" w:rsidRPr="00C762C9">
        <w:rPr>
          <w:u w:val="single"/>
        </w:rPr>
        <w:t>ч</w:t>
      </w:r>
      <w:r w:rsidRPr="00C762C9">
        <w:rPr>
          <w:u w:val="single"/>
        </w:rPr>
        <w:t>исленные недостатки</w:t>
      </w:r>
      <w:r w:rsidR="0032332C" w:rsidRPr="00C762C9">
        <w:rPr>
          <w:u w:val="single"/>
        </w:rPr>
        <w:t xml:space="preserve"> привод</w:t>
      </w:r>
      <w:r w:rsidRPr="00C762C9">
        <w:rPr>
          <w:u w:val="single"/>
        </w:rPr>
        <w:t>я</w:t>
      </w:r>
      <w:r w:rsidR="0032332C" w:rsidRPr="00C762C9">
        <w:rPr>
          <w:u w:val="single"/>
        </w:rPr>
        <w:t xml:space="preserve">т к невозможности объективной оценки выполнения </w:t>
      </w:r>
      <w:r w:rsidRPr="00C762C9">
        <w:rPr>
          <w:u w:val="single"/>
        </w:rPr>
        <w:t xml:space="preserve">главными администраторами </w:t>
      </w:r>
      <w:r w:rsidR="0032332C" w:rsidRPr="00C762C9">
        <w:rPr>
          <w:u w:val="single"/>
        </w:rPr>
        <w:t xml:space="preserve">плановых показателей по </w:t>
      </w:r>
      <w:r w:rsidRPr="00C762C9">
        <w:rPr>
          <w:u w:val="single"/>
        </w:rPr>
        <w:t xml:space="preserve">закрепленным за ними </w:t>
      </w:r>
      <w:r w:rsidR="0032332C" w:rsidRPr="00C762C9">
        <w:rPr>
          <w:u w:val="single"/>
        </w:rPr>
        <w:t>доходам</w:t>
      </w:r>
      <w:r w:rsidR="00034B23" w:rsidRPr="00C762C9">
        <w:rPr>
          <w:u w:val="single"/>
        </w:rPr>
        <w:t xml:space="preserve"> и снижают уровень финансовой дисциплины участников бюджетного процесса Волгоградской области</w:t>
      </w:r>
      <w:r w:rsidR="0082620C">
        <w:rPr>
          <w:u w:val="single"/>
        </w:rPr>
        <w:t xml:space="preserve"> </w:t>
      </w:r>
      <w:r w:rsidR="0082620C" w:rsidRPr="00C762C9">
        <w:rPr>
          <w:u w:val="single"/>
        </w:rPr>
        <w:t>в целом</w:t>
      </w:r>
      <w:r w:rsidR="00034B23">
        <w:t>.</w:t>
      </w:r>
    </w:p>
    <w:p w:rsidR="002A2D31" w:rsidRDefault="002A2D31" w:rsidP="00F24008">
      <w:pPr>
        <w:autoSpaceDE w:val="0"/>
        <w:autoSpaceDN w:val="0"/>
        <w:adjustRightInd w:val="0"/>
        <w:ind w:firstLine="709"/>
        <w:jc w:val="both"/>
      </w:pPr>
    </w:p>
    <w:p w:rsidR="00611A15" w:rsidRPr="0049688A" w:rsidRDefault="00611A15" w:rsidP="00611A15">
      <w:pPr>
        <w:ind w:left="2832"/>
      </w:pPr>
      <w:r w:rsidRPr="0049688A">
        <w:rPr>
          <w:b/>
        </w:rPr>
        <w:t>4. Расходы областного бюджета</w:t>
      </w:r>
      <w:r w:rsidR="00AE0E07">
        <w:rPr>
          <w:b/>
        </w:rPr>
        <w:t xml:space="preserve"> за 20</w:t>
      </w:r>
      <w:r w:rsidR="00FB67D9">
        <w:rPr>
          <w:b/>
        </w:rPr>
        <w:t>1</w:t>
      </w:r>
      <w:r w:rsidR="0083781D">
        <w:rPr>
          <w:b/>
        </w:rPr>
        <w:t>7</w:t>
      </w:r>
      <w:r w:rsidR="00AE0E07">
        <w:rPr>
          <w:b/>
        </w:rPr>
        <w:t xml:space="preserve"> </w:t>
      </w:r>
      <w:r>
        <w:rPr>
          <w:b/>
        </w:rPr>
        <w:t>год</w:t>
      </w:r>
      <w:r w:rsidRPr="0049688A">
        <w:rPr>
          <w:b/>
        </w:rPr>
        <w:t>.</w:t>
      </w:r>
    </w:p>
    <w:p w:rsidR="00611A15" w:rsidRDefault="00611A15" w:rsidP="00611A15">
      <w:pPr>
        <w:ind w:left="3960"/>
        <w:jc w:val="center"/>
      </w:pPr>
    </w:p>
    <w:p w:rsidR="00095117" w:rsidRDefault="00611A15" w:rsidP="00B74653">
      <w:pPr>
        <w:pStyle w:val="a3"/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>Расходы областного бюджета за 20</w:t>
      </w:r>
      <w:r w:rsidR="00CB16D8">
        <w:rPr>
          <w:rFonts w:ascii="Times New Roman" w:hAnsi="Times New Roman"/>
        </w:rPr>
        <w:t>1</w:t>
      </w:r>
      <w:r w:rsidR="0083781D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год исполнены на </w:t>
      </w:r>
      <w:r w:rsidR="002423C0">
        <w:rPr>
          <w:rFonts w:ascii="Times New Roman" w:hAnsi="Times New Roman"/>
        </w:rPr>
        <w:t>86574,4 млн. руб.</w:t>
      </w:r>
      <w:r>
        <w:rPr>
          <w:rFonts w:ascii="Times New Roman" w:hAnsi="Times New Roman"/>
        </w:rPr>
        <w:t xml:space="preserve">, или на </w:t>
      </w:r>
      <w:r w:rsidR="002423C0">
        <w:rPr>
          <w:rFonts w:ascii="Times New Roman" w:hAnsi="Times New Roman"/>
        </w:rPr>
        <w:t>98,7</w:t>
      </w:r>
      <w:r w:rsidR="007C180D">
        <w:rPr>
          <w:rFonts w:ascii="Times New Roman" w:hAnsi="Times New Roman"/>
        </w:rPr>
        <w:t>%</w:t>
      </w:r>
      <w:r>
        <w:rPr>
          <w:rFonts w:ascii="Times New Roman" w:hAnsi="Times New Roman"/>
        </w:rPr>
        <w:t xml:space="preserve"> от уточненных ассигнований</w:t>
      </w:r>
      <w:r w:rsidR="00E327D8">
        <w:rPr>
          <w:rFonts w:ascii="Times New Roman" w:hAnsi="Times New Roman"/>
        </w:rPr>
        <w:t>, утвержденных в законе о бюджете.</w:t>
      </w:r>
      <w:r>
        <w:rPr>
          <w:rFonts w:ascii="Times New Roman" w:hAnsi="Times New Roman"/>
        </w:rPr>
        <w:t xml:space="preserve"> </w:t>
      </w:r>
    </w:p>
    <w:p w:rsidR="009027C3" w:rsidRDefault="008D2A36" w:rsidP="00B74653">
      <w:pPr>
        <w:pStyle w:val="a3"/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>П</w:t>
      </w:r>
      <w:r w:rsidR="00611A15">
        <w:rPr>
          <w:rFonts w:ascii="Times New Roman" w:hAnsi="Times New Roman"/>
        </w:rPr>
        <w:t xml:space="preserve">о разделам функциональной классификации </w:t>
      </w:r>
      <w:r w:rsidR="00605FC0">
        <w:rPr>
          <w:rFonts w:ascii="Times New Roman" w:hAnsi="Times New Roman"/>
        </w:rPr>
        <w:t xml:space="preserve">расходов областного бюджета </w:t>
      </w:r>
      <w:r>
        <w:rPr>
          <w:rFonts w:ascii="Times New Roman" w:hAnsi="Times New Roman"/>
        </w:rPr>
        <w:t>исполнение сложилось следующим образом</w:t>
      </w:r>
      <w:r w:rsidR="00611A15">
        <w:rPr>
          <w:rFonts w:ascii="Times New Roman" w:hAnsi="Times New Roman"/>
        </w:rPr>
        <w:t>:</w:t>
      </w:r>
    </w:p>
    <w:p w:rsidR="005312EA" w:rsidRPr="00BB39AE" w:rsidRDefault="003612DB" w:rsidP="003612DB">
      <w:pPr>
        <w:jc w:val="right"/>
        <w:rPr>
          <w:sz w:val="20"/>
        </w:rPr>
      </w:pPr>
      <w:r w:rsidRPr="00BB39AE">
        <w:rPr>
          <w:sz w:val="20"/>
        </w:rPr>
        <w:t>млн. руб.</w:t>
      </w:r>
    </w:p>
    <w:tbl>
      <w:tblPr>
        <w:tblW w:w="9781" w:type="dxa"/>
        <w:tblInd w:w="-34" w:type="dxa"/>
        <w:tblLayout w:type="fixed"/>
        <w:tblLook w:val="04A0"/>
      </w:tblPr>
      <w:tblGrid>
        <w:gridCol w:w="620"/>
        <w:gridCol w:w="3491"/>
        <w:gridCol w:w="1049"/>
        <w:gridCol w:w="936"/>
        <w:gridCol w:w="1079"/>
        <w:gridCol w:w="905"/>
        <w:gridCol w:w="993"/>
        <w:gridCol w:w="708"/>
      </w:tblGrid>
      <w:tr w:rsidR="005312EA" w:rsidRPr="004D4F42" w:rsidTr="003612DB">
        <w:trPr>
          <w:trHeight w:val="371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5312EA" w:rsidRPr="004D4F42" w:rsidRDefault="005312EA" w:rsidP="00A31BC6">
            <w:pPr>
              <w:jc w:val="center"/>
              <w:rPr>
                <w:b/>
                <w:i/>
                <w:color w:val="000000"/>
                <w:sz w:val="20"/>
              </w:rPr>
            </w:pPr>
            <w:r w:rsidRPr="004D4F42">
              <w:rPr>
                <w:b/>
                <w:i/>
                <w:color w:val="000000"/>
                <w:sz w:val="20"/>
              </w:rPr>
              <w:t>Код</w:t>
            </w:r>
          </w:p>
        </w:tc>
        <w:tc>
          <w:tcPr>
            <w:tcW w:w="3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5312EA" w:rsidRPr="004D4F42" w:rsidRDefault="005312EA" w:rsidP="00A31BC6">
            <w:pPr>
              <w:jc w:val="center"/>
              <w:rPr>
                <w:b/>
                <w:i/>
                <w:color w:val="000000"/>
                <w:sz w:val="20"/>
              </w:rPr>
            </w:pPr>
            <w:r w:rsidRPr="004D4F42">
              <w:rPr>
                <w:b/>
                <w:i/>
                <w:color w:val="000000"/>
                <w:sz w:val="20"/>
              </w:rPr>
              <w:t>Раздел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/>
            <w:vAlign w:val="center"/>
            <w:hideMark/>
          </w:tcPr>
          <w:p w:rsidR="005312EA" w:rsidRPr="004D4F42" w:rsidRDefault="005312EA" w:rsidP="00A31BC6">
            <w:pPr>
              <w:jc w:val="center"/>
              <w:rPr>
                <w:b/>
                <w:i/>
                <w:color w:val="000000"/>
                <w:sz w:val="20"/>
              </w:rPr>
            </w:pPr>
            <w:r w:rsidRPr="004D4F42">
              <w:rPr>
                <w:b/>
                <w:i/>
                <w:color w:val="000000"/>
                <w:sz w:val="20"/>
              </w:rPr>
              <w:t>Утверждено бюджетом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/>
            <w:vAlign w:val="center"/>
            <w:hideMark/>
          </w:tcPr>
          <w:p w:rsidR="005312EA" w:rsidRPr="004D4F42" w:rsidRDefault="005312EA" w:rsidP="00A31BC6">
            <w:pPr>
              <w:jc w:val="center"/>
              <w:rPr>
                <w:b/>
                <w:i/>
                <w:color w:val="000000"/>
                <w:sz w:val="20"/>
              </w:rPr>
            </w:pPr>
            <w:r w:rsidRPr="004D4F42">
              <w:rPr>
                <w:b/>
                <w:i/>
                <w:color w:val="000000"/>
                <w:sz w:val="20"/>
              </w:rPr>
              <w:t>Фактически исполнено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/>
            <w:vAlign w:val="center"/>
            <w:hideMark/>
          </w:tcPr>
          <w:p w:rsidR="005312EA" w:rsidRPr="004D4F42" w:rsidRDefault="005312EA" w:rsidP="00A31BC6">
            <w:pPr>
              <w:jc w:val="center"/>
              <w:rPr>
                <w:b/>
                <w:i/>
                <w:color w:val="000000"/>
                <w:sz w:val="20"/>
              </w:rPr>
            </w:pPr>
            <w:r w:rsidRPr="004D4F42">
              <w:rPr>
                <w:b/>
                <w:i/>
                <w:color w:val="000000"/>
                <w:sz w:val="20"/>
              </w:rPr>
              <w:t>Отклонение</w:t>
            </w:r>
          </w:p>
        </w:tc>
      </w:tr>
      <w:tr w:rsidR="005312EA" w:rsidRPr="004D4F42" w:rsidTr="003612DB">
        <w:trPr>
          <w:trHeight w:val="334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5312EA" w:rsidRPr="004D4F42" w:rsidRDefault="005312EA" w:rsidP="00A31BC6">
            <w:pPr>
              <w:rPr>
                <w:color w:val="000000"/>
                <w:szCs w:val="24"/>
              </w:rPr>
            </w:pPr>
          </w:p>
        </w:tc>
        <w:tc>
          <w:tcPr>
            <w:tcW w:w="3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5312EA" w:rsidRPr="004D4F42" w:rsidRDefault="005312EA" w:rsidP="00A31BC6">
            <w:pPr>
              <w:rPr>
                <w:color w:val="000000"/>
                <w:szCs w:val="2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5312EA" w:rsidRPr="004D4F42" w:rsidRDefault="005312EA" w:rsidP="00A31BC6">
            <w:pPr>
              <w:jc w:val="center"/>
              <w:rPr>
                <w:color w:val="000000"/>
                <w:sz w:val="20"/>
              </w:rPr>
            </w:pPr>
            <w:r w:rsidRPr="004D4F42">
              <w:rPr>
                <w:color w:val="000000"/>
                <w:sz w:val="20"/>
              </w:rPr>
              <w:t>сумма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5312EA" w:rsidRPr="004D4F42" w:rsidRDefault="005312EA" w:rsidP="00A31BC6">
            <w:pPr>
              <w:jc w:val="center"/>
              <w:rPr>
                <w:color w:val="000000"/>
                <w:sz w:val="20"/>
              </w:rPr>
            </w:pPr>
            <w:r w:rsidRPr="004D4F42">
              <w:rPr>
                <w:color w:val="000000"/>
                <w:sz w:val="20"/>
              </w:rPr>
              <w:t>доля, %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5312EA" w:rsidRPr="004D4F42" w:rsidRDefault="00535D3C" w:rsidP="00A31BC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</w:t>
            </w:r>
            <w:r w:rsidR="005312EA" w:rsidRPr="004D4F42">
              <w:rPr>
                <w:color w:val="000000"/>
                <w:sz w:val="20"/>
              </w:rPr>
              <w:t>умма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5312EA" w:rsidRPr="004D4F42" w:rsidRDefault="005312EA" w:rsidP="00A31BC6">
            <w:pPr>
              <w:jc w:val="center"/>
              <w:rPr>
                <w:color w:val="000000"/>
                <w:sz w:val="20"/>
              </w:rPr>
            </w:pPr>
            <w:r w:rsidRPr="004D4F42">
              <w:rPr>
                <w:color w:val="000000"/>
                <w:sz w:val="20"/>
              </w:rPr>
              <w:t>доля, 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5312EA" w:rsidRPr="004D4F42" w:rsidRDefault="005312EA" w:rsidP="00A31BC6">
            <w:pPr>
              <w:jc w:val="center"/>
              <w:rPr>
                <w:color w:val="000000"/>
                <w:sz w:val="20"/>
              </w:rPr>
            </w:pPr>
            <w:r w:rsidRPr="004D4F42">
              <w:rPr>
                <w:color w:val="000000"/>
                <w:sz w:val="20"/>
              </w:rPr>
              <w:t>сумма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5312EA" w:rsidRPr="004D4F42" w:rsidRDefault="005312EA" w:rsidP="00A31BC6">
            <w:pPr>
              <w:jc w:val="center"/>
              <w:rPr>
                <w:color w:val="000000"/>
                <w:sz w:val="20"/>
              </w:rPr>
            </w:pPr>
            <w:r w:rsidRPr="004D4F42">
              <w:rPr>
                <w:color w:val="000000"/>
                <w:sz w:val="20"/>
              </w:rPr>
              <w:t>%</w:t>
            </w:r>
          </w:p>
        </w:tc>
      </w:tr>
      <w:tr w:rsidR="005312EA" w:rsidRPr="004D4F42" w:rsidTr="003612DB">
        <w:trPr>
          <w:trHeight w:val="2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  <w:hideMark/>
          </w:tcPr>
          <w:p w:rsidR="005312EA" w:rsidRPr="004D4F42" w:rsidRDefault="005312EA" w:rsidP="00A31BC6">
            <w:pPr>
              <w:rPr>
                <w:b/>
                <w:bCs/>
                <w:i/>
                <w:iCs/>
                <w:sz w:val="20"/>
              </w:rPr>
            </w:pPr>
            <w:r w:rsidRPr="004D4F42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5312EA" w:rsidRPr="004D4F42" w:rsidRDefault="005312EA" w:rsidP="00A31BC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4D4F42">
              <w:rPr>
                <w:b/>
                <w:bCs/>
                <w:i/>
                <w:iCs/>
                <w:color w:val="000000"/>
                <w:sz w:val="20"/>
              </w:rPr>
              <w:t>Расходы бюджета - ИТОГО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4D4F42" w:rsidRDefault="005312EA" w:rsidP="002423C0">
            <w:pPr>
              <w:jc w:val="center"/>
              <w:rPr>
                <w:b/>
                <w:bCs/>
                <w:i/>
                <w:iCs/>
                <w:color w:val="000000"/>
                <w:sz w:val="20"/>
              </w:rPr>
            </w:pPr>
            <w:r w:rsidRPr="004D4F42">
              <w:rPr>
                <w:b/>
                <w:bCs/>
                <w:i/>
                <w:iCs/>
                <w:color w:val="000000"/>
                <w:sz w:val="20"/>
              </w:rPr>
              <w:t>87 695,</w:t>
            </w:r>
            <w:r w:rsidR="002423C0">
              <w:rPr>
                <w:b/>
                <w:bCs/>
                <w:i/>
                <w:iCs/>
                <w:color w:val="000000"/>
                <w:sz w:val="20"/>
              </w:rPr>
              <w:t>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4D4F42" w:rsidRDefault="005312EA" w:rsidP="002423C0">
            <w:pPr>
              <w:jc w:val="center"/>
              <w:rPr>
                <w:b/>
                <w:bCs/>
                <w:i/>
                <w:iCs/>
                <w:color w:val="000000"/>
                <w:sz w:val="20"/>
              </w:rPr>
            </w:pPr>
            <w:r w:rsidRPr="004D4F42">
              <w:rPr>
                <w:b/>
                <w:bCs/>
                <w:i/>
                <w:iCs/>
                <w:color w:val="000000"/>
                <w:sz w:val="20"/>
              </w:rPr>
              <w:t>100,0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4D4F42" w:rsidRDefault="005312EA" w:rsidP="000F3978">
            <w:pPr>
              <w:jc w:val="center"/>
              <w:rPr>
                <w:b/>
                <w:bCs/>
                <w:i/>
                <w:iCs/>
                <w:color w:val="000000"/>
                <w:sz w:val="20"/>
              </w:rPr>
            </w:pPr>
            <w:r w:rsidRPr="004D4F42">
              <w:rPr>
                <w:b/>
                <w:bCs/>
                <w:i/>
                <w:iCs/>
                <w:color w:val="000000"/>
                <w:sz w:val="20"/>
              </w:rPr>
              <w:t>86 574,</w:t>
            </w:r>
            <w:r w:rsidR="000F3978">
              <w:rPr>
                <w:b/>
                <w:bCs/>
                <w:i/>
                <w:iCs/>
                <w:color w:val="000000"/>
                <w:sz w:val="20"/>
              </w:rPr>
              <w:t>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4D4F42" w:rsidRDefault="005312EA" w:rsidP="001F508C">
            <w:pPr>
              <w:jc w:val="center"/>
              <w:rPr>
                <w:b/>
                <w:bCs/>
                <w:i/>
                <w:iCs/>
                <w:color w:val="000000"/>
                <w:sz w:val="20"/>
              </w:rPr>
            </w:pPr>
            <w:r w:rsidRPr="004D4F42">
              <w:rPr>
                <w:b/>
                <w:bCs/>
                <w:i/>
                <w:iCs/>
                <w:color w:val="000000"/>
                <w:sz w:val="20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4D4F42" w:rsidRDefault="005312EA" w:rsidP="00301863">
            <w:pPr>
              <w:jc w:val="center"/>
              <w:rPr>
                <w:b/>
                <w:bCs/>
                <w:i/>
                <w:iCs/>
                <w:color w:val="000000"/>
                <w:sz w:val="20"/>
              </w:rPr>
            </w:pPr>
            <w:r w:rsidRPr="004D4F42">
              <w:rPr>
                <w:b/>
                <w:bCs/>
                <w:i/>
                <w:iCs/>
                <w:color w:val="000000"/>
                <w:sz w:val="20"/>
              </w:rPr>
              <w:t>-1 121,</w:t>
            </w:r>
            <w:r w:rsidR="00301863">
              <w:rPr>
                <w:b/>
                <w:bCs/>
                <w:i/>
                <w:iCs/>
                <w:color w:val="000000"/>
                <w:sz w:val="20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4D4F42" w:rsidRDefault="005312EA" w:rsidP="002423C0">
            <w:pPr>
              <w:jc w:val="center"/>
              <w:rPr>
                <w:b/>
                <w:bCs/>
                <w:i/>
                <w:iCs/>
                <w:color w:val="000000"/>
                <w:sz w:val="20"/>
              </w:rPr>
            </w:pPr>
            <w:r w:rsidRPr="004D4F42">
              <w:rPr>
                <w:b/>
                <w:bCs/>
                <w:i/>
                <w:iCs/>
                <w:color w:val="000000"/>
                <w:sz w:val="20"/>
              </w:rPr>
              <w:t>-1,</w:t>
            </w:r>
            <w:r w:rsidR="002423C0">
              <w:rPr>
                <w:b/>
                <w:bCs/>
                <w:i/>
                <w:iCs/>
                <w:color w:val="000000"/>
                <w:sz w:val="20"/>
              </w:rPr>
              <w:t>3</w:t>
            </w:r>
          </w:p>
        </w:tc>
      </w:tr>
      <w:tr w:rsidR="005312EA" w:rsidRPr="004D4F42" w:rsidTr="003612DB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  <w:hideMark/>
          </w:tcPr>
          <w:p w:rsidR="005312EA" w:rsidRPr="004D4F42" w:rsidRDefault="005312EA" w:rsidP="00A31BC6">
            <w:pPr>
              <w:jc w:val="center"/>
              <w:rPr>
                <w:b/>
                <w:bCs/>
                <w:sz w:val="20"/>
              </w:rPr>
            </w:pPr>
            <w:r w:rsidRPr="004D4F42">
              <w:rPr>
                <w:b/>
                <w:bCs/>
                <w:sz w:val="20"/>
              </w:rPr>
              <w:t>0100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5312EA" w:rsidRPr="004D4F42" w:rsidRDefault="005312EA" w:rsidP="00A31BC6">
            <w:pPr>
              <w:rPr>
                <w:color w:val="000000"/>
                <w:sz w:val="20"/>
              </w:rPr>
            </w:pPr>
            <w:r w:rsidRPr="004D4F42">
              <w:rPr>
                <w:color w:val="000000"/>
                <w:sz w:val="20"/>
              </w:rPr>
              <w:t>Общегосударственные вопросы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4D4F42" w:rsidRDefault="005312EA" w:rsidP="002423C0">
            <w:pPr>
              <w:jc w:val="center"/>
              <w:rPr>
                <w:color w:val="000000"/>
                <w:sz w:val="20"/>
              </w:rPr>
            </w:pPr>
            <w:r w:rsidRPr="004D4F42">
              <w:rPr>
                <w:color w:val="000000"/>
                <w:sz w:val="20"/>
              </w:rPr>
              <w:t>3 473,1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4D4F42" w:rsidRDefault="002423C0" w:rsidP="002423C0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3,9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4D4F42" w:rsidRDefault="000F3978" w:rsidP="002423C0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3 240,3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4D4F42" w:rsidRDefault="001F508C" w:rsidP="002423C0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4D4F42" w:rsidRDefault="00301863" w:rsidP="002423C0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-232,8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4D4F42" w:rsidRDefault="005312EA" w:rsidP="002423C0">
            <w:pPr>
              <w:jc w:val="center"/>
              <w:rPr>
                <w:color w:val="000000"/>
                <w:sz w:val="20"/>
              </w:rPr>
            </w:pPr>
            <w:r w:rsidRPr="004D4F42">
              <w:rPr>
                <w:color w:val="000000"/>
                <w:sz w:val="20"/>
              </w:rPr>
              <w:t>-6,7</w:t>
            </w:r>
          </w:p>
        </w:tc>
      </w:tr>
      <w:tr w:rsidR="005312EA" w:rsidRPr="004D4F42" w:rsidTr="003612DB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  <w:hideMark/>
          </w:tcPr>
          <w:p w:rsidR="005312EA" w:rsidRPr="004D4F42" w:rsidRDefault="005312EA" w:rsidP="00A31BC6">
            <w:pPr>
              <w:jc w:val="center"/>
              <w:rPr>
                <w:b/>
                <w:bCs/>
                <w:sz w:val="20"/>
              </w:rPr>
            </w:pPr>
            <w:r w:rsidRPr="004D4F42">
              <w:rPr>
                <w:b/>
                <w:bCs/>
                <w:sz w:val="20"/>
              </w:rPr>
              <w:t>0200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5312EA" w:rsidRPr="004D4F42" w:rsidRDefault="005312EA" w:rsidP="00A31BC6">
            <w:pPr>
              <w:rPr>
                <w:color w:val="000000"/>
                <w:sz w:val="20"/>
              </w:rPr>
            </w:pPr>
            <w:r w:rsidRPr="004D4F42">
              <w:rPr>
                <w:color w:val="000000"/>
                <w:sz w:val="20"/>
              </w:rPr>
              <w:t>Национальная оборона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4D4F42" w:rsidRDefault="005312EA" w:rsidP="002423C0">
            <w:pPr>
              <w:jc w:val="center"/>
              <w:rPr>
                <w:color w:val="000000"/>
                <w:sz w:val="20"/>
              </w:rPr>
            </w:pPr>
            <w:r w:rsidRPr="004D4F42">
              <w:rPr>
                <w:color w:val="000000"/>
                <w:sz w:val="20"/>
              </w:rPr>
              <w:t>45,5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4D4F42" w:rsidRDefault="005312EA" w:rsidP="002423C0">
            <w:pPr>
              <w:jc w:val="center"/>
              <w:rPr>
                <w:color w:val="000000"/>
                <w:sz w:val="20"/>
              </w:rPr>
            </w:pPr>
            <w:r w:rsidRPr="004D4F42">
              <w:rPr>
                <w:color w:val="000000"/>
                <w:sz w:val="20"/>
              </w:rPr>
              <w:t>0,</w:t>
            </w:r>
            <w:r w:rsidR="002423C0">
              <w:rPr>
                <w:color w:val="000000"/>
                <w:sz w:val="20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4D4F42" w:rsidRDefault="000F3978" w:rsidP="000F397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65,3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4D4F42" w:rsidRDefault="001F508C" w:rsidP="002423C0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4D4F42" w:rsidRDefault="00301863" w:rsidP="002423C0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19,7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4D4F42" w:rsidRDefault="002423C0" w:rsidP="002423C0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43,4</w:t>
            </w:r>
          </w:p>
        </w:tc>
      </w:tr>
      <w:tr w:rsidR="005312EA" w:rsidRPr="004D4F42" w:rsidTr="003612DB">
        <w:trPr>
          <w:trHeight w:val="52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  <w:hideMark/>
          </w:tcPr>
          <w:p w:rsidR="005312EA" w:rsidRPr="004D4F42" w:rsidRDefault="005312EA" w:rsidP="00A31BC6">
            <w:pPr>
              <w:jc w:val="center"/>
              <w:rPr>
                <w:b/>
                <w:bCs/>
                <w:sz w:val="20"/>
              </w:rPr>
            </w:pPr>
            <w:r w:rsidRPr="004D4F42">
              <w:rPr>
                <w:b/>
                <w:bCs/>
                <w:sz w:val="20"/>
              </w:rPr>
              <w:t>0300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5312EA" w:rsidRPr="004D4F42" w:rsidRDefault="005312EA" w:rsidP="00A31BC6">
            <w:pPr>
              <w:rPr>
                <w:color w:val="000000"/>
                <w:sz w:val="20"/>
              </w:rPr>
            </w:pPr>
            <w:r w:rsidRPr="004D4F42">
              <w:rPr>
                <w:color w:val="000000"/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4D4F42" w:rsidRDefault="005312EA" w:rsidP="002423C0">
            <w:pPr>
              <w:jc w:val="center"/>
              <w:rPr>
                <w:color w:val="000000"/>
                <w:sz w:val="20"/>
              </w:rPr>
            </w:pPr>
            <w:r w:rsidRPr="004D4F42">
              <w:rPr>
                <w:color w:val="000000"/>
                <w:sz w:val="20"/>
              </w:rPr>
              <w:t>717</w:t>
            </w:r>
            <w:r w:rsidR="002423C0">
              <w:rPr>
                <w:color w:val="000000"/>
                <w:sz w:val="20"/>
              </w:rPr>
              <w:t>,3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4D4F42" w:rsidRDefault="005312EA" w:rsidP="002423C0">
            <w:pPr>
              <w:jc w:val="center"/>
              <w:rPr>
                <w:color w:val="000000"/>
                <w:sz w:val="20"/>
              </w:rPr>
            </w:pPr>
            <w:r w:rsidRPr="004D4F42">
              <w:rPr>
                <w:color w:val="000000"/>
                <w:sz w:val="20"/>
              </w:rPr>
              <w:t>0,8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4D4F42" w:rsidRDefault="005312EA" w:rsidP="000F3978">
            <w:pPr>
              <w:jc w:val="center"/>
              <w:rPr>
                <w:color w:val="000000"/>
                <w:sz w:val="20"/>
              </w:rPr>
            </w:pPr>
            <w:r w:rsidRPr="004D4F42">
              <w:rPr>
                <w:color w:val="000000"/>
                <w:sz w:val="20"/>
              </w:rPr>
              <w:t>516,4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4D4F42" w:rsidRDefault="001F508C" w:rsidP="002423C0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4D4F42" w:rsidRDefault="005312EA" w:rsidP="00301863">
            <w:pPr>
              <w:jc w:val="center"/>
              <w:rPr>
                <w:color w:val="000000"/>
                <w:sz w:val="20"/>
              </w:rPr>
            </w:pPr>
            <w:r w:rsidRPr="004D4F42">
              <w:rPr>
                <w:color w:val="000000"/>
                <w:sz w:val="20"/>
              </w:rPr>
              <w:t>-200,8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4D4F42" w:rsidRDefault="002423C0" w:rsidP="002423C0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-28,0</w:t>
            </w:r>
          </w:p>
        </w:tc>
      </w:tr>
      <w:tr w:rsidR="005312EA" w:rsidRPr="004D4F42" w:rsidTr="007A5468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  <w:hideMark/>
          </w:tcPr>
          <w:p w:rsidR="005312EA" w:rsidRPr="004D4F42" w:rsidRDefault="005312EA" w:rsidP="00A31BC6">
            <w:pPr>
              <w:jc w:val="center"/>
              <w:rPr>
                <w:b/>
                <w:bCs/>
                <w:sz w:val="20"/>
              </w:rPr>
            </w:pPr>
            <w:r w:rsidRPr="004D4F42">
              <w:rPr>
                <w:b/>
                <w:bCs/>
                <w:sz w:val="20"/>
              </w:rPr>
              <w:t>0400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5312EA" w:rsidRPr="004D4F42" w:rsidRDefault="005312EA" w:rsidP="00A31BC6">
            <w:pPr>
              <w:rPr>
                <w:color w:val="000000"/>
                <w:sz w:val="20"/>
              </w:rPr>
            </w:pPr>
            <w:r w:rsidRPr="004D4F42">
              <w:rPr>
                <w:color w:val="000000"/>
                <w:sz w:val="20"/>
              </w:rPr>
              <w:t>Национальная экономика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4D4F42" w:rsidRDefault="005312EA" w:rsidP="002423C0">
            <w:pPr>
              <w:jc w:val="center"/>
              <w:rPr>
                <w:color w:val="000000"/>
                <w:sz w:val="20"/>
              </w:rPr>
            </w:pPr>
            <w:r w:rsidRPr="004D4F42">
              <w:rPr>
                <w:color w:val="000000"/>
                <w:sz w:val="20"/>
              </w:rPr>
              <w:t>18 179,4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4D4F42" w:rsidRDefault="005312EA" w:rsidP="002423C0">
            <w:pPr>
              <w:jc w:val="center"/>
              <w:rPr>
                <w:color w:val="000000"/>
                <w:sz w:val="20"/>
              </w:rPr>
            </w:pPr>
            <w:r w:rsidRPr="004D4F42">
              <w:rPr>
                <w:color w:val="000000"/>
                <w:sz w:val="20"/>
              </w:rPr>
              <w:t>20,7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4D4F42" w:rsidRDefault="005312EA" w:rsidP="000F3978">
            <w:pPr>
              <w:jc w:val="center"/>
              <w:rPr>
                <w:color w:val="000000"/>
                <w:sz w:val="20"/>
              </w:rPr>
            </w:pPr>
            <w:r w:rsidRPr="004D4F42">
              <w:rPr>
                <w:color w:val="000000"/>
                <w:sz w:val="20"/>
              </w:rPr>
              <w:t>16 742,</w:t>
            </w:r>
            <w:r w:rsidR="000F3978">
              <w:rPr>
                <w:color w:val="000000"/>
                <w:sz w:val="20"/>
              </w:rPr>
              <w:t>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4D4F42" w:rsidRDefault="005312EA" w:rsidP="001F508C">
            <w:pPr>
              <w:jc w:val="center"/>
              <w:rPr>
                <w:color w:val="000000"/>
                <w:sz w:val="20"/>
              </w:rPr>
            </w:pPr>
            <w:r w:rsidRPr="004D4F42">
              <w:rPr>
                <w:color w:val="000000"/>
                <w:sz w:val="20"/>
              </w:rPr>
              <w:t>19,3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4D4F42" w:rsidRDefault="005312EA" w:rsidP="00301863">
            <w:pPr>
              <w:jc w:val="center"/>
              <w:rPr>
                <w:color w:val="000000"/>
                <w:sz w:val="20"/>
              </w:rPr>
            </w:pPr>
            <w:r w:rsidRPr="004D4F42">
              <w:rPr>
                <w:color w:val="000000"/>
                <w:sz w:val="20"/>
              </w:rPr>
              <w:t>-1 437,0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4D4F42" w:rsidRDefault="002423C0" w:rsidP="002423C0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-7,9</w:t>
            </w:r>
          </w:p>
        </w:tc>
      </w:tr>
      <w:tr w:rsidR="005312EA" w:rsidRPr="004D4F42" w:rsidTr="007A5468">
        <w:trPr>
          <w:trHeight w:val="264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  <w:hideMark/>
          </w:tcPr>
          <w:p w:rsidR="005312EA" w:rsidRPr="004D4F42" w:rsidRDefault="005312EA" w:rsidP="00A31BC6">
            <w:pPr>
              <w:jc w:val="center"/>
              <w:rPr>
                <w:b/>
                <w:bCs/>
                <w:sz w:val="20"/>
              </w:rPr>
            </w:pPr>
            <w:r w:rsidRPr="004D4F42">
              <w:rPr>
                <w:b/>
                <w:bCs/>
                <w:sz w:val="20"/>
              </w:rPr>
              <w:t>0500</w:t>
            </w:r>
          </w:p>
        </w:tc>
        <w:tc>
          <w:tcPr>
            <w:tcW w:w="3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5312EA" w:rsidRPr="004D4F42" w:rsidRDefault="005312EA" w:rsidP="00A31BC6">
            <w:pPr>
              <w:rPr>
                <w:color w:val="000000"/>
                <w:sz w:val="20"/>
              </w:rPr>
            </w:pPr>
            <w:r w:rsidRPr="004D4F42">
              <w:rPr>
                <w:color w:val="000000"/>
                <w:sz w:val="20"/>
              </w:rPr>
              <w:t>Жилищно-коммунальное хозяйство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4D4F42" w:rsidRDefault="005312EA" w:rsidP="002423C0">
            <w:pPr>
              <w:jc w:val="center"/>
              <w:rPr>
                <w:color w:val="000000"/>
                <w:sz w:val="20"/>
              </w:rPr>
            </w:pPr>
            <w:r w:rsidRPr="004D4F42">
              <w:rPr>
                <w:color w:val="000000"/>
                <w:sz w:val="20"/>
              </w:rPr>
              <w:t>3 853,</w:t>
            </w:r>
            <w:r w:rsidR="002423C0">
              <w:rPr>
                <w:color w:val="000000"/>
                <w:sz w:val="20"/>
              </w:rPr>
              <w:t>5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4D4F42" w:rsidRDefault="002423C0" w:rsidP="002423C0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4,4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4D4F42" w:rsidRDefault="000F3978" w:rsidP="002423C0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3 665,4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4D4F42" w:rsidRDefault="001F508C" w:rsidP="002423C0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4D4F42" w:rsidRDefault="00301863" w:rsidP="002423C0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-188,0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4D4F42" w:rsidRDefault="002423C0" w:rsidP="002423C0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-4,9</w:t>
            </w:r>
          </w:p>
        </w:tc>
      </w:tr>
      <w:tr w:rsidR="005312EA" w:rsidRPr="004D4F42" w:rsidTr="003612DB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  <w:hideMark/>
          </w:tcPr>
          <w:p w:rsidR="005312EA" w:rsidRPr="004D4F42" w:rsidRDefault="005312EA" w:rsidP="00A31BC6">
            <w:pPr>
              <w:jc w:val="center"/>
              <w:rPr>
                <w:b/>
                <w:bCs/>
                <w:sz w:val="20"/>
              </w:rPr>
            </w:pPr>
            <w:r w:rsidRPr="004D4F42">
              <w:rPr>
                <w:b/>
                <w:bCs/>
                <w:sz w:val="20"/>
              </w:rPr>
              <w:t>0600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5312EA" w:rsidRPr="004D4F42" w:rsidRDefault="005312EA" w:rsidP="00A31BC6">
            <w:pPr>
              <w:rPr>
                <w:color w:val="000000"/>
                <w:sz w:val="20"/>
              </w:rPr>
            </w:pPr>
            <w:r w:rsidRPr="004D4F42">
              <w:rPr>
                <w:color w:val="000000"/>
                <w:sz w:val="20"/>
              </w:rPr>
              <w:t>Охрана окружающей среды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4D4F42" w:rsidRDefault="005312EA" w:rsidP="002423C0">
            <w:pPr>
              <w:jc w:val="center"/>
              <w:rPr>
                <w:color w:val="000000"/>
                <w:sz w:val="20"/>
              </w:rPr>
            </w:pPr>
            <w:r w:rsidRPr="004D4F42">
              <w:rPr>
                <w:color w:val="000000"/>
                <w:sz w:val="20"/>
              </w:rPr>
              <w:t>826,</w:t>
            </w:r>
            <w:r w:rsidR="002423C0">
              <w:rPr>
                <w:color w:val="000000"/>
                <w:sz w:val="20"/>
              </w:rPr>
              <w:t>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4D4F42" w:rsidRDefault="005312EA" w:rsidP="002423C0">
            <w:pPr>
              <w:jc w:val="center"/>
              <w:rPr>
                <w:color w:val="000000"/>
                <w:sz w:val="20"/>
              </w:rPr>
            </w:pPr>
            <w:r w:rsidRPr="004D4F42">
              <w:rPr>
                <w:color w:val="000000"/>
                <w:sz w:val="20"/>
              </w:rPr>
              <w:t>0,9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4D4F42" w:rsidRDefault="000F3978" w:rsidP="002423C0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829,4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4D4F42" w:rsidRDefault="001F508C" w:rsidP="002423C0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4D4F42" w:rsidRDefault="00301863" w:rsidP="002423C0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4D4F42" w:rsidRDefault="002423C0" w:rsidP="002423C0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0,3</w:t>
            </w:r>
          </w:p>
        </w:tc>
      </w:tr>
      <w:tr w:rsidR="005312EA" w:rsidRPr="004D4F42" w:rsidTr="003612DB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  <w:hideMark/>
          </w:tcPr>
          <w:p w:rsidR="005312EA" w:rsidRPr="004D4F42" w:rsidRDefault="005312EA" w:rsidP="00A31BC6">
            <w:pPr>
              <w:jc w:val="center"/>
              <w:rPr>
                <w:b/>
                <w:bCs/>
                <w:sz w:val="20"/>
              </w:rPr>
            </w:pPr>
            <w:r w:rsidRPr="004D4F42">
              <w:rPr>
                <w:b/>
                <w:bCs/>
                <w:sz w:val="20"/>
              </w:rPr>
              <w:t>0700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5312EA" w:rsidRPr="004D4F42" w:rsidRDefault="005312EA" w:rsidP="00A31BC6">
            <w:pPr>
              <w:rPr>
                <w:color w:val="000000"/>
                <w:sz w:val="20"/>
              </w:rPr>
            </w:pPr>
            <w:r w:rsidRPr="004D4F42">
              <w:rPr>
                <w:color w:val="000000"/>
                <w:sz w:val="20"/>
              </w:rPr>
              <w:t>Образование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4D4F42" w:rsidRDefault="005312EA" w:rsidP="002423C0">
            <w:pPr>
              <w:jc w:val="center"/>
              <w:rPr>
                <w:color w:val="000000"/>
                <w:sz w:val="20"/>
              </w:rPr>
            </w:pPr>
            <w:r w:rsidRPr="004D4F42">
              <w:rPr>
                <w:color w:val="000000"/>
                <w:sz w:val="20"/>
              </w:rPr>
              <w:t>19 016,5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4D4F42" w:rsidRDefault="002423C0" w:rsidP="002423C0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21,7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4D4F42" w:rsidRDefault="005312EA" w:rsidP="000F3978">
            <w:pPr>
              <w:jc w:val="center"/>
              <w:rPr>
                <w:color w:val="000000"/>
                <w:sz w:val="20"/>
              </w:rPr>
            </w:pPr>
            <w:r w:rsidRPr="004D4F42">
              <w:rPr>
                <w:color w:val="000000"/>
                <w:sz w:val="20"/>
              </w:rPr>
              <w:t>20 677,</w:t>
            </w:r>
            <w:r w:rsidR="000F3978">
              <w:rPr>
                <w:color w:val="000000"/>
                <w:sz w:val="20"/>
              </w:rPr>
              <w:t>6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4D4F42" w:rsidRDefault="001F508C" w:rsidP="001F508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4D4F42" w:rsidRDefault="005312EA" w:rsidP="00301863">
            <w:pPr>
              <w:jc w:val="center"/>
              <w:rPr>
                <w:color w:val="000000"/>
                <w:sz w:val="20"/>
              </w:rPr>
            </w:pPr>
            <w:r w:rsidRPr="004D4F42">
              <w:rPr>
                <w:color w:val="000000"/>
                <w:sz w:val="20"/>
              </w:rPr>
              <w:t>1 661,</w:t>
            </w:r>
            <w:r w:rsidR="00301863">
              <w:rPr>
                <w:color w:val="000000"/>
                <w:sz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4D4F42" w:rsidRDefault="002423C0" w:rsidP="002423C0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8,7</w:t>
            </w:r>
          </w:p>
        </w:tc>
      </w:tr>
      <w:tr w:rsidR="005312EA" w:rsidRPr="004D4F42" w:rsidTr="003612DB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  <w:hideMark/>
          </w:tcPr>
          <w:p w:rsidR="005312EA" w:rsidRPr="004D4F42" w:rsidRDefault="005312EA" w:rsidP="00A31BC6">
            <w:pPr>
              <w:jc w:val="center"/>
              <w:rPr>
                <w:b/>
                <w:bCs/>
                <w:sz w:val="20"/>
              </w:rPr>
            </w:pPr>
            <w:r w:rsidRPr="004D4F42">
              <w:rPr>
                <w:b/>
                <w:bCs/>
                <w:sz w:val="20"/>
              </w:rPr>
              <w:t>0800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5312EA" w:rsidRPr="004D4F42" w:rsidRDefault="005312EA" w:rsidP="00A31BC6">
            <w:pPr>
              <w:rPr>
                <w:color w:val="000000"/>
                <w:sz w:val="20"/>
              </w:rPr>
            </w:pPr>
            <w:r w:rsidRPr="004D4F42">
              <w:rPr>
                <w:color w:val="000000"/>
                <w:sz w:val="20"/>
              </w:rPr>
              <w:t>Культура, кинематография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4D4F42" w:rsidRDefault="005312EA" w:rsidP="002423C0">
            <w:pPr>
              <w:jc w:val="center"/>
              <w:rPr>
                <w:color w:val="000000"/>
                <w:sz w:val="20"/>
              </w:rPr>
            </w:pPr>
            <w:r w:rsidRPr="004D4F42">
              <w:rPr>
                <w:color w:val="000000"/>
                <w:sz w:val="20"/>
              </w:rPr>
              <w:t>991,3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4D4F42" w:rsidRDefault="002423C0" w:rsidP="002423C0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1,1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4D4F42" w:rsidRDefault="000F3978" w:rsidP="002423C0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850,0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4D4F42" w:rsidRDefault="001F508C" w:rsidP="002423C0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4D4F42" w:rsidRDefault="00301863" w:rsidP="002423C0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-141,3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4D4F42" w:rsidRDefault="005312EA" w:rsidP="002423C0">
            <w:pPr>
              <w:jc w:val="center"/>
              <w:rPr>
                <w:color w:val="000000"/>
                <w:sz w:val="20"/>
              </w:rPr>
            </w:pPr>
            <w:r w:rsidRPr="004D4F42">
              <w:rPr>
                <w:color w:val="000000"/>
                <w:sz w:val="20"/>
              </w:rPr>
              <w:t>-14,2</w:t>
            </w:r>
          </w:p>
        </w:tc>
      </w:tr>
      <w:tr w:rsidR="005312EA" w:rsidRPr="004D4F42" w:rsidTr="003612DB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  <w:hideMark/>
          </w:tcPr>
          <w:p w:rsidR="005312EA" w:rsidRPr="004D4F42" w:rsidRDefault="005312EA" w:rsidP="00A31BC6">
            <w:pPr>
              <w:jc w:val="center"/>
              <w:rPr>
                <w:b/>
                <w:bCs/>
                <w:sz w:val="20"/>
              </w:rPr>
            </w:pPr>
            <w:r w:rsidRPr="004D4F42">
              <w:rPr>
                <w:b/>
                <w:bCs/>
                <w:sz w:val="20"/>
              </w:rPr>
              <w:t>0900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5312EA" w:rsidRPr="004D4F42" w:rsidRDefault="005312EA" w:rsidP="00A31BC6">
            <w:pPr>
              <w:rPr>
                <w:color w:val="000000"/>
                <w:sz w:val="20"/>
              </w:rPr>
            </w:pPr>
            <w:r w:rsidRPr="004D4F42">
              <w:rPr>
                <w:color w:val="000000"/>
                <w:sz w:val="20"/>
              </w:rPr>
              <w:t xml:space="preserve">Здравоохранение 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4D4F42" w:rsidRDefault="005312EA" w:rsidP="002423C0">
            <w:pPr>
              <w:jc w:val="center"/>
              <w:rPr>
                <w:color w:val="000000"/>
                <w:sz w:val="20"/>
              </w:rPr>
            </w:pPr>
            <w:r w:rsidRPr="004D4F42">
              <w:rPr>
                <w:color w:val="000000"/>
                <w:sz w:val="20"/>
              </w:rPr>
              <w:t>6 205,7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4D4F42" w:rsidRDefault="002423C0" w:rsidP="002423C0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7,1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4D4F42" w:rsidRDefault="005312EA" w:rsidP="000F3978">
            <w:pPr>
              <w:jc w:val="center"/>
              <w:rPr>
                <w:color w:val="000000"/>
                <w:sz w:val="20"/>
              </w:rPr>
            </w:pPr>
            <w:r w:rsidRPr="004D4F42">
              <w:rPr>
                <w:color w:val="000000"/>
                <w:sz w:val="20"/>
              </w:rPr>
              <w:t>5 961,2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4D4F42" w:rsidRDefault="005312EA" w:rsidP="001F508C">
            <w:pPr>
              <w:jc w:val="center"/>
              <w:rPr>
                <w:color w:val="000000"/>
                <w:sz w:val="20"/>
              </w:rPr>
            </w:pPr>
            <w:r w:rsidRPr="004D4F42">
              <w:rPr>
                <w:color w:val="000000"/>
                <w:sz w:val="20"/>
              </w:rPr>
              <w:t>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4D4F42" w:rsidRDefault="00301863" w:rsidP="002423C0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-244,5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4D4F42" w:rsidRDefault="002423C0" w:rsidP="002423C0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-3,9</w:t>
            </w:r>
          </w:p>
        </w:tc>
      </w:tr>
      <w:tr w:rsidR="005312EA" w:rsidRPr="004D4F42" w:rsidTr="00693ABB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  <w:hideMark/>
          </w:tcPr>
          <w:p w:rsidR="005312EA" w:rsidRPr="004D4F42" w:rsidRDefault="005312EA" w:rsidP="00A31BC6">
            <w:pPr>
              <w:jc w:val="center"/>
              <w:rPr>
                <w:b/>
                <w:bCs/>
                <w:sz w:val="20"/>
              </w:rPr>
            </w:pPr>
            <w:r w:rsidRPr="004D4F42">
              <w:rPr>
                <w:b/>
                <w:bCs/>
                <w:sz w:val="20"/>
              </w:rPr>
              <w:t>1000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5312EA" w:rsidRPr="004D4F42" w:rsidRDefault="005312EA" w:rsidP="00A31BC6">
            <w:pPr>
              <w:rPr>
                <w:color w:val="000000"/>
                <w:sz w:val="20"/>
              </w:rPr>
            </w:pPr>
            <w:r w:rsidRPr="004D4F42">
              <w:rPr>
                <w:color w:val="000000"/>
                <w:sz w:val="20"/>
              </w:rPr>
              <w:t>Социальная политика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4D4F42" w:rsidRDefault="005312EA" w:rsidP="002423C0">
            <w:pPr>
              <w:jc w:val="center"/>
              <w:rPr>
                <w:color w:val="000000"/>
                <w:sz w:val="20"/>
              </w:rPr>
            </w:pPr>
            <w:r w:rsidRPr="004D4F42">
              <w:rPr>
                <w:color w:val="000000"/>
                <w:sz w:val="20"/>
              </w:rPr>
              <w:t>26 621,0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4D4F42" w:rsidRDefault="002423C0" w:rsidP="002423C0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30,4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4D4F42" w:rsidRDefault="000F3978" w:rsidP="000F397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26 595,2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4D4F42" w:rsidRDefault="005312EA" w:rsidP="001F508C">
            <w:pPr>
              <w:jc w:val="center"/>
              <w:rPr>
                <w:color w:val="000000"/>
                <w:sz w:val="20"/>
              </w:rPr>
            </w:pPr>
            <w:r w:rsidRPr="004D4F42">
              <w:rPr>
                <w:color w:val="000000"/>
                <w:sz w:val="20"/>
              </w:rPr>
              <w:t>30,7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4D4F42" w:rsidRDefault="00301863" w:rsidP="002423C0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-25,9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4D4F42" w:rsidRDefault="002423C0" w:rsidP="002423C0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-0,1</w:t>
            </w:r>
          </w:p>
        </w:tc>
      </w:tr>
      <w:tr w:rsidR="005312EA" w:rsidRPr="004D4F42" w:rsidTr="00693ABB">
        <w:trPr>
          <w:trHeight w:val="264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  <w:hideMark/>
          </w:tcPr>
          <w:p w:rsidR="005312EA" w:rsidRPr="004D4F42" w:rsidRDefault="005312EA" w:rsidP="00A31BC6">
            <w:pPr>
              <w:jc w:val="center"/>
              <w:rPr>
                <w:b/>
                <w:bCs/>
                <w:sz w:val="20"/>
              </w:rPr>
            </w:pPr>
            <w:r w:rsidRPr="004D4F42">
              <w:rPr>
                <w:b/>
                <w:bCs/>
                <w:sz w:val="20"/>
              </w:rPr>
              <w:t>1100</w:t>
            </w: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5312EA" w:rsidRPr="004D4F42" w:rsidRDefault="005312EA" w:rsidP="00A31BC6">
            <w:pPr>
              <w:rPr>
                <w:color w:val="000000"/>
                <w:sz w:val="20"/>
              </w:rPr>
            </w:pPr>
            <w:r w:rsidRPr="004D4F42">
              <w:rPr>
                <w:color w:val="000000"/>
                <w:sz w:val="20"/>
              </w:rPr>
              <w:t>Физическая культура и спорт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4D4F42" w:rsidRDefault="005312EA" w:rsidP="002423C0">
            <w:pPr>
              <w:jc w:val="center"/>
              <w:rPr>
                <w:color w:val="000000"/>
                <w:sz w:val="20"/>
              </w:rPr>
            </w:pPr>
            <w:r w:rsidRPr="004D4F42">
              <w:rPr>
                <w:color w:val="000000"/>
                <w:sz w:val="20"/>
              </w:rPr>
              <w:t>1 053,2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4D4F42" w:rsidRDefault="002423C0" w:rsidP="002423C0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1,2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4D4F42" w:rsidRDefault="000F3978" w:rsidP="002423C0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1 392,8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4D4F42" w:rsidRDefault="001F508C" w:rsidP="002423C0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4D4F42" w:rsidRDefault="00301863" w:rsidP="0030186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339,6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4D4F42" w:rsidRDefault="005312EA" w:rsidP="002423C0">
            <w:pPr>
              <w:jc w:val="center"/>
              <w:rPr>
                <w:color w:val="000000"/>
                <w:sz w:val="20"/>
              </w:rPr>
            </w:pPr>
            <w:r w:rsidRPr="004D4F42">
              <w:rPr>
                <w:color w:val="000000"/>
                <w:sz w:val="20"/>
              </w:rPr>
              <w:t>32,2</w:t>
            </w:r>
          </w:p>
        </w:tc>
      </w:tr>
      <w:tr w:rsidR="005312EA" w:rsidRPr="004D4F42" w:rsidTr="00693ABB">
        <w:trPr>
          <w:trHeight w:val="264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  <w:hideMark/>
          </w:tcPr>
          <w:p w:rsidR="005312EA" w:rsidRPr="004D4F42" w:rsidRDefault="005312EA" w:rsidP="00A31BC6">
            <w:pPr>
              <w:jc w:val="center"/>
              <w:rPr>
                <w:b/>
                <w:bCs/>
                <w:sz w:val="20"/>
              </w:rPr>
            </w:pPr>
            <w:r w:rsidRPr="004D4F42">
              <w:rPr>
                <w:b/>
                <w:bCs/>
                <w:sz w:val="20"/>
              </w:rPr>
              <w:lastRenderedPageBreak/>
              <w:t>1200</w:t>
            </w:r>
          </w:p>
        </w:tc>
        <w:tc>
          <w:tcPr>
            <w:tcW w:w="3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5312EA" w:rsidRPr="004D4F42" w:rsidRDefault="005312EA" w:rsidP="00A31BC6">
            <w:pPr>
              <w:rPr>
                <w:color w:val="000000"/>
                <w:sz w:val="20"/>
              </w:rPr>
            </w:pPr>
            <w:r w:rsidRPr="004D4F42">
              <w:rPr>
                <w:color w:val="000000"/>
                <w:sz w:val="20"/>
              </w:rPr>
              <w:t>Средства массовой информации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4D4F42" w:rsidRDefault="005312EA" w:rsidP="002423C0">
            <w:pPr>
              <w:jc w:val="center"/>
              <w:rPr>
                <w:color w:val="000000"/>
                <w:sz w:val="20"/>
              </w:rPr>
            </w:pPr>
            <w:r w:rsidRPr="004D4F42">
              <w:rPr>
                <w:color w:val="000000"/>
                <w:sz w:val="20"/>
              </w:rPr>
              <w:t>92,</w:t>
            </w:r>
            <w:r w:rsidR="002423C0">
              <w:rPr>
                <w:color w:val="000000"/>
                <w:sz w:val="20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4D4F42" w:rsidRDefault="005312EA" w:rsidP="002423C0">
            <w:pPr>
              <w:jc w:val="center"/>
              <w:rPr>
                <w:color w:val="000000"/>
                <w:sz w:val="20"/>
              </w:rPr>
            </w:pPr>
            <w:r w:rsidRPr="004D4F42">
              <w:rPr>
                <w:color w:val="000000"/>
                <w:sz w:val="20"/>
              </w:rPr>
              <w:t>0,1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4D4F42" w:rsidRDefault="000F3978" w:rsidP="000F397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92,7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4D4F42" w:rsidRDefault="001F508C" w:rsidP="002423C0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4D4F42" w:rsidRDefault="00301863" w:rsidP="002423C0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4D4F42" w:rsidRDefault="002423C0" w:rsidP="002423C0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0,6</w:t>
            </w:r>
          </w:p>
        </w:tc>
      </w:tr>
      <w:tr w:rsidR="005312EA" w:rsidRPr="004D4F42" w:rsidTr="003612DB">
        <w:trPr>
          <w:trHeight w:val="528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  <w:hideMark/>
          </w:tcPr>
          <w:p w:rsidR="005312EA" w:rsidRPr="004D4F42" w:rsidRDefault="005312EA" w:rsidP="00A31BC6">
            <w:pPr>
              <w:jc w:val="center"/>
              <w:rPr>
                <w:b/>
                <w:bCs/>
                <w:sz w:val="20"/>
              </w:rPr>
            </w:pPr>
            <w:r w:rsidRPr="004D4F42">
              <w:rPr>
                <w:b/>
                <w:bCs/>
                <w:sz w:val="20"/>
              </w:rPr>
              <w:t>1300</w:t>
            </w:r>
          </w:p>
        </w:tc>
        <w:tc>
          <w:tcPr>
            <w:tcW w:w="3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5312EA" w:rsidRPr="004D4F42" w:rsidRDefault="005312EA" w:rsidP="00A31BC6">
            <w:pPr>
              <w:rPr>
                <w:color w:val="000000"/>
                <w:sz w:val="20"/>
              </w:rPr>
            </w:pPr>
            <w:r w:rsidRPr="004D4F42">
              <w:rPr>
                <w:color w:val="000000"/>
                <w:sz w:val="20"/>
              </w:rPr>
              <w:t>Обслуживание государственного и муниципального долга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4D4F42" w:rsidRDefault="005312EA" w:rsidP="002423C0">
            <w:pPr>
              <w:jc w:val="center"/>
              <w:rPr>
                <w:color w:val="000000"/>
                <w:sz w:val="20"/>
              </w:rPr>
            </w:pPr>
            <w:r w:rsidRPr="004D4F42">
              <w:rPr>
                <w:color w:val="000000"/>
                <w:sz w:val="20"/>
              </w:rPr>
              <w:t>3 855,5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4D4F42" w:rsidRDefault="005312EA" w:rsidP="002423C0">
            <w:pPr>
              <w:jc w:val="center"/>
              <w:rPr>
                <w:color w:val="000000"/>
                <w:sz w:val="20"/>
              </w:rPr>
            </w:pPr>
            <w:r w:rsidRPr="004D4F42">
              <w:rPr>
                <w:color w:val="000000"/>
                <w:sz w:val="20"/>
              </w:rPr>
              <w:t>4,4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4D4F42" w:rsidRDefault="005312EA" w:rsidP="000F3978">
            <w:pPr>
              <w:jc w:val="center"/>
              <w:rPr>
                <w:color w:val="000000"/>
                <w:sz w:val="20"/>
              </w:rPr>
            </w:pPr>
            <w:r w:rsidRPr="004D4F42">
              <w:rPr>
                <w:color w:val="000000"/>
                <w:sz w:val="20"/>
              </w:rPr>
              <w:t>3 651,9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4D4F42" w:rsidRDefault="001F508C" w:rsidP="002423C0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4D4F42" w:rsidRDefault="005312EA" w:rsidP="00301863">
            <w:pPr>
              <w:jc w:val="center"/>
              <w:rPr>
                <w:color w:val="000000"/>
                <w:sz w:val="20"/>
              </w:rPr>
            </w:pPr>
            <w:r w:rsidRPr="004D4F42">
              <w:rPr>
                <w:color w:val="000000"/>
                <w:sz w:val="20"/>
              </w:rPr>
              <w:t>-203,6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4D4F42" w:rsidRDefault="002423C0" w:rsidP="002423C0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-5,3</w:t>
            </w:r>
          </w:p>
        </w:tc>
      </w:tr>
      <w:tr w:rsidR="005312EA" w:rsidRPr="004D4F42" w:rsidTr="003612DB">
        <w:trPr>
          <w:trHeight w:val="792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  <w:hideMark/>
          </w:tcPr>
          <w:p w:rsidR="005312EA" w:rsidRPr="004D4F42" w:rsidRDefault="005312EA" w:rsidP="00A31BC6">
            <w:pPr>
              <w:jc w:val="center"/>
              <w:rPr>
                <w:b/>
                <w:bCs/>
                <w:sz w:val="20"/>
              </w:rPr>
            </w:pPr>
            <w:r w:rsidRPr="004D4F42">
              <w:rPr>
                <w:b/>
                <w:bCs/>
                <w:sz w:val="20"/>
              </w:rPr>
              <w:t>1400</w:t>
            </w:r>
          </w:p>
        </w:tc>
        <w:tc>
          <w:tcPr>
            <w:tcW w:w="3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5312EA" w:rsidRPr="004D4F42" w:rsidRDefault="005312EA" w:rsidP="00E624A6">
            <w:pPr>
              <w:rPr>
                <w:color w:val="000000"/>
                <w:sz w:val="20"/>
              </w:rPr>
            </w:pPr>
            <w:r w:rsidRPr="004D4F42">
              <w:rPr>
                <w:color w:val="000000"/>
                <w:sz w:val="20"/>
              </w:rPr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4D4F42" w:rsidRDefault="002423C0" w:rsidP="002423C0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2 764,8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4D4F42" w:rsidRDefault="002423C0" w:rsidP="002423C0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3,2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4D4F42" w:rsidRDefault="005312EA" w:rsidP="002423C0">
            <w:pPr>
              <w:jc w:val="center"/>
              <w:rPr>
                <w:color w:val="000000"/>
                <w:sz w:val="20"/>
              </w:rPr>
            </w:pPr>
            <w:r w:rsidRPr="004D4F42">
              <w:rPr>
                <w:color w:val="000000"/>
                <w:sz w:val="20"/>
              </w:rPr>
              <w:t>2 293,8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4D4F42" w:rsidRDefault="005312EA" w:rsidP="001F508C">
            <w:pPr>
              <w:jc w:val="center"/>
              <w:rPr>
                <w:color w:val="000000"/>
                <w:sz w:val="20"/>
              </w:rPr>
            </w:pPr>
            <w:r w:rsidRPr="004D4F42">
              <w:rPr>
                <w:color w:val="000000"/>
                <w:sz w:val="20"/>
              </w:rPr>
              <w:t>2,</w:t>
            </w:r>
            <w:r w:rsidR="001F508C">
              <w:rPr>
                <w:color w:val="000000"/>
                <w:sz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4D4F42" w:rsidRDefault="00301863" w:rsidP="002423C0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-470,</w:t>
            </w:r>
            <w:r w:rsidR="005312EA" w:rsidRPr="004D4F42">
              <w:rPr>
                <w:color w:val="000000"/>
                <w:sz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4D4F42" w:rsidRDefault="005312EA" w:rsidP="002423C0">
            <w:pPr>
              <w:jc w:val="center"/>
              <w:rPr>
                <w:color w:val="000000"/>
                <w:sz w:val="20"/>
              </w:rPr>
            </w:pPr>
            <w:r w:rsidRPr="004D4F42">
              <w:rPr>
                <w:color w:val="000000"/>
                <w:sz w:val="20"/>
              </w:rPr>
              <w:t>-17,0</w:t>
            </w:r>
          </w:p>
        </w:tc>
      </w:tr>
    </w:tbl>
    <w:p w:rsidR="003476C2" w:rsidRDefault="003476C2" w:rsidP="001159B9">
      <w:pPr>
        <w:ind w:firstLine="720"/>
        <w:jc w:val="both"/>
      </w:pPr>
    </w:p>
    <w:p w:rsidR="001159B9" w:rsidRDefault="001159B9" w:rsidP="001159B9">
      <w:pPr>
        <w:ind w:firstLine="720"/>
        <w:jc w:val="both"/>
      </w:pPr>
      <w:r>
        <w:t xml:space="preserve">Из приведенных в таблице данных видно, что при незначительном среднем проценте </w:t>
      </w:r>
      <w:r w:rsidR="005144D7">
        <w:t>неисполнения плановых</w:t>
      </w:r>
      <w:r>
        <w:t xml:space="preserve"> расходов областного бюджета (на 1,3%) по отдельным разделам функциональной классификации расходы </w:t>
      </w:r>
      <w:r w:rsidR="005144D7">
        <w:t>недовыполнены</w:t>
      </w:r>
      <w:r>
        <w:t xml:space="preserve"> существенным образом (</w:t>
      </w:r>
      <w:r w:rsidR="005144D7">
        <w:t xml:space="preserve">например, </w:t>
      </w:r>
      <w:r>
        <w:t>на национальную безопасность и правоохранительную деятельность на 28%, межбюджетные трансферты общего характера на 17%, культуру</w:t>
      </w:r>
      <w:r w:rsidR="005144D7">
        <w:t>,</w:t>
      </w:r>
      <w:r>
        <w:t xml:space="preserve"> кинематографию на 14,2%). В то же время по отдельным разделам </w:t>
      </w:r>
      <w:r w:rsidR="005144D7">
        <w:t>бюджетные ассигнования превышены, при этом</w:t>
      </w:r>
      <w:r>
        <w:t xml:space="preserve"> наиболее значительно по разделу «Физическая культура и спорт» </w:t>
      </w:r>
      <w:r w:rsidR="005144D7">
        <w:t>(</w:t>
      </w:r>
      <w:r>
        <w:t>на 32,2%</w:t>
      </w:r>
      <w:r w:rsidR="005144D7">
        <w:t>)</w:t>
      </w:r>
      <w:r>
        <w:t xml:space="preserve">, </w:t>
      </w:r>
      <w:r w:rsidR="005144D7">
        <w:t>по разделу «О</w:t>
      </w:r>
      <w:r>
        <w:t>бразование</w:t>
      </w:r>
      <w:r w:rsidR="005144D7">
        <w:t>»</w:t>
      </w:r>
      <w:r>
        <w:t xml:space="preserve"> (</w:t>
      </w:r>
      <w:r w:rsidR="005144D7">
        <w:t xml:space="preserve">на </w:t>
      </w:r>
      <w:r>
        <w:t>8</w:t>
      </w:r>
      <w:r w:rsidR="005144D7">
        <w:t>,</w:t>
      </w:r>
      <w:r>
        <w:t>7%).</w:t>
      </w:r>
    </w:p>
    <w:p w:rsidR="00FE1DF6" w:rsidRDefault="005144D7" w:rsidP="001159B9">
      <w:pPr>
        <w:ind w:firstLine="720"/>
        <w:jc w:val="both"/>
      </w:pPr>
      <w:r>
        <w:t>С</w:t>
      </w:r>
      <w:r w:rsidR="00EA5D6B" w:rsidRPr="00EA5D6B">
        <w:t xml:space="preserve">равнительный анализ расходов </w:t>
      </w:r>
      <w:r w:rsidR="00EA5D6B">
        <w:t>201</w:t>
      </w:r>
      <w:r w:rsidR="003476C2">
        <w:t>7</w:t>
      </w:r>
      <w:r w:rsidR="00EA5D6B">
        <w:t xml:space="preserve"> год</w:t>
      </w:r>
      <w:r w:rsidR="0058634D">
        <w:t>а</w:t>
      </w:r>
      <w:r w:rsidR="00EA5D6B">
        <w:t xml:space="preserve"> </w:t>
      </w:r>
      <w:r w:rsidR="002E1F88">
        <w:t>относительно</w:t>
      </w:r>
      <w:r w:rsidR="00EA5D6B">
        <w:t xml:space="preserve"> 201</w:t>
      </w:r>
      <w:r w:rsidR="003476C2">
        <w:t>6</w:t>
      </w:r>
      <w:r w:rsidR="00EA5D6B">
        <w:t xml:space="preserve"> года показал, что при среднем </w:t>
      </w:r>
      <w:r w:rsidR="00CF269A">
        <w:t>росте</w:t>
      </w:r>
      <w:r w:rsidR="00EA5D6B">
        <w:t xml:space="preserve"> расходов </w:t>
      </w:r>
      <w:r w:rsidR="003A6524">
        <w:t xml:space="preserve">на </w:t>
      </w:r>
      <w:r w:rsidR="00CF269A">
        <w:t>1,1</w:t>
      </w:r>
      <w:r w:rsidR="003A6524">
        <w:t xml:space="preserve">% </w:t>
      </w:r>
      <w:r w:rsidR="003A6524" w:rsidRPr="0043475D">
        <w:t xml:space="preserve">по отдельным </w:t>
      </w:r>
      <w:r w:rsidR="0043475D">
        <w:t>разделам</w:t>
      </w:r>
      <w:r w:rsidR="00834D94">
        <w:t xml:space="preserve"> </w:t>
      </w:r>
      <w:r w:rsidR="006503A2">
        <w:t xml:space="preserve">расходы </w:t>
      </w:r>
      <w:r w:rsidR="008A0A18">
        <w:t>увеличились</w:t>
      </w:r>
      <w:r w:rsidR="006503A2">
        <w:t xml:space="preserve"> более существенно</w:t>
      </w:r>
      <w:r w:rsidR="002C42F4">
        <w:t xml:space="preserve">, </w:t>
      </w:r>
      <w:r w:rsidR="006503A2">
        <w:t xml:space="preserve">по некоторым </w:t>
      </w:r>
      <w:r w:rsidR="00A81C02">
        <w:t>-</w:t>
      </w:r>
      <w:r w:rsidR="006503A2">
        <w:t xml:space="preserve"> наоборот </w:t>
      </w:r>
      <w:r w:rsidR="008A0A18">
        <w:t>сократились</w:t>
      </w:r>
      <w:r w:rsidR="006503A2">
        <w:t xml:space="preserve">, </w:t>
      </w:r>
      <w:r w:rsidR="006A46A5" w:rsidRPr="0043475D">
        <w:t xml:space="preserve">что видно из </w:t>
      </w:r>
      <w:r w:rsidR="00EA5D6B" w:rsidRPr="0043475D">
        <w:t xml:space="preserve">следующей </w:t>
      </w:r>
      <w:r w:rsidR="006A46A5" w:rsidRPr="0043475D">
        <w:t>таблицы:</w:t>
      </w:r>
    </w:p>
    <w:p w:rsidR="005312EA" w:rsidRDefault="005312EA" w:rsidP="00514735">
      <w:pPr>
        <w:ind w:firstLine="720"/>
        <w:jc w:val="both"/>
      </w:pPr>
    </w:p>
    <w:tbl>
      <w:tblPr>
        <w:tblW w:w="9620" w:type="dxa"/>
        <w:tblInd w:w="96" w:type="dxa"/>
        <w:tblLook w:val="04A0"/>
      </w:tblPr>
      <w:tblGrid>
        <w:gridCol w:w="620"/>
        <w:gridCol w:w="4140"/>
        <w:gridCol w:w="1400"/>
        <w:gridCol w:w="1360"/>
        <w:gridCol w:w="1160"/>
        <w:gridCol w:w="940"/>
      </w:tblGrid>
      <w:tr w:rsidR="005312EA" w:rsidRPr="004D4F42" w:rsidTr="00A31BC6">
        <w:trPr>
          <w:trHeight w:val="492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5312EA" w:rsidRPr="005312EA" w:rsidRDefault="005312EA" w:rsidP="00A31BC6">
            <w:pPr>
              <w:jc w:val="center"/>
              <w:rPr>
                <w:b/>
                <w:i/>
                <w:color w:val="000000"/>
                <w:sz w:val="20"/>
              </w:rPr>
            </w:pPr>
            <w:r w:rsidRPr="005312EA">
              <w:rPr>
                <w:b/>
                <w:i/>
                <w:color w:val="000000"/>
                <w:sz w:val="20"/>
              </w:rPr>
              <w:t>Код</w:t>
            </w:r>
          </w:p>
        </w:tc>
        <w:tc>
          <w:tcPr>
            <w:tcW w:w="4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5312EA" w:rsidRPr="005312EA" w:rsidRDefault="005312EA" w:rsidP="00A31BC6">
            <w:pPr>
              <w:jc w:val="center"/>
              <w:rPr>
                <w:b/>
                <w:i/>
                <w:color w:val="000000"/>
                <w:sz w:val="20"/>
              </w:rPr>
            </w:pPr>
            <w:r w:rsidRPr="005312EA">
              <w:rPr>
                <w:b/>
                <w:i/>
                <w:color w:val="000000"/>
                <w:sz w:val="20"/>
              </w:rPr>
              <w:t>Раздел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5312EA" w:rsidRPr="005312EA" w:rsidRDefault="005312EA" w:rsidP="00A31BC6">
            <w:pPr>
              <w:jc w:val="center"/>
              <w:rPr>
                <w:b/>
                <w:i/>
                <w:color w:val="000000"/>
                <w:sz w:val="20"/>
              </w:rPr>
            </w:pPr>
            <w:r w:rsidRPr="005312EA">
              <w:rPr>
                <w:b/>
                <w:i/>
                <w:color w:val="000000"/>
                <w:sz w:val="20"/>
              </w:rPr>
              <w:t>Исполнено за 2016 год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5312EA" w:rsidRPr="005312EA" w:rsidRDefault="005312EA" w:rsidP="00A31BC6">
            <w:pPr>
              <w:jc w:val="center"/>
              <w:rPr>
                <w:b/>
                <w:i/>
                <w:color w:val="000000"/>
                <w:sz w:val="20"/>
              </w:rPr>
            </w:pPr>
            <w:r w:rsidRPr="005312EA">
              <w:rPr>
                <w:b/>
                <w:i/>
                <w:color w:val="000000"/>
                <w:sz w:val="20"/>
              </w:rPr>
              <w:t>Исполнено за 2017 год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/>
            <w:vAlign w:val="center"/>
            <w:hideMark/>
          </w:tcPr>
          <w:p w:rsidR="005312EA" w:rsidRPr="005312EA" w:rsidRDefault="005312EA" w:rsidP="00A31BC6">
            <w:pPr>
              <w:jc w:val="center"/>
              <w:rPr>
                <w:b/>
                <w:i/>
                <w:color w:val="000000"/>
                <w:sz w:val="20"/>
              </w:rPr>
            </w:pPr>
            <w:r w:rsidRPr="005312EA">
              <w:rPr>
                <w:b/>
                <w:i/>
                <w:color w:val="000000"/>
                <w:sz w:val="20"/>
              </w:rPr>
              <w:t>Отклонение</w:t>
            </w:r>
          </w:p>
        </w:tc>
      </w:tr>
      <w:tr w:rsidR="005312EA" w:rsidRPr="004D4F42" w:rsidTr="00A31BC6">
        <w:trPr>
          <w:trHeight w:val="372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12EA" w:rsidRPr="005312EA" w:rsidRDefault="005312EA" w:rsidP="00A31BC6">
            <w:pPr>
              <w:rPr>
                <w:b/>
                <w:i/>
                <w:color w:val="000000"/>
                <w:sz w:val="20"/>
              </w:rPr>
            </w:pPr>
          </w:p>
        </w:tc>
        <w:tc>
          <w:tcPr>
            <w:tcW w:w="4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12EA" w:rsidRPr="005312EA" w:rsidRDefault="005312EA" w:rsidP="00A31BC6">
            <w:pPr>
              <w:rPr>
                <w:b/>
                <w:i/>
                <w:color w:val="000000"/>
                <w:sz w:val="20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12EA" w:rsidRPr="005312EA" w:rsidRDefault="005312EA" w:rsidP="00A31BC6">
            <w:pPr>
              <w:rPr>
                <w:b/>
                <w:i/>
                <w:color w:val="000000"/>
                <w:sz w:val="20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12EA" w:rsidRPr="005312EA" w:rsidRDefault="005312EA" w:rsidP="00A31BC6">
            <w:pPr>
              <w:rPr>
                <w:b/>
                <w:i/>
                <w:color w:val="000000"/>
                <w:sz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5312EA" w:rsidRPr="00182904" w:rsidRDefault="005312EA" w:rsidP="00A31BC6">
            <w:pPr>
              <w:jc w:val="center"/>
              <w:rPr>
                <w:b/>
                <w:i/>
                <w:color w:val="000000"/>
                <w:sz w:val="20"/>
              </w:rPr>
            </w:pPr>
            <w:r w:rsidRPr="00182904">
              <w:rPr>
                <w:b/>
                <w:i/>
                <w:color w:val="000000"/>
                <w:sz w:val="20"/>
              </w:rPr>
              <w:t>млн. руб.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5312EA" w:rsidRPr="00182904" w:rsidRDefault="005312EA" w:rsidP="00A31BC6">
            <w:pPr>
              <w:jc w:val="center"/>
              <w:rPr>
                <w:b/>
                <w:i/>
                <w:color w:val="000000"/>
                <w:sz w:val="20"/>
              </w:rPr>
            </w:pPr>
            <w:r w:rsidRPr="00182904">
              <w:rPr>
                <w:b/>
                <w:i/>
                <w:color w:val="000000"/>
                <w:sz w:val="20"/>
              </w:rPr>
              <w:t xml:space="preserve"> %</w:t>
            </w:r>
          </w:p>
        </w:tc>
      </w:tr>
      <w:tr w:rsidR="005312EA" w:rsidRPr="005312EA" w:rsidTr="00A31BC6">
        <w:trPr>
          <w:trHeight w:val="2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  <w:hideMark/>
          </w:tcPr>
          <w:p w:rsidR="005312EA" w:rsidRPr="005312EA" w:rsidRDefault="005312EA" w:rsidP="00A31BC6">
            <w:pPr>
              <w:rPr>
                <w:b/>
                <w:bCs/>
                <w:i/>
                <w:iCs/>
                <w:sz w:val="20"/>
              </w:rPr>
            </w:pPr>
            <w:r w:rsidRPr="005312EA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5312EA" w:rsidRPr="005312EA" w:rsidRDefault="005312EA" w:rsidP="00A31BC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5312EA">
              <w:rPr>
                <w:b/>
                <w:bCs/>
                <w:i/>
                <w:iCs/>
                <w:color w:val="000000"/>
                <w:sz w:val="20"/>
              </w:rPr>
              <w:t xml:space="preserve">Расходы бюджета </w:t>
            </w:r>
            <w:r w:rsidR="0055364A">
              <w:rPr>
                <w:b/>
                <w:bCs/>
                <w:i/>
                <w:iCs/>
                <w:color w:val="000000"/>
                <w:sz w:val="20"/>
              </w:rPr>
              <w:t>–</w:t>
            </w:r>
            <w:r w:rsidRPr="005312EA">
              <w:rPr>
                <w:b/>
                <w:bCs/>
                <w:i/>
                <w:iCs/>
                <w:color w:val="000000"/>
                <w:sz w:val="20"/>
              </w:rPr>
              <w:t xml:space="preserve"> ИТОГО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B30913" w:rsidRDefault="005312EA" w:rsidP="008A0A18">
            <w:pPr>
              <w:jc w:val="center"/>
              <w:rPr>
                <w:b/>
                <w:bCs/>
                <w:i/>
                <w:iCs/>
                <w:color w:val="000000"/>
                <w:sz w:val="20"/>
              </w:rPr>
            </w:pPr>
            <w:r w:rsidRPr="00B30913">
              <w:rPr>
                <w:b/>
                <w:bCs/>
                <w:i/>
                <w:iCs/>
                <w:color w:val="000000"/>
                <w:sz w:val="20"/>
              </w:rPr>
              <w:t>85 655,6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B30913" w:rsidRDefault="005312EA" w:rsidP="008A0A18">
            <w:pPr>
              <w:jc w:val="center"/>
              <w:rPr>
                <w:b/>
                <w:bCs/>
                <w:i/>
                <w:iCs/>
                <w:color w:val="000000"/>
                <w:sz w:val="20"/>
              </w:rPr>
            </w:pPr>
            <w:r w:rsidRPr="00B30913">
              <w:rPr>
                <w:b/>
                <w:bCs/>
                <w:i/>
                <w:iCs/>
                <w:color w:val="000000"/>
                <w:sz w:val="20"/>
              </w:rPr>
              <w:t>86 574,</w:t>
            </w:r>
            <w:r w:rsidR="008A0A18">
              <w:rPr>
                <w:b/>
                <w:bCs/>
                <w:i/>
                <w:iCs/>
                <w:color w:val="000000"/>
                <w:sz w:val="20"/>
              </w:rPr>
              <w:t>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B30913" w:rsidRDefault="005312EA" w:rsidP="0057052B">
            <w:pPr>
              <w:jc w:val="center"/>
              <w:rPr>
                <w:b/>
                <w:bCs/>
                <w:i/>
                <w:iCs/>
                <w:color w:val="000000"/>
                <w:sz w:val="20"/>
              </w:rPr>
            </w:pPr>
            <w:r w:rsidRPr="00B30913">
              <w:rPr>
                <w:b/>
                <w:bCs/>
                <w:i/>
                <w:iCs/>
                <w:color w:val="000000"/>
                <w:sz w:val="20"/>
              </w:rPr>
              <w:t>918,</w:t>
            </w:r>
            <w:r w:rsidR="0057052B">
              <w:rPr>
                <w:b/>
                <w:bCs/>
                <w:i/>
                <w:iCs/>
                <w:color w:val="000000"/>
                <w:sz w:val="20"/>
              </w:rPr>
              <w:t>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B30913" w:rsidRDefault="005312EA" w:rsidP="00535D3C">
            <w:pPr>
              <w:jc w:val="center"/>
              <w:rPr>
                <w:b/>
                <w:bCs/>
                <w:i/>
                <w:iCs/>
                <w:color w:val="000000"/>
                <w:sz w:val="20"/>
              </w:rPr>
            </w:pPr>
            <w:r w:rsidRPr="00B30913">
              <w:rPr>
                <w:b/>
                <w:bCs/>
                <w:i/>
                <w:iCs/>
                <w:color w:val="000000"/>
                <w:sz w:val="20"/>
              </w:rPr>
              <w:t>1,</w:t>
            </w:r>
            <w:r w:rsidR="00535D3C">
              <w:rPr>
                <w:b/>
                <w:bCs/>
                <w:i/>
                <w:iCs/>
                <w:color w:val="000000"/>
                <w:sz w:val="20"/>
              </w:rPr>
              <w:t>1</w:t>
            </w:r>
          </w:p>
        </w:tc>
      </w:tr>
      <w:tr w:rsidR="005312EA" w:rsidRPr="005312EA" w:rsidTr="00A31BC6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  <w:hideMark/>
          </w:tcPr>
          <w:p w:rsidR="005312EA" w:rsidRPr="005312EA" w:rsidRDefault="005312EA" w:rsidP="00A31BC6">
            <w:pPr>
              <w:jc w:val="center"/>
              <w:rPr>
                <w:b/>
                <w:bCs/>
                <w:sz w:val="20"/>
              </w:rPr>
            </w:pPr>
            <w:r w:rsidRPr="005312EA">
              <w:rPr>
                <w:b/>
                <w:bCs/>
                <w:sz w:val="20"/>
              </w:rPr>
              <w:t>0100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5312EA" w:rsidRPr="005312EA" w:rsidRDefault="005312EA" w:rsidP="00A31BC6">
            <w:pPr>
              <w:rPr>
                <w:color w:val="000000"/>
                <w:sz w:val="20"/>
              </w:rPr>
            </w:pPr>
            <w:r w:rsidRPr="005312EA">
              <w:rPr>
                <w:color w:val="000000"/>
                <w:sz w:val="20"/>
              </w:rPr>
              <w:t>Общегосударственные вопросы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2EA" w:rsidRPr="00B30913" w:rsidRDefault="005312EA" w:rsidP="00B30913">
            <w:pPr>
              <w:jc w:val="center"/>
              <w:rPr>
                <w:color w:val="000000"/>
                <w:sz w:val="20"/>
              </w:rPr>
            </w:pPr>
            <w:r w:rsidRPr="00B30913">
              <w:rPr>
                <w:color w:val="000000"/>
                <w:sz w:val="20"/>
              </w:rPr>
              <w:t>2979,5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B30913" w:rsidRDefault="008A0A18" w:rsidP="0057052B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3240,3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B30913" w:rsidRDefault="005312EA" w:rsidP="0057052B">
            <w:pPr>
              <w:jc w:val="center"/>
              <w:rPr>
                <w:color w:val="000000"/>
                <w:sz w:val="20"/>
              </w:rPr>
            </w:pPr>
            <w:r w:rsidRPr="00B30913">
              <w:rPr>
                <w:color w:val="000000"/>
                <w:sz w:val="20"/>
              </w:rPr>
              <w:t>260,8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B30913" w:rsidRDefault="005312EA" w:rsidP="00535D3C">
            <w:pPr>
              <w:jc w:val="center"/>
              <w:rPr>
                <w:color w:val="000000"/>
                <w:sz w:val="20"/>
              </w:rPr>
            </w:pPr>
            <w:r w:rsidRPr="00B30913">
              <w:rPr>
                <w:color w:val="000000"/>
                <w:sz w:val="20"/>
              </w:rPr>
              <w:t>8,7</w:t>
            </w:r>
          </w:p>
        </w:tc>
      </w:tr>
      <w:tr w:rsidR="005312EA" w:rsidRPr="005312EA" w:rsidTr="00A31BC6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  <w:hideMark/>
          </w:tcPr>
          <w:p w:rsidR="005312EA" w:rsidRPr="005312EA" w:rsidRDefault="005312EA" w:rsidP="00A31BC6">
            <w:pPr>
              <w:jc w:val="center"/>
              <w:rPr>
                <w:b/>
                <w:bCs/>
                <w:sz w:val="20"/>
              </w:rPr>
            </w:pPr>
            <w:r w:rsidRPr="005312EA">
              <w:rPr>
                <w:b/>
                <w:bCs/>
                <w:sz w:val="20"/>
              </w:rPr>
              <w:t>0200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5312EA" w:rsidRPr="005312EA" w:rsidRDefault="005312EA" w:rsidP="00A31BC6">
            <w:pPr>
              <w:rPr>
                <w:color w:val="000000"/>
                <w:sz w:val="20"/>
              </w:rPr>
            </w:pPr>
            <w:r w:rsidRPr="005312EA">
              <w:rPr>
                <w:color w:val="000000"/>
                <w:sz w:val="20"/>
              </w:rPr>
              <w:t>Национальная оборона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2EA" w:rsidRPr="00B30913" w:rsidRDefault="005312EA" w:rsidP="00B30913">
            <w:pPr>
              <w:jc w:val="center"/>
              <w:rPr>
                <w:color w:val="000000"/>
                <w:sz w:val="20"/>
              </w:rPr>
            </w:pPr>
            <w:r w:rsidRPr="00B30913">
              <w:rPr>
                <w:color w:val="000000"/>
                <w:sz w:val="20"/>
              </w:rPr>
              <w:t>41,4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B30913" w:rsidRDefault="008A0A18" w:rsidP="008A0A1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65,3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B30913" w:rsidRDefault="0057052B" w:rsidP="00B3091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23,9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B30913" w:rsidRDefault="005312EA" w:rsidP="00535D3C">
            <w:pPr>
              <w:jc w:val="center"/>
              <w:rPr>
                <w:color w:val="000000"/>
                <w:sz w:val="20"/>
              </w:rPr>
            </w:pPr>
            <w:r w:rsidRPr="00B30913">
              <w:rPr>
                <w:color w:val="000000"/>
                <w:sz w:val="20"/>
              </w:rPr>
              <w:t>57,5</w:t>
            </w:r>
          </w:p>
        </w:tc>
      </w:tr>
      <w:tr w:rsidR="005312EA" w:rsidRPr="005312EA" w:rsidTr="005312EA">
        <w:trPr>
          <w:trHeight w:val="20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  <w:hideMark/>
          </w:tcPr>
          <w:p w:rsidR="005312EA" w:rsidRPr="005312EA" w:rsidRDefault="005312EA" w:rsidP="00A31BC6">
            <w:pPr>
              <w:jc w:val="center"/>
              <w:rPr>
                <w:b/>
                <w:bCs/>
                <w:sz w:val="20"/>
              </w:rPr>
            </w:pPr>
            <w:r w:rsidRPr="005312EA">
              <w:rPr>
                <w:b/>
                <w:bCs/>
                <w:sz w:val="20"/>
              </w:rPr>
              <w:t>0300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5312EA" w:rsidRPr="005312EA" w:rsidRDefault="005312EA" w:rsidP="00A31BC6">
            <w:pPr>
              <w:rPr>
                <w:color w:val="000000"/>
                <w:sz w:val="20"/>
              </w:rPr>
            </w:pPr>
            <w:r w:rsidRPr="005312EA">
              <w:rPr>
                <w:color w:val="000000"/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2EA" w:rsidRPr="00B30913" w:rsidRDefault="005312EA" w:rsidP="00B30913">
            <w:pPr>
              <w:jc w:val="center"/>
              <w:rPr>
                <w:color w:val="000000"/>
                <w:sz w:val="20"/>
              </w:rPr>
            </w:pPr>
            <w:r w:rsidRPr="00B30913">
              <w:rPr>
                <w:color w:val="000000"/>
                <w:sz w:val="20"/>
              </w:rPr>
              <w:t>569,6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52B" w:rsidRDefault="0057052B" w:rsidP="008A0A18">
            <w:pPr>
              <w:jc w:val="center"/>
              <w:rPr>
                <w:color w:val="000000"/>
                <w:sz w:val="20"/>
              </w:rPr>
            </w:pPr>
          </w:p>
          <w:p w:rsidR="005312EA" w:rsidRPr="00B30913" w:rsidRDefault="005312EA" w:rsidP="008A0A18">
            <w:pPr>
              <w:jc w:val="center"/>
              <w:rPr>
                <w:color w:val="000000"/>
                <w:sz w:val="20"/>
              </w:rPr>
            </w:pPr>
            <w:r w:rsidRPr="00B30913">
              <w:rPr>
                <w:color w:val="000000"/>
                <w:sz w:val="20"/>
              </w:rPr>
              <w:t>516,4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52B" w:rsidRDefault="0057052B" w:rsidP="00B30913">
            <w:pPr>
              <w:jc w:val="center"/>
              <w:rPr>
                <w:color w:val="000000"/>
                <w:sz w:val="20"/>
              </w:rPr>
            </w:pPr>
          </w:p>
          <w:p w:rsidR="005312EA" w:rsidRPr="00B30913" w:rsidRDefault="005312EA" w:rsidP="0057052B">
            <w:pPr>
              <w:jc w:val="center"/>
              <w:rPr>
                <w:color w:val="000000"/>
                <w:sz w:val="20"/>
              </w:rPr>
            </w:pPr>
            <w:r w:rsidRPr="00B30913">
              <w:rPr>
                <w:color w:val="000000"/>
                <w:sz w:val="20"/>
              </w:rPr>
              <w:t>-53,</w:t>
            </w:r>
            <w:r w:rsidR="0057052B">
              <w:rPr>
                <w:color w:val="000000"/>
                <w:sz w:val="20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52B" w:rsidRDefault="0057052B" w:rsidP="00B30913">
            <w:pPr>
              <w:jc w:val="center"/>
              <w:rPr>
                <w:color w:val="000000"/>
                <w:sz w:val="20"/>
              </w:rPr>
            </w:pPr>
          </w:p>
          <w:p w:rsidR="005312EA" w:rsidRPr="00B30913" w:rsidRDefault="00535D3C" w:rsidP="00B3091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-9,3</w:t>
            </w:r>
          </w:p>
        </w:tc>
      </w:tr>
      <w:tr w:rsidR="005312EA" w:rsidRPr="005312EA" w:rsidTr="00A31BC6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  <w:hideMark/>
          </w:tcPr>
          <w:p w:rsidR="005312EA" w:rsidRPr="005312EA" w:rsidRDefault="005312EA" w:rsidP="00A31BC6">
            <w:pPr>
              <w:jc w:val="center"/>
              <w:rPr>
                <w:b/>
                <w:bCs/>
                <w:sz w:val="20"/>
              </w:rPr>
            </w:pPr>
            <w:r w:rsidRPr="005312EA">
              <w:rPr>
                <w:b/>
                <w:bCs/>
                <w:sz w:val="20"/>
              </w:rPr>
              <w:t>0400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5312EA" w:rsidRPr="005312EA" w:rsidRDefault="005312EA" w:rsidP="00A31BC6">
            <w:pPr>
              <w:rPr>
                <w:color w:val="000000"/>
                <w:sz w:val="20"/>
              </w:rPr>
            </w:pPr>
            <w:r w:rsidRPr="005312EA">
              <w:rPr>
                <w:color w:val="000000"/>
                <w:sz w:val="20"/>
              </w:rPr>
              <w:t>Национальная экономика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2EA" w:rsidRPr="00B30913" w:rsidRDefault="005312EA" w:rsidP="00B30913">
            <w:pPr>
              <w:jc w:val="center"/>
              <w:rPr>
                <w:color w:val="000000"/>
                <w:sz w:val="20"/>
              </w:rPr>
            </w:pPr>
            <w:r w:rsidRPr="00B30913">
              <w:rPr>
                <w:color w:val="000000"/>
                <w:sz w:val="20"/>
              </w:rPr>
              <w:t>16759,8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B30913" w:rsidRDefault="005312EA" w:rsidP="0057052B">
            <w:pPr>
              <w:jc w:val="center"/>
              <w:rPr>
                <w:color w:val="000000"/>
                <w:sz w:val="20"/>
              </w:rPr>
            </w:pPr>
            <w:r w:rsidRPr="00B30913">
              <w:rPr>
                <w:color w:val="000000"/>
                <w:sz w:val="20"/>
              </w:rPr>
              <w:t>16742,</w:t>
            </w:r>
            <w:r w:rsidR="008A0A18">
              <w:rPr>
                <w:color w:val="000000"/>
                <w:sz w:val="20"/>
              </w:rPr>
              <w:t>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B30913" w:rsidRDefault="005312EA" w:rsidP="0057052B">
            <w:pPr>
              <w:jc w:val="center"/>
              <w:rPr>
                <w:color w:val="000000"/>
                <w:sz w:val="20"/>
              </w:rPr>
            </w:pPr>
            <w:r w:rsidRPr="00B30913">
              <w:rPr>
                <w:color w:val="000000"/>
                <w:sz w:val="20"/>
              </w:rPr>
              <w:t>-17,4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B30913" w:rsidRDefault="005312EA" w:rsidP="00535D3C">
            <w:pPr>
              <w:jc w:val="center"/>
              <w:rPr>
                <w:color w:val="000000"/>
                <w:sz w:val="20"/>
              </w:rPr>
            </w:pPr>
            <w:r w:rsidRPr="00B30913">
              <w:rPr>
                <w:color w:val="000000"/>
                <w:sz w:val="20"/>
              </w:rPr>
              <w:t>-0,1</w:t>
            </w:r>
          </w:p>
        </w:tc>
      </w:tr>
      <w:tr w:rsidR="005312EA" w:rsidRPr="005312EA" w:rsidTr="00F3741E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  <w:hideMark/>
          </w:tcPr>
          <w:p w:rsidR="005312EA" w:rsidRPr="005312EA" w:rsidRDefault="005312EA" w:rsidP="00A31BC6">
            <w:pPr>
              <w:jc w:val="center"/>
              <w:rPr>
                <w:b/>
                <w:bCs/>
                <w:sz w:val="20"/>
              </w:rPr>
            </w:pPr>
            <w:r w:rsidRPr="005312EA">
              <w:rPr>
                <w:b/>
                <w:bCs/>
                <w:sz w:val="20"/>
              </w:rPr>
              <w:t>0500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5312EA" w:rsidRPr="005312EA" w:rsidRDefault="005312EA" w:rsidP="00A31BC6">
            <w:pPr>
              <w:rPr>
                <w:color w:val="000000"/>
                <w:sz w:val="20"/>
              </w:rPr>
            </w:pPr>
            <w:r w:rsidRPr="005312EA">
              <w:rPr>
                <w:color w:val="000000"/>
                <w:sz w:val="20"/>
              </w:rPr>
              <w:t>Жилищно-коммунальное хозяйство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2EA" w:rsidRPr="00B30913" w:rsidRDefault="005312EA" w:rsidP="00B30913">
            <w:pPr>
              <w:jc w:val="center"/>
              <w:rPr>
                <w:color w:val="000000"/>
                <w:sz w:val="20"/>
              </w:rPr>
            </w:pPr>
            <w:r w:rsidRPr="00B30913">
              <w:rPr>
                <w:color w:val="000000"/>
                <w:sz w:val="20"/>
              </w:rPr>
              <w:t>3299,7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B30913" w:rsidRDefault="0057052B" w:rsidP="00B3091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  <w:r w:rsidR="008A0A18">
              <w:rPr>
                <w:color w:val="000000"/>
                <w:sz w:val="20"/>
              </w:rPr>
              <w:t>665,4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B30913" w:rsidRDefault="005312EA" w:rsidP="0057052B">
            <w:pPr>
              <w:jc w:val="center"/>
              <w:rPr>
                <w:color w:val="000000"/>
                <w:sz w:val="20"/>
              </w:rPr>
            </w:pPr>
            <w:r w:rsidRPr="00B30913">
              <w:rPr>
                <w:color w:val="000000"/>
                <w:sz w:val="20"/>
              </w:rPr>
              <w:t>365,7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B30913" w:rsidRDefault="00535D3C" w:rsidP="00535D3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11,1</w:t>
            </w:r>
          </w:p>
        </w:tc>
      </w:tr>
      <w:tr w:rsidR="005312EA" w:rsidRPr="005312EA" w:rsidTr="00F3741E">
        <w:trPr>
          <w:trHeight w:val="264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  <w:hideMark/>
          </w:tcPr>
          <w:p w:rsidR="005312EA" w:rsidRPr="005312EA" w:rsidRDefault="005312EA" w:rsidP="00A31BC6">
            <w:pPr>
              <w:jc w:val="center"/>
              <w:rPr>
                <w:b/>
                <w:bCs/>
                <w:sz w:val="20"/>
              </w:rPr>
            </w:pPr>
            <w:r w:rsidRPr="005312EA">
              <w:rPr>
                <w:b/>
                <w:bCs/>
                <w:sz w:val="20"/>
              </w:rPr>
              <w:t>0600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5312EA" w:rsidRPr="005312EA" w:rsidRDefault="005312EA" w:rsidP="00A31BC6">
            <w:pPr>
              <w:rPr>
                <w:color w:val="000000"/>
                <w:sz w:val="20"/>
              </w:rPr>
            </w:pPr>
            <w:r w:rsidRPr="005312EA">
              <w:rPr>
                <w:color w:val="000000"/>
                <w:sz w:val="20"/>
              </w:rPr>
              <w:t>Охрана окружающей среды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2EA" w:rsidRPr="00B30913" w:rsidRDefault="005312EA" w:rsidP="00B30913">
            <w:pPr>
              <w:jc w:val="center"/>
              <w:rPr>
                <w:color w:val="000000"/>
                <w:sz w:val="20"/>
              </w:rPr>
            </w:pPr>
            <w:r w:rsidRPr="00B30913">
              <w:rPr>
                <w:color w:val="000000"/>
                <w:sz w:val="20"/>
              </w:rPr>
              <w:t>221,5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B30913" w:rsidRDefault="008A0A18" w:rsidP="00B3091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829,4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B30913" w:rsidRDefault="0057052B" w:rsidP="00B3091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607,9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B30913" w:rsidRDefault="0055364A" w:rsidP="0055364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в 3,7 р.</w:t>
            </w:r>
          </w:p>
        </w:tc>
      </w:tr>
      <w:tr w:rsidR="005312EA" w:rsidRPr="005312EA" w:rsidTr="00B30913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  <w:hideMark/>
          </w:tcPr>
          <w:p w:rsidR="005312EA" w:rsidRPr="005312EA" w:rsidRDefault="005312EA" w:rsidP="00A31BC6">
            <w:pPr>
              <w:jc w:val="center"/>
              <w:rPr>
                <w:b/>
                <w:bCs/>
                <w:sz w:val="20"/>
              </w:rPr>
            </w:pPr>
            <w:r w:rsidRPr="005312EA">
              <w:rPr>
                <w:b/>
                <w:bCs/>
                <w:sz w:val="20"/>
              </w:rPr>
              <w:t>0700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5312EA" w:rsidRPr="005312EA" w:rsidRDefault="005312EA" w:rsidP="00A31BC6">
            <w:pPr>
              <w:rPr>
                <w:color w:val="000000"/>
                <w:sz w:val="20"/>
              </w:rPr>
            </w:pPr>
            <w:r w:rsidRPr="005312EA">
              <w:rPr>
                <w:color w:val="000000"/>
                <w:sz w:val="20"/>
              </w:rPr>
              <w:t>Образование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2EA" w:rsidRPr="00B30913" w:rsidRDefault="005312EA" w:rsidP="00B30913">
            <w:pPr>
              <w:jc w:val="center"/>
              <w:rPr>
                <w:color w:val="000000"/>
                <w:sz w:val="20"/>
              </w:rPr>
            </w:pPr>
            <w:r w:rsidRPr="00B30913">
              <w:rPr>
                <w:color w:val="000000"/>
                <w:sz w:val="20"/>
              </w:rPr>
              <w:t>20239,8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B30913" w:rsidRDefault="005312EA" w:rsidP="0057052B">
            <w:pPr>
              <w:jc w:val="center"/>
              <w:rPr>
                <w:color w:val="000000"/>
                <w:sz w:val="20"/>
              </w:rPr>
            </w:pPr>
            <w:r w:rsidRPr="00B30913">
              <w:rPr>
                <w:color w:val="000000"/>
                <w:sz w:val="20"/>
              </w:rPr>
              <w:t>20677,</w:t>
            </w:r>
            <w:r w:rsidR="008A0A18">
              <w:rPr>
                <w:color w:val="000000"/>
                <w:sz w:val="20"/>
              </w:rPr>
              <w:t>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B30913" w:rsidRDefault="0057052B" w:rsidP="00B3091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437,8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B30913" w:rsidRDefault="00535D3C" w:rsidP="00B3091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2,2</w:t>
            </w:r>
          </w:p>
        </w:tc>
      </w:tr>
      <w:tr w:rsidR="005312EA" w:rsidRPr="005312EA" w:rsidTr="00B30913">
        <w:trPr>
          <w:trHeight w:val="264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  <w:hideMark/>
          </w:tcPr>
          <w:p w:rsidR="005312EA" w:rsidRPr="005312EA" w:rsidRDefault="005312EA" w:rsidP="00A31BC6">
            <w:pPr>
              <w:jc w:val="center"/>
              <w:rPr>
                <w:b/>
                <w:bCs/>
                <w:sz w:val="20"/>
              </w:rPr>
            </w:pPr>
            <w:r w:rsidRPr="005312EA">
              <w:rPr>
                <w:b/>
                <w:bCs/>
                <w:sz w:val="20"/>
              </w:rPr>
              <w:t>0800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5312EA" w:rsidRPr="005312EA" w:rsidRDefault="005312EA" w:rsidP="00A31BC6">
            <w:pPr>
              <w:rPr>
                <w:color w:val="000000"/>
                <w:sz w:val="20"/>
              </w:rPr>
            </w:pPr>
            <w:r w:rsidRPr="005312EA">
              <w:rPr>
                <w:color w:val="000000"/>
                <w:sz w:val="20"/>
              </w:rPr>
              <w:t>Культура, кинематография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2EA" w:rsidRPr="00B30913" w:rsidRDefault="005312EA" w:rsidP="00B30913">
            <w:pPr>
              <w:jc w:val="center"/>
              <w:rPr>
                <w:color w:val="000000"/>
                <w:sz w:val="20"/>
              </w:rPr>
            </w:pPr>
            <w:r w:rsidRPr="00B30913">
              <w:rPr>
                <w:color w:val="000000"/>
                <w:sz w:val="20"/>
              </w:rPr>
              <w:t>722,6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B30913" w:rsidRDefault="008A0A18" w:rsidP="00B3091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850,0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B30913" w:rsidRDefault="0057052B" w:rsidP="00B3091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127,4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B30913" w:rsidRDefault="005312EA" w:rsidP="00535D3C">
            <w:pPr>
              <w:jc w:val="center"/>
              <w:rPr>
                <w:color w:val="000000"/>
                <w:sz w:val="20"/>
              </w:rPr>
            </w:pPr>
            <w:r w:rsidRPr="00B30913">
              <w:rPr>
                <w:color w:val="000000"/>
                <w:sz w:val="20"/>
              </w:rPr>
              <w:t>17,6</w:t>
            </w:r>
          </w:p>
        </w:tc>
      </w:tr>
      <w:tr w:rsidR="005312EA" w:rsidRPr="005312EA" w:rsidTr="00A31BC6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  <w:hideMark/>
          </w:tcPr>
          <w:p w:rsidR="005312EA" w:rsidRPr="005312EA" w:rsidRDefault="005312EA" w:rsidP="00A31BC6">
            <w:pPr>
              <w:jc w:val="center"/>
              <w:rPr>
                <w:b/>
                <w:bCs/>
                <w:sz w:val="20"/>
              </w:rPr>
            </w:pPr>
            <w:r w:rsidRPr="005312EA">
              <w:rPr>
                <w:b/>
                <w:bCs/>
                <w:sz w:val="20"/>
              </w:rPr>
              <w:t>0900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5312EA" w:rsidRPr="005312EA" w:rsidRDefault="005312EA" w:rsidP="00A31BC6">
            <w:pPr>
              <w:rPr>
                <w:color w:val="000000"/>
                <w:sz w:val="20"/>
              </w:rPr>
            </w:pPr>
            <w:r w:rsidRPr="005312EA">
              <w:rPr>
                <w:color w:val="000000"/>
                <w:sz w:val="20"/>
              </w:rPr>
              <w:t xml:space="preserve">Здравоохранение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2EA" w:rsidRPr="00B30913" w:rsidRDefault="005312EA" w:rsidP="00B30913">
            <w:pPr>
              <w:jc w:val="center"/>
              <w:rPr>
                <w:color w:val="000000"/>
                <w:sz w:val="20"/>
              </w:rPr>
            </w:pPr>
            <w:r w:rsidRPr="00B30913">
              <w:rPr>
                <w:color w:val="000000"/>
                <w:sz w:val="20"/>
              </w:rPr>
              <w:t>5797,2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B30913" w:rsidRDefault="0057052B" w:rsidP="008A0A1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  <w:r w:rsidR="005312EA" w:rsidRPr="00B30913">
              <w:rPr>
                <w:color w:val="000000"/>
                <w:sz w:val="20"/>
              </w:rPr>
              <w:t>961,2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B30913" w:rsidRDefault="0057052B" w:rsidP="00B3091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164,0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B30913" w:rsidRDefault="00535D3C" w:rsidP="00B3091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2,8</w:t>
            </w:r>
          </w:p>
        </w:tc>
      </w:tr>
      <w:tr w:rsidR="005312EA" w:rsidRPr="005312EA" w:rsidTr="00A31BC6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  <w:hideMark/>
          </w:tcPr>
          <w:p w:rsidR="005312EA" w:rsidRPr="005312EA" w:rsidRDefault="005312EA" w:rsidP="00A31BC6">
            <w:pPr>
              <w:jc w:val="center"/>
              <w:rPr>
                <w:b/>
                <w:bCs/>
                <w:sz w:val="20"/>
              </w:rPr>
            </w:pPr>
            <w:r w:rsidRPr="005312EA">
              <w:rPr>
                <w:b/>
                <w:bCs/>
                <w:sz w:val="20"/>
              </w:rPr>
              <w:t>1000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5312EA" w:rsidRPr="005312EA" w:rsidRDefault="005312EA" w:rsidP="00A31BC6">
            <w:pPr>
              <w:rPr>
                <w:color w:val="000000"/>
                <w:sz w:val="20"/>
              </w:rPr>
            </w:pPr>
            <w:r w:rsidRPr="005312EA">
              <w:rPr>
                <w:color w:val="000000"/>
                <w:sz w:val="20"/>
              </w:rPr>
              <w:t>Социальная политика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2EA" w:rsidRPr="00B30913" w:rsidRDefault="005312EA" w:rsidP="00B30913">
            <w:pPr>
              <w:jc w:val="center"/>
              <w:rPr>
                <w:color w:val="000000"/>
                <w:sz w:val="20"/>
              </w:rPr>
            </w:pPr>
            <w:r w:rsidRPr="00B30913">
              <w:rPr>
                <w:color w:val="000000"/>
                <w:sz w:val="20"/>
              </w:rPr>
              <w:t>28424,1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B30913" w:rsidRDefault="008A0A18" w:rsidP="0057052B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26595,2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B30913" w:rsidRDefault="005312EA" w:rsidP="0057052B">
            <w:pPr>
              <w:jc w:val="center"/>
              <w:rPr>
                <w:color w:val="000000"/>
                <w:sz w:val="20"/>
              </w:rPr>
            </w:pPr>
            <w:r w:rsidRPr="00B30913">
              <w:rPr>
                <w:color w:val="000000"/>
                <w:sz w:val="20"/>
              </w:rPr>
              <w:t>-1828,9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B30913" w:rsidRDefault="005312EA" w:rsidP="00535D3C">
            <w:pPr>
              <w:jc w:val="center"/>
              <w:rPr>
                <w:color w:val="000000"/>
                <w:sz w:val="20"/>
              </w:rPr>
            </w:pPr>
            <w:r w:rsidRPr="00B30913">
              <w:rPr>
                <w:color w:val="000000"/>
                <w:sz w:val="20"/>
              </w:rPr>
              <w:t>-6,4</w:t>
            </w:r>
          </w:p>
        </w:tc>
      </w:tr>
      <w:tr w:rsidR="005312EA" w:rsidRPr="005312EA" w:rsidTr="00A31BC6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  <w:hideMark/>
          </w:tcPr>
          <w:p w:rsidR="005312EA" w:rsidRPr="005312EA" w:rsidRDefault="005312EA" w:rsidP="00A31BC6">
            <w:pPr>
              <w:jc w:val="center"/>
              <w:rPr>
                <w:b/>
                <w:bCs/>
                <w:sz w:val="20"/>
              </w:rPr>
            </w:pPr>
            <w:r w:rsidRPr="005312EA">
              <w:rPr>
                <w:b/>
                <w:bCs/>
                <w:sz w:val="20"/>
              </w:rPr>
              <w:t>1100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5312EA" w:rsidRPr="005312EA" w:rsidRDefault="005312EA" w:rsidP="00A31BC6">
            <w:pPr>
              <w:rPr>
                <w:color w:val="000000"/>
                <w:sz w:val="20"/>
              </w:rPr>
            </w:pPr>
            <w:r w:rsidRPr="005312EA">
              <w:rPr>
                <w:color w:val="000000"/>
                <w:sz w:val="20"/>
              </w:rPr>
              <w:t>Физическая культура и спорт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2EA" w:rsidRPr="00B30913" w:rsidRDefault="005312EA" w:rsidP="00B30913">
            <w:pPr>
              <w:jc w:val="center"/>
              <w:rPr>
                <w:color w:val="000000"/>
                <w:sz w:val="20"/>
              </w:rPr>
            </w:pPr>
            <w:r w:rsidRPr="00B30913">
              <w:rPr>
                <w:color w:val="000000"/>
                <w:sz w:val="20"/>
              </w:rPr>
              <w:t>582,6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B30913" w:rsidRDefault="0057052B" w:rsidP="008A0A1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  <w:r w:rsidR="005312EA" w:rsidRPr="00B30913">
              <w:rPr>
                <w:color w:val="000000"/>
                <w:sz w:val="20"/>
              </w:rPr>
              <w:t>392,8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B30913" w:rsidRDefault="0057052B" w:rsidP="00B3091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810,2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B30913" w:rsidRDefault="0055364A" w:rsidP="00535D3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в 2,4 р.</w:t>
            </w:r>
          </w:p>
        </w:tc>
      </w:tr>
      <w:tr w:rsidR="005312EA" w:rsidRPr="005312EA" w:rsidTr="00A31BC6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  <w:hideMark/>
          </w:tcPr>
          <w:p w:rsidR="005312EA" w:rsidRPr="005312EA" w:rsidRDefault="005312EA" w:rsidP="00A31BC6">
            <w:pPr>
              <w:jc w:val="center"/>
              <w:rPr>
                <w:b/>
                <w:bCs/>
                <w:sz w:val="20"/>
              </w:rPr>
            </w:pPr>
            <w:r w:rsidRPr="005312EA">
              <w:rPr>
                <w:b/>
                <w:bCs/>
                <w:sz w:val="20"/>
              </w:rPr>
              <w:t>1200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5312EA" w:rsidRPr="005312EA" w:rsidRDefault="005312EA" w:rsidP="00A31BC6">
            <w:pPr>
              <w:rPr>
                <w:color w:val="000000"/>
                <w:sz w:val="20"/>
              </w:rPr>
            </w:pPr>
            <w:r w:rsidRPr="005312EA">
              <w:rPr>
                <w:color w:val="000000"/>
                <w:sz w:val="20"/>
              </w:rPr>
              <w:t>Средства массовой информации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2EA" w:rsidRPr="00B30913" w:rsidRDefault="005312EA" w:rsidP="00B30913">
            <w:pPr>
              <w:jc w:val="center"/>
              <w:rPr>
                <w:color w:val="000000"/>
                <w:sz w:val="20"/>
              </w:rPr>
            </w:pPr>
            <w:r w:rsidRPr="00B30913">
              <w:rPr>
                <w:color w:val="000000"/>
                <w:sz w:val="20"/>
              </w:rPr>
              <w:t>95,1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B30913" w:rsidRDefault="008A0A18" w:rsidP="008A0A1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92,7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B30913" w:rsidRDefault="005312EA" w:rsidP="0057052B">
            <w:pPr>
              <w:jc w:val="center"/>
              <w:rPr>
                <w:color w:val="000000"/>
                <w:sz w:val="20"/>
              </w:rPr>
            </w:pPr>
            <w:r w:rsidRPr="00B30913">
              <w:rPr>
                <w:color w:val="000000"/>
                <w:sz w:val="20"/>
              </w:rPr>
              <w:t>-2,4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B30913" w:rsidRDefault="005312EA" w:rsidP="0057052B">
            <w:pPr>
              <w:jc w:val="center"/>
              <w:rPr>
                <w:color w:val="000000"/>
                <w:sz w:val="20"/>
              </w:rPr>
            </w:pPr>
            <w:r w:rsidRPr="00B30913">
              <w:rPr>
                <w:color w:val="000000"/>
                <w:sz w:val="20"/>
              </w:rPr>
              <w:t>-2,6</w:t>
            </w:r>
          </w:p>
        </w:tc>
      </w:tr>
      <w:tr w:rsidR="005312EA" w:rsidRPr="005312EA" w:rsidTr="00A31BC6">
        <w:trPr>
          <w:trHeight w:val="52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  <w:hideMark/>
          </w:tcPr>
          <w:p w:rsidR="005312EA" w:rsidRPr="005312EA" w:rsidRDefault="005312EA" w:rsidP="00A31BC6">
            <w:pPr>
              <w:jc w:val="center"/>
              <w:rPr>
                <w:b/>
                <w:bCs/>
                <w:sz w:val="20"/>
              </w:rPr>
            </w:pPr>
            <w:r w:rsidRPr="005312EA">
              <w:rPr>
                <w:b/>
                <w:bCs/>
                <w:sz w:val="20"/>
              </w:rPr>
              <w:t>1300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5312EA" w:rsidRPr="005312EA" w:rsidRDefault="005312EA" w:rsidP="00A31BC6">
            <w:pPr>
              <w:rPr>
                <w:color w:val="000000"/>
                <w:sz w:val="20"/>
              </w:rPr>
            </w:pPr>
            <w:r w:rsidRPr="005312EA">
              <w:rPr>
                <w:color w:val="000000"/>
                <w:sz w:val="20"/>
              </w:rPr>
              <w:t>Обслуживание государственного и муниципального долга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2EA" w:rsidRPr="00B30913" w:rsidRDefault="005312EA" w:rsidP="00B30913">
            <w:pPr>
              <w:jc w:val="center"/>
              <w:rPr>
                <w:color w:val="000000"/>
                <w:sz w:val="20"/>
              </w:rPr>
            </w:pPr>
            <w:r w:rsidRPr="00B30913">
              <w:rPr>
                <w:color w:val="000000"/>
                <w:sz w:val="20"/>
              </w:rPr>
              <w:t>2699,2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913" w:rsidRPr="00B30913" w:rsidRDefault="00B30913" w:rsidP="00B30913">
            <w:pPr>
              <w:jc w:val="center"/>
              <w:rPr>
                <w:color w:val="000000"/>
                <w:sz w:val="20"/>
              </w:rPr>
            </w:pPr>
          </w:p>
          <w:p w:rsidR="005312EA" w:rsidRPr="00B30913" w:rsidRDefault="005312EA" w:rsidP="0057052B">
            <w:pPr>
              <w:jc w:val="center"/>
              <w:rPr>
                <w:color w:val="000000"/>
                <w:sz w:val="20"/>
              </w:rPr>
            </w:pPr>
            <w:r w:rsidRPr="00B30913">
              <w:rPr>
                <w:color w:val="000000"/>
                <w:sz w:val="20"/>
              </w:rPr>
              <w:t>3651,9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913" w:rsidRPr="00B30913" w:rsidRDefault="00B30913" w:rsidP="00B30913">
            <w:pPr>
              <w:jc w:val="center"/>
              <w:rPr>
                <w:color w:val="000000"/>
                <w:sz w:val="20"/>
              </w:rPr>
            </w:pPr>
          </w:p>
          <w:p w:rsidR="005312EA" w:rsidRPr="00B30913" w:rsidRDefault="005312EA" w:rsidP="0057052B">
            <w:pPr>
              <w:jc w:val="center"/>
              <w:rPr>
                <w:color w:val="000000"/>
                <w:sz w:val="20"/>
              </w:rPr>
            </w:pPr>
            <w:r w:rsidRPr="00B30913">
              <w:rPr>
                <w:color w:val="000000"/>
                <w:sz w:val="20"/>
              </w:rPr>
              <w:t>952,7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D3C" w:rsidRDefault="00535D3C" w:rsidP="00535D3C">
            <w:pPr>
              <w:jc w:val="center"/>
              <w:rPr>
                <w:color w:val="000000"/>
                <w:sz w:val="20"/>
              </w:rPr>
            </w:pPr>
          </w:p>
          <w:p w:rsidR="005312EA" w:rsidRPr="00B30913" w:rsidRDefault="005312EA" w:rsidP="00535D3C">
            <w:pPr>
              <w:jc w:val="center"/>
              <w:rPr>
                <w:color w:val="000000"/>
                <w:sz w:val="20"/>
              </w:rPr>
            </w:pPr>
            <w:r w:rsidRPr="00B30913">
              <w:rPr>
                <w:color w:val="000000"/>
                <w:sz w:val="20"/>
              </w:rPr>
              <w:t>35,3</w:t>
            </w:r>
          </w:p>
        </w:tc>
      </w:tr>
      <w:tr w:rsidR="005312EA" w:rsidRPr="005312EA" w:rsidTr="00BB39AE">
        <w:trPr>
          <w:trHeight w:val="64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  <w:hideMark/>
          </w:tcPr>
          <w:p w:rsidR="005312EA" w:rsidRPr="005312EA" w:rsidRDefault="005312EA" w:rsidP="00A31BC6">
            <w:pPr>
              <w:jc w:val="center"/>
              <w:rPr>
                <w:b/>
                <w:bCs/>
                <w:sz w:val="20"/>
              </w:rPr>
            </w:pPr>
            <w:r w:rsidRPr="005312EA">
              <w:rPr>
                <w:b/>
                <w:bCs/>
                <w:sz w:val="20"/>
              </w:rPr>
              <w:t>1400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5312EA" w:rsidRPr="005312EA" w:rsidRDefault="005312EA" w:rsidP="00BB39AE">
            <w:pPr>
              <w:rPr>
                <w:color w:val="000000"/>
                <w:sz w:val="20"/>
              </w:rPr>
            </w:pPr>
            <w:r w:rsidRPr="005312EA">
              <w:rPr>
                <w:color w:val="000000"/>
                <w:sz w:val="20"/>
              </w:rPr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B30913" w:rsidRDefault="005312EA" w:rsidP="0057052B">
            <w:pPr>
              <w:jc w:val="center"/>
              <w:rPr>
                <w:color w:val="000000"/>
                <w:sz w:val="20"/>
              </w:rPr>
            </w:pPr>
            <w:r w:rsidRPr="00B30913">
              <w:rPr>
                <w:color w:val="000000"/>
                <w:sz w:val="20"/>
              </w:rPr>
              <w:t>3223,5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B30913" w:rsidRDefault="005312EA" w:rsidP="0057052B">
            <w:pPr>
              <w:jc w:val="center"/>
              <w:rPr>
                <w:color w:val="000000"/>
                <w:sz w:val="20"/>
              </w:rPr>
            </w:pPr>
            <w:r w:rsidRPr="00B30913">
              <w:rPr>
                <w:color w:val="000000"/>
                <w:sz w:val="20"/>
              </w:rPr>
              <w:t>2293,8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B30913" w:rsidRDefault="005312EA" w:rsidP="0057052B">
            <w:pPr>
              <w:jc w:val="center"/>
              <w:rPr>
                <w:color w:val="000000"/>
                <w:sz w:val="20"/>
              </w:rPr>
            </w:pPr>
            <w:r w:rsidRPr="00B30913">
              <w:rPr>
                <w:color w:val="000000"/>
                <w:sz w:val="20"/>
              </w:rPr>
              <w:t>-929,</w:t>
            </w:r>
            <w:r w:rsidR="0057052B">
              <w:rPr>
                <w:color w:val="000000"/>
                <w:sz w:val="20"/>
              </w:rPr>
              <w:t>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EA" w:rsidRPr="00B30913" w:rsidRDefault="005312EA" w:rsidP="00AE7D8F">
            <w:pPr>
              <w:jc w:val="center"/>
              <w:rPr>
                <w:color w:val="000000"/>
                <w:sz w:val="20"/>
              </w:rPr>
            </w:pPr>
            <w:r w:rsidRPr="00B30913">
              <w:rPr>
                <w:color w:val="000000"/>
                <w:sz w:val="20"/>
              </w:rPr>
              <w:t>-28,8</w:t>
            </w:r>
          </w:p>
        </w:tc>
      </w:tr>
    </w:tbl>
    <w:p w:rsidR="003612DB" w:rsidRDefault="003612DB" w:rsidP="00B26AFE">
      <w:pPr>
        <w:ind w:firstLine="720"/>
        <w:jc w:val="both"/>
        <w:rPr>
          <w:szCs w:val="24"/>
        </w:rPr>
      </w:pPr>
    </w:p>
    <w:p w:rsidR="0055364A" w:rsidRDefault="0055364A" w:rsidP="00B26AFE">
      <w:pPr>
        <w:ind w:firstLine="720"/>
        <w:jc w:val="both"/>
        <w:rPr>
          <w:szCs w:val="24"/>
        </w:rPr>
      </w:pPr>
      <w:r>
        <w:rPr>
          <w:szCs w:val="24"/>
        </w:rPr>
        <w:t xml:space="preserve">Наибольший рост расходов относительно предыдущего года отмечен по расходам на охрану окружающей среды (в </w:t>
      </w:r>
      <w:r w:rsidR="00AE7D8F">
        <w:rPr>
          <w:szCs w:val="24"/>
        </w:rPr>
        <w:t>3</w:t>
      </w:r>
      <w:r>
        <w:rPr>
          <w:szCs w:val="24"/>
        </w:rPr>
        <w:t>,7 раза)</w:t>
      </w:r>
      <w:r w:rsidR="00AE7D8F">
        <w:rPr>
          <w:szCs w:val="24"/>
        </w:rPr>
        <w:t>, на физическую культуру и спорт (в 2,4 раза)</w:t>
      </w:r>
      <w:r w:rsidR="00BA0035">
        <w:rPr>
          <w:szCs w:val="24"/>
        </w:rPr>
        <w:t>, на обслуживание государственного долга (на 35,3%). Наибольшее снижение расходов произошло по межбюджетным трансфертам общего характера муниципальным образованиям из областного бюджета – на 28,8 процента.</w:t>
      </w:r>
      <w:r>
        <w:rPr>
          <w:szCs w:val="24"/>
        </w:rPr>
        <w:t xml:space="preserve"> </w:t>
      </w:r>
    </w:p>
    <w:p w:rsidR="003476C2" w:rsidRDefault="006503A2" w:rsidP="00397E93">
      <w:pPr>
        <w:ind w:firstLine="720"/>
        <w:jc w:val="both"/>
        <w:rPr>
          <w:color w:val="FF0000"/>
          <w:szCs w:val="24"/>
        </w:rPr>
      </w:pPr>
      <w:r>
        <w:rPr>
          <w:szCs w:val="24"/>
        </w:rPr>
        <w:t xml:space="preserve">Исполнение расходов в </w:t>
      </w:r>
      <w:r w:rsidR="004355F6">
        <w:rPr>
          <w:szCs w:val="24"/>
        </w:rPr>
        <w:t xml:space="preserve">разрезе главных </w:t>
      </w:r>
      <w:r w:rsidR="00B13D79">
        <w:rPr>
          <w:szCs w:val="24"/>
        </w:rPr>
        <w:t>распорядителей</w:t>
      </w:r>
      <w:r w:rsidR="004355F6">
        <w:rPr>
          <w:szCs w:val="24"/>
        </w:rPr>
        <w:t xml:space="preserve"> средств областного бюджета за 201</w:t>
      </w:r>
      <w:r w:rsidR="003476C2">
        <w:rPr>
          <w:szCs w:val="24"/>
        </w:rPr>
        <w:t>7</w:t>
      </w:r>
      <w:r w:rsidR="004355F6">
        <w:rPr>
          <w:szCs w:val="24"/>
        </w:rPr>
        <w:t xml:space="preserve"> год приведено </w:t>
      </w:r>
      <w:r w:rsidR="004355F6" w:rsidRPr="004355F6">
        <w:rPr>
          <w:b/>
          <w:i/>
          <w:szCs w:val="24"/>
          <w:u w:val="single"/>
        </w:rPr>
        <w:t>в приложении №</w:t>
      </w:r>
      <w:r w:rsidR="00A976A1">
        <w:rPr>
          <w:b/>
          <w:i/>
          <w:szCs w:val="24"/>
          <w:u w:val="single"/>
        </w:rPr>
        <w:t>3</w:t>
      </w:r>
      <w:r w:rsidR="00693ABB">
        <w:rPr>
          <w:b/>
          <w:i/>
          <w:szCs w:val="24"/>
          <w:u w:val="single"/>
        </w:rPr>
        <w:t>.</w:t>
      </w:r>
      <w:r w:rsidR="00693ABB" w:rsidRPr="00693ABB">
        <w:rPr>
          <w:szCs w:val="24"/>
        </w:rPr>
        <w:t xml:space="preserve"> </w:t>
      </w:r>
      <w:proofErr w:type="gramStart"/>
      <w:r w:rsidR="00693ABB" w:rsidRPr="00693ABB">
        <w:rPr>
          <w:szCs w:val="24"/>
        </w:rPr>
        <w:t>Из приложения видно,</w:t>
      </w:r>
      <w:r w:rsidR="00B320C1">
        <w:rPr>
          <w:szCs w:val="24"/>
        </w:rPr>
        <w:t xml:space="preserve"> </w:t>
      </w:r>
      <w:r w:rsidR="00F34B33">
        <w:rPr>
          <w:szCs w:val="24"/>
        </w:rPr>
        <w:t>что при среднем проценте исполнения расходов 98,7% по ряду главных распорядителей бюджетных средств ассигнования, утвержденные в законе о бюджете, не исполнены гораздо в большем размере (например, по комитету строительства исполнение составило 74,4%, по комитету информационных технологий – 44,3%, по комитету промышленности и торговли – 68,8%, по комитету по труду и занятости населения – 85,9% и т. д.).</w:t>
      </w:r>
      <w:proofErr w:type="gramEnd"/>
      <w:r w:rsidR="00F34B33">
        <w:rPr>
          <w:szCs w:val="24"/>
        </w:rPr>
        <w:t xml:space="preserve"> При этом по ряду ГРБС </w:t>
      </w:r>
      <w:r w:rsidR="00F34B33">
        <w:rPr>
          <w:szCs w:val="24"/>
        </w:rPr>
        <w:lastRenderedPageBreak/>
        <w:t>фактическое исполнение расходов превысило бюджетные назначения. В их числе комитет по обеспечению безопасности жизнедеятельности населения (115,9%), комитет тарифного регулирования (158,6%), комитет физической культуры и спорта (133,3%), комитет государственного жилищного надзора (119,1%), комитет по регулированию контрактной системы в сфере закупок (108,5%) и другие.</w:t>
      </w:r>
    </w:p>
    <w:p w:rsidR="003476C2" w:rsidRPr="00BA0035" w:rsidRDefault="00BA0035" w:rsidP="003476C2">
      <w:pPr>
        <w:ind w:firstLine="720"/>
        <w:jc w:val="both"/>
      </w:pPr>
      <w:r w:rsidRPr="00BA0035">
        <w:t>Основные</w:t>
      </w:r>
      <w:r>
        <w:t xml:space="preserve"> причины неисполнения </w:t>
      </w:r>
      <w:r w:rsidR="006E260A">
        <w:t xml:space="preserve">(превышения) </w:t>
      </w:r>
      <w:r>
        <w:t xml:space="preserve">бюджетных ассигнований 2017 года, а также снижения </w:t>
      </w:r>
      <w:r w:rsidR="006E260A">
        <w:t>(</w:t>
      </w:r>
      <w:r>
        <w:t>роста</w:t>
      </w:r>
      <w:r w:rsidR="006E260A">
        <w:t>)</w:t>
      </w:r>
      <w:r>
        <w:t xml:space="preserve"> расходов относительно предыдущего года изложены в соответствующих разделах настоящего заключения.</w:t>
      </w:r>
    </w:p>
    <w:p w:rsidR="00EA0CE7" w:rsidRDefault="00EA0CE7" w:rsidP="003476C2">
      <w:pPr>
        <w:ind w:firstLine="720"/>
        <w:jc w:val="both"/>
        <w:rPr>
          <w:b/>
        </w:rPr>
      </w:pPr>
    </w:p>
    <w:p w:rsidR="00944D3A" w:rsidRDefault="00944D3A" w:rsidP="001061B8">
      <w:pPr>
        <w:jc w:val="center"/>
        <w:outlineLvl w:val="0"/>
        <w:rPr>
          <w:b/>
        </w:rPr>
      </w:pPr>
      <w:r w:rsidRPr="00CA4020">
        <w:rPr>
          <w:b/>
        </w:rPr>
        <w:t>4.1. Расходы по разделу 0100 «Общегосударственные вопросы».</w:t>
      </w:r>
    </w:p>
    <w:p w:rsidR="009A6F9F" w:rsidRDefault="009A6F9F" w:rsidP="001061B8">
      <w:pPr>
        <w:jc w:val="center"/>
        <w:outlineLvl w:val="0"/>
        <w:rPr>
          <w:b/>
        </w:rPr>
      </w:pPr>
    </w:p>
    <w:p w:rsidR="009D255E" w:rsidRDefault="00944D3A" w:rsidP="00244636">
      <w:pPr>
        <w:ind w:firstLine="708"/>
        <w:jc w:val="both"/>
      </w:pPr>
      <w:r>
        <w:t>Уточненные бюджетные ассигнования по разделу «Общегосударственные вопросы» утверждены законом о бюджете на 20</w:t>
      </w:r>
      <w:r w:rsidR="00F45E08">
        <w:t>1</w:t>
      </w:r>
      <w:r w:rsidR="00F713CC">
        <w:t>7</w:t>
      </w:r>
      <w:r>
        <w:t xml:space="preserve"> год в размере </w:t>
      </w:r>
      <w:r w:rsidR="00AE52F5" w:rsidRPr="00AE52F5">
        <w:rPr>
          <w:bCs/>
          <w:szCs w:val="24"/>
        </w:rPr>
        <w:t>3473,1</w:t>
      </w:r>
      <w:r w:rsidR="00AE52F5">
        <w:rPr>
          <w:b/>
          <w:bCs/>
          <w:sz w:val="20"/>
        </w:rPr>
        <w:t xml:space="preserve"> </w:t>
      </w:r>
      <w:r>
        <w:t xml:space="preserve">млн. рублей. </w:t>
      </w:r>
      <w:r w:rsidR="003F1609">
        <w:t>Ф</w:t>
      </w:r>
      <w:r>
        <w:t xml:space="preserve">актическое исполнение расходов данного раздела составило </w:t>
      </w:r>
      <w:r w:rsidR="00AE52F5">
        <w:t>3240,3</w:t>
      </w:r>
      <w:r w:rsidR="00CC3DEA">
        <w:t xml:space="preserve"> млн. руб.</w:t>
      </w:r>
      <w:r>
        <w:t xml:space="preserve">, или </w:t>
      </w:r>
      <w:r w:rsidR="00AE52F5">
        <w:t>93,3</w:t>
      </w:r>
      <w:r>
        <w:t xml:space="preserve">% от бюджетных </w:t>
      </w:r>
      <w:r w:rsidR="005A2690">
        <w:t>ассигнова</w:t>
      </w:r>
      <w:r>
        <w:t>ний</w:t>
      </w:r>
      <w:r w:rsidR="00244636">
        <w:t>, в том числе в разрезе главных распорядителей</w:t>
      </w:r>
      <w:r w:rsidR="009D255E">
        <w:t xml:space="preserve"> средств областного бюджета</w:t>
      </w:r>
      <w:r w:rsidR="00244636">
        <w:t>:</w:t>
      </w:r>
    </w:p>
    <w:p w:rsidR="00F713CC" w:rsidRPr="006B7E12" w:rsidRDefault="006B7E12" w:rsidP="006B7E12">
      <w:pPr>
        <w:jc w:val="right"/>
        <w:rPr>
          <w:sz w:val="20"/>
        </w:rPr>
      </w:pPr>
      <w:r>
        <w:rPr>
          <w:sz w:val="20"/>
        </w:rPr>
        <w:t>млн. руб.</w:t>
      </w:r>
    </w:p>
    <w:tbl>
      <w:tblPr>
        <w:tblW w:w="9510" w:type="dxa"/>
        <w:tblInd w:w="96" w:type="dxa"/>
        <w:tblLayout w:type="fixed"/>
        <w:tblLook w:val="04A0"/>
      </w:tblPr>
      <w:tblGrid>
        <w:gridCol w:w="3840"/>
        <w:gridCol w:w="1113"/>
        <w:gridCol w:w="1155"/>
        <w:gridCol w:w="1113"/>
        <w:gridCol w:w="1013"/>
        <w:gridCol w:w="1276"/>
      </w:tblGrid>
      <w:tr w:rsidR="00AE52F5" w:rsidRPr="00AE52F5" w:rsidTr="00AE52F5">
        <w:trPr>
          <w:trHeight w:val="264"/>
        </w:trPr>
        <w:tc>
          <w:tcPr>
            <w:tcW w:w="3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AE52F5" w:rsidRPr="00AE52F5" w:rsidRDefault="00AE52F5" w:rsidP="0040759A">
            <w:pPr>
              <w:jc w:val="center"/>
              <w:rPr>
                <w:b/>
                <w:i/>
                <w:iCs/>
                <w:sz w:val="20"/>
              </w:rPr>
            </w:pPr>
            <w:r w:rsidRPr="00AE52F5">
              <w:rPr>
                <w:b/>
                <w:i/>
                <w:iCs/>
                <w:sz w:val="20"/>
              </w:rPr>
              <w:t>Наименование ГРБС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  <w:hideMark/>
          </w:tcPr>
          <w:p w:rsidR="00AE52F5" w:rsidRPr="00AE52F5" w:rsidRDefault="00AE52F5" w:rsidP="0040759A">
            <w:pPr>
              <w:jc w:val="center"/>
              <w:rPr>
                <w:b/>
                <w:i/>
                <w:iCs/>
                <w:sz w:val="20"/>
              </w:rPr>
            </w:pPr>
            <w:r w:rsidRPr="00AE52F5">
              <w:rPr>
                <w:b/>
                <w:i/>
                <w:iCs/>
                <w:sz w:val="20"/>
              </w:rPr>
              <w:t>Общегосударственные вопросы</w:t>
            </w:r>
          </w:p>
        </w:tc>
      </w:tr>
      <w:tr w:rsidR="00AE52F5" w:rsidRPr="00AE52F5" w:rsidTr="00AE52F5">
        <w:trPr>
          <w:trHeight w:val="522"/>
        </w:trPr>
        <w:tc>
          <w:tcPr>
            <w:tcW w:w="3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AE52F5" w:rsidRPr="00AE52F5" w:rsidRDefault="00AE52F5" w:rsidP="0040759A">
            <w:pPr>
              <w:jc w:val="center"/>
              <w:rPr>
                <w:b/>
                <w:i/>
                <w:iCs/>
                <w:sz w:val="20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  <w:hideMark/>
          </w:tcPr>
          <w:p w:rsidR="00AE52F5" w:rsidRPr="00AE52F5" w:rsidRDefault="00AE52F5" w:rsidP="0040759A">
            <w:pPr>
              <w:jc w:val="center"/>
              <w:rPr>
                <w:b/>
                <w:i/>
                <w:iCs/>
                <w:sz w:val="20"/>
              </w:rPr>
            </w:pPr>
            <w:r w:rsidRPr="00AE52F5">
              <w:rPr>
                <w:b/>
                <w:i/>
                <w:iCs/>
                <w:sz w:val="20"/>
              </w:rPr>
              <w:t>факт 2016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  <w:hideMark/>
          </w:tcPr>
          <w:p w:rsidR="00AE52F5" w:rsidRPr="00AE52F5" w:rsidRDefault="00AE52F5" w:rsidP="0040759A">
            <w:pPr>
              <w:jc w:val="center"/>
              <w:rPr>
                <w:b/>
                <w:i/>
                <w:iCs/>
                <w:sz w:val="20"/>
              </w:rPr>
            </w:pPr>
            <w:r w:rsidRPr="00AE52F5">
              <w:rPr>
                <w:b/>
                <w:i/>
                <w:iCs/>
                <w:sz w:val="20"/>
              </w:rPr>
              <w:t>план 2017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  <w:hideMark/>
          </w:tcPr>
          <w:p w:rsidR="00AE52F5" w:rsidRPr="00AE52F5" w:rsidRDefault="00AE52F5" w:rsidP="0040759A">
            <w:pPr>
              <w:jc w:val="center"/>
              <w:rPr>
                <w:b/>
                <w:i/>
                <w:iCs/>
                <w:sz w:val="20"/>
              </w:rPr>
            </w:pPr>
            <w:r w:rsidRPr="00AE52F5">
              <w:rPr>
                <w:b/>
                <w:i/>
                <w:iCs/>
                <w:sz w:val="20"/>
              </w:rPr>
              <w:t>факт 2017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AE52F5" w:rsidRPr="00AE52F5" w:rsidRDefault="00AE52F5" w:rsidP="00F44850">
            <w:pPr>
              <w:jc w:val="center"/>
              <w:rPr>
                <w:b/>
                <w:i/>
                <w:iCs/>
                <w:sz w:val="20"/>
              </w:rPr>
            </w:pPr>
            <w:r w:rsidRPr="00AE52F5">
              <w:rPr>
                <w:b/>
                <w:i/>
                <w:iCs/>
                <w:sz w:val="20"/>
              </w:rPr>
              <w:t>исполнен</w:t>
            </w:r>
            <w:r w:rsidR="00F44850">
              <w:rPr>
                <w:b/>
                <w:i/>
                <w:iCs/>
                <w:sz w:val="20"/>
              </w:rPr>
              <w:t>о</w:t>
            </w:r>
            <w:r w:rsidRPr="00AE52F5">
              <w:rPr>
                <w:b/>
                <w:i/>
                <w:iCs/>
                <w:sz w:val="20"/>
              </w:rPr>
              <w:t>, 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AE52F5" w:rsidRPr="00AE52F5" w:rsidRDefault="00AE52F5" w:rsidP="00AE52F5">
            <w:pPr>
              <w:jc w:val="center"/>
              <w:rPr>
                <w:b/>
                <w:i/>
                <w:iCs/>
                <w:sz w:val="20"/>
              </w:rPr>
            </w:pPr>
            <w:r w:rsidRPr="00AE52F5">
              <w:rPr>
                <w:b/>
                <w:i/>
                <w:iCs/>
                <w:sz w:val="20"/>
              </w:rPr>
              <w:t>сравнение с 2016 г</w:t>
            </w:r>
            <w:r>
              <w:rPr>
                <w:b/>
                <w:i/>
                <w:iCs/>
                <w:sz w:val="20"/>
              </w:rPr>
              <w:t>.</w:t>
            </w:r>
            <w:r w:rsidRPr="00AE52F5">
              <w:rPr>
                <w:b/>
                <w:i/>
                <w:iCs/>
                <w:sz w:val="20"/>
              </w:rPr>
              <w:t>, %</w:t>
            </w:r>
          </w:p>
        </w:tc>
      </w:tr>
      <w:tr w:rsidR="00AE52F5" w:rsidRPr="00AE52F5" w:rsidTr="00AE52F5">
        <w:trPr>
          <w:trHeight w:val="2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2F5" w:rsidRPr="00AE52F5" w:rsidRDefault="00AE52F5" w:rsidP="0040759A">
            <w:pPr>
              <w:rPr>
                <w:sz w:val="20"/>
              </w:rPr>
            </w:pPr>
            <w:r w:rsidRPr="00AE52F5">
              <w:rPr>
                <w:sz w:val="20"/>
              </w:rPr>
              <w:t>Волгоградская областная Дума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245,4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246,8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252,0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102,1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102,7</w:t>
            </w:r>
          </w:p>
        </w:tc>
      </w:tr>
      <w:tr w:rsidR="00AE52F5" w:rsidRPr="00AE52F5" w:rsidTr="00AE52F5">
        <w:trPr>
          <w:trHeight w:val="2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2F5" w:rsidRPr="00AE52F5" w:rsidRDefault="00AE52F5" w:rsidP="0040759A">
            <w:pPr>
              <w:rPr>
                <w:sz w:val="20"/>
              </w:rPr>
            </w:pPr>
            <w:r w:rsidRPr="00AE52F5">
              <w:rPr>
                <w:sz w:val="20"/>
              </w:rPr>
              <w:t xml:space="preserve">Управление делами Администрации 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0,0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60,8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445,2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732,0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5A106F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Х</w:t>
            </w:r>
          </w:p>
        </w:tc>
      </w:tr>
      <w:tr w:rsidR="00AE52F5" w:rsidRPr="00AE52F5" w:rsidTr="00AE52F5">
        <w:trPr>
          <w:trHeight w:val="2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2F5" w:rsidRPr="00AE52F5" w:rsidRDefault="00AE52F5" w:rsidP="0040759A">
            <w:pPr>
              <w:rPr>
                <w:sz w:val="20"/>
              </w:rPr>
            </w:pPr>
            <w:r w:rsidRPr="00AE52F5">
              <w:rPr>
                <w:sz w:val="20"/>
              </w:rPr>
              <w:t xml:space="preserve">Аппарат Губернатора 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875,8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885,7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287,3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32,4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32,8</w:t>
            </w:r>
          </w:p>
        </w:tc>
      </w:tr>
      <w:tr w:rsidR="00AE52F5" w:rsidRPr="00AE52F5" w:rsidTr="00AE52F5">
        <w:trPr>
          <w:trHeight w:val="2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2F5" w:rsidRPr="00AE52F5" w:rsidRDefault="00AE52F5" w:rsidP="0040759A">
            <w:pPr>
              <w:rPr>
                <w:sz w:val="20"/>
              </w:rPr>
            </w:pPr>
            <w:r w:rsidRPr="00AE52F5">
              <w:rPr>
                <w:sz w:val="20"/>
              </w:rPr>
              <w:t xml:space="preserve">Комитет юстиции 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343,8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464,2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445,2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95,9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129,5</w:t>
            </w:r>
          </w:p>
        </w:tc>
      </w:tr>
      <w:tr w:rsidR="00AE52F5" w:rsidRPr="00AE52F5" w:rsidTr="00AE52F5">
        <w:trPr>
          <w:trHeight w:val="2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2F5" w:rsidRPr="00AE52F5" w:rsidRDefault="00AE52F5" w:rsidP="0040759A">
            <w:pPr>
              <w:rPr>
                <w:sz w:val="20"/>
              </w:rPr>
            </w:pPr>
            <w:r w:rsidRPr="00AE52F5">
              <w:rPr>
                <w:sz w:val="20"/>
              </w:rPr>
              <w:t xml:space="preserve">Аппарат уполномоченного по правам 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0,2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0,0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0,0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26748" w:rsidP="00AE52F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0,0</w:t>
            </w:r>
          </w:p>
        </w:tc>
      </w:tr>
      <w:tr w:rsidR="00AE52F5" w:rsidRPr="00AE52F5" w:rsidTr="00AE52F5">
        <w:trPr>
          <w:trHeight w:val="2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2F5" w:rsidRPr="00AE52F5" w:rsidRDefault="00AE52F5" w:rsidP="0040759A">
            <w:pPr>
              <w:rPr>
                <w:sz w:val="20"/>
              </w:rPr>
            </w:pPr>
            <w:r w:rsidRPr="00AE52F5">
              <w:rPr>
                <w:sz w:val="20"/>
              </w:rPr>
              <w:t>Комитет по обеспечению безопасности жизнедеятельности населения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65,9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0,0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24,3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26748" w:rsidP="00AE52F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37,0</w:t>
            </w:r>
          </w:p>
        </w:tc>
      </w:tr>
      <w:tr w:rsidR="00AE52F5" w:rsidRPr="00AE52F5" w:rsidTr="00AE52F5">
        <w:trPr>
          <w:trHeight w:val="2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2F5" w:rsidRPr="00AE52F5" w:rsidRDefault="00AE52F5" w:rsidP="0040759A">
            <w:pPr>
              <w:rPr>
                <w:sz w:val="20"/>
              </w:rPr>
            </w:pPr>
            <w:r w:rsidRPr="00AE52F5">
              <w:rPr>
                <w:sz w:val="20"/>
              </w:rPr>
              <w:t xml:space="preserve">Комитет строительства 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5,2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0,7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4,0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590,4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76,5</w:t>
            </w:r>
          </w:p>
        </w:tc>
      </w:tr>
      <w:tr w:rsidR="00AE52F5" w:rsidRPr="00AE52F5" w:rsidTr="00AE52F5">
        <w:trPr>
          <w:trHeight w:val="2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2F5" w:rsidRPr="00AE52F5" w:rsidRDefault="00AE52F5" w:rsidP="0040759A">
            <w:pPr>
              <w:rPr>
                <w:sz w:val="20"/>
              </w:rPr>
            </w:pPr>
            <w:r w:rsidRPr="00AE52F5">
              <w:rPr>
                <w:sz w:val="20"/>
              </w:rPr>
              <w:t xml:space="preserve">Комитет по делам национальностей и казачества 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28,0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45,7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48,2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105,5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172,0</w:t>
            </w:r>
          </w:p>
        </w:tc>
      </w:tr>
      <w:tr w:rsidR="00AE52F5" w:rsidRPr="00AE52F5" w:rsidTr="00AE52F5">
        <w:trPr>
          <w:trHeight w:val="2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2F5" w:rsidRPr="00AE52F5" w:rsidRDefault="00AE52F5" w:rsidP="0040759A">
            <w:pPr>
              <w:rPr>
                <w:sz w:val="20"/>
              </w:rPr>
            </w:pPr>
            <w:r w:rsidRPr="00AE52F5">
              <w:rPr>
                <w:sz w:val="20"/>
              </w:rPr>
              <w:t xml:space="preserve">Комитет культуры 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60,1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65,7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62,4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95,1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103,9</w:t>
            </w:r>
          </w:p>
        </w:tc>
      </w:tr>
      <w:tr w:rsidR="00AE52F5" w:rsidRPr="00AE52F5" w:rsidTr="00AE52F5">
        <w:trPr>
          <w:trHeight w:val="2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2F5" w:rsidRPr="00AE52F5" w:rsidRDefault="00AE52F5" w:rsidP="0040759A">
            <w:pPr>
              <w:rPr>
                <w:sz w:val="20"/>
              </w:rPr>
            </w:pPr>
            <w:r w:rsidRPr="00AE52F5">
              <w:rPr>
                <w:sz w:val="20"/>
              </w:rPr>
              <w:t xml:space="preserve">Комитет по делам территориальных образований, внутренней и информационной политики 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35,0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56,4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140,2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1073A1" w:rsidP="001073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 2,5 р.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1073A1" w:rsidP="001073A1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 </w:t>
            </w:r>
            <w:r w:rsidR="00AE52F5" w:rsidRPr="00AE52F5">
              <w:rPr>
                <w:sz w:val="20"/>
              </w:rPr>
              <w:t>4</w:t>
            </w:r>
            <w:r>
              <w:rPr>
                <w:sz w:val="20"/>
              </w:rPr>
              <w:t xml:space="preserve"> р.</w:t>
            </w:r>
          </w:p>
        </w:tc>
      </w:tr>
      <w:tr w:rsidR="00AE52F5" w:rsidRPr="00AE52F5" w:rsidTr="00AE52F5">
        <w:trPr>
          <w:trHeight w:val="2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2F5" w:rsidRPr="00AE52F5" w:rsidRDefault="00AE52F5" w:rsidP="0040759A">
            <w:pPr>
              <w:rPr>
                <w:sz w:val="20"/>
              </w:rPr>
            </w:pPr>
            <w:r w:rsidRPr="00AE52F5">
              <w:rPr>
                <w:sz w:val="20"/>
              </w:rPr>
              <w:t xml:space="preserve">Комитет информационной политики 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81,8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83,0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0,0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0,0</w:t>
            </w:r>
          </w:p>
        </w:tc>
      </w:tr>
      <w:tr w:rsidR="00AE52F5" w:rsidRPr="00AE52F5" w:rsidTr="00AE52F5">
        <w:trPr>
          <w:trHeight w:val="2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2F5" w:rsidRPr="00AE52F5" w:rsidRDefault="00AE52F5" w:rsidP="0040759A">
            <w:pPr>
              <w:rPr>
                <w:sz w:val="20"/>
              </w:rPr>
            </w:pPr>
            <w:r w:rsidRPr="00AE52F5">
              <w:rPr>
                <w:sz w:val="20"/>
              </w:rPr>
              <w:t xml:space="preserve">Комитет по управлению государственным имуществом 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286,3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242,6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265,2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109,3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92,6</w:t>
            </w:r>
          </w:p>
        </w:tc>
      </w:tr>
      <w:tr w:rsidR="00AE52F5" w:rsidRPr="00AE52F5" w:rsidTr="00AE52F5">
        <w:trPr>
          <w:trHeight w:val="2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2F5" w:rsidRPr="00AE52F5" w:rsidRDefault="00AE52F5" w:rsidP="0040759A">
            <w:pPr>
              <w:rPr>
                <w:sz w:val="20"/>
              </w:rPr>
            </w:pPr>
            <w:r w:rsidRPr="00AE52F5">
              <w:rPr>
                <w:sz w:val="20"/>
              </w:rPr>
              <w:t xml:space="preserve">Комитет экономической политики и развития 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261,9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419,9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450,5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107,3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172,0</w:t>
            </w:r>
          </w:p>
        </w:tc>
      </w:tr>
      <w:tr w:rsidR="00AE52F5" w:rsidRPr="00AE52F5" w:rsidTr="00AE52F5">
        <w:trPr>
          <w:trHeight w:val="2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2F5" w:rsidRPr="00AE52F5" w:rsidRDefault="00AE52F5" w:rsidP="0040759A">
            <w:pPr>
              <w:rPr>
                <w:sz w:val="20"/>
              </w:rPr>
            </w:pPr>
            <w:r w:rsidRPr="00AE52F5">
              <w:rPr>
                <w:sz w:val="20"/>
              </w:rPr>
              <w:t>Представительство Волгоградской области в городе Москве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32,5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35,0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35,1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100,5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108,1</w:t>
            </w:r>
          </w:p>
        </w:tc>
      </w:tr>
      <w:tr w:rsidR="00AE52F5" w:rsidRPr="00AE52F5" w:rsidTr="00AE52F5">
        <w:trPr>
          <w:trHeight w:val="2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2F5" w:rsidRPr="00AE52F5" w:rsidRDefault="00AE52F5" w:rsidP="0040759A">
            <w:pPr>
              <w:rPr>
                <w:sz w:val="20"/>
              </w:rPr>
            </w:pPr>
            <w:r w:rsidRPr="00AE52F5">
              <w:rPr>
                <w:sz w:val="20"/>
              </w:rPr>
              <w:t xml:space="preserve">Комитет финансов 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318,8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494,4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414,1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83,8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129,9</w:t>
            </w:r>
          </w:p>
        </w:tc>
      </w:tr>
      <w:tr w:rsidR="00AE52F5" w:rsidRPr="00AE52F5" w:rsidTr="00AE52F5">
        <w:trPr>
          <w:trHeight w:val="2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2F5" w:rsidRPr="00AE52F5" w:rsidRDefault="00AE52F5" w:rsidP="0040759A">
            <w:pPr>
              <w:rPr>
                <w:sz w:val="20"/>
              </w:rPr>
            </w:pPr>
            <w:r w:rsidRPr="00AE52F5">
              <w:rPr>
                <w:sz w:val="20"/>
              </w:rPr>
              <w:t xml:space="preserve">Уполномоченный по правам человека 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0,2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0,0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0,0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EA0CE7" w:rsidP="00AE52F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0,0</w:t>
            </w:r>
          </w:p>
        </w:tc>
      </w:tr>
      <w:tr w:rsidR="00AE52F5" w:rsidRPr="00AE52F5" w:rsidTr="00AE52F5">
        <w:trPr>
          <w:trHeight w:val="2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2F5" w:rsidRPr="00AE52F5" w:rsidRDefault="00AE52F5" w:rsidP="0040759A">
            <w:pPr>
              <w:rPr>
                <w:sz w:val="20"/>
              </w:rPr>
            </w:pPr>
            <w:r w:rsidRPr="00AE52F5">
              <w:rPr>
                <w:sz w:val="20"/>
              </w:rPr>
              <w:t xml:space="preserve">Контрольно-счетная палата 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80,6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84,4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76,9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91,1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95,4</w:t>
            </w:r>
          </w:p>
        </w:tc>
      </w:tr>
      <w:tr w:rsidR="00AE52F5" w:rsidRPr="00AE52F5" w:rsidTr="00AE52F5">
        <w:trPr>
          <w:trHeight w:val="2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2F5" w:rsidRPr="00AE52F5" w:rsidRDefault="00AE52F5" w:rsidP="0040759A">
            <w:pPr>
              <w:rPr>
                <w:sz w:val="20"/>
              </w:rPr>
            </w:pPr>
            <w:r w:rsidRPr="00AE52F5">
              <w:rPr>
                <w:sz w:val="20"/>
              </w:rPr>
              <w:t xml:space="preserve">Избирательная комиссия 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100,6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118,2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117,5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99,4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116,8</w:t>
            </w:r>
          </w:p>
        </w:tc>
      </w:tr>
      <w:tr w:rsidR="00AE52F5" w:rsidRPr="00AE52F5" w:rsidTr="00AE52F5">
        <w:trPr>
          <w:trHeight w:val="2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2F5" w:rsidRPr="00AE52F5" w:rsidRDefault="00AE52F5" w:rsidP="0040759A">
            <w:pPr>
              <w:rPr>
                <w:sz w:val="20"/>
              </w:rPr>
            </w:pPr>
            <w:r w:rsidRPr="00AE52F5">
              <w:rPr>
                <w:sz w:val="20"/>
              </w:rPr>
              <w:t xml:space="preserve">Комитет информационных технологий 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41,3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68,4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64,2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94,0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155,6</w:t>
            </w:r>
          </w:p>
        </w:tc>
      </w:tr>
      <w:tr w:rsidR="00AE52F5" w:rsidRPr="00AE52F5" w:rsidTr="00AE52F5">
        <w:trPr>
          <w:trHeight w:val="2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2F5" w:rsidRPr="00AE52F5" w:rsidRDefault="00AE52F5" w:rsidP="0040759A">
            <w:pPr>
              <w:rPr>
                <w:sz w:val="20"/>
              </w:rPr>
            </w:pPr>
            <w:r w:rsidRPr="00AE52F5">
              <w:rPr>
                <w:sz w:val="20"/>
              </w:rPr>
              <w:t xml:space="preserve">Комитет образования и науки 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25,8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25,9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25,6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98,6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99,0</w:t>
            </w:r>
          </w:p>
        </w:tc>
      </w:tr>
      <w:tr w:rsidR="00AE52F5" w:rsidRPr="00AE52F5" w:rsidTr="00AE52F5">
        <w:trPr>
          <w:trHeight w:val="2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2F5" w:rsidRPr="00AE52F5" w:rsidRDefault="00AE52F5" w:rsidP="00A264B7">
            <w:pPr>
              <w:rPr>
                <w:sz w:val="20"/>
              </w:rPr>
            </w:pPr>
            <w:r w:rsidRPr="00AE52F5">
              <w:rPr>
                <w:sz w:val="20"/>
              </w:rPr>
              <w:t xml:space="preserve">Комитет жилищно-коммунального хозяйства и </w:t>
            </w:r>
            <w:r w:rsidR="00A264B7">
              <w:rPr>
                <w:sz w:val="20"/>
              </w:rPr>
              <w:t>ТЭК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7,8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0,0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0,7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EA0CE7" w:rsidP="00AE52F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8,6</w:t>
            </w:r>
          </w:p>
        </w:tc>
      </w:tr>
      <w:tr w:rsidR="00AE52F5" w:rsidRPr="00AE52F5" w:rsidTr="00AE52F5">
        <w:trPr>
          <w:trHeight w:val="2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2F5" w:rsidRPr="00AE52F5" w:rsidRDefault="00AE52F5" w:rsidP="0040759A">
            <w:pPr>
              <w:rPr>
                <w:sz w:val="20"/>
              </w:rPr>
            </w:pPr>
            <w:r w:rsidRPr="00AE52F5">
              <w:rPr>
                <w:sz w:val="20"/>
              </w:rPr>
              <w:t xml:space="preserve">Комитет по регулированию контрактной системы в сфере закупок 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82,5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75,3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81,7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108,5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2F5" w:rsidRPr="00AE52F5" w:rsidRDefault="00AE52F5" w:rsidP="00AE52F5">
            <w:pPr>
              <w:jc w:val="center"/>
              <w:rPr>
                <w:sz w:val="20"/>
              </w:rPr>
            </w:pPr>
            <w:r w:rsidRPr="00AE52F5">
              <w:rPr>
                <w:sz w:val="20"/>
              </w:rPr>
              <w:t>99,0</w:t>
            </w:r>
          </w:p>
        </w:tc>
      </w:tr>
      <w:tr w:rsidR="00AE52F5" w:rsidRPr="00AE52F5" w:rsidTr="00240636">
        <w:trPr>
          <w:trHeight w:val="79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bottom"/>
            <w:hideMark/>
          </w:tcPr>
          <w:p w:rsidR="00AE52F5" w:rsidRPr="00AE52F5" w:rsidRDefault="00AE52F5" w:rsidP="0040759A">
            <w:pPr>
              <w:rPr>
                <w:b/>
                <w:bCs/>
                <w:sz w:val="20"/>
              </w:rPr>
            </w:pPr>
            <w:r w:rsidRPr="00AE52F5">
              <w:rPr>
                <w:b/>
                <w:bCs/>
                <w:sz w:val="20"/>
              </w:rPr>
              <w:t>ИТОГО: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hideMark/>
          </w:tcPr>
          <w:p w:rsidR="00AE52F5" w:rsidRPr="00AE52F5" w:rsidRDefault="00AE52F5" w:rsidP="00AE52F5">
            <w:pPr>
              <w:jc w:val="center"/>
              <w:rPr>
                <w:b/>
                <w:bCs/>
                <w:sz w:val="20"/>
              </w:rPr>
            </w:pPr>
            <w:r w:rsidRPr="00AE52F5">
              <w:rPr>
                <w:b/>
                <w:bCs/>
                <w:sz w:val="20"/>
              </w:rPr>
              <w:t>2 979,5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hideMark/>
          </w:tcPr>
          <w:p w:rsidR="00AE52F5" w:rsidRPr="00AE52F5" w:rsidRDefault="00AE52F5" w:rsidP="00AE52F5">
            <w:pPr>
              <w:jc w:val="center"/>
              <w:rPr>
                <w:b/>
                <w:bCs/>
                <w:sz w:val="20"/>
              </w:rPr>
            </w:pPr>
            <w:r w:rsidRPr="00AE52F5">
              <w:rPr>
                <w:b/>
                <w:bCs/>
                <w:sz w:val="20"/>
              </w:rPr>
              <w:t>3 473,1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hideMark/>
          </w:tcPr>
          <w:p w:rsidR="00AE52F5" w:rsidRPr="00AE52F5" w:rsidRDefault="00AE52F5" w:rsidP="00AE52F5">
            <w:pPr>
              <w:jc w:val="center"/>
              <w:rPr>
                <w:b/>
                <w:bCs/>
                <w:sz w:val="20"/>
              </w:rPr>
            </w:pPr>
            <w:r w:rsidRPr="00AE52F5">
              <w:rPr>
                <w:b/>
                <w:bCs/>
                <w:sz w:val="20"/>
              </w:rPr>
              <w:t>3 240,3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hideMark/>
          </w:tcPr>
          <w:p w:rsidR="00AE52F5" w:rsidRPr="00AE52F5" w:rsidRDefault="00AE52F5" w:rsidP="00AE52F5">
            <w:pPr>
              <w:jc w:val="center"/>
              <w:rPr>
                <w:b/>
                <w:bCs/>
                <w:sz w:val="20"/>
              </w:rPr>
            </w:pPr>
            <w:r w:rsidRPr="00AE52F5">
              <w:rPr>
                <w:b/>
                <w:bCs/>
                <w:sz w:val="20"/>
              </w:rPr>
              <w:t>93,3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hideMark/>
          </w:tcPr>
          <w:p w:rsidR="00AE52F5" w:rsidRPr="00AE52F5" w:rsidRDefault="00AE52F5" w:rsidP="007E2057">
            <w:pPr>
              <w:jc w:val="center"/>
              <w:rPr>
                <w:b/>
                <w:bCs/>
                <w:sz w:val="20"/>
              </w:rPr>
            </w:pPr>
            <w:r w:rsidRPr="00AE52F5">
              <w:rPr>
                <w:b/>
                <w:bCs/>
                <w:sz w:val="20"/>
              </w:rPr>
              <w:t>108,</w:t>
            </w:r>
            <w:r w:rsidR="007E2057">
              <w:rPr>
                <w:b/>
                <w:bCs/>
                <w:sz w:val="20"/>
              </w:rPr>
              <w:t>7</w:t>
            </w:r>
          </w:p>
        </w:tc>
      </w:tr>
    </w:tbl>
    <w:p w:rsidR="00AE6988" w:rsidRDefault="008D29CC" w:rsidP="00F713CC">
      <w:pPr>
        <w:jc w:val="both"/>
      </w:pPr>
      <w:r>
        <w:tab/>
      </w:r>
    </w:p>
    <w:p w:rsidR="005A106F" w:rsidRDefault="00AE6988" w:rsidP="00F713CC">
      <w:pPr>
        <w:jc w:val="both"/>
      </w:pPr>
      <w:r>
        <w:tab/>
      </w:r>
      <w:r w:rsidR="005A106F">
        <w:t xml:space="preserve">Относительно 2016 года расходы раздела увеличились на 260,8 млн. руб., или на 8,7 процента. </w:t>
      </w:r>
    </w:p>
    <w:p w:rsidR="00A51D28" w:rsidRDefault="005A106F" w:rsidP="00F713CC">
      <w:pPr>
        <w:jc w:val="both"/>
      </w:pPr>
      <w:r>
        <w:tab/>
      </w:r>
      <w:r w:rsidR="00A51D28">
        <w:t>При проведении внешних проверок бюджетной отчетности главных распорядителей средств областного бюджета, задействованных в данном разделе, установлены следующие нарушения</w:t>
      </w:r>
      <w:r w:rsidR="00714D06">
        <w:t xml:space="preserve"> и</w:t>
      </w:r>
      <w:r w:rsidR="00A51D28">
        <w:t xml:space="preserve"> недостатки</w:t>
      </w:r>
      <w:r w:rsidR="00714D06">
        <w:t>.</w:t>
      </w:r>
    </w:p>
    <w:p w:rsidR="00861C1D" w:rsidRPr="00D41681" w:rsidRDefault="00861C1D" w:rsidP="00861C1D">
      <w:pPr>
        <w:autoSpaceDE w:val="0"/>
        <w:autoSpaceDN w:val="0"/>
        <w:adjustRightInd w:val="0"/>
        <w:ind w:firstLine="708"/>
        <w:jc w:val="both"/>
        <w:rPr>
          <w:szCs w:val="24"/>
        </w:rPr>
      </w:pPr>
      <w:r>
        <w:rPr>
          <w:szCs w:val="24"/>
        </w:rPr>
        <w:lastRenderedPageBreak/>
        <w:t xml:space="preserve">При проверке бюджетной отчетности </w:t>
      </w:r>
      <w:r>
        <w:rPr>
          <w:b/>
          <w:i/>
          <w:szCs w:val="24"/>
        </w:rPr>
        <w:t>а</w:t>
      </w:r>
      <w:r w:rsidRPr="00861C1D">
        <w:rPr>
          <w:b/>
          <w:i/>
          <w:szCs w:val="24"/>
        </w:rPr>
        <w:t>ппарата Губернатора Волгоградской области</w:t>
      </w:r>
      <w:r w:rsidRPr="00D41681">
        <w:rPr>
          <w:szCs w:val="24"/>
        </w:rPr>
        <w:t xml:space="preserve"> </w:t>
      </w:r>
      <w:r>
        <w:rPr>
          <w:szCs w:val="24"/>
        </w:rPr>
        <w:t xml:space="preserve">установлено, что аппарат </w:t>
      </w:r>
      <w:r w:rsidRPr="00D41681">
        <w:rPr>
          <w:szCs w:val="24"/>
        </w:rPr>
        <w:t xml:space="preserve">является соисполнителем </w:t>
      </w:r>
      <w:r>
        <w:rPr>
          <w:szCs w:val="24"/>
        </w:rPr>
        <w:t>госпрограммы</w:t>
      </w:r>
      <w:r w:rsidRPr="00D41681">
        <w:rPr>
          <w:szCs w:val="24"/>
        </w:rPr>
        <w:t xml:space="preserve"> «</w:t>
      </w:r>
      <w:r>
        <w:rPr>
          <w:szCs w:val="24"/>
        </w:rPr>
        <w:t>Профилактика правонарушений и обеспечение общественной безопасности на территории Волгоградской области», утвержденной постановлением Администрации Волгоградской области от 17.01.2017 №7-п</w:t>
      </w:r>
      <w:r w:rsidRPr="00D41681">
        <w:rPr>
          <w:szCs w:val="24"/>
        </w:rPr>
        <w:t>»</w:t>
      </w:r>
      <w:r>
        <w:rPr>
          <w:szCs w:val="24"/>
        </w:rPr>
        <w:t>,</w:t>
      </w:r>
      <w:r w:rsidRPr="00D41681">
        <w:rPr>
          <w:szCs w:val="24"/>
        </w:rPr>
        <w:t xml:space="preserve"> ответственным за  мероприятие «</w:t>
      </w:r>
      <w:r w:rsidR="00A26748">
        <w:rPr>
          <w:szCs w:val="24"/>
        </w:rPr>
        <w:t>п</w:t>
      </w:r>
      <w:r w:rsidRPr="00D41681">
        <w:rPr>
          <w:szCs w:val="24"/>
        </w:rPr>
        <w:t xml:space="preserve">ередача Министерству внутренних дел РФ части полномочий Волгоградской области по составлению протоколов об административных правонарушениях». </w:t>
      </w:r>
    </w:p>
    <w:p w:rsidR="00861C1D" w:rsidRDefault="00861C1D" w:rsidP="00861C1D">
      <w:pPr>
        <w:autoSpaceDE w:val="0"/>
        <w:autoSpaceDN w:val="0"/>
        <w:adjustRightInd w:val="0"/>
        <w:ind w:firstLine="708"/>
        <w:jc w:val="both"/>
        <w:rPr>
          <w:szCs w:val="24"/>
        </w:rPr>
      </w:pPr>
      <w:r w:rsidRPr="00D41681">
        <w:rPr>
          <w:szCs w:val="24"/>
        </w:rPr>
        <w:t xml:space="preserve">Мероприятие в 2017 году не исполнялось в связи с отсутствием </w:t>
      </w:r>
      <w:r w:rsidR="00A26748" w:rsidRPr="00D41681">
        <w:rPr>
          <w:szCs w:val="24"/>
        </w:rPr>
        <w:t xml:space="preserve">заключенного между Администрацией Волгоградской области и Главным управлением МВД России по Волгоградской области </w:t>
      </w:r>
      <w:r w:rsidRPr="00D41681">
        <w:rPr>
          <w:szCs w:val="24"/>
        </w:rPr>
        <w:t xml:space="preserve">Соглашения о передаче </w:t>
      </w:r>
      <w:r w:rsidR="00A26748">
        <w:rPr>
          <w:szCs w:val="24"/>
        </w:rPr>
        <w:t>последнему</w:t>
      </w:r>
      <w:r w:rsidRPr="00D41681">
        <w:rPr>
          <w:szCs w:val="24"/>
        </w:rPr>
        <w:t xml:space="preserve"> части полномочий по составлению протоколов об административных правонарушениях, посягающих на общественный порядок и общественную безопасность, предусмотренных Кодексом Волгоградской области об административной ответственности</w:t>
      </w:r>
      <w:r w:rsidR="00A26748">
        <w:rPr>
          <w:szCs w:val="24"/>
        </w:rPr>
        <w:t>.</w:t>
      </w:r>
      <w:r w:rsidRPr="00D41681">
        <w:rPr>
          <w:szCs w:val="24"/>
        </w:rPr>
        <w:t xml:space="preserve"> Соглашение не заключено </w:t>
      </w:r>
      <w:r>
        <w:rPr>
          <w:szCs w:val="24"/>
        </w:rPr>
        <w:t xml:space="preserve">в связи с тем, что не достигнута договоренность сторон по вопросу о размере годового объема субвенции на передаваемое полномочие. </w:t>
      </w:r>
    </w:p>
    <w:p w:rsidR="00A26748" w:rsidRDefault="00A26748" w:rsidP="004E7612">
      <w:pPr>
        <w:autoSpaceDE w:val="0"/>
        <w:autoSpaceDN w:val="0"/>
        <w:adjustRightInd w:val="0"/>
        <w:ind w:firstLine="709"/>
        <w:jc w:val="both"/>
        <w:rPr>
          <w:szCs w:val="24"/>
        </w:rPr>
      </w:pPr>
      <w:r>
        <w:rPr>
          <w:szCs w:val="24"/>
        </w:rPr>
        <w:t xml:space="preserve">При проверке </w:t>
      </w:r>
      <w:r w:rsidRPr="00A26748">
        <w:rPr>
          <w:b/>
          <w:i/>
          <w:szCs w:val="24"/>
        </w:rPr>
        <w:t>у</w:t>
      </w:r>
      <w:r w:rsidR="004E7612" w:rsidRPr="004E7612">
        <w:rPr>
          <w:b/>
          <w:i/>
          <w:szCs w:val="24"/>
        </w:rPr>
        <w:t>правлени</w:t>
      </w:r>
      <w:r>
        <w:rPr>
          <w:b/>
          <w:i/>
          <w:szCs w:val="24"/>
        </w:rPr>
        <w:t>я</w:t>
      </w:r>
      <w:r w:rsidR="004E7612" w:rsidRPr="004E7612">
        <w:rPr>
          <w:b/>
          <w:i/>
          <w:szCs w:val="24"/>
        </w:rPr>
        <w:t xml:space="preserve"> делами Администрации Волгоградской области</w:t>
      </w:r>
      <w:r w:rsidR="004E7612">
        <w:rPr>
          <w:szCs w:val="24"/>
        </w:rPr>
        <w:t xml:space="preserve"> (далее Управление) </w:t>
      </w:r>
      <w:r>
        <w:rPr>
          <w:szCs w:val="24"/>
        </w:rPr>
        <w:t>установлено следующее.</w:t>
      </w:r>
    </w:p>
    <w:p w:rsidR="004E7612" w:rsidRPr="00D842DC" w:rsidRDefault="00A26748" w:rsidP="004E7612">
      <w:pPr>
        <w:autoSpaceDE w:val="0"/>
        <w:autoSpaceDN w:val="0"/>
        <w:adjustRightInd w:val="0"/>
        <w:ind w:firstLine="709"/>
        <w:jc w:val="both"/>
        <w:rPr>
          <w:szCs w:val="24"/>
        </w:rPr>
      </w:pPr>
      <w:r>
        <w:rPr>
          <w:szCs w:val="24"/>
        </w:rPr>
        <w:t xml:space="preserve">Управление </w:t>
      </w:r>
      <w:r w:rsidR="004E7612">
        <w:rPr>
          <w:szCs w:val="24"/>
        </w:rPr>
        <w:t>создано в</w:t>
      </w:r>
      <w:r w:rsidR="004E7612" w:rsidRPr="004C1467">
        <w:rPr>
          <w:szCs w:val="24"/>
        </w:rPr>
        <w:t xml:space="preserve"> соответствии с Законом Волгоградской области от 15.03.2012 №22-ОД «О системе органов исполнительной власти Волгоградской области»</w:t>
      </w:r>
      <w:r w:rsidR="004E7612">
        <w:rPr>
          <w:szCs w:val="24"/>
        </w:rPr>
        <w:t xml:space="preserve"> и </w:t>
      </w:r>
      <w:r w:rsidR="004E7612" w:rsidRPr="004C1467">
        <w:rPr>
          <w:szCs w:val="24"/>
        </w:rPr>
        <w:t>Положени</w:t>
      </w:r>
      <w:r w:rsidR="004E7612">
        <w:rPr>
          <w:szCs w:val="24"/>
        </w:rPr>
        <w:t>ем</w:t>
      </w:r>
      <w:r w:rsidR="004E7612" w:rsidRPr="004C1467">
        <w:rPr>
          <w:szCs w:val="24"/>
        </w:rPr>
        <w:t xml:space="preserve"> о</w:t>
      </w:r>
      <w:r w:rsidR="004E7612">
        <w:rPr>
          <w:szCs w:val="24"/>
        </w:rPr>
        <w:t>б</w:t>
      </w:r>
      <w:r w:rsidR="004E7612" w:rsidRPr="004C1467">
        <w:rPr>
          <w:szCs w:val="24"/>
        </w:rPr>
        <w:t xml:space="preserve"> </w:t>
      </w:r>
      <w:r w:rsidR="004E7612">
        <w:rPr>
          <w:szCs w:val="24"/>
        </w:rPr>
        <w:t>Управлении</w:t>
      </w:r>
      <w:r w:rsidR="004E7612" w:rsidRPr="004C1467">
        <w:rPr>
          <w:szCs w:val="24"/>
        </w:rPr>
        <w:t>, утвержд</w:t>
      </w:r>
      <w:r w:rsidR="004E7612">
        <w:rPr>
          <w:szCs w:val="24"/>
        </w:rPr>
        <w:t>енным</w:t>
      </w:r>
      <w:r w:rsidR="004E7612" w:rsidRPr="004C1467">
        <w:rPr>
          <w:szCs w:val="24"/>
        </w:rPr>
        <w:t xml:space="preserve"> постановлением Губернатора Волгоградской области от </w:t>
      </w:r>
      <w:r w:rsidR="004E7612">
        <w:rPr>
          <w:szCs w:val="24"/>
        </w:rPr>
        <w:t>29</w:t>
      </w:r>
      <w:r w:rsidR="004E7612" w:rsidRPr="004C1467">
        <w:rPr>
          <w:szCs w:val="24"/>
        </w:rPr>
        <w:t>.</w:t>
      </w:r>
      <w:r w:rsidR="004E7612">
        <w:rPr>
          <w:szCs w:val="24"/>
        </w:rPr>
        <w:t>12.2016</w:t>
      </w:r>
      <w:r w:rsidR="004E7612" w:rsidRPr="004C1467">
        <w:rPr>
          <w:szCs w:val="24"/>
        </w:rPr>
        <w:t xml:space="preserve"> №</w:t>
      </w:r>
      <w:r w:rsidR="004E7612">
        <w:rPr>
          <w:szCs w:val="24"/>
        </w:rPr>
        <w:t xml:space="preserve">1024, 01.03.2017. </w:t>
      </w:r>
      <w:r w:rsidR="004E7612" w:rsidRPr="00D842DC">
        <w:rPr>
          <w:szCs w:val="24"/>
        </w:rPr>
        <w:t>Согласно Положению Управление</w:t>
      </w:r>
      <w:r w:rsidR="004E7612">
        <w:rPr>
          <w:szCs w:val="24"/>
        </w:rPr>
        <w:t xml:space="preserve"> осуществляет материально-техническое, финансовое и иное обеспечение деятельности Губернатора Волгоградской области, Администрации Волгоградской области и аппарата Губернатора Волгоградской области.</w:t>
      </w:r>
    </w:p>
    <w:p w:rsidR="004E7612" w:rsidRDefault="004E7612" w:rsidP="004E7612">
      <w:pPr>
        <w:autoSpaceDE w:val="0"/>
        <w:autoSpaceDN w:val="0"/>
        <w:adjustRightInd w:val="0"/>
        <w:ind w:firstLine="708"/>
        <w:jc w:val="both"/>
        <w:rPr>
          <w:szCs w:val="24"/>
        </w:rPr>
      </w:pPr>
      <w:r>
        <w:rPr>
          <w:szCs w:val="24"/>
        </w:rPr>
        <w:t xml:space="preserve">На 01.01.2018 Управление имеет три подведомственных учреждения: </w:t>
      </w:r>
    </w:p>
    <w:p w:rsidR="004E7612" w:rsidRPr="004E7612" w:rsidRDefault="004E7612" w:rsidP="004E7612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-ГБ</w:t>
      </w:r>
      <w:r w:rsidRPr="004E7612">
        <w:rPr>
          <w:rFonts w:ascii="Times New Roman" w:hAnsi="Times New Roman"/>
          <w:sz w:val="24"/>
          <w:szCs w:val="24"/>
        </w:rPr>
        <w:t>У «Исполнительная дирекция Администрации Волгоградской области» (далее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E7612">
        <w:rPr>
          <w:rFonts w:ascii="Times New Roman" w:hAnsi="Times New Roman"/>
          <w:sz w:val="24"/>
          <w:szCs w:val="24"/>
        </w:rPr>
        <w:t>ГБУ «</w:t>
      </w:r>
      <w:proofErr w:type="spellStart"/>
      <w:r w:rsidRPr="004E7612">
        <w:rPr>
          <w:rFonts w:ascii="Times New Roman" w:hAnsi="Times New Roman"/>
          <w:sz w:val="24"/>
          <w:szCs w:val="24"/>
        </w:rPr>
        <w:t>Исполдирекция</w:t>
      </w:r>
      <w:proofErr w:type="spellEnd"/>
      <w:r w:rsidRPr="004E7612">
        <w:rPr>
          <w:rFonts w:ascii="Times New Roman" w:hAnsi="Times New Roman"/>
          <w:sz w:val="24"/>
          <w:szCs w:val="24"/>
        </w:rPr>
        <w:t xml:space="preserve">»), </w:t>
      </w:r>
    </w:p>
    <w:p w:rsidR="004E7612" w:rsidRPr="004E7612" w:rsidRDefault="004E7612" w:rsidP="004E7612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4E7612">
        <w:rPr>
          <w:rFonts w:ascii="Times New Roman" w:hAnsi="Times New Roman"/>
          <w:sz w:val="24"/>
          <w:szCs w:val="24"/>
        </w:rPr>
        <w:t>ГКУ «Общепит-1»,</w:t>
      </w:r>
    </w:p>
    <w:p w:rsidR="004E7612" w:rsidRPr="004E7612" w:rsidRDefault="004E7612" w:rsidP="004E7612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4E7612">
        <w:rPr>
          <w:rFonts w:ascii="Times New Roman" w:hAnsi="Times New Roman"/>
          <w:sz w:val="24"/>
          <w:szCs w:val="24"/>
        </w:rPr>
        <w:t>ГКУ «Дирекция по обеспечению деятельности Общественной палаты Волгоградской области и института уполномоченных в Волгоградской области» (далее ГКУ «Дирекция Общественной палаты»).</w:t>
      </w:r>
    </w:p>
    <w:p w:rsidR="00A6292B" w:rsidRPr="00A6292B" w:rsidRDefault="00A6292B" w:rsidP="004E7612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A6292B">
        <w:rPr>
          <w:rFonts w:ascii="Times New Roman" w:hAnsi="Times New Roman"/>
          <w:sz w:val="24"/>
          <w:szCs w:val="24"/>
        </w:rPr>
        <w:t xml:space="preserve">Проверкой соблюдения </w:t>
      </w:r>
      <w:r w:rsidR="004E7612">
        <w:rPr>
          <w:rFonts w:ascii="Times New Roman" w:hAnsi="Times New Roman"/>
          <w:sz w:val="24"/>
          <w:szCs w:val="24"/>
        </w:rPr>
        <w:t xml:space="preserve">Управлением и его подведомственными учреждениями </w:t>
      </w:r>
      <w:r w:rsidR="004E7612" w:rsidRPr="00A6292B">
        <w:rPr>
          <w:rFonts w:ascii="Times New Roman" w:hAnsi="Times New Roman"/>
          <w:sz w:val="24"/>
          <w:szCs w:val="24"/>
        </w:rPr>
        <w:t>правил ведения бухгалтерского уч</w:t>
      </w:r>
      <w:r w:rsidR="004E7612">
        <w:rPr>
          <w:rFonts w:ascii="Times New Roman" w:hAnsi="Times New Roman"/>
          <w:sz w:val="24"/>
          <w:szCs w:val="24"/>
        </w:rPr>
        <w:t>е</w:t>
      </w:r>
      <w:r w:rsidR="004E7612" w:rsidRPr="00A6292B">
        <w:rPr>
          <w:rFonts w:ascii="Times New Roman" w:hAnsi="Times New Roman"/>
          <w:sz w:val="24"/>
          <w:szCs w:val="24"/>
        </w:rPr>
        <w:t>та</w:t>
      </w:r>
      <w:r w:rsidR="004E7612">
        <w:rPr>
          <w:rFonts w:ascii="Times New Roman" w:hAnsi="Times New Roman"/>
          <w:sz w:val="24"/>
          <w:szCs w:val="24"/>
        </w:rPr>
        <w:t xml:space="preserve"> </w:t>
      </w:r>
      <w:r w:rsidRPr="00A6292B">
        <w:rPr>
          <w:rFonts w:ascii="Times New Roman" w:hAnsi="Times New Roman"/>
          <w:sz w:val="24"/>
          <w:szCs w:val="24"/>
        </w:rPr>
        <w:t>установлено</w:t>
      </w:r>
      <w:r w:rsidR="00A26748">
        <w:rPr>
          <w:rFonts w:ascii="Times New Roman" w:hAnsi="Times New Roman"/>
          <w:sz w:val="24"/>
          <w:szCs w:val="24"/>
        </w:rPr>
        <w:t xml:space="preserve">, что </w:t>
      </w:r>
      <w:r w:rsidRPr="00A6292B">
        <w:rPr>
          <w:rFonts w:ascii="Times New Roman" w:hAnsi="Times New Roman"/>
          <w:sz w:val="24"/>
          <w:szCs w:val="24"/>
        </w:rPr>
        <w:t>до настоящего момента не утверждена уч</w:t>
      </w:r>
      <w:r w:rsidR="004E7612">
        <w:rPr>
          <w:rFonts w:ascii="Times New Roman" w:hAnsi="Times New Roman"/>
          <w:sz w:val="24"/>
          <w:szCs w:val="24"/>
        </w:rPr>
        <w:t>е</w:t>
      </w:r>
      <w:r w:rsidRPr="00A6292B">
        <w:rPr>
          <w:rFonts w:ascii="Times New Roman" w:hAnsi="Times New Roman"/>
          <w:sz w:val="24"/>
          <w:szCs w:val="24"/>
        </w:rPr>
        <w:t>тная политика, в рамках которой должны быть приняты способы ведения бухгалтерского уч</w:t>
      </w:r>
      <w:r w:rsidR="00A26748">
        <w:rPr>
          <w:rFonts w:ascii="Times New Roman" w:hAnsi="Times New Roman"/>
          <w:sz w:val="24"/>
          <w:szCs w:val="24"/>
        </w:rPr>
        <w:t>е</w:t>
      </w:r>
      <w:r w:rsidRPr="00A6292B">
        <w:rPr>
          <w:rFonts w:ascii="Times New Roman" w:hAnsi="Times New Roman"/>
          <w:sz w:val="24"/>
          <w:szCs w:val="24"/>
        </w:rPr>
        <w:t xml:space="preserve">та в отношении денежных обязательств и </w:t>
      </w:r>
      <w:r w:rsidR="00A26748">
        <w:rPr>
          <w:rFonts w:ascii="Times New Roman" w:hAnsi="Times New Roman"/>
          <w:sz w:val="24"/>
          <w:szCs w:val="24"/>
        </w:rPr>
        <w:t xml:space="preserve">утвержден </w:t>
      </w:r>
      <w:r w:rsidRPr="00A6292B">
        <w:rPr>
          <w:rFonts w:ascii="Times New Roman" w:hAnsi="Times New Roman"/>
          <w:sz w:val="24"/>
          <w:szCs w:val="24"/>
        </w:rPr>
        <w:t xml:space="preserve">перечень документов, являющихся основанием их принятия. В результате заявленная и не профинансированная </w:t>
      </w:r>
      <w:r w:rsidR="00A26748">
        <w:rPr>
          <w:rFonts w:ascii="Times New Roman" w:hAnsi="Times New Roman"/>
          <w:sz w:val="24"/>
          <w:szCs w:val="24"/>
        </w:rPr>
        <w:t xml:space="preserve"> </w:t>
      </w:r>
      <w:r w:rsidRPr="00A6292B">
        <w:rPr>
          <w:rFonts w:ascii="Times New Roman" w:hAnsi="Times New Roman"/>
          <w:sz w:val="24"/>
          <w:szCs w:val="24"/>
        </w:rPr>
        <w:t>потребность ГБУ «</w:t>
      </w:r>
      <w:proofErr w:type="spellStart"/>
      <w:r w:rsidRPr="00A6292B">
        <w:rPr>
          <w:rFonts w:ascii="Times New Roman" w:hAnsi="Times New Roman"/>
          <w:sz w:val="24"/>
          <w:szCs w:val="24"/>
        </w:rPr>
        <w:t>Испо</w:t>
      </w:r>
      <w:r w:rsidR="004E7612">
        <w:rPr>
          <w:rFonts w:ascii="Times New Roman" w:hAnsi="Times New Roman"/>
          <w:sz w:val="24"/>
          <w:szCs w:val="24"/>
        </w:rPr>
        <w:t>л</w:t>
      </w:r>
      <w:r w:rsidRPr="00A6292B">
        <w:rPr>
          <w:rFonts w:ascii="Times New Roman" w:hAnsi="Times New Roman"/>
          <w:sz w:val="24"/>
          <w:szCs w:val="24"/>
        </w:rPr>
        <w:t>дирекция</w:t>
      </w:r>
      <w:proofErr w:type="spellEnd"/>
      <w:r w:rsidRPr="00A6292B">
        <w:rPr>
          <w:rFonts w:ascii="Times New Roman" w:hAnsi="Times New Roman"/>
          <w:sz w:val="24"/>
          <w:szCs w:val="24"/>
        </w:rPr>
        <w:t>» в субсидии в сумме 29</w:t>
      </w:r>
      <w:r w:rsidR="00A26748">
        <w:rPr>
          <w:rFonts w:ascii="Times New Roman" w:hAnsi="Times New Roman"/>
          <w:sz w:val="24"/>
          <w:szCs w:val="24"/>
        </w:rPr>
        <w:t>,</w:t>
      </w:r>
      <w:r w:rsidRPr="00A6292B">
        <w:rPr>
          <w:rFonts w:ascii="Times New Roman" w:hAnsi="Times New Roman"/>
          <w:sz w:val="24"/>
          <w:szCs w:val="24"/>
        </w:rPr>
        <w:t xml:space="preserve">9 </w:t>
      </w:r>
      <w:r w:rsidR="00A26748">
        <w:rPr>
          <w:rFonts w:ascii="Times New Roman" w:hAnsi="Times New Roman"/>
          <w:sz w:val="24"/>
          <w:szCs w:val="24"/>
        </w:rPr>
        <w:t>млн</w:t>
      </w:r>
      <w:r w:rsidRPr="00A6292B">
        <w:rPr>
          <w:rFonts w:ascii="Times New Roman" w:hAnsi="Times New Roman"/>
          <w:sz w:val="24"/>
          <w:szCs w:val="24"/>
        </w:rPr>
        <w:t>. руб. не принята к бухгалтерскому уч</w:t>
      </w:r>
      <w:r w:rsidR="00A26748">
        <w:rPr>
          <w:rFonts w:ascii="Times New Roman" w:hAnsi="Times New Roman"/>
          <w:sz w:val="24"/>
          <w:szCs w:val="24"/>
        </w:rPr>
        <w:t>е</w:t>
      </w:r>
      <w:r w:rsidRPr="00A6292B">
        <w:rPr>
          <w:rFonts w:ascii="Times New Roman" w:hAnsi="Times New Roman"/>
          <w:sz w:val="24"/>
          <w:szCs w:val="24"/>
        </w:rPr>
        <w:t xml:space="preserve">ту и не числится в кредиторской задолженности Управления на 01.01.2018. </w:t>
      </w:r>
    </w:p>
    <w:p w:rsidR="00A6292B" w:rsidRPr="00A6292B" w:rsidRDefault="00A6292B" w:rsidP="00A26748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A6292B">
        <w:rPr>
          <w:rFonts w:ascii="Times New Roman" w:hAnsi="Times New Roman"/>
          <w:sz w:val="24"/>
          <w:szCs w:val="24"/>
        </w:rPr>
        <w:t>ГБУ «</w:t>
      </w:r>
      <w:proofErr w:type="spellStart"/>
      <w:r w:rsidRPr="00A6292B">
        <w:rPr>
          <w:rFonts w:ascii="Times New Roman" w:hAnsi="Times New Roman"/>
          <w:sz w:val="24"/>
          <w:szCs w:val="24"/>
        </w:rPr>
        <w:t>Исполдирекция</w:t>
      </w:r>
      <w:proofErr w:type="spellEnd"/>
      <w:r w:rsidRPr="00A6292B">
        <w:rPr>
          <w:rFonts w:ascii="Times New Roman" w:hAnsi="Times New Roman"/>
          <w:sz w:val="24"/>
          <w:szCs w:val="24"/>
        </w:rPr>
        <w:t>» в 2017 году не принимались к уч</w:t>
      </w:r>
      <w:r w:rsidR="00A26748">
        <w:rPr>
          <w:rFonts w:ascii="Times New Roman" w:hAnsi="Times New Roman"/>
          <w:sz w:val="24"/>
          <w:szCs w:val="24"/>
        </w:rPr>
        <w:t>е</w:t>
      </w:r>
      <w:r w:rsidRPr="00A6292B">
        <w:rPr>
          <w:rFonts w:ascii="Times New Roman" w:hAnsi="Times New Roman"/>
          <w:sz w:val="24"/>
          <w:szCs w:val="24"/>
        </w:rPr>
        <w:t xml:space="preserve">ту банковские гарантии, полученные в обеспечение исполнения </w:t>
      </w:r>
      <w:proofErr w:type="spellStart"/>
      <w:r w:rsidRPr="00A6292B">
        <w:rPr>
          <w:rFonts w:ascii="Times New Roman" w:hAnsi="Times New Roman"/>
          <w:sz w:val="24"/>
          <w:szCs w:val="24"/>
        </w:rPr>
        <w:t>госконтрактов</w:t>
      </w:r>
      <w:proofErr w:type="spellEnd"/>
      <w:r w:rsidR="00A26748">
        <w:rPr>
          <w:rFonts w:ascii="Times New Roman" w:hAnsi="Times New Roman"/>
          <w:sz w:val="24"/>
          <w:szCs w:val="24"/>
        </w:rPr>
        <w:t>,</w:t>
      </w:r>
      <w:r w:rsidRPr="00A6292B">
        <w:rPr>
          <w:rFonts w:ascii="Times New Roman" w:hAnsi="Times New Roman"/>
          <w:sz w:val="24"/>
          <w:szCs w:val="24"/>
        </w:rPr>
        <w:t xml:space="preserve"> на общую сумму 15</w:t>
      </w:r>
      <w:r w:rsidR="00A26748">
        <w:rPr>
          <w:rFonts w:ascii="Times New Roman" w:hAnsi="Times New Roman"/>
          <w:sz w:val="24"/>
          <w:szCs w:val="24"/>
        </w:rPr>
        <w:t>,6</w:t>
      </w:r>
      <w:r w:rsidRPr="00A6292B">
        <w:rPr>
          <w:rFonts w:ascii="Times New Roman" w:hAnsi="Times New Roman"/>
          <w:sz w:val="24"/>
          <w:szCs w:val="24"/>
        </w:rPr>
        <w:t xml:space="preserve"> </w:t>
      </w:r>
      <w:r w:rsidR="00A26748">
        <w:rPr>
          <w:rFonts w:ascii="Times New Roman" w:hAnsi="Times New Roman"/>
          <w:sz w:val="24"/>
          <w:szCs w:val="24"/>
        </w:rPr>
        <w:t>млн</w:t>
      </w:r>
      <w:r w:rsidRPr="00A6292B">
        <w:rPr>
          <w:rFonts w:ascii="Times New Roman" w:hAnsi="Times New Roman"/>
          <w:sz w:val="24"/>
          <w:szCs w:val="24"/>
        </w:rPr>
        <w:t>. рублей.</w:t>
      </w:r>
    </w:p>
    <w:p w:rsidR="00A6292B" w:rsidRDefault="00A6292B" w:rsidP="00A6292B">
      <w:pPr>
        <w:ind w:firstLine="709"/>
        <w:jc w:val="both"/>
        <w:rPr>
          <w:szCs w:val="24"/>
        </w:rPr>
      </w:pPr>
      <w:r>
        <w:rPr>
          <w:szCs w:val="24"/>
        </w:rPr>
        <w:t>Государственное задание для ГБУ «</w:t>
      </w:r>
      <w:proofErr w:type="spellStart"/>
      <w:r>
        <w:rPr>
          <w:szCs w:val="24"/>
        </w:rPr>
        <w:t>Исполдирекция</w:t>
      </w:r>
      <w:proofErr w:type="spellEnd"/>
      <w:r>
        <w:rPr>
          <w:szCs w:val="24"/>
        </w:rPr>
        <w:t>» сформировано Управлением с уч</w:t>
      </w:r>
      <w:r w:rsidR="00A26748">
        <w:rPr>
          <w:szCs w:val="24"/>
        </w:rPr>
        <w:t>е</w:t>
      </w:r>
      <w:r>
        <w:rPr>
          <w:szCs w:val="24"/>
        </w:rPr>
        <w:t>том категории потребителей, не установленной в ведомственном перечне  государственных услуг (работ), что является нарушением ст</w:t>
      </w:r>
      <w:r w:rsidR="00A26748">
        <w:rPr>
          <w:szCs w:val="24"/>
        </w:rPr>
        <w:t>атьи</w:t>
      </w:r>
      <w:r>
        <w:rPr>
          <w:szCs w:val="24"/>
        </w:rPr>
        <w:t xml:space="preserve"> 69.2 БК РФ.</w:t>
      </w:r>
    </w:p>
    <w:p w:rsidR="00A6292B" w:rsidRDefault="00A6292B" w:rsidP="00A6292B">
      <w:pPr>
        <w:autoSpaceDE w:val="0"/>
        <w:autoSpaceDN w:val="0"/>
        <w:adjustRightInd w:val="0"/>
        <w:ind w:firstLine="709"/>
        <w:jc w:val="both"/>
        <w:rPr>
          <w:szCs w:val="24"/>
        </w:rPr>
      </w:pPr>
      <w:r>
        <w:rPr>
          <w:szCs w:val="24"/>
        </w:rPr>
        <w:t>Н</w:t>
      </w:r>
      <w:r w:rsidRPr="00C73265">
        <w:rPr>
          <w:szCs w:val="24"/>
        </w:rPr>
        <w:t>еисполненны</w:t>
      </w:r>
      <w:r>
        <w:rPr>
          <w:szCs w:val="24"/>
        </w:rPr>
        <w:t>е</w:t>
      </w:r>
      <w:r w:rsidRPr="00C73265">
        <w:rPr>
          <w:szCs w:val="24"/>
        </w:rPr>
        <w:t xml:space="preserve"> </w:t>
      </w:r>
      <w:r>
        <w:rPr>
          <w:szCs w:val="24"/>
        </w:rPr>
        <w:t xml:space="preserve">бюджетные </w:t>
      </w:r>
      <w:r w:rsidRPr="00C73265">
        <w:rPr>
          <w:szCs w:val="24"/>
        </w:rPr>
        <w:t xml:space="preserve">обязательства Управления по представлению субсидии </w:t>
      </w:r>
      <w:r>
        <w:rPr>
          <w:szCs w:val="24"/>
        </w:rPr>
        <w:t>на финансовое обеспечение выполнения государственного задания ГБУ «</w:t>
      </w:r>
      <w:proofErr w:type="spellStart"/>
      <w:r>
        <w:rPr>
          <w:szCs w:val="24"/>
        </w:rPr>
        <w:t>Исполдирекция</w:t>
      </w:r>
      <w:proofErr w:type="spellEnd"/>
      <w:r>
        <w:rPr>
          <w:szCs w:val="24"/>
        </w:rPr>
        <w:t xml:space="preserve">» составили </w:t>
      </w:r>
      <w:r w:rsidRPr="00C73265">
        <w:rPr>
          <w:szCs w:val="24"/>
        </w:rPr>
        <w:t>50</w:t>
      </w:r>
      <w:r w:rsidR="00A26748">
        <w:rPr>
          <w:szCs w:val="24"/>
        </w:rPr>
        <w:t>,</w:t>
      </w:r>
      <w:r w:rsidRPr="00C73265">
        <w:rPr>
          <w:szCs w:val="24"/>
        </w:rPr>
        <w:t xml:space="preserve">7 </w:t>
      </w:r>
      <w:r w:rsidR="00A26748">
        <w:rPr>
          <w:szCs w:val="24"/>
        </w:rPr>
        <w:t>млн</w:t>
      </w:r>
      <w:r w:rsidRPr="00C73265">
        <w:rPr>
          <w:szCs w:val="24"/>
        </w:rPr>
        <w:t>.</w:t>
      </w:r>
      <w:r>
        <w:rPr>
          <w:szCs w:val="24"/>
        </w:rPr>
        <w:t xml:space="preserve"> рублей. Вместе с тем</w:t>
      </w:r>
      <w:r w:rsidR="00A26748">
        <w:rPr>
          <w:szCs w:val="24"/>
        </w:rPr>
        <w:t>, как показала проверка,</w:t>
      </w:r>
      <w:r>
        <w:rPr>
          <w:szCs w:val="24"/>
        </w:rPr>
        <w:t xml:space="preserve"> </w:t>
      </w:r>
      <w:r w:rsidRPr="00C73265">
        <w:rPr>
          <w:szCs w:val="24"/>
        </w:rPr>
        <w:t>кредиторск</w:t>
      </w:r>
      <w:r>
        <w:rPr>
          <w:szCs w:val="24"/>
        </w:rPr>
        <w:t>ая</w:t>
      </w:r>
      <w:r w:rsidRPr="00C73265">
        <w:rPr>
          <w:szCs w:val="24"/>
        </w:rPr>
        <w:t xml:space="preserve"> задолженность учреждения</w:t>
      </w:r>
      <w:r>
        <w:rPr>
          <w:szCs w:val="24"/>
        </w:rPr>
        <w:t xml:space="preserve"> на 01.01.2018 образовалась в сумме </w:t>
      </w:r>
      <w:r w:rsidRPr="00C73265">
        <w:rPr>
          <w:szCs w:val="24"/>
        </w:rPr>
        <w:t>29</w:t>
      </w:r>
      <w:r w:rsidR="00A26748">
        <w:rPr>
          <w:szCs w:val="24"/>
        </w:rPr>
        <w:t>,</w:t>
      </w:r>
      <w:r w:rsidRPr="00C73265">
        <w:rPr>
          <w:szCs w:val="24"/>
        </w:rPr>
        <w:t>9</w:t>
      </w:r>
      <w:r w:rsidR="00A26748">
        <w:rPr>
          <w:szCs w:val="24"/>
        </w:rPr>
        <w:t xml:space="preserve"> млн</w:t>
      </w:r>
      <w:r w:rsidRPr="00C73265">
        <w:rPr>
          <w:szCs w:val="24"/>
        </w:rPr>
        <w:t>.</w:t>
      </w:r>
      <w:r w:rsidR="00A26748">
        <w:rPr>
          <w:szCs w:val="24"/>
        </w:rPr>
        <w:t xml:space="preserve"> руб</w:t>
      </w:r>
      <w:r>
        <w:rPr>
          <w:szCs w:val="24"/>
        </w:rPr>
        <w:t>лей</w:t>
      </w:r>
      <w:r w:rsidRPr="00C73265">
        <w:rPr>
          <w:szCs w:val="24"/>
        </w:rPr>
        <w:t>.</w:t>
      </w:r>
      <w:r>
        <w:rPr>
          <w:szCs w:val="24"/>
        </w:rPr>
        <w:t xml:space="preserve"> Существенная р</w:t>
      </w:r>
      <w:r w:rsidRPr="00C73265">
        <w:rPr>
          <w:szCs w:val="24"/>
        </w:rPr>
        <w:t xml:space="preserve">азница между </w:t>
      </w:r>
      <w:r>
        <w:rPr>
          <w:szCs w:val="24"/>
        </w:rPr>
        <w:t xml:space="preserve">указанными показателями </w:t>
      </w:r>
      <w:r w:rsidR="00A26748">
        <w:rPr>
          <w:szCs w:val="24"/>
        </w:rPr>
        <w:t xml:space="preserve">может </w:t>
      </w:r>
      <w:r w:rsidRPr="00C73265">
        <w:rPr>
          <w:szCs w:val="24"/>
        </w:rPr>
        <w:t>свидетельств</w:t>
      </w:r>
      <w:r w:rsidR="00A26748">
        <w:rPr>
          <w:szCs w:val="24"/>
        </w:rPr>
        <w:t>овать</w:t>
      </w:r>
      <w:r w:rsidRPr="00C73265">
        <w:rPr>
          <w:szCs w:val="24"/>
        </w:rPr>
        <w:t xml:space="preserve"> о некорректном расч</w:t>
      </w:r>
      <w:r w:rsidR="00A26748">
        <w:rPr>
          <w:szCs w:val="24"/>
        </w:rPr>
        <w:t>е</w:t>
      </w:r>
      <w:r w:rsidRPr="00C73265">
        <w:rPr>
          <w:szCs w:val="24"/>
        </w:rPr>
        <w:t xml:space="preserve">те норматива затрат на выполнение государственного задания.  </w:t>
      </w:r>
    </w:p>
    <w:p w:rsidR="00A6292B" w:rsidRDefault="00A6292B" w:rsidP="00A6292B">
      <w:pPr>
        <w:ind w:firstLine="680"/>
        <w:jc w:val="both"/>
        <w:rPr>
          <w:szCs w:val="24"/>
        </w:rPr>
      </w:pPr>
      <w:r>
        <w:rPr>
          <w:szCs w:val="24"/>
        </w:rPr>
        <w:t>С 2017 года за сч</w:t>
      </w:r>
      <w:r w:rsidR="008F200D">
        <w:rPr>
          <w:szCs w:val="24"/>
        </w:rPr>
        <w:t>е</w:t>
      </w:r>
      <w:r>
        <w:rPr>
          <w:szCs w:val="24"/>
        </w:rPr>
        <w:t xml:space="preserve">т </w:t>
      </w:r>
      <w:r w:rsidR="008F200D">
        <w:rPr>
          <w:szCs w:val="24"/>
        </w:rPr>
        <w:t xml:space="preserve">средств </w:t>
      </w:r>
      <w:r>
        <w:rPr>
          <w:szCs w:val="24"/>
        </w:rPr>
        <w:t xml:space="preserve">областного бюджета содержится </w:t>
      </w:r>
      <w:r w:rsidR="008F200D">
        <w:rPr>
          <w:szCs w:val="24"/>
        </w:rPr>
        <w:t xml:space="preserve">подведомственное Управлению учреждение </w:t>
      </w:r>
      <w:r>
        <w:rPr>
          <w:szCs w:val="24"/>
        </w:rPr>
        <w:t>ГКУ «Общепит 1», деятельность которого, в основном, связана с организацией общественного питания для физических лиц за плату</w:t>
      </w:r>
      <w:r w:rsidR="008F200D">
        <w:rPr>
          <w:szCs w:val="24"/>
        </w:rPr>
        <w:t>.</w:t>
      </w:r>
      <w:r>
        <w:rPr>
          <w:szCs w:val="24"/>
        </w:rPr>
        <w:t xml:space="preserve"> </w:t>
      </w:r>
      <w:r w:rsidR="008F200D">
        <w:rPr>
          <w:szCs w:val="24"/>
        </w:rPr>
        <w:t xml:space="preserve">Причем, как </w:t>
      </w:r>
      <w:r w:rsidR="008F200D">
        <w:rPr>
          <w:szCs w:val="24"/>
        </w:rPr>
        <w:lastRenderedPageBreak/>
        <w:t>установлено проверкой,</w:t>
      </w:r>
      <w:r>
        <w:rPr>
          <w:szCs w:val="24"/>
        </w:rPr>
        <w:t xml:space="preserve"> доходы от этой деятельности не покрывают расходы на е</w:t>
      </w:r>
      <w:r w:rsidR="008F200D">
        <w:rPr>
          <w:szCs w:val="24"/>
        </w:rPr>
        <w:t>е</w:t>
      </w:r>
      <w:r>
        <w:rPr>
          <w:szCs w:val="24"/>
        </w:rPr>
        <w:t xml:space="preserve"> осуществление оценочно на 5</w:t>
      </w:r>
      <w:r w:rsidR="008F200D">
        <w:rPr>
          <w:szCs w:val="24"/>
        </w:rPr>
        <w:t>,</w:t>
      </w:r>
      <w:r>
        <w:rPr>
          <w:szCs w:val="24"/>
        </w:rPr>
        <w:t xml:space="preserve">7 </w:t>
      </w:r>
      <w:r w:rsidR="008F200D">
        <w:rPr>
          <w:szCs w:val="24"/>
        </w:rPr>
        <w:t>млн</w:t>
      </w:r>
      <w:r>
        <w:rPr>
          <w:szCs w:val="24"/>
        </w:rPr>
        <w:t>. руб</w:t>
      </w:r>
      <w:r w:rsidR="008F200D">
        <w:rPr>
          <w:szCs w:val="24"/>
        </w:rPr>
        <w:t>лей.</w:t>
      </w:r>
      <w:r>
        <w:rPr>
          <w:szCs w:val="24"/>
        </w:rPr>
        <w:t xml:space="preserve"> </w:t>
      </w:r>
      <w:r w:rsidR="008F200D">
        <w:rPr>
          <w:szCs w:val="24"/>
        </w:rPr>
        <w:t>В</w:t>
      </w:r>
      <w:r>
        <w:rPr>
          <w:szCs w:val="24"/>
        </w:rPr>
        <w:t xml:space="preserve"> связи с этим использование средств областного бюджета на указанные цели противоречит принципу эффективности, устан</w:t>
      </w:r>
      <w:r w:rsidR="008F200D">
        <w:rPr>
          <w:szCs w:val="24"/>
        </w:rPr>
        <w:t>овленному статьей</w:t>
      </w:r>
      <w:r>
        <w:rPr>
          <w:szCs w:val="24"/>
        </w:rPr>
        <w:t xml:space="preserve"> 34 БК РФ.</w:t>
      </w:r>
    </w:p>
    <w:p w:rsidR="00A6292B" w:rsidRDefault="001A3CDF" w:rsidP="00A6292B">
      <w:pPr>
        <w:autoSpaceDE w:val="0"/>
        <w:autoSpaceDN w:val="0"/>
        <w:adjustRightInd w:val="0"/>
        <w:ind w:firstLine="851"/>
        <w:jc w:val="both"/>
        <w:rPr>
          <w:szCs w:val="24"/>
        </w:rPr>
      </w:pPr>
      <w:r>
        <w:rPr>
          <w:szCs w:val="24"/>
        </w:rPr>
        <w:t xml:space="preserve">Внешняя проверка бюджетной отчетности и отдельных вопросов исполнения областного бюджета за 2017 год </w:t>
      </w:r>
      <w:r w:rsidRPr="001A3CDF">
        <w:rPr>
          <w:b/>
          <w:i/>
          <w:szCs w:val="24"/>
        </w:rPr>
        <w:t>комитетом юстиции Волгоградской области</w:t>
      </w:r>
      <w:r>
        <w:rPr>
          <w:szCs w:val="24"/>
        </w:rPr>
        <w:t xml:space="preserve"> </w:t>
      </w:r>
      <w:r w:rsidR="004547E9">
        <w:rPr>
          <w:szCs w:val="24"/>
        </w:rPr>
        <w:t xml:space="preserve">(далее Комитет) </w:t>
      </w:r>
      <w:r>
        <w:rPr>
          <w:szCs w:val="24"/>
        </w:rPr>
        <w:t xml:space="preserve">проведена в форме выездной документальной проверки. </w:t>
      </w:r>
      <w:r w:rsidR="008855A6">
        <w:rPr>
          <w:szCs w:val="24"/>
        </w:rPr>
        <w:t xml:space="preserve">При этом </w:t>
      </w:r>
      <w:r w:rsidR="008D2113">
        <w:rPr>
          <w:szCs w:val="24"/>
        </w:rPr>
        <w:t xml:space="preserve">при проведении </w:t>
      </w:r>
      <w:r w:rsidR="008855A6">
        <w:rPr>
          <w:szCs w:val="24"/>
        </w:rPr>
        <w:t>данн</w:t>
      </w:r>
      <w:r w:rsidR="008D2113">
        <w:rPr>
          <w:szCs w:val="24"/>
        </w:rPr>
        <w:t>ой</w:t>
      </w:r>
      <w:r w:rsidR="008855A6">
        <w:rPr>
          <w:szCs w:val="24"/>
        </w:rPr>
        <w:t xml:space="preserve"> проверк</w:t>
      </w:r>
      <w:r w:rsidR="008D2113">
        <w:rPr>
          <w:szCs w:val="24"/>
        </w:rPr>
        <w:t>и</w:t>
      </w:r>
      <w:r w:rsidR="008855A6">
        <w:rPr>
          <w:szCs w:val="24"/>
        </w:rPr>
        <w:t xml:space="preserve"> </w:t>
      </w:r>
      <w:r w:rsidR="008D2113">
        <w:rPr>
          <w:szCs w:val="24"/>
        </w:rPr>
        <w:t>исследовались</w:t>
      </w:r>
      <w:r w:rsidR="008855A6">
        <w:rPr>
          <w:szCs w:val="24"/>
        </w:rPr>
        <w:t xml:space="preserve"> </w:t>
      </w:r>
      <w:r w:rsidR="003B2583">
        <w:rPr>
          <w:szCs w:val="24"/>
        </w:rPr>
        <w:t xml:space="preserve">отдельные </w:t>
      </w:r>
      <w:r w:rsidR="008855A6">
        <w:rPr>
          <w:szCs w:val="24"/>
        </w:rPr>
        <w:t>вопрос</w:t>
      </w:r>
      <w:r w:rsidR="008D2113">
        <w:rPr>
          <w:szCs w:val="24"/>
        </w:rPr>
        <w:t>ы, предусмотренные</w:t>
      </w:r>
      <w:r w:rsidR="008855A6">
        <w:rPr>
          <w:szCs w:val="24"/>
        </w:rPr>
        <w:t xml:space="preserve"> программой Счетной палаты России для проведения в текущем году параллельного с контрольно-счетными органами субъектов РФ экспертно-аналитического мероприятия «Анализ и оценка расходов на финансирование и материально-техническое обеспечение деятельности мировых судей». </w:t>
      </w:r>
      <w:r>
        <w:rPr>
          <w:szCs w:val="24"/>
        </w:rPr>
        <w:t>По результатам</w:t>
      </w:r>
      <w:r w:rsidR="007260C7">
        <w:rPr>
          <w:szCs w:val="24"/>
        </w:rPr>
        <w:t xml:space="preserve"> проверки</w:t>
      </w:r>
      <w:r>
        <w:rPr>
          <w:szCs w:val="24"/>
        </w:rPr>
        <w:t xml:space="preserve"> установлено следующее.</w:t>
      </w:r>
    </w:p>
    <w:p w:rsidR="001A3CDF" w:rsidRPr="006E70D1" w:rsidRDefault="001A3CDF" w:rsidP="001A3CDF">
      <w:pPr>
        <w:ind w:firstLine="709"/>
        <w:jc w:val="both"/>
        <w:rPr>
          <w:szCs w:val="24"/>
        </w:rPr>
      </w:pPr>
      <w:proofErr w:type="gramStart"/>
      <w:r w:rsidRPr="006E70D1">
        <w:rPr>
          <w:bCs/>
          <w:szCs w:val="24"/>
        </w:rPr>
        <w:t xml:space="preserve">Расходы </w:t>
      </w:r>
      <w:r w:rsidRPr="006E70D1">
        <w:rPr>
          <w:szCs w:val="24"/>
        </w:rPr>
        <w:t xml:space="preserve">на обеспечение деятельности Комитета по исполнению полномочий, не связанных с судебной системой, </w:t>
      </w:r>
      <w:r w:rsidR="004547E9">
        <w:rPr>
          <w:szCs w:val="24"/>
        </w:rPr>
        <w:t xml:space="preserve">а именно </w:t>
      </w:r>
      <w:r w:rsidRPr="006E70D1">
        <w:rPr>
          <w:szCs w:val="24"/>
        </w:rPr>
        <w:t>по организации государственной регистрации актов гражданского состояния и ведению регистра муниципальных нормативных правовых актов Волгоградской области, утверждены и исполнены по подразделу бюджетной классификации 0105 «Судебная система», что не соответствует требованиям абз</w:t>
      </w:r>
      <w:r w:rsidR="004547E9">
        <w:rPr>
          <w:szCs w:val="24"/>
        </w:rPr>
        <w:t>аца</w:t>
      </w:r>
      <w:r w:rsidRPr="006E70D1">
        <w:rPr>
          <w:szCs w:val="24"/>
        </w:rPr>
        <w:t xml:space="preserve"> 7 раздела 3.2 Указаний о порядке применения бюджетной классификации РФ, утвержд</w:t>
      </w:r>
      <w:r w:rsidR="004547E9">
        <w:rPr>
          <w:szCs w:val="24"/>
        </w:rPr>
        <w:t>е</w:t>
      </w:r>
      <w:r w:rsidRPr="006E70D1">
        <w:rPr>
          <w:szCs w:val="24"/>
        </w:rPr>
        <w:t>нных приказом Минфин</w:t>
      </w:r>
      <w:r>
        <w:rPr>
          <w:szCs w:val="24"/>
        </w:rPr>
        <w:t>а</w:t>
      </w:r>
      <w:r w:rsidRPr="006E70D1">
        <w:rPr>
          <w:szCs w:val="24"/>
        </w:rPr>
        <w:t xml:space="preserve"> России</w:t>
      </w:r>
      <w:proofErr w:type="gramEnd"/>
      <w:r w:rsidRPr="006E70D1">
        <w:rPr>
          <w:szCs w:val="24"/>
        </w:rPr>
        <w:t xml:space="preserve"> от 01.07.2013 №65. При формировании бюджета на 2018 год </w:t>
      </w:r>
      <w:r w:rsidR="004547E9">
        <w:rPr>
          <w:szCs w:val="24"/>
        </w:rPr>
        <w:t xml:space="preserve">данное </w:t>
      </w:r>
      <w:r w:rsidRPr="006E70D1">
        <w:rPr>
          <w:szCs w:val="24"/>
        </w:rPr>
        <w:t>нарушение устранено - расходы на обеспечение деятельности аппарата управления Комитета утверждены по подразделу 0113 «Другие общегосударственные вопросы».</w:t>
      </w:r>
    </w:p>
    <w:p w:rsidR="001A3CDF" w:rsidRPr="001A3CDF" w:rsidRDefault="001A3CDF" w:rsidP="001A3CD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3CDF">
        <w:rPr>
          <w:rFonts w:ascii="Times New Roman" w:hAnsi="Times New Roman" w:cs="Times New Roman"/>
          <w:sz w:val="24"/>
          <w:szCs w:val="24"/>
        </w:rPr>
        <w:t>В нарушение ст</w:t>
      </w:r>
      <w:r w:rsidR="009578A2">
        <w:rPr>
          <w:rFonts w:ascii="Times New Roman" w:hAnsi="Times New Roman" w:cs="Times New Roman"/>
          <w:sz w:val="24"/>
          <w:szCs w:val="24"/>
        </w:rPr>
        <w:t xml:space="preserve">атьи </w:t>
      </w:r>
      <w:r w:rsidRPr="001A3CDF">
        <w:rPr>
          <w:rFonts w:ascii="Times New Roman" w:hAnsi="Times New Roman" w:cs="Times New Roman"/>
          <w:sz w:val="24"/>
          <w:szCs w:val="24"/>
        </w:rPr>
        <w:t>131 Г</w:t>
      </w:r>
      <w:r w:rsidR="009578A2">
        <w:rPr>
          <w:rFonts w:ascii="Times New Roman" w:hAnsi="Times New Roman" w:cs="Times New Roman"/>
          <w:sz w:val="24"/>
          <w:szCs w:val="24"/>
        </w:rPr>
        <w:t>ражданского кодекса</w:t>
      </w:r>
      <w:r w:rsidRPr="001A3CDF">
        <w:rPr>
          <w:rFonts w:ascii="Times New Roman" w:hAnsi="Times New Roman" w:cs="Times New Roman"/>
          <w:sz w:val="24"/>
          <w:szCs w:val="24"/>
        </w:rPr>
        <w:t xml:space="preserve"> РФ Комитетом не зарегистрированы:</w:t>
      </w:r>
    </w:p>
    <w:p w:rsidR="001A3CDF" w:rsidRPr="001A3CDF" w:rsidRDefault="001A3CDF" w:rsidP="001A3CD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3CDF">
        <w:rPr>
          <w:rFonts w:ascii="Times New Roman" w:hAnsi="Times New Roman" w:cs="Times New Roman"/>
          <w:sz w:val="24"/>
          <w:szCs w:val="24"/>
        </w:rPr>
        <w:t>-права постоянного (бессрочного) пользования земельными участками, на которых расположены здание и гараж в г</w:t>
      </w:r>
      <w:r w:rsidR="00891328">
        <w:rPr>
          <w:rFonts w:ascii="Times New Roman" w:hAnsi="Times New Roman" w:cs="Times New Roman"/>
          <w:sz w:val="24"/>
          <w:szCs w:val="24"/>
        </w:rPr>
        <w:t>ороде</w:t>
      </w:r>
      <w:r w:rsidRPr="001A3CDF">
        <w:rPr>
          <w:rFonts w:ascii="Times New Roman" w:hAnsi="Times New Roman" w:cs="Times New Roman"/>
          <w:sz w:val="24"/>
          <w:szCs w:val="24"/>
        </w:rPr>
        <w:t xml:space="preserve"> Камышин, находящиеся в собственности Волгоградской области и полученные Комитетом в 2007 году;</w:t>
      </w:r>
    </w:p>
    <w:p w:rsidR="001A3CDF" w:rsidRPr="001A3CDF" w:rsidRDefault="001A3CDF" w:rsidP="001A3CD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3CDF">
        <w:rPr>
          <w:rFonts w:ascii="Times New Roman" w:hAnsi="Times New Roman" w:cs="Times New Roman"/>
          <w:sz w:val="24"/>
          <w:szCs w:val="24"/>
        </w:rPr>
        <w:t>-право оперативного управления на часть административного здания в г</w:t>
      </w:r>
      <w:r w:rsidR="00891328">
        <w:rPr>
          <w:rFonts w:ascii="Times New Roman" w:hAnsi="Times New Roman" w:cs="Times New Roman"/>
          <w:sz w:val="24"/>
          <w:szCs w:val="24"/>
        </w:rPr>
        <w:t>ороде</w:t>
      </w:r>
      <w:r w:rsidRPr="001A3CDF">
        <w:rPr>
          <w:rFonts w:ascii="Times New Roman" w:hAnsi="Times New Roman" w:cs="Times New Roman"/>
          <w:sz w:val="24"/>
          <w:szCs w:val="24"/>
        </w:rPr>
        <w:t xml:space="preserve"> Серафимович, полученную Комитетом в 2010 году.</w:t>
      </w:r>
    </w:p>
    <w:p w:rsidR="001A3CDF" w:rsidRPr="006E70D1" w:rsidRDefault="001A3CDF" w:rsidP="001A3CDF">
      <w:pPr>
        <w:ind w:firstLine="709"/>
        <w:jc w:val="both"/>
        <w:rPr>
          <w:szCs w:val="24"/>
        </w:rPr>
      </w:pPr>
      <w:r w:rsidRPr="006E70D1">
        <w:rPr>
          <w:szCs w:val="24"/>
        </w:rPr>
        <w:t>Обязательная инвентаризация активов в целях составления бюджетной отч</w:t>
      </w:r>
      <w:r w:rsidR="00891328">
        <w:rPr>
          <w:szCs w:val="24"/>
        </w:rPr>
        <w:t>е</w:t>
      </w:r>
      <w:r w:rsidRPr="006E70D1">
        <w:rPr>
          <w:szCs w:val="24"/>
        </w:rPr>
        <w:t>тности Комитета за 2017 год проводилась ненадлежащим образом, нарушен установленный порядок проведения инвентаризации. Достоверность показателей бухгалтерского уч</w:t>
      </w:r>
      <w:r w:rsidR="000D2518">
        <w:rPr>
          <w:szCs w:val="24"/>
        </w:rPr>
        <w:t>е</w:t>
      </w:r>
      <w:r w:rsidRPr="006E70D1">
        <w:rPr>
          <w:szCs w:val="24"/>
        </w:rPr>
        <w:t>та и соответственно отч</w:t>
      </w:r>
      <w:r w:rsidR="000D2518">
        <w:rPr>
          <w:szCs w:val="24"/>
        </w:rPr>
        <w:t>е</w:t>
      </w:r>
      <w:r w:rsidRPr="006E70D1">
        <w:rPr>
          <w:szCs w:val="24"/>
        </w:rPr>
        <w:t>тности Комитета не подтверждена.</w:t>
      </w:r>
      <w:r>
        <w:rPr>
          <w:szCs w:val="24"/>
        </w:rPr>
        <w:t xml:space="preserve"> В ходе проверки организована полная инвентаризация имущества Комитета и назначена служебная проверка.</w:t>
      </w:r>
    </w:p>
    <w:p w:rsidR="001A3CDF" w:rsidRPr="006E70D1" w:rsidRDefault="001A3CDF" w:rsidP="005C3812">
      <w:pPr>
        <w:autoSpaceDE w:val="0"/>
        <w:autoSpaceDN w:val="0"/>
        <w:adjustRightInd w:val="0"/>
        <w:ind w:firstLine="709"/>
        <w:jc w:val="both"/>
        <w:outlineLvl w:val="0"/>
        <w:rPr>
          <w:szCs w:val="24"/>
        </w:rPr>
      </w:pPr>
      <w:r w:rsidRPr="006E70D1">
        <w:rPr>
          <w:szCs w:val="24"/>
        </w:rPr>
        <w:t xml:space="preserve">В Волгоградской области деятельность мировых судей осуществляется в пределах 43 судебных районов на 145 судебных участках. В среднем по области на один судебный участок приходится 17,5 тыс. чел. населения. </w:t>
      </w:r>
      <w:proofErr w:type="gramStart"/>
      <w:r w:rsidRPr="006E70D1">
        <w:rPr>
          <w:szCs w:val="24"/>
        </w:rPr>
        <w:t xml:space="preserve">В </w:t>
      </w:r>
      <w:proofErr w:type="spellStart"/>
      <w:r w:rsidRPr="006E70D1">
        <w:rPr>
          <w:szCs w:val="24"/>
        </w:rPr>
        <w:t>Котельниковском</w:t>
      </w:r>
      <w:proofErr w:type="spellEnd"/>
      <w:r w:rsidRPr="006E70D1">
        <w:rPr>
          <w:szCs w:val="24"/>
        </w:rPr>
        <w:t xml:space="preserve">, </w:t>
      </w:r>
      <w:proofErr w:type="spellStart"/>
      <w:r w:rsidRPr="006E70D1">
        <w:rPr>
          <w:szCs w:val="24"/>
        </w:rPr>
        <w:t>Палласовском</w:t>
      </w:r>
      <w:proofErr w:type="spellEnd"/>
      <w:r w:rsidRPr="006E70D1">
        <w:rPr>
          <w:szCs w:val="24"/>
        </w:rPr>
        <w:t xml:space="preserve">, </w:t>
      </w:r>
      <w:proofErr w:type="spellStart"/>
      <w:r w:rsidRPr="006E70D1">
        <w:rPr>
          <w:szCs w:val="24"/>
        </w:rPr>
        <w:t>Серафимовическом</w:t>
      </w:r>
      <w:proofErr w:type="spellEnd"/>
      <w:r w:rsidRPr="006E70D1">
        <w:rPr>
          <w:szCs w:val="24"/>
        </w:rPr>
        <w:t xml:space="preserve"> судебных районах, включающих несколько судебных участков, показатель численности населения на один участок меньше минимальной границы, установленной п</w:t>
      </w:r>
      <w:r w:rsidR="000D2518">
        <w:rPr>
          <w:szCs w:val="24"/>
        </w:rPr>
        <w:t>унктом</w:t>
      </w:r>
      <w:r w:rsidRPr="006E70D1">
        <w:rPr>
          <w:szCs w:val="24"/>
        </w:rPr>
        <w:t xml:space="preserve"> 4 ст</w:t>
      </w:r>
      <w:r w:rsidR="000D2518">
        <w:rPr>
          <w:szCs w:val="24"/>
        </w:rPr>
        <w:t>атьи</w:t>
      </w:r>
      <w:r w:rsidRPr="006E70D1">
        <w:rPr>
          <w:szCs w:val="24"/>
        </w:rPr>
        <w:t xml:space="preserve"> 4 </w:t>
      </w:r>
      <w:r w:rsidR="00E503DA" w:rsidRPr="00395828">
        <w:rPr>
          <w:szCs w:val="24"/>
        </w:rPr>
        <w:t xml:space="preserve">Федерального закона от 17.12.1998 №188-ФЗ «О мировых судьях в Российской Федерации» </w:t>
      </w:r>
      <w:r w:rsidRPr="006E70D1">
        <w:rPr>
          <w:szCs w:val="24"/>
        </w:rPr>
        <w:t>(15 тыс. чел</w:t>
      </w:r>
      <w:r w:rsidR="000D2518">
        <w:rPr>
          <w:szCs w:val="24"/>
        </w:rPr>
        <w:t>.</w:t>
      </w:r>
      <w:r w:rsidRPr="006E70D1">
        <w:rPr>
          <w:szCs w:val="24"/>
        </w:rPr>
        <w:t>), - 12,2, 13,5 и 11,8 тыс. человек соответственно, что свидетельствует о возможном нарушении федерального законодательства.</w:t>
      </w:r>
      <w:proofErr w:type="gramEnd"/>
      <w:r w:rsidRPr="006E70D1">
        <w:rPr>
          <w:szCs w:val="24"/>
        </w:rPr>
        <w:t xml:space="preserve"> </w:t>
      </w:r>
      <w:r w:rsidR="005C3812">
        <w:rPr>
          <w:szCs w:val="24"/>
        </w:rPr>
        <w:t>По оценке КСП, с</w:t>
      </w:r>
      <w:r w:rsidRPr="006E70D1">
        <w:rPr>
          <w:szCs w:val="24"/>
        </w:rPr>
        <w:t>итуация требует детального исследования в рамках отдельного мероприятия.</w:t>
      </w:r>
    </w:p>
    <w:p w:rsidR="004C340F" w:rsidRDefault="001A3CDF" w:rsidP="004C340F">
      <w:pPr>
        <w:autoSpaceDE w:val="0"/>
        <w:autoSpaceDN w:val="0"/>
        <w:adjustRightInd w:val="0"/>
        <w:ind w:firstLine="709"/>
        <w:jc w:val="both"/>
        <w:outlineLvl w:val="0"/>
        <w:rPr>
          <w:szCs w:val="24"/>
        </w:rPr>
      </w:pPr>
      <w:r w:rsidRPr="006E70D1">
        <w:rPr>
          <w:szCs w:val="24"/>
        </w:rPr>
        <w:t xml:space="preserve">В 2017 году мировыми судьями Волгоградской области </w:t>
      </w:r>
      <w:r w:rsidR="00D02791">
        <w:rPr>
          <w:szCs w:val="24"/>
        </w:rPr>
        <w:t>заверше</w:t>
      </w:r>
      <w:r w:rsidRPr="006E70D1">
        <w:rPr>
          <w:szCs w:val="24"/>
        </w:rPr>
        <w:t>но 426224 дела. Нагрузка (количество дел в год) на один судебный участок в среднем по области составила 2939 дел, но в разрезе участков имеет большой разброс -  от 1036 до 5845 дел, т.</w:t>
      </w:r>
      <w:r w:rsidR="00D02791">
        <w:rPr>
          <w:szCs w:val="24"/>
        </w:rPr>
        <w:t xml:space="preserve"> </w:t>
      </w:r>
      <w:r w:rsidRPr="006E70D1">
        <w:rPr>
          <w:szCs w:val="24"/>
        </w:rPr>
        <w:t>е. отличается в 5,6 раза. Среднемесячная нагрузка на мировых судей имеет ещ</w:t>
      </w:r>
      <w:r w:rsidR="00D02791">
        <w:rPr>
          <w:szCs w:val="24"/>
        </w:rPr>
        <w:t>е</w:t>
      </w:r>
      <w:r w:rsidRPr="006E70D1">
        <w:rPr>
          <w:szCs w:val="24"/>
        </w:rPr>
        <w:t xml:space="preserve"> большую дифференциацию - от 100,8 до 713,8 дел, т.е. отличается в 7,1 раза. Чрезмерно высокая нагрузка на мирового судью может негативно сказываться на качестве судопроизводства. Критерии нагрузки, призванные реализовать норму п</w:t>
      </w:r>
      <w:r w:rsidR="0024693D">
        <w:rPr>
          <w:szCs w:val="24"/>
        </w:rPr>
        <w:t>ункта</w:t>
      </w:r>
      <w:r w:rsidRPr="006E70D1">
        <w:rPr>
          <w:szCs w:val="24"/>
        </w:rPr>
        <w:t> 4 ст</w:t>
      </w:r>
      <w:r w:rsidR="0024693D">
        <w:rPr>
          <w:szCs w:val="24"/>
        </w:rPr>
        <w:t>атьи</w:t>
      </w:r>
      <w:r w:rsidRPr="006E70D1">
        <w:rPr>
          <w:szCs w:val="24"/>
        </w:rPr>
        <w:t xml:space="preserve"> 4 </w:t>
      </w:r>
      <w:r w:rsidR="00A65838" w:rsidRPr="00395828">
        <w:t>Закона Волгоградской области от 18.08.1999 №297-ОД «О мировых судьях в Волгоградской области»</w:t>
      </w:r>
      <w:r w:rsidRPr="006E70D1">
        <w:rPr>
          <w:szCs w:val="24"/>
        </w:rPr>
        <w:t xml:space="preserve"> о создании </w:t>
      </w:r>
      <w:r w:rsidRPr="001A3CDF">
        <w:rPr>
          <w:szCs w:val="24"/>
        </w:rPr>
        <w:t>судебных участков с уч</w:t>
      </w:r>
      <w:r w:rsidR="00A65838">
        <w:rPr>
          <w:szCs w:val="24"/>
        </w:rPr>
        <w:t>е</w:t>
      </w:r>
      <w:r w:rsidRPr="001A3CDF">
        <w:rPr>
          <w:szCs w:val="24"/>
        </w:rPr>
        <w:t>том количества рассматриваемых дел, не установлены.</w:t>
      </w:r>
    </w:p>
    <w:p w:rsidR="001A3CDF" w:rsidRPr="001A3CDF" w:rsidRDefault="001A3CDF" w:rsidP="004C340F">
      <w:pPr>
        <w:autoSpaceDE w:val="0"/>
        <w:autoSpaceDN w:val="0"/>
        <w:adjustRightInd w:val="0"/>
        <w:ind w:firstLine="709"/>
        <w:jc w:val="both"/>
        <w:outlineLvl w:val="0"/>
        <w:rPr>
          <w:szCs w:val="24"/>
        </w:rPr>
      </w:pPr>
      <w:r w:rsidRPr="001A3CDF">
        <w:rPr>
          <w:szCs w:val="24"/>
        </w:rPr>
        <w:t>Деятельность мировых судей Волгоградской области обеспечивают 435 штатных единиц аппаратов мировых судей и 256 штатных единиц обеспечивающих работников.</w:t>
      </w:r>
    </w:p>
    <w:p w:rsidR="001A3CDF" w:rsidRPr="001A3CDF" w:rsidRDefault="001A3CDF" w:rsidP="001A3CD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3CDF">
        <w:rPr>
          <w:rFonts w:ascii="Times New Roman" w:hAnsi="Times New Roman" w:cs="Times New Roman"/>
          <w:sz w:val="24"/>
          <w:szCs w:val="24"/>
        </w:rPr>
        <w:lastRenderedPageBreak/>
        <w:t>Кадровая ситуация на судебных участках характеризуется высоким коэффициентом текучести кадров, что негативно сказывается на качестве обеспечения работы мировых судей. При общепринятом допустимом значении коэффициента текучести кадров 15% значение этого показателя по должностям специалистов судебных участков в 2017 году составило 49 процентов. Наибольшая доля уволившихся специалистов приходится на должности секретарей судебных участков (текучесть 72%).</w:t>
      </w:r>
    </w:p>
    <w:p w:rsidR="001A3CDF" w:rsidRPr="001A3CDF" w:rsidRDefault="001A3CDF" w:rsidP="001A3CDF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3CDF">
        <w:rPr>
          <w:rFonts w:ascii="Times New Roman" w:hAnsi="Times New Roman" w:cs="Times New Roman"/>
          <w:sz w:val="24"/>
          <w:szCs w:val="24"/>
        </w:rPr>
        <w:t xml:space="preserve">Причина сложившейся ситуации – несоответствие уровня оплаты труда нагрузке. Фактический </w:t>
      </w:r>
      <w:proofErr w:type="gramStart"/>
      <w:r w:rsidRPr="001A3CDF">
        <w:rPr>
          <w:rFonts w:ascii="Times New Roman" w:hAnsi="Times New Roman" w:cs="Times New Roman"/>
          <w:sz w:val="24"/>
          <w:szCs w:val="24"/>
        </w:rPr>
        <w:t>размер оплаты труда</w:t>
      </w:r>
      <w:proofErr w:type="gramEnd"/>
      <w:r w:rsidRPr="001A3CDF">
        <w:rPr>
          <w:rFonts w:ascii="Times New Roman" w:hAnsi="Times New Roman" w:cs="Times New Roman"/>
          <w:sz w:val="24"/>
          <w:szCs w:val="24"/>
        </w:rPr>
        <w:t xml:space="preserve"> специалистов судебных участков может складываться в размере от 8,2 до 24,3 тыс. руб., что меньше среднемесячной номинальной начисленной заработной платы работников организаций по Волгоградской области за 2017 год (</w:t>
      </w:r>
      <w:r w:rsidRPr="001A3CDF">
        <w:rPr>
          <w:rFonts w:ascii="Times New Roman" w:hAnsi="Times New Roman" w:cs="Times New Roman"/>
          <w:bCs/>
          <w:sz w:val="24"/>
          <w:szCs w:val="24"/>
        </w:rPr>
        <w:t>27,9 тыс. руб.) в 3,4</w:t>
      </w:r>
      <w:r w:rsidR="00B00B52">
        <w:rPr>
          <w:rFonts w:ascii="Times New Roman" w:hAnsi="Times New Roman" w:cs="Times New Roman"/>
          <w:bCs/>
          <w:sz w:val="24"/>
          <w:szCs w:val="24"/>
        </w:rPr>
        <w:t>-</w:t>
      </w:r>
      <w:r w:rsidRPr="001A3CDF">
        <w:rPr>
          <w:rFonts w:ascii="Times New Roman" w:hAnsi="Times New Roman" w:cs="Times New Roman"/>
          <w:bCs/>
          <w:sz w:val="24"/>
          <w:szCs w:val="24"/>
        </w:rPr>
        <w:t>1,1 раза.</w:t>
      </w:r>
    </w:p>
    <w:p w:rsidR="00345302" w:rsidRDefault="001A3CDF" w:rsidP="0034530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3CDF">
        <w:rPr>
          <w:rFonts w:ascii="Times New Roman" w:hAnsi="Times New Roman" w:cs="Times New Roman"/>
          <w:sz w:val="24"/>
          <w:szCs w:val="24"/>
        </w:rPr>
        <w:t>Фонд оплаты труда Комитета не обеспечен бюджетными ассигнованиями в объ</w:t>
      </w:r>
      <w:r w:rsidR="00033920">
        <w:rPr>
          <w:rFonts w:ascii="Times New Roman" w:hAnsi="Times New Roman" w:cs="Times New Roman"/>
          <w:sz w:val="24"/>
          <w:szCs w:val="24"/>
        </w:rPr>
        <w:t>е</w:t>
      </w:r>
      <w:r w:rsidRPr="001A3CDF">
        <w:rPr>
          <w:rFonts w:ascii="Times New Roman" w:hAnsi="Times New Roman" w:cs="Times New Roman"/>
          <w:sz w:val="24"/>
          <w:szCs w:val="24"/>
        </w:rPr>
        <w:t>ме, установленном ст</w:t>
      </w:r>
      <w:r w:rsidR="00033920">
        <w:rPr>
          <w:rFonts w:ascii="Times New Roman" w:hAnsi="Times New Roman" w:cs="Times New Roman"/>
          <w:sz w:val="24"/>
          <w:szCs w:val="24"/>
        </w:rPr>
        <w:t>атьей</w:t>
      </w:r>
      <w:r w:rsidRPr="001A3CDF">
        <w:rPr>
          <w:rFonts w:ascii="Times New Roman" w:hAnsi="Times New Roman" w:cs="Times New Roman"/>
          <w:sz w:val="24"/>
          <w:szCs w:val="24"/>
        </w:rPr>
        <w:t xml:space="preserve"> 3 Закона Волгоградской области от 10.11.2005 №1114-ОД «О денежном содержании государственных гражданских служащих Волгоградской области», положениями других нормативных правовых актов Волгоградской области. В 2017 году объ</w:t>
      </w:r>
      <w:r w:rsidR="00033920">
        <w:rPr>
          <w:rFonts w:ascii="Times New Roman" w:hAnsi="Times New Roman" w:cs="Times New Roman"/>
          <w:sz w:val="24"/>
          <w:szCs w:val="24"/>
        </w:rPr>
        <w:t>е</w:t>
      </w:r>
      <w:r w:rsidRPr="001A3CDF">
        <w:rPr>
          <w:rFonts w:ascii="Times New Roman" w:hAnsi="Times New Roman" w:cs="Times New Roman"/>
          <w:sz w:val="24"/>
          <w:szCs w:val="24"/>
        </w:rPr>
        <w:t>м начисленной оплаты труда работникам судебных участков составил 151</w:t>
      </w:r>
      <w:r w:rsidR="00033920">
        <w:rPr>
          <w:rFonts w:ascii="Times New Roman" w:hAnsi="Times New Roman" w:cs="Times New Roman"/>
          <w:sz w:val="24"/>
          <w:szCs w:val="24"/>
        </w:rPr>
        <w:t>,8</w:t>
      </w:r>
      <w:r w:rsidRPr="001A3CDF">
        <w:rPr>
          <w:rFonts w:ascii="Times New Roman" w:hAnsi="Times New Roman" w:cs="Times New Roman"/>
          <w:sz w:val="24"/>
          <w:szCs w:val="24"/>
        </w:rPr>
        <w:t xml:space="preserve"> </w:t>
      </w:r>
      <w:r w:rsidR="00033920">
        <w:rPr>
          <w:rFonts w:ascii="Times New Roman" w:hAnsi="Times New Roman" w:cs="Times New Roman"/>
          <w:sz w:val="24"/>
          <w:szCs w:val="24"/>
        </w:rPr>
        <w:t>млн</w:t>
      </w:r>
      <w:r w:rsidRPr="001A3CDF">
        <w:rPr>
          <w:rFonts w:ascii="Times New Roman" w:hAnsi="Times New Roman" w:cs="Times New Roman"/>
          <w:sz w:val="24"/>
          <w:szCs w:val="24"/>
        </w:rPr>
        <w:t>. руб., что на 41</w:t>
      </w:r>
      <w:r w:rsidR="00033920">
        <w:rPr>
          <w:rFonts w:ascii="Times New Roman" w:hAnsi="Times New Roman" w:cs="Times New Roman"/>
          <w:sz w:val="24"/>
          <w:szCs w:val="24"/>
        </w:rPr>
        <w:t>,</w:t>
      </w:r>
      <w:r w:rsidRPr="001A3CDF">
        <w:rPr>
          <w:rFonts w:ascii="Times New Roman" w:hAnsi="Times New Roman" w:cs="Times New Roman"/>
          <w:sz w:val="24"/>
          <w:szCs w:val="24"/>
        </w:rPr>
        <w:t xml:space="preserve">4 </w:t>
      </w:r>
      <w:r w:rsidR="00033920">
        <w:rPr>
          <w:rFonts w:ascii="Times New Roman" w:hAnsi="Times New Roman" w:cs="Times New Roman"/>
          <w:sz w:val="24"/>
          <w:szCs w:val="24"/>
        </w:rPr>
        <w:t>млн</w:t>
      </w:r>
      <w:r w:rsidRPr="001A3CDF">
        <w:rPr>
          <w:rFonts w:ascii="Times New Roman" w:hAnsi="Times New Roman" w:cs="Times New Roman"/>
          <w:sz w:val="24"/>
          <w:szCs w:val="24"/>
        </w:rPr>
        <w:t>. руб. (21,4%) меньше объ</w:t>
      </w:r>
      <w:r w:rsidR="00033920">
        <w:rPr>
          <w:rFonts w:ascii="Times New Roman" w:hAnsi="Times New Roman" w:cs="Times New Roman"/>
          <w:sz w:val="24"/>
          <w:szCs w:val="24"/>
        </w:rPr>
        <w:t>е</w:t>
      </w:r>
      <w:r w:rsidRPr="001A3CDF">
        <w:rPr>
          <w:rFonts w:ascii="Times New Roman" w:hAnsi="Times New Roman" w:cs="Times New Roman"/>
          <w:sz w:val="24"/>
          <w:szCs w:val="24"/>
        </w:rPr>
        <w:t>ма фонда, определ</w:t>
      </w:r>
      <w:r w:rsidR="00033920">
        <w:rPr>
          <w:rFonts w:ascii="Times New Roman" w:hAnsi="Times New Roman" w:cs="Times New Roman"/>
          <w:sz w:val="24"/>
          <w:szCs w:val="24"/>
        </w:rPr>
        <w:t>е</w:t>
      </w:r>
      <w:r w:rsidRPr="001A3CDF">
        <w:rPr>
          <w:rFonts w:ascii="Times New Roman" w:hAnsi="Times New Roman" w:cs="Times New Roman"/>
          <w:sz w:val="24"/>
          <w:szCs w:val="24"/>
        </w:rPr>
        <w:t>нного законом и иными нормативными правовыми актами.</w:t>
      </w:r>
    </w:p>
    <w:p w:rsidR="001A3CDF" w:rsidRPr="00345302" w:rsidRDefault="001A3CDF" w:rsidP="0034530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3CDF">
        <w:rPr>
          <w:rFonts w:ascii="Times New Roman" w:hAnsi="Times New Roman"/>
          <w:sz w:val="24"/>
          <w:szCs w:val="24"/>
        </w:rPr>
        <w:t xml:space="preserve">145 судебных участков размещены в помещениях общей площадью 15687,6 кв. м., расположенных по 46 адресам на территории Волгоградской области. </w:t>
      </w:r>
    </w:p>
    <w:p w:rsidR="001A3CDF" w:rsidRPr="006E70D1" w:rsidRDefault="001A3CDF" w:rsidP="001A3CDF">
      <w:pPr>
        <w:ind w:firstLine="709"/>
        <w:jc w:val="both"/>
        <w:rPr>
          <w:szCs w:val="24"/>
        </w:rPr>
      </w:pPr>
      <w:r w:rsidRPr="006E70D1">
        <w:rPr>
          <w:szCs w:val="24"/>
        </w:rPr>
        <w:t>При нормативной площади на 1 участок не менее 166 кв. м. только 8 помещений соответствуют нормам площади, незначительное отклонение от нормы (до 16%) имеют 10 помещений. Площадь значительно меньше нормы имеют помещения, в которых расположены 129, или 88% судебных участков.</w:t>
      </w:r>
    </w:p>
    <w:p w:rsidR="001A3CDF" w:rsidRPr="006E70D1" w:rsidRDefault="001A3CDF" w:rsidP="001A3CDF">
      <w:pPr>
        <w:ind w:firstLine="709"/>
        <w:jc w:val="both"/>
        <w:rPr>
          <w:szCs w:val="24"/>
        </w:rPr>
      </w:pPr>
      <w:r w:rsidRPr="006E70D1">
        <w:rPr>
          <w:color w:val="000000"/>
          <w:szCs w:val="24"/>
        </w:rPr>
        <w:t>В помещениях судебных участков оборудовано 69 залов судебных заседаний, что составляет 48% от нормы.</w:t>
      </w:r>
      <w:r w:rsidRPr="006E70D1">
        <w:rPr>
          <w:szCs w:val="24"/>
        </w:rPr>
        <w:t xml:space="preserve"> В </w:t>
      </w:r>
      <w:r>
        <w:t xml:space="preserve">7 из 46 помещений (26 из 145 </w:t>
      </w:r>
      <w:r w:rsidR="0099769B">
        <w:t>судебных участков</w:t>
      </w:r>
      <w:r>
        <w:t>, или 17,9%) в той или иной степени имеется</w:t>
      </w:r>
      <w:r w:rsidRPr="001155AB">
        <w:t xml:space="preserve"> конвойное помещение</w:t>
      </w:r>
      <w:r w:rsidRPr="006E70D1">
        <w:rPr>
          <w:szCs w:val="24"/>
        </w:rPr>
        <w:t>.</w:t>
      </w:r>
    </w:p>
    <w:p w:rsidR="001A3CDF" w:rsidRPr="006E70D1" w:rsidRDefault="001A3CDF" w:rsidP="001A3CDF">
      <w:pPr>
        <w:ind w:firstLine="709"/>
        <w:jc w:val="both"/>
        <w:rPr>
          <w:szCs w:val="24"/>
        </w:rPr>
      </w:pPr>
      <w:r w:rsidRPr="006E70D1">
        <w:rPr>
          <w:szCs w:val="24"/>
        </w:rPr>
        <w:t>При наличии положительного мнения судейского сообщества при совместном расположении судебных участков нормы по обеспечению каждого участка залом заседаний и конвойным помещением могут быть пересмотрены.</w:t>
      </w:r>
    </w:p>
    <w:p w:rsidR="001A3CDF" w:rsidRPr="006E70D1" w:rsidRDefault="00270839" w:rsidP="001A3CDF">
      <w:pPr>
        <w:ind w:firstLine="709"/>
        <w:jc w:val="both"/>
        <w:rPr>
          <w:szCs w:val="24"/>
        </w:rPr>
      </w:pPr>
      <w:r w:rsidRPr="000C06BD">
        <w:rPr>
          <w:szCs w:val="24"/>
        </w:rPr>
        <w:t>Минимальные нормы обеспечен</w:t>
      </w:r>
      <w:r w:rsidR="000C06BD" w:rsidRPr="000C06BD">
        <w:rPr>
          <w:szCs w:val="24"/>
        </w:rPr>
        <w:t>ности</w:t>
      </w:r>
      <w:r w:rsidRPr="000C06BD">
        <w:rPr>
          <w:szCs w:val="24"/>
        </w:rPr>
        <w:t xml:space="preserve"> мебелью судебных участков, </w:t>
      </w:r>
      <w:r w:rsidRPr="000C06BD">
        <w:rPr>
          <w:bCs/>
          <w:szCs w:val="24"/>
        </w:rPr>
        <w:t>утвержденны</w:t>
      </w:r>
      <w:r w:rsidR="000C06BD" w:rsidRPr="000C06BD">
        <w:rPr>
          <w:bCs/>
          <w:szCs w:val="24"/>
        </w:rPr>
        <w:t>е</w:t>
      </w:r>
      <w:r w:rsidRPr="000C06BD">
        <w:rPr>
          <w:bCs/>
          <w:szCs w:val="24"/>
        </w:rPr>
        <w:t xml:space="preserve"> постановлением Администрации Волгоградской области от 31.03.2017 №172-п,</w:t>
      </w:r>
      <w:r w:rsidR="000C06BD" w:rsidRPr="000C06BD">
        <w:rPr>
          <w:bCs/>
          <w:szCs w:val="24"/>
        </w:rPr>
        <w:t xml:space="preserve"> содержат 15 наименований. Фактически обеспеченность мебелью с</w:t>
      </w:r>
      <w:r w:rsidR="001A3CDF" w:rsidRPr="000C06BD">
        <w:rPr>
          <w:szCs w:val="24"/>
        </w:rPr>
        <w:t>удебны</w:t>
      </w:r>
      <w:r w:rsidR="000C06BD" w:rsidRPr="000C06BD">
        <w:rPr>
          <w:szCs w:val="24"/>
        </w:rPr>
        <w:t>х</w:t>
      </w:r>
      <w:r w:rsidR="001A3CDF" w:rsidRPr="000C06BD">
        <w:rPr>
          <w:szCs w:val="24"/>
        </w:rPr>
        <w:t xml:space="preserve"> участк</w:t>
      </w:r>
      <w:r w:rsidR="000C06BD" w:rsidRPr="000C06BD">
        <w:rPr>
          <w:szCs w:val="24"/>
        </w:rPr>
        <w:t>ов</w:t>
      </w:r>
      <w:r w:rsidR="001A3CDF" w:rsidRPr="000C06BD">
        <w:rPr>
          <w:szCs w:val="24"/>
        </w:rPr>
        <w:t xml:space="preserve"> </w:t>
      </w:r>
      <w:r w:rsidR="000C06BD" w:rsidRPr="000C06BD">
        <w:rPr>
          <w:szCs w:val="24"/>
        </w:rPr>
        <w:t>соответствует нормам или</w:t>
      </w:r>
      <w:r w:rsidR="001A3CDF" w:rsidRPr="000C06BD">
        <w:rPr>
          <w:szCs w:val="24"/>
        </w:rPr>
        <w:t xml:space="preserve"> сверх них только по 4 из 15 наименований, а с учетом неудовлетворительного состояния – по 1 из 15 наименований.</w:t>
      </w:r>
      <w:r w:rsidR="001A3CDF" w:rsidRPr="00270839">
        <w:rPr>
          <w:szCs w:val="24"/>
        </w:rPr>
        <w:t xml:space="preserve"> Обеспеченность судебных участков техникой меньше  минимальны</w:t>
      </w:r>
      <w:r w:rsidRPr="00270839">
        <w:rPr>
          <w:szCs w:val="24"/>
        </w:rPr>
        <w:t>х</w:t>
      </w:r>
      <w:r w:rsidR="001A3CDF" w:rsidRPr="00270839">
        <w:rPr>
          <w:szCs w:val="24"/>
        </w:rPr>
        <w:t xml:space="preserve"> норм по всем наименованиям.</w:t>
      </w:r>
      <w:r w:rsidR="001A3CDF" w:rsidRPr="006E70D1">
        <w:rPr>
          <w:szCs w:val="24"/>
        </w:rPr>
        <w:t xml:space="preserve"> </w:t>
      </w:r>
    </w:p>
    <w:p w:rsidR="001A3CDF" w:rsidRDefault="001A3CDF" w:rsidP="001A3CDF">
      <w:pPr>
        <w:ind w:firstLine="709"/>
        <w:jc w:val="both"/>
        <w:rPr>
          <w:szCs w:val="24"/>
        </w:rPr>
      </w:pPr>
      <w:r w:rsidRPr="006E70D1">
        <w:rPr>
          <w:szCs w:val="24"/>
        </w:rPr>
        <w:t>Установленные нормы не предполагают обеспечение мебелью и техникой обеспечивающих работников судебных участков, что искажает реальные показатели, характеризующие</w:t>
      </w:r>
      <w:r w:rsidR="0099769B">
        <w:rPr>
          <w:szCs w:val="24"/>
        </w:rPr>
        <w:t xml:space="preserve"> оснаще</w:t>
      </w:r>
      <w:r>
        <w:rPr>
          <w:szCs w:val="24"/>
        </w:rPr>
        <w:t>нность судебных участков при наличии мебели и техники для этих специалистов.</w:t>
      </w:r>
    </w:p>
    <w:p w:rsidR="001A3CDF" w:rsidRPr="00A34E67" w:rsidRDefault="001A3CDF" w:rsidP="001A3CDF">
      <w:pPr>
        <w:ind w:firstLine="709"/>
        <w:jc w:val="both"/>
      </w:pPr>
      <w:r>
        <w:rPr>
          <w:szCs w:val="24"/>
        </w:rPr>
        <w:t xml:space="preserve">Информация о полном обеспечении мировых судей Волгоградской области мантиями не </w:t>
      </w:r>
      <w:r w:rsidRPr="008A6E97">
        <w:rPr>
          <w:szCs w:val="24"/>
        </w:rPr>
        <w:t>под</w:t>
      </w:r>
      <w:r w:rsidR="0099769B">
        <w:rPr>
          <w:szCs w:val="24"/>
        </w:rPr>
        <w:t>тверждена данными бюджетного уче</w:t>
      </w:r>
      <w:r w:rsidRPr="008A6E97">
        <w:rPr>
          <w:szCs w:val="24"/>
        </w:rPr>
        <w:t xml:space="preserve">та Комитета. </w:t>
      </w:r>
      <w:proofErr w:type="gramStart"/>
      <w:r w:rsidRPr="008A6E97">
        <w:rPr>
          <w:szCs w:val="24"/>
        </w:rPr>
        <w:t xml:space="preserve">Информация о </w:t>
      </w:r>
      <w:r w:rsidRPr="008A6E97">
        <w:t>96 мантиях, выданных судьям до декабря 2015 года Управлением Судебного департамента в Волгоградской области, в бюджетном уч</w:t>
      </w:r>
      <w:r w:rsidR="0099769B">
        <w:t>е</w:t>
      </w:r>
      <w:r w:rsidRPr="008A6E97">
        <w:t>те Комитета не отражена, что не соответствует положениям п</w:t>
      </w:r>
      <w:r w:rsidR="0099769B">
        <w:t>ункта</w:t>
      </w:r>
      <w:r w:rsidRPr="008A6E97">
        <w:t> 1 ст</w:t>
      </w:r>
      <w:r w:rsidR="0099769B">
        <w:t>атьи</w:t>
      </w:r>
      <w:r w:rsidRPr="008A6E97">
        <w:t> 264</w:t>
      </w:r>
      <w:r>
        <w:t>.1 БК РФ, ст</w:t>
      </w:r>
      <w:r w:rsidR="0099769B">
        <w:t>атей</w:t>
      </w:r>
      <w:r>
        <w:t xml:space="preserve"> 1, 5, 6 </w:t>
      </w:r>
      <w:r w:rsidR="0099769B" w:rsidRPr="00E53C1B">
        <w:rPr>
          <w:szCs w:val="24"/>
        </w:rPr>
        <w:t xml:space="preserve">Федерального закона от 06.12.2011 </w:t>
      </w:r>
      <w:r w:rsidR="0099769B">
        <w:rPr>
          <w:szCs w:val="24"/>
        </w:rPr>
        <w:t>№</w:t>
      </w:r>
      <w:r w:rsidR="0099769B" w:rsidRPr="00E53C1B">
        <w:rPr>
          <w:szCs w:val="24"/>
        </w:rPr>
        <w:t>402-ФЗ «О бухгалтерском учете»</w:t>
      </w:r>
      <w:r>
        <w:t xml:space="preserve"> и не позволяет подтвердить полную обеспеченность мировых судей мантиями.</w:t>
      </w:r>
      <w:proofErr w:type="gramEnd"/>
    </w:p>
    <w:p w:rsidR="001A3CDF" w:rsidRPr="006E70D1" w:rsidRDefault="001A3CDF" w:rsidP="001A3CDF">
      <w:pPr>
        <w:ind w:firstLine="709"/>
        <w:jc w:val="both"/>
        <w:rPr>
          <w:szCs w:val="24"/>
        </w:rPr>
      </w:pPr>
      <w:r w:rsidRPr="006E70D1">
        <w:rPr>
          <w:szCs w:val="24"/>
        </w:rPr>
        <w:t>Обеспеченность судебных участков канцтоварами в 2017 году (кроме бумаги) составила 21% - 935,4 тыс. руб., или по 6,</w:t>
      </w:r>
      <w:r>
        <w:rPr>
          <w:szCs w:val="24"/>
        </w:rPr>
        <w:t>5</w:t>
      </w:r>
      <w:r w:rsidRPr="006E70D1">
        <w:rPr>
          <w:szCs w:val="24"/>
        </w:rPr>
        <w:t xml:space="preserve"> тыс. руб. на участок, при оценочной стоимости нормативного объ</w:t>
      </w:r>
      <w:r w:rsidR="00F61399">
        <w:rPr>
          <w:szCs w:val="24"/>
        </w:rPr>
        <w:t>е</w:t>
      </w:r>
      <w:r w:rsidRPr="006E70D1">
        <w:rPr>
          <w:szCs w:val="24"/>
        </w:rPr>
        <w:t>ма канцтоваров 4451 тыс. рублей.</w:t>
      </w:r>
    </w:p>
    <w:p w:rsidR="001A3CDF" w:rsidRPr="006E70D1" w:rsidRDefault="001A3CDF" w:rsidP="001A3CDF">
      <w:pPr>
        <w:ind w:firstLine="709"/>
        <w:jc w:val="both"/>
        <w:rPr>
          <w:szCs w:val="24"/>
        </w:rPr>
      </w:pPr>
      <w:r w:rsidRPr="006E70D1">
        <w:rPr>
          <w:szCs w:val="24"/>
        </w:rPr>
        <w:t>Минимальная потребность судебных участков в бумаге обеспечена - 13650 пачек при минимальной потребности 13</w:t>
      </w:r>
      <w:r w:rsidR="00F61399">
        <w:rPr>
          <w:szCs w:val="24"/>
        </w:rPr>
        <w:t>398 пачек. Но</w:t>
      </w:r>
      <w:r w:rsidRPr="006E70D1">
        <w:rPr>
          <w:szCs w:val="24"/>
        </w:rPr>
        <w:t xml:space="preserve"> при обеспечении судебных участков бумагой не </w:t>
      </w:r>
      <w:r w:rsidRPr="006E70D1">
        <w:rPr>
          <w:szCs w:val="24"/>
        </w:rPr>
        <w:lastRenderedPageBreak/>
        <w:t xml:space="preserve">в полной мере учитывается реальная </w:t>
      </w:r>
      <w:proofErr w:type="gramStart"/>
      <w:r w:rsidRPr="006E70D1">
        <w:rPr>
          <w:szCs w:val="24"/>
        </w:rPr>
        <w:t>потребность</w:t>
      </w:r>
      <w:proofErr w:type="gramEnd"/>
      <w:r w:rsidRPr="006E70D1">
        <w:rPr>
          <w:szCs w:val="24"/>
        </w:rPr>
        <w:t xml:space="preserve"> в ней исходя из объ</w:t>
      </w:r>
      <w:r w:rsidR="00F61399">
        <w:rPr>
          <w:szCs w:val="24"/>
        </w:rPr>
        <w:t>е</w:t>
      </w:r>
      <w:r w:rsidRPr="006E70D1">
        <w:rPr>
          <w:szCs w:val="24"/>
        </w:rPr>
        <w:t>ма работы участков, что влеч</w:t>
      </w:r>
      <w:r w:rsidR="00E1142B">
        <w:rPr>
          <w:szCs w:val="24"/>
        </w:rPr>
        <w:t>е</w:t>
      </w:r>
      <w:r w:rsidRPr="006E70D1">
        <w:rPr>
          <w:szCs w:val="24"/>
        </w:rPr>
        <w:t>т недостаток бумаги на одних участках и избыток на других.</w:t>
      </w:r>
    </w:p>
    <w:p w:rsidR="001A3CDF" w:rsidRPr="006E70D1" w:rsidRDefault="001A3CDF" w:rsidP="001A3CDF">
      <w:pPr>
        <w:ind w:firstLine="709"/>
        <w:jc w:val="both"/>
        <w:rPr>
          <w:szCs w:val="24"/>
        </w:rPr>
      </w:pPr>
      <w:r w:rsidRPr="006E70D1">
        <w:rPr>
          <w:szCs w:val="24"/>
        </w:rPr>
        <w:t xml:space="preserve">Второе место по объему расходов (после расходов на оплату труда) занимают расходы на услуги связи </w:t>
      </w:r>
      <w:r w:rsidR="00E1142B">
        <w:rPr>
          <w:szCs w:val="24"/>
        </w:rPr>
        <w:t>–</w:t>
      </w:r>
      <w:r w:rsidRPr="006E70D1">
        <w:rPr>
          <w:szCs w:val="24"/>
        </w:rPr>
        <w:t xml:space="preserve"> 43</w:t>
      </w:r>
      <w:r w:rsidR="00E1142B">
        <w:rPr>
          <w:szCs w:val="24"/>
        </w:rPr>
        <w:t>,</w:t>
      </w:r>
      <w:r w:rsidRPr="006E70D1">
        <w:rPr>
          <w:szCs w:val="24"/>
        </w:rPr>
        <w:t xml:space="preserve">4 </w:t>
      </w:r>
      <w:r w:rsidR="00E1142B">
        <w:rPr>
          <w:szCs w:val="24"/>
        </w:rPr>
        <w:t>млн</w:t>
      </w:r>
      <w:r w:rsidRPr="006E70D1">
        <w:rPr>
          <w:szCs w:val="24"/>
        </w:rPr>
        <w:t xml:space="preserve">. руб., или 13,4% общего объема расходов по подразделу 0105 «Судебная система». </w:t>
      </w:r>
      <w:proofErr w:type="gramStart"/>
      <w:r w:rsidRPr="006E70D1">
        <w:rPr>
          <w:szCs w:val="24"/>
        </w:rPr>
        <w:t>Из указанного объ</w:t>
      </w:r>
      <w:r w:rsidR="005C21B7">
        <w:rPr>
          <w:szCs w:val="24"/>
        </w:rPr>
        <w:t>е</w:t>
      </w:r>
      <w:r w:rsidRPr="006E70D1">
        <w:rPr>
          <w:szCs w:val="24"/>
        </w:rPr>
        <w:t>ма 42</w:t>
      </w:r>
      <w:r w:rsidR="005C21B7">
        <w:rPr>
          <w:szCs w:val="24"/>
        </w:rPr>
        <w:t>,</w:t>
      </w:r>
      <w:r w:rsidRPr="006E70D1">
        <w:rPr>
          <w:szCs w:val="24"/>
        </w:rPr>
        <w:t xml:space="preserve">4 </w:t>
      </w:r>
      <w:r w:rsidR="005C21B7">
        <w:rPr>
          <w:szCs w:val="24"/>
        </w:rPr>
        <w:t>млн</w:t>
      </w:r>
      <w:r w:rsidRPr="006E70D1">
        <w:rPr>
          <w:szCs w:val="24"/>
        </w:rPr>
        <w:t xml:space="preserve">. руб. направлены на оплату государственных знаков почтовой оплаты (почтовых марок). </w:t>
      </w:r>
      <w:proofErr w:type="gramEnd"/>
    </w:p>
    <w:p w:rsidR="001A3CDF" w:rsidRPr="006E70D1" w:rsidRDefault="001A3CDF" w:rsidP="001A3CDF">
      <w:pPr>
        <w:ind w:firstLine="709"/>
        <w:jc w:val="both"/>
        <w:rPr>
          <w:rFonts w:eastAsia="Calibri"/>
          <w:szCs w:val="24"/>
          <w:lang w:eastAsia="en-US"/>
        </w:rPr>
      </w:pPr>
      <w:r w:rsidRPr="006E70D1">
        <w:rPr>
          <w:szCs w:val="24"/>
        </w:rPr>
        <w:t xml:space="preserve">В условиях развития информационно-телекоммуникационных технологий существует возможность сокращения расходов на оплату судебных заказных почтовых отправлений. </w:t>
      </w:r>
      <w:r w:rsidRPr="006E70D1">
        <w:rPr>
          <w:rFonts w:eastAsia="Calibri"/>
          <w:szCs w:val="24"/>
          <w:lang w:eastAsia="en-US"/>
        </w:rPr>
        <w:t>Уведомление о вручении является устаревшим инструментом подтверждения надлежащего извещения. Все принципы извещения и высылки судебных документов, необходимые для надлежащего судопроизводства</w:t>
      </w:r>
      <w:r>
        <w:rPr>
          <w:rFonts w:eastAsia="Calibri"/>
          <w:szCs w:val="24"/>
          <w:lang w:eastAsia="en-US"/>
        </w:rPr>
        <w:t>,</w:t>
      </w:r>
      <w:r w:rsidRPr="006E70D1">
        <w:rPr>
          <w:rFonts w:eastAsia="Calibri"/>
          <w:szCs w:val="24"/>
          <w:lang w:eastAsia="en-US"/>
        </w:rPr>
        <w:t xml:space="preserve"> могут быть реализованы с помощью механизма отслеживания заказных отправлений по номеру почтового идентификатора. Отказ от уведомлений мог </w:t>
      </w:r>
      <w:r w:rsidR="00E16C9C">
        <w:rPr>
          <w:rFonts w:eastAsia="Calibri"/>
          <w:szCs w:val="24"/>
          <w:lang w:eastAsia="en-US"/>
        </w:rPr>
        <w:t xml:space="preserve">бы </w:t>
      </w:r>
      <w:r w:rsidRPr="006E70D1">
        <w:rPr>
          <w:rFonts w:eastAsia="Calibri"/>
          <w:szCs w:val="24"/>
          <w:lang w:eastAsia="en-US"/>
        </w:rPr>
        <w:t>привести к экономии в 2017 году до 14</w:t>
      </w:r>
      <w:r w:rsidR="00E16C9C">
        <w:rPr>
          <w:rFonts w:eastAsia="Calibri"/>
          <w:szCs w:val="24"/>
          <w:lang w:eastAsia="en-US"/>
        </w:rPr>
        <w:t>,</w:t>
      </w:r>
      <w:r w:rsidRPr="006E70D1">
        <w:rPr>
          <w:rFonts w:eastAsia="Calibri"/>
          <w:szCs w:val="24"/>
          <w:lang w:eastAsia="en-US"/>
        </w:rPr>
        <w:t xml:space="preserve">4 </w:t>
      </w:r>
      <w:r w:rsidR="00E16C9C">
        <w:rPr>
          <w:rFonts w:eastAsia="Calibri"/>
          <w:szCs w:val="24"/>
          <w:lang w:eastAsia="en-US"/>
        </w:rPr>
        <w:t>млн</w:t>
      </w:r>
      <w:r w:rsidRPr="006E70D1">
        <w:rPr>
          <w:rFonts w:eastAsia="Calibri"/>
          <w:szCs w:val="24"/>
          <w:lang w:eastAsia="en-US"/>
        </w:rPr>
        <w:t>. рублей.</w:t>
      </w:r>
    </w:p>
    <w:p w:rsidR="001A3CDF" w:rsidRPr="006E70D1" w:rsidRDefault="00A6685C" w:rsidP="001A3CDF">
      <w:pPr>
        <w:ind w:firstLine="709"/>
        <w:jc w:val="both"/>
        <w:rPr>
          <w:rFonts w:eastAsia="Calibri"/>
          <w:szCs w:val="24"/>
          <w:lang w:eastAsia="en-US"/>
        </w:rPr>
      </w:pPr>
      <w:r>
        <w:rPr>
          <w:rFonts w:eastAsia="Calibri"/>
          <w:szCs w:val="24"/>
          <w:lang w:eastAsia="en-US"/>
        </w:rPr>
        <w:t>Однако</w:t>
      </w:r>
      <w:proofErr w:type="gramStart"/>
      <w:r>
        <w:rPr>
          <w:rFonts w:eastAsia="Calibri"/>
          <w:szCs w:val="24"/>
          <w:lang w:eastAsia="en-US"/>
        </w:rPr>
        <w:t>,</w:t>
      </w:r>
      <w:proofErr w:type="gramEnd"/>
      <w:r>
        <w:rPr>
          <w:rFonts w:eastAsia="Calibri"/>
          <w:szCs w:val="24"/>
          <w:lang w:eastAsia="en-US"/>
        </w:rPr>
        <w:t xml:space="preserve"> р</w:t>
      </w:r>
      <w:r w:rsidR="001A3CDF" w:rsidRPr="006E70D1">
        <w:rPr>
          <w:rFonts w:eastAsia="Calibri"/>
          <w:szCs w:val="24"/>
          <w:lang w:eastAsia="en-US"/>
        </w:rPr>
        <w:t>еализация предлагаемого новшества требует усовершенствования федерального законодательства.</w:t>
      </w:r>
    </w:p>
    <w:p w:rsidR="001A3CDF" w:rsidRPr="006E70D1" w:rsidRDefault="001A3CDF" w:rsidP="001A3CDF">
      <w:pPr>
        <w:ind w:firstLine="709"/>
        <w:jc w:val="both"/>
        <w:rPr>
          <w:szCs w:val="24"/>
        </w:rPr>
      </w:pPr>
      <w:r w:rsidRPr="006E70D1">
        <w:rPr>
          <w:rFonts w:eastAsia="Calibri"/>
          <w:szCs w:val="24"/>
          <w:lang w:eastAsia="en-US"/>
        </w:rPr>
        <w:t xml:space="preserve">В целях реализации </w:t>
      </w:r>
      <w:r w:rsidRPr="006E70D1">
        <w:rPr>
          <w:szCs w:val="24"/>
        </w:rPr>
        <w:t xml:space="preserve">постановления Губернатора Волгоградской области от 20.03.2017 №153 «О дополнительных мерах по обеспечению деятельности мировых судей в Волгоградской области» Комитетом разработана и утверждена ВЦП «Развитие мировой юстиции», целью которой </w:t>
      </w:r>
      <w:r>
        <w:rPr>
          <w:szCs w:val="24"/>
        </w:rPr>
        <w:t xml:space="preserve">определено </w:t>
      </w:r>
      <w:r w:rsidRPr="006E70D1">
        <w:rPr>
          <w:szCs w:val="24"/>
        </w:rPr>
        <w:t>улучшение организационного обеспечения деятельности мировых судей Волгоградской области. В 2017-2019 годах программой предусмотрена реализация 17 мероприятий на общую сумму 209</w:t>
      </w:r>
      <w:r w:rsidR="00E25650">
        <w:rPr>
          <w:szCs w:val="24"/>
        </w:rPr>
        <w:t>,9</w:t>
      </w:r>
      <w:r w:rsidRPr="006E70D1">
        <w:rPr>
          <w:szCs w:val="24"/>
        </w:rPr>
        <w:t xml:space="preserve"> </w:t>
      </w:r>
      <w:r w:rsidR="00E25650">
        <w:rPr>
          <w:szCs w:val="24"/>
        </w:rPr>
        <w:t>млн</w:t>
      </w:r>
      <w:r w:rsidRPr="006E70D1">
        <w:rPr>
          <w:szCs w:val="24"/>
        </w:rPr>
        <w:t>. рублей. В 2017 году на реализацию программы направлено 1</w:t>
      </w:r>
      <w:r w:rsidR="00E25650">
        <w:rPr>
          <w:szCs w:val="24"/>
        </w:rPr>
        <w:t>,9</w:t>
      </w:r>
      <w:r w:rsidRPr="006E70D1">
        <w:rPr>
          <w:szCs w:val="24"/>
        </w:rPr>
        <w:t xml:space="preserve"> </w:t>
      </w:r>
      <w:r w:rsidR="00E25650">
        <w:rPr>
          <w:szCs w:val="24"/>
        </w:rPr>
        <w:t>млн</w:t>
      </w:r>
      <w:r w:rsidRPr="006E70D1">
        <w:rPr>
          <w:szCs w:val="24"/>
        </w:rPr>
        <w:t>. рублей. Основные мероприятия запланированы на 2018-2019 годы. Однако областным бюджетом на эти цели утверждено на 2018 год 2</w:t>
      </w:r>
      <w:r w:rsidR="00E25650">
        <w:rPr>
          <w:szCs w:val="24"/>
        </w:rPr>
        <w:t>,6</w:t>
      </w:r>
      <w:r w:rsidRPr="006E70D1">
        <w:rPr>
          <w:szCs w:val="24"/>
        </w:rPr>
        <w:t xml:space="preserve"> </w:t>
      </w:r>
      <w:r w:rsidR="00E25650">
        <w:rPr>
          <w:szCs w:val="24"/>
        </w:rPr>
        <w:t>млн</w:t>
      </w:r>
      <w:r w:rsidRPr="006E70D1">
        <w:rPr>
          <w:szCs w:val="24"/>
        </w:rPr>
        <w:t>. руб., или 2,2% от объ</w:t>
      </w:r>
      <w:r w:rsidR="00E25650">
        <w:rPr>
          <w:szCs w:val="24"/>
        </w:rPr>
        <w:t>е</w:t>
      </w:r>
      <w:r w:rsidRPr="006E70D1">
        <w:rPr>
          <w:szCs w:val="24"/>
        </w:rPr>
        <w:t xml:space="preserve">ма расходов, запланированных программой, на 2019 год </w:t>
      </w:r>
      <w:r w:rsidR="00E25650">
        <w:rPr>
          <w:szCs w:val="24"/>
        </w:rPr>
        <w:t>–</w:t>
      </w:r>
      <w:r w:rsidRPr="006E70D1">
        <w:rPr>
          <w:szCs w:val="24"/>
        </w:rPr>
        <w:t xml:space="preserve"> 2</w:t>
      </w:r>
      <w:r w:rsidR="00E25650">
        <w:rPr>
          <w:szCs w:val="24"/>
        </w:rPr>
        <w:t>,6</w:t>
      </w:r>
      <w:r w:rsidRPr="006E70D1">
        <w:rPr>
          <w:szCs w:val="24"/>
        </w:rPr>
        <w:t xml:space="preserve"> </w:t>
      </w:r>
      <w:r w:rsidR="00E25650">
        <w:rPr>
          <w:szCs w:val="24"/>
        </w:rPr>
        <w:t>млн</w:t>
      </w:r>
      <w:r w:rsidRPr="006E70D1">
        <w:rPr>
          <w:szCs w:val="24"/>
        </w:rPr>
        <w:t>. руб., или 2,8 процента.</w:t>
      </w:r>
    </w:p>
    <w:p w:rsidR="001A3CDF" w:rsidRPr="006E70D1" w:rsidRDefault="001A3CDF" w:rsidP="001A3CDF">
      <w:pPr>
        <w:ind w:firstLine="709"/>
        <w:jc w:val="both"/>
        <w:rPr>
          <w:szCs w:val="24"/>
        </w:rPr>
      </w:pPr>
      <w:r w:rsidRPr="006E70D1">
        <w:rPr>
          <w:szCs w:val="24"/>
        </w:rPr>
        <w:t>Без увеличения ассигнований на реализацию мероприятий ВЦП «Развитие мировой юстиции» на 2018-2019 годы достижение е</w:t>
      </w:r>
      <w:r w:rsidR="007F34A4">
        <w:rPr>
          <w:szCs w:val="24"/>
        </w:rPr>
        <w:t>е</w:t>
      </w:r>
      <w:r w:rsidRPr="006E70D1">
        <w:rPr>
          <w:szCs w:val="24"/>
        </w:rPr>
        <w:t xml:space="preserve"> цели и исполнение </w:t>
      </w:r>
      <w:r w:rsidR="007F34A4">
        <w:t>п</w:t>
      </w:r>
      <w:r w:rsidR="007F34A4" w:rsidRPr="00B235AF">
        <w:t>остановлени</w:t>
      </w:r>
      <w:r w:rsidR="007F34A4">
        <w:t>я</w:t>
      </w:r>
      <w:r w:rsidR="007F34A4" w:rsidRPr="00B235AF">
        <w:t xml:space="preserve"> Губернатора Волгоградской области от 20.03.2017 №153 «О дополнительных мерах по обеспечению деятельности мировых судей в Волгоградской области»</w:t>
      </w:r>
      <w:r w:rsidRPr="006E70D1">
        <w:rPr>
          <w:szCs w:val="24"/>
        </w:rPr>
        <w:t xml:space="preserve"> невозможно.</w:t>
      </w:r>
    </w:p>
    <w:p w:rsidR="00B4787A" w:rsidRDefault="001A3CDF" w:rsidP="00B4787A">
      <w:pPr>
        <w:ind w:firstLine="709"/>
        <w:jc w:val="both"/>
        <w:rPr>
          <w:szCs w:val="24"/>
        </w:rPr>
      </w:pPr>
      <w:r w:rsidRPr="006E70D1">
        <w:rPr>
          <w:szCs w:val="24"/>
        </w:rPr>
        <w:t>Анализ ВЦП «Развитие мировой юстиции» и отч</w:t>
      </w:r>
      <w:r w:rsidR="007F34A4">
        <w:rPr>
          <w:szCs w:val="24"/>
        </w:rPr>
        <w:t>е</w:t>
      </w:r>
      <w:r w:rsidRPr="006E70D1">
        <w:rPr>
          <w:szCs w:val="24"/>
        </w:rPr>
        <w:t>т</w:t>
      </w:r>
      <w:proofErr w:type="gramStart"/>
      <w:r w:rsidRPr="006E70D1">
        <w:rPr>
          <w:szCs w:val="24"/>
        </w:rPr>
        <w:t>а о е</w:t>
      </w:r>
      <w:r w:rsidR="007F34A4">
        <w:rPr>
          <w:szCs w:val="24"/>
        </w:rPr>
        <w:t>е</w:t>
      </w:r>
      <w:proofErr w:type="gramEnd"/>
      <w:r w:rsidRPr="006E70D1">
        <w:rPr>
          <w:szCs w:val="24"/>
        </w:rPr>
        <w:t xml:space="preserve"> исполнении за 2017 год показал некорректность </w:t>
      </w:r>
      <w:proofErr w:type="spellStart"/>
      <w:r w:rsidRPr="006E70D1">
        <w:rPr>
          <w:szCs w:val="24"/>
        </w:rPr>
        <w:t>целеполагания</w:t>
      </w:r>
      <w:proofErr w:type="spellEnd"/>
      <w:r w:rsidRPr="006E70D1">
        <w:rPr>
          <w:szCs w:val="24"/>
        </w:rPr>
        <w:t xml:space="preserve"> ВЦП в части базовых и достигаемых значений целевых показателей, их наименования, однообразия подходов к их формированию, что требует </w:t>
      </w:r>
      <w:r>
        <w:rPr>
          <w:szCs w:val="24"/>
        </w:rPr>
        <w:t>их совершенствования</w:t>
      </w:r>
      <w:r w:rsidRPr="006E70D1">
        <w:rPr>
          <w:szCs w:val="24"/>
        </w:rPr>
        <w:t>.</w:t>
      </w:r>
    </w:p>
    <w:p w:rsidR="00B4787A" w:rsidRDefault="00B4787A" w:rsidP="00B4787A">
      <w:pPr>
        <w:ind w:firstLine="709"/>
        <w:jc w:val="both"/>
        <w:rPr>
          <w:szCs w:val="24"/>
        </w:rPr>
      </w:pPr>
      <w:r w:rsidRPr="001D3DED">
        <w:rPr>
          <w:szCs w:val="24"/>
        </w:rPr>
        <w:t xml:space="preserve">Проверкой </w:t>
      </w:r>
      <w:r>
        <w:rPr>
          <w:szCs w:val="24"/>
        </w:rPr>
        <w:t xml:space="preserve">бюджетной отчетности </w:t>
      </w:r>
      <w:r w:rsidRPr="00B4787A">
        <w:rPr>
          <w:b/>
          <w:i/>
          <w:szCs w:val="24"/>
        </w:rPr>
        <w:t>комитета экономической политики и развития Волгоградской области</w:t>
      </w:r>
      <w:r>
        <w:rPr>
          <w:szCs w:val="24"/>
        </w:rPr>
        <w:t xml:space="preserve"> (далее </w:t>
      </w:r>
      <w:proofErr w:type="spellStart"/>
      <w:r w:rsidRPr="001D3DED">
        <w:t>Облкомэкономразвития</w:t>
      </w:r>
      <w:proofErr w:type="spellEnd"/>
      <w:r>
        <w:t>)</w:t>
      </w:r>
      <w:r>
        <w:rPr>
          <w:szCs w:val="24"/>
        </w:rPr>
        <w:t xml:space="preserve"> и подведомственных ему учреждений </w:t>
      </w:r>
      <w:r w:rsidRPr="001D3DED">
        <w:rPr>
          <w:szCs w:val="24"/>
        </w:rPr>
        <w:t>выявлены недостатки в работе с задолженност</w:t>
      </w:r>
      <w:r>
        <w:rPr>
          <w:szCs w:val="24"/>
        </w:rPr>
        <w:t>ями</w:t>
      </w:r>
      <w:r w:rsidR="00EE6954">
        <w:rPr>
          <w:szCs w:val="24"/>
        </w:rPr>
        <w:t>.</w:t>
      </w:r>
    </w:p>
    <w:p w:rsidR="00B4787A" w:rsidRPr="001D3DED" w:rsidRDefault="00B4787A" w:rsidP="00B4787A">
      <w:pPr>
        <w:ind w:firstLine="709"/>
        <w:jc w:val="both"/>
      </w:pPr>
      <w:r>
        <w:rPr>
          <w:szCs w:val="24"/>
        </w:rPr>
        <w:t>Так,</w:t>
      </w:r>
      <w:r w:rsidRPr="001D3DED">
        <w:rPr>
          <w:szCs w:val="24"/>
        </w:rPr>
        <w:t xml:space="preserve"> </w:t>
      </w:r>
      <w:proofErr w:type="spellStart"/>
      <w:r w:rsidRPr="001D3DED">
        <w:t>Облкомэкономразвития</w:t>
      </w:r>
      <w:proofErr w:type="spellEnd"/>
      <w:r w:rsidRPr="001D3DED">
        <w:t xml:space="preserve"> по результатам проведенной инвентаризации расчетов не рассм</w:t>
      </w:r>
      <w:r>
        <w:t>отрен</w:t>
      </w:r>
      <w:r w:rsidRPr="001D3DED">
        <w:t xml:space="preserve"> вопрос </w:t>
      </w:r>
      <w:r>
        <w:t xml:space="preserve">о </w:t>
      </w:r>
      <w:r w:rsidRPr="001D3DED">
        <w:t>списани</w:t>
      </w:r>
      <w:r>
        <w:t>и</w:t>
      </w:r>
      <w:r w:rsidRPr="001D3DED">
        <w:t xml:space="preserve"> с балансового учета просроченной дебиторской задолженности и с </w:t>
      </w:r>
      <w:proofErr w:type="spellStart"/>
      <w:r w:rsidRPr="001D3DED">
        <w:t>забала</w:t>
      </w:r>
      <w:r>
        <w:t>нсового</w:t>
      </w:r>
      <w:proofErr w:type="spellEnd"/>
      <w:r>
        <w:t xml:space="preserve"> учета задолженности, не</w:t>
      </w:r>
      <w:r w:rsidRPr="001D3DED">
        <w:t>востребованной кредиторами, на общую сумму 55,4 тыс. руб. по двум юридическим лицам, прекратившим деятельность в 201</w:t>
      </w:r>
      <w:r>
        <w:t>5</w:t>
      </w:r>
      <w:r w:rsidRPr="001D3DED">
        <w:t xml:space="preserve"> и 201</w:t>
      </w:r>
      <w:r>
        <w:t>7</w:t>
      </w:r>
      <w:r w:rsidRPr="001D3DED">
        <w:t xml:space="preserve"> годах</w:t>
      </w:r>
      <w:r>
        <w:t xml:space="preserve">. </w:t>
      </w:r>
    </w:p>
    <w:p w:rsidR="00B4787A" w:rsidRPr="008C43E0" w:rsidRDefault="00B4787A" w:rsidP="00580BCB">
      <w:pPr>
        <w:ind w:firstLine="680"/>
        <w:jc w:val="both"/>
      </w:pPr>
      <w:r w:rsidRPr="001D3DED">
        <w:t xml:space="preserve">ГАУ «Бизнес-инкубатор» не </w:t>
      </w:r>
      <w:r>
        <w:t>решен</w:t>
      </w:r>
      <w:r w:rsidRPr="001D3DED">
        <w:t xml:space="preserve"> вопрос списания с </w:t>
      </w:r>
      <w:proofErr w:type="spellStart"/>
      <w:r w:rsidRPr="001D3DED">
        <w:t>забалансового</w:t>
      </w:r>
      <w:proofErr w:type="spellEnd"/>
      <w:r w:rsidRPr="001D3DED">
        <w:t xml:space="preserve"> учета задолженности неплатежеспособных дебиторов в размере 28,7 тыс. руб. по двум </w:t>
      </w:r>
      <w:r w:rsidRPr="008C43E0">
        <w:t>юридическим лицам, прекратившим деятельность в 2016-2017 годах</w:t>
      </w:r>
      <w:r>
        <w:t>. Также учреждением не</w:t>
      </w:r>
      <w:r w:rsidRPr="008C43E0">
        <w:t xml:space="preserve"> была списана безнадежная к взысканию дебиторская задолженность в размере 1</w:t>
      </w:r>
      <w:r>
        <w:t>,6</w:t>
      </w:r>
      <w:r w:rsidRPr="008C43E0">
        <w:t xml:space="preserve"> </w:t>
      </w:r>
      <w:r>
        <w:t>млн</w:t>
      </w:r>
      <w:r w:rsidRPr="008C43E0">
        <w:t xml:space="preserve">. руб., в т.ч. по 8-ми арендаторам с задолженностью в размере 174,5 тыс. руб., по которой </w:t>
      </w:r>
      <w:r>
        <w:t>истек</w:t>
      </w:r>
      <w:r w:rsidRPr="008C43E0">
        <w:t xml:space="preserve"> срок исковой давности и (или) </w:t>
      </w:r>
      <w:r w:rsidR="00D753A7">
        <w:t xml:space="preserve">которыми </w:t>
      </w:r>
      <w:r w:rsidRPr="008C43E0">
        <w:t>была прекращена деятельность до 2017 года</w:t>
      </w:r>
      <w:r w:rsidR="00D753A7">
        <w:t xml:space="preserve">. </w:t>
      </w:r>
      <w:r w:rsidRPr="008C43E0">
        <w:t xml:space="preserve">Возможность списания задолженности в конце года перед составлением годовой бухгалтерской отчетности </w:t>
      </w:r>
      <w:r w:rsidR="00D753A7">
        <w:t>не предусмотрена</w:t>
      </w:r>
      <w:r w:rsidRPr="008C43E0">
        <w:t xml:space="preserve"> </w:t>
      </w:r>
      <w:r w:rsidR="00D753A7">
        <w:t>у</w:t>
      </w:r>
      <w:r w:rsidRPr="008C43E0">
        <w:t>четной политик</w:t>
      </w:r>
      <w:r w:rsidR="00D753A7">
        <w:t>ой</w:t>
      </w:r>
      <w:r w:rsidRPr="008C43E0">
        <w:t xml:space="preserve"> ГАУ «Бизнес-инкубатор», согласно которо</w:t>
      </w:r>
      <w:r w:rsidR="00D753A7">
        <w:t>й</w:t>
      </w:r>
      <w:r w:rsidRPr="008C43E0">
        <w:t xml:space="preserve"> инвентаризация дебиторской и кредиторской задолженности проводится один раз в год по состоянию на 1 января</w:t>
      </w:r>
      <w:r w:rsidR="00D753A7">
        <w:t>.</w:t>
      </w:r>
      <w:r w:rsidR="00580BCB">
        <w:t xml:space="preserve"> У</w:t>
      </w:r>
      <w:r w:rsidRPr="008C43E0">
        <w:t xml:space="preserve">становлены </w:t>
      </w:r>
      <w:r w:rsidR="00580BCB">
        <w:t>и другие факты</w:t>
      </w:r>
      <w:r w:rsidRPr="008C43E0">
        <w:t xml:space="preserve"> ненадлежащей работы ГАУ «Бизнес-инкубатор» по взысканию дебиторской задолженности: своевременно не п</w:t>
      </w:r>
      <w:r w:rsidR="00B0360B">
        <w:t xml:space="preserve">роводилась работа по взысканию </w:t>
      </w:r>
      <w:r w:rsidRPr="008C43E0">
        <w:t xml:space="preserve"> задолженности по 9-ти арендаторам на общую сумму </w:t>
      </w:r>
      <w:r w:rsidRPr="008C43E0">
        <w:lastRenderedPageBreak/>
        <w:t>387,8 тыс. руб., по которой истек срок исковой давности и (</w:t>
      </w:r>
      <w:proofErr w:type="gramStart"/>
      <w:r w:rsidRPr="008C43E0">
        <w:t xml:space="preserve">или) </w:t>
      </w:r>
      <w:proofErr w:type="gramEnd"/>
      <w:r w:rsidRPr="008C43E0">
        <w:t xml:space="preserve">юридические лица ликвидированы, что исключает </w:t>
      </w:r>
      <w:r w:rsidR="00580BCB">
        <w:t xml:space="preserve">возможность </w:t>
      </w:r>
      <w:r w:rsidRPr="008C43E0">
        <w:t>взыскани</w:t>
      </w:r>
      <w:r w:rsidR="00580BCB">
        <w:t>я</w:t>
      </w:r>
      <w:r w:rsidRPr="008C43E0">
        <w:t xml:space="preserve"> задолженности в судебном порядке.</w:t>
      </w:r>
    </w:p>
    <w:p w:rsidR="00B4787A" w:rsidRPr="008C43E0" w:rsidRDefault="00605268" w:rsidP="00B4787A">
      <w:pPr>
        <w:autoSpaceDE w:val="0"/>
        <w:autoSpaceDN w:val="0"/>
        <w:adjustRightInd w:val="0"/>
        <w:ind w:firstLine="680"/>
        <w:jc w:val="both"/>
        <w:outlineLvl w:val="0"/>
      </w:pPr>
      <w:r>
        <w:t>П</w:t>
      </w:r>
      <w:r w:rsidR="00B4787A" w:rsidRPr="008C43E0">
        <w:t xml:space="preserve">роверкой установлены нарушения </w:t>
      </w:r>
      <w:proofErr w:type="spellStart"/>
      <w:r w:rsidR="00B4787A" w:rsidRPr="008C43E0">
        <w:t>Облкомэкономразвития</w:t>
      </w:r>
      <w:proofErr w:type="spellEnd"/>
      <w:r w:rsidR="00B4787A" w:rsidRPr="008C43E0">
        <w:t xml:space="preserve"> законодательства о закупках товаров, работ, услуг для обеспечения государственных нужд. Так, извещением о проведении элек</w:t>
      </w:r>
      <w:r>
        <w:t>тронного аукциона для закупки</w:t>
      </w:r>
      <w:r w:rsidR="00B4787A" w:rsidRPr="008C43E0">
        <w:t xml:space="preserve"> предусм</w:t>
      </w:r>
      <w:r w:rsidR="00AE6988">
        <w:t>атривалось</w:t>
      </w:r>
      <w:r w:rsidR="00B4787A" w:rsidRPr="008C43E0">
        <w:t xml:space="preserve"> обеспечение исполнения государственного контракта в размере 119,9 тыс. рублей. При этом в проекте государственного контракта (в составе документации об электронном аукционе) это условие отсутствовало. Также </w:t>
      </w:r>
      <w:r w:rsidRPr="008C43E0">
        <w:t>условие об обеспечении исполнени</w:t>
      </w:r>
      <w:r>
        <w:t>я</w:t>
      </w:r>
      <w:r w:rsidRPr="008C43E0">
        <w:t xml:space="preserve"> </w:t>
      </w:r>
      <w:r>
        <w:t xml:space="preserve">контракта </w:t>
      </w:r>
      <w:r w:rsidRPr="008C43E0">
        <w:t xml:space="preserve">отсутствует </w:t>
      </w:r>
      <w:r>
        <w:t xml:space="preserve">и </w:t>
      </w:r>
      <w:r w:rsidR="00B4787A" w:rsidRPr="008C43E0">
        <w:t>в заключенном с ООО «Артемида» государственном контракте от 08.12.2017, чем не соблюден п</w:t>
      </w:r>
      <w:r>
        <w:t>ункт</w:t>
      </w:r>
      <w:r w:rsidR="00B4787A" w:rsidRPr="008C43E0">
        <w:t xml:space="preserve"> 1 ст</w:t>
      </w:r>
      <w:r>
        <w:t>атьи</w:t>
      </w:r>
      <w:r w:rsidR="00B4787A" w:rsidRPr="008C43E0">
        <w:t xml:space="preserve"> 34 </w:t>
      </w:r>
      <w:r>
        <w:t>Федерального з</w:t>
      </w:r>
      <w:r w:rsidR="00B4787A" w:rsidRPr="008C43E0">
        <w:t xml:space="preserve">акона </w:t>
      </w:r>
      <w:r w:rsidR="00DB4094">
        <w:t xml:space="preserve">от 05.04.2013 </w:t>
      </w:r>
      <w:r w:rsidR="00B4787A" w:rsidRPr="008C43E0">
        <w:t>№ 44-ФЗ</w:t>
      </w:r>
      <w:r w:rsidR="00DB4094">
        <w:t xml:space="preserve"> </w:t>
      </w:r>
      <w:r w:rsidR="00432A68">
        <w:t>«</w:t>
      </w:r>
      <w:r w:rsidR="00DB4094">
        <w:t xml:space="preserve">О контрактной системе в сфере закупок товаров, работ, услуг для государственных и муниципальных нужд» </w:t>
      </w:r>
      <w:r w:rsidR="00432A68">
        <w:t>(далее Закон №44-ФЗ)</w:t>
      </w:r>
      <w:r w:rsidR="00B4787A" w:rsidRPr="008C43E0">
        <w:t>.</w:t>
      </w:r>
    </w:p>
    <w:p w:rsidR="00D12709" w:rsidRDefault="00B4787A" w:rsidP="00D12709">
      <w:pPr>
        <w:autoSpaceDE w:val="0"/>
        <w:autoSpaceDN w:val="0"/>
        <w:adjustRightInd w:val="0"/>
        <w:ind w:firstLine="680"/>
        <w:jc w:val="both"/>
        <w:outlineLvl w:val="0"/>
      </w:pPr>
      <w:r w:rsidRPr="008C43E0">
        <w:t xml:space="preserve">На национальной электронной площадке ООО «Артемида» было размещено платежное поручение от 07.12.2017 на уплату обеспечения исполнения государственного контракта в указанной сумме. При этом фактически денежные средства на лицевой счет </w:t>
      </w:r>
      <w:proofErr w:type="spellStart"/>
      <w:r w:rsidRPr="008C43E0">
        <w:t>Облкомэкономразвития</w:t>
      </w:r>
      <w:proofErr w:type="spellEnd"/>
      <w:r w:rsidRPr="008C43E0">
        <w:t xml:space="preserve"> не поступили. </w:t>
      </w:r>
      <w:r w:rsidR="00FD6920">
        <w:t>В</w:t>
      </w:r>
      <w:r w:rsidR="00432A68">
        <w:t xml:space="preserve"> свою очередь </w:t>
      </w:r>
      <w:proofErr w:type="spellStart"/>
      <w:r w:rsidRPr="008C43E0">
        <w:t>Облкомэкономразвития</w:t>
      </w:r>
      <w:proofErr w:type="spellEnd"/>
      <w:r w:rsidRPr="008C43E0">
        <w:t xml:space="preserve"> </w:t>
      </w:r>
      <w:proofErr w:type="gramStart"/>
      <w:r w:rsidRPr="008C43E0">
        <w:t>не было проверено фактическое внесение на лицевой счет указанных денежных средств и по результатам проведения аукциона был</w:t>
      </w:r>
      <w:proofErr w:type="gramEnd"/>
      <w:r w:rsidRPr="008C43E0">
        <w:t xml:space="preserve"> заключен государственный контракт без его обеспечения, чем нарушен п</w:t>
      </w:r>
      <w:r w:rsidR="00432A68">
        <w:t>ункт</w:t>
      </w:r>
      <w:r w:rsidRPr="008C43E0">
        <w:t xml:space="preserve"> 4 ст</w:t>
      </w:r>
      <w:r w:rsidR="00432A68">
        <w:t>атьи</w:t>
      </w:r>
      <w:r w:rsidRPr="008C43E0">
        <w:t xml:space="preserve"> 96 Закона №</w:t>
      </w:r>
      <w:r w:rsidRPr="00303384">
        <w:t xml:space="preserve">44-ФЗ.  </w:t>
      </w:r>
    </w:p>
    <w:p w:rsidR="00D12709" w:rsidRPr="00D12709" w:rsidRDefault="00D12709" w:rsidP="00D12709">
      <w:pPr>
        <w:autoSpaceDE w:val="0"/>
        <w:autoSpaceDN w:val="0"/>
        <w:adjustRightInd w:val="0"/>
        <w:ind w:firstLine="680"/>
        <w:jc w:val="both"/>
        <w:outlineLvl w:val="0"/>
      </w:pPr>
      <w:r w:rsidRPr="00A07D3C">
        <w:rPr>
          <w:szCs w:val="24"/>
        </w:rPr>
        <w:t xml:space="preserve">Остаток субсидии на финансовое обеспечение </w:t>
      </w:r>
      <w:proofErr w:type="spellStart"/>
      <w:r w:rsidRPr="00A07D3C">
        <w:rPr>
          <w:szCs w:val="24"/>
        </w:rPr>
        <w:t>госзадания</w:t>
      </w:r>
      <w:proofErr w:type="spellEnd"/>
      <w:r w:rsidRPr="00A07D3C">
        <w:rPr>
          <w:szCs w:val="24"/>
        </w:rPr>
        <w:t xml:space="preserve"> на оказание </w:t>
      </w:r>
      <w:proofErr w:type="spellStart"/>
      <w:r w:rsidRPr="00A07D3C">
        <w:rPr>
          <w:szCs w:val="24"/>
        </w:rPr>
        <w:t>госуслуг</w:t>
      </w:r>
      <w:proofErr w:type="spellEnd"/>
      <w:r w:rsidRPr="00A07D3C">
        <w:rPr>
          <w:szCs w:val="24"/>
        </w:rPr>
        <w:t xml:space="preserve"> ГАУ «Бизнес-инкубатор» на начало 2018 года составил 2</w:t>
      </w:r>
      <w:r>
        <w:rPr>
          <w:szCs w:val="24"/>
        </w:rPr>
        <w:t>,3</w:t>
      </w:r>
      <w:r w:rsidRPr="001D3461">
        <w:rPr>
          <w:szCs w:val="24"/>
        </w:rPr>
        <w:t xml:space="preserve"> </w:t>
      </w:r>
      <w:r>
        <w:rPr>
          <w:szCs w:val="24"/>
        </w:rPr>
        <w:t>млн</w:t>
      </w:r>
      <w:r w:rsidRPr="001D3461">
        <w:rPr>
          <w:szCs w:val="24"/>
        </w:rPr>
        <w:t>. руб. (в т</w:t>
      </w:r>
      <w:r>
        <w:rPr>
          <w:szCs w:val="24"/>
        </w:rPr>
        <w:t xml:space="preserve">ом </w:t>
      </w:r>
      <w:r w:rsidRPr="001D3461">
        <w:rPr>
          <w:szCs w:val="24"/>
        </w:rPr>
        <w:t>ч</w:t>
      </w:r>
      <w:r>
        <w:rPr>
          <w:szCs w:val="24"/>
        </w:rPr>
        <w:t>исле</w:t>
      </w:r>
      <w:r w:rsidRPr="001D3461">
        <w:rPr>
          <w:szCs w:val="24"/>
        </w:rPr>
        <w:t xml:space="preserve"> </w:t>
      </w:r>
      <w:r>
        <w:rPr>
          <w:szCs w:val="24"/>
        </w:rPr>
        <w:t>по средствам</w:t>
      </w:r>
      <w:r w:rsidRPr="001D3461">
        <w:rPr>
          <w:szCs w:val="24"/>
        </w:rPr>
        <w:t xml:space="preserve"> 2014-2015 </w:t>
      </w:r>
      <w:r>
        <w:rPr>
          <w:szCs w:val="24"/>
        </w:rPr>
        <w:t>годов</w:t>
      </w:r>
      <w:r w:rsidRPr="0006636C">
        <w:rPr>
          <w:szCs w:val="24"/>
        </w:rPr>
        <w:t xml:space="preserve"> </w:t>
      </w:r>
      <w:r>
        <w:rPr>
          <w:szCs w:val="24"/>
        </w:rPr>
        <w:t>– 0,6</w:t>
      </w:r>
      <w:r w:rsidRPr="001D3461">
        <w:rPr>
          <w:szCs w:val="24"/>
        </w:rPr>
        <w:t xml:space="preserve"> </w:t>
      </w:r>
      <w:r>
        <w:rPr>
          <w:szCs w:val="24"/>
        </w:rPr>
        <w:t>млн</w:t>
      </w:r>
      <w:r w:rsidRPr="001D3461">
        <w:rPr>
          <w:szCs w:val="24"/>
        </w:rPr>
        <w:t>. руб., за 2016 г</w:t>
      </w:r>
      <w:r>
        <w:rPr>
          <w:szCs w:val="24"/>
        </w:rPr>
        <w:t>од</w:t>
      </w:r>
      <w:r w:rsidRPr="00344B73">
        <w:rPr>
          <w:szCs w:val="24"/>
        </w:rPr>
        <w:t xml:space="preserve"> </w:t>
      </w:r>
      <w:r>
        <w:rPr>
          <w:szCs w:val="24"/>
        </w:rPr>
        <w:t>– 0,</w:t>
      </w:r>
      <w:r w:rsidRPr="001D3461">
        <w:rPr>
          <w:szCs w:val="24"/>
        </w:rPr>
        <w:t>2</w:t>
      </w:r>
      <w:r>
        <w:rPr>
          <w:szCs w:val="24"/>
        </w:rPr>
        <w:t xml:space="preserve"> млн</w:t>
      </w:r>
      <w:r w:rsidRPr="001D3461">
        <w:rPr>
          <w:szCs w:val="24"/>
        </w:rPr>
        <w:t xml:space="preserve">. руб., </w:t>
      </w:r>
      <w:r>
        <w:rPr>
          <w:szCs w:val="24"/>
        </w:rPr>
        <w:t xml:space="preserve">за </w:t>
      </w:r>
      <w:r w:rsidRPr="001D3461">
        <w:rPr>
          <w:szCs w:val="24"/>
        </w:rPr>
        <w:t>2017 г</w:t>
      </w:r>
      <w:r>
        <w:rPr>
          <w:szCs w:val="24"/>
        </w:rPr>
        <w:t>од</w:t>
      </w:r>
      <w:r w:rsidRPr="00344B73">
        <w:rPr>
          <w:szCs w:val="24"/>
        </w:rPr>
        <w:t xml:space="preserve"> </w:t>
      </w:r>
      <w:r>
        <w:rPr>
          <w:szCs w:val="24"/>
        </w:rPr>
        <w:t xml:space="preserve">– </w:t>
      </w:r>
      <w:r w:rsidRPr="001D3461">
        <w:rPr>
          <w:szCs w:val="24"/>
        </w:rPr>
        <w:t>1</w:t>
      </w:r>
      <w:r>
        <w:rPr>
          <w:szCs w:val="24"/>
        </w:rPr>
        <w:t>,</w:t>
      </w:r>
      <w:r w:rsidRPr="001D3461">
        <w:rPr>
          <w:szCs w:val="24"/>
        </w:rPr>
        <w:t xml:space="preserve">5 </w:t>
      </w:r>
      <w:r>
        <w:rPr>
          <w:szCs w:val="24"/>
        </w:rPr>
        <w:t>млн</w:t>
      </w:r>
      <w:r w:rsidRPr="001D3461">
        <w:rPr>
          <w:szCs w:val="24"/>
        </w:rPr>
        <w:t xml:space="preserve">. руб.), которые в основном запланированы к использованию в 2018 году. </w:t>
      </w:r>
    </w:p>
    <w:p w:rsidR="00D12709" w:rsidRPr="00421E4F" w:rsidRDefault="00D12709" w:rsidP="00D12709">
      <w:pPr>
        <w:autoSpaceDE w:val="0"/>
        <w:ind w:firstLine="680"/>
        <w:jc w:val="both"/>
      </w:pPr>
      <w:proofErr w:type="gramStart"/>
      <w:r>
        <w:t xml:space="preserve">Остаток субсидии </w:t>
      </w:r>
      <w:r w:rsidRPr="00421E4F">
        <w:t xml:space="preserve">на иные цели, не связанные с финансовым обеспечением выполнения </w:t>
      </w:r>
      <w:proofErr w:type="spellStart"/>
      <w:r w:rsidRPr="00421E4F">
        <w:t>госзадания</w:t>
      </w:r>
      <w:proofErr w:type="spellEnd"/>
      <w:r w:rsidRPr="00421E4F">
        <w:t>, предоставленной ГАУ «</w:t>
      </w:r>
      <w:proofErr w:type="spellStart"/>
      <w:r w:rsidRPr="00421E4F">
        <w:t>Бизнес-инкубатору</w:t>
      </w:r>
      <w:proofErr w:type="spellEnd"/>
      <w:r w:rsidRPr="00421E4F">
        <w:t xml:space="preserve">» за счет средств федерального бюджета, </w:t>
      </w:r>
      <w:r>
        <w:t>н</w:t>
      </w:r>
      <w:r w:rsidRPr="00421E4F">
        <w:t xml:space="preserve">а </w:t>
      </w:r>
      <w:r>
        <w:t>начало 2018 года</w:t>
      </w:r>
      <w:r w:rsidRPr="00421E4F">
        <w:t xml:space="preserve"> сложился в размере 25</w:t>
      </w:r>
      <w:r w:rsidR="00995350">
        <w:t>,2</w:t>
      </w:r>
      <w:r w:rsidRPr="00421E4F">
        <w:t xml:space="preserve"> </w:t>
      </w:r>
      <w:r w:rsidR="00995350">
        <w:t>млн</w:t>
      </w:r>
      <w:r w:rsidRPr="00421E4F">
        <w:t>. руб. (</w:t>
      </w:r>
      <w:r w:rsidR="00995350">
        <w:t xml:space="preserve">в том </w:t>
      </w:r>
      <w:r w:rsidRPr="00421E4F">
        <w:t>ч</w:t>
      </w:r>
      <w:r w:rsidR="00995350">
        <w:t>исле</w:t>
      </w:r>
      <w:r w:rsidRPr="00421E4F">
        <w:t xml:space="preserve"> по средствам 2014-2015 г</w:t>
      </w:r>
      <w:r w:rsidR="00995350">
        <w:t>одов</w:t>
      </w:r>
      <w:r w:rsidRPr="00421E4F">
        <w:t xml:space="preserve"> – 2</w:t>
      </w:r>
      <w:r w:rsidR="00995350">
        <w:t>,</w:t>
      </w:r>
      <w:r w:rsidRPr="00421E4F">
        <w:t xml:space="preserve">9 </w:t>
      </w:r>
      <w:r w:rsidR="00995350">
        <w:t>мн</w:t>
      </w:r>
      <w:r w:rsidRPr="00421E4F">
        <w:t>. руб., 2016 г</w:t>
      </w:r>
      <w:r w:rsidR="00995350">
        <w:t>од</w:t>
      </w:r>
      <w:r w:rsidRPr="00421E4F">
        <w:t xml:space="preserve"> – 11</w:t>
      </w:r>
      <w:r w:rsidR="00995350">
        <w:t>,</w:t>
      </w:r>
      <w:r w:rsidRPr="00421E4F">
        <w:t xml:space="preserve">7 </w:t>
      </w:r>
      <w:r w:rsidR="00995350">
        <w:t>мн</w:t>
      </w:r>
      <w:r w:rsidRPr="00421E4F">
        <w:t>. руб., 2017 г</w:t>
      </w:r>
      <w:r w:rsidR="00995350">
        <w:t>од</w:t>
      </w:r>
      <w:r w:rsidRPr="00421E4F">
        <w:t xml:space="preserve"> – 10</w:t>
      </w:r>
      <w:r w:rsidR="00995350">
        <w:t>,</w:t>
      </w:r>
      <w:r w:rsidRPr="00421E4F">
        <w:t xml:space="preserve">6 </w:t>
      </w:r>
      <w:r w:rsidR="00995350">
        <w:t>млн</w:t>
      </w:r>
      <w:r w:rsidRPr="00421E4F">
        <w:t>. руб.), которые запланированы к использованию в 2018 году (за исключением 145,5</w:t>
      </w:r>
      <w:proofErr w:type="gramEnd"/>
      <w:r w:rsidRPr="00421E4F">
        <w:t xml:space="preserve"> тыс. руб., </w:t>
      </w:r>
      <w:proofErr w:type="gramStart"/>
      <w:r w:rsidRPr="00421E4F">
        <w:t>планируемых</w:t>
      </w:r>
      <w:proofErr w:type="gramEnd"/>
      <w:r w:rsidRPr="00421E4F">
        <w:t xml:space="preserve"> к возврату).</w:t>
      </w:r>
    </w:p>
    <w:p w:rsidR="00D12709" w:rsidRPr="00E56874" w:rsidRDefault="00D12709" w:rsidP="00D12709">
      <w:pPr>
        <w:pStyle w:val="a8"/>
        <w:spacing w:after="0" w:line="240" w:lineRule="auto"/>
        <w:ind w:left="0" w:firstLine="680"/>
        <w:jc w:val="both"/>
        <w:rPr>
          <w:rFonts w:ascii="Times New Roman" w:hAnsi="Times New Roman"/>
          <w:sz w:val="24"/>
          <w:szCs w:val="24"/>
        </w:rPr>
      </w:pPr>
      <w:r w:rsidRPr="00421E4F">
        <w:rPr>
          <w:rFonts w:ascii="Times New Roman" w:hAnsi="Times New Roman"/>
          <w:sz w:val="24"/>
          <w:szCs w:val="24"/>
        </w:rPr>
        <w:t>Таким образом</w:t>
      </w:r>
      <w:r>
        <w:rPr>
          <w:rFonts w:ascii="Times New Roman" w:hAnsi="Times New Roman"/>
          <w:sz w:val="24"/>
          <w:szCs w:val="24"/>
        </w:rPr>
        <w:t>,</w:t>
      </w:r>
      <w:r w:rsidRPr="00421E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наблюдается </w:t>
      </w:r>
      <w:r w:rsidR="00FF6303" w:rsidRPr="00421E4F">
        <w:rPr>
          <w:rFonts w:ascii="Times New Roman" w:hAnsi="Times New Roman"/>
          <w:sz w:val="24"/>
          <w:szCs w:val="24"/>
        </w:rPr>
        <w:t>ежегодно</w:t>
      </w:r>
      <w:r w:rsidR="00FF6303">
        <w:rPr>
          <w:rFonts w:ascii="Times New Roman" w:hAnsi="Times New Roman"/>
          <w:sz w:val="24"/>
          <w:szCs w:val="24"/>
        </w:rPr>
        <w:t xml:space="preserve">е </w:t>
      </w:r>
      <w:r>
        <w:rPr>
          <w:rFonts w:ascii="Times New Roman" w:hAnsi="Times New Roman"/>
          <w:sz w:val="24"/>
          <w:szCs w:val="24"/>
        </w:rPr>
        <w:t xml:space="preserve">использование </w:t>
      </w:r>
      <w:r w:rsidR="009343E7">
        <w:rPr>
          <w:rFonts w:ascii="Times New Roman" w:hAnsi="Times New Roman"/>
          <w:sz w:val="24"/>
          <w:szCs w:val="24"/>
        </w:rPr>
        <w:t xml:space="preserve">учреждением </w:t>
      </w:r>
      <w:r>
        <w:rPr>
          <w:rFonts w:ascii="Times New Roman" w:hAnsi="Times New Roman"/>
          <w:sz w:val="24"/>
          <w:szCs w:val="24"/>
        </w:rPr>
        <w:t xml:space="preserve">средств субсидии не в полном объеме, что может свидетельствовать </w:t>
      </w:r>
      <w:r w:rsidRPr="00AE2332">
        <w:rPr>
          <w:rFonts w:ascii="Times New Roman" w:hAnsi="Times New Roman"/>
          <w:sz w:val="24"/>
          <w:szCs w:val="24"/>
        </w:rPr>
        <w:t xml:space="preserve">о недостатках в организации работы </w:t>
      </w:r>
      <w:r>
        <w:rPr>
          <w:rFonts w:ascii="Times New Roman" w:hAnsi="Times New Roman"/>
          <w:sz w:val="24"/>
          <w:szCs w:val="24"/>
        </w:rPr>
        <w:t>ГАУ «Бизнес-</w:t>
      </w:r>
      <w:r w:rsidRPr="00E56874">
        <w:rPr>
          <w:rFonts w:ascii="Times New Roman" w:hAnsi="Times New Roman"/>
          <w:sz w:val="24"/>
          <w:szCs w:val="24"/>
        </w:rPr>
        <w:t>инкубатор»</w:t>
      </w:r>
      <w:r>
        <w:rPr>
          <w:rFonts w:ascii="Times New Roman" w:hAnsi="Times New Roman"/>
          <w:sz w:val="24"/>
          <w:szCs w:val="24"/>
        </w:rPr>
        <w:t>.</w:t>
      </w:r>
    </w:p>
    <w:p w:rsidR="00D12709" w:rsidRPr="00E56874" w:rsidRDefault="00D12709" w:rsidP="00D12709">
      <w:pPr>
        <w:autoSpaceDE w:val="0"/>
        <w:autoSpaceDN w:val="0"/>
        <w:adjustRightInd w:val="0"/>
        <w:ind w:firstLine="680"/>
        <w:jc w:val="both"/>
      </w:pPr>
      <w:proofErr w:type="gramStart"/>
      <w:r w:rsidRPr="00E56874">
        <w:t>Показатель результативности использования ГАУ «Бизнес-инкубатор» субсидии</w:t>
      </w:r>
      <w:r w:rsidR="009B4381">
        <w:t xml:space="preserve"> из</w:t>
      </w:r>
      <w:r w:rsidRPr="00E56874">
        <w:t xml:space="preserve"> </w:t>
      </w:r>
      <w:r w:rsidR="009B4381">
        <w:t xml:space="preserve">средств </w:t>
      </w:r>
      <w:r w:rsidRPr="00E56874">
        <w:t>федерального и областного бюджет</w:t>
      </w:r>
      <w:r w:rsidR="009B4381">
        <w:t>ов</w:t>
      </w:r>
      <w:r w:rsidRPr="00E56874">
        <w:t xml:space="preserve"> (количество субъектов </w:t>
      </w:r>
      <w:r w:rsidR="00FF6303">
        <w:t>малого и среднего предпри</w:t>
      </w:r>
      <w:r w:rsidR="009343E7">
        <w:t>н</w:t>
      </w:r>
      <w:r w:rsidR="00FF6303">
        <w:t>имательс</w:t>
      </w:r>
      <w:r w:rsidR="009343E7">
        <w:t>т</w:t>
      </w:r>
      <w:r w:rsidR="00FF6303">
        <w:t>ва</w:t>
      </w:r>
      <w:r w:rsidRPr="00E56874">
        <w:t xml:space="preserve">, получивших  услугу) в части развития </w:t>
      </w:r>
      <w:r w:rsidR="00567FDF" w:rsidRPr="00617657">
        <w:rPr>
          <w:rFonts w:eastAsia="Calibri"/>
          <w:lang w:eastAsia="en-US"/>
        </w:rPr>
        <w:t>центр</w:t>
      </w:r>
      <w:r w:rsidR="00567FDF">
        <w:rPr>
          <w:rFonts w:eastAsia="Calibri"/>
          <w:lang w:eastAsia="en-US"/>
        </w:rPr>
        <w:t>а</w:t>
      </w:r>
      <w:r w:rsidR="00567FDF" w:rsidRPr="00617657">
        <w:rPr>
          <w:rFonts w:eastAsia="Calibri"/>
          <w:lang w:eastAsia="en-US"/>
        </w:rPr>
        <w:t xml:space="preserve"> поддержки</w:t>
      </w:r>
      <w:r w:rsidR="00567FDF">
        <w:rPr>
          <w:rFonts w:eastAsia="Calibri"/>
          <w:lang w:eastAsia="en-US"/>
        </w:rPr>
        <w:t xml:space="preserve"> экспорта Волгоградской области</w:t>
      </w:r>
      <w:r w:rsidRPr="00E56874">
        <w:t xml:space="preserve">, </w:t>
      </w:r>
      <w:r w:rsidR="00567FDF" w:rsidRPr="00617657">
        <w:rPr>
          <w:rFonts w:eastAsia="Calibri"/>
          <w:lang w:eastAsia="en-US"/>
        </w:rPr>
        <w:t>центр</w:t>
      </w:r>
      <w:r w:rsidR="00567FDF">
        <w:rPr>
          <w:rFonts w:eastAsia="Calibri"/>
          <w:lang w:eastAsia="en-US"/>
        </w:rPr>
        <w:t>а</w:t>
      </w:r>
      <w:r w:rsidR="00567FDF" w:rsidRPr="00617657">
        <w:rPr>
          <w:rFonts w:eastAsia="Calibri"/>
          <w:lang w:eastAsia="en-US"/>
        </w:rPr>
        <w:t xml:space="preserve"> поддержки предпринимательства Волгоградской области </w:t>
      </w:r>
      <w:r w:rsidRPr="00E56874">
        <w:t xml:space="preserve">и </w:t>
      </w:r>
      <w:r w:rsidR="00D97E86" w:rsidRPr="00617657">
        <w:rPr>
          <w:rFonts w:eastAsia="Calibri"/>
          <w:lang w:eastAsia="en-US"/>
        </w:rPr>
        <w:t>центр</w:t>
      </w:r>
      <w:r w:rsidR="00D97E86">
        <w:rPr>
          <w:rFonts w:eastAsia="Calibri"/>
          <w:lang w:eastAsia="en-US"/>
        </w:rPr>
        <w:t>а</w:t>
      </w:r>
      <w:r w:rsidR="00D97E86" w:rsidRPr="00617657">
        <w:rPr>
          <w:rFonts w:eastAsia="Calibri"/>
          <w:lang w:eastAsia="en-US"/>
        </w:rPr>
        <w:t xml:space="preserve"> инжиниринга Волгоградской области </w:t>
      </w:r>
      <w:r w:rsidRPr="00E56874">
        <w:t>в 2017 году перевыполнен на 43,6</w:t>
      </w:r>
      <w:r w:rsidR="00A529BE">
        <w:t>%,</w:t>
      </w:r>
      <w:r w:rsidRPr="00E56874">
        <w:t xml:space="preserve"> 96,3</w:t>
      </w:r>
      <w:r w:rsidR="00A529BE">
        <w:t>%</w:t>
      </w:r>
      <w:r w:rsidRPr="00E56874">
        <w:t xml:space="preserve"> и 98,2%</w:t>
      </w:r>
      <w:r>
        <w:t xml:space="preserve"> соответственно</w:t>
      </w:r>
      <w:r w:rsidRPr="00E56874">
        <w:t>, что при использовании средств субсидии в неполном объеме может свидетельствовать о недостатках</w:t>
      </w:r>
      <w:proofErr w:type="gramEnd"/>
      <w:r w:rsidRPr="00E56874">
        <w:t xml:space="preserve"> в планировании размера показателей.</w:t>
      </w:r>
    </w:p>
    <w:p w:rsidR="00693ABB" w:rsidRDefault="00693ABB" w:rsidP="00693ABB">
      <w:pPr>
        <w:ind w:firstLine="680"/>
        <w:jc w:val="both"/>
      </w:pPr>
      <w:r>
        <w:t xml:space="preserve"> </w:t>
      </w:r>
      <w:proofErr w:type="gramStart"/>
      <w:r>
        <w:t xml:space="preserve">Сравнительный анализ расходов </w:t>
      </w:r>
      <w:r w:rsidRPr="00206F5E">
        <w:rPr>
          <w:b/>
          <w:i/>
        </w:rPr>
        <w:t>к</w:t>
      </w:r>
      <w:r w:rsidRPr="0001379B">
        <w:rPr>
          <w:b/>
          <w:i/>
        </w:rPr>
        <w:t>омитет</w:t>
      </w:r>
      <w:r>
        <w:rPr>
          <w:b/>
          <w:i/>
        </w:rPr>
        <w:t>а</w:t>
      </w:r>
      <w:r w:rsidRPr="0001379B">
        <w:rPr>
          <w:b/>
          <w:i/>
        </w:rPr>
        <w:t xml:space="preserve"> финансов Волгоградской области</w:t>
      </w:r>
      <w:r>
        <w:rPr>
          <w:b/>
          <w:i/>
        </w:rPr>
        <w:t xml:space="preserve"> </w:t>
      </w:r>
      <w:r>
        <w:t>за 2017 год относительно 2016 года показал, что в целом расходы</w:t>
      </w:r>
      <w:r w:rsidRPr="000E21CD">
        <w:t xml:space="preserve"> </w:t>
      </w:r>
      <w:r>
        <w:t>комитета увеличились</w:t>
      </w:r>
      <w:r w:rsidRPr="000E21CD">
        <w:t xml:space="preserve"> на 149 </w:t>
      </w:r>
      <w:r>
        <w:t>млн</w:t>
      </w:r>
      <w:r w:rsidRPr="000E21CD">
        <w:t>. руб.</w:t>
      </w:r>
      <w:r>
        <w:t>, или на</w:t>
      </w:r>
      <w:r w:rsidRPr="000E21CD">
        <w:t xml:space="preserve"> 2,3</w:t>
      </w:r>
      <w:r>
        <w:t>%, в том числе по разделу 0100 «Общегосударственные вопросы» - на  95,3 млн. руб. (с 318,8 млн. руб. до 414,1 млн. руб.), или на 29,9 процента.</w:t>
      </w:r>
      <w:proofErr w:type="gramEnd"/>
      <w:r>
        <w:t xml:space="preserve"> При этом значительную долю в расходах комитета по данному разделу составили расходы на исполнение судебных исков – 217,6 млн. руб., или 52,5 процента. По отношению к 2016 году (129,7 млн. руб.) расходы на исполнение судебных исков значительно возросли – на 67,8%, что не отвечает принципу результативности бюджетных расходов, установленному статьей 34 БК РФ, так как, по сути, данные расходы являются неэффективными расходами областного бюджета.</w:t>
      </w:r>
    </w:p>
    <w:p w:rsidR="00693ABB" w:rsidRDefault="00693ABB" w:rsidP="00693ABB">
      <w:pPr>
        <w:autoSpaceDE w:val="0"/>
        <w:autoSpaceDN w:val="0"/>
        <w:adjustRightInd w:val="0"/>
        <w:ind w:firstLine="680"/>
        <w:jc w:val="both"/>
        <w:rPr>
          <w:rFonts w:eastAsia="Calibri"/>
          <w:lang w:eastAsia="en-US"/>
        </w:rPr>
      </w:pPr>
      <w:r w:rsidRPr="00E468FF">
        <w:rPr>
          <w:rFonts w:eastAsia="Calibri"/>
          <w:lang w:eastAsia="en-US"/>
        </w:rPr>
        <w:t xml:space="preserve">В </w:t>
      </w:r>
      <w:r>
        <w:rPr>
          <w:rFonts w:eastAsia="Calibri"/>
          <w:lang w:eastAsia="en-US"/>
        </w:rPr>
        <w:t xml:space="preserve">рамках внешней </w:t>
      </w:r>
      <w:proofErr w:type="gramStart"/>
      <w:r>
        <w:rPr>
          <w:rFonts w:eastAsia="Calibri"/>
          <w:lang w:eastAsia="en-US"/>
        </w:rPr>
        <w:t>проверки бюджетной отчетности комитета финансов Волгоградской области</w:t>
      </w:r>
      <w:proofErr w:type="gramEnd"/>
      <w:r>
        <w:rPr>
          <w:rFonts w:eastAsia="Calibri"/>
          <w:lang w:eastAsia="en-US"/>
        </w:rPr>
        <w:t xml:space="preserve"> проведен </w:t>
      </w:r>
      <w:r w:rsidRPr="00E468FF">
        <w:rPr>
          <w:rFonts w:eastAsia="Calibri"/>
          <w:lang w:eastAsia="en-US"/>
        </w:rPr>
        <w:t xml:space="preserve">сравнительный анализ численности и расходов на оплату труда </w:t>
      </w:r>
      <w:r>
        <w:rPr>
          <w:rFonts w:eastAsia="Calibri"/>
          <w:lang w:eastAsia="en-US"/>
        </w:rPr>
        <w:t>подведомственного комитету учреждения ГКУ «Центр бюджетного учета»</w:t>
      </w:r>
      <w:r w:rsidRPr="00E468FF">
        <w:rPr>
          <w:rFonts w:eastAsia="Calibri"/>
          <w:lang w:eastAsia="en-US"/>
        </w:rPr>
        <w:t xml:space="preserve"> за 2016</w:t>
      </w:r>
      <w:r>
        <w:rPr>
          <w:rFonts w:eastAsia="Calibri"/>
          <w:lang w:eastAsia="en-US"/>
        </w:rPr>
        <w:t>-</w:t>
      </w:r>
      <w:r w:rsidRPr="00E468FF">
        <w:rPr>
          <w:rFonts w:eastAsia="Calibri"/>
          <w:lang w:eastAsia="en-US"/>
        </w:rPr>
        <w:t>2017</w:t>
      </w:r>
      <w:r>
        <w:rPr>
          <w:rFonts w:eastAsia="Calibri"/>
          <w:lang w:eastAsia="en-US"/>
        </w:rPr>
        <w:t xml:space="preserve"> </w:t>
      </w:r>
      <w:r w:rsidRPr="00E468FF">
        <w:rPr>
          <w:rFonts w:eastAsia="Calibri"/>
          <w:lang w:eastAsia="en-US"/>
        </w:rPr>
        <w:t>годы</w:t>
      </w:r>
      <w:r>
        <w:rPr>
          <w:rFonts w:eastAsia="Calibri"/>
          <w:lang w:eastAsia="en-US"/>
        </w:rPr>
        <w:t>. Результаты анализа представлены в следующей таблице:</w:t>
      </w:r>
    </w:p>
    <w:tbl>
      <w:tblPr>
        <w:tblW w:w="9639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111"/>
        <w:gridCol w:w="1418"/>
        <w:gridCol w:w="1701"/>
        <w:gridCol w:w="1417"/>
        <w:gridCol w:w="992"/>
      </w:tblGrid>
      <w:tr w:rsidR="007A5468" w:rsidRPr="00F8101E" w:rsidTr="001A4873">
        <w:tc>
          <w:tcPr>
            <w:tcW w:w="4111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EAF1DD"/>
            <w:vAlign w:val="center"/>
          </w:tcPr>
          <w:p w:rsidR="007A5468" w:rsidRPr="00F8101E" w:rsidRDefault="007A5468" w:rsidP="007A546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  <w:sz w:val="22"/>
                <w:szCs w:val="22"/>
                <w:lang w:eastAsia="en-US"/>
              </w:rPr>
            </w:pPr>
            <w:r w:rsidRPr="00F8101E">
              <w:rPr>
                <w:rFonts w:eastAsia="Calibri"/>
                <w:b/>
                <w:i/>
                <w:sz w:val="22"/>
                <w:szCs w:val="22"/>
                <w:lang w:eastAsia="en-US"/>
              </w:rPr>
              <w:lastRenderedPageBreak/>
              <w:t>Показатель</w:t>
            </w:r>
          </w:p>
        </w:tc>
        <w:tc>
          <w:tcPr>
            <w:tcW w:w="1418" w:type="dxa"/>
            <w:vMerge w:val="restart"/>
            <w:tcBorders>
              <w:top w:val="double" w:sz="4" w:space="0" w:color="auto"/>
            </w:tcBorders>
            <w:shd w:val="clear" w:color="auto" w:fill="EAF1DD"/>
            <w:vAlign w:val="center"/>
          </w:tcPr>
          <w:p w:rsidR="007A5468" w:rsidRPr="00F8101E" w:rsidRDefault="007A5468" w:rsidP="007A546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  <w:sz w:val="22"/>
                <w:szCs w:val="22"/>
                <w:lang w:eastAsia="en-US"/>
              </w:rPr>
            </w:pPr>
            <w:r w:rsidRPr="00F8101E">
              <w:rPr>
                <w:rFonts w:eastAsia="Calibri"/>
                <w:b/>
                <w:i/>
                <w:sz w:val="22"/>
                <w:szCs w:val="22"/>
                <w:lang w:eastAsia="en-US"/>
              </w:rPr>
              <w:t>2016 год</w:t>
            </w:r>
          </w:p>
        </w:tc>
        <w:tc>
          <w:tcPr>
            <w:tcW w:w="1701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EAF1DD"/>
            <w:vAlign w:val="center"/>
          </w:tcPr>
          <w:p w:rsidR="007A5468" w:rsidRPr="00F8101E" w:rsidRDefault="007A5468" w:rsidP="007A546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  <w:sz w:val="22"/>
                <w:szCs w:val="22"/>
                <w:lang w:eastAsia="en-US"/>
              </w:rPr>
            </w:pPr>
            <w:r w:rsidRPr="00F8101E">
              <w:rPr>
                <w:rFonts w:eastAsia="Calibri"/>
                <w:b/>
                <w:i/>
                <w:sz w:val="22"/>
                <w:szCs w:val="22"/>
                <w:lang w:eastAsia="en-US"/>
              </w:rPr>
              <w:t>2017 год</w:t>
            </w:r>
          </w:p>
        </w:tc>
        <w:tc>
          <w:tcPr>
            <w:tcW w:w="2409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EAF1DD"/>
            <w:vAlign w:val="center"/>
          </w:tcPr>
          <w:p w:rsidR="007A5468" w:rsidRPr="00F8101E" w:rsidRDefault="007A5468" w:rsidP="007A546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  <w:sz w:val="22"/>
                <w:szCs w:val="22"/>
                <w:lang w:eastAsia="en-US"/>
              </w:rPr>
            </w:pPr>
            <w:r w:rsidRPr="00F8101E">
              <w:rPr>
                <w:rFonts w:eastAsia="Calibri"/>
                <w:b/>
                <w:i/>
                <w:sz w:val="22"/>
                <w:szCs w:val="22"/>
                <w:lang w:eastAsia="en-US"/>
              </w:rPr>
              <w:t>Отклонение</w:t>
            </w:r>
          </w:p>
        </w:tc>
      </w:tr>
      <w:tr w:rsidR="007A5468" w:rsidRPr="00F8101E" w:rsidTr="001A4873">
        <w:tc>
          <w:tcPr>
            <w:tcW w:w="4111" w:type="dxa"/>
            <w:vMerge/>
            <w:tcBorders>
              <w:top w:val="single" w:sz="4" w:space="0" w:color="auto"/>
              <w:bottom w:val="double" w:sz="4" w:space="0" w:color="auto"/>
            </w:tcBorders>
            <w:shd w:val="clear" w:color="auto" w:fill="EAF1DD"/>
            <w:vAlign w:val="center"/>
          </w:tcPr>
          <w:p w:rsidR="007A5468" w:rsidRPr="00F8101E" w:rsidRDefault="007A5468" w:rsidP="007A546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bottom w:val="double" w:sz="4" w:space="0" w:color="auto"/>
            </w:tcBorders>
            <w:shd w:val="clear" w:color="auto" w:fill="EAF1DD"/>
            <w:vAlign w:val="center"/>
          </w:tcPr>
          <w:p w:rsidR="007A5468" w:rsidRPr="00F8101E" w:rsidRDefault="007A5468" w:rsidP="007A546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bottom w:val="double" w:sz="4" w:space="0" w:color="auto"/>
            </w:tcBorders>
            <w:shd w:val="clear" w:color="auto" w:fill="EAF1DD"/>
            <w:vAlign w:val="center"/>
          </w:tcPr>
          <w:p w:rsidR="007A5468" w:rsidRPr="00F8101E" w:rsidRDefault="007A5468" w:rsidP="007A546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shd w:val="clear" w:color="auto" w:fill="EAF1DD"/>
            <w:vAlign w:val="center"/>
          </w:tcPr>
          <w:p w:rsidR="007A5468" w:rsidRPr="00F8101E" w:rsidRDefault="007A5468" w:rsidP="00652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8101E">
              <w:rPr>
                <w:rFonts w:eastAsia="Calibri"/>
                <w:sz w:val="22"/>
                <w:szCs w:val="22"/>
                <w:lang w:eastAsia="en-US"/>
              </w:rPr>
              <w:t xml:space="preserve">единиц, </w:t>
            </w:r>
            <w:r w:rsidR="001A4873" w:rsidRPr="00F8101E">
              <w:rPr>
                <w:rFonts w:eastAsia="Calibri"/>
                <w:sz w:val="22"/>
                <w:szCs w:val="22"/>
                <w:lang w:eastAsia="en-US"/>
              </w:rPr>
              <w:t>млн.</w:t>
            </w:r>
            <w:r w:rsidRPr="00F8101E">
              <w:rPr>
                <w:rFonts w:eastAsia="Calibri"/>
                <w:sz w:val="22"/>
                <w:szCs w:val="22"/>
                <w:lang w:eastAsia="en-US"/>
              </w:rPr>
              <w:t xml:space="preserve"> руб.</w:t>
            </w: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EAF1DD"/>
            <w:vAlign w:val="center"/>
          </w:tcPr>
          <w:p w:rsidR="007A5468" w:rsidRPr="00F8101E" w:rsidRDefault="007A5468" w:rsidP="00970E9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8101E">
              <w:rPr>
                <w:rFonts w:eastAsia="Calibri"/>
                <w:sz w:val="22"/>
                <w:szCs w:val="22"/>
                <w:lang w:eastAsia="en-US"/>
              </w:rPr>
              <w:t>%</w:t>
            </w:r>
          </w:p>
        </w:tc>
      </w:tr>
      <w:tr w:rsidR="007A5468" w:rsidRPr="00F8101E" w:rsidTr="001A4873">
        <w:tc>
          <w:tcPr>
            <w:tcW w:w="4111" w:type="dxa"/>
            <w:tcBorders>
              <w:top w:val="double" w:sz="4" w:space="0" w:color="auto"/>
            </w:tcBorders>
          </w:tcPr>
          <w:p w:rsidR="007A5468" w:rsidRPr="00F8101E" w:rsidRDefault="007A5468" w:rsidP="001A4873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8101E">
              <w:rPr>
                <w:rFonts w:eastAsia="Calibri"/>
                <w:b/>
                <w:sz w:val="22"/>
                <w:szCs w:val="22"/>
                <w:lang w:eastAsia="en-US"/>
              </w:rPr>
              <w:t xml:space="preserve">Расходы </w:t>
            </w:r>
            <w:r w:rsidR="001A4873" w:rsidRPr="00F8101E">
              <w:rPr>
                <w:rFonts w:eastAsia="Calibri"/>
                <w:b/>
                <w:sz w:val="22"/>
                <w:szCs w:val="22"/>
                <w:lang w:eastAsia="en-US"/>
              </w:rPr>
              <w:t>учре</w:t>
            </w:r>
            <w:r w:rsidRPr="00F8101E">
              <w:rPr>
                <w:rFonts w:eastAsia="Calibri"/>
                <w:b/>
                <w:sz w:val="22"/>
                <w:szCs w:val="22"/>
                <w:lang w:eastAsia="en-US"/>
              </w:rPr>
              <w:t>ждения, всего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vAlign w:val="bottom"/>
          </w:tcPr>
          <w:p w:rsidR="007A5468" w:rsidRPr="00F8101E" w:rsidRDefault="007A5468" w:rsidP="001A487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8101E">
              <w:rPr>
                <w:rFonts w:eastAsia="Calibri"/>
                <w:b/>
                <w:sz w:val="22"/>
                <w:szCs w:val="22"/>
                <w:lang w:eastAsia="en-US"/>
              </w:rPr>
              <w:t>25</w:t>
            </w:r>
            <w:r w:rsidR="001A4873" w:rsidRPr="00F8101E">
              <w:rPr>
                <w:rFonts w:eastAsia="Calibri"/>
                <w:b/>
                <w:sz w:val="22"/>
                <w:szCs w:val="22"/>
                <w:lang w:eastAsia="en-US"/>
              </w:rPr>
              <w:t>,</w:t>
            </w:r>
            <w:r w:rsidRPr="00F8101E">
              <w:rPr>
                <w:rFonts w:eastAsia="Calibr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vAlign w:val="bottom"/>
          </w:tcPr>
          <w:p w:rsidR="007A5468" w:rsidRPr="00F8101E" w:rsidRDefault="007A5468" w:rsidP="001A487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8101E">
              <w:rPr>
                <w:rFonts w:eastAsia="Calibri"/>
                <w:b/>
                <w:sz w:val="22"/>
                <w:szCs w:val="22"/>
                <w:lang w:eastAsia="en-US"/>
              </w:rPr>
              <w:t>29</w:t>
            </w:r>
            <w:r w:rsidR="001A4873" w:rsidRPr="00F8101E">
              <w:rPr>
                <w:rFonts w:eastAsia="Calibri"/>
                <w:b/>
                <w:sz w:val="22"/>
                <w:szCs w:val="22"/>
                <w:lang w:eastAsia="en-US"/>
              </w:rPr>
              <w:t>,</w:t>
            </w:r>
            <w:r w:rsidRPr="00F8101E">
              <w:rPr>
                <w:rFonts w:eastAsia="Calibri"/>
                <w:b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vAlign w:val="bottom"/>
          </w:tcPr>
          <w:p w:rsidR="007A5468" w:rsidRPr="00F8101E" w:rsidRDefault="007A5468" w:rsidP="001A4873">
            <w:pPr>
              <w:jc w:val="center"/>
              <w:rPr>
                <w:b/>
                <w:sz w:val="22"/>
                <w:szCs w:val="22"/>
              </w:rPr>
            </w:pPr>
            <w:r w:rsidRPr="00F8101E">
              <w:rPr>
                <w:b/>
                <w:sz w:val="22"/>
                <w:szCs w:val="22"/>
              </w:rPr>
              <w:t>4</w:t>
            </w:r>
            <w:r w:rsidR="001A4873" w:rsidRPr="00F8101E">
              <w:rPr>
                <w:b/>
                <w:sz w:val="22"/>
                <w:szCs w:val="22"/>
              </w:rPr>
              <w:t>,</w:t>
            </w:r>
            <w:r w:rsidRPr="00F8101E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double" w:sz="4" w:space="0" w:color="auto"/>
            </w:tcBorders>
            <w:vAlign w:val="bottom"/>
          </w:tcPr>
          <w:p w:rsidR="007A5468" w:rsidRPr="00F8101E" w:rsidRDefault="007A5468" w:rsidP="001A487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8101E">
              <w:rPr>
                <w:rFonts w:eastAsia="Calibri"/>
                <w:b/>
                <w:sz w:val="22"/>
                <w:szCs w:val="22"/>
                <w:lang w:eastAsia="en-US"/>
              </w:rPr>
              <w:t>18,1</w:t>
            </w:r>
          </w:p>
        </w:tc>
      </w:tr>
      <w:tr w:rsidR="007A5468" w:rsidRPr="00F8101E" w:rsidTr="001A4873">
        <w:tc>
          <w:tcPr>
            <w:tcW w:w="4111" w:type="dxa"/>
          </w:tcPr>
          <w:p w:rsidR="007A5468" w:rsidRPr="00F8101E" w:rsidRDefault="007A5468" w:rsidP="000E08F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F8101E">
              <w:rPr>
                <w:rFonts w:eastAsia="Calibri"/>
                <w:sz w:val="22"/>
                <w:szCs w:val="22"/>
                <w:lang w:eastAsia="en-US"/>
              </w:rPr>
              <w:t>Расходы на оплату труда с начислениями</w:t>
            </w:r>
          </w:p>
        </w:tc>
        <w:tc>
          <w:tcPr>
            <w:tcW w:w="1418" w:type="dxa"/>
            <w:vAlign w:val="bottom"/>
          </w:tcPr>
          <w:p w:rsidR="007A5468" w:rsidRPr="00F8101E" w:rsidRDefault="007A5468" w:rsidP="000E08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8101E">
              <w:rPr>
                <w:rFonts w:eastAsia="Calibri"/>
                <w:sz w:val="22"/>
                <w:szCs w:val="22"/>
                <w:lang w:eastAsia="en-US"/>
              </w:rPr>
              <w:t>19</w:t>
            </w:r>
            <w:r w:rsidR="000E08F0" w:rsidRPr="00F8101E">
              <w:rPr>
                <w:rFonts w:eastAsia="Calibri"/>
                <w:sz w:val="22"/>
                <w:szCs w:val="22"/>
                <w:lang w:eastAsia="en-US"/>
              </w:rPr>
              <w:t>,</w:t>
            </w:r>
            <w:r w:rsidRPr="00F8101E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701" w:type="dxa"/>
            <w:vAlign w:val="bottom"/>
          </w:tcPr>
          <w:p w:rsidR="007A5468" w:rsidRPr="00F8101E" w:rsidRDefault="007A5468" w:rsidP="000E08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8101E">
              <w:rPr>
                <w:rFonts w:eastAsia="Calibri"/>
                <w:sz w:val="22"/>
                <w:szCs w:val="22"/>
                <w:lang w:eastAsia="en-US"/>
              </w:rPr>
              <w:t>28</w:t>
            </w:r>
            <w:r w:rsidR="000E08F0" w:rsidRPr="00F8101E">
              <w:rPr>
                <w:rFonts w:eastAsia="Calibri"/>
                <w:sz w:val="22"/>
                <w:szCs w:val="22"/>
                <w:lang w:eastAsia="en-US"/>
              </w:rPr>
              <w:t>,</w:t>
            </w:r>
            <w:r w:rsidRPr="00F8101E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417" w:type="dxa"/>
            <w:vAlign w:val="bottom"/>
          </w:tcPr>
          <w:p w:rsidR="007A5468" w:rsidRPr="00F8101E" w:rsidRDefault="007A5468" w:rsidP="000E08F0">
            <w:pPr>
              <w:jc w:val="center"/>
              <w:rPr>
                <w:sz w:val="22"/>
                <w:szCs w:val="22"/>
              </w:rPr>
            </w:pPr>
            <w:r w:rsidRPr="00F8101E">
              <w:rPr>
                <w:sz w:val="22"/>
                <w:szCs w:val="22"/>
              </w:rPr>
              <w:t>9</w:t>
            </w:r>
            <w:r w:rsidR="000E08F0" w:rsidRPr="00F8101E">
              <w:rPr>
                <w:sz w:val="22"/>
                <w:szCs w:val="22"/>
              </w:rPr>
              <w:t>,6</w:t>
            </w:r>
          </w:p>
        </w:tc>
        <w:tc>
          <w:tcPr>
            <w:tcW w:w="992" w:type="dxa"/>
            <w:vAlign w:val="bottom"/>
          </w:tcPr>
          <w:p w:rsidR="007A5468" w:rsidRPr="00F8101E" w:rsidRDefault="007A5468" w:rsidP="001A487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8101E">
              <w:rPr>
                <w:rFonts w:eastAsia="Calibri"/>
                <w:sz w:val="22"/>
                <w:szCs w:val="22"/>
                <w:lang w:eastAsia="en-US"/>
              </w:rPr>
              <w:t>50,1</w:t>
            </w:r>
          </w:p>
        </w:tc>
      </w:tr>
      <w:tr w:rsidR="007A5468" w:rsidRPr="00F8101E" w:rsidTr="001A4873">
        <w:tc>
          <w:tcPr>
            <w:tcW w:w="4111" w:type="dxa"/>
          </w:tcPr>
          <w:p w:rsidR="007A5468" w:rsidRPr="00F8101E" w:rsidRDefault="007A5468" w:rsidP="000E08F0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8101E">
              <w:rPr>
                <w:rFonts w:eastAsia="Calibri"/>
                <w:b/>
                <w:sz w:val="22"/>
                <w:szCs w:val="22"/>
                <w:lang w:eastAsia="en-US"/>
              </w:rPr>
              <w:t xml:space="preserve">Штатная численность </w:t>
            </w:r>
            <w:r w:rsidR="000E08F0" w:rsidRPr="00F8101E">
              <w:rPr>
                <w:rFonts w:eastAsia="Calibri"/>
                <w:b/>
                <w:sz w:val="22"/>
                <w:szCs w:val="22"/>
                <w:lang w:eastAsia="en-US"/>
              </w:rPr>
              <w:t>у</w:t>
            </w:r>
            <w:r w:rsidRPr="00F8101E">
              <w:rPr>
                <w:rFonts w:eastAsia="Calibri"/>
                <w:b/>
                <w:sz w:val="22"/>
                <w:szCs w:val="22"/>
                <w:lang w:eastAsia="en-US"/>
              </w:rPr>
              <w:t>чреждения</w:t>
            </w:r>
          </w:p>
        </w:tc>
        <w:tc>
          <w:tcPr>
            <w:tcW w:w="1418" w:type="dxa"/>
            <w:vAlign w:val="bottom"/>
          </w:tcPr>
          <w:p w:rsidR="007A5468" w:rsidRPr="00F8101E" w:rsidRDefault="007A5468" w:rsidP="001A487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8101E">
              <w:rPr>
                <w:rFonts w:eastAsia="Calibri"/>
                <w:b/>
                <w:sz w:val="22"/>
                <w:szCs w:val="22"/>
                <w:lang w:eastAsia="en-US"/>
              </w:rPr>
              <w:t>56,5</w:t>
            </w:r>
          </w:p>
        </w:tc>
        <w:tc>
          <w:tcPr>
            <w:tcW w:w="1701" w:type="dxa"/>
            <w:vAlign w:val="bottom"/>
          </w:tcPr>
          <w:p w:rsidR="007A5468" w:rsidRPr="00F8101E" w:rsidRDefault="007A5468" w:rsidP="001A487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8101E">
              <w:rPr>
                <w:rFonts w:eastAsia="Calibr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1417" w:type="dxa"/>
            <w:vAlign w:val="bottom"/>
          </w:tcPr>
          <w:p w:rsidR="007A5468" w:rsidRPr="00F8101E" w:rsidRDefault="007A5468" w:rsidP="001A4873">
            <w:pPr>
              <w:jc w:val="center"/>
              <w:rPr>
                <w:b/>
                <w:sz w:val="22"/>
                <w:szCs w:val="22"/>
              </w:rPr>
            </w:pPr>
            <w:r w:rsidRPr="00F8101E">
              <w:rPr>
                <w:b/>
                <w:sz w:val="22"/>
                <w:szCs w:val="22"/>
              </w:rPr>
              <w:t>-0,5</w:t>
            </w:r>
          </w:p>
        </w:tc>
        <w:tc>
          <w:tcPr>
            <w:tcW w:w="992" w:type="dxa"/>
            <w:vAlign w:val="bottom"/>
          </w:tcPr>
          <w:p w:rsidR="007A5468" w:rsidRPr="00F8101E" w:rsidRDefault="007A5468" w:rsidP="001A487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8101E">
              <w:rPr>
                <w:rFonts w:eastAsia="Calibri"/>
                <w:b/>
                <w:sz w:val="22"/>
                <w:szCs w:val="22"/>
                <w:lang w:eastAsia="en-US"/>
              </w:rPr>
              <w:t>-0,9</w:t>
            </w:r>
          </w:p>
        </w:tc>
      </w:tr>
      <w:tr w:rsidR="007A5468" w:rsidRPr="00F8101E" w:rsidTr="001A4873">
        <w:tc>
          <w:tcPr>
            <w:tcW w:w="4111" w:type="dxa"/>
          </w:tcPr>
          <w:p w:rsidR="007A5468" w:rsidRPr="00F8101E" w:rsidRDefault="007A5468" w:rsidP="000E08F0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8101E">
              <w:rPr>
                <w:rFonts w:eastAsia="Calibri"/>
                <w:b/>
                <w:sz w:val="22"/>
                <w:szCs w:val="22"/>
                <w:lang w:eastAsia="en-US"/>
              </w:rPr>
              <w:t xml:space="preserve">Фактическая численность </w:t>
            </w:r>
            <w:r w:rsidR="000E08F0" w:rsidRPr="00F8101E">
              <w:rPr>
                <w:rFonts w:eastAsia="Calibri"/>
                <w:b/>
                <w:sz w:val="22"/>
                <w:szCs w:val="22"/>
                <w:lang w:eastAsia="en-US"/>
              </w:rPr>
              <w:t>у</w:t>
            </w:r>
            <w:r w:rsidRPr="00F8101E">
              <w:rPr>
                <w:rFonts w:eastAsia="Calibri"/>
                <w:b/>
                <w:sz w:val="22"/>
                <w:szCs w:val="22"/>
                <w:lang w:eastAsia="en-US"/>
              </w:rPr>
              <w:t>чреждения</w:t>
            </w:r>
          </w:p>
        </w:tc>
        <w:tc>
          <w:tcPr>
            <w:tcW w:w="1418" w:type="dxa"/>
            <w:vAlign w:val="bottom"/>
          </w:tcPr>
          <w:p w:rsidR="007A5468" w:rsidRPr="00F8101E" w:rsidRDefault="007A5468" w:rsidP="001A487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8101E">
              <w:rPr>
                <w:rFonts w:eastAsia="Calibri"/>
                <w:b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1701" w:type="dxa"/>
            <w:vAlign w:val="bottom"/>
          </w:tcPr>
          <w:p w:rsidR="007A5468" w:rsidRPr="00F8101E" w:rsidRDefault="007A5468" w:rsidP="001A487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8101E">
              <w:rPr>
                <w:rFonts w:eastAsia="Calibri"/>
                <w:b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417" w:type="dxa"/>
            <w:vAlign w:val="bottom"/>
          </w:tcPr>
          <w:p w:rsidR="007A5468" w:rsidRPr="00F8101E" w:rsidRDefault="007A5468" w:rsidP="001A4873">
            <w:pPr>
              <w:jc w:val="center"/>
              <w:rPr>
                <w:b/>
                <w:sz w:val="22"/>
                <w:szCs w:val="22"/>
              </w:rPr>
            </w:pPr>
            <w:r w:rsidRPr="00F8101E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992" w:type="dxa"/>
            <w:vAlign w:val="bottom"/>
          </w:tcPr>
          <w:p w:rsidR="007A5468" w:rsidRPr="00F8101E" w:rsidRDefault="007A5468" w:rsidP="001A487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8101E">
              <w:rPr>
                <w:rFonts w:eastAsia="Calibri"/>
                <w:b/>
                <w:sz w:val="22"/>
                <w:szCs w:val="22"/>
                <w:lang w:eastAsia="en-US"/>
              </w:rPr>
              <w:t>32,4</w:t>
            </w:r>
          </w:p>
        </w:tc>
      </w:tr>
    </w:tbl>
    <w:p w:rsidR="001A4873" w:rsidRPr="000E08F0" w:rsidRDefault="001A4873" w:rsidP="007A5468">
      <w:pPr>
        <w:ind w:firstLine="680"/>
        <w:jc w:val="both"/>
      </w:pPr>
    </w:p>
    <w:p w:rsidR="007A5468" w:rsidRPr="00B3500F" w:rsidRDefault="007A5468" w:rsidP="007A5468">
      <w:pPr>
        <w:ind w:firstLine="680"/>
        <w:jc w:val="both"/>
      </w:pPr>
      <w:r w:rsidRPr="00B3500F">
        <w:t xml:space="preserve">Как видно из таблицы, расходы на содержание </w:t>
      </w:r>
      <w:r w:rsidR="000E08F0">
        <w:t>у</w:t>
      </w:r>
      <w:r w:rsidRPr="00B3500F">
        <w:t>чреждения увеличились на 4</w:t>
      </w:r>
      <w:r w:rsidR="000E08F0">
        <w:t>,</w:t>
      </w:r>
      <w:r w:rsidRPr="00B3500F">
        <w:t xml:space="preserve">5 </w:t>
      </w:r>
      <w:r w:rsidR="000E08F0">
        <w:t>млн</w:t>
      </w:r>
      <w:r w:rsidRPr="00B3500F">
        <w:t>. руб., или на 18,1%, на что в основном повлиял рост расходов на оплату труда с начислениями на нее</w:t>
      </w:r>
      <w:r w:rsidR="00854EA7">
        <w:t xml:space="preserve"> (на 9,6 млн. руб., или на 50,1%)</w:t>
      </w:r>
      <w:r w:rsidRPr="00B3500F">
        <w:t>.</w:t>
      </w:r>
    </w:p>
    <w:p w:rsidR="007A5468" w:rsidRPr="00B3500F" w:rsidRDefault="007A5468" w:rsidP="007A5468">
      <w:pPr>
        <w:ind w:firstLine="680"/>
        <w:jc w:val="both"/>
      </w:pPr>
      <w:r w:rsidRPr="00B3500F">
        <w:t xml:space="preserve">Штатная численность </w:t>
      </w:r>
      <w:r w:rsidR="00854EA7">
        <w:t>у</w:t>
      </w:r>
      <w:r w:rsidRPr="00B3500F">
        <w:t>чреждения в 2017 году снижена с 56,5</w:t>
      </w:r>
      <w:r>
        <w:t xml:space="preserve"> ед.</w:t>
      </w:r>
      <w:r w:rsidRPr="00B3500F">
        <w:t xml:space="preserve"> до 56 единиц. </w:t>
      </w:r>
      <w:r w:rsidR="00854EA7">
        <w:t>При этом ф</w:t>
      </w:r>
      <w:r w:rsidRPr="00B3500F">
        <w:t>актическая численность выросла с 37 до 49 единиц</w:t>
      </w:r>
      <w:r w:rsidR="00854EA7">
        <w:t>, или на 32,4 процента.</w:t>
      </w:r>
    </w:p>
    <w:p w:rsidR="007A5468" w:rsidRPr="00B3500F" w:rsidRDefault="007A5468" w:rsidP="007A5468">
      <w:pPr>
        <w:ind w:firstLine="680"/>
        <w:jc w:val="both"/>
      </w:pPr>
      <w:r w:rsidRPr="00B3500F">
        <w:t xml:space="preserve">Значительный рост расходов на оплату труда связан с передачей полномочий по ведению учета и составлению отчетности органов исполнительной власти Волгоградской области. </w:t>
      </w:r>
      <w:r w:rsidR="00854EA7">
        <w:t xml:space="preserve">Так, если в 2016 году </w:t>
      </w:r>
      <w:r w:rsidRPr="00B3500F">
        <w:t xml:space="preserve">бюджетный учет велся </w:t>
      </w:r>
      <w:r w:rsidR="00854EA7">
        <w:t xml:space="preserve">учреждением </w:t>
      </w:r>
      <w:r w:rsidRPr="00B3500F">
        <w:t>в отношении 1</w:t>
      </w:r>
      <w:r w:rsidR="00854EA7">
        <w:t>0</w:t>
      </w:r>
      <w:r w:rsidRPr="00B3500F">
        <w:t xml:space="preserve"> органов исполнительной власти</w:t>
      </w:r>
      <w:r w:rsidR="00854EA7">
        <w:t>, то в 2017 году их количество увеличилось до 18</w:t>
      </w:r>
      <w:r w:rsidRPr="00B3500F">
        <w:t>.</w:t>
      </w:r>
      <w:r>
        <w:t xml:space="preserve"> </w:t>
      </w:r>
    </w:p>
    <w:p w:rsidR="00970E9F" w:rsidRDefault="00970E9F" w:rsidP="00047036">
      <w:pPr>
        <w:autoSpaceDE w:val="0"/>
        <w:autoSpaceDN w:val="0"/>
        <w:adjustRightInd w:val="0"/>
        <w:ind w:firstLine="709"/>
        <w:jc w:val="both"/>
      </w:pPr>
      <w:r>
        <w:t>В этой связи необходимо отметить, что вопросы к качеству обслуживания учреждением органов исполнительной власти в части</w:t>
      </w:r>
      <w:r w:rsidRPr="00B3500F">
        <w:t xml:space="preserve"> ведени</w:t>
      </w:r>
      <w:r>
        <w:t>я</w:t>
      </w:r>
      <w:r w:rsidRPr="00B3500F">
        <w:t xml:space="preserve"> </w:t>
      </w:r>
      <w:r>
        <w:t xml:space="preserve">бухгалтерского </w:t>
      </w:r>
      <w:r w:rsidRPr="00B3500F">
        <w:t>учета и составлени</w:t>
      </w:r>
      <w:r>
        <w:t>я</w:t>
      </w:r>
      <w:r w:rsidRPr="00B3500F">
        <w:t xml:space="preserve"> отчетности</w:t>
      </w:r>
      <w:r>
        <w:t xml:space="preserve"> остаются</w:t>
      </w:r>
      <w:r w:rsidR="002B7AE1">
        <w:t xml:space="preserve"> на повестке дня</w:t>
      </w:r>
      <w:r>
        <w:t xml:space="preserve">. Так, внешние проверки бюджетной отчетности </w:t>
      </w:r>
      <w:r w:rsidR="002B7AE1">
        <w:t>отдельных ГАБС показывают, что обслуживаемые ГКУ «Центр бюджетного учета» комитеты и инспекции выявляют значительное количество ошибок и недочетов</w:t>
      </w:r>
      <w:r>
        <w:t xml:space="preserve"> </w:t>
      </w:r>
      <w:r w:rsidR="002B7AE1">
        <w:t>при начислении заработной платы своим работникам, расчете командировочных расходов, больничных листов и т. д.</w:t>
      </w:r>
    </w:p>
    <w:p w:rsidR="00E84E34" w:rsidRPr="0016633F" w:rsidRDefault="002B7AE1" w:rsidP="00E84E34">
      <w:pPr>
        <w:autoSpaceDE w:val="0"/>
        <w:autoSpaceDN w:val="0"/>
        <w:adjustRightInd w:val="0"/>
        <w:ind w:firstLine="709"/>
        <w:jc w:val="both"/>
      </w:pPr>
      <w:r>
        <w:t xml:space="preserve">Например, при проверке </w:t>
      </w:r>
      <w:r w:rsidRPr="002B7AE1">
        <w:t>комитет</w:t>
      </w:r>
      <w:r>
        <w:t>а</w:t>
      </w:r>
      <w:r w:rsidRPr="002B7AE1">
        <w:t xml:space="preserve"> по делам территориальных образований, внутренней и информационной политики Волгоградской области</w:t>
      </w:r>
      <w:r>
        <w:t xml:space="preserve"> установлено, что </w:t>
      </w:r>
      <w:r w:rsidR="00E84E34" w:rsidRPr="00067BC6">
        <w:t xml:space="preserve">в план аудиторских проверок на 2017 год </w:t>
      </w:r>
      <w:r w:rsidR="00E84E34">
        <w:t xml:space="preserve">комитетом была включена, в том числе проверка </w:t>
      </w:r>
      <w:r w:rsidR="00E84E34" w:rsidRPr="00067BC6">
        <w:t>ГКУ «Ц</w:t>
      </w:r>
      <w:r w:rsidR="00E84E34">
        <w:t>ентр бюджетного учета</w:t>
      </w:r>
      <w:r w:rsidR="00E84E34" w:rsidRPr="00067BC6">
        <w:t>», подведомственного комитету финансов</w:t>
      </w:r>
      <w:r w:rsidR="00A37655">
        <w:t xml:space="preserve"> области</w:t>
      </w:r>
      <w:r w:rsidR="00E84E34">
        <w:t xml:space="preserve">. </w:t>
      </w:r>
    </w:p>
    <w:p w:rsidR="00693ABB" w:rsidRDefault="00E84E34" w:rsidP="00693ABB">
      <w:pPr>
        <w:autoSpaceDE w:val="0"/>
        <w:autoSpaceDN w:val="0"/>
        <w:adjustRightInd w:val="0"/>
        <w:ind w:firstLine="540"/>
        <w:jc w:val="both"/>
      </w:pPr>
      <w:r>
        <w:tab/>
      </w:r>
      <w:proofErr w:type="gramStart"/>
      <w:r w:rsidRPr="0016633F">
        <w:t xml:space="preserve">По результатам </w:t>
      </w:r>
      <w:r w:rsidR="00A37655">
        <w:t xml:space="preserve">этой </w:t>
      </w:r>
      <w:r w:rsidRPr="0016633F">
        <w:t xml:space="preserve">проверки установлены </w:t>
      </w:r>
      <w:r>
        <w:t>многочисленные</w:t>
      </w:r>
      <w:r w:rsidRPr="0016633F">
        <w:t xml:space="preserve"> нарушения</w:t>
      </w:r>
      <w:r w:rsidR="00A37655">
        <w:t>, в том числе</w:t>
      </w:r>
      <w:r w:rsidRPr="0016633F">
        <w:t xml:space="preserve"> </w:t>
      </w:r>
      <w:proofErr w:type="spellStart"/>
      <w:r w:rsidRPr="0016633F">
        <w:t>недоначисление</w:t>
      </w:r>
      <w:proofErr w:type="spellEnd"/>
      <w:r w:rsidRPr="0016633F">
        <w:t xml:space="preserve"> заработной платы и пособий на сумму 41,2 тыс. руб., излишне начисленная заработная плата – 28 тыс. руб., не перечислено сумм </w:t>
      </w:r>
      <w:r w:rsidR="00F91BA8">
        <w:t xml:space="preserve">работникам на банковские карты </w:t>
      </w:r>
      <w:r w:rsidRPr="0016633F">
        <w:t xml:space="preserve">по начисленной заработной плате – 1,5 тыс. руб., не включено в расчет среднедневного заработка по листам временной нетрудоспособности </w:t>
      </w:r>
      <w:r w:rsidR="00000B80">
        <w:t>-</w:t>
      </w:r>
      <w:r w:rsidRPr="0016633F">
        <w:t xml:space="preserve"> 47,4 тыс. руб., искажены суммы пособия по временной нетрудоспособности</w:t>
      </w:r>
      <w:proofErr w:type="gramEnd"/>
      <w:r w:rsidRPr="0016633F">
        <w:t>, расчет</w:t>
      </w:r>
      <w:r w:rsidR="0091219A">
        <w:t>а</w:t>
      </w:r>
      <w:r w:rsidRPr="0016633F">
        <w:t xml:space="preserve"> страховых взносов, выявлено 13 фактов неверного или неполного заполнения листов временной нетрудоспособности, выявлены суммы, не поданные </w:t>
      </w:r>
      <w:r w:rsidR="00000B80">
        <w:t>учреждением</w:t>
      </w:r>
      <w:r w:rsidRPr="0016633F">
        <w:t xml:space="preserve"> на возмещение из Ф</w:t>
      </w:r>
      <w:r w:rsidR="00000B80">
        <w:t>онда социального страхования</w:t>
      </w:r>
      <w:r w:rsidRPr="0016633F">
        <w:t xml:space="preserve">, – 535,6 тыс. рублей. </w:t>
      </w:r>
      <w:r w:rsidR="00693ABB">
        <w:t>К</w:t>
      </w:r>
      <w:r w:rsidR="00693ABB" w:rsidRPr="0016633F">
        <w:t xml:space="preserve">омитетом направлено </w:t>
      </w:r>
      <w:r w:rsidR="00693ABB">
        <w:t xml:space="preserve">в ГКУ «Центр бюджетного учета» </w:t>
      </w:r>
      <w:r w:rsidR="00693ABB" w:rsidRPr="0016633F">
        <w:t>письмо о</w:t>
      </w:r>
      <w:r w:rsidR="00693ABB">
        <w:t xml:space="preserve"> необходимости</w:t>
      </w:r>
      <w:r w:rsidR="00693ABB" w:rsidRPr="0016633F">
        <w:t xml:space="preserve"> устранени</w:t>
      </w:r>
      <w:r w:rsidR="00693ABB">
        <w:t xml:space="preserve">я выявленных в ходе проверки </w:t>
      </w:r>
      <w:r w:rsidR="00693ABB" w:rsidRPr="0016633F">
        <w:t xml:space="preserve">нарушений. </w:t>
      </w:r>
    </w:p>
    <w:p w:rsidR="00693ABB" w:rsidRPr="0016633F" w:rsidRDefault="00693ABB" w:rsidP="00693ABB">
      <w:pPr>
        <w:autoSpaceDE w:val="0"/>
        <w:autoSpaceDN w:val="0"/>
        <w:adjustRightInd w:val="0"/>
        <w:ind w:firstLine="709"/>
        <w:jc w:val="both"/>
      </w:pPr>
      <w:proofErr w:type="gramStart"/>
      <w:r>
        <w:t>Проверка учреждения, подведомственного другому главному распорядителю бюджетных средств, не может быть проведена в рамках осуществ</w:t>
      </w:r>
      <w:r w:rsidRPr="00067BC6">
        <w:t>ления внутреннего финансового контроля и внутреннего финансового аудита</w:t>
      </w:r>
      <w:r>
        <w:t xml:space="preserve">, порядок которого утвержден </w:t>
      </w:r>
      <w:r w:rsidRPr="00067BC6">
        <w:t>постановлени</w:t>
      </w:r>
      <w:r>
        <w:t>ем</w:t>
      </w:r>
      <w:r w:rsidRPr="00067BC6">
        <w:t xml:space="preserve"> Правительства Волгоградской области от 26</w:t>
      </w:r>
      <w:r>
        <w:t>.05.</w:t>
      </w:r>
      <w:r w:rsidRPr="00067BC6">
        <w:t>2014 №266-п</w:t>
      </w:r>
      <w:r>
        <w:t>.</w:t>
      </w:r>
      <w:proofErr w:type="gramEnd"/>
      <w:r>
        <w:t xml:space="preserve"> В связи с этим КСП</w:t>
      </w:r>
      <w:r w:rsidRPr="00067BC6">
        <w:t xml:space="preserve"> </w:t>
      </w:r>
      <w:r>
        <w:t xml:space="preserve">рекомендовала комитету </w:t>
      </w:r>
      <w:r w:rsidRPr="002B7AE1">
        <w:t>территориальных образований, внутренней и информационной политики Волгоградской области</w:t>
      </w:r>
      <w:r>
        <w:t xml:space="preserve"> предусмотреть возможность </w:t>
      </w:r>
      <w:proofErr w:type="gramStart"/>
      <w:r w:rsidRPr="00067BC6">
        <w:t>контроля за</w:t>
      </w:r>
      <w:proofErr w:type="gramEnd"/>
      <w:r w:rsidRPr="00067BC6">
        <w:t xml:space="preserve"> достоверностью бюджетной отчетности и соответствия порядка ведения </w:t>
      </w:r>
      <w:r w:rsidRPr="0016633F">
        <w:t xml:space="preserve">бюджетного учета </w:t>
      </w:r>
      <w:r>
        <w:t xml:space="preserve">действующим </w:t>
      </w:r>
      <w:r w:rsidRPr="0016633F">
        <w:t>стандартам</w:t>
      </w:r>
      <w:r w:rsidRPr="00067BC6">
        <w:t xml:space="preserve"> в соглашении, заключенн</w:t>
      </w:r>
      <w:r>
        <w:t>ы</w:t>
      </w:r>
      <w:r w:rsidRPr="00067BC6">
        <w:t xml:space="preserve">м с  </w:t>
      </w:r>
      <w:r>
        <w:t>учреждением</w:t>
      </w:r>
      <w:r w:rsidRPr="0016633F">
        <w:t>.</w:t>
      </w:r>
    </w:p>
    <w:p w:rsidR="00047036" w:rsidRPr="00E133EF" w:rsidRDefault="00047036" w:rsidP="00047036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t xml:space="preserve">Законом </w:t>
      </w:r>
      <w:r w:rsidRPr="009D4B4D">
        <w:t>об областном бюджете на 2017 год</w:t>
      </w:r>
      <w:r>
        <w:t xml:space="preserve"> </w:t>
      </w:r>
      <w:r w:rsidRPr="00047036">
        <w:rPr>
          <w:b/>
          <w:i/>
        </w:rPr>
        <w:t>ко</w:t>
      </w:r>
      <w:r>
        <w:rPr>
          <w:b/>
          <w:i/>
        </w:rPr>
        <w:t>митету по делам территориальных образований, внутренней и информационной политики Волгоградской области</w:t>
      </w:r>
      <w:r w:rsidR="00044C9C">
        <w:rPr>
          <w:b/>
          <w:i/>
        </w:rPr>
        <w:t xml:space="preserve"> </w:t>
      </w:r>
      <w:r w:rsidR="00044C9C">
        <w:t>(далее Комитет)</w:t>
      </w:r>
      <w:r>
        <w:rPr>
          <w:b/>
          <w:i/>
        </w:rPr>
        <w:t xml:space="preserve"> </w:t>
      </w:r>
      <w:r w:rsidRPr="009D4B4D">
        <w:t xml:space="preserve"> предусм</w:t>
      </w:r>
      <w:r>
        <w:t>атривались</w:t>
      </w:r>
      <w:r w:rsidRPr="009D4B4D">
        <w:t xml:space="preserve"> </w:t>
      </w:r>
      <w:r>
        <w:t>ассигнования</w:t>
      </w:r>
      <w:r w:rsidRPr="009D4B4D">
        <w:t xml:space="preserve"> в сумме 65</w:t>
      </w:r>
      <w:r>
        <w:t>,</w:t>
      </w:r>
      <w:r w:rsidRPr="009D4B4D">
        <w:t xml:space="preserve">7 </w:t>
      </w:r>
      <w:r>
        <w:t>млн</w:t>
      </w:r>
      <w:r w:rsidRPr="009D4B4D">
        <w:t xml:space="preserve">. рублей. Согласно отчету об исполнении бюджета (ф. 0305127) бюджетные назначения по уточненной бюджетной росписи </w:t>
      </w:r>
      <w:r>
        <w:t>к</w:t>
      </w:r>
      <w:r w:rsidRPr="009D4B4D">
        <w:t xml:space="preserve">омитета </w:t>
      </w:r>
      <w:r>
        <w:t>составили</w:t>
      </w:r>
      <w:r w:rsidRPr="009D4B4D">
        <w:t xml:space="preserve"> 266</w:t>
      </w:r>
      <w:r>
        <w:t>,</w:t>
      </w:r>
      <w:r w:rsidRPr="009D4B4D">
        <w:t xml:space="preserve">9 </w:t>
      </w:r>
      <w:r>
        <w:t>млн</w:t>
      </w:r>
      <w:r w:rsidRPr="009D4B4D">
        <w:t>. руб., что на 201</w:t>
      </w:r>
      <w:r>
        <w:t>,2</w:t>
      </w:r>
      <w:r w:rsidRPr="009D4B4D">
        <w:t xml:space="preserve"> </w:t>
      </w:r>
      <w:r>
        <w:t>млн</w:t>
      </w:r>
      <w:r w:rsidRPr="009D4B4D">
        <w:t xml:space="preserve">. </w:t>
      </w:r>
      <w:r w:rsidRPr="0016633F">
        <w:t>руб., или в 4,1 раза больше</w:t>
      </w:r>
      <w:r>
        <w:t xml:space="preserve"> ассигнований, утвержденных в бюджете</w:t>
      </w:r>
      <w:r w:rsidRPr="0016633F">
        <w:t xml:space="preserve">. </w:t>
      </w:r>
      <w:proofErr w:type="gramStart"/>
      <w:r w:rsidRPr="0016633F">
        <w:t xml:space="preserve">Изменения вносились в соответствии с </w:t>
      </w:r>
      <w:r>
        <w:t xml:space="preserve">различными основаниями, однако основным послужил </w:t>
      </w:r>
      <w:r w:rsidRPr="0016633F">
        <w:t>абз</w:t>
      </w:r>
      <w:r>
        <w:t xml:space="preserve">ац </w:t>
      </w:r>
      <w:r w:rsidRPr="0016633F">
        <w:t>3 п</w:t>
      </w:r>
      <w:r>
        <w:t xml:space="preserve">ункта </w:t>
      </w:r>
      <w:r w:rsidRPr="0016633F">
        <w:t>3 ст</w:t>
      </w:r>
      <w:r>
        <w:t>атьи</w:t>
      </w:r>
      <w:r w:rsidRPr="0016633F">
        <w:t xml:space="preserve"> 217 БК РФ, </w:t>
      </w:r>
      <w:r w:rsidR="00044C9C">
        <w:lastRenderedPageBreak/>
        <w:t xml:space="preserve">так как </w:t>
      </w:r>
      <w:r w:rsidRPr="0016633F">
        <w:t>постановления Губернатора Волгоградской области от 03.12.2016 №893 «О мерах по реализац</w:t>
      </w:r>
      <w:r>
        <w:t>ии Закона Волгоградской области от 24.11.2016 №111-ОД «О внесении изменений в Закон Волгоградской области от 15.03.2012 №22-ОД «</w:t>
      </w:r>
      <w:r>
        <w:rPr>
          <w:rFonts w:eastAsia="Calibri"/>
          <w:lang w:eastAsia="en-US"/>
        </w:rPr>
        <w:t>О системе органов исполнительной власти Волгоградской области»</w:t>
      </w:r>
      <w:r w:rsidR="006D6F2F">
        <w:rPr>
          <w:rFonts w:eastAsia="Calibri"/>
          <w:lang w:eastAsia="en-US"/>
        </w:rPr>
        <w:t xml:space="preserve"> и …</w:t>
      </w:r>
      <w:r w:rsidR="00044C9C">
        <w:rPr>
          <w:rFonts w:eastAsia="Calibri"/>
          <w:lang w:eastAsia="en-US"/>
        </w:rPr>
        <w:t>»</w:t>
      </w:r>
      <w:r>
        <w:rPr>
          <w:rFonts w:eastAsia="Calibri"/>
          <w:lang w:eastAsia="en-US"/>
        </w:rPr>
        <w:t xml:space="preserve"> </w:t>
      </w:r>
      <w:r w:rsidR="00044C9C">
        <w:rPr>
          <w:rFonts w:eastAsia="Calibri"/>
          <w:lang w:eastAsia="en-US"/>
        </w:rPr>
        <w:t xml:space="preserve">в 2017 году </w:t>
      </w:r>
      <w:r>
        <w:rPr>
          <w:rFonts w:eastAsia="Calibri"/>
          <w:lang w:eastAsia="en-US"/>
        </w:rPr>
        <w:t>Комитет</w:t>
      </w:r>
      <w:r w:rsidR="00044C9C">
        <w:rPr>
          <w:rFonts w:eastAsia="Calibri"/>
          <w:lang w:eastAsia="en-US"/>
        </w:rPr>
        <w:t>у были</w:t>
      </w:r>
      <w:proofErr w:type="gramEnd"/>
      <w:r w:rsidR="00044C9C">
        <w:rPr>
          <w:rFonts w:eastAsia="Calibri"/>
          <w:lang w:eastAsia="en-US"/>
        </w:rPr>
        <w:t xml:space="preserve"> переданы функции комитета</w:t>
      </w:r>
      <w:r>
        <w:rPr>
          <w:rFonts w:eastAsia="Calibri"/>
          <w:lang w:eastAsia="en-US"/>
        </w:rPr>
        <w:t xml:space="preserve"> информационной политики. </w:t>
      </w:r>
      <w:r w:rsidR="00044C9C">
        <w:rPr>
          <w:rFonts w:eastAsia="Calibri"/>
          <w:lang w:eastAsia="en-US"/>
        </w:rPr>
        <w:t xml:space="preserve">По этому основанию </w:t>
      </w:r>
      <w:r>
        <w:rPr>
          <w:rFonts w:eastAsia="Calibri"/>
          <w:lang w:eastAsia="en-US"/>
        </w:rPr>
        <w:t xml:space="preserve">Комитету увеличены ассигнования </w:t>
      </w:r>
      <w:r w:rsidR="00044C9C">
        <w:rPr>
          <w:rFonts w:eastAsia="Calibri"/>
          <w:lang w:eastAsia="en-US"/>
        </w:rPr>
        <w:t xml:space="preserve">на 2017 год </w:t>
      </w:r>
      <w:r>
        <w:rPr>
          <w:rFonts w:eastAsia="Calibri"/>
          <w:lang w:eastAsia="en-US"/>
        </w:rPr>
        <w:t>на общую сумму 197</w:t>
      </w:r>
      <w:r w:rsidR="00044C9C">
        <w:rPr>
          <w:rFonts w:eastAsia="Calibri"/>
          <w:lang w:eastAsia="en-US"/>
        </w:rPr>
        <w:t>,</w:t>
      </w:r>
      <w:r>
        <w:rPr>
          <w:rFonts w:eastAsia="Calibri"/>
          <w:lang w:eastAsia="en-US"/>
        </w:rPr>
        <w:t>8</w:t>
      </w:r>
      <w:r w:rsidRPr="00FD6EE9">
        <w:rPr>
          <w:rFonts w:eastAsia="Calibri"/>
          <w:lang w:eastAsia="en-US"/>
        </w:rPr>
        <w:t xml:space="preserve"> </w:t>
      </w:r>
      <w:r w:rsidR="00044C9C">
        <w:rPr>
          <w:rFonts w:eastAsia="Calibri"/>
          <w:lang w:eastAsia="en-US"/>
        </w:rPr>
        <w:t>млн</w:t>
      </w:r>
      <w:r w:rsidRPr="00FD6EE9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 xml:space="preserve"> </w:t>
      </w:r>
      <w:r w:rsidRPr="00FD6EE9">
        <w:rPr>
          <w:rFonts w:eastAsia="Calibri"/>
          <w:lang w:eastAsia="en-US"/>
        </w:rPr>
        <w:t>руб</w:t>
      </w:r>
      <w:r>
        <w:rPr>
          <w:rFonts w:eastAsia="Calibri"/>
          <w:lang w:eastAsia="en-US"/>
        </w:rPr>
        <w:t>лей.</w:t>
      </w:r>
    </w:p>
    <w:p w:rsidR="00044C9C" w:rsidRDefault="00044C9C" w:rsidP="001073A1">
      <w:pPr>
        <w:autoSpaceDE w:val="0"/>
        <w:autoSpaceDN w:val="0"/>
        <w:adjustRightInd w:val="0"/>
        <w:ind w:firstLine="709"/>
        <w:jc w:val="both"/>
      </w:pPr>
      <w:r>
        <w:t>По разделу 0100 «Общегосударственные вопросы» расходы Комитета исполнены на 140,2 млн. руб., что в 2,5 раза превысило ассигнования, утвержденные в бюджете.</w:t>
      </w:r>
    </w:p>
    <w:p w:rsidR="001073A1" w:rsidRPr="0016633F" w:rsidRDefault="00044C9C" w:rsidP="001073A1">
      <w:pPr>
        <w:autoSpaceDE w:val="0"/>
        <w:autoSpaceDN w:val="0"/>
        <w:adjustRightInd w:val="0"/>
        <w:ind w:firstLine="709"/>
        <w:jc w:val="both"/>
        <w:rPr>
          <w:snapToGrid w:val="0"/>
        </w:rPr>
      </w:pPr>
      <w:r>
        <w:t xml:space="preserve">Как показала проверка, </w:t>
      </w:r>
      <w:r w:rsidR="001073A1" w:rsidRPr="00067BC6">
        <w:t>на 01.01.2018 года просроченная дебиторская задолженность Комитета составила 81</w:t>
      </w:r>
      <w:r>
        <w:t>,</w:t>
      </w:r>
      <w:r w:rsidR="001073A1" w:rsidRPr="00067BC6">
        <w:t xml:space="preserve">1 </w:t>
      </w:r>
      <w:r>
        <w:t>млн</w:t>
      </w:r>
      <w:r w:rsidR="001073A1" w:rsidRPr="00067BC6">
        <w:t xml:space="preserve">. руб., из которой основную долю </w:t>
      </w:r>
      <w:r w:rsidR="00253020">
        <w:t>занимает</w:t>
      </w:r>
      <w:r w:rsidR="001073A1" w:rsidRPr="00067BC6">
        <w:t xml:space="preserve"> задолженность по субсидиям </w:t>
      </w:r>
      <w:r>
        <w:t>организациям территориального общественного самоуправления (далее ТОС) –</w:t>
      </w:r>
      <w:r w:rsidR="001073A1" w:rsidRPr="00067BC6">
        <w:t xml:space="preserve"> 70</w:t>
      </w:r>
      <w:r>
        <w:t>,1</w:t>
      </w:r>
      <w:r w:rsidR="001073A1" w:rsidRPr="00067BC6">
        <w:t xml:space="preserve"> </w:t>
      </w:r>
      <w:r>
        <w:t>млн</w:t>
      </w:r>
      <w:r w:rsidR="001073A1" w:rsidRPr="00067BC6">
        <w:t>. руб., или 86,4%</w:t>
      </w:r>
      <w:r>
        <w:t xml:space="preserve"> от общей суммы</w:t>
      </w:r>
      <w:r w:rsidR="001073A1" w:rsidRPr="00067BC6">
        <w:t xml:space="preserve">, перечисленным </w:t>
      </w:r>
      <w:r w:rsidR="00253020">
        <w:t xml:space="preserve">им </w:t>
      </w:r>
      <w:r>
        <w:t xml:space="preserve">еще </w:t>
      </w:r>
      <w:r w:rsidR="001073A1" w:rsidRPr="00067BC6">
        <w:t xml:space="preserve">в 2014 году. </w:t>
      </w:r>
      <w:r w:rsidR="001073A1" w:rsidRPr="0016633F">
        <w:rPr>
          <w:snapToGrid w:val="0"/>
        </w:rPr>
        <w:t xml:space="preserve">Указанное стало возможным в результате включения в Соглашения с </w:t>
      </w:r>
      <w:proofErr w:type="spellStart"/>
      <w:r w:rsidR="001073A1" w:rsidRPr="0016633F">
        <w:rPr>
          <w:snapToGrid w:val="0"/>
        </w:rPr>
        <w:t>ТОСами</w:t>
      </w:r>
      <w:proofErr w:type="spellEnd"/>
      <w:r w:rsidR="001073A1" w:rsidRPr="0016633F">
        <w:rPr>
          <w:snapToGrid w:val="0"/>
        </w:rPr>
        <w:t xml:space="preserve"> возможности устранения недостатков, выявленных при приемке отчетов, </w:t>
      </w:r>
      <w:r w:rsidR="00496345" w:rsidRPr="0016633F">
        <w:rPr>
          <w:snapToGrid w:val="0"/>
        </w:rPr>
        <w:t xml:space="preserve">без ограничения сроками </w:t>
      </w:r>
      <w:r w:rsidR="00496345">
        <w:rPr>
          <w:snapToGrid w:val="0"/>
        </w:rPr>
        <w:t>на доработку</w:t>
      </w:r>
      <w:r w:rsidR="00253020">
        <w:rPr>
          <w:snapToGrid w:val="0"/>
        </w:rPr>
        <w:t xml:space="preserve"> отчетов</w:t>
      </w:r>
      <w:r w:rsidR="00496345">
        <w:rPr>
          <w:snapToGrid w:val="0"/>
        </w:rPr>
        <w:t xml:space="preserve">, </w:t>
      </w:r>
      <w:r w:rsidR="001073A1" w:rsidRPr="0016633F">
        <w:rPr>
          <w:snapToGrid w:val="0"/>
        </w:rPr>
        <w:t xml:space="preserve">а также </w:t>
      </w:r>
      <w:r w:rsidR="00496345">
        <w:rPr>
          <w:snapToGrid w:val="0"/>
        </w:rPr>
        <w:t xml:space="preserve">из-за </w:t>
      </w:r>
      <w:r w:rsidR="001073A1" w:rsidRPr="0016633F">
        <w:rPr>
          <w:snapToGrid w:val="0"/>
        </w:rPr>
        <w:t>ненадлежащего исполнения Комитетом полномочий, установленных ст</w:t>
      </w:r>
      <w:r w:rsidR="00496345">
        <w:rPr>
          <w:snapToGrid w:val="0"/>
        </w:rPr>
        <w:t>атьей</w:t>
      </w:r>
      <w:r w:rsidR="001073A1" w:rsidRPr="0016633F">
        <w:rPr>
          <w:snapToGrid w:val="0"/>
        </w:rPr>
        <w:t xml:space="preserve"> 162 БК РФ. </w:t>
      </w:r>
    </w:p>
    <w:p w:rsidR="001073A1" w:rsidRPr="002B5ABC" w:rsidRDefault="001073A1" w:rsidP="001073A1">
      <w:pPr>
        <w:autoSpaceDE w:val="0"/>
        <w:autoSpaceDN w:val="0"/>
        <w:adjustRightInd w:val="0"/>
        <w:ind w:firstLine="709"/>
        <w:jc w:val="both"/>
        <w:rPr>
          <w:snapToGrid w:val="0"/>
        </w:rPr>
      </w:pPr>
      <w:proofErr w:type="gramStart"/>
      <w:r w:rsidRPr="0016633F">
        <w:rPr>
          <w:snapToGrid w:val="0"/>
        </w:rPr>
        <w:t>Бездействие Комитета, выразившееся в направлении отчетов ТОС на доработку, и в непринятии мер, предусмотренных соглашениями по взысканию задолженности и неустойки, привело к образованию на 16.03.2018 задолженности в сумме 8</w:t>
      </w:r>
      <w:r w:rsidR="00253020">
        <w:rPr>
          <w:snapToGrid w:val="0"/>
        </w:rPr>
        <w:t>,1</w:t>
      </w:r>
      <w:r w:rsidRPr="0016633F">
        <w:rPr>
          <w:snapToGrid w:val="0"/>
        </w:rPr>
        <w:t xml:space="preserve"> </w:t>
      </w:r>
      <w:r w:rsidR="0091219A">
        <w:rPr>
          <w:snapToGrid w:val="0"/>
        </w:rPr>
        <w:t>млн</w:t>
      </w:r>
      <w:r w:rsidRPr="0016633F">
        <w:rPr>
          <w:snapToGrid w:val="0"/>
        </w:rPr>
        <w:t>. руб., которая в соответствии со ст</w:t>
      </w:r>
      <w:r w:rsidR="00253020">
        <w:rPr>
          <w:snapToGrid w:val="0"/>
        </w:rPr>
        <w:t>атьей</w:t>
      </w:r>
      <w:r w:rsidRPr="0016633F">
        <w:rPr>
          <w:snapToGrid w:val="0"/>
        </w:rPr>
        <w:t xml:space="preserve"> 419 Гражданского кодекса РФ может быть признана</w:t>
      </w:r>
      <w:r w:rsidRPr="002B5ABC">
        <w:rPr>
          <w:snapToGrid w:val="0"/>
        </w:rPr>
        <w:t xml:space="preserve"> нереальной к взысканию в связи с ликвидацией </w:t>
      </w:r>
      <w:proofErr w:type="spellStart"/>
      <w:r w:rsidRPr="002B5ABC">
        <w:rPr>
          <w:snapToGrid w:val="0"/>
        </w:rPr>
        <w:t>ТОСов</w:t>
      </w:r>
      <w:proofErr w:type="spellEnd"/>
      <w:r w:rsidRPr="002B5ABC">
        <w:rPr>
          <w:snapToGrid w:val="0"/>
        </w:rPr>
        <w:t xml:space="preserve"> как юридических лиц.</w:t>
      </w:r>
      <w:proofErr w:type="gramEnd"/>
    </w:p>
    <w:p w:rsidR="001073A1" w:rsidRPr="00067BC6" w:rsidRDefault="001073A1" w:rsidP="001073A1">
      <w:pPr>
        <w:tabs>
          <w:tab w:val="left" w:pos="709"/>
        </w:tabs>
        <w:autoSpaceDE w:val="0"/>
        <w:autoSpaceDN w:val="0"/>
        <w:adjustRightInd w:val="0"/>
        <w:jc w:val="both"/>
        <w:outlineLvl w:val="2"/>
        <w:rPr>
          <w:snapToGrid w:val="0"/>
        </w:rPr>
      </w:pPr>
      <w:r>
        <w:rPr>
          <w:snapToGrid w:val="0"/>
        </w:rPr>
        <w:tab/>
      </w:r>
      <w:r w:rsidRPr="002B5ABC">
        <w:rPr>
          <w:snapToGrid w:val="0"/>
        </w:rPr>
        <w:t>Кроме того, на 16.03.2018</w:t>
      </w:r>
      <w:r w:rsidR="0091219A">
        <w:rPr>
          <w:snapToGrid w:val="0"/>
        </w:rPr>
        <w:t xml:space="preserve"> года</w:t>
      </w:r>
      <w:r w:rsidRPr="002B5ABC">
        <w:rPr>
          <w:snapToGrid w:val="0"/>
        </w:rPr>
        <w:t xml:space="preserve"> 164 </w:t>
      </w:r>
      <w:proofErr w:type="gramStart"/>
      <w:r w:rsidRPr="002B5ABC">
        <w:rPr>
          <w:snapToGrid w:val="0"/>
        </w:rPr>
        <w:t>финансовых</w:t>
      </w:r>
      <w:proofErr w:type="gramEnd"/>
      <w:r w:rsidRPr="002B5ABC">
        <w:rPr>
          <w:snapToGrid w:val="0"/>
        </w:rPr>
        <w:t xml:space="preserve"> отчета на общую сумму 46</w:t>
      </w:r>
      <w:r w:rsidR="00611AFA">
        <w:rPr>
          <w:snapToGrid w:val="0"/>
        </w:rPr>
        <w:t>,2</w:t>
      </w:r>
      <w:r w:rsidRPr="002B5ABC">
        <w:rPr>
          <w:snapToGrid w:val="0"/>
        </w:rPr>
        <w:t xml:space="preserve"> </w:t>
      </w:r>
      <w:r w:rsidR="00253020">
        <w:rPr>
          <w:snapToGrid w:val="0"/>
        </w:rPr>
        <w:t>млн</w:t>
      </w:r>
      <w:r w:rsidRPr="002B5ABC">
        <w:rPr>
          <w:snapToGrid w:val="0"/>
        </w:rPr>
        <w:t>.</w:t>
      </w:r>
      <w:r>
        <w:rPr>
          <w:snapToGrid w:val="0"/>
        </w:rPr>
        <w:t xml:space="preserve"> </w:t>
      </w:r>
      <w:r w:rsidRPr="002B5ABC">
        <w:rPr>
          <w:snapToGrid w:val="0"/>
        </w:rPr>
        <w:t xml:space="preserve">руб. в Комитете </w:t>
      </w:r>
      <w:r w:rsidRPr="00067BC6">
        <w:rPr>
          <w:snapToGrid w:val="0"/>
        </w:rPr>
        <w:t xml:space="preserve">отсутствуют. </w:t>
      </w:r>
      <w:proofErr w:type="gramStart"/>
      <w:r w:rsidRPr="00067BC6">
        <w:rPr>
          <w:snapToGrid w:val="0"/>
        </w:rPr>
        <w:t xml:space="preserve">Учитывая, что срок </w:t>
      </w:r>
      <w:r w:rsidRPr="0016633F">
        <w:rPr>
          <w:snapToGrid w:val="0"/>
        </w:rPr>
        <w:t>исковой давности по взысканию данной задолженности истекает в период с 25.07.2018 по 15.08.2018</w:t>
      </w:r>
      <w:r w:rsidR="00253020">
        <w:rPr>
          <w:snapToGrid w:val="0"/>
        </w:rPr>
        <w:t>,</w:t>
      </w:r>
      <w:r w:rsidRPr="0016633F">
        <w:rPr>
          <w:snapToGrid w:val="0"/>
        </w:rPr>
        <w:t xml:space="preserve"> непринятие мер по ее взысканию может привести к признанию ее нереальной к взысканию в соответствии со ст</w:t>
      </w:r>
      <w:r w:rsidR="00253020">
        <w:rPr>
          <w:snapToGrid w:val="0"/>
        </w:rPr>
        <w:t>атьей</w:t>
      </w:r>
      <w:r w:rsidRPr="0016633F">
        <w:rPr>
          <w:snapToGrid w:val="0"/>
        </w:rPr>
        <w:t xml:space="preserve"> 200 Г</w:t>
      </w:r>
      <w:r w:rsidR="00253020">
        <w:rPr>
          <w:snapToGrid w:val="0"/>
        </w:rPr>
        <w:t>К</w:t>
      </w:r>
      <w:r w:rsidRPr="0016633F">
        <w:rPr>
          <w:snapToGrid w:val="0"/>
        </w:rPr>
        <w:t xml:space="preserve"> РФ, что подтверждает вывод КСП о не</w:t>
      </w:r>
      <w:r w:rsidR="00253020">
        <w:rPr>
          <w:snapToGrid w:val="0"/>
        </w:rPr>
        <w:t>исполнении Комитетом полномочий</w:t>
      </w:r>
      <w:r w:rsidRPr="0016633F">
        <w:rPr>
          <w:snapToGrid w:val="0"/>
        </w:rPr>
        <w:t>, установленных ст</w:t>
      </w:r>
      <w:r w:rsidR="00253020">
        <w:rPr>
          <w:snapToGrid w:val="0"/>
        </w:rPr>
        <w:t>атьей</w:t>
      </w:r>
      <w:r w:rsidRPr="0016633F">
        <w:rPr>
          <w:snapToGrid w:val="0"/>
        </w:rPr>
        <w:t xml:space="preserve"> 162 БК РФ в части обеспечения целевого и эффективного использования предусмотренных </w:t>
      </w:r>
      <w:r w:rsidR="006D6F2F">
        <w:rPr>
          <w:snapToGrid w:val="0"/>
        </w:rPr>
        <w:t xml:space="preserve">ему </w:t>
      </w:r>
      <w:r w:rsidRPr="0016633F">
        <w:rPr>
          <w:snapToGrid w:val="0"/>
        </w:rPr>
        <w:t>бюджетных ассигнований</w:t>
      </w:r>
      <w:r w:rsidRPr="00067BC6">
        <w:rPr>
          <w:snapToGrid w:val="0"/>
        </w:rPr>
        <w:t>.</w:t>
      </w:r>
      <w:proofErr w:type="gramEnd"/>
    </w:p>
    <w:p w:rsidR="00295D00" w:rsidRDefault="00295D00" w:rsidP="0001379B">
      <w:pPr>
        <w:ind w:firstLine="708"/>
        <w:jc w:val="both"/>
        <w:outlineLvl w:val="0"/>
        <w:rPr>
          <w:b/>
        </w:rPr>
      </w:pPr>
    </w:p>
    <w:p w:rsidR="00E61EAB" w:rsidRDefault="00E87F15" w:rsidP="001061B8">
      <w:pPr>
        <w:ind w:firstLine="708"/>
        <w:jc w:val="center"/>
        <w:outlineLvl w:val="0"/>
        <w:rPr>
          <w:b/>
          <w:szCs w:val="24"/>
        </w:rPr>
      </w:pPr>
      <w:r w:rsidRPr="002B453E">
        <w:rPr>
          <w:b/>
        </w:rPr>
        <w:t>4.2. Расходы по разделу 0300 «</w:t>
      </w:r>
      <w:r w:rsidRPr="002B453E">
        <w:rPr>
          <w:b/>
          <w:szCs w:val="24"/>
        </w:rPr>
        <w:t>Национальная безопасность</w:t>
      </w:r>
    </w:p>
    <w:p w:rsidR="00E87F15" w:rsidRDefault="00E61EAB" w:rsidP="00E61EAB">
      <w:pPr>
        <w:ind w:firstLine="708"/>
        <w:jc w:val="center"/>
        <w:outlineLvl w:val="0"/>
        <w:rPr>
          <w:b/>
          <w:szCs w:val="24"/>
        </w:rPr>
      </w:pPr>
      <w:r>
        <w:rPr>
          <w:b/>
          <w:szCs w:val="24"/>
        </w:rPr>
        <w:t xml:space="preserve">и </w:t>
      </w:r>
      <w:r w:rsidR="00E87F15" w:rsidRPr="002B453E">
        <w:rPr>
          <w:b/>
          <w:szCs w:val="24"/>
        </w:rPr>
        <w:t>правоохранительная деятельность».</w:t>
      </w:r>
    </w:p>
    <w:p w:rsidR="009B3CD1" w:rsidRDefault="009B3CD1" w:rsidP="009B3CD1">
      <w:pPr>
        <w:tabs>
          <w:tab w:val="left" w:pos="4102"/>
        </w:tabs>
        <w:ind w:firstLine="708"/>
        <w:jc w:val="both"/>
      </w:pPr>
      <w:r>
        <w:tab/>
      </w:r>
    </w:p>
    <w:p w:rsidR="006A44FD" w:rsidRDefault="009A37B1" w:rsidP="00CB7577">
      <w:pPr>
        <w:ind w:firstLine="708"/>
        <w:jc w:val="both"/>
      </w:pPr>
      <w:r>
        <w:t>У</w:t>
      </w:r>
      <w:r w:rsidR="00E87F15">
        <w:t>точненные бюджетные ассигнования на 20</w:t>
      </w:r>
      <w:r w:rsidR="001E6390">
        <w:t>1</w:t>
      </w:r>
      <w:r w:rsidR="00F713CC">
        <w:t>7</w:t>
      </w:r>
      <w:r w:rsidR="00E87F15">
        <w:t xml:space="preserve"> год по разделу </w:t>
      </w:r>
      <w:r w:rsidR="00AE5948">
        <w:t xml:space="preserve">«Национальная безопасность и правоохранительная деятельность» </w:t>
      </w:r>
      <w:r w:rsidR="00327ED6">
        <w:rPr>
          <w:szCs w:val="24"/>
        </w:rPr>
        <w:t xml:space="preserve">составили </w:t>
      </w:r>
      <w:r w:rsidR="00805FC9">
        <w:rPr>
          <w:szCs w:val="24"/>
        </w:rPr>
        <w:t>717,3</w:t>
      </w:r>
      <w:r w:rsidR="00F44850">
        <w:rPr>
          <w:szCs w:val="24"/>
        </w:rPr>
        <w:t>,4</w:t>
      </w:r>
      <w:r w:rsidR="00325A5E">
        <w:t xml:space="preserve"> </w:t>
      </w:r>
      <w:r w:rsidR="00E87F15">
        <w:t xml:space="preserve">млн. рублей. По данным отчета </w:t>
      </w:r>
      <w:r w:rsidR="00013C47">
        <w:t xml:space="preserve">Администрации Волгоградской </w:t>
      </w:r>
      <w:r w:rsidR="00E87F15">
        <w:t>области фактически расходы данного раздела исполнены на</w:t>
      </w:r>
      <w:r w:rsidR="00A74456">
        <w:t xml:space="preserve"> </w:t>
      </w:r>
      <w:r w:rsidR="00805FC9">
        <w:t>516,4</w:t>
      </w:r>
      <w:r w:rsidR="00325A5E">
        <w:t xml:space="preserve"> </w:t>
      </w:r>
      <w:r w:rsidR="00E87F15">
        <w:t xml:space="preserve">млн. руб., или на </w:t>
      </w:r>
      <w:r w:rsidR="00F44850">
        <w:t>72</w:t>
      </w:r>
      <w:r w:rsidR="00E87F15">
        <w:t xml:space="preserve">% от плана, в том числе по главным распорядителям </w:t>
      </w:r>
      <w:r w:rsidR="00013C47">
        <w:t xml:space="preserve">бюджетных </w:t>
      </w:r>
      <w:r w:rsidR="00111726">
        <w:t>средств</w:t>
      </w:r>
      <w:r w:rsidR="00E87F15">
        <w:t>:</w:t>
      </w:r>
    </w:p>
    <w:p w:rsidR="008C4176" w:rsidRPr="0018447A" w:rsidRDefault="0018447A" w:rsidP="0018447A">
      <w:pPr>
        <w:jc w:val="right"/>
        <w:rPr>
          <w:sz w:val="20"/>
        </w:rPr>
      </w:pPr>
      <w:r>
        <w:rPr>
          <w:sz w:val="20"/>
        </w:rPr>
        <w:t>млн. руб.</w:t>
      </w:r>
    </w:p>
    <w:tbl>
      <w:tblPr>
        <w:tblW w:w="9510" w:type="dxa"/>
        <w:tblInd w:w="96" w:type="dxa"/>
        <w:tblLayout w:type="fixed"/>
        <w:tblLook w:val="04A0"/>
      </w:tblPr>
      <w:tblGrid>
        <w:gridCol w:w="3698"/>
        <w:gridCol w:w="1134"/>
        <w:gridCol w:w="992"/>
        <w:gridCol w:w="992"/>
        <w:gridCol w:w="1276"/>
        <w:gridCol w:w="1418"/>
      </w:tblGrid>
      <w:tr w:rsidR="006B7E12" w:rsidRPr="00B47C37" w:rsidTr="00B47C37">
        <w:trPr>
          <w:trHeight w:val="20"/>
        </w:trPr>
        <w:tc>
          <w:tcPr>
            <w:tcW w:w="3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6B7E12" w:rsidRPr="00B47C37" w:rsidRDefault="006B7E12" w:rsidP="0040759A">
            <w:pPr>
              <w:jc w:val="center"/>
              <w:rPr>
                <w:b/>
                <w:i/>
                <w:iCs/>
                <w:sz w:val="20"/>
              </w:rPr>
            </w:pPr>
            <w:r w:rsidRPr="00B47C37">
              <w:rPr>
                <w:b/>
                <w:i/>
                <w:iCs/>
                <w:sz w:val="20"/>
              </w:rPr>
              <w:t>Наименование ГРБС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6B7E12" w:rsidRPr="00B47C37" w:rsidRDefault="006B7E12" w:rsidP="0040759A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B47C37">
              <w:rPr>
                <w:b/>
                <w:bCs/>
                <w:i/>
                <w:iCs/>
                <w:sz w:val="20"/>
              </w:rPr>
              <w:t>Национальная безопасность и правоохранительная деятельность</w:t>
            </w:r>
          </w:p>
        </w:tc>
      </w:tr>
      <w:tr w:rsidR="00B47C37" w:rsidRPr="00B47C37" w:rsidTr="00B47C37">
        <w:trPr>
          <w:trHeight w:val="20"/>
        </w:trPr>
        <w:tc>
          <w:tcPr>
            <w:tcW w:w="3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6B7E12" w:rsidRPr="00B47C37" w:rsidRDefault="006B7E12" w:rsidP="0040759A">
            <w:pPr>
              <w:rPr>
                <w:b/>
                <w:i/>
                <w:iCs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  <w:hideMark/>
          </w:tcPr>
          <w:p w:rsidR="006B7E12" w:rsidRPr="00B47C37" w:rsidRDefault="006B7E12" w:rsidP="0040759A">
            <w:pPr>
              <w:jc w:val="center"/>
              <w:rPr>
                <w:b/>
                <w:i/>
                <w:iCs/>
                <w:sz w:val="20"/>
              </w:rPr>
            </w:pPr>
            <w:r w:rsidRPr="00B47C37">
              <w:rPr>
                <w:b/>
                <w:i/>
                <w:iCs/>
                <w:sz w:val="20"/>
              </w:rPr>
              <w:t>факт 2016</w:t>
            </w:r>
            <w:r w:rsidR="001D219A">
              <w:rPr>
                <w:b/>
                <w:i/>
                <w:iCs/>
                <w:sz w:val="20"/>
              </w:rPr>
              <w:t xml:space="preserve">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  <w:hideMark/>
          </w:tcPr>
          <w:p w:rsidR="006B7E12" w:rsidRPr="00B47C37" w:rsidRDefault="006B7E12" w:rsidP="0040759A">
            <w:pPr>
              <w:jc w:val="center"/>
              <w:rPr>
                <w:b/>
                <w:i/>
                <w:iCs/>
                <w:sz w:val="20"/>
              </w:rPr>
            </w:pPr>
            <w:r w:rsidRPr="00B47C37">
              <w:rPr>
                <w:b/>
                <w:i/>
                <w:iCs/>
                <w:sz w:val="20"/>
              </w:rPr>
              <w:t>план 2017</w:t>
            </w:r>
            <w:r w:rsidR="001D219A">
              <w:rPr>
                <w:b/>
                <w:i/>
                <w:iCs/>
                <w:sz w:val="20"/>
              </w:rPr>
              <w:t xml:space="preserve">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  <w:hideMark/>
          </w:tcPr>
          <w:p w:rsidR="006B7E12" w:rsidRPr="00B47C37" w:rsidRDefault="006B7E12" w:rsidP="0040759A">
            <w:pPr>
              <w:jc w:val="center"/>
              <w:rPr>
                <w:b/>
                <w:i/>
                <w:iCs/>
                <w:sz w:val="20"/>
              </w:rPr>
            </w:pPr>
            <w:r w:rsidRPr="00B47C37">
              <w:rPr>
                <w:b/>
                <w:i/>
                <w:iCs/>
                <w:sz w:val="20"/>
              </w:rPr>
              <w:t>факт 2017</w:t>
            </w:r>
            <w:r w:rsidR="001D219A">
              <w:rPr>
                <w:b/>
                <w:i/>
                <w:iCs/>
                <w:sz w:val="20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6B7E12" w:rsidRPr="00B47C37" w:rsidRDefault="006B7E12" w:rsidP="00F44850">
            <w:pPr>
              <w:jc w:val="center"/>
              <w:rPr>
                <w:b/>
                <w:i/>
                <w:iCs/>
                <w:sz w:val="20"/>
              </w:rPr>
            </w:pPr>
            <w:r w:rsidRPr="00B47C37">
              <w:rPr>
                <w:b/>
                <w:i/>
                <w:iCs/>
                <w:sz w:val="20"/>
              </w:rPr>
              <w:t>исполнен</w:t>
            </w:r>
            <w:r w:rsidR="00F44850">
              <w:rPr>
                <w:b/>
                <w:i/>
                <w:iCs/>
                <w:sz w:val="20"/>
              </w:rPr>
              <w:t>о</w:t>
            </w:r>
            <w:r w:rsidRPr="00B47C37">
              <w:rPr>
                <w:b/>
                <w:i/>
                <w:iCs/>
                <w:sz w:val="20"/>
              </w:rPr>
              <w:t>, 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6B7E12" w:rsidRPr="00B47C37" w:rsidRDefault="006B7E12" w:rsidP="00B47C37">
            <w:pPr>
              <w:jc w:val="center"/>
              <w:rPr>
                <w:b/>
                <w:i/>
                <w:iCs/>
                <w:sz w:val="20"/>
              </w:rPr>
            </w:pPr>
            <w:r w:rsidRPr="00B47C37">
              <w:rPr>
                <w:b/>
                <w:i/>
                <w:iCs/>
                <w:sz w:val="20"/>
              </w:rPr>
              <w:t>сравнение с 2016 г</w:t>
            </w:r>
            <w:r w:rsidR="00B47C37">
              <w:rPr>
                <w:b/>
                <w:i/>
                <w:iCs/>
                <w:sz w:val="20"/>
              </w:rPr>
              <w:t>.</w:t>
            </w:r>
            <w:r w:rsidRPr="00B47C37">
              <w:rPr>
                <w:b/>
                <w:i/>
                <w:iCs/>
                <w:sz w:val="20"/>
              </w:rPr>
              <w:t>, %</w:t>
            </w:r>
          </w:p>
        </w:tc>
      </w:tr>
      <w:tr w:rsidR="00B47C37" w:rsidRPr="00B47C37" w:rsidTr="00F9543B">
        <w:trPr>
          <w:trHeight w:val="20"/>
        </w:trPr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E12" w:rsidRPr="00B47C37" w:rsidRDefault="006B7E12" w:rsidP="0040759A">
            <w:pPr>
              <w:rPr>
                <w:sz w:val="20"/>
              </w:rPr>
            </w:pPr>
            <w:r w:rsidRPr="00B47C37">
              <w:rPr>
                <w:sz w:val="20"/>
              </w:rPr>
              <w:t xml:space="preserve">Комитет по обеспечению безопасности жизнедеятельности населения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E12" w:rsidRPr="00B47C37" w:rsidRDefault="006B7E12" w:rsidP="00B47C37">
            <w:pPr>
              <w:jc w:val="center"/>
              <w:rPr>
                <w:sz w:val="20"/>
              </w:rPr>
            </w:pPr>
            <w:r w:rsidRPr="00B47C37">
              <w:rPr>
                <w:sz w:val="20"/>
              </w:rPr>
              <w:t>467,0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E12" w:rsidRPr="00B47C37" w:rsidRDefault="006B7E12" w:rsidP="00B47C37">
            <w:pPr>
              <w:jc w:val="center"/>
              <w:rPr>
                <w:sz w:val="20"/>
              </w:rPr>
            </w:pPr>
            <w:r w:rsidRPr="00B47C37">
              <w:rPr>
                <w:sz w:val="20"/>
              </w:rPr>
              <w:t>402,1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E12" w:rsidRPr="00B47C37" w:rsidRDefault="006B7E12" w:rsidP="00B47C37">
            <w:pPr>
              <w:jc w:val="center"/>
              <w:rPr>
                <w:sz w:val="20"/>
              </w:rPr>
            </w:pPr>
            <w:r w:rsidRPr="00B47C37">
              <w:rPr>
                <w:sz w:val="20"/>
              </w:rPr>
              <w:t>441,8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E12" w:rsidRPr="00B47C37" w:rsidRDefault="006B7E12" w:rsidP="00B47C37">
            <w:pPr>
              <w:jc w:val="center"/>
              <w:rPr>
                <w:sz w:val="20"/>
              </w:rPr>
            </w:pPr>
            <w:r w:rsidRPr="00B47C37">
              <w:rPr>
                <w:sz w:val="20"/>
              </w:rPr>
              <w:t>109,9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E12" w:rsidRPr="00B47C37" w:rsidRDefault="006B7E12" w:rsidP="00B47C37">
            <w:pPr>
              <w:jc w:val="center"/>
              <w:rPr>
                <w:sz w:val="20"/>
              </w:rPr>
            </w:pPr>
            <w:r w:rsidRPr="00B47C37">
              <w:rPr>
                <w:sz w:val="20"/>
              </w:rPr>
              <w:t>94,6</w:t>
            </w:r>
          </w:p>
        </w:tc>
      </w:tr>
      <w:tr w:rsidR="00B47C37" w:rsidRPr="00B47C37" w:rsidTr="00F9543B">
        <w:trPr>
          <w:trHeight w:val="20"/>
        </w:trPr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E12" w:rsidRPr="00B47C37" w:rsidRDefault="006B7E12" w:rsidP="0040759A">
            <w:pPr>
              <w:rPr>
                <w:sz w:val="20"/>
              </w:rPr>
            </w:pPr>
            <w:r w:rsidRPr="00B47C37">
              <w:rPr>
                <w:sz w:val="20"/>
              </w:rPr>
              <w:t xml:space="preserve">Комитет строительства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E12" w:rsidRPr="00B47C37" w:rsidRDefault="006B7E12" w:rsidP="00B47C37">
            <w:pPr>
              <w:jc w:val="center"/>
              <w:rPr>
                <w:sz w:val="20"/>
              </w:rPr>
            </w:pPr>
            <w:r w:rsidRPr="00B47C37">
              <w:rPr>
                <w:sz w:val="20"/>
              </w:rPr>
              <w:t>30,9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E12" w:rsidRPr="00B47C37" w:rsidRDefault="006B7E12" w:rsidP="00B47C37">
            <w:pPr>
              <w:jc w:val="center"/>
              <w:rPr>
                <w:sz w:val="20"/>
              </w:rPr>
            </w:pPr>
            <w:r w:rsidRPr="00B47C37">
              <w:rPr>
                <w:sz w:val="20"/>
              </w:rPr>
              <w:t>102,5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E12" w:rsidRPr="00B47C37" w:rsidRDefault="006B7E12" w:rsidP="00B47C37">
            <w:pPr>
              <w:jc w:val="center"/>
              <w:rPr>
                <w:sz w:val="20"/>
              </w:rPr>
            </w:pPr>
            <w:r w:rsidRPr="00B47C37">
              <w:rPr>
                <w:sz w:val="20"/>
              </w:rPr>
              <w:t>10,7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E12" w:rsidRPr="00B47C37" w:rsidRDefault="006B7E12" w:rsidP="00B47C37">
            <w:pPr>
              <w:jc w:val="center"/>
              <w:rPr>
                <w:sz w:val="20"/>
              </w:rPr>
            </w:pPr>
            <w:r w:rsidRPr="00B47C37">
              <w:rPr>
                <w:sz w:val="20"/>
              </w:rPr>
              <w:t>10,4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E12" w:rsidRPr="00B47C37" w:rsidRDefault="006B7E12" w:rsidP="00B47C37">
            <w:pPr>
              <w:jc w:val="center"/>
              <w:rPr>
                <w:sz w:val="20"/>
              </w:rPr>
            </w:pPr>
            <w:r w:rsidRPr="00B47C37">
              <w:rPr>
                <w:sz w:val="20"/>
              </w:rPr>
              <w:t>34,6</w:t>
            </w:r>
          </w:p>
        </w:tc>
      </w:tr>
      <w:tr w:rsidR="00B47C37" w:rsidRPr="00B47C37" w:rsidTr="00F9543B">
        <w:trPr>
          <w:trHeight w:val="2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E12" w:rsidRPr="00B47C37" w:rsidRDefault="006B7E12" w:rsidP="0040759A">
            <w:pPr>
              <w:rPr>
                <w:sz w:val="20"/>
              </w:rPr>
            </w:pPr>
            <w:r w:rsidRPr="00B47C37">
              <w:rPr>
                <w:sz w:val="20"/>
              </w:rPr>
              <w:t xml:space="preserve">Комитет информационных технологий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E12" w:rsidRPr="00B47C37" w:rsidRDefault="006B7E12" w:rsidP="00B47C37">
            <w:pPr>
              <w:jc w:val="center"/>
              <w:rPr>
                <w:sz w:val="20"/>
              </w:rPr>
            </w:pPr>
            <w:r w:rsidRPr="00B47C37">
              <w:rPr>
                <w:sz w:val="20"/>
              </w:rPr>
              <w:t>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E12" w:rsidRPr="00B47C37" w:rsidRDefault="006B7E12" w:rsidP="00B47C37">
            <w:pPr>
              <w:jc w:val="center"/>
              <w:rPr>
                <w:sz w:val="20"/>
              </w:rPr>
            </w:pPr>
            <w:r w:rsidRPr="00B47C37">
              <w:rPr>
                <w:sz w:val="20"/>
              </w:rPr>
              <w:t>150,1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E12" w:rsidRPr="00B47C37" w:rsidRDefault="006B7E12" w:rsidP="00B47C37">
            <w:pPr>
              <w:jc w:val="center"/>
              <w:rPr>
                <w:sz w:val="20"/>
              </w:rPr>
            </w:pPr>
            <w:r w:rsidRPr="00B47C37">
              <w:rPr>
                <w:sz w:val="20"/>
              </w:rPr>
              <w:t>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E12" w:rsidRPr="00B47C37" w:rsidRDefault="006B7E12" w:rsidP="00B47C37">
            <w:pPr>
              <w:jc w:val="center"/>
              <w:rPr>
                <w:sz w:val="20"/>
              </w:rPr>
            </w:pPr>
            <w:r w:rsidRPr="00B47C37">
              <w:rPr>
                <w:sz w:val="20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E12" w:rsidRPr="00B47C37" w:rsidRDefault="006B7E12" w:rsidP="00B47C37">
            <w:pPr>
              <w:jc w:val="center"/>
              <w:rPr>
                <w:sz w:val="20"/>
              </w:rPr>
            </w:pPr>
            <w:r w:rsidRPr="00B47C37">
              <w:rPr>
                <w:sz w:val="20"/>
              </w:rPr>
              <w:t>323,6</w:t>
            </w:r>
          </w:p>
        </w:tc>
      </w:tr>
      <w:tr w:rsidR="00B47C37" w:rsidRPr="00B47C37" w:rsidTr="00F9543B">
        <w:trPr>
          <w:trHeight w:val="20"/>
        </w:trPr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E12" w:rsidRPr="00B47C37" w:rsidRDefault="006B7E12" w:rsidP="0040759A">
            <w:pPr>
              <w:rPr>
                <w:sz w:val="20"/>
              </w:rPr>
            </w:pPr>
            <w:r w:rsidRPr="00B47C37">
              <w:rPr>
                <w:sz w:val="20"/>
              </w:rPr>
              <w:t xml:space="preserve">Комитет по делам национальностей и казачества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E12" w:rsidRPr="00B47C37" w:rsidRDefault="006B7E12" w:rsidP="00B47C37">
            <w:pPr>
              <w:jc w:val="center"/>
              <w:rPr>
                <w:sz w:val="20"/>
              </w:rPr>
            </w:pPr>
            <w:r w:rsidRPr="00B47C37">
              <w:rPr>
                <w:sz w:val="20"/>
              </w:rPr>
              <w:t>71,2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E12" w:rsidRPr="00B47C37" w:rsidRDefault="006B7E12" w:rsidP="00B47C37">
            <w:pPr>
              <w:jc w:val="center"/>
              <w:rPr>
                <w:sz w:val="20"/>
              </w:rPr>
            </w:pPr>
            <w:r w:rsidRPr="00B47C37">
              <w:rPr>
                <w:sz w:val="20"/>
              </w:rPr>
              <w:t>62,6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E12" w:rsidRPr="00B47C37" w:rsidRDefault="006B7E12" w:rsidP="00B47C37">
            <w:pPr>
              <w:jc w:val="center"/>
              <w:rPr>
                <w:sz w:val="20"/>
              </w:rPr>
            </w:pPr>
            <w:r w:rsidRPr="00B47C37">
              <w:rPr>
                <w:sz w:val="20"/>
              </w:rPr>
              <w:t>62,1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E12" w:rsidRPr="00B47C37" w:rsidRDefault="006B7E12" w:rsidP="00B47C37">
            <w:pPr>
              <w:jc w:val="center"/>
              <w:rPr>
                <w:sz w:val="20"/>
              </w:rPr>
            </w:pPr>
            <w:r w:rsidRPr="00B47C37">
              <w:rPr>
                <w:sz w:val="20"/>
              </w:rPr>
              <w:t>99,2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7E12" w:rsidRPr="00B47C37" w:rsidRDefault="006B7E12" w:rsidP="00B47C37">
            <w:pPr>
              <w:jc w:val="center"/>
              <w:rPr>
                <w:sz w:val="20"/>
              </w:rPr>
            </w:pPr>
            <w:r w:rsidRPr="00B47C37">
              <w:rPr>
                <w:sz w:val="20"/>
              </w:rPr>
              <w:t>87,3</w:t>
            </w:r>
          </w:p>
        </w:tc>
      </w:tr>
      <w:tr w:rsidR="00B47C37" w:rsidRPr="00B47C37" w:rsidTr="00B47C37">
        <w:trPr>
          <w:trHeight w:val="2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  <w:hideMark/>
          </w:tcPr>
          <w:p w:rsidR="006B7E12" w:rsidRPr="00B47C37" w:rsidRDefault="006B7E12" w:rsidP="0040759A">
            <w:pPr>
              <w:rPr>
                <w:b/>
                <w:bCs/>
                <w:sz w:val="20"/>
              </w:rPr>
            </w:pPr>
            <w:r w:rsidRPr="00B47C37">
              <w:rPr>
                <w:b/>
                <w:bCs/>
                <w:sz w:val="20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hideMark/>
          </w:tcPr>
          <w:p w:rsidR="006B7E12" w:rsidRPr="00B47C37" w:rsidRDefault="006B7E12" w:rsidP="00D77C22">
            <w:pPr>
              <w:jc w:val="center"/>
              <w:rPr>
                <w:b/>
                <w:bCs/>
                <w:sz w:val="20"/>
              </w:rPr>
            </w:pPr>
            <w:r w:rsidRPr="00B47C37">
              <w:rPr>
                <w:b/>
                <w:bCs/>
                <w:sz w:val="20"/>
              </w:rPr>
              <w:t>569,</w:t>
            </w:r>
            <w:r w:rsidR="00D77C22">
              <w:rPr>
                <w:b/>
                <w:bCs/>
                <w:sz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hideMark/>
          </w:tcPr>
          <w:p w:rsidR="006B7E12" w:rsidRPr="00B47C37" w:rsidRDefault="006B7E12" w:rsidP="00B47C37">
            <w:pPr>
              <w:jc w:val="center"/>
              <w:rPr>
                <w:b/>
                <w:bCs/>
                <w:sz w:val="20"/>
              </w:rPr>
            </w:pPr>
            <w:r w:rsidRPr="00B47C37">
              <w:rPr>
                <w:b/>
                <w:bCs/>
                <w:sz w:val="20"/>
              </w:rPr>
              <w:t>717,3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hideMark/>
          </w:tcPr>
          <w:p w:rsidR="006B7E12" w:rsidRPr="00B47C37" w:rsidRDefault="006B7E12" w:rsidP="00B47C37">
            <w:pPr>
              <w:jc w:val="center"/>
              <w:rPr>
                <w:b/>
                <w:bCs/>
                <w:sz w:val="20"/>
              </w:rPr>
            </w:pPr>
            <w:r w:rsidRPr="00B47C37">
              <w:rPr>
                <w:b/>
                <w:bCs/>
                <w:sz w:val="20"/>
              </w:rPr>
              <w:t>516,4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hideMark/>
          </w:tcPr>
          <w:p w:rsidR="006B7E12" w:rsidRPr="00B47C37" w:rsidRDefault="006B7E12" w:rsidP="00B47C37">
            <w:pPr>
              <w:jc w:val="center"/>
              <w:rPr>
                <w:b/>
                <w:bCs/>
                <w:sz w:val="20"/>
              </w:rPr>
            </w:pPr>
            <w:r w:rsidRPr="00B47C37">
              <w:rPr>
                <w:b/>
                <w:bCs/>
                <w:sz w:val="20"/>
              </w:rPr>
              <w:t>72,0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hideMark/>
          </w:tcPr>
          <w:p w:rsidR="006B7E12" w:rsidRPr="00B47C37" w:rsidRDefault="006B7E12" w:rsidP="005A106F">
            <w:pPr>
              <w:jc w:val="center"/>
              <w:rPr>
                <w:b/>
                <w:bCs/>
                <w:sz w:val="20"/>
              </w:rPr>
            </w:pPr>
            <w:r w:rsidRPr="00B47C37">
              <w:rPr>
                <w:b/>
                <w:bCs/>
                <w:sz w:val="20"/>
              </w:rPr>
              <w:t>90,</w:t>
            </w:r>
            <w:r w:rsidR="005A106F">
              <w:rPr>
                <w:b/>
                <w:bCs/>
                <w:sz w:val="20"/>
              </w:rPr>
              <w:t>6</w:t>
            </w:r>
          </w:p>
        </w:tc>
      </w:tr>
    </w:tbl>
    <w:p w:rsidR="006B7E12" w:rsidRDefault="006B7E12" w:rsidP="008C4176">
      <w:pPr>
        <w:rPr>
          <w:sz w:val="20"/>
        </w:rPr>
      </w:pPr>
    </w:p>
    <w:p w:rsidR="00F44850" w:rsidRDefault="00F44850" w:rsidP="00D77C22">
      <w:pPr>
        <w:jc w:val="both"/>
        <w:rPr>
          <w:szCs w:val="24"/>
        </w:rPr>
      </w:pPr>
      <w:r>
        <w:rPr>
          <w:szCs w:val="24"/>
        </w:rPr>
        <w:tab/>
        <w:t>Относительно 2016 года расходы по разделу сократились на 53,</w:t>
      </w:r>
      <w:r w:rsidR="00D77C22">
        <w:rPr>
          <w:szCs w:val="24"/>
        </w:rPr>
        <w:t>3</w:t>
      </w:r>
      <w:r>
        <w:rPr>
          <w:szCs w:val="24"/>
        </w:rPr>
        <w:t xml:space="preserve"> млн. руб., или на 9,</w:t>
      </w:r>
      <w:r w:rsidR="00D77C22">
        <w:rPr>
          <w:szCs w:val="24"/>
        </w:rPr>
        <w:t>4</w:t>
      </w:r>
      <w:r>
        <w:rPr>
          <w:szCs w:val="24"/>
        </w:rPr>
        <w:t xml:space="preserve"> процента.</w:t>
      </w:r>
    </w:p>
    <w:p w:rsidR="002E4CC3" w:rsidRDefault="00F44850" w:rsidP="002E4CC3">
      <w:pPr>
        <w:jc w:val="both"/>
      </w:pPr>
      <w:r>
        <w:tab/>
        <w:t>При проведении внешних проверок бюджетной отчетности главных распорядителей средств областного бюджета, задействованных в данном разделе, установлены следующие нарушения и недостатки.</w:t>
      </w:r>
    </w:p>
    <w:p w:rsidR="00FB2529" w:rsidRDefault="002E4CC3" w:rsidP="00FB2529">
      <w:pPr>
        <w:jc w:val="both"/>
        <w:rPr>
          <w:rFonts w:eastAsia="Calibri"/>
          <w:szCs w:val="24"/>
        </w:rPr>
      </w:pPr>
      <w:r>
        <w:lastRenderedPageBreak/>
        <w:tab/>
      </w:r>
      <w:r w:rsidRPr="002E4CC3">
        <w:rPr>
          <w:szCs w:val="24"/>
        </w:rPr>
        <w:t>Расходы, утвержд</w:t>
      </w:r>
      <w:r>
        <w:rPr>
          <w:szCs w:val="24"/>
        </w:rPr>
        <w:t>е</w:t>
      </w:r>
      <w:r w:rsidRPr="002E4CC3">
        <w:rPr>
          <w:szCs w:val="24"/>
        </w:rPr>
        <w:t xml:space="preserve">нные </w:t>
      </w:r>
      <w:r>
        <w:rPr>
          <w:szCs w:val="24"/>
        </w:rPr>
        <w:t xml:space="preserve">на 2017 год </w:t>
      </w:r>
      <w:r w:rsidRPr="002E4CC3">
        <w:rPr>
          <w:b/>
          <w:i/>
          <w:szCs w:val="24"/>
        </w:rPr>
        <w:t>к</w:t>
      </w:r>
      <w:r w:rsidRPr="002E4CC3">
        <w:rPr>
          <w:b/>
          <w:bCs/>
          <w:i/>
          <w:szCs w:val="24"/>
        </w:rPr>
        <w:t>омитету по обеспечению безопасности жизнедеятельности населения Волгоградской области</w:t>
      </w:r>
      <w:r w:rsidRPr="00CE0F43">
        <w:rPr>
          <w:bCs/>
          <w:szCs w:val="24"/>
        </w:rPr>
        <w:t xml:space="preserve"> (далее Комитет)</w:t>
      </w:r>
      <w:r w:rsidR="00FB2529">
        <w:rPr>
          <w:szCs w:val="24"/>
        </w:rPr>
        <w:t xml:space="preserve"> по разделу 0300 «Национальная безопасность»,</w:t>
      </w:r>
      <w:r w:rsidRPr="002E4CC3">
        <w:rPr>
          <w:szCs w:val="24"/>
        </w:rPr>
        <w:t xml:space="preserve"> исполнены на </w:t>
      </w:r>
      <w:r w:rsidR="00FB2529">
        <w:rPr>
          <w:szCs w:val="24"/>
        </w:rPr>
        <w:t xml:space="preserve">109,9 процента. </w:t>
      </w:r>
      <w:r>
        <w:rPr>
          <w:szCs w:val="24"/>
        </w:rPr>
        <w:t>П</w:t>
      </w:r>
      <w:r w:rsidRPr="002E4CC3">
        <w:rPr>
          <w:szCs w:val="24"/>
        </w:rPr>
        <w:t xml:space="preserve">ри этом </w:t>
      </w:r>
      <w:r w:rsidR="00FB2529">
        <w:rPr>
          <w:szCs w:val="24"/>
        </w:rPr>
        <w:t xml:space="preserve">проверкой отмечен существенный </w:t>
      </w:r>
      <w:r w:rsidRPr="002E4CC3">
        <w:rPr>
          <w:szCs w:val="24"/>
        </w:rPr>
        <w:t xml:space="preserve">рост кредиторской задолженности </w:t>
      </w:r>
      <w:r>
        <w:rPr>
          <w:szCs w:val="24"/>
        </w:rPr>
        <w:t xml:space="preserve">Комитета </w:t>
      </w:r>
      <w:r w:rsidRPr="002E4CC3">
        <w:rPr>
          <w:szCs w:val="24"/>
        </w:rPr>
        <w:t xml:space="preserve">за </w:t>
      </w:r>
      <w:r>
        <w:rPr>
          <w:szCs w:val="24"/>
        </w:rPr>
        <w:t>минувший</w:t>
      </w:r>
      <w:r w:rsidRPr="002E4CC3">
        <w:rPr>
          <w:szCs w:val="24"/>
        </w:rPr>
        <w:t xml:space="preserve"> год</w:t>
      </w:r>
      <w:r w:rsidR="00FB2529">
        <w:rPr>
          <w:szCs w:val="24"/>
        </w:rPr>
        <w:t>. Так, на 01.01.2018 кредиторская задолженность составила</w:t>
      </w:r>
      <w:r w:rsidR="00FB2529" w:rsidRPr="002E4CC3">
        <w:rPr>
          <w:szCs w:val="24"/>
        </w:rPr>
        <w:t xml:space="preserve"> 26</w:t>
      </w:r>
      <w:r w:rsidR="00FB2529">
        <w:rPr>
          <w:szCs w:val="24"/>
        </w:rPr>
        <w:t>,8</w:t>
      </w:r>
      <w:r w:rsidR="00FB2529" w:rsidRPr="002E4CC3">
        <w:rPr>
          <w:szCs w:val="24"/>
        </w:rPr>
        <w:t xml:space="preserve"> </w:t>
      </w:r>
      <w:r w:rsidR="00FB2529">
        <w:rPr>
          <w:szCs w:val="24"/>
        </w:rPr>
        <w:t>млн</w:t>
      </w:r>
      <w:r w:rsidR="00FB2529" w:rsidRPr="002E4CC3">
        <w:rPr>
          <w:szCs w:val="24"/>
        </w:rPr>
        <w:t xml:space="preserve">. руб., </w:t>
      </w:r>
      <w:r w:rsidR="00FB2529">
        <w:rPr>
          <w:szCs w:val="24"/>
        </w:rPr>
        <w:t>что</w:t>
      </w:r>
      <w:r w:rsidR="00FB2529" w:rsidRPr="002E4CC3">
        <w:rPr>
          <w:szCs w:val="24"/>
        </w:rPr>
        <w:t xml:space="preserve"> на 10</w:t>
      </w:r>
      <w:r w:rsidR="00FB2529">
        <w:rPr>
          <w:szCs w:val="24"/>
        </w:rPr>
        <w:t>,1</w:t>
      </w:r>
      <w:r w:rsidR="00FB2529" w:rsidRPr="002E4CC3">
        <w:rPr>
          <w:szCs w:val="24"/>
        </w:rPr>
        <w:t xml:space="preserve"> </w:t>
      </w:r>
      <w:r w:rsidR="00FB2529">
        <w:rPr>
          <w:szCs w:val="24"/>
        </w:rPr>
        <w:t>млн</w:t>
      </w:r>
      <w:r w:rsidR="00FB2529" w:rsidRPr="002E4CC3">
        <w:rPr>
          <w:szCs w:val="24"/>
        </w:rPr>
        <w:t xml:space="preserve">. руб. больше неисполненных </w:t>
      </w:r>
      <w:r w:rsidR="00FB2529">
        <w:rPr>
          <w:szCs w:val="24"/>
        </w:rPr>
        <w:t xml:space="preserve">бюджетных </w:t>
      </w:r>
      <w:r w:rsidR="00FB2529" w:rsidRPr="002E4CC3">
        <w:rPr>
          <w:szCs w:val="24"/>
        </w:rPr>
        <w:t xml:space="preserve">назначений </w:t>
      </w:r>
      <w:r w:rsidR="00FB2529">
        <w:rPr>
          <w:szCs w:val="24"/>
        </w:rPr>
        <w:t xml:space="preserve">за 2017 год (16,7 млн. руб.) </w:t>
      </w:r>
      <w:r w:rsidR="00FB2529" w:rsidRPr="002E4CC3">
        <w:rPr>
          <w:szCs w:val="24"/>
        </w:rPr>
        <w:t xml:space="preserve">по причине </w:t>
      </w:r>
      <w:r w:rsidR="00FB2529" w:rsidRPr="002E4CC3">
        <w:rPr>
          <w:rFonts w:eastAsia="Calibri"/>
          <w:szCs w:val="24"/>
        </w:rPr>
        <w:t xml:space="preserve">уменьшения комитетом финансов в конце </w:t>
      </w:r>
      <w:r w:rsidR="00FB2529">
        <w:rPr>
          <w:rFonts w:eastAsia="Calibri"/>
          <w:szCs w:val="24"/>
        </w:rPr>
        <w:t>г</w:t>
      </w:r>
      <w:r w:rsidR="00FB2529" w:rsidRPr="002E4CC3">
        <w:rPr>
          <w:rFonts w:eastAsia="Calibri"/>
          <w:szCs w:val="24"/>
        </w:rPr>
        <w:t xml:space="preserve">ода бюджетных ассигнований и лимитов бюджетных обязательств под </w:t>
      </w:r>
      <w:r w:rsidR="00FB2529">
        <w:rPr>
          <w:rFonts w:eastAsia="Calibri"/>
          <w:szCs w:val="24"/>
        </w:rPr>
        <w:t xml:space="preserve">уже </w:t>
      </w:r>
      <w:r w:rsidR="00FB2529" w:rsidRPr="002E4CC3">
        <w:rPr>
          <w:rFonts w:eastAsia="Calibri"/>
          <w:szCs w:val="24"/>
        </w:rPr>
        <w:t>заключенные договоры (контракты)</w:t>
      </w:r>
      <w:r w:rsidR="00FB2529">
        <w:rPr>
          <w:rFonts w:eastAsia="Calibri"/>
          <w:szCs w:val="24"/>
        </w:rPr>
        <w:t>. В конечном итоге</w:t>
      </w:r>
      <w:r w:rsidR="00FB2529" w:rsidRPr="002E4CC3">
        <w:rPr>
          <w:rFonts w:eastAsia="Calibri"/>
          <w:szCs w:val="24"/>
        </w:rPr>
        <w:t xml:space="preserve"> </w:t>
      </w:r>
      <w:r w:rsidR="00FB2529">
        <w:rPr>
          <w:rFonts w:eastAsia="Calibri"/>
          <w:szCs w:val="24"/>
        </w:rPr>
        <w:t>э</w:t>
      </w:r>
      <w:r w:rsidR="00FB2529" w:rsidRPr="002E4CC3">
        <w:rPr>
          <w:rFonts w:eastAsia="Calibri"/>
          <w:szCs w:val="24"/>
        </w:rPr>
        <w:t>то привело к нарушению п</w:t>
      </w:r>
      <w:r w:rsidR="00FB2529">
        <w:rPr>
          <w:rFonts w:eastAsia="Calibri"/>
          <w:szCs w:val="24"/>
        </w:rPr>
        <w:t>одпункта</w:t>
      </w:r>
      <w:r w:rsidR="00FB2529" w:rsidRPr="002E4CC3">
        <w:rPr>
          <w:rFonts w:eastAsia="Calibri"/>
          <w:szCs w:val="24"/>
        </w:rPr>
        <w:t xml:space="preserve"> 2 п</w:t>
      </w:r>
      <w:r w:rsidR="00FB2529">
        <w:rPr>
          <w:rFonts w:eastAsia="Calibri"/>
          <w:szCs w:val="24"/>
        </w:rPr>
        <w:t>ункта</w:t>
      </w:r>
      <w:r w:rsidR="00FB2529" w:rsidRPr="002E4CC3">
        <w:rPr>
          <w:rFonts w:eastAsia="Calibri"/>
          <w:szCs w:val="24"/>
        </w:rPr>
        <w:t xml:space="preserve"> 1 ст</w:t>
      </w:r>
      <w:r w:rsidR="00FB2529">
        <w:rPr>
          <w:rFonts w:eastAsia="Calibri"/>
          <w:szCs w:val="24"/>
        </w:rPr>
        <w:t>атьи 162 и пункта</w:t>
      </w:r>
      <w:r w:rsidR="00FB2529" w:rsidRPr="002E4CC3">
        <w:rPr>
          <w:rFonts w:eastAsia="Calibri"/>
          <w:szCs w:val="24"/>
        </w:rPr>
        <w:t xml:space="preserve"> 3 ст</w:t>
      </w:r>
      <w:r w:rsidR="00FB2529">
        <w:rPr>
          <w:rFonts w:eastAsia="Calibri"/>
          <w:szCs w:val="24"/>
        </w:rPr>
        <w:t>атьи</w:t>
      </w:r>
      <w:r w:rsidR="00FB2529" w:rsidRPr="002E4CC3">
        <w:rPr>
          <w:rFonts w:eastAsia="Calibri"/>
          <w:szCs w:val="24"/>
        </w:rPr>
        <w:t xml:space="preserve"> 219 БК РФ.</w:t>
      </w:r>
    </w:p>
    <w:p w:rsidR="00FA0DD8" w:rsidRDefault="00FA0DD8" w:rsidP="00FA0DD8">
      <w:pPr>
        <w:autoSpaceDE w:val="0"/>
        <w:autoSpaceDN w:val="0"/>
        <w:adjustRightInd w:val="0"/>
        <w:ind w:firstLine="709"/>
        <w:jc w:val="both"/>
      </w:pPr>
      <w:r w:rsidRPr="00FA1158">
        <w:rPr>
          <w:szCs w:val="24"/>
        </w:rPr>
        <w:t xml:space="preserve">В 2017 году </w:t>
      </w:r>
      <w:r>
        <w:rPr>
          <w:szCs w:val="24"/>
        </w:rPr>
        <w:t>средства областного бюджета</w:t>
      </w:r>
      <w:r w:rsidRPr="00FA1158">
        <w:rPr>
          <w:szCs w:val="24"/>
        </w:rPr>
        <w:t xml:space="preserve"> в сумме 250,1 тыс. руб. направлены </w:t>
      </w:r>
      <w:r>
        <w:rPr>
          <w:szCs w:val="24"/>
        </w:rPr>
        <w:t xml:space="preserve">Комитетом </w:t>
      </w:r>
      <w:r w:rsidRPr="00FA1158">
        <w:rPr>
          <w:szCs w:val="24"/>
        </w:rPr>
        <w:t xml:space="preserve">на оплату госпошлины, неустоек, штрафов и </w:t>
      </w:r>
      <w:proofErr w:type="gramStart"/>
      <w:r w:rsidRPr="00FA1158">
        <w:rPr>
          <w:szCs w:val="24"/>
        </w:rPr>
        <w:t>пени</w:t>
      </w:r>
      <w:proofErr w:type="gramEnd"/>
      <w:r w:rsidRPr="00FA1158">
        <w:rPr>
          <w:szCs w:val="24"/>
        </w:rPr>
        <w:t xml:space="preserve"> как по судебным решениям, так и самостоятельно до вынесения судебного решения. Указанные дополнительные расходы возникли в результате отсутствия финансирования принятых Комитетом в пределах лимитов бюджетных обязательств денежных обязатель</w:t>
      </w:r>
      <w:proofErr w:type="gramStart"/>
      <w:r w:rsidRPr="00FA1158">
        <w:rPr>
          <w:szCs w:val="24"/>
        </w:rPr>
        <w:t>ств в пр</w:t>
      </w:r>
      <w:proofErr w:type="gramEnd"/>
      <w:r w:rsidRPr="00FA1158">
        <w:rPr>
          <w:szCs w:val="24"/>
        </w:rPr>
        <w:t>едыдущие годы, в результате чего не соблюден принцип эффективности использования бюджетных средств, определенный ст</w:t>
      </w:r>
      <w:r>
        <w:rPr>
          <w:szCs w:val="24"/>
        </w:rPr>
        <w:t>атьей</w:t>
      </w:r>
      <w:r w:rsidRPr="00FA1158">
        <w:rPr>
          <w:szCs w:val="24"/>
        </w:rPr>
        <w:t xml:space="preserve"> 34 БК РФ. </w:t>
      </w:r>
    </w:p>
    <w:p w:rsidR="00FA0DD8" w:rsidRPr="00FA0DD8" w:rsidRDefault="00FA0DD8" w:rsidP="00827077">
      <w:pPr>
        <w:ind w:firstLine="680"/>
        <w:jc w:val="both"/>
      </w:pPr>
      <w:r>
        <w:rPr>
          <w:szCs w:val="24"/>
        </w:rPr>
        <w:tab/>
      </w:r>
      <w:r w:rsidRPr="002E4CC3">
        <w:rPr>
          <w:szCs w:val="24"/>
        </w:rPr>
        <w:t xml:space="preserve">Бюджетные назначения, доведенные </w:t>
      </w:r>
      <w:r>
        <w:rPr>
          <w:szCs w:val="24"/>
        </w:rPr>
        <w:t xml:space="preserve">Комитету </w:t>
      </w:r>
      <w:r w:rsidRPr="002E4CC3">
        <w:rPr>
          <w:szCs w:val="24"/>
        </w:rPr>
        <w:t xml:space="preserve">на реализацию </w:t>
      </w:r>
      <w:r w:rsidR="00827077">
        <w:rPr>
          <w:szCs w:val="24"/>
        </w:rPr>
        <w:t xml:space="preserve">госпрограммы </w:t>
      </w:r>
      <w:r w:rsidR="00827077" w:rsidRPr="004E7DAD">
        <w:rPr>
          <w:b/>
          <w:szCs w:val="24"/>
        </w:rPr>
        <w:t>«</w:t>
      </w:r>
      <w:r w:rsidR="00827077" w:rsidRPr="00827077">
        <w:rPr>
          <w:szCs w:val="24"/>
        </w:rPr>
        <w:t>Защита населения и территории от чрезвычайных ситуаций, обеспечение пожарной безопасности» на 2014-2017 годы</w:t>
      </w:r>
      <w:r w:rsidRPr="002E4CC3">
        <w:rPr>
          <w:szCs w:val="24"/>
        </w:rPr>
        <w:t>, на 470</w:t>
      </w:r>
      <w:r w:rsidR="00827077">
        <w:rPr>
          <w:szCs w:val="24"/>
        </w:rPr>
        <w:t>,</w:t>
      </w:r>
      <w:r w:rsidRPr="002E4CC3">
        <w:rPr>
          <w:szCs w:val="24"/>
        </w:rPr>
        <w:t xml:space="preserve">9 </w:t>
      </w:r>
      <w:r w:rsidR="00827077">
        <w:rPr>
          <w:szCs w:val="24"/>
        </w:rPr>
        <w:t>млн</w:t>
      </w:r>
      <w:r w:rsidRPr="002E4CC3">
        <w:rPr>
          <w:szCs w:val="24"/>
        </w:rPr>
        <w:t xml:space="preserve">. руб., или на 38,3% меньше бюджетных ассигнований, </w:t>
      </w:r>
      <w:r w:rsidR="00827077">
        <w:rPr>
          <w:szCs w:val="24"/>
        </w:rPr>
        <w:t>утвержд</w:t>
      </w:r>
      <w:r w:rsidRPr="002E4CC3">
        <w:rPr>
          <w:szCs w:val="24"/>
        </w:rPr>
        <w:t xml:space="preserve">енных </w:t>
      </w:r>
      <w:r w:rsidR="00827077">
        <w:rPr>
          <w:szCs w:val="24"/>
        </w:rPr>
        <w:t>з</w:t>
      </w:r>
      <w:r w:rsidRPr="002E4CC3">
        <w:rPr>
          <w:szCs w:val="24"/>
        </w:rPr>
        <w:t xml:space="preserve">аконом об областном бюджете, что не позволило в полном объеме выполнить все мероприятия </w:t>
      </w:r>
      <w:r w:rsidR="00827077">
        <w:rPr>
          <w:szCs w:val="24"/>
        </w:rPr>
        <w:t>г</w:t>
      </w:r>
      <w:r w:rsidRPr="002E4CC3">
        <w:rPr>
          <w:szCs w:val="24"/>
        </w:rPr>
        <w:t>оспрограммы.</w:t>
      </w:r>
    </w:p>
    <w:p w:rsidR="007A3898" w:rsidRPr="005067CB" w:rsidRDefault="007A3898" w:rsidP="007A3898">
      <w:pPr>
        <w:ind w:firstLine="709"/>
        <w:jc w:val="both"/>
      </w:pPr>
      <w:proofErr w:type="gramStart"/>
      <w:r w:rsidRPr="007A3898">
        <w:rPr>
          <w:szCs w:val="24"/>
        </w:rPr>
        <w:t xml:space="preserve">При проверке бюджетной отчетности </w:t>
      </w:r>
      <w:r w:rsidRPr="007A3898">
        <w:rPr>
          <w:b/>
          <w:i/>
          <w:szCs w:val="24"/>
        </w:rPr>
        <w:t xml:space="preserve">комитета строительства Волгоградской области </w:t>
      </w:r>
      <w:r w:rsidRPr="007A3898">
        <w:rPr>
          <w:szCs w:val="24"/>
        </w:rPr>
        <w:t>установлено, что</w:t>
      </w:r>
      <w:r>
        <w:rPr>
          <w:b/>
          <w:szCs w:val="24"/>
        </w:rPr>
        <w:t xml:space="preserve"> </w:t>
      </w:r>
      <w:r w:rsidRPr="00F36036">
        <w:rPr>
          <w:szCs w:val="24"/>
        </w:rPr>
        <w:t>в</w:t>
      </w:r>
      <w:r w:rsidRPr="005067CB">
        <w:t xml:space="preserve"> соответствии с приложением 23 к </w:t>
      </w:r>
      <w:r>
        <w:t>з</w:t>
      </w:r>
      <w:r w:rsidRPr="005067CB">
        <w:t xml:space="preserve">акону об областном бюджете на 2017 год </w:t>
      </w:r>
      <w:r>
        <w:t xml:space="preserve">комитету были утверждены </w:t>
      </w:r>
      <w:r w:rsidRPr="005067CB">
        <w:t>бюджетные ассигнования в объеме 102</w:t>
      </w:r>
      <w:r>
        <w:t>,</w:t>
      </w:r>
      <w:r w:rsidRPr="005067CB">
        <w:t xml:space="preserve">5 </w:t>
      </w:r>
      <w:r>
        <w:t>млн</w:t>
      </w:r>
      <w:r w:rsidRPr="005067CB">
        <w:t xml:space="preserve">. руб. на строительство </w:t>
      </w:r>
      <w:r w:rsidR="00DE064B">
        <w:t xml:space="preserve">для областных нужд </w:t>
      </w:r>
      <w:r>
        <w:t xml:space="preserve">четырех пожарных депо - в Жирновском, </w:t>
      </w:r>
      <w:proofErr w:type="spellStart"/>
      <w:r>
        <w:t>Руднянском</w:t>
      </w:r>
      <w:proofErr w:type="spellEnd"/>
      <w:r>
        <w:t xml:space="preserve">, </w:t>
      </w:r>
      <w:proofErr w:type="spellStart"/>
      <w:r>
        <w:t>Камышинском</w:t>
      </w:r>
      <w:proofErr w:type="spellEnd"/>
      <w:r>
        <w:t xml:space="preserve"> и Котовском районах, пострадавших от</w:t>
      </w:r>
      <w:r w:rsidRPr="005067CB">
        <w:t xml:space="preserve"> природных пожаров 2-</w:t>
      </w:r>
      <w:r>
        <w:t>3 сентября 2010 года.</w:t>
      </w:r>
      <w:proofErr w:type="gramEnd"/>
    </w:p>
    <w:p w:rsidR="007A3898" w:rsidRPr="007A3898" w:rsidRDefault="007A3898" w:rsidP="007A3898">
      <w:pPr>
        <w:pStyle w:val="1"/>
        <w:spacing w:before="0" w:after="0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="00DE064B">
        <w:rPr>
          <w:rFonts w:ascii="Times New Roman" w:hAnsi="Times New Roman"/>
          <w:b w:val="0"/>
          <w:color w:val="auto"/>
          <w:sz w:val="24"/>
          <w:szCs w:val="24"/>
        </w:rPr>
        <w:tab/>
        <w:t>Фактически данные расходы исполнены п</w:t>
      </w:r>
      <w:r w:rsidRPr="007A3898">
        <w:rPr>
          <w:rFonts w:ascii="Times New Roman" w:hAnsi="Times New Roman"/>
          <w:b w:val="0"/>
          <w:color w:val="auto"/>
          <w:sz w:val="24"/>
          <w:szCs w:val="24"/>
        </w:rPr>
        <w:t>о подразделу 0310 «Обеспечение пожарной безопасности»</w:t>
      </w:r>
      <w:r w:rsidR="00DE064B">
        <w:rPr>
          <w:rFonts w:ascii="Times New Roman" w:hAnsi="Times New Roman"/>
          <w:b w:val="0"/>
          <w:color w:val="auto"/>
          <w:sz w:val="24"/>
          <w:szCs w:val="24"/>
        </w:rPr>
        <w:t xml:space="preserve"> в сумме</w:t>
      </w:r>
      <w:r w:rsidRPr="007A3898">
        <w:rPr>
          <w:rFonts w:ascii="Times New Roman" w:hAnsi="Times New Roman"/>
          <w:b w:val="0"/>
          <w:color w:val="auto"/>
          <w:sz w:val="24"/>
          <w:szCs w:val="24"/>
        </w:rPr>
        <w:t xml:space="preserve"> 10</w:t>
      </w:r>
      <w:r w:rsidR="00DE064B">
        <w:rPr>
          <w:rFonts w:ascii="Times New Roman" w:hAnsi="Times New Roman"/>
          <w:b w:val="0"/>
          <w:color w:val="auto"/>
          <w:sz w:val="24"/>
          <w:szCs w:val="24"/>
        </w:rPr>
        <w:t>,7</w:t>
      </w:r>
      <w:r w:rsidRPr="007A3898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="00DE064B">
        <w:rPr>
          <w:rFonts w:ascii="Times New Roman" w:hAnsi="Times New Roman"/>
          <w:b w:val="0"/>
          <w:color w:val="auto"/>
          <w:sz w:val="24"/>
          <w:szCs w:val="24"/>
        </w:rPr>
        <w:t>млн</w:t>
      </w:r>
      <w:r w:rsidRPr="007A3898">
        <w:rPr>
          <w:rFonts w:ascii="Times New Roman" w:hAnsi="Times New Roman"/>
          <w:b w:val="0"/>
          <w:color w:val="auto"/>
          <w:sz w:val="24"/>
          <w:szCs w:val="24"/>
        </w:rPr>
        <w:t xml:space="preserve">. руб., </w:t>
      </w:r>
      <w:r w:rsidR="00DE064B">
        <w:rPr>
          <w:rFonts w:ascii="Times New Roman" w:hAnsi="Times New Roman"/>
          <w:b w:val="0"/>
          <w:color w:val="auto"/>
          <w:sz w:val="24"/>
          <w:szCs w:val="24"/>
        </w:rPr>
        <w:t>что составило</w:t>
      </w:r>
      <w:r w:rsidRPr="007A3898">
        <w:rPr>
          <w:rFonts w:ascii="Times New Roman" w:hAnsi="Times New Roman"/>
          <w:b w:val="0"/>
          <w:color w:val="auto"/>
          <w:sz w:val="24"/>
          <w:szCs w:val="24"/>
        </w:rPr>
        <w:t xml:space="preserve"> 74,2% от назначений сводной бюджетной росписи и </w:t>
      </w:r>
      <w:r w:rsidR="00DE064B">
        <w:rPr>
          <w:rFonts w:ascii="Times New Roman" w:hAnsi="Times New Roman"/>
          <w:b w:val="0"/>
          <w:color w:val="auto"/>
          <w:sz w:val="24"/>
          <w:szCs w:val="24"/>
        </w:rPr>
        <w:t xml:space="preserve">всего </w:t>
      </w:r>
      <w:r w:rsidRPr="007A3898">
        <w:rPr>
          <w:rFonts w:ascii="Times New Roman" w:hAnsi="Times New Roman"/>
          <w:b w:val="0"/>
          <w:color w:val="auto"/>
          <w:sz w:val="24"/>
          <w:szCs w:val="24"/>
        </w:rPr>
        <w:t xml:space="preserve">10,4%  от ассигнований, утвержденных </w:t>
      </w:r>
      <w:r w:rsidR="00DE064B">
        <w:rPr>
          <w:rFonts w:ascii="Times New Roman" w:hAnsi="Times New Roman"/>
          <w:b w:val="0"/>
          <w:color w:val="auto"/>
          <w:sz w:val="24"/>
          <w:szCs w:val="24"/>
        </w:rPr>
        <w:t>з</w:t>
      </w:r>
      <w:r w:rsidRPr="007A3898">
        <w:rPr>
          <w:rFonts w:ascii="Times New Roman" w:hAnsi="Times New Roman"/>
          <w:b w:val="0"/>
          <w:color w:val="auto"/>
          <w:sz w:val="24"/>
          <w:szCs w:val="24"/>
        </w:rPr>
        <w:t>аконом о бюджете.</w:t>
      </w:r>
    </w:p>
    <w:p w:rsidR="007A3898" w:rsidRPr="00CD2444" w:rsidRDefault="007A3898" w:rsidP="007A3898">
      <w:pPr>
        <w:pStyle w:val="ConsPlusNormal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5067CB">
        <w:rPr>
          <w:rFonts w:ascii="Times New Roman" w:eastAsia="Times New Roman" w:hAnsi="Times New Roman"/>
          <w:sz w:val="24"/>
          <w:szCs w:val="24"/>
        </w:rPr>
        <w:t xml:space="preserve">ГКУ </w:t>
      </w:r>
      <w:r w:rsidR="00F20798">
        <w:rPr>
          <w:rFonts w:ascii="Times New Roman" w:eastAsia="Times New Roman" w:hAnsi="Times New Roman"/>
          <w:sz w:val="24"/>
          <w:szCs w:val="24"/>
        </w:rPr>
        <w:t>«</w:t>
      </w:r>
      <w:r w:rsidRPr="005067CB">
        <w:rPr>
          <w:rFonts w:ascii="Times New Roman" w:eastAsia="Times New Roman" w:hAnsi="Times New Roman"/>
          <w:sz w:val="24"/>
          <w:szCs w:val="24"/>
        </w:rPr>
        <w:t>У</w:t>
      </w:r>
      <w:r w:rsidR="00F20798">
        <w:rPr>
          <w:rFonts w:ascii="Times New Roman" w:eastAsia="Times New Roman" w:hAnsi="Times New Roman"/>
          <w:sz w:val="24"/>
          <w:szCs w:val="24"/>
        </w:rPr>
        <w:t xml:space="preserve">правление капитального строительства», </w:t>
      </w:r>
      <w:proofErr w:type="gramStart"/>
      <w:r w:rsidR="00F20798">
        <w:rPr>
          <w:rFonts w:ascii="Times New Roman" w:eastAsia="Times New Roman" w:hAnsi="Times New Roman"/>
          <w:sz w:val="24"/>
          <w:szCs w:val="24"/>
        </w:rPr>
        <w:t>подведомственн</w:t>
      </w:r>
      <w:r w:rsidR="00F36036">
        <w:rPr>
          <w:rFonts w:ascii="Times New Roman" w:eastAsia="Times New Roman" w:hAnsi="Times New Roman"/>
          <w:sz w:val="24"/>
          <w:szCs w:val="24"/>
        </w:rPr>
        <w:t>ы</w:t>
      </w:r>
      <w:r w:rsidR="00F20798">
        <w:rPr>
          <w:rFonts w:ascii="Times New Roman" w:eastAsia="Times New Roman" w:hAnsi="Times New Roman"/>
          <w:sz w:val="24"/>
          <w:szCs w:val="24"/>
        </w:rPr>
        <w:t>м</w:t>
      </w:r>
      <w:proofErr w:type="gramEnd"/>
      <w:r w:rsidR="00F20798">
        <w:rPr>
          <w:rFonts w:ascii="Times New Roman" w:eastAsia="Times New Roman" w:hAnsi="Times New Roman"/>
          <w:sz w:val="24"/>
          <w:szCs w:val="24"/>
        </w:rPr>
        <w:t xml:space="preserve"> комитету строительства, </w:t>
      </w:r>
      <w:r>
        <w:rPr>
          <w:rFonts w:ascii="Times New Roman" w:eastAsia="Times New Roman" w:hAnsi="Times New Roman"/>
          <w:sz w:val="24"/>
          <w:szCs w:val="24"/>
        </w:rPr>
        <w:t>заключены четыре государственных контракта на общую сумму 92</w:t>
      </w:r>
      <w:r w:rsidR="00F20798"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z w:val="24"/>
          <w:szCs w:val="24"/>
        </w:rPr>
        <w:t xml:space="preserve">3 </w:t>
      </w:r>
      <w:r w:rsidR="00F20798">
        <w:rPr>
          <w:rFonts w:ascii="Times New Roman" w:eastAsia="Times New Roman" w:hAnsi="Times New Roman"/>
          <w:sz w:val="24"/>
          <w:szCs w:val="24"/>
        </w:rPr>
        <w:t>млн</w:t>
      </w:r>
      <w:r>
        <w:rPr>
          <w:rFonts w:ascii="Times New Roman" w:eastAsia="Times New Roman" w:hAnsi="Times New Roman"/>
          <w:sz w:val="24"/>
          <w:szCs w:val="24"/>
        </w:rPr>
        <w:t xml:space="preserve">. руб. на строительство </w:t>
      </w:r>
      <w:r w:rsidR="00F20798">
        <w:rPr>
          <w:rFonts w:ascii="Times New Roman" w:eastAsia="Times New Roman" w:hAnsi="Times New Roman"/>
          <w:sz w:val="24"/>
          <w:szCs w:val="24"/>
        </w:rPr>
        <w:t xml:space="preserve">указанных </w:t>
      </w:r>
      <w:r>
        <w:rPr>
          <w:rFonts w:ascii="Times New Roman" w:eastAsia="Times New Roman" w:hAnsi="Times New Roman"/>
          <w:sz w:val="24"/>
          <w:szCs w:val="24"/>
        </w:rPr>
        <w:t xml:space="preserve">объектов в срок до 31.12.2017. В связи с нарушением обязательств подрядчиками степень </w:t>
      </w:r>
      <w:r w:rsidRPr="006E23DF">
        <w:rPr>
          <w:rFonts w:ascii="Times New Roman" w:eastAsia="Times New Roman" w:hAnsi="Times New Roman"/>
          <w:sz w:val="24"/>
          <w:szCs w:val="24"/>
        </w:rPr>
        <w:t>готовности объектов на 01.01.2018 состав</w:t>
      </w:r>
      <w:r>
        <w:rPr>
          <w:rFonts w:ascii="Times New Roman" w:eastAsia="Times New Roman" w:hAnsi="Times New Roman"/>
          <w:sz w:val="24"/>
          <w:szCs w:val="24"/>
        </w:rPr>
        <w:t>ила</w:t>
      </w:r>
      <w:r w:rsidRPr="006E23DF">
        <w:rPr>
          <w:rFonts w:ascii="Times New Roman" w:eastAsia="Times New Roman" w:hAnsi="Times New Roman"/>
          <w:sz w:val="24"/>
          <w:szCs w:val="24"/>
        </w:rPr>
        <w:t xml:space="preserve"> от 5 до 23</w:t>
      </w:r>
      <w:r>
        <w:rPr>
          <w:rFonts w:ascii="Times New Roman" w:eastAsia="Times New Roman" w:hAnsi="Times New Roman"/>
          <w:sz w:val="24"/>
          <w:szCs w:val="24"/>
        </w:rPr>
        <w:t xml:space="preserve"> процентов</w:t>
      </w:r>
      <w:r w:rsidRPr="006E23DF">
        <w:rPr>
          <w:rFonts w:ascii="Times New Roman" w:eastAsia="Times New Roman" w:hAnsi="Times New Roman"/>
          <w:sz w:val="24"/>
          <w:szCs w:val="24"/>
        </w:rPr>
        <w:t>. Оплата произвед</w:t>
      </w:r>
      <w:r>
        <w:rPr>
          <w:rFonts w:ascii="Times New Roman" w:eastAsia="Times New Roman" w:hAnsi="Times New Roman"/>
          <w:sz w:val="24"/>
          <w:szCs w:val="24"/>
        </w:rPr>
        <w:t xml:space="preserve">ена по факту выполненных работ, кредиторская задолженность ГКУ </w:t>
      </w:r>
      <w:r w:rsidR="00F20798">
        <w:rPr>
          <w:rFonts w:ascii="Times New Roman" w:eastAsia="Times New Roman" w:hAnsi="Times New Roman"/>
          <w:sz w:val="24"/>
          <w:szCs w:val="24"/>
        </w:rPr>
        <w:t>на начало 2018 года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F20798">
        <w:rPr>
          <w:rFonts w:ascii="Times New Roman" w:eastAsia="Times New Roman" w:hAnsi="Times New Roman"/>
          <w:sz w:val="24"/>
          <w:szCs w:val="24"/>
        </w:rPr>
        <w:t>отсутствовала</w:t>
      </w:r>
      <w:r>
        <w:rPr>
          <w:rFonts w:ascii="Times New Roman" w:eastAsia="Times New Roman" w:hAnsi="Times New Roman"/>
          <w:sz w:val="24"/>
          <w:szCs w:val="24"/>
        </w:rPr>
        <w:t xml:space="preserve">. По пояснениям </w:t>
      </w:r>
      <w:r w:rsidR="00F20798">
        <w:rPr>
          <w:rFonts w:ascii="Times New Roman" w:eastAsia="Times New Roman" w:hAnsi="Times New Roman"/>
          <w:sz w:val="24"/>
          <w:szCs w:val="24"/>
        </w:rPr>
        <w:t>к</w:t>
      </w:r>
      <w:r>
        <w:rPr>
          <w:rFonts w:ascii="Times New Roman" w:eastAsia="Times New Roman" w:hAnsi="Times New Roman"/>
          <w:sz w:val="24"/>
          <w:szCs w:val="24"/>
        </w:rPr>
        <w:t xml:space="preserve">омитета в ходе строительства в связи с изменениями строительных и противопожарных норм выявлена необходимость корректировки проектной документации, которую планируется завершить до 01.05.2018.  </w:t>
      </w:r>
      <w:r w:rsidR="00AE6719">
        <w:rPr>
          <w:rFonts w:ascii="Times New Roman" w:eastAsia="Times New Roman" w:hAnsi="Times New Roman"/>
          <w:sz w:val="24"/>
          <w:szCs w:val="24"/>
        </w:rPr>
        <w:t xml:space="preserve">Предположительно </w:t>
      </w:r>
      <w:r>
        <w:rPr>
          <w:rFonts w:ascii="Times New Roman" w:eastAsia="Times New Roman" w:hAnsi="Times New Roman"/>
          <w:sz w:val="24"/>
          <w:szCs w:val="24"/>
        </w:rPr>
        <w:t xml:space="preserve">срок завершения строительно-монтажных работ – июнь 2018 года.  Расторжение государственных контрактов, по мнению </w:t>
      </w:r>
      <w:r w:rsidR="00AE6719">
        <w:rPr>
          <w:rFonts w:ascii="Times New Roman" w:eastAsia="Times New Roman" w:hAnsi="Times New Roman"/>
          <w:sz w:val="24"/>
          <w:szCs w:val="24"/>
        </w:rPr>
        <w:t>к</w:t>
      </w:r>
      <w:r>
        <w:rPr>
          <w:rFonts w:ascii="Times New Roman" w:eastAsia="Times New Roman" w:hAnsi="Times New Roman"/>
          <w:sz w:val="24"/>
          <w:szCs w:val="24"/>
        </w:rPr>
        <w:t>омитета, нецелесообразно ввиду длительности процедуры определения нового подрядчика.</w:t>
      </w:r>
    </w:p>
    <w:p w:rsidR="00295D00" w:rsidRDefault="00295D00" w:rsidP="007A3898"/>
    <w:p w:rsidR="00D41DD0" w:rsidRDefault="00D41DD0" w:rsidP="00CF4BD6">
      <w:pPr>
        <w:tabs>
          <w:tab w:val="left" w:pos="2985"/>
        </w:tabs>
        <w:ind w:firstLine="708"/>
        <w:jc w:val="center"/>
        <w:rPr>
          <w:b/>
          <w:szCs w:val="24"/>
        </w:rPr>
      </w:pPr>
      <w:r>
        <w:rPr>
          <w:b/>
          <w:szCs w:val="24"/>
        </w:rPr>
        <w:t>4.3. Расходы по разделу 0400 « Национальная экономика».</w:t>
      </w:r>
    </w:p>
    <w:p w:rsidR="00D41DD0" w:rsidRDefault="00D41DD0" w:rsidP="00D41DD0">
      <w:pPr>
        <w:ind w:firstLine="708"/>
        <w:jc w:val="both"/>
      </w:pPr>
    </w:p>
    <w:p w:rsidR="00F028B3" w:rsidRDefault="00D41DD0" w:rsidP="00F028B3">
      <w:pPr>
        <w:ind w:firstLine="708"/>
        <w:jc w:val="both"/>
      </w:pPr>
      <w:r>
        <w:t>Уточненные бюджетные ассигнования на 20</w:t>
      </w:r>
      <w:r w:rsidR="00F2673E">
        <w:t>1</w:t>
      </w:r>
      <w:r w:rsidR="006350F4">
        <w:t>7</w:t>
      </w:r>
      <w:r>
        <w:t xml:space="preserve"> год по разделу </w:t>
      </w:r>
      <w:r w:rsidRPr="00226E91">
        <w:t>«</w:t>
      </w:r>
      <w:r w:rsidRPr="00226E91">
        <w:rPr>
          <w:szCs w:val="24"/>
        </w:rPr>
        <w:t>Национальная</w:t>
      </w:r>
      <w:r>
        <w:rPr>
          <w:szCs w:val="24"/>
        </w:rPr>
        <w:t xml:space="preserve"> экономика</w:t>
      </w:r>
      <w:r w:rsidRPr="00226E91">
        <w:rPr>
          <w:szCs w:val="24"/>
        </w:rPr>
        <w:t>»</w:t>
      </w:r>
      <w:r>
        <w:rPr>
          <w:szCs w:val="24"/>
        </w:rPr>
        <w:t xml:space="preserve"> </w:t>
      </w:r>
      <w:r>
        <w:t xml:space="preserve">утверждены в размере </w:t>
      </w:r>
      <w:r w:rsidR="0018447A">
        <w:t>18179,4</w:t>
      </w:r>
      <w:r w:rsidR="00244636">
        <w:t xml:space="preserve"> </w:t>
      </w:r>
      <w:r w:rsidRPr="00AB2A0A">
        <w:t>млн. рублей</w:t>
      </w:r>
      <w:r>
        <w:t xml:space="preserve">. </w:t>
      </w:r>
      <w:r w:rsidR="00AB1657">
        <w:t>Ф</w:t>
      </w:r>
      <w:r>
        <w:t xml:space="preserve">актическое исполнение расходов составило </w:t>
      </w:r>
      <w:r w:rsidR="00DD4AF6">
        <w:rPr>
          <w:b/>
          <w:bCs/>
          <w:sz w:val="18"/>
          <w:szCs w:val="18"/>
        </w:rPr>
        <w:t xml:space="preserve"> </w:t>
      </w:r>
      <w:r w:rsidR="0018447A" w:rsidRPr="0018447A">
        <w:rPr>
          <w:bCs/>
          <w:szCs w:val="24"/>
        </w:rPr>
        <w:t>16742,4</w:t>
      </w:r>
      <w:r w:rsidR="0018447A">
        <w:rPr>
          <w:b/>
          <w:bCs/>
          <w:sz w:val="18"/>
          <w:szCs w:val="18"/>
        </w:rPr>
        <w:t xml:space="preserve"> </w:t>
      </w:r>
      <w:r>
        <w:t xml:space="preserve">млн. руб., или </w:t>
      </w:r>
      <w:r w:rsidR="0018447A">
        <w:t>92,1</w:t>
      </w:r>
      <w:r w:rsidRPr="00AB2A0A">
        <w:t>%</w:t>
      </w:r>
      <w:r>
        <w:t xml:space="preserve"> от </w:t>
      </w:r>
      <w:r w:rsidR="008B53C0">
        <w:t>плана</w:t>
      </w:r>
      <w:r w:rsidR="00A108E2">
        <w:t xml:space="preserve">, </w:t>
      </w:r>
      <w:r w:rsidR="00DD4AF6">
        <w:t>в том числе</w:t>
      </w:r>
      <w:r w:rsidR="00AB1657">
        <w:t xml:space="preserve"> по ГРБС</w:t>
      </w:r>
      <w:r w:rsidR="00DD4AF6">
        <w:t>:</w:t>
      </w:r>
    </w:p>
    <w:p w:rsidR="00BA0044" w:rsidRPr="0018447A" w:rsidRDefault="0018447A" w:rsidP="0018447A">
      <w:pPr>
        <w:jc w:val="right"/>
        <w:rPr>
          <w:sz w:val="20"/>
        </w:rPr>
      </w:pPr>
      <w:r>
        <w:rPr>
          <w:sz w:val="20"/>
        </w:rPr>
        <w:t>млн. руб.</w:t>
      </w:r>
    </w:p>
    <w:tbl>
      <w:tblPr>
        <w:tblW w:w="9510" w:type="dxa"/>
        <w:tblInd w:w="96" w:type="dxa"/>
        <w:tblLayout w:type="fixed"/>
        <w:tblLook w:val="04A0"/>
      </w:tblPr>
      <w:tblGrid>
        <w:gridCol w:w="3981"/>
        <w:gridCol w:w="1134"/>
        <w:gridCol w:w="993"/>
        <w:gridCol w:w="1134"/>
        <w:gridCol w:w="992"/>
        <w:gridCol w:w="1276"/>
      </w:tblGrid>
      <w:tr w:rsidR="0018447A" w:rsidRPr="0018447A" w:rsidTr="0018447A">
        <w:trPr>
          <w:trHeight w:val="20"/>
        </w:trPr>
        <w:tc>
          <w:tcPr>
            <w:tcW w:w="3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18447A" w:rsidRPr="0018447A" w:rsidRDefault="0018447A" w:rsidP="0040759A">
            <w:pPr>
              <w:jc w:val="center"/>
              <w:rPr>
                <w:b/>
                <w:i/>
                <w:iCs/>
                <w:sz w:val="20"/>
              </w:rPr>
            </w:pPr>
            <w:r w:rsidRPr="0018447A">
              <w:rPr>
                <w:b/>
                <w:i/>
                <w:iCs/>
                <w:sz w:val="20"/>
              </w:rPr>
              <w:t>Наименование ГРБС</w:t>
            </w:r>
          </w:p>
        </w:tc>
        <w:tc>
          <w:tcPr>
            <w:tcW w:w="5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18447A" w:rsidRPr="0018447A" w:rsidRDefault="0018447A" w:rsidP="0040759A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18447A">
              <w:rPr>
                <w:b/>
                <w:bCs/>
                <w:i/>
                <w:iCs/>
                <w:sz w:val="20"/>
              </w:rPr>
              <w:t>Национальная экономика</w:t>
            </w:r>
          </w:p>
        </w:tc>
      </w:tr>
      <w:tr w:rsidR="0018447A" w:rsidRPr="0018447A" w:rsidTr="0018447A">
        <w:trPr>
          <w:trHeight w:val="20"/>
        </w:trPr>
        <w:tc>
          <w:tcPr>
            <w:tcW w:w="3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18447A" w:rsidRPr="0018447A" w:rsidRDefault="0018447A" w:rsidP="0040759A">
            <w:pPr>
              <w:rPr>
                <w:b/>
                <w:i/>
                <w:iCs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  <w:hideMark/>
          </w:tcPr>
          <w:p w:rsidR="0018447A" w:rsidRPr="0018447A" w:rsidRDefault="0018447A" w:rsidP="0040759A">
            <w:pPr>
              <w:jc w:val="center"/>
              <w:rPr>
                <w:b/>
                <w:i/>
                <w:iCs/>
                <w:sz w:val="20"/>
              </w:rPr>
            </w:pPr>
            <w:r w:rsidRPr="0018447A">
              <w:rPr>
                <w:b/>
                <w:i/>
                <w:iCs/>
                <w:sz w:val="20"/>
              </w:rPr>
              <w:t>факт 2016</w:t>
            </w:r>
            <w:r w:rsidR="00B23F69">
              <w:rPr>
                <w:b/>
                <w:i/>
                <w:iCs/>
                <w:sz w:val="20"/>
              </w:rPr>
              <w:t xml:space="preserve"> 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  <w:hideMark/>
          </w:tcPr>
          <w:p w:rsidR="0018447A" w:rsidRPr="0018447A" w:rsidRDefault="0018447A" w:rsidP="0040759A">
            <w:pPr>
              <w:jc w:val="center"/>
              <w:rPr>
                <w:b/>
                <w:i/>
                <w:iCs/>
                <w:sz w:val="20"/>
              </w:rPr>
            </w:pPr>
            <w:r w:rsidRPr="0018447A">
              <w:rPr>
                <w:b/>
                <w:i/>
                <w:iCs/>
                <w:sz w:val="20"/>
              </w:rPr>
              <w:t>план 2017</w:t>
            </w:r>
            <w:r w:rsidR="00B23F69">
              <w:rPr>
                <w:b/>
                <w:i/>
                <w:iCs/>
                <w:sz w:val="20"/>
              </w:rPr>
              <w:t xml:space="preserve">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  <w:hideMark/>
          </w:tcPr>
          <w:p w:rsidR="0018447A" w:rsidRPr="0018447A" w:rsidRDefault="0018447A" w:rsidP="0040759A">
            <w:pPr>
              <w:jc w:val="center"/>
              <w:rPr>
                <w:b/>
                <w:i/>
                <w:iCs/>
                <w:sz w:val="20"/>
              </w:rPr>
            </w:pPr>
            <w:r w:rsidRPr="0018447A">
              <w:rPr>
                <w:b/>
                <w:i/>
                <w:iCs/>
                <w:sz w:val="20"/>
              </w:rPr>
              <w:t>факт 2017</w:t>
            </w:r>
            <w:r w:rsidR="00B23F69">
              <w:rPr>
                <w:b/>
                <w:i/>
                <w:iCs/>
                <w:sz w:val="20"/>
              </w:rPr>
              <w:t xml:space="preserve">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18447A" w:rsidRPr="0018447A" w:rsidRDefault="0018447A" w:rsidP="0018447A">
            <w:pPr>
              <w:jc w:val="center"/>
              <w:rPr>
                <w:b/>
                <w:i/>
                <w:iCs/>
                <w:sz w:val="20"/>
              </w:rPr>
            </w:pPr>
            <w:r w:rsidRPr="0018447A">
              <w:rPr>
                <w:b/>
                <w:i/>
                <w:iCs/>
                <w:sz w:val="20"/>
              </w:rPr>
              <w:t>исполнен</w:t>
            </w:r>
            <w:r>
              <w:rPr>
                <w:b/>
                <w:i/>
                <w:iCs/>
                <w:sz w:val="20"/>
              </w:rPr>
              <w:t>о</w:t>
            </w:r>
            <w:r w:rsidRPr="0018447A">
              <w:rPr>
                <w:b/>
                <w:i/>
                <w:iCs/>
                <w:sz w:val="20"/>
              </w:rPr>
              <w:t>, %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18447A" w:rsidRPr="0018447A" w:rsidRDefault="0018447A" w:rsidP="0018447A">
            <w:pPr>
              <w:jc w:val="center"/>
              <w:rPr>
                <w:b/>
                <w:i/>
                <w:iCs/>
                <w:sz w:val="20"/>
              </w:rPr>
            </w:pPr>
            <w:r w:rsidRPr="0018447A">
              <w:rPr>
                <w:b/>
                <w:i/>
                <w:iCs/>
                <w:sz w:val="20"/>
              </w:rPr>
              <w:t>сравнение с 2016 г</w:t>
            </w:r>
            <w:r>
              <w:rPr>
                <w:b/>
                <w:i/>
                <w:iCs/>
                <w:sz w:val="20"/>
              </w:rPr>
              <w:t>.</w:t>
            </w:r>
            <w:r w:rsidRPr="0018447A">
              <w:rPr>
                <w:b/>
                <w:i/>
                <w:iCs/>
                <w:sz w:val="20"/>
              </w:rPr>
              <w:t>, %</w:t>
            </w:r>
          </w:p>
        </w:tc>
      </w:tr>
      <w:tr w:rsidR="0018447A" w:rsidRPr="0018447A" w:rsidTr="0018447A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47A" w:rsidRPr="0018447A" w:rsidRDefault="0018447A" w:rsidP="0040759A">
            <w:pPr>
              <w:rPr>
                <w:sz w:val="20"/>
              </w:rPr>
            </w:pPr>
            <w:r w:rsidRPr="0018447A">
              <w:rPr>
                <w:sz w:val="20"/>
              </w:rPr>
              <w:t xml:space="preserve">Комитет строительства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r w:rsidRPr="0018447A">
              <w:rPr>
                <w:sz w:val="20"/>
              </w:rPr>
              <w:t>192,5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r w:rsidRPr="0018447A">
              <w:rPr>
                <w:sz w:val="20"/>
              </w:rPr>
              <w:t>373,6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r w:rsidRPr="0018447A">
              <w:rPr>
                <w:sz w:val="20"/>
              </w:rPr>
              <w:t>307,9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r w:rsidRPr="0018447A">
              <w:rPr>
                <w:sz w:val="20"/>
              </w:rPr>
              <w:t>82,4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r w:rsidRPr="0018447A">
              <w:rPr>
                <w:sz w:val="20"/>
              </w:rPr>
              <w:t>160,0</w:t>
            </w:r>
          </w:p>
        </w:tc>
      </w:tr>
      <w:tr w:rsidR="0018447A" w:rsidRPr="0018447A" w:rsidTr="007320B4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47A" w:rsidRPr="0018447A" w:rsidRDefault="0018447A" w:rsidP="006064C2">
            <w:pPr>
              <w:rPr>
                <w:sz w:val="20"/>
              </w:rPr>
            </w:pPr>
            <w:r w:rsidRPr="0018447A">
              <w:rPr>
                <w:sz w:val="20"/>
              </w:rPr>
              <w:t xml:space="preserve">Комитет жилищно-коммунального хозяйства и </w:t>
            </w:r>
            <w:r w:rsidR="006064C2">
              <w:rPr>
                <w:sz w:val="20"/>
              </w:rPr>
              <w:t>ТЭК</w:t>
            </w:r>
            <w:r w:rsidRPr="0018447A">
              <w:rPr>
                <w:sz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C33F73" w:rsidP="0018447A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r w:rsidRPr="0018447A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r w:rsidRPr="0018447A">
              <w:rPr>
                <w:sz w:val="20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proofErr w:type="spellStart"/>
            <w:r w:rsidRPr="0018447A">
              <w:rPr>
                <w:sz w:val="20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х</w:t>
            </w:r>
            <w:proofErr w:type="spellEnd"/>
          </w:p>
        </w:tc>
      </w:tr>
      <w:tr w:rsidR="0018447A" w:rsidRPr="0018447A" w:rsidTr="007320B4">
        <w:trPr>
          <w:trHeight w:val="20"/>
        </w:trPr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47A" w:rsidRPr="0018447A" w:rsidRDefault="0018447A" w:rsidP="0040759A">
            <w:pPr>
              <w:rPr>
                <w:sz w:val="20"/>
              </w:rPr>
            </w:pPr>
            <w:r w:rsidRPr="0018447A">
              <w:rPr>
                <w:sz w:val="20"/>
              </w:rPr>
              <w:lastRenderedPageBreak/>
              <w:t xml:space="preserve">Комитет топливно-энергетического комплекса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r w:rsidRPr="0018447A">
              <w:rPr>
                <w:sz w:val="20"/>
              </w:rPr>
              <w:t>18,7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r w:rsidRPr="0018447A">
              <w:rPr>
                <w:sz w:val="20"/>
              </w:rPr>
              <w:t>16,3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r w:rsidRPr="0018447A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r w:rsidRPr="0018447A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r w:rsidRPr="0018447A">
              <w:rPr>
                <w:sz w:val="20"/>
              </w:rPr>
              <w:t>0,0</w:t>
            </w:r>
          </w:p>
        </w:tc>
      </w:tr>
      <w:tr w:rsidR="0018447A" w:rsidRPr="0018447A" w:rsidTr="0018447A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47A" w:rsidRPr="0018447A" w:rsidRDefault="0018447A" w:rsidP="0040759A">
            <w:pPr>
              <w:rPr>
                <w:sz w:val="20"/>
              </w:rPr>
            </w:pPr>
            <w:r w:rsidRPr="0018447A">
              <w:rPr>
                <w:sz w:val="20"/>
              </w:rPr>
              <w:t xml:space="preserve">Комитет тарифного регулирования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r w:rsidRPr="0018447A">
              <w:rPr>
                <w:sz w:val="20"/>
              </w:rPr>
              <w:t>53,1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r w:rsidRPr="0018447A">
              <w:rPr>
                <w:sz w:val="20"/>
              </w:rPr>
              <w:t>45,1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r w:rsidRPr="0018447A">
              <w:rPr>
                <w:sz w:val="20"/>
              </w:rPr>
              <w:t>48,8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r w:rsidRPr="0018447A">
              <w:rPr>
                <w:sz w:val="20"/>
              </w:rPr>
              <w:t>108,4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r w:rsidRPr="0018447A">
              <w:rPr>
                <w:sz w:val="20"/>
              </w:rPr>
              <w:t>92,0</w:t>
            </w:r>
          </w:p>
        </w:tc>
      </w:tr>
      <w:tr w:rsidR="0018447A" w:rsidRPr="0018447A" w:rsidTr="0018447A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47A" w:rsidRPr="0018447A" w:rsidRDefault="0018447A" w:rsidP="0040759A">
            <w:pPr>
              <w:rPr>
                <w:sz w:val="20"/>
              </w:rPr>
            </w:pPr>
            <w:r w:rsidRPr="0018447A">
              <w:rPr>
                <w:sz w:val="20"/>
              </w:rPr>
              <w:t xml:space="preserve">Комитет культуры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r w:rsidRPr="0018447A">
              <w:rPr>
                <w:sz w:val="20"/>
              </w:rPr>
              <w:t>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r w:rsidRPr="0018447A">
              <w:rPr>
                <w:sz w:val="20"/>
              </w:rPr>
              <w:t>21,1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r w:rsidRPr="0018447A">
              <w:rPr>
                <w:sz w:val="20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r w:rsidRPr="0018447A">
              <w:rPr>
                <w:sz w:val="20"/>
              </w:rPr>
              <w:t>21,2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r w:rsidRPr="0018447A">
              <w:rPr>
                <w:sz w:val="20"/>
              </w:rPr>
              <w:t>45,7</w:t>
            </w:r>
          </w:p>
        </w:tc>
      </w:tr>
      <w:tr w:rsidR="0018447A" w:rsidRPr="0018447A" w:rsidTr="0018447A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47A" w:rsidRPr="0018447A" w:rsidRDefault="0018447A" w:rsidP="0040759A">
            <w:pPr>
              <w:rPr>
                <w:sz w:val="20"/>
              </w:rPr>
            </w:pPr>
            <w:r w:rsidRPr="0018447A">
              <w:rPr>
                <w:sz w:val="20"/>
              </w:rPr>
              <w:t xml:space="preserve">Комитет лесного хозяйства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r w:rsidRPr="0018447A">
              <w:rPr>
                <w:sz w:val="20"/>
              </w:rPr>
              <w:t>373,0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r w:rsidRPr="0018447A">
              <w:rPr>
                <w:sz w:val="20"/>
              </w:rPr>
              <w:t>301,1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r w:rsidRPr="0018447A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r w:rsidRPr="0018447A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r w:rsidRPr="0018447A">
              <w:rPr>
                <w:sz w:val="20"/>
              </w:rPr>
              <w:t>0,0</w:t>
            </w:r>
          </w:p>
        </w:tc>
      </w:tr>
      <w:tr w:rsidR="0018447A" w:rsidRPr="0018447A" w:rsidTr="0018447A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47A" w:rsidRPr="0018447A" w:rsidRDefault="0018447A" w:rsidP="0040759A">
            <w:pPr>
              <w:rPr>
                <w:sz w:val="20"/>
              </w:rPr>
            </w:pPr>
            <w:r w:rsidRPr="0018447A">
              <w:rPr>
                <w:sz w:val="20"/>
              </w:rPr>
              <w:t xml:space="preserve">Комитет природных ресурсов, лесного хозяйства и экологии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r w:rsidRPr="0018447A">
              <w:rPr>
                <w:sz w:val="20"/>
              </w:rPr>
              <w:t>1 276,4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r w:rsidRPr="0018447A">
              <w:rPr>
                <w:sz w:val="20"/>
              </w:rPr>
              <w:t>1 097,8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r w:rsidRPr="0018447A">
              <w:rPr>
                <w:sz w:val="20"/>
              </w:rPr>
              <w:t>1 424,5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r w:rsidRPr="0018447A">
              <w:rPr>
                <w:sz w:val="20"/>
              </w:rPr>
              <w:t>129,8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r w:rsidRPr="0018447A">
              <w:rPr>
                <w:sz w:val="20"/>
              </w:rPr>
              <w:t>111,6</w:t>
            </w:r>
          </w:p>
        </w:tc>
      </w:tr>
      <w:tr w:rsidR="0018447A" w:rsidRPr="0018447A" w:rsidTr="0018447A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47A" w:rsidRPr="0018447A" w:rsidRDefault="0018447A" w:rsidP="0040759A">
            <w:pPr>
              <w:rPr>
                <w:sz w:val="20"/>
              </w:rPr>
            </w:pPr>
            <w:r w:rsidRPr="0018447A">
              <w:rPr>
                <w:sz w:val="20"/>
              </w:rPr>
              <w:t xml:space="preserve">Комитет по делам территориальных образований, внутренней и информационной политики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r w:rsidRPr="0018447A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r w:rsidRPr="0018447A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r w:rsidRPr="0018447A">
              <w:rPr>
                <w:sz w:val="20"/>
              </w:rPr>
              <w:t>24,9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proofErr w:type="spellStart"/>
            <w:r w:rsidRPr="0018447A">
              <w:rPr>
                <w:sz w:val="20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7320B4" w:rsidP="0018447A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х</w:t>
            </w:r>
            <w:proofErr w:type="spellEnd"/>
          </w:p>
        </w:tc>
      </w:tr>
      <w:tr w:rsidR="0018447A" w:rsidRPr="0018447A" w:rsidTr="0018447A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47A" w:rsidRPr="0018447A" w:rsidRDefault="0018447A" w:rsidP="0040759A">
            <w:pPr>
              <w:rPr>
                <w:sz w:val="20"/>
              </w:rPr>
            </w:pPr>
            <w:r w:rsidRPr="0018447A">
              <w:rPr>
                <w:sz w:val="20"/>
              </w:rPr>
              <w:t xml:space="preserve">Комитет информационной политики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r w:rsidRPr="0018447A">
              <w:rPr>
                <w:sz w:val="20"/>
              </w:rPr>
              <w:t>20,6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r w:rsidRPr="0018447A">
              <w:rPr>
                <w:sz w:val="20"/>
              </w:rPr>
              <w:t>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r w:rsidRPr="0018447A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r w:rsidRPr="0018447A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r w:rsidRPr="0018447A">
              <w:rPr>
                <w:sz w:val="20"/>
              </w:rPr>
              <w:t>0,0</w:t>
            </w:r>
          </w:p>
        </w:tc>
      </w:tr>
      <w:tr w:rsidR="0018447A" w:rsidRPr="0018447A" w:rsidTr="0018447A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47A" w:rsidRPr="0018447A" w:rsidRDefault="0018447A" w:rsidP="0040759A">
            <w:pPr>
              <w:rPr>
                <w:sz w:val="20"/>
              </w:rPr>
            </w:pPr>
            <w:r w:rsidRPr="0018447A">
              <w:rPr>
                <w:sz w:val="20"/>
              </w:rPr>
              <w:t xml:space="preserve">Комитет сельского хозяйства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r w:rsidRPr="0018447A">
              <w:rPr>
                <w:sz w:val="20"/>
              </w:rPr>
              <w:t>3 111,5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r w:rsidRPr="0018447A">
              <w:rPr>
                <w:sz w:val="20"/>
              </w:rPr>
              <w:t>3 248,7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r w:rsidRPr="0018447A">
              <w:rPr>
                <w:sz w:val="20"/>
              </w:rPr>
              <w:t>3 296,2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r w:rsidRPr="0018447A">
              <w:rPr>
                <w:sz w:val="20"/>
              </w:rPr>
              <w:t>101,5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r w:rsidRPr="0018447A">
              <w:rPr>
                <w:sz w:val="20"/>
              </w:rPr>
              <w:t>105,9</w:t>
            </w:r>
          </w:p>
        </w:tc>
      </w:tr>
      <w:tr w:rsidR="0018447A" w:rsidRPr="0018447A" w:rsidTr="0018447A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47A" w:rsidRPr="0018447A" w:rsidRDefault="0018447A" w:rsidP="0040759A">
            <w:pPr>
              <w:rPr>
                <w:sz w:val="20"/>
              </w:rPr>
            </w:pPr>
            <w:r w:rsidRPr="0018447A">
              <w:rPr>
                <w:sz w:val="20"/>
              </w:rPr>
              <w:t xml:space="preserve">Комитет по управлению государственным имуществом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r w:rsidRPr="0018447A">
              <w:rPr>
                <w:sz w:val="20"/>
              </w:rPr>
              <w:t>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r w:rsidRPr="0018447A">
              <w:rPr>
                <w:sz w:val="20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r w:rsidRPr="0018447A">
              <w:rPr>
                <w:sz w:val="20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r w:rsidRPr="0018447A">
              <w:rPr>
                <w:sz w:val="20"/>
              </w:rPr>
              <w:t>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r w:rsidRPr="0018447A">
              <w:rPr>
                <w:sz w:val="20"/>
              </w:rPr>
              <w:t>13,4</w:t>
            </w:r>
          </w:p>
        </w:tc>
      </w:tr>
      <w:tr w:rsidR="0018447A" w:rsidRPr="0018447A" w:rsidTr="0018447A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47A" w:rsidRPr="0018447A" w:rsidRDefault="0018447A" w:rsidP="0040759A">
            <w:pPr>
              <w:rPr>
                <w:sz w:val="20"/>
              </w:rPr>
            </w:pPr>
            <w:r w:rsidRPr="0018447A">
              <w:rPr>
                <w:sz w:val="20"/>
              </w:rPr>
              <w:t xml:space="preserve">Комитет экономической политики и развития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r w:rsidRPr="0018447A">
              <w:rPr>
                <w:sz w:val="20"/>
              </w:rPr>
              <w:t>166,3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r w:rsidRPr="0018447A">
              <w:rPr>
                <w:sz w:val="20"/>
              </w:rPr>
              <w:t>169,3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r w:rsidRPr="0018447A">
              <w:rPr>
                <w:sz w:val="20"/>
              </w:rPr>
              <w:t>156,8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r w:rsidRPr="0018447A">
              <w:rPr>
                <w:sz w:val="20"/>
              </w:rPr>
              <w:t>92,6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r w:rsidRPr="0018447A">
              <w:rPr>
                <w:sz w:val="20"/>
              </w:rPr>
              <w:t>94,3</w:t>
            </w:r>
          </w:p>
        </w:tc>
      </w:tr>
      <w:tr w:rsidR="0018447A" w:rsidRPr="0018447A" w:rsidTr="0018447A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47A" w:rsidRPr="0018447A" w:rsidRDefault="0018447A" w:rsidP="0040759A">
            <w:pPr>
              <w:rPr>
                <w:sz w:val="20"/>
              </w:rPr>
            </w:pPr>
            <w:r w:rsidRPr="0018447A">
              <w:rPr>
                <w:sz w:val="20"/>
              </w:rPr>
              <w:t xml:space="preserve">Комитет ветеринарии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r w:rsidRPr="0018447A">
              <w:rPr>
                <w:sz w:val="20"/>
              </w:rPr>
              <w:t>555,2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r w:rsidRPr="0018447A">
              <w:rPr>
                <w:sz w:val="20"/>
              </w:rPr>
              <w:t>451,4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r w:rsidRPr="0018447A">
              <w:rPr>
                <w:sz w:val="20"/>
              </w:rPr>
              <w:t>500,4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r w:rsidRPr="0018447A">
              <w:rPr>
                <w:sz w:val="20"/>
              </w:rPr>
              <w:t>110,9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r w:rsidRPr="0018447A">
              <w:rPr>
                <w:sz w:val="20"/>
              </w:rPr>
              <w:t>90,1</w:t>
            </w:r>
          </w:p>
        </w:tc>
      </w:tr>
      <w:tr w:rsidR="0018447A" w:rsidRPr="0018447A" w:rsidTr="0018447A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47A" w:rsidRPr="0018447A" w:rsidRDefault="0018447A" w:rsidP="0040759A">
            <w:pPr>
              <w:rPr>
                <w:sz w:val="20"/>
              </w:rPr>
            </w:pPr>
            <w:r w:rsidRPr="0018447A">
              <w:rPr>
                <w:sz w:val="20"/>
              </w:rPr>
              <w:t xml:space="preserve">Комитет финансов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r w:rsidRPr="0018447A">
              <w:rPr>
                <w:sz w:val="20"/>
              </w:rPr>
              <w:t>68,0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r w:rsidRPr="0018447A">
              <w:rPr>
                <w:sz w:val="20"/>
              </w:rPr>
              <w:t>128,3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r w:rsidRPr="0018447A">
              <w:rPr>
                <w:sz w:val="20"/>
              </w:rPr>
              <w:t>88,6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r w:rsidRPr="0018447A">
              <w:rPr>
                <w:sz w:val="20"/>
              </w:rPr>
              <w:t>69,1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r w:rsidRPr="0018447A">
              <w:rPr>
                <w:sz w:val="20"/>
              </w:rPr>
              <w:t>130,4</w:t>
            </w:r>
          </w:p>
        </w:tc>
      </w:tr>
      <w:tr w:rsidR="0018447A" w:rsidRPr="0018447A" w:rsidTr="0018447A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47A" w:rsidRPr="0018447A" w:rsidRDefault="0018447A" w:rsidP="0040759A">
            <w:pPr>
              <w:rPr>
                <w:sz w:val="20"/>
              </w:rPr>
            </w:pPr>
            <w:r w:rsidRPr="0018447A">
              <w:rPr>
                <w:sz w:val="20"/>
              </w:rPr>
              <w:t xml:space="preserve">Комитет транспорта и дорожного хозяйства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r w:rsidRPr="0018447A">
              <w:rPr>
                <w:sz w:val="20"/>
              </w:rPr>
              <w:t>10 341,0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r w:rsidRPr="0018447A">
              <w:rPr>
                <w:sz w:val="20"/>
              </w:rPr>
              <w:t>10 909,5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r w:rsidRPr="0018447A">
              <w:rPr>
                <w:sz w:val="20"/>
              </w:rPr>
              <w:t>10 055,1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r w:rsidRPr="0018447A">
              <w:rPr>
                <w:sz w:val="20"/>
              </w:rPr>
              <w:t>92,2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r w:rsidRPr="0018447A">
              <w:rPr>
                <w:sz w:val="20"/>
              </w:rPr>
              <w:t>97,2</w:t>
            </w:r>
          </w:p>
        </w:tc>
      </w:tr>
      <w:tr w:rsidR="0018447A" w:rsidRPr="0018447A" w:rsidTr="0018447A">
        <w:trPr>
          <w:trHeight w:val="20"/>
        </w:trPr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47A" w:rsidRPr="0018447A" w:rsidRDefault="0018447A" w:rsidP="0040759A">
            <w:pPr>
              <w:rPr>
                <w:sz w:val="20"/>
              </w:rPr>
            </w:pPr>
            <w:r w:rsidRPr="0018447A">
              <w:rPr>
                <w:sz w:val="20"/>
              </w:rPr>
              <w:t xml:space="preserve">Комитет информационных технологий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r w:rsidRPr="0018447A">
              <w:rPr>
                <w:sz w:val="20"/>
              </w:rPr>
              <w:t>164,5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r w:rsidRPr="0018447A">
              <w:rPr>
                <w:sz w:val="20"/>
              </w:rPr>
              <w:t>933,2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r w:rsidRPr="0018447A">
              <w:rPr>
                <w:sz w:val="20"/>
              </w:rPr>
              <w:t>422,6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r w:rsidRPr="0018447A">
              <w:rPr>
                <w:sz w:val="20"/>
              </w:rPr>
              <w:t>45,3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r w:rsidRPr="0018447A">
              <w:rPr>
                <w:sz w:val="20"/>
              </w:rPr>
              <w:t>256,8</w:t>
            </w:r>
          </w:p>
        </w:tc>
      </w:tr>
      <w:tr w:rsidR="0018447A" w:rsidRPr="0018447A" w:rsidTr="0018447A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47A" w:rsidRPr="0018447A" w:rsidRDefault="0018447A" w:rsidP="0040759A">
            <w:pPr>
              <w:rPr>
                <w:sz w:val="20"/>
              </w:rPr>
            </w:pPr>
            <w:r w:rsidRPr="0018447A">
              <w:rPr>
                <w:sz w:val="20"/>
              </w:rPr>
              <w:t xml:space="preserve">Комитет по труду и занятости населения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r w:rsidRPr="0018447A">
              <w:rPr>
                <w:sz w:val="20"/>
              </w:rPr>
              <w:t>319,1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r w:rsidRPr="0018447A">
              <w:rPr>
                <w:sz w:val="20"/>
              </w:rPr>
              <w:t>278,3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r w:rsidRPr="0018447A">
              <w:rPr>
                <w:sz w:val="20"/>
              </w:rPr>
              <w:t>293,0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r w:rsidRPr="0018447A">
              <w:rPr>
                <w:sz w:val="20"/>
              </w:rPr>
              <w:t>105,3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r w:rsidRPr="0018447A">
              <w:rPr>
                <w:sz w:val="20"/>
              </w:rPr>
              <w:t>91,8</w:t>
            </w:r>
          </w:p>
        </w:tc>
      </w:tr>
      <w:tr w:rsidR="0018447A" w:rsidRPr="0018447A" w:rsidTr="000460B0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47A" w:rsidRPr="0018447A" w:rsidRDefault="0018447A" w:rsidP="0040759A">
            <w:pPr>
              <w:rPr>
                <w:sz w:val="20"/>
              </w:rPr>
            </w:pPr>
            <w:r w:rsidRPr="0018447A">
              <w:rPr>
                <w:sz w:val="20"/>
              </w:rPr>
              <w:t xml:space="preserve">Инспекция государственного надзора за техническим состоянием самоходных машин и других видов техники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r w:rsidRPr="0018447A">
              <w:rPr>
                <w:sz w:val="20"/>
              </w:rPr>
              <w:t>46,7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r w:rsidRPr="0018447A">
              <w:rPr>
                <w:sz w:val="20"/>
              </w:rPr>
              <w:t>41,1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r w:rsidRPr="0018447A">
              <w:rPr>
                <w:sz w:val="20"/>
              </w:rPr>
              <w:t>14,4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r w:rsidRPr="0018447A">
              <w:rPr>
                <w:sz w:val="20"/>
              </w:rPr>
              <w:t>35,1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r w:rsidRPr="0018447A">
              <w:rPr>
                <w:sz w:val="20"/>
              </w:rPr>
              <w:t>31,0</w:t>
            </w:r>
          </w:p>
        </w:tc>
      </w:tr>
      <w:tr w:rsidR="0018447A" w:rsidRPr="0018447A" w:rsidTr="000460B0">
        <w:trPr>
          <w:trHeight w:val="20"/>
        </w:trPr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47A" w:rsidRPr="0018447A" w:rsidRDefault="0018447A" w:rsidP="0040759A">
            <w:pPr>
              <w:rPr>
                <w:sz w:val="20"/>
              </w:rPr>
            </w:pPr>
            <w:r w:rsidRPr="0018447A">
              <w:rPr>
                <w:sz w:val="20"/>
              </w:rPr>
              <w:t xml:space="preserve">Комитет архитектуры и градостроительства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r w:rsidRPr="0018447A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r w:rsidRPr="0018447A">
              <w:rPr>
                <w:sz w:val="20"/>
              </w:rPr>
              <w:t>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r w:rsidRPr="0018447A">
              <w:rPr>
                <w:sz w:val="20"/>
              </w:rPr>
              <w:t>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r w:rsidRPr="0018447A">
              <w:rPr>
                <w:sz w:val="20"/>
              </w:rPr>
              <w:t>93,3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х</w:t>
            </w:r>
            <w:proofErr w:type="spellEnd"/>
          </w:p>
        </w:tc>
      </w:tr>
      <w:tr w:rsidR="0018447A" w:rsidRPr="0018447A" w:rsidTr="0018447A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47A" w:rsidRPr="0018447A" w:rsidRDefault="0018447A" w:rsidP="0040759A">
            <w:pPr>
              <w:rPr>
                <w:sz w:val="20"/>
              </w:rPr>
            </w:pPr>
            <w:r w:rsidRPr="0018447A">
              <w:rPr>
                <w:sz w:val="20"/>
              </w:rPr>
              <w:t xml:space="preserve">Комитет промышленности и торговли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r w:rsidRPr="0018447A">
              <w:rPr>
                <w:sz w:val="20"/>
              </w:rPr>
              <w:t>41,9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r w:rsidRPr="0018447A">
              <w:rPr>
                <w:sz w:val="20"/>
              </w:rPr>
              <w:t>136,0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r w:rsidRPr="0018447A">
              <w:rPr>
                <w:sz w:val="20"/>
              </w:rPr>
              <w:t>95,4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r w:rsidRPr="0018447A">
              <w:rPr>
                <w:sz w:val="20"/>
              </w:rPr>
              <w:t>70,1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47A" w:rsidRPr="0018447A" w:rsidRDefault="0018447A" w:rsidP="0018447A">
            <w:pPr>
              <w:jc w:val="center"/>
              <w:rPr>
                <w:sz w:val="20"/>
              </w:rPr>
            </w:pPr>
            <w:r w:rsidRPr="0018447A">
              <w:rPr>
                <w:sz w:val="20"/>
              </w:rPr>
              <w:t>227,6</w:t>
            </w:r>
          </w:p>
        </w:tc>
      </w:tr>
      <w:tr w:rsidR="0018447A" w:rsidRPr="0018447A" w:rsidTr="0018447A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bottom"/>
            <w:hideMark/>
          </w:tcPr>
          <w:p w:rsidR="0018447A" w:rsidRPr="0018447A" w:rsidRDefault="0018447A" w:rsidP="0040759A">
            <w:pPr>
              <w:rPr>
                <w:b/>
                <w:bCs/>
                <w:sz w:val="20"/>
              </w:rPr>
            </w:pPr>
            <w:r w:rsidRPr="0018447A">
              <w:rPr>
                <w:b/>
                <w:bCs/>
                <w:sz w:val="20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hideMark/>
          </w:tcPr>
          <w:p w:rsidR="0018447A" w:rsidRPr="0018447A" w:rsidRDefault="0018447A" w:rsidP="0018447A">
            <w:pPr>
              <w:jc w:val="center"/>
              <w:rPr>
                <w:b/>
                <w:bCs/>
                <w:sz w:val="20"/>
              </w:rPr>
            </w:pPr>
            <w:r w:rsidRPr="0018447A">
              <w:rPr>
                <w:b/>
                <w:bCs/>
                <w:sz w:val="20"/>
              </w:rPr>
              <w:t>16 759,8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hideMark/>
          </w:tcPr>
          <w:p w:rsidR="0018447A" w:rsidRPr="0018447A" w:rsidRDefault="0018447A" w:rsidP="0018447A">
            <w:pPr>
              <w:jc w:val="center"/>
              <w:rPr>
                <w:b/>
                <w:bCs/>
                <w:sz w:val="20"/>
              </w:rPr>
            </w:pPr>
            <w:r w:rsidRPr="0018447A">
              <w:rPr>
                <w:b/>
                <w:bCs/>
                <w:sz w:val="20"/>
              </w:rPr>
              <w:t>18 179,4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hideMark/>
          </w:tcPr>
          <w:p w:rsidR="0018447A" w:rsidRPr="0018447A" w:rsidRDefault="0018447A" w:rsidP="0018447A">
            <w:pPr>
              <w:jc w:val="center"/>
              <w:rPr>
                <w:b/>
                <w:bCs/>
                <w:sz w:val="20"/>
              </w:rPr>
            </w:pPr>
            <w:r w:rsidRPr="0018447A">
              <w:rPr>
                <w:b/>
                <w:bCs/>
                <w:sz w:val="20"/>
              </w:rPr>
              <w:t>16 742,4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hideMark/>
          </w:tcPr>
          <w:p w:rsidR="0018447A" w:rsidRPr="0018447A" w:rsidRDefault="0018447A" w:rsidP="0018447A">
            <w:pPr>
              <w:jc w:val="center"/>
              <w:rPr>
                <w:b/>
                <w:bCs/>
                <w:sz w:val="20"/>
              </w:rPr>
            </w:pPr>
            <w:r w:rsidRPr="0018447A">
              <w:rPr>
                <w:b/>
                <w:bCs/>
                <w:sz w:val="20"/>
              </w:rPr>
              <w:t>92,1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hideMark/>
          </w:tcPr>
          <w:p w:rsidR="0018447A" w:rsidRPr="0018447A" w:rsidRDefault="0018447A" w:rsidP="0018447A">
            <w:pPr>
              <w:jc w:val="center"/>
              <w:rPr>
                <w:b/>
                <w:bCs/>
                <w:sz w:val="20"/>
              </w:rPr>
            </w:pPr>
            <w:r w:rsidRPr="0018447A">
              <w:rPr>
                <w:b/>
                <w:bCs/>
                <w:sz w:val="20"/>
              </w:rPr>
              <w:t>99,9</w:t>
            </w:r>
          </w:p>
        </w:tc>
      </w:tr>
    </w:tbl>
    <w:p w:rsidR="0018447A" w:rsidRDefault="0018447A" w:rsidP="0018447A"/>
    <w:p w:rsidR="00C33F73" w:rsidRDefault="00C33F73" w:rsidP="00847AB9">
      <w:pPr>
        <w:ind w:firstLine="708"/>
        <w:jc w:val="both"/>
      </w:pPr>
      <w:r>
        <w:t xml:space="preserve">Относительно 2016 года расходы раздела сократились незначительно – на 17,4 млн. руб., или на 0,1 процента. </w:t>
      </w:r>
    </w:p>
    <w:p w:rsidR="00E51E07" w:rsidRDefault="00847AB9" w:rsidP="00847AB9">
      <w:pPr>
        <w:ind w:firstLine="708"/>
        <w:jc w:val="both"/>
      </w:pPr>
      <w:r>
        <w:t>Пр</w:t>
      </w:r>
      <w:r w:rsidR="00244636">
        <w:t>и проведении внешних проверок бюджетной отчетности главных распорядителей средств областного бюджета, задействованных в данном разделе, установлены следующие нарушения</w:t>
      </w:r>
      <w:r w:rsidR="00E51E07">
        <w:t xml:space="preserve"> </w:t>
      </w:r>
      <w:r w:rsidR="00244636">
        <w:t xml:space="preserve">законодательства </w:t>
      </w:r>
      <w:r w:rsidR="00E51E07">
        <w:t xml:space="preserve">и недостатки </w:t>
      </w:r>
      <w:r w:rsidR="00244636">
        <w:t>при использовании бюджетных средств.</w:t>
      </w:r>
    </w:p>
    <w:p w:rsidR="00E829D0" w:rsidRDefault="00E829D0" w:rsidP="00847AB9">
      <w:pPr>
        <w:ind w:firstLine="708"/>
        <w:jc w:val="both"/>
      </w:pPr>
      <w:r>
        <w:t xml:space="preserve">Проверкой бюджетной отчетности </w:t>
      </w:r>
      <w:r w:rsidRPr="00E829D0">
        <w:rPr>
          <w:b/>
          <w:i/>
        </w:rPr>
        <w:t>комитета информационных технологий Волгоградской области</w:t>
      </w:r>
      <w:r>
        <w:t xml:space="preserve"> (далее Комитет) установлен существенный рост дебиторской задолженности (со 160,6 тыс. руб. на 01.01.2017 до 28,5 млн. руб. на 01.01.2018), что обусловлено выплатой в 2017 году большого количества авансов по долгосрочным контрактам. При этом просроченная дебиторская задолженность по доходам на 01.01.2018 составила 318,2 тыс. руб., или 71,3% от общего объема дебиторской задолженности по доходам, что свидетельствует о недостаточности принимаемых мер подведомственным учреждением Комитета – ГКУ «Цент</w:t>
      </w:r>
      <w:r w:rsidR="00EF73E2">
        <w:t>р</w:t>
      </w:r>
      <w:r>
        <w:t xml:space="preserve"> информационных технологий Волгоградской области» по взысканию задолженности.</w:t>
      </w:r>
    </w:p>
    <w:p w:rsidR="00FB2529" w:rsidRDefault="00FB2529" w:rsidP="00915492">
      <w:pPr>
        <w:autoSpaceDE w:val="0"/>
        <w:autoSpaceDN w:val="0"/>
        <w:adjustRightInd w:val="0"/>
        <w:ind w:firstLine="709"/>
        <w:contextualSpacing/>
        <w:jc w:val="both"/>
      </w:pPr>
      <w:r>
        <w:t xml:space="preserve">В связи с перераспределением бюджетных ассигнований между текущим финансовым годом и плановым периодом в соответствии с абзацем 11 статьи 5.1 Закона Волгоградской области «О бюджетном процессе в Волгоградской области» Комитету существенным образом были сокращены лимиты бюджетных обязательств на 2017 год. Так, при утвержденных в законе о бюджете ассигнованиях в размере 1151,7 млн. руб. лимиты бюджетных обязательств на 2017 год доведены до Комитета в сумме 513,4 млн. руб., или на 55,4% меньше. </w:t>
      </w:r>
      <w:proofErr w:type="gramStart"/>
      <w:r>
        <w:t>Поскольку данное сокращение произведено комитетом финансов после заключения Комитетом государственных контрактов на выполнение работ (а в отдельных случаях и после их фактического выполнения), объем принятых Комитетом бюджетных обязательств в 2017 году превысил доведенные до него лимиты в 2 раза, что не только привело к нарушению статьи 219 БК РФ, но и повлекло за собой увеличение кредиторской задолженности в 3,5 раза</w:t>
      </w:r>
      <w:proofErr w:type="gramEnd"/>
      <w:r>
        <w:t xml:space="preserve"> (со 120,2 млн. руб. на 01.01.2017 до 424 млн. руб. на 01.01.2018).</w:t>
      </w:r>
    </w:p>
    <w:p w:rsidR="0043568B" w:rsidRDefault="0043568B" w:rsidP="0043568B">
      <w:pPr>
        <w:autoSpaceDE w:val="0"/>
        <w:autoSpaceDN w:val="0"/>
        <w:adjustRightInd w:val="0"/>
        <w:ind w:firstLine="709"/>
        <w:contextualSpacing/>
        <w:jc w:val="both"/>
      </w:pPr>
      <w:r>
        <w:t xml:space="preserve"> При проверке бюджетной отчетности </w:t>
      </w:r>
      <w:r w:rsidRPr="00774975">
        <w:rPr>
          <w:b/>
          <w:i/>
        </w:rPr>
        <w:t>комитета транспорта и дорожного хозяйства Волгоградской области</w:t>
      </w:r>
      <w:r>
        <w:t xml:space="preserve"> и его подведомственных учреждений установлено, что в рамках заключенного комитетом 10.04.2017 </w:t>
      </w:r>
      <w:r w:rsidRPr="00EB4DA6">
        <w:rPr>
          <w:rFonts w:eastAsia="Calibri"/>
          <w:lang w:eastAsia="en-US"/>
        </w:rPr>
        <w:t>контракт</w:t>
      </w:r>
      <w:r>
        <w:rPr>
          <w:rFonts w:eastAsia="Calibri"/>
          <w:lang w:eastAsia="en-US"/>
        </w:rPr>
        <w:t>а</w:t>
      </w:r>
      <w:r w:rsidRPr="00EB4DA6">
        <w:rPr>
          <w:rFonts w:eastAsia="Calibri"/>
          <w:lang w:eastAsia="en-US"/>
        </w:rPr>
        <w:t xml:space="preserve"> </w:t>
      </w:r>
      <w:r w:rsidRPr="00EB4DA6">
        <w:rPr>
          <w:rFonts w:eastAsia="Calibri"/>
          <w:color w:val="000000"/>
          <w:lang w:eastAsia="en-US"/>
        </w:rPr>
        <w:t xml:space="preserve">на оказание услуги финансовой </w:t>
      </w:r>
      <w:r w:rsidRPr="00EB4DA6">
        <w:rPr>
          <w:rFonts w:eastAsia="Calibri"/>
          <w:color w:val="000000"/>
          <w:lang w:eastAsia="en-US"/>
        </w:rPr>
        <w:lastRenderedPageBreak/>
        <w:t xml:space="preserve">аренды (лизинга) дорожной эксплуатационно-строительной техники общей </w:t>
      </w:r>
      <w:r>
        <w:rPr>
          <w:rFonts w:eastAsia="Calibri"/>
          <w:color w:val="000000"/>
          <w:lang w:eastAsia="en-US"/>
        </w:rPr>
        <w:t>стоимостью</w:t>
      </w:r>
      <w:r w:rsidRPr="00EB4DA6">
        <w:rPr>
          <w:rFonts w:eastAsia="Calibri"/>
          <w:color w:val="000000"/>
          <w:lang w:eastAsia="en-US"/>
        </w:rPr>
        <w:t xml:space="preserve"> </w:t>
      </w:r>
      <w:r w:rsidRPr="00EB4DA6">
        <w:rPr>
          <w:rFonts w:eastAsia="Calibri"/>
          <w:lang w:eastAsia="en-US"/>
        </w:rPr>
        <w:t>410</w:t>
      </w:r>
      <w:r>
        <w:rPr>
          <w:rFonts w:eastAsia="Calibri"/>
          <w:lang w:eastAsia="en-US"/>
        </w:rPr>
        <w:t>,2</w:t>
      </w:r>
      <w:r w:rsidRPr="00EB4DA6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млн</w:t>
      </w:r>
      <w:r w:rsidRPr="00EB4DA6">
        <w:rPr>
          <w:rFonts w:eastAsia="Calibri"/>
          <w:lang w:eastAsia="en-US"/>
        </w:rPr>
        <w:t>. руб.</w:t>
      </w:r>
      <w:r>
        <w:rPr>
          <w:rFonts w:eastAsia="Calibri"/>
          <w:lang w:eastAsia="en-US"/>
        </w:rPr>
        <w:t xml:space="preserve"> </w:t>
      </w:r>
      <w:r w:rsidRPr="005F2172">
        <w:t>ГБУ «</w:t>
      </w:r>
      <w:proofErr w:type="spellStart"/>
      <w:r w:rsidRPr="005F2172">
        <w:t>Волгоградавтодор</w:t>
      </w:r>
      <w:proofErr w:type="spellEnd"/>
      <w:r w:rsidRPr="005F2172">
        <w:t>»</w:t>
      </w:r>
      <w:r>
        <w:t xml:space="preserve"> </w:t>
      </w:r>
      <w:r w:rsidRPr="005F2172">
        <w:t>получены 69 единиц дорожной техники</w:t>
      </w:r>
      <w:r>
        <w:t>. Из полученной техники</w:t>
      </w:r>
      <w:r w:rsidRPr="005F2172">
        <w:t xml:space="preserve"> </w:t>
      </w:r>
      <w:r>
        <w:t>д</w:t>
      </w:r>
      <w:r w:rsidRPr="005F2172">
        <w:t xml:space="preserve">ве единицы </w:t>
      </w:r>
      <w:r>
        <w:t>(</w:t>
      </w:r>
      <w:r w:rsidRPr="005F2172">
        <w:t>дробильно-сортировочный комплекс и линия производства минерального порошка</w:t>
      </w:r>
      <w:r>
        <w:t xml:space="preserve">) </w:t>
      </w:r>
      <w:r w:rsidRPr="005F2172">
        <w:t>стоимостью 35</w:t>
      </w:r>
      <w:r>
        <w:t>,3</w:t>
      </w:r>
      <w:r w:rsidRPr="005F2172">
        <w:t xml:space="preserve"> </w:t>
      </w:r>
      <w:r>
        <w:t>млн</w:t>
      </w:r>
      <w:r w:rsidRPr="005F2172">
        <w:t>. руб. треб</w:t>
      </w:r>
      <w:r>
        <w:t>овали</w:t>
      </w:r>
      <w:r w:rsidRPr="005F2172">
        <w:t xml:space="preserve"> подготовленной площадки и необходимых коммуникаций для установки и монтажа</w:t>
      </w:r>
      <w:r>
        <w:t>. Указанные комплекс и линия</w:t>
      </w:r>
      <w:r w:rsidRPr="005F2172">
        <w:t xml:space="preserve"> передан</w:t>
      </w:r>
      <w:r>
        <w:t>ы</w:t>
      </w:r>
      <w:r w:rsidRPr="005F2172">
        <w:t xml:space="preserve"> 17</w:t>
      </w:r>
      <w:r>
        <w:t xml:space="preserve"> </w:t>
      </w:r>
      <w:r w:rsidRPr="005F2172">
        <w:t>и 20</w:t>
      </w:r>
      <w:r>
        <w:t xml:space="preserve"> июля </w:t>
      </w:r>
      <w:r w:rsidRPr="005F2172">
        <w:t>2017</w:t>
      </w:r>
      <w:r>
        <w:t xml:space="preserve"> года</w:t>
      </w:r>
      <w:r w:rsidRPr="005F2172">
        <w:t xml:space="preserve"> в ГБУ «</w:t>
      </w:r>
      <w:proofErr w:type="spellStart"/>
      <w:r w:rsidRPr="005F2172">
        <w:t>Волгоградавтодор</w:t>
      </w:r>
      <w:proofErr w:type="spellEnd"/>
      <w:r w:rsidRPr="005F2172">
        <w:t>» на ответственно</w:t>
      </w:r>
      <w:r>
        <w:t>е</w:t>
      </w:r>
      <w:r w:rsidRPr="005F2172">
        <w:t xml:space="preserve"> хранени</w:t>
      </w:r>
      <w:r>
        <w:t>е</w:t>
      </w:r>
      <w:r w:rsidRPr="005F2172">
        <w:t xml:space="preserve">. </w:t>
      </w:r>
      <w:r>
        <w:t>По состоянию на 06.04.2018</w:t>
      </w:r>
      <w:r w:rsidRPr="005F2172">
        <w:t>, т.</w:t>
      </w:r>
      <w:r>
        <w:t xml:space="preserve"> </w:t>
      </w:r>
      <w:r w:rsidRPr="005F2172">
        <w:t xml:space="preserve">е. </w:t>
      </w:r>
      <w:r>
        <w:t>по истечении почти</w:t>
      </w:r>
      <w:r w:rsidRPr="005F2172">
        <w:t xml:space="preserve"> </w:t>
      </w:r>
      <w:r>
        <w:t>9</w:t>
      </w:r>
      <w:r w:rsidRPr="005F2172">
        <w:t xml:space="preserve"> месяцев</w:t>
      </w:r>
      <w:r>
        <w:t xml:space="preserve"> после</w:t>
      </w:r>
      <w:r w:rsidRPr="005F2172">
        <w:t xml:space="preserve"> </w:t>
      </w:r>
      <w:r>
        <w:t>получения техники, он</w:t>
      </w:r>
      <w:r w:rsidRPr="005F2172">
        <w:t>а не смонтирована и не введена в эксплуатацию</w:t>
      </w:r>
      <w:r>
        <w:t>.</w:t>
      </w:r>
      <w:r w:rsidRPr="005F2172">
        <w:t xml:space="preserve"> </w:t>
      </w:r>
      <w:r>
        <w:t>Работы по изготовлению проектов фундаментов заказаны только после поступления техники, а выполнены они лишь в октябре 2017 года. Монтажные работы производились с учетом погодных условий. В результате на 06.04.2018 готовность комплекса составляет 70%, линии – 15 процентов.</w:t>
      </w:r>
    </w:p>
    <w:p w:rsidR="0043568B" w:rsidRPr="005F2172" w:rsidRDefault="0043568B" w:rsidP="0043568B">
      <w:pPr>
        <w:autoSpaceDE w:val="0"/>
        <w:autoSpaceDN w:val="0"/>
        <w:adjustRightInd w:val="0"/>
        <w:ind w:firstLine="709"/>
        <w:contextualSpacing/>
        <w:jc w:val="both"/>
      </w:pPr>
      <w:r>
        <w:t xml:space="preserve">Вместе с тем оплата за полученную технику, в том </w:t>
      </w:r>
      <w:r w:rsidRPr="005F2172">
        <w:t>ч</w:t>
      </w:r>
      <w:r>
        <w:t>исле</w:t>
      </w:r>
      <w:r w:rsidRPr="005F2172">
        <w:t xml:space="preserve"> находящуюся на ответственном хранении</w:t>
      </w:r>
      <w:r>
        <w:t xml:space="preserve"> и не эксплуатируемую</w:t>
      </w:r>
      <w:r w:rsidRPr="005F2172">
        <w:t xml:space="preserve">, производится </w:t>
      </w:r>
      <w:r>
        <w:t>к</w:t>
      </w:r>
      <w:r w:rsidRPr="005F2172">
        <w:t xml:space="preserve">омитетом ежемесячно и в полном объеме в соответствии с графиком платежей. </w:t>
      </w:r>
      <w:r>
        <w:t>В 2017 году</w:t>
      </w:r>
      <w:r w:rsidRPr="005F2172">
        <w:t xml:space="preserve"> за счет средств областного бюджета произведена оплата </w:t>
      </w:r>
      <w:r>
        <w:t xml:space="preserve">в </w:t>
      </w:r>
      <w:r w:rsidRPr="005F2172">
        <w:t>объеме 240</w:t>
      </w:r>
      <w:r>
        <w:t>,</w:t>
      </w:r>
      <w:r w:rsidRPr="005F2172">
        <w:t xml:space="preserve">2 </w:t>
      </w:r>
      <w:r>
        <w:t>млн</w:t>
      </w:r>
      <w:r w:rsidRPr="005F2172">
        <w:t>. руб., или 58,5% от общей стоимости</w:t>
      </w:r>
      <w:r>
        <w:t xml:space="preserve"> контракта</w:t>
      </w:r>
      <w:r w:rsidRPr="005F2172">
        <w:t>.</w:t>
      </w:r>
    </w:p>
    <w:p w:rsidR="0043568B" w:rsidRDefault="0043568B" w:rsidP="0043568B">
      <w:pPr>
        <w:autoSpaceDE w:val="0"/>
        <w:autoSpaceDN w:val="0"/>
        <w:adjustRightInd w:val="0"/>
        <w:ind w:firstLine="540"/>
        <w:jc w:val="both"/>
        <w:rPr>
          <w:bCs/>
          <w:kern w:val="36"/>
        </w:rPr>
      </w:pPr>
      <w:r>
        <w:rPr>
          <w:rFonts w:eastAsia="Calibri"/>
          <w:lang w:eastAsia="en-US"/>
        </w:rPr>
        <w:t>Сложившаяся ситуация</w:t>
      </w:r>
      <w:r w:rsidRPr="005F2172">
        <w:rPr>
          <w:rFonts w:eastAsia="Calibri"/>
          <w:lang w:eastAsia="en-US"/>
        </w:rPr>
        <w:t xml:space="preserve"> свидетельствует о ненадлежащем исполнении </w:t>
      </w:r>
      <w:r>
        <w:rPr>
          <w:rFonts w:eastAsia="Calibri"/>
          <w:lang w:eastAsia="en-US"/>
        </w:rPr>
        <w:t>к</w:t>
      </w:r>
      <w:r w:rsidRPr="005F2172">
        <w:rPr>
          <w:rFonts w:eastAsia="Calibri"/>
          <w:lang w:eastAsia="en-US"/>
        </w:rPr>
        <w:t xml:space="preserve">омитетом своих полномочий </w:t>
      </w:r>
      <w:r>
        <w:rPr>
          <w:rFonts w:eastAsia="Calibri"/>
          <w:lang w:eastAsia="en-US"/>
        </w:rPr>
        <w:t>по осуществлению функции в сфере управления и развития дорожного комплекса Волгоградской области, по осуществлению функций и полномочий учредителя в отношении подведомственных государственных учреждений,</w:t>
      </w:r>
      <w:r w:rsidRPr="005F2172">
        <w:rPr>
          <w:rFonts w:eastAsia="Calibri"/>
          <w:lang w:eastAsia="en-US"/>
        </w:rPr>
        <w:t xml:space="preserve"> возложенны</w:t>
      </w:r>
      <w:r>
        <w:rPr>
          <w:rFonts w:eastAsia="Calibri"/>
          <w:lang w:eastAsia="en-US"/>
        </w:rPr>
        <w:t>х</w:t>
      </w:r>
      <w:r w:rsidRPr="005F2172">
        <w:rPr>
          <w:rFonts w:eastAsia="Calibri"/>
          <w:lang w:eastAsia="en-US"/>
        </w:rPr>
        <w:t xml:space="preserve"> на него Положением о </w:t>
      </w:r>
      <w:r>
        <w:rPr>
          <w:rFonts w:eastAsia="Calibri"/>
          <w:lang w:eastAsia="en-US"/>
        </w:rPr>
        <w:t>к</w:t>
      </w:r>
      <w:r w:rsidRPr="005F2172">
        <w:rPr>
          <w:rFonts w:eastAsia="Calibri"/>
          <w:lang w:eastAsia="en-US"/>
        </w:rPr>
        <w:t>омитете, утвержденн</w:t>
      </w:r>
      <w:r>
        <w:rPr>
          <w:rFonts w:eastAsia="Calibri"/>
          <w:lang w:eastAsia="en-US"/>
        </w:rPr>
        <w:t>ым</w:t>
      </w:r>
      <w:r w:rsidRPr="005F2172">
        <w:rPr>
          <w:rFonts w:eastAsia="Calibri"/>
          <w:lang w:eastAsia="en-US"/>
        </w:rPr>
        <w:t xml:space="preserve"> постановлением Администрации Волгоградской области от 24.11.2014 №29-п.</w:t>
      </w:r>
      <w:r>
        <w:rPr>
          <w:rFonts w:eastAsia="Calibri"/>
          <w:lang w:eastAsia="en-US"/>
        </w:rPr>
        <w:t xml:space="preserve"> </w:t>
      </w:r>
      <w:r w:rsidRPr="005F2172">
        <w:rPr>
          <w:bCs/>
          <w:kern w:val="36"/>
        </w:rPr>
        <w:t>Кроме того</w:t>
      </w:r>
      <w:r>
        <w:rPr>
          <w:bCs/>
          <w:kern w:val="36"/>
        </w:rPr>
        <w:t>,</w:t>
      </w:r>
      <w:r w:rsidRPr="005F2172">
        <w:rPr>
          <w:bCs/>
          <w:kern w:val="36"/>
        </w:rPr>
        <w:t xml:space="preserve"> являя</w:t>
      </w:r>
      <w:r>
        <w:rPr>
          <w:bCs/>
          <w:kern w:val="36"/>
        </w:rPr>
        <w:t>сь</w:t>
      </w:r>
      <w:r w:rsidRPr="005F2172">
        <w:rPr>
          <w:bCs/>
          <w:kern w:val="36"/>
        </w:rPr>
        <w:t xml:space="preserve"> </w:t>
      </w:r>
      <w:r w:rsidRPr="005F2172">
        <w:t>главным распорядителем бюджетных средств</w:t>
      </w:r>
      <w:r>
        <w:t>,</w:t>
      </w:r>
      <w:r w:rsidRPr="005F2172">
        <w:rPr>
          <w:bCs/>
          <w:kern w:val="36"/>
        </w:rPr>
        <w:t xml:space="preserve"> </w:t>
      </w:r>
      <w:r>
        <w:rPr>
          <w:bCs/>
          <w:kern w:val="36"/>
        </w:rPr>
        <w:t xml:space="preserve">комитет </w:t>
      </w:r>
      <w:r w:rsidRPr="005F2172">
        <w:rPr>
          <w:bCs/>
          <w:kern w:val="36"/>
        </w:rPr>
        <w:t xml:space="preserve">не исполнил в полном объеме </w:t>
      </w:r>
      <w:r w:rsidRPr="005F2172">
        <w:t>бюджетны</w:t>
      </w:r>
      <w:r>
        <w:t>е</w:t>
      </w:r>
      <w:r w:rsidRPr="005F2172">
        <w:t xml:space="preserve"> полномочия</w:t>
      </w:r>
      <w:r>
        <w:t xml:space="preserve"> по </w:t>
      </w:r>
      <w:r w:rsidRPr="005F2172">
        <w:t>обеспеч</w:t>
      </w:r>
      <w:r>
        <w:t>ению</w:t>
      </w:r>
      <w:r w:rsidRPr="005F2172">
        <w:t xml:space="preserve"> результативност</w:t>
      </w:r>
      <w:r>
        <w:t>и использования бюджетных средств, установленные</w:t>
      </w:r>
      <w:r w:rsidRPr="005F2172">
        <w:t xml:space="preserve"> </w:t>
      </w:r>
      <w:r w:rsidRPr="005F2172">
        <w:rPr>
          <w:bCs/>
          <w:kern w:val="36"/>
        </w:rPr>
        <w:t>п</w:t>
      </w:r>
      <w:r>
        <w:rPr>
          <w:bCs/>
          <w:kern w:val="36"/>
        </w:rPr>
        <w:t>одпунктом</w:t>
      </w:r>
      <w:r w:rsidRPr="005F2172">
        <w:rPr>
          <w:bCs/>
          <w:kern w:val="36"/>
        </w:rPr>
        <w:t xml:space="preserve"> 1 п</w:t>
      </w:r>
      <w:r>
        <w:rPr>
          <w:bCs/>
          <w:kern w:val="36"/>
        </w:rPr>
        <w:t xml:space="preserve">ункта </w:t>
      </w:r>
      <w:r w:rsidRPr="005F2172">
        <w:rPr>
          <w:bCs/>
          <w:kern w:val="36"/>
        </w:rPr>
        <w:t xml:space="preserve"> 1 ст</w:t>
      </w:r>
      <w:r>
        <w:rPr>
          <w:bCs/>
          <w:kern w:val="36"/>
        </w:rPr>
        <w:t>атьи</w:t>
      </w:r>
      <w:r w:rsidRPr="005F2172">
        <w:rPr>
          <w:bCs/>
          <w:kern w:val="36"/>
        </w:rPr>
        <w:t xml:space="preserve"> 158 БК РФ</w:t>
      </w:r>
      <w:r>
        <w:rPr>
          <w:bCs/>
          <w:kern w:val="36"/>
        </w:rPr>
        <w:t>.</w:t>
      </w:r>
    </w:p>
    <w:p w:rsidR="0043568B" w:rsidRDefault="0043568B" w:rsidP="0043568B">
      <w:pPr>
        <w:autoSpaceDE w:val="0"/>
        <w:autoSpaceDN w:val="0"/>
        <w:adjustRightInd w:val="0"/>
        <w:ind w:firstLine="851"/>
        <w:jc w:val="both"/>
      </w:pPr>
      <w:proofErr w:type="gramStart"/>
      <w:r>
        <w:t>В целом р</w:t>
      </w:r>
      <w:r w:rsidRPr="00EB54E1">
        <w:t xml:space="preserve">асходы </w:t>
      </w:r>
      <w:r>
        <w:t>к</w:t>
      </w:r>
      <w:r w:rsidRPr="00EB54E1">
        <w:t>омитета в 2017 году (10055</w:t>
      </w:r>
      <w:r>
        <w:t>,1 млн. руб.</w:t>
      </w:r>
      <w:r w:rsidRPr="00EB54E1">
        <w:t>) уменьшились по сравнению с 2016 год</w:t>
      </w:r>
      <w:r>
        <w:t>ом</w:t>
      </w:r>
      <w:r w:rsidRPr="00EB54E1">
        <w:t xml:space="preserve"> (10341</w:t>
      </w:r>
      <w:r>
        <w:t xml:space="preserve"> млн. руб.</w:t>
      </w:r>
      <w:r w:rsidRPr="00EB54E1">
        <w:t>) на 285</w:t>
      </w:r>
      <w:r>
        <w:t>,</w:t>
      </w:r>
      <w:r w:rsidRPr="00EB54E1">
        <w:t xml:space="preserve">9 </w:t>
      </w:r>
      <w:r>
        <w:t>млн</w:t>
      </w:r>
      <w:r w:rsidRPr="00EB54E1">
        <w:t>. руб., или на 2,8</w:t>
      </w:r>
      <w:r>
        <w:t>%, что связано</w:t>
      </w:r>
      <w:r w:rsidRPr="00EB54E1">
        <w:t xml:space="preserve"> в основном </w:t>
      </w:r>
      <w:r>
        <w:t>с</w:t>
      </w:r>
      <w:r w:rsidRPr="00EB54E1">
        <w:t xml:space="preserve"> уменьшени</w:t>
      </w:r>
      <w:r>
        <w:t>ем</w:t>
      </w:r>
      <w:r w:rsidRPr="00EB54E1">
        <w:t xml:space="preserve"> расходов по субсидии на возмещение недополученных доходов, возникающих в результате регулярных перевозок отдельных категорий граждан на автомобильном, водном, железнодорожном и городском электрическом транспорте по социальным проездным билетам </w:t>
      </w:r>
      <w:r>
        <w:t>(</w:t>
      </w:r>
      <w:r w:rsidRPr="00BC355D">
        <w:t>на</w:t>
      </w:r>
      <w:proofErr w:type="gramEnd"/>
      <w:r w:rsidRPr="00BC355D">
        <w:t xml:space="preserve"> </w:t>
      </w:r>
      <w:proofErr w:type="gramStart"/>
      <w:r w:rsidRPr="00BC355D">
        <w:t>225</w:t>
      </w:r>
      <w:r>
        <w:t>,</w:t>
      </w:r>
      <w:r w:rsidRPr="00BC355D">
        <w:t>9</w:t>
      </w:r>
      <w:r w:rsidRPr="00EB54E1">
        <w:t xml:space="preserve"> </w:t>
      </w:r>
      <w:r>
        <w:t>млн</w:t>
      </w:r>
      <w:r w:rsidRPr="00EB54E1">
        <w:t>. руб</w:t>
      </w:r>
      <w:r>
        <w:t>.).</w:t>
      </w:r>
      <w:proofErr w:type="gramEnd"/>
      <w:r>
        <w:t xml:space="preserve"> Уменьшение обусловлено</w:t>
      </w:r>
      <w:r w:rsidRPr="00EB54E1">
        <w:t xml:space="preserve"> вступлением в силу с </w:t>
      </w:r>
      <w:r>
        <w:t>01.01.</w:t>
      </w:r>
      <w:r w:rsidRPr="00EB54E1">
        <w:t>2017 гл</w:t>
      </w:r>
      <w:r>
        <w:t>авы</w:t>
      </w:r>
      <w:r w:rsidRPr="00EB54E1">
        <w:t xml:space="preserve"> 6 Соц</w:t>
      </w:r>
      <w:r>
        <w:t xml:space="preserve">иального </w:t>
      </w:r>
      <w:r w:rsidRPr="00EB54E1">
        <w:t xml:space="preserve">кодекса </w:t>
      </w:r>
      <w:r>
        <w:t>Волгоградской области.</w:t>
      </w:r>
    </w:p>
    <w:p w:rsidR="006C567A" w:rsidRDefault="00A75BA3" w:rsidP="006C567A">
      <w:pPr>
        <w:autoSpaceDE w:val="0"/>
        <w:autoSpaceDN w:val="0"/>
        <w:adjustRightInd w:val="0"/>
        <w:ind w:firstLine="851"/>
        <w:jc w:val="both"/>
        <w:rPr>
          <w:szCs w:val="24"/>
        </w:rPr>
      </w:pPr>
      <w:r w:rsidRPr="00EC1C83">
        <w:rPr>
          <w:szCs w:val="24"/>
        </w:rPr>
        <w:t xml:space="preserve">Расходы </w:t>
      </w:r>
      <w:r w:rsidR="00FA64CF" w:rsidRPr="00FA64CF">
        <w:rPr>
          <w:b/>
          <w:i/>
          <w:szCs w:val="24"/>
        </w:rPr>
        <w:t>к</w:t>
      </w:r>
      <w:r w:rsidRPr="00FA64CF">
        <w:rPr>
          <w:b/>
          <w:i/>
          <w:szCs w:val="24"/>
        </w:rPr>
        <w:t>омитета</w:t>
      </w:r>
      <w:r w:rsidR="00FA64CF" w:rsidRPr="00FA64CF">
        <w:rPr>
          <w:b/>
          <w:i/>
          <w:szCs w:val="24"/>
        </w:rPr>
        <w:t xml:space="preserve"> сельского хозяйства Волгоградской области</w:t>
      </w:r>
      <w:r w:rsidRPr="00EC1C83">
        <w:rPr>
          <w:szCs w:val="24"/>
        </w:rPr>
        <w:t xml:space="preserve"> в 2017 году исполнены на 3525</w:t>
      </w:r>
      <w:r w:rsidR="00FA64CF">
        <w:rPr>
          <w:szCs w:val="24"/>
        </w:rPr>
        <w:t>,4</w:t>
      </w:r>
      <w:r w:rsidRPr="00EC1C83">
        <w:rPr>
          <w:szCs w:val="24"/>
        </w:rPr>
        <w:t xml:space="preserve"> </w:t>
      </w:r>
      <w:r w:rsidR="00FA64CF">
        <w:rPr>
          <w:szCs w:val="24"/>
        </w:rPr>
        <w:t>млн</w:t>
      </w:r>
      <w:r w:rsidRPr="00EC1C83">
        <w:rPr>
          <w:szCs w:val="24"/>
        </w:rPr>
        <w:t>. руб., или на 98,7% к бюджетным назначениям</w:t>
      </w:r>
      <w:r>
        <w:rPr>
          <w:szCs w:val="24"/>
        </w:rPr>
        <w:t xml:space="preserve"> согласно бюджетной росписи</w:t>
      </w:r>
      <w:r w:rsidRPr="00EC1C83">
        <w:rPr>
          <w:szCs w:val="24"/>
        </w:rPr>
        <w:t xml:space="preserve">. </w:t>
      </w:r>
      <w:r w:rsidR="00FA64CF">
        <w:rPr>
          <w:szCs w:val="24"/>
        </w:rPr>
        <w:t xml:space="preserve">При этом </w:t>
      </w:r>
      <w:r w:rsidRPr="007F0056">
        <w:rPr>
          <w:szCs w:val="24"/>
        </w:rPr>
        <w:t xml:space="preserve">сверх утвержденных бюджетных назначений </w:t>
      </w:r>
      <w:r w:rsidR="00FA64CF">
        <w:rPr>
          <w:szCs w:val="24"/>
        </w:rPr>
        <w:t>к</w:t>
      </w:r>
      <w:r w:rsidRPr="007F0056">
        <w:rPr>
          <w:szCs w:val="24"/>
        </w:rPr>
        <w:t>омитетом были приняты бюджетные обязательства на сумму 60</w:t>
      </w:r>
      <w:r w:rsidR="00FA64CF">
        <w:rPr>
          <w:szCs w:val="24"/>
        </w:rPr>
        <w:t>,</w:t>
      </w:r>
      <w:r w:rsidRPr="007F0056">
        <w:rPr>
          <w:szCs w:val="24"/>
        </w:rPr>
        <w:t xml:space="preserve">6 </w:t>
      </w:r>
      <w:r w:rsidR="00FA64CF">
        <w:rPr>
          <w:szCs w:val="24"/>
        </w:rPr>
        <w:t>млн</w:t>
      </w:r>
      <w:r w:rsidRPr="007F0056">
        <w:rPr>
          <w:szCs w:val="24"/>
        </w:rPr>
        <w:t xml:space="preserve">. руб., что </w:t>
      </w:r>
      <w:r w:rsidR="00FA64CF">
        <w:rPr>
          <w:szCs w:val="24"/>
        </w:rPr>
        <w:t xml:space="preserve">обусловлено сокращением лимитов бюджетных обязательств в конце финансового года при уже принятых расходных обязательствах и </w:t>
      </w:r>
      <w:r w:rsidR="00AE7F70">
        <w:rPr>
          <w:szCs w:val="24"/>
        </w:rPr>
        <w:t>привело к</w:t>
      </w:r>
      <w:r w:rsidRPr="007F0056">
        <w:rPr>
          <w:szCs w:val="24"/>
        </w:rPr>
        <w:t xml:space="preserve"> нарушени</w:t>
      </w:r>
      <w:r w:rsidR="00AE7F70">
        <w:rPr>
          <w:szCs w:val="24"/>
        </w:rPr>
        <w:t>ю</w:t>
      </w:r>
      <w:r w:rsidRPr="007F0056">
        <w:rPr>
          <w:szCs w:val="24"/>
        </w:rPr>
        <w:t xml:space="preserve"> п</w:t>
      </w:r>
      <w:r w:rsidR="00FA64CF">
        <w:rPr>
          <w:szCs w:val="24"/>
        </w:rPr>
        <w:t xml:space="preserve">ункта </w:t>
      </w:r>
      <w:r w:rsidRPr="007F0056">
        <w:rPr>
          <w:szCs w:val="24"/>
        </w:rPr>
        <w:t>3 статьи 219 БК РФ и п</w:t>
      </w:r>
      <w:r w:rsidR="00FA64CF">
        <w:rPr>
          <w:szCs w:val="24"/>
        </w:rPr>
        <w:t xml:space="preserve">ункта </w:t>
      </w:r>
      <w:r w:rsidRPr="007F0056">
        <w:rPr>
          <w:szCs w:val="24"/>
        </w:rPr>
        <w:t>1 ст</w:t>
      </w:r>
      <w:r w:rsidR="00FA64CF">
        <w:rPr>
          <w:szCs w:val="24"/>
        </w:rPr>
        <w:t xml:space="preserve">атьи </w:t>
      </w:r>
      <w:r w:rsidRPr="007F0056">
        <w:rPr>
          <w:szCs w:val="24"/>
        </w:rPr>
        <w:t>162 БК РФ.</w:t>
      </w:r>
    </w:p>
    <w:p w:rsidR="00A75BA3" w:rsidRPr="00891637" w:rsidRDefault="006C567A" w:rsidP="006C567A">
      <w:pPr>
        <w:autoSpaceDE w:val="0"/>
        <w:autoSpaceDN w:val="0"/>
        <w:adjustRightInd w:val="0"/>
        <w:ind w:firstLine="851"/>
        <w:jc w:val="both"/>
        <w:rPr>
          <w:szCs w:val="24"/>
        </w:rPr>
      </w:pPr>
      <w:r>
        <w:rPr>
          <w:szCs w:val="24"/>
        </w:rPr>
        <w:t>Де</w:t>
      </w:r>
      <w:r w:rsidR="00A75BA3" w:rsidRPr="00F672A8">
        <w:rPr>
          <w:szCs w:val="24"/>
        </w:rPr>
        <w:t xml:space="preserve">биторская задолженность </w:t>
      </w:r>
      <w:r>
        <w:rPr>
          <w:szCs w:val="24"/>
        </w:rPr>
        <w:t xml:space="preserve">по сводной отчетности комитета </w:t>
      </w:r>
      <w:r w:rsidR="00A75BA3" w:rsidRPr="00F672A8">
        <w:rPr>
          <w:szCs w:val="24"/>
        </w:rPr>
        <w:t>на 01.01.2018 составила 65</w:t>
      </w:r>
      <w:r>
        <w:rPr>
          <w:szCs w:val="24"/>
        </w:rPr>
        <w:t>,</w:t>
      </w:r>
      <w:r w:rsidR="00A75BA3" w:rsidRPr="00F672A8">
        <w:rPr>
          <w:szCs w:val="24"/>
        </w:rPr>
        <w:t xml:space="preserve">1 </w:t>
      </w:r>
      <w:r>
        <w:rPr>
          <w:szCs w:val="24"/>
        </w:rPr>
        <w:t>млн</w:t>
      </w:r>
      <w:r w:rsidR="00A75BA3" w:rsidRPr="00F672A8">
        <w:rPr>
          <w:szCs w:val="24"/>
        </w:rPr>
        <w:t xml:space="preserve">. руб., </w:t>
      </w:r>
      <w:r w:rsidR="00A75BA3">
        <w:rPr>
          <w:szCs w:val="24"/>
        </w:rPr>
        <w:t>или</w:t>
      </w:r>
      <w:r w:rsidR="00A75BA3" w:rsidRPr="00F672A8">
        <w:rPr>
          <w:szCs w:val="24"/>
        </w:rPr>
        <w:t xml:space="preserve"> на 25,1% </w:t>
      </w:r>
      <w:r w:rsidR="00A75BA3">
        <w:rPr>
          <w:szCs w:val="24"/>
        </w:rPr>
        <w:t>превысила</w:t>
      </w:r>
      <w:r w:rsidR="00A75BA3" w:rsidRPr="00F672A8">
        <w:rPr>
          <w:szCs w:val="24"/>
        </w:rPr>
        <w:t xml:space="preserve"> </w:t>
      </w:r>
      <w:r w:rsidR="00A75BA3">
        <w:rPr>
          <w:szCs w:val="24"/>
        </w:rPr>
        <w:t>задолженность</w:t>
      </w:r>
      <w:r w:rsidR="00A75BA3" w:rsidRPr="00F672A8">
        <w:rPr>
          <w:szCs w:val="24"/>
        </w:rPr>
        <w:t xml:space="preserve"> на </w:t>
      </w:r>
      <w:r>
        <w:rPr>
          <w:szCs w:val="24"/>
        </w:rPr>
        <w:t xml:space="preserve">начало </w:t>
      </w:r>
      <w:r w:rsidR="00A75BA3" w:rsidRPr="00F672A8">
        <w:rPr>
          <w:szCs w:val="24"/>
        </w:rPr>
        <w:t>2017</w:t>
      </w:r>
      <w:r>
        <w:rPr>
          <w:szCs w:val="24"/>
        </w:rPr>
        <w:t xml:space="preserve"> года</w:t>
      </w:r>
      <w:r w:rsidR="00A75BA3" w:rsidRPr="00F672A8">
        <w:rPr>
          <w:szCs w:val="24"/>
        </w:rPr>
        <w:t xml:space="preserve"> (52 </w:t>
      </w:r>
      <w:r>
        <w:rPr>
          <w:szCs w:val="24"/>
        </w:rPr>
        <w:t>млн</w:t>
      </w:r>
      <w:r w:rsidR="00A75BA3" w:rsidRPr="00F672A8">
        <w:rPr>
          <w:szCs w:val="24"/>
        </w:rPr>
        <w:t>. руб.).</w:t>
      </w:r>
      <w:r w:rsidR="00A75BA3">
        <w:rPr>
          <w:szCs w:val="24"/>
        </w:rPr>
        <w:t xml:space="preserve"> </w:t>
      </w:r>
      <w:r w:rsidR="00A75BA3" w:rsidRPr="00891637">
        <w:rPr>
          <w:szCs w:val="24"/>
        </w:rPr>
        <w:t xml:space="preserve">Основной причиной увеличения дебиторской задолженности является отнесение </w:t>
      </w:r>
      <w:r>
        <w:rPr>
          <w:szCs w:val="24"/>
        </w:rPr>
        <w:t xml:space="preserve">подведомственным учреждением </w:t>
      </w:r>
      <w:r w:rsidR="00A75BA3" w:rsidRPr="00891637">
        <w:rPr>
          <w:szCs w:val="24"/>
        </w:rPr>
        <w:t xml:space="preserve">ГКУ ВО «МАЦ» </w:t>
      </w:r>
      <w:r w:rsidRPr="00891637">
        <w:rPr>
          <w:szCs w:val="24"/>
        </w:rPr>
        <w:t xml:space="preserve">по результатам проведенной </w:t>
      </w:r>
      <w:r>
        <w:rPr>
          <w:szCs w:val="24"/>
        </w:rPr>
        <w:t xml:space="preserve">в 2017 году </w:t>
      </w:r>
      <w:r w:rsidR="00A75BA3" w:rsidRPr="00891637">
        <w:rPr>
          <w:szCs w:val="24"/>
        </w:rPr>
        <w:t xml:space="preserve">инвентаризации на недостачи стоимости </w:t>
      </w:r>
      <w:r>
        <w:rPr>
          <w:szCs w:val="24"/>
        </w:rPr>
        <w:t xml:space="preserve">похищенного </w:t>
      </w:r>
      <w:r w:rsidR="00A75BA3" w:rsidRPr="00891637">
        <w:rPr>
          <w:szCs w:val="24"/>
        </w:rPr>
        <w:t>гидромелиоративного имущества, числящегося на балансовом учете на общую сумму 15</w:t>
      </w:r>
      <w:r>
        <w:rPr>
          <w:szCs w:val="24"/>
        </w:rPr>
        <w:t>,</w:t>
      </w:r>
      <w:r w:rsidR="00A75BA3" w:rsidRPr="00891637">
        <w:rPr>
          <w:szCs w:val="24"/>
        </w:rPr>
        <w:t xml:space="preserve">3 </w:t>
      </w:r>
      <w:r>
        <w:rPr>
          <w:szCs w:val="24"/>
        </w:rPr>
        <w:t>млн</w:t>
      </w:r>
      <w:r w:rsidR="00A75BA3">
        <w:rPr>
          <w:szCs w:val="24"/>
        </w:rPr>
        <w:t>.</w:t>
      </w:r>
      <w:r w:rsidR="00A75BA3" w:rsidRPr="00891637">
        <w:rPr>
          <w:szCs w:val="24"/>
        </w:rPr>
        <w:t xml:space="preserve"> рублей.</w:t>
      </w:r>
    </w:p>
    <w:p w:rsidR="00A75BA3" w:rsidRDefault="00A75BA3" w:rsidP="00A75BA3">
      <w:pPr>
        <w:ind w:right="-1" w:firstLine="709"/>
        <w:jc w:val="both"/>
        <w:rPr>
          <w:szCs w:val="24"/>
        </w:rPr>
      </w:pPr>
      <w:r w:rsidRPr="00F672A8">
        <w:rPr>
          <w:szCs w:val="24"/>
        </w:rPr>
        <w:t>Кредиторская задолженность</w:t>
      </w:r>
      <w:r w:rsidRPr="00F672A8">
        <w:rPr>
          <w:b/>
          <w:szCs w:val="24"/>
        </w:rPr>
        <w:t xml:space="preserve"> </w:t>
      </w:r>
      <w:r w:rsidRPr="00F672A8">
        <w:rPr>
          <w:szCs w:val="24"/>
        </w:rPr>
        <w:t xml:space="preserve">на 01.01.2018 </w:t>
      </w:r>
      <w:r w:rsidR="00517757">
        <w:rPr>
          <w:szCs w:val="24"/>
        </w:rPr>
        <w:t>возросла до</w:t>
      </w:r>
      <w:r w:rsidRPr="00F672A8">
        <w:rPr>
          <w:szCs w:val="24"/>
        </w:rPr>
        <w:t xml:space="preserve"> 73</w:t>
      </w:r>
      <w:r w:rsidR="00517757">
        <w:rPr>
          <w:szCs w:val="24"/>
        </w:rPr>
        <w:t>,</w:t>
      </w:r>
      <w:r w:rsidRPr="00F672A8">
        <w:rPr>
          <w:szCs w:val="24"/>
        </w:rPr>
        <w:t>5</w:t>
      </w:r>
      <w:r w:rsidR="00517757">
        <w:rPr>
          <w:szCs w:val="24"/>
        </w:rPr>
        <w:t xml:space="preserve"> млн</w:t>
      </w:r>
      <w:r w:rsidRPr="00F672A8">
        <w:rPr>
          <w:szCs w:val="24"/>
        </w:rPr>
        <w:t xml:space="preserve">. руб., </w:t>
      </w:r>
      <w:r>
        <w:rPr>
          <w:szCs w:val="24"/>
        </w:rPr>
        <w:t>или</w:t>
      </w:r>
      <w:r w:rsidRPr="00F672A8">
        <w:rPr>
          <w:szCs w:val="24"/>
        </w:rPr>
        <w:t xml:space="preserve"> в 6,6 раз</w:t>
      </w:r>
      <w:r>
        <w:rPr>
          <w:szCs w:val="24"/>
        </w:rPr>
        <w:t>а</w:t>
      </w:r>
      <w:r w:rsidRPr="00F672A8">
        <w:rPr>
          <w:szCs w:val="24"/>
        </w:rPr>
        <w:t xml:space="preserve"> </w:t>
      </w:r>
      <w:r w:rsidR="00517757">
        <w:rPr>
          <w:szCs w:val="24"/>
        </w:rPr>
        <w:t xml:space="preserve">по сравнению с началом </w:t>
      </w:r>
      <w:r w:rsidRPr="00F672A8">
        <w:rPr>
          <w:szCs w:val="24"/>
        </w:rPr>
        <w:t>2017</w:t>
      </w:r>
      <w:r w:rsidR="00517757">
        <w:rPr>
          <w:szCs w:val="24"/>
        </w:rPr>
        <w:t xml:space="preserve"> года</w:t>
      </w:r>
      <w:r w:rsidRPr="00F672A8">
        <w:rPr>
          <w:szCs w:val="24"/>
        </w:rPr>
        <w:t xml:space="preserve"> (11</w:t>
      </w:r>
      <w:r w:rsidR="00517757">
        <w:rPr>
          <w:szCs w:val="24"/>
        </w:rPr>
        <w:t>,1</w:t>
      </w:r>
      <w:r w:rsidRPr="00F672A8">
        <w:rPr>
          <w:szCs w:val="24"/>
        </w:rPr>
        <w:t xml:space="preserve"> </w:t>
      </w:r>
      <w:r w:rsidR="00517757">
        <w:rPr>
          <w:szCs w:val="24"/>
        </w:rPr>
        <w:t>млн</w:t>
      </w:r>
      <w:r w:rsidRPr="00F672A8">
        <w:rPr>
          <w:szCs w:val="24"/>
        </w:rPr>
        <w:t>. руб.).</w:t>
      </w:r>
      <w:r>
        <w:rPr>
          <w:szCs w:val="24"/>
        </w:rPr>
        <w:t xml:space="preserve"> </w:t>
      </w:r>
      <w:r w:rsidRPr="002E0257">
        <w:rPr>
          <w:szCs w:val="24"/>
        </w:rPr>
        <w:t xml:space="preserve">Основными причинами </w:t>
      </w:r>
      <w:r w:rsidR="00517757">
        <w:rPr>
          <w:szCs w:val="24"/>
        </w:rPr>
        <w:t xml:space="preserve">столь резкого </w:t>
      </w:r>
      <w:r w:rsidRPr="002E0257">
        <w:rPr>
          <w:szCs w:val="24"/>
        </w:rPr>
        <w:t>увеличения</w:t>
      </w:r>
      <w:r w:rsidRPr="001F6D8F">
        <w:rPr>
          <w:szCs w:val="24"/>
        </w:rPr>
        <w:t xml:space="preserve"> кредиторской задолженности </w:t>
      </w:r>
      <w:r w:rsidR="00517757">
        <w:rPr>
          <w:szCs w:val="24"/>
        </w:rPr>
        <w:t xml:space="preserve">комитета </w:t>
      </w:r>
      <w:r w:rsidRPr="001F6D8F">
        <w:rPr>
          <w:szCs w:val="24"/>
        </w:rPr>
        <w:t xml:space="preserve">является отсутствие в декабре 2017 года финансирования </w:t>
      </w:r>
      <w:r w:rsidR="00517757">
        <w:rPr>
          <w:szCs w:val="24"/>
        </w:rPr>
        <w:t xml:space="preserve">направленных в </w:t>
      </w:r>
      <w:proofErr w:type="spellStart"/>
      <w:r w:rsidR="00517757">
        <w:rPr>
          <w:szCs w:val="24"/>
        </w:rPr>
        <w:t>Облфин</w:t>
      </w:r>
      <w:proofErr w:type="spellEnd"/>
      <w:r w:rsidR="00517757">
        <w:rPr>
          <w:szCs w:val="24"/>
        </w:rPr>
        <w:t xml:space="preserve"> </w:t>
      </w:r>
      <w:r w:rsidRPr="001F6D8F">
        <w:rPr>
          <w:szCs w:val="24"/>
        </w:rPr>
        <w:t>заявок (</w:t>
      </w:r>
      <w:r w:rsidRPr="002E0257">
        <w:rPr>
          <w:szCs w:val="24"/>
        </w:rPr>
        <w:t>31</w:t>
      </w:r>
      <w:r w:rsidR="00517757">
        <w:rPr>
          <w:szCs w:val="24"/>
        </w:rPr>
        <w:t>,</w:t>
      </w:r>
      <w:r w:rsidRPr="002E0257">
        <w:rPr>
          <w:szCs w:val="24"/>
        </w:rPr>
        <w:t xml:space="preserve">8 </w:t>
      </w:r>
      <w:r w:rsidR="00517757">
        <w:rPr>
          <w:szCs w:val="24"/>
        </w:rPr>
        <w:t>млн</w:t>
      </w:r>
      <w:r w:rsidRPr="002E0257">
        <w:rPr>
          <w:szCs w:val="24"/>
        </w:rPr>
        <w:t xml:space="preserve">. руб.), а также </w:t>
      </w:r>
      <w:proofErr w:type="spellStart"/>
      <w:r w:rsidRPr="002E0257">
        <w:rPr>
          <w:szCs w:val="24"/>
        </w:rPr>
        <w:t>секвест</w:t>
      </w:r>
      <w:r>
        <w:rPr>
          <w:szCs w:val="24"/>
        </w:rPr>
        <w:t>и</w:t>
      </w:r>
      <w:r w:rsidRPr="002E0257">
        <w:rPr>
          <w:szCs w:val="24"/>
        </w:rPr>
        <w:t>рование</w:t>
      </w:r>
      <w:proofErr w:type="spellEnd"/>
      <w:r w:rsidRPr="002E0257">
        <w:rPr>
          <w:szCs w:val="24"/>
        </w:rPr>
        <w:t xml:space="preserve"> расходов в ноябре и декабре 2017 года и отсутствие кассового плана по принятым </w:t>
      </w:r>
      <w:r w:rsidR="00517757">
        <w:rPr>
          <w:szCs w:val="24"/>
        </w:rPr>
        <w:t>к</w:t>
      </w:r>
      <w:r w:rsidRPr="002E0257">
        <w:rPr>
          <w:szCs w:val="24"/>
        </w:rPr>
        <w:t>омитетом бюджетны</w:t>
      </w:r>
      <w:r>
        <w:rPr>
          <w:szCs w:val="24"/>
        </w:rPr>
        <w:t>м</w:t>
      </w:r>
      <w:r w:rsidRPr="002E0257">
        <w:rPr>
          <w:szCs w:val="24"/>
        </w:rPr>
        <w:t xml:space="preserve"> и денежны</w:t>
      </w:r>
      <w:r>
        <w:rPr>
          <w:szCs w:val="24"/>
        </w:rPr>
        <w:t>м</w:t>
      </w:r>
      <w:r w:rsidRPr="002E0257">
        <w:rPr>
          <w:szCs w:val="24"/>
        </w:rPr>
        <w:t xml:space="preserve"> обязательств</w:t>
      </w:r>
      <w:r>
        <w:rPr>
          <w:szCs w:val="24"/>
        </w:rPr>
        <w:t>ам</w:t>
      </w:r>
      <w:r w:rsidRPr="002E0257">
        <w:rPr>
          <w:szCs w:val="24"/>
        </w:rPr>
        <w:t xml:space="preserve"> (39</w:t>
      </w:r>
      <w:r w:rsidR="00517757">
        <w:rPr>
          <w:szCs w:val="24"/>
        </w:rPr>
        <w:t>,</w:t>
      </w:r>
      <w:r w:rsidRPr="002E0257">
        <w:rPr>
          <w:szCs w:val="24"/>
        </w:rPr>
        <w:t xml:space="preserve">5 </w:t>
      </w:r>
      <w:r w:rsidR="00517757">
        <w:rPr>
          <w:szCs w:val="24"/>
        </w:rPr>
        <w:t>млн</w:t>
      </w:r>
      <w:r w:rsidRPr="002E0257">
        <w:rPr>
          <w:szCs w:val="24"/>
        </w:rPr>
        <w:t>. руб.)</w:t>
      </w:r>
      <w:r w:rsidRPr="001F6D8F">
        <w:rPr>
          <w:szCs w:val="24"/>
        </w:rPr>
        <w:t>.</w:t>
      </w:r>
    </w:p>
    <w:p w:rsidR="00A75BA3" w:rsidRDefault="00A75BA3" w:rsidP="00A75BA3">
      <w:pPr>
        <w:ind w:right="-1" w:firstLine="709"/>
        <w:jc w:val="both"/>
        <w:rPr>
          <w:bCs/>
          <w:szCs w:val="24"/>
        </w:rPr>
      </w:pPr>
      <w:r w:rsidRPr="00D02DEF">
        <w:rPr>
          <w:bCs/>
          <w:szCs w:val="24"/>
        </w:rPr>
        <w:t>Про</w:t>
      </w:r>
      <w:r>
        <w:rPr>
          <w:bCs/>
          <w:szCs w:val="24"/>
        </w:rPr>
        <w:t>с</w:t>
      </w:r>
      <w:r w:rsidRPr="00D02DEF">
        <w:rPr>
          <w:bCs/>
          <w:szCs w:val="24"/>
        </w:rPr>
        <w:t>роченная кредиторская задолженность</w:t>
      </w:r>
      <w:r w:rsidRPr="004045ED">
        <w:rPr>
          <w:bCs/>
          <w:szCs w:val="24"/>
        </w:rPr>
        <w:t xml:space="preserve"> на 01.01.2018 состав</w:t>
      </w:r>
      <w:r w:rsidR="00FB2A0D">
        <w:rPr>
          <w:bCs/>
          <w:szCs w:val="24"/>
        </w:rPr>
        <w:t>ила</w:t>
      </w:r>
      <w:r w:rsidRPr="004045ED">
        <w:rPr>
          <w:bCs/>
          <w:szCs w:val="24"/>
        </w:rPr>
        <w:t xml:space="preserve"> 6</w:t>
      </w:r>
      <w:r w:rsidR="00517757">
        <w:rPr>
          <w:bCs/>
          <w:szCs w:val="24"/>
        </w:rPr>
        <w:t>,4</w:t>
      </w:r>
      <w:r w:rsidRPr="004045ED">
        <w:rPr>
          <w:bCs/>
          <w:szCs w:val="24"/>
        </w:rPr>
        <w:t xml:space="preserve"> </w:t>
      </w:r>
      <w:r w:rsidR="00517757">
        <w:rPr>
          <w:bCs/>
          <w:szCs w:val="24"/>
        </w:rPr>
        <w:t>млн</w:t>
      </w:r>
      <w:r w:rsidRPr="004045ED">
        <w:rPr>
          <w:bCs/>
          <w:szCs w:val="24"/>
        </w:rPr>
        <w:t>. руб.</w:t>
      </w:r>
      <w:r>
        <w:rPr>
          <w:bCs/>
          <w:szCs w:val="24"/>
        </w:rPr>
        <w:t>, или 8,7% от</w:t>
      </w:r>
      <w:r w:rsidRPr="00BC6EF0">
        <w:rPr>
          <w:bCs/>
          <w:szCs w:val="24"/>
        </w:rPr>
        <w:t xml:space="preserve"> </w:t>
      </w:r>
      <w:r w:rsidRPr="004045ED">
        <w:rPr>
          <w:bCs/>
          <w:szCs w:val="24"/>
        </w:rPr>
        <w:t>общей суммы кредиторской задолженности</w:t>
      </w:r>
      <w:r>
        <w:rPr>
          <w:bCs/>
          <w:szCs w:val="24"/>
        </w:rPr>
        <w:t>, в том числе 4</w:t>
      </w:r>
      <w:r w:rsidR="00517757">
        <w:rPr>
          <w:bCs/>
          <w:szCs w:val="24"/>
        </w:rPr>
        <w:t>,6</w:t>
      </w:r>
      <w:r>
        <w:rPr>
          <w:bCs/>
          <w:szCs w:val="24"/>
        </w:rPr>
        <w:t xml:space="preserve"> </w:t>
      </w:r>
      <w:r w:rsidR="00517757">
        <w:rPr>
          <w:bCs/>
          <w:szCs w:val="24"/>
        </w:rPr>
        <w:t>млн</w:t>
      </w:r>
      <w:r>
        <w:rPr>
          <w:bCs/>
          <w:szCs w:val="24"/>
        </w:rPr>
        <w:t>. руб. за 2013-</w:t>
      </w:r>
      <w:r>
        <w:rPr>
          <w:bCs/>
          <w:szCs w:val="24"/>
        </w:rPr>
        <w:lastRenderedPageBreak/>
        <w:t>2014 годы. Кроме того, в составе просроченной кредиторской задолженности на 01.01.2018 не отражено 1,8 тыс. рублей.</w:t>
      </w:r>
    </w:p>
    <w:p w:rsidR="00720488" w:rsidRDefault="00720488" w:rsidP="00720488">
      <w:pPr>
        <w:ind w:right="-1" w:firstLine="720"/>
        <w:jc w:val="both"/>
        <w:rPr>
          <w:szCs w:val="24"/>
        </w:rPr>
      </w:pPr>
      <w:proofErr w:type="gramStart"/>
      <w:r>
        <w:rPr>
          <w:szCs w:val="24"/>
        </w:rPr>
        <w:t>В</w:t>
      </w:r>
      <w:r w:rsidRPr="002E0257">
        <w:rPr>
          <w:szCs w:val="24"/>
        </w:rPr>
        <w:t xml:space="preserve"> 2017 году </w:t>
      </w:r>
      <w:r>
        <w:rPr>
          <w:szCs w:val="24"/>
        </w:rPr>
        <w:t>к</w:t>
      </w:r>
      <w:r w:rsidRPr="002E0257">
        <w:rPr>
          <w:szCs w:val="24"/>
        </w:rPr>
        <w:t>омитетом</w:t>
      </w:r>
      <w:r>
        <w:rPr>
          <w:szCs w:val="24"/>
        </w:rPr>
        <w:t xml:space="preserve"> сельского хозяйства</w:t>
      </w:r>
      <w:r w:rsidRPr="002E0257">
        <w:rPr>
          <w:szCs w:val="24"/>
        </w:rPr>
        <w:t xml:space="preserve"> во исполнение п</w:t>
      </w:r>
      <w:r>
        <w:rPr>
          <w:szCs w:val="24"/>
        </w:rPr>
        <w:t xml:space="preserve">ункта </w:t>
      </w:r>
      <w:r w:rsidRPr="002E0257">
        <w:rPr>
          <w:szCs w:val="24"/>
        </w:rPr>
        <w:t xml:space="preserve">16 Правил формирования, предоставления и распределения субсидий из федерального бюджета бюджетам субъектов РФ, утвержденных постановлением Правительства РФ от 30.09.2014 №999, осуществлен возврат средств федерального бюджета в связи с </w:t>
      </w:r>
      <w:proofErr w:type="spellStart"/>
      <w:r w:rsidRPr="002E0257">
        <w:rPr>
          <w:szCs w:val="24"/>
        </w:rPr>
        <w:t>недостижением</w:t>
      </w:r>
      <w:proofErr w:type="spellEnd"/>
      <w:r w:rsidRPr="002E0257">
        <w:rPr>
          <w:szCs w:val="24"/>
        </w:rPr>
        <w:t xml:space="preserve"> в 2015</w:t>
      </w:r>
      <w:r>
        <w:rPr>
          <w:szCs w:val="24"/>
        </w:rPr>
        <w:t>-</w:t>
      </w:r>
      <w:r w:rsidRPr="002E0257">
        <w:rPr>
          <w:szCs w:val="24"/>
        </w:rPr>
        <w:t>2016 годах значений отдельных показателей результативности использования по 5 видам субсидий на общую сумму 16</w:t>
      </w:r>
      <w:r>
        <w:rPr>
          <w:szCs w:val="24"/>
        </w:rPr>
        <w:t>,2</w:t>
      </w:r>
      <w:r w:rsidRPr="002E0257">
        <w:rPr>
          <w:szCs w:val="24"/>
        </w:rPr>
        <w:t xml:space="preserve"> </w:t>
      </w:r>
      <w:r>
        <w:rPr>
          <w:szCs w:val="24"/>
        </w:rPr>
        <w:t>млн</w:t>
      </w:r>
      <w:r w:rsidRPr="002E0257">
        <w:rPr>
          <w:szCs w:val="24"/>
        </w:rPr>
        <w:t>. рублей.</w:t>
      </w:r>
      <w:proofErr w:type="gramEnd"/>
    </w:p>
    <w:p w:rsidR="00720488" w:rsidRDefault="00720488" w:rsidP="00720488">
      <w:pPr>
        <w:ind w:right="-1" w:firstLine="720"/>
        <w:jc w:val="both"/>
        <w:rPr>
          <w:szCs w:val="24"/>
        </w:rPr>
      </w:pPr>
      <w:r w:rsidRPr="00EC25F8">
        <w:rPr>
          <w:szCs w:val="24"/>
        </w:rPr>
        <w:t xml:space="preserve">Согласно информации </w:t>
      </w:r>
      <w:r>
        <w:rPr>
          <w:szCs w:val="24"/>
        </w:rPr>
        <w:t>к</w:t>
      </w:r>
      <w:r w:rsidRPr="00EC25F8">
        <w:rPr>
          <w:szCs w:val="24"/>
        </w:rPr>
        <w:t xml:space="preserve">омитета о ходе реализации </w:t>
      </w:r>
      <w:r>
        <w:rPr>
          <w:szCs w:val="24"/>
        </w:rPr>
        <w:t>госпрограммы</w:t>
      </w:r>
      <w:r w:rsidRPr="00EC25F8">
        <w:rPr>
          <w:szCs w:val="24"/>
        </w:rPr>
        <w:t xml:space="preserve"> </w:t>
      </w:r>
      <w:r w:rsidRPr="00EC25F8">
        <w:rPr>
          <w:bCs/>
          <w:szCs w:val="24"/>
        </w:rPr>
        <w:t>«Развитие сельского хозяйства</w:t>
      </w:r>
      <w:r w:rsidR="00BB1930">
        <w:rPr>
          <w:bCs/>
          <w:szCs w:val="24"/>
        </w:rPr>
        <w:t xml:space="preserve"> и </w:t>
      </w:r>
      <w:r w:rsidR="00A06D4F">
        <w:rPr>
          <w:bCs/>
          <w:szCs w:val="24"/>
        </w:rPr>
        <w:t xml:space="preserve">регулирование рынков </w:t>
      </w:r>
      <w:r w:rsidR="001D1556">
        <w:rPr>
          <w:bCs/>
          <w:szCs w:val="24"/>
        </w:rPr>
        <w:t>сельскохозяйственной продукции, сырья и продовольствия</w:t>
      </w:r>
      <w:r w:rsidRPr="00EC25F8">
        <w:rPr>
          <w:bCs/>
          <w:szCs w:val="24"/>
        </w:rPr>
        <w:t xml:space="preserve">» </w:t>
      </w:r>
      <w:r w:rsidRPr="00EC25F8">
        <w:rPr>
          <w:szCs w:val="24"/>
        </w:rPr>
        <w:t xml:space="preserve">в 2017 году </w:t>
      </w:r>
      <w:r w:rsidR="007915D8">
        <w:rPr>
          <w:szCs w:val="24"/>
        </w:rPr>
        <w:t>и</w:t>
      </w:r>
      <w:r w:rsidRPr="00EC25F8">
        <w:rPr>
          <w:szCs w:val="24"/>
        </w:rPr>
        <w:t>з 49 целевых показателей, характеризующих эффективность реализации подпрограмм, не достигнуто 3 показателя. Планов</w:t>
      </w:r>
      <w:r w:rsidR="007915D8">
        <w:rPr>
          <w:szCs w:val="24"/>
        </w:rPr>
        <w:t>ые</w:t>
      </w:r>
      <w:r w:rsidRPr="00EC25F8">
        <w:rPr>
          <w:szCs w:val="24"/>
        </w:rPr>
        <w:t xml:space="preserve"> значени</w:t>
      </w:r>
      <w:r w:rsidR="007915D8">
        <w:rPr>
          <w:szCs w:val="24"/>
        </w:rPr>
        <w:t>я</w:t>
      </w:r>
      <w:r w:rsidRPr="00EC25F8">
        <w:rPr>
          <w:szCs w:val="24"/>
        </w:rPr>
        <w:t xml:space="preserve"> </w:t>
      </w:r>
      <w:r>
        <w:rPr>
          <w:szCs w:val="24"/>
        </w:rPr>
        <w:t>двух</w:t>
      </w:r>
      <w:r w:rsidRPr="00EC25F8">
        <w:rPr>
          <w:szCs w:val="24"/>
        </w:rPr>
        <w:t xml:space="preserve"> из </w:t>
      </w:r>
      <w:r>
        <w:rPr>
          <w:szCs w:val="24"/>
        </w:rPr>
        <w:t>них</w:t>
      </w:r>
      <w:r w:rsidRPr="00EC25F8">
        <w:rPr>
          <w:szCs w:val="24"/>
        </w:rPr>
        <w:t xml:space="preserve"> не увязан</w:t>
      </w:r>
      <w:r w:rsidR="007915D8">
        <w:rPr>
          <w:szCs w:val="24"/>
        </w:rPr>
        <w:t>ы</w:t>
      </w:r>
      <w:r w:rsidRPr="00EC25F8">
        <w:rPr>
          <w:szCs w:val="24"/>
        </w:rPr>
        <w:t xml:space="preserve"> с объемом финансирования </w:t>
      </w:r>
      <w:r>
        <w:rPr>
          <w:szCs w:val="24"/>
        </w:rPr>
        <w:t xml:space="preserve">соответствующих </w:t>
      </w:r>
      <w:r w:rsidRPr="00EC25F8">
        <w:rPr>
          <w:szCs w:val="24"/>
        </w:rPr>
        <w:t>расходов, предусмотренн</w:t>
      </w:r>
      <w:r>
        <w:rPr>
          <w:szCs w:val="24"/>
        </w:rPr>
        <w:t>ых</w:t>
      </w:r>
      <w:r w:rsidRPr="00EC25F8">
        <w:rPr>
          <w:szCs w:val="24"/>
        </w:rPr>
        <w:t xml:space="preserve"> </w:t>
      </w:r>
      <w:r w:rsidR="007915D8">
        <w:rPr>
          <w:szCs w:val="24"/>
        </w:rPr>
        <w:t>госпрограммой, а</w:t>
      </w:r>
      <w:r>
        <w:rPr>
          <w:szCs w:val="24"/>
        </w:rPr>
        <w:t xml:space="preserve"> </w:t>
      </w:r>
      <w:r w:rsidR="007915D8">
        <w:rPr>
          <w:szCs w:val="24"/>
        </w:rPr>
        <w:t>в</w:t>
      </w:r>
      <w:r>
        <w:rPr>
          <w:szCs w:val="24"/>
        </w:rPr>
        <w:t xml:space="preserve"> связи с невыполнением одного из показателей результативности </w:t>
      </w:r>
      <w:r w:rsidR="00C3301E" w:rsidRPr="00C3301E">
        <w:rPr>
          <w:szCs w:val="24"/>
        </w:rPr>
        <w:t>(«Размер застрахованных посевных площадей</w:t>
      </w:r>
      <w:r w:rsidR="00C3301E" w:rsidRPr="00C3301E">
        <w:rPr>
          <w:rFonts w:eastAsia="MS Mincho"/>
          <w:szCs w:val="24"/>
          <w:lang w:eastAsia="ja-JP"/>
        </w:rPr>
        <w:t>»)</w:t>
      </w:r>
      <w:r w:rsidR="00C3301E" w:rsidRPr="00255602">
        <w:rPr>
          <w:rFonts w:eastAsia="MS Mincho"/>
          <w:szCs w:val="24"/>
          <w:lang w:eastAsia="ja-JP"/>
        </w:rPr>
        <w:t xml:space="preserve"> </w:t>
      </w:r>
      <w:r>
        <w:rPr>
          <w:szCs w:val="24"/>
        </w:rPr>
        <w:t xml:space="preserve">в федеральный бюджет в 2018 году подлежит возврату 3 </w:t>
      </w:r>
      <w:r w:rsidR="007915D8">
        <w:rPr>
          <w:szCs w:val="24"/>
        </w:rPr>
        <w:t>млн</w:t>
      </w:r>
      <w:r>
        <w:rPr>
          <w:szCs w:val="24"/>
        </w:rPr>
        <w:t>. рублей.</w:t>
      </w:r>
    </w:p>
    <w:p w:rsidR="00A06D4F" w:rsidRDefault="00A06D4F" w:rsidP="00915492">
      <w:pPr>
        <w:autoSpaceDE w:val="0"/>
        <w:autoSpaceDN w:val="0"/>
        <w:adjustRightInd w:val="0"/>
        <w:ind w:firstLine="851"/>
        <w:jc w:val="both"/>
      </w:pPr>
      <w:r>
        <w:t xml:space="preserve">Таким образом, </w:t>
      </w:r>
      <w:proofErr w:type="spellStart"/>
      <w:r>
        <w:t>недостижение</w:t>
      </w:r>
      <w:proofErr w:type="spellEnd"/>
      <w:r>
        <w:t xml:space="preserve"> целевых показателей, установленных госпрограммой и соответственно соглашениями, заключаемым</w:t>
      </w:r>
      <w:r w:rsidR="000C70E4">
        <w:t>и</w:t>
      </w:r>
      <w:r>
        <w:t xml:space="preserve"> областью с Министерством сельского хозяйства РФ, приводит к необходимости возврата</w:t>
      </w:r>
      <w:r w:rsidR="001D1556">
        <w:t xml:space="preserve"> средств федерального бюджета.</w:t>
      </w:r>
    </w:p>
    <w:p w:rsidR="000F79C5" w:rsidRDefault="00A06D4F" w:rsidP="000F79C5">
      <w:pPr>
        <w:ind w:firstLine="709"/>
        <w:jc w:val="both"/>
      </w:pPr>
      <w:r>
        <w:t xml:space="preserve"> </w:t>
      </w:r>
      <w:r w:rsidR="0043568B">
        <w:t xml:space="preserve"> При проверке бюджетной отчетности </w:t>
      </w:r>
      <w:r w:rsidR="0043568B" w:rsidRPr="000F79C5">
        <w:rPr>
          <w:b/>
          <w:i/>
        </w:rPr>
        <w:t>комитета природных ресурсов, лесного хозяйства и экологии Волгоградской области</w:t>
      </w:r>
      <w:r w:rsidR="0043568B">
        <w:t xml:space="preserve"> установлено</w:t>
      </w:r>
      <w:r w:rsidR="00E6043E">
        <w:t>, что</w:t>
      </w:r>
      <w:r w:rsidR="0043568B">
        <w:t xml:space="preserve"> </w:t>
      </w:r>
      <w:r w:rsidR="00E6043E">
        <w:t>н</w:t>
      </w:r>
      <w:r w:rsidR="0043568B">
        <w:t>а 01.01.2018 дебиторская задолженность комитета составила</w:t>
      </w:r>
      <w:r w:rsidR="0043568B" w:rsidRPr="003F3EA5">
        <w:t xml:space="preserve"> </w:t>
      </w:r>
      <w:r w:rsidR="0043568B">
        <w:t>9,2</w:t>
      </w:r>
      <w:r w:rsidR="0043568B" w:rsidRPr="003F3EA5">
        <w:t xml:space="preserve"> </w:t>
      </w:r>
      <w:r w:rsidR="0043568B">
        <w:t>млн</w:t>
      </w:r>
      <w:r w:rsidR="0043568B" w:rsidRPr="003F3EA5">
        <w:t>. руб</w:t>
      </w:r>
      <w:r w:rsidR="0043568B">
        <w:t xml:space="preserve">., в том числе просроченная – 6,9 млн. рублей. </w:t>
      </w:r>
      <w:r w:rsidR="00827E74">
        <w:t>При этом о</w:t>
      </w:r>
      <w:r w:rsidR="0043568B" w:rsidRPr="000C3EE9">
        <w:t>сновн</w:t>
      </w:r>
      <w:r w:rsidR="0043568B">
        <w:t xml:space="preserve">ая </w:t>
      </w:r>
      <w:r w:rsidR="0043568B" w:rsidRPr="000C3EE9">
        <w:t>дол</w:t>
      </w:r>
      <w:r w:rsidR="0043568B">
        <w:t>я</w:t>
      </w:r>
      <w:r w:rsidR="0043568B" w:rsidRPr="000C3EE9">
        <w:t xml:space="preserve"> </w:t>
      </w:r>
      <w:r w:rsidR="0043568B">
        <w:t xml:space="preserve">в общей сумме </w:t>
      </w:r>
      <w:r w:rsidR="0043568B" w:rsidRPr="00077072">
        <w:t>просроченной задолженности - это задолженность по доходам, образовавшаяся в результате неисполнения арендаторами договорных обязательств по договорам аренды лесных участков</w:t>
      </w:r>
      <w:r w:rsidR="0043568B">
        <w:t xml:space="preserve"> с 2004 года</w:t>
      </w:r>
      <w:r w:rsidR="0043568B" w:rsidRPr="00077072">
        <w:t xml:space="preserve"> </w:t>
      </w:r>
      <w:r w:rsidR="00827E74">
        <w:t>(</w:t>
      </w:r>
      <w:r w:rsidR="0043568B" w:rsidRPr="00077072">
        <w:t xml:space="preserve">6 </w:t>
      </w:r>
      <w:r w:rsidR="0043568B">
        <w:t>млн</w:t>
      </w:r>
      <w:r w:rsidR="0043568B" w:rsidRPr="00077072">
        <w:t>. руб</w:t>
      </w:r>
      <w:r w:rsidR="0043568B">
        <w:t>.</w:t>
      </w:r>
      <w:r w:rsidR="00827E74">
        <w:t>)</w:t>
      </w:r>
      <w:r w:rsidR="0043568B">
        <w:t>, списание которой комитету не согласовано Федеральным агентством лесного хозяйства.</w:t>
      </w:r>
    </w:p>
    <w:p w:rsidR="00444521" w:rsidRDefault="00444521" w:rsidP="00444521">
      <w:pPr>
        <w:ind w:firstLine="708"/>
        <w:jc w:val="both"/>
      </w:pPr>
      <w:proofErr w:type="gramStart"/>
      <w:r>
        <w:t xml:space="preserve">При проверке </w:t>
      </w:r>
      <w:r w:rsidRPr="002C3B00">
        <w:rPr>
          <w:b/>
          <w:i/>
        </w:rPr>
        <w:t>комитета ветеринарии Волгоградской области</w:t>
      </w:r>
      <w:r>
        <w:t xml:space="preserve"> </w:t>
      </w:r>
      <w:r w:rsidR="005710B8">
        <w:t xml:space="preserve">(далее Комитет) </w:t>
      </w:r>
      <w:r>
        <w:t xml:space="preserve">установлено, что </w:t>
      </w:r>
      <w:r w:rsidR="005710B8">
        <w:t xml:space="preserve">цель, </w:t>
      </w:r>
      <w:r>
        <w:t xml:space="preserve">поставленная </w:t>
      </w:r>
      <w:r w:rsidR="002C3B00">
        <w:t xml:space="preserve">в </w:t>
      </w:r>
      <w:r>
        <w:t>ВЦП «Обеспечение эпизоотического и ветеринарно-санитарного благополучия территории Волгоградской области»</w:t>
      </w:r>
      <w:r w:rsidR="005710B8">
        <w:t>, достигнута не</w:t>
      </w:r>
      <w:r>
        <w:t xml:space="preserve"> в полной мере, так как при запланированном ежегодном снижении количества</w:t>
      </w:r>
      <w:r w:rsidRPr="00F70963">
        <w:t xml:space="preserve"> выявленных неблагополучных </w:t>
      </w:r>
      <w:r>
        <w:t xml:space="preserve">населенных </w:t>
      </w:r>
      <w:r w:rsidRPr="00F70963">
        <w:t>пунктов по особо опасным и карантинным инфекционным заболеваниям животных</w:t>
      </w:r>
      <w:r>
        <w:t xml:space="preserve"> фактически их количество в 2015-2017 годах ежегодно увеличивалось - с  35 до 168 ед., в</w:t>
      </w:r>
      <w:proofErr w:type="gramEnd"/>
      <w:r>
        <w:t xml:space="preserve"> том числе по африканской чуме свиней - с 4 ед. до 19 единиц. Невыполнение целевого показателя при значительном перевыполнении плана по мероприятиям ВЦП может свидетельствовать о</w:t>
      </w:r>
      <w:r w:rsidR="002C3B00">
        <w:t xml:space="preserve"> некорректном пла</w:t>
      </w:r>
      <w:r>
        <w:t>нировании.</w:t>
      </w:r>
    </w:p>
    <w:p w:rsidR="00444521" w:rsidRPr="00D02EC5" w:rsidRDefault="00444521" w:rsidP="00444521">
      <w:pPr>
        <w:ind w:firstLine="708"/>
        <w:jc w:val="both"/>
      </w:pPr>
      <w:r>
        <w:t xml:space="preserve">Комитетом объемы финансового обеспечения государственных заданий </w:t>
      </w:r>
      <w:r w:rsidR="005710B8">
        <w:t xml:space="preserve">подведомственным учреждениям </w:t>
      </w:r>
      <w:r>
        <w:t>рассчит</w:t>
      </w:r>
      <w:r w:rsidR="005710B8">
        <w:t>ывались</w:t>
      </w:r>
      <w:r>
        <w:t xml:space="preserve"> на объемы фактической потребности в государственных услугах с применением коэффициентов выравнивания, значения которых </w:t>
      </w:r>
      <w:r w:rsidRPr="00AC29F0">
        <w:t>в соответствии с постановлением Администрации Волгоградской обл</w:t>
      </w:r>
      <w:r>
        <w:t>асти от 26.12.2016 №717-п должны</w:t>
      </w:r>
      <w:r w:rsidRPr="00AC29F0">
        <w:t xml:space="preserve"> определяться в порядке, установленном главным распорядителем средств областного бюджета. </w:t>
      </w:r>
      <w:r>
        <w:t>Однако</w:t>
      </w:r>
      <w:proofErr w:type="gramStart"/>
      <w:r>
        <w:t>,</w:t>
      </w:r>
      <w:proofErr w:type="gramEnd"/>
      <w:r>
        <w:t xml:space="preserve"> </w:t>
      </w:r>
      <w:r w:rsidRPr="008C2C39">
        <w:t>порядок</w:t>
      </w:r>
      <w:r>
        <w:t xml:space="preserve"> определения коэффициентов выравнивания Комитетом не принят, а коэффициенты установлены приказом Комитета с учетом плана доходов от оказания платных услуг учреждени</w:t>
      </w:r>
      <w:r w:rsidR="005710B8">
        <w:t>ями</w:t>
      </w:r>
      <w:r>
        <w:t xml:space="preserve">. При этом самими государственными заданиями государственные услуги были установлены в меньших объемах, рассчитанных исходя из нормативов и финансового обеспечения </w:t>
      </w:r>
      <w:proofErr w:type="spellStart"/>
      <w:r>
        <w:t>госзаданий</w:t>
      </w:r>
      <w:proofErr w:type="spellEnd"/>
      <w:r>
        <w:t xml:space="preserve">. В результате такого расчета применение коэффициентов выравнивания привело к снижению доведенных объемов государственных услуг. </w:t>
      </w:r>
      <w:proofErr w:type="gramStart"/>
      <w:r w:rsidR="005710B8">
        <w:t>Поскольку</w:t>
      </w:r>
      <w:r>
        <w:t xml:space="preserve"> проведение противоэпизоотических мероприятий в недостаточном объеме </w:t>
      </w:r>
      <w:r w:rsidRPr="00B7025D">
        <w:rPr>
          <w:color w:val="000000"/>
        </w:rPr>
        <w:t>может привести к ухудшению эп</w:t>
      </w:r>
      <w:r>
        <w:rPr>
          <w:color w:val="000000"/>
        </w:rPr>
        <w:t>изоотической ситуации в области,</w:t>
      </w:r>
      <w:r w:rsidRPr="00B7025D">
        <w:rPr>
          <w:color w:val="000000"/>
        </w:rPr>
        <w:t xml:space="preserve"> </w:t>
      </w:r>
      <w:r>
        <w:t xml:space="preserve">объемы государственных услуг в </w:t>
      </w:r>
      <w:proofErr w:type="spellStart"/>
      <w:r>
        <w:t>госзаданиях</w:t>
      </w:r>
      <w:proofErr w:type="spellEnd"/>
      <w:r>
        <w:t xml:space="preserve"> учреждениям необходимо устанавливать, исходя </w:t>
      </w:r>
      <w:r>
        <w:rPr>
          <w:u w:val="single"/>
        </w:rPr>
        <w:t>из их фактической потребности,</w:t>
      </w:r>
      <w:r>
        <w:t xml:space="preserve"> а расчет финансового обеспечения </w:t>
      </w:r>
      <w:proofErr w:type="spellStart"/>
      <w:r>
        <w:t>госзаданий</w:t>
      </w:r>
      <w:proofErr w:type="spellEnd"/>
      <w:r>
        <w:t xml:space="preserve"> производить с учетом установленных учреждениям коэффициентов выравнивания, </w:t>
      </w:r>
      <w:r w:rsidRPr="00D02EC5">
        <w:t>т</w:t>
      </w:r>
      <w:r w:rsidR="005710B8">
        <w:t>.</w:t>
      </w:r>
      <w:r w:rsidRPr="00D02EC5">
        <w:t xml:space="preserve"> е</w:t>
      </w:r>
      <w:r w:rsidR="005710B8">
        <w:t>.</w:t>
      </w:r>
      <w:r w:rsidRPr="00D02EC5">
        <w:t xml:space="preserve"> с учетом того, что часть расходов на выполнение доведенного объема </w:t>
      </w:r>
      <w:proofErr w:type="spellStart"/>
      <w:r w:rsidRPr="00D02EC5">
        <w:t>госуслуг</w:t>
      </w:r>
      <w:proofErr w:type="spellEnd"/>
      <w:r w:rsidRPr="00D02EC5">
        <w:t xml:space="preserve"> будет произведена за счет средств, полученных учреждениями</w:t>
      </w:r>
      <w:proofErr w:type="gramEnd"/>
      <w:r w:rsidRPr="00D02EC5">
        <w:t xml:space="preserve"> от оказания платных услуг. </w:t>
      </w:r>
    </w:p>
    <w:p w:rsidR="00444521" w:rsidRDefault="00444521" w:rsidP="00444521">
      <w:pPr>
        <w:pStyle w:val="11"/>
        <w:tabs>
          <w:tab w:val="left" w:pos="709"/>
        </w:tabs>
        <w:ind w:firstLine="709"/>
        <w:jc w:val="both"/>
      </w:pPr>
      <w:r>
        <w:lastRenderedPageBreak/>
        <w:t>Законами об областном бюджете на 2016 и 2017 годы предусм</w:t>
      </w:r>
      <w:r w:rsidR="005710B8">
        <w:t>атривались</w:t>
      </w:r>
      <w:r>
        <w:t xml:space="preserve"> субвенции на отлов, содержание и уничтожение безнадзорных животных в размере 3 </w:t>
      </w:r>
      <w:r w:rsidR="0011455C">
        <w:t>млн</w:t>
      </w:r>
      <w:r>
        <w:t>. руб. (ежегодно)</w:t>
      </w:r>
      <w:r w:rsidR="0011455C">
        <w:t>,</w:t>
      </w:r>
      <w:r>
        <w:t xml:space="preserve"> по сравнению с 2014 и 2015 годами </w:t>
      </w:r>
      <w:r w:rsidR="0011455C">
        <w:t xml:space="preserve">их </w:t>
      </w:r>
      <w:r>
        <w:t xml:space="preserve">объем снижен в 4-5 раз. </w:t>
      </w:r>
      <w:r w:rsidR="0011455C">
        <w:t>Соответственно в</w:t>
      </w:r>
      <w:r>
        <w:t xml:space="preserve"> 2016</w:t>
      </w:r>
      <w:r w:rsidR="0011455C">
        <w:t>-</w:t>
      </w:r>
      <w:r>
        <w:t>2017 годах большинству муниципальных образований субвенции для сокращения поголовья безнадзорных животных</w:t>
      </w:r>
      <w:r w:rsidR="0011455C">
        <w:t xml:space="preserve"> были выделены в недостаточном объеме</w:t>
      </w:r>
      <w:r>
        <w:t xml:space="preserve">. Так, в 2017 году </w:t>
      </w:r>
      <w:r w:rsidRPr="00F32462">
        <w:t>14 муниципальным образованиям субвенции предусмотрены</w:t>
      </w:r>
      <w:r>
        <w:t xml:space="preserve"> на</w:t>
      </w:r>
      <w:r w:rsidRPr="00F32462">
        <w:t xml:space="preserve"> </w:t>
      </w:r>
      <w:r>
        <w:t xml:space="preserve">отлов безнадзорных животных в количестве </w:t>
      </w:r>
      <w:r w:rsidRPr="00A42A7D">
        <w:t>от 8 до 13 голов</w:t>
      </w:r>
      <w:r>
        <w:t xml:space="preserve"> каждому муниципальному образованию</w:t>
      </w:r>
      <w:r w:rsidRPr="00F32462">
        <w:t>.</w:t>
      </w:r>
      <w:r>
        <w:t xml:space="preserve"> Такое распределение субвенций является распылением бюджетных средств и приводит к низкой эффективности этих бюджетных вложений. </w:t>
      </w:r>
      <w:r w:rsidR="0011455C">
        <w:t>Как результат,</w:t>
      </w:r>
      <w:r>
        <w:t xml:space="preserve"> в 2017 году количество безнадзорных животных увеличилось в 23 муниципальных районах и 6</w:t>
      </w:r>
      <w:r w:rsidRPr="00D20648">
        <w:t xml:space="preserve"> городских округах</w:t>
      </w:r>
      <w:r>
        <w:t xml:space="preserve"> по сравнению с 2016 годом на 22,3%, а в отдельных муниципальных образованиях в 3-8 раз</w:t>
      </w:r>
      <w:r w:rsidRPr="00D20648">
        <w:t>.</w:t>
      </w:r>
      <w:r>
        <w:t xml:space="preserve"> </w:t>
      </w:r>
    </w:p>
    <w:p w:rsidR="00951C65" w:rsidRDefault="00951C65" w:rsidP="001061B8">
      <w:pPr>
        <w:jc w:val="center"/>
        <w:outlineLvl w:val="0"/>
        <w:rPr>
          <w:b/>
          <w:szCs w:val="24"/>
        </w:rPr>
      </w:pPr>
    </w:p>
    <w:p w:rsidR="00D41DD0" w:rsidRDefault="00D41DD0" w:rsidP="001061B8">
      <w:pPr>
        <w:jc w:val="center"/>
        <w:outlineLvl w:val="0"/>
        <w:rPr>
          <w:b/>
          <w:szCs w:val="24"/>
        </w:rPr>
      </w:pPr>
      <w:r>
        <w:rPr>
          <w:b/>
          <w:szCs w:val="24"/>
        </w:rPr>
        <w:t>4.4. Расходы по разделу 0500 «Жилищно-коммунальное хозяйство».</w:t>
      </w:r>
    </w:p>
    <w:p w:rsidR="00D41DD0" w:rsidRDefault="00D41DD0" w:rsidP="00D41DD0">
      <w:pPr>
        <w:jc w:val="center"/>
        <w:rPr>
          <w:b/>
          <w:szCs w:val="24"/>
        </w:rPr>
      </w:pPr>
    </w:p>
    <w:p w:rsidR="00AE5948" w:rsidRDefault="00D41DD0" w:rsidP="005737EE">
      <w:pPr>
        <w:ind w:firstLine="708"/>
        <w:jc w:val="both"/>
        <w:rPr>
          <w:sz w:val="20"/>
        </w:rPr>
      </w:pPr>
      <w:r>
        <w:t>Уточненные бюджетные ассигнования на 20</w:t>
      </w:r>
      <w:r w:rsidR="000E2E16">
        <w:t>1</w:t>
      </w:r>
      <w:r w:rsidR="006350F4">
        <w:t>7</w:t>
      </w:r>
      <w:r w:rsidR="00901E40">
        <w:t xml:space="preserve"> </w:t>
      </w:r>
      <w:r>
        <w:t xml:space="preserve">год по разделу </w:t>
      </w:r>
      <w:r w:rsidRPr="00226E91">
        <w:t>0</w:t>
      </w:r>
      <w:r>
        <w:t>5</w:t>
      </w:r>
      <w:r w:rsidRPr="00226E91">
        <w:t>00 «</w:t>
      </w:r>
      <w:r>
        <w:t>Жилищно-коммунальное хозяйство</w:t>
      </w:r>
      <w:r w:rsidRPr="00226E91">
        <w:rPr>
          <w:szCs w:val="24"/>
        </w:rPr>
        <w:t>»</w:t>
      </w:r>
      <w:r>
        <w:rPr>
          <w:szCs w:val="24"/>
        </w:rPr>
        <w:t xml:space="preserve"> </w:t>
      </w:r>
      <w:r w:rsidR="00B44DAE">
        <w:rPr>
          <w:szCs w:val="24"/>
        </w:rPr>
        <w:t xml:space="preserve">составили </w:t>
      </w:r>
      <w:r w:rsidR="002C456B">
        <w:rPr>
          <w:szCs w:val="24"/>
        </w:rPr>
        <w:t>3665,4</w:t>
      </w:r>
      <w:r w:rsidR="00A73216">
        <w:t xml:space="preserve"> </w:t>
      </w:r>
      <w:r>
        <w:t xml:space="preserve">млн. рублей. Фактическое исполнение расходов по </w:t>
      </w:r>
      <w:r w:rsidR="00B44DAE">
        <w:t xml:space="preserve">данному </w:t>
      </w:r>
      <w:r>
        <w:t xml:space="preserve">разделу </w:t>
      </w:r>
      <w:r w:rsidR="00B44DAE">
        <w:t>–</w:t>
      </w:r>
      <w:r>
        <w:t xml:space="preserve"> </w:t>
      </w:r>
      <w:r w:rsidR="002C456B">
        <w:t>3853,5</w:t>
      </w:r>
      <w:r>
        <w:t xml:space="preserve"> млн. руб., или </w:t>
      </w:r>
      <w:r w:rsidR="0040759A">
        <w:t>95,1</w:t>
      </w:r>
      <w:r>
        <w:t xml:space="preserve">% от </w:t>
      </w:r>
      <w:r w:rsidR="00B44DAE">
        <w:t>бюджетных назначений</w:t>
      </w:r>
      <w:r w:rsidR="00EA1FE5">
        <w:t>, в том числе</w:t>
      </w:r>
      <w:r>
        <w:t>:</w:t>
      </w:r>
      <w:r w:rsidRPr="00DF312C">
        <w:rPr>
          <w:sz w:val="20"/>
        </w:rPr>
        <w:t xml:space="preserve">  </w:t>
      </w:r>
    </w:p>
    <w:p w:rsidR="006350F4" w:rsidRPr="008D1689" w:rsidRDefault="008D1689" w:rsidP="008D1689">
      <w:pPr>
        <w:ind w:firstLine="708"/>
        <w:jc w:val="right"/>
        <w:rPr>
          <w:sz w:val="20"/>
        </w:rPr>
      </w:pPr>
      <w:r>
        <w:rPr>
          <w:sz w:val="20"/>
        </w:rPr>
        <w:t>млн. руб.</w:t>
      </w:r>
    </w:p>
    <w:tbl>
      <w:tblPr>
        <w:tblW w:w="9510" w:type="dxa"/>
        <w:tblInd w:w="96" w:type="dxa"/>
        <w:tblLayout w:type="fixed"/>
        <w:tblLook w:val="04A0"/>
      </w:tblPr>
      <w:tblGrid>
        <w:gridCol w:w="3981"/>
        <w:gridCol w:w="993"/>
        <w:gridCol w:w="992"/>
        <w:gridCol w:w="992"/>
        <w:gridCol w:w="1276"/>
        <w:gridCol w:w="1276"/>
      </w:tblGrid>
      <w:tr w:rsidR="008D1689" w:rsidRPr="008D1689" w:rsidTr="008D1689">
        <w:trPr>
          <w:trHeight w:val="20"/>
        </w:trPr>
        <w:tc>
          <w:tcPr>
            <w:tcW w:w="3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8D1689" w:rsidRPr="008D1689" w:rsidRDefault="008D1689" w:rsidP="0040759A">
            <w:pPr>
              <w:jc w:val="center"/>
              <w:rPr>
                <w:b/>
                <w:i/>
                <w:iCs/>
                <w:sz w:val="20"/>
              </w:rPr>
            </w:pPr>
            <w:r w:rsidRPr="008D1689">
              <w:rPr>
                <w:b/>
                <w:i/>
                <w:iCs/>
                <w:sz w:val="20"/>
              </w:rPr>
              <w:t>Наименование ГРБС</w:t>
            </w:r>
          </w:p>
        </w:tc>
        <w:tc>
          <w:tcPr>
            <w:tcW w:w="55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8D1689" w:rsidRPr="008D1689" w:rsidRDefault="008D1689" w:rsidP="0040759A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8D1689">
              <w:rPr>
                <w:b/>
                <w:bCs/>
                <w:i/>
                <w:iCs/>
                <w:sz w:val="20"/>
              </w:rPr>
              <w:t>Жилищно-коммунальное хозяйство</w:t>
            </w:r>
          </w:p>
        </w:tc>
      </w:tr>
      <w:tr w:rsidR="002C456B" w:rsidRPr="008D1689" w:rsidTr="002C456B">
        <w:trPr>
          <w:trHeight w:val="670"/>
        </w:trPr>
        <w:tc>
          <w:tcPr>
            <w:tcW w:w="3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8D1689" w:rsidRPr="008D1689" w:rsidRDefault="008D1689" w:rsidP="0040759A">
            <w:pPr>
              <w:rPr>
                <w:b/>
                <w:i/>
                <w:iCs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  <w:hideMark/>
          </w:tcPr>
          <w:p w:rsidR="008D1689" w:rsidRPr="008D1689" w:rsidRDefault="008D1689" w:rsidP="0040759A">
            <w:pPr>
              <w:jc w:val="center"/>
              <w:rPr>
                <w:b/>
                <w:i/>
                <w:iCs/>
                <w:sz w:val="20"/>
              </w:rPr>
            </w:pPr>
            <w:r w:rsidRPr="008D1689">
              <w:rPr>
                <w:b/>
                <w:i/>
                <w:iCs/>
                <w:sz w:val="20"/>
              </w:rPr>
              <w:t>факт 2016</w:t>
            </w:r>
            <w:r w:rsidR="00B23F69">
              <w:rPr>
                <w:b/>
                <w:i/>
                <w:iCs/>
                <w:sz w:val="20"/>
              </w:rPr>
              <w:t xml:space="preserve">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  <w:hideMark/>
          </w:tcPr>
          <w:p w:rsidR="008D1689" w:rsidRPr="008D1689" w:rsidRDefault="008D1689" w:rsidP="0040759A">
            <w:pPr>
              <w:jc w:val="center"/>
              <w:rPr>
                <w:b/>
                <w:i/>
                <w:iCs/>
                <w:sz w:val="20"/>
              </w:rPr>
            </w:pPr>
            <w:r w:rsidRPr="008D1689">
              <w:rPr>
                <w:b/>
                <w:i/>
                <w:iCs/>
                <w:sz w:val="20"/>
              </w:rPr>
              <w:t>план 2017</w:t>
            </w:r>
            <w:r w:rsidR="00B23F69">
              <w:rPr>
                <w:b/>
                <w:i/>
                <w:iCs/>
                <w:sz w:val="20"/>
              </w:rPr>
              <w:t xml:space="preserve">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  <w:hideMark/>
          </w:tcPr>
          <w:p w:rsidR="008D1689" w:rsidRPr="008D1689" w:rsidRDefault="008D1689" w:rsidP="0040759A">
            <w:pPr>
              <w:jc w:val="center"/>
              <w:rPr>
                <w:b/>
                <w:i/>
                <w:iCs/>
                <w:sz w:val="20"/>
              </w:rPr>
            </w:pPr>
            <w:r w:rsidRPr="008D1689">
              <w:rPr>
                <w:b/>
                <w:i/>
                <w:iCs/>
                <w:sz w:val="20"/>
              </w:rPr>
              <w:t>факт 2017</w:t>
            </w:r>
            <w:r w:rsidR="00B23F69">
              <w:rPr>
                <w:b/>
                <w:i/>
                <w:iCs/>
                <w:sz w:val="20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8D1689" w:rsidRPr="008D1689" w:rsidRDefault="008D1689" w:rsidP="002C456B">
            <w:pPr>
              <w:jc w:val="center"/>
              <w:rPr>
                <w:b/>
                <w:i/>
                <w:iCs/>
                <w:sz w:val="20"/>
              </w:rPr>
            </w:pPr>
            <w:r w:rsidRPr="008D1689">
              <w:rPr>
                <w:b/>
                <w:i/>
                <w:iCs/>
                <w:sz w:val="20"/>
              </w:rPr>
              <w:t>исполнен</w:t>
            </w:r>
            <w:r w:rsidR="002C456B">
              <w:rPr>
                <w:b/>
                <w:i/>
                <w:iCs/>
                <w:sz w:val="20"/>
              </w:rPr>
              <w:t>о</w:t>
            </w:r>
            <w:r w:rsidRPr="008D1689">
              <w:rPr>
                <w:b/>
                <w:i/>
                <w:iCs/>
                <w:sz w:val="20"/>
              </w:rPr>
              <w:t>, 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8D1689" w:rsidRPr="008D1689" w:rsidRDefault="008D1689" w:rsidP="008D1689">
            <w:pPr>
              <w:jc w:val="center"/>
              <w:rPr>
                <w:b/>
                <w:i/>
                <w:iCs/>
                <w:sz w:val="20"/>
              </w:rPr>
            </w:pPr>
            <w:r w:rsidRPr="008D1689">
              <w:rPr>
                <w:b/>
                <w:i/>
                <w:iCs/>
                <w:sz w:val="20"/>
              </w:rPr>
              <w:t>сравнение с 2016 г</w:t>
            </w:r>
            <w:r>
              <w:rPr>
                <w:b/>
                <w:i/>
                <w:iCs/>
                <w:sz w:val="20"/>
              </w:rPr>
              <w:t>.</w:t>
            </w:r>
            <w:r w:rsidRPr="008D1689">
              <w:rPr>
                <w:b/>
                <w:i/>
                <w:iCs/>
                <w:sz w:val="20"/>
              </w:rPr>
              <w:t>, %</w:t>
            </w:r>
          </w:p>
        </w:tc>
      </w:tr>
      <w:tr w:rsidR="008D1689" w:rsidRPr="008D1689" w:rsidTr="002C456B">
        <w:trPr>
          <w:trHeight w:val="20"/>
        </w:trPr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689" w:rsidRPr="008D1689" w:rsidRDefault="008D1689" w:rsidP="005E54E9">
            <w:pPr>
              <w:rPr>
                <w:sz w:val="20"/>
              </w:rPr>
            </w:pPr>
            <w:r w:rsidRPr="008D1689">
              <w:rPr>
                <w:sz w:val="20"/>
              </w:rPr>
              <w:t>Комитет строительства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689" w:rsidRPr="008D1689" w:rsidRDefault="008D1689" w:rsidP="008D1689">
            <w:pPr>
              <w:jc w:val="center"/>
              <w:rPr>
                <w:sz w:val="20"/>
              </w:rPr>
            </w:pPr>
            <w:r w:rsidRPr="008D1689">
              <w:rPr>
                <w:sz w:val="20"/>
              </w:rPr>
              <w:t>501,0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689" w:rsidRPr="008D1689" w:rsidRDefault="008D1689" w:rsidP="008D1689">
            <w:pPr>
              <w:jc w:val="center"/>
              <w:rPr>
                <w:sz w:val="20"/>
              </w:rPr>
            </w:pPr>
            <w:r w:rsidRPr="008D1689">
              <w:rPr>
                <w:sz w:val="20"/>
              </w:rPr>
              <w:t>1 248,0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689" w:rsidRPr="008D1689" w:rsidRDefault="008D1689" w:rsidP="008D1689">
            <w:pPr>
              <w:jc w:val="center"/>
              <w:rPr>
                <w:sz w:val="20"/>
              </w:rPr>
            </w:pPr>
            <w:r w:rsidRPr="008D1689">
              <w:rPr>
                <w:sz w:val="20"/>
              </w:rPr>
              <w:t>1 047,6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689" w:rsidRPr="008D1689" w:rsidRDefault="008D1689" w:rsidP="008D1689">
            <w:pPr>
              <w:jc w:val="center"/>
              <w:rPr>
                <w:sz w:val="20"/>
              </w:rPr>
            </w:pPr>
            <w:r w:rsidRPr="008D1689">
              <w:rPr>
                <w:sz w:val="20"/>
              </w:rPr>
              <w:t>83,9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689" w:rsidRPr="008D1689" w:rsidRDefault="0040759A" w:rsidP="0040759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 </w:t>
            </w:r>
            <w:r w:rsidR="008D1689" w:rsidRPr="008D1689">
              <w:rPr>
                <w:sz w:val="20"/>
              </w:rPr>
              <w:t>2,1</w:t>
            </w:r>
            <w:r>
              <w:rPr>
                <w:sz w:val="20"/>
              </w:rPr>
              <w:t xml:space="preserve"> раза</w:t>
            </w:r>
          </w:p>
        </w:tc>
      </w:tr>
      <w:tr w:rsidR="008D1689" w:rsidRPr="008D1689" w:rsidTr="00A95A77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689" w:rsidRPr="008D1689" w:rsidRDefault="008D1689" w:rsidP="005E54E9">
            <w:pPr>
              <w:rPr>
                <w:bCs/>
                <w:sz w:val="20"/>
              </w:rPr>
            </w:pPr>
            <w:r w:rsidRPr="008D1689">
              <w:rPr>
                <w:bCs/>
                <w:sz w:val="20"/>
              </w:rPr>
              <w:t>Комитет жилищно-коммунального хозяйства и топливно-энергетического комплекса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689" w:rsidRPr="008D1689" w:rsidRDefault="008D1689" w:rsidP="008D1689">
            <w:pPr>
              <w:jc w:val="center"/>
              <w:rPr>
                <w:bCs/>
                <w:sz w:val="20"/>
              </w:rPr>
            </w:pPr>
            <w:r w:rsidRPr="008D1689">
              <w:rPr>
                <w:bCs/>
                <w:sz w:val="20"/>
              </w:rPr>
              <w:t>1 823,4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689" w:rsidRPr="008D1689" w:rsidRDefault="008D1689" w:rsidP="008D1689">
            <w:pPr>
              <w:jc w:val="center"/>
              <w:rPr>
                <w:bCs/>
                <w:sz w:val="20"/>
              </w:rPr>
            </w:pPr>
            <w:r w:rsidRPr="008D1689">
              <w:rPr>
                <w:bCs/>
                <w:sz w:val="20"/>
              </w:rPr>
              <w:t>2 056,3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689" w:rsidRPr="008D1689" w:rsidRDefault="008D1689" w:rsidP="008D1689">
            <w:pPr>
              <w:jc w:val="center"/>
              <w:rPr>
                <w:bCs/>
                <w:sz w:val="20"/>
              </w:rPr>
            </w:pPr>
            <w:r w:rsidRPr="008D1689">
              <w:rPr>
                <w:bCs/>
                <w:sz w:val="20"/>
              </w:rPr>
              <w:t>1 827,5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689" w:rsidRPr="008D1689" w:rsidRDefault="008D1689" w:rsidP="008D1689">
            <w:pPr>
              <w:jc w:val="center"/>
              <w:rPr>
                <w:bCs/>
                <w:sz w:val="20"/>
              </w:rPr>
            </w:pPr>
            <w:r w:rsidRPr="008D1689">
              <w:rPr>
                <w:bCs/>
                <w:sz w:val="20"/>
              </w:rPr>
              <w:t>88,9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689" w:rsidRPr="008D1689" w:rsidRDefault="008D1689" w:rsidP="008D1689">
            <w:pPr>
              <w:jc w:val="center"/>
              <w:rPr>
                <w:bCs/>
                <w:sz w:val="20"/>
              </w:rPr>
            </w:pPr>
            <w:r w:rsidRPr="008D1689">
              <w:rPr>
                <w:bCs/>
                <w:sz w:val="20"/>
              </w:rPr>
              <w:t>100,2</w:t>
            </w:r>
          </w:p>
        </w:tc>
      </w:tr>
      <w:tr w:rsidR="008D1689" w:rsidRPr="008D1689" w:rsidTr="00A95A77">
        <w:trPr>
          <w:trHeight w:val="20"/>
        </w:trPr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689" w:rsidRPr="008D1689" w:rsidRDefault="008D1689" w:rsidP="005E54E9">
            <w:pPr>
              <w:rPr>
                <w:sz w:val="20"/>
              </w:rPr>
            </w:pPr>
            <w:r w:rsidRPr="008D1689">
              <w:rPr>
                <w:sz w:val="20"/>
              </w:rPr>
              <w:t>Комитет топливно-энергетического комплекса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689" w:rsidRPr="008D1689" w:rsidRDefault="008D1689" w:rsidP="008D1689">
            <w:pPr>
              <w:jc w:val="center"/>
              <w:rPr>
                <w:sz w:val="20"/>
              </w:rPr>
            </w:pPr>
            <w:r w:rsidRPr="008D1689">
              <w:rPr>
                <w:sz w:val="20"/>
              </w:rPr>
              <w:t>345,5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689" w:rsidRPr="008D1689" w:rsidRDefault="008D1689" w:rsidP="008D1689">
            <w:pPr>
              <w:jc w:val="center"/>
              <w:rPr>
                <w:sz w:val="20"/>
              </w:rPr>
            </w:pPr>
            <w:r w:rsidRPr="008D1689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689" w:rsidRPr="008D1689" w:rsidRDefault="008D1689" w:rsidP="008D1689">
            <w:pPr>
              <w:jc w:val="center"/>
              <w:rPr>
                <w:sz w:val="20"/>
              </w:rPr>
            </w:pPr>
            <w:r w:rsidRPr="008D1689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689" w:rsidRPr="008D1689" w:rsidRDefault="008D1689" w:rsidP="008D1689">
            <w:pPr>
              <w:jc w:val="center"/>
              <w:rPr>
                <w:sz w:val="20"/>
              </w:rPr>
            </w:pPr>
            <w:proofErr w:type="spellStart"/>
            <w:r w:rsidRPr="008D1689">
              <w:rPr>
                <w:sz w:val="20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689" w:rsidRPr="008D1689" w:rsidRDefault="008D1689" w:rsidP="008D1689">
            <w:pPr>
              <w:jc w:val="center"/>
              <w:rPr>
                <w:sz w:val="20"/>
              </w:rPr>
            </w:pPr>
            <w:r w:rsidRPr="008D1689">
              <w:rPr>
                <w:sz w:val="20"/>
              </w:rPr>
              <w:t>0,0</w:t>
            </w:r>
          </w:p>
        </w:tc>
      </w:tr>
      <w:tr w:rsidR="008D1689" w:rsidRPr="008D1689" w:rsidTr="002C456B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689" w:rsidRPr="008D1689" w:rsidRDefault="008D1689" w:rsidP="005E54E9">
            <w:pPr>
              <w:rPr>
                <w:sz w:val="20"/>
              </w:rPr>
            </w:pPr>
            <w:r w:rsidRPr="008D1689">
              <w:rPr>
                <w:sz w:val="20"/>
              </w:rPr>
              <w:t>Комитет тарифного регулирования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689" w:rsidRPr="008D1689" w:rsidRDefault="008D1689" w:rsidP="008D1689">
            <w:pPr>
              <w:jc w:val="center"/>
              <w:rPr>
                <w:sz w:val="20"/>
              </w:rPr>
            </w:pPr>
            <w:r w:rsidRPr="008D1689">
              <w:rPr>
                <w:sz w:val="20"/>
              </w:rPr>
              <w:t>481,9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689" w:rsidRPr="008D1689" w:rsidRDefault="008D1689" w:rsidP="008D1689">
            <w:pPr>
              <w:jc w:val="center"/>
              <w:rPr>
                <w:sz w:val="20"/>
              </w:rPr>
            </w:pPr>
            <w:r w:rsidRPr="008D1689">
              <w:rPr>
                <w:sz w:val="20"/>
              </w:rPr>
              <w:t>363,9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689" w:rsidRPr="008D1689" w:rsidRDefault="008D1689" w:rsidP="008D1689">
            <w:pPr>
              <w:jc w:val="center"/>
              <w:rPr>
                <w:sz w:val="20"/>
              </w:rPr>
            </w:pPr>
            <w:r w:rsidRPr="008D1689">
              <w:rPr>
                <w:sz w:val="20"/>
              </w:rPr>
              <w:t>599,5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689" w:rsidRPr="008D1689" w:rsidRDefault="008D1689" w:rsidP="008D1689">
            <w:pPr>
              <w:jc w:val="center"/>
              <w:rPr>
                <w:sz w:val="20"/>
              </w:rPr>
            </w:pPr>
            <w:r w:rsidRPr="008D1689">
              <w:rPr>
                <w:sz w:val="20"/>
              </w:rPr>
              <w:t>164,8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689" w:rsidRPr="008D1689" w:rsidRDefault="008D1689" w:rsidP="008D1689">
            <w:pPr>
              <w:jc w:val="center"/>
              <w:rPr>
                <w:sz w:val="20"/>
              </w:rPr>
            </w:pPr>
            <w:r w:rsidRPr="008D1689">
              <w:rPr>
                <w:sz w:val="20"/>
              </w:rPr>
              <w:t>124,4</w:t>
            </w:r>
          </w:p>
        </w:tc>
      </w:tr>
      <w:tr w:rsidR="008D1689" w:rsidRPr="008D1689" w:rsidTr="001D7B33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689" w:rsidRPr="008D1689" w:rsidRDefault="008D1689" w:rsidP="005E54E9">
            <w:pPr>
              <w:rPr>
                <w:sz w:val="20"/>
              </w:rPr>
            </w:pPr>
            <w:r w:rsidRPr="008D1689">
              <w:rPr>
                <w:sz w:val="20"/>
              </w:rPr>
              <w:t>Комитет сельского хозяйства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689" w:rsidRPr="008D1689" w:rsidRDefault="008D1689" w:rsidP="008D1689">
            <w:pPr>
              <w:jc w:val="center"/>
              <w:rPr>
                <w:sz w:val="20"/>
              </w:rPr>
            </w:pPr>
            <w:r w:rsidRPr="008D1689">
              <w:rPr>
                <w:sz w:val="20"/>
              </w:rPr>
              <w:t>23,7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689" w:rsidRPr="008D1689" w:rsidRDefault="008D1689" w:rsidP="008D1689">
            <w:pPr>
              <w:jc w:val="center"/>
              <w:rPr>
                <w:sz w:val="20"/>
              </w:rPr>
            </w:pPr>
            <w:r w:rsidRPr="008D1689">
              <w:rPr>
                <w:sz w:val="20"/>
              </w:rPr>
              <w:t>48,7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689" w:rsidRPr="008D1689" w:rsidRDefault="008D1689" w:rsidP="008D1689">
            <w:pPr>
              <w:jc w:val="center"/>
              <w:rPr>
                <w:sz w:val="20"/>
              </w:rPr>
            </w:pPr>
            <w:r w:rsidRPr="008D1689">
              <w:rPr>
                <w:sz w:val="20"/>
              </w:rPr>
              <w:t>48,7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689" w:rsidRPr="008D1689" w:rsidRDefault="008D1689" w:rsidP="008D1689">
            <w:pPr>
              <w:jc w:val="center"/>
              <w:rPr>
                <w:sz w:val="20"/>
              </w:rPr>
            </w:pPr>
            <w:r w:rsidRPr="008D1689">
              <w:rPr>
                <w:sz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689" w:rsidRPr="008D1689" w:rsidRDefault="0040759A" w:rsidP="0040759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 </w:t>
            </w:r>
            <w:r w:rsidR="008D1689" w:rsidRPr="008D1689">
              <w:rPr>
                <w:sz w:val="20"/>
              </w:rPr>
              <w:t>2</w:t>
            </w:r>
            <w:r>
              <w:rPr>
                <w:sz w:val="20"/>
              </w:rPr>
              <w:t xml:space="preserve"> раза</w:t>
            </w:r>
          </w:p>
        </w:tc>
      </w:tr>
      <w:tr w:rsidR="008D1689" w:rsidRPr="008D1689" w:rsidTr="001D7B33">
        <w:trPr>
          <w:trHeight w:val="20"/>
        </w:trPr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689" w:rsidRPr="008D1689" w:rsidRDefault="008D1689" w:rsidP="005E54E9">
            <w:pPr>
              <w:rPr>
                <w:sz w:val="20"/>
              </w:rPr>
            </w:pPr>
            <w:r w:rsidRPr="008D1689">
              <w:rPr>
                <w:sz w:val="20"/>
              </w:rPr>
              <w:t>Инспекция государственного жилищного надзора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689" w:rsidRPr="008D1689" w:rsidRDefault="008D1689" w:rsidP="008D1689">
            <w:pPr>
              <w:jc w:val="center"/>
              <w:rPr>
                <w:sz w:val="20"/>
              </w:rPr>
            </w:pPr>
            <w:r w:rsidRPr="008D1689">
              <w:rPr>
                <w:sz w:val="20"/>
              </w:rPr>
              <w:t>76,2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689" w:rsidRPr="008D1689" w:rsidRDefault="008D1689" w:rsidP="008D1689">
            <w:pPr>
              <w:jc w:val="center"/>
              <w:rPr>
                <w:sz w:val="20"/>
              </w:rPr>
            </w:pPr>
            <w:r w:rsidRPr="008D1689">
              <w:rPr>
                <w:sz w:val="20"/>
              </w:rPr>
              <w:t>63,6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689" w:rsidRPr="008D1689" w:rsidRDefault="008D1689" w:rsidP="008D1689">
            <w:pPr>
              <w:jc w:val="center"/>
              <w:rPr>
                <w:sz w:val="20"/>
              </w:rPr>
            </w:pPr>
            <w:r w:rsidRPr="008D1689">
              <w:rPr>
                <w:sz w:val="20"/>
              </w:rPr>
              <w:t>76,0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689" w:rsidRPr="008D1689" w:rsidRDefault="008D1689" w:rsidP="008D1689">
            <w:pPr>
              <w:jc w:val="center"/>
              <w:rPr>
                <w:sz w:val="20"/>
              </w:rPr>
            </w:pPr>
            <w:r w:rsidRPr="008D1689">
              <w:rPr>
                <w:sz w:val="20"/>
              </w:rPr>
              <w:t>119,5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689" w:rsidRPr="008D1689" w:rsidRDefault="008D1689" w:rsidP="008D1689">
            <w:pPr>
              <w:jc w:val="center"/>
              <w:rPr>
                <w:sz w:val="20"/>
              </w:rPr>
            </w:pPr>
            <w:r w:rsidRPr="008D1689">
              <w:rPr>
                <w:sz w:val="20"/>
              </w:rPr>
              <w:t>99,8</w:t>
            </w:r>
          </w:p>
        </w:tc>
      </w:tr>
      <w:tr w:rsidR="008D1689" w:rsidRPr="008D1689" w:rsidTr="002C456B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689" w:rsidRPr="008D1689" w:rsidRDefault="008D1689" w:rsidP="005E54E9">
            <w:pPr>
              <w:rPr>
                <w:sz w:val="20"/>
              </w:rPr>
            </w:pPr>
            <w:r w:rsidRPr="008D1689">
              <w:rPr>
                <w:sz w:val="20"/>
              </w:rPr>
              <w:t>Комитет природных ресурсов и экологии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689" w:rsidRPr="008D1689" w:rsidRDefault="008D1689" w:rsidP="008D1689">
            <w:pPr>
              <w:jc w:val="center"/>
              <w:rPr>
                <w:sz w:val="20"/>
              </w:rPr>
            </w:pPr>
            <w:r w:rsidRPr="008D1689">
              <w:rPr>
                <w:sz w:val="20"/>
              </w:rPr>
              <w:t>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689" w:rsidRPr="008D1689" w:rsidRDefault="008D1689" w:rsidP="008D1689">
            <w:pPr>
              <w:jc w:val="center"/>
              <w:rPr>
                <w:sz w:val="20"/>
              </w:rPr>
            </w:pPr>
            <w:r w:rsidRPr="008D1689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689" w:rsidRPr="008D1689" w:rsidRDefault="008D1689" w:rsidP="008D1689">
            <w:pPr>
              <w:jc w:val="center"/>
              <w:rPr>
                <w:sz w:val="20"/>
              </w:rPr>
            </w:pPr>
            <w:r w:rsidRPr="008D1689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689" w:rsidRPr="008D1689" w:rsidRDefault="008D1689" w:rsidP="008D1689">
            <w:pPr>
              <w:jc w:val="center"/>
              <w:rPr>
                <w:sz w:val="20"/>
              </w:rPr>
            </w:pPr>
            <w:proofErr w:type="spellStart"/>
            <w:r w:rsidRPr="008D1689">
              <w:rPr>
                <w:sz w:val="20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689" w:rsidRPr="008D1689" w:rsidRDefault="00295D00" w:rsidP="008D1689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х</w:t>
            </w:r>
            <w:proofErr w:type="spellEnd"/>
          </w:p>
        </w:tc>
      </w:tr>
      <w:tr w:rsidR="008D1689" w:rsidRPr="008D1689" w:rsidTr="002C456B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689" w:rsidRPr="008D1689" w:rsidRDefault="008D1689" w:rsidP="005E54E9">
            <w:pPr>
              <w:rPr>
                <w:sz w:val="20"/>
              </w:rPr>
            </w:pPr>
            <w:r w:rsidRPr="008D1689">
              <w:rPr>
                <w:sz w:val="20"/>
              </w:rPr>
              <w:t>Комитет промышленности и торговли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689" w:rsidRPr="008D1689" w:rsidRDefault="008D1689" w:rsidP="008D1689">
            <w:pPr>
              <w:jc w:val="center"/>
              <w:rPr>
                <w:sz w:val="20"/>
              </w:rPr>
            </w:pPr>
            <w:r w:rsidRPr="008D1689">
              <w:rPr>
                <w:sz w:val="20"/>
              </w:rPr>
              <w:t>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689" w:rsidRPr="008D1689" w:rsidRDefault="008D1689" w:rsidP="008D1689">
            <w:pPr>
              <w:jc w:val="center"/>
              <w:rPr>
                <w:sz w:val="20"/>
              </w:rPr>
            </w:pPr>
            <w:r w:rsidRPr="008D1689">
              <w:rPr>
                <w:sz w:val="20"/>
              </w:rPr>
              <w:t>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689" w:rsidRPr="008D1689" w:rsidRDefault="008D1689" w:rsidP="008D1689">
            <w:pPr>
              <w:jc w:val="center"/>
              <w:rPr>
                <w:sz w:val="20"/>
              </w:rPr>
            </w:pPr>
            <w:r w:rsidRPr="008D1689">
              <w:rPr>
                <w:sz w:val="20"/>
              </w:rPr>
              <w:t>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689" w:rsidRPr="008D1689" w:rsidRDefault="008D1689" w:rsidP="008D1689">
            <w:pPr>
              <w:jc w:val="center"/>
              <w:rPr>
                <w:sz w:val="20"/>
              </w:rPr>
            </w:pPr>
            <w:r w:rsidRPr="008D1689">
              <w:rPr>
                <w:sz w:val="20"/>
              </w:rPr>
              <w:t>54,3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689" w:rsidRPr="008D1689" w:rsidRDefault="0040759A" w:rsidP="008D16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85,5</w:t>
            </w:r>
          </w:p>
        </w:tc>
      </w:tr>
      <w:tr w:rsidR="008D1689" w:rsidRPr="008D1689" w:rsidTr="002C456B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689" w:rsidRPr="008D1689" w:rsidRDefault="008D1689" w:rsidP="005E54E9">
            <w:pPr>
              <w:rPr>
                <w:sz w:val="20"/>
              </w:rPr>
            </w:pPr>
            <w:r w:rsidRPr="008D1689">
              <w:rPr>
                <w:sz w:val="20"/>
              </w:rPr>
              <w:t>Комитет архитектуры и градостроительства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689" w:rsidRPr="008D1689" w:rsidRDefault="008D1689" w:rsidP="008D1689">
            <w:pPr>
              <w:jc w:val="center"/>
              <w:rPr>
                <w:sz w:val="20"/>
              </w:rPr>
            </w:pPr>
            <w:r w:rsidRPr="008D1689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689" w:rsidRPr="008D1689" w:rsidRDefault="008D1689" w:rsidP="008D1689">
            <w:pPr>
              <w:jc w:val="center"/>
              <w:rPr>
                <w:sz w:val="20"/>
              </w:rPr>
            </w:pPr>
            <w:r w:rsidRPr="008D1689">
              <w:rPr>
                <w:sz w:val="20"/>
              </w:rPr>
              <w:t>25,4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689" w:rsidRPr="008D1689" w:rsidRDefault="008D1689" w:rsidP="008D1689">
            <w:pPr>
              <w:jc w:val="center"/>
              <w:rPr>
                <w:sz w:val="20"/>
              </w:rPr>
            </w:pPr>
            <w:r w:rsidRPr="008D1689">
              <w:rPr>
                <w:sz w:val="20"/>
              </w:rPr>
              <w:t>19,6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689" w:rsidRPr="008D1689" w:rsidRDefault="008D1689" w:rsidP="008D1689">
            <w:pPr>
              <w:jc w:val="center"/>
              <w:rPr>
                <w:sz w:val="20"/>
              </w:rPr>
            </w:pPr>
            <w:r w:rsidRPr="008D1689">
              <w:rPr>
                <w:sz w:val="20"/>
              </w:rPr>
              <w:t>77,2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689" w:rsidRPr="008D1689" w:rsidRDefault="00295D00" w:rsidP="008D1689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х</w:t>
            </w:r>
            <w:proofErr w:type="spellEnd"/>
          </w:p>
        </w:tc>
      </w:tr>
      <w:tr w:rsidR="008D1689" w:rsidRPr="008D1689" w:rsidTr="002C456B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689" w:rsidRPr="008D1689" w:rsidRDefault="008D1689" w:rsidP="005E54E9">
            <w:pPr>
              <w:rPr>
                <w:sz w:val="20"/>
              </w:rPr>
            </w:pPr>
            <w:r w:rsidRPr="008D1689">
              <w:rPr>
                <w:sz w:val="20"/>
              </w:rPr>
              <w:t>Инспекция государственного строительного надзора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689" w:rsidRPr="008D1689" w:rsidRDefault="008D1689" w:rsidP="008D1689">
            <w:pPr>
              <w:jc w:val="center"/>
              <w:rPr>
                <w:sz w:val="20"/>
              </w:rPr>
            </w:pPr>
            <w:r w:rsidRPr="008D1689">
              <w:rPr>
                <w:sz w:val="20"/>
              </w:rPr>
              <w:t>39,7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689" w:rsidRPr="008D1689" w:rsidRDefault="008D1689" w:rsidP="008D1689">
            <w:pPr>
              <w:jc w:val="center"/>
              <w:rPr>
                <w:sz w:val="20"/>
              </w:rPr>
            </w:pPr>
            <w:r w:rsidRPr="008D1689">
              <w:rPr>
                <w:sz w:val="20"/>
              </w:rPr>
              <w:t>35,7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689" w:rsidRPr="008D1689" w:rsidRDefault="008D1689" w:rsidP="008D1689">
            <w:pPr>
              <w:jc w:val="center"/>
              <w:rPr>
                <w:sz w:val="20"/>
              </w:rPr>
            </w:pPr>
            <w:r w:rsidRPr="008D1689">
              <w:rPr>
                <w:sz w:val="20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689" w:rsidRPr="008D1689" w:rsidRDefault="008D1689" w:rsidP="008D1689">
            <w:pPr>
              <w:jc w:val="center"/>
              <w:rPr>
                <w:sz w:val="20"/>
              </w:rPr>
            </w:pPr>
            <w:r w:rsidRPr="008D1689">
              <w:rPr>
                <w:sz w:val="20"/>
              </w:rPr>
              <w:t>112,1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689" w:rsidRPr="008D1689" w:rsidRDefault="008D1689" w:rsidP="008D1689">
            <w:pPr>
              <w:jc w:val="center"/>
              <w:rPr>
                <w:sz w:val="20"/>
              </w:rPr>
            </w:pPr>
            <w:r w:rsidRPr="008D1689">
              <w:rPr>
                <w:sz w:val="20"/>
              </w:rPr>
              <w:t>100,8</w:t>
            </w:r>
          </w:p>
        </w:tc>
      </w:tr>
      <w:tr w:rsidR="002C456B" w:rsidRPr="008D1689" w:rsidTr="002C456B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8D1689" w:rsidRPr="008D1689" w:rsidRDefault="008D1689" w:rsidP="008D1689">
            <w:pPr>
              <w:jc w:val="center"/>
              <w:rPr>
                <w:b/>
                <w:bCs/>
                <w:sz w:val="20"/>
              </w:rPr>
            </w:pPr>
            <w:r w:rsidRPr="008D1689">
              <w:rPr>
                <w:b/>
                <w:bCs/>
                <w:sz w:val="20"/>
              </w:rPr>
              <w:t>ИТОГО: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hideMark/>
          </w:tcPr>
          <w:p w:rsidR="008D1689" w:rsidRPr="008D1689" w:rsidRDefault="0040759A" w:rsidP="008D168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3299,7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hideMark/>
          </w:tcPr>
          <w:p w:rsidR="008D1689" w:rsidRPr="008D1689" w:rsidRDefault="008D1689" w:rsidP="008D1689">
            <w:pPr>
              <w:jc w:val="center"/>
              <w:rPr>
                <w:b/>
                <w:bCs/>
                <w:sz w:val="20"/>
              </w:rPr>
            </w:pPr>
            <w:r w:rsidRPr="008D1689">
              <w:rPr>
                <w:b/>
                <w:bCs/>
                <w:sz w:val="20"/>
              </w:rPr>
              <w:t>3 853,5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hideMark/>
          </w:tcPr>
          <w:p w:rsidR="008D1689" w:rsidRPr="008D1689" w:rsidRDefault="008D1689" w:rsidP="008D1689">
            <w:pPr>
              <w:jc w:val="center"/>
              <w:rPr>
                <w:b/>
                <w:bCs/>
                <w:sz w:val="20"/>
              </w:rPr>
            </w:pPr>
            <w:r w:rsidRPr="008D1689">
              <w:rPr>
                <w:b/>
                <w:bCs/>
                <w:sz w:val="20"/>
              </w:rPr>
              <w:t>3 665,4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hideMark/>
          </w:tcPr>
          <w:p w:rsidR="008D1689" w:rsidRPr="008D1689" w:rsidRDefault="008D1689" w:rsidP="008D1689">
            <w:pPr>
              <w:jc w:val="center"/>
              <w:rPr>
                <w:b/>
                <w:bCs/>
                <w:sz w:val="20"/>
              </w:rPr>
            </w:pPr>
            <w:r w:rsidRPr="008D1689">
              <w:rPr>
                <w:b/>
                <w:bCs/>
                <w:sz w:val="20"/>
              </w:rPr>
              <w:t>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hideMark/>
          </w:tcPr>
          <w:p w:rsidR="008D1689" w:rsidRPr="008D1689" w:rsidRDefault="008D1689" w:rsidP="008D1689">
            <w:pPr>
              <w:jc w:val="center"/>
              <w:rPr>
                <w:b/>
                <w:bCs/>
                <w:sz w:val="20"/>
              </w:rPr>
            </w:pPr>
            <w:r w:rsidRPr="008D1689">
              <w:rPr>
                <w:b/>
                <w:bCs/>
                <w:sz w:val="20"/>
              </w:rPr>
              <w:t>111,1</w:t>
            </w:r>
          </w:p>
        </w:tc>
      </w:tr>
    </w:tbl>
    <w:p w:rsidR="008D1689" w:rsidRDefault="008D1689" w:rsidP="008D1689">
      <w:pPr>
        <w:ind w:firstLine="708"/>
        <w:jc w:val="center"/>
      </w:pPr>
    </w:p>
    <w:p w:rsidR="007B0EDA" w:rsidRDefault="007B0EDA" w:rsidP="007B0EDA">
      <w:pPr>
        <w:ind w:firstLine="708"/>
        <w:jc w:val="both"/>
      </w:pPr>
      <w:r>
        <w:t>Относительно 201</w:t>
      </w:r>
      <w:r w:rsidR="006350F4">
        <w:t>6</w:t>
      </w:r>
      <w:r>
        <w:t xml:space="preserve"> года расходы по разделу</w:t>
      </w:r>
      <w:r w:rsidR="0040759A">
        <w:t xml:space="preserve"> увеличились на </w:t>
      </w:r>
      <w:r w:rsidR="00F34E4A">
        <w:t>365,7</w:t>
      </w:r>
      <w:r w:rsidR="0040759A">
        <w:t xml:space="preserve"> млн. руб., или </w:t>
      </w:r>
      <w:r w:rsidR="00F34E4A">
        <w:t xml:space="preserve"> на 11,1 процента.</w:t>
      </w:r>
      <w:r w:rsidR="0040759A">
        <w:t xml:space="preserve"> </w:t>
      </w:r>
      <w:r>
        <w:t xml:space="preserve"> </w:t>
      </w:r>
    </w:p>
    <w:p w:rsidR="00A95A77" w:rsidRDefault="00E43882" w:rsidP="00A95A77">
      <w:pPr>
        <w:ind w:firstLine="708"/>
        <w:jc w:val="both"/>
      </w:pPr>
      <w:r>
        <w:t>При проведении внешних проверок бюджетной отчетности главных распорядителей средств областного бюджета, участвующих в данном разделе, установлены следующие нарушения законодательства и недостатки при использовании бюджетных средств.</w:t>
      </w:r>
    </w:p>
    <w:p w:rsidR="00A95A77" w:rsidRPr="00A95A77" w:rsidRDefault="00A95A77" w:rsidP="00A95A77">
      <w:pPr>
        <w:ind w:firstLine="708"/>
        <w:jc w:val="both"/>
      </w:pPr>
      <w:proofErr w:type="gramStart"/>
      <w:r>
        <w:t xml:space="preserve">При проверке бюджетной отчетности </w:t>
      </w:r>
      <w:r w:rsidRPr="00A95A77">
        <w:rPr>
          <w:b/>
          <w:i/>
        </w:rPr>
        <w:t>комитета строительства Волгоградской области,</w:t>
      </w:r>
      <w:r>
        <w:t xml:space="preserve"> которая была проведена в форме выездной документальной, установлено, что </w:t>
      </w:r>
      <w:r>
        <w:rPr>
          <w:iCs/>
        </w:rPr>
        <w:t xml:space="preserve">объем финансирования подпрограммы «Газификация Волгоградской области» </w:t>
      </w:r>
      <w:r w:rsidR="00F661DF" w:rsidRPr="004B0228">
        <w:t xml:space="preserve">госпрограммы «Обеспечение доступным и комфортным жильем </w:t>
      </w:r>
      <w:r w:rsidR="00A64A62">
        <w:t xml:space="preserve">жителей Волгоградской области», </w:t>
      </w:r>
      <w:r w:rsidR="00F661DF">
        <w:t>у</w:t>
      </w:r>
      <w:r w:rsidR="00F661DF">
        <w:rPr>
          <w:iCs/>
        </w:rPr>
        <w:t>твержденный законом о бюджете н</w:t>
      </w:r>
      <w:r w:rsidR="00F661DF" w:rsidRPr="00EB5025">
        <w:rPr>
          <w:iCs/>
        </w:rPr>
        <w:t>а 2017</w:t>
      </w:r>
      <w:r w:rsidR="00F661DF">
        <w:rPr>
          <w:iCs/>
        </w:rPr>
        <w:t xml:space="preserve"> год в размере</w:t>
      </w:r>
      <w:r w:rsidR="00F661DF" w:rsidRPr="00EB5025">
        <w:rPr>
          <w:iCs/>
        </w:rPr>
        <w:t xml:space="preserve"> </w:t>
      </w:r>
      <w:r>
        <w:rPr>
          <w:iCs/>
        </w:rPr>
        <w:t>297</w:t>
      </w:r>
      <w:r w:rsidR="00F661DF">
        <w:rPr>
          <w:iCs/>
        </w:rPr>
        <w:t>,</w:t>
      </w:r>
      <w:r>
        <w:rPr>
          <w:iCs/>
        </w:rPr>
        <w:t xml:space="preserve">8 </w:t>
      </w:r>
      <w:r w:rsidR="00F661DF">
        <w:rPr>
          <w:iCs/>
        </w:rPr>
        <w:t>млн</w:t>
      </w:r>
      <w:r>
        <w:rPr>
          <w:iCs/>
        </w:rPr>
        <w:t>. руб.</w:t>
      </w:r>
      <w:r w:rsidR="00A64A62">
        <w:rPr>
          <w:iCs/>
        </w:rPr>
        <w:t>,</w:t>
      </w:r>
      <w:r>
        <w:rPr>
          <w:iCs/>
        </w:rPr>
        <w:t xml:space="preserve"> исполнен только на 3</w:t>
      </w:r>
      <w:r w:rsidR="00F661DF">
        <w:rPr>
          <w:iCs/>
        </w:rPr>
        <w:t>,6</w:t>
      </w:r>
      <w:r>
        <w:rPr>
          <w:iCs/>
        </w:rPr>
        <w:t xml:space="preserve"> </w:t>
      </w:r>
      <w:r w:rsidR="00F661DF">
        <w:rPr>
          <w:iCs/>
        </w:rPr>
        <w:t>млн</w:t>
      </w:r>
      <w:r>
        <w:rPr>
          <w:iCs/>
        </w:rPr>
        <w:t>. руб., или на 1,2 процента.</w:t>
      </w:r>
      <w:proofErr w:type="gramEnd"/>
      <w:r>
        <w:rPr>
          <w:iCs/>
        </w:rPr>
        <w:t xml:space="preserve"> Из предусмотренных </w:t>
      </w:r>
      <w:r w:rsidR="00A64A62">
        <w:rPr>
          <w:iCs/>
        </w:rPr>
        <w:t xml:space="preserve">подпрограммой </w:t>
      </w:r>
      <w:r>
        <w:rPr>
          <w:iCs/>
        </w:rPr>
        <w:t xml:space="preserve">9 проектов газоснабжения </w:t>
      </w:r>
      <w:r w:rsidR="00F661DF">
        <w:rPr>
          <w:iCs/>
        </w:rPr>
        <w:t xml:space="preserve">выполнены </w:t>
      </w:r>
      <w:r w:rsidR="00A64A62">
        <w:rPr>
          <w:iCs/>
        </w:rPr>
        <w:t xml:space="preserve">проекты </w:t>
      </w:r>
      <w:r>
        <w:rPr>
          <w:iCs/>
        </w:rPr>
        <w:t>только по 3 объектам, из предусмотренных 126 объектов строительства в 2017 году не был завершен ни один. Запуск 115 газовых котельных осуществлен только в 2018 году. В результате Комитетом не достигнут ни один из четырех целевых показателей подпрограммы</w:t>
      </w:r>
      <w:r w:rsidR="00F661DF">
        <w:rPr>
          <w:iCs/>
        </w:rPr>
        <w:t>, установленных на</w:t>
      </w:r>
      <w:r>
        <w:rPr>
          <w:iCs/>
        </w:rPr>
        <w:t xml:space="preserve"> 2017 год.</w:t>
      </w:r>
    </w:p>
    <w:p w:rsidR="00A95A77" w:rsidRDefault="00A95A77" w:rsidP="00A95A77">
      <w:pPr>
        <w:autoSpaceDE w:val="0"/>
        <w:autoSpaceDN w:val="0"/>
        <w:adjustRightInd w:val="0"/>
        <w:ind w:firstLine="709"/>
        <w:jc w:val="both"/>
        <w:rPr>
          <w:iCs/>
        </w:rPr>
      </w:pPr>
      <w:r>
        <w:rPr>
          <w:iCs/>
        </w:rPr>
        <w:t xml:space="preserve">При этом строительство 3-х объектов незавершенного строительства - </w:t>
      </w:r>
      <w:r w:rsidR="00F661DF">
        <w:rPr>
          <w:iCs/>
        </w:rPr>
        <w:t>к</w:t>
      </w:r>
      <w:r w:rsidRPr="00DD29F7">
        <w:rPr>
          <w:iCs/>
        </w:rPr>
        <w:t xml:space="preserve">отельная к </w:t>
      </w:r>
      <w:proofErr w:type="spellStart"/>
      <w:r w:rsidRPr="00DD29F7">
        <w:rPr>
          <w:iCs/>
        </w:rPr>
        <w:t>Котлубанской</w:t>
      </w:r>
      <w:proofErr w:type="spellEnd"/>
      <w:r w:rsidRPr="00DD29F7">
        <w:rPr>
          <w:iCs/>
        </w:rPr>
        <w:t xml:space="preserve"> участковой больнице в </w:t>
      </w:r>
      <w:proofErr w:type="spellStart"/>
      <w:r w:rsidRPr="00DD29F7">
        <w:rPr>
          <w:iCs/>
        </w:rPr>
        <w:t>п</w:t>
      </w:r>
      <w:proofErr w:type="gramStart"/>
      <w:r w:rsidRPr="00DD29F7">
        <w:rPr>
          <w:iCs/>
        </w:rPr>
        <w:t>.К</w:t>
      </w:r>
      <w:proofErr w:type="gramEnd"/>
      <w:r w:rsidRPr="00DD29F7">
        <w:rPr>
          <w:iCs/>
        </w:rPr>
        <w:t>отлубань</w:t>
      </w:r>
      <w:proofErr w:type="spellEnd"/>
      <w:r w:rsidR="00F661DF">
        <w:rPr>
          <w:iCs/>
        </w:rPr>
        <w:t>,</w:t>
      </w:r>
      <w:r w:rsidRPr="00DD29F7">
        <w:rPr>
          <w:iCs/>
        </w:rPr>
        <w:t xml:space="preserve"> </w:t>
      </w:r>
      <w:r w:rsidR="00F661DF">
        <w:rPr>
          <w:iCs/>
        </w:rPr>
        <w:t>к</w:t>
      </w:r>
      <w:r w:rsidRPr="00DD29F7">
        <w:rPr>
          <w:iCs/>
        </w:rPr>
        <w:t xml:space="preserve">отельная к </w:t>
      </w:r>
      <w:proofErr w:type="spellStart"/>
      <w:r w:rsidRPr="00DD29F7">
        <w:rPr>
          <w:iCs/>
        </w:rPr>
        <w:t>Россошинской</w:t>
      </w:r>
      <w:proofErr w:type="spellEnd"/>
      <w:r w:rsidRPr="00DD29F7">
        <w:rPr>
          <w:iCs/>
        </w:rPr>
        <w:t xml:space="preserve"> участковой </w:t>
      </w:r>
      <w:r w:rsidRPr="00DD29F7">
        <w:rPr>
          <w:iCs/>
        </w:rPr>
        <w:lastRenderedPageBreak/>
        <w:t xml:space="preserve">больнице в п.Степной </w:t>
      </w:r>
      <w:proofErr w:type="spellStart"/>
      <w:r w:rsidRPr="00DD29F7">
        <w:rPr>
          <w:iCs/>
        </w:rPr>
        <w:t>Городищенского</w:t>
      </w:r>
      <w:proofErr w:type="spellEnd"/>
      <w:r w:rsidRPr="00DD29F7">
        <w:rPr>
          <w:iCs/>
        </w:rPr>
        <w:t xml:space="preserve"> района</w:t>
      </w:r>
      <w:r w:rsidR="00F661DF">
        <w:rPr>
          <w:iCs/>
        </w:rPr>
        <w:t xml:space="preserve"> и</w:t>
      </w:r>
      <w:r w:rsidRPr="00DD29F7">
        <w:rPr>
          <w:iCs/>
        </w:rPr>
        <w:t xml:space="preserve"> </w:t>
      </w:r>
      <w:r w:rsidR="00F661DF">
        <w:rPr>
          <w:iCs/>
        </w:rPr>
        <w:t>с</w:t>
      </w:r>
      <w:r w:rsidRPr="00DD29F7">
        <w:rPr>
          <w:iCs/>
        </w:rPr>
        <w:t xml:space="preserve">истема </w:t>
      </w:r>
      <w:proofErr w:type="spellStart"/>
      <w:r w:rsidRPr="00DD29F7">
        <w:rPr>
          <w:iCs/>
        </w:rPr>
        <w:t>газопотребления</w:t>
      </w:r>
      <w:proofErr w:type="spellEnd"/>
      <w:r w:rsidRPr="00DD29F7">
        <w:rPr>
          <w:iCs/>
        </w:rPr>
        <w:t>, ГРПШ по ул.Геологов в г.Фролово</w:t>
      </w:r>
      <w:r>
        <w:rPr>
          <w:iCs/>
        </w:rPr>
        <w:t xml:space="preserve"> не предусмотрено </w:t>
      </w:r>
      <w:r w:rsidR="00F661DF">
        <w:rPr>
          <w:iCs/>
        </w:rPr>
        <w:t>з</w:t>
      </w:r>
      <w:r>
        <w:rPr>
          <w:iCs/>
        </w:rPr>
        <w:t>аконом об областном бюджете на 2018 год</w:t>
      </w:r>
      <w:r w:rsidR="00CE3C58">
        <w:rPr>
          <w:iCs/>
        </w:rPr>
        <w:t>, что может привести к образованию объектов-долгостроев.</w:t>
      </w:r>
    </w:p>
    <w:p w:rsidR="00F910DF" w:rsidRPr="000B186D" w:rsidRDefault="00F910DF" w:rsidP="00F910DF">
      <w:pPr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ab/>
      </w:r>
      <w:r w:rsidRPr="000B186D">
        <w:rPr>
          <w:rFonts w:eastAsia="Calibri"/>
          <w:szCs w:val="24"/>
        </w:rPr>
        <w:t>Расходы</w:t>
      </w:r>
      <w:r>
        <w:rPr>
          <w:rFonts w:eastAsia="Calibri"/>
          <w:szCs w:val="24"/>
        </w:rPr>
        <w:t xml:space="preserve"> </w:t>
      </w:r>
      <w:r w:rsidRPr="00F910DF">
        <w:rPr>
          <w:rFonts w:eastAsia="Calibri"/>
          <w:b/>
          <w:i/>
          <w:szCs w:val="24"/>
        </w:rPr>
        <w:t>комитета жилищно-коммунального хозяйства и топливно-энергетического комплекса Волгоградской области</w:t>
      </w:r>
      <w:r>
        <w:rPr>
          <w:rFonts w:eastAsia="Calibri"/>
          <w:szCs w:val="24"/>
        </w:rPr>
        <w:t xml:space="preserve"> </w:t>
      </w:r>
      <w:r w:rsidRPr="000B186D">
        <w:rPr>
          <w:rFonts w:eastAsia="Calibri"/>
          <w:szCs w:val="24"/>
        </w:rPr>
        <w:t xml:space="preserve">за 2017 год </w:t>
      </w:r>
      <w:r>
        <w:rPr>
          <w:rFonts w:eastAsia="Calibri"/>
          <w:szCs w:val="24"/>
        </w:rPr>
        <w:t xml:space="preserve">(1924,7 млн. руб.) </w:t>
      </w:r>
      <w:r w:rsidRPr="000B186D">
        <w:rPr>
          <w:rFonts w:eastAsia="Calibri"/>
          <w:szCs w:val="24"/>
        </w:rPr>
        <w:t xml:space="preserve">по сравнению с 2016 годом </w:t>
      </w:r>
      <w:r>
        <w:rPr>
          <w:rFonts w:eastAsia="Calibri"/>
          <w:szCs w:val="24"/>
        </w:rPr>
        <w:t xml:space="preserve">(2028,6 млн. руб.) </w:t>
      </w:r>
      <w:r w:rsidRPr="000B186D">
        <w:rPr>
          <w:rFonts w:eastAsia="Calibri"/>
          <w:szCs w:val="24"/>
        </w:rPr>
        <w:t xml:space="preserve">уменьшились на 5,1 процента. </w:t>
      </w:r>
      <w:proofErr w:type="gramStart"/>
      <w:r>
        <w:rPr>
          <w:rFonts w:eastAsia="Calibri"/>
          <w:szCs w:val="24"/>
        </w:rPr>
        <w:t>При этом н</w:t>
      </w:r>
      <w:r w:rsidRPr="000B186D">
        <w:rPr>
          <w:rFonts w:eastAsia="Calibri"/>
          <w:szCs w:val="24"/>
        </w:rPr>
        <w:t xml:space="preserve">аибольшее сокращение расходов (в 2 раза) сложилось по подразделу 0502 «Коммунальное хозяйство» за счет уменьшения расходов на строительство объектов </w:t>
      </w:r>
      <w:r>
        <w:rPr>
          <w:rFonts w:eastAsia="Calibri"/>
          <w:szCs w:val="24"/>
        </w:rPr>
        <w:t xml:space="preserve">по подпрограмме «Чистая вода» </w:t>
      </w:r>
      <w:r w:rsidR="00695C17" w:rsidRPr="0077674A">
        <w:rPr>
          <w:rFonts w:eastAsia="Calibri"/>
          <w:szCs w:val="24"/>
        </w:rPr>
        <w:t xml:space="preserve">госпрограммы </w:t>
      </w:r>
      <w:r w:rsidR="00695C17" w:rsidRPr="00695C17">
        <w:rPr>
          <w:spacing w:val="-2"/>
          <w:szCs w:val="24"/>
        </w:rPr>
        <w:t>«</w:t>
      </w:r>
      <w:r w:rsidR="00695C17" w:rsidRPr="00695C17">
        <w:rPr>
          <w:rFonts w:eastAsia="Calibri"/>
          <w:szCs w:val="24"/>
        </w:rPr>
        <w:t>Создание условий для обеспечения качественными услугами жилищно-коммунального хозяйства жителей Волгоградской области»,</w:t>
      </w:r>
      <w:r w:rsidR="00695C17" w:rsidRPr="00695C17">
        <w:rPr>
          <w:rFonts w:eastAsia="Calibri"/>
          <w:b/>
          <w:szCs w:val="24"/>
        </w:rPr>
        <w:t xml:space="preserve"> </w:t>
      </w:r>
      <w:r w:rsidR="00695C17" w:rsidRPr="00FA51C4">
        <w:rPr>
          <w:rFonts w:eastAsia="Calibri"/>
          <w:szCs w:val="24"/>
        </w:rPr>
        <w:t>утвержденной постановлением Администрации Волгоградской области от 20.02.</w:t>
      </w:r>
      <w:r w:rsidR="00695C17">
        <w:rPr>
          <w:rFonts w:eastAsia="Calibri"/>
          <w:szCs w:val="24"/>
        </w:rPr>
        <w:t xml:space="preserve">2016 №56-п, </w:t>
      </w:r>
      <w:r w:rsidRPr="000B186D">
        <w:rPr>
          <w:rFonts w:eastAsia="Calibri"/>
          <w:szCs w:val="24"/>
        </w:rPr>
        <w:t xml:space="preserve">в связи с тем, что основная часть работ </w:t>
      </w:r>
      <w:r w:rsidR="00695C17">
        <w:rPr>
          <w:rFonts w:eastAsia="Calibri"/>
          <w:szCs w:val="24"/>
        </w:rPr>
        <w:t xml:space="preserve">была </w:t>
      </w:r>
      <w:r w:rsidRPr="000B186D">
        <w:rPr>
          <w:rFonts w:eastAsia="Calibri"/>
          <w:szCs w:val="24"/>
        </w:rPr>
        <w:t>выполнена и оплачена в 2016 году</w:t>
      </w:r>
      <w:proofErr w:type="gramEnd"/>
      <w:r w:rsidRPr="000B186D">
        <w:rPr>
          <w:rFonts w:eastAsia="Calibri"/>
          <w:szCs w:val="24"/>
        </w:rPr>
        <w:t>, а также в связи с неисполнением в установленный срок работ по объекту «Водоочистные сооружения Краснооктябрьского района</w:t>
      </w:r>
      <w:r>
        <w:rPr>
          <w:rFonts w:eastAsia="Calibri"/>
          <w:szCs w:val="24"/>
        </w:rPr>
        <w:t xml:space="preserve"> г</w:t>
      </w:r>
      <w:proofErr w:type="gramStart"/>
      <w:r>
        <w:rPr>
          <w:rFonts w:eastAsia="Calibri"/>
          <w:szCs w:val="24"/>
        </w:rPr>
        <w:t>.В</w:t>
      </w:r>
      <w:proofErr w:type="gramEnd"/>
      <w:r>
        <w:rPr>
          <w:rFonts w:eastAsia="Calibri"/>
          <w:szCs w:val="24"/>
        </w:rPr>
        <w:t>олгограда</w:t>
      </w:r>
      <w:r w:rsidRPr="000B186D">
        <w:rPr>
          <w:rFonts w:eastAsia="Calibri"/>
          <w:szCs w:val="24"/>
        </w:rPr>
        <w:t xml:space="preserve">». </w:t>
      </w:r>
    </w:p>
    <w:p w:rsidR="00F910DF" w:rsidRPr="000B186D" w:rsidRDefault="00F910DF" w:rsidP="00F910DF">
      <w:pPr>
        <w:jc w:val="both"/>
        <w:rPr>
          <w:szCs w:val="24"/>
        </w:rPr>
      </w:pPr>
      <w:r>
        <w:rPr>
          <w:rFonts w:eastAsia="Calibri"/>
          <w:szCs w:val="24"/>
        </w:rPr>
        <w:tab/>
      </w:r>
      <w:proofErr w:type="gramStart"/>
      <w:r>
        <w:rPr>
          <w:rFonts w:eastAsia="Calibri"/>
          <w:szCs w:val="24"/>
        </w:rPr>
        <w:t xml:space="preserve">Также </w:t>
      </w:r>
      <w:r w:rsidRPr="000B186D">
        <w:rPr>
          <w:rFonts w:eastAsia="Calibri"/>
          <w:szCs w:val="24"/>
        </w:rPr>
        <w:t>в 2 раза уменьшились расходы на обеспечение жильем граждан, лишившихся жил</w:t>
      </w:r>
      <w:r>
        <w:rPr>
          <w:rFonts w:eastAsia="Calibri"/>
          <w:szCs w:val="24"/>
        </w:rPr>
        <w:t>ья</w:t>
      </w:r>
      <w:r w:rsidRPr="000B186D">
        <w:rPr>
          <w:rFonts w:eastAsia="Calibri"/>
          <w:szCs w:val="24"/>
        </w:rPr>
        <w:t xml:space="preserve"> в результате взрывов</w:t>
      </w:r>
      <w:r w:rsidR="00F631F1">
        <w:rPr>
          <w:rFonts w:eastAsia="Calibri"/>
          <w:szCs w:val="24"/>
        </w:rPr>
        <w:t xml:space="preserve"> в многоквартирных домах</w:t>
      </w:r>
      <w:r w:rsidRPr="000B186D">
        <w:rPr>
          <w:rFonts w:eastAsia="Calibri"/>
          <w:szCs w:val="24"/>
        </w:rPr>
        <w:t xml:space="preserve">, </w:t>
      </w:r>
      <w:r w:rsidRPr="000B186D">
        <w:rPr>
          <w:szCs w:val="24"/>
        </w:rPr>
        <w:t xml:space="preserve">в связи с тем, что </w:t>
      </w:r>
      <w:r w:rsidRPr="000B186D">
        <w:rPr>
          <w:rFonts w:eastAsia="Calibri"/>
          <w:szCs w:val="24"/>
        </w:rPr>
        <w:t>в 2016 году</w:t>
      </w:r>
      <w:r w:rsidRPr="000B186D">
        <w:rPr>
          <w:szCs w:val="24"/>
        </w:rPr>
        <w:t xml:space="preserve"> </w:t>
      </w:r>
      <w:r w:rsidRPr="000B186D">
        <w:rPr>
          <w:rFonts w:eastAsia="Calibri"/>
          <w:szCs w:val="24"/>
        </w:rPr>
        <w:t>оплачено 107 жилищных сертификатов</w:t>
      </w:r>
      <w:r w:rsidRPr="000B186D">
        <w:rPr>
          <w:szCs w:val="24"/>
        </w:rPr>
        <w:t xml:space="preserve"> жильц</w:t>
      </w:r>
      <w:r>
        <w:rPr>
          <w:szCs w:val="24"/>
        </w:rPr>
        <w:t>ам</w:t>
      </w:r>
      <w:r w:rsidRPr="000B186D">
        <w:rPr>
          <w:szCs w:val="24"/>
        </w:rPr>
        <w:t xml:space="preserve"> МКД </w:t>
      </w:r>
      <w:r w:rsidRPr="000B186D">
        <w:rPr>
          <w:rFonts w:eastAsia="Calibri"/>
          <w:szCs w:val="24"/>
        </w:rPr>
        <w:t xml:space="preserve">по ул. Космонавтов, д.47, а в 2017 году </w:t>
      </w:r>
      <w:r w:rsidR="00695C17">
        <w:rPr>
          <w:rFonts w:eastAsia="Calibri"/>
          <w:szCs w:val="24"/>
        </w:rPr>
        <w:t>–</w:t>
      </w:r>
      <w:r w:rsidRPr="000B186D">
        <w:rPr>
          <w:rFonts w:eastAsia="Calibri"/>
          <w:szCs w:val="24"/>
        </w:rPr>
        <w:t xml:space="preserve"> </w:t>
      </w:r>
      <w:r w:rsidR="00695C17">
        <w:rPr>
          <w:rFonts w:eastAsia="Calibri"/>
          <w:szCs w:val="24"/>
        </w:rPr>
        <w:t xml:space="preserve">только </w:t>
      </w:r>
      <w:r w:rsidRPr="000B186D">
        <w:rPr>
          <w:rFonts w:eastAsia="Calibri"/>
          <w:szCs w:val="24"/>
        </w:rPr>
        <w:t>47 сертификатов</w:t>
      </w:r>
      <w:r w:rsidRPr="00635D6E">
        <w:rPr>
          <w:rFonts w:eastAsia="Calibri"/>
          <w:szCs w:val="24"/>
        </w:rPr>
        <w:t xml:space="preserve"> </w:t>
      </w:r>
      <w:r w:rsidRPr="000B186D">
        <w:rPr>
          <w:rFonts w:eastAsia="Calibri"/>
          <w:szCs w:val="24"/>
        </w:rPr>
        <w:t>жильцам МКД по проспекту Университетский, д.60.</w:t>
      </w:r>
      <w:proofErr w:type="gramEnd"/>
    </w:p>
    <w:p w:rsidR="00F910DF" w:rsidRPr="000B186D" w:rsidRDefault="00F631F1" w:rsidP="00F910DF">
      <w:pPr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ab/>
      </w:r>
      <w:r w:rsidR="003742FE">
        <w:rPr>
          <w:rFonts w:eastAsia="Calibri"/>
          <w:szCs w:val="24"/>
        </w:rPr>
        <w:t>Вместе с тем</w:t>
      </w:r>
      <w:r w:rsidR="00F910DF">
        <w:rPr>
          <w:rFonts w:eastAsia="Calibri"/>
          <w:szCs w:val="24"/>
        </w:rPr>
        <w:t xml:space="preserve"> </w:t>
      </w:r>
      <w:r w:rsidR="00F910DF" w:rsidRPr="000B186D">
        <w:rPr>
          <w:rFonts w:eastAsia="Calibri"/>
          <w:szCs w:val="24"/>
        </w:rPr>
        <w:t>в 2017 году произведены расходы</w:t>
      </w:r>
      <w:r w:rsidR="00F910DF" w:rsidRPr="00E97123">
        <w:rPr>
          <w:rFonts w:eastAsia="Calibri"/>
          <w:szCs w:val="24"/>
        </w:rPr>
        <w:t xml:space="preserve"> </w:t>
      </w:r>
      <w:r w:rsidR="00F910DF">
        <w:rPr>
          <w:rFonts w:eastAsia="Calibri"/>
          <w:szCs w:val="24"/>
        </w:rPr>
        <w:t xml:space="preserve">на </w:t>
      </w:r>
      <w:r w:rsidR="00F910DF" w:rsidRPr="000B186D">
        <w:rPr>
          <w:rFonts w:eastAsia="Calibri"/>
          <w:szCs w:val="24"/>
        </w:rPr>
        <w:t>мероприятия подпрограммы «Формирование современной городской среды»</w:t>
      </w:r>
      <w:r w:rsidR="003742FE">
        <w:rPr>
          <w:rFonts w:eastAsia="Calibri"/>
          <w:szCs w:val="24"/>
        </w:rPr>
        <w:t xml:space="preserve"> вышеуказанной госпрограммы</w:t>
      </w:r>
      <w:r w:rsidR="00F910DF" w:rsidRPr="000B186D">
        <w:rPr>
          <w:rFonts w:eastAsia="Calibri"/>
          <w:szCs w:val="24"/>
        </w:rPr>
        <w:t xml:space="preserve">, </w:t>
      </w:r>
      <w:r w:rsidR="003742FE">
        <w:rPr>
          <w:rFonts w:eastAsia="Calibri"/>
          <w:szCs w:val="24"/>
        </w:rPr>
        <w:t xml:space="preserve">которые </w:t>
      </w:r>
      <w:r w:rsidR="00F910DF" w:rsidRPr="000B186D">
        <w:rPr>
          <w:rFonts w:eastAsia="Calibri"/>
          <w:szCs w:val="24"/>
        </w:rPr>
        <w:t>не осуществля</w:t>
      </w:r>
      <w:r w:rsidR="003742FE">
        <w:rPr>
          <w:rFonts w:eastAsia="Calibri"/>
          <w:szCs w:val="24"/>
        </w:rPr>
        <w:t>лись</w:t>
      </w:r>
      <w:r w:rsidR="00F910DF" w:rsidRPr="000B186D">
        <w:rPr>
          <w:rFonts w:eastAsia="Calibri"/>
          <w:szCs w:val="24"/>
        </w:rPr>
        <w:t xml:space="preserve"> в 2016 году</w:t>
      </w:r>
      <w:r w:rsidR="00F910DF">
        <w:rPr>
          <w:rFonts w:eastAsia="Calibri"/>
          <w:szCs w:val="24"/>
        </w:rPr>
        <w:t>.</w:t>
      </w:r>
    </w:p>
    <w:p w:rsidR="00F77B7A" w:rsidRPr="000B186D" w:rsidRDefault="00F77B7A" w:rsidP="00F77B7A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ab/>
      </w:r>
      <w:r w:rsidRPr="000B186D">
        <w:rPr>
          <w:color w:val="000000"/>
        </w:rPr>
        <w:t xml:space="preserve">Согласно </w:t>
      </w:r>
      <w:r w:rsidRPr="000B186D">
        <w:rPr>
          <w:rFonts w:eastAsia="Calibri"/>
          <w:szCs w:val="24"/>
        </w:rPr>
        <w:t>Сведениям о принятых и неисполненных обязательствах получателя бюджетных средств (</w:t>
      </w:r>
      <w:r w:rsidRPr="000B186D">
        <w:rPr>
          <w:color w:val="000000"/>
        </w:rPr>
        <w:t xml:space="preserve">ф.0503175) в 2017 году </w:t>
      </w:r>
      <w:r>
        <w:rPr>
          <w:color w:val="000000"/>
        </w:rPr>
        <w:t>к</w:t>
      </w:r>
      <w:r w:rsidRPr="00F77B7A">
        <w:rPr>
          <w:color w:val="000000"/>
        </w:rPr>
        <w:t xml:space="preserve">омитетом сверх утвержденных бюджетных назначений принято </w:t>
      </w:r>
      <w:r>
        <w:rPr>
          <w:color w:val="000000"/>
        </w:rPr>
        <w:t>расход</w:t>
      </w:r>
      <w:r w:rsidRPr="00F77B7A">
        <w:rPr>
          <w:color w:val="000000"/>
        </w:rPr>
        <w:t>ных обязательств на 54</w:t>
      </w:r>
      <w:r>
        <w:rPr>
          <w:color w:val="000000"/>
        </w:rPr>
        <w:t>,8</w:t>
      </w:r>
      <w:r w:rsidRPr="00F77B7A">
        <w:rPr>
          <w:color w:val="000000"/>
        </w:rPr>
        <w:t xml:space="preserve"> </w:t>
      </w:r>
      <w:r>
        <w:rPr>
          <w:color w:val="000000"/>
        </w:rPr>
        <w:t>млн</w:t>
      </w:r>
      <w:r w:rsidRPr="00F77B7A">
        <w:rPr>
          <w:color w:val="000000"/>
        </w:rPr>
        <w:t>. руб.,</w:t>
      </w:r>
      <w:r w:rsidRPr="000B186D">
        <w:rPr>
          <w:color w:val="000000"/>
        </w:rPr>
        <w:t xml:space="preserve"> из них:</w:t>
      </w:r>
    </w:p>
    <w:p w:rsidR="00F77B7A" w:rsidRPr="000B186D" w:rsidRDefault="00F77B7A" w:rsidP="00F77B7A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ab/>
      </w:r>
      <w:r w:rsidRPr="000B186D">
        <w:rPr>
          <w:color w:val="000000"/>
        </w:rPr>
        <w:t>-</w:t>
      </w:r>
      <w:r>
        <w:rPr>
          <w:color w:val="000000"/>
        </w:rPr>
        <w:t>4,</w:t>
      </w:r>
      <w:r w:rsidR="00F4214B">
        <w:rPr>
          <w:color w:val="000000"/>
        </w:rPr>
        <w:t>0</w:t>
      </w:r>
      <w:r w:rsidRPr="000B186D">
        <w:rPr>
          <w:color w:val="000000"/>
        </w:rPr>
        <w:t xml:space="preserve"> </w:t>
      </w:r>
      <w:r>
        <w:rPr>
          <w:color w:val="000000"/>
        </w:rPr>
        <w:t>млн</w:t>
      </w:r>
      <w:r w:rsidRPr="000B186D">
        <w:rPr>
          <w:color w:val="000000"/>
        </w:rPr>
        <w:t xml:space="preserve">. руб. </w:t>
      </w:r>
      <w:r>
        <w:rPr>
          <w:color w:val="000000"/>
        </w:rPr>
        <w:t xml:space="preserve">- </w:t>
      </w:r>
      <w:r w:rsidRPr="000B186D">
        <w:rPr>
          <w:color w:val="000000"/>
        </w:rPr>
        <w:t xml:space="preserve">на оплату найма жилья гражданам, утратившим жилье в результате взрыва в МКД по проспекту </w:t>
      </w:r>
      <w:proofErr w:type="gramStart"/>
      <w:r w:rsidRPr="000B186D">
        <w:rPr>
          <w:color w:val="000000"/>
        </w:rPr>
        <w:t>Университетский</w:t>
      </w:r>
      <w:proofErr w:type="gramEnd"/>
      <w:r w:rsidRPr="000B186D">
        <w:rPr>
          <w:color w:val="000000"/>
        </w:rPr>
        <w:t>, д.60;</w:t>
      </w:r>
    </w:p>
    <w:p w:rsidR="00F77B7A" w:rsidRPr="000B186D" w:rsidRDefault="00F77B7A" w:rsidP="00F77B7A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ab/>
      </w:r>
      <w:r w:rsidRPr="000B186D">
        <w:rPr>
          <w:color w:val="000000"/>
        </w:rPr>
        <w:t>-5</w:t>
      </w:r>
      <w:r>
        <w:rPr>
          <w:color w:val="000000"/>
        </w:rPr>
        <w:t>,</w:t>
      </w:r>
      <w:r w:rsidR="00F4214B">
        <w:rPr>
          <w:color w:val="000000"/>
        </w:rPr>
        <w:t>8</w:t>
      </w:r>
      <w:r w:rsidRPr="000B186D">
        <w:rPr>
          <w:color w:val="000000"/>
        </w:rPr>
        <w:t xml:space="preserve"> </w:t>
      </w:r>
      <w:r>
        <w:rPr>
          <w:color w:val="000000"/>
        </w:rPr>
        <w:t>млн</w:t>
      </w:r>
      <w:r w:rsidRPr="000B186D">
        <w:rPr>
          <w:color w:val="000000"/>
        </w:rPr>
        <w:t xml:space="preserve">. руб. </w:t>
      </w:r>
      <w:r>
        <w:rPr>
          <w:color w:val="000000"/>
        </w:rPr>
        <w:t xml:space="preserve">- </w:t>
      </w:r>
      <w:r w:rsidRPr="000B186D">
        <w:rPr>
          <w:color w:val="000000"/>
        </w:rPr>
        <w:t>на имущественный взнос рег</w:t>
      </w:r>
      <w:r>
        <w:rPr>
          <w:color w:val="000000"/>
        </w:rPr>
        <w:t xml:space="preserve">иональному </w:t>
      </w:r>
      <w:r w:rsidRPr="000B186D">
        <w:rPr>
          <w:color w:val="000000"/>
        </w:rPr>
        <w:t>оператору</w:t>
      </w:r>
      <w:r>
        <w:rPr>
          <w:color w:val="000000"/>
        </w:rPr>
        <w:t xml:space="preserve"> по капитальному ремонту многоквартирных домов</w:t>
      </w:r>
      <w:r w:rsidRPr="000B186D">
        <w:rPr>
          <w:color w:val="000000"/>
        </w:rPr>
        <w:t xml:space="preserve">;  </w:t>
      </w:r>
    </w:p>
    <w:p w:rsidR="00F77B7A" w:rsidRPr="000B186D" w:rsidRDefault="00F77B7A" w:rsidP="00F77B7A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ab/>
      </w:r>
      <w:r w:rsidRPr="000B186D">
        <w:rPr>
          <w:color w:val="000000"/>
        </w:rPr>
        <w:t>-12</w:t>
      </w:r>
      <w:r>
        <w:rPr>
          <w:color w:val="000000"/>
        </w:rPr>
        <w:t>,</w:t>
      </w:r>
      <w:r w:rsidRPr="000B186D">
        <w:rPr>
          <w:color w:val="000000"/>
        </w:rPr>
        <w:t xml:space="preserve">3 </w:t>
      </w:r>
      <w:r>
        <w:rPr>
          <w:color w:val="000000"/>
        </w:rPr>
        <w:t>млн</w:t>
      </w:r>
      <w:r w:rsidRPr="000B186D">
        <w:rPr>
          <w:color w:val="000000"/>
        </w:rPr>
        <w:t xml:space="preserve">. руб. </w:t>
      </w:r>
      <w:r>
        <w:rPr>
          <w:color w:val="000000"/>
        </w:rPr>
        <w:t xml:space="preserve">- </w:t>
      </w:r>
      <w:r w:rsidRPr="000B186D">
        <w:rPr>
          <w:color w:val="000000"/>
        </w:rPr>
        <w:t xml:space="preserve">на погашение кредиторской задолженности за выполненные работы по строительству двух газопроводов в </w:t>
      </w:r>
      <w:proofErr w:type="spellStart"/>
      <w:r w:rsidRPr="000B186D">
        <w:rPr>
          <w:color w:val="000000"/>
        </w:rPr>
        <w:t>Среднеахтубинском</w:t>
      </w:r>
      <w:proofErr w:type="spellEnd"/>
      <w:r w:rsidRPr="000B186D">
        <w:rPr>
          <w:color w:val="000000"/>
        </w:rPr>
        <w:t xml:space="preserve"> районе;</w:t>
      </w:r>
    </w:p>
    <w:p w:rsidR="00F77B7A" w:rsidRPr="000B186D" w:rsidRDefault="00F77B7A" w:rsidP="00F77B7A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ab/>
      </w:r>
      <w:r w:rsidRPr="000B186D">
        <w:rPr>
          <w:color w:val="000000"/>
        </w:rPr>
        <w:t>-32</w:t>
      </w:r>
      <w:r>
        <w:rPr>
          <w:color w:val="000000"/>
        </w:rPr>
        <w:t>,</w:t>
      </w:r>
      <w:r w:rsidRPr="000B186D">
        <w:rPr>
          <w:color w:val="000000"/>
        </w:rPr>
        <w:t xml:space="preserve">7 </w:t>
      </w:r>
      <w:r>
        <w:rPr>
          <w:color w:val="000000"/>
        </w:rPr>
        <w:t>млн</w:t>
      </w:r>
      <w:r w:rsidRPr="000B186D">
        <w:rPr>
          <w:color w:val="000000"/>
        </w:rPr>
        <w:t xml:space="preserve">. руб. </w:t>
      </w:r>
      <w:r>
        <w:rPr>
          <w:color w:val="000000"/>
        </w:rPr>
        <w:t xml:space="preserve">- </w:t>
      </w:r>
      <w:r w:rsidRPr="000B186D">
        <w:rPr>
          <w:color w:val="000000"/>
        </w:rPr>
        <w:t>на субсидии на обводнение и питьевое водоснабжение поселений.</w:t>
      </w:r>
    </w:p>
    <w:p w:rsidR="00FD5A47" w:rsidRDefault="00F77B7A" w:rsidP="00FD5A47">
      <w:pPr>
        <w:jc w:val="both"/>
        <w:rPr>
          <w:rFonts w:eastAsia="Calibri"/>
          <w:szCs w:val="24"/>
        </w:rPr>
      </w:pPr>
      <w:r>
        <w:rPr>
          <w:szCs w:val="24"/>
        </w:rPr>
        <w:tab/>
      </w:r>
      <w:r w:rsidRPr="000B186D">
        <w:rPr>
          <w:szCs w:val="24"/>
        </w:rPr>
        <w:t xml:space="preserve">Превышение бюджетных обязательств над бюджетными назначениями </w:t>
      </w:r>
      <w:r>
        <w:rPr>
          <w:szCs w:val="24"/>
        </w:rPr>
        <w:t xml:space="preserve">и доведенными лимитами </w:t>
      </w:r>
      <w:r w:rsidRPr="000B186D">
        <w:rPr>
          <w:szCs w:val="24"/>
        </w:rPr>
        <w:t xml:space="preserve">сложилось по причине </w:t>
      </w:r>
      <w:r>
        <w:rPr>
          <w:szCs w:val="24"/>
        </w:rPr>
        <w:t xml:space="preserve">их </w:t>
      </w:r>
      <w:r w:rsidRPr="000B186D">
        <w:rPr>
          <w:szCs w:val="24"/>
        </w:rPr>
        <w:t>уменьшения</w:t>
      </w:r>
      <w:r>
        <w:rPr>
          <w:szCs w:val="24"/>
        </w:rPr>
        <w:t xml:space="preserve"> по уже принятым обязательствам</w:t>
      </w:r>
      <w:r w:rsidRPr="000B186D">
        <w:rPr>
          <w:szCs w:val="24"/>
        </w:rPr>
        <w:t xml:space="preserve"> уведомлением комитета финансов </w:t>
      </w:r>
      <w:r>
        <w:rPr>
          <w:szCs w:val="24"/>
        </w:rPr>
        <w:t>Волгоградской области от 30.12.2017</w:t>
      </w:r>
      <w:r w:rsidRPr="000B186D">
        <w:rPr>
          <w:szCs w:val="24"/>
        </w:rPr>
        <w:t>.</w:t>
      </w:r>
      <w:r w:rsidR="00A64A62">
        <w:rPr>
          <w:szCs w:val="24"/>
        </w:rPr>
        <w:t xml:space="preserve"> В результате </w:t>
      </w:r>
      <w:r w:rsidR="007C1A2F">
        <w:rPr>
          <w:szCs w:val="24"/>
        </w:rPr>
        <w:t xml:space="preserve">нарушены </w:t>
      </w:r>
      <w:r w:rsidR="00FD5A47" w:rsidRPr="002E4CC3">
        <w:rPr>
          <w:rFonts w:eastAsia="Calibri"/>
          <w:szCs w:val="24"/>
        </w:rPr>
        <w:t>п</w:t>
      </w:r>
      <w:r w:rsidR="00FD5A47">
        <w:rPr>
          <w:rFonts w:eastAsia="Calibri"/>
          <w:szCs w:val="24"/>
        </w:rPr>
        <w:t>одпункт</w:t>
      </w:r>
      <w:r w:rsidR="00FD5A47" w:rsidRPr="002E4CC3">
        <w:rPr>
          <w:rFonts w:eastAsia="Calibri"/>
          <w:szCs w:val="24"/>
        </w:rPr>
        <w:t xml:space="preserve"> 2 п</w:t>
      </w:r>
      <w:r w:rsidR="00FD5A47">
        <w:rPr>
          <w:rFonts w:eastAsia="Calibri"/>
          <w:szCs w:val="24"/>
        </w:rPr>
        <w:t>ункта</w:t>
      </w:r>
      <w:r w:rsidR="00FD5A47" w:rsidRPr="002E4CC3">
        <w:rPr>
          <w:rFonts w:eastAsia="Calibri"/>
          <w:szCs w:val="24"/>
        </w:rPr>
        <w:t xml:space="preserve"> 1 ст</w:t>
      </w:r>
      <w:r w:rsidR="00FD5A47">
        <w:rPr>
          <w:rFonts w:eastAsia="Calibri"/>
          <w:szCs w:val="24"/>
        </w:rPr>
        <w:t>атьи 162 и пункт</w:t>
      </w:r>
      <w:r w:rsidR="00FD5A47" w:rsidRPr="002E4CC3">
        <w:rPr>
          <w:rFonts w:eastAsia="Calibri"/>
          <w:szCs w:val="24"/>
        </w:rPr>
        <w:t xml:space="preserve"> 3 ст</w:t>
      </w:r>
      <w:r w:rsidR="00FD5A47">
        <w:rPr>
          <w:rFonts w:eastAsia="Calibri"/>
          <w:szCs w:val="24"/>
        </w:rPr>
        <w:t>атьи</w:t>
      </w:r>
      <w:r w:rsidR="00FD5A47" w:rsidRPr="002E4CC3">
        <w:rPr>
          <w:rFonts w:eastAsia="Calibri"/>
          <w:szCs w:val="24"/>
        </w:rPr>
        <w:t xml:space="preserve"> 219 БК РФ.</w:t>
      </w:r>
    </w:p>
    <w:p w:rsidR="005E54E9" w:rsidRPr="00E44C82" w:rsidRDefault="005E54E9" w:rsidP="00E44C82"/>
    <w:p w:rsidR="00C769E6" w:rsidRDefault="00C769E6" w:rsidP="001061B8">
      <w:pPr>
        <w:jc w:val="center"/>
        <w:outlineLvl w:val="0"/>
        <w:rPr>
          <w:b/>
          <w:szCs w:val="24"/>
        </w:rPr>
      </w:pPr>
      <w:r>
        <w:rPr>
          <w:b/>
          <w:szCs w:val="24"/>
        </w:rPr>
        <w:t>4.5. Расходы по разделу 0600 «Охрана окружающей среды».</w:t>
      </w:r>
    </w:p>
    <w:p w:rsidR="00591139" w:rsidRDefault="00591139" w:rsidP="001061B8">
      <w:pPr>
        <w:jc w:val="center"/>
        <w:outlineLvl w:val="0"/>
        <w:rPr>
          <w:b/>
          <w:szCs w:val="24"/>
        </w:rPr>
      </w:pPr>
    </w:p>
    <w:p w:rsidR="00EE2EBE" w:rsidRPr="001A6F88" w:rsidRDefault="00C769E6" w:rsidP="003E47CD">
      <w:pPr>
        <w:ind w:firstLine="708"/>
        <w:jc w:val="both"/>
      </w:pPr>
      <w:r>
        <w:t xml:space="preserve">Уточненные бюджетные ассигнования на </w:t>
      </w:r>
      <w:r w:rsidR="00F611CB">
        <w:t>20</w:t>
      </w:r>
      <w:r w:rsidR="00835D30">
        <w:t>1</w:t>
      </w:r>
      <w:r w:rsidR="006350F4">
        <w:t>7</w:t>
      </w:r>
      <w:r>
        <w:t xml:space="preserve"> год по разделу </w:t>
      </w:r>
      <w:r w:rsidRPr="00226E91">
        <w:t>0</w:t>
      </w:r>
      <w:r>
        <w:t>6</w:t>
      </w:r>
      <w:r w:rsidRPr="00226E91">
        <w:t>00 «</w:t>
      </w:r>
      <w:r>
        <w:t>Охрана окружающей среды</w:t>
      </w:r>
      <w:r w:rsidRPr="00226E91">
        <w:rPr>
          <w:szCs w:val="24"/>
        </w:rPr>
        <w:t>»</w:t>
      </w:r>
      <w:r>
        <w:rPr>
          <w:szCs w:val="24"/>
        </w:rPr>
        <w:t xml:space="preserve"> </w:t>
      </w:r>
      <w:r>
        <w:t xml:space="preserve">утверждены в размере </w:t>
      </w:r>
      <w:r w:rsidR="00CB1022">
        <w:t xml:space="preserve">826,9 </w:t>
      </w:r>
      <w:r>
        <w:t xml:space="preserve">млн. рублей. Фактическое исполнение расходов составило </w:t>
      </w:r>
      <w:r w:rsidR="00CB1022">
        <w:t>829,4</w:t>
      </w:r>
      <w:r>
        <w:t xml:space="preserve"> млн. руб., или </w:t>
      </w:r>
      <w:r w:rsidR="00CB1022">
        <w:t>100,3</w:t>
      </w:r>
      <w:r w:rsidR="00FC145D">
        <w:t>%</w:t>
      </w:r>
      <w:r>
        <w:t xml:space="preserve"> </w:t>
      </w:r>
      <w:r w:rsidR="00D24DC3">
        <w:t>к</w:t>
      </w:r>
      <w:r>
        <w:t xml:space="preserve"> </w:t>
      </w:r>
      <w:r w:rsidR="00DD4820">
        <w:t>бюджетны</w:t>
      </w:r>
      <w:r w:rsidR="00D24DC3">
        <w:t>м</w:t>
      </w:r>
      <w:r w:rsidR="00DD4820">
        <w:t xml:space="preserve"> асси</w:t>
      </w:r>
      <w:r w:rsidR="00B11A8A">
        <w:t>г</w:t>
      </w:r>
      <w:r w:rsidR="00DD4820">
        <w:t>новани</w:t>
      </w:r>
      <w:r w:rsidR="00D24DC3">
        <w:t>ям</w:t>
      </w:r>
      <w:r w:rsidR="005B107F">
        <w:t>.</w:t>
      </w:r>
      <w:r w:rsidR="00EE2EBE">
        <w:t xml:space="preserve"> </w:t>
      </w:r>
    </w:p>
    <w:p w:rsidR="001B4765" w:rsidRDefault="00995AA1" w:rsidP="00584683">
      <w:pPr>
        <w:ind w:firstLine="708"/>
        <w:jc w:val="both"/>
        <w:rPr>
          <w:b/>
          <w:i/>
        </w:rPr>
      </w:pPr>
      <w:r>
        <w:t xml:space="preserve">Главным распорядителем средств областного бюджета по данному разделу является </w:t>
      </w:r>
      <w:r w:rsidRPr="00995AA1">
        <w:rPr>
          <w:b/>
          <w:i/>
        </w:rPr>
        <w:t>комитет природных ресурсов</w:t>
      </w:r>
      <w:r w:rsidR="00CB1022">
        <w:rPr>
          <w:b/>
          <w:i/>
        </w:rPr>
        <w:t>, лесного хозяйства</w:t>
      </w:r>
      <w:r w:rsidRPr="00995AA1">
        <w:rPr>
          <w:b/>
          <w:i/>
        </w:rPr>
        <w:t xml:space="preserve"> и экологии Волгоградской области</w:t>
      </w:r>
      <w:r w:rsidR="00584683">
        <w:rPr>
          <w:b/>
          <w:i/>
        </w:rPr>
        <w:t>.</w:t>
      </w:r>
      <w:r>
        <w:rPr>
          <w:b/>
          <w:i/>
        </w:rPr>
        <w:t xml:space="preserve"> </w:t>
      </w:r>
    </w:p>
    <w:p w:rsidR="00ED405A" w:rsidRDefault="00BD6636" w:rsidP="00ED405A">
      <w:pPr>
        <w:pStyle w:val="11"/>
        <w:ind w:firstLine="709"/>
        <w:jc w:val="both"/>
      </w:pPr>
      <w:proofErr w:type="gramStart"/>
      <w:r>
        <w:t xml:space="preserve">Внешней проверкой его отчетности установлено, </w:t>
      </w:r>
      <w:r w:rsidR="00ED405A">
        <w:t>что к</w:t>
      </w:r>
      <w:r w:rsidR="00ED405A" w:rsidRPr="00702299">
        <w:rPr>
          <w:rFonts w:eastAsia="MS Mincho"/>
          <w:lang w:eastAsia="ja-JP"/>
        </w:rPr>
        <w:t>ассовые</w:t>
      </w:r>
      <w:r w:rsidR="00ED405A" w:rsidRPr="00EA2E96">
        <w:rPr>
          <w:rFonts w:eastAsia="MS Mincho"/>
          <w:color w:val="FF0000"/>
          <w:lang w:eastAsia="ja-JP"/>
        </w:rPr>
        <w:t xml:space="preserve"> </w:t>
      </w:r>
      <w:r w:rsidR="00ED405A" w:rsidRPr="00E034D6">
        <w:rPr>
          <w:rFonts w:eastAsia="MS Mincho"/>
          <w:lang w:eastAsia="ja-JP"/>
        </w:rPr>
        <w:t xml:space="preserve">расходы </w:t>
      </w:r>
      <w:r w:rsidR="00ED405A">
        <w:rPr>
          <w:rFonts w:eastAsia="MS Mincho"/>
          <w:lang w:eastAsia="ja-JP"/>
        </w:rPr>
        <w:t>к</w:t>
      </w:r>
      <w:r w:rsidR="00ED405A" w:rsidRPr="00E034D6">
        <w:rPr>
          <w:rFonts w:eastAsia="MS Mincho"/>
          <w:lang w:eastAsia="ja-JP"/>
        </w:rPr>
        <w:t xml:space="preserve">омитета за 2017 год в сравнении с аналогичными расходами </w:t>
      </w:r>
      <w:r w:rsidR="00ED405A">
        <w:rPr>
          <w:rFonts w:eastAsia="MS Mincho"/>
          <w:lang w:eastAsia="ja-JP"/>
        </w:rPr>
        <w:t>к</w:t>
      </w:r>
      <w:r w:rsidR="00ED405A" w:rsidRPr="00E034D6">
        <w:t>омитета природных ресурсов и экологии и</w:t>
      </w:r>
      <w:r w:rsidR="00ED405A">
        <w:t xml:space="preserve"> ко</w:t>
      </w:r>
      <w:r w:rsidR="00ED405A" w:rsidRPr="00E034D6">
        <w:t>митета лесного хозяйства</w:t>
      </w:r>
      <w:r w:rsidR="00D05962">
        <w:t>, который с 2017 года вошел в состав комитета природных ресурсов и экологии,</w:t>
      </w:r>
      <w:r w:rsidR="00ED405A" w:rsidRPr="00E034D6">
        <w:t xml:space="preserve"> за 2016 год увеличились на 20,5%, в том числе по подразделу 0605 «Другие вопросы в области охраны окружающей среды» -  в 5,5 раза.</w:t>
      </w:r>
      <w:proofErr w:type="gramEnd"/>
    </w:p>
    <w:p w:rsidR="00F37285" w:rsidRDefault="00ED405A" w:rsidP="00F37285">
      <w:pPr>
        <w:pStyle w:val="11"/>
        <w:ind w:firstLine="709"/>
        <w:jc w:val="both"/>
      </w:pPr>
      <w:r w:rsidRPr="00E034D6">
        <w:t>Увеличение расходов в 2017 году связано с мероприятиями, проводимыми в рамках п</w:t>
      </w:r>
      <w:r w:rsidRPr="00E034D6">
        <w:rPr>
          <w:bCs/>
        </w:rPr>
        <w:t>одпрограммы «</w:t>
      </w:r>
      <w:r w:rsidRPr="00E034D6">
        <w:t>Обращение с твердыми коммунальными отходами на территории Волгоградской области</w:t>
      </w:r>
      <w:r w:rsidRPr="00E034D6">
        <w:rPr>
          <w:bCs/>
        </w:rPr>
        <w:t xml:space="preserve">» </w:t>
      </w:r>
      <w:r>
        <w:rPr>
          <w:bCs/>
        </w:rPr>
        <w:t>госпрограммы</w:t>
      </w:r>
      <w:r w:rsidRPr="00E034D6">
        <w:rPr>
          <w:bCs/>
        </w:rPr>
        <w:t xml:space="preserve"> «Охрана окружающей среды на территории Волгоградской области»</w:t>
      </w:r>
      <w:r>
        <w:rPr>
          <w:bCs/>
        </w:rPr>
        <w:t>, в частности</w:t>
      </w:r>
      <w:r w:rsidRPr="00E034D6">
        <w:rPr>
          <w:bCs/>
        </w:rPr>
        <w:t xml:space="preserve"> </w:t>
      </w:r>
      <w:r w:rsidRPr="00E034D6">
        <w:t>ликвидацией Кировской свалки в Волгограде (604</w:t>
      </w:r>
      <w:r>
        <w:t xml:space="preserve">,7 </w:t>
      </w:r>
      <w:r>
        <w:lastRenderedPageBreak/>
        <w:t>млн</w:t>
      </w:r>
      <w:r w:rsidRPr="00E034D6">
        <w:t>. руб.) и подготовкой проектов муниципальными образованиями по ликвидации свалок (7</w:t>
      </w:r>
      <w:r>
        <w:t>,1</w:t>
      </w:r>
      <w:r w:rsidRPr="00E034D6">
        <w:t xml:space="preserve"> </w:t>
      </w:r>
      <w:r>
        <w:t>млн</w:t>
      </w:r>
      <w:r w:rsidRPr="00E034D6">
        <w:t xml:space="preserve">. руб.). </w:t>
      </w:r>
    </w:p>
    <w:p w:rsidR="006A6252" w:rsidRDefault="00ED405A" w:rsidP="00F37285">
      <w:pPr>
        <w:pStyle w:val="11"/>
        <w:ind w:firstLine="709"/>
        <w:jc w:val="both"/>
      </w:pPr>
      <w:r>
        <w:t>О</w:t>
      </w:r>
      <w:r w:rsidR="006A6252">
        <w:t xml:space="preserve">бщая сумма неисполненных комитетом принятых </w:t>
      </w:r>
      <w:r>
        <w:t xml:space="preserve">в 2017 году </w:t>
      </w:r>
      <w:r w:rsidR="006A6252">
        <w:t xml:space="preserve">бюджетных обязательств составила </w:t>
      </w:r>
      <w:r w:rsidR="006A6252" w:rsidRPr="00A96B8A">
        <w:t>57</w:t>
      </w:r>
      <w:r w:rsidR="006A6252">
        <w:t>,</w:t>
      </w:r>
      <w:r w:rsidR="006A6252" w:rsidRPr="00A96B8A">
        <w:t xml:space="preserve">4 </w:t>
      </w:r>
      <w:r w:rsidR="006A6252">
        <w:t>млн</w:t>
      </w:r>
      <w:r w:rsidR="006A6252" w:rsidRPr="00A96B8A">
        <w:t>. руб</w:t>
      </w:r>
      <w:r w:rsidR="00E32BC0">
        <w:t>лей</w:t>
      </w:r>
      <w:r w:rsidR="006A6252" w:rsidRPr="00A96B8A">
        <w:t>.</w:t>
      </w:r>
      <w:r>
        <w:t xml:space="preserve"> При этом с</w:t>
      </w:r>
      <w:r w:rsidR="006A6252" w:rsidRPr="00A96B8A">
        <w:t xml:space="preserve">верх утвержденных бюджетных </w:t>
      </w:r>
      <w:r>
        <w:t>ассигнова</w:t>
      </w:r>
      <w:r w:rsidR="006A6252" w:rsidRPr="00A96B8A">
        <w:t xml:space="preserve">ний </w:t>
      </w:r>
      <w:r w:rsidR="00E32BC0">
        <w:t>к</w:t>
      </w:r>
      <w:r w:rsidR="006A6252" w:rsidRPr="00A96B8A">
        <w:t>омитетом были приняты бюджетные обязательства на сумму 32</w:t>
      </w:r>
      <w:r w:rsidR="006A6252">
        <w:t>,</w:t>
      </w:r>
      <w:r w:rsidR="006A6252" w:rsidRPr="00A96B8A">
        <w:t xml:space="preserve">5 </w:t>
      </w:r>
      <w:r w:rsidR="006A6252">
        <w:t>млн</w:t>
      </w:r>
      <w:r w:rsidR="006A6252" w:rsidRPr="00A96B8A">
        <w:t>. руб., что является нарушением ст</w:t>
      </w:r>
      <w:r w:rsidR="006A6252">
        <w:t>атьи 219</w:t>
      </w:r>
      <w:r w:rsidR="006A6252" w:rsidRPr="00A96B8A">
        <w:t xml:space="preserve"> БК РФ</w:t>
      </w:r>
      <w:r w:rsidR="006A6252">
        <w:t xml:space="preserve"> и следствием </w:t>
      </w:r>
      <w:r w:rsidR="00E32BC0">
        <w:t>сокращения</w:t>
      </w:r>
      <w:r w:rsidR="006A6252">
        <w:t xml:space="preserve"> ассигнований и лимитов бюджетных обязательств в ноябре-декабре 2017 года, </w:t>
      </w:r>
      <w:r w:rsidR="00E32BC0">
        <w:t xml:space="preserve">т. е. </w:t>
      </w:r>
      <w:r w:rsidR="006A6252">
        <w:t xml:space="preserve">после того, как </w:t>
      </w:r>
      <w:r w:rsidR="00E32BC0">
        <w:t>к</w:t>
      </w:r>
      <w:r w:rsidR="006A6252">
        <w:t xml:space="preserve">омитетом данные обязательства </w:t>
      </w:r>
      <w:r>
        <w:t xml:space="preserve">уже </w:t>
      </w:r>
      <w:r w:rsidR="006A6252">
        <w:t>были приняты.</w:t>
      </w:r>
    </w:p>
    <w:p w:rsidR="006A6252" w:rsidRDefault="0001579C" w:rsidP="006A6252">
      <w:pPr>
        <w:pStyle w:val="11"/>
        <w:ind w:firstLine="709"/>
        <w:jc w:val="both"/>
      </w:pPr>
      <w:r>
        <w:t xml:space="preserve">Значительная часть расходов комитета осуществлялась в рамках госпрограммы </w:t>
      </w:r>
      <w:r w:rsidRPr="00F83A14">
        <w:t>«</w:t>
      </w:r>
      <w:r>
        <w:t xml:space="preserve">Охрана окружающей среды на территории Волгоградской области». </w:t>
      </w:r>
      <w:r w:rsidR="00D81C7F">
        <w:t>Анализ реализации данной программы показал, что в</w:t>
      </w:r>
      <w:r w:rsidR="006A6252">
        <w:t xml:space="preserve"> Сведениях о достижении целевых показателей </w:t>
      </w:r>
      <w:r w:rsidR="006A0A5F">
        <w:t>госпрограммы к</w:t>
      </w:r>
      <w:r w:rsidR="006A6252">
        <w:t xml:space="preserve">омитетом не были отражены 13 целевых показателей, по которым мероприятия не реализовывались, поскольку </w:t>
      </w:r>
      <w:r w:rsidR="006A0A5F">
        <w:t xml:space="preserve">эти показатели </w:t>
      </w:r>
      <w:r w:rsidR="006A6252">
        <w:t xml:space="preserve">не доводились государственным заданием. По этой же причине плановые значения 4 целевых показателей </w:t>
      </w:r>
      <w:r w:rsidR="006A6252">
        <w:rPr>
          <w:lang w:eastAsia="en-US"/>
        </w:rPr>
        <w:t xml:space="preserve">в </w:t>
      </w:r>
      <w:r w:rsidR="006A6252">
        <w:t>Сведениях о достижении целевых показателей не соответств</w:t>
      </w:r>
      <w:r w:rsidR="00967C2A">
        <w:t>овали</w:t>
      </w:r>
      <w:r w:rsidR="006A6252">
        <w:t xml:space="preserve"> </w:t>
      </w:r>
      <w:proofErr w:type="gramStart"/>
      <w:r w:rsidR="006A6252">
        <w:t>предусмотренным</w:t>
      </w:r>
      <w:proofErr w:type="gramEnd"/>
      <w:r w:rsidR="006A6252">
        <w:t xml:space="preserve"> </w:t>
      </w:r>
      <w:r w:rsidR="006A0A5F">
        <w:t>п</w:t>
      </w:r>
      <w:r w:rsidR="006A6252">
        <w:t xml:space="preserve">рограммой. Исходя </w:t>
      </w:r>
      <w:r w:rsidR="00AE2FE1">
        <w:t xml:space="preserve">же </w:t>
      </w:r>
      <w:r w:rsidR="006A6252">
        <w:t xml:space="preserve">из их плановых значений, предусмотренных </w:t>
      </w:r>
      <w:r w:rsidR="006A0A5F">
        <w:t>п</w:t>
      </w:r>
      <w:r w:rsidR="006A6252">
        <w:t>рограммой, 3 показателя были бы не выполнены (исполнение составило от 53 до 86,3%).</w:t>
      </w:r>
    </w:p>
    <w:p w:rsidR="006A6252" w:rsidRDefault="006A6252" w:rsidP="006A6252">
      <w:pPr>
        <w:ind w:firstLine="709"/>
        <w:jc w:val="both"/>
      </w:pPr>
      <w:proofErr w:type="gramStart"/>
      <w:r>
        <w:t>Таким образом, несмотря на то, что объем утвержденных бюджетных назначений  на реализацию подпрограммы «Сохранение биологического разнообразия и развитие системы особо охраняемых природных территорий» на 14</w:t>
      </w:r>
      <w:r w:rsidR="006A0A5F">
        <w:t>,7</w:t>
      </w:r>
      <w:r>
        <w:t xml:space="preserve"> </w:t>
      </w:r>
      <w:r w:rsidR="006A0A5F">
        <w:t>млн</w:t>
      </w:r>
      <w:r>
        <w:t xml:space="preserve">. руб. превысил объем средств на эти цели, предусмотренный </w:t>
      </w:r>
      <w:r w:rsidR="006A0A5F">
        <w:t>п</w:t>
      </w:r>
      <w:r>
        <w:t xml:space="preserve">рограммой, значительная часть целевых показателей </w:t>
      </w:r>
      <w:r w:rsidR="006A0A5F">
        <w:t>п</w:t>
      </w:r>
      <w:r>
        <w:t>рограммы в целом и указанной подпрограммы не исполнялась</w:t>
      </w:r>
      <w:r w:rsidR="00AE2FE1">
        <w:t xml:space="preserve"> вообще</w:t>
      </w:r>
      <w:r>
        <w:t>, а некоторые показатели не достигнуты.</w:t>
      </w:r>
      <w:proofErr w:type="gramEnd"/>
      <w:r>
        <w:t xml:space="preserve"> Это свидетельствует об отсутствии взаимосвязи между показателями, установленными в </w:t>
      </w:r>
      <w:r w:rsidR="006A0A5F">
        <w:t>п</w:t>
      </w:r>
      <w:r>
        <w:t xml:space="preserve">рограмме, и предусмотренным </w:t>
      </w:r>
      <w:r w:rsidR="006A0A5F">
        <w:t xml:space="preserve">программой </w:t>
      </w:r>
      <w:r>
        <w:t>объемом финансирования.</w:t>
      </w:r>
    </w:p>
    <w:p w:rsidR="006A6252" w:rsidRDefault="006A6252" w:rsidP="006A6252">
      <w:pPr>
        <w:autoSpaceDE w:val="0"/>
        <w:autoSpaceDN w:val="0"/>
        <w:adjustRightInd w:val="0"/>
        <w:ind w:firstLine="709"/>
        <w:jc w:val="both"/>
        <w:rPr>
          <w:bCs/>
        </w:rPr>
      </w:pPr>
      <w:proofErr w:type="gramStart"/>
      <w:r>
        <w:t>В результате о</w:t>
      </w:r>
      <w:r w:rsidRPr="00060075">
        <w:t xml:space="preserve">ценка эффективности реализации </w:t>
      </w:r>
      <w:r w:rsidR="006A0A5F">
        <w:t>госп</w:t>
      </w:r>
      <w:r w:rsidRPr="00060075">
        <w:t>рограммы произведена с нарушением требований Порядка разработки, реализации и оценки эффективности</w:t>
      </w:r>
      <w:r w:rsidR="00D05962">
        <w:t>…</w:t>
      </w:r>
      <w:r w:rsidRPr="00060075">
        <w:t>, утвержденного постановлением Правительства области от 27.08.2013 №423-п, поскольку дл</w:t>
      </w:r>
      <w:r w:rsidRPr="00060075">
        <w:rPr>
          <w:bCs/>
        </w:rPr>
        <w:t xml:space="preserve">я оценки степени достижения целей и решения задач </w:t>
      </w:r>
      <w:r w:rsidR="006D1EB1">
        <w:rPr>
          <w:bCs/>
        </w:rPr>
        <w:t>п</w:t>
      </w:r>
      <w:r w:rsidRPr="00060075">
        <w:rPr>
          <w:bCs/>
        </w:rPr>
        <w:t xml:space="preserve">рограммы </w:t>
      </w:r>
      <w:r w:rsidR="006A0A5F">
        <w:rPr>
          <w:bCs/>
        </w:rPr>
        <w:t>к</w:t>
      </w:r>
      <w:r w:rsidRPr="00060075">
        <w:rPr>
          <w:bCs/>
        </w:rPr>
        <w:t xml:space="preserve">омитетом определена степень достижения плановых значений не всех целевых показателей, предусмотренных </w:t>
      </w:r>
      <w:r w:rsidR="006A0A5F">
        <w:rPr>
          <w:bCs/>
        </w:rPr>
        <w:t>п</w:t>
      </w:r>
      <w:r w:rsidRPr="00060075">
        <w:rPr>
          <w:bCs/>
        </w:rPr>
        <w:t>рограммой, а по отдельным показателям использованы плановые значения</w:t>
      </w:r>
      <w:r w:rsidR="006A0A5F">
        <w:rPr>
          <w:bCs/>
        </w:rPr>
        <w:t>,</w:t>
      </w:r>
      <w:r w:rsidRPr="00060075">
        <w:rPr>
          <w:bCs/>
        </w:rPr>
        <w:t xml:space="preserve"> отличные от предусмотрен</w:t>
      </w:r>
      <w:r w:rsidR="006A0A5F">
        <w:rPr>
          <w:bCs/>
        </w:rPr>
        <w:t>н</w:t>
      </w:r>
      <w:r w:rsidRPr="00060075">
        <w:rPr>
          <w:bCs/>
        </w:rPr>
        <w:t>ы</w:t>
      </w:r>
      <w:r w:rsidR="006A0A5F">
        <w:rPr>
          <w:bCs/>
        </w:rPr>
        <w:t>х</w:t>
      </w:r>
      <w:r w:rsidRPr="00060075">
        <w:rPr>
          <w:bCs/>
        </w:rPr>
        <w:t xml:space="preserve"> </w:t>
      </w:r>
      <w:r w:rsidR="006A0A5F">
        <w:rPr>
          <w:bCs/>
        </w:rPr>
        <w:t>п</w:t>
      </w:r>
      <w:r w:rsidR="00EA418C">
        <w:rPr>
          <w:bCs/>
        </w:rPr>
        <w:t>рограммой.</w:t>
      </w:r>
      <w:proofErr w:type="gramEnd"/>
    </w:p>
    <w:p w:rsidR="006D1EB1" w:rsidRPr="00060075" w:rsidRDefault="006D1EB1" w:rsidP="006A6252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193F93" w:rsidRDefault="00193F93" w:rsidP="001061B8">
      <w:pPr>
        <w:jc w:val="center"/>
        <w:outlineLvl w:val="0"/>
        <w:rPr>
          <w:b/>
          <w:szCs w:val="24"/>
        </w:rPr>
      </w:pPr>
      <w:r>
        <w:rPr>
          <w:b/>
          <w:szCs w:val="24"/>
        </w:rPr>
        <w:t>4.6. Расходы по разделу 0700 «Образование».</w:t>
      </w:r>
    </w:p>
    <w:p w:rsidR="00193F93" w:rsidRDefault="00193F93" w:rsidP="00193F93">
      <w:pPr>
        <w:jc w:val="center"/>
        <w:rPr>
          <w:b/>
          <w:szCs w:val="24"/>
        </w:rPr>
      </w:pPr>
    </w:p>
    <w:p w:rsidR="000856EE" w:rsidRDefault="00193F93" w:rsidP="00193F93">
      <w:pPr>
        <w:ind w:firstLine="708"/>
        <w:jc w:val="both"/>
      </w:pPr>
      <w:r>
        <w:t>Уточненные бюджетные ассигнования на 20</w:t>
      </w:r>
      <w:r w:rsidR="00300008">
        <w:t>1</w:t>
      </w:r>
      <w:r w:rsidR="006350F4">
        <w:t>7</w:t>
      </w:r>
      <w:r>
        <w:t xml:space="preserve"> год по разделу </w:t>
      </w:r>
      <w:r w:rsidRPr="00226E91">
        <w:t>0</w:t>
      </w:r>
      <w:r>
        <w:t>7</w:t>
      </w:r>
      <w:r w:rsidRPr="00226E91">
        <w:t>00 «</w:t>
      </w:r>
      <w:r>
        <w:t>Образование</w:t>
      </w:r>
      <w:r w:rsidRPr="00226E91">
        <w:rPr>
          <w:szCs w:val="24"/>
        </w:rPr>
        <w:t>»</w:t>
      </w:r>
      <w:r>
        <w:rPr>
          <w:szCs w:val="24"/>
        </w:rPr>
        <w:t xml:space="preserve"> </w:t>
      </w:r>
      <w:r>
        <w:t xml:space="preserve">утверждены в размере </w:t>
      </w:r>
      <w:r w:rsidR="00FC2E96" w:rsidRPr="00FC2E96">
        <w:rPr>
          <w:bCs/>
          <w:szCs w:val="24"/>
        </w:rPr>
        <w:t>19016,5</w:t>
      </w:r>
      <w:r w:rsidR="00FC2E96">
        <w:rPr>
          <w:b/>
          <w:bCs/>
          <w:sz w:val="20"/>
        </w:rPr>
        <w:t xml:space="preserve"> </w:t>
      </w:r>
      <w:r>
        <w:t xml:space="preserve">млн. рублей. Фактическое исполнение расходов по разделу составило </w:t>
      </w:r>
      <w:r w:rsidR="00462AF9">
        <w:t xml:space="preserve"> </w:t>
      </w:r>
      <w:r w:rsidR="00FC2E96">
        <w:t>20677</w:t>
      </w:r>
      <w:r w:rsidR="00CE73A7">
        <w:t>,6</w:t>
      </w:r>
      <w:r w:rsidR="00FC2E96">
        <w:t xml:space="preserve"> </w:t>
      </w:r>
      <w:r>
        <w:t xml:space="preserve">млн. руб., или </w:t>
      </w:r>
      <w:r w:rsidR="00FC2E96">
        <w:t>108,7</w:t>
      </w:r>
      <w:r>
        <w:t>% от плана</w:t>
      </w:r>
      <w:r w:rsidR="0083081B">
        <w:t>, в том числе по ГРБС:</w:t>
      </w:r>
    </w:p>
    <w:p w:rsidR="006350F4" w:rsidRPr="00FC2E96" w:rsidRDefault="00FC2E96" w:rsidP="00FC2E96">
      <w:pPr>
        <w:jc w:val="right"/>
        <w:rPr>
          <w:sz w:val="20"/>
        </w:rPr>
      </w:pPr>
      <w:r w:rsidRPr="00FC2E96">
        <w:rPr>
          <w:sz w:val="20"/>
        </w:rPr>
        <w:t>млн. руб.</w:t>
      </w:r>
    </w:p>
    <w:tbl>
      <w:tblPr>
        <w:tblW w:w="9510" w:type="dxa"/>
        <w:tblInd w:w="96" w:type="dxa"/>
        <w:tblLayout w:type="fixed"/>
        <w:tblLook w:val="04A0"/>
      </w:tblPr>
      <w:tblGrid>
        <w:gridCol w:w="4123"/>
        <w:gridCol w:w="992"/>
        <w:gridCol w:w="993"/>
        <w:gridCol w:w="1134"/>
        <w:gridCol w:w="992"/>
        <w:gridCol w:w="1276"/>
      </w:tblGrid>
      <w:tr w:rsidR="00D77C22" w:rsidRPr="00D77C22" w:rsidTr="00FC2E96">
        <w:trPr>
          <w:trHeight w:val="20"/>
        </w:trPr>
        <w:tc>
          <w:tcPr>
            <w:tcW w:w="4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D77C22" w:rsidRPr="00D77C22" w:rsidRDefault="00D77C22" w:rsidP="00C449C1">
            <w:pPr>
              <w:jc w:val="center"/>
              <w:rPr>
                <w:b/>
                <w:i/>
                <w:iCs/>
                <w:sz w:val="20"/>
              </w:rPr>
            </w:pPr>
            <w:r w:rsidRPr="00D77C22">
              <w:rPr>
                <w:b/>
                <w:i/>
                <w:iCs/>
                <w:sz w:val="20"/>
              </w:rPr>
              <w:t>Наименование ГРБС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D77C22" w:rsidRPr="00D77C22" w:rsidRDefault="00D77C22" w:rsidP="00C449C1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D77C22">
              <w:rPr>
                <w:b/>
                <w:bCs/>
                <w:i/>
                <w:iCs/>
                <w:sz w:val="20"/>
              </w:rPr>
              <w:t>Образование</w:t>
            </w:r>
          </w:p>
        </w:tc>
      </w:tr>
      <w:tr w:rsidR="00D77C22" w:rsidRPr="00D77C22" w:rsidTr="001C376E">
        <w:trPr>
          <w:trHeight w:val="20"/>
        </w:trPr>
        <w:tc>
          <w:tcPr>
            <w:tcW w:w="4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D77C22" w:rsidRPr="00D77C22" w:rsidRDefault="00D77C22" w:rsidP="00C449C1">
            <w:pPr>
              <w:jc w:val="center"/>
              <w:rPr>
                <w:b/>
                <w:i/>
                <w:iCs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  <w:hideMark/>
          </w:tcPr>
          <w:p w:rsidR="00D77C22" w:rsidRPr="00D77C22" w:rsidRDefault="00D77C22" w:rsidP="00C449C1">
            <w:pPr>
              <w:jc w:val="center"/>
              <w:rPr>
                <w:b/>
                <w:i/>
                <w:iCs/>
                <w:sz w:val="20"/>
              </w:rPr>
            </w:pPr>
            <w:r w:rsidRPr="00D77C22">
              <w:rPr>
                <w:b/>
                <w:i/>
                <w:iCs/>
                <w:sz w:val="20"/>
              </w:rPr>
              <w:t>факт 2016</w:t>
            </w:r>
            <w:r w:rsidR="003C0D7D">
              <w:rPr>
                <w:b/>
                <w:i/>
                <w:iCs/>
                <w:sz w:val="20"/>
              </w:rPr>
              <w:t xml:space="preserve"> 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  <w:hideMark/>
          </w:tcPr>
          <w:p w:rsidR="00D77C22" w:rsidRPr="00D77C22" w:rsidRDefault="00D77C22" w:rsidP="00C449C1">
            <w:pPr>
              <w:jc w:val="center"/>
              <w:rPr>
                <w:b/>
                <w:i/>
                <w:iCs/>
                <w:sz w:val="20"/>
              </w:rPr>
            </w:pPr>
            <w:r w:rsidRPr="00D77C22">
              <w:rPr>
                <w:b/>
                <w:i/>
                <w:iCs/>
                <w:sz w:val="20"/>
              </w:rPr>
              <w:t>план 2017</w:t>
            </w:r>
            <w:r w:rsidR="003C0D7D">
              <w:rPr>
                <w:b/>
                <w:i/>
                <w:iCs/>
                <w:sz w:val="20"/>
              </w:rPr>
              <w:t xml:space="preserve">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  <w:hideMark/>
          </w:tcPr>
          <w:p w:rsidR="00D77C22" w:rsidRPr="00D77C22" w:rsidRDefault="00D77C22" w:rsidP="00C449C1">
            <w:pPr>
              <w:jc w:val="center"/>
              <w:rPr>
                <w:b/>
                <w:i/>
                <w:iCs/>
                <w:sz w:val="20"/>
              </w:rPr>
            </w:pPr>
            <w:r w:rsidRPr="00D77C22">
              <w:rPr>
                <w:b/>
                <w:i/>
                <w:iCs/>
                <w:sz w:val="20"/>
              </w:rPr>
              <w:t>факт 2017</w:t>
            </w:r>
            <w:r w:rsidR="003C0D7D">
              <w:rPr>
                <w:b/>
                <w:i/>
                <w:iCs/>
                <w:sz w:val="20"/>
              </w:rPr>
              <w:t>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D77C22" w:rsidRPr="00D77C22" w:rsidRDefault="00D77C22" w:rsidP="00D77C22">
            <w:pPr>
              <w:jc w:val="center"/>
              <w:rPr>
                <w:b/>
                <w:i/>
                <w:iCs/>
                <w:sz w:val="20"/>
              </w:rPr>
            </w:pPr>
            <w:r>
              <w:rPr>
                <w:b/>
                <w:i/>
                <w:iCs/>
                <w:sz w:val="20"/>
              </w:rPr>
              <w:t>исполнено</w:t>
            </w:r>
            <w:r w:rsidRPr="00D77C22">
              <w:rPr>
                <w:b/>
                <w:i/>
                <w:iCs/>
                <w:sz w:val="20"/>
              </w:rPr>
              <w:t>, 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D77C22" w:rsidRPr="00D77C22" w:rsidRDefault="00D77C22" w:rsidP="00D77C22">
            <w:pPr>
              <w:jc w:val="center"/>
              <w:rPr>
                <w:b/>
                <w:i/>
                <w:iCs/>
                <w:sz w:val="20"/>
              </w:rPr>
            </w:pPr>
            <w:r w:rsidRPr="00D77C22">
              <w:rPr>
                <w:b/>
                <w:i/>
                <w:iCs/>
                <w:sz w:val="20"/>
              </w:rPr>
              <w:t>сравнение с 2016 г</w:t>
            </w:r>
            <w:r>
              <w:rPr>
                <w:b/>
                <w:i/>
                <w:iCs/>
                <w:sz w:val="20"/>
              </w:rPr>
              <w:t>.</w:t>
            </w:r>
            <w:r w:rsidRPr="00D77C22">
              <w:rPr>
                <w:b/>
                <w:i/>
                <w:iCs/>
                <w:sz w:val="20"/>
              </w:rPr>
              <w:t>, %</w:t>
            </w:r>
          </w:p>
        </w:tc>
      </w:tr>
      <w:tr w:rsidR="00D77C22" w:rsidRPr="00D77C22" w:rsidTr="001C376E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C22" w:rsidRPr="00D77C22" w:rsidRDefault="00D77C22" w:rsidP="00C449C1">
            <w:pPr>
              <w:rPr>
                <w:sz w:val="20"/>
              </w:rPr>
            </w:pPr>
            <w:r w:rsidRPr="00D77C22">
              <w:rPr>
                <w:sz w:val="20"/>
              </w:rPr>
              <w:t>Волгоградская областная Дума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C22" w:rsidRPr="00D77C22" w:rsidRDefault="00D77C22" w:rsidP="00D77C22">
            <w:pPr>
              <w:jc w:val="center"/>
              <w:rPr>
                <w:sz w:val="20"/>
              </w:rPr>
            </w:pPr>
            <w:r w:rsidRPr="00D77C22">
              <w:rPr>
                <w:sz w:val="20"/>
              </w:rPr>
              <w:t>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C22" w:rsidRPr="00D77C22" w:rsidRDefault="00D77C22" w:rsidP="00D77C22">
            <w:pPr>
              <w:jc w:val="center"/>
              <w:rPr>
                <w:sz w:val="20"/>
              </w:rPr>
            </w:pPr>
            <w:r w:rsidRPr="00D77C22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C22" w:rsidRPr="00D77C22" w:rsidRDefault="00D77C22" w:rsidP="00D77C22">
            <w:pPr>
              <w:jc w:val="center"/>
              <w:rPr>
                <w:sz w:val="20"/>
              </w:rPr>
            </w:pPr>
            <w:r w:rsidRPr="00D77C22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C22" w:rsidRPr="00D77C22" w:rsidRDefault="00D77C22" w:rsidP="00D77C22">
            <w:pPr>
              <w:jc w:val="center"/>
              <w:rPr>
                <w:sz w:val="20"/>
              </w:rPr>
            </w:pPr>
            <w:proofErr w:type="spellStart"/>
            <w:r w:rsidRPr="00D77C22">
              <w:rPr>
                <w:sz w:val="20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C22" w:rsidRPr="00D77C22" w:rsidRDefault="00D77C22" w:rsidP="00D77C22">
            <w:pPr>
              <w:jc w:val="center"/>
              <w:rPr>
                <w:sz w:val="20"/>
              </w:rPr>
            </w:pPr>
            <w:r w:rsidRPr="00D77C22">
              <w:rPr>
                <w:sz w:val="20"/>
              </w:rPr>
              <w:t>0,0</w:t>
            </w:r>
          </w:p>
        </w:tc>
      </w:tr>
      <w:tr w:rsidR="00D77C22" w:rsidRPr="00D77C22" w:rsidTr="001C376E">
        <w:trPr>
          <w:trHeight w:val="20"/>
        </w:trPr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C22" w:rsidRPr="00D77C22" w:rsidRDefault="00D77C22" w:rsidP="00C449C1">
            <w:pPr>
              <w:rPr>
                <w:sz w:val="20"/>
              </w:rPr>
            </w:pPr>
            <w:r w:rsidRPr="00D77C22">
              <w:rPr>
                <w:sz w:val="20"/>
              </w:rPr>
              <w:t xml:space="preserve">Аппарат Губернатора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C22" w:rsidRPr="00D77C22" w:rsidRDefault="00D77C22" w:rsidP="00D77C22">
            <w:pPr>
              <w:jc w:val="center"/>
              <w:rPr>
                <w:sz w:val="20"/>
              </w:rPr>
            </w:pPr>
            <w:r w:rsidRPr="00D77C22">
              <w:rPr>
                <w:sz w:val="20"/>
              </w:rPr>
              <w:t>1,4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7C22" w:rsidRPr="00D77C22" w:rsidRDefault="00D77C22" w:rsidP="00D77C22">
            <w:pPr>
              <w:jc w:val="center"/>
              <w:rPr>
                <w:sz w:val="20"/>
              </w:rPr>
            </w:pPr>
            <w:r w:rsidRPr="00D77C22">
              <w:rPr>
                <w:sz w:val="20"/>
              </w:rPr>
              <w:t>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C22" w:rsidRPr="00D77C22" w:rsidRDefault="00D77C22" w:rsidP="00D77C22">
            <w:pPr>
              <w:jc w:val="center"/>
              <w:rPr>
                <w:sz w:val="20"/>
              </w:rPr>
            </w:pPr>
            <w:r w:rsidRPr="00D77C22">
              <w:rPr>
                <w:sz w:val="20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C22" w:rsidRPr="00D77C22" w:rsidRDefault="00D77C22" w:rsidP="00D77C22">
            <w:pPr>
              <w:jc w:val="center"/>
              <w:rPr>
                <w:sz w:val="20"/>
              </w:rPr>
            </w:pPr>
            <w:r w:rsidRPr="00D77C22">
              <w:rPr>
                <w:sz w:val="20"/>
              </w:rPr>
              <w:t>18,5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C22" w:rsidRPr="00D77C22" w:rsidRDefault="00D77C22" w:rsidP="00D77C22">
            <w:pPr>
              <w:jc w:val="center"/>
              <w:rPr>
                <w:sz w:val="20"/>
              </w:rPr>
            </w:pPr>
            <w:r w:rsidRPr="00D77C22">
              <w:rPr>
                <w:sz w:val="20"/>
              </w:rPr>
              <w:t>35,1</w:t>
            </w:r>
          </w:p>
        </w:tc>
      </w:tr>
      <w:tr w:rsidR="00D77C22" w:rsidRPr="00D77C22" w:rsidTr="001C376E">
        <w:trPr>
          <w:trHeight w:val="20"/>
        </w:trPr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C22" w:rsidRPr="00D77C22" w:rsidRDefault="00D77C22" w:rsidP="00C449C1">
            <w:pPr>
              <w:rPr>
                <w:sz w:val="20"/>
              </w:rPr>
            </w:pPr>
            <w:r w:rsidRPr="00D77C22">
              <w:rPr>
                <w:sz w:val="20"/>
              </w:rPr>
              <w:t xml:space="preserve">Комитет по обеспечению безопасности жизнедеятельности населения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C22" w:rsidRPr="00D77C22" w:rsidRDefault="00D77C22" w:rsidP="00D77C22">
            <w:pPr>
              <w:jc w:val="center"/>
              <w:rPr>
                <w:sz w:val="20"/>
              </w:rPr>
            </w:pPr>
            <w:r w:rsidRPr="00D77C22">
              <w:rPr>
                <w:sz w:val="20"/>
              </w:rPr>
              <w:t>12,6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7C22" w:rsidRPr="00D77C22" w:rsidRDefault="00D77C22" w:rsidP="00D77C22">
            <w:pPr>
              <w:jc w:val="center"/>
              <w:rPr>
                <w:sz w:val="20"/>
              </w:rPr>
            </w:pPr>
            <w:r w:rsidRPr="00D77C22">
              <w:rPr>
                <w:sz w:val="20"/>
              </w:rPr>
              <w:t>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C22" w:rsidRPr="00D77C22" w:rsidRDefault="00D77C22" w:rsidP="00D77C22">
            <w:pPr>
              <w:jc w:val="center"/>
              <w:rPr>
                <w:sz w:val="20"/>
              </w:rPr>
            </w:pPr>
            <w:r w:rsidRPr="00D77C22">
              <w:rPr>
                <w:sz w:val="20"/>
              </w:rPr>
              <w:t>11,1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C22" w:rsidRPr="00D77C22" w:rsidRDefault="00D77C22" w:rsidP="00D77C22">
            <w:pPr>
              <w:jc w:val="center"/>
              <w:rPr>
                <w:sz w:val="20"/>
              </w:rPr>
            </w:pPr>
            <w:r w:rsidRPr="00D77C22">
              <w:rPr>
                <w:sz w:val="20"/>
              </w:rPr>
              <w:t>114,5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C22" w:rsidRPr="00D77C22" w:rsidRDefault="00D77C22" w:rsidP="00D77C22">
            <w:pPr>
              <w:jc w:val="center"/>
              <w:rPr>
                <w:sz w:val="20"/>
              </w:rPr>
            </w:pPr>
            <w:r w:rsidRPr="00D77C22">
              <w:rPr>
                <w:sz w:val="20"/>
              </w:rPr>
              <w:t>88,2</w:t>
            </w:r>
          </w:p>
        </w:tc>
      </w:tr>
      <w:tr w:rsidR="00D77C22" w:rsidRPr="00D77C22" w:rsidTr="001C376E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C22" w:rsidRPr="00D77C22" w:rsidRDefault="00D77C22" w:rsidP="00C449C1">
            <w:pPr>
              <w:rPr>
                <w:sz w:val="20"/>
              </w:rPr>
            </w:pPr>
            <w:r w:rsidRPr="00D77C22">
              <w:rPr>
                <w:sz w:val="20"/>
              </w:rPr>
              <w:t xml:space="preserve">Комитет строительства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C22" w:rsidRPr="00D77C22" w:rsidRDefault="00D77C22" w:rsidP="00D77C22">
            <w:pPr>
              <w:jc w:val="center"/>
              <w:rPr>
                <w:sz w:val="20"/>
              </w:rPr>
            </w:pPr>
            <w:r w:rsidRPr="00D77C22">
              <w:rPr>
                <w:sz w:val="20"/>
              </w:rPr>
              <w:t>73,9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7C22" w:rsidRPr="00D77C22" w:rsidRDefault="00D77C22" w:rsidP="00D77C22">
            <w:pPr>
              <w:jc w:val="center"/>
              <w:rPr>
                <w:sz w:val="20"/>
              </w:rPr>
            </w:pPr>
            <w:r w:rsidRPr="00D77C22">
              <w:rPr>
                <w:sz w:val="20"/>
              </w:rPr>
              <w:t>1 446,8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C22" w:rsidRPr="00D77C22" w:rsidRDefault="00D77C22" w:rsidP="00D77C22">
            <w:pPr>
              <w:jc w:val="center"/>
              <w:rPr>
                <w:sz w:val="20"/>
              </w:rPr>
            </w:pPr>
            <w:r w:rsidRPr="00D77C22">
              <w:rPr>
                <w:sz w:val="20"/>
              </w:rPr>
              <w:t>1 230,7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C22" w:rsidRPr="00D77C22" w:rsidRDefault="00D77C22" w:rsidP="00D77C22">
            <w:pPr>
              <w:jc w:val="center"/>
              <w:rPr>
                <w:sz w:val="20"/>
              </w:rPr>
            </w:pPr>
            <w:r w:rsidRPr="00D77C22">
              <w:rPr>
                <w:sz w:val="20"/>
              </w:rPr>
              <w:t>85,1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C22" w:rsidRPr="00D77C22" w:rsidRDefault="00D77C22" w:rsidP="00D77C22">
            <w:pPr>
              <w:jc w:val="center"/>
              <w:rPr>
                <w:sz w:val="20"/>
              </w:rPr>
            </w:pPr>
            <w:r w:rsidRPr="00D77C22">
              <w:rPr>
                <w:sz w:val="20"/>
              </w:rPr>
              <w:t>1 664,5</w:t>
            </w:r>
          </w:p>
        </w:tc>
      </w:tr>
      <w:tr w:rsidR="00D77C22" w:rsidRPr="00D77C22" w:rsidTr="001C376E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C22" w:rsidRPr="00D77C22" w:rsidRDefault="00D77C22" w:rsidP="00C449C1">
            <w:pPr>
              <w:rPr>
                <w:sz w:val="20"/>
              </w:rPr>
            </w:pPr>
            <w:r w:rsidRPr="00D77C22">
              <w:rPr>
                <w:sz w:val="20"/>
              </w:rPr>
              <w:t xml:space="preserve">Комитет по делам национальностей и казачества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C22" w:rsidRPr="00D77C22" w:rsidRDefault="00D77C22" w:rsidP="00D77C22">
            <w:pPr>
              <w:jc w:val="center"/>
              <w:rPr>
                <w:sz w:val="20"/>
              </w:rPr>
            </w:pPr>
            <w:r w:rsidRPr="00D77C22">
              <w:rPr>
                <w:sz w:val="20"/>
              </w:rPr>
              <w:t>137,3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7C22" w:rsidRPr="00D77C22" w:rsidRDefault="00D77C22" w:rsidP="00D77C22">
            <w:pPr>
              <w:jc w:val="center"/>
              <w:rPr>
                <w:sz w:val="20"/>
              </w:rPr>
            </w:pPr>
            <w:r w:rsidRPr="00D77C22">
              <w:rPr>
                <w:sz w:val="20"/>
              </w:rPr>
              <w:t>115,3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C22" w:rsidRPr="00D77C22" w:rsidRDefault="00D77C22" w:rsidP="00D77C22">
            <w:pPr>
              <w:jc w:val="center"/>
              <w:rPr>
                <w:sz w:val="20"/>
              </w:rPr>
            </w:pPr>
            <w:r w:rsidRPr="00D77C22">
              <w:rPr>
                <w:sz w:val="20"/>
              </w:rPr>
              <w:t>126,7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C22" w:rsidRPr="00D77C22" w:rsidRDefault="00D77C22" w:rsidP="00D77C22">
            <w:pPr>
              <w:jc w:val="center"/>
              <w:rPr>
                <w:sz w:val="20"/>
              </w:rPr>
            </w:pPr>
            <w:r w:rsidRPr="00D77C22">
              <w:rPr>
                <w:sz w:val="20"/>
              </w:rPr>
              <w:t>109,9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C22" w:rsidRPr="00D77C22" w:rsidRDefault="00D77C22" w:rsidP="00D77C22">
            <w:pPr>
              <w:jc w:val="center"/>
              <w:rPr>
                <w:sz w:val="20"/>
              </w:rPr>
            </w:pPr>
            <w:r w:rsidRPr="00D77C22">
              <w:rPr>
                <w:sz w:val="20"/>
              </w:rPr>
              <w:t>92,3</w:t>
            </w:r>
          </w:p>
        </w:tc>
      </w:tr>
      <w:tr w:rsidR="00D77C22" w:rsidRPr="00D77C22" w:rsidTr="001C376E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C22" w:rsidRPr="00D77C22" w:rsidRDefault="00D77C22" w:rsidP="00C449C1">
            <w:pPr>
              <w:rPr>
                <w:sz w:val="20"/>
              </w:rPr>
            </w:pPr>
            <w:r w:rsidRPr="00D77C22">
              <w:rPr>
                <w:sz w:val="20"/>
              </w:rPr>
              <w:t xml:space="preserve">Комитет здравоохранения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C22" w:rsidRPr="00D77C22" w:rsidRDefault="00D77C22" w:rsidP="00D77C22">
            <w:pPr>
              <w:jc w:val="center"/>
              <w:rPr>
                <w:sz w:val="20"/>
              </w:rPr>
            </w:pPr>
            <w:r w:rsidRPr="00D77C22">
              <w:rPr>
                <w:sz w:val="20"/>
              </w:rPr>
              <w:t>168,1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7C22" w:rsidRPr="00D77C22" w:rsidRDefault="00D77C22" w:rsidP="00D77C22">
            <w:pPr>
              <w:jc w:val="center"/>
              <w:rPr>
                <w:sz w:val="20"/>
              </w:rPr>
            </w:pPr>
            <w:r w:rsidRPr="00D77C22">
              <w:rPr>
                <w:sz w:val="20"/>
              </w:rPr>
              <w:t>152,1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C22" w:rsidRPr="00D77C22" w:rsidRDefault="00D77C22" w:rsidP="00D77C22">
            <w:pPr>
              <w:jc w:val="center"/>
              <w:rPr>
                <w:sz w:val="20"/>
              </w:rPr>
            </w:pPr>
            <w:r w:rsidRPr="00D77C22">
              <w:rPr>
                <w:sz w:val="20"/>
              </w:rPr>
              <w:t>176,7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C22" w:rsidRPr="00D77C22" w:rsidRDefault="00D77C22" w:rsidP="00D77C22">
            <w:pPr>
              <w:jc w:val="center"/>
              <w:rPr>
                <w:sz w:val="20"/>
              </w:rPr>
            </w:pPr>
            <w:r w:rsidRPr="00D77C22">
              <w:rPr>
                <w:sz w:val="20"/>
              </w:rPr>
              <w:t>116,2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C22" w:rsidRPr="00D77C22" w:rsidRDefault="00D77C22" w:rsidP="00D77C22">
            <w:pPr>
              <w:jc w:val="center"/>
              <w:rPr>
                <w:sz w:val="20"/>
              </w:rPr>
            </w:pPr>
            <w:r w:rsidRPr="00D77C22">
              <w:rPr>
                <w:sz w:val="20"/>
              </w:rPr>
              <w:t>105,1</w:t>
            </w:r>
          </w:p>
        </w:tc>
      </w:tr>
      <w:tr w:rsidR="00D77C22" w:rsidRPr="00D77C22" w:rsidTr="001C376E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C22" w:rsidRPr="00D77C22" w:rsidRDefault="00D77C22" w:rsidP="00C449C1">
            <w:pPr>
              <w:rPr>
                <w:sz w:val="20"/>
              </w:rPr>
            </w:pPr>
            <w:r w:rsidRPr="00D77C22">
              <w:rPr>
                <w:sz w:val="20"/>
              </w:rPr>
              <w:t xml:space="preserve">Комитет культуры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C22" w:rsidRPr="00D77C22" w:rsidRDefault="00D77C22" w:rsidP="00D77C22">
            <w:pPr>
              <w:jc w:val="center"/>
              <w:rPr>
                <w:sz w:val="20"/>
              </w:rPr>
            </w:pPr>
            <w:r w:rsidRPr="00D77C22">
              <w:rPr>
                <w:sz w:val="20"/>
              </w:rPr>
              <w:t>132,0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7C22" w:rsidRPr="00D77C22" w:rsidRDefault="00D77C22" w:rsidP="00D77C22">
            <w:pPr>
              <w:jc w:val="center"/>
              <w:rPr>
                <w:sz w:val="20"/>
              </w:rPr>
            </w:pPr>
            <w:r w:rsidRPr="00D77C22">
              <w:rPr>
                <w:sz w:val="20"/>
              </w:rPr>
              <w:t>139,8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C22" w:rsidRPr="00D77C22" w:rsidRDefault="00D77C22" w:rsidP="00D77C22">
            <w:pPr>
              <w:jc w:val="center"/>
              <w:rPr>
                <w:sz w:val="20"/>
              </w:rPr>
            </w:pPr>
            <w:r w:rsidRPr="00D77C22">
              <w:rPr>
                <w:sz w:val="20"/>
              </w:rPr>
              <w:t>135,3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C22" w:rsidRPr="00D77C22" w:rsidRDefault="00D77C22" w:rsidP="00D77C22">
            <w:pPr>
              <w:jc w:val="center"/>
              <w:rPr>
                <w:sz w:val="20"/>
              </w:rPr>
            </w:pPr>
            <w:r w:rsidRPr="00D77C22">
              <w:rPr>
                <w:sz w:val="20"/>
              </w:rPr>
              <w:t>96,8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C22" w:rsidRPr="00D77C22" w:rsidRDefault="00D77C22" w:rsidP="00D77C22">
            <w:pPr>
              <w:jc w:val="center"/>
              <w:rPr>
                <w:sz w:val="20"/>
              </w:rPr>
            </w:pPr>
            <w:r w:rsidRPr="00D77C22">
              <w:rPr>
                <w:sz w:val="20"/>
              </w:rPr>
              <w:t>102,5</w:t>
            </w:r>
          </w:p>
        </w:tc>
      </w:tr>
      <w:tr w:rsidR="00D77C22" w:rsidRPr="00D77C22" w:rsidTr="001C376E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C22" w:rsidRPr="00D77C22" w:rsidRDefault="00D77C22" w:rsidP="00C449C1">
            <w:pPr>
              <w:rPr>
                <w:sz w:val="20"/>
              </w:rPr>
            </w:pPr>
            <w:r w:rsidRPr="00D77C22">
              <w:rPr>
                <w:sz w:val="20"/>
              </w:rPr>
              <w:t xml:space="preserve">Комитет образования и науки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C22" w:rsidRPr="00D77C22" w:rsidRDefault="00D77C22" w:rsidP="00D77C22">
            <w:pPr>
              <w:jc w:val="center"/>
              <w:rPr>
                <w:sz w:val="20"/>
              </w:rPr>
            </w:pPr>
            <w:r w:rsidRPr="00D77C22">
              <w:rPr>
                <w:sz w:val="20"/>
              </w:rPr>
              <w:t>18 785,7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7C22" w:rsidRPr="00D77C22" w:rsidRDefault="00D77C22" w:rsidP="00D77C22">
            <w:pPr>
              <w:jc w:val="center"/>
              <w:rPr>
                <w:sz w:val="20"/>
              </w:rPr>
            </w:pPr>
            <w:r w:rsidRPr="00D77C22">
              <w:rPr>
                <w:sz w:val="20"/>
              </w:rPr>
              <w:t>16 280,9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C22" w:rsidRPr="00D77C22" w:rsidRDefault="00D77C22" w:rsidP="00D77C22">
            <w:pPr>
              <w:jc w:val="center"/>
              <w:rPr>
                <w:sz w:val="20"/>
              </w:rPr>
            </w:pPr>
            <w:r w:rsidRPr="00D77C22">
              <w:rPr>
                <w:sz w:val="20"/>
              </w:rPr>
              <w:t>18 200,5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C22" w:rsidRPr="00D77C22" w:rsidRDefault="00D77C22" w:rsidP="00D77C22">
            <w:pPr>
              <w:jc w:val="center"/>
              <w:rPr>
                <w:sz w:val="20"/>
              </w:rPr>
            </w:pPr>
            <w:r w:rsidRPr="00D77C22">
              <w:rPr>
                <w:sz w:val="20"/>
              </w:rPr>
              <w:t>111,8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C22" w:rsidRPr="00D77C22" w:rsidRDefault="00D77C22" w:rsidP="00D77C22">
            <w:pPr>
              <w:jc w:val="center"/>
              <w:rPr>
                <w:sz w:val="20"/>
              </w:rPr>
            </w:pPr>
            <w:r w:rsidRPr="00D77C22">
              <w:rPr>
                <w:sz w:val="20"/>
              </w:rPr>
              <w:t>96,9</w:t>
            </w:r>
          </w:p>
        </w:tc>
      </w:tr>
      <w:tr w:rsidR="00D77C22" w:rsidRPr="00D77C22" w:rsidTr="001C376E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C22" w:rsidRPr="00D77C22" w:rsidRDefault="00D77C22" w:rsidP="00C449C1">
            <w:pPr>
              <w:rPr>
                <w:sz w:val="20"/>
              </w:rPr>
            </w:pPr>
            <w:r w:rsidRPr="00D77C22">
              <w:rPr>
                <w:sz w:val="20"/>
              </w:rPr>
              <w:t xml:space="preserve">Комитет сельского хозяйства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C22" w:rsidRPr="00D77C22" w:rsidRDefault="00D77C22" w:rsidP="00D77C22">
            <w:pPr>
              <w:jc w:val="center"/>
              <w:rPr>
                <w:sz w:val="20"/>
              </w:rPr>
            </w:pPr>
            <w:r w:rsidRPr="00D77C22">
              <w:rPr>
                <w:sz w:val="20"/>
              </w:rPr>
              <w:t>33,5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7C22" w:rsidRPr="00D77C22" w:rsidRDefault="00D77C22" w:rsidP="00D77C22">
            <w:pPr>
              <w:jc w:val="center"/>
              <w:rPr>
                <w:sz w:val="20"/>
              </w:rPr>
            </w:pPr>
            <w:r w:rsidRPr="00D77C22">
              <w:rPr>
                <w:sz w:val="20"/>
              </w:rPr>
              <w:t>75,8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C22" w:rsidRPr="00D77C22" w:rsidRDefault="00D77C22" w:rsidP="00D77C22">
            <w:pPr>
              <w:jc w:val="center"/>
              <w:rPr>
                <w:sz w:val="20"/>
              </w:rPr>
            </w:pPr>
            <w:r w:rsidRPr="00D77C22">
              <w:rPr>
                <w:sz w:val="20"/>
              </w:rPr>
              <w:t>75,8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C22" w:rsidRPr="00D77C22" w:rsidRDefault="00D77C22" w:rsidP="00D77C22">
            <w:pPr>
              <w:jc w:val="center"/>
              <w:rPr>
                <w:sz w:val="20"/>
              </w:rPr>
            </w:pPr>
            <w:r w:rsidRPr="00D77C22">
              <w:rPr>
                <w:sz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C22" w:rsidRPr="00D77C22" w:rsidRDefault="00D77C22" w:rsidP="00D77C22">
            <w:pPr>
              <w:jc w:val="center"/>
              <w:rPr>
                <w:sz w:val="20"/>
              </w:rPr>
            </w:pPr>
            <w:r w:rsidRPr="00D77C22">
              <w:rPr>
                <w:sz w:val="20"/>
              </w:rPr>
              <w:t>226,3</w:t>
            </w:r>
          </w:p>
        </w:tc>
      </w:tr>
      <w:tr w:rsidR="00D77C22" w:rsidRPr="00D77C22" w:rsidTr="001C376E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C22" w:rsidRPr="00D77C22" w:rsidRDefault="00D77C22" w:rsidP="00C449C1">
            <w:pPr>
              <w:rPr>
                <w:sz w:val="20"/>
              </w:rPr>
            </w:pPr>
            <w:r w:rsidRPr="00D77C22">
              <w:rPr>
                <w:sz w:val="20"/>
              </w:rPr>
              <w:t xml:space="preserve">Комитет по делам территориальных образований, внутренней и информационной политики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C22" w:rsidRPr="00D77C22" w:rsidRDefault="00D77C22" w:rsidP="00D77C22">
            <w:pPr>
              <w:jc w:val="center"/>
              <w:rPr>
                <w:sz w:val="20"/>
              </w:rPr>
            </w:pPr>
            <w:r w:rsidRPr="00D77C22">
              <w:rPr>
                <w:sz w:val="20"/>
              </w:rPr>
              <w:t>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C22" w:rsidRPr="00D77C22" w:rsidRDefault="00D77C22" w:rsidP="00D77C22">
            <w:pPr>
              <w:jc w:val="center"/>
              <w:rPr>
                <w:sz w:val="20"/>
              </w:rPr>
            </w:pPr>
            <w:r w:rsidRPr="00D77C22">
              <w:rPr>
                <w:sz w:val="20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C22" w:rsidRPr="00D77C22" w:rsidRDefault="00D77C22" w:rsidP="00D77C22">
            <w:pPr>
              <w:jc w:val="center"/>
              <w:rPr>
                <w:sz w:val="20"/>
              </w:rPr>
            </w:pPr>
            <w:r w:rsidRPr="00D77C22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C22" w:rsidRPr="00D77C22" w:rsidRDefault="00D77C22" w:rsidP="00D77C22">
            <w:pPr>
              <w:jc w:val="center"/>
              <w:rPr>
                <w:sz w:val="20"/>
              </w:rPr>
            </w:pPr>
            <w:r w:rsidRPr="00D77C22">
              <w:rPr>
                <w:sz w:val="20"/>
              </w:rPr>
              <w:t>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C22" w:rsidRPr="00D77C22" w:rsidRDefault="00D77C22" w:rsidP="00D77C22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х</w:t>
            </w:r>
            <w:proofErr w:type="spellEnd"/>
          </w:p>
        </w:tc>
      </w:tr>
      <w:tr w:rsidR="00D77C22" w:rsidRPr="00D77C22" w:rsidTr="00392C84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C22" w:rsidRPr="00D77C22" w:rsidRDefault="00D77C22" w:rsidP="00C449C1">
            <w:pPr>
              <w:rPr>
                <w:sz w:val="20"/>
              </w:rPr>
            </w:pPr>
            <w:r w:rsidRPr="00D77C22">
              <w:rPr>
                <w:sz w:val="20"/>
              </w:rPr>
              <w:t xml:space="preserve">Комитет информационной политики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C22" w:rsidRPr="00D77C22" w:rsidRDefault="00D77C22" w:rsidP="00D77C22">
            <w:pPr>
              <w:jc w:val="center"/>
              <w:rPr>
                <w:sz w:val="20"/>
              </w:rPr>
            </w:pPr>
            <w:r w:rsidRPr="00D77C22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C22" w:rsidRPr="00D77C22" w:rsidRDefault="00D77C22" w:rsidP="00D77C22">
            <w:pPr>
              <w:jc w:val="center"/>
              <w:rPr>
                <w:sz w:val="20"/>
              </w:rPr>
            </w:pPr>
            <w:r w:rsidRPr="00D77C22">
              <w:rPr>
                <w:sz w:val="20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C22" w:rsidRPr="00D77C22" w:rsidRDefault="00D77C22" w:rsidP="00D77C22">
            <w:pPr>
              <w:jc w:val="center"/>
              <w:rPr>
                <w:sz w:val="20"/>
              </w:rPr>
            </w:pPr>
            <w:r w:rsidRPr="00D77C22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C22" w:rsidRPr="00D77C22" w:rsidRDefault="00D77C22" w:rsidP="00D77C22">
            <w:pPr>
              <w:jc w:val="center"/>
              <w:rPr>
                <w:sz w:val="20"/>
              </w:rPr>
            </w:pPr>
            <w:r w:rsidRPr="00D77C22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C22" w:rsidRPr="00D77C22" w:rsidRDefault="0095080C" w:rsidP="00D77C22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х</w:t>
            </w:r>
            <w:proofErr w:type="spellEnd"/>
          </w:p>
        </w:tc>
      </w:tr>
      <w:tr w:rsidR="00D77C22" w:rsidRPr="00D77C22" w:rsidTr="00392C84">
        <w:trPr>
          <w:trHeight w:val="20"/>
        </w:trPr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C22" w:rsidRPr="00D77C22" w:rsidRDefault="00D77C22" w:rsidP="00C449C1">
            <w:pPr>
              <w:rPr>
                <w:sz w:val="20"/>
              </w:rPr>
            </w:pPr>
            <w:r w:rsidRPr="00D77C22">
              <w:rPr>
                <w:sz w:val="20"/>
              </w:rPr>
              <w:lastRenderedPageBreak/>
              <w:t xml:space="preserve">Комитет молодежной политики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C22" w:rsidRPr="00D77C22" w:rsidRDefault="00D77C22" w:rsidP="00D77C22">
            <w:pPr>
              <w:jc w:val="center"/>
              <w:rPr>
                <w:sz w:val="20"/>
              </w:rPr>
            </w:pPr>
            <w:r w:rsidRPr="00D77C22">
              <w:rPr>
                <w:sz w:val="20"/>
              </w:rPr>
              <w:t>441,8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7C22" w:rsidRPr="00D77C22" w:rsidRDefault="00D77C22" w:rsidP="00D77C22">
            <w:pPr>
              <w:jc w:val="center"/>
              <w:rPr>
                <w:sz w:val="20"/>
              </w:rPr>
            </w:pPr>
            <w:r w:rsidRPr="00D77C22">
              <w:rPr>
                <w:sz w:val="20"/>
              </w:rPr>
              <w:t>396,1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C22" w:rsidRPr="00D77C22" w:rsidRDefault="00D77C22" w:rsidP="00D77C22">
            <w:pPr>
              <w:jc w:val="center"/>
              <w:rPr>
                <w:sz w:val="20"/>
              </w:rPr>
            </w:pPr>
            <w:r w:rsidRPr="00D77C22">
              <w:rPr>
                <w:sz w:val="20"/>
              </w:rPr>
              <w:t>351,8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C22" w:rsidRPr="00D77C22" w:rsidRDefault="00D77C22" w:rsidP="00D77C22">
            <w:pPr>
              <w:jc w:val="center"/>
              <w:rPr>
                <w:sz w:val="20"/>
              </w:rPr>
            </w:pPr>
            <w:r w:rsidRPr="00D77C22">
              <w:rPr>
                <w:sz w:val="20"/>
              </w:rPr>
              <w:t>88,8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C22" w:rsidRPr="00D77C22" w:rsidRDefault="00D77C22" w:rsidP="00D77C22">
            <w:pPr>
              <w:jc w:val="center"/>
              <w:rPr>
                <w:sz w:val="20"/>
              </w:rPr>
            </w:pPr>
            <w:r w:rsidRPr="00D77C22">
              <w:rPr>
                <w:sz w:val="20"/>
              </w:rPr>
              <w:t>79,6</w:t>
            </w:r>
          </w:p>
        </w:tc>
      </w:tr>
      <w:tr w:rsidR="00D77C22" w:rsidRPr="00D77C22" w:rsidTr="001C376E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C22" w:rsidRPr="00D77C22" w:rsidRDefault="00D77C22" w:rsidP="00C449C1">
            <w:pPr>
              <w:rPr>
                <w:sz w:val="20"/>
              </w:rPr>
            </w:pPr>
            <w:r w:rsidRPr="00D77C22">
              <w:rPr>
                <w:sz w:val="20"/>
              </w:rPr>
              <w:t xml:space="preserve">Комитет физической культуры и спорта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C22" w:rsidRPr="00D77C22" w:rsidRDefault="00D77C22" w:rsidP="00D77C22">
            <w:pPr>
              <w:jc w:val="center"/>
              <w:rPr>
                <w:sz w:val="20"/>
              </w:rPr>
            </w:pPr>
            <w:r w:rsidRPr="00D77C22">
              <w:rPr>
                <w:sz w:val="20"/>
              </w:rPr>
              <w:t>272,8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7C22" w:rsidRPr="00D77C22" w:rsidRDefault="00D77C22" w:rsidP="00D77C22">
            <w:pPr>
              <w:jc w:val="center"/>
              <w:rPr>
                <w:sz w:val="20"/>
              </w:rPr>
            </w:pPr>
            <w:r w:rsidRPr="00D77C22">
              <w:rPr>
                <w:sz w:val="20"/>
              </w:rPr>
              <w:t>202,1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C22" w:rsidRPr="00D77C22" w:rsidRDefault="00D77C22" w:rsidP="00D77C22">
            <w:pPr>
              <w:jc w:val="center"/>
              <w:rPr>
                <w:sz w:val="20"/>
              </w:rPr>
            </w:pPr>
            <w:r w:rsidRPr="00D77C22">
              <w:rPr>
                <w:sz w:val="20"/>
              </w:rPr>
              <w:t>177,9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C22" w:rsidRPr="00D77C22" w:rsidRDefault="00D77C22" w:rsidP="00D77C22">
            <w:pPr>
              <w:jc w:val="center"/>
              <w:rPr>
                <w:sz w:val="20"/>
              </w:rPr>
            </w:pPr>
            <w:r w:rsidRPr="00D77C22">
              <w:rPr>
                <w:sz w:val="20"/>
              </w:rPr>
              <w:t>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C22" w:rsidRPr="00D77C22" w:rsidRDefault="00D77C22" w:rsidP="00D77C22">
            <w:pPr>
              <w:jc w:val="center"/>
              <w:rPr>
                <w:sz w:val="20"/>
              </w:rPr>
            </w:pPr>
            <w:r w:rsidRPr="00D77C22">
              <w:rPr>
                <w:sz w:val="20"/>
              </w:rPr>
              <w:t>65,2</w:t>
            </w:r>
          </w:p>
        </w:tc>
      </w:tr>
      <w:tr w:rsidR="00D77C22" w:rsidRPr="00D77C22" w:rsidTr="001C376E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C22" w:rsidRPr="00D77C22" w:rsidRDefault="00D77C22" w:rsidP="00C449C1">
            <w:pPr>
              <w:rPr>
                <w:sz w:val="20"/>
              </w:rPr>
            </w:pPr>
            <w:r w:rsidRPr="00D77C22">
              <w:rPr>
                <w:sz w:val="20"/>
              </w:rPr>
              <w:t xml:space="preserve">Комитет социальной защиты населения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C22" w:rsidRPr="00D77C22" w:rsidRDefault="00D77C22" w:rsidP="00D77C22">
            <w:pPr>
              <w:jc w:val="center"/>
              <w:rPr>
                <w:sz w:val="20"/>
              </w:rPr>
            </w:pPr>
            <w:r w:rsidRPr="00D77C22">
              <w:rPr>
                <w:sz w:val="20"/>
              </w:rPr>
              <w:t>175,8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7C22" w:rsidRPr="00D77C22" w:rsidRDefault="00D77C22" w:rsidP="00D77C22">
            <w:pPr>
              <w:jc w:val="center"/>
              <w:rPr>
                <w:sz w:val="20"/>
              </w:rPr>
            </w:pPr>
            <w:r w:rsidRPr="00D77C22">
              <w:rPr>
                <w:sz w:val="20"/>
              </w:rPr>
              <w:t>182,4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C22" w:rsidRPr="00D77C22" w:rsidRDefault="00D77C22" w:rsidP="00D77C22">
            <w:pPr>
              <w:jc w:val="center"/>
              <w:rPr>
                <w:sz w:val="20"/>
              </w:rPr>
            </w:pPr>
            <w:r w:rsidRPr="00D77C22">
              <w:rPr>
                <w:sz w:val="20"/>
              </w:rPr>
              <w:t>179,3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C22" w:rsidRPr="00D77C22" w:rsidRDefault="00D77C22" w:rsidP="00D77C22">
            <w:pPr>
              <w:jc w:val="center"/>
              <w:rPr>
                <w:sz w:val="20"/>
              </w:rPr>
            </w:pPr>
            <w:r w:rsidRPr="00D77C22">
              <w:rPr>
                <w:sz w:val="20"/>
              </w:rPr>
              <w:t>98,3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C22" w:rsidRPr="00D77C22" w:rsidRDefault="00D77C22" w:rsidP="00D77C22">
            <w:pPr>
              <w:jc w:val="center"/>
              <w:rPr>
                <w:sz w:val="20"/>
              </w:rPr>
            </w:pPr>
            <w:r w:rsidRPr="00D77C22">
              <w:rPr>
                <w:sz w:val="20"/>
              </w:rPr>
              <w:t>102,0</w:t>
            </w:r>
          </w:p>
        </w:tc>
      </w:tr>
      <w:tr w:rsidR="00D77C22" w:rsidRPr="00D77C22" w:rsidTr="001C376E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C22" w:rsidRPr="00D77C22" w:rsidRDefault="00D77C22" w:rsidP="00C449C1">
            <w:pPr>
              <w:rPr>
                <w:sz w:val="20"/>
              </w:rPr>
            </w:pPr>
            <w:r w:rsidRPr="00D77C22">
              <w:rPr>
                <w:sz w:val="20"/>
              </w:rPr>
              <w:t xml:space="preserve">Избирательная комиссия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C22" w:rsidRPr="00D77C22" w:rsidRDefault="00D77C22" w:rsidP="00D77C22">
            <w:pPr>
              <w:jc w:val="center"/>
              <w:rPr>
                <w:sz w:val="20"/>
              </w:rPr>
            </w:pPr>
            <w:r w:rsidRPr="00D77C22">
              <w:rPr>
                <w:sz w:val="20"/>
              </w:rPr>
              <w:t>0,02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7C22" w:rsidRPr="00D77C22" w:rsidRDefault="00D77C22" w:rsidP="00D77C22">
            <w:pPr>
              <w:jc w:val="center"/>
              <w:rPr>
                <w:sz w:val="20"/>
              </w:rPr>
            </w:pPr>
            <w:r w:rsidRPr="00D77C22">
              <w:rPr>
                <w:sz w:val="20"/>
              </w:rPr>
              <w:t>0,03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C22" w:rsidRPr="00D77C22" w:rsidRDefault="00D77C22" w:rsidP="00D77C22">
            <w:pPr>
              <w:jc w:val="center"/>
              <w:rPr>
                <w:sz w:val="20"/>
              </w:rPr>
            </w:pPr>
            <w:r w:rsidRPr="00D77C22">
              <w:rPr>
                <w:sz w:val="20"/>
              </w:rPr>
              <w:t>0,01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C22" w:rsidRPr="00D77C22" w:rsidRDefault="00D77C22" w:rsidP="00D77C22">
            <w:pPr>
              <w:jc w:val="center"/>
              <w:rPr>
                <w:sz w:val="20"/>
              </w:rPr>
            </w:pPr>
            <w:r w:rsidRPr="00D77C22">
              <w:rPr>
                <w:sz w:val="20"/>
              </w:rPr>
              <w:t>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C22" w:rsidRPr="00D77C22" w:rsidRDefault="00D77C22" w:rsidP="00D77C22">
            <w:pPr>
              <w:jc w:val="center"/>
              <w:rPr>
                <w:sz w:val="20"/>
              </w:rPr>
            </w:pPr>
            <w:r w:rsidRPr="00D77C22">
              <w:rPr>
                <w:sz w:val="20"/>
              </w:rPr>
              <w:t>22,7</w:t>
            </w:r>
          </w:p>
        </w:tc>
      </w:tr>
      <w:tr w:rsidR="00D77C22" w:rsidRPr="00D77C22" w:rsidTr="001C376E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C22" w:rsidRPr="00D77C22" w:rsidRDefault="00D77C22" w:rsidP="00C449C1">
            <w:pPr>
              <w:rPr>
                <w:sz w:val="20"/>
              </w:rPr>
            </w:pPr>
            <w:r w:rsidRPr="00D77C22">
              <w:rPr>
                <w:sz w:val="20"/>
              </w:rPr>
              <w:t xml:space="preserve">Контрольно-счетная палата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C22" w:rsidRPr="00D77C22" w:rsidRDefault="00D77C22" w:rsidP="00D77C22">
            <w:pPr>
              <w:jc w:val="center"/>
              <w:rPr>
                <w:sz w:val="20"/>
              </w:rPr>
            </w:pPr>
            <w:r w:rsidRPr="00D77C22">
              <w:rPr>
                <w:sz w:val="20"/>
              </w:rPr>
              <w:t>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C22" w:rsidRPr="00D77C22" w:rsidRDefault="00D77C22" w:rsidP="00D77C22">
            <w:pPr>
              <w:jc w:val="center"/>
              <w:rPr>
                <w:sz w:val="20"/>
              </w:rPr>
            </w:pPr>
            <w:r w:rsidRPr="00D77C22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C22" w:rsidRPr="00D77C22" w:rsidRDefault="00D77C22" w:rsidP="00D77C22">
            <w:pPr>
              <w:jc w:val="center"/>
              <w:rPr>
                <w:sz w:val="20"/>
              </w:rPr>
            </w:pPr>
            <w:r w:rsidRPr="00D77C22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C22" w:rsidRPr="00D77C22" w:rsidRDefault="00D77C22" w:rsidP="00D77C22">
            <w:pPr>
              <w:jc w:val="center"/>
              <w:rPr>
                <w:sz w:val="20"/>
              </w:rPr>
            </w:pPr>
            <w:proofErr w:type="spellStart"/>
            <w:r w:rsidRPr="00D77C22">
              <w:rPr>
                <w:sz w:val="20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C22" w:rsidRPr="00D77C22" w:rsidRDefault="00D77C22" w:rsidP="00D77C22">
            <w:pPr>
              <w:jc w:val="center"/>
              <w:rPr>
                <w:sz w:val="20"/>
              </w:rPr>
            </w:pPr>
            <w:r w:rsidRPr="00D77C22">
              <w:rPr>
                <w:sz w:val="20"/>
              </w:rPr>
              <w:t>0,0</w:t>
            </w:r>
          </w:p>
        </w:tc>
      </w:tr>
      <w:tr w:rsidR="00D77C22" w:rsidRPr="00D77C22" w:rsidTr="001C376E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C22" w:rsidRPr="00D77C22" w:rsidRDefault="00D77C22" w:rsidP="00C449C1">
            <w:pPr>
              <w:rPr>
                <w:sz w:val="20"/>
              </w:rPr>
            </w:pPr>
            <w:r w:rsidRPr="00D77C22">
              <w:rPr>
                <w:sz w:val="20"/>
              </w:rPr>
              <w:t xml:space="preserve">Комитет финансов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C22" w:rsidRPr="00D77C22" w:rsidRDefault="00D77C22" w:rsidP="00D77C22">
            <w:pPr>
              <w:jc w:val="center"/>
              <w:rPr>
                <w:sz w:val="20"/>
              </w:rPr>
            </w:pPr>
            <w:r w:rsidRPr="00D77C22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7C22" w:rsidRPr="00D77C22" w:rsidRDefault="00D77C22" w:rsidP="00D77C22">
            <w:pPr>
              <w:jc w:val="center"/>
              <w:rPr>
                <w:sz w:val="20"/>
              </w:rPr>
            </w:pPr>
            <w:r w:rsidRPr="00D77C22">
              <w:rPr>
                <w:sz w:val="20"/>
              </w:rPr>
              <w:t>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C22" w:rsidRPr="00D77C22" w:rsidRDefault="00D77C22" w:rsidP="00D77C22">
            <w:pPr>
              <w:jc w:val="center"/>
              <w:rPr>
                <w:sz w:val="20"/>
              </w:rPr>
            </w:pPr>
            <w:r w:rsidRPr="00D77C22">
              <w:rPr>
                <w:sz w:val="20"/>
              </w:rPr>
              <w:t>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C22" w:rsidRPr="00D77C22" w:rsidRDefault="00D77C22" w:rsidP="00D77C22">
            <w:pPr>
              <w:jc w:val="center"/>
              <w:rPr>
                <w:sz w:val="20"/>
              </w:rPr>
            </w:pPr>
            <w:r w:rsidRPr="00D77C22">
              <w:rPr>
                <w:sz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C22" w:rsidRPr="00D77C22" w:rsidRDefault="00D77C22" w:rsidP="00D77C22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х</w:t>
            </w:r>
            <w:proofErr w:type="spellEnd"/>
          </w:p>
        </w:tc>
      </w:tr>
      <w:tr w:rsidR="00D77C22" w:rsidRPr="00D77C22" w:rsidTr="001C376E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C22" w:rsidRPr="00D77C22" w:rsidRDefault="00D77C22" w:rsidP="00C449C1">
            <w:pPr>
              <w:rPr>
                <w:sz w:val="20"/>
              </w:rPr>
            </w:pPr>
            <w:r w:rsidRPr="00D77C22">
              <w:rPr>
                <w:sz w:val="20"/>
              </w:rPr>
              <w:t xml:space="preserve">Комитет экономической политики и развития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C22" w:rsidRPr="00D77C22" w:rsidRDefault="00D77C22" w:rsidP="00D77C22">
            <w:pPr>
              <w:jc w:val="center"/>
              <w:rPr>
                <w:sz w:val="20"/>
              </w:rPr>
            </w:pPr>
            <w:r w:rsidRPr="00D77C22">
              <w:rPr>
                <w:sz w:val="20"/>
              </w:rPr>
              <w:t>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7C22" w:rsidRPr="00D77C22" w:rsidRDefault="00D77C22" w:rsidP="00D77C22">
            <w:pPr>
              <w:jc w:val="center"/>
              <w:rPr>
                <w:sz w:val="20"/>
              </w:rPr>
            </w:pPr>
            <w:r w:rsidRPr="00D77C22">
              <w:rPr>
                <w:sz w:val="20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C22" w:rsidRPr="00D77C22" w:rsidRDefault="00D77C22" w:rsidP="00D77C22">
            <w:pPr>
              <w:jc w:val="center"/>
              <w:rPr>
                <w:sz w:val="20"/>
              </w:rPr>
            </w:pPr>
            <w:r w:rsidRPr="00D77C22">
              <w:rPr>
                <w:sz w:val="20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C22" w:rsidRPr="00D77C22" w:rsidRDefault="00D77C22" w:rsidP="00D77C22">
            <w:pPr>
              <w:jc w:val="center"/>
              <w:rPr>
                <w:sz w:val="20"/>
              </w:rPr>
            </w:pPr>
            <w:r w:rsidRPr="00D77C22">
              <w:rPr>
                <w:sz w:val="20"/>
              </w:rPr>
              <w:t>80,2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C22" w:rsidRPr="00D77C22" w:rsidRDefault="00D77C22" w:rsidP="00D77C22">
            <w:pPr>
              <w:jc w:val="center"/>
              <w:rPr>
                <w:sz w:val="20"/>
              </w:rPr>
            </w:pPr>
            <w:r w:rsidRPr="00D77C22">
              <w:rPr>
                <w:sz w:val="20"/>
              </w:rPr>
              <w:t>50,0</w:t>
            </w:r>
          </w:p>
        </w:tc>
      </w:tr>
      <w:tr w:rsidR="00D77C22" w:rsidRPr="00D77C22" w:rsidTr="001C376E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D77C22" w:rsidRPr="00D77C22" w:rsidRDefault="00D77C22" w:rsidP="00C449C1">
            <w:pPr>
              <w:rPr>
                <w:b/>
                <w:bCs/>
                <w:sz w:val="20"/>
              </w:rPr>
            </w:pPr>
            <w:r w:rsidRPr="00D77C22">
              <w:rPr>
                <w:b/>
                <w:bCs/>
                <w:sz w:val="20"/>
              </w:rPr>
              <w:t>ИТОГО: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hideMark/>
          </w:tcPr>
          <w:p w:rsidR="00D77C22" w:rsidRPr="00D77C22" w:rsidRDefault="00D77C22" w:rsidP="00D77C22">
            <w:pPr>
              <w:jc w:val="center"/>
              <w:rPr>
                <w:b/>
                <w:bCs/>
                <w:sz w:val="20"/>
              </w:rPr>
            </w:pPr>
            <w:r w:rsidRPr="00D77C22">
              <w:rPr>
                <w:b/>
                <w:bCs/>
                <w:sz w:val="20"/>
              </w:rPr>
              <w:t>20 239,8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hideMark/>
          </w:tcPr>
          <w:p w:rsidR="00D77C22" w:rsidRPr="00D77C22" w:rsidRDefault="00D77C22" w:rsidP="00D77C22">
            <w:pPr>
              <w:jc w:val="center"/>
              <w:rPr>
                <w:b/>
                <w:bCs/>
                <w:sz w:val="20"/>
              </w:rPr>
            </w:pPr>
            <w:r w:rsidRPr="00D77C22">
              <w:rPr>
                <w:b/>
                <w:bCs/>
                <w:sz w:val="20"/>
              </w:rPr>
              <w:t>19 016,5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hideMark/>
          </w:tcPr>
          <w:p w:rsidR="00D77C22" w:rsidRPr="00D77C22" w:rsidRDefault="00D77C22" w:rsidP="00D77C22">
            <w:pPr>
              <w:jc w:val="center"/>
              <w:rPr>
                <w:b/>
                <w:bCs/>
                <w:sz w:val="20"/>
              </w:rPr>
            </w:pPr>
            <w:r w:rsidRPr="00D77C22">
              <w:rPr>
                <w:b/>
                <w:bCs/>
                <w:sz w:val="20"/>
              </w:rPr>
              <w:t>20 677,6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hideMark/>
          </w:tcPr>
          <w:p w:rsidR="00D77C22" w:rsidRPr="00D77C22" w:rsidRDefault="00D77C22" w:rsidP="00D77C22">
            <w:pPr>
              <w:jc w:val="center"/>
              <w:rPr>
                <w:b/>
                <w:bCs/>
                <w:sz w:val="20"/>
              </w:rPr>
            </w:pPr>
            <w:r w:rsidRPr="00D77C22">
              <w:rPr>
                <w:b/>
                <w:bCs/>
                <w:sz w:val="20"/>
              </w:rPr>
              <w:t>108,7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hideMark/>
          </w:tcPr>
          <w:p w:rsidR="00D77C22" w:rsidRPr="00D77C22" w:rsidRDefault="00D77C22" w:rsidP="00D77C22">
            <w:pPr>
              <w:jc w:val="center"/>
              <w:rPr>
                <w:b/>
                <w:bCs/>
                <w:sz w:val="20"/>
              </w:rPr>
            </w:pPr>
            <w:r w:rsidRPr="00D77C22">
              <w:rPr>
                <w:b/>
                <w:bCs/>
                <w:sz w:val="20"/>
              </w:rPr>
              <w:t>102,2</w:t>
            </w:r>
          </w:p>
        </w:tc>
      </w:tr>
    </w:tbl>
    <w:p w:rsidR="00A264B7" w:rsidRDefault="00515212" w:rsidP="006350F4">
      <w:pPr>
        <w:jc w:val="both"/>
      </w:pPr>
      <w:r>
        <w:tab/>
      </w:r>
    </w:p>
    <w:p w:rsidR="006350F4" w:rsidRDefault="00A264B7" w:rsidP="006350F4">
      <w:pPr>
        <w:jc w:val="both"/>
      </w:pPr>
      <w:r>
        <w:tab/>
      </w:r>
      <w:r w:rsidR="008C1174">
        <w:t>Относительно предыдущего года расходы по разделу</w:t>
      </w:r>
      <w:r w:rsidR="00FC2E96">
        <w:t xml:space="preserve"> увеличились на 437,8 млн. руб., или на 2,2 процента.</w:t>
      </w:r>
    </w:p>
    <w:p w:rsidR="006350F4" w:rsidRDefault="006350F4" w:rsidP="006350F4">
      <w:pPr>
        <w:ind w:firstLine="708"/>
        <w:jc w:val="both"/>
      </w:pPr>
      <w:r>
        <w:t>При проведении внешних проверок бюджетной отчетности главных распорядителей средств областного бюджета, участвующих в данном разделе, установлены следующие нарушения законодательства и недостатки при использовании бюджетных средств.</w:t>
      </w:r>
    </w:p>
    <w:p w:rsidR="00ED5312" w:rsidRPr="00900680" w:rsidRDefault="00ED5312" w:rsidP="00ED5312">
      <w:pPr>
        <w:tabs>
          <w:tab w:val="left" w:pos="851"/>
        </w:tabs>
        <w:ind w:firstLine="709"/>
        <w:jc w:val="both"/>
      </w:pPr>
      <w:proofErr w:type="gramStart"/>
      <w:r>
        <w:t>В</w:t>
      </w:r>
      <w:r w:rsidRPr="00900680">
        <w:t xml:space="preserve"> результате недофинансирования </w:t>
      </w:r>
      <w:proofErr w:type="spellStart"/>
      <w:r w:rsidRPr="00900680">
        <w:t>Облфином</w:t>
      </w:r>
      <w:proofErr w:type="spellEnd"/>
      <w:r w:rsidRPr="00900680">
        <w:rPr>
          <w:b/>
        </w:rPr>
        <w:t xml:space="preserve"> </w:t>
      </w:r>
      <w:r w:rsidRPr="00ED5312">
        <w:rPr>
          <w:b/>
          <w:i/>
        </w:rPr>
        <w:t>комитета образования и науки Волгоградской области</w:t>
      </w:r>
      <w:r>
        <w:t xml:space="preserve"> </w:t>
      </w:r>
      <w:r w:rsidR="00851B7A">
        <w:t xml:space="preserve">(далее </w:t>
      </w:r>
      <w:proofErr w:type="spellStart"/>
      <w:r w:rsidR="00851B7A">
        <w:t>Облкомобразования</w:t>
      </w:r>
      <w:proofErr w:type="spellEnd"/>
      <w:r w:rsidR="00851B7A">
        <w:t xml:space="preserve">) </w:t>
      </w:r>
      <w:r w:rsidRPr="00900680">
        <w:t xml:space="preserve">на 31.12.2017 муниципальным образованиям не перечислена субвенция на образовательный процесс в сумме </w:t>
      </w:r>
      <w:r w:rsidRPr="00ED5312">
        <w:t>898</w:t>
      </w:r>
      <w:r>
        <w:t>,</w:t>
      </w:r>
      <w:r w:rsidRPr="00ED5312">
        <w:t>7</w:t>
      </w:r>
      <w:r w:rsidRPr="00900680">
        <w:rPr>
          <w:b/>
        </w:rPr>
        <w:t> </w:t>
      </w:r>
      <w:r w:rsidRPr="00ED5312">
        <w:t>млн</w:t>
      </w:r>
      <w:r w:rsidRPr="00900680">
        <w:t>. руб. (</w:t>
      </w:r>
      <w:r>
        <w:t>895</w:t>
      </w:r>
      <w:r w:rsidRPr="00900680">
        <w:t> </w:t>
      </w:r>
      <w:r>
        <w:t>млн</w:t>
      </w:r>
      <w:r w:rsidRPr="00900680">
        <w:t xml:space="preserve">. руб. </w:t>
      </w:r>
      <w:r>
        <w:t xml:space="preserve">- </w:t>
      </w:r>
      <w:r w:rsidRPr="00900680">
        <w:t>оплата налогов, 3</w:t>
      </w:r>
      <w:r>
        <w:t>,</w:t>
      </w:r>
      <w:r w:rsidRPr="00900680">
        <w:t>7 </w:t>
      </w:r>
      <w:r>
        <w:t>млн</w:t>
      </w:r>
      <w:r w:rsidRPr="00900680">
        <w:t xml:space="preserve">. руб. </w:t>
      </w:r>
      <w:r>
        <w:t xml:space="preserve">- </w:t>
      </w:r>
      <w:r w:rsidRPr="00900680">
        <w:t>оплата труда), что привело к начислению штрафов (пени) в соответствии с законодательством РФ за несвоевременную уплату налогов образовательными организациями.</w:t>
      </w:r>
      <w:proofErr w:type="gramEnd"/>
      <w:r w:rsidRPr="00900680">
        <w:t xml:space="preserve"> </w:t>
      </w:r>
      <w:proofErr w:type="gramStart"/>
      <w:r w:rsidRPr="00900680">
        <w:t xml:space="preserve">По информации органов местного самоуправления </w:t>
      </w:r>
      <w:r>
        <w:t xml:space="preserve">Волгоградской области </w:t>
      </w:r>
      <w:r w:rsidRPr="00900680">
        <w:t>по итогам 2017 года за счет средств местного бюджета оплачено штрафов (пени) на общую сумму 12</w:t>
      </w:r>
      <w:r>
        <w:t>,</w:t>
      </w:r>
      <w:r w:rsidRPr="00900680">
        <w:t>8 </w:t>
      </w:r>
      <w:r>
        <w:t>млн</w:t>
      </w:r>
      <w:r w:rsidRPr="00900680">
        <w:t xml:space="preserve">. руб., что не соответствует как законодательству РФ, так и </w:t>
      </w:r>
      <w:r>
        <w:t xml:space="preserve">законодательству </w:t>
      </w:r>
      <w:r w:rsidRPr="00900680">
        <w:t>Волгоградской области</w:t>
      </w:r>
      <w:r w:rsidR="00CE73A7">
        <w:t>,</w:t>
      </w:r>
      <w:r w:rsidRPr="00900680">
        <w:t xml:space="preserve"> и обуславливает необходимость установления порядка возмещения расходов</w:t>
      </w:r>
      <w:r w:rsidRPr="00900680">
        <w:rPr>
          <w:b/>
        </w:rPr>
        <w:t xml:space="preserve"> </w:t>
      </w:r>
      <w:r w:rsidRPr="00900680">
        <w:t xml:space="preserve">образовательных организаций на оплату штрафов (пени) за счет средств областного бюджета в случае несвоевременности финансирования </w:t>
      </w:r>
      <w:r>
        <w:t>субвенций</w:t>
      </w:r>
      <w:r w:rsidRPr="00900680">
        <w:t>.</w:t>
      </w:r>
      <w:proofErr w:type="gramEnd"/>
    </w:p>
    <w:p w:rsidR="00447587" w:rsidRPr="00900680" w:rsidRDefault="00447587" w:rsidP="00447587">
      <w:pPr>
        <w:ind w:firstLine="709"/>
        <w:jc w:val="both"/>
      </w:pPr>
      <w:r>
        <w:rPr>
          <w:color w:val="000000"/>
        </w:rPr>
        <w:t>В этой связи необходимо отметить, что п</w:t>
      </w:r>
      <w:r w:rsidRPr="00900680">
        <w:rPr>
          <w:color w:val="000000"/>
        </w:rPr>
        <w:t xml:space="preserve">о результатам </w:t>
      </w:r>
      <w:r w:rsidRPr="00447587">
        <w:t xml:space="preserve">внешней проверки бюджетной отчетности </w:t>
      </w:r>
      <w:proofErr w:type="spellStart"/>
      <w:r>
        <w:t>Облкомобразования</w:t>
      </w:r>
      <w:proofErr w:type="spellEnd"/>
      <w:r w:rsidRPr="00447587">
        <w:t xml:space="preserve"> </w:t>
      </w:r>
      <w:r w:rsidR="009C5447" w:rsidRPr="00447587">
        <w:t xml:space="preserve">за 2016 год </w:t>
      </w:r>
      <w:r w:rsidR="00CE73A7">
        <w:t>комитету</w:t>
      </w:r>
      <w:r w:rsidRPr="00900680">
        <w:t xml:space="preserve"> предл</w:t>
      </w:r>
      <w:r w:rsidR="009C5447">
        <w:t>агалось</w:t>
      </w:r>
      <w:r w:rsidRPr="00900680">
        <w:t xml:space="preserve"> с</w:t>
      </w:r>
      <w:r w:rsidRPr="00900680">
        <w:rPr>
          <w:color w:val="000000"/>
        </w:rPr>
        <w:t xml:space="preserve">овместно с </w:t>
      </w:r>
      <w:proofErr w:type="spellStart"/>
      <w:r w:rsidRPr="00900680">
        <w:rPr>
          <w:color w:val="000000"/>
        </w:rPr>
        <w:t>Облфином</w:t>
      </w:r>
      <w:proofErr w:type="spellEnd"/>
      <w:r w:rsidRPr="00900680">
        <w:rPr>
          <w:color w:val="000000"/>
        </w:rPr>
        <w:t xml:space="preserve"> проработать механизм</w:t>
      </w:r>
      <w:r w:rsidRPr="00900680">
        <w:rPr>
          <w:bCs/>
          <w:color w:val="000000"/>
        </w:rPr>
        <w:t xml:space="preserve"> </w:t>
      </w:r>
      <w:r w:rsidRPr="00900680">
        <w:rPr>
          <w:color w:val="000000"/>
        </w:rPr>
        <w:t>возмещения расходов</w:t>
      </w:r>
      <w:r w:rsidRPr="00900680">
        <w:rPr>
          <w:bCs/>
          <w:color w:val="000000"/>
        </w:rPr>
        <w:t xml:space="preserve"> </w:t>
      </w:r>
      <w:r w:rsidRPr="00900680">
        <w:rPr>
          <w:color w:val="000000"/>
        </w:rPr>
        <w:t>образовательных организаций на оплату штрафов (пени) за счет средств областного бюджета в случаях несвоевременности финансирования из областного бюджета.</w:t>
      </w:r>
    </w:p>
    <w:p w:rsidR="00447587" w:rsidRPr="00900680" w:rsidRDefault="00447587" w:rsidP="00447587">
      <w:pPr>
        <w:ind w:firstLine="709"/>
        <w:jc w:val="both"/>
      </w:pPr>
      <w:r w:rsidRPr="00900680">
        <w:t xml:space="preserve">По результатам рассмотрения предложения КСП </w:t>
      </w:r>
      <w:proofErr w:type="spellStart"/>
      <w:r w:rsidR="009C5447">
        <w:t>Облкомобразования</w:t>
      </w:r>
      <w:proofErr w:type="spellEnd"/>
      <w:r w:rsidR="009C5447" w:rsidRPr="00900680">
        <w:t xml:space="preserve"> </w:t>
      </w:r>
      <w:r w:rsidR="009C5447">
        <w:t>направлена в адрес</w:t>
      </w:r>
      <w:r w:rsidRPr="00900680">
        <w:t xml:space="preserve"> </w:t>
      </w:r>
      <w:proofErr w:type="spellStart"/>
      <w:r w:rsidRPr="00900680">
        <w:t>Облфина</w:t>
      </w:r>
      <w:proofErr w:type="spellEnd"/>
      <w:r w:rsidRPr="00900680">
        <w:t xml:space="preserve"> информация о суммах штрафов (пени), сложившихся за 2016-2017 годы</w:t>
      </w:r>
      <w:r w:rsidR="009C5447">
        <w:t>,</w:t>
      </w:r>
      <w:r w:rsidRPr="00900680">
        <w:t xml:space="preserve"> </w:t>
      </w:r>
      <w:r w:rsidR="009C5447">
        <w:t>в</w:t>
      </w:r>
      <w:r w:rsidRPr="00900680">
        <w:t xml:space="preserve"> </w:t>
      </w:r>
      <w:proofErr w:type="gramStart"/>
      <w:r w:rsidRPr="00900680">
        <w:t>связи</w:t>
      </w:r>
      <w:proofErr w:type="gramEnd"/>
      <w:r w:rsidRPr="00900680">
        <w:t xml:space="preserve"> с </w:t>
      </w:r>
      <w:r w:rsidR="009C5447">
        <w:t>чем</w:t>
      </w:r>
      <w:r w:rsidRPr="00900680">
        <w:t xml:space="preserve"> </w:t>
      </w:r>
      <w:proofErr w:type="spellStart"/>
      <w:r w:rsidRPr="00900680">
        <w:t>Облфином</w:t>
      </w:r>
      <w:proofErr w:type="spellEnd"/>
      <w:r w:rsidRPr="00900680">
        <w:t xml:space="preserve"> рассматривался вопрос о выделении в 2018 году дополнительной финансовой помощи </w:t>
      </w:r>
      <w:r w:rsidR="00CE73A7">
        <w:t xml:space="preserve">муниципальным образованиям </w:t>
      </w:r>
      <w:r w:rsidRPr="00900680">
        <w:t>в виде дотации на поддержку мер по обеспечению сбалансированности местных бюджетов. Информация, подтверждающая выделение</w:t>
      </w:r>
      <w:r w:rsidR="00FD44B2">
        <w:t xml:space="preserve"> в текущем году муниципальным образованиям</w:t>
      </w:r>
      <w:r w:rsidRPr="00900680">
        <w:t xml:space="preserve"> дополнительной финансовой помощи</w:t>
      </w:r>
      <w:r w:rsidR="00CE73A7">
        <w:t xml:space="preserve"> на указанные цели</w:t>
      </w:r>
      <w:r w:rsidRPr="00900680">
        <w:t xml:space="preserve">, </w:t>
      </w:r>
      <w:r w:rsidR="00CE73A7">
        <w:t>а также и</w:t>
      </w:r>
      <w:r w:rsidR="00CE73A7" w:rsidRPr="00900680">
        <w:t xml:space="preserve">нформация о </w:t>
      </w:r>
      <w:r w:rsidR="00CE73A7" w:rsidRPr="00900680">
        <w:rPr>
          <w:color w:val="000000"/>
        </w:rPr>
        <w:t>проработанном механизме</w:t>
      </w:r>
      <w:r w:rsidR="00CE73A7" w:rsidRPr="00900680">
        <w:rPr>
          <w:b/>
          <w:bCs/>
          <w:color w:val="000000"/>
        </w:rPr>
        <w:t xml:space="preserve"> </w:t>
      </w:r>
      <w:r w:rsidR="00CE73A7" w:rsidRPr="00900680">
        <w:rPr>
          <w:color w:val="000000"/>
        </w:rPr>
        <w:t>возмещения расходов</w:t>
      </w:r>
      <w:r w:rsidR="00CE73A7" w:rsidRPr="00900680">
        <w:rPr>
          <w:b/>
          <w:bCs/>
          <w:color w:val="000000"/>
        </w:rPr>
        <w:t xml:space="preserve"> </w:t>
      </w:r>
      <w:r w:rsidR="00CE73A7" w:rsidRPr="00900680">
        <w:rPr>
          <w:color w:val="000000"/>
        </w:rPr>
        <w:t xml:space="preserve">образовательных организаций на оплату штрафов </w:t>
      </w:r>
      <w:r w:rsidR="00CE73A7">
        <w:rPr>
          <w:color w:val="000000"/>
        </w:rPr>
        <w:t xml:space="preserve">и </w:t>
      </w:r>
      <w:r w:rsidR="00CE73A7" w:rsidRPr="00900680">
        <w:rPr>
          <w:color w:val="000000"/>
        </w:rPr>
        <w:t>пени за счет средств областного бюджета в случаях несвоевременности финансирования</w:t>
      </w:r>
      <w:r w:rsidR="00CE73A7">
        <w:rPr>
          <w:color w:val="000000"/>
        </w:rPr>
        <w:t xml:space="preserve"> </w:t>
      </w:r>
      <w:r w:rsidR="00CE73A7">
        <w:t xml:space="preserve">до настоящего момента в КСП </w:t>
      </w:r>
      <w:r w:rsidRPr="00900680">
        <w:t>не представлена.</w:t>
      </w:r>
      <w:r w:rsidR="00FD44B2">
        <w:t xml:space="preserve"> </w:t>
      </w:r>
    </w:p>
    <w:p w:rsidR="00CD283A" w:rsidRPr="00900680" w:rsidRDefault="00CD283A" w:rsidP="00CD283A">
      <w:pPr>
        <w:ind w:firstLine="709"/>
        <w:jc w:val="both"/>
        <w:outlineLvl w:val="0"/>
      </w:pPr>
      <w:r w:rsidRPr="00900680">
        <w:t xml:space="preserve">Кредиторская задолженность </w:t>
      </w:r>
      <w:proofErr w:type="spellStart"/>
      <w:r>
        <w:t>Облкомобразования</w:t>
      </w:r>
      <w:proofErr w:type="spellEnd"/>
      <w:r>
        <w:t xml:space="preserve"> </w:t>
      </w:r>
      <w:r w:rsidRPr="00900680">
        <w:t xml:space="preserve">на 31.12.2017 увеличилась в целом на </w:t>
      </w:r>
      <w:r w:rsidRPr="00900680">
        <w:rPr>
          <w:bCs/>
        </w:rPr>
        <w:t>231</w:t>
      </w:r>
      <w:r>
        <w:rPr>
          <w:bCs/>
        </w:rPr>
        <w:t>,9</w:t>
      </w:r>
      <w:r w:rsidRPr="00900680">
        <w:rPr>
          <w:bCs/>
        </w:rPr>
        <w:t> </w:t>
      </w:r>
      <w:r>
        <w:rPr>
          <w:bCs/>
        </w:rPr>
        <w:t>млн</w:t>
      </w:r>
      <w:r w:rsidRPr="00900680">
        <w:t>. руб.</w:t>
      </w:r>
      <w:r>
        <w:t xml:space="preserve">, или на </w:t>
      </w:r>
      <w:r w:rsidRPr="00900680">
        <w:rPr>
          <w:bCs/>
        </w:rPr>
        <w:t>77,1 </w:t>
      </w:r>
      <w:r w:rsidRPr="00900680">
        <w:t>%</w:t>
      </w:r>
      <w:r>
        <w:t>,</w:t>
      </w:r>
      <w:r w:rsidRPr="00900680">
        <w:t xml:space="preserve"> и составила </w:t>
      </w:r>
      <w:r w:rsidRPr="00900680">
        <w:rPr>
          <w:bCs/>
        </w:rPr>
        <w:t>532</w:t>
      </w:r>
      <w:r>
        <w:rPr>
          <w:bCs/>
        </w:rPr>
        <w:t>,</w:t>
      </w:r>
      <w:r w:rsidRPr="00900680">
        <w:rPr>
          <w:bCs/>
        </w:rPr>
        <w:t>5 </w:t>
      </w:r>
      <w:r>
        <w:rPr>
          <w:bCs/>
        </w:rPr>
        <w:t>млн</w:t>
      </w:r>
      <w:r w:rsidRPr="00900680">
        <w:t>. рублей. Основную долю кредиторской задолженности состав</w:t>
      </w:r>
      <w:r>
        <w:t>ила</w:t>
      </w:r>
      <w:r w:rsidRPr="00900680">
        <w:t xml:space="preserve"> задолженность по субсидии бюджетным и автономным учреждениям образования на выполнение государственного задания – 330 </w:t>
      </w:r>
      <w:r>
        <w:t>млн</w:t>
      </w:r>
      <w:r w:rsidRPr="00900680">
        <w:t>. руб.</w:t>
      </w:r>
      <w:r>
        <w:t>, или</w:t>
      </w:r>
      <w:r w:rsidRPr="00900680">
        <w:t xml:space="preserve"> 62% от общей суммы</w:t>
      </w:r>
      <w:r w:rsidR="00CE73A7">
        <w:t xml:space="preserve"> задолженности</w:t>
      </w:r>
      <w:r w:rsidRPr="00900680">
        <w:t xml:space="preserve">. </w:t>
      </w:r>
      <w:r>
        <w:t>При этом общая сумма к</w:t>
      </w:r>
      <w:r w:rsidRPr="00900680">
        <w:t>редиторск</w:t>
      </w:r>
      <w:r>
        <w:t>ой</w:t>
      </w:r>
      <w:r w:rsidRPr="00900680">
        <w:t xml:space="preserve"> задолженност</w:t>
      </w:r>
      <w:r>
        <w:t>и</w:t>
      </w:r>
      <w:r w:rsidRPr="00900680">
        <w:t xml:space="preserve"> (</w:t>
      </w:r>
      <w:r w:rsidRPr="00900680">
        <w:rPr>
          <w:bCs/>
        </w:rPr>
        <w:t>532</w:t>
      </w:r>
      <w:r>
        <w:rPr>
          <w:bCs/>
        </w:rPr>
        <w:t>,</w:t>
      </w:r>
      <w:r w:rsidRPr="00900680">
        <w:rPr>
          <w:bCs/>
        </w:rPr>
        <w:t>5</w:t>
      </w:r>
      <w:r w:rsidRPr="00900680">
        <w:t> </w:t>
      </w:r>
      <w:r>
        <w:t>млн</w:t>
      </w:r>
      <w:r w:rsidRPr="00900680">
        <w:t>. руб.) превысила разницу (317</w:t>
      </w:r>
      <w:r>
        <w:t>,7</w:t>
      </w:r>
      <w:r w:rsidRPr="00900680">
        <w:t> </w:t>
      </w:r>
      <w:r>
        <w:t>млн</w:t>
      </w:r>
      <w:r w:rsidRPr="00900680">
        <w:t>. руб.) между доведенными лимитами бюджетных обязательств (19742</w:t>
      </w:r>
      <w:r>
        <w:t>,</w:t>
      </w:r>
      <w:r w:rsidRPr="00900680">
        <w:t>6 </w:t>
      </w:r>
      <w:r>
        <w:t>млн</w:t>
      </w:r>
      <w:r w:rsidRPr="00900680">
        <w:t>. руб.) и кассовыми расходами (19424</w:t>
      </w:r>
      <w:r>
        <w:t>,</w:t>
      </w:r>
      <w:r w:rsidRPr="00900680">
        <w:t>9 </w:t>
      </w:r>
      <w:r>
        <w:t>млн</w:t>
      </w:r>
      <w:r w:rsidRPr="00900680">
        <w:t>. руб.), что обусловлено уменьшением лимитов бюджетных обязательств в ноябре-декабре 2017 года на 317</w:t>
      </w:r>
      <w:r>
        <w:t>,</w:t>
      </w:r>
      <w:r w:rsidRPr="00900680">
        <w:t>1 </w:t>
      </w:r>
      <w:r>
        <w:t>млн</w:t>
      </w:r>
      <w:r w:rsidRPr="00900680">
        <w:t>. рублей.</w:t>
      </w:r>
    </w:p>
    <w:p w:rsidR="0083542E" w:rsidRPr="00900680" w:rsidRDefault="0083542E" w:rsidP="0083542E">
      <w:pPr>
        <w:ind w:firstLine="709"/>
        <w:jc w:val="both"/>
        <w:rPr>
          <w:bCs/>
        </w:rPr>
      </w:pPr>
      <w:proofErr w:type="gramStart"/>
      <w:r w:rsidRPr="00900680">
        <w:rPr>
          <w:bCs/>
        </w:rPr>
        <w:t>В соответствии с отчетом о бюджетных обязательствах (ф. 0503128) в 2017 году казенными учреждениями</w:t>
      </w:r>
      <w:r>
        <w:rPr>
          <w:bCs/>
        </w:rPr>
        <w:t xml:space="preserve">, </w:t>
      </w:r>
      <w:r w:rsidRPr="00900680">
        <w:rPr>
          <w:bCs/>
        </w:rPr>
        <w:t>подведомственными</w:t>
      </w:r>
      <w:r>
        <w:rPr>
          <w:bCs/>
        </w:rPr>
        <w:t xml:space="preserve"> </w:t>
      </w:r>
      <w:proofErr w:type="spellStart"/>
      <w:r>
        <w:rPr>
          <w:bCs/>
        </w:rPr>
        <w:t>Облкомобразования</w:t>
      </w:r>
      <w:proofErr w:type="spellEnd"/>
      <w:r>
        <w:rPr>
          <w:bCs/>
        </w:rPr>
        <w:t>,</w:t>
      </w:r>
      <w:r w:rsidRPr="00900680">
        <w:rPr>
          <w:bCs/>
        </w:rPr>
        <w:t xml:space="preserve"> принято </w:t>
      </w:r>
      <w:r>
        <w:rPr>
          <w:bCs/>
        </w:rPr>
        <w:t xml:space="preserve">расходных </w:t>
      </w:r>
      <w:r w:rsidRPr="00900680">
        <w:rPr>
          <w:bCs/>
        </w:rPr>
        <w:t>обязательств в сумме 19935</w:t>
      </w:r>
      <w:r>
        <w:rPr>
          <w:bCs/>
        </w:rPr>
        <w:t>,8</w:t>
      </w:r>
      <w:r w:rsidRPr="00900680">
        <w:rPr>
          <w:bCs/>
        </w:rPr>
        <w:t> </w:t>
      </w:r>
      <w:r>
        <w:rPr>
          <w:bCs/>
        </w:rPr>
        <w:t>млн</w:t>
      </w:r>
      <w:r w:rsidRPr="00900680">
        <w:rPr>
          <w:bCs/>
        </w:rPr>
        <w:t>. руб., что на 193</w:t>
      </w:r>
      <w:r>
        <w:rPr>
          <w:bCs/>
        </w:rPr>
        <w:t>,2</w:t>
      </w:r>
      <w:r w:rsidRPr="00900680">
        <w:rPr>
          <w:bCs/>
        </w:rPr>
        <w:t> </w:t>
      </w:r>
      <w:r>
        <w:rPr>
          <w:bCs/>
        </w:rPr>
        <w:t>млн</w:t>
      </w:r>
      <w:r w:rsidRPr="00900680">
        <w:rPr>
          <w:bCs/>
        </w:rPr>
        <w:t xml:space="preserve">. руб. превышает доведенные </w:t>
      </w:r>
      <w:r w:rsidR="00CE727B">
        <w:rPr>
          <w:bCs/>
        </w:rPr>
        <w:t xml:space="preserve">им </w:t>
      </w:r>
      <w:r w:rsidRPr="00900680">
        <w:rPr>
          <w:bCs/>
        </w:rPr>
        <w:lastRenderedPageBreak/>
        <w:t>лимиты бюджетных обязательств (19742</w:t>
      </w:r>
      <w:r w:rsidR="00CE727B">
        <w:rPr>
          <w:bCs/>
        </w:rPr>
        <w:t>,</w:t>
      </w:r>
      <w:r w:rsidRPr="00900680">
        <w:rPr>
          <w:bCs/>
        </w:rPr>
        <w:t>6 </w:t>
      </w:r>
      <w:r w:rsidR="00CE727B">
        <w:rPr>
          <w:bCs/>
        </w:rPr>
        <w:t>млн</w:t>
      </w:r>
      <w:r w:rsidRPr="00900680">
        <w:rPr>
          <w:bCs/>
        </w:rPr>
        <w:t>. руб.) и, следовательно, привело к нарушению п</w:t>
      </w:r>
      <w:r w:rsidR="00CE727B">
        <w:rPr>
          <w:bCs/>
        </w:rPr>
        <w:t>ункта</w:t>
      </w:r>
      <w:r w:rsidRPr="00900680">
        <w:rPr>
          <w:bCs/>
        </w:rPr>
        <w:t> 3 ст</w:t>
      </w:r>
      <w:r w:rsidR="00CE727B">
        <w:rPr>
          <w:bCs/>
        </w:rPr>
        <w:t>атьи</w:t>
      </w:r>
      <w:r w:rsidRPr="00900680">
        <w:rPr>
          <w:bCs/>
        </w:rPr>
        <w:t> 219 БК РФ, которым установлено, что п</w:t>
      </w:r>
      <w:r w:rsidRPr="00900680">
        <w:t>олучатель бюджетных средств принимает бюджетные обязательства в пределах</w:t>
      </w:r>
      <w:proofErr w:type="gramEnd"/>
      <w:r w:rsidRPr="00900680">
        <w:t xml:space="preserve"> доведенных до него лимитов бюджетных обязательств.</w:t>
      </w:r>
    </w:p>
    <w:p w:rsidR="0083542E" w:rsidRPr="00900680" w:rsidRDefault="0083542E" w:rsidP="0083542E">
      <w:pPr>
        <w:ind w:firstLine="720"/>
        <w:jc w:val="both"/>
        <w:rPr>
          <w:bCs/>
        </w:rPr>
      </w:pPr>
      <w:proofErr w:type="gramStart"/>
      <w:r w:rsidRPr="00900680">
        <w:t xml:space="preserve">Основной причиной превышения лимитов бюджетных обязательств является уменьшение в конце 2017 года </w:t>
      </w:r>
      <w:proofErr w:type="spellStart"/>
      <w:r w:rsidRPr="00900680">
        <w:t>Облфином</w:t>
      </w:r>
      <w:proofErr w:type="spellEnd"/>
      <w:r w:rsidRPr="00900680">
        <w:t xml:space="preserve"> ранее доведенных лимитов бюджетных обязательств на финансирование деятельности подведомственных </w:t>
      </w:r>
      <w:r w:rsidR="00CE727B">
        <w:t xml:space="preserve">комитету казенных </w:t>
      </w:r>
      <w:r w:rsidRPr="00900680">
        <w:t>учреждений, в т</w:t>
      </w:r>
      <w:r w:rsidR="00CE727B">
        <w:t xml:space="preserve">ом </w:t>
      </w:r>
      <w:r w:rsidRPr="00900680">
        <w:t>ч</w:t>
      </w:r>
      <w:r w:rsidR="00CE727B">
        <w:t>исле</w:t>
      </w:r>
      <w:r w:rsidRPr="00900680">
        <w:t xml:space="preserve"> по начисленной заработной плате, заключенным договорам с поставщиками и т.</w:t>
      </w:r>
      <w:r w:rsidR="00CE727B">
        <w:t xml:space="preserve"> </w:t>
      </w:r>
      <w:r w:rsidRPr="00900680">
        <w:t>д.</w:t>
      </w:r>
      <w:r w:rsidR="00CE727B">
        <w:t xml:space="preserve"> </w:t>
      </w:r>
      <w:r w:rsidRPr="00900680">
        <w:t xml:space="preserve">Комитетом направлялись </w:t>
      </w:r>
      <w:r w:rsidR="00CE727B" w:rsidRPr="00900680">
        <w:t xml:space="preserve">в адрес </w:t>
      </w:r>
      <w:proofErr w:type="spellStart"/>
      <w:r w:rsidR="00CE727B" w:rsidRPr="00900680">
        <w:t>Облфина</w:t>
      </w:r>
      <w:proofErr w:type="spellEnd"/>
      <w:r w:rsidR="00CE727B" w:rsidRPr="00900680">
        <w:t xml:space="preserve"> </w:t>
      </w:r>
      <w:r w:rsidRPr="00900680">
        <w:t>письма с пр</w:t>
      </w:r>
      <w:r w:rsidR="00CE727B">
        <w:t>едложением</w:t>
      </w:r>
      <w:r w:rsidRPr="00900680">
        <w:t xml:space="preserve"> увеличить лимиты бюджетных обязательств по кодам операций сектора государственного управления, по которым допущено</w:t>
      </w:r>
      <w:proofErr w:type="gramEnd"/>
      <w:r w:rsidRPr="00900680">
        <w:t xml:space="preserve"> превышение лимитов. Однако они остались без исполнения</w:t>
      </w:r>
      <w:r w:rsidRPr="00900680">
        <w:rPr>
          <w:bCs/>
        </w:rPr>
        <w:t xml:space="preserve">. </w:t>
      </w:r>
      <w:r w:rsidR="00CE727B">
        <w:rPr>
          <w:bCs/>
        </w:rPr>
        <w:t>На основании этого КСП считает, что</w:t>
      </w:r>
      <w:r w:rsidRPr="00900680">
        <w:rPr>
          <w:bCs/>
        </w:rPr>
        <w:t xml:space="preserve"> основания </w:t>
      </w:r>
      <w:r w:rsidR="00CE727B">
        <w:rPr>
          <w:bCs/>
        </w:rPr>
        <w:t xml:space="preserve">для </w:t>
      </w:r>
      <w:r w:rsidRPr="00900680">
        <w:rPr>
          <w:bCs/>
        </w:rPr>
        <w:t xml:space="preserve">применения мер административной ответственности к </w:t>
      </w:r>
      <w:r w:rsidR="000B11E2">
        <w:rPr>
          <w:bCs/>
        </w:rPr>
        <w:t>К</w:t>
      </w:r>
      <w:r w:rsidR="00CE727B">
        <w:rPr>
          <w:bCs/>
        </w:rPr>
        <w:t>омитету</w:t>
      </w:r>
      <w:r w:rsidRPr="00900680">
        <w:rPr>
          <w:bCs/>
        </w:rPr>
        <w:t xml:space="preserve"> по вышеуказанным фактам</w:t>
      </w:r>
      <w:r w:rsidRPr="00900680">
        <w:t xml:space="preserve"> отсутствуют.</w:t>
      </w:r>
    </w:p>
    <w:p w:rsidR="00851B7A" w:rsidRPr="00900680" w:rsidRDefault="00851B7A" w:rsidP="00851B7A">
      <w:pPr>
        <w:ind w:firstLine="709"/>
        <w:jc w:val="both"/>
      </w:pPr>
      <w:r>
        <w:t xml:space="preserve">В ходе внешней проверки бюджетной отчетности </w:t>
      </w:r>
      <w:proofErr w:type="spellStart"/>
      <w:r>
        <w:t>Облкомобразования</w:t>
      </w:r>
      <w:proofErr w:type="spellEnd"/>
      <w:r w:rsidRPr="00851B7A">
        <w:t xml:space="preserve"> </w:t>
      </w:r>
      <w:r>
        <w:t xml:space="preserve">сотрудниками КСП </w:t>
      </w:r>
      <w:r w:rsidR="00FD4811">
        <w:t xml:space="preserve">также </w:t>
      </w:r>
      <w:r>
        <w:t>проведен а</w:t>
      </w:r>
      <w:r w:rsidRPr="00851B7A">
        <w:t>нализ контрольных цифр приема в учреждения среднего профессионального образования</w:t>
      </w:r>
      <w:r>
        <w:t xml:space="preserve"> на 2018-2019 учебны</w:t>
      </w:r>
      <w:r w:rsidR="00872161">
        <w:t>й</w:t>
      </w:r>
      <w:r>
        <w:t xml:space="preserve"> год. Соответствующие рекомендации были даны комитету по результатам </w:t>
      </w:r>
      <w:r w:rsidRPr="00900680">
        <w:t>анализа профессионального образования Волгоградской области</w:t>
      </w:r>
      <w:r>
        <w:t xml:space="preserve"> с точки зрения имеющейся потребности в квалифицированных кадрах отраслей экономики региона, проведенного палатой еще в 2015 году.</w:t>
      </w:r>
      <w:r w:rsidRPr="00900680">
        <w:t xml:space="preserve"> </w:t>
      </w:r>
      <w:r>
        <w:t>Настоящий анализ показал, что</w:t>
      </w:r>
      <w:r w:rsidRPr="00900680">
        <w:t xml:space="preserve"> объемы контрольных цифр приема </w:t>
      </w:r>
      <w:r>
        <w:t>на 2018-</w:t>
      </w:r>
      <w:r w:rsidRPr="00900680">
        <w:t>2019 учебны</w:t>
      </w:r>
      <w:r w:rsidR="00872161">
        <w:t>й</w:t>
      </w:r>
      <w:r w:rsidRPr="00900680">
        <w:t xml:space="preserve"> год (далее КЦП) </w:t>
      </w:r>
      <w:r>
        <w:t xml:space="preserve">по-прежнему </w:t>
      </w:r>
      <w:r w:rsidRPr="00900680">
        <w:t>не отражают реальную потребность экономики Волгоградской области в рабочих и специалистах.</w:t>
      </w:r>
    </w:p>
    <w:p w:rsidR="00851B7A" w:rsidRPr="00900680" w:rsidRDefault="00851B7A" w:rsidP="00851B7A">
      <w:pPr>
        <w:ind w:firstLine="709"/>
        <w:jc w:val="both"/>
      </w:pPr>
      <w:r w:rsidRPr="00900680">
        <w:t xml:space="preserve">Так, </w:t>
      </w:r>
      <w:r>
        <w:t xml:space="preserve">КЦП </w:t>
      </w:r>
      <w:r w:rsidRPr="00900680">
        <w:t>утверждены</w:t>
      </w:r>
      <w:r>
        <w:t xml:space="preserve"> </w:t>
      </w:r>
      <w:r w:rsidRPr="00900680">
        <w:t xml:space="preserve">на 8272 мест, что меньше прогноза потребностей регионального рынка труда в рабочих и специалистах на 2021 год (далее Прогноз) (наиболее распространенный срок обучения </w:t>
      </w:r>
      <w:r w:rsidR="00872161">
        <w:t xml:space="preserve">- </w:t>
      </w:r>
      <w:r w:rsidRPr="00900680">
        <w:t>2 года</w:t>
      </w:r>
      <w:r w:rsidR="00872161">
        <w:t xml:space="preserve"> и</w:t>
      </w:r>
      <w:r w:rsidRPr="00900680">
        <w:t xml:space="preserve"> 10 месяцев) на 3528 мест.</w:t>
      </w:r>
    </w:p>
    <w:p w:rsidR="00851B7A" w:rsidRPr="00900680" w:rsidRDefault="00851B7A" w:rsidP="00851B7A">
      <w:pPr>
        <w:ind w:firstLine="709"/>
        <w:jc w:val="both"/>
      </w:pPr>
      <w:proofErr w:type="gramStart"/>
      <w:r w:rsidRPr="00900680">
        <w:t>Вместе с тем проверкой установлено несоответствие ст</w:t>
      </w:r>
      <w:r w:rsidR="00872161">
        <w:t xml:space="preserve">руктуры утвержденных КЦП </w:t>
      </w:r>
      <w:r w:rsidRPr="00900680">
        <w:t>Прогнозу по отдельным специальностям (профессиям), в т</w:t>
      </w:r>
      <w:r w:rsidR="00872161">
        <w:t xml:space="preserve">ом </w:t>
      </w:r>
      <w:r w:rsidRPr="00900680">
        <w:t>ч</w:t>
      </w:r>
      <w:r w:rsidR="00872161">
        <w:t>исле</w:t>
      </w:r>
      <w:r w:rsidRPr="00900680">
        <w:t xml:space="preserve"> из 50 наиболее востребованных на рынке труда).</w:t>
      </w:r>
      <w:proofErr w:type="gramEnd"/>
      <w:r w:rsidRPr="00900680">
        <w:t xml:space="preserve"> Так, из 27 проанализированных специальностей (профессий) по 12 утвержденные значения КЦП превышают потребность экономики Волгоградской области, в т</w:t>
      </w:r>
      <w:r w:rsidR="00872161">
        <w:t xml:space="preserve">ом </w:t>
      </w:r>
      <w:r w:rsidRPr="00900680">
        <w:t>ч</w:t>
      </w:r>
      <w:r w:rsidR="00872161">
        <w:t>исле</w:t>
      </w:r>
      <w:r w:rsidRPr="00900680">
        <w:t xml:space="preserve"> по 7 из числа 50 наиболее востребованных.</w:t>
      </w:r>
    </w:p>
    <w:p w:rsidR="00E616FA" w:rsidRDefault="00872161" w:rsidP="00E616F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t>Согласно</w:t>
      </w:r>
      <w:r w:rsidR="00851B7A" w:rsidRPr="00900680">
        <w:t xml:space="preserve"> ответ</w:t>
      </w:r>
      <w:r>
        <w:t>у</w:t>
      </w:r>
      <w:r w:rsidR="00851B7A" w:rsidRPr="00900680">
        <w:t xml:space="preserve"> </w:t>
      </w:r>
      <w:proofErr w:type="spellStart"/>
      <w:r>
        <w:t>Облкомобразования</w:t>
      </w:r>
      <w:proofErr w:type="spellEnd"/>
      <w:r w:rsidR="00851B7A" w:rsidRPr="00900680">
        <w:t xml:space="preserve"> от 07.08.2017 № И-06/9912 работа по приближению структуры КЦП к прогнозу потребностей регионального рынка труда с учетом новых федеральных образовательных стандартов по 50 наиболее востребованным на рынке труда профессиям</w:t>
      </w:r>
      <w:r>
        <w:t xml:space="preserve"> </w:t>
      </w:r>
      <w:r w:rsidRPr="00900680">
        <w:t>продолжается</w:t>
      </w:r>
      <w:r w:rsidR="00851B7A" w:rsidRPr="00900680">
        <w:t xml:space="preserve">. </w:t>
      </w:r>
      <w:r>
        <w:t>Рекомендации</w:t>
      </w:r>
      <w:r w:rsidR="00851B7A" w:rsidRPr="00900680">
        <w:rPr>
          <w:rFonts w:eastAsia="Calibri"/>
          <w:lang w:eastAsia="en-US"/>
        </w:rPr>
        <w:t xml:space="preserve"> КСП </w:t>
      </w:r>
      <w:r w:rsidR="00851B7A" w:rsidRPr="00900680">
        <w:t xml:space="preserve">Комитет планирует исполнить после внесения изменений в </w:t>
      </w:r>
      <w:r>
        <w:t>М</w:t>
      </w:r>
      <w:r w:rsidR="00851B7A" w:rsidRPr="00900680">
        <w:t xml:space="preserve">етодику определения кадровой политики Министерства труда России </w:t>
      </w:r>
      <w:r w:rsidR="00851B7A" w:rsidRPr="00900680">
        <w:rPr>
          <w:rFonts w:eastAsia="Calibri"/>
          <w:lang w:eastAsia="en-US"/>
        </w:rPr>
        <w:t>в части расчета на среднесрочную и долгосрочную перспективу потребности экономики в профессиональных кадрах.</w:t>
      </w:r>
    </w:p>
    <w:p w:rsidR="00E616FA" w:rsidRPr="007038EA" w:rsidRDefault="00E616FA" w:rsidP="00E616F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proofErr w:type="gramStart"/>
      <w:r>
        <w:rPr>
          <w:rFonts w:eastAsia="Calibri"/>
          <w:lang w:eastAsia="en-US"/>
        </w:rPr>
        <w:t xml:space="preserve">При проверке </w:t>
      </w:r>
      <w:r w:rsidRPr="00E616FA">
        <w:rPr>
          <w:rFonts w:eastAsia="Calibri"/>
          <w:b/>
          <w:i/>
          <w:lang w:eastAsia="en-US"/>
        </w:rPr>
        <w:t>комитета строительства Волгоградской области</w:t>
      </w:r>
      <w:r>
        <w:rPr>
          <w:rFonts w:eastAsia="Calibri"/>
          <w:lang w:eastAsia="en-US"/>
        </w:rPr>
        <w:t xml:space="preserve"> установлено, что </w:t>
      </w:r>
      <w:r w:rsidR="00937546">
        <w:rPr>
          <w:rFonts w:eastAsia="Calibri"/>
          <w:lang w:eastAsia="en-US"/>
        </w:rPr>
        <w:t>в</w:t>
      </w:r>
      <w:r>
        <w:rPr>
          <w:rFonts w:eastAsia="Calibri"/>
        </w:rPr>
        <w:t xml:space="preserve"> соответствии с </w:t>
      </w:r>
      <w:r>
        <w:t xml:space="preserve">Порядком предоставления в 2017 году субсидий местным бюджетам на </w:t>
      </w:r>
      <w:proofErr w:type="spellStart"/>
      <w:r>
        <w:t>софинансирование</w:t>
      </w:r>
      <w:proofErr w:type="spellEnd"/>
      <w:r>
        <w:t xml:space="preserve"> капитальных вложений в объекты образовательной инфраструктуры муниципальной собственности, утвержденным постановлением Администрации Волгоградской области от 28.02.2017 №105-п,</w:t>
      </w:r>
      <w:r w:rsidR="00683372">
        <w:rPr>
          <w:rFonts w:eastAsia="Calibri"/>
        </w:rPr>
        <w:t xml:space="preserve"> между к</w:t>
      </w:r>
      <w:r w:rsidRPr="002B1900">
        <w:rPr>
          <w:rFonts w:eastAsia="Calibri"/>
        </w:rPr>
        <w:t xml:space="preserve">омитетом и администрацией Волгограда заключено соглашение </w:t>
      </w:r>
      <w:r w:rsidR="00683372">
        <w:rPr>
          <w:rFonts w:eastAsia="Calibri"/>
        </w:rPr>
        <w:t xml:space="preserve">о </w:t>
      </w:r>
      <w:r w:rsidRPr="002B1900">
        <w:rPr>
          <w:rFonts w:eastAsia="Calibri"/>
        </w:rPr>
        <w:t>предоставлении в 2017 году субсидий</w:t>
      </w:r>
      <w:r>
        <w:rPr>
          <w:rFonts w:eastAsia="Calibri"/>
        </w:rPr>
        <w:t xml:space="preserve"> в объеме 54</w:t>
      </w:r>
      <w:r w:rsidR="00E535EC">
        <w:rPr>
          <w:rFonts w:eastAsia="Calibri"/>
        </w:rPr>
        <w:t>,</w:t>
      </w:r>
      <w:r>
        <w:rPr>
          <w:rFonts w:eastAsia="Calibri"/>
        </w:rPr>
        <w:t xml:space="preserve">9 </w:t>
      </w:r>
      <w:r w:rsidR="00E535EC">
        <w:rPr>
          <w:rFonts w:eastAsia="Calibri"/>
        </w:rPr>
        <w:t>млн</w:t>
      </w:r>
      <w:r>
        <w:rPr>
          <w:rFonts w:eastAsia="Calibri"/>
        </w:rPr>
        <w:t xml:space="preserve">. руб. </w:t>
      </w:r>
      <w:r w:rsidRPr="002B1900">
        <w:rPr>
          <w:rFonts w:eastAsia="Calibri"/>
        </w:rPr>
        <w:t xml:space="preserve">бюджету Волгограда на </w:t>
      </w:r>
      <w:proofErr w:type="spellStart"/>
      <w:r w:rsidRPr="002B1900">
        <w:rPr>
          <w:rFonts w:eastAsia="Calibri"/>
        </w:rPr>
        <w:t>софинансирование</w:t>
      </w:r>
      <w:proofErr w:type="spellEnd"/>
      <w:r w:rsidRPr="002B1900">
        <w:rPr>
          <w:rFonts w:eastAsia="Calibri"/>
        </w:rPr>
        <w:t xml:space="preserve"> </w:t>
      </w:r>
      <w:r>
        <w:rPr>
          <w:rFonts w:eastAsia="Calibri"/>
        </w:rPr>
        <w:t>расходов</w:t>
      </w:r>
      <w:proofErr w:type="gramEnd"/>
      <w:r>
        <w:rPr>
          <w:rFonts w:eastAsia="Calibri"/>
        </w:rPr>
        <w:t xml:space="preserve"> </w:t>
      </w:r>
      <w:r w:rsidR="00E535EC">
        <w:rPr>
          <w:rFonts w:eastAsia="Calibri"/>
        </w:rPr>
        <w:t xml:space="preserve">на строительство </w:t>
      </w:r>
      <w:r w:rsidR="00D966EA">
        <w:rPr>
          <w:rFonts w:eastAsia="Calibri"/>
        </w:rPr>
        <w:t xml:space="preserve">(реконструкцию) </w:t>
      </w:r>
      <w:r w:rsidR="00E535EC">
        <w:rPr>
          <w:rFonts w:eastAsia="Calibri"/>
        </w:rPr>
        <w:t>д</w:t>
      </w:r>
      <w:r w:rsidRPr="007038EA">
        <w:rPr>
          <w:rFonts w:eastAsia="Calibri"/>
        </w:rPr>
        <w:t>етски</w:t>
      </w:r>
      <w:r w:rsidR="00E535EC">
        <w:rPr>
          <w:rFonts w:eastAsia="Calibri"/>
        </w:rPr>
        <w:t>х</w:t>
      </w:r>
      <w:r w:rsidRPr="007038EA">
        <w:rPr>
          <w:rFonts w:eastAsia="Calibri"/>
        </w:rPr>
        <w:t xml:space="preserve"> сад</w:t>
      </w:r>
      <w:r w:rsidR="00E535EC">
        <w:rPr>
          <w:rFonts w:eastAsia="Calibri"/>
        </w:rPr>
        <w:t>ов</w:t>
      </w:r>
      <w:r w:rsidRPr="007038EA">
        <w:rPr>
          <w:rFonts w:eastAsia="Calibri"/>
        </w:rPr>
        <w:t xml:space="preserve"> </w:t>
      </w:r>
      <w:r w:rsidR="00E535EC">
        <w:rPr>
          <w:rFonts w:eastAsia="Calibri"/>
        </w:rPr>
        <w:t>(</w:t>
      </w:r>
      <w:r w:rsidRPr="007038EA">
        <w:rPr>
          <w:rFonts w:eastAsia="Calibri"/>
        </w:rPr>
        <w:t>72</w:t>
      </w:r>
      <w:r w:rsidR="00E535EC">
        <w:rPr>
          <w:rFonts w:eastAsia="Calibri"/>
        </w:rPr>
        <w:t>,1</w:t>
      </w:r>
      <w:r w:rsidRPr="007038EA">
        <w:rPr>
          <w:rFonts w:eastAsia="Calibri"/>
        </w:rPr>
        <w:t xml:space="preserve"> </w:t>
      </w:r>
      <w:r w:rsidR="00E535EC">
        <w:rPr>
          <w:rFonts w:eastAsia="Calibri"/>
        </w:rPr>
        <w:t>млн</w:t>
      </w:r>
      <w:r w:rsidRPr="007038EA">
        <w:rPr>
          <w:rFonts w:eastAsia="Calibri"/>
        </w:rPr>
        <w:t>. руб. с учетом средств местного бюджета):</w:t>
      </w:r>
    </w:p>
    <w:p w:rsidR="00E616FA" w:rsidRPr="007038EA" w:rsidRDefault="00E616FA" w:rsidP="00E616FA">
      <w:pPr>
        <w:ind w:firstLine="709"/>
        <w:contextualSpacing/>
        <w:jc w:val="both"/>
        <w:rPr>
          <w:rFonts w:eastAsia="Calibri"/>
          <w:u w:val="single"/>
        </w:rPr>
      </w:pPr>
      <w:r w:rsidRPr="007038EA">
        <w:rPr>
          <w:rFonts w:eastAsia="Calibri"/>
          <w:b/>
        </w:rPr>
        <w:t>-</w:t>
      </w:r>
      <w:r w:rsidR="00392C84" w:rsidRPr="00392C84">
        <w:rPr>
          <w:rFonts w:eastAsia="Calibri"/>
        </w:rPr>
        <w:t xml:space="preserve">строительство </w:t>
      </w:r>
      <w:r w:rsidRPr="00937546">
        <w:rPr>
          <w:rFonts w:eastAsia="Calibri"/>
        </w:rPr>
        <w:t xml:space="preserve">ДОУ по ул. </w:t>
      </w:r>
      <w:proofErr w:type="gramStart"/>
      <w:r w:rsidRPr="00937546">
        <w:rPr>
          <w:rFonts w:eastAsia="Calibri"/>
        </w:rPr>
        <w:t>Восточно-Казахстанской</w:t>
      </w:r>
      <w:proofErr w:type="gramEnd"/>
      <w:r w:rsidRPr="00937546">
        <w:rPr>
          <w:rFonts w:eastAsia="Calibri"/>
        </w:rPr>
        <w:t xml:space="preserve"> на 185 мест </w:t>
      </w:r>
      <w:r w:rsidR="005B1450">
        <w:rPr>
          <w:rFonts w:eastAsia="Calibri"/>
        </w:rPr>
        <w:t>-</w:t>
      </w:r>
      <w:r w:rsidRPr="007038EA">
        <w:rPr>
          <w:rFonts w:eastAsia="Calibri"/>
        </w:rPr>
        <w:t xml:space="preserve"> 41</w:t>
      </w:r>
      <w:r w:rsidR="00937546">
        <w:rPr>
          <w:rFonts w:eastAsia="Calibri"/>
        </w:rPr>
        <w:t>,2</w:t>
      </w:r>
      <w:r w:rsidRPr="007038EA">
        <w:rPr>
          <w:rFonts w:eastAsia="Calibri"/>
        </w:rPr>
        <w:t xml:space="preserve"> </w:t>
      </w:r>
      <w:r w:rsidR="00937546">
        <w:rPr>
          <w:rFonts w:eastAsia="Calibri"/>
        </w:rPr>
        <w:t>млн</w:t>
      </w:r>
      <w:r w:rsidRPr="007038EA">
        <w:rPr>
          <w:rFonts w:eastAsia="Calibri"/>
        </w:rPr>
        <w:t xml:space="preserve">. руб., из них </w:t>
      </w:r>
      <w:r w:rsidRPr="00937546">
        <w:rPr>
          <w:rFonts w:eastAsia="Calibri"/>
        </w:rPr>
        <w:t>областной бюджет – 34</w:t>
      </w:r>
      <w:r w:rsidR="000A750E">
        <w:rPr>
          <w:rFonts w:eastAsia="Calibri"/>
        </w:rPr>
        <w:t>,</w:t>
      </w:r>
      <w:r w:rsidRPr="00937546">
        <w:rPr>
          <w:rFonts w:eastAsia="Calibri"/>
        </w:rPr>
        <w:t xml:space="preserve">8 </w:t>
      </w:r>
      <w:r w:rsidR="000A750E">
        <w:rPr>
          <w:rFonts w:eastAsia="Calibri"/>
        </w:rPr>
        <w:t>млн</w:t>
      </w:r>
      <w:r w:rsidRPr="00937546">
        <w:rPr>
          <w:rFonts w:eastAsia="Calibri"/>
        </w:rPr>
        <w:t>. руб.;</w:t>
      </w:r>
    </w:p>
    <w:p w:rsidR="00E616FA" w:rsidRPr="00D966EA" w:rsidRDefault="00E616FA" w:rsidP="00E616FA">
      <w:pPr>
        <w:ind w:firstLine="709"/>
        <w:contextualSpacing/>
        <w:jc w:val="both"/>
        <w:rPr>
          <w:rFonts w:eastAsia="Calibri"/>
        </w:rPr>
      </w:pPr>
      <w:r w:rsidRPr="007038EA">
        <w:rPr>
          <w:rFonts w:eastAsia="Calibri"/>
        </w:rPr>
        <w:t>-</w:t>
      </w:r>
      <w:r w:rsidRPr="005B1450">
        <w:rPr>
          <w:rFonts w:eastAsia="Calibri"/>
        </w:rPr>
        <w:t xml:space="preserve">реконструкция ДОУ №246 по ул. </w:t>
      </w:r>
      <w:proofErr w:type="gramStart"/>
      <w:r w:rsidRPr="005B1450">
        <w:rPr>
          <w:rFonts w:eastAsia="Calibri"/>
        </w:rPr>
        <w:t>Даугавской</w:t>
      </w:r>
      <w:proofErr w:type="gramEnd"/>
      <w:r w:rsidRPr="005B1450">
        <w:rPr>
          <w:rFonts w:eastAsia="Calibri"/>
        </w:rPr>
        <w:t>, 7 (увеличение на 75 мест)</w:t>
      </w:r>
      <w:r w:rsidRPr="007038EA">
        <w:rPr>
          <w:rFonts w:eastAsia="Calibri"/>
          <w:b/>
        </w:rPr>
        <w:t xml:space="preserve"> – </w:t>
      </w:r>
      <w:r w:rsidRPr="007038EA">
        <w:rPr>
          <w:rFonts w:eastAsia="Calibri"/>
        </w:rPr>
        <w:t>30</w:t>
      </w:r>
      <w:r w:rsidR="001F6646">
        <w:rPr>
          <w:rFonts w:eastAsia="Calibri"/>
        </w:rPr>
        <w:t>,</w:t>
      </w:r>
      <w:r w:rsidRPr="007038EA">
        <w:rPr>
          <w:rFonts w:eastAsia="Calibri"/>
        </w:rPr>
        <w:t xml:space="preserve">9 </w:t>
      </w:r>
      <w:r w:rsidR="001F6646">
        <w:rPr>
          <w:rFonts w:eastAsia="Calibri"/>
        </w:rPr>
        <w:t>млн</w:t>
      </w:r>
      <w:r w:rsidRPr="007038EA">
        <w:rPr>
          <w:rFonts w:eastAsia="Calibri"/>
        </w:rPr>
        <w:t xml:space="preserve">. руб., из них </w:t>
      </w:r>
      <w:r w:rsidRPr="005B1450">
        <w:rPr>
          <w:rFonts w:eastAsia="Calibri"/>
        </w:rPr>
        <w:t>областной бюджет – 20</w:t>
      </w:r>
      <w:r w:rsidR="001F6646">
        <w:rPr>
          <w:rFonts w:eastAsia="Calibri"/>
        </w:rPr>
        <w:t>,1</w:t>
      </w:r>
      <w:r w:rsidRPr="005B1450">
        <w:rPr>
          <w:rFonts w:eastAsia="Calibri"/>
        </w:rPr>
        <w:t xml:space="preserve"> </w:t>
      </w:r>
      <w:r w:rsidR="001F6646">
        <w:rPr>
          <w:rFonts w:eastAsia="Calibri"/>
        </w:rPr>
        <w:t>млн</w:t>
      </w:r>
      <w:r w:rsidRPr="005B1450">
        <w:rPr>
          <w:rFonts w:eastAsia="Calibri"/>
        </w:rPr>
        <w:t>. рублей</w:t>
      </w:r>
      <w:r w:rsidRPr="00D966EA">
        <w:rPr>
          <w:rFonts w:eastAsia="Calibri"/>
        </w:rPr>
        <w:t>.</w:t>
      </w:r>
    </w:p>
    <w:p w:rsidR="00E616FA" w:rsidRPr="007038EA" w:rsidRDefault="00E616FA" w:rsidP="00E616FA">
      <w:pPr>
        <w:ind w:firstLine="709"/>
        <w:contextualSpacing/>
        <w:jc w:val="both"/>
      </w:pPr>
      <w:r w:rsidRPr="007038EA">
        <w:rPr>
          <w:color w:val="000000"/>
        </w:rPr>
        <w:t>Строительство детского сада по ул</w:t>
      </w:r>
      <w:r w:rsidR="00C53310" w:rsidRPr="007038EA">
        <w:rPr>
          <w:color w:val="000000"/>
        </w:rPr>
        <w:t>. В</w:t>
      </w:r>
      <w:r w:rsidRPr="007038EA">
        <w:rPr>
          <w:color w:val="000000"/>
        </w:rPr>
        <w:t xml:space="preserve">осточно-Казахстанская началось </w:t>
      </w:r>
      <w:r w:rsidR="00C53310">
        <w:rPr>
          <w:color w:val="000000"/>
        </w:rPr>
        <w:t xml:space="preserve">еще </w:t>
      </w:r>
      <w:r w:rsidRPr="007038EA">
        <w:rPr>
          <w:color w:val="000000"/>
        </w:rPr>
        <w:t>в 2013 году подрядной организацией ООО «</w:t>
      </w:r>
      <w:proofErr w:type="spellStart"/>
      <w:r w:rsidRPr="007038EA">
        <w:rPr>
          <w:color w:val="000000"/>
        </w:rPr>
        <w:t>КазПромВолга</w:t>
      </w:r>
      <w:proofErr w:type="spellEnd"/>
      <w:r w:rsidRPr="007038EA">
        <w:rPr>
          <w:color w:val="000000"/>
        </w:rPr>
        <w:t xml:space="preserve">», с которой муниципальный контракт </w:t>
      </w:r>
      <w:r w:rsidR="00C53310">
        <w:rPr>
          <w:color w:val="000000"/>
        </w:rPr>
        <w:t xml:space="preserve">в дальнейшем </w:t>
      </w:r>
      <w:proofErr w:type="gramStart"/>
      <w:r w:rsidRPr="007038EA">
        <w:rPr>
          <w:color w:val="000000"/>
        </w:rPr>
        <w:t>был</w:t>
      </w:r>
      <w:proofErr w:type="gramEnd"/>
      <w:r w:rsidRPr="007038EA">
        <w:rPr>
          <w:color w:val="000000"/>
        </w:rPr>
        <w:t xml:space="preserve"> расторгнут по причине банкротства</w:t>
      </w:r>
      <w:r w:rsidR="00C53310">
        <w:rPr>
          <w:color w:val="000000"/>
        </w:rPr>
        <w:t xml:space="preserve"> общества</w:t>
      </w:r>
      <w:r w:rsidRPr="007038EA">
        <w:rPr>
          <w:color w:val="000000"/>
        </w:rPr>
        <w:t xml:space="preserve">. Для продолжения строительства администрацией Волгограда заключен муниципальный контракт </w:t>
      </w:r>
      <w:r w:rsidR="00C53310" w:rsidRPr="007038EA">
        <w:rPr>
          <w:color w:val="000000"/>
        </w:rPr>
        <w:t xml:space="preserve">с ООО </w:t>
      </w:r>
      <w:r w:rsidR="00C53310" w:rsidRPr="007038EA">
        <w:rPr>
          <w:color w:val="000000"/>
        </w:rPr>
        <w:lastRenderedPageBreak/>
        <w:t>«</w:t>
      </w:r>
      <w:proofErr w:type="spellStart"/>
      <w:r w:rsidR="00C53310" w:rsidRPr="007038EA">
        <w:rPr>
          <w:color w:val="000000"/>
        </w:rPr>
        <w:t>Водмонтаж</w:t>
      </w:r>
      <w:proofErr w:type="spellEnd"/>
      <w:r w:rsidR="00C53310" w:rsidRPr="007038EA">
        <w:rPr>
          <w:color w:val="000000"/>
        </w:rPr>
        <w:t xml:space="preserve">» </w:t>
      </w:r>
      <w:r w:rsidRPr="007038EA">
        <w:rPr>
          <w:color w:val="000000"/>
        </w:rPr>
        <w:t>на завершение строительства в срок до 31.08.2016.</w:t>
      </w:r>
      <w:r w:rsidRPr="007038EA">
        <w:t xml:space="preserve"> Работы в установленный срок </w:t>
      </w:r>
      <w:r w:rsidR="00C53310">
        <w:t xml:space="preserve">не </w:t>
      </w:r>
      <w:r w:rsidRPr="007038EA">
        <w:t xml:space="preserve">выполнены по причине предписания инспекции государственного строительного надзора об устранении недостатков при строительстве объекта, в </w:t>
      </w:r>
      <w:proofErr w:type="gramStart"/>
      <w:r w:rsidRPr="007038EA">
        <w:t>связи</w:t>
      </w:r>
      <w:proofErr w:type="gramEnd"/>
      <w:r w:rsidRPr="007038EA">
        <w:t xml:space="preserve"> с чем на основании определения Арбитражного суда Волгоградской области дополнительным соглашением срок завершения работ перенесен на 28.12.2017.</w:t>
      </w:r>
      <w:r w:rsidR="00392C84">
        <w:t xml:space="preserve"> Однако и на эту дату строительство объекта не было завершено.</w:t>
      </w:r>
    </w:p>
    <w:p w:rsidR="00E616FA" w:rsidRPr="007038EA" w:rsidRDefault="00E616FA" w:rsidP="00E616FA">
      <w:pPr>
        <w:pStyle w:val="32"/>
        <w:tabs>
          <w:tab w:val="left" w:pos="3948"/>
        </w:tabs>
        <w:spacing w:after="0"/>
        <w:ind w:firstLine="709"/>
        <w:contextualSpacing/>
        <w:jc w:val="both"/>
        <w:rPr>
          <w:rFonts w:eastAsia="Calibri"/>
          <w:sz w:val="24"/>
          <w:szCs w:val="24"/>
          <w:lang w:val="ru-RU"/>
        </w:rPr>
      </w:pPr>
      <w:r w:rsidRPr="00D63E41">
        <w:rPr>
          <w:sz w:val="24"/>
          <w:szCs w:val="24"/>
          <w:lang w:val="ru-RU"/>
        </w:rPr>
        <w:t xml:space="preserve">Реконструкция </w:t>
      </w:r>
      <w:r w:rsidRPr="007038EA">
        <w:rPr>
          <w:sz w:val="24"/>
          <w:szCs w:val="24"/>
          <w:lang w:val="ru-RU"/>
        </w:rPr>
        <w:t xml:space="preserve">и надстройка этажа </w:t>
      </w:r>
      <w:r w:rsidRPr="00D63E41">
        <w:rPr>
          <w:sz w:val="24"/>
          <w:szCs w:val="24"/>
          <w:lang w:val="ru-RU"/>
        </w:rPr>
        <w:t>детского сада №246 по ул. Даугавской, 7  начал</w:t>
      </w:r>
      <w:r w:rsidR="00C53310">
        <w:rPr>
          <w:sz w:val="24"/>
          <w:szCs w:val="24"/>
          <w:lang w:val="ru-RU"/>
        </w:rPr>
        <w:t>и</w:t>
      </w:r>
      <w:r w:rsidRPr="00D63E41">
        <w:rPr>
          <w:sz w:val="24"/>
          <w:szCs w:val="24"/>
          <w:lang w:val="ru-RU"/>
        </w:rPr>
        <w:t>сь в рамках муниципального контракта от 18.08.2016, заключенного администрацией Волгограда с АО «Русская Промышленная Группа»</w:t>
      </w:r>
      <w:r w:rsidRPr="007038EA">
        <w:rPr>
          <w:sz w:val="24"/>
          <w:szCs w:val="24"/>
          <w:lang w:val="ru-RU"/>
        </w:rPr>
        <w:t xml:space="preserve"> на выполнение работ в</w:t>
      </w:r>
      <w:r w:rsidRPr="00D63E41">
        <w:rPr>
          <w:sz w:val="24"/>
          <w:szCs w:val="24"/>
          <w:lang w:val="ru-RU"/>
        </w:rPr>
        <w:t xml:space="preserve"> </w:t>
      </w:r>
      <w:r w:rsidRPr="007038EA">
        <w:rPr>
          <w:sz w:val="24"/>
          <w:szCs w:val="24"/>
          <w:lang w:val="ru-RU"/>
        </w:rPr>
        <w:t>с</w:t>
      </w:r>
      <w:r w:rsidRPr="00D63E41">
        <w:rPr>
          <w:sz w:val="24"/>
          <w:szCs w:val="24"/>
          <w:lang w:val="ru-RU"/>
        </w:rPr>
        <w:t xml:space="preserve">рок до 16.12.2016. </w:t>
      </w:r>
      <w:r w:rsidRPr="007038EA">
        <w:rPr>
          <w:sz w:val="24"/>
          <w:szCs w:val="24"/>
          <w:lang w:val="ru-RU"/>
        </w:rPr>
        <w:t>По вине подрядчика в 2016 году объект не введен в эксплуатацию.</w:t>
      </w:r>
      <w:r>
        <w:rPr>
          <w:sz w:val="24"/>
          <w:szCs w:val="24"/>
          <w:lang w:val="ru-RU"/>
        </w:rPr>
        <w:t xml:space="preserve"> </w:t>
      </w:r>
      <w:r w:rsidR="00C53310">
        <w:rPr>
          <w:sz w:val="24"/>
          <w:szCs w:val="24"/>
          <w:lang w:val="ru-RU"/>
        </w:rPr>
        <w:t xml:space="preserve"> </w:t>
      </w:r>
      <w:r w:rsidRPr="007038EA">
        <w:rPr>
          <w:sz w:val="24"/>
          <w:szCs w:val="24"/>
          <w:lang w:val="ru-RU"/>
        </w:rPr>
        <w:t>Соглашением</w:t>
      </w:r>
      <w:r w:rsidR="00C53310">
        <w:rPr>
          <w:sz w:val="24"/>
          <w:szCs w:val="24"/>
          <w:lang w:val="ru-RU"/>
        </w:rPr>
        <w:t>, заключенным между комитетом строительства Волгоградской области и администрацией Волгограда,</w:t>
      </w:r>
      <w:r w:rsidRPr="007038EA">
        <w:rPr>
          <w:sz w:val="24"/>
          <w:szCs w:val="24"/>
          <w:lang w:val="ru-RU"/>
        </w:rPr>
        <w:t xml:space="preserve"> потребность</w:t>
      </w:r>
      <w:r w:rsidR="00C53310">
        <w:rPr>
          <w:sz w:val="24"/>
          <w:szCs w:val="24"/>
          <w:lang w:val="ru-RU"/>
        </w:rPr>
        <w:t xml:space="preserve"> в финансировании данного объекта (</w:t>
      </w:r>
      <w:r w:rsidRPr="007038EA">
        <w:rPr>
          <w:sz w:val="24"/>
          <w:szCs w:val="24"/>
          <w:lang w:val="ru-RU"/>
        </w:rPr>
        <w:t>30</w:t>
      </w:r>
      <w:r w:rsidR="00C53310">
        <w:rPr>
          <w:sz w:val="24"/>
          <w:szCs w:val="24"/>
          <w:lang w:val="ru-RU"/>
        </w:rPr>
        <w:t>,</w:t>
      </w:r>
      <w:r w:rsidRPr="007038EA">
        <w:rPr>
          <w:sz w:val="24"/>
          <w:szCs w:val="24"/>
          <w:lang w:val="ru-RU"/>
        </w:rPr>
        <w:t xml:space="preserve">9 </w:t>
      </w:r>
      <w:r w:rsidR="00C53310">
        <w:rPr>
          <w:sz w:val="24"/>
          <w:szCs w:val="24"/>
          <w:lang w:val="ru-RU"/>
        </w:rPr>
        <w:t>млн</w:t>
      </w:r>
      <w:r w:rsidRPr="007038EA">
        <w:rPr>
          <w:sz w:val="24"/>
          <w:szCs w:val="24"/>
          <w:lang w:val="ru-RU"/>
        </w:rPr>
        <w:t>. руб.</w:t>
      </w:r>
      <w:r w:rsidR="00C53310">
        <w:rPr>
          <w:sz w:val="24"/>
          <w:szCs w:val="24"/>
          <w:lang w:val="ru-RU"/>
        </w:rPr>
        <w:t>) обеспечена только</w:t>
      </w:r>
      <w:r w:rsidRPr="007038EA">
        <w:rPr>
          <w:sz w:val="24"/>
          <w:szCs w:val="24"/>
          <w:lang w:val="ru-RU"/>
        </w:rPr>
        <w:t xml:space="preserve"> на 41,3</w:t>
      </w:r>
      <w:r>
        <w:rPr>
          <w:sz w:val="24"/>
          <w:szCs w:val="24"/>
          <w:lang w:val="ru-RU"/>
        </w:rPr>
        <w:t xml:space="preserve"> процента</w:t>
      </w:r>
      <w:r w:rsidRPr="007038EA">
        <w:rPr>
          <w:sz w:val="24"/>
          <w:szCs w:val="24"/>
          <w:lang w:val="ru-RU"/>
        </w:rPr>
        <w:t xml:space="preserve">. Кроме того, </w:t>
      </w:r>
      <w:r>
        <w:rPr>
          <w:sz w:val="24"/>
          <w:szCs w:val="24"/>
          <w:lang w:val="ru-RU"/>
        </w:rPr>
        <w:t>по причине</w:t>
      </w:r>
      <w:r w:rsidRPr="007038EA">
        <w:rPr>
          <w:rFonts w:eastAsia="Calibri"/>
          <w:sz w:val="24"/>
          <w:szCs w:val="24"/>
          <w:lang w:val="ru-RU"/>
        </w:rPr>
        <w:t xml:space="preserve"> поздн</w:t>
      </w:r>
      <w:r>
        <w:rPr>
          <w:rFonts w:eastAsia="Calibri"/>
          <w:sz w:val="24"/>
          <w:szCs w:val="24"/>
          <w:lang w:val="ru-RU"/>
        </w:rPr>
        <w:t>его</w:t>
      </w:r>
      <w:r w:rsidRPr="007038EA">
        <w:rPr>
          <w:rFonts w:eastAsia="Calibri"/>
          <w:sz w:val="24"/>
          <w:szCs w:val="24"/>
          <w:lang w:val="ru-RU"/>
        </w:rPr>
        <w:t xml:space="preserve"> приняти</w:t>
      </w:r>
      <w:r>
        <w:rPr>
          <w:rFonts w:eastAsia="Calibri"/>
          <w:sz w:val="24"/>
          <w:szCs w:val="24"/>
          <w:lang w:val="ru-RU"/>
        </w:rPr>
        <w:t>я</w:t>
      </w:r>
      <w:r w:rsidRPr="007038EA">
        <w:rPr>
          <w:rFonts w:eastAsia="Calibri"/>
          <w:sz w:val="24"/>
          <w:szCs w:val="24"/>
          <w:lang w:val="ru-RU"/>
        </w:rPr>
        <w:t xml:space="preserve"> заказчиком актов выполненных работ на 5</w:t>
      </w:r>
      <w:r w:rsidR="00C53310">
        <w:rPr>
          <w:rFonts w:eastAsia="Calibri"/>
          <w:sz w:val="24"/>
          <w:szCs w:val="24"/>
          <w:lang w:val="ru-RU"/>
        </w:rPr>
        <w:t>,</w:t>
      </w:r>
      <w:r w:rsidRPr="007038EA">
        <w:rPr>
          <w:rFonts w:eastAsia="Calibri"/>
          <w:sz w:val="24"/>
          <w:szCs w:val="24"/>
          <w:lang w:val="ru-RU"/>
        </w:rPr>
        <w:t xml:space="preserve">8 </w:t>
      </w:r>
      <w:r w:rsidR="00C53310">
        <w:rPr>
          <w:rFonts w:eastAsia="Calibri"/>
          <w:sz w:val="24"/>
          <w:szCs w:val="24"/>
          <w:lang w:val="ru-RU"/>
        </w:rPr>
        <w:t>млн</w:t>
      </w:r>
      <w:r w:rsidRPr="007038EA">
        <w:rPr>
          <w:rFonts w:eastAsia="Calibri"/>
          <w:sz w:val="24"/>
          <w:szCs w:val="24"/>
          <w:lang w:val="ru-RU"/>
        </w:rPr>
        <w:t xml:space="preserve">. руб., </w:t>
      </w:r>
      <w:r>
        <w:rPr>
          <w:rFonts w:eastAsia="Calibri"/>
          <w:sz w:val="24"/>
          <w:szCs w:val="24"/>
          <w:lang w:val="ru-RU"/>
        </w:rPr>
        <w:t xml:space="preserve">их </w:t>
      </w:r>
      <w:r w:rsidRPr="007038EA">
        <w:rPr>
          <w:rFonts w:eastAsia="Calibri"/>
          <w:sz w:val="24"/>
          <w:szCs w:val="24"/>
          <w:lang w:val="ru-RU"/>
        </w:rPr>
        <w:t>опла</w:t>
      </w:r>
      <w:r>
        <w:rPr>
          <w:rFonts w:eastAsia="Calibri"/>
          <w:sz w:val="24"/>
          <w:szCs w:val="24"/>
          <w:lang w:val="ru-RU"/>
        </w:rPr>
        <w:t xml:space="preserve">та </w:t>
      </w:r>
      <w:r w:rsidRPr="007038EA">
        <w:rPr>
          <w:rFonts w:eastAsia="Calibri"/>
          <w:sz w:val="24"/>
          <w:szCs w:val="24"/>
          <w:lang w:val="ru-RU"/>
        </w:rPr>
        <w:t>в 2017 году</w:t>
      </w:r>
      <w:r>
        <w:rPr>
          <w:rFonts w:eastAsia="Calibri"/>
          <w:sz w:val="24"/>
          <w:szCs w:val="24"/>
          <w:lang w:val="ru-RU"/>
        </w:rPr>
        <w:t xml:space="preserve"> не осуществлялась</w:t>
      </w:r>
      <w:r w:rsidRPr="007038EA">
        <w:rPr>
          <w:rFonts w:eastAsia="Calibri"/>
          <w:sz w:val="24"/>
          <w:szCs w:val="24"/>
          <w:lang w:val="ru-RU"/>
        </w:rPr>
        <w:t>.</w:t>
      </w:r>
    </w:p>
    <w:p w:rsidR="00E616FA" w:rsidRPr="007038EA" w:rsidRDefault="00E616FA" w:rsidP="00E616FA">
      <w:pPr>
        <w:pStyle w:val="32"/>
        <w:tabs>
          <w:tab w:val="left" w:pos="3948"/>
        </w:tabs>
        <w:spacing w:after="0"/>
        <w:ind w:firstLine="709"/>
        <w:contextualSpacing/>
        <w:jc w:val="both"/>
        <w:rPr>
          <w:sz w:val="24"/>
          <w:szCs w:val="24"/>
          <w:lang w:val="ru-RU"/>
        </w:rPr>
      </w:pPr>
      <w:r w:rsidRPr="007038EA">
        <w:rPr>
          <w:rFonts w:eastAsia="Calibri"/>
          <w:sz w:val="24"/>
          <w:szCs w:val="24"/>
          <w:lang w:val="ru-RU"/>
        </w:rPr>
        <w:t xml:space="preserve"> </w:t>
      </w:r>
      <w:r w:rsidRPr="007038EA">
        <w:rPr>
          <w:sz w:val="24"/>
          <w:szCs w:val="24"/>
          <w:lang w:val="ru-RU"/>
        </w:rPr>
        <w:t>В связи с длительным нарушением сроков завершения работ администрацией Волгограда 28.02.2018 расторгнут контракт с АО «Русская Промышленная Группа» в одностороннем порядке.</w:t>
      </w:r>
    </w:p>
    <w:p w:rsidR="00E616FA" w:rsidRPr="00D966EA" w:rsidRDefault="00C53310" w:rsidP="00E616FA">
      <w:pPr>
        <w:pStyle w:val="32"/>
        <w:tabs>
          <w:tab w:val="left" w:pos="3948"/>
        </w:tabs>
        <w:spacing w:after="0"/>
        <w:ind w:firstLine="709"/>
        <w:contextualSpacing/>
        <w:jc w:val="both"/>
        <w:rPr>
          <w:rFonts w:eastAsia="Calibri"/>
          <w:sz w:val="24"/>
          <w:szCs w:val="24"/>
          <w:lang w:val="ru-RU"/>
        </w:rPr>
      </w:pPr>
      <w:r>
        <w:rPr>
          <w:rFonts w:eastAsia="Calibri"/>
          <w:sz w:val="24"/>
          <w:szCs w:val="24"/>
          <w:lang w:val="ru-RU"/>
        </w:rPr>
        <w:t>Таким образом, а</w:t>
      </w:r>
      <w:r w:rsidR="00E616FA" w:rsidRPr="00D966EA">
        <w:rPr>
          <w:rFonts w:eastAsia="Calibri"/>
          <w:sz w:val="24"/>
          <w:szCs w:val="24"/>
          <w:lang w:val="ru-RU"/>
        </w:rPr>
        <w:t>дминистрацией Волгограда нарушены условия предоставления субсидии, установленные пунктом 2.1 соглашения</w:t>
      </w:r>
      <w:r>
        <w:rPr>
          <w:rFonts w:eastAsia="Calibri"/>
          <w:sz w:val="24"/>
          <w:szCs w:val="24"/>
          <w:lang w:val="ru-RU"/>
        </w:rPr>
        <w:t>, заключенного с комитетом строительства Волгоградской области</w:t>
      </w:r>
      <w:r w:rsidR="00E616FA" w:rsidRPr="00D966EA">
        <w:rPr>
          <w:rFonts w:eastAsia="Calibri"/>
          <w:sz w:val="24"/>
          <w:szCs w:val="24"/>
          <w:lang w:val="ru-RU"/>
        </w:rPr>
        <w:t>, так как не достигнуто значение целевого показателя результативности предоставления субсидии – выполнение работ в объеме 100</w:t>
      </w:r>
      <w:r>
        <w:rPr>
          <w:rFonts w:eastAsia="Calibri"/>
          <w:sz w:val="24"/>
          <w:szCs w:val="24"/>
          <w:lang w:val="ru-RU"/>
        </w:rPr>
        <w:t xml:space="preserve"> процентов. За 2017 год</w:t>
      </w:r>
      <w:r w:rsidR="00E616FA" w:rsidRPr="00D966EA">
        <w:rPr>
          <w:rFonts w:eastAsia="Calibri"/>
          <w:sz w:val="24"/>
          <w:szCs w:val="24"/>
          <w:lang w:val="ru-RU"/>
        </w:rPr>
        <w:t xml:space="preserve"> работы по строительству ДОУ по ул. Восточно-Казахстанская выполнены на 28,4%, по реконструкции ДОУ по ул. Даугавская – на 66 процентов. </w:t>
      </w:r>
    </w:p>
    <w:p w:rsidR="00E616FA" w:rsidRPr="00D966EA" w:rsidRDefault="00C53310" w:rsidP="00E616FA">
      <w:pPr>
        <w:pStyle w:val="32"/>
        <w:tabs>
          <w:tab w:val="left" w:pos="3948"/>
        </w:tabs>
        <w:spacing w:after="0"/>
        <w:ind w:firstLine="709"/>
        <w:jc w:val="both"/>
        <w:rPr>
          <w:rFonts w:eastAsia="Calibri"/>
          <w:sz w:val="24"/>
          <w:szCs w:val="24"/>
          <w:lang w:val="ru-RU"/>
        </w:rPr>
      </w:pPr>
      <w:r>
        <w:rPr>
          <w:rFonts w:eastAsia="Calibri"/>
          <w:sz w:val="24"/>
          <w:szCs w:val="24"/>
          <w:lang w:val="ru-RU"/>
        </w:rPr>
        <w:t xml:space="preserve">Соответственно комитетом строительства </w:t>
      </w:r>
      <w:proofErr w:type="gramStart"/>
      <w:r>
        <w:rPr>
          <w:rFonts w:eastAsia="Calibri"/>
          <w:sz w:val="24"/>
          <w:szCs w:val="24"/>
          <w:lang w:val="ru-RU"/>
        </w:rPr>
        <w:t>н</w:t>
      </w:r>
      <w:r w:rsidR="00E616FA" w:rsidRPr="00D966EA">
        <w:rPr>
          <w:rFonts w:eastAsia="Calibri"/>
          <w:sz w:val="24"/>
          <w:szCs w:val="24"/>
          <w:lang w:val="ru-RU"/>
        </w:rPr>
        <w:t>е достигнут результат</w:t>
      </w:r>
      <w:proofErr w:type="gramEnd"/>
      <w:r w:rsidR="00E616FA" w:rsidRPr="00D966EA">
        <w:rPr>
          <w:rFonts w:eastAsia="Calibri"/>
          <w:sz w:val="24"/>
          <w:szCs w:val="24"/>
          <w:lang w:val="ru-RU"/>
        </w:rPr>
        <w:t xml:space="preserve"> реализации мероприятия подпрограммы «Развитие дошкольного, общего образования и дополнительного образования детей» </w:t>
      </w:r>
      <w:r>
        <w:rPr>
          <w:rFonts w:eastAsia="Calibri"/>
          <w:sz w:val="24"/>
          <w:szCs w:val="24"/>
          <w:lang w:val="ru-RU"/>
        </w:rPr>
        <w:t>госпрограммы «Развитие образования в Волгоградской области», т. е.</w:t>
      </w:r>
      <w:r w:rsidR="00E616FA" w:rsidRPr="00D966EA">
        <w:rPr>
          <w:rFonts w:eastAsia="Calibri"/>
          <w:sz w:val="24"/>
          <w:szCs w:val="24"/>
          <w:lang w:val="ru-RU"/>
        </w:rPr>
        <w:t xml:space="preserve"> не созданы в 2017 году 260 </w:t>
      </w:r>
      <w:r w:rsidR="00F908EA">
        <w:rPr>
          <w:rFonts w:eastAsia="Calibri"/>
          <w:sz w:val="24"/>
          <w:szCs w:val="24"/>
          <w:lang w:val="ru-RU"/>
        </w:rPr>
        <w:t xml:space="preserve">дополнительных мест </w:t>
      </w:r>
      <w:r w:rsidR="00E616FA" w:rsidRPr="00D966EA">
        <w:rPr>
          <w:rFonts w:eastAsia="Calibri"/>
          <w:sz w:val="24"/>
          <w:szCs w:val="24"/>
          <w:lang w:val="ru-RU"/>
        </w:rPr>
        <w:t>в дошкольных образовательных учреждениях.</w:t>
      </w:r>
    </w:p>
    <w:p w:rsidR="00E616FA" w:rsidRPr="00AF3AA6" w:rsidRDefault="00E616FA" w:rsidP="00E616FA">
      <w:pPr>
        <w:pStyle w:val="32"/>
        <w:tabs>
          <w:tab w:val="left" w:pos="3948"/>
        </w:tabs>
        <w:spacing w:after="0"/>
        <w:ind w:firstLine="709"/>
        <w:contextualSpacing/>
        <w:jc w:val="both"/>
        <w:rPr>
          <w:rFonts w:eastAsia="Calibri"/>
          <w:sz w:val="24"/>
          <w:szCs w:val="24"/>
          <w:lang w:val="ru-RU"/>
        </w:rPr>
      </w:pPr>
      <w:r w:rsidRPr="00AF3AA6">
        <w:rPr>
          <w:rFonts w:eastAsia="Calibri"/>
          <w:sz w:val="24"/>
          <w:szCs w:val="24"/>
          <w:lang w:val="ru-RU"/>
        </w:rPr>
        <w:t xml:space="preserve">На дату </w:t>
      </w:r>
      <w:r w:rsidR="00F908EA">
        <w:rPr>
          <w:rFonts w:eastAsia="Calibri"/>
          <w:sz w:val="24"/>
          <w:szCs w:val="24"/>
          <w:lang w:val="ru-RU"/>
        </w:rPr>
        <w:t xml:space="preserve">завершения </w:t>
      </w:r>
      <w:r w:rsidRPr="00AF3AA6">
        <w:rPr>
          <w:rFonts w:eastAsia="Calibri"/>
          <w:sz w:val="24"/>
          <w:szCs w:val="24"/>
          <w:lang w:val="ru-RU"/>
        </w:rPr>
        <w:t>проверки</w:t>
      </w:r>
      <w:r w:rsidR="00F908EA">
        <w:rPr>
          <w:rFonts w:eastAsia="Calibri"/>
          <w:sz w:val="24"/>
          <w:szCs w:val="24"/>
          <w:lang w:val="ru-RU"/>
        </w:rPr>
        <w:t xml:space="preserve"> КСП</w:t>
      </w:r>
      <w:r w:rsidRPr="00AF3AA6">
        <w:rPr>
          <w:rFonts w:eastAsia="Calibri"/>
          <w:sz w:val="24"/>
          <w:szCs w:val="24"/>
          <w:lang w:val="ru-RU"/>
        </w:rPr>
        <w:t xml:space="preserve"> (16.03.2018) достижение показателя результативности на 100% </w:t>
      </w:r>
      <w:r w:rsidR="00F908EA">
        <w:rPr>
          <w:rFonts w:eastAsia="Calibri"/>
          <w:sz w:val="24"/>
          <w:szCs w:val="24"/>
          <w:lang w:val="ru-RU"/>
        </w:rPr>
        <w:t xml:space="preserve">также </w:t>
      </w:r>
      <w:r w:rsidRPr="00AF3AA6">
        <w:rPr>
          <w:rFonts w:eastAsia="Calibri"/>
          <w:sz w:val="24"/>
          <w:szCs w:val="24"/>
          <w:lang w:val="ru-RU"/>
        </w:rPr>
        <w:t>не</w:t>
      </w:r>
      <w:r>
        <w:rPr>
          <w:rFonts w:eastAsia="Calibri"/>
          <w:sz w:val="24"/>
          <w:szCs w:val="24"/>
          <w:lang w:val="ru-RU"/>
        </w:rPr>
        <w:t xml:space="preserve"> </w:t>
      </w:r>
      <w:r w:rsidRPr="00AF3AA6">
        <w:rPr>
          <w:rFonts w:eastAsia="Calibri"/>
          <w:sz w:val="24"/>
          <w:szCs w:val="24"/>
          <w:lang w:val="ru-RU"/>
        </w:rPr>
        <w:t>обеспечено.</w:t>
      </w:r>
    </w:p>
    <w:p w:rsidR="006E28C5" w:rsidRPr="00691FED" w:rsidRDefault="00F37285" w:rsidP="006E28C5">
      <w:pPr>
        <w:pStyle w:val="32"/>
        <w:tabs>
          <w:tab w:val="left" w:pos="3948"/>
        </w:tabs>
        <w:spacing w:after="0"/>
        <w:ind w:firstLine="709"/>
        <w:contextualSpacing/>
        <w:jc w:val="both"/>
        <w:rPr>
          <w:rFonts w:eastAsia="Calibri"/>
          <w:sz w:val="24"/>
          <w:szCs w:val="24"/>
          <w:lang w:val="ru-RU"/>
        </w:rPr>
      </w:pPr>
      <w:r>
        <w:rPr>
          <w:rFonts w:eastAsia="Calibri"/>
          <w:sz w:val="24"/>
          <w:szCs w:val="24"/>
          <w:lang w:val="ru-RU"/>
        </w:rPr>
        <w:t>З</w:t>
      </w:r>
      <w:r w:rsidR="006E28C5">
        <w:rPr>
          <w:rFonts w:eastAsia="Calibri"/>
          <w:sz w:val="24"/>
          <w:szCs w:val="24"/>
          <w:lang w:val="ru-RU"/>
        </w:rPr>
        <w:t>а нарушение условий предоставления субсидии</w:t>
      </w:r>
      <w:r w:rsidR="006E28C5" w:rsidRPr="00691FED">
        <w:rPr>
          <w:rFonts w:eastAsia="Calibri"/>
          <w:sz w:val="24"/>
          <w:szCs w:val="24"/>
          <w:lang w:val="ru-RU"/>
        </w:rPr>
        <w:t xml:space="preserve"> ст</w:t>
      </w:r>
      <w:r w:rsidR="006E28C5">
        <w:rPr>
          <w:rFonts w:eastAsia="Calibri"/>
          <w:sz w:val="24"/>
          <w:szCs w:val="24"/>
          <w:lang w:val="ru-RU"/>
        </w:rPr>
        <w:t>атьей</w:t>
      </w:r>
      <w:r w:rsidR="006E28C5" w:rsidRPr="00691FED">
        <w:rPr>
          <w:rFonts w:eastAsia="Calibri"/>
          <w:sz w:val="24"/>
          <w:szCs w:val="24"/>
          <w:lang w:val="ru-RU"/>
        </w:rPr>
        <w:t xml:space="preserve"> 15.15.3 </w:t>
      </w:r>
      <w:proofErr w:type="spellStart"/>
      <w:r w:rsidR="006E28C5" w:rsidRPr="00691FED">
        <w:rPr>
          <w:rFonts w:eastAsia="Calibri"/>
          <w:sz w:val="24"/>
          <w:szCs w:val="24"/>
          <w:lang w:val="ru-RU"/>
        </w:rPr>
        <w:t>КоАП</w:t>
      </w:r>
      <w:proofErr w:type="spellEnd"/>
      <w:r w:rsidR="006E28C5" w:rsidRPr="00691FED">
        <w:rPr>
          <w:rFonts w:eastAsia="Calibri"/>
          <w:sz w:val="24"/>
          <w:szCs w:val="24"/>
          <w:lang w:val="ru-RU"/>
        </w:rPr>
        <w:t xml:space="preserve"> РФ предусмотрена административная ответственность.</w:t>
      </w:r>
      <w:r w:rsidR="005948E4">
        <w:rPr>
          <w:rFonts w:eastAsia="Calibri"/>
          <w:sz w:val="24"/>
          <w:szCs w:val="24"/>
          <w:lang w:val="ru-RU"/>
        </w:rPr>
        <w:t xml:space="preserve"> </w:t>
      </w:r>
      <w:r w:rsidR="006E28C5">
        <w:rPr>
          <w:rFonts w:eastAsia="Calibri"/>
          <w:sz w:val="24"/>
          <w:szCs w:val="24"/>
          <w:lang w:val="ru-RU"/>
        </w:rPr>
        <w:t>По результатам проверки ответственно</w:t>
      </w:r>
      <w:r w:rsidR="00730988">
        <w:rPr>
          <w:rFonts w:eastAsia="Calibri"/>
          <w:sz w:val="24"/>
          <w:szCs w:val="24"/>
          <w:lang w:val="ru-RU"/>
        </w:rPr>
        <w:t>е</w:t>
      </w:r>
      <w:r w:rsidR="006E28C5">
        <w:rPr>
          <w:rFonts w:eastAsia="Calibri"/>
          <w:sz w:val="24"/>
          <w:szCs w:val="24"/>
          <w:lang w:val="ru-RU"/>
        </w:rPr>
        <w:t xml:space="preserve"> должностно</w:t>
      </w:r>
      <w:r w:rsidR="00730988">
        <w:rPr>
          <w:rFonts w:eastAsia="Calibri"/>
          <w:sz w:val="24"/>
          <w:szCs w:val="24"/>
          <w:lang w:val="ru-RU"/>
        </w:rPr>
        <w:t>е</w:t>
      </w:r>
      <w:r w:rsidR="006E28C5">
        <w:rPr>
          <w:rFonts w:eastAsia="Calibri"/>
          <w:sz w:val="24"/>
          <w:szCs w:val="24"/>
          <w:lang w:val="ru-RU"/>
        </w:rPr>
        <w:t xml:space="preserve"> лиц</w:t>
      </w:r>
      <w:r w:rsidR="00730988">
        <w:rPr>
          <w:rFonts w:eastAsia="Calibri"/>
          <w:sz w:val="24"/>
          <w:szCs w:val="24"/>
          <w:lang w:val="ru-RU"/>
        </w:rPr>
        <w:t>о</w:t>
      </w:r>
      <w:r w:rsidR="006E28C5">
        <w:rPr>
          <w:rFonts w:eastAsia="Calibri"/>
          <w:sz w:val="24"/>
          <w:szCs w:val="24"/>
          <w:lang w:val="ru-RU"/>
        </w:rPr>
        <w:t xml:space="preserve"> администрации Волгограда</w:t>
      </w:r>
      <w:r w:rsidR="00730988">
        <w:rPr>
          <w:rFonts w:eastAsia="Calibri"/>
          <w:sz w:val="24"/>
          <w:szCs w:val="24"/>
          <w:lang w:val="ru-RU"/>
        </w:rPr>
        <w:t xml:space="preserve"> привлечено к административной ответственности</w:t>
      </w:r>
      <w:r w:rsidR="006E28C5">
        <w:rPr>
          <w:rFonts w:eastAsia="Calibri"/>
          <w:sz w:val="24"/>
          <w:szCs w:val="24"/>
          <w:lang w:val="ru-RU"/>
        </w:rPr>
        <w:t>.</w:t>
      </w:r>
    </w:p>
    <w:p w:rsidR="00E616FA" w:rsidRPr="002B1900" w:rsidRDefault="00E616FA" w:rsidP="00E616FA">
      <w:pPr>
        <w:pStyle w:val="32"/>
        <w:tabs>
          <w:tab w:val="left" w:pos="3948"/>
        </w:tabs>
        <w:spacing w:after="0"/>
        <w:ind w:firstLine="709"/>
        <w:contextualSpacing/>
        <w:jc w:val="both"/>
        <w:rPr>
          <w:rFonts w:eastAsia="Calibri"/>
          <w:sz w:val="24"/>
          <w:szCs w:val="24"/>
          <w:lang w:val="ru-RU"/>
        </w:rPr>
      </w:pPr>
      <w:r w:rsidRPr="000D64BB">
        <w:rPr>
          <w:rFonts w:eastAsia="Calibri"/>
          <w:sz w:val="24"/>
          <w:szCs w:val="24"/>
          <w:lang w:val="ru-RU"/>
        </w:rPr>
        <w:t xml:space="preserve">В рамках подпрограммы «Развитие дошкольного и общего образования» </w:t>
      </w:r>
      <w:r w:rsidR="00003DD8">
        <w:rPr>
          <w:rFonts w:eastAsia="Calibri"/>
          <w:sz w:val="24"/>
          <w:szCs w:val="24"/>
          <w:lang w:val="ru-RU"/>
        </w:rPr>
        <w:t xml:space="preserve">в 2017 году </w:t>
      </w:r>
      <w:r w:rsidRPr="000D64BB">
        <w:rPr>
          <w:rFonts w:eastAsia="Calibri"/>
          <w:sz w:val="24"/>
          <w:szCs w:val="24"/>
          <w:lang w:val="ru-RU"/>
        </w:rPr>
        <w:t>предусм</w:t>
      </w:r>
      <w:r w:rsidR="00003DD8">
        <w:rPr>
          <w:rFonts w:eastAsia="Calibri"/>
          <w:sz w:val="24"/>
          <w:szCs w:val="24"/>
          <w:lang w:val="ru-RU"/>
        </w:rPr>
        <w:t>атривалось также</w:t>
      </w:r>
      <w:r w:rsidRPr="002B1900">
        <w:rPr>
          <w:rFonts w:eastAsia="Calibri"/>
          <w:sz w:val="24"/>
          <w:szCs w:val="24"/>
          <w:lang w:val="ru-RU"/>
        </w:rPr>
        <w:t xml:space="preserve"> мероприятие по капитальному ремонту </w:t>
      </w:r>
      <w:r w:rsidRPr="00003DD8">
        <w:rPr>
          <w:rFonts w:eastAsia="Calibri"/>
          <w:sz w:val="24"/>
          <w:szCs w:val="24"/>
          <w:lang w:val="ru-RU"/>
        </w:rPr>
        <w:t>здания ДОУ в с</w:t>
      </w:r>
      <w:r w:rsidR="00003DD8">
        <w:rPr>
          <w:rFonts w:eastAsia="Calibri"/>
          <w:sz w:val="24"/>
          <w:szCs w:val="24"/>
          <w:lang w:val="ru-RU"/>
        </w:rPr>
        <w:t>еле</w:t>
      </w:r>
      <w:r w:rsidRPr="00003DD8">
        <w:rPr>
          <w:rFonts w:eastAsia="Calibri"/>
          <w:sz w:val="24"/>
          <w:szCs w:val="24"/>
          <w:lang w:val="ru-RU"/>
        </w:rPr>
        <w:t xml:space="preserve"> Александровка </w:t>
      </w:r>
      <w:proofErr w:type="spellStart"/>
      <w:r w:rsidRPr="00003DD8">
        <w:rPr>
          <w:rFonts w:eastAsia="Calibri"/>
          <w:sz w:val="24"/>
          <w:szCs w:val="24"/>
          <w:lang w:val="ru-RU"/>
        </w:rPr>
        <w:t>Жирновского</w:t>
      </w:r>
      <w:proofErr w:type="spellEnd"/>
      <w:r w:rsidRPr="00003DD8">
        <w:rPr>
          <w:rFonts w:eastAsia="Calibri"/>
          <w:sz w:val="24"/>
          <w:szCs w:val="24"/>
          <w:lang w:val="ru-RU"/>
        </w:rPr>
        <w:t xml:space="preserve"> района на 34 места</w:t>
      </w:r>
      <w:r w:rsidRPr="002B1900">
        <w:rPr>
          <w:rFonts w:eastAsia="Calibri"/>
          <w:b/>
          <w:sz w:val="24"/>
          <w:szCs w:val="24"/>
          <w:lang w:val="ru-RU"/>
        </w:rPr>
        <w:t xml:space="preserve"> </w:t>
      </w:r>
      <w:r w:rsidRPr="002B1900">
        <w:rPr>
          <w:rFonts w:eastAsia="Calibri"/>
          <w:sz w:val="24"/>
          <w:szCs w:val="24"/>
          <w:lang w:val="ru-RU"/>
        </w:rPr>
        <w:t>с объемом финансирования 21</w:t>
      </w:r>
      <w:r w:rsidR="00765761">
        <w:rPr>
          <w:rFonts w:eastAsia="Calibri"/>
          <w:sz w:val="24"/>
          <w:szCs w:val="24"/>
          <w:lang w:val="ru-RU"/>
        </w:rPr>
        <w:t>,</w:t>
      </w:r>
      <w:r w:rsidRPr="002B1900">
        <w:rPr>
          <w:rFonts w:eastAsia="Calibri"/>
          <w:sz w:val="24"/>
          <w:szCs w:val="24"/>
          <w:lang w:val="ru-RU"/>
        </w:rPr>
        <w:t xml:space="preserve">2 </w:t>
      </w:r>
      <w:r w:rsidR="00765761">
        <w:rPr>
          <w:rFonts w:eastAsia="Calibri"/>
          <w:sz w:val="24"/>
          <w:szCs w:val="24"/>
          <w:lang w:val="ru-RU"/>
        </w:rPr>
        <w:t>млн</w:t>
      </w:r>
      <w:r w:rsidRPr="002B1900">
        <w:rPr>
          <w:rFonts w:eastAsia="Calibri"/>
          <w:sz w:val="24"/>
          <w:szCs w:val="24"/>
          <w:lang w:val="ru-RU"/>
        </w:rPr>
        <w:t xml:space="preserve">. руб., в том числе </w:t>
      </w:r>
      <w:r w:rsidRPr="00765761">
        <w:rPr>
          <w:rFonts w:eastAsia="Calibri"/>
          <w:sz w:val="24"/>
          <w:szCs w:val="24"/>
          <w:lang w:val="ru-RU"/>
        </w:rPr>
        <w:t>средства областного бюджета – 19</w:t>
      </w:r>
      <w:r w:rsidR="00765761">
        <w:rPr>
          <w:rFonts w:eastAsia="Calibri"/>
          <w:sz w:val="24"/>
          <w:szCs w:val="24"/>
          <w:lang w:val="ru-RU"/>
        </w:rPr>
        <w:t>,</w:t>
      </w:r>
      <w:r w:rsidRPr="00765761">
        <w:rPr>
          <w:rFonts w:eastAsia="Calibri"/>
          <w:sz w:val="24"/>
          <w:szCs w:val="24"/>
          <w:lang w:val="ru-RU"/>
        </w:rPr>
        <w:t xml:space="preserve">1 </w:t>
      </w:r>
      <w:r w:rsidR="00765761">
        <w:rPr>
          <w:rFonts w:eastAsia="Calibri"/>
          <w:sz w:val="24"/>
          <w:szCs w:val="24"/>
          <w:lang w:val="ru-RU"/>
        </w:rPr>
        <w:t>млн</w:t>
      </w:r>
      <w:r w:rsidRPr="00765761">
        <w:rPr>
          <w:rFonts w:eastAsia="Calibri"/>
          <w:sz w:val="24"/>
          <w:szCs w:val="24"/>
          <w:lang w:val="ru-RU"/>
        </w:rPr>
        <w:t>. руб.,</w:t>
      </w:r>
      <w:r w:rsidRPr="002B1900">
        <w:rPr>
          <w:rFonts w:eastAsia="Calibri"/>
          <w:sz w:val="24"/>
          <w:szCs w:val="24"/>
          <w:lang w:val="ru-RU"/>
        </w:rPr>
        <w:t xml:space="preserve"> местного бюджета – 2</w:t>
      </w:r>
      <w:r w:rsidR="00765761">
        <w:rPr>
          <w:rFonts w:eastAsia="Calibri"/>
          <w:sz w:val="24"/>
          <w:szCs w:val="24"/>
          <w:lang w:val="ru-RU"/>
        </w:rPr>
        <w:t>,</w:t>
      </w:r>
      <w:r w:rsidRPr="002B1900">
        <w:rPr>
          <w:rFonts w:eastAsia="Calibri"/>
          <w:sz w:val="24"/>
          <w:szCs w:val="24"/>
          <w:lang w:val="ru-RU"/>
        </w:rPr>
        <w:t xml:space="preserve">1 </w:t>
      </w:r>
      <w:r w:rsidR="00765761">
        <w:rPr>
          <w:rFonts w:eastAsia="Calibri"/>
          <w:sz w:val="24"/>
          <w:szCs w:val="24"/>
          <w:lang w:val="ru-RU"/>
        </w:rPr>
        <w:t>млн</w:t>
      </w:r>
      <w:r w:rsidRPr="002B1900">
        <w:rPr>
          <w:rFonts w:eastAsia="Calibri"/>
          <w:sz w:val="24"/>
          <w:szCs w:val="24"/>
          <w:lang w:val="ru-RU"/>
        </w:rPr>
        <w:t>. рублей. Бюджетные назначения на данное мероприяти</w:t>
      </w:r>
      <w:r>
        <w:rPr>
          <w:rFonts w:eastAsia="Calibri"/>
          <w:sz w:val="24"/>
          <w:szCs w:val="24"/>
          <w:lang w:val="ru-RU"/>
        </w:rPr>
        <w:t>е</w:t>
      </w:r>
      <w:r w:rsidRPr="002B1900">
        <w:rPr>
          <w:rFonts w:eastAsia="Calibri"/>
          <w:sz w:val="24"/>
          <w:szCs w:val="24"/>
          <w:lang w:val="ru-RU"/>
        </w:rPr>
        <w:t xml:space="preserve"> предусмотрены и исполнены в 2017 году в размере 18</w:t>
      </w:r>
      <w:r w:rsidR="0067396D">
        <w:rPr>
          <w:rFonts w:eastAsia="Calibri"/>
          <w:sz w:val="24"/>
          <w:szCs w:val="24"/>
          <w:lang w:val="ru-RU"/>
        </w:rPr>
        <w:t>,</w:t>
      </w:r>
      <w:r>
        <w:rPr>
          <w:rFonts w:eastAsia="Calibri"/>
          <w:sz w:val="24"/>
          <w:szCs w:val="24"/>
          <w:lang w:val="ru-RU"/>
        </w:rPr>
        <w:t xml:space="preserve">9 </w:t>
      </w:r>
      <w:r w:rsidR="0067396D">
        <w:rPr>
          <w:rFonts w:eastAsia="Calibri"/>
          <w:sz w:val="24"/>
          <w:szCs w:val="24"/>
          <w:lang w:val="ru-RU"/>
        </w:rPr>
        <w:t>млн</w:t>
      </w:r>
      <w:r>
        <w:rPr>
          <w:rFonts w:eastAsia="Calibri"/>
          <w:sz w:val="24"/>
          <w:szCs w:val="24"/>
          <w:lang w:val="ru-RU"/>
        </w:rPr>
        <w:t>. рублей.</w:t>
      </w:r>
    </w:p>
    <w:p w:rsidR="00E616FA" w:rsidRDefault="00E616FA" w:rsidP="00E616FA">
      <w:pPr>
        <w:pStyle w:val="32"/>
        <w:tabs>
          <w:tab w:val="left" w:pos="3948"/>
        </w:tabs>
        <w:spacing w:after="0"/>
        <w:ind w:firstLine="709"/>
        <w:contextualSpacing/>
        <w:jc w:val="both"/>
        <w:rPr>
          <w:rFonts w:eastAsia="Calibri"/>
          <w:sz w:val="24"/>
          <w:szCs w:val="24"/>
          <w:lang w:val="ru-RU"/>
        </w:rPr>
      </w:pPr>
      <w:r>
        <w:rPr>
          <w:rFonts w:eastAsia="Calibri"/>
          <w:sz w:val="24"/>
          <w:szCs w:val="24"/>
          <w:lang w:val="ru-RU"/>
        </w:rPr>
        <w:t xml:space="preserve">По информации </w:t>
      </w:r>
      <w:r w:rsidR="00747A91">
        <w:rPr>
          <w:rFonts w:eastAsia="Calibri"/>
          <w:sz w:val="24"/>
          <w:szCs w:val="24"/>
          <w:lang w:val="ru-RU"/>
        </w:rPr>
        <w:t>к</w:t>
      </w:r>
      <w:r>
        <w:rPr>
          <w:rFonts w:eastAsia="Calibri"/>
          <w:sz w:val="24"/>
          <w:szCs w:val="24"/>
          <w:lang w:val="ru-RU"/>
        </w:rPr>
        <w:t>омитета</w:t>
      </w:r>
      <w:r w:rsidR="00747A91">
        <w:rPr>
          <w:rFonts w:eastAsia="Calibri"/>
          <w:sz w:val="24"/>
          <w:szCs w:val="24"/>
          <w:lang w:val="ru-RU"/>
        </w:rPr>
        <w:t xml:space="preserve"> строительства</w:t>
      </w:r>
      <w:r>
        <w:rPr>
          <w:rFonts w:eastAsia="Calibri"/>
          <w:sz w:val="24"/>
          <w:szCs w:val="24"/>
          <w:lang w:val="ru-RU"/>
        </w:rPr>
        <w:t xml:space="preserve"> о</w:t>
      </w:r>
      <w:r w:rsidRPr="002B1900">
        <w:rPr>
          <w:rFonts w:eastAsia="Calibri"/>
          <w:sz w:val="24"/>
          <w:szCs w:val="24"/>
          <w:lang w:val="ru-RU"/>
        </w:rPr>
        <w:t>бъект введен в эксплуатацию 19.01.2018 с отдельными недостатками (необходима частичная перекладка плитки, досыпка клумб грунтом, регулировка системы отопления), которые генеральный подрядчик ООО «Агромеханика-34» обяз</w:t>
      </w:r>
      <w:r>
        <w:rPr>
          <w:rFonts w:eastAsia="Calibri"/>
          <w:sz w:val="24"/>
          <w:szCs w:val="24"/>
          <w:lang w:val="ru-RU"/>
        </w:rPr>
        <w:t>ал</w:t>
      </w:r>
      <w:r w:rsidRPr="002B1900">
        <w:rPr>
          <w:rFonts w:eastAsia="Calibri"/>
          <w:sz w:val="24"/>
          <w:szCs w:val="24"/>
          <w:lang w:val="ru-RU"/>
        </w:rPr>
        <w:t>ся устранить не позднее 01.05.2018</w:t>
      </w:r>
      <w:r>
        <w:rPr>
          <w:rFonts w:eastAsia="Calibri"/>
          <w:sz w:val="24"/>
          <w:szCs w:val="24"/>
          <w:lang w:val="ru-RU"/>
        </w:rPr>
        <w:t>.</w:t>
      </w:r>
    </w:p>
    <w:p w:rsidR="00E616FA" w:rsidRPr="002B1900" w:rsidRDefault="00E616FA" w:rsidP="00E616FA">
      <w:pPr>
        <w:pStyle w:val="32"/>
        <w:tabs>
          <w:tab w:val="left" w:pos="3948"/>
        </w:tabs>
        <w:spacing w:after="0"/>
        <w:ind w:firstLine="709"/>
        <w:contextualSpacing/>
        <w:jc w:val="both"/>
        <w:rPr>
          <w:rFonts w:eastAsia="Calibri"/>
          <w:sz w:val="24"/>
          <w:szCs w:val="24"/>
          <w:lang w:val="ru-RU"/>
        </w:rPr>
      </w:pPr>
      <w:r w:rsidRPr="002B1900">
        <w:rPr>
          <w:rFonts w:eastAsia="Calibri"/>
          <w:sz w:val="24"/>
          <w:szCs w:val="24"/>
          <w:lang w:val="ru-RU"/>
        </w:rPr>
        <w:t>Законом о</w:t>
      </w:r>
      <w:r>
        <w:rPr>
          <w:rFonts w:eastAsia="Calibri"/>
          <w:sz w:val="24"/>
          <w:szCs w:val="24"/>
          <w:lang w:val="ru-RU"/>
        </w:rPr>
        <w:t>б областном</w:t>
      </w:r>
      <w:r w:rsidRPr="002B1900">
        <w:rPr>
          <w:rFonts w:eastAsia="Calibri"/>
          <w:sz w:val="24"/>
          <w:szCs w:val="24"/>
          <w:lang w:val="ru-RU"/>
        </w:rPr>
        <w:t xml:space="preserve"> бюджете на 2017 год</w:t>
      </w:r>
      <w:r>
        <w:rPr>
          <w:rFonts w:eastAsia="Calibri"/>
          <w:sz w:val="24"/>
          <w:szCs w:val="24"/>
          <w:lang w:val="ru-RU"/>
        </w:rPr>
        <w:t xml:space="preserve"> на</w:t>
      </w:r>
      <w:r w:rsidRPr="002B1900">
        <w:rPr>
          <w:rFonts w:eastAsia="Calibri"/>
          <w:sz w:val="24"/>
          <w:szCs w:val="24"/>
          <w:lang w:val="ru-RU"/>
        </w:rPr>
        <w:t xml:space="preserve"> </w:t>
      </w:r>
      <w:r>
        <w:rPr>
          <w:rFonts w:eastAsia="Calibri"/>
          <w:sz w:val="24"/>
          <w:szCs w:val="24"/>
          <w:lang w:val="ru-RU"/>
        </w:rPr>
        <w:t xml:space="preserve">строительство трех детских садов в жилых комплексах «Родниковая долина» и «Санаторный» (Волгоград), «Радужный» (Волжский) </w:t>
      </w:r>
      <w:r w:rsidRPr="002B1900">
        <w:rPr>
          <w:rFonts w:eastAsia="Calibri"/>
          <w:sz w:val="24"/>
          <w:szCs w:val="24"/>
          <w:lang w:val="ru-RU"/>
        </w:rPr>
        <w:t>предусм</w:t>
      </w:r>
      <w:r w:rsidR="0061629F">
        <w:rPr>
          <w:rFonts w:eastAsia="Calibri"/>
          <w:sz w:val="24"/>
          <w:szCs w:val="24"/>
          <w:lang w:val="ru-RU"/>
        </w:rPr>
        <w:t>атривались</w:t>
      </w:r>
      <w:r w:rsidRPr="002B1900">
        <w:rPr>
          <w:rFonts w:eastAsia="Calibri"/>
          <w:sz w:val="24"/>
          <w:szCs w:val="24"/>
          <w:lang w:val="ru-RU"/>
        </w:rPr>
        <w:t xml:space="preserve"> ассигнования в общей сумме 509</w:t>
      </w:r>
      <w:r w:rsidR="0061629F">
        <w:rPr>
          <w:rFonts w:eastAsia="Calibri"/>
          <w:sz w:val="24"/>
          <w:szCs w:val="24"/>
          <w:lang w:val="ru-RU"/>
        </w:rPr>
        <w:t>,5</w:t>
      </w:r>
      <w:r w:rsidRPr="002B1900">
        <w:rPr>
          <w:rFonts w:eastAsia="Calibri"/>
          <w:sz w:val="24"/>
          <w:szCs w:val="24"/>
          <w:lang w:val="ru-RU"/>
        </w:rPr>
        <w:t xml:space="preserve"> </w:t>
      </w:r>
      <w:r w:rsidR="0061629F">
        <w:rPr>
          <w:rFonts w:eastAsia="Calibri"/>
          <w:sz w:val="24"/>
          <w:szCs w:val="24"/>
          <w:lang w:val="ru-RU"/>
        </w:rPr>
        <w:t>млн</w:t>
      </w:r>
      <w:r w:rsidRPr="002B1900">
        <w:rPr>
          <w:rFonts w:eastAsia="Calibri"/>
          <w:sz w:val="24"/>
          <w:szCs w:val="24"/>
          <w:lang w:val="ru-RU"/>
        </w:rPr>
        <w:t>. руб., из них за счет средств федерального бюджета – 407</w:t>
      </w:r>
      <w:r w:rsidR="00C7125D">
        <w:rPr>
          <w:rFonts w:eastAsia="Calibri"/>
          <w:sz w:val="24"/>
          <w:szCs w:val="24"/>
          <w:lang w:val="ru-RU"/>
        </w:rPr>
        <w:t>,6</w:t>
      </w:r>
      <w:r w:rsidRPr="002B1900">
        <w:rPr>
          <w:rFonts w:eastAsia="Calibri"/>
          <w:sz w:val="24"/>
          <w:szCs w:val="24"/>
          <w:lang w:val="ru-RU"/>
        </w:rPr>
        <w:t xml:space="preserve"> </w:t>
      </w:r>
      <w:r w:rsidR="00C7125D">
        <w:rPr>
          <w:rFonts w:eastAsia="Calibri"/>
          <w:sz w:val="24"/>
          <w:szCs w:val="24"/>
          <w:lang w:val="ru-RU"/>
        </w:rPr>
        <w:t>млн</w:t>
      </w:r>
      <w:r w:rsidRPr="002B1900">
        <w:rPr>
          <w:rFonts w:eastAsia="Calibri"/>
          <w:sz w:val="24"/>
          <w:szCs w:val="24"/>
          <w:lang w:val="ru-RU"/>
        </w:rPr>
        <w:t>. рублей.</w:t>
      </w:r>
      <w:r>
        <w:rPr>
          <w:rFonts w:eastAsia="Calibri"/>
          <w:sz w:val="24"/>
          <w:szCs w:val="24"/>
          <w:lang w:val="ru-RU"/>
        </w:rPr>
        <w:t xml:space="preserve"> </w:t>
      </w:r>
      <w:r w:rsidR="000230A5">
        <w:rPr>
          <w:rFonts w:eastAsia="Calibri"/>
          <w:sz w:val="24"/>
          <w:szCs w:val="24"/>
          <w:lang w:val="ru-RU"/>
        </w:rPr>
        <w:t xml:space="preserve">Строительство указанных детских садов предусматривалось в </w:t>
      </w:r>
      <w:r w:rsidR="000230A5" w:rsidRPr="000F2625">
        <w:rPr>
          <w:rFonts w:eastAsia="Calibri"/>
          <w:sz w:val="24"/>
          <w:szCs w:val="24"/>
          <w:lang w:val="ru-RU"/>
        </w:rPr>
        <w:t xml:space="preserve">рамках подпрограммы «Стимулирование жилищного строительства» </w:t>
      </w:r>
      <w:r w:rsidR="000F2625">
        <w:rPr>
          <w:rFonts w:eastAsia="Calibri"/>
          <w:sz w:val="24"/>
          <w:szCs w:val="24"/>
          <w:lang w:val="ru-RU"/>
        </w:rPr>
        <w:t>г</w:t>
      </w:r>
      <w:r w:rsidR="000230A5" w:rsidRPr="000F2625">
        <w:rPr>
          <w:rFonts w:eastAsia="Calibri"/>
          <w:sz w:val="24"/>
          <w:szCs w:val="24"/>
          <w:lang w:val="ru-RU"/>
        </w:rPr>
        <w:t xml:space="preserve">оспрограммы </w:t>
      </w:r>
      <w:r w:rsidR="000F2625" w:rsidRPr="000F2625">
        <w:rPr>
          <w:sz w:val="24"/>
          <w:szCs w:val="24"/>
          <w:lang w:val="ru-RU" w:eastAsia="ru-RU"/>
        </w:rPr>
        <w:t>«Обеспечение доступным и комфортным жильем жителей Волгоградской области», утвержденной постановлением Администрации Волгоградской области от 08.02.2016 №46-п</w:t>
      </w:r>
      <w:r w:rsidR="000F2625">
        <w:rPr>
          <w:sz w:val="24"/>
          <w:szCs w:val="24"/>
          <w:lang w:val="ru-RU" w:eastAsia="ru-RU"/>
        </w:rPr>
        <w:t>.</w:t>
      </w:r>
      <w:r w:rsidR="000230A5">
        <w:rPr>
          <w:rFonts w:eastAsia="Calibri"/>
          <w:sz w:val="24"/>
          <w:szCs w:val="24"/>
          <w:lang w:val="ru-RU"/>
        </w:rPr>
        <w:t xml:space="preserve"> </w:t>
      </w:r>
      <w:r w:rsidR="000F2625">
        <w:rPr>
          <w:rFonts w:eastAsia="Calibri"/>
          <w:sz w:val="24"/>
          <w:szCs w:val="24"/>
          <w:lang w:val="ru-RU"/>
        </w:rPr>
        <w:t xml:space="preserve">В </w:t>
      </w:r>
      <w:r w:rsidR="00D46891">
        <w:rPr>
          <w:rFonts w:eastAsia="Calibri"/>
          <w:sz w:val="24"/>
          <w:szCs w:val="24"/>
          <w:lang w:val="ru-RU"/>
        </w:rPr>
        <w:t>течение года</w:t>
      </w:r>
      <w:r w:rsidR="000F2625">
        <w:rPr>
          <w:rFonts w:eastAsia="Calibri"/>
          <w:sz w:val="24"/>
          <w:szCs w:val="24"/>
          <w:lang w:val="ru-RU"/>
        </w:rPr>
        <w:t xml:space="preserve"> ассигнования</w:t>
      </w:r>
      <w:r>
        <w:rPr>
          <w:rFonts w:eastAsia="Calibri"/>
          <w:sz w:val="24"/>
          <w:szCs w:val="24"/>
          <w:lang w:val="ru-RU"/>
        </w:rPr>
        <w:t xml:space="preserve"> </w:t>
      </w:r>
      <w:r w:rsidRPr="002B1900">
        <w:rPr>
          <w:rFonts w:eastAsia="Calibri"/>
          <w:sz w:val="24"/>
          <w:szCs w:val="24"/>
          <w:lang w:val="ru-RU"/>
        </w:rPr>
        <w:t xml:space="preserve">на </w:t>
      </w:r>
      <w:r>
        <w:rPr>
          <w:rFonts w:eastAsia="Calibri"/>
          <w:sz w:val="24"/>
          <w:szCs w:val="24"/>
          <w:lang w:val="ru-RU"/>
        </w:rPr>
        <w:t>мероприятия</w:t>
      </w:r>
      <w:r w:rsidR="000F2625">
        <w:rPr>
          <w:rFonts w:eastAsia="Calibri"/>
          <w:sz w:val="24"/>
          <w:szCs w:val="24"/>
          <w:lang w:val="ru-RU"/>
        </w:rPr>
        <w:t xml:space="preserve"> подпрограммы</w:t>
      </w:r>
      <w:r w:rsidRPr="002B1900">
        <w:rPr>
          <w:rFonts w:eastAsia="Calibri"/>
          <w:sz w:val="24"/>
          <w:szCs w:val="24"/>
          <w:lang w:val="ru-RU"/>
        </w:rPr>
        <w:t xml:space="preserve"> </w:t>
      </w:r>
      <w:r>
        <w:rPr>
          <w:rFonts w:eastAsia="Calibri"/>
          <w:sz w:val="24"/>
          <w:szCs w:val="24"/>
          <w:lang w:val="ru-RU"/>
        </w:rPr>
        <w:lastRenderedPageBreak/>
        <w:t>уменьшены до</w:t>
      </w:r>
      <w:r w:rsidRPr="002B1900">
        <w:rPr>
          <w:rFonts w:eastAsia="Calibri"/>
          <w:sz w:val="24"/>
          <w:szCs w:val="24"/>
          <w:lang w:val="ru-RU"/>
        </w:rPr>
        <w:t xml:space="preserve"> 482</w:t>
      </w:r>
      <w:r w:rsidR="000F2625">
        <w:rPr>
          <w:rFonts w:eastAsia="Calibri"/>
          <w:sz w:val="24"/>
          <w:szCs w:val="24"/>
          <w:lang w:val="ru-RU"/>
        </w:rPr>
        <w:t>,7</w:t>
      </w:r>
      <w:r w:rsidRPr="002B1900">
        <w:rPr>
          <w:rFonts w:eastAsia="Calibri"/>
          <w:sz w:val="24"/>
          <w:szCs w:val="24"/>
          <w:lang w:val="ru-RU"/>
        </w:rPr>
        <w:t xml:space="preserve"> </w:t>
      </w:r>
      <w:r w:rsidR="000F2625">
        <w:rPr>
          <w:rFonts w:eastAsia="Calibri"/>
          <w:sz w:val="24"/>
          <w:szCs w:val="24"/>
          <w:lang w:val="ru-RU"/>
        </w:rPr>
        <w:t>млн</w:t>
      </w:r>
      <w:r w:rsidRPr="002B1900">
        <w:rPr>
          <w:rFonts w:eastAsia="Calibri"/>
          <w:sz w:val="24"/>
          <w:szCs w:val="24"/>
          <w:lang w:val="ru-RU"/>
        </w:rPr>
        <w:t>. руб.</w:t>
      </w:r>
      <w:r>
        <w:rPr>
          <w:rFonts w:eastAsia="Calibri"/>
          <w:sz w:val="24"/>
          <w:szCs w:val="24"/>
          <w:lang w:val="ru-RU"/>
        </w:rPr>
        <w:t>,</w:t>
      </w:r>
      <w:r w:rsidRPr="002B1900">
        <w:rPr>
          <w:rFonts w:eastAsia="Calibri"/>
          <w:sz w:val="24"/>
          <w:szCs w:val="24"/>
          <w:lang w:val="ru-RU"/>
        </w:rPr>
        <w:t xml:space="preserve"> или на 26</w:t>
      </w:r>
      <w:r w:rsidR="000F2625">
        <w:rPr>
          <w:rFonts w:eastAsia="Calibri"/>
          <w:sz w:val="24"/>
          <w:szCs w:val="24"/>
          <w:lang w:val="ru-RU"/>
        </w:rPr>
        <w:t>,8</w:t>
      </w:r>
      <w:r w:rsidRPr="002B1900">
        <w:rPr>
          <w:rFonts w:eastAsia="Calibri"/>
          <w:sz w:val="24"/>
          <w:szCs w:val="24"/>
          <w:lang w:val="ru-RU"/>
        </w:rPr>
        <w:t xml:space="preserve"> </w:t>
      </w:r>
      <w:r w:rsidR="000F2625">
        <w:rPr>
          <w:rFonts w:eastAsia="Calibri"/>
          <w:sz w:val="24"/>
          <w:szCs w:val="24"/>
          <w:lang w:val="ru-RU"/>
        </w:rPr>
        <w:t>млн</w:t>
      </w:r>
      <w:r w:rsidRPr="002B1900">
        <w:rPr>
          <w:rFonts w:eastAsia="Calibri"/>
          <w:sz w:val="24"/>
          <w:szCs w:val="24"/>
          <w:lang w:val="ru-RU"/>
        </w:rPr>
        <w:t xml:space="preserve">. руб. </w:t>
      </w:r>
      <w:r>
        <w:rPr>
          <w:rFonts w:eastAsia="Calibri"/>
          <w:sz w:val="24"/>
          <w:szCs w:val="24"/>
          <w:lang w:val="ru-RU"/>
        </w:rPr>
        <w:t xml:space="preserve">в связи с их </w:t>
      </w:r>
      <w:r w:rsidRPr="002B1900">
        <w:rPr>
          <w:rFonts w:eastAsia="Calibri"/>
          <w:sz w:val="24"/>
          <w:szCs w:val="24"/>
          <w:lang w:val="ru-RU"/>
        </w:rPr>
        <w:t>перераспределен</w:t>
      </w:r>
      <w:r>
        <w:rPr>
          <w:rFonts w:eastAsia="Calibri"/>
          <w:sz w:val="24"/>
          <w:szCs w:val="24"/>
          <w:lang w:val="ru-RU"/>
        </w:rPr>
        <w:t xml:space="preserve">ием на подраздел 0503 «Благоустройство» </w:t>
      </w:r>
      <w:r w:rsidRPr="002B1900">
        <w:rPr>
          <w:rFonts w:eastAsia="Calibri"/>
          <w:sz w:val="24"/>
          <w:szCs w:val="24"/>
          <w:lang w:val="ru-RU"/>
        </w:rPr>
        <w:t xml:space="preserve">на строительство участка дороги </w:t>
      </w:r>
      <w:r w:rsidR="00546A79">
        <w:rPr>
          <w:rFonts w:eastAsia="Calibri"/>
          <w:sz w:val="24"/>
          <w:szCs w:val="24"/>
          <w:lang w:val="ru-RU"/>
        </w:rPr>
        <w:t xml:space="preserve">в </w:t>
      </w:r>
      <w:r>
        <w:rPr>
          <w:rFonts w:eastAsia="Calibri"/>
          <w:sz w:val="24"/>
          <w:szCs w:val="24"/>
          <w:lang w:val="ru-RU"/>
        </w:rPr>
        <w:t>жило</w:t>
      </w:r>
      <w:r w:rsidR="00546A79">
        <w:rPr>
          <w:rFonts w:eastAsia="Calibri"/>
          <w:sz w:val="24"/>
          <w:szCs w:val="24"/>
          <w:lang w:val="ru-RU"/>
        </w:rPr>
        <w:t>м</w:t>
      </w:r>
      <w:r>
        <w:rPr>
          <w:rFonts w:eastAsia="Calibri"/>
          <w:sz w:val="24"/>
          <w:szCs w:val="24"/>
          <w:lang w:val="ru-RU"/>
        </w:rPr>
        <w:t xml:space="preserve"> район</w:t>
      </w:r>
      <w:r w:rsidR="00546A79">
        <w:rPr>
          <w:rFonts w:eastAsia="Calibri"/>
          <w:sz w:val="24"/>
          <w:szCs w:val="24"/>
          <w:lang w:val="ru-RU"/>
        </w:rPr>
        <w:t>е</w:t>
      </w:r>
      <w:r>
        <w:rPr>
          <w:rFonts w:eastAsia="Calibri"/>
          <w:sz w:val="24"/>
          <w:szCs w:val="24"/>
          <w:lang w:val="ru-RU"/>
        </w:rPr>
        <w:t xml:space="preserve"> «Родниковая долина»</w:t>
      </w:r>
      <w:r w:rsidRPr="002B1900">
        <w:rPr>
          <w:rFonts w:eastAsia="Calibri"/>
          <w:sz w:val="24"/>
          <w:szCs w:val="24"/>
          <w:lang w:val="ru-RU"/>
        </w:rPr>
        <w:t>.</w:t>
      </w:r>
    </w:p>
    <w:p w:rsidR="00E616FA" w:rsidRPr="002B1900" w:rsidRDefault="00E616FA" w:rsidP="00E616FA">
      <w:pPr>
        <w:pStyle w:val="32"/>
        <w:tabs>
          <w:tab w:val="left" w:pos="3948"/>
        </w:tabs>
        <w:spacing w:after="0"/>
        <w:ind w:firstLine="709"/>
        <w:contextualSpacing/>
        <w:jc w:val="both"/>
        <w:rPr>
          <w:rFonts w:eastAsia="Calibri"/>
          <w:sz w:val="24"/>
          <w:szCs w:val="24"/>
          <w:lang w:val="ru-RU"/>
        </w:rPr>
      </w:pPr>
      <w:proofErr w:type="gramStart"/>
      <w:r w:rsidRPr="002B1900">
        <w:rPr>
          <w:rFonts w:eastAsia="Calibri"/>
          <w:sz w:val="24"/>
          <w:szCs w:val="24"/>
          <w:lang w:val="ru-RU"/>
        </w:rPr>
        <w:t xml:space="preserve">В соответствии с </w:t>
      </w:r>
      <w:r w:rsidR="00D46891">
        <w:rPr>
          <w:rFonts w:eastAsia="Calibri"/>
          <w:sz w:val="24"/>
          <w:szCs w:val="24"/>
          <w:lang w:val="ru-RU"/>
        </w:rPr>
        <w:t>с</w:t>
      </w:r>
      <w:r w:rsidRPr="002B1900">
        <w:rPr>
          <w:rFonts w:eastAsia="Calibri"/>
          <w:sz w:val="24"/>
          <w:szCs w:val="24"/>
          <w:lang w:val="ru-RU"/>
        </w:rPr>
        <w:t>оглашением от 17.02.2017</w:t>
      </w:r>
      <w:r w:rsidR="00D46891">
        <w:rPr>
          <w:rFonts w:eastAsia="Calibri"/>
          <w:sz w:val="24"/>
          <w:szCs w:val="24"/>
          <w:lang w:val="ru-RU"/>
        </w:rPr>
        <w:t>, заключенным</w:t>
      </w:r>
      <w:r w:rsidRPr="002B1900">
        <w:rPr>
          <w:rFonts w:eastAsia="Calibri"/>
          <w:sz w:val="24"/>
          <w:szCs w:val="24"/>
          <w:lang w:val="ru-RU"/>
        </w:rPr>
        <w:t xml:space="preserve"> между Минстроем РФ и Администрацией Волгоградской области (в редакции дополнительных соглашений от 14.06.2017, 30.08.2017 и 20.09.2017)</w:t>
      </w:r>
      <w:r w:rsidR="00D46891">
        <w:rPr>
          <w:rFonts w:eastAsia="Calibri"/>
          <w:sz w:val="24"/>
          <w:szCs w:val="24"/>
          <w:lang w:val="ru-RU"/>
        </w:rPr>
        <w:t>,</w:t>
      </w:r>
      <w:r>
        <w:rPr>
          <w:rFonts w:eastAsia="Calibri"/>
          <w:sz w:val="24"/>
          <w:szCs w:val="24"/>
          <w:lang w:val="ru-RU"/>
        </w:rPr>
        <w:t xml:space="preserve"> объем</w:t>
      </w:r>
      <w:r w:rsidRPr="002B1900">
        <w:rPr>
          <w:rFonts w:eastAsia="Calibri"/>
          <w:sz w:val="24"/>
          <w:szCs w:val="24"/>
          <w:lang w:val="ru-RU"/>
        </w:rPr>
        <w:t xml:space="preserve"> финансирования расходов </w:t>
      </w:r>
      <w:r>
        <w:rPr>
          <w:rFonts w:eastAsia="Calibri"/>
          <w:sz w:val="24"/>
          <w:szCs w:val="24"/>
          <w:lang w:val="ru-RU"/>
        </w:rPr>
        <w:t xml:space="preserve">на строительство детских садов </w:t>
      </w:r>
      <w:r w:rsidRPr="002B1900">
        <w:rPr>
          <w:rFonts w:eastAsia="Calibri"/>
          <w:sz w:val="24"/>
          <w:szCs w:val="24"/>
          <w:lang w:val="ru-RU"/>
        </w:rPr>
        <w:t>состав</w:t>
      </w:r>
      <w:r>
        <w:rPr>
          <w:rFonts w:eastAsia="Calibri"/>
          <w:sz w:val="24"/>
          <w:szCs w:val="24"/>
          <w:lang w:val="ru-RU"/>
        </w:rPr>
        <w:t>ил</w:t>
      </w:r>
      <w:r w:rsidRPr="002B1900">
        <w:rPr>
          <w:rFonts w:eastAsia="Calibri"/>
          <w:sz w:val="24"/>
          <w:szCs w:val="24"/>
          <w:lang w:val="ru-RU"/>
        </w:rPr>
        <w:t xml:space="preserve"> 482</w:t>
      </w:r>
      <w:r w:rsidR="00D46891">
        <w:rPr>
          <w:rFonts w:eastAsia="Calibri"/>
          <w:sz w:val="24"/>
          <w:szCs w:val="24"/>
          <w:lang w:val="ru-RU"/>
        </w:rPr>
        <w:t>,7 млн</w:t>
      </w:r>
      <w:r w:rsidRPr="002B1900">
        <w:rPr>
          <w:rFonts w:eastAsia="Calibri"/>
          <w:sz w:val="24"/>
          <w:szCs w:val="24"/>
          <w:lang w:val="ru-RU"/>
        </w:rPr>
        <w:t>. руб., в том числе за счет средств федерального бюджета</w:t>
      </w:r>
      <w:r>
        <w:rPr>
          <w:rFonts w:eastAsia="Calibri"/>
          <w:sz w:val="24"/>
          <w:szCs w:val="24"/>
          <w:lang w:val="ru-RU"/>
        </w:rPr>
        <w:t xml:space="preserve"> –</w:t>
      </w:r>
      <w:r w:rsidRPr="002B1900">
        <w:rPr>
          <w:rFonts w:eastAsia="Calibri"/>
          <w:sz w:val="24"/>
          <w:szCs w:val="24"/>
          <w:lang w:val="ru-RU"/>
        </w:rPr>
        <w:t xml:space="preserve"> 386</w:t>
      </w:r>
      <w:r w:rsidR="00D46891">
        <w:rPr>
          <w:rFonts w:eastAsia="Calibri"/>
          <w:sz w:val="24"/>
          <w:szCs w:val="24"/>
          <w:lang w:val="ru-RU"/>
        </w:rPr>
        <w:t>,2</w:t>
      </w:r>
      <w:r w:rsidRPr="002B1900">
        <w:rPr>
          <w:rFonts w:eastAsia="Calibri"/>
          <w:sz w:val="24"/>
          <w:szCs w:val="24"/>
          <w:lang w:val="ru-RU"/>
        </w:rPr>
        <w:t xml:space="preserve"> </w:t>
      </w:r>
      <w:r w:rsidR="00D46891">
        <w:rPr>
          <w:rFonts w:eastAsia="Calibri"/>
          <w:sz w:val="24"/>
          <w:szCs w:val="24"/>
          <w:lang w:val="ru-RU"/>
        </w:rPr>
        <w:t>млн</w:t>
      </w:r>
      <w:r w:rsidRPr="002B1900">
        <w:rPr>
          <w:rFonts w:eastAsia="Calibri"/>
          <w:sz w:val="24"/>
          <w:szCs w:val="24"/>
          <w:lang w:val="ru-RU"/>
        </w:rPr>
        <w:t>. руб.</w:t>
      </w:r>
      <w:r w:rsidR="00D46891">
        <w:rPr>
          <w:rFonts w:eastAsia="Calibri"/>
          <w:sz w:val="24"/>
          <w:szCs w:val="24"/>
          <w:lang w:val="ru-RU"/>
        </w:rPr>
        <w:t>,</w:t>
      </w:r>
      <w:r w:rsidRPr="002B1900">
        <w:rPr>
          <w:rFonts w:eastAsia="Calibri"/>
          <w:sz w:val="24"/>
          <w:szCs w:val="24"/>
          <w:lang w:val="ru-RU"/>
        </w:rPr>
        <w:t xml:space="preserve"> за счет областного бюджета </w:t>
      </w:r>
      <w:r>
        <w:rPr>
          <w:rFonts w:eastAsia="Calibri"/>
          <w:sz w:val="24"/>
          <w:szCs w:val="24"/>
          <w:lang w:val="ru-RU"/>
        </w:rPr>
        <w:t xml:space="preserve">– </w:t>
      </w:r>
      <w:r w:rsidRPr="002B1900">
        <w:rPr>
          <w:rFonts w:eastAsia="Calibri"/>
          <w:sz w:val="24"/>
          <w:szCs w:val="24"/>
          <w:lang w:val="ru-RU"/>
        </w:rPr>
        <w:t>96</w:t>
      </w:r>
      <w:r w:rsidR="00D46891">
        <w:rPr>
          <w:rFonts w:eastAsia="Calibri"/>
          <w:sz w:val="24"/>
          <w:szCs w:val="24"/>
          <w:lang w:val="ru-RU"/>
        </w:rPr>
        <w:t>,</w:t>
      </w:r>
      <w:r w:rsidRPr="002B1900">
        <w:rPr>
          <w:rFonts w:eastAsia="Calibri"/>
          <w:sz w:val="24"/>
          <w:szCs w:val="24"/>
          <w:lang w:val="ru-RU"/>
        </w:rPr>
        <w:t xml:space="preserve">5 </w:t>
      </w:r>
      <w:r w:rsidR="00D46891">
        <w:rPr>
          <w:rFonts w:eastAsia="Calibri"/>
          <w:sz w:val="24"/>
          <w:szCs w:val="24"/>
          <w:lang w:val="ru-RU"/>
        </w:rPr>
        <w:t>млн</w:t>
      </w:r>
      <w:r w:rsidRPr="002B1900">
        <w:rPr>
          <w:rFonts w:eastAsia="Calibri"/>
          <w:sz w:val="24"/>
          <w:szCs w:val="24"/>
          <w:lang w:val="ru-RU"/>
        </w:rPr>
        <w:t>. руб.:</w:t>
      </w:r>
      <w:proofErr w:type="gramEnd"/>
    </w:p>
    <w:p w:rsidR="00E616FA" w:rsidRPr="00C94709" w:rsidRDefault="00E616FA" w:rsidP="00E616FA">
      <w:pPr>
        <w:pStyle w:val="32"/>
        <w:tabs>
          <w:tab w:val="left" w:pos="3948"/>
        </w:tabs>
        <w:spacing w:after="0"/>
        <w:ind w:firstLine="709"/>
        <w:contextualSpacing/>
        <w:jc w:val="both"/>
        <w:rPr>
          <w:rFonts w:eastAsia="Calibri"/>
          <w:sz w:val="24"/>
          <w:szCs w:val="24"/>
          <w:lang w:val="ru-RU"/>
        </w:rPr>
      </w:pPr>
      <w:r w:rsidRPr="00C94709">
        <w:rPr>
          <w:rFonts w:eastAsia="Calibri"/>
          <w:sz w:val="24"/>
          <w:szCs w:val="24"/>
          <w:lang w:val="ru-RU"/>
        </w:rPr>
        <w:t xml:space="preserve">-ДОУ на 245 мест в жилом районе «Родниковая Долина» в Советском районе Волгограда </w:t>
      </w:r>
      <w:r>
        <w:rPr>
          <w:rFonts w:eastAsia="Calibri"/>
          <w:sz w:val="24"/>
          <w:szCs w:val="24"/>
          <w:lang w:val="ru-RU"/>
        </w:rPr>
        <w:t>-</w:t>
      </w:r>
      <w:r w:rsidRPr="00C94709">
        <w:rPr>
          <w:rFonts w:eastAsia="Calibri"/>
          <w:sz w:val="24"/>
          <w:szCs w:val="24"/>
          <w:lang w:val="ru-RU"/>
        </w:rPr>
        <w:t xml:space="preserve"> 143 </w:t>
      </w:r>
      <w:r w:rsidR="00D46891">
        <w:rPr>
          <w:rFonts w:eastAsia="Calibri"/>
          <w:sz w:val="24"/>
          <w:szCs w:val="24"/>
          <w:lang w:val="ru-RU"/>
        </w:rPr>
        <w:t>млн</w:t>
      </w:r>
      <w:r w:rsidRPr="00C94709">
        <w:rPr>
          <w:rFonts w:eastAsia="Calibri"/>
          <w:sz w:val="24"/>
          <w:szCs w:val="24"/>
          <w:lang w:val="ru-RU"/>
        </w:rPr>
        <w:t>. руб., из них средств</w:t>
      </w:r>
      <w:r w:rsidR="00D46891">
        <w:rPr>
          <w:rFonts w:eastAsia="Calibri"/>
          <w:sz w:val="24"/>
          <w:szCs w:val="24"/>
          <w:lang w:val="ru-RU"/>
        </w:rPr>
        <w:t>а</w:t>
      </w:r>
      <w:r w:rsidRPr="00C94709">
        <w:rPr>
          <w:rFonts w:eastAsia="Calibri"/>
          <w:sz w:val="24"/>
          <w:szCs w:val="24"/>
          <w:lang w:val="ru-RU"/>
        </w:rPr>
        <w:t xml:space="preserve"> федерального бюджета – 114</w:t>
      </w:r>
      <w:r w:rsidR="00D46891">
        <w:rPr>
          <w:rFonts w:eastAsia="Calibri"/>
          <w:sz w:val="24"/>
          <w:szCs w:val="24"/>
          <w:lang w:val="ru-RU"/>
        </w:rPr>
        <w:t>,</w:t>
      </w:r>
      <w:r w:rsidRPr="00C94709">
        <w:rPr>
          <w:rFonts w:eastAsia="Calibri"/>
          <w:sz w:val="24"/>
          <w:szCs w:val="24"/>
          <w:lang w:val="ru-RU"/>
        </w:rPr>
        <w:t xml:space="preserve">4 </w:t>
      </w:r>
      <w:r w:rsidR="00D46891">
        <w:rPr>
          <w:rFonts w:eastAsia="Calibri"/>
          <w:sz w:val="24"/>
          <w:szCs w:val="24"/>
          <w:lang w:val="ru-RU"/>
        </w:rPr>
        <w:t>млн</w:t>
      </w:r>
      <w:r w:rsidRPr="00C94709">
        <w:rPr>
          <w:rFonts w:eastAsia="Calibri"/>
          <w:sz w:val="24"/>
          <w:szCs w:val="24"/>
          <w:lang w:val="ru-RU"/>
        </w:rPr>
        <w:t>. руб.;</w:t>
      </w:r>
    </w:p>
    <w:p w:rsidR="00E616FA" w:rsidRPr="00C94709" w:rsidRDefault="00E616FA" w:rsidP="00E616FA">
      <w:pPr>
        <w:pStyle w:val="32"/>
        <w:tabs>
          <w:tab w:val="left" w:pos="3948"/>
        </w:tabs>
        <w:spacing w:after="0"/>
        <w:ind w:firstLine="709"/>
        <w:contextualSpacing/>
        <w:jc w:val="both"/>
        <w:rPr>
          <w:rFonts w:eastAsia="Calibri"/>
          <w:sz w:val="24"/>
          <w:szCs w:val="24"/>
          <w:lang w:val="ru-RU"/>
        </w:rPr>
      </w:pPr>
      <w:r w:rsidRPr="00C94709">
        <w:rPr>
          <w:rFonts w:eastAsia="Calibri"/>
          <w:sz w:val="24"/>
          <w:szCs w:val="24"/>
          <w:lang w:val="ru-RU"/>
        </w:rPr>
        <w:t xml:space="preserve">-ДОУ на 260 мест в ЖК «Санаторной» в Кировском районе Волгограда </w:t>
      </w:r>
      <w:r w:rsidR="00D46891">
        <w:rPr>
          <w:rFonts w:eastAsia="Calibri"/>
          <w:sz w:val="24"/>
          <w:szCs w:val="24"/>
          <w:lang w:val="ru-RU"/>
        </w:rPr>
        <w:t>–</w:t>
      </w:r>
      <w:r w:rsidRPr="00C94709">
        <w:rPr>
          <w:rFonts w:eastAsia="Calibri"/>
          <w:sz w:val="24"/>
          <w:szCs w:val="24"/>
          <w:lang w:val="ru-RU"/>
        </w:rPr>
        <w:t xml:space="preserve"> 169</w:t>
      </w:r>
      <w:r w:rsidR="00D46891">
        <w:rPr>
          <w:rFonts w:eastAsia="Calibri"/>
          <w:sz w:val="24"/>
          <w:szCs w:val="24"/>
          <w:lang w:val="ru-RU"/>
        </w:rPr>
        <w:t>,</w:t>
      </w:r>
      <w:r w:rsidRPr="00C94709">
        <w:rPr>
          <w:rFonts w:eastAsia="Calibri"/>
          <w:sz w:val="24"/>
          <w:szCs w:val="24"/>
          <w:lang w:val="ru-RU"/>
        </w:rPr>
        <w:t xml:space="preserve">8 </w:t>
      </w:r>
      <w:r w:rsidR="00D46891">
        <w:rPr>
          <w:rFonts w:eastAsia="Calibri"/>
          <w:sz w:val="24"/>
          <w:szCs w:val="24"/>
          <w:lang w:val="ru-RU"/>
        </w:rPr>
        <w:t>млн</w:t>
      </w:r>
      <w:r w:rsidRPr="00C94709">
        <w:rPr>
          <w:rFonts w:eastAsia="Calibri"/>
          <w:sz w:val="24"/>
          <w:szCs w:val="24"/>
          <w:lang w:val="ru-RU"/>
        </w:rPr>
        <w:t>. руб., из них средств</w:t>
      </w:r>
      <w:r w:rsidR="00D46891">
        <w:rPr>
          <w:rFonts w:eastAsia="Calibri"/>
          <w:sz w:val="24"/>
          <w:szCs w:val="24"/>
          <w:lang w:val="ru-RU"/>
        </w:rPr>
        <w:t>а</w:t>
      </w:r>
      <w:r w:rsidRPr="00C94709">
        <w:rPr>
          <w:rFonts w:eastAsia="Calibri"/>
          <w:sz w:val="24"/>
          <w:szCs w:val="24"/>
          <w:lang w:val="ru-RU"/>
        </w:rPr>
        <w:t xml:space="preserve"> федерального бюджета – 135</w:t>
      </w:r>
      <w:r w:rsidR="00D46891">
        <w:rPr>
          <w:rFonts w:eastAsia="Calibri"/>
          <w:sz w:val="24"/>
          <w:szCs w:val="24"/>
          <w:lang w:val="ru-RU"/>
        </w:rPr>
        <w:t>,9</w:t>
      </w:r>
      <w:r w:rsidRPr="00C94709">
        <w:rPr>
          <w:rFonts w:eastAsia="Calibri"/>
          <w:sz w:val="24"/>
          <w:szCs w:val="24"/>
          <w:lang w:val="ru-RU"/>
        </w:rPr>
        <w:t xml:space="preserve"> </w:t>
      </w:r>
      <w:r w:rsidR="00D46891">
        <w:rPr>
          <w:rFonts w:eastAsia="Calibri"/>
          <w:sz w:val="24"/>
          <w:szCs w:val="24"/>
          <w:lang w:val="ru-RU"/>
        </w:rPr>
        <w:t>млн</w:t>
      </w:r>
      <w:r w:rsidRPr="00C94709">
        <w:rPr>
          <w:rFonts w:eastAsia="Calibri"/>
          <w:sz w:val="24"/>
          <w:szCs w:val="24"/>
          <w:lang w:val="ru-RU"/>
        </w:rPr>
        <w:t>. руб.;</w:t>
      </w:r>
    </w:p>
    <w:p w:rsidR="00E616FA" w:rsidRDefault="00E616FA" w:rsidP="00E616FA">
      <w:pPr>
        <w:pStyle w:val="32"/>
        <w:tabs>
          <w:tab w:val="left" w:pos="3948"/>
        </w:tabs>
        <w:spacing w:after="0"/>
        <w:ind w:firstLine="709"/>
        <w:contextualSpacing/>
        <w:jc w:val="both"/>
        <w:rPr>
          <w:rFonts w:eastAsia="Calibri"/>
          <w:sz w:val="24"/>
          <w:szCs w:val="24"/>
          <w:lang w:val="ru-RU"/>
        </w:rPr>
      </w:pPr>
      <w:r w:rsidRPr="00C94709">
        <w:rPr>
          <w:rFonts w:eastAsia="Calibri"/>
          <w:sz w:val="24"/>
          <w:szCs w:val="24"/>
          <w:lang w:val="ru-RU"/>
        </w:rPr>
        <w:t xml:space="preserve">-ДОУ на 240 мест по ул. им. </w:t>
      </w:r>
      <w:r w:rsidR="00D46891">
        <w:rPr>
          <w:rFonts w:eastAsia="Calibri"/>
          <w:sz w:val="24"/>
          <w:szCs w:val="24"/>
          <w:lang w:val="ru-RU"/>
        </w:rPr>
        <w:t>г</w:t>
      </w:r>
      <w:r w:rsidRPr="00C94709">
        <w:rPr>
          <w:rFonts w:eastAsia="Calibri"/>
          <w:sz w:val="24"/>
          <w:szCs w:val="24"/>
          <w:lang w:val="ru-RU"/>
        </w:rPr>
        <w:t xml:space="preserve">енерала </w:t>
      </w:r>
      <w:proofErr w:type="spellStart"/>
      <w:r w:rsidRPr="00C94709">
        <w:rPr>
          <w:rFonts w:eastAsia="Calibri"/>
          <w:sz w:val="24"/>
          <w:szCs w:val="24"/>
          <w:lang w:val="ru-RU"/>
        </w:rPr>
        <w:t>Карбышева</w:t>
      </w:r>
      <w:proofErr w:type="spellEnd"/>
      <w:r w:rsidRPr="00C94709">
        <w:rPr>
          <w:rFonts w:eastAsia="Calibri"/>
          <w:sz w:val="24"/>
          <w:szCs w:val="24"/>
          <w:lang w:val="ru-RU"/>
        </w:rPr>
        <w:t xml:space="preserve">, 122 </w:t>
      </w:r>
      <w:r w:rsidRPr="00763820">
        <w:rPr>
          <w:rFonts w:eastAsia="Calibri"/>
          <w:sz w:val="24"/>
          <w:szCs w:val="24"/>
          <w:lang w:val="ru-RU"/>
        </w:rPr>
        <w:t xml:space="preserve"> </w:t>
      </w:r>
      <w:r w:rsidRPr="00C94709">
        <w:rPr>
          <w:rFonts w:eastAsia="Calibri"/>
          <w:sz w:val="24"/>
          <w:szCs w:val="24"/>
          <w:lang w:val="ru-RU"/>
        </w:rPr>
        <w:t xml:space="preserve">в </w:t>
      </w:r>
      <w:proofErr w:type="gramStart"/>
      <w:r w:rsidRPr="00C94709">
        <w:rPr>
          <w:rFonts w:eastAsia="Calibri"/>
          <w:sz w:val="24"/>
          <w:szCs w:val="24"/>
          <w:lang w:val="ru-RU"/>
        </w:rPr>
        <w:t>г</w:t>
      </w:r>
      <w:proofErr w:type="gramEnd"/>
      <w:r w:rsidRPr="00C94709">
        <w:rPr>
          <w:rFonts w:eastAsia="Calibri"/>
          <w:sz w:val="24"/>
          <w:szCs w:val="24"/>
          <w:lang w:val="ru-RU"/>
        </w:rPr>
        <w:t>. Волжском</w:t>
      </w:r>
      <w:r>
        <w:rPr>
          <w:rFonts w:eastAsia="Calibri"/>
          <w:sz w:val="24"/>
          <w:szCs w:val="24"/>
          <w:lang w:val="ru-RU"/>
        </w:rPr>
        <w:t xml:space="preserve"> </w:t>
      </w:r>
      <w:r w:rsidR="00D46891">
        <w:rPr>
          <w:rFonts w:eastAsia="Calibri"/>
          <w:sz w:val="24"/>
          <w:szCs w:val="24"/>
          <w:lang w:val="ru-RU"/>
        </w:rPr>
        <w:t>–</w:t>
      </w:r>
      <w:r w:rsidRPr="00C94709">
        <w:rPr>
          <w:rFonts w:eastAsia="Calibri"/>
          <w:sz w:val="24"/>
          <w:szCs w:val="24"/>
          <w:lang w:val="ru-RU"/>
        </w:rPr>
        <w:t xml:space="preserve"> 169</w:t>
      </w:r>
      <w:r w:rsidR="00D46891">
        <w:rPr>
          <w:rFonts w:eastAsia="Calibri"/>
          <w:sz w:val="24"/>
          <w:szCs w:val="24"/>
          <w:lang w:val="ru-RU"/>
        </w:rPr>
        <w:t>,</w:t>
      </w:r>
      <w:r w:rsidRPr="00C94709">
        <w:rPr>
          <w:rFonts w:eastAsia="Calibri"/>
          <w:sz w:val="24"/>
          <w:szCs w:val="24"/>
          <w:lang w:val="ru-RU"/>
        </w:rPr>
        <w:t xml:space="preserve">8 </w:t>
      </w:r>
      <w:r w:rsidR="00D46891">
        <w:rPr>
          <w:rFonts w:eastAsia="Calibri"/>
          <w:sz w:val="24"/>
          <w:szCs w:val="24"/>
          <w:lang w:val="ru-RU"/>
        </w:rPr>
        <w:t>млн</w:t>
      </w:r>
      <w:r w:rsidRPr="00C94709">
        <w:rPr>
          <w:rFonts w:eastAsia="Calibri"/>
          <w:sz w:val="24"/>
          <w:szCs w:val="24"/>
          <w:lang w:val="ru-RU"/>
        </w:rPr>
        <w:t>.</w:t>
      </w:r>
      <w:r>
        <w:rPr>
          <w:rFonts w:eastAsia="Calibri"/>
          <w:sz w:val="24"/>
          <w:szCs w:val="24"/>
          <w:lang w:val="ru-RU"/>
        </w:rPr>
        <w:t> </w:t>
      </w:r>
      <w:r w:rsidRPr="00C94709">
        <w:rPr>
          <w:rFonts w:eastAsia="Calibri"/>
          <w:sz w:val="24"/>
          <w:szCs w:val="24"/>
          <w:lang w:val="ru-RU"/>
        </w:rPr>
        <w:t>руб., из них средств</w:t>
      </w:r>
      <w:r w:rsidR="00D46891">
        <w:rPr>
          <w:rFonts w:eastAsia="Calibri"/>
          <w:sz w:val="24"/>
          <w:szCs w:val="24"/>
          <w:lang w:val="ru-RU"/>
        </w:rPr>
        <w:t>а</w:t>
      </w:r>
      <w:r w:rsidRPr="00C94709">
        <w:rPr>
          <w:rFonts w:eastAsia="Calibri"/>
          <w:sz w:val="24"/>
          <w:szCs w:val="24"/>
          <w:lang w:val="ru-RU"/>
        </w:rPr>
        <w:t xml:space="preserve"> федерального бюджета – 135,9 </w:t>
      </w:r>
      <w:r w:rsidR="00D46891">
        <w:rPr>
          <w:rFonts w:eastAsia="Calibri"/>
          <w:sz w:val="24"/>
          <w:szCs w:val="24"/>
          <w:lang w:val="ru-RU"/>
        </w:rPr>
        <w:t>млн</w:t>
      </w:r>
      <w:r w:rsidRPr="00C94709">
        <w:rPr>
          <w:rFonts w:eastAsia="Calibri"/>
          <w:sz w:val="24"/>
          <w:szCs w:val="24"/>
          <w:lang w:val="ru-RU"/>
        </w:rPr>
        <w:t>. рублей.</w:t>
      </w:r>
    </w:p>
    <w:p w:rsidR="00E616FA" w:rsidRPr="002B1900" w:rsidRDefault="00E616FA" w:rsidP="00E616FA">
      <w:pPr>
        <w:pStyle w:val="32"/>
        <w:tabs>
          <w:tab w:val="left" w:pos="3948"/>
        </w:tabs>
        <w:spacing w:after="0"/>
        <w:ind w:firstLine="709"/>
        <w:contextualSpacing/>
        <w:jc w:val="both"/>
        <w:rPr>
          <w:rFonts w:eastAsia="Calibri"/>
          <w:sz w:val="24"/>
          <w:szCs w:val="24"/>
          <w:lang w:val="ru-RU"/>
        </w:rPr>
      </w:pPr>
      <w:proofErr w:type="gramStart"/>
      <w:r>
        <w:rPr>
          <w:rFonts w:eastAsia="Calibri"/>
          <w:sz w:val="24"/>
          <w:szCs w:val="24"/>
          <w:lang w:val="ru-RU"/>
        </w:rPr>
        <w:t>В соответствии с соглашением Администрация Волгоградской области обязуется достичь значение целевого показателя результативности предоставления субсидии из федерального бюджета –</w:t>
      </w:r>
      <w:r w:rsidRPr="002B1900">
        <w:rPr>
          <w:rFonts w:eastAsia="Calibri"/>
          <w:sz w:val="24"/>
          <w:szCs w:val="24"/>
          <w:lang w:val="ru-RU"/>
        </w:rPr>
        <w:t xml:space="preserve"> ввод жилья в 2017 году в ЖК «Ро</w:t>
      </w:r>
      <w:r w:rsidRPr="00DC5AE3">
        <w:rPr>
          <w:rFonts w:eastAsia="Calibri"/>
          <w:sz w:val="24"/>
          <w:szCs w:val="24"/>
          <w:lang w:val="ru-RU"/>
        </w:rPr>
        <w:t xml:space="preserve">дниковая долина» </w:t>
      </w:r>
      <w:r>
        <w:rPr>
          <w:rFonts w:eastAsia="Calibri"/>
          <w:sz w:val="24"/>
          <w:szCs w:val="24"/>
          <w:lang w:val="ru-RU"/>
        </w:rPr>
        <w:t>площадью</w:t>
      </w:r>
      <w:r w:rsidRPr="00DC5AE3">
        <w:rPr>
          <w:rFonts w:eastAsia="Calibri"/>
          <w:sz w:val="24"/>
          <w:szCs w:val="24"/>
          <w:lang w:val="ru-RU"/>
        </w:rPr>
        <w:t xml:space="preserve"> 50 000 кв.</w:t>
      </w:r>
      <w:r w:rsidR="001C324F">
        <w:rPr>
          <w:rFonts w:eastAsia="Calibri"/>
          <w:sz w:val="24"/>
          <w:szCs w:val="24"/>
          <w:lang w:val="ru-RU"/>
        </w:rPr>
        <w:t xml:space="preserve"> </w:t>
      </w:r>
      <w:r w:rsidRPr="00DC5AE3">
        <w:rPr>
          <w:rFonts w:eastAsia="Calibri"/>
          <w:sz w:val="24"/>
          <w:szCs w:val="24"/>
          <w:lang w:val="ru-RU"/>
        </w:rPr>
        <w:t xml:space="preserve">м, в ЖК «Санаторный» </w:t>
      </w:r>
      <w:r>
        <w:rPr>
          <w:rFonts w:eastAsia="Calibri"/>
          <w:sz w:val="24"/>
          <w:szCs w:val="24"/>
          <w:lang w:val="ru-RU"/>
        </w:rPr>
        <w:t>площадью</w:t>
      </w:r>
      <w:r w:rsidRPr="00DC5AE3">
        <w:rPr>
          <w:rFonts w:eastAsia="Calibri"/>
          <w:sz w:val="24"/>
          <w:szCs w:val="24"/>
          <w:lang w:val="ru-RU"/>
        </w:rPr>
        <w:t xml:space="preserve"> 30 000 кв.</w:t>
      </w:r>
      <w:r w:rsidR="001C324F">
        <w:rPr>
          <w:rFonts w:eastAsia="Calibri"/>
          <w:sz w:val="24"/>
          <w:szCs w:val="24"/>
          <w:lang w:val="ru-RU"/>
        </w:rPr>
        <w:t xml:space="preserve"> </w:t>
      </w:r>
      <w:r w:rsidRPr="00DC5AE3">
        <w:rPr>
          <w:rFonts w:eastAsia="Calibri"/>
          <w:sz w:val="24"/>
          <w:szCs w:val="24"/>
          <w:lang w:val="ru-RU"/>
        </w:rPr>
        <w:t>м, на территории проекта жилищного строительства «28 микрорайон» в г. Волжск</w:t>
      </w:r>
      <w:r>
        <w:rPr>
          <w:rFonts w:eastAsia="Calibri"/>
          <w:sz w:val="24"/>
          <w:szCs w:val="24"/>
          <w:lang w:val="ru-RU"/>
        </w:rPr>
        <w:t>ом</w:t>
      </w:r>
      <w:r w:rsidRPr="00DC5AE3">
        <w:rPr>
          <w:rFonts w:eastAsia="Calibri"/>
          <w:sz w:val="24"/>
          <w:szCs w:val="24"/>
          <w:lang w:val="ru-RU"/>
        </w:rPr>
        <w:t xml:space="preserve"> – 45</w:t>
      </w:r>
      <w:r>
        <w:rPr>
          <w:rFonts w:eastAsia="Calibri"/>
          <w:sz w:val="24"/>
          <w:szCs w:val="24"/>
          <w:lang w:val="ru-RU"/>
        </w:rPr>
        <w:t xml:space="preserve"> </w:t>
      </w:r>
      <w:r w:rsidRPr="00DC5AE3">
        <w:rPr>
          <w:rFonts w:eastAsia="Calibri"/>
          <w:sz w:val="24"/>
          <w:szCs w:val="24"/>
          <w:lang w:val="ru-RU"/>
        </w:rPr>
        <w:t>000 кв. метров</w:t>
      </w:r>
      <w:r w:rsidRPr="002B1900">
        <w:rPr>
          <w:rFonts w:eastAsia="Calibri"/>
          <w:sz w:val="24"/>
          <w:szCs w:val="24"/>
          <w:lang w:val="ru-RU"/>
        </w:rPr>
        <w:t>.</w:t>
      </w:r>
      <w:proofErr w:type="gramEnd"/>
    </w:p>
    <w:p w:rsidR="00E616FA" w:rsidRPr="00060EBB" w:rsidRDefault="00E616FA" w:rsidP="00E616FA">
      <w:pPr>
        <w:pStyle w:val="32"/>
        <w:tabs>
          <w:tab w:val="left" w:pos="3948"/>
        </w:tabs>
        <w:spacing w:after="0"/>
        <w:ind w:firstLine="709"/>
        <w:contextualSpacing/>
        <w:jc w:val="both"/>
        <w:rPr>
          <w:rFonts w:eastAsia="Calibri"/>
          <w:sz w:val="24"/>
          <w:szCs w:val="24"/>
          <w:lang w:val="ru-RU"/>
        </w:rPr>
      </w:pPr>
      <w:r w:rsidRPr="00060EBB">
        <w:rPr>
          <w:rFonts w:eastAsia="Calibri"/>
          <w:sz w:val="24"/>
          <w:szCs w:val="24"/>
          <w:lang w:val="ru-RU"/>
        </w:rPr>
        <w:t xml:space="preserve">Комитетом </w:t>
      </w:r>
      <w:r w:rsidR="001309B7">
        <w:rPr>
          <w:rFonts w:eastAsia="Calibri"/>
          <w:sz w:val="24"/>
          <w:szCs w:val="24"/>
          <w:lang w:val="ru-RU"/>
        </w:rPr>
        <w:t xml:space="preserve">строительства Волгоградской области </w:t>
      </w:r>
      <w:r w:rsidRPr="00060EBB">
        <w:rPr>
          <w:rFonts w:eastAsia="Calibri"/>
          <w:sz w:val="24"/>
          <w:szCs w:val="24"/>
          <w:lang w:val="ru-RU"/>
        </w:rPr>
        <w:t xml:space="preserve">на финансирование в 2017 году строительства детских садов заключено соглашение </w:t>
      </w:r>
      <w:r w:rsidR="001309B7" w:rsidRPr="00060EBB">
        <w:rPr>
          <w:rFonts w:eastAsia="Calibri"/>
          <w:sz w:val="24"/>
          <w:szCs w:val="24"/>
          <w:lang w:val="ru-RU"/>
        </w:rPr>
        <w:t xml:space="preserve">с администрацией Волгограда </w:t>
      </w:r>
      <w:r w:rsidRPr="00060EBB">
        <w:rPr>
          <w:rFonts w:eastAsia="Calibri"/>
          <w:sz w:val="24"/>
          <w:szCs w:val="24"/>
          <w:lang w:val="ru-RU"/>
        </w:rPr>
        <w:t>от 07.04.2017 о предоставлении субсидии бюджету Волгограда в объеме 312</w:t>
      </w:r>
      <w:r w:rsidR="001309B7">
        <w:rPr>
          <w:rFonts w:eastAsia="Calibri"/>
          <w:sz w:val="24"/>
          <w:szCs w:val="24"/>
          <w:lang w:val="ru-RU"/>
        </w:rPr>
        <w:t>,9</w:t>
      </w:r>
      <w:r w:rsidRPr="00060EBB">
        <w:rPr>
          <w:rFonts w:eastAsia="Calibri"/>
          <w:sz w:val="24"/>
          <w:szCs w:val="24"/>
          <w:lang w:val="ru-RU"/>
        </w:rPr>
        <w:t xml:space="preserve"> </w:t>
      </w:r>
      <w:r w:rsidR="001309B7">
        <w:rPr>
          <w:rFonts w:eastAsia="Calibri"/>
          <w:sz w:val="24"/>
          <w:szCs w:val="24"/>
          <w:lang w:val="ru-RU"/>
        </w:rPr>
        <w:t>млн</w:t>
      </w:r>
      <w:r w:rsidRPr="00060EBB">
        <w:rPr>
          <w:rFonts w:eastAsia="Calibri"/>
          <w:sz w:val="24"/>
          <w:szCs w:val="24"/>
          <w:lang w:val="ru-RU"/>
        </w:rPr>
        <w:t xml:space="preserve">. руб. и с администрацией </w:t>
      </w:r>
      <w:proofErr w:type="gramStart"/>
      <w:r w:rsidRPr="00060EBB">
        <w:rPr>
          <w:rFonts w:eastAsia="Calibri"/>
          <w:sz w:val="24"/>
          <w:szCs w:val="24"/>
          <w:lang w:val="ru-RU"/>
        </w:rPr>
        <w:t>г</w:t>
      </w:r>
      <w:proofErr w:type="gramEnd"/>
      <w:r w:rsidRPr="00060EBB">
        <w:rPr>
          <w:rFonts w:eastAsia="Calibri"/>
          <w:sz w:val="24"/>
          <w:szCs w:val="24"/>
          <w:lang w:val="ru-RU"/>
        </w:rPr>
        <w:t>. Волжского соглашение от 05.06.2017 о предоставлении субсидии бюджету г. Волжского в объеме 169</w:t>
      </w:r>
      <w:r w:rsidR="001309B7">
        <w:rPr>
          <w:rFonts w:eastAsia="Calibri"/>
          <w:sz w:val="24"/>
          <w:szCs w:val="24"/>
          <w:lang w:val="ru-RU"/>
        </w:rPr>
        <w:t>,</w:t>
      </w:r>
      <w:r w:rsidRPr="00060EBB">
        <w:rPr>
          <w:rFonts w:eastAsia="Calibri"/>
          <w:sz w:val="24"/>
          <w:szCs w:val="24"/>
          <w:lang w:val="ru-RU"/>
        </w:rPr>
        <w:t xml:space="preserve">8 </w:t>
      </w:r>
      <w:r w:rsidR="001309B7">
        <w:rPr>
          <w:rFonts w:eastAsia="Calibri"/>
          <w:sz w:val="24"/>
          <w:szCs w:val="24"/>
          <w:lang w:val="ru-RU"/>
        </w:rPr>
        <w:t>млн</w:t>
      </w:r>
      <w:r w:rsidRPr="00060EBB">
        <w:rPr>
          <w:rFonts w:eastAsia="Calibri"/>
          <w:sz w:val="24"/>
          <w:szCs w:val="24"/>
          <w:lang w:val="ru-RU"/>
        </w:rPr>
        <w:t>. руб</w:t>
      </w:r>
      <w:r>
        <w:rPr>
          <w:rFonts w:eastAsia="Calibri"/>
          <w:sz w:val="24"/>
          <w:szCs w:val="24"/>
          <w:lang w:val="ru-RU"/>
        </w:rPr>
        <w:t>лей</w:t>
      </w:r>
      <w:r w:rsidRPr="00060EBB">
        <w:rPr>
          <w:rFonts w:eastAsia="Calibri"/>
          <w:sz w:val="24"/>
          <w:szCs w:val="24"/>
          <w:lang w:val="ru-RU"/>
        </w:rPr>
        <w:t>.</w:t>
      </w:r>
    </w:p>
    <w:p w:rsidR="00E616FA" w:rsidRPr="00060EBB" w:rsidRDefault="00E616FA" w:rsidP="00E616FA">
      <w:pPr>
        <w:pStyle w:val="32"/>
        <w:tabs>
          <w:tab w:val="left" w:pos="3948"/>
        </w:tabs>
        <w:spacing w:after="0"/>
        <w:ind w:firstLine="709"/>
        <w:contextualSpacing/>
        <w:jc w:val="both"/>
        <w:rPr>
          <w:rFonts w:eastAsia="Calibri"/>
          <w:sz w:val="24"/>
          <w:szCs w:val="24"/>
          <w:lang w:val="ru-RU"/>
        </w:rPr>
      </w:pPr>
      <w:r w:rsidRPr="00060EBB">
        <w:rPr>
          <w:rFonts w:eastAsia="Calibri"/>
          <w:sz w:val="24"/>
          <w:szCs w:val="24"/>
          <w:lang w:val="ru-RU"/>
        </w:rPr>
        <w:t>Объем работ по строительству детских садов, предусмотренный муниципальными контрактами на 2017 год, полностью выполнен и оплачен за счет средств субсидии.</w:t>
      </w:r>
    </w:p>
    <w:p w:rsidR="00E616FA" w:rsidRPr="00691FED" w:rsidRDefault="00E616FA" w:rsidP="00E616FA">
      <w:pPr>
        <w:pStyle w:val="32"/>
        <w:tabs>
          <w:tab w:val="left" w:pos="3948"/>
        </w:tabs>
        <w:spacing w:after="0"/>
        <w:ind w:firstLine="709"/>
        <w:contextualSpacing/>
        <w:jc w:val="both"/>
        <w:rPr>
          <w:rFonts w:eastAsia="Calibri"/>
          <w:sz w:val="24"/>
          <w:szCs w:val="24"/>
          <w:lang w:val="ru-RU"/>
        </w:rPr>
      </w:pPr>
      <w:proofErr w:type="gramStart"/>
      <w:r>
        <w:rPr>
          <w:rFonts w:eastAsia="Calibri"/>
          <w:sz w:val="24"/>
          <w:szCs w:val="24"/>
          <w:lang w:val="ru-RU"/>
        </w:rPr>
        <w:t>С</w:t>
      </w:r>
      <w:r w:rsidRPr="00060EBB">
        <w:rPr>
          <w:rFonts w:eastAsia="Calibri"/>
          <w:sz w:val="24"/>
          <w:szCs w:val="24"/>
          <w:lang w:val="ru-RU"/>
        </w:rPr>
        <w:t xml:space="preserve">огласно отчету администрации Волгограда плановое значение </w:t>
      </w:r>
      <w:r w:rsidRPr="00691FED">
        <w:rPr>
          <w:rFonts w:eastAsia="Calibri"/>
          <w:sz w:val="24"/>
          <w:szCs w:val="24"/>
          <w:lang w:val="ru-RU"/>
        </w:rPr>
        <w:t xml:space="preserve">целевого показателя результативности использования субсидии на территории ЖК «Санаторный» и по ул. </w:t>
      </w:r>
      <w:proofErr w:type="spellStart"/>
      <w:r w:rsidRPr="00691FED">
        <w:rPr>
          <w:rFonts w:eastAsia="Calibri"/>
          <w:sz w:val="24"/>
          <w:szCs w:val="24"/>
          <w:lang w:val="ru-RU"/>
        </w:rPr>
        <w:t>Карбышева</w:t>
      </w:r>
      <w:proofErr w:type="spellEnd"/>
      <w:r w:rsidRPr="00691FED">
        <w:rPr>
          <w:rFonts w:eastAsia="Calibri"/>
          <w:sz w:val="24"/>
          <w:szCs w:val="24"/>
          <w:lang w:val="ru-RU"/>
        </w:rPr>
        <w:t xml:space="preserve"> в г. Волжском перевыполнено, так как ввод жилья составил 33 420 кв.м</w:t>
      </w:r>
      <w:r w:rsidR="006703F7">
        <w:rPr>
          <w:rFonts w:eastAsia="Calibri"/>
          <w:sz w:val="24"/>
          <w:szCs w:val="24"/>
          <w:lang w:val="ru-RU"/>
        </w:rPr>
        <w:t>.</w:t>
      </w:r>
      <w:r w:rsidRPr="00691FED">
        <w:rPr>
          <w:rFonts w:eastAsia="Calibri"/>
          <w:sz w:val="24"/>
          <w:szCs w:val="24"/>
          <w:lang w:val="ru-RU"/>
        </w:rPr>
        <w:t xml:space="preserve"> и 45 400 кв.м</w:t>
      </w:r>
      <w:r w:rsidR="006703F7">
        <w:rPr>
          <w:rFonts w:eastAsia="Calibri"/>
          <w:sz w:val="24"/>
          <w:szCs w:val="24"/>
          <w:lang w:val="ru-RU"/>
        </w:rPr>
        <w:t>.</w:t>
      </w:r>
      <w:r w:rsidRPr="00691FED">
        <w:rPr>
          <w:rFonts w:eastAsia="Calibri"/>
          <w:sz w:val="24"/>
          <w:szCs w:val="24"/>
          <w:lang w:val="ru-RU"/>
        </w:rPr>
        <w:t xml:space="preserve"> соответственно, а на территории ЖК «Родниковая долина» не достигнуто, так как ввод жилья составил 44 200 кв.м</w:t>
      </w:r>
      <w:r w:rsidR="006703F7">
        <w:rPr>
          <w:rFonts w:eastAsia="Calibri"/>
          <w:sz w:val="24"/>
          <w:szCs w:val="24"/>
          <w:lang w:val="ru-RU"/>
        </w:rPr>
        <w:t>.</w:t>
      </w:r>
      <w:r w:rsidRPr="00691FED">
        <w:rPr>
          <w:rFonts w:eastAsia="Calibri"/>
          <w:sz w:val="24"/>
          <w:szCs w:val="24"/>
          <w:lang w:val="ru-RU"/>
        </w:rPr>
        <w:t xml:space="preserve"> из запланированных 50 000 кв</w:t>
      </w:r>
      <w:proofErr w:type="gramEnd"/>
      <w:r w:rsidRPr="00691FED">
        <w:rPr>
          <w:rFonts w:eastAsia="Calibri"/>
          <w:sz w:val="24"/>
          <w:szCs w:val="24"/>
          <w:lang w:val="ru-RU"/>
        </w:rPr>
        <w:t>.метров.</w:t>
      </w:r>
    </w:p>
    <w:p w:rsidR="00E616FA" w:rsidRPr="00691FED" w:rsidRDefault="00E616FA" w:rsidP="00E616FA">
      <w:pPr>
        <w:pStyle w:val="32"/>
        <w:tabs>
          <w:tab w:val="left" w:pos="3948"/>
        </w:tabs>
        <w:spacing w:after="0"/>
        <w:ind w:firstLine="709"/>
        <w:contextualSpacing/>
        <w:jc w:val="both"/>
        <w:rPr>
          <w:rFonts w:eastAsia="Calibri"/>
          <w:sz w:val="24"/>
          <w:szCs w:val="24"/>
          <w:lang w:val="ru-RU"/>
        </w:rPr>
      </w:pPr>
      <w:r w:rsidRPr="00691FED">
        <w:rPr>
          <w:rFonts w:eastAsia="Calibri"/>
          <w:sz w:val="24"/>
          <w:szCs w:val="24"/>
          <w:lang w:val="ru-RU"/>
        </w:rPr>
        <w:t xml:space="preserve">Таким образом, администрацией Волгограда нарушены условия предоставления субсидии, установленные </w:t>
      </w:r>
      <w:r w:rsidR="00691FED">
        <w:rPr>
          <w:rFonts w:eastAsia="Calibri"/>
          <w:sz w:val="24"/>
          <w:szCs w:val="24"/>
          <w:lang w:val="ru-RU"/>
        </w:rPr>
        <w:t>с</w:t>
      </w:r>
      <w:r w:rsidRPr="00691FED">
        <w:rPr>
          <w:rFonts w:eastAsia="Calibri"/>
          <w:sz w:val="24"/>
          <w:szCs w:val="24"/>
          <w:lang w:val="ru-RU"/>
        </w:rPr>
        <w:t>оглашением от 07.04.2017, за что ст</w:t>
      </w:r>
      <w:r w:rsidR="00691FED">
        <w:rPr>
          <w:rFonts w:eastAsia="Calibri"/>
          <w:sz w:val="24"/>
          <w:szCs w:val="24"/>
          <w:lang w:val="ru-RU"/>
        </w:rPr>
        <w:t>атьей</w:t>
      </w:r>
      <w:r w:rsidRPr="00691FED">
        <w:rPr>
          <w:rFonts w:eastAsia="Calibri"/>
          <w:sz w:val="24"/>
          <w:szCs w:val="24"/>
          <w:lang w:val="ru-RU"/>
        </w:rPr>
        <w:t xml:space="preserve"> 15.15.3 </w:t>
      </w:r>
      <w:proofErr w:type="spellStart"/>
      <w:r w:rsidRPr="00691FED">
        <w:rPr>
          <w:rFonts w:eastAsia="Calibri"/>
          <w:sz w:val="24"/>
          <w:szCs w:val="24"/>
          <w:lang w:val="ru-RU"/>
        </w:rPr>
        <w:t>КоАП</w:t>
      </w:r>
      <w:proofErr w:type="spellEnd"/>
      <w:r w:rsidRPr="00691FED">
        <w:rPr>
          <w:rFonts w:eastAsia="Calibri"/>
          <w:sz w:val="24"/>
          <w:szCs w:val="24"/>
          <w:lang w:val="ru-RU"/>
        </w:rPr>
        <w:t xml:space="preserve"> РФ предусмотрена административная ответственность. </w:t>
      </w:r>
    </w:p>
    <w:p w:rsidR="00E616FA" w:rsidRPr="00221451" w:rsidRDefault="00E616FA" w:rsidP="00E616FA">
      <w:pPr>
        <w:pStyle w:val="32"/>
        <w:tabs>
          <w:tab w:val="left" w:pos="3948"/>
        </w:tabs>
        <w:spacing w:after="0"/>
        <w:ind w:firstLine="709"/>
        <w:contextualSpacing/>
        <w:jc w:val="both"/>
        <w:rPr>
          <w:rFonts w:eastAsia="Calibri"/>
          <w:sz w:val="24"/>
          <w:szCs w:val="24"/>
          <w:lang w:val="ru-RU"/>
        </w:rPr>
      </w:pPr>
      <w:r w:rsidRPr="00060EBB">
        <w:rPr>
          <w:rFonts w:eastAsia="Calibri"/>
          <w:sz w:val="24"/>
          <w:szCs w:val="24"/>
          <w:lang w:val="ru-RU"/>
        </w:rPr>
        <w:t xml:space="preserve">В связи с </w:t>
      </w:r>
      <w:proofErr w:type="spellStart"/>
      <w:r w:rsidRPr="00060EBB">
        <w:rPr>
          <w:rFonts w:eastAsia="Calibri"/>
          <w:sz w:val="24"/>
          <w:szCs w:val="24"/>
          <w:lang w:val="ru-RU"/>
        </w:rPr>
        <w:t>недостижением</w:t>
      </w:r>
      <w:proofErr w:type="spellEnd"/>
      <w:r w:rsidRPr="00060EBB">
        <w:rPr>
          <w:rFonts w:eastAsia="Calibri"/>
          <w:sz w:val="24"/>
          <w:szCs w:val="24"/>
          <w:lang w:val="ru-RU"/>
        </w:rPr>
        <w:t xml:space="preserve"> целевого показателя результативности использования субсидии Минстрой РФ письмом от 30.01.2018 уведомил Администрацию Волгоградской области о необходимости возврата до 01.06.2018 средств федерального бюджета в размере 2</w:t>
      </w:r>
      <w:r w:rsidR="00691FED">
        <w:rPr>
          <w:rFonts w:eastAsia="Calibri"/>
          <w:sz w:val="24"/>
          <w:szCs w:val="24"/>
          <w:lang w:val="ru-RU"/>
        </w:rPr>
        <w:t>,2</w:t>
      </w:r>
      <w:r w:rsidRPr="00060EBB">
        <w:rPr>
          <w:rFonts w:eastAsia="Calibri"/>
          <w:sz w:val="24"/>
          <w:szCs w:val="24"/>
          <w:lang w:val="ru-RU"/>
        </w:rPr>
        <w:t xml:space="preserve"> </w:t>
      </w:r>
      <w:r w:rsidR="00691FED">
        <w:rPr>
          <w:rFonts w:eastAsia="Calibri"/>
          <w:sz w:val="24"/>
          <w:szCs w:val="24"/>
          <w:lang w:val="ru-RU"/>
        </w:rPr>
        <w:t>млн</w:t>
      </w:r>
      <w:r w:rsidRPr="00060EBB">
        <w:rPr>
          <w:rFonts w:eastAsia="Calibri"/>
          <w:sz w:val="24"/>
          <w:szCs w:val="24"/>
          <w:lang w:val="ru-RU"/>
        </w:rPr>
        <w:t>. рублей.</w:t>
      </w:r>
      <w:r w:rsidR="00691FED">
        <w:rPr>
          <w:rFonts w:eastAsia="Calibri"/>
          <w:sz w:val="24"/>
          <w:szCs w:val="24"/>
          <w:lang w:val="ru-RU"/>
        </w:rPr>
        <w:t xml:space="preserve"> </w:t>
      </w:r>
      <w:r w:rsidRPr="00060EBB">
        <w:rPr>
          <w:rFonts w:eastAsia="Calibri"/>
          <w:sz w:val="24"/>
          <w:szCs w:val="24"/>
          <w:lang w:val="ru-RU"/>
        </w:rPr>
        <w:t>В свою очередь</w:t>
      </w:r>
      <w:r w:rsidR="00691FED">
        <w:rPr>
          <w:rFonts w:eastAsia="Calibri"/>
          <w:sz w:val="24"/>
          <w:szCs w:val="24"/>
          <w:lang w:val="ru-RU"/>
        </w:rPr>
        <w:t xml:space="preserve"> комитет строительства письмом от 28.02.2018 </w:t>
      </w:r>
      <w:r w:rsidRPr="00060EBB">
        <w:rPr>
          <w:rFonts w:eastAsia="Calibri"/>
          <w:sz w:val="24"/>
          <w:szCs w:val="24"/>
          <w:lang w:val="ru-RU"/>
        </w:rPr>
        <w:t>уведомил</w:t>
      </w:r>
      <w:r w:rsidR="00691FED">
        <w:rPr>
          <w:rFonts w:eastAsia="Calibri"/>
          <w:sz w:val="24"/>
          <w:szCs w:val="24"/>
          <w:lang w:val="ru-RU"/>
        </w:rPr>
        <w:t xml:space="preserve"> об этом </w:t>
      </w:r>
      <w:r w:rsidRPr="00060EBB">
        <w:rPr>
          <w:rFonts w:eastAsia="Calibri"/>
          <w:sz w:val="24"/>
          <w:szCs w:val="24"/>
          <w:lang w:val="ru-RU"/>
        </w:rPr>
        <w:t>администрацию Волгограда</w:t>
      </w:r>
      <w:r w:rsidRPr="00221451">
        <w:rPr>
          <w:rFonts w:eastAsia="Calibri"/>
          <w:sz w:val="24"/>
          <w:szCs w:val="24"/>
          <w:lang w:val="ru-RU"/>
        </w:rPr>
        <w:t>.</w:t>
      </w:r>
    </w:p>
    <w:p w:rsidR="00E616FA" w:rsidRPr="002B1900" w:rsidRDefault="00691FED" w:rsidP="00E616FA">
      <w:pPr>
        <w:pStyle w:val="32"/>
        <w:tabs>
          <w:tab w:val="left" w:pos="3948"/>
        </w:tabs>
        <w:spacing w:after="0"/>
        <w:ind w:firstLine="709"/>
        <w:contextualSpacing/>
        <w:jc w:val="both"/>
        <w:rPr>
          <w:rFonts w:eastAsia="Calibri"/>
          <w:sz w:val="24"/>
          <w:szCs w:val="24"/>
          <w:lang w:val="ru-RU"/>
        </w:rPr>
      </w:pPr>
      <w:proofErr w:type="gramStart"/>
      <w:r>
        <w:rPr>
          <w:rFonts w:eastAsia="Calibri"/>
          <w:sz w:val="24"/>
          <w:szCs w:val="24"/>
          <w:lang w:val="ru-RU"/>
        </w:rPr>
        <w:t>В этой связи с</w:t>
      </w:r>
      <w:r w:rsidR="00E616FA" w:rsidRPr="002B1900">
        <w:rPr>
          <w:rFonts w:eastAsia="Calibri"/>
          <w:sz w:val="24"/>
          <w:szCs w:val="24"/>
          <w:lang w:val="ru-RU"/>
        </w:rPr>
        <w:t xml:space="preserve">ледует отметить, что между </w:t>
      </w:r>
      <w:r>
        <w:rPr>
          <w:rFonts w:eastAsia="Calibri"/>
          <w:sz w:val="24"/>
          <w:szCs w:val="24"/>
          <w:lang w:val="ru-RU"/>
        </w:rPr>
        <w:t>к</w:t>
      </w:r>
      <w:r w:rsidR="00E616FA" w:rsidRPr="002B1900">
        <w:rPr>
          <w:rFonts w:eastAsia="Calibri"/>
          <w:sz w:val="24"/>
          <w:szCs w:val="24"/>
          <w:lang w:val="ru-RU"/>
        </w:rPr>
        <w:t>омитетом</w:t>
      </w:r>
      <w:r>
        <w:rPr>
          <w:rFonts w:eastAsia="Calibri"/>
          <w:sz w:val="24"/>
          <w:szCs w:val="24"/>
          <w:lang w:val="ru-RU"/>
        </w:rPr>
        <w:t xml:space="preserve"> строительства Волгоградской области</w:t>
      </w:r>
      <w:r w:rsidR="00E616FA" w:rsidRPr="002B1900">
        <w:rPr>
          <w:rFonts w:eastAsia="Calibri"/>
          <w:sz w:val="24"/>
          <w:szCs w:val="24"/>
          <w:lang w:val="ru-RU"/>
        </w:rPr>
        <w:t xml:space="preserve">, администрацией Волгограда и ООО «Родниковая долина» заключено трехстороннее соглашение от 14.09.2017, в соответствии с которым застройщик при условии исполнения </w:t>
      </w:r>
      <w:r>
        <w:rPr>
          <w:rFonts w:eastAsia="Calibri"/>
          <w:sz w:val="24"/>
          <w:szCs w:val="24"/>
          <w:lang w:val="ru-RU"/>
        </w:rPr>
        <w:t>комитетом строительства</w:t>
      </w:r>
      <w:r w:rsidR="00E616FA" w:rsidRPr="002B1900">
        <w:rPr>
          <w:rFonts w:eastAsia="Calibri"/>
          <w:sz w:val="24"/>
          <w:szCs w:val="24"/>
          <w:lang w:val="ru-RU"/>
        </w:rPr>
        <w:t xml:space="preserve"> и администрацией Волгограда обязательств по своевременному и полному финансированию объектов, в числе которых ДОУ в ЖК «Родниковая долина», обязуется ввести в эксплуатацию в 2017 году не менее 50</w:t>
      </w:r>
      <w:proofErr w:type="gramEnd"/>
      <w:r w:rsidR="00E616FA" w:rsidRPr="002B1900">
        <w:rPr>
          <w:rFonts w:eastAsia="Calibri"/>
          <w:sz w:val="24"/>
          <w:szCs w:val="24"/>
          <w:lang w:val="ru-RU"/>
        </w:rPr>
        <w:t> 000 кв. м</w:t>
      </w:r>
      <w:r w:rsidR="006703F7">
        <w:rPr>
          <w:rFonts w:eastAsia="Calibri"/>
          <w:sz w:val="24"/>
          <w:szCs w:val="24"/>
          <w:lang w:val="ru-RU"/>
        </w:rPr>
        <w:t>.</w:t>
      </w:r>
      <w:r w:rsidR="00E616FA" w:rsidRPr="002B1900">
        <w:rPr>
          <w:rFonts w:eastAsia="Calibri"/>
          <w:sz w:val="24"/>
          <w:szCs w:val="24"/>
          <w:lang w:val="ru-RU"/>
        </w:rPr>
        <w:t xml:space="preserve"> общей площади жилья.</w:t>
      </w:r>
      <w:r w:rsidR="00E616FA">
        <w:rPr>
          <w:rFonts w:eastAsia="Calibri"/>
          <w:sz w:val="24"/>
          <w:szCs w:val="24"/>
          <w:lang w:val="ru-RU"/>
        </w:rPr>
        <w:t xml:space="preserve"> </w:t>
      </w:r>
      <w:r w:rsidR="00E616FA" w:rsidRPr="002B1900">
        <w:rPr>
          <w:rFonts w:eastAsia="Calibri"/>
          <w:sz w:val="24"/>
          <w:szCs w:val="24"/>
          <w:lang w:val="ru-RU"/>
        </w:rPr>
        <w:t>В соответствии с п</w:t>
      </w:r>
      <w:r>
        <w:rPr>
          <w:rFonts w:eastAsia="Calibri"/>
          <w:sz w:val="24"/>
          <w:szCs w:val="24"/>
          <w:lang w:val="ru-RU"/>
        </w:rPr>
        <w:t>унктом</w:t>
      </w:r>
      <w:r w:rsidR="00E616FA" w:rsidRPr="002B1900">
        <w:rPr>
          <w:rFonts w:eastAsia="Calibri"/>
          <w:sz w:val="24"/>
          <w:szCs w:val="24"/>
          <w:lang w:val="ru-RU"/>
        </w:rPr>
        <w:t xml:space="preserve"> 3.1 данного соглашения ООО «Родниковая долина» возмещает убытки, которые понесут </w:t>
      </w:r>
      <w:r>
        <w:rPr>
          <w:rFonts w:eastAsia="Calibri"/>
          <w:sz w:val="24"/>
          <w:szCs w:val="24"/>
          <w:lang w:val="ru-RU"/>
        </w:rPr>
        <w:t>комитет</w:t>
      </w:r>
      <w:r w:rsidR="00E616FA" w:rsidRPr="002B1900">
        <w:rPr>
          <w:rFonts w:eastAsia="Calibri"/>
          <w:sz w:val="24"/>
          <w:szCs w:val="24"/>
          <w:lang w:val="ru-RU"/>
        </w:rPr>
        <w:t xml:space="preserve"> и администрация Волгограда в случае неисполнения указанного выше обязательства по вводу жилья.</w:t>
      </w:r>
    </w:p>
    <w:p w:rsidR="00E616FA" w:rsidRPr="00DC5AE3" w:rsidRDefault="00E616FA" w:rsidP="00E616FA">
      <w:pPr>
        <w:pStyle w:val="32"/>
        <w:tabs>
          <w:tab w:val="left" w:pos="3948"/>
        </w:tabs>
        <w:spacing w:after="0"/>
        <w:ind w:firstLine="709"/>
        <w:contextualSpacing/>
        <w:jc w:val="both"/>
        <w:rPr>
          <w:rFonts w:eastAsia="Calibri"/>
          <w:sz w:val="24"/>
          <w:szCs w:val="24"/>
          <w:lang w:val="ru-RU"/>
        </w:rPr>
      </w:pPr>
    </w:p>
    <w:p w:rsidR="00D96550" w:rsidRDefault="00D96550" w:rsidP="00651F86">
      <w:pPr>
        <w:contextualSpacing/>
        <w:jc w:val="center"/>
        <w:rPr>
          <w:b/>
          <w:szCs w:val="24"/>
        </w:rPr>
      </w:pPr>
      <w:r>
        <w:rPr>
          <w:b/>
          <w:szCs w:val="24"/>
        </w:rPr>
        <w:t>4.7. Расходы по разделу 0800 «Культура, кинематография».</w:t>
      </w:r>
    </w:p>
    <w:p w:rsidR="0083081B" w:rsidRDefault="0083081B" w:rsidP="001061B8">
      <w:pPr>
        <w:jc w:val="center"/>
        <w:outlineLvl w:val="0"/>
        <w:rPr>
          <w:b/>
          <w:szCs w:val="24"/>
        </w:rPr>
      </w:pPr>
    </w:p>
    <w:p w:rsidR="009D14A8" w:rsidRDefault="0083081B" w:rsidP="009D14A8">
      <w:pPr>
        <w:ind w:firstLine="708"/>
        <w:jc w:val="both"/>
      </w:pPr>
      <w:r>
        <w:t>У</w:t>
      </w:r>
      <w:r w:rsidR="009D14A8">
        <w:t>точненные бюджетные ассигнования на 201</w:t>
      </w:r>
      <w:r w:rsidR="006350F4">
        <w:t>7</w:t>
      </w:r>
      <w:r w:rsidR="009D14A8">
        <w:t xml:space="preserve"> год по разделу </w:t>
      </w:r>
      <w:r w:rsidR="009D14A8" w:rsidRPr="00226E91">
        <w:t>0</w:t>
      </w:r>
      <w:r w:rsidR="009D14A8">
        <w:t>8</w:t>
      </w:r>
      <w:r w:rsidR="009D14A8" w:rsidRPr="00226E91">
        <w:t>00 «</w:t>
      </w:r>
      <w:r w:rsidR="009D14A8">
        <w:t>Культура, кинематография</w:t>
      </w:r>
      <w:r w:rsidR="009D14A8" w:rsidRPr="00226E91">
        <w:rPr>
          <w:szCs w:val="24"/>
        </w:rPr>
        <w:t>»</w:t>
      </w:r>
      <w:r w:rsidR="009D14A8">
        <w:rPr>
          <w:szCs w:val="24"/>
        </w:rPr>
        <w:t xml:space="preserve"> </w:t>
      </w:r>
      <w:r w:rsidR="009D14A8">
        <w:t xml:space="preserve">утверждены в размере </w:t>
      </w:r>
      <w:r w:rsidR="000A03AF">
        <w:t>991,3</w:t>
      </w:r>
      <w:r w:rsidR="009D14A8">
        <w:rPr>
          <w:b/>
          <w:bCs/>
          <w:sz w:val="20"/>
        </w:rPr>
        <w:t xml:space="preserve"> </w:t>
      </w:r>
      <w:r w:rsidR="009D14A8">
        <w:t xml:space="preserve">млн. рублей. Фактическое исполнение </w:t>
      </w:r>
      <w:r w:rsidR="009D14A8">
        <w:lastRenderedPageBreak/>
        <w:t xml:space="preserve">расходов по разделу составило </w:t>
      </w:r>
      <w:r w:rsidR="000A03AF">
        <w:t>850</w:t>
      </w:r>
      <w:r w:rsidR="009D14A8">
        <w:t xml:space="preserve"> млн. руб., или </w:t>
      </w:r>
      <w:r w:rsidR="000A03AF">
        <w:t>85,7</w:t>
      </w:r>
      <w:r w:rsidR="009D14A8">
        <w:t>% от плана</w:t>
      </w:r>
      <w:r>
        <w:t xml:space="preserve">, в том числе в разрезе </w:t>
      </w:r>
      <w:r w:rsidR="00DF1EEE">
        <w:t>главных распорядителей бюджетных средств</w:t>
      </w:r>
      <w:r>
        <w:t>:</w:t>
      </w:r>
    </w:p>
    <w:p w:rsidR="006C0005" w:rsidRPr="00F957D7" w:rsidRDefault="00F957D7" w:rsidP="00F957D7">
      <w:pPr>
        <w:jc w:val="right"/>
        <w:rPr>
          <w:sz w:val="20"/>
        </w:rPr>
      </w:pPr>
      <w:r>
        <w:rPr>
          <w:sz w:val="20"/>
        </w:rPr>
        <w:t>млн. руб.</w:t>
      </w:r>
    </w:p>
    <w:tbl>
      <w:tblPr>
        <w:tblW w:w="9510" w:type="dxa"/>
        <w:tblInd w:w="96" w:type="dxa"/>
        <w:tblLayout w:type="fixed"/>
        <w:tblLook w:val="04A0"/>
      </w:tblPr>
      <w:tblGrid>
        <w:gridCol w:w="4013"/>
        <w:gridCol w:w="961"/>
        <w:gridCol w:w="1001"/>
        <w:gridCol w:w="1100"/>
        <w:gridCol w:w="1017"/>
        <w:gridCol w:w="1418"/>
      </w:tblGrid>
      <w:tr w:rsidR="00FC2E96" w:rsidRPr="00FC2E96" w:rsidTr="00C449C1">
        <w:trPr>
          <w:trHeight w:val="20"/>
        </w:trPr>
        <w:tc>
          <w:tcPr>
            <w:tcW w:w="4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FC2E96" w:rsidRPr="00FC2E96" w:rsidRDefault="00FC2E96" w:rsidP="00C449C1">
            <w:pPr>
              <w:jc w:val="center"/>
              <w:rPr>
                <w:b/>
                <w:i/>
                <w:iCs/>
                <w:sz w:val="20"/>
              </w:rPr>
            </w:pPr>
            <w:r w:rsidRPr="00FC2E96">
              <w:rPr>
                <w:b/>
                <w:i/>
                <w:iCs/>
                <w:sz w:val="20"/>
              </w:rPr>
              <w:t>Наименование ГРБС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FC2E96" w:rsidRPr="00FC2E96" w:rsidRDefault="00FC2E96" w:rsidP="00C449C1">
            <w:pPr>
              <w:jc w:val="center"/>
              <w:rPr>
                <w:b/>
                <w:i/>
                <w:iCs/>
                <w:sz w:val="20"/>
              </w:rPr>
            </w:pP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FC2E96" w:rsidRPr="00FC2E96" w:rsidRDefault="00FC2E96" w:rsidP="00C449C1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FC2E96">
              <w:rPr>
                <w:b/>
                <w:bCs/>
                <w:i/>
                <w:iCs/>
                <w:sz w:val="20"/>
              </w:rPr>
              <w:t>Культура, кинематография</w:t>
            </w:r>
          </w:p>
        </w:tc>
      </w:tr>
      <w:tr w:rsidR="00FC2E96" w:rsidRPr="00FC2E96" w:rsidTr="000A03AF">
        <w:trPr>
          <w:trHeight w:val="20"/>
        </w:trPr>
        <w:tc>
          <w:tcPr>
            <w:tcW w:w="4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FC2E96" w:rsidRPr="00FC2E96" w:rsidRDefault="00FC2E96" w:rsidP="00C449C1">
            <w:pPr>
              <w:jc w:val="center"/>
              <w:rPr>
                <w:b/>
                <w:i/>
                <w:iCs/>
                <w:sz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  <w:hideMark/>
          </w:tcPr>
          <w:p w:rsidR="00FC2E96" w:rsidRPr="00FC2E96" w:rsidRDefault="00FC2E96" w:rsidP="00C449C1">
            <w:pPr>
              <w:jc w:val="center"/>
              <w:rPr>
                <w:b/>
                <w:i/>
                <w:iCs/>
                <w:sz w:val="20"/>
              </w:rPr>
            </w:pPr>
            <w:r w:rsidRPr="00FC2E96">
              <w:rPr>
                <w:b/>
                <w:i/>
                <w:iCs/>
                <w:sz w:val="20"/>
              </w:rPr>
              <w:t>факт 2016</w:t>
            </w:r>
            <w:r w:rsidR="00147D28">
              <w:rPr>
                <w:b/>
                <w:i/>
                <w:iCs/>
                <w:sz w:val="20"/>
              </w:rPr>
              <w:t xml:space="preserve"> г.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  <w:hideMark/>
          </w:tcPr>
          <w:p w:rsidR="00FC2E96" w:rsidRPr="00FC2E96" w:rsidRDefault="00FC2E96" w:rsidP="00C449C1">
            <w:pPr>
              <w:jc w:val="center"/>
              <w:rPr>
                <w:b/>
                <w:i/>
                <w:iCs/>
                <w:sz w:val="20"/>
              </w:rPr>
            </w:pPr>
            <w:r w:rsidRPr="00FC2E96">
              <w:rPr>
                <w:b/>
                <w:i/>
                <w:iCs/>
                <w:sz w:val="20"/>
              </w:rPr>
              <w:t>план 2017</w:t>
            </w:r>
            <w:r w:rsidR="00147D28">
              <w:rPr>
                <w:b/>
                <w:i/>
                <w:iCs/>
                <w:sz w:val="20"/>
              </w:rPr>
              <w:t xml:space="preserve"> г.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  <w:hideMark/>
          </w:tcPr>
          <w:p w:rsidR="00FC2E96" w:rsidRPr="00FC2E96" w:rsidRDefault="00FC2E96" w:rsidP="00C449C1">
            <w:pPr>
              <w:jc w:val="center"/>
              <w:rPr>
                <w:b/>
                <w:i/>
                <w:iCs/>
                <w:sz w:val="20"/>
              </w:rPr>
            </w:pPr>
            <w:r w:rsidRPr="00FC2E96">
              <w:rPr>
                <w:b/>
                <w:i/>
                <w:iCs/>
                <w:sz w:val="20"/>
              </w:rPr>
              <w:t>факт 2017</w:t>
            </w:r>
            <w:r w:rsidR="00147D28">
              <w:rPr>
                <w:b/>
                <w:i/>
                <w:iCs/>
                <w:sz w:val="20"/>
              </w:rPr>
              <w:t xml:space="preserve"> г.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FC2E96" w:rsidRPr="00FC2E96" w:rsidRDefault="00FC2E96" w:rsidP="000A03AF">
            <w:pPr>
              <w:jc w:val="center"/>
              <w:rPr>
                <w:b/>
                <w:i/>
                <w:iCs/>
                <w:sz w:val="20"/>
              </w:rPr>
            </w:pPr>
            <w:r w:rsidRPr="00FC2E96">
              <w:rPr>
                <w:b/>
                <w:i/>
                <w:iCs/>
                <w:sz w:val="20"/>
              </w:rPr>
              <w:t>исполнен</w:t>
            </w:r>
            <w:r w:rsidR="000A03AF">
              <w:rPr>
                <w:b/>
                <w:i/>
                <w:iCs/>
                <w:sz w:val="20"/>
              </w:rPr>
              <w:t>о</w:t>
            </w:r>
            <w:r w:rsidRPr="00FC2E96">
              <w:rPr>
                <w:b/>
                <w:i/>
                <w:iCs/>
                <w:sz w:val="20"/>
              </w:rPr>
              <w:t>, %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FC2E96" w:rsidRPr="00FC2E96" w:rsidRDefault="00FC2E96" w:rsidP="00FC2E96">
            <w:pPr>
              <w:jc w:val="center"/>
              <w:rPr>
                <w:b/>
                <w:i/>
                <w:iCs/>
                <w:sz w:val="20"/>
              </w:rPr>
            </w:pPr>
            <w:r w:rsidRPr="00FC2E96">
              <w:rPr>
                <w:b/>
                <w:i/>
                <w:iCs/>
                <w:sz w:val="20"/>
              </w:rPr>
              <w:t>сравнение с 2016 г</w:t>
            </w:r>
            <w:r>
              <w:rPr>
                <w:b/>
                <w:i/>
                <w:iCs/>
                <w:sz w:val="20"/>
              </w:rPr>
              <w:t>.</w:t>
            </w:r>
            <w:r w:rsidRPr="00FC2E96">
              <w:rPr>
                <w:b/>
                <w:i/>
                <w:iCs/>
                <w:sz w:val="20"/>
              </w:rPr>
              <w:t>, %</w:t>
            </w:r>
          </w:p>
        </w:tc>
      </w:tr>
      <w:tr w:rsidR="00FC2E96" w:rsidRPr="00FC2E96" w:rsidTr="000A03AF">
        <w:trPr>
          <w:trHeight w:val="20"/>
        </w:trPr>
        <w:tc>
          <w:tcPr>
            <w:tcW w:w="4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96" w:rsidRPr="00FC2E96" w:rsidRDefault="00FC2E96" w:rsidP="00C449C1">
            <w:pPr>
              <w:rPr>
                <w:sz w:val="20"/>
              </w:rPr>
            </w:pPr>
            <w:r w:rsidRPr="00FC2E96">
              <w:rPr>
                <w:sz w:val="20"/>
              </w:rPr>
              <w:t xml:space="preserve">Комитет строительства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2E96" w:rsidRPr="00FC2E96" w:rsidRDefault="00FC2E96" w:rsidP="000A03AF">
            <w:pPr>
              <w:jc w:val="center"/>
              <w:rPr>
                <w:sz w:val="20"/>
              </w:rPr>
            </w:pPr>
            <w:r w:rsidRPr="00FC2E96">
              <w:rPr>
                <w:sz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2E96" w:rsidRPr="00FC2E96" w:rsidRDefault="00FC2E96" w:rsidP="000A03AF">
            <w:pPr>
              <w:jc w:val="center"/>
              <w:rPr>
                <w:sz w:val="20"/>
              </w:rPr>
            </w:pPr>
            <w:r w:rsidRPr="00FC2E96">
              <w:rPr>
                <w:sz w:val="20"/>
              </w:rPr>
              <w:t>116,3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2E96" w:rsidRPr="00FC2E96" w:rsidRDefault="00FC2E96" w:rsidP="000A03AF">
            <w:pPr>
              <w:jc w:val="center"/>
              <w:rPr>
                <w:sz w:val="20"/>
              </w:rPr>
            </w:pPr>
            <w:r w:rsidRPr="00FC2E96">
              <w:rPr>
                <w:sz w:val="20"/>
              </w:rPr>
              <w:t>23,4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2E96" w:rsidRPr="00FC2E96" w:rsidRDefault="00FC2E96" w:rsidP="000A03AF">
            <w:pPr>
              <w:jc w:val="center"/>
              <w:rPr>
                <w:sz w:val="20"/>
              </w:rPr>
            </w:pPr>
            <w:r w:rsidRPr="00FC2E96">
              <w:rPr>
                <w:sz w:val="20"/>
              </w:rPr>
              <w:t>20,1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2E96" w:rsidRPr="00FC2E96" w:rsidRDefault="00FC2E96" w:rsidP="000A03AF">
            <w:pPr>
              <w:jc w:val="center"/>
              <w:rPr>
                <w:sz w:val="20"/>
              </w:rPr>
            </w:pPr>
            <w:proofErr w:type="spellStart"/>
            <w:r w:rsidRPr="00FC2E96">
              <w:rPr>
                <w:sz w:val="20"/>
              </w:rPr>
              <w:t>х</w:t>
            </w:r>
            <w:proofErr w:type="spellEnd"/>
          </w:p>
        </w:tc>
      </w:tr>
      <w:tr w:rsidR="00FC2E96" w:rsidRPr="00FC2E96" w:rsidTr="000A03AF">
        <w:trPr>
          <w:trHeight w:val="20"/>
        </w:trPr>
        <w:tc>
          <w:tcPr>
            <w:tcW w:w="4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96" w:rsidRPr="00FC2E96" w:rsidRDefault="00FC2E96" w:rsidP="00C449C1">
            <w:pPr>
              <w:rPr>
                <w:sz w:val="20"/>
              </w:rPr>
            </w:pPr>
            <w:r w:rsidRPr="00FC2E96">
              <w:rPr>
                <w:sz w:val="20"/>
              </w:rPr>
              <w:t xml:space="preserve">Комитет по делам национальностей и казачества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2E96" w:rsidRPr="00FC2E96" w:rsidRDefault="00FC2E96" w:rsidP="000A03AF">
            <w:pPr>
              <w:jc w:val="center"/>
              <w:rPr>
                <w:sz w:val="20"/>
              </w:rPr>
            </w:pPr>
            <w:r w:rsidRPr="00FC2E96">
              <w:rPr>
                <w:sz w:val="20"/>
              </w:rPr>
              <w:t>8,3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2E96" w:rsidRPr="00FC2E96" w:rsidRDefault="00FC2E96" w:rsidP="000A03AF">
            <w:pPr>
              <w:jc w:val="center"/>
              <w:rPr>
                <w:sz w:val="20"/>
              </w:rPr>
            </w:pPr>
            <w:r w:rsidRPr="00FC2E96">
              <w:rPr>
                <w:sz w:val="20"/>
              </w:rPr>
              <w:t>8,3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2E96" w:rsidRPr="00FC2E96" w:rsidRDefault="00FC2E96" w:rsidP="000A03AF">
            <w:pPr>
              <w:jc w:val="center"/>
              <w:rPr>
                <w:sz w:val="20"/>
              </w:rPr>
            </w:pPr>
            <w:r w:rsidRPr="00FC2E96">
              <w:rPr>
                <w:sz w:val="20"/>
              </w:rPr>
              <w:t>10,6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2E96" w:rsidRPr="00FC2E96" w:rsidRDefault="00FC2E96" w:rsidP="000A03AF">
            <w:pPr>
              <w:jc w:val="center"/>
              <w:rPr>
                <w:sz w:val="20"/>
              </w:rPr>
            </w:pPr>
            <w:r w:rsidRPr="00FC2E96">
              <w:rPr>
                <w:sz w:val="20"/>
              </w:rPr>
              <w:t>128,8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2E96" w:rsidRPr="00FC2E96" w:rsidRDefault="00FC2E96" w:rsidP="000A03AF">
            <w:pPr>
              <w:jc w:val="center"/>
              <w:rPr>
                <w:sz w:val="20"/>
              </w:rPr>
            </w:pPr>
            <w:r w:rsidRPr="00FC2E96">
              <w:rPr>
                <w:sz w:val="20"/>
              </w:rPr>
              <w:t>128,8</w:t>
            </w:r>
          </w:p>
        </w:tc>
      </w:tr>
      <w:tr w:rsidR="00FC2E96" w:rsidRPr="00FC2E96" w:rsidTr="000A03AF">
        <w:trPr>
          <w:trHeight w:val="20"/>
        </w:trPr>
        <w:tc>
          <w:tcPr>
            <w:tcW w:w="4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96" w:rsidRPr="00FC2E96" w:rsidRDefault="00FC2E96" w:rsidP="00C449C1">
            <w:pPr>
              <w:rPr>
                <w:sz w:val="20"/>
              </w:rPr>
            </w:pPr>
            <w:r w:rsidRPr="00FC2E96">
              <w:rPr>
                <w:sz w:val="20"/>
              </w:rPr>
              <w:t xml:space="preserve">Комитет государственной охраны объектов культурного наследия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2E96" w:rsidRPr="00FC2E96" w:rsidRDefault="00FC2E96" w:rsidP="000A03AF">
            <w:pPr>
              <w:jc w:val="center"/>
              <w:rPr>
                <w:sz w:val="20"/>
              </w:rPr>
            </w:pPr>
            <w:r w:rsidRPr="00FC2E96">
              <w:rPr>
                <w:sz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2E96" w:rsidRPr="00FC2E96" w:rsidRDefault="00FC2E96" w:rsidP="000A03AF">
            <w:pPr>
              <w:jc w:val="center"/>
              <w:rPr>
                <w:sz w:val="20"/>
              </w:rPr>
            </w:pPr>
            <w:r w:rsidRPr="00FC2E96">
              <w:rPr>
                <w:sz w:val="20"/>
              </w:rPr>
              <w:t>18,3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2E96" w:rsidRPr="00FC2E96" w:rsidRDefault="00FC2E96" w:rsidP="000A03AF">
            <w:pPr>
              <w:jc w:val="center"/>
              <w:rPr>
                <w:sz w:val="20"/>
              </w:rPr>
            </w:pPr>
            <w:r w:rsidRPr="00FC2E96">
              <w:rPr>
                <w:sz w:val="20"/>
              </w:rPr>
              <w:t>25,0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2E96" w:rsidRPr="00FC2E96" w:rsidRDefault="00FC2E96" w:rsidP="000A03AF">
            <w:pPr>
              <w:jc w:val="center"/>
              <w:rPr>
                <w:sz w:val="20"/>
              </w:rPr>
            </w:pPr>
            <w:r w:rsidRPr="00FC2E96">
              <w:rPr>
                <w:sz w:val="20"/>
              </w:rPr>
              <w:t>136,3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2E96" w:rsidRPr="00FC2E96" w:rsidRDefault="00FC2E96" w:rsidP="000A03AF">
            <w:pPr>
              <w:jc w:val="center"/>
              <w:rPr>
                <w:sz w:val="20"/>
              </w:rPr>
            </w:pPr>
            <w:proofErr w:type="spellStart"/>
            <w:r w:rsidRPr="00FC2E96">
              <w:rPr>
                <w:sz w:val="20"/>
              </w:rPr>
              <w:t>х</w:t>
            </w:r>
            <w:proofErr w:type="spellEnd"/>
          </w:p>
        </w:tc>
      </w:tr>
      <w:tr w:rsidR="00FC2E96" w:rsidRPr="00FC2E96" w:rsidTr="000A03AF">
        <w:trPr>
          <w:trHeight w:val="20"/>
        </w:trPr>
        <w:tc>
          <w:tcPr>
            <w:tcW w:w="4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E96" w:rsidRPr="00FC2E96" w:rsidRDefault="00FC2E96" w:rsidP="00C449C1">
            <w:pPr>
              <w:rPr>
                <w:sz w:val="20"/>
              </w:rPr>
            </w:pPr>
            <w:r w:rsidRPr="00FC2E96">
              <w:rPr>
                <w:sz w:val="20"/>
              </w:rPr>
              <w:t xml:space="preserve">Комитет культуры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2E96" w:rsidRPr="00FC2E96" w:rsidRDefault="00FC2E96" w:rsidP="000A03AF">
            <w:pPr>
              <w:jc w:val="center"/>
              <w:rPr>
                <w:sz w:val="20"/>
              </w:rPr>
            </w:pPr>
            <w:r w:rsidRPr="00FC2E96">
              <w:rPr>
                <w:sz w:val="20"/>
              </w:rPr>
              <w:t>714,3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2E96" w:rsidRPr="00FC2E96" w:rsidRDefault="00FC2E96" w:rsidP="000A03AF">
            <w:pPr>
              <w:jc w:val="center"/>
              <w:rPr>
                <w:sz w:val="20"/>
              </w:rPr>
            </w:pPr>
            <w:r w:rsidRPr="00FC2E96">
              <w:rPr>
                <w:sz w:val="20"/>
              </w:rPr>
              <w:t>848,5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2E96" w:rsidRPr="00FC2E96" w:rsidRDefault="00FC2E96" w:rsidP="000A03AF">
            <w:pPr>
              <w:jc w:val="center"/>
              <w:rPr>
                <w:sz w:val="20"/>
              </w:rPr>
            </w:pPr>
            <w:r w:rsidRPr="00FC2E96">
              <w:rPr>
                <w:sz w:val="20"/>
              </w:rPr>
              <w:t>791,0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2E96" w:rsidRPr="00FC2E96" w:rsidRDefault="00FC2E96" w:rsidP="000A03AF">
            <w:pPr>
              <w:jc w:val="center"/>
              <w:rPr>
                <w:sz w:val="20"/>
              </w:rPr>
            </w:pPr>
            <w:r w:rsidRPr="00FC2E96">
              <w:rPr>
                <w:sz w:val="20"/>
              </w:rPr>
              <w:t>93,2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2E96" w:rsidRPr="00FC2E96" w:rsidRDefault="00FC2E96" w:rsidP="000A03AF">
            <w:pPr>
              <w:jc w:val="center"/>
              <w:rPr>
                <w:sz w:val="20"/>
              </w:rPr>
            </w:pPr>
            <w:r w:rsidRPr="00FC2E96">
              <w:rPr>
                <w:sz w:val="20"/>
              </w:rPr>
              <w:t>110,7</w:t>
            </w:r>
          </w:p>
        </w:tc>
      </w:tr>
      <w:tr w:rsidR="00FC2E96" w:rsidRPr="00FC2E96" w:rsidTr="000A03AF">
        <w:trPr>
          <w:trHeight w:val="20"/>
        </w:trPr>
        <w:tc>
          <w:tcPr>
            <w:tcW w:w="4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FC2E96" w:rsidRPr="00FC2E96" w:rsidRDefault="00FC2E96" w:rsidP="00C449C1">
            <w:pPr>
              <w:rPr>
                <w:b/>
                <w:bCs/>
                <w:sz w:val="20"/>
              </w:rPr>
            </w:pPr>
            <w:r w:rsidRPr="00FC2E96">
              <w:rPr>
                <w:b/>
                <w:bCs/>
                <w:sz w:val="20"/>
              </w:rPr>
              <w:t>ИТОГО: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hideMark/>
          </w:tcPr>
          <w:p w:rsidR="00FC2E96" w:rsidRPr="00FC2E96" w:rsidRDefault="00FC2E96" w:rsidP="000A03AF">
            <w:pPr>
              <w:jc w:val="center"/>
              <w:rPr>
                <w:b/>
                <w:bCs/>
                <w:sz w:val="20"/>
              </w:rPr>
            </w:pPr>
            <w:r w:rsidRPr="00FC2E96">
              <w:rPr>
                <w:b/>
                <w:bCs/>
                <w:sz w:val="20"/>
              </w:rPr>
              <w:t>722,6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hideMark/>
          </w:tcPr>
          <w:p w:rsidR="00FC2E96" w:rsidRPr="00FC2E96" w:rsidRDefault="00FC2E96" w:rsidP="000A03AF">
            <w:pPr>
              <w:jc w:val="center"/>
              <w:rPr>
                <w:b/>
                <w:bCs/>
                <w:sz w:val="20"/>
              </w:rPr>
            </w:pPr>
            <w:r w:rsidRPr="00FC2E96">
              <w:rPr>
                <w:b/>
                <w:bCs/>
                <w:sz w:val="20"/>
              </w:rPr>
              <w:t>991,3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hideMark/>
          </w:tcPr>
          <w:p w:rsidR="00FC2E96" w:rsidRPr="00FC2E96" w:rsidRDefault="00FC2E96" w:rsidP="000A03AF">
            <w:pPr>
              <w:jc w:val="center"/>
              <w:rPr>
                <w:b/>
                <w:bCs/>
                <w:sz w:val="20"/>
              </w:rPr>
            </w:pPr>
            <w:r w:rsidRPr="00FC2E96">
              <w:rPr>
                <w:b/>
                <w:bCs/>
                <w:sz w:val="20"/>
              </w:rPr>
              <w:t>850,0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hideMark/>
          </w:tcPr>
          <w:p w:rsidR="00FC2E96" w:rsidRPr="00FC2E96" w:rsidRDefault="00FC2E96" w:rsidP="000A03AF">
            <w:pPr>
              <w:jc w:val="center"/>
              <w:rPr>
                <w:b/>
                <w:bCs/>
                <w:sz w:val="20"/>
              </w:rPr>
            </w:pPr>
            <w:r w:rsidRPr="00FC2E96">
              <w:rPr>
                <w:b/>
                <w:bCs/>
                <w:sz w:val="20"/>
              </w:rPr>
              <w:t>85,7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hideMark/>
          </w:tcPr>
          <w:p w:rsidR="00FC2E96" w:rsidRPr="00FC2E96" w:rsidRDefault="00FC2E96" w:rsidP="000A03AF">
            <w:pPr>
              <w:jc w:val="center"/>
              <w:rPr>
                <w:b/>
                <w:bCs/>
                <w:sz w:val="20"/>
              </w:rPr>
            </w:pPr>
            <w:r w:rsidRPr="00FC2E96">
              <w:rPr>
                <w:b/>
                <w:bCs/>
                <w:sz w:val="20"/>
              </w:rPr>
              <w:t>117,6</w:t>
            </w:r>
          </w:p>
        </w:tc>
      </w:tr>
    </w:tbl>
    <w:p w:rsidR="00FC2E96" w:rsidRDefault="00FC2E96" w:rsidP="00DF1EEE">
      <w:pPr>
        <w:jc w:val="both"/>
      </w:pPr>
    </w:p>
    <w:p w:rsidR="00584683" w:rsidRPr="00C07AD0" w:rsidRDefault="006C0005" w:rsidP="00C07AD0">
      <w:pPr>
        <w:jc w:val="both"/>
        <w:rPr>
          <w:szCs w:val="24"/>
        </w:rPr>
      </w:pPr>
      <w:r>
        <w:tab/>
      </w:r>
      <w:r w:rsidR="00C07AD0" w:rsidRPr="00C07AD0">
        <w:rPr>
          <w:szCs w:val="24"/>
        </w:rPr>
        <w:t>Относительно</w:t>
      </w:r>
      <w:r w:rsidR="00C07AD0">
        <w:rPr>
          <w:szCs w:val="24"/>
        </w:rPr>
        <w:t xml:space="preserve"> предыдущего года расходы по данному разделу </w:t>
      </w:r>
      <w:r w:rsidR="000A03AF">
        <w:rPr>
          <w:szCs w:val="24"/>
        </w:rPr>
        <w:t>увеличились на 127,4 млн. руб., или на 17,6 процента.</w:t>
      </w:r>
    </w:p>
    <w:p w:rsidR="00C07AD0" w:rsidRDefault="00C07AD0" w:rsidP="00C07AD0">
      <w:pPr>
        <w:ind w:firstLine="708"/>
        <w:jc w:val="both"/>
      </w:pPr>
      <w:r>
        <w:t>При проведении внешних проверок бюджетной отчетности главных распорядителей средств областного бюджета, участвующих в данном разделе, установлены следующие нарушения законодательства и недостатки при использовании бюджетных средств.</w:t>
      </w:r>
    </w:p>
    <w:p w:rsidR="002C2570" w:rsidRDefault="002C2570" w:rsidP="002C2570">
      <w:pPr>
        <w:ind w:firstLine="709"/>
        <w:jc w:val="both"/>
        <w:outlineLvl w:val="0"/>
        <w:rPr>
          <w:szCs w:val="24"/>
        </w:rPr>
      </w:pPr>
      <w:r>
        <w:rPr>
          <w:szCs w:val="24"/>
        </w:rPr>
        <w:t xml:space="preserve">Так, при проверке </w:t>
      </w:r>
      <w:r w:rsidRPr="002C2570">
        <w:rPr>
          <w:b/>
          <w:i/>
          <w:szCs w:val="24"/>
        </w:rPr>
        <w:t>комитета культуры Волгоградской области</w:t>
      </w:r>
      <w:r>
        <w:rPr>
          <w:szCs w:val="24"/>
        </w:rPr>
        <w:t xml:space="preserve"> установлено, что к</w:t>
      </w:r>
      <w:r w:rsidRPr="00EE297A">
        <w:rPr>
          <w:szCs w:val="24"/>
        </w:rPr>
        <w:t xml:space="preserve">редиторская задолженность </w:t>
      </w:r>
      <w:r>
        <w:rPr>
          <w:szCs w:val="24"/>
        </w:rPr>
        <w:t xml:space="preserve">комитета за 2017 год </w:t>
      </w:r>
      <w:r w:rsidRPr="00EE297A">
        <w:rPr>
          <w:szCs w:val="24"/>
        </w:rPr>
        <w:t xml:space="preserve">увеличилась </w:t>
      </w:r>
      <w:r>
        <w:rPr>
          <w:szCs w:val="24"/>
        </w:rPr>
        <w:t xml:space="preserve">на 3,6 млн. руб., или </w:t>
      </w:r>
      <w:r w:rsidRPr="00EE297A">
        <w:rPr>
          <w:szCs w:val="24"/>
        </w:rPr>
        <w:t xml:space="preserve">на 11,7% </w:t>
      </w:r>
      <w:r>
        <w:rPr>
          <w:szCs w:val="24"/>
        </w:rPr>
        <w:t xml:space="preserve">относительно начала года </w:t>
      </w:r>
      <w:r w:rsidRPr="00EE297A">
        <w:rPr>
          <w:szCs w:val="24"/>
        </w:rPr>
        <w:t>и на 01.01.2018 составила 34</w:t>
      </w:r>
      <w:r>
        <w:rPr>
          <w:szCs w:val="24"/>
        </w:rPr>
        <w:t>,</w:t>
      </w:r>
      <w:r w:rsidRPr="00EE297A">
        <w:rPr>
          <w:szCs w:val="24"/>
        </w:rPr>
        <w:t>8</w:t>
      </w:r>
      <w:r w:rsidRPr="00EE297A">
        <w:rPr>
          <w:b/>
          <w:bCs/>
          <w:sz w:val="16"/>
          <w:szCs w:val="16"/>
        </w:rPr>
        <w:t xml:space="preserve"> </w:t>
      </w:r>
      <w:r w:rsidRPr="002C2570">
        <w:rPr>
          <w:bCs/>
          <w:szCs w:val="24"/>
        </w:rPr>
        <w:t>млн</w:t>
      </w:r>
      <w:r w:rsidRPr="002C2570">
        <w:rPr>
          <w:szCs w:val="24"/>
        </w:rPr>
        <w:t>.</w:t>
      </w:r>
      <w:r w:rsidRPr="00EE297A">
        <w:rPr>
          <w:szCs w:val="24"/>
        </w:rPr>
        <w:t xml:space="preserve"> руб</w:t>
      </w:r>
      <w:r>
        <w:rPr>
          <w:szCs w:val="24"/>
        </w:rPr>
        <w:t>лей</w:t>
      </w:r>
      <w:r w:rsidRPr="00EE297A">
        <w:rPr>
          <w:szCs w:val="24"/>
        </w:rPr>
        <w:t>.</w:t>
      </w:r>
      <w:r>
        <w:rPr>
          <w:szCs w:val="24"/>
        </w:rPr>
        <w:t xml:space="preserve"> При этом н</w:t>
      </w:r>
      <w:r w:rsidRPr="00EE297A">
        <w:rPr>
          <w:szCs w:val="24"/>
        </w:rPr>
        <w:t xml:space="preserve">аибольшая сумма </w:t>
      </w:r>
      <w:r w:rsidRPr="004D4ED3">
        <w:rPr>
          <w:szCs w:val="24"/>
        </w:rPr>
        <w:t xml:space="preserve">задолженности </w:t>
      </w:r>
      <w:r w:rsidR="00A340B4">
        <w:rPr>
          <w:szCs w:val="24"/>
        </w:rPr>
        <w:t>(30</w:t>
      </w:r>
      <w:r w:rsidRPr="004D4ED3">
        <w:rPr>
          <w:szCs w:val="24"/>
        </w:rPr>
        <w:t xml:space="preserve"> </w:t>
      </w:r>
      <w:r w:rsidR="00A340B4">
        <w:rPr>
          <w:szCs w:val="24"/>
        </w:rPr>
        <w:t>млн</w:t>
      </w:r>
      <w:r w:rsidRPr="004D4ED3">
        <w:rPr>
          <w:szCs w:val="24"/>
        </w:rPr>
        <w:t>. руб., или 86,</w:t>
      </w:r>
      <w:r w:rsidR="00A340B4">
        <w:rPr>
          <w:szCs w:val="24"/>
        </w:rPr>
        <w:t>2</w:t>
      </w:r>
      <w:r w:rsidRPr="004D4ED3">
        <w:rPr>
          <w:szCs w:val="24"/>
        </w:rPr>
        <w:t xml:space="preserve">% </w:t>
      </w:r>
      <w:r w:rsidR="00A340B4">
        <w:rPr>
          <w:szCs w:val="24"/>
        </w:rPr>
        <w:t>общей суммы</w:t>
      </w:r>
      <w:r w:rsidRPr="004D4ED3">
        <w:rPr>
          <w:szCs w:val="24"/>
        </w:rPr>
        <w:t xml:space="preserve">) сложилась по субсидиям бюджетным учреждениям на финансовое обеспечение государственного задания на оказание государственных услуг (выполнение работ). </w:t>
      </w:r>
      <w:r w:rsidR="00A340B4">
        <w:rPr>
          <w:szCs w:val="24"/>
        </w:rPr>
        <w:t>В то же время, как показала проверка,</w:t>
      </w:r>
      <w:r w:rsidRPr="004D4ED3">
        <w:rPr>
          <w:szCs w:val="24"/>
        </w:rPr>
        <w:t xml:space="preserve"> кредиторская задолженность бюджетных и автономного учреждений, подведомственных </w:t>
      </w:r>
      <w:r w:rsidR="00A340B4">
        <w:rPr>
          <w:szCs w:val="24"/>
        </w:rPr>
        <w:t>к</w:t>
      </w:r>
      <w:r w:rsidRPr="004D4ED3">
        <w:rPr>
          <w:szCs w:val="24"/>
        </w:rPr>
        <w:t>омитету, по принятым</w:t>
      </w:r>
      <w:r w:rsidRPr="00FE1DE9">
        <w:rPr>
          <w:szCs w:val="24"/>
        </w:rPr>
        <w:t xml:space="preserve"> </w:t>
      </w:r>
      <w:r w:rsidR="000A1AFF" w:rsidRPr="00FE1DE9">
        <w:rPr>
          <w:szCs w:val="24"/>
        </w:rPr>
        <w:t xml:space="preserve">на 01.01.2018 </w:t>
      </w:r>
      <w:r w:rsidRPr="00FE1DE9">
        <w:rPr>
          <w:szCs w:val="24"/>
        </w:rPr>
        <w:t>обязательствам составила 27</w:t>
      </w:r>
      <w:r w:rsidR="00A340B4">
        <w:rPr>
          <w:szCs w:val="24"/>
        </w:rPr>
        <w:t>,8</w:t>
      </w:r>
      <w:r w:rsidRPr="00FE1DE9">
        <w:rPr>
          <w:szCs w:val="24"/>
        </w:rPr>
        <w:t xml:space="preserve"> </w:t>
      </w:r>
      <w:r w:rsidR="00A340B4">
        <w:rPr>
          <w:szCs w:val="24"/>
        </w:rPr>
        <w:t>млн</w:t>
      </w:r>
      <w:r w:rsidRPr="00FE1DE9">
        <w:rPr>
          <w:szCs w:val="24"/>
        </w:rPr>
        <w:t>. руб. за счет субсидии</w:t>
      </w:r>
      <w:r>
        <w:rPr>
          <w:szCs w:val="24"/>
        </w:rPr>
        <w:t xml:space="preserve"> на выполнение государственного задания</w:t>
      </w:r>
      <w:r w:rsidRPr="00315DC0">
        <w:rPr>
          <w:szCs w:val="24"/>
        </w:rPr>
        <w:t xml:space="preserve">, что </w:t>
      </w:r>
      <w:r>
        <w:rPr>
          <w:szCs w:val="24"/>
        </w:rPr>
        <w:t xml:space="preserve">меньше </w:t>
      </w:r>
      <w:r w:rsidRPr="00315DC0">
        <w:rPr>
          <w:szCs w:val="24"/>
        </w:rPr>
        <w:t>задолженност</w:t>
      </w:r>
      <w:r>
        <w:rPr>
          <w:szCs w:val="24"/>
        </w:rPr>
        <w:t>и</w:t>
      </w:r>
      <w:r w:rsidRPr="00315DC0">
        <w:rPr>
          <w:szCs w:val="24"/>
        </w:rPr>
        <w:t xml:space="preserve"> </w:t>
      </w:r>
      <w:r w:rsidR="009711F5">
        <w:rPr>
          <w:szCs w:val="24"/>
        </w:rPr>
        <w:t>к</w:t>
      </w:r>
      <w:r w:rsidRPr="00315DC0">
        <w:rPr>
          <w:szCs w:val="24"/>
        </w:rPr>
        <w:t>омитета по субсидиям</w:t>
      </w:r>
      <w:r w:rsidRPr="008C7E6A">
        <w:rPr>
          <w:szCs w:val="24"/>
        </w:rPr>
        <w:t xml:space="preserve"> на 2</w:t>
      </w:r>
      <w:r w:rsidR="009711F5">
        <w:rPr>
          <w:szCs w:val="24"/>
        </w:rPr>
        <w:t>,2</w:t>
      </w:r>
      <w:r w:rsidRPr="008C7E6A">
        <w:rPr>
          <w:szCs w:val="24"/>
        </w:rPr>
        <w:t xml:space="preserve"> </w:t>
      </w:r>
      <w:r w:rsidR="009711F5">
        <w:rPr>
          <w:szCs w:val="24"/>
        </w:rPr>
        <w:t>млн</w:t>
      </w:r>
      <w:r w:rsidRPr="008C7E6A">
        <w:rPr>
          <w:szCs w:val="24"/>
        </w:rPr>
        <w:t>. рублей.</w:t>
      </w:r>
    </w:p>
    <w:p w:rsidR="002C2570" w:rsidRPr="00D03662" w:rsidRDefault="002C2570" w:rsidP="002C2570">
      <w:pPr>
        <w:ind w:firstLine="709"/>
        <w:jc w:val="both"/>
        <w:outlineLvl w:val="0"/>
        <w:rPr>
          <w:szCs w:val="24"/>
        </w:rPr>
      </w:pPr>
      <w:proofErr w:type="gramStart"/>
      <w:r>
        <w:rPr>
          <w:szCs w:val="24"/>
        </w:rPr>
        <w:t>Наличие просроченной задолженности по соглашениям 2016 года, а также у</w:t>
      </w:r>
      <w:r w:rsidRPr="00D03662">
        <w:rPr>
          <w:szCs w:val="24"/>
        </w:rPr>
        <w:t xml:space="preserve">казанное расхождение свидетельствует о необходимости проведения анализа кредиторской задолженности по субсидии на выполнение государственного задания бюджетными и автономными </w:t>
      </w:r>
      <w:r w:rsidR="000A1AFF">
        <w:rPr>
          <w:szCs w:val="24"/>
        </w:rPr>
        <w:t>у</w:t>
      </w:r>
      <w:r w:rsidRPr="00D03662">
        <w:rPr>
          <w:szCs w:val="24"/>
        </w:rPr>
        <w:t xml:space="preserve">чреждениями в соответствии с постановлением Администрации Волгоградской области от 26.12.2016 №716-п </w:t>
      </w:r>
      <w:r>
        <w:rPr>
          <w:szCs w:val="24"/>
        </w:rPr>
        <w:t>«</w:t>
      </w:r>
      <w:r w:rsidRPr="00D03662">
        <w:rPr>
          <w:szCs w:val="24"/>
        </w:rPr>
        <w:t>О порядке проведения мониторинга кредиторской задолженности и представления сведений о просроченной кредиторской задолженности государственных органов и государственных учреждений Волгоградской области</w:t>
      </w:r>
      <w:r>
        <w:rPr>
          <w:szCs w:val="24"/>
        </w:rPr>
        <w:t>»</w:t>
      </w:r>
      <w:r w:rsidRPr="00D03662">
        <w:rPr>
          <w:szCs w:val="24"/>
        </w:rPr>
        <w:t xml:space="preserve"> для принятия</w:t>
      </w:r>
      <w:proofErr w:type="gramEnd"/>
      <w:r w:rsidRPr="00D03662">
        <w:rPr>
          <w:szCs w:val="24"/>
        </w:rPr>
        <w:t xml:space="preserve"> мер по ее сокращению и ликвидации.</w:t>
      </w:r>
    </w:p>
    <w:p w:rsidR="002C2570" w:rsidRDefault="002C2570" w:rsidP="002C2570">
      <w:pPr>
        <w:ind w:firstLine="709"/>
        <w:jc w:val="both"/>
        <w:rPr>
          <w:szCs w:val="24"/>
        </w:rPr>
      </w:pPr>
      <w:r w:rsidRPr="00315DC0">
        <w:rPr>
          <w:szCs w:val="24"/>
        </w:rPr>
        <w:t>В соответствии со Стандартом финансового контроля</w:t>
      </w:r>
      <w:r w:rsidR="00614C9F">
        <w:rPr>
          <w:szCs w:val="24"/>
        </w:rPr>
        <w:t>, утвержденного коллегией КСП,</w:t>
      </w:r>
      <w:r w:rsidRPr="00315DC0">
        <w:rPr>
          <w:szCs w:val="24"/>
        </w:rPr>
        <w:t xml:space="preserve"> сложившаяся кредиторская задолженность на 01.01.201</w:t>
      </w:r>
      <w:r>
        <w:rPr>
          <w:szCs w:val="24"/>
        </w:rPr>
        <w:t>8</w:t>
      </w:r>
      <w:r w:rsidRPr="00315DC0">
        <w:rPr>
          <w:szCs w:val="24"/>
        </w:rPr>
        <w:t xml:space="preserve"> в сумме </w:t>
      </w:r>
      <w:r>
        <w:rPr>
          <w:szCs w:val="24"/>
        </w:rPr>
        <w:t>34</w:t>
      </w:r>
      <w:r w:rsidR="00614C9F">
        <w:rPr>
          <w:szCs w:val="24"/>
        </w:rPr>
        <w:t>,</w:t>
      </w:r>
      <w:r>
        <w:rPr>
          <w:szCs w:val="24"/>
        </w:rPr>
        <w:t>8</w:t>
      </w:r>
      <w:r w:rsidRPr="00315DC0">
        <w:rPr>
          <w:szCs w:val="24"/>
        </w:rPr>
        <w:t xml:space="preserve"> </w:t>
      </w:r>
      <w:r w:rsidR="00614C9F">
        <w:rPr>
          <w:szCs w:val="24"/>
        </w:rPr>
        <w:t>млн</w:t>
      </w:r>
      <w:r w:rsidRPr="00315DC0">
        <w:rPr>
          <w:szCs w:val="24"/>
        </w:rPr>
        <w:t xml:space="preserve">. руб. является </w:t>
      </w:r>
      <w:r w:rsidRPr="0021270E">
        <w:rPr>
          <w:szCs w:val="24"/>
        </w:rPr>
        <w:t>не</w:t>
      </w:r>
      <w:r w:rsidRPr="00315DC0">
        <w:rPr>
          <w:szCs w:val="24"/>
        </w:rPr>
        <w:t xml:space="preserve">обоснованной, так как </w:t>
      </w:r>
      <w:r w:rsidRPr="0021270E">
        <w:rPr>
          <w:szCs w:val="24"/>
        </w:rPr>
        <w:t xml:space="preserve">превышает разницу между общим объемом доведенных лимитов (1046 </w:t>
      </w:r>
      <w:r w:rsidR="00614C9F">
        <w:rPr>
          <w:szCs w:val="24"/>
        </w:rPr>
        <w:t>млн</w:t>
      </w:r>
      <w:r w:rsidRPr="00315DC0">
        <w:rPr>
          <w:szCs w:val="24"/>
        </w:rPr>
        <w:t>. руб.) и кассовым расходом (</w:t>
      </w:r>
      <w:r>
        <w:rPr>
          <w:szCs w:val="24"/>
        </w:rPr>
        <w:t>1012</w:t>
      </w:r>
      <w:r w:rsidR="00614C9F">
        <w:rPr>
          <w:szCs w:val="24"/>
        </w:rPr>
        <w:t>,7</w:t>
      </w:r>
      <w:r w:rsidRPr="00315DC0">
        <w:rPr>
          <w:szCs w:val="24"/>
        </w:rPr>
        <w:t xml:space="preserve"> </w:t>
      </w:r>
      <w:r w:rsidR="00614C9F">
        <w:rPr>
          <w:szCs w:val="24"/>
        </w:rPr>
        <w:t>млн</w:t>
      </w:r>
      <w:r w:rsidRPr="00315DC0">
        <w:rPr>
          <w:szCs w:val="24"/>
        </w:rPr>
        <w:t xml:space="preserve">. руб.). </w:t>
      </w:r>
    </w:p>
    <w:p w:rsidR="002C2570" w:rsidRPr="00041C0F" w:rsidRDefault="002C2570" w:rsidP="002C2570">
      <w:pPr>
        <w:ind w:firstLine="709"/>
        <w:jc w:val="both"/>
        <w:rPr>
          <w:szCs w:val="24"/>
        </w:rPr>
      </w:pPr>
      <w:r w:rsidRPr="00430488">
        <w:rPr>
          <w:szCs w:val="24"/>
        </w:rPr>
        <w:t>Вместе с тем по отдельным</w:t>
      </w:r>
      <w:r>
        <w:rPr>
          <w:szCs w:val="24"/>
        </w:rPr>
        <w:t xml:space="preserve"> целевым статьям расходов </w:t>
      </w:r>
      <w:r w:rsidRPr="00960644">
        <w:rPr>
          <w:szCs w:val="24"/>
        </w:rPr>
        <w:t xml:space="preserve">согласно данным формы 0503128 </w:t>
      </w:r>
      <w:r>
        <w:rPr>
          <w:szCs w:val="24"/>
        </w:rPr>
        <w:t>«</w:t>
      </w:r>
      <w:r w:rsidRPr="00960644">
        <w:rPr>
          <w:szCs w:val="24"/>
        </w:rPr>
        <w:t>Отчет о бюджетных обязательствах</w:t>
      </w:r>
      <w:r>
        <w:rPr>
          <w:szCs w:val="24"/>
        </w:rPr>
        <w:t>»</w:t>
      </w:r>
      <w:r w:rsidRPr="00960644">
        <w:rPr>
          <w:szCs w:val="24"/>
        </w:rPr>
        <w:t xml:space="preserve"> и формы 0503175 </w:t>
      </w:r>
      <w:r>
        <w:rPr>
          <w:szCs w:val="24"/>
        </w:rPr>
        <w:t>«</w:t>
      </w:r>
      <w:r w:rsidRPr="00960644">
        <w:rPr>
          <w:szCs w:val="24"/>
        </w:rPr>
        <w:t xml:space="preserve">Сведения о принятых и </w:t>
      </w:r>
      <w:r w:rsidRPr="00041C0F">
        <w:rPr>
          <w:szCs w:val="24"/>
        </w:rPr>
        <w:t>неисполненных обязательствах получателя бюджетных средств</w:t>
      </w:r>
      <w:r>
        <w:rPr>
          <w:szCs w:val="24"/>
        </w:rPr>
        <w:t>»</w:t>
      </w:r>
      <w:r w:rsidRPr="00041C0F">
        <w:rPr>
          <w:szCs w:val="24"/>
        </w:rPr>
        <w:t xml:space="preserve"> </w:t>
      </w:r>
      <w:r w:rsidR="00C855B9">
        <w:rPr>
          <w:szCs w:val="24"/>
        </w:rPr>
        <w:t>к</w:t>
      </w:r>
      <w:r w:rsidRPr="00041C0F">
        <w:rPr>
          <w:szCs w:val="24"/>
        </w:rPr>
        <w:t>омитетом приняты бюджетные обязательства сверх лимитов бюджетных обязательств на 22</w:t>
      </w:r>
      <w:r w:rsidR="00C855B9">
        <w:rPr>
          <w:szCs w:val="24"/>
        </w:rPr>
        <w:t>,9</w:t>
      </w:r>
      <w:r w:rsidRPr="00041C0F">
        <w:rPr>
          <w:szCs w:val="24"/>
        </w:rPr>
        <w:t xml:space="preserve"> </w:t>
      </w:r>
      <w:r w:rsidR="00C855B9">
        <w:rPr>
          <w:szCs w:val="24"/>
        </w:rPr>
        <w:t>млн</w:t>
      </w:r>
      <w:r w:rsidRPr="00041C0F">
        <w:rPr>
          <w:szCs w:val="24"/>
        </w:rPr>
        <w:t>. рублей.</w:t>
      </w:r>
    </w:p>
    <w:p w:rsidR="002C2570" w:rsidRPr="004D4ED3" w:rsidRDefault="002C2570" w:rsidP="002C2570">
      <w:pPr>
        <w:ind w:firstLine="709"/>
        <w:jc w:val="both"/>
        <w:rPr>
          <w:szCs w:val="24"/>
        </w:rPr>
      </w:pPr>
      <w:r w:rsidRPr="00041C0F">
        <w:rPr>
          <w:szCs w:val="24"/>
        </w:rPr>
        <w:t xml:space="preserve">Согласно форме 0503160 Пояснительная записка уведомлением об изменении бюджетных назначений от 07.11.2017 </w:t>
      </w:r>
      <w:r w:rsidR="00C855B9">
        <w:rPr>
          <w:szCs w:val="24"/>
        </w:rPr>
        <w:t>к</w:t>
      </w:r>
      <w:r w:rsidRPr="00041C0F">
        <w:rPr>
          <w:szCs w:val="24"/>
        </w:rPr>
        <w:t xml:space="preserve">омитету и </w:t>
      </w:r>
      <w:r w:rsidR="00C855B9">
        <w:rPr>
          <w:szCs w:val="24"/>
        </w:rPr>
        <w:t xml:space="preserve">его </w:t>
      </w:r>
      <w:r w:rsidRPr="00041C0F">
        <w:rPr>
          <w:szCs w:val="24"/>
        </w:rPr>
        <w:t>подведомств</w:t>
      </w:r>
      <w:r>
        <w:rPr>
          <w:szCs w:val="24"/>
        </w:rPr>
        <w:t>енным учреждениям уменьшены ран</w:t>
      </w:r>
      <w:r w:rsidRPr="00041C0F">
        <w:rPr>
          <w:szCs w:val="24"/>
        </w:rPr>
        <w:t>ее доведенные лимиты бюд</w:t>
      </w:r>
      <w:r>
        <w:rPr>
          <w:szCs w:val="24"/>
        </w:rPr>
        <w:t>жетных обязательств на 2017 год</w:t>
      </w:r>
      <w:r w:rsidRPr="00041C0F">
        <w:rPr>
          <w:szCs w:val="24"/>
        </w:rPr>
        <w:t xml:space="preserve"> </w:t>
      </w:r>
      <w:r w:rsidRPr="0021270E">
        <w:rPr>
          <w:szCs w:val="24"/>
        </w:rPr>
        <w:t>по целевым статьям расходов</w:t>
      </w:r>
      <w:r>
        <w:rPr>
          <w:szCs w:val="24"/>
        </w:rPr>
        <w:t>,</w:t>
      </w:r>
      <w:r w:rsidRPr="0021270E">
        <w:rPr>
          <w:szCs w:val="24"/>
        </w:rPr>
        <w:t xml:space="preserve"> по которым не были профинансированы заявки.</w:t>
      </w:r>
      <w:r w:rsidRPr="00041C0F">
        <w:rPr>
          <w:szCs w:val="24"/>
        </w:rPr>
        <w:t xml:space="preserve"> Данное уменьшение затронуло государственные контракты (договоры), на момент заключения которых имелись бюджетные ассигнования </w:t>
      </w:r>
      <w:r w:rsidRPr="0021270E">
        <w:rPr>
          <w:szCs w:val="24"/>
        </w:rPr>
        <w:t>и</w:t>
      </w:r>
      <w:r>
        <w:rPr>
          <w:szCs w:val="24"/>
        </w:rPr>
        <w:t xml:space="preserve"> </w:t>
      </w:r>
      <w:r w:rsidRPr="00041C0F">
        <w:rPr>
          <w:szCs w:val="24"/>
        </w:rPr>
        <w:t xml:space="preserve">лимиты бюджетных обязательств, часть государственных контрактов (договоров) </w:t>
      </w:r>
      <w:r w:rsidR="00C855B9">
        <w:rPr>
          <w:szCs w:val="24"/>
        </w:rPr>
        <w:t xml:space="preserve">на этот момент </w:t>
      </w:r>
      <w:r w:rsidRPr="00041C0F">
        <w:rPr>
          <w:szCs w:val="24"/>
        </w:rPr>
        <w:t>был</w:t>
      </w:r>
      <w:r w:rsidR="00EE7C58">
        <w:rPr>
          <w:szCs w:val="24"/>
        </w:rPr>
        <w:t>а</w:t>
      </w:r>
      <w:r w:rsidRPr="00041C0F">
        <w:rPr>
          <w:szCs w:val="24"/>
        </w:rPr>
        <w:t xml:space="preserve"> исполнен</w:t>
      </w:r>
      <w:r w:rsidR="00EE7C58">
        <w:rPr>
          <w:szCs w:val="24"/>
        </w:rPr>
        <w:t>а</w:t>
      </w:r>
      <w:r w:rsidRPr="00041C0F">
        <w:rPr>
          <w:szCs w:val="24"/>
        </w:rPr>
        <w:t xml:space="preserve"> полностью, но не </w:t>
      </w:r>
      <w:r w:rsidRPr="004D4ED3">
        <w:rPr>
          <w:szCs w:val="24"/>
        </w:rPr>
        <w:t>оплачен</w:t>
      </w:r>
      <w:r w:rsidR="00EE7C58">
        <w:rPr>
          <w:szCs w:val="24"/>
        </w:rPr>
        <w:t>а</w:t>
      </w:r>
      <w:r w:rsidRPr="004D4ED3">
        <w:rPr>
          <w:szCs w:val="24"/>
        </w:rPr>
        <w:t>, часть исполнен</w:t>
      </w:r>
      <w:r w:rsidR="00EE7C58">
        <w:rPr>
          <w:szCs w:val="24"/>
        </w:rPr>
        <w:t>а</w:t>
      </w:r>
      <w:r w:rsidRPr="004D4ED3">
        <w:rPr>
          <w:szCs w:val="24"/>
        </w:rPr>
        <w:t xml:space="preserve"> и оплачен</w:t>
      </w:r>
      <w:r w:rsidR="00EE7C58">
        <w:rPr>
          <w:szCs w:val="24"/>
        </w:rPr>
        <w:t>а</w:t>
      </w:r>
      <w:r w:rsidRPr="004D4ED3">
        <w:rPr>
          <w:szCs w:val="24"/>
        </w:rPr>
        <w:t xml:space="preserve"> частично. В целях недопущения нарушения действующего законодательства </w:t>
      </w:r>
      <w:r w:rsidR="00C855B9">
        <w:rPr>
          <w:szCs w:val="24"/>
        </w:rPr>
        <w:t>комитет неоднократно обращался</w:t>
      </w:r>
      <w:r w:rsidRPr="004D4ED3">
        <w:rPr>
          <w:szCs w:val="24"/>
        </w:rPr>
        <w:t xml:space="preserve"> в комитет финансов Волгоградской </w:t>
      </w:r>
      <w:r w:rsidRPr="004D4ED3">
        <w:rPr>
          <w:szCs w:val="24"/>
        </w:rPr>
        <w:lastRenderedPageBreak/>
        <w:t>области о восстановлении, перераспределении снятых бюджетных назначений</w:t>
      </w:r>
      <w:r w:rsidR="00C855B9">
        <w:rPr>
          <w:szCs w:val="24"/>
        </w:rPr>
        <w:t>. Однако данные обращения не были учтены</w:t>
      </w:r>
      <w:r w:rsidRPr="004D4ED3">
        <w:rPr>
          <w:szCs w:val="24"/>
        </w:rPr>
        <w:t>.</w:t>
      </w:r>
    </w:p>
    <w:p w:rsidR="002C2570" w:rsidRPr="004D4ED3" w:rsidRDefault="002C2570" w:rsidP="002C2570">
      <w:pPr>
        <w:ind w:firstLine="709"/>
        <w:jc w:val="both"/>
        <w:rPr>
          <w:szCs w:val="24"/>
        </w:rPr>
      </w:pPr>
      <w:r w:rsidRPr="004D4ED3">
        <w:rPr>
          <w:szCs w:val="24"/>
        </w:rPr>
        <w:t xml:space="preserve">Уменьшение лимитов бюджетных обязательств без учета принятых </w:t>
      </w:r>
      <w:r w:rsidR="00EE7C58">
        <w:rPr>
          <w:szCs w:val="24"/>
        </w:rPr>
        <w:t xml:space="preserve">расходных </w:t>
      </w:r>
      <w:r w:rsidRPr="004D4ED3">
        <w:rPr>
          <w:szCs w:val="24"/>
        </w:rPr>
        <w:t>обязательств по заключенным контрактам (договорам)</w:t>
      </w:r>
      <w:r w:rsidR="00C855B9">
        <w:rPr>
          <w:szCs w:val="24"/>
        </w:rPr>
        <w:t xml:space="preserve"> и соглашениям к</w:t>
      </w:r>
      <w:r w:rsidRPr="004D4ED3">
        <w:rPr>
          <w:szCs w:val="24"/>
        </w:rPr>
        <w:t>омитетом и подведомственными учреждениями привело к нарушению ст</w:t>
      </w:r>
      <w:r w:rsidR="00C855B9">
        <w:rPr>
          <w:szCs w:val="24"/>
        </w:rPr>
        <w:t>атьи</w:t>
      </w:r>
      <w:r w:rsidRPr="004D4ED3">
        <w:rPr>
          <w:szCs w:val="24"/>
        </w:rPr>
        <w:t xml:space="preserve"> 219 Б</w:t>
      </w:r>
      <w:r w:rsidR="00C855B9">
        <w:rPr>
          <w:szCs w:val="24"/>
        </w:rPr>
        <w:t>К</w:t>
      </w:r>
      <w:r w:rsidRPr="004D4ED3">
        <w:rPr>
          <w:szCs w:val="24"/>
        </w:rPr>
        <w:t xml:space="preserve"> РФ в части принятия бюджетных обязатель</w:t>
      </w:r>
      <w:proofErr w:type="gramStart"/>
      <w:r w:rsidRPr="004D4ED3">
        <w:rPr>
          <w:szCs w:val="24"/>
        </w:rPr>
        <w:t>ств св</w:t>
      </w:r>
      <w:proofErr w:type="gramEnd"/>
      <w:r w:rsidRPr="004D4ED3">
        <w:rPr>
          <w:szCs w:val="24"/>
        </w:rPr>
        <w:t>ерх доведенных лимитов бюджетных обязательств на сумму 22</w:t>
      </w:r>
      <w:r w:rsidR="00C855B9">
        <w:rPr>
          <w:szCs w:val="24"/>
        </w:rPr>
        <w:t>,9</w:t>
      </w:r>
      <w:r w:rsidRPr="004D4ED3">
        <w:rPr>
          <w:szCs w:val="24"/>
        </w:rPr>
        <w:t xml:space="preserve"> </w:t>
      </w:r>
      <w:r w:rsidR="00C855B9">
        <w:rPr>
          <w:szCs w:val="24"/>
        </w:rPr>
        <w:t>млн</w:t>
      </w:r>
      <w:r w:rsidRPr="004D4ED3">
        <w:rPr>
          <w:szCs w:val="24"/>
        </w:rPr>
        <w:t>. руб. и увеличению кредиторской задолженности.</w:t>
      </w:r>
    </w:p>
    <w:p w:rsidR="00E34C69" w:rsidRDefault="00C855B9" w:rsidP="002C2570">
      <w:pPr>
        <w:pStyle w:val="20"/>
        <w:spacing w:after="0" w:line="240" w:lineRule="auto"/>
        <w:ind w:firstLine="709"/>
        <w:jc w:val="both"/>
      </w:pPr>
      <w:r>
        <w:t>По итогам 2017 года к</w:t>
      </w:r>
      <w:r w:rsidR="002C2570" w:rsidRPr="004D4ED3">
        <w:t xml:space="preserve">омитетом возвращены </w:t>
      </w:r>
      <w:r>
        <w:t xml:space="preserve">в федеральный бюджет </w:t>
      </w:r>
      <w:r w:rsidR="002C2570" w:rsidRPr="004D4ED3">
        <w:t xml:space="preserve">средства в сумме 3 </w:t>
      </w:r>
      <w:r>
        <w:t>млн</w:t>
      </w:r>
      <w:r w:rsidR="002C2570" w:rsidRPr="004D4ED3">
        <w:t>. руб.</w:t>
      </w:r>
      <w:r w:rsidR="00EC1D44">
        <w:t>, выделенные</w:t>
      </w:r>
      <w:r w:rsidR="002C2570" w:rsidRPr="004D4ED3">
        <w:t xml:space="preserve"> на поддержку отрасли культуры, в том числе на мероприятия по выплате денежных поощрений лучшим муниципальным учреждениям культуры, находящимся на территориях сельских поселений, и их работникам. </w:t>
      </w:r>
    </w:p>
    <w:p w:rsidR="00E34C69" w:rsidRDefault="006703F7" w:rsidP="00E34C69">
      <w:pPr>
        <w:pStyle w:val="20"/>
        <w:spacing w:after="0" w:line="240" w:lineRule="auto"/>
        <w:ind w:firstLine="709"/>
        <w:jc w:val="both"/>
      </w:pPr>
      <w:proofErr w:type="gramStart"/>
      <w:r>
        <w:t xml:space="preserve">Нормативные </w:t>
      </w:r>
      <w:r w:rsidR="00E34C69" w:rsidRPr="002111BB">
        <w:t>правовые акты, регламентирующие использование средств федерального бюджета</w:t>
      </w:r>
      <w:r w:rsidR="00E34C69">
        <w:t>,</w:t>
      </w:r>
      <w:r w:rsidR="00E34C69" w:rsidRPr="002111BB">
        <w:t xml:space="preserve"> были приняты только в декабре 2017 года (</w:t>
      </w:r>
      <w:r w:rsidR="00E34C69">
        <w:t>Закон Волгоградской области от 25.12.2017 №129-ОД «О</w:t>
      </w:r>
      <w:r w:rsidR="00E34C69" w:rsidRPr="002111BB">
        <w:t xml:space="preserve"> внесении изменени</w:t>
      </w:r>
      <w:r w:rsidR="00E34C69">
        <w:t>й</w:t>
      </w:r>
      <w:r w:rsidR="00E34C69" w:rsidRPr="002111BB">
        <w:t xml:space="preserve"> в </w:t>
      </w:r>
      <w:r w:rsidR="00E34C69">
        <w:t>З</w:t>
      </w:r>
      <w:r w:rsidR="00E34C69" w:rsidRPr="002111BB">
        <w:t xml:space="preserve">акон </w:t>
      </w:r>
      <w:r w:rsidR="00E34C69">
        <w:t>В</w:t>
      </w:r>
      <w:r w:rsidR="00E34C69" w:rsidRPr="002111BB">
        <w:t>олгоградской области от 18</w:t>
      </w:r>
      <w:r w:rsidR="00E34C69">
        <w:t>.11.</w:t>
      </w:r>
      <w:r w:rsidR="00E34C69" w:rsidRPr="002111BB">
        <w:t xml:space="preserve">2013 </w:t>
      </w:r>
      <w:r w:rsidR="00E34C69">
        <w:t>№</w:t>
      </w:r>
      <w:r w:rsidR="00E34C69" w:rsidRPr="002111BB">
        <w:t>151-</w:t>
      </w:r>
      <w:r w:rsidR="00E34C69">
        <w:t>ОД «О</w:t>
      </w:r>
      <w:r w:rsidR="00E34C69" w:rsidRPr="002111BB">
        <w:t xml:space="preserve"> предоставлении иных межбюджетных</w:t>
      </w:r>
      <w:r w:rsidR="00E34C69">
        <w:t xml:space="preserve"> </w:t>
      </w:r>
      <w:r w:rsidR="00E34C69" w:rsidRPr="002111BB">
        <w:t>трансфертов на выплату денежного поощрения лучшим</w:t>
      </w:r>
      <w:r w:rsidR="00E34C69">
        <w:t xml:space="preserve"> </w:t>
      </w:r>
      <w:r w:rsidR="00E34C69" w:rsidRPr="002111BB">
        <w:t>муниципальным учреждениям культуры, находящимся</w:t>
      </w:r>
      <w:r w:rsidR="00E34C69">
        <w:t xml:space="preserve"> </w:t>
      </w:r>
      <w:r w:rsidR="00E34C69" w:rsidRPr="002111BB">
        <w:t xml:space="preserve">на территории сельских поселений </w:t>
      </w:r>
      <w:r w:rsidR="00E34C69">
        <w:t>В</w:t>
      </w:r>
      <w:r w:rsidR="00E34C69" w:rsidRPr="002111BB">
        <w:t>олгоградской области,</w:t>
      </w:r>
      <w:r w:rsidR="00E34C69">
        <w:t xml:space="preserve"> </w:t>
      </w:r>
      <w:r w:rsidR="00E34C69" w:rsidRPr="002111BB">
        <w:t>и их работникам</w:t>
      </w:r>
      <w:r w:rsidR="00E34C69">
        <w:t>», постановление Администрация Волгоградской области от 26.12.2017</w:t>
      </w:r>
      <w:proofErr w:type="gramEnd"/>
      <w:r w:rsidR="00E34C69">
        <w:t xml:space="preserve"> №</w:t>
      </w:r>
      <w:proofErr w:type="gramStart"/>
      <w:r w:rsidR="00E34C69">
        <w:t>667-п «Об утверждении порядка предоставления, определения объема и распределения субсидий из областного бюджета бюджетам муниципальных образований Волгоградской области на комплектование книжных фондов муниципальных общедоступных библиотек и порядка предоставления, определения объема и распределения субсидий из областного бюджета бюджетам муниципальных образований Волгоградской области на укрепление материально-технической базы и оснащение оборудованием детских школ искусств»).</w:t>
      </w:r>
      <w:proofErr w:type="gramEnd"/>
      <w:r w:rsidR="00E34C69">
        <w:t xml:space="preserve"> Их отсутствие не позволило использовать средства федерального бюджета.</w:t>
      </w:r>
    </w:p>
    <w:p w:rsidR="00E34C69" w:rsidRPr="004D4ED3" w:rsidRDefault="002C2570" w:rsidP="00E34C69">
      <w:pPr>
        <w:pStyle w:val="20"/>
        <w:spacing w:after="0" w:line="240" w:lineRule="auto"/>
        <w:ind w:firstLine="709"/>
        <w:jc w:val="both"/>
        <w:rPr>
          <w:color w:val="000000"/>
        </w:rPr>
      </w:pPr>
      <w:r w:rsidRPr="004D4ED3">
        <w:t xml:space="preserve">Информация о принятии мер по внесению изменений в </w:t>
      </w:r>
      <w:r w:rsidR="00EC1D44">
        <w:t>с</w:t>
      </w:r>
      <w:r w:rsidRPr="004D4ED3">
        <w:t>оглашение от 16.02.2017</w:t>
      </w:r>
      <w:r w:rsidR="00EE7C58">
        <w:t>, заключенно</w:t>
      </w:r>
      <w:r w:rsidR="00EC4303">
        <w:t>е</w:t>
      </w:r>
      <w:r w:rsidR="00EE7C58">
        <w:t xml:space="preserve"> с Министерством культуры РФ,</w:t>
      </w:r>
      <w:r w:rsidRPr="004D4ED3">
        <w:t xml:space="preserve"> с целью использования средств федерального бюджета на поддержку отрасли культур</w:t>
      </w:r>
      <w:r w:rsidR="00E34C69">
        <w:t>ы</w:t>
      </w:r>
      <w:r w:rsidRPr="004D4ED3">
        <w:t xml:space="preserve"> </w:t>
      </w:r>
      <w:r w:rsidR="00EC1D44">
        <w:t>к</w:t>
      </w:r>
      <w:r w:rsidRPr="004D4ED3">
        <w:t>омитетом не представлена</w:t>
      </w:r>
      <w:r w:rsidR="00EC1D44">
        <w:t>.</w:t>
      </w:r>
      <w:r w:rsidRPr="004D4ED3">
        <w:t xml:space="preserve"> </w:t>
      </w:r>
      <w:proofErr w:type="gramStart"/>
      <w:r w:rsidR="00E34C69">
        <w:t>В этой связи необходимо</w:t>
      </w:r>
      <w:r w:rsidR="00E34C69" w:rsidRPr="004D4ED3">
        <w:t xml:space="preserve"> </w:t>
      </w:r>
      <w:r w:rsidR="00EE7C58">
        <w:t xml:space="preserve">также </w:t>
      </w:r>
      <w:r w:rsidR="00E34C69" w:rsidRPr="004D4ED3">
        <w:t xml:space="preserve">отметить, что </w:t>
      </w:r>
      <w:r w:rsidR="00E34C69" w:rsidRPr="004D4ED3">
        <w:rPr>
          <w:color w:val="000000"/>
        </w:rPr>
        <w:t xml:space="preserve">по итогам реализации мероприятий </w:t>
      </w:r>
      <w:r w:rsidR="00E34C69">
        <w:rPr>
          <w:color w:val="000000"/>
        </w:rPr>
        <w:t>госпрограммы</w:t>
      </w:r>
      <w:r w:rsidR="00E34C69" w:rsidRPr="004D4ED3">
        <w:rPr>
          <w:color w:val="000000"/>
        </w:rPr>
        <w:t xml:space="preserve"> </w:t>
      </w:r>
      <w:r w:rsidR="00E34C69">
        <w:rPr>
          <w:color w:val="000000"/>
        </w:rPr>
        <w:t>«</w:t>
      </w:r>
      <w:r w:rsidR="00E34C69" w:rsidRPr="004D4ED3">
        <w:rPr>
          <w:color w:val="000000"/>
        </w:rPr>
        <w:t>Развитие культуры и туризма</w:t>
      </w:r>
      <w:r w:rsidR="00E34C69">
        <w:rPr>
          <w:color w:val="000000"/>
        </w:rPr>
        <w:t xml:space="preserve"> в Волгоградской области»,</w:t>
      </w:r>
      <w:r w:rsidR="00E34C69" w:rsidRPr="004D4ED3">
        <w:rPr>
          <w:color w:val="000000"/>
        </w:rPr>
        <w:t xml:space="preserve"> по пояснениям </w:t>
      </w:r>
      <w:r w:rsidR="00E34C69">
        <w:rPr>
          <w:color w:val="000000"/>
        </w:rPr>
        <w:t>к</w:t>
      </w:r>
      <w:r w:rsidR="00E34C69" w:rsidRPr="004D4ED3">
        <w:rPr>
          <w:color w:val="000000"/>
        </w:rPr>
        <w:t>омитета</w:t>
      </w:r>
      <w:r w:rsidR="00E34C69">
        <w:rPr>
          <w:color w:val="000000"/>
        </w:rPr>
        <w:t>,</w:t>
      </w:r>
      <w:r w:rsidR="00E34C69" w:rsidRPr="004D4ED3">
        <w:rPr>
          <w:color w:val="000000"/>
        </w:rPr>
        <w:t xml:space="preserve"> из-за отсутствия финансирования не были достигнуты такие </w:t>
      </w:r>
      <w:r w:rsidR="00E34C69">
        <w:rPr>
          <w:color w:val="000000"/>
        </w:rPr>
        <w:t xml:space="preserve">целевые </w:t>
      </w:r>
      <w:r w:rsidR="00E34C69" w:rsidRPr="004D4ED3">
        <w:rPr>
          <w:color w:val="000000"/>
        </w:rPr>
        <w:t xml:space="preserve">показатели </w:t>
      </w:r>
      <w:r w:rsidR="00EE7C58">
        <w:rPr>
          <w:color w:val="000000"/>
        </w:rPr>
        <w:t xml:space="preserve">программы </w:t>
      </w:r>
      <w:r w:rsidR="00E34C69" w:rsidRPr="004D4ED3">
        <w:rPr>
          <w:color w:val="000000"/>
        </w:rPr>
        <w:t>как «охват населения библиотечным обслуживанием»</w:t>
      </w:r>
      <w:r w:rsidR="00E34C69">
        <w:rPr>
          <w:color w:val="000000"/>
        </w:rPr>
        <w:t xml:space="preserve"> и</w:t>
      </w:r>
      <w:r w:rsidR="00E34C69" w:rsidRPr="004D4ED3">
        <w:rPr>
          <w:color w:val="000000"/>
        </w:rPr>
        <w:t xml:space="preserve"> «доля детских школ искусств, оснащенных современным материально-техническим оборудованием, в общем количестве детских школ искусств Волгоградской области». </w:t>
      </w:r>
      <w:proofErr w:type="gramEnd"/>
    </w:p>
    <w:p w:rsidR="009430DE" w:rsidRDefault="009430DE" w:rsidP="00E34C69">
      <w:pPr>
        <w:jc w:val="both"/>
        <w:outlineLvl w:val="0"/>
        <w:rPr>
          <w:b/>
          <w:szCs w:val="24"/>
        </w:rPr>
      </w:pPr>
    </w:p>
    <w:p w:rsidR="005D2BB2" w:rsidRDefault="005D2BB2" w:rsidP="001061B8">
      <w:pPr>
        <w:jc w:val="center"/>
        <w:outlineLvl w:val="0"/>
        <w:rPr>
          <w:b/>
          <w:szCs w:val="24"/>
        </w:rPr>
      </w:pPr>
      <w:r>
        <w:rPr>
          <w:b/>
          <w:szCs w:val="24"/>
        </w:rPr>
        <w:t>4.</w:t>
      </w:r>
      <w:r w:rsidR="00D96550">
        <w:rPr>
          <w:b/>
          <w:szCs w:val="24"/>
        </w:rPr>
        <w:t>8</w:t>
      </w:r>
      <w:r>
        <w:rPr>
          <w:b/>
          <w:szCs w:val="24"/>
        </w:rPr>
        <w:t>. Расходы по разделу 0900 «Здравоохранение».</w:t>
      </w:r>
    </w:p>
    <w:p w:rsidR="005D2BB2" w:rsidRDefault="005D2BB2" w:rsidP="005D2BB2">
      <w:pPr>
        <w:jc w:val="center"/>
        <w:rPr>
          <w:b/>
          <w:szCs w:val="24"/>
        </w:rPr>
      </w:pPr>
    </w:p>
    <w:p w:rsidR="00C75D1C" w:rsidRDefault="005D2BB2" w:rsidP="00C75D1C">
      <w:pPr>
        <w:ind w:firstLine="708"/>
        <w:jc w:val="both"/>
      </w:pPr>
      <w:r>
        <w:t>Уточненные бюджетные ассигнования на 20</w:t>
      </w:r>
      <w:r w:rsidR="003E19BD">
        <w:t>1</w:t>
      </w:r>
      <w:r w:rsidR="006350F4">
        <w:t>7</w:t>
      </w:r>
      <w:r>
        <w:t xml:space="preserve"> год по разделу утверждены в размере </w:t>
      </w:r>
      <w:r w:rsidR="00173D30">
        <w:t xml:space="preserve">6205,7 </w:t>
      </w:r>
      <w:r>
        <w:t xml:space="preserve">млн. рублей. </w:t>
      </w:r>
      <w:r w:rsidR="003325C4">
        <w:t>Ф</w:t>
      </w:r>
      <w:r>
        <w:t xml:space="preserve">актическое исполнение расходов составило </w:t>
      </w:r>
      <w:r w:rsidR="00173D30">
        <w:t>5961,2</w:t>
      </w:r>
      <w:r w:rsidR="00972C18">
        <w:t xml:space="preserve"> </w:t>
      </w:r>
      <w:r>
        <w:t xml:space="preserve">млн. руб., или </w:t>
      </w:r>
      <w:r w:rsidR="00173D30">
        <w:t>96,1</w:t>
      </w:r>
      <w:r>
        <w:t>% от плановых назначений</w:t>
      </w:r>
      <w:r w:rsidR="0083081B">
        <w:t>, в том числе по ГРБС:</w:t>
      </w:r>
      <w:r>
        <w:t xml:space="preserve"> </w:t>
      </w:r>
    </w:p>
    <w:p w:rsidR="00802539" w:rsidRPr="005604FD" w:rsidRDefault="005604FD" w:rsidP="005604FD">
      <w:pPr>
        <w:ind w:firstLine="720"/>
        <w:jc w:val="right"/>
        <w:rPr>
          <w:sz w:val="20"/>
        </w:rPr>
      </w:pPr>
      <w:r w:rsidRPr="005604FD">
        <w:rPr>
          <w:sz w:val="20"/>
        </w:rPr>
        <w:t>млн. руб.</w:t>
      </w:r>
    </w:p>
    <w:tbl>
      <w:tblPr>
        <w:tblW w:w="9510" w:type="dxa"/>
        <w:tblInd w:w="96" w:type="dxa"/>
        <w:tblLayout w:type="fixed"/>
        <w:tblLook w:val="04A0"/>
      </w:tblPr>
      <w:tblGrid>
        <w:gridCol w:w="3470"/>
        <w:gridCol w:w="1196"/>
        <w:gridCol w:w="1300"/>
        <w:gridCol w:w="1417"/>
        <w:gridCol w:w="851"/>
        <w:gridCol w:w="1276"/>
      </w:tblGrid>
      <w:tr w:rsidR="00173D30" w:rsidRPr="00173D30" w:rsidTr="00173D30">
        <w:trPr>
          <w:trHeight w:val="20"/>
        </w:trPr>
        <w:tc>
          <w:tcPr>
            <w:tcW w:w="3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173D30" w:rsidRPr="00173D30" w:rsidRDefault="00173D30" w:rsidP="00C449C1">
            <w:pPr>
              <w:jc w:val="center"/>
              <w:rPr>
                <w:b/>
                <w:i/>
                <w:iCs/>
                <w:sz w:val="20"/>
              </w:rPr>
            </w:pPr>
            <w:r w:rsidRPr="00173D30">
              <w:rPr>
                <w:b/>
                <w:i/>
                <w:iCs/>
                <w:sz w:val="20"/>
              </w:rPr>
              <w:t>Наименование ГРБС</w:t>
            </w:r>
          </w:p>
        </w:tc>
        <w:tc>
          <w:tcPr>
            <w:tcW w:w="60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173D30" w:rsidRPr="00173D30" w:rsidRDefault="00173D30" w:rsidP="00C449C1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173D30">
              <w:rPr>
                <w:b/>
                <w:bCs/>
                <w:i/>
                <w:iCs/>
                <w:sz w:val="20"/>
              </w:rPr>
              <w:t>Здравоохранение</w:t>
            </w:r>
          </w:p>
        </w:tc>
      </w:tr>
      <w:tr w:rsidR="00173D30" w:rsidRPr="00173D30" w:rsidTr="00173D30">
        <w:trPr>
          <w:trHeight w:val="20"/>
        </w:trPr>
        <w:tc>
          <w:tcPr>
            <w:tcW w:w="3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173D30" w:rsidRPr="00173D30" w:rsidRDefault="00173D30" w:rsidP="00C449C1">
            <w:pPr>
              <w:jc w:val="center"/>
              <w:rPr>
                <w:b/>
                <w:i/>
                <w:iCs/>
                <w:sz w:val="20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  <w:hideMark/>
          </w:tcPr>
          <w:p w:rsidR="00147D28" w:rsidRDefault="00173D30" w:rsidP="00C449C1">
            <w:pPr>
              <w:jc w:val="center"/>
              <w:rPr>
                <w:b/>
                <w:i/>
                <w:iCs/>
                <w:sz w:val="20"/>
              </w:rPr>
            </w:pPr>
            <w:r w:rsidRPr="00173D30">
              <w:rPr>
                <w:b/>
                <w:i/>
                <w:iCs/>
                <w:sz w:val="20"/>
              </w:rPr>
              <w:t xml:space="preserve">факт </w:t>
            </w:r>
          </w:p>
          <w:p w:rsidR="00173D30" w:rsidRPr="00173D30" w:rsidRDefault="00173D30" w:rsidP="00C449C1">
            <w:pPr>
              <w:jc w:val="center"/>
              <w:rPr>
                <w:b/>
                <w:i/>
                <w:iCs/>
                <w:sz w:val="20"/>
              </w:rPr>
            </w:pPr>
            <w:r w:rsidRPr="00173D30">
              <w:rPr>
                <w:b/>
                <w:i/>
                <w:iCs/>
                <w:sz w:val="20"/>
              </w:rPr>
              <w:t>2016</w:t>
            </w:r>
            <w:r w:rsidR="00147D28">
              <w:rPr>
                <w:b/>
                <w:i/>
                <w:iCs/>
                <w:sz w:val="20"/>
              </w:rPr>
              <w:t xml:space="preserve"> г.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  <w:hideMark/>
          </w:tcPr>
          <w:p w:rsidR="00147D28" w:rsidRDefault="00173D30" w:rsidP="00C449C1">
            <w:pPr>
              <w:jc w:val="center"/>
              <w:rPr>
                <w:b/>
                <w:i/>
                <w:iCs/>
                <w:sz w:val="20"/>
              </w:rPr>
            </w:pPr>
            <w:r w:rsidRPr="00173D30">
              <w:rPr>
                <w:b/>
                <w:i/>
                <w:iCs/>
                <w:sz w:val="20"/>
              </w:rPr>
              <w:t xml:space="preserve">план </w:t>
            </w:r>
          </w:p>
          <w:p w:rsidR="00173D30" w:rsidRPr="00173D30" w:rsidRDefault="00173D30" w:rsidP="00C449C1">
            <w:pPr>
              <w:jc w:val="center"/>
              <w:rPr>
                <w:b/>
                <w:i/>
                <w:iCs/>
                <w:sz w:val="20"/>
              </w:rPr>
            </w:pPr>
            <w:r w:rsidRPr="00173D30">
              <w:rPr>
                <w:b/>
                <w:i/>
                <w:iCs/>
                <w:sz w:val="20"/>
              </w:rPr>
              <w:t>2017</w:t>
            </w:r>
            <w:r w:rsidR="00147D28">
              <w:rPr>
                <w:b/>
                <w:i/>
                <w:iCs/>
                <w:sz w:val="20"/>
              </w:rPr>
              <w:t xml:space="preserve"> г.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  <w:hideMark/>
          </w:tcPr>
          <w:p w:rsidR="00147D28" w:rsidRDefault="00173D30" w:rsidP="00C449C1">
            <w:pPr>
              <w:jc w:val="center"/>
              <w:rPr>
                <w:b/>
                <w:i/>
                <w:iCs/>
                <w:sz w:val="20"/>
              </w:rPr>
            </w:pPr>
            <w:r w:rsidRPr="00173D30">
              <w:rPr>
                <w:b/>
                <w:i/>
                <w:iCs/>
                <w:sz w:val="20"/>
              </w:rPr>
              <w:t xml:space="preserve">факт </w:t>
            </w:r>
          </w:p>
          <w:p w:rsidR="00173D30" w:rsidRPr="00173D30" w:rsidRDefault="00173D30" w:rsidP="00C449C1">
            <w:pPr>
              <w:jc w:val="center"/>
              <w:rPr>
                <w:b/>
                <w:i/>
                <w:iCs/>
                <w:sz w:val="20"/>
              </w:rPr>
            </w:pPr>
            <w:r w:rsidRPr="00173D30">
              <w:rPr>
                <w:b/>
                <w:i/>
                <w:iCs/>
                <w:sz w:val="20"/>
              </w:rPr>
              <w:t>2017</w:t>
            </w:r>
            <w:r w:rsidR="00147D28">
              <w:rPr>
                <w:b/>
                <w:i/>
                <w:iCs/>
                <w:sz w:val="20"/>
              </w:rPr>
              <w:t xml:space="preserve"> 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173D30" w:rsidRPr="00173D30" w:rsidRDefault="00173D30" w:rsidP="00173D30">
            <w:pPr>
              <w:jc w:val="center"/>
              <w:rPr>
                <w:b/>
                <w:i/>
                <w:iCs/>
                <w:sz w:val="20"/>
              </w:rPr>
            </w:pPr>
            <w:r w:rsidRPr="00173D30">
              <w:rPr>
                <w:b/>
                <w:i/>
                <w:iCs/>
                <w:sz w:val="20"/>
              </w:rPr>
              <w:t xml:space="preserve"> %</w:t>
            </w:r>
            <w:r>
              <w:rPr>
                <w:b/>
                <w:i/>
                <w:iCs/>
                <w:sz w:val="20"/>
              </w:rPr>
              <w:t xml:space="preserve"> исп.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9073F5" w:rsidRDefault="00173D30" w:rsidP="00173D30">
            <w:pPr>
              <w:jc w:val="center"/>
              <w:rPr>
                <w:b/>
                <w:i/>
                <w:iCs/>
                <w:sz w:val="20"/>
              </w:rPr>
            </w:pPr>
            <w:r w:rsidRPr="00173D30">
              <w:rPr>
                <w:b/>
                <w:i/>
                <w:iCs/>
                <w:sz w:val="20"/>
              </w:rPr>
              <w:t xml:space="preserve">сравнение </w:t>
            </w:r>
          </w:p>
          <w:p w:rsidR="00173D30" w:rsidRPr="00173D30" w:rsidRDefault="00173D30" w:rsidP="00173D30">
            <w:pPr>
              <w:jc w:val="center"/>
              <w:rPr>
                <w:b/>
                <w:i/>
                <w:iCs/>
                <w:sz w:val="20"/>
              </w:rPr>
            </w:pPr>
            <w:r w:rsidRPr="00173D30">
              <w:rPr>
                <w:b/>
                <w:i/>
                <w:iCs/>
                <w:sz w:val="20"/>
              </w:rPr>
              <w:t>с 2016 г</w:t>
            </w:r>
            <w:r>
              <w:rPr>
                <w:b/>
                <w:i/>
                <w:iCs/>
                <w:sz w:val="20"/>
              </w:rPr>
              <w:t>.</w:t>
            </w:r>
            <w:r w:rsidRPr="00173D30">
              <w:rPr>
                <w:b/>
                <w:i/>
                <w:iCs/>
                <w:sz w:val="20"/>
              </w:rPr>
              <w:t>, %</w:t>
            </w:r>
          </w:p>
        </w:tc>
      </w:tr>
      <w:tr w:rsidR="00173D30" w:rsidRPr="00173D30" w:rsidTr="00173D30">
        <w:trPr>
          <w:trHeight w:val="20"/>
        </w:trPr>
        <w:tc>
          <w:tcPr>
            <w:tcW w:w="3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D30" w:rsidRPr="00173D30" w:rsidRDefault="00173D30" w:rsidP="00C449C1">
            <w:pPr>
              <w:rPr>
                <w:sz w:val="20"/>
              </w:rPr>
            </w:pPr>
            <w:r w:rsidRPr="00173D30">
              <w:rPr>
                <w:sz w:val="20"/>
              </w:rPr>
              <w:t xml:space="preserve">Комитет строительства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D30" w:rsidRPr="00173D30" w:rsidRDefault="00173D30" w:rsidP="00173D30">
            <w:pPr>
              <w:jc w:val="center"/>
              <w:rPr>
                <w:sz w:val="20"/>
              </w:rPr>
            </w:pPr>
            <w:r w:rsidRPr="00173D30">
              <w:rPr>
                <w:sz w:val="20"/>
              </w:rPr>
              <w:t>97,2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D30" w:rsidRPr="00173D30" w:rsidRDefault="00173D30" w:rsidP="00173D30">
            <w:pPr>
              <w:jc w:val="center"/>
              <w:rPr>
                <w:sz w:val="20"/>
              </w:rPr>
            </w:pPr>
            <w:r w:rsidRPr="00173D30">
              <w:rPr>
                <w:sz w:val="20"/>
              </w:rPr>
              <w:t>512,6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D30" w:rsidRPr="00173D30" w:rsidRDefault="00173D30" w:rsidP="00173D30">
            <w:pPr>
              <w:jc w:val="center"/>
              <w:rPr>
                <w:sz w:val="20"/>
              </w:rPr>
            </w:pPr>
            <w:r w:rsidRPr="00173D30">
              <w:rPr>
                <w:sz w:val="20"/>
              </w:rPr>
              <w:t>287,8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D30" w:rsidRPr="00173D30" w:rsidRDefault="00173D30" w:rsidP="00173D30">
            <w:pPr>
              <w:jc w:val="center"/>
              <w:rPr>
                <w:sz w:val="20"/>
              </w:rPr>
            </w:pPr>
            <w:r w:rsidRPr="00173D30">
              <w:rPr>
                <w:sz w:val="20"/>
              </w:rPr>
              <w:t>56,1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D30" w:rsidRPr="00173D30" w:rsidRDefault="00173D30" w:rsidP="00173D30">
            <w:pPr>
              <w:jc w:val="center"/>
              <w:rPr>
                <w:sz w:val="20"/>
              </w:rPr>
            </w:pPr>
            <w:r w:rsidRPr="00173D30">
              <w:rPr>
                <w:sz w:val="20"/>
              </w:rPr>
              <w:t>296,0</w:t>
            </w:r>
          </w:p>
        </w:tc>
      </w:tr>
      <w:tr w:rsidR="00173D30" w:rsidRPr="00173D30" w:rsidTr="00173D30">
        <w:trPr>
          <w:trHeight w:val="20"/>
        </w:trPr>
        <w:tc>
          <w:tcPr>
            <w:tcW w:w="3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D30" w:rsidRPr="00173D30" w:rsidRDefault="00173D30" w:rsidP="00C449C1">
            <w:pPr>
              <w:rPr>
                <w:sz w:val="20"/>
              </w:rPr>
            </w:pPr>
            <w:r w:rsidRPr="00173D30">
              <w:rPr>
                <w:sz w:val="20"/>
              </w:rPr>
              <w:t xml:space="preserve">Комитет здравоохранения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D30" w:rsidRPr="00173D30" w:rsidRDefault="00173D30" w:rsidP="00173D30">
            <w:pPr>
              <w:jc w:val="center"/>
              <w:rPr>
                <w:sz w:val="20"/>
              </w:rPr>
            </w:pPr>
            <w:r w:rsidRPr="00173D30">
              <w:rPr>
                <w:sz w:val="20"/>
              </w:rPr>
              <w:t>5 687,2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D30" w:rsidRPr="00173D30" w:rsidRDefault="00173D30" w:rsidP="00173D30">
            <w:pPr>
              <w:jc w:val="center"/>
              <w:rPr>
                <w:sz w:val="20"/>
              </w:rPr>
            </w:pPr>
            <w:r w:rsidRPr="00173D30">
              <w:rPr>
                <w:sz w:val="20"/>
              </w:rPr>
              <w:t>5 672,4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D30" w:rsidRPr="00173D30" w:rsidRDefault="00173D30" w:rsidP="00173D30">
            <w:pPr>
              <w:jc w:val="center"/>
              <w:rPr>
                <w:sz w:val="20"/>
              </w:rPr>
            </w:pPr>
            <w:r w:rsidRPr="00173D30">
              <w:rPr>
                <w:sz w:val="20"/>
              </w:rPr>
              <w:t>5 660,3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D30" w:rsidRPr="00173D30" w:rsidRDefault="00173D30" w:rsidP="00173D30">
            <w:pPr>
              <w:jc w:val="center"/>
              <w:rPr>
                <w:sz w:val="20"/>
              </w:rPr>
            </w:pPr>
            <w:r w:rsidRPr="00173D30">
              <w:rPr>
                <w:sz w:val="20"/>
              </w:rPr>
              <w:t>99,8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D30" w:rsidRPr="00173D30" w:rsidRDefault="00173D30" w:rsidP="00173D30">
            <w:pPr>
              <w:jc w:val="center"/>
              <w:rPr>
                <w:sz w:val="20"/>
              </w:rPr>
            </w:pPr>
            <w:r w:rsidRPr="00173D30">
              <w:rPr>
                <w:sz w:val="20"/>
              </w:rPr>
              <w:t>99,5</w:t>
            </w:r>
          </w:p>
        </w:tc>
      </w:tr>
      <w:tr w:rsidR="00173D30" w:rsidRPr="00173D30" w:rsidTr="00173D30">
        <w:trPr>
          <w:trHeight w:val="20"/>
        </w:trPr>
        <w:tc>
          <w:tcPr>
            <w:tcW w:w="3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D30" w:rsidRPr="00173D30" w:rsidRDefault="00173D30" w:rsidP="00C449C1">
            <w:pPr>
              <w:rPr>
                <w:sz w:val="20"/>
              </w:rPr>
            </w:pPr>
            <w:r w:rsidRPr="00173D30">
              <w:rPr>
                <w:sz w:val="20"/>
              </w:rPr>
              <w:t xml:space="preserve">Комитет сельского хозяйства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D30" w:rsidRPr="00173D30" w:rsidRDefault="00173D30" w:rsidP="00173D30">
            <w:pPr>
              <w:jc w:val="center"/>
              <w:rPr>
                <w:sz w:val="20"/>
              </w:rPr>
            </w:pPr>
            <w:r w:rsidRPr="00173D30">
              <w:rPr>
                <w:sz w:val="20"/>
              </w:rPr>
              <w:t>12,8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D30" w:rsidRPr="00173D30" w:rsidRDefault="00173D30" w:rsidP="00173D30">
            <w:pPr>
              <w:jc w:val="center"/>
              <w:rPr>
                <w:sz w:val="20"/>
              </w:rPr>
            </w:pPr>
            <w:r w:rsidRPr="00173D30">
              <w:rPr>
                <w:sz w:val="20"/>
              </w:rPr>
              <w:t>20,7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D30" w:rsidRPr="00173D30" w:rsidRDefault="00173D30" w:rsidP="00173D30">
            <w:pPr>
              <w:jc w:val="center"/>
              <w:rPr>
                <w:sz w:val="20"/>
              </w:rPr>
            </w:pPr>
            <w:r w:rsidRPr="00173D30">
              <w:rPr>
                <w:sz w:val="20"/>
              </w:rPr>
              <w:t>13,2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D30" w:rsidRPr="00173D30" w:rsidRDefault="00173D30" w:rsidP="00173D30">
            <w:pPr>
              <w:jc w:val="center"/>
              <w:rPr>
                <w:sz w:val="20"/>
              </w:rPr>
            </w:pPr>
            <w:r w:rsidRPr="00173D30">
              <w:rPr>
                <w:sz w:val="20"/>
              </w:rPr>
              <w:t>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3D30" w:rsidRPr="00173D30" w:rsidRDefault="00173D30" w:rsidP="00173D30">
            <w:pPr>
              <w:jc w:val="center"/>
              <w:rPr>
                <w:sz w:val="20"/>
              </w:rPr>
            </w:pPr>
            <w:r w:rsidRPr="00173D30">
              <w:rPr>
                <w:sz w:val="20"/>
              </w:rPr>
              <w:t>102,9</w:t>
            </w:r>
          </w:p>
        </w:tc>
      </w:tr>
      <w:tr w:rsidR="00173D30" w:rsidRPr="00173D30" w:rsidTr="00173D30">
        <w:trPr>
          <w:trHeight w:val="20"/>
        </w:trPr>
        <w:tc>
          <w:tcPr>
            <w:tcW w:w="3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173D30" w:rsidRPr="00173D30" w:rsidRDefault="00173D30" w:rsidP="00C449C1">
            <w:pPr>
              <w:rPr>
                <w:b/>
                <w:bCs/>
                <w:sz w:val="20"/>
              </w:rPr>
            </w:pPr>
            <w:r w:rsidRPr="00173D30">
              <w:rPr>
                <w:b/>
                <w:bCs/>
                <w:sz w:val="20"/>
              </w:rPr>
              <w:t>ИТОГО: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hideMark/>
          </w:tcPr>
          <w:p w:rsidR="00173D30" w:rsidRPr="00173D30" w:rsidRDefault="00173D30" w:rsidP="00173D30">
            <w:pPr>
              <w:jc w:val="center"/>
              <w:rPr>
                <w:b/>
                <w:bCs/>
                <w:sz w:val="20"/>
              </w:rPr>
            </w:pPr>
            <w:r w:rsidRPr="00173D30">
              <w:rPr>
                <w:b/>
                <w:bCs/>
                <w:sz w:val="20"/>
              </w:rPr>
              <w:t>5 797,2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hideMark/>
          </w:tcPr>
          <w:p w:rsidR="00173D30" w:rsidRPr="00173D30" w:rsidRDefault="00173D30" w:rsidP="00173D30">
            <w:pPr>
              <w:jc w:val="center"/>
              <w:rPr>
                <w:b/>
                <w:bCs/>
                <w:sz w:val="20"/>
              </w:rPr>
            </w:pPr>
            <w:r w:rsidRPr="00173D30">
              <w:rPr>
                <w:b/>
                <w:bCs/>
                <w:sz w:val="20"/>
              </w:rPr>
              <w:t>6 205,7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hideMark/>
          </w:tcPr>
          <w:p w:rsidR="00173D30" w:rsidRPr="00173D30" w:rsidRDefault="00173D30" w:rsidP="00173D30">
            <w:pPr>
              <w:jc w:val="center"/>
              <w:rPr>
                <w:b/>
                <w:bCs/>
                <w:sz w:val="20"/>
              </w:rPr>
            </w:pPr>
            <w:r w:rsidRPr="00173D30">
              <w:rPr>
                <w:b/>
                <w:bCs/>
                <w:sz w:val="20"/>
              </w:rPr>
              <w:t>5 961,2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hideMark/>
          </w:tcPr>
          <w:p w:rsidR="00173D30" w:rsidRPr="00173D30" w:rsidRDefault="00173D30" w:rsidP="00173D30">
            <w:pPr>
              <w:jc w:val="center"/>
              <w:rPr>
                <w:b/>
                <w:bCs/>
                <w:sz w:val="20"/>
              </w:rPr>
            </w:pPr>
            <w:r w:rsidRPr="00173D30">
              <w:rPr>
                <w:b/>
                <w:bCs/>
                <w:sz w:val="20"/>
              </w:rPr>
              <w:t>96,1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hideMark/>
          </w:tcPr>
          <w:p w:rsidR="00173D30" w:rsidRPr="00173D30" w:rsidRDefault="00173D30" w:rsidP="00173D30">
            <w:pPr>
              <w:jc w:val="center"/>
              <w:rPr>
                <w:b/>
                <w:bCs/>
                <w:sz w:val="20"/>
              </w:rPr>
            </w:pPr>
            <w:r w:rsidRPr="00173D30">
              <w:rPr>
                <w:b/>
                <w:bCs/>
                <w:sz w:val="20"/>
              </w:rPr>
              <w:t>102,8</w:t>
            </w:r>
          </w:p>
        </w:tc>
      </w:tr>
    </w:tbl>
    <w:p w:rsidR="00173D30" w:rsidRDefault="00173D30" w:rsidP="009F737A">
      <w:pPr>
        <w:ind w:firstLine="720"/>
        <w:jc w:val="both"/>
      </w:pPr>
    </w:p>
    <w:p w:rsidR="009F737A" w:rsidRPr="009F737A" w:rsidRDefault="009F737A" w:rsidP="009F737A">
      <w:pPr>
        <w:ind w:firstLine="720"/>
        <w:jc w:val="both"/>
        <w:rPr>
          <w:szCs w:val="24"/>
        </w:rPr>
      </w:pPr>
      <w:r>
        <w:t>Относительно фактических расходов 201</w:t>
      </w:r>
      <w:r w:rsidR="006350F4">
        <w:t>6</w:t>
      </w:r>
      <w:r>
        <w:t xml:space="preserve"> года расходы </w:t>
      </w:r>
      <w:r w:rsidR="00173D30">
        <w:t>увеличились на 164 млн. руб., или на 2,8 процента.</w:t>
      </w:r>
    </w:p>
    <w:p w:rsidR="009C7C85" w:rsidRDefault="009F737A" w:rsidP="009C7C85">
      <w:pPr>
        <w:jc w:val="both"/>
      </w:pPr>
      <w:r>
        <w:tab/>
      </w:r>
      <w:r w:rsidR="00DF1EEE">
        <w:t>При проведении внешних проверок бюджетной отчетности главных распорядителей средств областного бюджета, участвующих в данном разделе, установлены следующие нарушения законодательства и недостатки при использовании бюджетных средств.</w:t>
      </w:r>
    </w:p>
    <w:p w:rsidR="00740DCA" w:rsidRDefault="009C7C85" w:rsidP="006350F4">
      <w:pPr>
        <w:jc w:val="both"/>
      </w:pPr>
      <w:r>
        <w:lastRenderedPageBreak/>
        <w:tab/>
      </w:r>
      <w:r w:rsidR="00371CA8">
        <w:t xml:space="preserve">При </w:t>
      </w:r>
      <w:r w:rsidR="00D96A8B">
        <w:t xml:space="preserve">внешней </w:t>
      </w:r>
      <w:r w:rsidR="00371CA8">
        <w:t xml:space="preserve">проверке бюджетной отчетности </w:t>
      </w:r>
      <w:r w:rsidR="00371CA8" w:rsidRPr="00371CA8">
        <w:rPr>
          <w:b/>
          <w:i/>
        </w:rPr>
        <w:t>комитета здравоохранения Волгоградской области</w:t>
      </w:r>
      <w:r w:rsidR="00371CA8">
        <w:t xml:space="preserve"> </w:t>
      </w:r>
      <w:r w:rsidR="00411A62">
        <w:t xml:space="preserve">(далее </w:t>
      </w:r>
      <w:proofErr w:type="spellStart"/>
      <w:r w:rsidR="00411A62">
        <w:t>Облздрав</w:t>
      </w:r>
      <w:proofErr w:type="spellEnd"/>
      <w:r w:rsidR="00411A62">
        <w:t xml:space="preserve">) </w:t>
      </w:r>
      <w:r w:rsidR="00F40C6F">
        <w:t xml:space="preserve">палатой </w:t>
      </w:r>
      <w:r w:rsidR="00371CA8">
        <w:t>исследованы вопросы расходования средств областного бюджета на льготное лекарственное обеспечение региональных льготников в амбулаторных условиях.</w:t>
      </w:r>
    </w:p>
    <w:p w:rsidR="008F1BDC" w:rsidRPr="00FD5447" w:rsidRDefault="008F1BDC" w:rsidP="008F1BDC">
      <w:pPr>
        <w:ind w:firstLine="708"/>
        <w:jc w:val="both"/>
      </w:pPr>
      <w:r w:rsidRPr="00FD5447">
        <w:t xml:space="preserve">В областном бюджете на 2017 год на эти цели предусматривалось 650 </w:t>
      </w:r>
      <w:r>
        <w:t>млн</w:t>
      </w:r>
      <w:r w:rsidRPr="00FD5447">
        <w:t xml:space="preserve">. руб., бюджетной росписью </w:t>
      </w:r>
      <w:r>
        <w:t xml:space="preserve">– </w:t>
      </w:r>
      <w:r w:rsidRPr="00FD5447">
        <w:t>604</w:t>
      </w:r>
      <w:r>
        <w:t>,9</w:t>
      </w:r>
      <w:r w:rsidRPr="00FD5447">
        <w:t xml:space="preserve"> </w:t>
      </w:r>
      <w:r>
        <w:t>млн</w:t>
      </w:r>
      <w:r w:rsidRPr="00FD5447">
        <w:t>. руб., исполнены расходы на 604</w:t>
      </w:r>
      <w:r>
        <w:t>,</w:t>
      </w:r>
      <w:r w:rsidRPr="00FD5447">
        <w:t xml:space="preserve">5 </w:t>
      </w:r>
      <w:r>
        <w:t>млн</w:t>
      </w:r>
      <w:r w:rsidRPr="00FD5447">
        <w:t>. руб., в том числе (по инфо</w:t>
      </w:r>
      <w:r>
        <w:t xml:space="preserve">рмации </w:t>
      </w:r>
      <w:proofErr w:type="spellStart"/>
      <w:r w:rsidR="00411A62">
        <w:t>Облздрава</w:t>
      </w:r>
      <w:proofErr w:type="spellEnd"/>
      <w:r>
        <w:t xml:space="preserve"> от 26.03.2018 №</w:t>
      </w:r>
      <w:r w:rsidRPr="00FD5447">
        <w:t>14-08-188-РФД) 115</w:t>
      </w:r>
      <w:r>
        <w:t>,</w:t>
      </w:r>
      <w:r w:rsidRPr="00FD5447">
        <w:t xml:space="preserve">5 </w:t>
      </w:r>
      <w:r>
        <w:t>млн</w:t>
      </w:r>
      <w:r w:rsidRPr="00FD5447">
        <w:t>. руб.</w:t>
      </w:r>
      <w:r>
        <w:t>, или</w:t>
      </w:r>
      <w:r w:rsidRPr="00FD5447">
        <w:t xml:space="preserve"> 19,1%</w:t>
      </w:r>
      <w:r>
        <w:t xml:space="preserve"> от общей суммы</w:t>
      </w:r>
      <w:r w:rsidR="00D317A4">
        <w:t>,</w:t>
      </w:r>
      <w:r>
        <w:t xml:space="preserve"> </w:t>
      </w:r>
      <w:r w:rsidRPr="00FD5447">
        <w:t>на льготное лекарственное обеспечение 14240 федеральных льготников. В</w:t>
      </w:r>
      <w:r w:rsidR="00D317A4">
        <w:t xml:space="preserve"> этой связи необходимо отметить, что в</w:t>
      </w:r>
      <w:r w:rsidRPr="00FD5447">
        <w:t xml:space="preserve"> 2016 году из 598 </w:t>
      </w:r>
      <w:r w:rsidR="00D317A4">
        <w:t>млн</w:t>
      </w:r>
      <w:r w:rsidRPr="00FD5447">
        <w:t xml:space="preserve">. руб. на обеспечение 13256 федеральных льготников </w:t>
      </w:r>
      <w:r w:rsidR="00D317A4">
        <w:t xml:space="preserve">было </w:t>
      </w:r>
      <w:r w:rsidRPr="00FD5447">
        <w:t>направлено 115</w:t>
      </w:r>
      <w:r w:rsidR="00D317A4">
        <w:t>,1</w:t>
      </w:r>
      <w:r w:rsidRPr="00FD5447">
        <w:t xml:space="preserve"> </w:t>
      </w:r>
      <w:r w:rsidR="00D317A4">
        <w:t>млн</w:t>
      </w:r>
      <w:r w:rsidRPr="00FD5447">
        <w:t>. руб. (19,2%). Предусмотренные в областном бюджете ассигнования на льготное лекарственное обеспечение региональных льготников расходуются</w:t>
      </w:r>
      <w:r w:rsidR="0059075D">
        <w:t>, в том числе</w:t>
      </w:r>
      <w:r w:rsidRPr="00FD5447">
        <w:t xml:space="preserve"> на льготников федерального уровня в связи с их отказом от бесплатного лекарственного обеспечения за счет средств федерального бюджета в пользу денежной выплаты.</w:t>
      </w:r>
    </w:p>
    <w:p w:rsidR="008F1BDC" w:rsidRPr="00FD5447" w:rsidRDefault="008F1BDC" w:rsidP="008F1BDC">
      <w:pPr>
        <w:ind w:firstLine="708"/>
        <w:jc w:val="both"/>
      </w:pPr>
      <w:proofErr w:type="gramStart"/>
      <w:r w:rsidRPr="00FD5447">
        <w:t xml:space="preserve">По информации  </w:t>
      </w:r>
      <w:proofErr w:type="spellStart"/>
      <w:r w:rsidR="00411A62">
        <w:t>Облздрава</w:t>
      </w:r>
      <w:proofErr w:type="spellEnd"/>
      <w:r w:rsidR="00411A62">
        <w:t xml:space="preserve"> </w:t>
      </w:r>
      <w:r w:rsidRPr="00FD5447">
        <w:t>от 02.11.2017 (представленной в комитет экономической политики и развития Волгоградской области для формирования отч</w:t>
      </w:r>
      <w:r w:rsidR="00411A62">
        <w:t>е</w:t>
      </w:r>
      <w:r w:rsidRPr="00FD5447">
        <w:t xml:space="preserve">та о выполнении </w:t>
      </w:r>
      <w:r w:rsidR="00D96A8B">
        <w:t>П</w:t>
      </w:r>
      <w:r w:rsidRPr="00FD5447">
        <w:t xml:space="preserve">лана обеспечения устойчивого развития экономики и социальной стабильности Волгоградской области на 2015-2017 годы, утвержденного постановлением Губернатора Волгоградской области от 13.02.2015 №127) обязанность </w:t>
      </w:r>
      <w:r w:rsidR="00D96A8B">
        <w:t xml:space="preserve">субъекта РФ </w:t>
      </w:r>
      <w:r w:rsidRPr="00FD5447">
        <w:t>по обеспечению</w:t>
      </w:r>
      <w:r w:rsidR="00D96A8B">
        <w:t xml:space="preserve"> льготными лекарственными</w:t>
      </w:r>
      <w:r w:rsidRPr="00FD5447">
        <w:t xml:space="preserve"> </w:t>
      </w:r>
      <w:r w:rsidR="00D96A8B">
        <w:t xml:space="preserve">препаратами </w:t>
      </w:r>
      <w:r w:rsidRPr="00FD5447">
        <w:t>федеральных льготников, отказавшихся от набора социальных услуг, закреплена постановлением Правительства РФ от</w:t>
      </w:r>
      <w:proofErr w:type="gramEnd"/>
      <w:r w:rsidRPr="00FD5447">
        <w:t xml:space="preserve"> 30.07.1994 №890 «О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назначения» и </w:t>
      </w:r>
      <w:proofErr w:type="gramStart"/>
      <w:r w:rsidRPr="00FD5447">
        <w:t>подтверждена</w:t>
      </w:r>
      <w:proofErr w:type="gramEnd"/>
      <w:r w:rsidRPr="00FD5447">
        <w:t xml:space="preserve"> многочисленными судебными решениями судов раз</w:t>
      </w:r>
      <w:r w:rsidR="00411A62">
        <w:t>лич</w:t>
      </w:r>
      <w:r w:rsidRPr="00FD5447">
        <w:t xml:space="preserve">ных инстанций. </w:t>
      </w:r>
    </w:p>
    <w:p w:rsidR="00D96A8B" w:rsidRDefault="00D96A8B" w:rsidP="00D96A8B">
      <w:pPr>
        <w:ind w:firstLine="708"/>
        <w:jc w:val="both"/>
      </w:pPr>
      <w:proofErr w:type="gramStart"/>
      <w:r>
        <w:t>В</w:t>
      </w:r>
      <w:r w:rsidR="008F1BDC" w:rsidRPr="00FD5447">
        <w:t xml:space="preserve"> ходе анализа выполнения вышеуказанного </w:t>
      </w:r>
      <w:r>
        <w:t>П</w:t>
      </w:r>
      <w:r w:rsidR="008F1BDC" w:rsidRPr="00FD5447">
        <w:t xml:space="preserve">лана обеспечения устойчивого развития экономики и социальной стабильности Волгоградской области </w:t>
      </w:r>
      <w:r>
        <w:t xml:space="preserve">КСП </w:t>
      </w:r>
      <w:r w:rsidR="008F1BDC" w:rsidRPr="00FD5447">
        <w:t>рекомендовала Волгоградской областной Думе обратиться в Министерство здравоохранения РФ с предложениями о необходимости разграничения полномочий по лекарственному обеспечению при амбулаторном лечении граждан, являющихся льготными категориями федерального и регионального уровней, а также по увеличению норматива лекарственного обеспечения федеральных льготников.</w:t>
      </w:r>
      <w:proofErr w:type="gramEnd"/>
    </w:p>
    <w:p w:rsidR="00074D35" w:rsidRPr="00074D35" w:rsidRDefault="00D96A8B" w:rsidP="00074D35">
      <w:pPr>
        <w:ind w:firstLine="708"/>
        <w:jc w:val="both"/>
      </w:pPr>
      <w:proofErr w:type="gramStart"/>
      <w:r w:rsidRPr="00FD5447">
        <w:t xml:space="preserve">Отдельные показатели подпрограммы «Совершенствование процессов организации медицинской помощи на основе внедрения информационных технологий» </w:t>
      </w:r>
      <w:r>
        <w:t>госпрограммы «Развитие здравоохранения в Волгоградской области</w:t>
      </w:r>
      <w:r w:rsidR="00854AE1">
        <w:t xml:space="preserve"> </w:t>
      </w:r>
      <w:r w:rsidR="00854AE1" w:rsidRPr="00FD5447">
        <w:t>на 2014-2016 годы и на период до 2020 года</w:t>
      </w:r>
      <w:r>
        <w:t>»</w:t>
      </w:r>
      <w:r w:rsidRPr="00FD5447">
        <w:t xml:space="preserve"> в части </w:t>
      </w:r>
      <w:r w:rsidR="00FD466E">
        <w:t xml:space="preserve">интегрирования </w:t>
      </w:r>
      <w:r w:rsidR="00FD466E" w:rsidRPr="00FD5447">
        <w:t>электронн</w:t>
      </w:r>
      <w:r w:rsidR="00FD466E">
        <w:t>ой</w:t>
      </w:r>
      <w:r w:rsidR="00FD466E" w:rsidRPr="00FD5447">
        <w:t xml:space="preserve"> медицинск</w:t>
      </w:r>
      <w:r w:rsidR="00FD466E">
        <w:t>ой</w:t>
      </w:r>
      <w:r w:rsidR="00FD466E" w:rsidRPr="00FD5447">
        <w:t xml:space="preserve"> карт</w:t>
      </w:r>
      <w:r w:rsidR="00FD466E">
        <w:t>ы</w:t>
      </w:r>
      <w:r w:rsidR="00FD466E" w:rsidRPr="00FD5447">
        <w:t xml:space="preserve"> (ИЭМК) с региональной информационной системой здравоох</w:t>
      </w:r>
      <w:r w:rsidR="00FD466E">
        <w:t>ранения</w:t>
      </w:r>
      <w:r w:rsidR="00651F86">
        <w:t xml:space="preserve"> </w:t>
      </w:r>
      <w:r w:rsidR="00FD466E">
        <w:t>области (РИСЗ</w:t>
      </w:r>
      <w:r w:rsidR="00FD466E" w:rsidRPr="00FD5447">
        <w:t xml:space="preserve">) </w:t>
      </w:r>
      <w:r w:rsidRPr="00FD5447">
        <w:t xml:space="preserve">не зависят от предусмотренных в </w:t>
      </w:r>
      <w:r w:rsidR="00854AE1">
        <w:t>программе</w:t>
      </w:r>
      <w:r w:rsidRPr="00FD5447">
        <w:t xml:space="preserve"> мероприятий и ассигнований, а зависят от выполнения </w:t>
      </w:r>
      <w:r w:rsidR="00854AE1">
        <w:t xml:space="preserve">другой </w:t>
      </w:r>
      <w:r w:rsidRPr="00FD5447">
        <w:t xml:space="preserve">госпрограммы Волгоградской области </w:t>
      </w:r>
      <w:r w:rsidR="00854AE1">
        <w:t xml:space="preserve">- </w:t>
      </w:r>
      <w:r w:rsidRPr="00FD5447">
        <w:t>«Информационное</w:t>
      </w:r>
      <w:proofErr w:type="gramEnd"/>
      <w:r w:rsidRPr="00FD5447">
        <w:t xml:space="preserve"> общество», ответств</w:t>
      </w:r>
      <w:r>
        <w:t>енным исполнителем которой явля</w:t>
      </w:r>
      <w:r w:rsidR="00651F86">
        <w:t>л</w:t>
      </w:r>
      <w:r w:rsidRPr="00FD5447">
        <w:t xml:space="preserve">ся </w:t>
      </w:r>
      <w:r w:rsidR="00854AE1">
        <w:t>к</w:t>
      </w:r>
      <w:r w:rsidRPr="00FD5447">
        <w:t>омитет информационных технологий Волгоградской области</w:t>
      </w:r>
      <w:r w:rsidR="00651F86">
        <w:t>, но которая утратила силу с 01.01.2018.</w:t>
      </w:r>
      <w:r w:rsidRPr="00FD5447">
        <w:t xml:space="preserve"> </w:t>
      </w:r>
      <w:r w:rsidR="00651F86">
        <w:t>Данное несоответствие</w:t>
      </w:r>
      <w:r w:rsidRPr="00FD5447">
        <w:t xml:space="preserve"> не отвечает понятию «государственн</w:t>
      </w:r>
      <w:r w:rsidR="00854AE1">
        <w:t>ой</w:t>
      </w:r>
      <w:r w:rsidRPr="00FD5447">
        <w:t xml:space="preserve"> программ</w:t>
      </w:r>
      <w:r w:rsidR="00854AE1">
        <w:t>ы</w:t>
      </w:r>
      <w:r w:rsidRPr="00FD5447">
        <w:t>», определ</w:t>
      </w:r>
      <w:r w:rsidR="00854AE1">
        <w:t>е</w:t>
      </w:r>
      <w:r w:rsidRPr="00FD5447">
        <w:t xml:space="preserve">нному </w:t>
      </w:r>
      <w:hyperlink r:id="rId8" w:history="1">
        <w:proofErr w:type="gramStart"/>
        <w:r w:rsidRPr="00FD5447">
          <w:t>Порядк</w:t>
        </w:r>
      </w:hyperlink>
      <w:r w:rsidRPr="00FD5447">
        <w:t>ом</w:t>
      </w:r>
      <w:proofErr w:type="gramEnd"/>
      <w:r w:rsidRPr="00FD5447">
        <w:t xml:space="preserve"> разработки, реализации и оценки эффективности реализации государственных программ Волгоградской области, утвержд</w:t>
      </w:r>
      <w:r w:rsidR="00854AE1">
        <w:t>е</w:t>
      </w:r>
      <w:r w:rsidRPr="00FD5447">
        <w:t>нным постановлением Правительства Волгоградско</w:t>
      </w:r>
      <w:r>
        <w:t>й области от 27.08.2013 №423-п</w:t>
      </w:r>
      <w:r w:rsidRPr="00FD5447">
        <w:t>.</w:t>
      </w:r>
      <w:r w:rsidR="00651F86">
        <w:t xml:space="preserve"> В связи с этим п</w:t>
      </w:r>
      <w:r w:rsidR="00074D35">
        <w:t xml:space="preserve">о результатам проверки </w:t>
      </w:r>
      <w:proofErr w:type="spellStart"/>
      <w:r w:rsidR="00074D35">
        <w:t>Облздраву</w:t>
      </w:r>
      <w:proofErr w:type="spellEnd"/>
      <w:r w:rsidR="00074D35">
        <w:t xml:space="preserve"> предложено совместно</w:t>
      </w:r>
      <w:r w:rsidR="00074D35">
        <w:rPr>
          <w:bCs/>
        </w:rPr>
        <w:t xml:space="preserve"> с к</w:t>
      </w:r>
      <w:r w:rsidR="00074D35" w:rsidRPr="00FD5447">
        <w:rPr>
          <w:bCs/>
        </w:rPr>
        <w:t xml:space="preserve">омитетом информационных технологий Волгоградской области обеспечить взаимосвязанность целевых показателей госпрограммы «Развитие здравоохранения Волгоградской области на 2014-2016 годы и на период до 2020 года» с </w:t>
      </w:r>
      <w:r w:rsidR="00A33A1C">
        <w:rPr>
          <w:bCs/>
        </w:rPr>
        <w:t xml:space="preserve">ее </w:t>
      </w:r>
      <w:r w:rsidR="00074D35" w:rsidRPr="00FD5447">
        <w:rPr>
          <w:bCs/>
        </w:rPr>
        <w:t xml:space="preserve">ресурсами в части обеспечения функционирования </w:t>
      </w:r>
      <w:r w:rsidR="00074D35" w:rsidRPr="00FD5447">
        <w:t>региональной информационной систем</w:t>
      </w:r>
      <w:r w:rsidR="00074D35">
        <w:t xml:space="preserve">ы </w:t>
      </w:r>
      <w:r w:rsidR="00074D35" w:rsidRPr="00FD5447">
        <w:t>здравоохранения Волгоградской области.</w:t>
      </w:r>
      <w:r w:rsidR="00074D35" w:rsidRPr="00FD5447">
        <w:rPr>
          <w:bCs/>
        </w:rPr>
        <w:t xml:space="preserve"> </w:t>
      </w:r>
    </w:p>
    <w:p w:rsidR="00F40C6F" w:rsidRDefault="00F40C6F" w:rsidP="008F1BDC">
      <w:pPr>
        <w:autoSpaceDE w:val="0"/>
        <w:autoSpaceDN w:val="0"/>
        <w:adjustRightInd w:val="0"/>
        <w:ind w:firstLine="720"/>
        <w:jc w:val="both"/>
        <w:outlineLvl w:val="2"/>
      </w:pPr>
    </w:p>
    <w:p w:rsidR="006C4F77" w:rsidRDefault="006C4F77" w:rsidP="008F1BDC">
      <w:pPr>
        <w:autoSpaceDE w:val="0"/>
        <w:autoSpaceDN w:val="0"/>
        <w:adjustRightInd w:val="0"/>
        <w:ind w:firstLine="720"/>
        <w:jc w:val="both"/>
        <w:outlineLvl w:val="2"/>
      </w:pPr>
    </w:p>
    <w:p w:rsidR="006C4F77" w:rsidRPr="00D96A8B" w:rsidRDefault="006C4F77" w:rsidP="008F1BDC">
      <w:pPr>
        <w:autoSpaceDE w:val="0"/>
        <w:autoSpaceDN w:val="0"/>
        <w:adjustRightInd w:val="0"/>
        <w:ind w:firstLine="720"/>
        <w:jc w:val="both"/>
        <w:outlineLvl w:val="2"/>
      </w:pPr>
    </w:p>
    <w:p w:rsidR="00644EB9" w:rsidRPr="002B453E" w:rsidRDefault="00644EB9" w:rsidP="001061B8">
      <w:pPr>
        <w:jc w:val="center"/>
        <w:outlineLvl w:val="0"/>
        <w:rPr>
          <w:b/>
          <w:szCs w:val="24"/>
        </w:rPr>
      </w:pPr>
      <w:r>
        <w:rPr>
          <w:b/>
          <w:szCs w:val="24"/>
        </w:rPr>
        <w:lastRenderedPageBreak/>
        <w:t>4.</w:t>
      </w:r>
      <w:r w:rsidR="00D96550">
        <w:rPr>
          <w:b/>
          <w:szCs w:val="24"/>
        </w:rPr>
        <w:t>9</w:t>
      </w:r>
      <w:r>
        <w:rPr>
          <w:b/>
          <w:szCs w:val="24"/>
        </w:rPr>
        <w:t xml:space="preserve">. Расходы по разделу 1000 «Социальная политика». </w:t>
      </w:r>
    </w:p>
    <w:p w:rsidR="00644EB9" w:rsidRDefault="00644EB9" w:rsidP="00644EB9">
      <w:pPr>
        <w:jc w:val="center"/>
      </w:pPr>
    </w:p>
    <w:p w:rsidR="00A3030A" w:rsidRDefault="00644EB9" w:rsidP="00925472">
      <w:pPr>
        <w:ind w:firstLine="708"/>
        <w:jc w:val="both"/>
      </w:pPr>
      <w:r>
        <w:t>Уточненные бюджетные ассигнования на 20</w:t>
      </w:r>
      <w:r w:rsidR="0006606F">
        <w:t>1</w:t>
      </w:r>
      <w:r w:rsidR="006350F4">
        <w:t>7</w:t>
      </w:r>
      <w:r>
        <w:t xml:space="preserve"> год по разделу </w:t>
      </w:r>
      <w:r w:rsidRPr="00C90ADA">
        <w:rPr>
          <w:szCs w:val="24"/>
        </w:rPr>
        <w:t>1000 «Социальная политика»</w:t>
      </w:r>
      <w:r>
        <w:t xml:space="preserve"> утверждены в размере</w:t>
      </w:r>
      <w:r w:rsidR="00875AF6">
        <w:t xml:space="preserve"> 26621</w:t>
      </w:r>
      <w:r w:rsidR="00E20E97">
        <w:rPr>
          <w:b/>
          <w:bCs/>
          <w:sz w:val="22"/>
          <w:szCs w:val="22"/>
        </w:rPr>
        <w:t xml:space="preserve"> </w:t>
      </w:r>
      <w:r>
        <w:t xml:space="preserve">млн. рублей. По данным отчета </w:t>
      </w:r>
      <w:r w:rsidR="00F524B6">
        <w:t>Администрации</w:t>
      </w:r>
      <w:r w:rsidR="00F45C29">
        <w:t xml:space="preserve"> </w:t>
      </w:r>
      <w:r w:rsidR="00F9131A">
        <w:t xml:space="preserve">Волгоградской </w:t>
      </w:r>
      <w:r>
        <w:t xml:space="preserve">области фактическое исполнение расходов по разделу составило </w:t>
      </w:r>
      <w:r w:rsidR="00E91800">
        <w:t xml:space="preserve"> </w:t>
      </w:r>
      <w:r w:rsidR="00875AF6">
        <w:t xml:space="preserve">26595,2 </w:t>
      </w:r>
      <w:r>
        <w:t xml:space="preserve">млн. руб., или </w:t>
      </w:r>
      <w:r w:rsidR="00875AF6">
        <w:t>99,9</w:t>
      </w:r>
      <w:r>
        <w:t>% от плана</w:t>
      </w:r>
      <w:r w:rsidR="00F524B6">
        <w:t>, в том числе в разрезе ГРБС:</w:t>
      </w:r>
    </w:p>
    <w:p w:rsidR="00063416" w:rsidRPr="00875AF6" w:rsidRDefault="00875AF6" w:rsidP="00875AF6">
      <w:pPr>
        <w:ind w:firstLine="708"/>
        <w:jc w:val="right"/>
        <w:rPr>
          <w:sz w:val="20"/>
        </w:rPr>
      </w:pPr>
      <w:r w:rsidRPr="00875AF6">
        <w:rPr>
          <w:sz w:val="20"/>
        </w:rPr>
        <w:t>млн. руб.</w:t>
      </w:r>
    </w:p>
    <w:tbl>
      <w:tblPr>
        <w:tblW w:w="9651" w:type="dxa"/>
        <w:tblInd w:w="96" w:type="dxa"/>
        <w:tblLayout w:type="fixed"/>
        <w:tblLook w:val="04A0"/>
      </w:tblPr>
      <w:tblGrid>
        <w:gridCol w:w="3556"/>
        <w:gridCol w:w="1210"/>
        <w:gridCol w:w="1120"/>
        <w:gridCol w:w="1210"/>
        <w:gridCol w:w="1280"/>
        <w:gridCol w:w="1275"/>
      </w:tblGrid>
      <w:tr w:rsidR="00063416" w:rsidRPr="00063416" w:rsidTr="00DC4DFB">
        <w:trPr>
          <w:trHeight w:val="20"/>
        </w:trPr>
        <w:tc>
          <w:tcPr>
            <w:tcW w:w="3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063416" w:rsidRPr="00063416" w:rsidRDefault="00063416" w:rsidP="00DC4DFB">
            <w:pPr>
              <w:jc w:val="center"/>
              <w:rPr>
                <w:b/>
                <w:i/>
                <w:iCs/>
                <w:sz w:val="20"/>
              </w:rPr>
            </w:pPr>
            <w:r w:rsidRPr="00063416">
              <w:rPr>
                <w:b/>
                <w:i/>
                <w:iCs/>
                <w:sz w:val="20"/>
              </w:rPr>
              <w:t>Наименование ГРБС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063416" w:rsidRPr="00063416" w:rsidRDefault="00063416" w:rsidP="00DC4DFB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063416">
              <w:rPr>
                <w:b/>
                <w:bCs/>
                <w:i/>
                <w:iCs/>
                <w:sz w:val="20"/>
              </w:rPr>
              <w:t>Социальная политика</w:t>
            </w:r>
          </w:p>
        </w:tc>
      </w:tr>
      <w:tr w:rsidR="00063416" w:rsidRPr="00063416" w:rsidTr="00063416">
        <w:trPr>
          <w:trHeight w:val="20"/>
        </w:trPr>
        <w:tc>
          <w:tcPr>
            <w:tcW w:w="3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063416" w:rsidRPr="00063416" w:rsidRDefault="00063416" w:rsidP="00DC4DFB">
            <w:pPr>
              <w:rPr>
                <w:b/>
                <w:i/>
                <w:iCs/>
                <w:sz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  <w:hideMark/>
          </w:tcPr>
          <w:p w:rsidR="00C45618" w:rsidRDefault="00C45618" w:rsidP="00DC4DFB">
            <w:pPr>
              <w:jc w:val="center"/>
              <w:rPr>
                <w:b/>
                <w:i/>
                <w:iCs/>
                <w:sz w:val="20"/>
              </w:rPr>
            </w:pPr>
            <w:r w:rsidRPr="00063416">
              <w:rPr>
                <w:b/>
                <w:i/>
                <w:iCs/>
                <w:sz w:val="20"/>
              </w:rPr>
              <w:t>Ф</w:t>
            </w:r>
            <w:r w:rsidR="00063416" w:rsidRPr="00063416">
              <w:rPr>
                <w:b/>
                <w:i/>
                <w:iCs/>
                <w:sz w:val="20"/>
              </w:rPr>
              <w:t>акт</w:t>
            </w:r>
          </w:p>
          <w:p w:rsidR="00063416" w:rsidRPr="00063416" w:rsidRDefault="00063416" w:rsidP="00DC4DFB">
            <w:pPr>
              <w:jc w:val="center"/>
              <w:rPr>
                <w:b/>
                <w:i/>
                <w:iCs/>
                <w:sz w:val="20"/>
              </w:rPr>
            </w:pPr>
            <w:r w:rsidRPr="00063416">
              <w:rPr>
                <w:b/>
                <w:i/>
                <w:iCs/>
                <w:sz w:val="20"/>
              </w:rPr>
              <w:t xml:space="preserve"> 2016</w:t>
            </w:r>
            <w:r w:rsidR="00C45618">
              <w:rPr>
                <w:b/>
                <w:i/>
                <w:iCs/>
                <w:sz w:val="20"/>
              </w:rPr>
              <w:t xml:space="preserve"> г.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  <w:hideMark/>
          </w:tcPr>
          <w:p w:rsidR="00C45618" w:rsidRDefault="00063416" w:rsidP="00DC4DFB">
            <w:pPr>
              <w:jc w:val="center"/>
              <w:rPr>
                <w:b/>
                <w:i/>
                <w:iCs/>
                <w:sz w:val="20"/>
              </w:rPr>
            </w:pPr>
            <w:r w:rsidRPr="00063416">
              <w:rPr>
                <w:b/>
                <w:i/>
                <w:iCs/>
                <w:sz w:val="20"/>
              </w:rPr>
              <w:t xml:space="preserve">план </w:t>
            </w:r>
          </w:p>
          <w:p w:rsidR="00063416" w:rsidRPr="00063416" w:rsidRDefault="00063416" w:rsidP="00DC4DFB">
            <w:pPr>
              <w:jc w:val="center"/>
              <w:rPr>
                <w:b/>
                <w:i/>
                <w:iCs/>
                <w:sz w:val="20"/>
              </w:rPr>
            </w:pPr>
            <w:r w:rsidRPr="00063416">
              <w:rPr>
                <w:b/>
                <w:i/>
                <w:iCs/>
                <w:sz w:val="20"/>
              </w:rPr>
              <w:t>2017</w:t>
            </w:r>
            <w:r w:rsidR="00C45618">
              <w:rPr>
                <w:b/>
                <w:i/>
                <w:iCs/>
                <w:sz w:val="20"/>
              </w:rPr>
              <w:t xml:space="preserve"> г.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  <w:hideMark/>
          </w:tcPr>
          <w:p w:rsidR="00C45618" w:rsidRDefault="00C45618" w:rsidP="00DC4DFB">
            <w:pPr>
              <w:jc w:val="center"/>
              <w:rPr>
                <w:b/>
                <w:i/>
                <w:iCs/>
                <w:sz w:val="20"/>
              </w:rPr>
            </w:pPr>
            <w:r>
              <w:rPr>
                <w:b/>
                <w:i/>
                <w:iCs/>
                <w:sz w:val="20"/>
              </w:rPr>
              <w:t>ф</w:t>
            </w:r>
            <w:r w:rsidR="00063416" w:rsidRPr="00063416">
              <w:rPr>
                <w:b/>
                <w:i/>
                <w:iCs/>
                <w:sz w:val="20"/>
              </w:rPr>
              <w:t>акт</w:t>
            </w:r>
          </w:p>
          <w:p w:rsidR="00063416" w:rsidRPr="00063416" w:rsidRDefault="00063416" w:rsidP="00DC4DFB">
            <w:pPr>
              <w:jc w:val="center"/>
              <w:rPr>
                <w:b/>
                <w:i/>
                <w:iCs/>
                <w:sz w:val="20"/>
              </w:rPr>
            </w:pPr>
            <w:r w:rsidRPr="00063416">
              <w:rPr>
                <w:b/>
                <w:i/>
                <w:iCs/>
                <w:sz w:val="20"/>
              </w:rPr>
              <w:t xml:space="preserve"> 2017</w:t>
            </w:r>
            <w:r w:rsidR="00C45618">
              <w:rPr>
                <w:b/>
                <w:i/>
                <w:iCs/>
                <w:sz w:val="20"/>
              </w:rPr>
              <w:t xml:space="preserve"> г.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063416" w:rsidRPr="00063416" w:rsidRDefault="00063416" w:rsidP="00063416">
            <w:pPr>
              <w:jc w:val="center"/>
              <w:rPr>
                <w:b/>
                <w:i/>
                <w:iCs/>
                <w:sz w:val="20"/>
              </w:rPr>
            </w:pPr>
            <w:r w:rsidRPr="00063416">
              <w:rPr>
                <w:b/>
                <w:i/>
                <w:iCs/>
                <w:sz w:val="20"/>
              </w:rPr>
              <w:t>исполнен</w:t>
            </w:r>
            <w:r>
              <w:rPr>
                <w:b/>
                <w:i/>
                <w:iCs/>
                <w:sz w:val="20"/>
              </w:rPr>
              <w:t>о</w:t>
            </w:r>
            <w:r w:rsidRPr="00063416">
              <w:rPr>
                <w:b/>
                <w:i/>
                <w:iCs/>
                <w:sz w:val="20"/>
              </w:rPr>
              <w:t>, 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9073F5" w:rsidRDefault="00295D00" w:rsidP="00063416">
            <w:pPr>
              <w:jc w:val="center"/>
              <w:rPr>
                <w:b/>
                <w:i/>
                <w:iCs/>
                <w:sz w:val="20"/>
              </w:rPr>
            </w:pPr>
            <w:r>
              <w:rPr>
                <w:b/>
                <w:i/>
                <w:iCs/>
                <w:sz w:val="20"/>
              </w:rPr>
              <w:t>с</w:t>
            </w:r>
            <w:r w:rsidR="00063416" w:rsidRPr="00063416">
              <w:rPr>
                <w:b/>
                <w:i/>
                <w:iCs/>
                <w:sz w:val="20"/>
              </w:rPr>
              <w:t>равнение</w:t>
            </w:r>
          </w:p>
          <w:p w:rsidR="00063416" w:rsidRPr="00063416" w:rsidRDefault="00063416" w:rsidP="00063416">
            <w:pPr>
              <w:jc w:val="center"/>
              <w:rPr>
                <w:b/>
                <w:i/>
                <w:iCs/>
                <w:sz w:val="20"/>
              </w:rPr>
            </w:pPr>
            <w:r w:rsidRPr="00063416">
              <w:rPr>
                <w:b/>
                <w:i/>
                <w:iCs/>
                <w:sz w:val="20"/>
              </w:rPr>
              <w:t xml:space="preserve"> с 2016 г</w:t>
            </w:r>
            <w:r>
              <w:rPr>
                <w:b/>
                <w:i/>
                <w:iCs/>
                <w:sz w:val="20"/>
              </w:rPr>
              <w:t>.</w:t>
            </w:r>
            <w:r w:rsidRPr="00063416">
              <w:rPr>
                <w:b/>
                <w:i/>
                <w:iCs/>
                <w:sz w:val="20"/>
              </w:rPr>
              <w:t>, %</w:t>
            </w:r>
          </w:p>
        </w:tc>
      </w:tr>
      <w:tr w:rsidR="00063416" w:rsidRPr="00063416" w:rsidTr="00063416">
        <w:trPr>
          <w:trHeight w:val="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416" w:rsidRPr="00063416" w:rsidRDefault="00063416" w:rsidP="00DC4DFB">
            <w:pPr>
              <w:rPr>
                <w:sz w:val="20"/>
              </w:rPr>
            </w:pPr>
            <w:r w:rsidRPr="00063416">
              <w:rPr>
                <w:sz w:val="20"/>
              </w:rPr>
              <w:t xml:space="preserve">Аппарат Губернатора 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416" w:rsidRPr="00063416" w:rsidRDefault="00063416" w:rsidP="00063416">
            <w:pPr>
              <w:jc w:val="center"/>
              <w:rPr>
                <w:sz w:val="20"/>
              </w:rPr>
            </w:pPr>
            <w:r w:rsidRPr="00063416">
              <w:rPr>
                <w:sz w:val="20"/>
              </w:rPr>
              <w:t>1,8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416" w:rsidRPr="00063416" w:rsidRDefault="00063416" w:rsidP="00063416">
            <w:pPr>
              <w:jc w:val="center"/>
              <w:rPr>
                <w:sz w:val="20"/>
              </w:rPr>
            </w:pPr>
            <w:r w:rsidRPr="00063416">
              <w:rPr>
                <w:sz w:val="20"/>
              </w:rPr>
              <w:t>5,0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416" w:rsidRPr="00063416" w:rsidRDefault="00063416" w:rsidP="00063416">
            <w:pPr>
              <w:jc w:val="center"/>
              <w:rPr>
                <w:sz w:val="20"/>
              </w:rPr>
            </w:pPr>
            <w:r w:rsidRPr="00063416">
              <w:rPr>
                <w:sz w:val="20"/>
              </w:rPr>
              <w:t>2,0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416" w:rsidRPr="00063416" w:rsidRDefault="00063416" w:rsidP="00063416">
            <w:pPr>
              <w:jc w:val="center"/>
              <w:rPr>
                <w:sz w:val="20"/>
              </w:rPr>
            </w:pPr>
            <w:r w:rsidRPr="00063416">
              <w:rPr>
                <w:sz w:val="20"/>
              </w:rPr>
              <w:t>40,1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416" w:rsidRPr="00063416" w:rsidRDefault="00063416" w:rsidP="00063416">
            <w:pPr>
              <w:jc w:val="center"/>
              <w:rPr>
                <w:sz w:val="20"/>
              </w:rPr>
            </w:pPr>
            <w:r w:rsidRPr="00063416">
              <w:rPr>
                <w:sz w:val="20"/>
              </w:rPr>
              <w:t>108,8</w:t>
            </w:r>
          </w:p>
        </w:tc>
      </w:tr>
      <w:tr w:rsidR="00063416" w:rsidRPr="00063416" w:rsidTr="00063416">
        <w:trPr>
          <w:trHeight w:val="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416" w:rsidRPr="00063416" w:rsidRDefault="00063416" w:rsidP="00DC4DFB">
            <w:pPr>
              <w:rPr>
                <w:sz w:val="20"/>
              </w:rPr>
            </w:pPr>
            <w:r w:rsidRPr="00063416">
              <w:rPr>
                <w:sz w:val="20"/>
              </w:rPr>
              <w:t xml:space="preserve">Комитет юстиции 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416" w:rsidRPr="00063416" w:rsidRDefault="00063416" w:rsidP="00063416">
            <w:pPr>
              <w:jc w:val="center"/>
              <w:rPr>
                <w:sz w:val="20"/>
              </w:rPr>
            </w:pPr>
            <w:r w:rsidRPr="00063416">
              <w:rPr>
                <w:sz w:val="20"/>
              </w:rPr>
              <w:t>0,4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416" w:rsidRPr="00063416" w:rsidRDefault="00063416" w:rsidP="00063416">
            <w:pPr>
              <w:jc w:val="center"/>
              <w:rPr>
                <w:sz w:val="20"/>
              </w:rPr>
            </w:pPr>
            <w:r w:rsidRPr="00063416">
              <w:rPr>
                <w:sz w:val="20"/>
              </w:rPr>
              <w:t>0,5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416" w:rsidRPr="00063416" w:rsidRDefault="00063416" w:rsidP="00063416">
            <w:pPr>
              <w:jc w:val="center"/>
              <w:rPr>
                <w:sz w:val="20"/>
              </w:rPr>
            </w:pPr>
            <w:r w:rsidRPr="00063416">
              <w:rPr>
                <w:sz w:val="20"/>
              </w:rPr>
              <w:t>0,5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416" w:rsidRPr="00063416" w:rsidRDefault="00063416" w:rsidP="00063416">
            <w:pPr>
              <w:jc w:val="center"/>
              <w:rPr>
                <w:sz w:val="20"/>
              </w:rPr>
            </w:pPr>
            <w:r w:rsidRPr="00063416">
              <w:rPr>
                <w:sz w:val="20"/>
              </w:rPr>
              <w:t>98,4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416" w:rsidRPr="00063416" w:rsidRDefault="00063416" w:rsidP="00063416">
            <w:pPr>
              <w:jc w:val="center"/>
              <w:rPr>
                <w:sz w:val="20"/>
              </w:rPr>
            </w:pPr>
            <w:r w:rsidRPr="00063416">
              <w:rPr>
                <w:sz w:val="20"/>
              </w:rPr>
              <w:t>105,4</w:t>
            </w:r>
          </w:p>
        </w:tc>
      </w:tr>
      <w:tr w:rsidR="00063416" w:rsidRPr="00063416" w:rsidTr="00063416">
        <w:trPr>
          <w:trHeight w:val="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416" w:rsidRPr="00063416" w:rsidRDefault="00063416" w:rsidP="00DC4DFB">
            <w:pPr>
              <w:rPr>
                <w:sz w:val="20"/>
              </w:rPr>
            </w:pPr>
            <w:r w:rsidRPr="00063416">
              <w:rPr>
                <w:sz w:val="20"/>
              </w:rPr>
              <w:t xml:space="preserve">Комитет строительства 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416" w:rsidRPr="00063416" w:rsidRDefault="00063416" w:rsidP="00063416">
            <w:pPr>
              <w:jc w:val="center"/>
              <w:rPr>
                <w:sz w:val="20"/>
              </w:rPr>
            </w:pPr>
            <w:r w:rsidRPr="00063416">
              <w:rPr>
                <w:sz w:val="20"/>
              </w:rPr>
              <w:t>494,0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416" w:rsidRPr="00063416" w:rsidRDefault="00063416" w:rsidP="00063416">
            <w:pPr>
              <w:jc w:val="center"/>
              <w:rPr>
                <w:sz w:val="20"/>
              </w:rPr>
            </w:pPr>
            <w:r w:rsidRPr="00063416">
              <w:rPr>
                <w:sz w:val="20"/>
              </w:rPr>
              <w:t>556,9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416" w:rsidRPr="00063416" w:rsidRDefault="00063416" w:rsidP="00063416">
            <w:pPr>
              <w:jc w:val="center"/>
              <w:rPr>
                <w:sz w:val="20"/>
              </w:rPr>
            </w:pPr>
            <w:r w:rsidRPr="00063416">
              <w:rPr>
                <w:sz w:val="20"/>
              </w:rPr>
              <w:t>418,5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416" w:rsidRPr="00063416" w:rsidRDefault="00063416" w:rsidP="00063416">
            <w:pPr>
              <w:jc w:val="center"/>
              <w:rPr>
                <w:sz w:val="20"/>
              </w:rPr>
            </w:pPr>
            <w:r w:rsidRPr="00063416">
              <w:rPr>
                <w:sz w:val="20"/>
              </w:rPr>
              <w:t>75,1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416" w:rsidRPr="00063416" w:rsidRDefault="00063416" w:rsidP="00063416">
            <w:pPr>
              <w:jc w:val="center"/>
              <w:rPr>
                <w:sz w:val="20"/>
              </w:rPr>
            </w:pPr>
            <w:r w:rsidRPr="00063416">
              <w:rPr>
                <w:sz w:val="20"/>
              </w:rPr>
              <w:t>84,7</w:t>
            </w:r>
          </w:p>
        </w:tc>
      </w:tr>
      <w:tr w:rsidR="00063416" w:rsidRPr="00063416" w:rsidTr="00063416">
        <w:trPr>
          <w:trHeight w:val="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416" w:rsidRPr="00063416" w:rsidRDefault="00063416" w:rsidP="00DC4DFB">
            <w:pPr>
              <w:rPr>
                <w:sz w:val="20"/>
              </w:rPr>
            </w:pPr>
            <w:r w:rsidRPr="00063416">
              <w:rPr>
                <w:sz w:val="20"/>
              </w:rPr>
              <w:t xml:space="preserve">Комитет здравоохранения 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416" w:rsidRPr="00063416" w:rsidRDefault="00063416" w:rsidP="00063416">
            <w:pPr>
              <w:jc w:val="center"/>
              <w:rPr>
                <w:sz w:val="20"/>
              </w:rPr>
            </w:pPr>
            <w:r w:rsidRPr="00063416">
              <w:rPr>
                <w:sz w:val="20"/>
              </w:rPr>
              <w:t>10 153,4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416" w:rsidRPr="00063416" w:rsidRDefault="00063416" w:rsidP="00063416">
            <w:pPr>
              <w:jc w:val="center"/>
              <w:rPr>
                <w:sz w:val="20"/>
              </w:rPr>
            </w:pPr>
            <w:r w:rsidRPr="00063416">
              <w:rPr>
                <w:sz w:val="20"/>
              </w:rPr>
              <w:t>9 989,9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416" w:rsidRPr="00063416" w:rsidRDefault="00063416" w:rsidP="00063416">
            <w:pPr>
              <w:jc w:val="center"/>
              <w:rPr>
                <w:sz w:val="20"/>
              </w:rPr>
            </w:pPr>
            <w:r w:rsidRPr="00063416">
              <w:rPr>
                <w:sz w:val="20"/>
              </w:rPr>
              <w:t>9 989,6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416" w:rsidRPr="00063416" w:rsidRDefault="00063416" w:rsidP="00063416">
            <w:pPr>
              <w:jc w:val="center"/>
              <w:rPr>
                <w:sz w:val="20"/>
              </w:rPr>
            </w:pPr>
            <w:r w:rsidRPr="00063416">
              <w:rPr>
                <w:sz w:val="20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416" w:rsidRPr="00063416" w:rsidRDefault="00063416" w:rsidP="00063416">
            <w:pPr>
              <w:jc w:val="center"/>
              <w:rPr>
                <w:sz w:val="20"/>
              </w:rPr>
            </w:pPr>
            <w:r w:rsidRPr="00063416">
              <w:rPr>
                <w:sz w:val="20"/>
              </w:rPr>
              <w:t>98,4</w:t>
            </w:r>
          </w:p>
        </w:tc>
      </w:tr>
      <w:tr w:rsidR="00063416" w:rsidRPr="00063416" w:rsidTr="00063416">
        <w:trPr>
          <w:trHeight w:val="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416" w:rsidRPr="00063416" w:rsidRDefault="00063416" w:rsidP="00DC4DFB">
            <w:pPr>
              <w:rPr>
                <w:sz w:val="20"/>
              </w:rPr>
            </w:pPr>
            <w:r w:rsidRPr="00063416">
              <w:rPr>
                <w:sz w:val="20"/>
              </w:rPr>
              <w:t xml:space="preserve">Комитет культуры 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416" w:rsidRPr="00063416" w:rsidRDefault="00063416" w:rsidP="00063416">
            <w:pPr>
              <w:jc w:val="center"/>
              <w:rPr>
                <w:sz w:val="20"/>
              </w:rPr>
            </w:pPr>
            <w:r w:rsidRPr="00063416">
              <w:rPr>
                <w:sz w:val="20"/>
              </w:rPr>
              <w:t>24,3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416" w:rsidRPr="00063416" w:rsidRDefault="00063416" w:rsidP="00063416">
            <w:pPr>
              <w:jc w:val="center"/>
              <w:rPr>
                <w:sz w:val="20"/>
              </w:rPr>
            </w:pPr>
            <w:r w:rsidRPr="00063416">
              <w:rPr>
                <w:sz w:val="20"/>
              </w:rPr>
              <w:t>24,3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416" w:rsidRPr="00063416" w:rsidRDefault="00063416" w:rsidP="00063416">
            <w:pPr>
              <w:jc w:val="center"/>
              <w:rPr>
                <w:sz w:val="20"/>
              </w:rPr>
            </w:pPr>
            <w:r w:rsidRPr="00063416">
              <w:rPr>
                <w:sz w:val="20"/>
              </w:rPr>
              <w:t>19,4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416" w:rsidRPr="00063416" w:rsidRDefault="00063416" w:rsidP="00063416">
            <w:pPr>
              <w:jc w:val="center"/>
              <w:rPr>
                <w:sz w:val="20"/>
              </w:rPr>
            </w:pPr>
            <w:r w:rsidRPr="00063416">
              <w:rPr>
                <w:sz w:val="20"/>
              </w:rPr>
              <w:t>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416" w:rsidRPr="00063416" w:rsidRDefault="00063416" w:rsidP="00063416">
            <w:pPr>
              <w:jc w:val="center"/>
              <w:rPr>
                <w:sz w:val="20"/>
              </w:rPr>
            </w:pPr>
            <w:r w:rsidRPr="00063416">
              <w:rPr>
                <w:sz w:val="20"/>
              </w:rPr>
              <w:t>80,0</w:t>
            </w:r>
          </w:p>
        </w:tc>
      </w:tr>
      <w:tr w:rsidR="00063416" w:rsidRPr="00063416" w:rsidTr="0023001A">
        <w:trPr>
          <w:trHeight w:val="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416" w:rsidRPr="00063416" w:rsidRDefault="00063416" w:rsidP="00DC4DFB">
            <w:pPr>
              <w:rPr>
                <w:sz w:val="20"/>
              </w:rPr>
            </w:pPr>
            <w:r w:rsidRPr="00063416">
              <w:rPr>
                <w:sz w:val="20"/>
              </w:rPr>
              <w:t xml:space="preserve">Комитет образования и науки 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416" w:rsidRPr="00063416" w:rsidRDefault="00063416" w:rsidP="00063416">
            <w:pPr>
              <w:jc w:val="center"/>
              <w:rPr>
                <w:sz w:val="20"/>
              </w:rPr>
            </w:pPr>
            <w:r w:rsidRPr="00063416">
              <w:rPr>
                <w:sz w:val="20"/>
              </w:rPr>
              <w:t>1 476,7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416" w:rsidRPr="00063416" w:rsidRDefault="00063416" w:rsidP="00063416">
            <w:pPr>
              <w:jc w:val="center"/>
              <w:rPr>
                <w:sz w:val="20"/>
              </w:rPr>
            </w:pPr>
            <w:r w:rsidRPr="00063416">
              <w:rPr>
                <w:sz w:val="20"/>
              </w:rPr>
              <w:t>1 050,7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416" w:rsidRPr="00063416" w:rsidRDefault="00063416" w:rsidP="00063416">
            <w:pPr>
              <w:jc w:val="center"/>
              <w:rPr>
                <w:sz w:val="20"/>
              </w:rPr>
            </w:pPr>
            <w:r w:rsidRPr="00063416">
              <w:rPr>
                <w:sz w:val="20"/>
              </w:rPr>
              <w:t>1 198,9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416" w:rsidRPr="00063416" w:rsidRDefault="00063416" w:rsidP="00063416">
            <w:pPr>
              <w:jc w:val="center"/>
              <w:rPr>
                <w:sz w:val="20"/>
              </w:rPr>
            </w:pPr>
            <w:r w:rsidRPr="00063416">
              <w:rPr>
                <w:sz w:val="20"/>
              </w:rPr>
              <w:t>114,1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416" w:rsidRPr="00063416" w:rsidRDefault="00063416" w:rsidP="00063416">
            <w:pPr>
              <w:jc w:val="center"/>
              <w:rPr>
                <w:sz w:val="20"/>
              </w:rPr>
            </w:pPr>
            <w:r w:rsidRPr="00063416">
              <w:rPr>
                <w:sz w:val="20"/>
              </w:rPr>
              <w:t>81,2</w:t>
            </w:r>
          </w:p>
        </w:tc>
      </w:tr>
      <w:tr w:rsidR="00063416" w:rsidRPr="00063416" w:rsidTr="0023001A">
        <w:trPr>
          <w:trHeight w:val="2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416" w:rsidRPr="00063416" w:rsidRDefault="00063416" w:rsidP="00DC4DFB">
            <w:pPr>
              <w:rPr>
                <w:sz w:val="20"/>
              </w:rPr>
            </w:pPr>
            <w:r w:rsidRPr="00063416">
              <w:rPr>
                <w:sz w:val="20"/>
              </w:rPr>
              <w:t xml:space="preserve">Комитет по делам территориальных образований, внутренней и информационной политики 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416" w:rsidRPr="00063416" w:rsidRDefault="00063416" w:rsidP="00063416">
            <w:pPr>
              <w:jc w:val="center"/>
              <w:rPr>
                <w:sz w:val="20"/>
              </w:rPr>
            </w:pPr>
            <w:r w:rsidRPr="00063416">
              <w:rPr>
                <w:sz w:val="20"/>
              </w:rPr>
              <w:t>2,6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416" w:rsidRPr="00063416" w:rsidRDefault="00063416" w:rsidP="00063416">
            <w:pPr>
              <w:jc w:val="center"/>
              <w:rPr>
                <w:sz w:val="20"/>
              </w:rPr>
            </w:pPr>
            <w:r w:rsidRPr="00063416">
              <w:rPr>
                <w:sz w:val="20"/>
              </w:rPr>
              <w:t>8,8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416" w:rsidRPr="00063416" w:rsidRDefault="00063416" w:rsidP="00063416">
            <w:pPr>
              <w:jc w:val="center"/>
              <w:rPr>
                <w:sz w:val="20"/>
              </w:rPr>
            </w:pPr>
            <w:r w:rsidRPr="00063416">
              <w:rPr>
                <w:sz w:val="20"/>
              </w:rPr>
              <w:t>7,5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416" w:rsidRPr="00063416" w:rsidRDefault="00063416" w:rsidP="00063416">
            <w:pPr>
              <w:jc w:val="center"/>
              <w:rPr>
                <w:sz w:val="20"/>
              </w:rPr>
            </w:pPr>
            <w:r w:rsidRPr="00063416">
              <w:rPr>
                <w:sz w:val="20"/>
              </w:rPr>
              <w:t>85,6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416" w:rsidRPr="00063416" w:rsidRDefault="00063416" w:rsidP="00063416">
            <w:pPr>
              <w:jc w:val="center"/>
              <w:rPr>
                <w:sz w:val="20"/>
              </w:rPr>
            </w:pPr>
            <w:r w:rsidRPr="00063416">
              <w:rPr>
                <w:sz w:val="20"/>
              </w:rPr>
              <w:t>292,4</w:t>
            </w:r>
          </w:p>
        </w:tc>
      </w:tr>
      <w:tr w:rsidR="00063416" w:rsidRPr="00063416" w:rsidTr="00063416">
        <w:trPr>
          <w:trHeight w:val="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416" w:rsidRPr="00063416" w:rsidRDefault="00063416" w:rsidP="00DC4DFB">
            <w:pPr>
              <w:rPr>
                <w:sz w:val="20"/>
              </w:rPr>
            </w:pPr>
            <w:r w:rsidRPr="00063416">
              <w:rPr>
                <w:sz w:val="20"/>
              </w:rPr>
              <w:t xml:space="preserve">Комитет сельского хозяйства 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416" w:rsidRPr="00063416" w:rsidRDefault="00063416" w:rsidP="00063416">
            <w:pPr>
              <w:jc w:val="center"/>
              <w:rPr>
                <w:sz w:val="20"/>
              </w:rPr>
            </w:pPr>
            <w:r w:rsidRPr="00063416">
              <w:rPr>
                <w:sz w:val="20"/>
              </w:rPr>
              <w:t>108,3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416" w:rsidRPr="00063416" w:rsidRDefault="00063416" w:rsidP="00063416">
            <w:pPr>
              <w:jc w:val="center"/>
              <w:rPr>
                <w:sz w:val="20"/>
              </w:rPr>
            </w:pPr>
            <w:r w:rsidRPr="00063416">
              <w:rPr>
                <w:sz w:val="20"/>
              </w:rPr>
              <w:t>84,1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416" w:rsidRPr="00063416" w:rsidRDefault="00063416" w:rsidP="00063416">
            <w:pPr>
              <w:jc w:val="center"/>
              <w:rPr>
                <w:sz w:val="20"/>
              </w:rPr>
            </w:pPr>
            <w:r w:rsidRPr="00063416">
              <w:rPr>
                <w:sz w:val="20"/>
              </w:rPr>
              <w:t>84,0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416" w:rsidRPr="00063416" w:rsidRDefault="00063416" w:rsidP="00063416">
            <w:pPr>
              <w:jc w:val="center"/>
              <w:rPr>
                <w:sz w:val="20"/>
              </w:rPr>
            </w:pPr>
            <w:r w:rsidRPr="00063416">
              <w:rPr>
                <w:sz w:val="20"/>
              </w:rPr>
              <w:t>99,9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416" w:rsidRPr="00063416" w:rsidRDefault="00063416" w:rsidP="00063416">
            <w:pPr>
              <w:jc w:val="center"/>
              <w:rPr>
                <w:sz w:val="20"/>
              </w:rPr>
            </w:pPr>
            <w:r w:rsidRPr="00063416">
              <w:rPr>
                <w:sz w:val="20"/>
              </w:rPr>
              <w:t>77,5</w:t>
            </w:r>
          </w:p>
        </w:tc>
      </w:tr>
      <w:tr w:rsidR="00063416" w:rsidRPr="00063416" w:rsidTr="00875AF6">
        <w:trPr>
          <w:trHeight w:val="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416" w:rsidRPr="00063416" w:rsidRDefault="00063416" w:rsidP="00DC4DFB">
            <w:pPr>
              <w:rPr>
                <w:sz w:val="20"/>
              </w:rPr>
            </w:pPr>
            <w:r w:rsidRPr="00063416">
              <w:rPr>
                <w:sz w:val="20"/>
              </w:rPr>
              <w:t xml:space="preserve">Комитет молодежной политики 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416" w:rsidRPr="00063416" w:rsidRDefault="00063416" w:rsidP="00063416">
            <w:pPr>
              <w:jc w:val="center"/>
              <w:rPr>
                <w:sz w:val="20"/>
              </w:rPr>
            </w:pPr>
            <w:r w:rsidRPr="00063416">
              <w:rPr>
                <w:sz w:val="20"/>
              </w:rPr>
              <w:t>148,9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416" w:rsidRPr="00063416" w:rsidRDefault="00063416" w:rsidP="00063416">
            <w:pPr>
              <w:jc w:val="center"/>
              <w:rPr>
                <w:sz w:val="20"/>
              </w:rPr>
            </w:pPr>
            <w:r w:rsidRPr="00063416">
              <w:rPr>
                <w:sz w:val="20"/>
              </w:rPr>
              <w:t>150,2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416" w:rsidRPr="00063416" w:rsidRDefault="00063416" w:rsidP="00063416">
            <w:pPr>
              <w:jc w:val="center"/>
              <w:rPr>
                <w:sz w:val="20"/>
              </w:rPr>
            </w:pPr>
            <w:r w:rsidRPr="00063416">
              <w:rPr>
                <w:sz w:val="20"/>
              </w:rPr>
              <w:t>150,2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416" w:rsidRPr="00063416" w:rsidRDefault="00063416" w:rsidP="00063416">
            <w:pPr>
              <w:jc w:val="center"/>
              <w:rPr>
                <w:sz w:val="20"/>
              </w:rPr>
            </w:pPr>
            <w:r w:rsidRPr="00063416">
              <w:rPr>
                <w:sz w:val="20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416" w:rsidRPr="00063416" w:rsidRDefault="00063416" w:rsidP="00063416">
            <w:pPr>
              <w:jc w:val="center"/>
              <w:rPr>
                <w:sz w:val="20"/>
              </w:rPr>
            </w:pPr>
            <w:r w:rsidRPr="00063416">
              <w:rPr>
                <w:sz w:val="20"/>
              </w:rPr>
              <w:t>100,9</w:t>
            </w:r>
          </w:p>
        </w:tc>
      </w:tr>
      <w:tr w:rsidR="00063416" w:rsidRPr="00063416" w:rsidTr="00875AF6">
        <w:trPr>
          <w:trHeight w:val="2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416" w:rsidRPr="00063416" w:rsidRDefault="00063416" w:rsidP="00DC4DFB">
            <w:pPr>
              <w:rPr>
                <w:sz w:val="20"/>
              </w:rPr>
            </w:pPr>
            <w:r w:rsidRPr="00063416">
              <w:rPr>
                <w:sz w:val="20"/>
              </w:rPr>
              <w:t xml:space="preserve">Комитет физической культуры и спорта 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416" w:rsidRPr="00063416" w:rsidRDefault="00063416" w:rsidP="00063416">
            <w:pPr>
              <w:jc w:val="center"/>
              <w:rPr>
                <w:sz w:val="20"/>
              </w:rPr>
            </w:pPr>
            <w:r w:rsidRPr="00063416">
              <w:rPr>
                <w:sz w:val="20"/>
              </w:rPr>
              <w:t>22,3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416" w:rsidRPr="00063416" w:rsidRDefault="00063416" w:rsidP="00063416">
            <w:pPr>
              <w:jc w:val="center"/>
              <w:rPr>
                <w:sz w:val="20"/>
              </w:rPr>
            </w:pPr>
            <w:r w:rsidRPr="00063416">
              <w:rPr>
                <w:sz w:val="20"/>
              </w:rPr>
              <w:t>23,0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416" w:rsidRPr="00063416" w:rsidRDefault="00063416" w:rsidP="00063416">
            <w:pPr>
              <w:jc w:val="center"/>
              <w:rPr>
                <w:sz w:val="20"/>
              </w:rPr>
            </w:pPr>
            <w:r w:rsidRPr="00063416">
              <w:rPr>
                <w:sz w:val="20"/>
              </w:rPr>
              <w:t>22,1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416" w:rsidRPr="00063416" w:rsidRDefault="00063416" w:rsidP="00063416">
            <w:pPr>
              <w:jc w:val="center"/>
              <w:rPr>
                <w:sz w:val="20"/>
              </w:rPr>
            </w:pPr>
            <w:r w:rsidRPr="00063416">
              <w:rPr>
                <w:sz w:val="20"/>
              </w:rPr>
              <w:t>96,3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416" w:rsidRPr="00063416" w:rsidRDefault="00063416" w:rsidP="00063416">
            <w:pPr>
              <w:jc w:val="center"/>
              <w:rPr>
                <w:sz w:val="20"/>
              </w:rPr>
            </w:pPr>
            <w:r w:rsidRPr="00063416">
              <w:rPr>
                <w:sz w:val="20"/>
              </w:rPr>
              <w:t>99,3</w:t>
            </w:r>
          </w:p>
        </w:tc>
      </w:tr>
      <w:tr w:rsidR="00063416" w:rsidRPr="00063416" w:rsidTr="00063416">
        <w:trPr>
          <w:trHeight w:val="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416" w:rsidRPr="00063416" w:rsidRDefault="00063416" w:rsidP="00DC4DFB">
            <w:pPr>
              <w:rPr>
                <w:sz w:val="20"/>
              </w:rPr>
            </w:pPr>
            <w:r w:rsidRPr="00063416">
              <w:rPr>
                <w:sz w:val="20"/>
              </w:rPr>
              <w:t xml:space="preserve">Комитет ветеринарии 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416" w:rsidRPr="00063416" w:rsidRDefault="00063416" w:rsidP="00063416">
            <w:pPr>
              <w:jc w:val="center"/>
              <w:rPr>
                <w:sz w:val="20"/>
              </w:rPr>
            </w:pPr>
            <w:r w:rsidRPr="00063416">
              <w:rPr>
                <w:sz w:val="20"/>
              </w:rPr>
              <w:t>3,1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416" w:rsidRPr="00063416" w:rsidRDefault="00063416" w:rsidP="00063416">
            <w:pPr>
              <w:jc w:val="center"/>
              <w:rPr>
                <w:sz w:val="20"/>
              </w:rPr>
            </w:pPr>
            <w:r w:rsidRPr="00063416">
              <w:rPr>
                <w:sz w:val="20"/>
              </w:rPr>
              <w:t>5,0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416" w:rsidRPr="00063416" w:rsidRDefault="00063416" w:rsidP="00063416">
            <w:pPr>
              <w:jc w:val="center"/>
              <w:rPr>
                <w:sz w:val="20"/>
              </w:rPr>
            </w:pPr>
            <w:r w:rsidRPr="00063416">
              <w:rPr>
                <w:sz w:val="20"/>
              </w:rPr>
              <w:t>5,0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416" w:rsidRPr="00063416" w:rsidRDefault="00063416" w:rsidP="00063416">
            <w:pPr>
              <w:jc w:val="center"/>
              <w:rPr>
                <w:sz w:val="20"/>
              </w:rPr>
            </w:pPr>
            <w:r w:rsidRPr="00063416">
              <w:rPr>
                <w:sz w:val="20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416" w:rsidRPr="00063416" w:rsidRDefault="00063416" w:rsidP="00063416">
            <w:pPr>
              <w:jc w:val="center"/>
              <w:rPr>
                <w:sz w:val="20"/>
              </w:rPr>
            </w:pPr>
            <w:r w:rsidRPr="00063416">
              <w:rPr>
                <w:sz w:val="20"/>
              </w:rPr>
              <w:t>163,6</w:t>
            </w:r>
          </w:p>
        </w:tc>
      </w:tr>
      <w:tr w:rsidR="00063416" w:rsidRPr="00063416" w:rsidTr="009073F5">
        <w:trPr>
          <w:trHeight w:val="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416" w:rsidRPr="00063416" w:rsidRDefault="00063416" w:rsidP="00DC4DFB">
            <w:pPr>
              <w:rPr>
                <w:sz w:val="20"/>
              </w:rPr>
            </w:pPr>
            <w:r w:rsidRPr="00063416">
              <w:rPr>
                <w:sz w:val="20"/>
              </w:rPr>
              <w:t xml:space="preserve">Комитет социальной защиты населения 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416" w:rsidRPr="00063416" w:rsidRDefault="00063416" w:rsidP="00063416">
            <w:pPr>
              <w:jc w:val="center"/>
              <w:rPr>
                <w:sz w:val="20"/>
              </w:rPr>
            </w:pPr>
            <w:r w:rsidRPr="00063416">
              <w:rPr>
                <w:sz w:val="20"/>
              </w:rPr>
              <w:t>15 093,0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416" w:rsidRPr="00063416" w:rsidRDefault="00063416" w:rsidP="00063416">
            <w:pPr>
              <w:jc w:val="center"/>
              <w:rPr>
                <w:sz w:val="20"/>
              </w:rPr>
            </w:pPr>
            <w:r w:rsidRPr="00063416">
              <w:rPr>
                <w:sz w:val="20"/>
              </w:rPr>
              <w:t>14 021,3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416" w:rsidRPr="00063416" w:rsidRDefault="00063416" w:rsidP="00063416">
            <w:pPr>
              <w:jc w:val="center"/>
              <w:rPr>
                <w:sz w:val="20"/>
              </w:rPr>
            </w:pPr>
            <w:r w:rsidRPr="00063416">
              <w:rPr>
                <w:sz w:val="20"/>
              </w:rPr>
              <w:t>14 055,2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416" w:rsidRPr="00063416" w:rsidRDefault="00063416" w:rsidP="00063416">
            <w:pPr>
              <w:jc w:val="center"/>
              <w:rPr>
                <w:sz w:val="20"/>
              </w:rPr>
            </w:pPr>
            <w:r w:rsidRPr="00063416">
              <w:rPr>
                <w:sz w:val="20"/>
              </w:rPr>
              <w:t>100,2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416" w:rsidRPr="00063416" w:rsidRDefault="00063416" w:rsidP="00063416">
            <w:pPr>
              <w:jc w:val="center"/>
              <w:rPr>
                <w:sz w:val="20"/>
              </w:rPr>
            </w:pPr>
            <w:r w:rsidRPr="00063416">
              <w:rPr>
                <w:sz w:val="20"/>
              </w:rPr>
              <w:t>93,1</w:t>
            </w:r>
          </w:p>
        </w:tc>
      </w:tr>
      <w:tr w:rsidR="00063416" w:rsidRPr="00063416" w:rsidTr="009073F5">
        <w:trPr>
          <w:trHeight w:val="2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416" w:rsidRPr="00063416" w:rsidRDefault="00063416" w:rsidP="00DC4DFB">
            <w:pPr>
              <w:rPr>
                <w:sz w:val="20"/>
              </w:rPr>
            </w:pPr>
            <w:r w:rsidRPr="00063416">
              <w:rPr>
                <w:sz w:val="20"/>
              </w:rPr>
              <w:t xml:space="preserve">Комитет жилищно-коммунального хозяйства и топливно-энергетического комплекса 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416" w:rsidRPr="00063416" w:rsidRDefault="00063416" w:rsidP="00063416">
            <w:pPr>
              <w:jc w:val="center"/>
              <w:rPr>
                <w:sz w:val="20"/>
              </w:rPr>
            </w:pPr>
            <w:r w:rsidRPr="00063416">
              <w:rPr>
                <w:sz w:val="20"/>
              </w:rPr>
              <w:t>197,4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416" w:rsidRPr="00063416" w:rsidRDefault="00063416" w:rsidP="00063416">
            <w:pPr>
              <w:jc w:val="center"/>
              <w:rPr>
                <w:sz w:val="20"/>
              </w:rPr>
            </w:pPr>
            <w:r w:rsidRPr="00063416">
              <w:rPr>
                <w:sz w:val="20"/>
              </w:rPr>
              <w:t>0,8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416" w:rsidRPr="00063416" w:rsidRDefault="00063416" w:rsidP="00063416">
            <w:pPr>
              <w:jc w:val="center"/>
              <w:rPr>
                <w:sz w:val="20"/>
              </w:rPr>
            </w:pPr>
            <w:r w:rsidRPr="00063416">
              <w:rPr>
                <w:sz w:val="20"/>
              </w:rPr>
              <w:t>94,5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416" w:rsidRPr="00063416" w:rsidRDefault="00063416" w:rsidP="00063416">
            <w:pPr>
              <w:ind w:left="-104" w:right="-108"/>
              <w:jc w:val="center"/>
              <w:rPr>
                <w:sz w:val="20"/>
              </w:rPr>
            </w:pPr>
            <w:r w:rsidRPr="00063416">
              <w:rPr>
                <w:sz w:val="20"/>
              </w:rPr>
              <w:t>в 11,4 раза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416" w:rsidRPr="00063416" w:rsidRDefault="00D25027" w:rsidP="00063416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х</w:t>
            </w:r>
            <w:proofErr w:type="spellEnd"/>
          </w:p>
        </w:tc>
      </w:tr>
      <w:tr w:rsidR="00063416" w:rsidRPr="00063416" w:rsidTr="00063416">
        <w:trPr>
          <w:trHeight w:val="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416" w:rsidRPr="00063416" w:rsidRDefault="00063416" w:rsidP="00DC4DFB">
            <w:pPr>
              <w:rPr>
                <w:sz w:val="20"/>
              </w:rPr>
            </w:pPr>
            <w:r w:rsidRPr="00063416">
              <w:rPr>
                <w:sz w:val="20"/>
              </w:rPr>
              <w:t xml:space="preserve">Комитет по труду и занятости населения 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416" w:rsidRPr="00063416" w:rsidRDefault="00063416" w:rsidP="00063416">
            <w:pPr>
              <w:jc w:val="center"/>
              <w:rPr>
                <w:sz w:val="20"/>
              </w:rPr>
            </w:pPr>
            <w:r w:rsidRPr="00063416">
              <w:rPr>
                <w:sz w:val="20"/>
              </w:rPr>
              <w:t>697,8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416" w:rsidRPr="00063416" w:rsidRDefault="00063416" w:rsidP="00063416">
            <w:pPr>
              <w:jc w:val="center"/>
              <w:rPr>
                <w:sz w:val="20"/>
              </w:rPr>
            </w:pPr>
            <w:r w:rsidRPr="00063416">
              <w:rPr>
                <w:sz w:val="20"/>
              </w:rPr>
              <w:t>700,6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416" w:rsidRPr="00063416" w:rsidRDefault="00063416" w:rsidP="00063416">
            <w:pPr>
              <w:jc w:val="center"/>
              <w:rPr>
                <w:sz w:val="20"/>
              </w:rPr>
            </w:pPr>
            <w:r w:rsidRPr="00063416">
              <w:rPr>
                <w:sz w:val="20"/>
              </w:rPr>
              <w:t>547,8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416" w:rsidRPr="00063416" w:rsidRDefault="00063416" w:rsidP="00063416">
            <w:pPr>
              <w:jc w:val="center"/>
              <w:rPr>
                <w:sz w:val="20"/>
              </w:rPr>
            </w:pPr>
            <w:r w:rsidRPr="00063416">
              <w:rPr>
                <w:sz w:val="20"/>
              </w:rPr>
              <w:t>78,2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416" w:rsidRPr="00063416" w:rsidRDefault="00063416" w:rsidP="00063416">
            <w:pPr>
              <w:jc w:val="center"/>
              <w:rPr>
                <w:sz w:val="20"/>
              </w:rPr>
            </w:pPr>
            <w:r w:rsidRPr="00063416">
              <w:rPr>
                <w:sz w:val="20"/>
              </w:rPr>
              <w:t>78,5</w:t>
            </w:r>
          </w:p>
        </w:tc>
      </w:tr>
      <w:tr w:rsidR="00063416" w:rsidRPr="00063416" w:rsidTr="00063416">
        <w:trPr>
          <w:trHeight w:val="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063416" w:rsidRPr="00063416" w:rsidRDefault="00063416" w:rsidP="00DC4DFB">
            <w:pPr>
              <w:rPr>
                <w:b/>
                <w:bCs/>
                <w:sz w:val="20"/>
              </w:rPr>
            </w:pPr>
            <w:r w:rsidRPr="00063416">
              <w:rPr>
                <w:b/>
                <w:bCs/>
                <w:sz w:val="20"/>
              </w:rPr>
              <w:t>ИТОГО: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hideMark/>
          </w:tcPr>
          <w:p w:rsidR="00063416" w:rsidRPr="00063416" w:rsidRDefault="00063416" w:rsidP="00063416">
            <w:pPr>
              <w:jc w:val="center"/>
              <w:rPr>
                <w:b/>
                <w:bCs/>
                <w:sz w:val="20"/>
              </w:rPr>
            </w:pPr>
            <w:r w:rsidRPr="00063416">
              <w:rPr>
                <w:b/>
                <w:bCs/>
                <w:sz w:val="20"/>
              </w:rPr>
              <w:t>28 424,1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hideMark/>
          </w:tcPr>
          <w:p w:rsidR="00063416" w:rsidRPr="00063416" w:rsidRDefault="00063416" w:rsidP="00063416">
            <w:pPr>
              <w:jc w:val="center"/>
              <w:rPr>
                <w:b/>
                <w:bCs/>
                <w:sz w:val="20"/>
              </w:rPr>
            </w:pPr>
            <w:r w:rsidRPr="00063416">
              <w:rPr>
                <w:b/>
                <w:bCs/>
                <w:sz w:val="20"/>
              </w:rPr>
              <w:t>26 621,0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hideMark/>
          </w:tcPr>
          <w:p w:rsidR="00063416" w:rsidRPr="00063416" w:rsidRDefault="00063416" w:rsidP="00063416">
            <w:pPr>
              <w:jc w:val="center"/>
              <w:rPr>
                <w:b/>
                <w:bCs/>
                <w:sz w:val="20"/>
              </w:rPr>
            </w:pPr>
            <w:r w:rsidRPr="00063416">
              <w:rPr>
                <w:b/>
                <w:bCs/>
                <w:sz w:val="20"/>
              </w:rPr>
              <w:t>26 595,2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hideMark/>
          </w:tcPr>
          <w:p w:rsidR="00063416" w:rsidRPr="00063416" w:rsidRDefault="00063416" w:rsidP="00063416">
            <w:pPr>
              <w:jc w:val="center"/>
              <w:rPr>
                <w:b/>
                <w:bCs/>
                <w:sz w:val="20"/>
              </w:rPr>
            </w:pPr>
            <w:r w:rsidRPr="00063416">
              <w:rPr>
                <w:b/>
                <w:bCs/>
                <w:sz w:val="20"/>
              </w:rPr>
              <w:t>99,9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hideMark/>
          </w:tcPr>
          <w:p w:rsidR="00063416" w:rsidRPr="00063416" w:rsidRDefault="00063416" w:rsidP="00063416">
            <w:pPr>
              <w:jc w:val="center"/>
              <w:rPr>
                <w:b/>
                <w:bCs/>
                <w:sz w:val="20"/>
              </w:rPr>
            </w:pPr>
            <w:r w:rsidRPr="00063416">
              <w:rPr>
                <w:b/>
                <w:bCs/>
                <w:sz w:val="20"/>
              </w:rPr>
              <w:t>93,6</w:t>
            </w:r>
          </w:p>
        </w:tc>
      </w:tr>
    </w:tbl>
    <w:p w:rsidR="00063416" w:rsidRPr="00063416" w:rsidRDefault="00063416" w:rsidP="00063416">
      <w:pPr>
        <w:rPr>
          <w:sz w:val="20"/>
        </w:rPr>
      </w:pPr>
    </w:p>
    <w:p w:rsidR="00875AF6" w:rsidRDefault="00F524B6" w:rsidP="00F524B6">
      <w:pPr>
        <w:jc w:val="both"/>
      </w:pPr>
      <w:r>
        <w:tab/>
      </w:r>
      <w:r w:rsidR="00900E25">
        <w:t>Относительно 201</w:t>
      </w:r>
      <w:r w:rsidR="006350F4">
        <w:t>6</w:t>
      </w:r>
      <w:r w:rsidR="00900E25">
        <w:t xml:space="preserve"> года расходы</w:t>
      </w:r>
      <w:r w:rsidR="00875AF6">
        <w:t xml:space="preserve"> раздела существенным образом сократились (на 1829 млн. руб., или на 6,4%), что обусловлено главным образом вступлением в силу Социального кодекса Волгоградской области.</w:t>
      </w:r>
    </w:p>
    <w:p w:rsidR="00F87C41" w:rsidRDefault="00875AF6" w:rsidP="00F87C41">
      <w:pPr>
        <w:jc w:val="both"/>
      </w:pPr>
      <w:r>
        <w:t xml:space="preserve"> </w:t>
      </w:r>
      <w:r w:rsidR="00900E25">
        <w:rPr>
          <w:szCs w:val="24"/>
        </w:rPr>
        <w:tab/>
      </w:r>
      <w:r w:rsidR="00F524B6">
        <w:t>При проведении внешних проверок бюджетной отчетности главных распорядителей средств областного бюджета, участвующих в данном разделе, установлены следующие нарушения законодательства и недостатки при использовании бюджетных средств.</w:t>
      </w:r>
    </w:p>
    <w:p w:rsidR="00DF7B68" w:rsidRDefault="00F87C41" w:rsidP="00DF7B68">
      <w:pPr>
        <w:jc w:val="both"/>
        <w:rPr>
          <w:snapToGrid w:val="0"/>
          <w:szCs w:val="24"/>
        </w:rPr>
      </w:pPr>
      <w:r>
        <w:tab/>
      </w:r>
      <w:r w:rsidRPr="00F87C41">
        <w:rPr>
          <w:snapToGrid w:val="0"/>
          <w:szCs w:val="24"/>
        </w:rPr>
        <w:t xml:space="preserve">За 2017 год расходы </w:t>
      </w:r>
      <w:r w:rsidR="00A31895" w:rsidRPr="00F41DD1">
        <w:rPr>
          <w:b/>
          <w:i/>
          <w:snapToGrid w:val="0"/>
          <w:szCs w:val="24"/>
        </w:rPr>
        <w:t>комитета социально</w:t>
      </w:r>
      <w:r w:rsidR="007D59AB">
        <w:rPr>
          <w:b/>
          <w:i/>
          <w:snapToGrid w:val="0"/>
          <w:szCs w:val="24"/>
        </w:rPr>
        <w:t>й</w:t>
      </w:r>
      <w:r w:rsidR="00A31895" w:rsidRPr="00F41DD1">
        <w:rPr>
          <w:b/>
          <w:i/>
          <w:snapToGrid w:val="0"/>
          <w:szCs w:val="24"/>
        </w:rPr>
        <w:t xml:space="preserve"> защиты населения Волгоградской области</w:t>
      </w:r>
      <w:r w:rsidR="00A31895">
        <w:rPr>
          <w:snapToGrid w:val="0"/>
          <w:szCs w:val="24"/>
        </w:rPr>
        <w:t xml:space="preserve"> по разделу 10 «Социальная политика» исполнены на 14055,2 млн. руб.</w:t>
      </w:r>
      <w:r w:rsidRPr="00F87C41">
        <w:rPr>
          <w:snapToGrid w:val="0"/>
          <w:szCs w:val="24"/>
        </w:rPr>
        <w:t xml:space="preserve">, или на </w:t>
      </w:r>
      <w:r w:rsidR="00BB402E">
        <w:rPr>
          <w:snapToGrid w:val="0"/>
          <w:szCs w:val="24"/>
        </w:rPr>
        <w:t>100,2</w:t>
      </w:r>
      <w:r w:rsidRPr="00F87C41">
        <w:rPr>
          <w:snapToGrid w:val="0"/>
          <w:szCs w:val="24"/>
        </w:rPr>
        <w:t>% от утвержденных бюджетных назначений.</w:t>
      </w:r>
      <w:r w:rsidR="00F41DD1">
        <w:rPr>
          <w:snapToGrid w:val="0"/>
          <w:szCs w:val="24"/>
        </w:rPr>
        <w:t xml:space="preserve"> При этом проверкой КСП установлено, что п</w:t>
      </w:r>
      <w:r w:rsidRPr="00F87C41">
        <w:rPr>
          <w:snapToGrid w:val="0"/>
          <w:szCs w:val="24"/>
        </w:rPr>
        <w:t xml:space="preserve">ринятые бюджетные обязательства </w:t>
      </w:r>
      <w:r w:rsidR="00F41DD1">
        <w:rPr>
          <w:snapToGrid w:val="0"/>
          <w:szCs w:val="24"/>
        </w:rPr>
        <w:t xml:space="preserve">комитета </w:t>
      </w:r>
      <w:r w:rsidRPr="00F87C41">
        <w:rPr>
          <w:snapToGrid w:val="0"/>
          <w:szCs w:val="24"/>
        </w:rPr>
        <w:t xml:space="preserve">превысили доведенные </w:t>
      </w:r>
      <w:r w:rsidR="00F41DD1">
        <w:rPr>
          <w:snapToGrid w:val="0"/>
          <w:szCs w:val="24"/>
        </w:rPr>
        <w:t xml:space="preserve">ему </w:t>
      </w:r>
      <w:r w:rsidRPr="00F87C41">
        <w:rPr>
          <w:snapToGrid w:val="0"/>
          <w:szCs w:val="24"/>
        </w:rPr>
        <w:t>бюджетные назначения и лимиты бюджетных обязательств на сумму 146</w:t>
      </w:r>
      <w:r w:rsidR="00F41DD1">
        <w:rPr>
          <w:snapToGrid w:val="0"/>
          <w:szCs w:val="24"/>
        </w:rPr>
        <w:t>,</w:t>
      </w:r>
      <w:r w:rsidRPr="00F87C41">
        <w:rPr>
          <w:snapToGrid w:val="0"/>
          <w:szCs w:val="24"/>
        </w:rPr>
        <w:t xml:space="preserve">9 </w:t>
      </w:r>
      <w:r w:rsidR="00F41DD1">
        <w:rPr>
          <w:snapToGrid w:val="0"/>
          <w:szCs w:val="24"/>
        </w:rPr>
        <w:t>млн</w:t>
      </w:r>
      <w:r w:rsidRPr="00F87C41">
        <w:rPr>
          <w:snapToGrid w:val="0"/>
          <w:szCs w:val="24"/>
        </w:rPr>
        <w:t xml:space="preserve">. руб. в связи с сокращением в ноябре-декабре 2017 года лимитов бюджетных обязательств на основании уведомлений </w:t>
      </w:r>
      <w:r w:rsidR="00D3011D">
        <w:rPr>
          <w:snapToGrid w:val="0"/>
          <w:szCs w:val="24"/>
        </w:rPr>
        <w:t>комитета финансов Волгоградской области</w:t>
      </w:r>
      <w:r w:rsidRPr="00F87C41">
        <w:rPr>
          <w:snapToGrid w:val="0"/>
          <w:szCs w:val="24"/>
        </w:rPr>
        <w:t>.</w:t>
      </w:r>
      <w:r w:rsidR="0071324B">
        <w:rPr>
          <w:snapToGrid w:val="0"/>
          <w:szCs w:val="24"/>
        </w:rPr>
        <w:t xml:space="preserve"> Таким образом, нарушен</w:t>
      </w:r>
      <w:r w:rsidR="00DF7B68">
        <w:rPr>
          <w:snapToGrid w:val="0"/>
          <w:szCs w:val="24"/>
        </w:rPr>
        <w:t>ы требования</w:t>
      </w:r>
      <w:r w:rsidR="0071324B">
        <w:rPr>
          <w:snapToGrid w:val="0"/>
          <w:szCs w:val="24"/>
        </w:rPr>
        <w:t xml:space="preserve"> стать</w:t>
      </w:r>
      <w:r w:rsidR="00DF7B68">
        <w:rPr>
          <w:snapToGrid w:val="0"/>
          <w:szCs w:val="24"/>
        </w:rPr>
        <w:t>и</w:t>
      </w:r>
      <w:r w:rsidR="0071324B">
        <w:rPr>
          <w:snapToGrid w:val="0"/>
          <w:szCs w:val="24"/>
        </w:rPr>
        <w:t xml:space="preserve"> 219 БК РФ</w:t>
      </w:r>
      <w:r w:rsidR="00DF7B68">
        <w:rPr>
          <w:snapToGrid w:val="0"/>
          <w:szCs w:val="24"/>
        </w:rPr>
        <w:t>.</w:t>
      </w:r>
    </w:p>
    <w:p w:rsidR="007B15C7" w:rsidRDefault="00DF7B68" w:rsidP="007B15C7">
      <w:pPr>
        <w:jc w:val="both"/>
        <w:rPr>
          <w:szCs w:val="24"/>
        </w:rPr>
      </w:pPr>
      <w:r>
        <w:rPr>
          <w:snapToGrid w:val="0"/>
          <w:szCs w:val="24"/>
        </w:rPr>
        <w:tab/>
        <w:t xml:space="preserve">За отчетный год </w:t>
      </w:r>
      <w:r w:rsidR="00F87C41" w:rsidRPr="00F87C41">
        <w:rPr>
          <w:szCs w:val="24"/>
        </w:rPr>
        <w:t xml:space="preserve">в 47 раз увеличилась дебиторская задолженность </w:t>
      </w:r>
      <w:r>
        <w:rPr>
          <w:szCs w:val="24"/>
        </w:rPr>
        <w:t xml:space="preserve">перед комитетом </w:t>
      </w:r>
      <w:r w:rsidR="00F87C41" w:rsidRPr="00F87C41">
        <w:rPr>
          <w:szCs w:val="24"/>
        </w:rPr>
        <w:t xml:space="preserve">по ущербу и иным доходам (с </w:t>
      </w:r>
      <w:r w:rsidR="00997BDC">
        <w:rPr>
          <w:szCs w:val="24"/>
        </w:rPr>
        <w:t>0,4</w:t>
      </w:r>
      <w:r w:rsidR="00F87C41" w:rsidRPr="00F87C41">
        <w:rPr>
          <w:szCs w:val="24"/>
        </w:rPr>
        <w:t xml:space="preserve"> до 18</w:t>
      </w:r>
      <w:r w:rsidR="00C87596">
        <w:rPr>
          <w:szCs w:val="24"/>
        </w:rPr>
        <w:t>,</w:t>
      </w:r>
      <w:r w:rsidR="00F87C41" w:rsidRPr="00F87C41">
        <w:rPr>
          <w:szCs w:val="24"/>
        </w:rPr>
        <w:t xml:space="preserve">7 </w:t>
      </w:r>
      <w:r w:rsidR="00C87596">
        <w:rPr>
          <w:szCs w:val="24"/>
        </w:rPr>
        <w:t>млн</w:t>
      </w:r>
      <w:r w:rsidR="00F87C41" w:rsidRPr="00F87C41">
        <w:rPr>
          <w:szCs w:val="24"/>
        </w:rPr>
        <w:t xml:space="preserve">. руб.), основную </w:t>
      </w:r>
      <w:proofErr w:type="gramStart"/>
      <w:r w:rsidR="00F87C41" w:rsidRPr="00F87C41">
        <w:rPr>
          <w:szCs w:val="24"/>
        </w:rPr>
        <w:t>долю</w:t>
      </w:r>
      <w:proofErr w:type="gramEnd"/>
      <w:r w:rsidR="00F87C41" w:rsidRPr="00F87C41">
        <w:rPr>
          <w:szCs w:val="24"/>
        </w:rPr>
        <w:t xml:space="preserve"> из которой (14</w:t>
      </w:r>
      <w:r w:rsidR="00C87596">
        <w:rPr>
          <w:szCs w:val="24"/>
        </w:rPr>
        <w:t>,</w:t>
      </w:r>
      <w:r w:rsidR="00F87C41" w:rsidRPr="00F87C41">
        <w:rPr>
          <w:szCs w:val="24"/>
        </w:rPr>
        <w:t xml:space="preserve">2 </w:t>
      </w:r>
      <w:r w:rsidR="00C87596">
        <w:rPr>
          <w:szCs w:val="24"/>
        </w:rPr>
        <w:t>млн</w:t>
      </w:r>
      <w:r w:rsidR="00F87C41" w:rsidRPr="00F87C41">
        <w:rPr>
          <w:szCs w:val="24"/>
        </w:rPr>
        <w:t xml:space="preserve">. руб.) составляет задолженность </w:t>
      </w:r>
      <w:r>
        <w:rPr>
          <w:szCs w:val="24"/>
        </w:rPr>
        <w:t>Ц</w:t>
      </w:r>
      <w:r w:rsidR="00F87C41" w:rsidRPr="00F87C41">
        <w:rPr>
          <w:szCs w:val="24"/>
        </w:rPr>
        <w:t>ентров социальной защиты населения по выплатам гражданам мер социальной поддержки.</w:t>
      </w:r>
      <w:r>
        <w:rPr>
          <w:szCs w:val="24"/>
        </w:rPr>
        <w:t xml:space="preserve"> </w:t>
      </w:r>
      <w:r w:rsidR="00F87C41" w:rsidRPr="00F87C41">
        <w:rPr>
          <w:szCs w:val="24"/>
        </w:rPr>
        <w:t xml:space="preserve">Задолженность образовалась в результате перевода ранее выявленных переплат по выплатам социального характера со счета 1206 «Расчеты по выданным авансам» на счет 1209 «Расчеты по ущербу и иным доходам», а также проведенного </w:t>
      </w:r>
      <w:r>
        <w:rPr>
          <w:szCs w:val="24"/>
        </w:rPr>
        <w:t>к</w:t>
      </w:r>
      <w:r w:rsidR="00F87C41" w:rsidRPr="00F87C41">
        <w:rPr>
          <w:szCs w:val="24"/>
        </w:rPr>
        <w:t>омитетом перерасчета начисленных сумм по мерам социальной поддержки по оплате жилищно-коммунальных услуг.</w:t>
      </w:r>
      <w:r>
        <w:rPr>
          <w:szCs w:val="24"/>
        </w:rPr>
        <w:t xml:space="preserve"> </w:t>
      </w:r>
    </w:p>
    <w:p w:rsidR="007B15C7" w:rsidRDefault="007B15C7" w:rsidP="007B15C7">
      <w:pPr>
        <w:ind w:firstLine="709"/>
        <w:jc w:val="both"/>
        <w:rPr>
          <w:szCs w:val="24"/>
        </w:rPr>
      </w:pPr>
      <w:r>
        <w:rPr>
          <w:szCs w:val="24"/>
        </w:rPr>
        <w:t>К</w:t>
      </w:r>
      <w:r w:rsidRPr="00F87C41">
        <w:rPr>
          <w:szCs w:val="24"/>
        </w:rPr>
        <w:t xml:space="preserve">редиторская задолженность </w:t>
      </w:r>
      <w:r>
        <w:rPr>
          <w:szCs w:val="24"/>
        </w:rPr>
        <w:t xml:space="preserve">комитета за 2017 год </w:t>
      </w:r>
      <w:r w:rsidRPr="00F87C41">
        <w:rPr>
          <w:szCs w:val="24"/>
        </w:rPr>
        <w:t>увеличилась на 23</w:t>
      </w:r>
      <w:r>
        <w:rPr>
          <w:szCs w:val="24"/>
        </w:rPr>
        <w:t>,9</w:t>
      </w:r>
      <w:r w:rsidRPr="00F87C41">
        <w:rPr>
          <w:szCs w:val="24"/>
        </w:rPr>
        <w:t xml:space="preserve"> </w:t>
      </w:r>
      <w:r>
        <w:rPr>
          <w:szCs w:val="24"/>
        </w:rPr>
        <w:t>млн</w:t>
      </w:r>
      <w:r w:rsidRPr="00F87C41">
        <w:rPr>
          <w:szCs w:val="24"/>
        </w:rPr>
        <w:t>. руб., или на 8,3%, и составила 310</w:t>
      </w:r>
      <w:r>
        <w:rPr>
          <w:szCs w:val="24"/>
        </w:rPr>
        <w:t>,</w:t>
      </w:r>
      <w:r w:rsidRPr="00F87C41">
        <w:rPr>
          <w:szCs w:val="24"/>
        </w:rPr>
        <w:t xml:space="preserve">9 </w:t>
      </w:r>
      <w:r>
        <w:rPr>
          <w:szCs w:val="24"/>
        </w:rPr>
        <w:t>млн</w:t>
      </w:r>
      <w:r w:rsidRPr="00F87C41">
        <w:rPr>
          <w:szCs w:val="24"/>
        </w:rPr>
        <w:t xml:space="preserve">. руб., основную долю из которой составляет </w:t>
      </w:r>
      <w:r w:rsidRPr="00F87C41">
        <w:rPr>
          <w:szCs w:val="24"/>
        </w:rPr>
        <w:lastRenderedPageBreak/>
        <w:t>задолженность перед муниципальными образования</w:t>
      </w:r>
      <w:r>
        <w:rPr>
          <w:szCs w:val="24"/>
        </w:rPr>
        <w:t>ми</w:t>
      </w:r>
      <w:r w:rsidRPr="00F87C41">
        <w:rPr>
          <w:szCs w:val="24"/>
        </w:rPr>
        <w:t xml:space="preserve"> по предоставлению субсидий гражданам на оплату жилого помещения и коммунальных услуг </w:t>
      </w:r>
      <w:r>
        <w:rPr>
          <w:szCs w:val="24"/>
        </w:rPr>
        <w:t>–</w:t>
      </w:r>
      <w:r w:rsidRPr="00F87C41">
        <w:rPr>
          <w:szCs w:val="24"/>
        </w:rPr>
        <w:t xml:space="preserve"> 102</w:t>
      </w:r>
      <w:r>
        <w:rPr>
          <w:szCs w:val="24"/>
        </w:rPr>
        <w:t>,5</w:t>
      </w:r>
      <w:r w:rsidRPr="00F87C41">
        <w:rPr>
          <w:szCs w:val="24"/>
        </w:rPr>
        <w:t xml:space="preserve"> </w:t>
      </w:r>
      <w:r>
        <w:rPr>
          <w:szCs w:val="24"/>
        </w:rPr>
        <w:t>млн</w:t>
      </w:r>
      <w:r w:rsidRPr="00F87C41">
        <w:rPr>
          <w:szCs w:val="24"/>
        </w:rPr>
        <w:t>. руб. (3</w:t>
      </w:r>
      <w:r>
        <w:rPr>
          <w:szCs w:val="24"/>
        </w:rPr>
        <w:t>3</w:t>
      </w:r>
      <w:r w:rsidRPr="00F87C41">
        <w:rPr>
          <w:szCs w:val="24"/>
        </w:rPr>
        <w:t xml:space="preserve">% от общей суммы задолженности); </w:t>
      </w:r>
      <w:proofErr w:type="gramStart"/>
      <w:r w:rsidRPr="00F87C41">
        <w:rPr>
          <w:szCs w:val="24"/>
        </w:rPr>
        <w:t>по субсидии бюджетным и автономному учреждениям на выполнение государственного задания – 67</w:t>
      </w:r>
      <w:r>
        <w:rPr>
          <w:szCs w:val="24"/>
        </w:rPr>
        <w:t>,8</w:t>
      </w:r>
      <w:r w:rsidRPr="00F87C41">
        <w:rPr>
          <w:szCs w:val="24"/>
        </w:rPr>
        <w:t xml:space="preserve"> </w:t>
      </w:r>
      <w:r>
        <w:rPr>
          <w:szCs w:val="24"/>
        </w:rPr>
        <w:t>млн</w:t>
      </w:r>
      <w:r w:rsidRPr="00F87C41">
        <w:rPr>
          <w:szCs w:val="24"/>
        </w:rPr>
        <w:t>. руб. (2</w:t>
      </w:r>
      <w:r>
        <w:rPr>
          <w:szCs w:val="24"/>
        </w:rPr>
        <w:t>1</w:t>
      </w:r>
      <w:r w:rsidRPr="00F87C41">
        <w:rPr>
          <w:szCs w:val="24"/>
        </w:rPr>
        <w:t>,</w:t>
      </w:r>
      <w:r>
        <w:rPr>
          <w:szCs w:val="24"/>
        </w:rPr>
        <w:t>8</w:t>
      </w:r>
      <w:r w:rsidRPr="00F87C41">
        <w:rPr>
          <w:szCs w:val="24"/>
        </w:rPr>
        <w:t xml:space="preserve">%);  за оказанные услуги по обеспечению деятельности казенных учреждений </w:t>
      </w:r>
      <w:r>
        <w:rPr>
          <w:szCs w:val="24"/>
        </w:rPr>
        <w:t xml:space="preserve">– 69,6 млн. руб. </w:t>
      </w:r>
      <w:r w:rsidRPr="00F87C41">
        <w:rPr>
          <w:szCs w:val="24"/>
        </w:rPr>
        <w:t>(22,4</w:t>
      </w:r>
      <w:r>
        <w:rPr>
          <w:szCs w:val="24"/>
        </w:rPr>
        <w:t>%).</w:t>
      </w:r>
      <w:proofErr w:type="gramEnd"/>
    </w:p>
    <w:p w:rsidR="00FD266A" w:rsidRDefault="00DF7B68" w:rsidP="00FD266A">
      <w:pPr>
        <w:jc w:val="both"/>
        <w:rPr>
          <w:szCs w:val="24"/>
        </w:rPr>
      </w:pPr>
      <w:r>
        <w:rPr>
          <w:szCs w:val="24"/>
        </w:rPr>
        <w:tab/>
      </w:r>
      <w:proofErr w:type="gramStart"/>
      <w:r w:rsidR="00F87C41" w:rsidRPr="00F87C41">
        <w:rPr>
          <w:szCs w:val="24"/>
        </w:rPr>
        <w:t>Кредиторская задолженность по принятым обязательствам бюджетных и автономного учреждений за счет субсидии на выполнение государственного задания на 01.01.2018 составила 140</w:t>
      </w:r>
      <w:r w:rsidR="00BD754A">
        <w:rPr>
          <w:szCs w:val="24"/>
        </w:rPr>
        <w:t>,</w:t>
      </w:r>
      <w:r w:rsidR="00F87C41" w:rsidRPr="00F87C41">
        <w:rPr>
          <w:szCs w:val="24"/>
        </w:rPr>
        <w:t xml:space="preserve">3 </w:t>
      </w:r>
      <w:r w:rsidR="00BD754A">
        <w:rPr>
          <w:szCs w:val="24"/>
        </w:rPr>
        <w:t>млн</w:t>
      </w:r>
      <w:r w:rsidR="00F87C41" w:rsidRPr="00F87C41">
        <w:rPr>
          <w:szCs w:val="24"/>
        </w:rPr>
        <w:t>. руб., что на 32</w:t>
      </w:r>
      <w:r w:rsidR="00BD754A">
        <w:rPr>
          <w:szCs w:val="24"/>
        </w:rPr>
        <w:t>,7</w:t>
      </w:r>
      <w:r w:rsidR="00F87C41" w:rsidRPr="00F87C41">
        <w:rPr>
          <w:szCs w:val="24"/>
        </w:rPr>
        <w:t xml:space="preserve"> </w:t>
      </w:r>
      <w:r w:rsidR="00BD754A">
        <w:rPr>
          <w:szCs w:val="24"/>
        </w:rPr>
        <w:t>млн</w:t>
      </w:r>
      <w:r w:rsidR="00F87C41" w:rsidRPr="00F87C41">
        <w:rPr>
          <w:szCs w:val="24"/>
        </w:rPr>
        <w:t xml:space="preserve">. руб. меньше, чем задолженность </w:t>
      </w:r>
      <w:r w:rsidR="00BD754A">
        <w:rPr>
          <w:szCs w:val="24"/>
        </w:rPr>
        <w:t>к</w:t>
      </w:r>
      <w:r w:rsidR="00F87C41" w:rsidRPr="00F87C41">
        <w:rPr>
          <w:szCs w:val="24"/>
        </w:rPr>
        <w:t>омитета перед ними по субсидии на выполнение государственного задания (</w:t>
      </w:r>
      <w:r w:rsidR="00F87C41" w:rsidRPr="00F87C41">
        <w:rPr>
          <w:rFonts w:eastAsia="Calibri"/>
          <w:szCs w:val="24"/>
          <w:lang w:eastAsia="en-US"/>
        </w:rPr>
        <w:t>67</w:t>
      </w:r>
      <w:r w:rsidR="00BD754A">
        <w:rPr>
          <w:rFonts w:eastAsia="Calibri"/>
          <w:szCs w:val="24"/>
          <w:lang w:eastAsia="en-US"/>
        </w:rPr>
        <w:t>,8</w:t>
      </w:r>
      <w:r w:rsidR="00F87C41" w:rsidRPr="00F87C41">
        <w:rPr>
          <w:rFonts w:eastAsia="Calibri"/>
          <w:szCs w:val="24"/>
          <w:lang w:eastAsia="en-US"/>
        </w:rPr>
        <w:t xml:space="preserve"> </w:t>
      </w:r>
      <w:r w:rsidR="00BD754A">
        <w:rPr>
          <w:rFonts w:eastAsia="Calibri"/>
          <w:szCs w:val="24"/>
          <w:lang w:eastAsia="en-US"/>
        </w:rPr>
        <w:t>млн</w:t>
      </w:r>
      <w:r w:rsidR="00F87C41" w:rsidRPr="00F87C41">
        <w:rPr>
          <w:rFonts w:eastAsia="Calibri"/>
          <w:szCs w:val="24"/>
          <w:lang w:eastAsia="en-US"/>
        </w:rPr>
        <w:t>. руб.) и объема бюджетных ассигнований государственных заданий 2017 года, подлежащих перечислению в 2018 году (105</w:t>
      </w:r>
      <w:r w:rsidR="00BD754A">
        <w:rPr>
          <w:rFonts w:eastAsia="Calibri"/>
          <w:szCs w:val="24"/>
          <w:lang w:eastAsia="en-US"/>
        </w:rPr>
        <w:t>,</w:t>
      </w:r>
      <w:r w:rsidR="00F87C41" w:rsidRPr="00F87C41">
        <w:rPr>
          <w:rFonts w:eastAsia="Calibri"/>
          <w:szCs w:val="24"/>
          <w:lang w:eastAsia="en-US"/>
        </w:rPr>
        <w:t xml:space="preserve">2 </w:t>
      </w:r>
      <w:r w:rsidR="00BD754A">
        <w:rPr>
          <w:rFonts w:eastAsia="Calibri"/>
          <w:szCs w:val="24"/>
          <w:lang w:eastAsia="en-US"/>
        </w:rPr>
        <w:t>млн</w:t>
      </w:r>
      <w:r w:rsidR="00F87C41" w:rsidRPr="00F87C41">
        <w:rPr>
          <w:rFonts w:eastAsia="Calibri"/>
          <w:szCs w:val="24"/>
          <w:lang w:eastAsia="en-US"/>
        </w:rPr>
        <w:t>. руб</w:t>
      </w:r>
      <w:r w:rsidR="00BD754A">
        <w:rPr>
          <w:rFonts w:eastAsia="Calibri"/>
          <w:szCs w:val="24"/>
          <w:lang w:eastAsia="en-US"/>
        </w:rPr>
        <w:t>.</w:t>
      </w:r>
      <w:r w:rsidR="00F87C41" w:rsidRPr="00F87C41">
        <w:rPr>
          <w:rFonts w:eastAsia="Calibri"/>
          <w:szCs w:val="24"/>
          <w:lang w:eastAsia="en-US"/>
        </w:rPr>
        <w:t>).</w:t>
      </w:r>
      <w:proofErr w:type="gramEnd"/>
      <w:r w:rsidR="001A1C0C">
        <w:rPr>
          <w:rFonts w:eastAsia="Calibri"/>
          <w:szCs w:val="24"/>
          <w:lang w:eastAsia="en-US"/>
        </w:rPr>
        <w:t xml:space="preserve"> </w:t>
      </w:r>
      <w:proofErr w:type="gramStart"/>
      <w:r w:rsidR="001A1C0C">
        <w:rPr>
          <w:rFonts w:eastAsia="Calibri"/>
          <w:szCs w:val="24"/>
          <w:lang w:eastAsia="en-US"/>
        </w:rPr>
        <w:t>Данное обстоятельство может свидетельствовать о том, что н</w:t>
      </w:r>
      <w:r w:rsidR="00F87C41" w:rsidRPr="00F87C41">
        <w:rPr>
          <w:szCs w:val="24"/>
        </w:rPr>
        <w:t xml:space="preserve">е обеспечена взаимосвязь показателей государственных заданий, выполняемых государственными бюджетными и автономным учреждениями, подведомственными </w:t>
      </w:r>
      <w:r w:rsidR="001A1C0C">
        <w:rPr>
          <w:szCs w:val="24"/>
        </w:rPr>
        <w:t>к</w:t>
      </w:r>
      <w:r w:rsidR="00F87C41" w:rsidRPr="00F87C41">
        <w:rPr>
          <w:szCs w:val="24"/>
        </w:rPr>
        <w:t>омитету, и уровнем их финансового обеспечения</w:t>
      </w:r>
      <w:r w:rsidR="001A1C0C">
        <w:rPr>
          <w:szCs w:val="24"/>
        </w:rPr>
        <w:t>, т. е. об имеющихся недостатках планирования</w:t>
      </w:r>
      <w:r w:rsidR="00F87C41" w:rsidRPr="00F87C41">
        <w:rPr>
          <w:szCs w:val="24"/>
        </w:rPr>
        <w:t>.</w:t>
      </w:r>
      <w:proofErr w:type="gramEnd"/>
    </w:p>
    <w:p w:rsidR="00450246" w:rsidRDefault="00FD266A" w:rsidP="00450246">
      <w:pPr>
        <w:jc w:val="both"/>
        <w:rPr>
          <w:rStyle w:val="resultitem"/>
          <w:szCs w:val="24"/>
        </w:rPr>
      </w:pPr>
      <w:r>
        <w:rPr>
          <w:szCs w:val="24"/>
        </w:rPr>
        <w:tab/>
      </w:r>
      <w:proofErr w:type="gramStart"/>
      <w:r>
        <w:rPr>
          <w:szCs w:val="24"/>
        </w:rPr>
        <w:t>Проверка также показала, что г</w:t>
      </w:r>
      <w:r w:rsidR="00F87C41" w:rsidRPr="00F87C41">
        <w:rPr>
          <w:rFonts w:eastAsia="Calibri"/>
          <w:szCs w:val="24"/>
          <w:lang w:eastAsia="en-US"/>
        </w:rPr>
        <w:t xml:space="preserve">осударственными учреждениями социального обслуживания  в нарушение </w:t>
      </w:r>
      <w:r w:rsidR="00F87C41" w:rsidRPr="00F87C41">
        <w:rPr>
          <w:color w:val="000000"/>
          <w:szCs w:val="24"/>
        </w:rPr>
        <w:t>п</w:t>
      </w:r>
      <w:r>
        <w:rPr>
          <w:color w:val="000000"/>
          <w:szCs w:val="24"/>
        </w:rPr>
        <w:t>ункта 4.33 МДС 81-35.2004, пункта</w:t>
      </w:r>
      <w:r w:rsidR="00F87C41" w:rsidRPr="00F87C41">
        <w:rPr>
          <w:color w:val="000000"/>
          <w:szCs w:val="24"/>
        </w:rPr>
        <w:t xml:space="preserve"> 8.6 </w:t>
      </w:r>
      <w:r w:rsidR="003F4561">
        <w:rPr>
          <w:color w:val="000000"/>
          <w:szCs w:val="24"/>
        </w:rPr>
        <w:t xml:space="preserve">приказа </w:t>
      </w:r>
      <w:r w:rsidR="003F4561" w:rsidRPr="002A7AC4">
        <w:rPr>
          <w:color w:val="000000"/>
        </w:rPr>
        <w:t xml:space="preserve">Министерства строительства Волгоградской области от 04.09.2014 №806-ОД «Об утверждении порядка определения стоимости строительной продукции на территории Волгоградской области» </w:t>
      </w:r>
      <w:r w:rsidR="00F87C41" w:rsidRPr="00F87C41">
        <w:rPr>
          <w:rFonts w:eastAsia="Calibri"/>
          <w:szCs w:val="24"/>
          <w:lang w:eastAsia="en-US"/>
        </w:rPr>
        <w:t xml:space="preserve">в конкурсной документации на проведение работ по капитальному ремонту помещений </w:t>
      </w:r>
      <w:r w:rsidR="00F87C41" w:rsidRPr="00F87C41">
        <w:rPr>
          <w:szCs w:val="24"/>
        </w:rPr>
        <w:t>не устанавливалось условие о необходимости</w:t>
      </w:r>
      <w:r w:rsidR="00F87C41" w:rsidRPr="00F87C41">
        <w:rPr>
          <w:rFonts w:eastAsia="Calibri"/>
          <w:szCs w:val="24"/>
          <w:lang w:eastAsia="en-US"/>
        </w:rPr>
        <w:t xml:space="preserve"> подтверждения подрядчиком </w:t>
      </w:r>
      <w:r w:rsidR="00F87C41" w:rsidRPr="00F87C41">
        <w:rPr>
          <w:szCs w:val="24"/>
        </w:rPr>
        <w:t xml:space="preserve">расходования средств </w:t>
      </w:r>
      <w:r w:rsidR="00F87C41" w:rsidRPr="00F87C41">
        <w:rPr>
          <w:rFonts w:eastAsia="Calibri"/>
          <w:szCs w:val="24"/>
          <w:lang w:eastAsia="en-US"/>
        </w:rPr>
        <w:t>на непредвиденные работы и затраты, что</w:t>
      </w:r>
      <w:proofErr w:type="gramEnd"/>
      <w:r w:rsidR="00F87C41" w:rsidRPr="00F87C41">
        <w:rPr>
          <w:rFonts w:eastAsia="Calibri"/>
          <w:szCs w:val="24"/>
          <w:lang w:eastAsia="en-US"/>
        </w:rPr>
        <w:t xml:space="preserve"> п</w:t>
      </w:r>
      <w:r w:rsidR="00F87C41" w:rsidRPr="00F87C41">
        <w:rPr>
          <w:szCs w:val="24"/>
        </w:rPr>
        <w:t>ротиворечит принципу эффективности использования бюджетных средств, установленному ст</w:t>
      </w:r>
      <w:r w:rsidR="003F4561">
        <w:rPr>
          <w:szCs w:val="24"/>
        </w:rPr>
        <w:t>атьей</w:t>
      </w:r>
      <w:r w:rsidR="00F87C41" w:rsidRPr="00F87C41">
        <w:rPr>
          <w:szCs w:val="24"/>
        </w:rPr>
        <w:t xml:space="preserve"> 34 Б</w:t>
      </w:r>
      <w:r w:rsidR="003F4561">
        <w:rPr>
          <w:szCs w:val="24"/>
        </w:rPr>
        <w:t>К</w:t>
      </w:r>
      <w:r w:rsidR="00F87C41" w:rsidRPr="00F87C41">
        <w:rPr>
          <w:szCs w:val="24"/>
        </w:rPr>
        <w:t xml:space="preserve"> РФ. Подведомственными учреждениями </w:t>
      </w:r>
      <w:r w:rsidR="00450246">
        <w:rPr>
          <w:szCs w:val="24"/>
        </w:rPr>
        <w:t>к</w:t>
      </w:r>
      <w:r w:rsidR="00F87C41" w:rsidRPr="00F87C41">
        <w:rPr>
          <w:szCs w:val="24"/>
        </w:rPr>
        <w:t xml:space="preserve">омитета оплачены неподтвержденные актами выполненных работ непредвиденные затраты в размере 219,7 тыс. руб., что является неэффективным расходованием средств областного бюджета. </w:t>
      </w:r>
      <w:r w:rsidR="00F87C41" w:rsidRPr="00F87C41">
        <w:rPr>
          <w:rFonts w:eastAsia="Calibri"/>
          <w:szCs w:val="24"/>
          <w:lang w:eastAsia="en-US"/>
        </w:rPr>
        <w:t xml:space="preserve">В результате отсутствия в контрактах на капитальный ремонт зданий и сооружений, заключенных </w:t>
      </w:r>
      <w:r w:rsidR="00F87C41" w:rsidRPr="00F87C41">
        <w:rPr>
          <w:szCs w:val="24"/>
        </w:rPr>
        <w:t>ГБССУ СО ГПВИ «</w:t>
      </w:r>
      <w:proofErr w:type="spellStart"/>
      <w:r w:rsidR="00F87C41" w:rsidRPr="00F87C41">
        <w:rPr>
          <w:szCs w:val="24"/>
        </w:rPr>
        <w:t>Бударинский</w:t>
      </w:r>
      <w:proofErr w:type="spellEnd"/>
      <w:r w:rsidR="00F87C41" w:rsidRPr="00F87C41">
        <w:rPr>
          <w:szCs w:val="24"/>
        </w:rPr>
        <w:t xml:space="preserve"> ПНИ» и </w:t>
      </w:r>
      <w:r w:rsidR="00F87C41" w:rsidRPr="00F87C41">
        <w:rPr>
          <w:rStyle w:val="resultitem"/>
          <w:szCs w:val="24"/>
        </w:rPr>
        <w:t>ГБССУ СО ГПВИ «Волгоградский ДПИ», условия подтверждения подрядчиком непредвиденных расходов, средства, предусмотренные в локальных сметных расчетах на оплату непредвиденных расходов, фактически направлены на увеличение стоимости работ и материалов.</w:t>
      </w:r>
    </w:p>
    <w:p w:rsidR="00563FED" w:rsidRDefault="00450246" w:rsidP="00563FED">
      <w:pPr>
        <w:jc w:val="both"/>
        <w:rPr>
          <w:szCs w:val="24"/>
        </w:rPr>
      </w:pPr>
      <w:r>
        <w:rPr>
          <w:rStyle w:val="resultitem"/>
          <w:szCs w:val="24"/>
        </w:rPr>
        <w:tab/>
      </w:r>
      <w:proofErr w:type="gramStart"/>
      <w:r w:rsidR="00F87C41" w:rsidRPr="00F87C41">
        <w:rPr>
          <w:rFonts w:eastAsia="Calibri"/>
          <w:szCs w:val="24"/>
          <w:lang w:eastAsia="en-US"/>
        </w:rPr>
        <w:t xml:space="preserve">Установлены </w:t>
      </w:r>
      <w:r>
        <w:rPr>
          <w:rFonts w:eastAsia="Calibri"/>
          <w:szCs w:val="24"/>
          <w:lang w:eastAsia="en-US"/>
        </w:rPr>
        <w:t xml:space="preserve">также </w:t>
      </w:r>
      <w:r w:rsidR="00F87C41" w:rsidRPr="00F87C41">
        <w:rPr>
          <w:rFonts w:eastAsia="Calibri"/>
          <w:szCs w:val="24"/>
          <w:lang w:eastAsia="en-US"/>
        </w:rPr>
        <w:t xml:space="preserve">случаи нарушения подведомственными учреждениями </w:t>
      </w:r>
      <w:r>
        <w:rPr>
          <w:rFonts w:eastAsia="Calibri"/>
          <w:szCs w:val="24"/>
          <w:lang w:eastAsia="en-US"/>
        </w:rPr>
        <w:t xml:space="preserve">комитета </w:t>
      </w:r>
      <w:r w:rsidR="00F87C41" w:rsidRPr="00F87C41">
        <w:rPr>
          <w:szCs w:val="24"/>
        </w:rPr>
        <w:t xml:space="preserve">Федерального закона от 05.04.2013 №44-ФЗ </w:t>
      </w:r>
      <w:r w:rsidR="00563FED">
        <w:rPr>
          <w:szCs w:val="24"/>
        </w:rPr>
        <w:t xml:space="preserve">«О контрактной системе в сфере закупок товаров, работ, услуг для обеспечения государственных и муниципальных нужд» </w:t>
      </w:r>
      <w:r w:rsidR="00F87C41" w:rsidRPr="00F87C41">
        <w:rPr>
          <w:szCs w:val="24"/>
        </w:rPr>
        <w:t xml:space="preserve">в части размещения в ЕИС документов, являющихся  обоснованием изменения условий контракта, принятия работ по капитальному ремонту зданий, отличных от предусмотренных государственными контрактами, а также </w:t>
      </w:r>
      <w:proofErr w:type="spellStart"/>
      <w:r w:rsidR="00F87C41" w:rsidRPr="00F87C41">
        <w:rPr>
          <w:szCs w:val="24"/>
        </w:rPr>
        <w:t>непредъявления</w:t>
      </w:r>
      <w:proofErr w:type="spellEnd"/>
      <w:r w:rsidR="00F87C41" w:rsidRPr="00F87C41">
        <w:rPr>
          <w:szCs w:val="24"/>
        </w:rPr>
        <w:t xml:space="preserve"> поставщикам требований об оплате неустойки за несвоевременное исполнение</w:t>
      </w:r>
      <w:proofErr w:type="gramEnd"/>
      <w:r w:rsidR="00F87C41" w:rsidRPr="00F87C41">
        <w:rPr>
          <w:szCs w:val="24"/>
        </w:rPr>
        <w:t xml:space="preserve"> государственных контрактов.</w:t>
      </w:r>
    </w:p>
    <w:p w:rsidR="00F87C41" w:rsidRPr="002A7AC4" w:rsidRDefault="00563FED" w:rsidP="003F4561">
      <w:pPr>
        <w:jc w:val="both"/>
        <w:rPr>
          <w:szCs w:val="24"/>
        </w:rPr>
      </w:pPr>
      <w:r>
        <w:rPr>
          <w:szCs w:val="24"/>
        </w:rPr>
        <w:tab/>
      </w:r>
      <w:r w:rsidR="00F87C41" w:rsidRPr="00F87C41">
        <w:rPr>
          <w:szCs w:val="24"/>
        </w:rPr>
        <w:t xml:space="preserve">До настоящего времени Администрацией Волгоградской области </w:t>
      </w:r>
      <w:r>
        <w:rPr>
          <w:szCs w:val="24"/>
        </w:rPr>
        <w:t xml:space="preserve">не утверждены </w:t>
      </w:r>
      <w:r w:rsidR="00F87C41" w:rsidRPr="00F87C41">
        <w:rPr>
          <w:szCs w:val="24"/>
        </w:rPr>
        <w:t>нормативн</w:t>
      </w:r>
      <w:r w:rsidR="00A32556">
        <w:rPr>
          <w:szCs w:val="24"/>
        </w:rPr>
        <w:t xml:space="preserve">ые </w:t>
      </w:r>
      <w:r w:rsidR="00F87C41" w:rsidRPr="00F87C41">
        <w:rPr>
          <w:szCs w:val="24"/>
        </w:rPr>
        <w:t>правовые акты о порядке и размерах возмещения расходов, связанных со служебными командировками государственных учреждений  Волгоградской области, как это предусмотрено ст</w:t>
      </w:r>
      <w:r>
        <w:rPr>
          <w:szCs w:val="24"/>
        </w:rPr>
        <w:t xml:space="preserve">атьей </w:t>
      </w:r>
      <w:r w:rsidR="00F87C41" w:rsidRPr="00F87C41">
        <w:rPr>
          <w:szCs w:val="24"/>
        </w:rPr>
        <w:t>168 Т</w:t>
      </w:r>
      <w:r>
        <w:rPr>
          <w:szCs w:val="24"/>
        </w:rPr>
        <w:t xml:space="preserve">рудового </w:t>
      </w:r>
      <w:r w:rsidR="003F4561">
        <w:rPr>
          <w:szCs w:val="24"/>
        </w:rPr>
        <w:t>кодекса</w:t>
      </w:r>
      <w:r w:rsidR="00F87C41" w:rsidRPr="00F87C41">
        <w:rPr>
          <w:szCs w:val="24"/>
        </w:rPr>
        <w:t xml:space="preserve"> РФ.</w:t>
      </w:r>
      <w:r w:rsidR="003F4561">
        <w:rPr>
          <w:szCs w:val="24"/>
        </w:rPr>
        <w:t xml:space="preserve"> </w:t>
      </w:r>
      <w:r w:rsidR="00F87C41" w:rsidRPr="002A7AC4">
        <w:rPr>
          <w:szCs w:val="24"/>
        </w:rPr>
        <w:t>В результа</w:t>
      </w:r>
      <w:r w:rsidR="007B15C7">
        <w:rPr>
          <w:szCs w:val="24"/>
        </w:rPr>
        <w:t>те учреждениями, подведомственными</w:t>
      </w:r>
      <w:r w:rsidR="00F87C41" w:rsidRPr="002A7AC4">
        <w:rPr>
          <w:szCs w:val="24"/>
        </w:rPr>
        <w:t xml:space="preserve"> </w:t>
      </w:r>
      <w:r w:rsidR="003F4561">
        <w:rPr>
          <w:szCs w:val="24"/>
        </w:rPr>
        <w:t>к</w:t>
      </w:r>
      <w:r w:rsidR="00F87C41" w:rsidRPr="002A7AC4">
        <w:rPr>
          <w:szCs w:val="24"/>
        </w:rPr>
        <w:t>омитету, самостоятельно устанавливались размеры суточных при направлении работников в командировки. При этом размер компенсации суточных расходов за счет бюджетных средств в учреждениях разнится от 100 руб. до 700 рублей.</w:t>
      </w:r>
    </w:p>
    <w:p w:rsidR="00FB5BD2" w:rsidRDefault="00086BD1" w:rsidP="00FB5BD2">
      <w:pPr>
        <w:ind w:firstLine="709"/>
        <w:jc w:val="both"/>
      </w:pPr>
      <w:r>
        <w:t xml:space="preserve">При проверке </w:t>
      </w:r>
      <w:r w:rsidRPr="00086BD1">
        <w:rPr>
          <w:b/>
          <w:i/>
        </w:rPr>
        <w:t>комитета строительства Волгоградской области</w:t>
      </w:r>
      <w:r>
        <w:t xml:space="preserve"> установлено, что по подразделу 1004 «Охрана семьи и детства» отражены расходы комитета на выполнение подпрограммы «Обеспечение жилыми помещениями детей-сирот и детей, оставшихся без попечения родителей, лиц из числа детей-сирот, детей, оставшихся без попечения родителей</w:t>
      </w:r>
      <w:r w:rsidR="00BB33AD">
        <w:t>»</w:t>
      </w:r>
      <w:r>
        <w:t xml:space="preserve"> госпрограммы «Обеспечение доступным и комфортным жильем жителей Волгоградской области».</w:t>
      </w:r>
    </w:p>
    <w:p w:rsidR="00FB5BD2" w:rsidRPr="00FB5BD2" w:rsidRDefault="00FB5BD2" w:rsidP="00FB5BD2">
      <w:pPr>
        <w:ind w:firstLine="709"/>
        <w:jc w:val="both"/>
      </w:pPr>
      <w:r w:rsidRPr="00DD29F7">
        <w:rPr>
          <w:iCs/>
        </w:rPr>
        <w:t>Законом об областном бюджете на 2017 год ассигнования на приобретение и</w:t>
      </w:r>
      <w:r w:rsidRPr="00AD05E8">
        <w:t xml:space="preserve"> строительство жилья для детей-сирот предусмотрены в сумме </w:t>
      </w:r>
      <w:r w:rsidRPr="00AD05E8">
        <w:rPr>
          <w:bCs/>
          <w:color w:val="000000"/>
        </w:rPr>
        <w:t>524</w:t>
      </w:r>
      <w:r>
        <w:rPr>
          <w:bCs/>
          <w:color w:val="000000"/>
        </w:rPr>
        <w:t>,4</w:t>
      </w:r>
      <w:r w:rsidRPr="00AD05E8">
        <w:rPr>
          <w:bCs/>
          <w:color w:val="000000"/>
        </w:rPr>
        <w:t xml:space="preserve"> </w:t>
      </w:r>
      <w:r>
        <w:rPr>
          <w:bCs/>
          <w:color w:val="000000"/>
        </w:rPr>
        <w:t>млн</w:t>
      </w:r>
      <w:r w:rsidRPr="00AD05E8">
        <w:rPr>
          <w:bCs/>
          <w:color w:val="000000"/>
        </w:rPr>
        <w:t xml:space="preserve">. рублей. При этом </w:t>
      </w:r>
      <w:r w:rsidRPr="00AD05E8">
        <w:rPr>
          <w:bCs/>
          <w:color w:val="000000"/>
        </w:rPr>
        <w:lastRenderedPageBreak/>
        <w:t>сводной бюджетной росписью бюджетные назначения уменьшены до 358</w:t>
      </w:r>
      <w:r>
        <w:rPr>
          <w:bCs/>
          <w:color w:val="000000"/>
        </w:rPr>
        <w:t>,1</w:t>
      </w:r>
      <w:r w:rsidRPr="00AD05E8">
        <w:rPr>
          <w:bCs/>
          <w:color w:val="000000"/>
        </w:rPr>
        <w:t xml:space="preserve"> </w:t>
      </w:r>
      <w:r>
        <w:rPr>
          <w:bCs/>
          <w:color w:val="000000"/>
        </w:rPr>
        <w:t>млн</w:t>
      </w:r>
      <w:r w:rsidRPr="00AD05E8">
        <w:rPr>
          <w:bCs/>
          <w:color w:val="000000"/>
        </w:rPr>
        <w:t>. руб., или на 31,7 процента. Фактически расходы на подпрограмму составили 357</w:t>
      </w:r>
      <w:r w:rsidR="00CA048E">
        <w:rPr>
          <w:bCs/>
          <w:color w:val="000000"/>
        </w:rPr>
        <w:t>,</w:t>
      </w:r>
      <w:r w:rsidRPr="00AD05E8">
        <w:rPr>
          <w:bCs/>
          <w:color w:val="000000"/>
        </w:rPr>
        <w:t xml:space="preserve">2 </w:t>
      </w:r>
      <w:r w:rsidR="00CA048E">
        <w:rPr>
          <w:bCs/>
          <w:color w:val="000000"/>
        </w:rPr>
        <w:t>млн</w:t>
      </w:r>
      <w:r w:rsidRPr="00AD05E8">
        <w:rPr>
          <w:bCs/>
          <w:color w:val="000000"/>
        </w:rPr>
        <w:t xml:space="preserve">. руб., или 68,1% </w:t>
      </w:r>
      <w:proofErr w:type="gramStart"/>
      <w:r w:rsidRPr="00AD05E8">
        <w:rPr>
          <w:bCs/>
          <w:color w:val="000000"/>
        </w:rPr>
        <w:t>к</w:t>
      </w:r>
      <w:proofErr w:type="gramEnd"/>
      <w:r w:rsidRPr="00AD05E8">
        <w:rPr>
          <w:bCs/>
          <w:color w:val="000000"/>
        </w:rPr>
        <w:t xml:space="preserve"> предусмотренным </w:t>
      </w:r>
      <w:r w:rsidR="00CA048E">
        <w:rPr>
          <w:bCs/>
          <w:color w:val="000000"/>
        </w:rPr>
        <w:t>з</w:t>
      </w:r>
      <w:r w:rsidRPr="00AD05E8">
        <w:rPr>
          <w:bCs/>
          <w:color w:val="000000"/>
        </w:rPr>
        <w:t xml:space="preserve">аконом о бюджете, в том числе на строительство домов </w:t>
      </w:r>
      <w:r w:rsidR="00E27335">
        <w:rPr>
          <w:bCs/>
          <w:color w:val="000000"/>
        </w:rPr>
        <w:t>дл</w:t>
      </w:r>
      <w:r w:rsidR="007B15C7">
        <w:rPr>
          <w:bCs/>
          <w:color w:val="000000"/>
        </w:rPr>
        <w:t>я</w:t>
      </w:r>
      <w:r w:rsidR="00E27335">
        <w:rPr>
          <w:bCs/>
          <w:color w:val="000000"/>
        </w:rPr>
        <w:t xml:space="preserve"> детей-сирот -</w:t>
      </w:r>
      <w:r w:rsidRPr="00AD05E8">
        <w:rPr>
          <w:bCs/>
          <w:color w:val="000000"/>
        </w:rPr>
        <w:t xml:space="preserve"> 130</w:t>
      </w:r>
      <w:r w:rsidR="00CA048E">
        <w:rPr>
          <w:bCs/>
          <w:color w:val="000000"/>
        </w:rPr>
        <w:t>,5</w:t>
      </w:r>
      <w:r w:rsidRPr="00AD05E8">
        <w:rPr>
          <w:bCs/>
          <w:color w:val="000000"/>
        </w:rPr>
        <w:t xml:space="preserve"> </w:t>
      </w:r>
      <w:r w:rsidR="00CA048E">
        <w:rPr>
          <w:bCs/>
          <w:color w:val="000000"/>
        </w:rPr>
        <w:t>млн</w:t>
      </w:r>
      <w:r w:rsidRPr="00AD05E8">
        <w:rPr>
          <w:iCs/>
        </w:rPr>
        <w:t>. руб., или 52,6 процента.</w:t>
      </w:r>
    </w:p>
    <w:p w:rsidR="00FB5BD2" w:rsidRDefault="00FB5BD2" w:rsidP="00FB5BD2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 предусмотренных на 2017 год 9 объектов для детей-сирот с общим объемом финансирования 239</w:t>
      </w:r>
      <w:r w:rsidR="0056336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7 </w:t>
      </w:r>
      <w:r w:rsidR="00563361">
        <w:rPr>
          <w:rFonts w:ascii="Times New Roman" w:hAnsi="Times New Roman"/>
          <w:sz w:val="24"/>
          <w:szCs w:val="24"/>
        </w:rPr>
        <w:t>млн</w:t>
      </w:r>
      <w:r>
        <w:rPr>
          <w:rFonts w:ascii="Times New Roman" w:hAnsi="Times New Roman"/>
          <w:sz w:val="24"/>
          <w:szCs w:val="24"/>
        </w:rPr>
        <w:t>. руб.,  завершено строительство только трех в 2018 году – по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у</w:t>
      </w:r>
      <w:proofErr w:type="gramEnd"/>
      <w:r>
        <w:rPr>
          <w:rFonts w:ascii="Times New Roman" w:hAnsi="Times New Roman"/>
          <w:sz w:val="24"/>
          <w:szCs w:val="24"/>
        </w:rPr>
        <w:t xml:space="preserve">л. Удмуртской в г. Волгограде, в р.п. Быково, р.п. Даниловка. Предусмотренные на 2017 год ассигнования на проектирование 3 объектов не освоены в связи с </w:t>
      </w:r>
      <w:proofErr w:type="spellStart"/>
      <w:r>
        <w:rPr>
          <w:rFonts w:ascii="Times New Roman" w:hAnsi="Times New Roman"/>
          <w:sz w:val="24"/>
          <w:szCs w:val="24"/>
        </w:rPr>
        <w:t>незаключением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r w:rsidR="00563361">
        <w:rPr>
          <w:rFonts w:ascii="Times New Roman" w:hAnsi="Times New Roman"/>
          <w:sz w:val="24"/>
          <w:szCs w:val="24"/>
        </w:rPr>
        <w:t xml:space="preserve">соответствующих государственных </w:t>
      </w:r>
      <w:r>
        <w:rPr>
          <w:rFonts w:ascii="Times New Roman" w:hAnsi="Times New Roman"/>
          <w:sz w:val="24"/>
          <w:szCs w:val="24"/>
        </w:rPr>
        <w:t>контрактов.</w:t>
      </w:r>
    </w:p>
    <w:p w:rsidR="00FB5BD2" w:rsidRPr="00D150BE" w:rsidRDefault="00575F81" w:rsidP="00FB5BD2">
      <w:pPr>
        <w:autoSpaceDE w:val="0"/>
        <w:autoSpaceDN w:val="0"/>
        <w:adjustRightInd w:val="0"/>
        <w:ind w:firstLine="709"/>
        <w:jc w:val="both"/>
        <w:rPr>
          <w:b/>
          <w:i/>
        </w:rPr>
      </w:pPr>
      <w:r>
        <w:rPr>
          <w:iCs/>
        </w:rPr>
        <w:t>Н</w:t>
      </w:r>
      <w:r w:rsidR="00FB5BD2" w:rsidRPr="00D150BE">
        <w:rPr>
          <w:iCs/>
        </w:rPr>
        <w:t>е построенные</w:t>
      </w:r>
      <w:r>
        <w:rPr>
          <w:iCs/>
        </w:rPr>
        <w:t xml:space="preserve"> в</w:t>
      </w:r>
      <w:r w:rsidRPr="00D150BE">
        <w:rPr>
          <w:iCs/>
        </w:rPr>
        <w:t xml:space="preserve"> срок</w:t>
      </w:r>
      <w:r w:rsidR="00FB5BD2" w:rsidRPr="00D150BE">
        <w:rPr>
          <w:iCs/>
        </w:rPr>
        <w:t xml:space="preserve"> и не введенные в эксплуатацию дома </w:t>
      </w:r>
      <w:r w:rsidR="00FB5BD2" w:rsidRPr="00D150BE">
        <w:t xml:space="preserve">для детей-сирот не позволили достичь целевого показателя, установленного подпрограммой. Так, в 2017 году детям-сиротам предоставлено 336 жилых помещений, или 52% </w:t>
      </w:r>
      <w:r>
        <w:t>от</w:t>
      </w:r>
      <w:r w:rsidR="00FB5BD2" w:rsidRPr="00D150BE">
        <w:t xml:space="preserve"> план</w:t>
      </w:r>
      <w:r>
        <w:t>а</w:t>
      </w:r>
      <w:r w:rsidR="00FB5BD2" w:rsidRPr="00D150BE">
        <w:t xml:space="preserve"> (644), </w:t>
      </w:r>
      <w:r>
        <w:t>при этом</w:t>
      </w:r>
      <w:r w:rsidR="00FB5BD2" w:rsidRPr="00D150BE">
        <w:t xml:space="preserve"> </w:t>
      </w:r>
      <w:r w:rsidR="00FB5BD2" w:rsidRPr="00D150BE">
        <w:rPr>
          <w:color w:val="000000"/>
        </w:rPr>
        <w:t>доля детей-сирот, обеспеченных жилыми помещениями, в общей численности детей, которые подлежат обеспечению жилыми помещениями, составила 8% вместо планового показателя – 15 процентов.</w:t>
      </w:r>
    </w:p>
    <w:p w:rsidR="00FB5BD2" w:rsidRPr="00AD5759" w:rsidRDefault="00FB5BD2" w:rsidP="00FB5BD2">
      <w:pPr>
        <w:ind w:firstLine="709"/>
        <w:jc w:val="both"/>
        <w:rPr>
          <w:rFonts w:eastAsia="Calibri"/>
        </w:rPr>
      </w:pPr>
      <w:r w:rsidRPr="00D150BE">
        <w:rPr>
          <w:b/>
          <w:i/>
        </w:rPr>
        <w:t xml:space="preserve"> </w:t>
      </w:r>
      <w:r w:rsidR="00575F81">
        <w:t>В этой связи следует отметить, что з</w:t>
      </w:r>
      <w:r w:rsidRPr="00D150BE">
        <w:t xml:space="preserve">а последние 4 года в области ежегодно обеспечивалось жильем от </w:t>
      </w:r>
      <w:r>
        <w:t>7,7</w:t>
      </w:r>
      <w:r w:rsidRPr="00D150BE">
        <w:t xml:space="preserve"> до 14% детей-сирот </w:t>
      </w:r>
      <w:r w:rsidR="00151688">
        <w:t>от</w:t>
      </w:r>
      <w:r w:rsidRPr="00D150BE">
        <w:t xml:space="preserve"> общего количества нуждающихся на начало года. В результате фактическое количество детей-сирот, которые подлежат обеспечению жилыми помещениями на начало финансового года, неуклонно растет, и на 01.0</w:t>
      </w:r>
      <w:r w:rsidR="00053140">
        <w:t>1.2018 составило 4706 человек, т. е.</w:t>
      </w:r>
      <w:r w:rsidRPr="00D150BE">
        <w:t xml:space="preserve"> увеличилось по сравнению с началом 2017 года на 426 человек (на 10%).</w:t>
      </w:r>
      <w:r w:rsidRPr="00D150BE">
        <w:rPr>
          <w:rFonts w:eastAsia="Calibri"/>
        </w:rPr>
        <w:t xml:space="preserve"> </w:t>
      </w:r>
      <w:r w:rsidR="00053140">
        <w:rPr>
          <w:rFonts w:eastAsia="Calibri"/>
        </w:rPr>
        <w:t>По оценке КСП, н</w:t>
      </w:r>
      <w:r w:rsidRPr="00D150BE">
        <w:rPr>
          <w:rFonts w:eastAsia="Calibri"/>
        </w:rPr>
        <w:t xml:space="preserve">а момент окончания реализации </w:t>
      </w:r>
      <w:r w:rsidR="00053140">
        <w:rPr>
          <w:rFonts w:eastAsia="Calibri"/>
        </w:rPr>
        <w:t>госп</w:t>
      </w:r>
      <w:r w:rsidRPr="00D150BE">
        <w:rPr>
          <w:rFonts w:eastAsia="Calibri"/>
        </w:rPr>
        <w:t>рограммы (</w:t>
      </w:r>
      <w:proofErr w:type="gramStart"/>
      <w:r w:rsidRPr="00D150BE">
        <w:rPr>
          <w:rFonts w:eastAsia="Calibri"/>
        </w:rPr>
        <w:t>на конец</w:t>
      </w:r>
      <w:proofErr w:type="gramEnd"/>
      <w:r w:rsidRPr="00D150BE">
        <w:rPr>
          <w:rFonts w:eastAsia="Calibri"/>
        </w:rPr>
        <w:t xml:space="preserve"> 2020 года) расчетное количество детей-сирот, не обеспеченных жильем спец</w:t>
      </w:r>
      <w:r w:rsidR="00053140">
        <w:rPr>
          <w:rFonts w:eastAsia="Calibri"/>
        </w:rPr>
        <w:t xml:space="preserve">иального </w:t>
      </w:r>
      <w:r w:rsidRPr="00D150BE">
        <w:rPr>
          <w:rFonts w:eastAsia="Calibri"/>
        </w:rPr>
        <w:t xml:space="preserve">жилфонда, </w:t>
      </w:r>
      <w:r>
        <w:rPr>
          <w:rFonts w:eastAsia="Calibri"/>
        </w:rPr>
        <w:t xml:space="preserve">может </w:t>
      </w:r>
      <w:r w:rsidRPr="00D150BE">
        <w:rPr>
          <w:rFonts w:eastAsia="Calibri"/>
        </w:rPr>
        <w:t>составит</w:t>
      </w:r>
      <w:r>
        <w:rPr>
          <w:rFonts w:eastAsia="Calibri"/>
        </w:rPr>
        <w:t>ь</w:t>
      </w:r>
      <w:r w:rsidRPr="00D150BE">
        <w:rPr>
          <w:rFonts w:eastAsia="Calibri"/>
        </w:rPr>
        <w:t xml:space="preserve"> </w:t>
      </w:r>
      <w:r w:rsidRPr="00AD5759">
        <w:rPr>
          <w:rFonts w:eastAsia="Calibri"/>
        </w:rPr>
        <w:t xml:space="preserve">более 5000 человек. </w:t>
      </w:r>
    </w:p>
    <w:p w:rsidR="00FB5BD2" w:rsidRPr="00AD5759" w:rsidRDefault="00FB5BD2" w:rsidP="00FB5BD2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AD5759">
        <w:rPr>
          <w:rFonts w:ascii="Times New Roman" w:hAnsi="Times New Roman"/>
          <w:sz w:val="24"/>
          <w:szCs w:val="24"/>
        </w:rPr>
        <w:t>При этом несвоевременное исполнение мероприятий подпрограммы ведет не только к нарушению законных прав детей-сирот, но и влечет за собой неэффективные расходы областного бюджета на оплату административных штрафов, которые в 2016 году составили 52</w:t>
      </w:r>
      <w:r w:rsidR="003069FF">
        <w:rPr>
          <w:rFonts w:ascii="Times New Roman" w:hAnsi="Times New Roman"/>
          <w:sz w:val="24"/>
          <w:szCs w:val="24"/>
        </w:rPr>
        <w:t>,</w:t>
      </w:r>
      <w:r w:rsidRPr="00AD5759">
        <w:rPr>
          <w:rFonts w:ascii="Times New Roman" w:hAnsi="Times New Roman"/>
          <w:sz w:val="24"/>
          <w:szCs w:val="24"/>
        </w:rPr>
        <w:t xml:space="preserve">1 </w:t>
      </w:r>
      <w:r w:rsidR="003069FF">
        <w:rPr>
          <w:rFonts w:ascii="Times New Roman" w:hAnsi="Times New Roman"/>
          <w:sz w:val="24"/>
          <w:szCs w:val="24"/>
        </w:rPr>
        <w:t>млн</w:t>
      </w:r>
      <w:r w:rsidRPr="00AD5759">
        <w:rPr>
          <w:rFonts w:ascii="Times New Roman" w:hAnsi="Times New Roman"/>
          <w:sz w:val="24"/>
          <w:szCs w:val="24"/>
        </w:rPr>
        <w:t xml:space="preserve">. руб., в 2017 году </w:t>
      </w:r>
      <w:r w:rsidR="003069FF">
        <w:rPr>
          <w:rFonts w:ascii="Times New Roman" w:hAnsi="Times New Roman"/>
          <w:sz w:val="24"/>
          <w:szCs w:val="24"/>
        </w:rPr>
        <w:t>–</w:t>
      </w:r>
      <w:r w:rsidRPr="00AD5759">
        <w:rPr>
          <w:rFonts w:ascii="Times New Roman" w:hAnsi="Times New Roman"/>
          <w:sz w:val="24"/>
          <w:szCs w:val="24"/>
        </w:rPr>
        <w:t xml:space="preserve"> 41</w:t>
      </w:r>
      <w:r w:rsidR="003069FF">
        <w:rPr>
          <w:rFonts w:ascii="Times New Roman" w:hAnsi="Times New Roman"/>
          <w:sz w:val="24"/>
          <w:szCs w:val="24"/>
        </w:rPr>
        <w:t>,4</w:t>
      </w:r>
      <w:r w:rsidRPr="00AD5759">
        <w:rPr>
          <w:rFonts w:ascii="Times New Roman" w:hAnsi="Times New Roman"/>
          <w:sz w:val="24"/>
          <w:szCs w:val="24"/>
        </w:rPr>
        <w:t xml:space="preserve"> </w:t>
      </w:r>
      <w:r w:rsidR="003069FF">
        <w:rPr>
          <w:rFonts w:ascii="Times New Roman" w:hAnsi="Times New Roman"/>
          <w:sz w:val="24"/>
          <w:szCs w:val="24"/>
        </w:rPr>
        <w:t>млн</w:t>
      </w:r>
      <w:r w:rsidRPr="00AD5759">
        <w:rPr>
          <w:rFonts w:ascii="Times New Roman" w:hAnsi="Times New Roman"/>
          <w:sz w:val="24"/>
          <w:szCs w:val="24"/>
        </w:rPr>
        <w:t>. рублей.</w:t>
      </w:r>
    </w:p>
    <w:p w:rsidR="003E6E15" w:rsidRPr="00FD5447" w:rsidRDefault="003E6E15" w:rsidP="003E6E15">
      <w:pPr>
        <w:autoSpaceDE w:val="0"/>
        <w:autoSpaceDN w:val="0"/>
        <w:adjustRightInd w:val="0"/>
        <w:ind w:firstLine="720"/>
        <w:jc w:val="both"/>
        <w:outlineLvl w:val="2"/>
      </w:pPr>
      <w:r>
        <w:t xml:space="preserve">Расходы </w:t>
      </w:r>
      <w:r w:rsidRPr="003E6E15">
        <w:rPr>
          <w:b/>
          <w:i/>
        </w:rPr>
        <w:t>комитета здравоохранения Волгоградской области</w:t>
      </w:r>
      <w:r>
        <w:t xml:space="preserve"> по подразделу 1</w:t>
      </w:r>
      <w:r w:rsidRPr="00FD5447">
        <w:t xml:space="preserve">003 «Социальное обеспечение населения» </w:t>
      </w:r>
      <w:r>
        <w:t>составил</w:t>
      </w:r>
      <w:r w:rsidR="00A32556">
        <w:t>и</w:t>
      </w:r>
      <w:r>
        <w:t xml:space="preserve"> за 2017 год </w:t>
      </w:r>
      <w:r w:rsidRPr="003E6E15">
        <w:rPr>
          <w:szCs w:val="24"/>
        </w:rPr>
        <w:t>9989,6</w:t>
      </w:r>
      <w:r>
        <w:rPr>
          <w:sz w:val="20"/>
        </w:rPr>
        <w:t xml:space="preserve"> </w:t>
      </w:r>
      <w:r w:rsidRPr="003E6E15">
        <w:rPr>
          <w:szCs w:val="24"/>
        </w:rPr>
        <w:t>млн. руб.,</w:t>
      </w:r>
      <w:r>
        <w:rPr>
          <w:sz w:val="20"/>
        </w:rPr>
        <w:t xml:space="preserve"> </w:t>
      </w:r>
      <w:r w:rsidRPr="003E6E15">
        <w:rPr>
          <w:szCs w:val="24"/>
        </w:rPr>
        <w:t xml:space="preserve">что </w:t>
      </w:r>
      <w:r w:rsidRPr="00FD5447">
        <w:t>на 165</w:t>
      </w:r>
      <w:r>
        <w:t>,</w:t>
      </w:r>
      <w:r w:rsidRPr="00FD5447">
        <w:t>6</w:t>
      </w:r>
      <w:r>
        <w:t xml:space="preserve"> млн</w:t>
      </w:r>
      <w:r w:rsidRPr="00FD5447">
        <w:t xml:space="preserve">. руб., или на 1,7% </w:t>
      </w:r>
      <w:r>
        <w:t xml:space="preserve">меньше предыдущего года. Снижение расходов объясняется главным образом </w:t>
      </w:r>
      <w:r w:rsidRPr="00FD5447">
        <w:t>сокращением размера взнос</w:t>
      </w:r>
      <w:r>
        <w:t>ов</w:t>
      </w:r>
      <w:r w:rsidRPr="00FD5447">
        <w:t xml:space="preserve"> на обязательное медицинское страхование </w:t>
      </w:r>
      <w:r>
        <w:t xml:space="preserve">за </w:t>
      </w:r>
      <w:r w:rsidRPr="00FD5447">
        <w:t>неработающе</w:t>
      </w:r>
      <w:r>
        <w:t>е</w:t>
      </w:r>
      <w:r w:rsidRPr="00FD5447">
        <w:t xml:space="preserve"> населени</w:t>
      </w:r>
      <w:r>
        <w:t>е</w:t>
      </w:r>
      <w:r w:rsidRPr="00FD5447">
        <w:t xml:space="preserve"> Волгоградской области, зачисляемого в бюджет Федерального фонда обязательного медицинского страхования, </w:t>
      </w:r>
      <w:r>
        <w:t>в свя</w:t>
      </w:r>
      <w:r w:rsidRPr="00FD5447">
        <w:t xml:space="preserve">зи с уменьшением численности неработающего населения на 26337 человек. </w:t>
      </w:r>
    </w:p>
    <w:p w:rsidR="00086BD1" w:rsidRPr="00086BD1" w:rsidRDefault="00086BD1" w:rsidP="00086BD1">
      <w:pPr>
        <w:ind w:firstLine="709"/>
        <w:jc w:val="both"/>
      </w:pPr>
    </w:p>
    <w:p w:rsidR="005A519C" w:rsidRDefault="005A519C" w:rsidP="005A519C">
      <w:pPr>
        <w:ind w:firstLine="708"/>
        <w:jc w:val="center"/>
        <w:rPr>
          <w:b/>
          <w:szCs w:val="24"/>
        </w:rPr>
      </w:pPr>
      <w:r w:rsidRPr="005A519C">
        <w:rPr>
          <w:b/>
          <w:szCs w:val="24"/>
        </w:rPr>
        <w:t>4.</w:t>
      </w:r>
      <w:r w:rsidR="00D96550">
        <w:rPr>
          <w:b/>
          <w:szCs w:val="24"/>
        </w:rPr>
        <w:t>10</w:t>
      </w:r>
      <w:r w:rsidRPr="005A519C">
        <w:rPr>
          <w:b/>
          <w:szCs w:val="24"/>
        </w:rPr>
        <w:t>. Расходы по разделу</w:t>
      </w:r>
      <w:r>
        <w:rPr>
          <w:b/>
          <w:szCs w:val="24"/>
        </w:rPr>
        <w:t xml:space="preserve"> 1100 «Физическая культура и спорт».</w:t>
      </w:r>
    </w:p>
    <w:p w:rsidR="005A519C" w:rsidRDefault="005A519C" w:rsidP="00FC2AFE">
      <w:pPr>
        <w:ind w:firstLine="708"/>
        <w:jc w:val="both"/>
        <w:rPr>
          <w:b/>
          <w:szCs w:val="24"/>
        </w:rPr>
      </w:pPr>
    </w:p>
    <w:p w:rsidR="006C7B75" w:rsidRDefault="00FC2AFE" w:rsidP="00FC2AFE">
      <w:pPr>
        <w:ind w:firstLine="708"/>
        <w:jc w:val="both"/>
      </w:pPr>
      <w:r>
        <w:t>Уточненные бюджетные ассигнования на 201</w:t>
      </w:r>
      <w:r w:rsidR="00C5379D">
        <w:t>7</w:t>
      </w:r>
      <w:r>
        <w:t xml:space="preserve"> год по разделу </w:t>
      </w:r>
      <w:r w:rsidRPr="00C90ADA">
        <w:rPr>
          <w:szCs w:val="24"/>
        </w:rPr>
        <w:t>1</w:t>
      </w:r>
      <w:r>
        <w:rPr>
          <w:szCs w:val="24"/>
        </w:rPr>
        <w:t>1</w:t>
      </w:r>
      <w:r w:rsidRPr="00C90ADA">
        <w:rPr>
          <w:szCs w:val="24"/>
        </w:rPr>
        <w:t>00 «</w:t>
      </w:r>
      <w:r>
        <w:rPr>
          <w:szCs w:val="24"/>
        </w:rPr>
        <w:t>Физическая культура и спорт</w:t>
      </w:r>
      <w:r w:rsidRPr="00C90ADA">
        <w:rPr>
          <w:szCs w:val="24"/>
        </w:rPr>
        <w:t>»</w:t>
      </w:r>
      <w:r>
        <w:t xml:space="preserve"> утверждены в размере</w:t>
      </w:r>
      <w:r w:rsidR="00077437">
        <w:t xml:space="preserve"> </w:t>
      </w:r>
      <w:r w:rsidR="00CE0386">
        <w:t xml:space="preserve">1053,6 </w:t>
      </w:r>
      <w:r>
        <w:t xml:space="preserve">млн. рублей. По данным отчета </w:t>
      </w:r>
      <w:r w:rsidR="00077437">
        <w:t>Администрации</w:t>
      </w:r>
      <w:r w:rsidR="00F45C29">
        <w:t xml:space="preserve"> </w:t>
      </w:r>
      <w:r>
        <w:t>Волгоградской области фактическое исполнение расходов по разделу составило</w:t>
      </w:r>
      <w:r w:rsidR="00077437">
        <w:t xml:space="preserve"> </w:t>
      </w:r>
      <w:r w:rsidR="00CE0386">
        <w:t>1392,8</w:t>
      </w:r>
      <w:r w:rsidR="00733146">
        <w:t xml:space="preserve"> </w:t>
      </w:r>
      <w:r>
        <w:t xml:space="preserve">млн. руб., или </w:t>
      </w:r>
      <w:r w:rsidR="00CE0386">
        <w:t>132,2</w:t>
      </w:r>
      <w:r>
        <w:t>% от плана</w:t>
      </w:r>
      <w:r w:rsidR="0083081B">
        <w:t>, в том числе по ГРБС:</w:t>
      </w:r>
    </w:p>
    <w:p w:rsidR="00B65707" w:rsidRPr="00B65707" w:rsidRDefault="00CE0386" w:rsidP="00CE0386">
      <w:pPr>
        <w:ind w:firstLine="708"/>
        <w:jc w:val="right"/>
        <w:rPr>
          <w:sz w:val="20"/>
        </w:rPr>
      </w:pPr>
      <w:r>
        <w:rPr>
          <w:sz w:val="20"/>
        </w:rPr>
        <w:t>млн. руб.</w:t>
      </w:r>
    </w:p>
    <w:tbl>
      <w:tblPr>
        <w:tblW w:w="9577" w:type="dxa"/>
        <w:tblInd w:w="96" w:type="dxa"/>
        <w:tblLayout w:type="fixed"/>
        <w:tblLook w:val="04A0"/>
      </w:tblPr>
      <w:tblGrid>
        <w:gridCol w:w="3469"/>
        <w:gridCol w:w="1134"/>
        <w:gridCol w:w="1134"/>
        <w:gridCol w:w="1276"/>
        <w:gridCol w:w="1221"/>
        <w:gridCol w:w="1343"/>
      </w:tblGrid>
      <w:tr w:rsidR="00B65707" w:rsidRPr="00B65707" w:rsidTr="00DC4DFB">
        <w:trPr>
          <w:trHeight w:val="20"/>
        </w:trPr>
        <w:tc>
          <w:tcPr>
            <w:tcW w:w="3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B65707" w:rsidRPr="00B65707" w:rsidRDefault="00B65707" w:rsidP="00DC4DFB">
            <w:pPr>
              <w:jc w:val="center"/>
              <w:rPr>
                <w:b/>
                <w:i/>
                <w:iCs/>
                <w:sz w:val="20"/>
              </w:rPr>
            </w:pPr>
            <w:r w:rsidRPr="00B65707">
              <w:rPr>
                <w:b/>
                <w:i/>
                <w:iCs/>
                <w:sz w:val="20"/>
              </w:rPr>
              <w:t>Наименование ГРБС</w:t>
            </w:r>
          </w:p>
        </w:tc>
        <w:tc>
          <w:tcPr>
            <w:tcW w:w="61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B65707" w:rsidRPr="00B65707" w:rsidRDefault="00B65707" w:rsidP="00DC4DFB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B65707">
              <w:rPr>
                <w:b/>
                <w:bCs/>
                <w:i/>
                <w:iCs/>
                <w:sz w:val="20"/>
              </w:rPr>
              <w:t>Физическая культура и спорт</w:t>
            </w:r>
          </w:p>
        </w:tc>
      </w:tr>
      <w:tr w:rsidR="00B65707" w:rsidRPr="00B65707" w:rsidTr="00B65707">
        <w:trPr>
          <w:trHeight w:val="20"/>
        </w:trPr>
        <w:tc>
          <w:tcPr>
            <w:tcW w:w="3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B65707" w:rsidRPr="00B65707" w:rsidRDefault="00B65707" w:rsidP="00DC4DFB">
            <w:pPr>
              <w:rPr>
                <w:b/>
                <w:i/>
                <w:iCs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  <w:hideMark/>
          </w:tcPr>
          <w:p w:rsidR="00B65707" w:rsidRPr="00B65707" w:rsidRDefault="00B65707" w:rsidP="00DC4DFB">
            <w:pPr>
              <w:jc w:val="center"/>
              <w:rPr>
                <w:b/>
                <w:i/>
                <w:iCs/>
                <w:sz w:val="20"/>
              </w:rPr>
            </w:pPr>
            <w:r w:rsidRPr="00B65707">
              <w:rPr>
                <w:b/>
                <w:i/>
                <w:iCs/>
                <w:sz w:val="20"/>
              </w:rPr>
              <w:t>факт 2016</w:t>
            </w:r>
            <w:r w:rsidR="00C53765">
              <w:rPr>
                <w:b/>
                <w:i/>
                <w:iCs/>
                <w:sz w:val="20"/>
              </w:rPr>
              <w:t xml:space="preserve">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  <w:hideMark/>
          </w:tcPr>
          <w:p w:rsidR="00B65707" w:rsidRPr="00B65707" w:rsidRDefault="00B65707" w:rsidP="00DC4DFB">
            <w:pPr>
              <w:jc w:val="center"/>
              <w:rPr>
                <w:b/>
                <w:i/>
                <w:iCs/>
                <w:sz w:val="20"/>
              </w:rPr>
            </w:pPr>
            <w:r w:rsidRPr="00B65707">
              <w:rPr>
                <w:b/>
                <w:i/>
                <w:iCs/>
                <w:sz w:val="20"/>
              </w:rPr>
              <w:t>план 2017</w:t>
            </w:r>
            <w:r w:rsidR="00C53765">
              <w:rPr>
                <w:b/>
                <w:i/>
                <w:iCs/>
                <w:sz w:val="20"/>
              </w:rPr>
              <w:t>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  <w:hideMark/>
          </w:tcPr>
          <w:p w:rsidR="00B65707" w:rsidRPr="00B65707" w:rsidRDefault="00B65707" w:rsidP="00C53765">
            <w:pPr>
              <w:jc w:val="center"/>
              <w:rPr>
                <w:b/>
                <w:i/>
                <w:iCs/>
                <w:sz w:val="20"/>
              </w:rPr>
            </w:pPr>
            <w:r w:rsidRPr="00B65707">
              <w:rPr>
                <w:b/>
                <w:i/>
                <w:iCs/>
                <w:sz w:val="20"/>
              </w:rPr>
              <w:t>факт 2017</w:t>
            </w:r>
            <w:r w:rsidR="00C53765">
              <w:rPr>
                <w:b/>
                <w:i/>
                <w:iCs/>
                <w:sz w:val="20"/>
              </w:rPr>
              <w:t>г.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B65707" w:rsidRPr="00B65707" w:rsidRDefault="00B65707" w:rsidP="00B65707">
            <w:pPr>
              <w:jc w:val="center"/>
              <w:rPr>
                <w:b/>
                <w:i/>
                <w:iCs/>
                <w:sz w:val="20"/>
              </w:rPr>
            </w:pPr>
            <w:r w:rsidRPr="00B65707">
              <w:rPr>
                <w:b/>
                <w:i/>
                <w:iCs/>
                <w:sz w:val="20"/>
              </w:rPr>
              <w:t>исполнен</w:t>
            </w:r>
            <w:r>
              <w:rPr>
                <w:b/>
                <w:i/>
                <w:iCs/>
                <w:sz w:val="20"/>
              </w:rPr>
              <w:t>о</w:t>
            </w:r>
            <w:r w:rsidRPr="00B65707">
              <w:rPr>
                <w:b/>
                <w:i/>
                <w:iCs/>
                <w:sz w:val="20"/>
              </w:rPr>
              <w:t>, %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061E68" w:rsidRDefault="00061E68" w:rsidP="00B65707">
            <w:pPr>
              <w:jc w:val="center"/>
              <w:rPr>
                <w:b/>
                <w:i/>
                <w:iCs/>
                <w:sz w:val="20"/>
              </w:rPr>
            </w:pPr>
            <w:r w:rsidRPr="00B65707">
              <w:rPr>
                <w:b/>
                <w:i/>
                <w:iCs/>
                <w:sz w:val="20"/>
              </w:rPr>
              <w:t>С</w:t>
            </w:r>
            <w:r w:rsidR="00B65707" w:rsidRPr="00B65707">
              <w:rPr>
                <w:b/>
                <w:i/>
                <w:iCs/>
                <w:sz w:val="20"/>
              </w:rPr>
              <w:t>равнение</w:t>
            </w:r>
          </w:p>
          <w:p w:rsidR="00B65707" w:rsidRPr="00B65707" w:rsidRDefault="00B65707" w:rsidP="00B65707">
            <w:pPr>
              <w:jc w:val="center"/>
              <w:rPr>
                <w:b/>
                <w:i/>
                <w:iCs/>
                <w:sz w:val="20"/>
              </w:rPr>
            </w:pPr>
            <w:r w:rsidRPr="00B65707">
              <w:rPr>
                <w:b/>
                <w:i/>
                <w:iCs/>
                <w:sz w:val="20"/>
              </w:rPr>
              <w:t xml:space="preserve"> с 2016 г</w:t>
            </w:r>
            <w:r>
              <w:rPr>
                <w:b/>
                <w:i/>
                <w:iCs/>
                <w:sz w:val="20"/>
              </w:rPr>
              <w:t>.</w:t>
            </w:r>
            <w:r w:rsidRPr="00B65707">
              <w:rPr>
                <w:b/>
                <w:i/>
                <w:iCs/>
                <w:sz w:val="20"/>
              </w:rPr>
              <w:t>, %</w:t>
            </w:r>
          </w:p>
        </w:tc>
      </w:tr>
      <w:tr w:rsidR="00B65707" w:rsidRPr="00B65707" w:rsidTr="00B65707">
        <w:trPr>
          <w:trHeight w:val="20"/>
        </w:trPr>
        <w:tc>
          <w:tcPr>
            <w:tcW w:w="3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707" w:rsidRPr="00B65707" w:rsidRDefault="00B65707" w:rsidP="00DC4DFB">
            <w:pPr>
              <w:rPr>
                <w:sz w:val="20"/>
              </w:rPr>
            </w:pPr>
            <w:r w:rsidRPr="00B65707">
              <w:rPr>
                <w:sz w:val="20"/>
              </w:rPr>
              <w:t xml:space="preserve">Комитет строительства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5707" w:rsidRPr="00B65707" w:rsidRDefault="00B65707" w:rsidP="00B65707">
            <w:pPr>
              <w:jc w:val="center"/>
              <w:rPr>
                <w:sz w:val="20"/>
              </w:rPr>
            </w:pPr>
            <w:r w:rsidRPr="00B65707">
              <w:rPr>
                <w:sz w:val="20"/>
              </w:rPr>
              <w:t>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5707" w:rsidRPr="00B65707" w:rsidRDefault="00B65707" w:rsidP="00B65707">
            <w:pPr>
              <w:jc w:val="center"/>
              <w:rPr>
                <w:sz w:val="20"/>
              </w:rPr>
            </w:pPr>
            <w:r w:rsidRPr="00B65707">
              <w:rPr>
                <w:sz w:val="20"/>
              </w:rPr>
              <w:t>129,3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5707" w:rsidRPr="00B65707" w:rsidRDefault="00B65707" w:rsidP="00B65707">
            <w:pPr>
              <w:jc w:val="center"/>
              <w:rPr>
                <w:sz w:val="20"/>
              </w:rPr>
            </w:pPr>
            <w:r w:rsidRPr="00B65707">
              <w:rPr>
                <w:sz w:val="20"/>
              </w:rPr>
              <w:t>9,1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5707" w:rsidRPr="00B65707" w:rsidRDefault="00B65707" w:rsidP="00B65707">
            <w:pPr>
              <w:jc w:val="center"/>
              <w:rPr>
                <w:sz w:val="20"/>
              </w:rPr>
            </w:pPr>
            <w:r w:rsidRPr="00B65707">
              <w:rPr>
                <w:sz w:val="20"/>
              </w:rPr>
              <w:t>7,0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5707" w:rsidRPr="00B65707" w:rsidRDefault="00CE0386" w:rsidP="00CE0386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 </w:t>
            </w:r>
            <w:r w:rsidR="00B65707" w:rsidRPr="00B65707">
              <w:rPr>
                <w:sz w:val="20"/>
              </w:rPr>
              <w:t>2</w:t>
            </w:r>
            <w:r>
              <w:rPr>
                <w:sz w:val="20"/>
              </w:rPr>
              <w:t>,1 раза</w:t>
            </w:r>
          </w:p>
        </w:tc>
      </w:tr>
      <w:tr w:rsidR="00B65707" w:rsidRPr="00B65707" w:rsidTr="00B65707">
        <w:trPr>
          <w:trHeight w:val="20"/>
        </w:trPr>
        <w:tc>
          <w:tcPr>
            <w:tcW w:w="3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707" w:rsidRPr="00B65707" w:rsidRDefault="00B65707" w:rsidP="00DC4DFB">
            <w:pPr>
              <w:rPr>
                <w:sz w:val="20"/>
              </w:rPr>
            </w:pPr>
            <w:r w:rsidRPr="00B65707">
              <w:rPr>
                <w:sz w:val="20"/>
              </w:rPr>
              <w:t xml:space="preserve">Комитет физической культуры и спорта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5707" w:rsidRPr="00B65707" w:rsidRDefault="00B65707" w:rsidP="00B65707">
            <w:pPr>
              <w:jc w:val="center"/>
              <w:rPr>
                <w:sz w:val="20"/>
              </w:rPr>
            </w:pPr>
            <w:r w:rsidRPr="00B65707">
              <w:rPr>
                <w:sz w:val="20"/>
              </w:rPr>
              <w:t>518,6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5707" w:rsidRPr="00B65707" w:rsidRDefault="00B65707" w:rsidP="00B65707">
            <w:pPr>
              <w:jc w:val="center"/>
              <w:rPr>
                <w:sz w:val="20"/>
              </w:rPr>
            </w:pPr>
            <w:r w:rsidRPr="00B65707">
              <w:rPr>
                <w:sz w:val="20"/>
              </w:rPr>
              <w:t>437,7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5707" w:rsidRPr="00B65707" w:rsidRDefault="00B65707" w:rsidP="00B65707">
            <w:pPr>
              <w:jc w:val="center"/>
              <w:rPr>
                <w:sz w:val="20"/>
              </w:rPr>
            </w:pPr>
            <w:r w:rsidRPr="00B65707">
              <w:rPr>
                <w:sz w:val="20"/>
              </w:rPr>
              <w:t>683,5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5707" w:rsidRPr="00B65707" w:rsidRDefault="00B65707" w:rsidP="00B65707">
            <w:pPr>
              <w:jc w:val="center"/>
              <w:rPr>
                <w:sz w:val="20"/>
              </w:rPr>
            </w:pPr>
            <w:r w:rsidRPr="00B65707">
              <w:rPr>
                <w:sz w:val="20"/>
              </w:rPr>
              <w:t>156,2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5707" w:rsidRPr="00B65707" w:rsidRDefault="00B65707" w:rsidP="00B65707">
            <w:pPr>
              <w:jc w:val="center"/>
              <w:rPr>
                <w:sz w:val="20"/>
              </w:rPr>
            </w:pPr>
            <w:r w:rsidRPr="00B65707">
              <w:rPr>
                <w:sz w:val="20"/>
              </w:rPr>
              <w:t>131,8</w:t>
            </w:r>
          </w:p>
        </w:tc>
      </w:tr>
      <w:tr w:rsidR="00B65707" w:rsidRPr="00B65707" w:rsidTr="00B65707">
        <w:trPr>
          <w:trHeight w:val="20"/>
        </w:trPr>
        <w:tc>
          <w:tcPr>
            <w:tcW w:w="3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707" w:rsidRPr="00B65707" w:rsidRDefault="00B65707" w:rsidP="00DC4DFB">
            <w:pPr>
              <w:rPr>
                <w:sz w:val="20"/>
              </w:rPr>
            </w:pPr>
            <w:r w:rsidRPr="00B65707">
              <w:rPr>
                <w:sz w:val="20"/>
              </w:rPr>
              <w:t xml:space="preserve">Комитет сельского хозяйства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5707" w:rsidRPr="00B65707" w:rsidRDefault="00B65707" w:rsidP="00B65707">
            <w:pPr>
              <w:jc w:val="center"/>
              <w:rPr>
                <w:sz w:val="20"/>
              </w:rPr>
            </w:pPr>
            <w:r w:rsidRPr="00B65707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5707" w:rsidRPr="00B65707" w:rsidRDefault="00B65707" w:rsidP="00B65707">
            <w:pPr>
              <w:jc w:val="center"/>
              <w:rPr>
                <w:sz w:val="20"/>
              </w:rPr>
            </w:pPr>
            <w:r w:rsidRPr="00B65707">
              <w:rPr>
                <w:sz w:val="20"/>
              </w:rPr>
              <w:t>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5707" w:rsidRPr="00B65707" w:rsidRDefault="00B65707" w:rsidP="00B65707">
            <w:pPr>
              <w:jc w:val="center"/>
              <w:rPr>
                <w:sz w:val="20"/>
              </w:rPr>
            </w:pPr>
            <w:r w:rsidRPr="00B65707">
              <w:rPr>
                <w:sz w:val="20"/>
              </w:rPr>
              <w:t>7,7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5707" w:rsidRPr="00B65707" w:rsidRDefault="00B65707" w:rsidP="00B65707">
            <w:pPr>
              <w:jc w:val="center"/>
              <w:rPr>
                <w:sz w:val="20"/>
              </w:rPr>
            </w:pPr>
            <w:r w:rsidRPr="00B65707">
              <w:rPr>
                <w:sz w:val="20"/>
              </w:rPr>
              <w:t>92,7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5707" w:rsidRPr="00B65707" w:rsidRDefault="00655568" w:rsidP="00B657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</w:tr>
      <w:tr w:rsidR="00B65707" w:rsidRPr="00B65707" w:rsidTr="00B65707">
        <w:trPr>
          <w:trHeight w:val="20"/>
        </w:trPr>
        <w:tc>
          <w:tcPr>
            <w:tcW w:w="3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707" w:rsidRPr="00B65707" w:rsidRDefault="00B65707" w:rsidP="007D59AB">
            <w:pPr>
              <w:rPr>
                <w:sz w:val="20"/>
              </w:rPr>
            </w:pPr>
            <w:r w:rsidRPr="00B65707">
              <w:rPr>
                <w:sz w:val="20"/>
              </w:rPr>
              <w:t xml:space="preserve">Комитет по подготовке и проведению матчей чемпионата мира по футболу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5707" w:rsidRPr="00B65707" w:rsidRDefault="00B65707" w:rsidP="00B65707">
            <w:pPr>
              <w:jc w:val="center"/>
              <w:rPr>
                <w:sz w:val="20"/>
              </w:rPr>
            </w:pPr>
            <w:r w:rsidRPr="00B65707">
              <w:rPr>
                <w:sz w:val="20"/>
              </w:rPr>
              <w:t>59,6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5707" w:rsidRPr="00B65707" w:rsidRDefault="00B65707" w:rsidP="00B65707">
            <w:pPr>
              <w:jc w:val="center"/>
              <w:rPr>
                <w:sz w:val="20"/>
              </w:rPr>
            </w:pPr>
            <w:r w:rsidRPr="00B65707">
              <w:rPr>
                <w:sz w:val="20"/>
              </w:rPr>
              <w:t>478,0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5707" w:rsidRPr="00B65707" w:rsidRDefault="00B65707" w:rsidP="00B65707">
            <w:pPr>
              <w:jc w:val="center"/>
              <w:rPr>
                <w:sz w:val="20"/>
              </w:rPr>
            </w:pPr>
            <w:r w:rsidRPr="00B65707">
              <w:rPr>
                <w:sz w:val="20"/>
              </w:rPr>
              <w:t>692,6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5707" w:rsidRPr="00B65707" w:rsidRDefault="00B65707" w:rsidP="00B65707">
            <w:pPr>
              <w:jc w:val="center"/>
              <w:rPr>
                <w:sz w:val="20"/>
              </w:rPr>
            </w:pPr>
            <w:r w:rsidRPr="00B65707">
              <w:rPr>
                <w:sz w:val="20"/>
              </w:rPr>
              <w:t>144,9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5707" w:rsidRPr="00B65707" w:rsidRDefault="00CE0386" w:rsidP="00B657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 11,6 раз</w:t>
            </w:r>
          </w:p>
        </w:tc>
      </w:tr>
      <w:tr w:rsidR="00B65707" w:rsidRPr="00B65707" w:rsidTr="00B65707">
        <w:trPr>
          <w:trHeight w:val="20"/>
        </w:trPr>
        <w:tc>
          <w:tcPr>
            <w:tcW w:w="3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B65707" w:rsidRPr="00B65707" w:rsidRDefault="00B65707" w:rsidP="00DC4DFB">
            <w:pPr>
              <w:rPr>
                <w:b/>
                <w:bCs/>
                <w:sz w:val="20"/>
              </w:rPr>
            </w:pPr>
            <w:r w:rsidRPr="00B65707">
              <w:rPr>
                <w:b/>
                <w:bCs/>
                <w:sz w:val="20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hideMark/>
          </w:tcPr>
          <w:p w:rsidR="00B65707" w:rsidRPr="00B65707" w:rsidRDefault="00B65707" w:rsidP="00B65707">
            <w:pPr>
              <w:jc w:val="center"/>
              <w:rPr>
                <w:b/>
                <w:bCs/>
                <w:sz w:val="20"/>
              </w:rPr>
            </w:pPr>
            <w:r w:rsidRPr="00B65707">
              <w:rPr>
                <w:b/>
                <w:bCs/>
                <w:sz w:val="20"/>
              </w:rPr>
              <w:t>582,6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hideMark/>
          </w:tcPr>
          <w:p w:rsidR="00B65707" w:rsidRPr="00B65707" w:rsidRDefault="00B65707" w:rsidP="00B65707">
            <w:pPr>
              <w:jc w:val="center"/>
              <w:rPr>
                <w:b/>
                <w:bCs/>
                <w:sz w:val="20"/>
              </w:rPr>
            </w:pPr>
            <w:r w:rsidRPr="00B65707">
              <w:rPr>
                <w:b/>
                <w:bCs/>
                <w:sz w:val="20"/>
              </w:rPr>
              <w:t>1 053,3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hideMark/>
          </w:tcPr>
          <w:p w:rsidR="00B65707" w:rsidRPr="00B65707" w:rsidRDefault="00B65707" w:rsidP="00B65707">
            <w:pPr>
              <w:jc w:val="center"/>
              <w:rPr>
                <w:b/>
                <w:bCs/>
                <w:sz w:val="20"/>
              </w:rPr>
            </w:pPr>
            <w:r w:rsidRPr="00B65707">
              <w:rPr>
                <w:b/>
                <w:bCs/>
                <w:sz w:val="20"/>
              </w:rPr>
              <w:t>1 392,8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hideMark/>
          </w:tcPr>
          <w:p w:rsidR="00B65707" w:rsidRPr="00B65707" w:rsidRDefault="00B65707" w:rsidP="00B65707">
            <w:pPr>
              <w:jc w:val="center"/>
              <w:rPr>
                <w:b/>
                <w:bCs/>
                <w:sz w:val="20"/>
              </w:rPr>
            </w:pPr>
            <w:r w:rsidRPr="00B65707">
              <w:rPr>
                <w:b/>
                <w:bCs/>
                <w:sz w:val="20"/>
              </w:rPr>
              <w:t>132,2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hideMark/>
          </w:tcPr>
          <w:p w:rsidR="00B65707" w:rsidRPr="00B65707" w:rsidRDefault="00CE0386" w:rsidP="00CE0386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в </w:t>
            </w:r>
            <w:r w:rsidR="00B65707" w:rsidRPr="00B65707">
              <w:rPr>
                <w:b/>
                <w:bCs/>
                <w:sz w:val="20"/>
              </w:rPr>
              <w:t>2</w:t>
            </w:r>
            <w:r>
              <w:rPr>
                <w:b/>
                <w:bCs/>
                <w:sz w:val="20"/>
              </w:rPr>
              <w:t>,4 раза</w:t>
            </w:r>
          </w:p>
        </w:tc>
      </w:tr>
    </w:tbl>
    <w:p w:rsidR="00D25027" w:rsidRDefault="00D25027" w:rsidP="00B21F9C">
      <w:pPr>
        <w:pStyle w:val="Style6"/>
        <w:widowControl/>
        <w:spacing w:before="29" w:line="274" w:lineRule="exact"/>
        <w:ind w:firstLine="720"/>
      </w:pPr>
    </w:p>
    <w:p w:rsidR="00F20157" w:rsidRPr="00F20157" w:rsidRDefault="00F20157" w:rsidP="00B21F9C">
      <w:pPr>
        <w:pStyle w:val="Style6"/>
        <w:widowControl/>
        <w:spacing w:before="29" w:line="274" w:lineRule="exact"/>
        <w:ind w:firstLine="720"/>
      </w:pPr>
      <w:r>
        <w:t>Относительно 201</w:t>
      </w:r>
      <w:r w:rsidR="00EC1B58">
        <w:t>6</w:t>
      </w:r>
      <w:r>
        <w:t xml:space="preserve"> года расходы по разделу</w:t>
      </w:r>
      <w:r w:rsidR="00CE0386">
        <w:t xml:space="preserve"> увеличились в отчетном году в 2,4 раза</w:t>
      </w:r>
      <w:r w:rsidR="00E13BB0">
        <w:t xml:space="preserve"> (с 582,6 млн. руб. до 1392,8 млн. руб.), что объясняется финансированием мероприятий по </w:t>
      </w:r>
      <w:r w:rsidR="00E13BB0">
        <w:lastRenderedPageBreak/>
        <w:t xml:space="preserve">подготовке к проведению матчей чемпионата по футболу в 2018 </w:t>
      </w:r>
      <w:proofErr w:type="gramStart"/>
      <w:r w:rsidR="00E13BB0">
        <w:t>году</w:t>
      </w:r>
      <w:proofErr w:type="gramEnd"/>
      <w:r w:rsidR="00E13BB0">
        <w:t xml:space="preserve"> как за счет средств федерального бюджета, так и за счет средств областного бюджета. </w:t>
      </w:r>
      <w:r>
        <w:t xml:space="preserve"> </w:t>
      </w:r>
    </w:p>
    <w:p w:rsidR="00F17604" w:rsidRDefault="00F20157" w:rsidP="00F17604">
      <w:pPr>
        <w:jc w:val="both"/>
      </w:pPr>
      <w:r>
        <w:tab/>
      </w:r>
      <w:r w:rsidR="00F17604">
        <w:t>При проведении внешних проверок бюджетной отчетности главных распорядителей средств областного бюджета, участвующих в данном разделе, установлены следующие нарушения законодательства и недостатки при использовании бюджетных средств.</w:t>
      </w:r>
    </w:p>
    <w:p w:rsidR="00101AF1" w:rsidRPr="00A42070" w:rsidRDefault="00101AF1" w:rsidP="00101AF1">
      <w:pPr>
        <w:ind w:firstLine="708"/>
        <w:jc w:val="both"/>
      </w:pPr>
      <w:proofErr w:type="gramStart"/>
      <w:r>
        <w:t xml:space="preserve">По результатам внешней проверки бюджетной отчетности </w:t>
      </w:r>
      <w:r w:rsidRPr="00101AF1">
        <w:rPr>
          <w:b/>
          <w:i/>
        </w:rPr>
        <w:t>комитета по физкультуре и спорту Волгоградской области</w:t>
      </w:r>
      <w:r>
        <w:t xml:space="preserve"> с</w:t>
      </w:r>
      <w:r w:rsidRPr="00A42070">
        <w:t>ледует отметить неисполнен</w:t>
      </w:r>
      <w:r>
        <w:t>ие расходов, утвержденных законом о бюджете на 2017 год</w:t>
      </w:r>
      <w:r w:rsidRPr="00A42070">
        <w:t xml:space="preserve"> на предоставление субвенции </w:t>
      </w:r>
      <w:r w:rsidRPr="00A42070">
        <w:rPr>
          <w:rFonts w:eastAsia="Calibri"/>
        </w:rPr>
        <w:t>городскому округу город-герой Волгоград</w:t>
      </w:r>
      <w:r w:rsidRPr="00A42070">
        <w:rPr>
          <w:color w:val="000000"/>
        </w:rPr>
        <w:t xml:space="preserve"> на осуществление отдельного государственного полномочия Волгоградской области </w:t>
      </w:r>
      <w:r w:rsidRPr="00A42070">
        <w:rPr>
          <w:rFonts w:eastAsia="Calibri"/>
        </w:rPr>
        <w:t>по обеспечению деятельности спортивного клуба</w:t>
      </w:r>
      <w:r>
        <w:rPr>
          <w:rFonts w:eastAsia="Calibri"/>
        </w:rPr>
        <w:t xml:space="preserve"> </w:t>
      </w:r>
      <w:r w:rsidRPr="00A42070">
        <w:rPr>
          <w:rFonts w:eastAsia="Calibri"/>
        </w:rPr>
        <w:t>в части участия в спортивных соревнованиях, организуемых и проводимых Ассоциацией «Профессиональная футбольная Лига»</w:t>
      </w:r>
      <w:r w:rsidR="000D74D7">
        <w:rPr>
          <w:rFonts w:eastAsia="Calibri"/>
        </w:rPr>
        <w:t>,</w:t>
      </w:r>
      <w:r w:rsidRPr="00A42070">
        <w:rPr>
          <w:rFonts w:eastAsia="Calibri"/>
        </w:rPr>
        <w:t xml:space="preserve"> в рамках реализации госпрограммы</w:t>
      </w:r>
      <w:proofErr w:type="gramEnd"/>
      <w:r w:rsidRPr="00A42070">
        <w:rPr>
          <w:rFonts w:eastAsia="Calibri"/>
        </w:rPr>
        <w:t xml:space="preserve"> «Развитие физической культуры и </w:t>
      </w:r>
      <w:r>
        <w:rPr>
          <w:rFonts w:eastAsia="Calibri"/>
        </w:rPr>
        <w:t>спорта в Волгоградской области»</w:t>
      </w:r>
      <w:r w:rsidRPr="00A42070">
        <w:rPr>
          <w:rFonts w:eastAsia="Calibri"/>
        </w:rPr>
        <w:t xml:space="preserve">. </w:t>
      </w:r>
      <w:r w:rsidRPr="00A42070">
        <w:t>Законом</w:t>
      </w:r>
      <w:r>
        <w:t xml:space="preserve"> о бюджете </w:t>
      </w:r>
      <w:r w:rsidRPr="00A42070">
        <w:rPr>
          <w:rFonts w:eastAsia="Calibri"/>
        </w:rPr>
        <w:t>на указанные цели предусм</w:t>
      </w:r>
      <w:r w:rsidR="000D74D7">
        <w:rPr>
          <w:rFonts w:eastAsia="Calibri"/>
        </w:rPr>
        <w:t>атривалось</w:t>
      </w:r>
      <w:r w:rsidRPr="00A42070">
        <w:rPr>
          <w:rFonts w:eastAsia="Calibri"/>
        </w:rPr>
        <w:t xml:space="preserve"> 12</w:t>
      </w:r>
      <w:r>
        <w:rPr>
          <w:rFonts w:eastAsia="Calibri"/>
        </w:rPr>
        <w:t>,4</w:t>
      </w:r>
      <w:r w:rsidRPr="00A42070">
        <w:rPr>
          <w:rFonts w:eastAsia="Calibri"/>
        </w:rPr>
        <w:t xml:space="preserve"> </w:t>
      </w:r>
      <w:r>
        <w:rPr>
          <w:rFonts w:eastAsia="Calibri"/>
        </w:rPr>
        <w:t>млн</w:t>
      </w:r>
      <w:r w:rsidRPr="00A42070">
        <w:rPr>
          <w:rFonts w:eastAsia="Calibri"/>
        </w:rPr>
        <w:t xml:space="preserve">. рублей. </w:t>
      </w:r>
      <w:r w:rsidR="00516286">
        <w:rPr>
          <w:rFonts w:eastAsia="Calibri"/>
        </w:rPr>
        <w:t>Однако в декабре 2017 года п</w:t>
      </w:r>
      <w:r w:rsidRPr="00A42070">
        <w:rPr>
          <w:rFonts w:eastAsia="Calibri"/>
        </w:rPr>
        <w:t xml:space="preserve">оказатели бюджетной росписи </w:t>
      </w:r>
      <w:r w:rsidR="00516286">
        <w:rPr>
          <w:rFonts w:eastAsia="Calibri"/>
        </w:rPr>
        <w:t xml:space="preserve">по данным расходам </w:t>
      </w:r>
      <w:r w:rsidRPr="00A42070">
        <w:rPr>
          <w:rFonts w:eastAsia="Calibri"/>
        </w:rPr>
        <w:t>были уменьшены до 1</w:t>
      </w:r>
      <w:r w:rsidR="00516286">
        <w:rPr>
          <w:rFonts w:eastAsia="Calibri"/>
        </w:rPr>
        <w:t>,3</w:t>
      </w:r>
      <w:r w:rsidRPr="00A42070">
        <w:rPr>
          <w:rFonts w:eastAsia="Calibri"/>
        </w:rPr>
        <w:t xml:space="preserve"> </w:t>
      </w:r>
      <w:r w:rsidR="00516286">
        <w:rPr>
          <w:rFonts w:eastAsia="Calibri"/>
        </w:rPr>
        <w:t>млн</w:t>
      </w:r>
      <w:r w:rsidRPr="00A42070">
        <w:rPr>
          <w:rFonts w:eastAsia="Calibri"/>
        </w:rPr>
        <w:t xml:space="preserve">. руб. в соответствии с уведомлением </w:t>
      </w:r>
      <w:r w:rsidR="00904D8A">
        <w:rPr>
          <w:rFonts w:eastAsia="Calibri"/>
        </w:rPr>
        <w:t>комитета финансов Волгоградской области</w:t>
      </w:r>
      <w:r w:rsidRPr="00A42070">
        <w:rPr>
          <w:rFonts w:eastAsia="Calibri"/>
        </w:rPr>
        <w:t xml:space="preserve"> в связи с перераспределением ассигнований между текущим финансовым годом и плановым периодом. </w:t>
      </w:r>
      <w:proofErr w:type="gramStart"/>
      <w:r w:rsidR="00DD51C1">
        <w:rPr>
          <w:rFonts w:eastAsia="Calibri"/>
        </w:rPr>
        <w:t xml:space="preserve">Снижение ассигнований на субвенцию относительно утвержденных законом о бюджете привело к необходимости погашения задолженности перед городским округом в 2018 году, для чего потребовалось не только внесение соответствующих ассигнований в закон о бюджете на 2018 год, но и </w:t>
      </w:r>
      <w:r w:rsidR="000D74D7">
        <w:rPr>
          <w:rFonts w:eastAsia="Calibri"/>
        </w:rPr>
        <w:t>принятия нового</w:t>
      </w:r>
      <w:r w:rsidR="00DD51C1">
        <w:rPr>
          <w:rFonts w:eastAsia="Calibri"/>
        </w:rPr>
        <w:t xml:space="preserve"> областного закона о наделении Волгограда </w:t>
      </w:r>
      <w:r w:rsidR="00DD51C1" w:rsidRPr="00A42070">
        <w:rPr>
          <w:color w:val="000000"/>
        </w:rPr>
        <w:t>отдельн</w:t>
      </w:r>
      <w:r w:rsidR="00DD51C1">
        <w:rPr>
          <w:color w:val="000000"/>
        </w:rPr>
        <w:t>ым</w:t>
      </w:r>
      <w:r w:rsidR="00DD51C1" w:rsidRPr="00A42070">
        <w:rPr>
          <w:color w:val="000000"/>
        </w:rPr>
        <w:t xml:space="preserve"> государственн</w:t>
      </w:r>
      <w:r w:rsidR="00DD51C1">
        <w:rPr>
          <w:color w:val="000000"/>
        </w:rPr>
        <w:t>ым</w:t>
      </w:r>
      <w:r w:rsidR="00DD51C1" w:rsidRPr="00A42070">
        <w:rPr>
          <w:color w:val="000000"/>
        </w:rPr>
        <w:t xml:space="preserve"> полномочи</w:t>
      </w:r>
      <w:r w:rsidR="00DD51C1">
        <w:rPr>
          <w:color w:val="000000"/>
        </w:rPr>
        <w:t>ем</w:t>
      </w:r>
      <w:r w:rsidR="00DD51C1" w:rsidRPr="00A42070">
        <w:rPr>
          <w:color w:val="000000"/>
        </w:rPr>
        <w:t xml:space="preserve"> Волгоградской области </w:t>
      </w:r>
      <w:r w:rsidR="00DD51C1" w:rsidRPr="00A42070">
        <w:rPr>
          <w:rFonts w:eastAsia="Calibri"/>
        </w:rPr>
        <w:t>по обеспечению деятельности спортивного клуба в части участия в спортивных соревнованиях</w:t>
      </w:r>
      <w:proofErr w:type="gramEnd"/>
      <w:r w:rsidR="00DD51C1" w:rsidRPr="00A42070">
        <w:rPr>
          <w:rFonts w:eastAsia="Calibri"/>
        </w:rPr>
        <w:t xml:space="preserve">, </w:t>
      </w:r>
      <w:proofErr w:type="gramStart"/>
      <w:r w:rsidR="00DD51C1" w:rsidRPr="00A42070">
        <w:rPr>
          <w:rFonts w:eastAsia="Calibri"/>
        </w:rPr>
        <w:t>организуемых</w:t>
      </w:r>
      <w:proofErr w:type="gramEnd"/>
      <w:r w:rsidR="00DD51C1" w:rsidRPr="00A42070">
        <w:rPr>
          <w:rFonts w:eastAsia="Calibri"/>
        </w:rPr>
        <w:t xml:space="preserve"> и проводимых Ассоциацией «Профессиональная футбольная Лига»</w:t>
      </w:r>
      <w:r w:rsidR="00DD51C1">
        <w:rPr>
          <w:rFonts w:eastAsia="Calibri"/>
        </w:rPr>
        <w:t>, на текущий год.</w:t>
      </w:r>
      <w:r w:rsidR="00DD51C1" w:rsidRPr="00A42070">
        <w:rPr>
          <w:rFonts w:eastAsia="Calibri"/>
        </w:rPr>
        <w:t xml:space="preserve"> </w:t>
      </w:r>
      <w:r w:rsidR="00DD51C1">
        <w:rPr>
          <w:rFonts w:eastAsia="Calibri"/>
        </w:rPr>
        <w:t xml:space="preserve"> </w:t>
      </w:r>
    </w:p>
    <w:p w:rsidR="00E84E55" w:rsidRPr="00A42070" w:rsidRDefault="00E84E55" w:rsidP="00E84E55">
      <w:pPr>
        <w:pStyle w:val="aa"/>
        <w:ind w:firstLine="709"/>
        <w:jc w:val="both"/>
        <w:rPr>
          <w:b/>
        </w:rPr>
      </w:pPr>
      <w:proofErr w:type="gramStart"/>
      <w:r w:rsidRPr="00A42070">
        <w:t xml:space="preserve">Прокуратурой Волгоградской области </w:t>
      </w:r>
      <w:r>
        <w:t xml:space="preserve">в 2017 году </w:t>
      </w:r>
      <w:r w:rsidRPr="00A42070">
        <w:t>совместно с КСП проведена проверка ГАПОУ В</w:t>
      </w:r>
      <w:r>
        <w:t>олгоградской области</w:t>
      </w:r>
      <w:r w:rsidRPr="00A42070">
        <w:t xml:space="preserve"> «Колледж олимпийского резерва имени дважды Героя Советского Союза А.И. </w:t>
      </w:r>
      <w:proofErr w:type="spellStart"/>
      <w:r w:rsidRPr="00A42070">
        <w:t>Родимцева</w:t>
      </w:r>
      <w:proofErr w:type="spellEnd"/>
      <w:r w:rsidRPr="00A42070">
        <w:t xml:space="preserve">» (далее Колледж) в части реализации подпрограммы «Развитие физической культуры, массового и детского спорта в Волгоградской области» госпрограммы «Развитие физической культуры и спорта Волгоградской области» за 2016 год и </w:t>
      </w:r>
      <w:r w:rsidRPr="00A42070">
        <w:rPr>
          <w:lang w:val="en-US"/>
        </w:rPr>
        <w:t>I</w:t>
      </w:r>
      <w:r w:rsidRPr="00A42070">
        <w:t xml:space="preserve"> полугодие 2017 года. </w:t>
      </w:r>
      <w:proofErr w:type="gramEnd"/>
    </w:p>
    <w:p w:rsidR="00E84E55" w:rsidRPr="00A42070" w:rsidRDefault="00E84E55" w:rsidP="00E84E55">
      <w:pPr>
        <w:pStyle w:val="aa"/>
        <w:ind w:firstLine="709"/>
        <w:jc w:val="both"/>
        <w:rPr>
          <w:b/>
        </w:rPr>
      </w:pPr>
      <w:proofErr w:type="gramStart"/>
      <w:r w:rsidRPr="00A42070">
        <w:t xml:space="preserve">Проверкой </w:t>
      </w:r>
      <w:r w:rsidR="0070600E">
        <w:t>установ</w:t>
      </w:r>
      <w:r w:rsidRPr="00A42070">
        <w:t xml:space="preserve">лено, что Колледжем планирование и осуществление закупки спортивного оборудования и инвентаря в рамках реализации мероприятий </w:t>
      </w:r>
      <w:r w:rsidR="00C01B89">
        <w:t>п</w:t>
      </w:r>
      <w:r w:rsidRPr="00A42070">
        <w:t xml:space="preserve">одпрограммы в 2016 году, в том числе при формировании учреждением плана закупки товаров (работ, услуг), произведено </w:t>
      </w:r>
      <w:r w:rsidR="0070600E">
        <w:t>в отсутствие п</w:t>
      </w:r>
      <w:r w:rsidRPr="00A42070">
        <w:t>одготовленно</w:t>
      </w:r>
      <w:r w:rsidR="0070600E">
        <w:t>го</w:t>
      </w:r>
      <w:r w:rsidRPr="00A42070">
        <w:t xml:space="preserve"> помещения для установки части оборудования и отсутствии возможности его использования с учетом специфики спортивной деятельности учреждения. </w:t>
      </w:r>
      <w:proofErr w:type="gramEnd"/>
    </w:p>
    <w:p w:rsidR="00E84E55" w:rsidRPr="00A42070" w:rsidRDefault="00E84E55" w:rsidP="00E84E55">
      <w:pPr>
        <w:pStyle w:val="aa"/>
        <w:ind w:firstLine="709"/>
        <w:jc w:val="both"/>
        <w:rPr>
          <w:b/>
        </w:rPr>
      </w:pPr>
      <w:proofErr w:type="gramStart"/>
      <w:r w:rsidRPr="00A42070">
        <w:t>В результате закупленное оборудование стоимостью 5</w:t>
      </w:r>
      <w:r w:rsidR="0070600E">
        <w:t>,2</w:t>
      </w:r>
      <w:r w:rsidRPr="00A42070">
        <w:t xml:space="preserve"> </w:t>
      </w:r>
      <w:r w:rsidR="0070600E">
        <w:t>млн</w:t>
      </w:r>
      <w:r w:rsidRPr="00A42070">
        <w:t>. руб., поставленное в декабре 2016 года, длительное время не использовалось, находилось в гаражных боксах и хозяйственном помещении учебного корпуса в разобранном состоянии, в заводских упаковках, в том числе оборудование, внесенное в реестр объектов госсобственности Волгоградской области в соответствии с распоряжением комитета по управлению государственным имуществом Волгоградской области от 31.03.2017 №2040-р (многофункциональный тренажерный комплекс</w:t>
      </w:r>
      <w:proofErr w:type="gramEnd"/>
      <w:r w:rsidRPr="00A42070">
        <w:t xml:space="preserve"> </w:t>
      </w:r>
      <w:proofErr w:type="gramStart"/>
      <w:r w:rsidRPr="00A42070">
        <w:t xml:space="preserve">с навесным оборудованием </w:t>
      </w:r>
      <w:r w:rsidR="0070600E">
        <w:t>–</w:t>
      </w:r>
      <w:r w:rsidRPr="00A42070">
        <w:t xml:space="preserve"> 1</w:t>
      </w:r>
      <w:r w:rsidR="0070600E">
        <w:t>,8</w:t>
      </w:r>
      <w:r w:rsidRPr="00A42070">
        <w:t xml:space="preserve"> </w:t>
      </w:r>
      <w:r w:rsidR="0070600E">
        <w:t>млн</w:t>
      </w:r>
      <w:r w:rsidRPr="00A42070">
        <w:t xml:space="preserve">. руб.; тренажер «Дорожка беговая» - </w:t>
      </w:r>
      <w:r w:rsidR="0070600E">
        <w:t>0,</w:t>
      </w:r>
      <w:r w:rsidRPr="00A42070">
        <w:t xml:space="preserve">4 </w:t>
      </w:r>
      <w:r w:rsidR="0070600E">
        <w:t>млн</w:t>
      </w:r>
      <w:r w:rsidRPr="00A42070">
        <w:t>. руб.; тренажер «</w:t>
      </w:r>
      <w:proofErr w:type="spellStart"/>
      <w:r w:rsidRPr="00A42070">
        <w:t>Элиптический</w:t>
      </w:r>
      <w:proofErr w:type="spellEnd"/>
      <w:r w:rsidRPr="00A42070">
        <w:t xml:space="preserve">» - </w:t>
      </w:r>
      <w:r w:rsidR="0070600E">
        <w:t>0,</w:t>
      </w:r>
      <w:r w:rsidRPr="00A42070">
        <w:t xml:space="preserve">2 </w:t>
      </w:r>
      <w:r w:rsidR="0070600E">
        <w:t>млн</w:t>
      </w:r>
      <w:r w:rsidRPr="00A42070">
        <w:t>. руб.).</w:t>
      </w:r>
      <w:proofErr w:type="gramEnd"/>
    </w:p>
    <w:p w:rsidR="00E84E55" w:rsidRPr="00A42070" w:rsidRDefault="00E84E55" w:rsidP="00E84E55">
      <w:pPr>
        <w:pStyle w:val="aa"/>
        <w:ind w:firstLine="709"/>
        <w:jc w:val="both"/>
        <w:rPr>
          <w:b/>
        </w:rPr>
      </w:pPr>
      <w:r w:rsidRPr="00A42070">
        <w:t xml:space="preserve">Прокуратурой </w:t>
      </w:r>
      <w:r w:rsidR="0070600E">
        <w:t>к</w:t>
      </w:r>
      <w:r w:rsidRPr="00A42070">
        <w:t xml:space="preserve">омитету направлено представление от 18.12.2017 для устранения в месячный срок выявленных нарушений. </w:t>
      </w:r>
    </w:p>
    <w:p w:rsidR="00E84E55" w:rsidRPr="00A42070" w:rsidRDefault="00E84E55" w:rsidP="00E84E55">
      <w:pPr>
        <w:pStyle w:val="aa"/>
        <w:ind w:firstLine="709"/>
        <w:jc w:val="both"/>
        <w:rPr>
          <w:b/>
        </w:rPr>
      </w:pPr>
      <w:r w:rsidRPr="00A42070">
        <w:t xml:space="preserve">Согласно представленной в КСП информации Колледжа (письмо от </w:t>
      </w:r>
      <w:r w:rsidR="00C01B89">
        <w:t>14.03.2018</w:t>
      </w:r>
      <w:r w:rsidRPr="00A42070">
        <w:t xml:space="preserve">) по истечении предоставленного </w:t>
      </w:r>
      <w:r w:rsidR="0070600E">
        <w:t>п</w:t>
      </w:r>
      <w:r w:rsidRPr="00A42070">
        <w:t>рокуратурой для устранения нарушений срока спортивное оборудование и инвентарь на сумму 1</w:t>
      </w:r>
      <w:r w:rsidR="0070600E">
        <w:t>,</w:t>
      </w:r>
      <w:r w:rsidRPr="00A42070">
        <w:t xml:space="preserve">1 </w:t>
      </w:r>
      <w:r w:rsidR="0070600E">
        <w:t>млн</w:t>
      </w:r>
      <w:r w:rsidRPr="00A42070">
        <w:t>. руб. (в т</w:t>
      </w:r>
      <w:r w:rsidR="0070600E">
        <w:t xml:space="preserve">ом </w:t>
      </w:r>
      <w:r w:rsidRPr="00A42070">
        <w:t>ч</w:t>
      </w:r>
      <w:r w:rsidR="0070600E">
        <w:t>исле</w:t>
      </w:r>
      <w:r w:rsidRPr="00A42070">
        <w:t xml:space="preserve"> вышеуказанные тренажер</w:t>
      </w:r>
      <w:r w:rsidR="00C01B89">
        <w:t>ы</w:t>
      </w:r>
      <w:r w:rsidRPr="00A42070">
        <w:t xml:space="preserve"> «Дорожка беговая» и «</w:t>
      </w:r>
      <w:proofErr w:type="spellStart"/>
      <w:r w:rsidRPr="00A42070">
        <w:t>Элиптический</w:t>
      </w:r>
      <w:proofErr w:type="spellEnd"/>
      <w:r w:rsidRPr="00A42070">
        <w:t xml:space="preserve">») не установлены и по назначению для проведения спортивных занятий и мероприятий не используются. Установку вышеуказанного имущества учреждение планирует осуществить после проведения ремонтных работ. </w:t>
      </w:r>
    </w:p>
    <w:p w:rsidR="00E84E55" w:rsidRPr="007D09DC" w:rsidRDefault="00E84E55" w:rsidP="007D09DC">
      <w:pPr>
        <w:ind w:firstLine="708"/>
        <w:jc w:val="both"/>
      </w:pPr>
      <w:r w:rsidRPr="00A42070">
        <w:lastRenderedPageBreak/>
        <w:t xml:space="preserve">Кроме того, часть складируемого спортивного оборудования и инвентаря стоимостью 196,9 тыс. руб. (комплект булав; набор ядер легкоатлетических; место приземления) в настоящее время Колледжем </w:t>
      </w:r>
      <w:r w:rsidR="00876D3E">
        <w:t xml:space="preserve">также </w:t>
      </w:r>
      <w:r w:rsidRPr="00A42070">
        <w:t xml:space="preserve">не используется </w:t>
      </w:r>
      <w:r w:rsidR="00A3453E" w:rsidRPr="00A42070">
        <w:t xml:space="preserve">по назначению </w:t>
      </w:r>
      <w:r w:rsidRPr="00A42070">
        <w:t xml:space="preserve">по причине отсутствия возможности его использования в силу специфики спортивной деятельности учреждения и оказываемых услуг. В этой связи Колледж ранее направил в </w:t>
      </w:r>
      <w:r w:rsidR="00876D3E">
        <w:t>к</w:t>
      </w:r>
      <w:r w:rsidRPr="00A42070">
        <w:t xml:space="preserve">омитет письмо от 24.01.2018 с просьбой оказать содействие в передаче имущества в другие учреждения для использования. Однако на протяжении года с момента поставки </w:t>
      </w:r>
      <w:r w:rsidR="00AA3201" w:rsidRPr="007D09DC">
        <w:t xml:space="preserve">оборудования </w:t>
      </w:r>
      <w:r w:rsidRPr="007D09DC">
        <w:t>до проведения проверки вопрос обеспечения эффективного использования спортивного имущества, приобретенного за счет средств областного бюджета, не решался.</w:t>
      </w:r>
    </w:p>
    <w:p w:rsidR="007D09DC" w:rsidRPr="007D09DC" w:rsidRDefault="007D09DC" w:rsidP="007D09DC">
      <w:pPr>
        <w:pStyle w:val="1"/>
        <w:spacing w:before="0" w:after="0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bookmarkStart w:id="1" w:name="_GoBack"/>
      <w:bookmarkEnd w:id="1"/>
      <w:r w:rsidRPr="007D09DC">
        <w:rPr>
          <w:rFonts w:ascii="Times New Roman" w:hAnsi="Times New Roman"/>
          <w:b w:val="0"/>
          <w:i/>
          <w:color w:val="auto"/>
          <w:sz w:val="24"/>
          <w:szCs w:val="24"/>
        </w:rPr>
        <w:tab/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Расходы </w:t>
      </w:r>
      <w:r w:rsidRPr="007D09DC">
        <w:rPr>
          <w:rFonts w:ascii="Times New Roman" w:hAnsi="Times New Roman"/>
          <w:i/>
          <w:color w:val="auto"/>
          <w:sz w:val="24"/>
          <w:szCs w:val="24"/>
        </w:rPr>
        <w:t>комитета строительства Волгоградской области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п</w:t>
      </w:r>
      <w:r w:rsidRPr="007D09DC">
        <w:rPr>
          <w:rFonts w:ascii="Times New Roman" w:hAnsi="Times New Roman"/>
          <w:b w:val="0"/>
          <w:color w:val="auto"/>
          <w:sz w:val="24"/>
          <w:szCs w:val="24"/>
        </w:rPr>
        <w:t xml:space="preserve">о подразделу 1102 «Массовый спорт» исполнены </w:t>
      </w:r>
      <w:r w:rsidR="00B958EB">
        <w:rPr>
          <w:rFonts w:ascii="Times New Roman" w:hAnsi="Times New Roman"/>
          <w:b w:val="0"/>
          <w:color w:val="auto"/>
          <w:sz w:val="24"/>
          <w:szCs w:val="24"/>
        </w:rPr>
        <w:t>в отчетном году на</w:t>
      </w:r>
      <w:r w:rsidRPr="007D09DC">
        <w:rPr>
          <w:rFonts w:ascii="Times New Roman" w:hAnsi="Times New Roman"/>
          <w:b w:val="0"/>
          <w:color w:val="auto"/>
          <w:sz w:val="24"/>
          <w:szCs w:val="24"/>
        </w:rPr>
        <w:t xml:space="preserve"> 9</w:t>
      </w:r>
      <w:r>
        <w:rPr>
          <w:rFonts w:ascii="Times New Roman" w:hAnsi="Times New Roman"/>
          <w:b w:val="0"/>
          <w:color w:val="auto"/>
          <w:sz w:val="24"/>
          <w:szCs w:val="24"/>
        </w:rPr>
        <w:t>,1</w:t>
      </w:r>
      <w:r w:rsidRPr="007D09DC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</w:rPr>
        <w:t>млн</w:t>
      </w:r>
      <w:r w:rsidRPr="007D09DC">
        <w:rPr>
          <w:rFonts w:ascii="Times New Roman" w:hAnsi="Times New Roman"/>
          <w:b w:val="0"/>
          <w:color w:val="auto"/>
          <w:sz w:val="24"/>
          <w:szCs w:val="24"/>
        </w:rPr>
        <w:t xml:space="preserve">. руб., 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что составило </w:t>
      </w:r>
      <w:r w:rsidRPr="007D09DC">
        <w:rPr>
          <w:rFonts w:ascii="Times New Roman" w:hAnsi="Times New Roman"/>
          <w:b w:val="0"/>
          <w:color w:val="auto"/>
          <w:sz w:val="24"/>
          <w:szCs w:val="24"/>
        </w:rPr>
        <w:t xml:space="preserve">10,7% от назначений сводной бюджетной росписи и 7% от ассигнований, утвержденных </w:t>
      </w:r>
      <w:r>
        <w:rPr>
          <w:rFonts w:ascii="Times New Roman" w:hAnsi="Times New Roman"/>
          <w:b w:val="0"/>
          <w:color w:val="auto"/>
          <w:sz w:val="24"/>
          <w:szCs w:val="24"/>
        </w:rPr>
        <w:t>з</w:t>
      </w:r>
      <w:r w:rsidRPr="007D09DC">
        <w:rPr>
          <w:rFonts w:ascii="Times New Roman" w:hAnsi="Times New Roman"/>
          <w:b w:val="0"/>
          <w:color w:val="auto"/>
          <w:sz w:val="24"/>
          <w:szCs w:val="24"/>
        </w:rPr>
        <w:t>аконом о бюджете</w:t>
      </w:r>
      <w:r>
        <w:rPr>
          <w:rFonts w:ascii="Times New Roman" w:hAnsi="Times New Roman"/>
          <w:b w:val="0"/>
          <w:color w:val="auto"/>
          <w:sz w:val="24"/>
          <w:szCs w:val="24"/>
        </w:rPr>
        <w:t>. Данные средства</w:t>
      </w:r>
      <w:r w:rsidRPr="007D09DC">
        <w:rPr>
          <w:rFonts w:ascii="Times New Roman" w:hAnsi="Times New Roman"/>
          <w:b w:val="0"/>
          <w:color w:val="auto"/>
          <w:sz w:val="24"/>
          <w:szCs w:val="24"/>
        </w:rPr>
        <w:t xml:space="preserve"> направлены на реализацию мероприятий </w:t>
      </w:r>
      <w:hyperlink r:id="rId9" w:history="1">
        <w:r w:rsidRPr="007D09DC">
          <w:rPr>
            <w:rFonts w:ascii="Times New Roman" w:hAnsi="Times New Roman"/>
            <w:b w:val="0"/>
            <w:color w:val="auto"/>
            <w:sz w:val="24"/>
            <w:szCs w:val="24"/>
          </w:rPr>
          <w:t>подпрограммы</w:t>
        </w:r>
      </w:hyperlink>
      <w:r w:rsidRPr="007D09DC">
        <w:rPr>
          <w:rFonts w:ascii="Times New Roman" w:hAnsi="Times New Roman"/>
          <w:b w:val="0"/>
          <w:color w:val="auto"/>
          <w:sz w:val="24"/>
          <w:szCs w:val="24"/>
        </w:rPr>
        <w:t xml:space="preserve"> «Развитие инфраструктуры и материально-технической базы для занятий физической культурой и спортом в Волгоградской области» </w:t>
      </w:r>
      <w:proofErr w:type="gramStart"/>
      <w:r w:rsidRPr="007D09DC">
        <w:rPr>
          <w:rFonts w:ascii="Times New Roman" w:hAnsi="Times New Roman"/>
          <w:b w:val="0"/>
          <w:color w:val="auto"/>
          <w:sz w:val="24"/>
          <w:szCs w:val="24"/>
        </w:rPr>
        <w:t>гос</w:t>
      </w:r>
      <w:hyperlink r:id="rId10" w:history="1">
        <w:r w:rsidRPr="007D09DC">
          <w:rPr>
            <w:rFonts w:ascii="Times New Roman" w:hAnsi="Times New Roman"/>
            <w:b w:val="0"/>
            <w:color w:val="auto"/>
            <w:sz w:val="24"/>
            <w:szCs w:val="24"/>
          </w:rPr>
          <w:t>программ</w:t>
        </w:r>
        <w:proofErr w:type="gramEnd"/>
      </w:hyperlink>
      <w:r>
        <w:rPr>
          <w:rFonts w:ascii="Times New Roman" w:hAnsi="Times New Roman"/>
          <w:b w:val="0"/>
          <w:color w:val="auto"/>
          <w:sz w:val="24"/>
          <w:szCs w:val="24"/>
        </w:rPr>
        <w:t>ы</w:t>
      </w:r>
      <w:r w:rsidRPr="007D09DC">
        <w:rPr>
          <w:rFonts w:ascii="Times New Roman" w:hAnsi="Times New Roman"/>
          <w:b w:val="0"/>
          <w:color w:val="auto"/>
          <w:sz w:val="24"/>
          <w:szCs w:val="24"/>
        </w:rPr>
        <w:t xml:space="preserve"> «Развитие физической культуры и спорта в Волгоградской области», утвержденной п</w:t>
      </w:r>
      <w:r w:rsidRPr="007D09DC">
        <w:rPr>
          <w:rFonts w:ascii="Times New Roman" w:hAnsi="Times New Roman"/>
          <w:b w:val="0"/>
          <w:bCs w:val="0"/>
          <w:color w:val="auto"/>
          <w:sz w:val="24"/>
          <w:szCs w:val="24"/>
        </w:rPr>
        <w:t>остановлением Правительства Волгоградской области от 16.12.2013 №746-п</w:t>
      </w:r>
      <w:r>
        <w:rPr>
          <w:rFonts w:ascii="Times New Roman" w:hAnsi="Times New Roman"/>
          <w:b w:val="0"/>
          <w:bCs w:val="0"/>
          <w:color w:val="auto"/>
          <w:sz w:val="24"/>
          <w:szCs w:val="24"/>
        </w:rPr>
        <w:t xml:space="preserve"> (далее Программа №746-п)</w:t>
      </w:r>
      <w:r w:rsidRPr="007D09DC">
        <w:rPr>
          <w:rFonts w:ascii="Times New Roman" w:hAnsi="Times New Roman"/>
          <w:b w:val="0"/>
          <w:bCs w:val="0"/>
          <w:color w:val="auto"/>
          <w:sz w:val="24"/>
          <w:szCs w:val="24"/>
        </w:rPr>
        <w:t>.</w:t>
      </w:r>
    </w:p>
    <w:p w:rsidR="007D09DC" w:rsidRDefault="007D09DC" w:rsidP="007D09DC">
      <w:pPr>
        <w:pStyle w:val="Default"/>
        <w:ind w:firstLine="708"/>
        <w:jc w:val="both"/>
        <w:rPr>
          <w:color w:val="auto"/>
        </w:rPr>
      </w:pPr>
      <w:r w:rsidRPr="007D09DC">
        <w:rPr>
          <w:color w:val="auto"/>
        </w:rPr>
        <w:t xml:space="preserve">Программой №746-п на </w:t>
      </w:r>
      <w:proofErr w:type="spellStart"/>
      <w:r w:rsidRPr="007D09DC">
        <w:rPr>
          <w:color w:val="auto"/>
        </w:rPr>
        <w:t>софинансирование</w:t>
      </w:r>
      <w:proofErr w:type="spellEnd"/>
      <w:r w:rsidRPr="007D09DC">
        <w:rPr>
          <w:color w:val="auto"/>
        </w:rPr>
        <w:t xml:space="preserve"> расходов муниципальных образований на капитальные вложения в спортивные объекты предусм</w:t>
      </w:r>
      <w:r w:rsidR="00FA3FBE">
        <w:rPr>
          <w:color w:val="auto"/>
        </w:rPr>
        <w:t>атривалось</w:t>
      </w:r>
      <w:r w:rsidRPr="007D09DC">
        <w:rPr>
          <w:color w:val="auto"/>
        </w:rPr>
        <w:t xml:space="preserve"> 134</w:t>
      </w:r>
      <w:r w:rsidR="00FA3FBE">
        <w:rPr>
          <w:color w:val="auto"/>
        </w:rPr>
        <w:t>,7</w:t>
      </w:r>
      <w:r w:rsidRPr="007D09DC">
        <w:rPr>
          <w:color w:val="auto"/>
        </w:rPr>
        <w:t xml:space="preserve"> </w:t>
      </w:r>
      <w:r w:rsidR="00FA3FBE">
        <w:rPr>
          <w:color w:val="auto"/>
        </w:rPr>
        <w:t>млн</w:t>
      </w:r>
      <w:r w:rsidRPr="007D09DC">
        <w:rPr>
          <w:color w:val="auto"/>
        </w:rPr>
        <w:t>. руб., из них за</w:t>
      </w:r>
      <w:r>
        <w:rPr>
          <w:color w:val="auto"/>
        </w:rPr>
        <w:t xml:space="preserve"> счет средств федерального бюджета – 3</w:t>
      </w:r>
      <w:r w:rsidRPr="005067CB">
        <w:rPr>
          <w:color w:val="auto"/>
        </w:rPr>
        <w:t>7</w:t>
      </w:r>
      <w:r w:rsidR="00FA3FBE">
        <w:rPr>
          <w:color w:val="auto"/>
        </w:rPr>
        <w:t>,</w:t>
      </w:r>
      <w:r w:rsidRPr="005067CB">
        <w:rPr>
          <w:color w:val="auto"/>
        </w:rPr>
        <w:t xml:space="preserve">5 </w:t>
      </w:r>
      <w:r w:rsidR="00FA3FBE">
        <w:rPr>
          <w:color w:val="auto"/>
        </w:rPr>
        <w:t>млн</w:t>
      </w:r>
      <w:r w:rsidRPr="005067CB">
        <w:rPr>
          <w:color w:val="auto"/>
        </w:rPr>
        <w:t>. руб</w:t>
      </w:r>
      <w:r>
        <w:rPr>
          <w:color w:val="auto"/>
        </w:rPr>
        <w:t xml:space="preserve">., </w:t>
      </w:r>
      <w:r w:rsidRPr="005067CB">
        <w:rPr>
          <w:color w:val="auto"/>
        </w:rPr>
        <w:t>областно</w:t>
      </w:r>
      <w:r>
        <w:rPr>
          <w:color w:val="auto"/>
        </w:rPr>
        <w:t>го</w:t>
      </w:r>
      <w:r w:rsidRPr="005067CB">
        <w:rPr>
          <w:color w:val="auto"/>
        </w:rPr>
        <w:t xml:space="preserve"> бюджет</w:t>
      </w:r>
      <w:r>
        <w:rPr>
          <w:color w:val="auto"/>
        </w:rPr>
        <w:t xml:space="preserve">а – </w:t>
      </w:r>
      <w:r w:rsidRPr="005067CB">
        <w:rPr>
          <w:color w:val="auto"/>
        </w:rPr>
        <w:t>91</w:t>
      </w:r>
      <w:r w:rsidR="00FA3FBE">
        <w:rPr>
          <w:color w:val="auto"/>
        </w:rPr>
        <w:t>,</w:t>
      </w:r>
      <w:r w:rsidRPr="005067CB">
        <w:rPr>
          <w:color w:val="auto"/>
        </w:rPr>
        <w:t xml:space="preserve">3 </w:t>
      </w:r>
      <w:r w:rsidR="00FA3FBE">
        <w:rPr>
          <w:color w:val="auto"/>
        </w:rPr>
        <w:t>млн</w:t>
      </w:r>
      <w:r w:rsidRPr="005067CB">
        <w:rPr>
          <w:color w:val="auto"/>
        </w:rPr>
        <w:t>. руб</w:t>
      </w:r>
      <w:r>
        <w:rPr>
          <w:color w:val="auto"/>
        </w:rPr>
        <w:t>.</w:t>
      </w:r>
      <w:r w:rsidRPr="005067CB">
        <w:rPr>
          <w:color w:val="auto"/>
        </w:rPr>
        <w:t xml:space="preserve">, </w:t>
      </w:r>
      <w:r>
        <w:rPr>
          <w:color w:val="auto"/>
        </w:rPr>
        <w:t xml:space="preserve"> </w:t>
      </w:r>
      <w:r w:rsidRPr="005067CB">
        <w:rPr>
          <w:color w:val="auto"/>
        </w:rPr>
        <w:t>местн</w:t>
      </w:r>
      <w:r>
        <w:rPr>
          <w:color w:val="auto"/>
        </w:rPr>
        <w:t>ого бюджета – 5</w:t>
      </w:r>
      <w:r w:rsidR="00FA3FBE">
        <w:rPr>
          <w:color w:val="auto"/>
        </w:rPr>
        <w:t>,9</w:t>
      </w:r>
      <w:r>
        <w:rPr>
          <w:color w:val="auto"/>
        </w:rPr>
        <w:t xml:space="preserve"> </w:t>
      </w:r>
      <w:r w:rsidR="00FA3FBE">
        <w:rPr>
          <w:color w:val="auto"/>
        </w:rPr>
        <w:t>млн</w:t>
      </w:r>
      <w:r>
        <w:rPr>
          <w:color w:val="auto"/>
        </w:rPr>
        <w:t>. руб., в том числе:</w:t>
      </w:r>
    </w:p>
    <w:p w:rsidR="007D09DC" w:rsidRDefault="007D09DC" w:rsidP="007D09DC">
      <w:pPr>
        <w:pStyle w:val="Default"/>
        <w:ind w:firstLine="708"/>
        <w:jc w:val="both"/>
        <w:rPr>
          <w:color w:val="auto"/>
        </w:rPr>
      </w:pPr>
      <w:r>
        <w:rPr>
          <w:color w:val="auto"/>
        </w:rPr>
        <w:t>-</w:t>
      </w:r>
      <w:r w:rsidR="00717C21">
        <w:rPr>
          <w:color w:val="auto"/>
        </w:rPr>
        <w:t>р</w:t>
      </w:r>
      <w:r w:rsidRPr="00BB0C80">
        <w:rPr>
          <w:color w:val="auto"/>
        </w:rPr>
        <w:t xml:space="preserve">егиональный спортивно-тренировочный центр </w:t>
      </w:r>
      <w:proofErr w:type="gramStart"/>
      <w:r w:rsidRPr="00BB0C80">
        <w:rPr>
          <w:color w:val="auto"/>
        </w:rPr>
        <w:t>г</w:t>
      </w:r>
      <w:proofErr w:type="gramEnd"/>
      <w:r w:rsidRPr="00BB0C80">
        <w:rPr>
          <w:color w:val="auto"/>
        </w:rPr>
        <w:t xml:space="preserve">. Котельниково </w:t>
      </w:r>
      <w:r>
        <w:rPr>
          <w:color w:val="auto"/>
        </w:rPr>
        <w:t xml:space="preserve">- 75 </w:t>
      </w:r>
      <w:r w:rsidR="00FA3FBE">
        <w:rPr>
          <w:color w:val="auto"/>
        </w:rPr>
        <w:t>млн</w:t>
      </w:r>
      <w:r>
        <w:rPr>
          <w:color w:val="auto"/>
        </w:rPr>
        <w:t>. руб.</w:t>
      </w:r>
      <w:r w:rsidR="00FA3FBE">
        <w:rPr>
          <w:color w:val="auto"/>
        </w:rPr>
        <w:t xml:space="preserve"> (без учета средств местного бюджета)</w:t>
      </w:r>
      <w:r>
        <w:rPr>
          <w:color w:val="auto"/>
        </w:rPr>
        <w:t>;</w:t>
      </w:r>
    </w:p>
    <w:p w:rsidR="007D09DC" w:rsidRDefault="007D09DC" w:rsidP="007D09DC">
      <w:pPr>
        <w:pStyle w:val="Default"/>
        <w:ind w:firstLine="708"/>
        <w:jc w:val="both"/>
        <w:rPr>
          <w:color w:val="auto"/>
        </w:rPr>
      </w:pPr>
      <w:r>
        <w:rPr>
          <w:color w:val="auto"/>
        </w:rPr>
        <w:t>-</w:t>
      </w:r>
      <w:r w:rsidR="00717C21">
        <w:rPr>
          <w:color w:val="auto"/>
        </w:rPr>
        <w:t>п</w:t>
      </w:r>
      <w:r w:rsidRPr="00BB0C80">
        <w:rPr>
          <w:color w:val="auto"/>
        </w:rPr>
        <w:t>лавательный бассейн в с</w:t>
      </w:r>
      <w:r>
        <w:rPr>
          <w:color w:val="auto"/>
        </w:rPr>
        <w:t>еле</w:t>
      </w:r>
      <w:r w:rsidRPr="00BB0C80">
        <w:rPr>
          <w:color w:val="auto"/>
        </w:rPr>
        <w:t xml:space="preserve"> Старая Полтавка </w:t>
      </w:r>
      <w:proofErr w:type="spellStart"/>
      <w:r w:rsidRPr="00BB0C80">
        <w:rPr>
          <w:color w:val="auto"/>
        </w:rPr>
        <w:t>Старополтавского</w:t>
      </w:r>
      <w:proofErr w:type="spellEnd"/>
      <w:r w:rsidRPr="00BB0C80">
        <w:rPr>
          <w:color w:val="auto"/>
        </w:rPr>
        <w:t xml:space="preserve"> района</w:t>
      </w:r>
      <w:r w:rsidR="00717C21">
        <w:rPr>
          <w:color w:val="auto"/>
        </w:rPr>
        <w:t xml:space="preserve"> -</w:t>
      </w:r>
      <w:r w:rsidRPr="00BB0C80">
        <w:rPr>
          <w:color w:val="auto"/>
        </w:rPr>
        <w:t xml:space="preserve"> 26</w:t>
      </w:r>
      <w:r w:rsidR="00FA3FBE">
        <w:rPr>
          <w:color w:val="auto"/>
        </w:rPr>
        <w:t>,</w:t>
      </w:r>
      <w:r w:rsidRPr="00BB0C80">
        <w:rPr>
          <w:color w:val="auto"/>
        </w:rPr>
        <w:t xml:space="preserve">3 </w:t>
      </w:r>
      <w:r w:rsidR="00FA3FBE">
        <w:rPr>
          <w:color w:val="auto"/>
        </w:rPr>
        <w:t>млн</w:t>
      </w:r>
      <w:r w:rsidRPr="00BB0C80">
        <w:rPr>
          <w:color w:val="auto"/>
        </w:rPr>
        <w:t>. руб.</w:t>
      </w:r>
      <w:r w:rsidR="00FA3FBE" w:rsidRPr="00FA3FBE">
        <w:rPr>
          <w:color w:val="auto"/>
        </w:rPr>
        <w:t xml:space="preserve"> </w:t>
      </w:r>
      <w:r w:rsidR="00FA3FBE">
        <w:rPr>
          <w:color w:val="auto"/>
        </w:rPr>
        <w:t>(без учета средств местного бюджета)</w:t>
      </w:r>
      <w:r w:rsidRPr="00BB0C80">
        <w:rPr>
          <w:color w:val="auto"/>
        </w:rPr>
        <w:t>;</w:t>
      </w:r>
    </w:p>
    <w:p w:rsidR="007D09DC" w:rsidRDefault="007D09DC" w:rsidP="007D09DC">
      <w:pPr>
        <w:pStyle w:val="Default"/>
        <w:ind w:firstLine="708"/>
        <w:jc w:val="both"/>
        <w:rPr>
          <w:color w:val="auto"/>
        </w:rPr>
      </w:pPr>
      <w:r>
        <w:rPr>
          <w:color w:val="auto"/>
        </w:rPr>
        <w:t>-</w:t>
      </w:r>
      <w:r w:rsidR="00717C21">
        <w:rPr>
          <w:color w:val="auto"/>
        </w:rPr>
        <w:t>у</w:t>
      </w:r>
      <w:r w:rsidRPr="005067CB">
        <w:rPr>
          <w:color w:val="auto"/>
        </w:rPr>
        <w:t xml:space="preserve">ниверсальный спортивный зал в п. </w:t>
      </w:r>
      <w:proofErr w:type="spellStart"/>
      <w:r w:rsidRPr="005067CB">
        <w:rPr>
          <w:color w:val="auto"/>
        </w:rPr>
        <w:t>Пятиморск</w:t>
      </w:r>
      <w:proofErr w:type="spellEnd"/>
      <w:r w:rsidRPr="005067CB">
        <w:rPr>
          <w:color w:val="auto"/>
        </w:rPr>
        <w:t xml:space="preserve"> </w:t>
      </w:r>
      <w:proofErr w:type="spellStart"/>
      <w:r w:rsidRPr="005067CB">
        <w:rPr>
          <w:color w:val="auto"/>
        </w:rPr>
        <w:t>Калачевского</w:t>
      </w:r>
      <w:proofErr w:type="spellEnd"/>
      <w:r w:rsidRPr="005067CB">
        <w:rPr>
          <w:color w:val="auto"/>
        </w:rPr>
        <w:t xml:space="preserve"> района</w:t>
      </w:r>
      <w:r w:rsidR="00717C21">
        <w:rPr>
          <w:color w:val="auto"/>
        </w:rPr>
        <w:t xml:space="preserve"> -</w:t>
      </w:r>
      <w:r w:rsidRPr="005067CB">
        <w:rPr>
          <w:color w:val="auto"/>
        </w:rPr>
        <w:t xml:space="preserve"> 27</w:t>
      </w:r>
      <w:r w:rsidR="00FA3FBE">
        <w:rPr>
          <w:color w:val="auto"/>
        </w:rPr>
        <w:t>,5</w:t>
      </w:r>
      <w:r w:rsidRPr="005067CB">
        <w:rPr>
          <w:color w:val="auto"/>
        </w:rPr>
        <w:t xml:space="preserve"> </w:t>
      </w:r>
      <w:r w:rsidR="00FA3FBE">
        <w:rPr>
          <w:color w:val="auto"/>
        </w:rPr>
        <w:t>млн</w:t>
      </w:r>
      <w:r w:rsidRPr="005067CB">
        <w:rPr>
          <w:color w:val="auto"/>
        </w:rPr>
        <w:t>. руб</w:t>
      </w:r>
      <w:r>
        <w:rPr>
          <w:color w:val="auto"/>
        </w:rPr>
        <w:t>.</w:t>
      </w:r>
      <w:r w:rsidR="00FA3FBE">
        <w:rPr>
          <w:color w:val="auto"/>
        </w:rPr>
        <w:t xml:space="preserve"> (без учета средств местного бюджета).</w:t>
      </w:r>
    </w:p>
    <w:p w:rsidR="007D09DC" w:rsidRDefault="007D09DC" w:rsidP="007D09DC">
      <w:pPr>
        <w:pStyle w:val="Default"/>
        <w:ind w:firstLine="708"/>
        <w:jc w:val="both"/>
        <w:rPr>
          <w:color w:val="auto"/>
        </w:rPr>
      </w:pPr>
      <w:r>
        <w:rPr>
          <w:color w:val="auto"/>
        </w:rPr>
        <w:t xml:space="preserve">Комитетом заключены соглашения с администрациями муниципальных районов на предоставление субсидий местным бюджетам с условием достижения целевого показателя – выполнение работ в объеме 100% </w:t>
      </w:r>
      <w:proofErr w:type="gramStart"/>
      <w:r>
        <w:rPr>
          <w:color w:val="auto"/>
        </w:rPr>
        <w:t>от</w:t>
      </w:r>
      <w:proofErr w:type="gramEnd"/>
      <w:r>
        <w:rPr>
          <w:color w:val="auto"/>
        </w:rPr>
        <w:t xml:space="preserve"> предусмотренного контрактами на 2017 год. </w:t>
      </w:r>
    </w:p>
    <w:p w:rsidR="007D09DC" w:rsidRPr="005067CB" w:rsidRDefault="00717C21" w:rsidP="007D09DC">
      <w:pPr>
        <w:pStyle w:val="Default"/>
        <w:ind w:firstLine="708"/>
        <w:jc w:val="both"/>
        <w:rPr>
          <w:color w:val="auto"/>
        </w:rPr>
      </w:pPr>
      <w:r>
        <w:rPr>
          <w:color w:val="auto"/>
        </w:rPr>
        <w:t>В рамках С</w:t>
      </w:r>
      <w:r w:rsidRPr="005067CB">
        <w:rPr>
          <w:color w:val="auto"/>
        </w:rPr>
        <w:t>оглашени</w:t>
      </w:r>
      <w:r>
        <w:rPr>
          <w:color w:val="auto"/>
        </w:rPr>
        <w:t>я</w:t>
      </w:r>
      <w:r w:rsidRPr="005067CB">
        <w:rPr>
          <w:color w:val="auto"/>
        </w:rPr>
        <w:t xml:space="preserve"> от 20.02.2017</w:t>
      </w:r>
      <w:r>
        <w:rPr>
          <w:color w:val="auto"/>
        </w:rPr>
        <w:t>, заключенного</w:t>
      </w:r>
      <w:r w:rsidRPr="005067CB">
        <w:rPr>
          <w:color w:val="auto"/>
        </w:rPr>
        <w:t xml:space="preserve"> </w:t>
      </w:r>
      <w:r>
        <w:rPr>
          <w:color w:val="auto"/>
        </w:rPr>
        <w:t>м</w:t>
      </w:r>
      <w:r w:rsidR="007D09DC">
        <w:rPr>
          <w:color w:val="auto"/>
        </w:rPr>
        <w:t>ежду Министерством спорта РФ и Администрацией Волгоградской области</w:t>
      </w:r>
      <w:r>
        <w:rPr>
          <w:color w:val="auto"/>
        </w:rPr>
        <w:t>,</w:t>
      </w:r>
      <w:r w:rsidR="007D09DC">
        <w:rPr>
          <w:color w:val="auto"/>
        </w:rPr>
        <w:t xml:space="preserve"> предусм</w:t>
      </w:r>
      <w:r>
        <w:rPr>
          <w:color w:val="auto"/>
        </w:rPr>
        <w:t xml:space="preserve">атривалось </w:t>
      </w:r>
      <w:r w:rsidR="007D09DC">
        <w:rPr>
          <w:color w:val="auto"/>
        </w:rPr>
        <w:t xml:space="preserve">финансирование расходов на строительство в 2017-2018 годах спортивного центра в г. Котельниково, в том числе на 2017 год в объеме </w:t>
      </w:r>
      <w:r>
        <w:rPr>
          <w:color w:val="auto"/>
        </w:rPr>
        <w:t xml:space="preserve">- </w:t>
      </w:r>
      <w:r w:rsidR="007D09DC">
        <w:rPr>
          <w:color w:val="auto"/>
        </w:rPr>
        <w:t xml:space="preserve">75 </w:t>
      </w:r>
      <w:r>
        <w:rPr>
          <w:color w:val="auto"/>
        </w:rPr>
        <w:t>млн</w:t>
      </w:r>
      <w:r w:rsidR="007D09DC">
        <w:rPr>
          <w:color w:val="auto"/>
        </w:rPr>
        <w:t xml:space="preserve">. руб. (по 50% </w:t>
      </w:r>
      <w:proofErr w:type="gramStart"/>
      <w:r w:rsidR="007D09DC">
        <w:rPr>
          <w:color w:val="auto"/>
        </w:rPr>
        <w:t>за</w:t>
      </w:r>
      <w:proofErr w:type="gramEnd"/>
      <w:r w:rsidR="007D09DC">
        <w:rPr>
          <w:color w:val="auto"/>
        </w:rPr>
        <w:t xml:space="preserve"> средств федерального и областного бюджетов).</w:t>
      </w:r>
    </w:p>
    <w:p w:rsidR="007D09DC" w:rsidRDefault="007D09DC" w:rsidP="007D09DC">
      <w:pPr>
        <w:pStyle w:val="Default"/>
        <w:ind w:firstLine="708"/>
        <w:jc w:val="both"/>
        <w:rPr>
          <w:color w:val="auto"/>
        </w:rPr>
      </w:pPr>
      <w:r w:rsidRPr="005067CB">
        <w:rPr>
          <w:color w:val="auto"/>
        </w:rPr>
        <w:t>Трижды объявл</w:t>
      </w:r>
      <w:r>
        <w:rPr>
          <w:color w:val="auto"/>
        </w:rPr>
        <w:t xml:space="preserve">енные администрацией </w:t>
      </w:r>
      <w:proofErr w:type="spellStart"/>
      <w:r>
        <w:rPr>
          <w:color w:val="auto"/>
        </w:rPr>
        <w:t>Котельниковского</w:t>
      </w:r>
      <w:proofErr w:type="spellEnd"/>
      <w:r>
        <w:rPr>
          <w:color w:val="auto"/>
        </w:rPr>
        <w:t xml:space="preserve"> района</w:t>
      </w:r>
      <w:r w:rsidRPr="005067CB">
        <w:rPr>
          <w:color w:val="auto"/>
        </w:rPr>
        <w:t xml:space="preserve"> электронные аукционы </w:t>
      </w:r>
      <w:r>
        <w:rPr>
          <w:color w:val="auto"/>
        </w:rPr>
        <w:t>по начальной цене 243</w:t>
      </w:r>
      <w:r w:rsidR="00717C21">
        <w:rPr>
          <w:color w:val="auto"/>
        </w:rPr>
        <w:t>,3</w:t>
      </w:r>
      <w:r>
        <w:rPr>
          <w:color w:val="auto"/>
        </w:rPr>
        <w:t xml:space="preserve"> </w:t>
      </w:r>
      <w:r w:rsidR="00717C21">
        <w:rPr>
          <w:color w:val="auto"/>
        </w:rPr>
        <w:t>млн</w:t>
      </w:r>
      <w:r>
        <w:rPr>
          <w:color w:val="auto"/>
        </w:rPr>
        <w:t>.</w:t>
      </w:r>
      <w:r w:rsidR="00717C21">
        <w:rPr>
          <w:color w:val="auto"/>
        </w:rPr>
        <w:t xml:space="preserve"> </w:t>
      </w:r>
      <w:r>
        <w:rPr>
          <w:color w:val="auto"/>
        </w:rPr>
        <w:t xml:space="preserve">руб. </w:t>
      </w:r>
      <w:r w:rsidRPr="005067CB">
        <w:rPr>
          <w:color w:val="auto"/>
        </w:rPr>
        <w:t xml:space="preserve">на выполнение работ по строительству </w:t>
      </w:r>
      <w:r>
        <w:rPr>
          <w:color w:val="auto"/>
        </w:rPr>
        <w:t xml:space="preserve"> объекта со сроком завершения до 31.12.2018 </w:t>
      </w:r>
      <w:r w:rsidRPr="005067CB">
        <w:rPr>
          <w:color w:val="auto"/>
        </w:rPr>
        <w:t>признаны несостоявшимися, так как не подано ни одной заявки</w:t>
      </w:r>
      <w:r>
        <w:rPr>
          <w:color w:val="auto"/>
        </w:rPr>
        <w:t>.</w:t>
      </w:r>
      <w:r w:rsidR="00717C21">
        <w:rPr>
          <w:color w:val="auto"/>
        </w:rPr>
        <w:t xml:space="preserve"> </w:t>
      </w:r>
      <w:r w:rsidRPr="005067CB">
        <w:rPr>
          <w:color w:val="auto"/>
        </w:rPr>
        <w:t xml:space="preserve">На момент проверки </w:t>
      </w:r>
      <w:r>
        <w:rPr>
          <w:color w:val="auto"/>
        </w:rPr>
        <w:t>(</w:t>
      </w:r>
      <w:r w:rsidRPr="005067CB">
        <w:rPr>
          <w:color w:val="auto"/>
        </w:rPr>
        <w:t>16.03.2018</w:t>
      </w:r>
      <w:r>
        <w:rPr>
          <w:color w:val="auto"/>
        </w:rPr>
        <w:t>)</w:t>
      </w:r>
      <w:r w:rsidRPr="005067CB">
        <w:rPr>
          <w:color w:val="auto"/>
        </w:rPr>
        <w:t xml:space="preserve"> </w:t>
      </w:r>
      <w:r w:rsidR="00717C21">
        <w:rPr>
          <w:color w:val="auto"/>
        </w:rPr>
        <w:t xml:space="preserve">новый </w:t>
      </w:r>
      <w:r w:rsidRPr="005067CB">
        <w:rPr>
          <w:color w:val="auto"/>
        </w:rPr>
        <w:t>аукцион не объявлен</w:t>
      </w:r>
      <w:r>
        <w:rPr>
          <w:color w:val="auto"/>
        </w:rPr>
        <w:t>.</w:t>
      </w:r>
    </w:p>
    <w:p w:rsidR="007D09DC" w:rsidRDefault="007D09DC" w:rsidP="007D09DC">
      <w:pPr>
        <w:pStyle w:val="Default"/>
        <w:ind w:firstLine="708"/>
        <w:jc w:val="both"/>
        <w:rPr>
          <w:color w:val="auto"/>
        </w:rPr>
      </w:pPr>
      <w:r>
        <w:rPr>
          <w:color w:val="auto"/>
        </w:rPr>
        <w:t xml:space="preserve">По пояснениям </w:t>
      </w:r>
      <w:r w:rsidR="00717C21">
        <w:rPr>
          <w:color w:val="auto"/>
        </w:rPr>
        <w:t>к</w:t>
      </w:r>
      <w:r>
        <w:rPr>
          <w:color w:val="auto"/>
        </w:rPr>
        <w:t>омитета</w:t>
      </w:r>
      <w:r w:rsidR="00717C21">
        <w:rPr>
          <w:color w:val="auto"/>
        </w:rPr>
        <w:t xml:space="preserve"> строительства</w:t>
      </w:r>
      <w:r>
        <w:rPr>
          <w:color w:val="auto"/>
        </w:rPr>
        <w:t xml:space="preserve"> муниципальный контракт планируется заключить на срок 2018-2019 годы. Запланированные расходы в 2018 году в объеме 200 </w:t>
      </w:r>
      <w:r w:rsidR="00717C21">
        <w:rPr>
          <w:color w:val="auto"/>
        </w:rPr>
        <w:t>млн</w:t>
      </w:r>
      <w:r>
        <w:rPr>
          <w:color w:val="auto"/>
        </w:rPr>
        <w:t xml:space="preserve">. руб. (по 50% за счет средств федерального и областного бюджетов) определены в полном объеме соглашением от 13.02.2018, заключенным между </w:t>
      </w:r>
      <w:proofErr w:type="spellStart"/>
      <w:r>
        <w:rPr>
          <w:color w:val="auto"/>
        </w:rPr>
        <w:t>Минспорта</w:t>
      </w:r>
      <w:proofErr w:type="spellEnd"/>
      <w:r>
        <w:rPr>
          <w:color w:val="auto"/>
        </w:rPr>
        <w:t xml:space="preserve"> РФ и Администрацией Волгоградской области.</w:t>
      </w:r>
      <w:r w:rsidRPr="009457BE">
        <w:rPr>
          <w:color w:val="auto"/>
        </w:rPr>
        <w:t xml:space="preserve"> </w:t>
      </w:r>
      <w:r w:rsidRPr="00717C21">
        <w:rPr>
          <w:color w:val="auto"/>
          <w:u w:val="single"/>
        </w:rPr>
        <w:t>При этом Министерством спорта РФ  отказано предоставить в 2019 году бюджету области неосвоенные в 2017 году средства федеральной субсидии в объеме 37</w:t>
      </w:r>
      <w:r w:rsidR="00717C21">
        <w:rPr>
          <w:color w:val="auto"/>
          <w:u w:val="single"/>
        </w:rPr>
        <w:t>,</w:t>
      </w:r>
      <w:r w:rsidRPr="00717C21">
        <w:rPr>
          <w:color w:val="auto"/>
          <w:u w:val="single"/>
        </w:rPr>
        <w:t xml:space="preserve">5 </w:t>
      </w:r>
      <w:r w:rsidR="00717C21">
        <w:rPr>
          <w:color w:val="auto"/>
          <w:u w:val="single"/>
        </w:rPr>
        <w:t>млн</w:t>
      </w:r>
      <w:r w:rsidRPr="00717C21">
        <w:rPr>
          <w:color w:val="auto"/>
          <w:u w:val="single"/>
        </w:rPr>
        <w:t>. руб.,</w:t>
      </w:r>
      <w:r>
        <w:rPr>
          <w:color w:val="auto"/>
        </w:rPr>
        <w:t xml:space="preserve"> в </w:t>
      </w:r>
      <w:proofErr w:type="gramStart"/>
      <w:r>
        <w:rPr>
          <w:color w:val="auto"/>
        </w:rPr>
        <w:t>связи</w:t>
      </w:r>
      <w:proofErr w:type="gramEnd"/>
      <w:r>
        <w:rPr>
          <w:color w:val="auto"/>
        </w:rPr>
        <w:t xml:space="preserve"> с чем в 2019 году планируется  завершить строительство </w:t>
      </w:r>
      <w:r w:rsidR="003206F3">
        <w:rPr>
          <w:color w:val="auto"/>
        </w:rPr>
        <w:t xml:space="preserve">объекта </w:t>
      </w:r>
      <w:r>
        <w:rPr>
          <w:color w:val="auto"/>
        </w:rPr>
        <w:t xml:space="preserve">только за счет </w:t>
      </w:r>
      <w:r w:rsidR="003206F3">
        <w:rPr>
          <w:color w:val="auto"/>
        </w:rPr>
        <w:t xml:space="preserve">средств </w:t>
      </w:r>
      <w:r>
        <w:rPr>
          <w:color w:val="auto"/>
        </w:rPr>
        <w:t xml:space="preserve">областного бюджета (82 </w:t>
      </w:r>
      <w:r w:rsidR="00717C21">
        <w:rPr>
          <w:color w:val="auto"/>
        </w:rPr>
        <w:t>млн</w:t>
      </w:r>
      <w:r>
        <w:rPr>
          <w:color w:val="auto"/>
        </w:rPr>
        <w:t xml:space="preserve">. руб.). </w:t>
      </w:r>
    </w:p>
    <w:p w:rsidR="007D09DC" w:rsidRDefault="007D09DC" w:rsidP="007D09DC">
      <w:pPr>
        <w:ind w:firstLine="709"/>
        <w:contextualSpacing/>
        <w:jc w:val="both"/>
      </w:pPr>
      <w:r>
        <w:t xml:space="preserve">Плавательный бассейн </w:t>
      </w:r>
      <w:r w:rsidR="003206F3">
        <w:t xml:space="preserve">в селе Старая Полтавка </w:t>
      </w:r>
      <w:r>
        <w:t xml:space="preserve">начал строиться </w:t>
      </w:r>
      <w:r w:rsidR="003206F3">
        <w:t xml:space="preserve">еще </w:t>
      </w:r>
      <w:r>
        <w:t xml:space="preserve">в 2013 году, но ввиду нарушений своих обязательств подрядчиком срок выполнения работ дополнительными соглашениями к муниципальному контракту неоднократно продлевался (в окончательной редакции до 25.12.2017). </w:t>
      </w:r>
      <w:r w:rsidR="003206F3">
        <w:t>Однако в 2017 году в</w:t>
      </w:r>
      <w:r>
        <w:t xml:space="preserve"> нарушение условий муниципального контракта работы выполнены только на 93% от объема</w:t>
      </w:r>
      <w:r w:rsidR="003206F3">
        <w:t>, определенного в</w:t>
      </w:r>
      <w:r>
        <w:t xml:space="preserve"> соглашени</w:t>
      </w:r>
      <w:r w:rsidR="003206F3">
        <w:t>и</w:t>
      </w:r>
      <w:r>
        <w:t xml:space="preserve">. Ввиду недостаточности средств областного бюджета часть субсидии в </w:t>
      </w:r>
      <w:r w:rsidRPr="004F11F6">
        <w:t>объеме 16</w:t>
      </w:r>
      <w:r w:rsidR="003206F3">
        <w:t>,</w:t>
      </w:r>
      <w:r w:rsidRPr="004F11F6">
        <w:t xml:space="preserve">8 </w:t>
      </w:r>
      <w:r w:rsidR="003206F3">
        <w:t>млн</w:t>
      </w:r>
      <w:r w:rsidRPr="004F11F6">
        <w:t xml:space="preserve">. руб. не профинансирована. </w:t>
      </w:r>
    </w:p>
    <w:p w:rsidR="007D09DC" w:rsidRDefault="007D09DC" w:rsidP="007D09DC">
      <w:pPr>
        <w:ind w:firstLine="709"/>
        <w:contextualSpacing/>
        <w:jc w:val="both"/>
      </w:pPr>
      <w:r>
        <w:lastRenderedPageBreak/>
        <w:t xml:space="preserve">В рамках совещания, проведенного в </w:t>
      </w:r>
      <w:r w:rsidR="003206F3">
        <w:t>к</w:t>
      </w:r>
      <w:r>
        <w:t>омитете</w:t>
      </w:r>
      <w:r w:rsidR="003206F3">
        <w:t xml:space="preserve"> строительства Волгоградской области</w:t>
      </w:r>
      <w:r>
        <w:t xml:space="preserve"> 08.12.2017 </w:t>
      </w:r>
      <w:r w:rsidR="003206F3">
        <w:t>с</w:t>
      </w:r>
      <w:r>
        <w:t xml:space="preserve"> участи</w:t>
      </w:r>
      <w:r w:rsidR="003206F3">
        <w:t>ем</w:t>
      </w:r>
      <w:r>
        <w:t xml:space="preserve"> представителей администрации </w:t>
      </w:r>
      <w:proofErr w:type="spellStart"/>
      <w:r>
        <w:t>Старополтавского</w:t>
      </w:r>
      <w:proofErr w:type="spellEnd"/>
      <w:r>
        <w:t xml:space="preserve"> района, подрядчика, </w:t>
      </w:r>
      <w:proofErr w:type="spellStart"/>
      <w:r>
        <w:t>Облстройнадзора</w:t>
      </w:r>
      <w:proofErr w:type="spellEnd"/>
      <w:r>
        <w:t xml:space="preserve">, установлено, что объект не готов к сдаче. Кроме того, установлены нарушения в части корректировки проектной документации, а также </w:t>
      </w:r>
      <w:proofErr w:type="spellStart"/>
      <w:r>
        <w:t>непроведение</w:t>
      </w:r>
      <w:proofErr w:type="spellEnd"/>
      <w:r>
        <w:t xml:space="preserve"> претензионной работы с подрядчиком. Таким образом, в результате бездействия администрации </w:t>
      </w:r>
      <w:proofErr w:type="spellStart"/>
      <w:r>
        <w:t>Старополтавского</w:t>
      </w:r>
      <w:proofErr w:type="spellEnd"/>
      <w:r>
        <w:t xml:space="preserve"> района не </w:t>
      </w:r>
      <w:proofErr w:type="gramStart"/>
      <w:r>
        <w:t>предприн</w:t>
      </w:r>
      <w:r w:rsidR="003206F3">
        <w:t>яты</w:t>
      </w:r>
      <w:r>
        <w:t xml:space="preserve"> </w:t>
      </w:r>
      <w:r w:rsidR="003206F3">
        <w:t>необходимые</w:t>
      </w:r>
      <w:r>
        <w:t xml:space="preserve"> меры</w:t>
      </w:r>
      <w:proofErr w:type="gramEnd"/>
      <w:r>
        <w:t xml:space="preserve"> по завершению строительства объекта.</w:t>
      </w:r>
    </w:p>
    <w:p w:rsidR="007D09DC" w:rsidRPr="00AF3AA6" w:rsidRDefault="007D09DC" w:rsidP="007D09DC">
      <w:pPr>
        <w:pStyle w:val="32"/>
        <w:tabs>
          <w:tab w:val="left" w:pos="3948"/>
        </w:tabs>
        <w:spacing w:after="0"/>
        <w:ind w:firstLine="709"/>
        <w:contextualSpacing/>
        <w:jc w:val="both"/>
        <w:rPr>
          <w:rFonts w:eastAsia="Calibri"/>
          <w:sz w:val="24"/>
          <w:szCs w:val="24"/>
          <w:lang w:val="ru-RU"/>
        </w:rPr>
      </w:pPr>
      <w:r>
        <w:rPr>
          <w:rFonts w:eastAsia="Calibri"/>
          <w:sz w:val="24"/>
          <w:szCs w:val="24"/>
          <w:lang w:val="ru-RU"/>
        </w:rPr>
        <w:t>В соответствии с П</w:t>
      </w:r>
      <w:r w:rsidRPr="00AF3AA6">
        <w:rPr>
          <w:rFonts w:eastAsia="Calibri"/>
          <w:sz w:val="24"/>
          <w:szCs w:val="24"/>
          <w:lang w:val="ru-RU"/>
        </w:rPr>
        <w:t xml:space="preserve">орядком предоставления субсидии в случае </w:t>
      </w:r>
      <w:proofErr w:type="spellStart"/>
      <w:r w:rsidRPr="00AF3AA6">
        <w:rPr>
          <w:rFonts w:eastAsia="Calibri"/>
          <w:sz w:val="24"/>
          <w:szCs w:val="24"/>
          <w:lang w:val="ru-RU"/>
        </w:rPr>
        <w:t>недостижения</w:t>
      </w:r>
      <w:proofErr w:type="spellEnd"/>
      <w:r w:rsidRPr="00AF3AA6">
        <w:rPr>
          <w:rFonts w:eastAsia="Calibri"/>
          <w:sz w:val="24"/>
          <w:szCs w:val="24"/>
          <w:lang w:val="ru-RU"/>
        </w:rPr>
        <w:t xml:space="preserve"> целевого показателя результативности и </w:t>
      </w:r>
      <w:proofErr w:type="spellStart"/>
      <w:r w:rsidRPr="00AF3AA6">
        <w:rPr>
          <w:rFonts w:eastAsia="Calibri"/>
          <w:sz w:val="24"/>
          <w:szCs w:val="24"/>
          <w:lang w:val="ru-RU"/>
        </w:rPr>
        <w:t>неустранения</w:t>
      </w:r>
      <w:proofErr w:type="spellEnd"/>
      <w:r w:rsidRPr="00AF3AA6">
        <w:rPr>
          <w:rFonts w:eastAsia="Calibri"/>
          <w:sz w:val="24"/>
          <w:szCs w:val="24"/>
          <w:lang w:val="ru-RU"/>
        </w:rPr>
        <w:t xml:space="preserve"> нарушения до 01.04.2018 </w:t>
      </w:r>
      <w:r>
        <w:rPr>
          <w:rFonts w:eastAsia="Calibri"/>
          <w:sz w:val="24"/>
          <w:szCs w:val="24"/>
          <w:lang w:val="ru-RU"/>
        </w:rPr>
        <w:t>предусмотрен возврат</w:t>
      </w:r>
      <w:r w:rsidRPr="00AF3AA6">
        <w:rPr>
          <w:rFonts w:eastAsia="Calibri"/>
          <w:sz w:val="24"/>
          <w:szCs w:val="24"/>
          <w:lang w:val="ru-RU"/>
        </w:rPr>
        <w:t xml:space="preserve"> ча</w:t>
      </w:r>
      <w:r>
        <w:rPr>
          <w:rFonts w:eastAsia="Calibri"/>
          <w:sz w:val="24"/>
          <w:szCs w:val="24"/>
          <w:lang w:val="ru-RU"/>
        </w:rPr>
        <w:t xml:space="preserve">сти субсидии </w:t>
      </w:r>
      <w:r w:rsidR="003206F3">
        <w:rPr>
          <w:rFonts w:eastAsia="Calibri"/>
          <w:sz w:val="24"/>
          <w:szCs w:val="24"/>
          <w:lang w:val="ru-RU"/>
        </w:rPr>
        <w:t xml:space="preserve">(460,6 тыс. руб.) </w:t>
      </w:r>
      <w:r>
        <w:rPr>
          <w:rFonts w:eastAsia="Calibri"/>
          <w:sz w:val="24"/>
          <w:szCs w:val="24"/>
          <w:lang w:val="ru-RU"/>
        </w:rPr>
        <w:t>в областной бюджет</w:t>
      </w:r>
      <w:r w:rsidR="003206F3">
        <w:rPr>
          <w:rFonts w:eastAsia="Calibri"/>
          <w:sz w:val="24"/>
          <w:szCs w:val="24"/>
          <w:lang w:val="ru-RU"/>
        </w:rPr>
        <w:t>.</w:t>
      </w:r>
    </w:p>
    <w:p w:rsidR="00E11FE4" w:rsidRDefault="00E11FE4" w:rsidP="007D09DC">
      <w:pPr>
        <w:pStyle w:val="32"/>
        <w:tabs>
          <w:tab w:val="left" w:pos="3948"/>
        </w:tabs>
        <w:spacing w:after="0"/>
        <w:ind w:firstLine="709"/>
        <w:contextualSpacing/>
        <w:jc w:val="both"/>
        <w:rPr>
          <w:lang w:val="ru-RU"/>
        </w:rPr>
      </w:pPr>
      <w:r>
        <w:rPr>
          <w:rFonts w:eastAsia="Calibri"/>
          <w:sz w:val="24"/>
          <w:szCs w:val="24"/>
          <w:lang w:val="ru-RU" w:bidi="en-US"/>
        </w:rPr>
        <w:t xml:space="preserve">Также </w:t>
      </w:r>
      <w:r w:rsidRPr="00875B2F">
        <w:rPr>
          <w:rFonts w:eastAsia="Calibri"/>
          <w:sz w:val="24"/>
          <w:szCs w:val="24"/>
          <w:lang w:val="ru-RU" w:bidi="en-US"/>
        </w:rPr>
        <w:t>ст</w:t>
      </w:r>
      <w:r>
        <w:rPr>
          <w:rFonts w:eastAsia="Calibri"/>
          <w:sz w:val="24"/>
          <w:szCs w:val="24"/>
          <w:lang w:val="ru-RU" w:bidi="en-US"/>
        </w:rPr>
        <w:t>атьей</w:t>
      </w:r>
      <w:r w:rsidRPr="00875B2F">
        <w:rPr>
          <w:rFonts w:eastAsia="Calibri"/>
          <w:sz w:val="24"/>
          <w:szCs w:val="24"/>
          <w:lang w:val="ru-RU" w:bidi="en-US"/>
        </w:rPr>
        <w:t xml:space="preserve"> 15.15.3 </w:t>
      </w:r>
      <w:proofErr w:type="spellStart"/>
      <w:r w:rsidRPr="00875B2F">
        <w:rPr>
          <w:rFonts w:eastAsia="Calibri"/>
          <w:sz w:val="24"/>
          <w:szCs w:val="24"/>
          <w:lang w:val="ru-RU" w:bidi="en-US"/>
        </w:rPr>
        <w:t>КоАП</w:t>
      </w:r>
      <w:proofErr w:type="spellEnd"/>
      <w:r w:rsidRPr="00875B2F">
        <w:rPr>
          <w:rFonts w:eastAsia="Calibri"/>
          <w:sz w:val="24"/>
          <w:szCs w:val="24"/>
          <w:lang w:val="ru-RU" w:bidi="en-US"/>
        </w:rPr>
        <w:t xml:space="preserve"> РФ предусмотрена административная ответственность</w:t>
      </w:r>
      <w:r>
        <w:rPr>
          <w:rFonts w:eastAsia="Calibri"/>
          <w:sz w:val="24"/>
          <w:szCs w:val="24"/>
          <w:lang w:val="ru-RU" w:bidi="en-US"/>
        </w:rPr>
        <w:t xml:space="preserve">  за нарушение условий предоставления субсидии. На момент подготовки настоящего заключения вынесено решение суда о привлечении к </w:t>
      </w:r>
      <w:r w:rsidR="00D25027">
        <w:rPr>
          <w:rFonts w:eastAsia="Calibri"/>
          <w:sz w:val="24"/>
          <w:szCs w:val="24"/>
          <w:lang w:val="ru-RU" w:bidi="en-US"/>
        </w:rPr>
        <w:t>административной</w:t>
      </w:r>
      <w:r>
        <w:rPr>
          <w:rFonts w:eastAsia="Calibri"/>
          <w:sz w:val="24"/>
          <w:szCs w:val="24"/>
          <w:lang w:val="ru-RU" w:bidi="en-US"/>
        </w:rPr>
        <w:t xml:space="preserve"> ответственности глав</w:t>
      </w:r>
      <w:r w:rsidR="00D25027">
        <w:rPr>
          <w:rFonts w:eastAsia="Calibri"/>
          <w:sz w:val="24"/>
          <w:szCs w:val="24"/>
          <w:lang w:val="ru-RU" w:bidi="en-US"/>
        </w:rPr>
        <w:t>ы</w:t>
      </w:r>
      <w:r>
        <w:rPr>
          <w:rFonts w:eastAsia="Calibri"/>
          <w:sz w:val="24"/>
          <w:szCs w:val="24"/>
          <w:lang w:val="ru-RU" w:bidi="en-US"/>
        </w:rPr>
        <w:t xml:space="preserve"> администрации </w:t>
      </w:r>
      <w:proofErr w:type="spellStart"/>
      <w:r>
        <w:rPr>
          <w:rFonts w:eastAsia="Calibri"/>
          <w:sz w:val="24"/>
          <w:szCs w:val="24"/>
          <w:lang w:val="ru-RU" w:bidi="en-US"/>
        </w:rPr>
        <w:t>Старополтавского</w:t>
      </w:r>
      <w:proofErr w:type="spellEnd"/>
      <w:r>
        <w:rPr>
          <w:rFonts w:eastAsia="Calibri"/>
          <w:sz w:val="24"/>
          <w:szCs w:val="24"/>
          <w:lang w:val="ru-RU" w:bidi="en-US"/>
        </w:rPr>
        <w:t xml:space="preserve"> муниципального района.</w:t>
      </w:r>
    </w:p>
    <w:p w:rsidR="007D09DC" w:rsidRPr="005067CB" w:rsidRDefault="005570F9" w:rsidP="007D09DC">
      <w:pPr>
        <w:ind w:firstLine="709"/>
        <w:contextualSpacing/>
        <w:jc w:val="both"/>
        <w:rPr>
          <w:b/>
        </w:rPr>
      </w:pPr>
      <w:r>
        <w:t xml:space="preserve">В целях </w:t>
      </w:r>
      <w:r w:rsidRPr="005067CB">
        <w:t>строительств</w:t>
      </w:r>
      <w:r>
        <w:t>а</w:t>
      </w:r>
      <w:r w:rsidRPr="005067CB">
        <w:t xml:space="preserve"> </w:t>
      </w:r>
      <w:r>
        <w:t xml:space="preserve">спортивного зала в п. </w:t>
      </w:r>
      <w:proofErr w:type="spellStart"/>
      <w:r>
        <w:t>Пятиморск</w:t>
      </w:r>
      <w:proofErr w:type="spellEnd"/>
      <w:r>
        <w:t xml:space="preserve"> между администрацией </w:t>
      </w:r>
      <w:proofErr w:type="spellStart"/>
      <w:r>
        <w:t>Калачевского</w:t>
      </w:r>
      <w:proofErr w:type="spellEnd"/>
      <w:r>
        <w:t xml:space="preserve"> района и подрядной организацией ООО «ГП-Строй34» заключен </w:t>
      </w:r>
      <w:r w:rsidR="00806187">
        <w:t>м</w:t>
      </w:r>
      <w:r w:rsidR="007D09DC" w:rsidRPr="005067CB">
        <w:t xml:space="preserve">униципальный контракт от 18.09.2017, </w:t>
      </w:r>
      <w:r>
        <w:t xml:space="preserve">согласно которому объект должен был быть построен </w:t>
      </w:r>
      <w:r w:rsidR="007D09DC" w:rsidRPr="005067CB">
        <w:t>в течени</w:t>
      </w:r>
      <w:r w:rsidR="007D09DC">
        <w:t>е</w:t>
      </w:r>
      <w:r w:rsidR="007D09DC" w:rsidRPr="005067CB">
        <w:t xml:space="preserve"> 7 месяцев </w:t>
      </w:r>
      <w:proofErr w:type="gramStart"/>
      <w:r w:rsidR="007D09DC" w:rsidRPr="005067CB">
        <w:t>с даты заключения</w:t>
      </w:r>
      <w:proofErr w:type="gramEnd"/>
      <w:r w:rsidR="007D09DC" w:rsidRPr="005067CB">
        <w:t xml:space="preserve"> контракта, т</w:t>
      </w:r>
      <w:r>
        <w:t>.</w:t>
      </w:r>
      <w:r w:rsidR="007D09DC" w:rsidRPr="005067CB">
        <w:t xml:space="preserve"> е</w:t>
      </w:r>
      <w:r>
        <w:t>.</w:t>
      </w:r>
      <w:r w:rsidR="007D09DC" w:rsidRPr="005067CB">
        <w:t xml:space="preserve"> до 18.04.2018. </w:t>
      </w:r>
    </w:p>
    <w:p w:rsidR="007D09DC" w:rsidRPr="00875B2F" w:rsidRDefault="007D09DC" w:rsidP="007D09DC">
      <w:pPr>
        <w:ind w:firstLine="709"/>
        <w:contextualSpacing/>
        <w:jc w:val="both"/>
      </w:pPr>
      <w:r w:rsidRPr="00875B2F">
        <w:t>Работы по строительству объекта выполнены и оплачены в объеме 3</w:t>
      </w:r>
      <w:r w:rsidR="00347508">
        <w:t>,</w:t>
      </w:r>
      <w:r w:rsidRPr="00875B2F">
        <w:t xml:space="preserve">7 </w:t>
      </w:r>
      <w:r w:rsidR="00347508">
        <w:t>млн</w:t>
      </w:r>
      <w:r w:rsidRPr="00875B2F">
        <w:t>. руб.,</w:t>
      </w:r>
      <w:r>
        <w:t xml:space="preserve"> в том числе за счет средств областного бюджета – 2</w:t>
      </w:r>
      <w:r w:rsidR="00347508">
        <w:t>,</w:t>
      </w:r>
      <w:r>
        <w:t xml:space="preserve">4 </w:t>
      </w:r>
      <w:r w:rsidR="00347508">
        <w:t>млн</w:t>
      </w:r>
      <w:r>
        <w:t>. руб.,</w:t>
      </w:r>
      <w:r w:rsidRPr="003669BF">
        <w:t xml:space="preserve"> </w:t>
      </w:r>
      <w:r w:rsidRPr="00875B2F">
        <w:t>или на 12% от предусмотренного объема работ на 2017 год (30</w:t>
      </w:r>
      <w:r w:rsidR="00347508">
        <w:t>,</w:t>
      </w:r>
      <w:r w:rsidRPr="00875B2F">
        <w:t xml:space="preserve">5 </w:t>
      </w:r>
      <w:r w:rsidR="00347508">
        <w:t>млн</w:t>
      </w:r>
      <w:r w:rsidRPr="00875B2F">
        <w:t>. руб.).</w:t>
      </w:r>
    </w:p>
    <w:p w:rsidR="007D09DC" w:rsidRPr="005554F7" w:rsidRDefault="007D09DC" w:rsidP="007D09DC">
      <w:pPr>
        <w:ind w:firstLine="709"/>
        <w:contextualSpacing/>
        <w:jc w:val="both"/>
      </w:pPr>
      <w:r>
        <w:t>П</w:t>
      </w:r>
      <w:r w:rsidRPr="005067CB">
        <w:t>рое</w:t>
      </w:r>
      <w:proofErr w:type="gramStart"/>
      <w:r w:rsidRPr="005067CB">
        <w:t>кт</w:t>
      </w:r>
      <w:r>
        <w:t xml:space="preserve"> стр</w:t>
      </w:r>
      <w:proofErr w:type="gramEnd"/>
      <w:r>
        <w:t>оительства спортивного зала</w:t>
      </w:r>
      <w:r w:rsidRPr="005067CB">
        <w:t xml:space="preserve"> прошел квалификационный отбор в Министерстве спорта РФ и имеет положительное заключение, выданное ГАУ </w:t>
      </w:r>
      <w:proofErr w:type="spellStart"/>
      <w:r>
        <w:t>Облгосэкспертиза</w:t>
      </w:r>
      <w:proofErr w:type="spellEnd"/>
      <w:r w:rsidRPr="00903E73">
        <w:t xml:space="preserve"> </w:t>
      </w:r>
      <w:r>
        <w:t>23.06.2017</w:t>
      </w:r>
      <w:r w:rsidRPr="0069075C">
        <w:t xml:space="preserve">. </w:t>
      </w:r>
      <w:r>
        <w:t xml:space="preserve">По пояснениям администрации </w:t>
      </w:r>
      <w:proofErr w:type="spellStart"/>
      <w:r>
        <w:t>Калачевского</w:t>
      </w:r>
      <w:proofErr w:type="spellEnd"/>
      <w:r>
        <w:t xml:space="preserve"> района</w:t>
      </w:r>
      <w:r w:rsidRPr="0069075C">
        <w:t xml:space="preserve"> в ходе строительства проектной организацией ООО «</w:t>
      </w:r>
      <w:proofErr w:type="spellStart"/>
      <w:r w:rsidRPr="0069075C">
        <w:t>Сталт</w:t>
      </w:r>
      <w:proofErr w:type="spellEnd"/>
      <w:r w:rsidRPr="0069075C">
        <w:t xml:space="preserve">» выявлены ошибки в собственной проектной документации, связанные с тем, что при проектировании не были учтены характеристики ряда металлоконструкций готового проекта здания. </w:t>
      </w:r>
      <w:r w:rsidRPr="00135DA3">
        <w:t xml:space="preserve">С целью обеспечения безопасной эксплуатации объекта проектировщиком принято решение выполнить перерасчет на несущую способность всего каркаса здания, что привело к остановке строительства спортивного объекта и нарушению обязательств подрядчика и </w:t>
      </w:r>
      <w:r w:rsidR="00347508">
        <w:t xml:space="preserve">соответственно </w:t>
      </w:r>
      <w:r w:rsidRPr="00135DA3">
        <w:t xml:space="preserve">администрации </w:t>
      </w:r>
      <w:proofErr w:type="spellStart"/>
      <w:r w:rsidRPr="00135DA3">
        <w:t>Калачевского</w:t>
      </w:r>
      <w:proofErr w:type="spellEnd"/>
      <w:r w:rsidRPr="00135DA3">
        <w:t xml:space="preserve"> района.</w:t>
      </w:r>
      <w:r>
        <w:rPr>
          <w:b/>
        </w:rPr>
        <w:t xml:space="preserve"> </w:t>
      </w:r>
      <w:r w:rsidRPr="005554F7">
        <w:t xml:space="preserve">В настоящее время откорректированная проектная документация направлена в ГАУ </w:t>
      </w:r>
      <w:proofErr w:type="spellStart"/>
      <w:r w:rsidRPr="005554F7">
        <w:t>Об</w:t>
      </w:r>
      <w:r w:rsidR="00875B2F">
        <w:t>л</w:t>
      </w:r>
      <w:r w:rsidRPr="005554F7">
        <w:t>госэкспертиза</w:t>
      </w:r>
      <w:proofErr w:type="spellEnd"/>
      <w:r w:rsidRPr="005554F7">
        <w:t xml:space="preserve"> на повторную экспертизу. </w:t>
      </w:r>
    </w:p>
    <w:p w:rsidR="007D09DC" w:rsidRPr="00875B2F" w:rsidRDefault="007D09DC" w:rsidP="007D09DC">
      <w:pPr>
        <w:ind w:firstLine="709"/>
        <w:contextualSpacing/>
        <w:jc w:val="both"/>
        <w:rPr>
          <w:rFonts w:eastAsia="Calibri"/>
        </w:rPr>
      </w:pPr>
      <w:r w:rsidRPr="00875B2F">
        <w:rPr>
          <w:rFonts w:eastAsia="Calibri"/>
        </w:rPr>
        <w:t xml:space="preserve">Условием предоставления субсидии, установленным пунктом 2.1. соглашения от  15.05.2017, </w:t>
      </w:r>
      <w:r w:rsidR="00347508">
        <w:rPr>
          <w:rFonts w:eastAsia="Calibri"/>
        </w:rPr>
        <w:t xml:space="preserve">заключенного между комитетом строительства Волгоградской области и администрацией </w:t>
      </w:r>
      <w:proofErr w:type="spellStart"/>
      <w:r w:rsidR="00347508">
        <w:rPr>
          <w:rFonts w:eastAsia="Calibri"/>
        </w:rPr>
        <w:t>Калачевского</w:t>
      </w:r>
      <w:proofErr w:type="spellEnd"/>
      <w:r w:rsidR="00347508">
        <w:rPr>
          <w:rFonts w:eastAsia="Calibri"/>
        </w:rPr>
        <w:t xml:space="preserve"> района, </w:t>
      </w:r>
      <w:r w:rsidRPr="00875B2F">
        <w:rPr>
          <w:rFonts w:eastAsia="Calibri"/>
        </w:rPr>
        <w:t>является достижение планового значения целевого показателя результативности предоставления субсидии – выполнение в полном объеме работ, предусмотренных на 2017 год.</w:t>
      </w:r>
    </w:p>
    <w:p w:rsidR="007D09DC" w:rsidRPr="00875B2F" w:rsidRDefault="007D09DC" w:rsidP="007D09DC">
      <w:pPr>
        <w:pStyle w:val="32"/>
        <w:tabs>
          <w:tab w:val="left" w:pos="3948"/>
        </w:tabs>
        <w:spacing w:after="0"/>
        <w:ind w:firstLine="709"/>
        <w:contextualSpacing/>
        <w:jc w:val="both"/>
        <w:rPr>
          <w:rFonts w:eastAsia="Calibri"/>
          <w:sz w:val="24"/>
          <w:szCs w:val="24"/>
          <w:lang w:val="ru-RU" w:bidi="en-US"/>
        </w:rPr>
      </w:pPr>
      <w:r w:rsidRPr="00875B2F">
        <w:rPr>
          <w:rFonts w:eastAsia="Calibri"/>
          <w:sz w:val="24"/>
          <w:szCs w:val="24"/>
          <w:lang w:val="ru-RU" w:bidi="en-US"/>
        </w:rPr>
        <w:t xml:space="preserve">Администрацией </w:t>
      </w:r>
      <w:proofErr w:type="spellStart"/>
      <w:r w:rsidRPr="00875B2F">
        <w:rPr>
          <w:rFonts w:eastAsia="Calibri"/>
          <w:sz w:val="24"/>
          <w:szCs w:val="24"/>
          <w:lang w:val="ru-RU" w:bidi="en-US"/>
        </w:rPr>
        <w:t>Калачевского</w:t>
      </w:r>
      <w:proofErr w:type="spellEnd"/>
      <w:r w:rsidRPr="00875B2F">
        <w:rPr>
          <w:rFonts w:eastAsia="Calibri"/>
          <w:sz w:val="24"/>
          <w:szCs w:val="24"/>
          <w:lang w:val="ru-RU" w:bidi="en-US"/>
        </w:rPr>
        <w:t xml:space="preserve"> района обеспечено выполнение только 12% работ, предусмотренных на 2017 год, т</w:t>
      </w:r>
      <w:r w:rsidR="00875B2F">
        <w:rPr>
          <w:rFonts w:eastAsia="Calibri"/>
          <w:sz w:val="24"/>
          <w:szCs w:val="24"/>
          <w:lang w:val="ru-RU" w:bidi="en-US"/>
        </w:rPr>
        <w:t>.</w:t>
      </w:r>
      <w:r w:rsidRPr="00875B2F">
        <w:rPr>
          <w:rFonts w:eastAsia="Calibri"/>
          <w:sz w:val="24"/>
          <w:szCs w:val="24"/>
          <w:lang w:val="ru-RU" w:bidi="en-US"/>
        </w:rPr>
        <w:t xml:space="preserve"> е</w:t>
      </w:r>
      <w:r w:rsidR="00875B2F">
        <w:rPr>
          <w:rFonts w:eastAsia="Calibri"/>
          <w:sz w:val="24"/>
          <w:szCs w:val="24"/>
          <w:lang w:val="ru-RU" w:bidi="en-US"/>
        </w:rPr>
        <w:t>.</w:t>
      </w:r>
      <w:r w:rsidRPr="00875B2F">
        <w:rPr>
          <w:rFonts w:eastAsia="Calibri"/>
          <w:sz w:val="24"/>
          <w:szCs w:val="24"/>
          <w:lang w:val="ru-RU" w:bidi="en-US"/>
        </w:rPr>
        <w:t xml:space="preserve"> нарушены условия предоставления субсидии, за что ст</w:t>
      </w:r>
      <w:r w:rsidR="00347508">
        <w:rPr>
          <w:rFonts w:eastAsia="Calibri"/>
          <w:sz w:val="24"/>
          <w:szCs w:val="24"/>
          <w:lang w:val="ru-RU" w:bidi="en-US"/>
        </w:rPr>
        <w:t>атьей</w:t>
      </w:r>
      <w:r w:rsidRPr="00875B2F">
        <w:rPr>
          <w:rFonts w:eastAsia="Calibri"/>
          <w:sz w:val="24"/>
          <w:szCs w:val="24"/>
          <w:lang w:val="ru-RU" w:bidi="en-US"/>
        </w:rPr>
        <w:t xml:space="preserve"> 15.15.3 </w:t>
      </w:r>
      <w:proofErr w:type="spellStart"/>
      <w:r w:rsidRPr="00875B2F">
        <w:rPr>
          <w:rFonts w:eastAsia="Calibri"/>
          <w:sz w:val="24"/>
          <w:szCs w:val="24"/>
          <w:lang w:val="ru-RU" w:bidi="en-US"/>
        </w:rPr>
        <w:t>КоАП</w:t>
      </w:r>
      <w:proofErr w:type="spellEnd"/>
      <w:r w:rsidRPr="00875B2F">
        <w:rPr>
          <w:rFonts w:eastAsia="Calibri"/>
          <w:sz w:val="24"/>
          <w:szCs w:val="24"/>
          <w:lang w:val="ru-RU" w:bidi="en-US"/>
        </w:rPr>
        <w:t xml:space="preserve"> РФ предусмотрена административная ответственность. </w:t>
      </w:r>
      <w:r w:rsidR="00E11FE4">
        <w:rPr>
          <w:rFonts w:eastAsia="Calibri"/>
          <w:sz w:val="24"/>
          <w:szCs w:val="24"/>
          <w:lang w:val="ru-RU" w:bidi="en-US"/>
        </w:rPr>
        <w:t>По результатам проверки уполномоченным лицом КСП составлен протокол о привлечении к административной ответственности глав</w:t>
      </w:r>
      <w:r w:rsidR="00D25027">
        <w:rPr>
          <w:rFonts w:eastAsia="Calibri"/>
          <w:sz w:val="24"/>
          <w:szCs w:val="24"/>
          <w:lang w:val="ru-RU" w:bidi="en-US"/>
        </w:rPr>
        <w:t>ы</w:t>
      </w:r>
      <w:r w:rsidR="00E11FE4">
        <w:rPr>
          <w:rFonts w:eastAsia="Calibri"/>
          <w:sz w:val="24"/>
          <w:szCs w:val="24"/>
          <w:lang w:val="ru-RU" w:bidi="en-US"/>
        </w:rPr>
        <w:t xml:space="preserve"> администрации </w:t>
      </w:r>
      <w:proofErr w:type="spellStart"/>
      <w:r w:rsidR="00E11FE4">
        <w:rPr>
          <w:rFonts w:eastAsia="Calibri"/>
          <w:sz w:val="24"/>
          <w:szCs w:val="24"/>
          <w:lang w:val="ru-RU" w:bidi="en-US"/>
        </w:rPr>
        <w:t>Калачевского</w:t>
      </w:r>
      <w:proofErr w:type="spellEnd"/>
      <w:r w:rsidR="00E11FE4">
        <w:rPr>
          <w:rFonts w:eastAsia="Calibri"/>
          <w:sz w:val="24"/>
          <w:szCs w:val="24"/>
          <w:lang w:val="ru-RU" w:bidi="en-US"/>
        </w:rPr>
        <w:t xml:space="preserve"> района.</w:t>
      </w:r>
    </w:p>
    <w:p w:rsidR="007D09DC" w:rsidRDefault="007D09DC" w:rsidP="007D09DC">
      <w:pPr>
        <w:pStyle w:val="32"/>
        <w:tabs>
          <w:tab w:val="left" w:pos="3948"/>
        </w:tabs>
        <w:spacing w:after="0"/>
        <w:ind w:firstLine="709"/>
        <w:contextualSpacing/>
        <w:jc w:val="both"/>
        <w:rPr>
          <w:rFonts w:eastAsia="Calibri"/>
          <w:sz w:val="24"/>
          <w:szCs w:val="24"/>
          <w:lang w:val="ru-RU"/>
        </w:rPr>
      </w:pPr>
      <w:r>
        <w:rPr>
          <w:rFonts w:eastAsia="Calibri"/>
          <w:sz w:val="24"/>
          <w:szCs w:val="24"/>
          <w:lang w:val="ru-RU"/>
        </w:rPr>
        <w:t>В соответствии с П</w:t>
      </w:r>
      <w:r w:rsidRPr="00AF3AA6">
        <w:rPr>
          <w:rFonts w:eastAsia="Calibri"/>
          <w:sz w:val="24"/>
          <w:szCs w:val="24"/>
          <w:lang w:val="ru-RU"/>
        </w:rPr>
        <w:t xml:space="preserve">орядком предоставления субсидии в случае </w:t>
      </w:r>
      <w:proofErr w:type="spellStart"/>
      <w:r w:rsidRPr="00AF3AA6">
        <w:rPr>
          <w:rFonts w:eastAsia="Calibri"/>
          <w:sz w:val="24"/>
          <w:szCs w:val="24"/>
          <w:lang w:val="ru-RU"/>
        </w:rPr>
        <w:t>недостижения</w:t>
      </w:r>
      <w:proofErr w:type="spellEnd"/>
      <w:r w:rsidRPr="00AF3AA6">
        <w:rPr>
          <w:rFonts w:eastAsia="Calibri"/>
          <w:sz w:val="24"/>
          <w:szCs w:val="24"/>
          <w:lang w:val="ru-RU"/>
        </w:rPr>
        <w:t xml:space="preserve"> целевого показателя результативности и </w:t>
      </w:r>
      <w:proofErr w:type="spellStart"/>
      <w:r w:rsidRPr="00AF3AA6">
        <w:rPr>
          <w:rFonts w:eastAsia="Calibri"/>
          <w:sz w:val="24"/>
          <w:szCs w:val="24"/>
          <w:lang w:val="ru-RU"/>
        </w:rPr>
        <w:t>неустранения</w:t>
      </w:r>
      <w:proofErr w:type="spellEnd"/>
      <w:r w:rsidRPr="00AF3AA6">
        <w:rPr>
          <w:rFonts w:eastAsia="Calibri"/>
          <w:sz w:val="24"/>
          <w:szCs w:val="24"/>
          <w:lang w:val="ru-RU"/>
        </w:rPr>
        <w:t xml:space="preserve"> нарушения до 01.04.2018 </w:t>
      </w:r>
      <w:r>
        <w:rPr>
          <w:rFonts w:eastAsia="Calibri"/>
          <w:sz w:val="24"/>
          <w:szCs w:val="24"/>
          <w:lang w:val="ru-RU"/>
        </w:rPr>
        <w:t>предусмотрен</w:t>
      </w:r>
      <w:r w:rsidRPr="00AF3AA6">
        <w:rPr>
          <w:rFonts w:eastAsia="Calibri"/>
          <w:sz w:val="24"/>
          <w:szCs w:val="24"/>
          <w:lang w:val="ru-RU"/>
        </w:rPr>
        <w:t xml:space="preserve"> возврат части субсидии </w:t>
      </w:r>
      <w:r w:rsidR="00347508">
        <w:rPr>
          <w:rFonts w:eastAsia="Calibri"/>
          <w:sz w:val="24"/>
          <w:szCs w:val="24"/>
          <w:lang w:val="ru-RU"/>
        </w:rPr>
        <w:t xml:space="preserve">(2,2 млн. руб.) </w:t>
      </w:r>
      <w:r w:rsidRPr="00AF3AA6">
        <w:rPr>
          <w:rFonts w:eastAsia="Calibri"/>
          <w:sz w:val="24"/>
          <w:szCs w:val="24"/>
          <w:lang w:val="ru-RU"/>
        </w:rPr>
        <w:t>в областной бюджет</w:t>
      </w:r>
      <w:r w:rsidR="00347508">
        <w:rPr>
          <w:rFonts w:eastAsia="Calibri"/>
          <w:sz w:val="24"/>
          <w:szCs w:val="24"/>
          <w:lang w:val="ru-RU"/>
        </w:rPr>
        <w:t>.</w:t>
      </w:r>
      <w:r>
        <w:rPr>
          <w:rFonts w:eastAsia="Calibri"/>
          <w:sz w:val="24"/>
          <w:szCs w:val="24"/>
          <w:lang w:val="ru-RU"/>
        </w:rPr>
        <w:t xml:space="preserve"> </w:t>
      </w:r>
    </w:p>
    <w:p w:rsidR="00E84E55" w:rsidRPr="007D09DC" w:rsidRDefault="00E84E55" w:rsidP="00E84E55">
      <w:pPr>
        <w:jc w:val="both"/>
        <w:rPr>
          <w:szCs w:val="24"/>
        </w:rPr>
      </w:pPr>
    </w:p>
    <w:p w:rsidR="005A519C" w:rsidRDefault="005A519C" w:rsidP="005A519C">
      <w:pPr>
        <w:ind w:firstLine="708"/>
        <w:jc w:val="center"/>
        <w:rPr>
          <w:b/>
          <w:szCs w:val="24"/>
        </w:rPr>
      </w:pPr>
      <w:r>
        <w:rPr>
          <w:b/>
          <w:szCs w:val="24"/>
        </w:rPr>
        <w:t>4.1</w:t>
      </w:r>
      <w:r w:rsidR="00733146">
        <w:rPr>
          <w:b/>
          <w:szCs w:val="24"/>
        </w:rPr>
        <w:t>1</w:t>
      </w:r>
      <w:r>
        <w:rPr>
          <w:b/>
          <w:szCs w:val="24"/>
        </w:rPr>
        <w:t>. Расходы по разделу 1200 «Средства массовой информации».</w:t>
      </w:r>
    </w:p>
    <w:p w:rsidR="005A519C" w:rsidRDefault="005A519C" w:rsidP="005A519C">
      <w:pPr>
        <w:ind w:firstLine="708"/>
        <w:jc w:val="center"/>
        <w:rPr>
          <w:b/>
          <w:szCs w:val="24"/>
        </w:rPr>
      </w:pPr>
    </w:p>
    <w:p w:rsidR="0023001A" w:rsidRDefault="00604E13" w:rsidP="00604E13">
      <w:pPr>
        <w:ind w:firstLine="708"/>
        <w:jc w:val="both"/>
      </w:pPr>
      <w:r>
        <w:t>Уточненные бюджетные ассигнования на 201</w:t>
      </w:r>
      <w:r w:rsidR="00B21F9C">
        <w:t>7</w:t>
      </w:r>
      <w:r>
        <w:t xml:space="preserve"> год по разделу утверждены </w:t>
      </w:r>
      <w:r w:rsidR="0023001A">
        <w:t xml:space="preserve">законом о бюджете </w:t>
      </w:r>
      <w:r>
        <w:t xml:space="preserve">в размере </w:t>
      </w:r>
      <w:r w:rsidR="00724F7F">
        <w:t>92,1</w:t>
      </w:r>
      <w:r w:rsidR="000E2E16">
        <w:t xml:space="preserve"> </w:t>
      </w:r>
      <w:r>
        <w:t xml:space="preserve">млн. рублей. </w:t>
      </w:r>
    </w:p>
    <w:p w:rsidR="00FA0A98" w:rsidRDefault="00604E13" w:rsidP="00FA0A98">
      <w:pPr>
        <w:ind w:firstLine="708"/>
        <w:jc w:val="both"/>
        <w:rPr>
          <w:sz w:val="20"/>
        </w:rPr>
      </w:pPr>
      <w:r>
        <w:lastRenderedPageBreak/>
        <w:t xml:space="preserve">По данным отчета </w:t>
      </w:r>
      <w:r w:rsidR="00490C85">
        <w:t xml:space="preserve">Администрации Волгоградской области </w:t>
      </w:r>
      <w:r>
        <w:t xml:space="preserve">фактическое исполнение расходов по разделу составило </w:t>
      </w:r>
      <w:r w:rsidR="00724F7F">
        <w:t>92,6</w:t>
      </w:r>
      <w:r>
        <w:t xml:space="preserve"> млн. руб., или </w:t>
      </w:r>
      <w:r w:rsidR="00724F7F">
        <w:t>100,6</w:t>
      </w:r>
      <w:r>
        <w:t>% от пла</w:t>
      </w:r>
      <w:r w:rsidR="001E1BA0">
        <w:t>на, в том числе</w:t>
      </w:r>
      <w:r w:rsidR="0023001A">
        <w:t xml:space="preserve"> по</w:t>
      </w:r>
      <w:r w:rsidR="00724F7F">
        <w:t xml:space="preserve"> </w:t>
      </w:r>
      <w:r w:rsidR="00FA0A98">
        <w:t>главным распорядителям бюджетных средств</w:t>
      </w:r>
      <w:r w:rsidR="003175A4">
        <w:t>:</w:t>
      </w:r>
    </w:p>
    <w:p w:rsidR="00DC20A4" w:rsidRPr="00DC20A4" w:rsidRDefault="00DC20A4" w:rsidP="00DC20A4">
      <w:pPr>
        <w:jc w:val="right"/>
        <w:rPr>
          <w:sz w:val="20"/>
        </w:rPr>
      </w:pPr>
      <w:r w:rsidRPr="00DC20A4">
        <w:rPr>
          <w:sz w:val="20"/>
        </w:rPr>
        <w:t>млн. руб.</w:t>
      </w:r>
    </w:p>
    <w:tbl>
      <w:tblPr>
        <w:tblW w:w="9651" w:type="dxa"/>
        <w:tblInd w:w="96" w:type="dxa"/>
        <w:tblLayout w:type="fixed"/>
        <w:tblLook w:val="04A0"/>
      </w:tblPr>
      <w:tblGrid>
        <w:gridCol w:w="3735"/>
        <w:gridCol w:w="1145"/>
        <w:gridCol w:w="1043"/>
        <w:gridCol w:w="1145"/>
        <w:gridCol w:w="1308"/>
        <w:gridCol w:w="1275"/>
      </w:tblGrid>
      <w:tr w:rsidR="00DC20A4" w:rsidRPr="00DC20A4" w:rsidTr="00DC20A4">
        <w:trPr>
          <w:trHeight w:val="394"/>
        </w:trPr>
        <w:tc>
          <w:tcPr>
            <w:tcW w:w="3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DC20A4" w:rsidRPr="00DC20A4" w:rsidRDefault="00DC20A4" w:rsidP="00DC4DFB">
            <w:pPr>
              <w:jc w:val="center"/>
              <w:rPr>
                <w:b/>
                <w:i/>
                <w:iCs/>
                <w:sz w:val="20"/>
              </w:rPr>
            </w:pPr>
            <w:r w:rsidRPr="00DC20A4">
              <w:rPr>
                <w:b/>
                <w:i/>
                <w:iCs/>
                <w:sz w:val="20"/>
              </w:rPr>
              <w:t>Наименование ГРБС</w:t>
            </w:r>
          </w:p>
        </w:tc>
        <w:tc>
          <w:tcPr>
            <w:tcW w:w="59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DC20A4" w:rsidRPr="00DC20A4" w:rsidRDefault="00DC20A4" w:rsidP="00DC4DFB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DC20A4">
              <w:rPr>
                <w:b/>
                <w:bCs/>
                <w:i/>
                <w:iCs/>
                <w:sz w:val="20"/>
              </w:rPr>
              <w:t>Средства массовой информации</w:t>
            </w:r>
          </w:p>
        </w:tc>
      </w:tr>
      <w:tr w:rsidR="00DC20A4" w:rsidRPr="00DC20A4" w:rsidTr="00DC20A4">
        <w:trPr>
          <w:trHeight w:val="528"/>
        </w:trPr>
        <w:tc>
          <w:tcPr>
            <w:tcW w:w="3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DC20A4" w:rsidRPr="00DC20A4" w:rsidRDefault="00DC20A4" w:rsidP="00DC4DFB">
            <w:pPr>
              <w:jc w:val="center"/>
              <w:rPr>
                <w:b/>
                <w:i/>
                <w:iCs/>
                <w:sz w:val="20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  <w:hideMark/>
          </w:tcPr>
          <w:p w:rsidR="00DC20A4" w:rsidRPr="00DC20A4" w:rsidRDefault="00DC20A4" w:rsidP="00DC4DFB">
            <w:pPr>
              <w:jc w:val="center"/>
              <w:rPr>
                <w:b/>
                <w:i/>
                <w:iCs/>
                <w:sz w:val="20"/>
              </w:rPr>
            </w:pPr>
            <w:r w:rsidRPr="00DC20A4">
              <w:rPr>
                <w:b/>
                <w:i/>
                <w:iCs/>
                <w:sz w:val="20"/>
              </w:rPr>
              <w:t>факт 2016</w:t>
            </w:r>
            <w:r w:rsidR="00F16559">
              <w:rPr>
                <w:b/>
                <w:i/>
                <w:iCs/>
                <w:sz w:val="20"/>
              </w:rPr>
              <w:t xml:space="preserve"> г.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  <w:hideMark/>
          </w:tcPr>
          <w:p w:rsidR="00DC20A4" w:rsidRPr="00DC20A4" w:rsidRDefault="00DC20A4" w:rsidP="00DC4DFB">
            <w:pPr>
              <w:jc w:val="center"/>
              <w:rPr>
                <w:b/>
                <w:i/>
                <w:iCs/>
                <w:sz w:val="20"/>
              </w:rPr>
            </w:pPr>
            <w:r w:rsidRPr="00DC20A4">
              <w:rPr>
                <w:b/>
                <w:i/>
                <w:iCs/>
                <w:sz w:val="20"/>
              </w:rPr>
              <w:t>план 2017</w:t>
            </w:r>
            <w:r w:rsidR="00F16559">
              <w:rPr>
                <w:b/>
                <w:i/>
                <w:iCs/>
                <w:sz w:val="20"/>
              </w:rPr>
              <w:t xml:space="preserve"> г.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  <w:hideMark/>
          </w:tcPr>
          <w:p w:rsidR="00DC20A4" w:rsidRPr="00DC20A4" w:rsidRDefault="00DC20A4" w:rsidP="00DC4DFB">
            <w:pPr>
              <w:jc w:val="center"/>
              <w:rPr>
                <w:b/>
                <w:i/>
                <w:iCs/>
                <w:sz w:val="20"/>
              </w:rPr>
            </w:pPr>
            <w:r w:rsidRPr="00DC20A4">
              <w:rPr>
                <w:b/>
                <w:i/>
                <w:iCs/>
                <w:sz w:val="20"/>
              </w:rPr>
              <w:t>факт 2017</w:t>
            </w:r>
            <w:r w:rsidR="00F16559">
              <w:rPr>
                <w:b/>
                <w:i/>
                <w:iCs/>
                <w:sz w:val="20"/>
              </w:rPr>
              <w:t xml:space="preserve"> г.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DC20A4" w:rsidRPr="00DC20A4" w:rsidRDefault="00DC20A4" w:rsidP="00DC20A4">
            <w:pPr>
              <w:jc w:val="center"/>
              <w:rPr>
                <w:b/>
                <w:i/>
                <w:iCs/>
                <w:sz w:val="20"/>
              </w:rPr>
            </w:pPr>
            <w:r>
              <w:rPr>
                <w:b/>
                <w:i/>
                <w:iCs/>
                <w:sz w:val="20"/>
              </w:rPr>
              <w:t>и</w:t>
            </w:r>
            <w:r w:rsidRPr="00DC20A4">
              <w:rPr>
                <w:b/>
                <w:i/>
                <w:iCs/>
                <w:sz w:val="20"/>
              </w:rPr>
              <w:t>сполнен</w:t>
            </w:r>
            <w:r>
              <w:rPr>
                <w:b/>
                <w:i/>
                <w:iCs/>
                <w:sz w:val="20"/>
              </w:rPr>
              <w:t>о,</w:t>
            </w:r>
            <w:r w:rsidRPr="00DC20A4">
              <w:rPr>
                <w:b/>
                <w:i/>
                <w:iCs/>
                <w:sz w:val="20"/>
              </w:rPr>
              <w:t xml:space="preserve"> %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061E68" w:rsidRDefault="00061E68" w:rsidP="00DC20A4">
            <w:pPr>
              <w:jc w:val="center"/>
              <w:rPr>
                <w:b/>
                <w:i/>
                <w:iCs/>
                <w:sz w:val="20"/>
              </w:rPr>
            </w:pPr>
            <w:r w:rsidRPr="00DC20A4">
              <w:rPr>
                <w:b/>
                <w:i/>
                <w:iCs/>
                <w:sz w:val="20"/>
              </w:rPr>
              <w:t>С</w:t>
            </w:r>
            <w:r w:rsidR="00DC20A4" w:rsidRPr="00DC20A4">
              <w:rPr>
                <w:b/>
                <w:i/>
                <w:iCs/>
                <w:sz w:val="20"/>
              </w:rPr>
              <w:t>равнение</w:t>
            </w:r>
          </w:p>
          <w:p w:rsidR="00DC20A4" w:rsidRPr="00DC20A4" w:rsidRDefault="00DC20A4" w:rsidP="00DC20A4">
            <w:pPr>
              <w:jc w:val="center"/>
              <w:rPr>
                <w:b/>
                <w:i/>
                <w:iCs/>
                <w:sz w:val="20"/>
              </w:rPr>
            </w:pPr>
            <w:r w:rsidRPr="00DC20A4">
              <w:rPr>
                <w:b/>
                <w:i/>
                <w:iCs/>
                <w:sz w:val="20"/>
              </w:rPr>
              <w:t xml:space="preserve"> с 2016 г</w:t>
            </w:r>
            <w:r>
              <w:rPr>
                <w:b/>
                <w:i/>
                <w:iCs/>
                <w:sz w:val="20"/>
              </w:rPr>
              <w:t>.</w:t>
            </w:r>
            <w:r w:rsidRPr="00DC20A4">
              <w:rPr>
                <w:b/>
                <w:i/>
                <w:iCs/>
                <w:sz w:val="20"/>
              </w:rPr>
              <w:t>, %</w:t>
            </w:r>
          </w:p>
        </w:tc>
      </w:tr>
      <w:tr w:rsidR="00DC20A4" w:rsidRPr="00DC20A4" w:rsidTr="00BB1EC3">
        <w:trPr>
          <w:trHeight w:val="267"/>
        </w:trPr>
        <w:tc>
          <w:tcPr>
            <w:tcW w:w="3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0A4" w:rsidRPr="00DC20A4" w:rsidRDefault="00DC20A4" w:rsidP="00DC4DFB">
            <w:pPr>
              <w:rPr>
                <w:sz w:val="20"/>
              </w:rPr>
            </w:pPr>
            <w:r w:rsidRPr="00DC20A4">
              <w:rPr>
                <w:sz w:val="20"/>
              </w:rPr>
              <w:t xml:space="preserve">Комитет по делам национальностей и казачества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0A4" w:rsidRPr="00DC20A4" w:rsidRDefault="00DC20A4" w:rsidP="00724F7F">
            <w:pPr>
              <w:jc w:val="center"/>
              <w:rPr>
                <w:sz w:val="20"/>
              </w:rPr>
            </w:pPr>
            <w:r w:rsidRPr="00DC20A4">
              <w:rPr>
                <w:sz w:val="20"/>
              </w:rPr>
              <w:t>1,9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0A4" w:rsidRPr="00DC20A4" w:rsidRDefault="00DC20A4" w:rsidP="00724F7F">
            <w:pPr>
              <w:jc w:val="center"/>
              <w:rPr>
                <w:sz w:val="20"/>
              </w:rPr>
            </w:pPr>
            <w:r w:rsidRPr="00DC20A4">
              <w:rPr>
                <w:sz w:val="20"/>
              </w:rPr>
              <w:t>1,4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0A4" w:rsidRPr="00DC20A4" w:rsidRDefault="00DC20A4" w:rsidP="00724F7F">
            <w:pPr>
              <w:jc w:val="center"/>
              <w:rPr>
                <w:sz w:val="20"/>
              </w:rPr>
            </w:pPr>
            <w:r w:rsidRPr="00DC20A4">
              <w:rPr>
                <w:sz w:val="20"/>
              </w:rPr>
              <w:t>1,9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0A4" w:rsidRPr="00DC20A4" w:rsidRDefault="00DC20A4" w:rsidP="00724F7F">
            <w:pPr>
              <w:jc w:val="center"/>
              <w:rPr>
                <w:sz w:val="20"/>
              </w:rPr>
            </w:pPr>
            <w:r w:rsidRPr="00DC20A4">
              <w:rPr>
                <w:sz w:val="20"/>
              </w:rPr>
              <w:t>135,4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0A4" w:rsidRPr="00DC20A4" w:rsidRDefault="00DC20A4" w:rsidP="00724F7F">
            <w:pPr>
              <w:jc w:val="center"/>
              <w:rPr>
                <w:sz w:val="20"/>
              </w:rPr>
            </w:pPr>
            <w:r w:rsidRPr="00DC20A4">
              <w:rPr>
                <w:sz w:val="20"/>
              </w:rPr>
              <w:t>102,3</w:t>
            </w:r>
          </w:p>
        </w:tc>
      </w:tr>
      <w:tr w:rsidR="00DC20A4" w:rsidRPr="00DC20A4" w:rsidTr="00BB1EC3">
        <w:trPr>
          <w:trHeight w:val="656"/>
        </w:trPr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0A4" w:rsidRPr="00DC20A4" w:rsidRDefault="00DC20A4" w:rsidP="00DC4DFB">
            <w:pPr>
              <w:rPr>
                <w:sz w:val="20"/>
              </w:rPr>
            </w:pPr>
            <w:r w:rsidRPr="00DC20A4">
              <w:rPr>
                <w:sz w:val="20"/>
              </w:rPr>
              <w:t xml:space="preserve">Комитет по делам территориальных образований, внутренней и информационной политики 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0A4" w:rsidRPr="00DC20A4" w:rsidRDefault="00FA0A98" w:rsidP="00724F7F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х</w:t>
            </w:r>
            <w:proofErr w:type="spellEnd"/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0A4" w:rsidRPr="00DC20A4" w:rsidRDefault="00DC20A4" w:rsidP="00724F7F">
            <w:pPr>
              <w:jc w:val="center"/>
              <w:rPr>
                <w:sz w:val="20"/>
              </w:rPr>
            </w:pPr>
            <w:r w:rsidRPr="00DC20A4">
              <w:rPr>
                <w:sz w:val="20"/>
              </w:rPr>
              <w:t>0,0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0A4" w:rsidRPr="00DC20A4" w:rsidRDefault="00DC20A4" w:rsidP="00724F7F">
            <w:pPr>
              <w:jc w:val="center"/>
              <w:rPr>
                <w:sz w:val="20"/>
              </w:rPr>
            </w:pPr>
            <w:r w:rsidRPr="00DC20A4">
              <w:rPr>
                <w:sz w:val="20"/>
              </w:rPr>
              <w:t>90,7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0A4" w:rsidRPr="00DC20A4" w:rsidRDefault="00DC20A4" w:rsidP="00724F7F">
            <w:pPr>
              <w:jc w:val="center"/>
              <w:rPr>
                <w:sz w:val="20"/>
              </w:rPr>
            </w:pPr>
            <w:proofErr w:type="spellStart"/>
            <w:r w:rsidRPr="00DC20A4">
              <w:rPr>
                <w:sz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0A4" w:rsidRPr="00DC20A4" w:rsidRDefault="00FA0A98" w:rsidP="00724F7F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х</w:t>
            </w:r>
            <w:proofErr w:type="spellEnd"/>
          </w:p>
        </w:tc>
      </w:tr>
      <w:tr w:rsidR="00DC20A4" w:rsidRPr="00DC20A4" w:rsidTr="00FA0A98">
        <w:trPr>
          <w:trHeight w:val="240"/>
        </w:trPr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0A4" w:rsidRPr="00DC20A4" w:rsidRDefault="00DC20A4" w:rsidP="00DC4DFB">
            <w:pPr>
              <w:rPr>
                <w:sz w:val="20"/>
              </w:rPr>
            </w:pPr>
            <w:r w:rsidRPr="00DC20A4">
              <w:rPr>
                <w:sz w:val="20"/>
              </w:rPr>
              <w:t xml:space="preserve">Комитет информационной политики 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0A4" w:rsidRPr="00DC20A4" w:rsidRDefault="00DC20A4" w:rsidP="00724F7F">
            <w:pPr>
              <w:jc w:val="center"/>
              <w:rPr>
                <w:sz w:val="20"/>
              </w:rPr>
            </w:pPr>
            <w:r w:rsidRPr="00DC20A4">
              <w:rPr>
                <w:sz w:val="20"/>
              </w:rPr>
              <w:t>93,3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0A4" w:rsidRPr="00DC20A4" w:rsidRDefault="00DC20A4" w:rsidP="00724F7F">
            <w:pPr>
              <w:jc w:val="center"/>
              <w:rPr>
                <w:sz w:val="20"/>
              </w:rPr>
            </w:pPr>
            <w:r w:rsidRPr="00DC20A4">
              <w:rPr>
                <w:sz w:val="20"/>
              </w:rPr>
              <w:t>90,7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0A4" w:rsidRPr="00DC20A4" w:rsidRDefault="00DC20A4" w:rsidP="00724F7F">
            <w:pPr>
              <w:jc w:val="center"/>
              <w:rPr>
                <w:sz w:val="20"/>
              </w:rPr>
            </w:pPr>
            <w:r w:rsidRPr="00DC20A4">
              <w:rPr>
                <w:sz w:val="20"/>
              </w:rPr>
              <w:t>0,0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0A4" w:rsidRPr="00DC20A4" w:rsidRDefault="00DC20A4" w:rsidP="00724F7F">
            <w:pPr>
              <w:jc w:val="center"/>
              <w:rPr>
                <w:sz w:val="20"/>
              </w:rPr>
            </w:pPr>
            <w:r w:rsidRPr="00DC20A4">
              <w:rPr>
                <w:sz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0A4" w:rsidRPr="00DC20A4" w:rsidRDefault="00DC20A4" w:rsidP="00724F7F">
            <w:pPr>
              <w:jc w:val="center"/>
              <w:rPr>
                <w:sz w:val="20"/>
              </w:rPr>
            </w:pPr>
            <w:r w:rsidRPr="00DC20A4">
              <w:rPr>
                <w:sz w:val="20"/>
              </w:rPr>
              <w:t>0,0</w:t>
            </w:r>
          </w:p>
        </w:tc>
      </w:tr>
      <w:tr w:rsidR="00DC20A4" w:rsidRPr="00DC20A4" w:rsidTr="00DC20A4">
        <w:trPr>
          <w:trHeight w:val="279"/>
        </w:trPr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DC20A4" w:rsidRPr="00DC20A4" w:rsidRDefault="00DC20A4" w:rsidP="00DC4DFB">
            <w:pPr>
              <w:rPr>
                <w:b/>
                <w:bCs/>
                <w:sz w:val="20"/>
              </w:rPr>
            </w:pPr>
            <w:r w:rsidRPr="00DC20A4">
              <w:rPr>
                <w:b/>
                <w:bCs/>
                <w:sz w:val="20"/>
              </w:rPr>
              <w:t>ИТОГО: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hideMark/>
          </w:tcPr>
          <w:p w:rsidR="00DC20A4" w:rsidRPr="00DC20A4" w:rsidRDefault="00DC20A4" w:rsidP="00724F7F">
            <w:pPr>
              <w:jc w:val="center"/>
              <w:rPr>
                <w:b/>
                <w:bCs/>
                <w:sz w:val="20"/>
              </w:rPr>
            </w:pPr>
            <w:r w:rsidRPr="00DC20A4">
              <w:rPr>
                <w:b/>
                <w:bCs/>
                <w:sz w:val="20"/>
              </w:rPr>
              <w:t>95,2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hideMark/>
          </w:tcPr>
          <w:p w:rsidR="00DC20A4" w:rsidRPr="00DC20A4" w:rsidRDefault="00DC20A4" w:rsidP="00724F7F">
            <w:pPr>
              <w:jc w:val="center"/>
              <w:rPr>
                <w:b/>
                <w:bCs/>
                <w:sz w:val="20"/>
              </w:rPr>
            </w:pPr>
            <w:r w:rsidRPr="00DC20A4">
              <w:rPr>
                <w:b/>
                <w:bCs/>
                <w:sz w:val="20"/>
              </w:rPr>
              <w:t>92,1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hideMark/>
          </w:tcPr>
          <w:p w:rsidR="00DC20A4" w:rsidRPr="00DC20A4" w:rsidRDefault="00DC20A4" w:rsidP="00724F7F">
            <w:pPr>
              <w:jc w:val="center"/>
              <w:rPr>
                <w:b/>
                <w:bCs/>
                <w:sz w:val="20"/>
              </w:rPr>
            </w:pPr>
            <w:r w:rsidRPr="00DC20A4">
              <w:rPr>
                <w:b/>
                <w:bCs/>
                <w:sz w:val="20"/>
              </w:rPr>
              <w:t>92,6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hideMark/>
          </w:tcPr>
          <w:p w:rsidR="00DC20A4" w:rsidRPr="00DC20A4" w:rsidRDefault="00DC20A4" w:rsidP="00724F7F">
            <w:pPr>
              <w:jc w:val="center"/>
              <w:rPr>
                <w:b/>
                <w:bCs/>
                <w:sz w:val="20"/>
              </w:rPr>
            </w:pPr>
            <w:r w:rsidRPr="00DC20A4">
              <w:rPr>
                <w:b/>
                <w:bCs/>
                <w:sz w:val="20"/>
              </w:rPr>
              <w:t>100,6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hideMark/>
          </w:tcPr>
          <w:p w:rsidR="00DC20A4" w:rsidRPr="00DC20A4" w:rsidRDefault="00DC20A4" w:rsidP="00724F7F">
            <w:pPr>
              <w:jc w:val="center"/>
              <w:rPr>
                <w:b/>
                <w:bCs/>
                <w:sz w:val="20"/>
              </w:rPr>
            </w:pPr>
            <w:r w:rsidRPr="00DC20A4">
              <w:rPr>
                <w:b/>
                <w:bCs/>
                <w:sz w:val="20"/>
              </w:rPr>
              <w:t>97,3</w:t>
            </w:r>
          </w:p>
        </w:tc>
      </w:tr>
    </w:tbl>
    <w:p w:rsidR="00DC20A4" w:rsidRDefault="00DC20A4" w:rsidP="00DC20A4">
      <w:pPr>
        <w:rPr>
          <w:lang w:val="en-US"/>
        </w:rPr>
      </w:pPr>
    </w:p>
    <w:p w:rsidR="00DC20A4" w:rsidRDefault="00724F7F" w:rsidP="00065AB0">
      <w:pPr>
        <w:jc w:val="both"/>
      </w:pPr>
      <w:r>
        <w:tab/>
        <w:t>По сравнению с 2016 годом расходы по разделу снизились незначительно – на 2,6 млн. руб., или на 2,7 процента.</w:t>
      </w:r>
    </w:p>
    <w:p w:rsidR="00065AB0" w:rsidRDefault="00065AB0" w:rsidP="00065AB0">
      <w:pPr>
        <w:jc w:val="both"/>
      </w:pPr>
      <w:r>
        <w:tab/>
        <w:t>При проведении внешних проверок бюджетной отчетности главных распорядителей средств областного бюджета, участвующих в данном разделе, установлены следующие нарушения законодательства и недостатки при использовании бюджетных средств.</w:t>
      </w:r>
    </w:p>
    <w:p w:rsidR="00570253" w:rsidRPr="0016633F" w:rsidRDefault="00570253" w:rsidP="00570253">
      <w:pPr>
        <w:ind w:firstLine="720"/>
        <w:jc w:val="both"/>
      </w:pPr>
      <w:proofErr w:type="gramStart"/>
      <w:r>
        <w:t xml:space="preserve">При проверке </w:t>
      </w:r>
      <w:r w:rsidRPr="00570253">
        <w:rPr>
          <w:b/>
          <w:i/>
        </w:rPr>
        <w:t>комитета территориальных образований, внутренней и информационной политики Волгоградской области</w:t>
      </w:r>
      <w:r>
        <w:t xml:space="preserve"> установлено, что расходы по разделу 1200 «Средства массовой информации» исполнялись комитетом в рамках ведомственной целевой программы</w:t>
      </w:r>
      <w:r w:rsidRPr="00CB40C4">
        <w:t xml:space="preserve"> </w:t>
      </w:r>
      <w:r>
        <w:t>«Р</w:t>
      </w:r>
      <w:r w:rsidRPr="00CB40C4">
        <w:t>еализация</w:t>
      </w:r>
      <w:r>
        <w:t xml:space="preserve"> </w:t>
      </w:r>
      <w:r w:rsidRPr="00CB40C4">
        <w:t>государственной информационной политики на территории</w:t>
      </w:r>
      <w:r>
        <w:t xml:space="preserve"> В</w:t>
      </w:r>
      <w:r w:rsidRPr="00CB40C4">
        <w:t>олгоградской области в сфере средств массовой информации</w:t>
      </w:r>
      <w:r>
        <w:t xml:space="preserve"> </w:t>
      </w:r>
      <w:r w:rsidRPr="00CB40C4">
        <w:t>и массовых коммуникаций, развития информационных ресурсов,</w:t>
      </w:r>
      <w:r>
        <w:t xml:space="preserve"> </w:t>
      </w:r>
      <w:r w:rsidRPr="00CB40C4">
        <w:t>печати, издательской, полиграфической деятельности,</w:t>
      </w:r>
      <w:r>
        <w:t xml:space="preserve"> </w:t>
      </w:r>
      <w:r w:rsidRPr="00CB40C4">
        <w:t>распространения печатной продукции</w:t>
      </w:r>
      <w:r>
        <w:t>»</w:t>
      </w:r>
      <w:r w:rsidRPr="00CB40C4">
        <w:t xml:space="preserve"> на 2016-2018 годы</w:t>
      </w:r>
      <w:r>
        <w:t>, утвержденной приказом комитета информационной</w:t>
      </w:r>
      <w:proofErr w:type="gramEnd"/>
      <w:r>
        <w:t xml:space="preserve"> политики Волгоградской </w:t>
      </w:r>
      <w:r w:rsidRPr="0016633F">
        <w:t>области от 12.11.2015 №202 (далее ВЦП, Приказ №202).</w:t>
      </w:r>
    </w:p>
    <w:p w:rsidR="00570253" w:rsidRDefault="00AB0C56" w:rsidP="00570253">
      <w:pPr>
        <w:autoSpaceDE w:val="0"/>
        <w:autoSpaceDN w:val="0"/>
        <w:adjustRightInd w:val="0"/>
        <w:ind w:firstLine="540"/>
        <w:jc w:val="both"/>
      </w:pPr>
      <w:r>
        <w:tab/>
      </w:r>
      <w:proofErr w:type="gramStart"/>
      <w:r w:rsidR="00570253" w:rsidRPr="00067BC6">
        <w:t>В нарушение</w:t>
      </w:r>
      <w:r w:rsidR="00570253" w:rsidRPr="00067BC6">
        <w:rPr>
          <w:b/>
        </w:rPr>
        <w:t xml:space="preserve"> </w:t>
      </w:r>
      <w:r w:rsidR="00570253" w:rsidRPr="00067BC6">
        <w:t>п</w:t>
      </w:r>
      <w:r>
        <w:t xml:space="preserve">ункта </w:t>
      </w:r>
      <w:r w:rsidR="00570253" w:rsidRPr="00067BC6">
        <w:t xml:space="preserve">1.3 </w:t>
      </w:r>
      <w:r w:rsidR="00B64244" w:rsidRPr="0016633F">
        <w:t>постановления Администрации Волгоградской области от 13.10.2008 №89-п «Об утверждении положения о разработке, утверждении и реализации ведомственных целевых программ»</w:t>
      </w:r>
      <w:r w:rsidR="00570253">
        <w:t xml:space="preserve"> це</w:t>
      </w:r>
      <w:r w:rsidR="00570253" w:rsidRPr="00923EB9">
        <w:t>левые индикаторы</w:t>
      </w:r>
      <w:r w:rsidR="00570253">
        <w:t xml:space="preserve"> ВЦП</w:t>
      </w:r>
      <w:r w:rsidR="00570253" w:rsidRPr="00923EB9">
        <w:t xml:space="preserve"> не охватывают </w:t>
      </w:r>
      <w:r w:rsidR="00570253" w:rsidRPr="00A555DB">
        <w:t xml:space="preserve">реализацию 4-х </w:t>
      </w:r>
      <w:r w:rsidR="00570253">
        <w:t>из 9-ти</w:t>
      </w:r>
      <w:r w:rsidR="00570253" w:rsidRPr="00CD76AF">
        <w:t xml:space="preserve"> </w:t>
      </w:r>
      <w:r w:rsidR="00570253" w:rsidRPr="00A555DB">
        <w:t>мероприятий</w:t>
      </w:r>
      <w:r w:rsidR="00570253" w:rsidRPr="00194AB9">
        <w:t xml:space="preserve">, </w:t>
      </w:r>
      <w:r w:rsidR="00B64244">
        <w:t xml:space="preserve">т. е. </w:t>
      </w:r>
      <w:r w:rsidR="00570253">
        <w:t>фактически расходы областного бюджета на общую сумму 4</w:t>
      </w:r>
      <w:r w:rsidR="00B64244">
        <w:t>5</w:t>
      </w:r>
      <w:r w:rsidR="00570253">
        <w:t xml:space="preserve"> </w:t>
      </w:r>
      <w:r w:rsidR="00B64244">
        <w:t>млн</w:t>
      </w:r>
      <w:r w:rsidR="00570253">
        <w:t>. руб., или 27% от всех расходов в рамках ВЦП (166</w:t>
      </w:r>
      <w:r w:rsidR="00B64244">
        <w:t>,8</w:t>
      </w:r>
      <w:r w:rsidR="00570253">
        <w:t xml:space="preserve"> </w:t>
      </w:r>
      <w:r w:rsidR="00B64244">
        <w:t>млн</w:t>
      </w:r>
      <w:r w:rsidR="00570253">
        <w:t>. руб.)</w:t>
      </w:r>
      <w:r w:rsidR="00570253" w:rsidRPr="001F7637">
        <w:t xml:space="preserve"> </w:t>
      </w:r>
      <w:r w:rsidR="00570253">
        <w:t>осуществлены в отсутствии критериев оценки</w:t>
      </w:r>
      <w:proofErr w:type="gramEnd"/>
      <w:r w:rsidR="00570253">
        <w:t xml:space="preserve"> </w:t>
      </w:r>
      <w:r w:rsidR="00B64244">
        <w:t xml:space="preserve">ее </w:t>
      </w:r>
      <w:r w:rsidR="00570253">
        <w:t>реализации</w:t>
      </w:r>
      <w:r w:rsidR="00B64244">
        <w:t>,</w:t>
      </w:r>
      <w:r w:rsidR="00570253">
        <w:t xml:space="preserve"> в том числе:</w:t>
      </w:r>
    </w:p>
    <w:p w:rsidR="00570253" w:rsidRPr="0016633F" w:rsidRDefault="00273A84" w:rsidP="005702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70253">
        <w:rPr>
          <w:rFonts w:ascii="Times New Roman" w:hAnsi="Times New Roman" w:cs="Times New Roman"/>
          <w:sz w:val="24"/>
          <w:szCs w:val="24"/>
        </w:rPr>
        <w:t>-</w:t>
      </w:r>
      <w:r w:rsidR="00570253" w:rsidRPr="001F36C4">
        <w:rPr>
          <w:rFonts w:ascii="Times New Roman" w:hAnsi="Times New Roman" w:cs="Times New Roman"/>
          <w:sz w:val="24"/>
          <w:szCs w:val="24"/>
        </w:rPr>
        <w:t>21</w:t>
      </w:r>
      <w:r w:rsidR="00B64244">
        <w:rPr>
          <w:rFonts w:ascii="Times New Roman" w:hAnsi="Times New Roman" w:cs="Times New Roman"/>
          <w:sz w:val="24"/>
          <w:szCs w:val="24"/>
        </w:rPr>
        <w:t>,6</w:t>
      </w:r>
      <w:r w:rsidR="00570253" w:rsidRPr="0016633F">
        <w:rPr>
          <w:rFonts w:ascii="Times New Roman" w:hAnsi="Times New Roman" w:cs="Times New Roman"/>
          <w:sz w:val="24"/>
          <w:szCs w:val="24"/>
        </w:rPr>
        <w:t xml:space="preserve"> </w:t>
      </w:r>
      <w:r w:rsidR="00B64244">
        <w:rPr>
          <w:rFonts w:ascii="Times New Roman" w:hAnsi="Times New Roman" w:cs="Times New Roman"/>
          <w:sz w:val="24"/>
          <w:szCs w:val="24"/>
        </w:rPr>
        <w:t>млн</w:t>
      </w:r>
      <w:r w:rsidR="00570253" w:rsidRPr="0016633F">
        <w:rPr>
          <w:rFonts w:ascii="Times New Roman" w:hAnsi="Times New Roman" w:cs="Times New Roman"/>
          <w:sz w:val="24"/>
          <w:szCs w:val="24"/>
        </w:rPr>
        <w:t xml:space="preserve">. руб. </w:t>
      </w:r>
      <w:r w:rsidR="00B64244">
        <w:rPr>
          <w:rFonts w:ascii="Times New Roman" w:hAnsi="Times New Roman" w:cs="Times New Roman"/>
          <w:sz w:val="24"/>
          <w:szCs w:val="24"/>
        </w:rPr>
        <w:t>-</w:t>
      </w:r>
      <w:r w:rsidR="00570253" w:rsidRPr="0016633F">
        <w:rPr>
          <w:rFonts w:ascii="Times New Roman" w:hAnsi="Times New Roman" w:cs="Times New Roman"/>
          <w:sz w:val="24"/>
          <w:szCs w:val="24"/>
        </w:rPr>
        <w:t xml:space="preserve"> на достижение 4 целевых показателей, установленных в государственном задании  </w:t>
      </w:r>
      <w:r w:rsidR="00B64244">
        <w:rPr>
          <w:rFonts w:ascii="Times New Roman" w:hAnsi="Times New Roman" w:cs="Times New Roman"/>
          <w:sz w:val="24"/>
          <w:szCs w:val="24"/>
        </w:rPr>
        <w:t xml:space="preserve">подведомственному комитету учреждению </w:t>
      </w:r>
      <w:r w:rsidR="00570253" w:rsidRPr="0016633F">
        <w:rPr>
          <w:rFonts w:ascii="Times New Roman" w:hAnsi="Times New Roman" w:cs="Times New Roman"/>
          <w:sz w:val="24"/>
          <w:szCs w:val="24"/>
        </w:rPr>
        <w:t>ГБУ «РИАЦ»;</w:t>
      </w:r>
    </w:p>
    <w:p w:rsidR="00570253" w:rsidRPr="0016633F" w:rsidRDefault="00273A84" w:rsidP="005702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70253" w:rsidRPr="0016633F">
        <w:rPr>
          <w:rFonts w:ascii="Times New Roman" w:hAnsi="Times New Roman" w:cs="Times New Roman"/>
          <w:sz w:val="24"/>
          <w:szCs w:val="24"/>
        </w:rPr>
        <w:t>-1</w:t>
      </w:r>
      <w:r w:rsidR="00B64244">
        <w:rPr>
          <w:rFonts w:ascii="Times New Roman" w:hAnsi="Times New Roman" w:cs="Times New Roman"/>
          <w:sz w:val="24"/>
          <w:szCs w:val="24"/>
        </w:rPr>
        <w:t>,</w:t>
      </w:r>
      <w:r w:rsidR="00570253" w:rsidRPr="0016633F">
        <w:rPr>
          <w:rFonts w:ascii="Times New Roman" w:hAnsi="Times New Roman" w:cs="Times New Roman"/>
          <w:sz w:val="24"/>
          <w:szCs w:val="24"/>
        </w:rPr>
        <w:t xml:space="preserve">4 </w:t>
      </w:r>
      <w:r w:rsidR="00B64244">
        <w:rPr>
          <w:rFonts w:ascii="Times New Roman" w:hAnsi="Times New Roman" w:cs="Times New Roman"/>
          <w:sz w:val="24"/>
          <w:szCs w:val="24"/>
        </w:rPr>
        <w:t>млн</w:t>
      </w:r>
      <w:r w:rsidR="00570253" w:rsidRPr="0016633F">
        <w:rPr>
          <w:rFonts w:ascii="Times New Roman" w:hAnsi="Times New Roman" w:cs="Times New Roman"/>
          <w:sz w:val="24"/>
          <w:szCs w:val="24"/>
        </w:rPr>
        <w:t>. руб. - на возмещение расходов, связанных с финансовым обеспечением официальных публикаций;</w:t>
      </w:r>
    </w:p>
    <w:p w:rsidR="00570253" w:rsidRDefault="00273A84" w:rsidP="005702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70253" w:rsidRPr="0016633F">
        <w:rPr>
          <w:rFonts w:ascii="Times New Roman" w:hAnsi="Times New Roman" w:cs="Times New Roman"/>
          <w:sz w:val="24"/>
          <w:szCs w:val="24"/>
        </w:rPr>
        <w:t xml:space="preserve">-22 </w:t>
      </w:r>
      <w:r w:rsidR="00B64244">
        <w:rPr>
          <w:rFonts w:ascii="Times New Roman" w:hAnsi="Times New Roman" w:cs="Times New Roman"/>
          <w:sz w:val="24"/>
          <w:szCs w:val="24"/>
        </w:rPr>
        <w:t>млн</w:t>
      </w:r>
      <w:r w:rsidR="00570253" w:rsidRPr="0016633F">
        <w:rPr>
          <w:rFonts w:ascii="Times New Roman" w:hAnsi="Times New Roman" w:cs="Times New Roman"/>
          <w:sz w:val="24"/>
          <w:szCs w:val="24"/>
        </w:rPr>
        <w:t xml:space="preserve">. руб. </w:t>
      </w:r>
      <w:r w:rsidR="00B64244">
        <w:rPr>
          <w:rFonts w:ascii="Times New Roman" w:hAnsi="Times New Roman" w:cs="Times New Roman"/>
          <w:sz w:val="24"/>
          <w:szCs w:val="24"/>
        </w:rPr>
        <w:t>-</w:t>
      </w:r>
      <w:r w:rsidR="00570253" w:rsidRPr="0016633F">
        <w:rPr>
          <w:rFonts w:ascii="Times New Roman" w:hAnsi="Times New Roman" w:cs="Times New Roman"/>
          <w:sz w:val="24"/>
          <w:szCs w:val="24"/>
        </w:rPr>
        <w:t xml:space="preserve"> на субсидии бюджетам муниципальных районов и городских округов Волгоградской области на </w:t>
      </w:r>
      <w:proofErr w:type="spellStart"/>
      <w:r w:rsidR="00570253" w:rsidRPr="0016633F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="00570253" w:rsidRPr="0016633F">
        <w:rPr>
          <w:rFonts w:ascii="Times New Roman" w:hAnsi="Times New Roman" w:cs="Times New Roman"/>
          <w:sz w:val="24"/>
          <w:szCs w:val="24"/>
        </w:rPr>
        <w:t xml:space="preserve"> расходных обязательств, возникающих в связи с доведением до сведения жителей муниципальных районов и </w:t>
      </w:r>
      <w:r w:rsidR="00B64244">
        <w:rPr>
          <w:rFonts w:ascii="Times New Roman" w:hAnsi="Times New Roman" w:cs="Times New Roman"/>
          <w:sz w:val="24"/>
          <w:szCs w:val="24"/>
        </w:rPr>
        <w:t>г</w:t>
      </w:r>
      <w:r w:rsidR="00570253" w:rsidRPr="0016633F">
        <w:rPr>
          <w:rFonts w:ascii="Times New Roman" w:hAnsi="Times New Roman" w:cs="Times New Roman"/>
          <w:sz w:val="24"/>
          <w:szCs w:val="24"/>
        </w:rPr>
        <w:t>ородских округов офиц</w:t>
      </w:r>
      <w:r w:rsidR="00570253" w:rsidRPr="00A555DB">
        <w:rPr>
          <w:rFonts w:ascii="Times New Roman" w:hAnsi="Times New Roman" w:cs="Times New Roman"/>
          <w:sz w:val="24"/>
          <w:szCs w:val="24"/>
        </w:rPr>
        <w:t>иальной информации</w:t>
      </w:r>
      <w:r w:rsidR="00570253">
        <w:rPr>
          <w:rFonts w:ascii="Times New Roman" w:hAnsi="Times New Roman" w:cs="Times New Roman"/>
          <w:sz w:val="24"/>
          <w:szCs w:val="24"/>
        </w:rPr>
        <w:t>.</w:t>
      </w:r>
    </w:p>
    <w:p w:rsidR="00570253" w:rsidRDefault="00D93C5D" w:rsidP="00570253">
      <w:pPr>
        <w:autoSpaceDE w:val="0"/>
        <w:autoSpaceDN w:val="0"/>
        <w:adjustRightInd w:val="0"/>
        <w:ind w:firstLine="540"/>
        <w:jc w:val="both"/>
      </w:pPr>
      <w:r>
        <w:rPr>
          <w:b/>
        </w:rPr>
        <w:tab/>
        <w:t xml:space="preserve"> </w:t>
      </w:r>
      <w:r w:rsidRPr="00D93C5D">
        <w:t xml:space="preserve">Проверкой </w:t>
      </w:r>
      <w:r>
        <w:t>КСП установлены следующие н</w:t>
      </w:r>
      <w:r w:rsidR="00570253" w:rsidRPr="00CF0548">
        <w:t>арушения и недостатки при реализации мероприятий  ВЦП:</w:t>
      </w:r>
    </w:p>
    <w:p w:rsidR="00570253" w:rsidRPr="0016633F" w:rsidRDefault="00570253" w:rsidP="00570253">
      <w:pPr>
        <w:ind w:firstLine="851"/>
        <w:jc w:val="both"/>
      </w:pPr>
      <w:proofErr w:type="gramStart"/>
      <w:r w:rsidRPr="0016633F">
        <w:t>-в нарушение ст</w:t>
      </w:r>
      <w:r w:rsidR="00D93C5D">
        <w:t>атьи</w:t>
      </w:r>
      <w:r w:rsidRPr="0016633F">
        <w:t xml:space="preserve"> 69 БК РФ и п</w:t>
      </w:r>
      <w:r w:rsidR="00D93C5D">
        <w:t xml:space="preserve">ункта </w:t>
      </w:r>
      <w:r w:rsidRPr="0016633F">
        <w:t xml:space="preserve">2 </w:t>
      </w:r>
      <w:r w:rsidR="00FC6259" w:rsidRPr="0016633F">
        <w:t>Порядка формирования государственного задания в отношении государственных учреждений Волгоградской области и финансового обеспечения выполнения этого задания</w:t>
      </w:r>
      <w:r w:rsidR="00FC6259">
        <w:t>,</w:t>
      </w:r>
      <w:r w:rsidR="00FC6259" w:rsidRPr="0016633F">
        <w:t xml:space="preserve"> утвержд</w:t>
      </w:r>
      <w:r w:rsidR="00FC6259">
        <w:t>е</w:t>
      </w:r>
      <w:r w:rsidR="00FC6259" w:rsidRPr="0016633F">
        <w:t>нного постановлением Администрации Волгоградской области от 30.12.2015 №818-п</w:t>
      </w:r>
      <w:r w:rsidR="00FC6259">
        <w:t>,</w:t>
      </w:r>
      <w:r w:rsidRPr="0016633F">
        <w:t xml:space="preserve"> </w:t>
      </w:r>
      <w:proofErr w:type="spellStart"/>
      <w:r w:rsidR="00FC6259">
        <w:t>гос</w:t>
      </w:r>
      <w:r w:rsidRPr="0016633F">
        <w:t>задание</w:t>
      </w:r>
      <w:proofErr w:type="spellEnd"/>
      <w:r w:rsidRPr="0016633F">
        <w:t xml:space="preserve"> </w:t>
      </w:r>
      <w:r w:rsidR="00D93C5D">
        <w:t xml:space="preserve">до </w:t>
      </w:r>
      <w:r w:rsidRPr="0016633F">
        <w:t xml:space="preserve">ГБУ </w:t>
      </w:r>
      <w:r w:rsidR="00D93C5D">
        <w:t>«</w:t>
      </w:r>
      <w:r w:rsidRPr="0016633F">
        <w:t>РИАЦ» сформировано на выполнение государственной работы «Производство и выпуск сетевого издания», которая не соответствует основным видам деятельности, предусмотренным учредительными документами учреждения, что свидетельствует о</w:t>
      </w:r>
      <w:proofErr w:type="gramEnd"/>
      <w:r w:rsidRPr="0016633F">
        <w:t xml:space="preserve"> формальном </w:t>
      </w:r>
      <w:proofErr w:type="gramStart"/>
      <w:r w:rsidRPr="0016633F">
        <w:t>подходе</w:t>
      </w:r>
      <w:proofErr w:type="gramEnd"/>
      <w:r w:rsidRPr="0016633F">
        <w:t xml:space="preserve"> при доведении государственного задания до учреждения. Объем субсидии из областного бюджета на выполнение указанной работы в 2017 году составил 9 </w:t>
      </w:r>
      <w:r w:rsidR="00BB03AD">
        <w:t>млн</w:t>
      </w:r>
      <w:r w:rsidRPr="0016633F">
        <w:t xml:space="preserve">. рублей. В целях </w:t>
      </w:r>
      <w:r w:rsidRPr="0016633F">
        <w:lastRenderedPageBreak/>
        <w:t xml:space="preserve">устранения </w:t>
      </w:r>
      <w:r w:rsidR="00BB03AD">
        <w:t xml:space="preserve">данного </w:t>
      </w:r>
      <w:r w:rsidRPr="0016633F">
        <w:t>нарушени</w:t>
      </w:r>
      <w:r w:rsidR="00BB03AD">
        <w:t>я</w:t>
      </w:r>
      <w:r w:rsidRPr="0016633F">
        <w:t xml:space="preserve"> </w:t>
      </w:r>
      <w:r w:rsidR="00BB03AD">
        <w:t xml:space="preserve">комитету рекомендовано коллегией КСП </w:t>
      </w:r>
      <w:proofErr w:type="gramStart"/>
      <w:r w:rsidRPr="0016633F">
        <w:t>прове</w:t>
      </w:r>
      <w:r w:rsidR="00BB03AD">
        <w:t>сти</w:t>
      </w:r>
      <w:proofErr w:type="gramEnd"/>
      <w:r w:rsidRPr="0016633F">
        <w:t xml:space="preserve"> анализ целесообразности и потребности в выполнении государственной работы «Производство и выпуск сетевого издания» ГБУ «РИАЦ», по результатам которого рассмотреть вопрос об исключении из государственного задания указанной государственной работы и соответственно </w:t>
      </w:r>
      <w:r w:rsidR="00BB03AD">
        <w:t xml:space="preserve">об </w:t>
      </w:r>
      <w:r w:rsidRPr="0016633F">
        <w:t>уменьшении размера субсидии</w:t>
      </w:r>
      <w:r w:rsidR="00BB03AD">
        <w:t xml:space="preserve"> учреждению</w:t>
      </w:r>
      <w:r w:rsidRPr="0016633F">
        <w:t>;</w:t>
      </w:r>
    </w:p>
    <w:p w:rsidR="00570253" w:rsidRPr="0016633F" w:rsidRDefault="00570253" w:rsidP="00570253">
      <w:pPr>
        <w:ind w:firstLine="708"/>
        <w:jc w:val="both"/>
        <w:rPr>
          <w:color w:val="000000"/>
        </w:rPr>
      </w:pPr>
      <w:proofErr w:type="gramStart"/>
      <w:r w:rsidRPr="0016633F">
        <w:t>-р</w:t>
      </w:r>
      <w:r w:rsidRPr="0016633F">
        <w:rPr>
          <w:color w:val="000000"/>
        </w:rPr>
        <w:t xml:space="preserve">асчет субсидии </w:t>
      </w:r>
      <w:r w:rsidRPr="0016633F">
        <w:t>на возмещение расходов</w:t>
      </w:r>
      <w:r w:rsidR="00BB03AD">
        <w:t>,</w:t>
      </w:r>
      <w:r w:rsidRPr="0016633F">
        <w:t xml:space="preserve"> связанных с финансовым обеспечением официальных публикаций</w:t>
      </w:r>
      <w:r w:rsidRPr="0016633F">
        <w:rPr>
          <w:rFonts w:eastAsia="Calibri"/>
          <w:lang w:eastAsia="en-US"/>
        </w:rPr>
        <w:t xml:space="preserve"> ООО «Издательский дом «Волгоградская правда» </w:t>
      </w:r>
      <w:r w:rsidRPr="0016633F">
        <w:rPr>
          <w:color w:val="000000"/>
        </w:rPr>
        <w:t xml:space="preserve">без учета тиража и количества выпусков, что влияет на расходы по оплате бумаги и полиграфических услуг, </w:t>
      </w:r>
      <w:r w:rsidR="00BB03AD">
        <w:rPr>
          <w:color w:val="000000"/>
        </w:rPr>
        <w:t xml:space="preserve">и также </w:t>
      </w:r>
      <w:r w:rsidRPr="0016633F">
        <w:rPr>
          <w:color w:val="000000"/>
        </w:rPr>
        <w:t xml:space="preserve">свидетельствует о формальном формировании </w:t>
      </w:r>
      <w:r w:rsidR="00BB03AD">
        <w:rPr>
          <w:color w:val="000000"/>
        </w:rPr>
        <w:t>к</w:t>
      </w:r>
      <w:r w:rsidRPr="0016633F">
        <w:rPr>
          <w:color w:val="000000"/>
        </w:rPr>
        <w:t xml:space="preserve">омитетом размера субсидии </w:t>
      </w:r>
      <w:r w:rsidR="00BB03AD">
        <w:rPr>
          <w:color w:val="000000"/>
        </w:rPr>
        <w:t xml:space="preserve">на указанные цели </w:t>
      </w:r>
      <w:r w:rsidRPr="0016633F">
        <w:rPr>
          <w:color w:val="000000"/>
        </w:rPr>
        <w:t xml:space="preserve">и завышении стоимости производства и выпуска 1 кв. см., используемого при его расчете, в 6 раз; </w:t>
      </w:r>
      <w:proofErr w:type="gramEnd"/>
    </w:p>
    <w:p w:rsidR="00570253" w:rsidRPr="00067BC6" w:rsidRDefault="00570253" w:rsidP="00570253">
      <w:pPr>
        <w:ind w:firstLine="708"/>
        <w:jc w:val="both"/>
      </w:pPr>
      <w:r w:rsidRPr="0016633F">
        <w:t>-</w:t>
      </w:r>
      <w:r w:rsidRPr="0016633F">
        <w:rPr>
          <w:rFonts w:eastAsia="Calibri"/>
          <w:lang w:eastAsia="en-US"/>
        </w:rPr>
        <w:t xml:space="preserve">в нарушение </w:t>
      </w:r>
      <w:r w:rsidRPr="0016633F">
        <w:t>п</w:t>
      </w:r>
      <w:r w:rsidR="00534B30">
        <w:t>ункта</w:t>
      </w:r>
      <w:r w:rsidR="00A55882">
        <w:t xml:space="preserve"> 4.2 </w:t>
      </w:r>
      <w:r w:rsidR="00A55882" w:rsidRPr="009D4B4D">
        <w:rPr>
          <w:rFonts w:eastAsia="Calibri"/>
          <w:lang w:eastAsia="en-US"/>
        </w:rPr>
        <w:t>постановления  Администрации Волгоградской области от 09.06.2017 №312-п «Об утверждении</w:t>
      </w:r>
      <w:r w:rsidR="00A55882">
        <w:rPr>
          <w:rFonts w:eastAsia="Calibri"/>
          <w:lang w:eastAsia="en-US"/>
        </w:rPr>
        <w:t xml:space="preserve"> порядка предоставления субсидий за счет средств областного бюджета обществу с ограниченной ответственностью «Издательский дом «</w:t>
      </w:r>
      <w:proofErr w:type="gramStart"/>
      <w:r w:rsidR="00A55882">
        <w:rPr>
          <w:rFonts w:eastAsia="Calibri"/>
          <w:lang w:eastAsia="en-US"/>
        </w:rPr>
        <w:t>Волгоградская</w:t>
      </w:r>
      <w:proofErr w:type="gramEnd"/>
      <w:r w:rsidR="00A55882">
        <w:rPr>
          <w:rFonts w:eastAsia="Calibri"/>
          <w:lang w:eastAsia="en-US"/>
        </w:rPr>
        <w:t xml:space="preserve"> правда»</w:t>
      </w:r>
      <w:r w:rsidRPr="0016633F">
        <w:t xml:space="preserve"> на 16.04.2018 </w:t>
      </w:r>
      <w:r w:rsidRPr="0016633F">
        <w:rPr>
          <w:rFonts w:eastAsia="Calibri"/>
          <w:lang w:eastAsia="en-US"/>
        </w:rPr>
        <w:t xml:space="preserve">ООО «Издательский дом «Волгоградская правда» </w:t>
      </w:r>
      <w:r w:rsidRPr="0016633F">
        <w:t>в областной бюджет не возвращен неиспользованный остаток субсидии на возмещение расходов, связанных с финансовым обеспечением официальных публикаций, в сумме 150,3 тыс. руб</w:t>
      </w:r>
      <w:r w:rsidRPr="00067BC6">
        <w:t>. (срок возврата не позднее 06.03.2018);</w:t>
      </w:r>
    </w:p>
    <w:p w:rsidR="00570253" w:rsidRPr="0016633F" w:rsidRDefault="00570253" w:rsidP="00570253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proofErr w:type="gramStart"/>
      <w:r w:rsidRPr="00067BC6">
        <w:rPr>
          <w:rFonts w:eastAsia="Calibri"/>
          <w:lang w:eastAsia="en-US"/>
        </w:rPr>
        <w:t>-размер субсидии,</w:t>
      </w:r>
      <w:r w:rsidRPr="00067BC6">
        <w:t xml:space="preserve"> </w:t>
      </w:r>
      <w:r w:rsidRPr="00067BC6">
        <w:rPr>
          <w:rFonts w:eastAsia="Calibri"/>
          <w:lang w:eastAsia="en-US"/>
        </w:rPr>
        <w:t xml:space="preserve">перечисленный </w:t>
      </w:r>
      <w:r w:rsidRPr="00067BC6">
        <w:t xml:space="preserve">бюджетам муниципальных районов и городских округов на </w:t>
      </w:r>
      <w:proofErr w:type="spellStart"/>
      <w:r w:rsidRPr="00067BC6">
        <w:t>софинансирование</w:t>
      </w:r>
      <w:proofErr w:type="spellEnd"/>
      <w:r w:rsidRPr="00067BC6">
        <w:t xml:space="preserve"> расходных обязательств, возникающих в связи с доведением до сведения жителей Волгоградской области официальной информации</w:t>
      </w:r>
      <w:r w:rsidRPr="00067BC6">
        <w:rPr>
          <w:rFonts w:eastAsia="Calibri"/>
          <w:lang w:eastAsia="en-US"/>
        </w:rPr>
        <w:t>, не соответствует размеру субсидии, рассчитанному с учетом базового показателя, что свидетельствует о несоблюдении п</w:t>
      </w:r>
      <w:r w:rsidR="00423A33">
        <w:rPr>
          <w:rFonts w:eastAsia="Calibri"/>
          <w:lang w:eastAsia="en-US"/>
        </w:rPr>
        <w:t xml:space="preserve">ункта </w:t>
      </w:r>
      <w:r w:rsidRPr="00067BC6">
        <w:rPr>
          <w:rFonts w:eastAsia="Calibri"/>
          <w:lang w:eastAsia="en-US"/>
        </w:rPr>
        <w:t xml:space="preserve">8 </w:t>
      </w:r>
      <w:r w:rsidR="00423A33">
        <w:rPr>
          <w:rFonts w:eastAsia="Calibri"/>
          <w:lang w:eastAsia="en-US"/>
        </w:rPr>
        <w:t xml:space="preserve">Порядка предоставления субсидий из областного бюджета бюджетам муниципальных районов и городских округов Волгоградской области на </w:t>
      </w:r>
      <w:proofErr w:type="spellStart"/>
      <w:r w:rsidR="00423A33">
        <w:rPr>
          <w:rFonts w:eastAsia="Calibri"/>
          <w:lang w:eastAsia="en-US"/>
        </w:rPr>
        <w:t>софинансирование</w:t>
      </w:r>
      <w:proofErr w:type="spellEnd"/>
      <w:r w:rsidR="00423A33">
        <w:rPr>
          <w:rFonts w:eastAsia="Calibri"/>
          <w:lang w:eastAsia="en-US"/>
        </w:rPr>
        <w:t xml:space="preserve"> расходных обязательств, возникающих в</w:t>
      </w:r>
      <w:proofErr w:type="gramEnd"/>
      <w:r w:rsidR="00423A33">
        <w:rPr>
          <w:rFonts w:eastAsia="Calibri"/>
          <w:lang w:eastAsia="en-US"/>
        </w:rPr>
        <w:t xml:space="preserve"> связи с доведением до сведения жителей муниципальных районов и (или) городских округов Волгоградской области официальной информации о социально-экономическом и культурном развитии муниципального района и (или) городского округа Волгоградской области, о развитии его общественной инфраструктуры и иной официальной информации», утвержденного постановлением Администрации Волгоградской области от 03.09.2015 №511-п.</w:t>
      </w:r>
      <w:r w:rsidRPr="00067BC6">
        <w:rPr>
          <w:rFonts w:eastAsia="Calibri"/>
          <w:lang w:eastAsia="en-US"/>
        </w:rPr>
        <w:t xml:space="preserve"> </w:t>
      </w:r>
      <w:r w:rsidR="00423A33">
        <w:rPr>
          <w:rFonts w:eastAsia="Calibri"/>
          <w:lang w:eastAsia="en-US"/>
        </w:rPr>
        <w:t xml:space="preserve">В результате 13 муниципальным образованиям </w:t>
      </w:r>
      <w:r w:rsidRPr="00067BC6">
        <w:rPr>
          <w:rFonts w:eastAsia="Calibri"/>
          <w:lang w:eastAsia="en-US"/>
        </w:rPr>
        <w:t xml:space="preserve">субсидия </w:t>
      </w:r>
      <w:r w:rsidR="005D0B87">
        <w:rPr>
          <w:rFonts w:eastAsia="Calibri"/>
          <w:lang w:eastAsia="en-US"/>
        </w:rPr>
        <w:t xml:space="preserve">предоставлена </w:t>
      </w:r>
      <w:r w:rsidRPr="00067BC6">
        <w:rPr>
          <w:rFonts w:eastAsia="Calibri"/>
          <w:lang w:eastAsia="en-US"/>
        </w:rPr>
        <w:t xml:space="preserve">на 196,9 тыс. руб. меньше, чем размер субсидии, рассчитанный с учетом базового показателя, 22 </w:t>
      </w:r>
      <w:r w:rsidRPr="0016633F">
        <w:rPr>
          <w:rFonts w:eastAsia="Calibri"/>
          <w:lang w:eastAsia="en-US"/>
        </w:rPr>
        <w:t>муниципальным образованиям</w:t>
      </w:r>
      <w:r w:rsidR="005D0B87">
        <w:rPr>
          <w:rFonts w:eastAsia="Calibri"/>
          <w:lang w:eastAsia="en-US"/>
        </w:rPr>
        <w:t>,</w:t>
      </w:r>
      <w:r w:rsidRPr="0016633F">
        <w:rPr>
          <w:rFonts w:eastAsia="Calibri"/>
          <w:lang w:eastAsia="en-US"/>
        </w:rPr>
        <w:t xml:space="preserve"> </w:t>
      </w:r>
      <w:r w:rsidR="00423A33">
        <w:rPr>
          <w:rFonts w:eastAsia="Calibri"/>
          <w:lang w:eastAsia="en-US"/>
        </w:rPr>
        <w:t>наоборот</w:t>
      </w:r>
      <w:r w:rsidR="005D0B87">
        <w:rPr>
          <w:rFonts w:eastAsia="Calibri"/>
          <w:lang w:eastAsia="en-US"/>
        </w:rPr>
        <w:t>,</w:t>
      </w:r>
      <w:r w:rsidRPr="0016633F">
        <w:rPr>
          <w:rFonts w:eastAsia="Calibri"/>
          <w:lang w:eastAsia="en-US"/>
        </w:rPr>
        <w:t xml:space="preserve"> на 196,9 тыс. руб.</w:t>
      </w:r>
      <w:r w:rsidR="005D0B87">
        <w:rPr>
          <w:rFonts w:eastAsia="Calibri"/>
          <w:lang w:eastAsia="en-US"/>
        </w:rPr>
        <w:t xml:space="preserve"> больше.</w:t>
      </w:r>
      <w:r w:rsidR="005E645C">
        <w:rPr>
          <w:rFonts w:eastAsia="Calibri"/>
          <w:lang w:eastAsia="en-US"/>
        </w:rPr>
        <w:t>;</w:t>
      </w:r>
    </w:p>
    <w:p w:rsidR="00570253" w:rsidRPr="0016633F" w:rsidRDefault="00570253" w:rsidP="00570253">
      <w:pPr>
        <w:ind w:firstLine="709"/>
        <w:jc w:val="both"/>
        <w:rPr>
          <w:iCs/>
          <w:color w:val="000000"/>
        </w:rPr>
      </w:pPr>
      <w:r w:rsidRPr="0016633F">
        <w:rPr>
          <w:rFonts w:eastAsia="Calibri"/>
          <w:lang w:eastAsia="en-US"/>
        </w:rPr>
        <w:t>-</w:t>
      </w:r>
      <w:r w:rsidRPr="0016633F">
        <w:rPr>
          <w:iCs/>
        </w:rPr>
        <w:t xml:space="preserve">в нарушение раздела 8 Методики оценки эффективности </w:t>
      </w:r>
      <w:r w:rsidR="005E645C">
        <w:rPr>
          <w:iCs/>
        </w:rPr>
        <w:t>ВЦП</w:t>
      </w:r>
      <w:r w:rsidRPr="0016633F">
        <w:rPr>
          <w:iCs/>
        </w:rPr>
        <w:t>, утвержденной Приказом №202, для оценки фактического индикатора, достигнутого в ходе реализации мероприятия «Гранты средствам массовой информации»</w:t>
      </w:r>
      <w:r w:rsidR="00400D12">
        <w:rPr>
          <w:iCs/>
        </w:rPr>
        <w:t>,</w:t>
      </w:r>
      <w:r w:rsidRPr="0016633F">
        <w:rPr>
          <w:iCs/>
        </w:rPr>
        <w:t xml:space="preserve"> </w:t>
      </w:r>
      <w:r w:rsidR="00400D12">
        <w:rPr>
          <w:iCs/>
        </w:rPr>
        <w:t>к</w:t>
      </w:r>
      <w:r w:rsidRPr="0016633F">
        <w:rPr>
          <w:iCs/>
        </w:rPr>
        <w:t>омитет использовал не фактически достигнутые показатели (эфирное вещание, печатная площадь, интернет</w:t>
      </w:r>
      <w:r w:rsidR="00400D12">
        <w:rPr>
          <w:iCs/>
        </w:rPr>
        <w:t xml:space="preserve"> </w:t>
      </w:r>
      <w:r w:rsidRPr="0016633F">
        <w:rPr>
          <w:iCs/>
        </w:rPr>
        <w:t>материалы, выражаемые в разных единицах измерения - минуты, см</w:t>
      </w:r>
      <w:proofErr w:type="gramStart"/>
      <w:r w:rsidRPr="00162EE5">
        <w:rPr>
          <w:iCs/>
          <w:vertAlign w:val="superscript"/>
        </w:rPr>
        <w:t>2</w:t>
      </w:r>
      <w:proofErr w:type="gramEnd"/>
      <w:r w:rsidRPr="0016633F">
        <w:rPr>
          <w:iCs/>
        </w:rPr>
        <w:t>, штуки материалов), а плановые показатели, установленные</w:t>
      </w:r>
      <w:r w:rsidRPr="0016633F">
        <w:rPr>
          <w:iCs/>
          <w:color w:val="000000"/>
        </w:rPr>
        <w:t xml:space="preserve"> Соглашениями со СМИ, что завысило результаты о</w:t>
      </w:r>
      <w:r w:rsidRPr="0016633F">
        <w:rPr>
          <w:rFonts w:eastAsia="Calibri"/>
          <w:lang w:eastAsia="en-US"/>
        </w:rPr>
        <w:t>ценки эффективности расходования бюджетных</w:t>
      </w:r>
      <w:r w:rsidRPr="00067BC6">
        <w:rPr>
          <w:rFonts w:eastAsia="Calibri"/>
          <w:lang w:eastAsia="en-US"/>
        </w:rPr>
        <w:t xml:space="preserve"> средств. Фактически реализация проектов продолжала осуществляться в 1 квартале 2018 года и на 01.04.2018 </w:t>
      </w:r>
      <w:r w:rsidRPr="00067BC6">
        <w:rPr>
          <w:iCs/>
        </w:rPr>
        <w:t>показатели (эфирное вещание, печатная площадь, интернет</w:t>
      </w:r>
      <w:r w:rsidR="00400D12">
        <w:rPr>
          <w:iCs/>
        </w:rPr>
        <w:t xml:space="preserve"> </w:t>
      </w:r>
      <w:r w:rsidRPr="00067BC6">
        <w:rPr>
          <w:iCs/>
        </w:rPr>
        <w:t xml:space="preserve">материалы) выполнены от </w:t>
      </w:r>
      <w:r w:rsidRPr="00067BC6">
        <w:t xml:space="preserve">71% </w:t>
      </w:r>
      <w:r w:rsidRPr="0016633F">
        <w:t>до 98%</w:t>
      </w:r>
      <w:r w:rsidRPr="0016633F">
        <w:rPr>
          <w:iCs/>
          <w:color w:val="000000"/>
        </w:rPr>
        <w:t>;</w:t>
      </w:r>
    </w:p>
    <w:p w:rsidR="00570253" w:rsidRPr="0016633F" w:rsidRDefault="00570253" w:rsidP="00570253">
      <w:pPr>
        <w:autoSpaceDE w:val="0"/>
        <w:autoSpaceDN w:val="0"/>
        <w:adjustRightInd w:val="0"/>
        <w:ind w:firstLine="708"/>
        <w:jc w:val="both"/>
      </w:pPr>
      <w:r w:rsidRPr="0016633F">
        <w:rPr>
          <w:iCs/>
          <w:color w:val="000000"/>
        </w:rPr>
        <w:t>-</w:t>
      </w:r>
      <w:r w:rsidRPr="0016633F">
        <w:t xml:space="preserve">бездействие </w:t>
      </w:r>
      <w:r w:rsidR="00400D12">
        <w:t>к</w:t>
      </w:r>
      <w:r w:rsidRPr="0016633F">
        <w:t>омитета информационной политики</w:t>
      </w:r>
      <w:r w:rsidR="00400D12">
        <w:t xml:space="preserve"> </w:t>
      </w:r>
      <w:r w:rsidRPr="0016633F">
        <w:t xml:space="preserve">по осуществлению контроля за целевым и результативным использованием грантов СМИ, перечисленных  в 2015-2016 годах, и в последующем </w:t>
      </w:r>
      <w:r w:rsidR="00400D12">
        <w:t>к</w:t>
      </w:r>
      <w:r w:rsidRPr="0016633F">
        <w:t xml:space="preserve">омитетом </w:t>
      </w:r>
      <w:r w:rsidR="00400D12">
        <w:t xml:space="preserve">территориальных образований, внутренней и информационной политики </w:t>
      </w:r>
      <w:r w:rsidRPr="0016633F">
        <w:t>как правопреемником его полномочий привело к образованию просроченной дебиторской задолженности на 01.01.2018 в сумме 14</w:t>
      </w:r>
      <w:r w:rsidR="00400D12">
        <w:t>,</w:t>
      </w:r>
      <w:r w:rsidRPr="0016633F">
        <w:t xml:space="preserve">8 </w:t>
      </w:r>
      <w:r w:rsidR="00400D12">
        <w:t>млн</w:t>
      </w:r>
      <w:r w:rsidRPr="0016633F">
        <w:t>. руб</w:t>
      </w:r>
      <w:r w:rsidR="005D2516">
        <w:t>лей</w:t>
      </w:r>
      <w:r w:rsidRPr="0016633F">
        <w:t>.</w:t>
      </w:r>
    </w:p>
    <w:p w:rsidR="00570253" w:rsidRPr="00067BC6" w:rsidRDefault="00570253" w:rsidP="00570253">
      <w:pPr>
        <w:autoSpaceDE w:val="0"/>
        <w:autoSpaceDN w:val="0"/>
        <w:adjustRightInd w:val="0"/>
        <w:ind w:firstLine="709"/>
        <w:jc w:val="both"/>
      </w:pPr>
      <w:r w:rsidRPr="0016633F">
        <w:t xml:space="preserve">На момент проверки в деятельности </w:t>
      </w:r>
      <w:r w:rsidR="005D2516">
        <w:t>к</w:t>
      </w:r>
      <w:r w:rsidRPr="0016633F">
        <w:t xml:space="preserve">омитета </w:t>
      </w:r>
      <w:r w:rsidR="005D2516">
        <w:rPr>
          <w:noProof/>
        </w:rPr>
        <w:t>не использовалось</w:t>
      </w:r>
      <w:r w:rsidRPr="0016633F">
        <w:rPr>
          <w:noProof/>
        </w:rPr>
        <w:t xml:space="preserve"> 7 помещений балансовой стоимостью 207 тыс. руб., в деятельности ГБУ «РИАЦ» не использ</w:t>
      </w:r>
      <w:r w:rsidR="005D2516">
        <w:rPr>
          <w:noProof/>
        </w:rPr>
        <w:t>овалось</w:t>
      </w:r>
      <w:r w:rsidRPr="0016633F">
        <w:rPr>
          <w:noProof/>
        </w:rPr>
        <w:t xml:space="preserve"> 20 приобретенных объектов основных средств, отнесенных к особо ценному движимому и</w:t>
      </w:r>
      <w:r w:rsidR="005D2516">
        <w:rPr>
          <w:noProof/>
        </w:rPr>
        <w:t>муществу (балансовая стоимость 3</w:t>
      </w:r>
      <w:r w:rsidRPr="0016633F">
        <w:rPr>
          <w:noProof/>
        </w:rPr>
        <w:t> </w:t>
      </w:r>
      <w:r w:rsidR="005D2516">
        <w:rPr>
          <w:noProof/>
        </w:rPr>
        <w:t>млн</w:t>
      </w:r>
      <w:r w:rsidRPr="0016633F">
        <w:rPr>
          <w:noProof/>
        </w:rPr>
        <w:t>. руб.). С 2015 года не осуществляется д</w:t>
      </w:r>
      <w:proofErr w:type="spellStart"/>
      <w:r w:rsidRPr="0016633F">
        <w:t>еятельность</w:t>
      </w:r>
      <w:proofErr w:type="spellEnd"/>
      <w:r w:rsidRPr="00067BC6">
        <w:t xml:space="preserve"> 7-ми филиалов </w:t>
      </w:r>
      <w:r w:rsidRPr="00067BC6">
        <w:rPr>
          <w:noProof/>
        </w:rPr>
        <w:t xml:space="preserve">ГБУ «РИАЦ», при этом соответствующие изменения в учредительные документы не внесены, имущество филиалов </w:t>
      </w:r>
      <w:r w:rsidRPr="00067BC6">
        <w:t>в количестве 33 ед</w:t>
      </w:r>
      <w:r w:rsidR="00D233E7">
        <w:t>иниц</w:t>
      </w:r>
      <w:r w:rsidRPr="00067BC6">
        <w:t xml:space="preserve"> общей стоимостью </w:t>
      </w:r>
      <w:r w:rsidRPr="00067BC6">
        <w:lastRenderedPageBreak/>
        <w:t xml:space="preserve">225,5 тыс. руб. по договорам ответственного хранения хранится в муниципальных учреждениях Волгоградской области. </w:t>
      </w:r>
    </w:p>
    <w:p w:rsidR="009B0888" w:rsidRDefault="009B0888" w:rsidP="00B21F9C">
      <w:pPr>
        <w:spacing w:line="240" w:lineRule="atLeast"/>
        <w:ind w:firstLine="567"/>
        <w:jc w:val="both"/>
        <w:rPr>
          <w:b/>
        </w:rPr>
      </w:pPr>
    </w:p>
    <w:p w:rsidR="000C69F4" w:rsidRDefault="006544EF" w:rsidP="006544EF">
      <w:pPr>
        <w:jc w:val="center"/>
        <w:rPr>
          <w:b/>
        </w:rPr>
      </w:pPr>
      <w:r w:rsidRPr="006544EF">
        <w:rPr>
          <w:b/>
        </w:rPr>
        <w:t xml:space="preserve">4.12. </w:t>
      </w:r>
      <w:r>
        <w:rPr>
          <w:b/>
        </w:rPr>
        <w:t>Расходы по разделу 1300 «Обслуживание государственного</w:t>
      </w:r>
      <w:r w:rsidR="0001010D">
        <w:rPr>
          <w:b/>
        </w:rPr>
        <w:t xml:space="preserve"> </w:t>
      </w:r>
      <w:r>
        <w:rPr>
          <w:b/>
        </w:rPr>
        <w:t>долга».</w:t>
      </w:r>
    </w:p>
    <w:p w:rsidR="004355F6" w:rsidRDefault="004355F6" w:rsidP="006544EF">
      <w:pPr>
        <w:jc w:val="center"/>
        <w:rPr>
          <w:b/>
        </w:rPr>
      </w:pPr>
    </w:p>
    <w:p w:rsidR="00014EE0" w:rsidRDefault="006544EF" w:rsidP="006544EF">
      <w:pPr>
        <w:ind w:firstLine="708"/>
        <w:jc w:val="both"/>
      </w:pPr>
      <w:r>
        <w:t>Уточненные бюджетные ассигнования на 201</w:t>
      </w:r>
      <w:r w:rsidR="00B21F9C">
        <w:t>7</w:t>
      </w:r>
      <w:r>
        <w:t xml:space="preserve"> год по разделу </w:t>
      </w:r>
      <w:r w:rsidRPr="00C90ADA">
        <w:rPr>
          <w:szCs w:val="24"/>
        </w:rPr>
        <w:t>1</w:t>
      </w:r>
      <w:r>
        <w:rPr>
          <w:szCs w:val="24"/>
        </w:rPr>
        <w:t>3</w:t>
      </w:r>
      <w:r w:rsidRPr="00C90ADA">
        <w:rPr>
          <w:szCs w:val="24"/>
        </w:rPr>
        <w:t>00 «</w:t>
      </w:r>
      <w:r w:rsidRPr="006544EF">
        <w:t>Обслуживание государственного и муниципального долга</w:t>
      </w:r>
      <w:r w:rsidRPr="00C90ADA">
        <w:rPr>
          <w:szCs w:val="24"/>
        </w:rPr>
        <w:t>»</w:t>
      </w:r>
      <w:r>
        <w:t xml:space="preserve"> утверждены в размере </w:t>
      </w:r>
      <w:r w:rsidR="00724F7F">
        <w:t>3855,5</w:t>
      </w:r>
      <w:r>
        <w:t xml:space="preserve"> млн. рублей. По данным отчета </w:t>
      </w:r>
      <w:r w:rsidR="00FD334A">
        <w:t>Администрации</w:t>
      </w:r>
      <w:r>
        <w:t xml:space="preserve"> Волгоградской области фактическое исполнение расходов по разделу составило </w:t>
      </w:r>
      <w:r w:rsidR="00724F7F">
        <w:t>3651,9</w:t>
      </w:r>
      <w:r w:rsidR="00CD0DA8">
        <w:t xml:space="preserve"> </w:t>
      </w:r>
      <w:r>
        <w:t xml:space="preserve">млн. руб., или </w:t>
      </w:r>
      <w:r w:rsidR="00724F7F">
        <w:t>94,7</w:t>
      </w:r>
      <w:r>
        <w:t>% от плана.</w:t>
      </w:r>
      <w:r w:rsidR="00724F7F">
        <w:t xml:space="preserve"> </w:t>
      </w:r>
    </w:p>
    <w:p w:rsidR="00724F7F" w:rsidRDefault="00724F7F" w:rsidP="00724F7F">
      <w:pPr>
        <w:jc w:val="both"/>
        <w:outlineLvl w:val="0"/>
        <w:rPr>
          <w:b/>
          <w:i/>
        </w:rPr>
      </w:pPr>
      <w:r>
        <w:rPr>
          <w:b/>
        </w:rPr>
        <w:tab/>
      </w:r>
      <w:r w:rsidRPr="00724F7F">
        <w:t>Главным распорядителям бюджетных средств по данн</w:t>
      </w:r>
      <w:r>
        <w:t>ы</w:t>
      </w:r>
      <w:r w:rsidRPr="00724F7F">
        <w:t>м расходам явля</w:t>
      </w:r>
      <w:r>
        <w:t xml:space="preserve">лся </w:t>
      </w:r>
      <w:r w:rsidRPr="00724F7F">
        <w:rPr>
          <w:b/>
          <w:i/>
        </w:rPr>
        <w:t>комитет финансов Волгоградской области.</w:t>
      </w:r>
    </w:p>
    <w:p w:rsidR="00646886" w:rsidRPr="000E21CD" w:rsidRDefault="00646886" w:rsidP="00646886">
      <w:pPr>
        <w:ind w:firstLine="708"/>
        <w:jc w:val="both"/>
      </w:pPr>
      <w:r>
        <w:t xml:space="preserve">Относительно предыдущего года расходы на обслуживание государственного долга </w:t>
      </w:r>
      <w:r w:rsidR="005E4666">
        <w:t xml:space="preserve">Волгоградской области </w:t>
      </w:r>
      <w:r>
        <w:t xml:space="preserve">существенно возросли – на 952,7 млн. руб., или на 35,3 процента. </w:t>
      </w:r>
      <w:r w:rsidRPr="000E21CD">
        <w:t xml:space="preserve">Основной причиной </w:t>
      </w:r>
      <w:r w:rsidR="0044171E">
        <w:t xml:space="preserve">такого </w:t>
      </w:r>
      <w:r w:rsidRPr="000E21CD">
        <w:t xml:space="preserve">роста </w:t>
      </w:r>
      <w:r>
        <w:t>явил</w:t>
      </w:r>
      <w:r w:rsidR="0092225F">
        <w:t>ось</w:t>
      </w:r>
      <w:r>
        <w:t xml:space="preserve"> </w:t>
      </w:r>
      <w:r w:rsidR="0092225F">
        <w:t>увеличение</w:t>
      </w:r>
      <w:r>
        <w:t xml:space="preserve"> </w:t>
      </w:r>
      <w:r w:rsidRPr="000E21CD">
        <w:t>процентны</w:t>
      </w:r>
      <w:r>
        <w:t>х</w:t>
      </w:r>
      <w:r w:rsidRPr="000E21CD">
        <w:t xml:space="preserve"> платеж</w:t>
      </w:r>
      <w:r>
        <w:t>ей</w:t>
      </w:r>
      <w:r w:rsidRPr="000E21CD">
        <w:t xml:space="preserve"> по кредитам </w:t>
      </w:r>
      <w:r w:rsidR="005E4666">
        <w:t>коммерческих банков</w:t>
      </w:r>
      <w:r w:rsidRPr="000E21CD">
        <w:t xml:space="preserve"> </w:t>
      </w:r>
      <w:r w:rsidR="0044171E">
        <w:t>(</w:t>
      </w:r>
      <w:r w:rsidRPr="000E21CD">
        <w:t>на 1021</w:t>
      </w:r>
      <w:r>
        <w:t>,</w:t>
      </w:r>
      <w:r w:rsidRPr="000E21CD">
        <w:t xml:space="preserve">8 </w:t>
      </w:r>
      <w:r>
        <w:t>млн</w:t>
      </w:r>
      <w:r w:rsidRPr="000E21CD">
        <w:t>. руб.</w:t>
      </w:r>
      <w:r w:rsidR="0044171E">
        <w:t>), что</w:t>
      </w:r>
      <w:r w:rsidRPr="000E21CD">
        <w:t xml:space="preserve"> обусловлен</w:t>
      </w:r>
      <w:r w:rsidR="0044171E">
        <w:t>о</w:t>
      </w:r>
      <w:r w:rsidRPr="00723AA6">
        <w:t xml:space="preserve"> значительным привлечением кредитов на обеспечение финансирования дефицита областного бюджета и погашение </w:t>
      </w:r>
      <w:r w:rsidR="00FA18FB">
        <w:t xml:space="preserve">имеющихся </w:t>
      </w:r>
      <w:r w:rsidRPr="00723AA6">
        <w:t>долговых обязательств.</w:t>
      </w:r>
    </w:p>
    <w:p w:rsidR="00646886" w:rsidRPr="00646886" w:rsidRDefault="00646886" w:rsidP="00724F7F">
      <w:pPr>
        <w:jc w:val="both"/>
        <w:outlineLvl w:val="0"/>
      </w:pPr>
    </w:p>
    <w:p w:rsidR="00644EB9" w:rsidRPr="00D4607C" w:rsidRDefault="00644EB9" w:rsidP="00294266">
      <w:pPr>
        <w:jc w:val="center"/>
        <w:outlineLvl w:val="0"/>
        <w:rPr>
          <w:b/>
        </w:rPr>
      </w:pPr>
      <w:r w:rsidRPr="00D4607C">
        <w:rPr>
          <w:b/>
        </w:rPr>
        <w:t>4.1</w:t>
      </w:r>
      <w:r w:rsidR="006544EF">
        <w:rPr>
          <w:b/>
        </w:rPr>
        <w:t>3</w:t>
      </w:r>
      <w:r w:rsidRPr="00D4607C">
        <w:rPr>
          <w:b/>
        </w:rPr>
        <w:t>. Расходы по разделу 1</w:t>
      </w:r>
      <w:r w:rsidR="006544EF">
        <w:rPr>
          <w:b/>
        </w:rPr>
        <w:t>4</w:t>
      </w:r>
      <w:r w:rsidRPr="00D4607C">
        <w:rPr>
          <w:b/>
        </w:rPr>
        <w:t>00 «Межбюджетные тра</w:t>
      </w:r>
      <w:r>
        <w:rPr>
          <w:b/>
        </w:rPr>
        <w:t>н</w:t>
      </w:r>
      <w:r w:rsidRPr="00D4607C">
        <w:rPr>
          <w:b/>
        </w:rPr>
        <w:t>сферты</w:t>
      </w:r>
      <w:r w:rsidR="005A519C">
        <w:rPr>
          <w:b/>
        </w:rPr>
        <w:t xml:space="preserve"> общего характера</w:t>
      </w:r>
      <w:r w:rsidRPr="00D4607C">
        <w:rPr>
          <w:b/>
        </w:rPr>
        <w:t>».</w:t>
      </w:r>
    </w:p>
    <w:p w:rsidR="00644EB9" w:rsidRDefault="00644EB9" w:rsidP="00294266">
      <w:pPr>
        <w:jc w:val="center"/>
      </w:pPr>
    </w:p>
    <w:p w:rsidR="009F7182" w:rsidRDefault="009F7182" w:rsidP="00E51B41">
      <w:pPr>
        <w:ind w:firstLine="567"/>
        <w:jc w:val="both"/>
      </w:pPr>
      <w:r>
        <w:tab/>
      </w:r>
      <w:r w:rsidR="00093CC9">
        <w:t>У</w:t>
      </w:r>
      <w:r w:rsidR="00644EB9">
        <w:t>точненные бюджетные ассигнования на 20</w:t>
      </w:r>
      <w:r w:rsidR="00163897">
        <w:t>1</w:t>
      </w:r>
      <w:r w:rsidR="00B21F9C">
        <w:t>7</w:t>
      </w:r>
      <w:r w:rsidR="00644EB9">
        <w:t xml:space="preserve"> год по разделу </w:t>
      </w:r>
      <w:r w:rsidR="00644EB9" w:rsidRPr="00C90ADA">
        <w:rPr>
          <w:szCs w:val="24"/>
        </w:rPr>
        <w:t>1</w:t>
      </w:r>
      <w:r w:rsidR="00163897">
        <w:rPr>
          <w:szCs w:val="24"/>
        </w:rPr>
        <w:t>4</w:t>
      </w:r>
      <w:r w:rsidR="00644EB9" w:rsidRPr="00C90ADA">
        <w:rPr>
          <w:szCs w:val="24"/>
        </w:rPr>
        <w:t>00 «</w:t>
      </w:r>
      <w:r w:rsidR="00644EB9">
        <w:rPr>
          <w:szCs w:val="24"/>
        </w:rPr>
        <w:t>Межбюджетные трансферты</w:t>
      </w:r>
      <w:r w:rsidR="00163897">
        <w:rPr>
          <w:szCs w:val="24"/>
        </w:rPr>
        <w:t xml:space="preserve"> общего характера</w:t>
      </w:r>
      <w:r w:rsidR="00644EB9" w:rsidRPr="00C90ADA">
        <w:rPr>
          <w:szCs w:val="24"/>
        </w:rPr>
        <w:t>»</w:t>
      </w:r>
      <w:r w:rsidR="00644EB9">
        <w:t xml:space="preserve"> утверждены в размере </w:t>
      </w:r>
      <w:r w:rsidR="00294266">
        <w:t>2764,7</w:t>
      </w:r>
      <w:r w:rsidR="00AA01C4">
        <w:t xml:space="preserve"> </w:t>
      </w:r>
      <w:r w:rsidR="00644EB9">
        <w:t xml:space="preserve">млн. рублей. </w:t>
      </w:r>
    </w:p>
    <w:p w:rsidR="009F7182" w:rsidRDefault="00644EB9" w:rsidP="00E51B41">
      <w:pPr>
        <w:ind w:firstLine="567"/>
        <w:jc w:val="both"/>
      </w:pPr>
      <w:r>
        <w:t xml:space="preserve">По данным отчета </w:t>
      </w:r>
      <w:r w:rsidR="00762AA4">
        <w:t xml:space="preserve">Администрации </w:t>
      </w:r>
      <w:r>
        <w:t xml:space="preserve">Волгоградской области фактическое исполнение расходов по разделу составило </w:t>
      </w:r>
      <w:r w:rsidR="00294266">
        <w:t>2293,8</w:t>
      </w:r>
      <w:r w:rsidR="00117C79">
        <w:t xml:space="preserve"> </w:t>
      </w:r>
      <w:r>
        <w:t xml:space="preserve">млн. руб., или </w:t>
      </w:r>
      <w:r w:rsidR="00294266">
        <w:t>83</w:t>
      </w:r>
      <w:r w:rsidR="00AA01C4">
        <w:t>%</w:t>
      </w:r>
      <w:r>
        <w:t xml:space="preserve"> от плана.</w:t>
      </w:r>
      <w:r w:rsidR="003F04EF">
        <w:t xml:space="preserve"> </w:t>
      </w:r>
    </w:p>
    <w:p w:rsidR="006C3AA0" w:rsidRPr="00977FB5" w:rsidRDefault="00294266" w:rsidP="00E51B41">
      <w:pPr>
        <w:ind w:firstLine="567"/>
        <w:jc w:val="both"/>
        <w:rPr>
          <w:color w:val="000000"/>
        </w:rPr>
      </w:pPr>
      <w:proofErr w:type="gramStart"/>
      <w:r>
        <w:t xml:space="preserve">Относительно 2016 года расходы областного бюджета на межбюджетные трансферты </w:t>
      </w:r>
      <w:r w:rsidR="006474D3">
        <w:t xml:space="preserve"> общего характера существенно сократились – </w:t>
      </w:r>
      <w:r w:rsidR="008B0D0E">
        <w:t xml:space="preserve">на </w:t>
      </w:r>
      <w:r w:rsidR="006474D3">
        <w:t xml:space="preserve">929,7 млн. руб., или на 28,8%, </w:t>
      </w:r>
      <w:r w:rsidR="006474D3" w:rsidRPr="00977FB5">
        <w:rPr>
          <w:color w:val="000000"/>
        </w:rPr>
        <w:t>что обусловлено</w:t>
      </w:r>
      <w:r w:rsidR="00977FB5">
        <w:rPr>
          <w:color w:val="000000"/>
        </w:rPr>
        <w:t xml:space="preserve"> сокращением дотаций на поддержку мер по обеспечению сбалансированности местных бюджетов на 490,6 млн. руб. и исключением субсидий на обеспечение сбалансированности местных бюджетов муниципальных районов (городских округов) на 507,2 млн. руб.</w:t>
      </w:r>
      <w:r w:rsidR="00D55F98">
        <w:rPr>
          <w:color w:val="000000"/>
        </w:rPr>
        <w:t>, которые предусматривались законодательством Волгоградской области и фактически выделялись</w:t>
      </w:r>
      <w:proofErr w:type="gramEnd"/>
      <w:r w:rsidR="00D55F98">
        <w:rPr>
          <w:color w:val="000000"/>
        </w:rPr>
        <w:t xml:space="preserve"> муниципальным образованиям в 2016 году.</w:t>
      </w:r>
      <w:r w:rsidR="006474D3" w:rsidRPr="00977FB5">
        <w:rPr>
          <w:color w:val="000000"/>
        </w:rPr>
        <w:t xml:space="preserve"> </w:t>
      </w:r>
    </w:p>
    <w:p w:rsidR="00434E8D" w:rsidRDefault="00F27B8E" w:rsidP="00584683">
      <w:pPr>
        <w:tabs>
          <w:tab w:val="left" w:pos="993"/>
        </w:tabs>
        <w:ind w:firstLine="709"/>
        <w:jc w:val="both"/>
      </w:pPr>
      <w:r>
        <w:t>Главным распорядителем бюджетных средств по данным расходам являлс</w:t>
      </w:r>
      <w:r w:rsidR="00C602D6">
        <w:t>я</w:t>
      </w:r>
      <w:r>
        <w:t xml:space="preserve"> </w:t>
      </w:r>
      <w:r w:rsidR="00C602D6">
        <w:rPr>
          <w:b/>
          <w:i/>
        </w:rPr>
        <w:t xml:space="preserve">комитет </w:t>
      </w:r>
      <w:r w:rsidRPr="002A2E72">
        <w:rPr>
          <w:b/>
          <w:i/>
        </w:rPr>
        <w:t>финансов Волгоградской области</w:t>
      </w:r>
      <w:r w:rsidR="00180E60">
        <w:t>.</w:t>
      </w:r>
      <w:r w:rsidR="002A2E72">
        <w:t xml:space="preserve"> </w:t>
      </w:r>
    </w:p>
    <w:p w:rsidR="006474D3" w:rsidRDefault="006474D3" w:rsidP="00584683">
      <w:pPr>
        <w:tabs>
          <w:tab w:val="left" w:pos="993"/>
        </w:tabs>
        <w:ind w:firstLine="709"/>
        <w:jc w:val="both"/>
      </w:pPr>
    </w:p>
    <w:p w:rsidR="001B5F0E" w:rsidRDefault="001B206F" w:rsidP="001B206F">
      <w:pPr>
        <w:autoSpaceDE w:val="0"/>
        <w:autoSpaceDN w:val="0"/>
        <w:adjustRightInd w:val="0"/>
        <w:ind w:firstLine="709"/>
        <w:jc w:val="center"/>
        <w:rPr>
          <w:b/>
          <w:szCs w:val="24"/>
        </w:rPr>
      </w:pPr>
      <w:r w:rsidRPr="001B206F">
        <w:rPr>
          <w:b/>
          <w:szCs w:val="24"/>
        </w:rPr>
        <w:t xml:space="preserve">5. </w:t>
      </w:r>
      <w:r w:rsidR="005C0EAB">
        <w:rPr>
          <w:b/>
          <w:szCs w:val="24"/>
        </w:rPr>
        <w:t>Результаты</w:t>
      </w:r>
      <w:r w:rsidRPr="001B206F">
        <w:rPr>
          <w:b/>
          <w:szCs w:val="24"/>
        </w:rPr>
        <w:t xml:space="preserve"> провер</w:t>
      </w:r>
      <w:r w:rsidR="005C0EAB">
        <w:rPr>
          <w:b/>
          <w:szCs w:val="24"/>
        </w:rPr>
        <w:t>ок</w:t>
      </w:r>
      <w:r w:rsidRPr="001B206F">
        <w:rPr>
          <w:b/>
          <w:szCs w:val="24"/>
        </w:rPr>
        <w:t xml:space="preserve"> </w:t>
      </w:r>
      <w:r w:rsidR="002D2251">
        <w:rPr>
          <w:b/>
          <w:szCs w:val="24"/>
        </w:rPr>
        <w:t xml:space="preserve">отдельных </w:t>
      </w:r>
      <w:r w:rsidRPr="001B206F">
        <w:rPr>
          <w:b/>
          <w:szCs w:val="24"/>
        </w:rPr>
        <w:t>вопросов оплаты труда</w:t>
      </w:r>
      <w:r>
        <w:rPr>
          <w:b/>
          <w:szCs w:val="24"/>
        </w:rPr>
        <w:t xml:space="preserve"> </w:t>
      </w:r>
    </w:p>
    <w:p w:rsidR="001B206F" w:rsidRDefault="00886743" w:rsidP="001B206F">
      <w:pPr>
        <w:autoSpaceDE w:val="0"/>
        <w:autoSpaceDN w:val="0"/>
        <w:adjustRightInd w:val="0"/>
        <w:ind w:firstLine="709"/>
        <w:jc w:val="center"/>
        <w:rPr>
          <w:b/>
          <w:szCs w:val="24"/>
        </w:rPr>
      </w:pPr>
      <w:r>
        <w:rPr>
          <w:b/>
          <w:szCs w:val="24"/>
        </w:rPr>
        <w:t>в государственных учреждениях, подведомственных главным</w:t>
      </w:r>
      <w:r w:rsidR="001B206F">
        <w:rPr>
          <w:b/>
          <w:szCs w:val="24"/>
        </w:rPr>
        <w:t xml:space="preserve"> распорядител</w:t>
      </w:r>
      <w:r>
        <w:rPr>
          <w:b/>
          <w:szCs w:val="24"/>
        </w:rPr>
        <w:t>ям</w:t>
      </w:r>
      <w:r w:rsidR="001B206F">
        <w:rPr>
          <w:b/>
          <w:szCs w:val="24"/>
        </w:rPr>
        <w:t xml:space="preserve"> средств областного бюджета.</w:t>
      </w:r>
    </w:p>
    <w:p w:rsidR="001B5F0E" w:rsidRDefault="001B5F0E" w:rsidP="001B206F">
      <w:pPr>
        <w:autoSpaceDE w:val="0"/>
        <w:autoSpaceDN w:val="0"/>
        <w:adjustRightInd w:val="0"/>
        <w:ind w:firstLine="709"/>
        <w:jc w:val="center"/>
        <w:rPr>
          <w:b/>
          <w:szCs w:val="24"/>
        </w:rPr>
      </w:pPr>
    </w:p>
    <w:p w:rsidR="001B5F0E" w:rsidRPr="001B5F0E" w:rsidRDefault="001B5F0E" w:rsidP="001B5F0E">
      <w:pPr>
        <w:autoSpaceDE w:val="0"/>
        <w:autoSpaceDN w:val="0"/>
        <w:adjustRightInd w:val="0"/>
        <w:ind w:firstLine="709"/>
        <w:jc w:val="both"/>
        <w:rPr>
          <w:szCs w:val="24"/>
        </w:rPr>
      </w:pPr>
      <w:r>
        <w:rPr>
          <w:szCs w:val="24"/>
        </w:rPr>
        <w:t xml:space="preserve">В рамках внешних проверок бюджетной отчетности и отдельных вопросов исполнения областного бюджета главными администраторами бюджетных средств выборочно исследованы вопросы оплаты труда в подведомственных им государственных учреждениях. </w:t>
      </w:r>
      <w:proofErr w:type="gramStart"/>
      <w:r>
        <w:rPr>
          <w:szCs w:val="24"/>
        </w:rPr>
        <w:t xml:space="preserve">Так, проведена проверка эффективности и целевого использования бюджетных средств, направленных на заработную плату работникам ГБУ «Волгоградский региональный ботанический сад», подведомственного </w:t>
      </w:r>
      <w:r w:rsidRPr="00BE1BB9">
        <w:rPr>
          <w:b/>
          <w:i/>
          <w:szCs w:val="24"/>
        </w:rPr>
        <w:t>комитету природных ресурсов, лесного хозяйства и экологии</w:t>
      </w:r>
      <w:r>
        <w:rPr>
          <w:szCs w:val="24"/>
        </w:rPr>
        <w:t xml:space="preserve">, ГБУ «Волгоградское архитектурно-планировочное бюро», подведомственного </w:t>
      </w:r>
      <w:r w:rsidRPr="00BE1BB9">
        <w:rPr>
          <w:b/>
          <w:i/>
          <w:szCs w:val="24"/>
        </w:rPr>
        <w:t>комитету архитектуры и градостроительства</w:t>
      </w:r>
      <w:r w:rsidR="000F2F72">
        <w:rPr>
          <w:szCs w:val="24"/>
        </w:rPr>
        <w:t>,</w:t>
      </w:r>
      <w:r>
        <w:rPr>
          <w:szCs w:val="24"/>
        </w:rPr>
        <w:t xml:space="preserve"> </w:t>
      </w:r>
      <w:r w:rsidR="00EE6716">
        <w:rPr>
          <w:szCs w:val="24"/>
        </w:rPr>
        <w:t xml:space="preserve">ГАУ «Бизнес-инкубатор», подведомственного </w:t>
      </w:r>
      <w:r w:rsidR="00EE6716" w:rsidRPr="00EE6716">
        <w:rPr>
          <w:b/>
          <w:i/>
          <w:szCs w:val="24"/>
        </w:rPr>
        <w:t>комитету экономической политики и развития Волгоградской области</w:t>
      </w:r>
      <w:r w:rsidR="00EE6716">
        <w:rPr>
          <w:szCs w:val="24"/>
        </w:rPr>
        <w:t xml:space="preserve">, </w:t>
      </w:r>
      <w:r>
        <w:rPr>
          <w:szCs w:val="24"/>
        </w:rPr>
        <w:t xml:space="preserve">и других </w:t>
      </w:r>
      <w:r w:rsidR="00BE1BB9">
        <w:rPr>
          <w:szCs w:val="24"/>
        </w:rPr>
        <w:t xml:space="preserve">государственных </w:t>
      </w:r>
      <w:r>
        <w:rPr>
          <w:szCs w:val="24"/>
        </w:rPr>
        <w:t>учреждений.</w:t>
      </w:r>
      <w:proofErr w:type="gramEnd"/>
    </w:p>
    <w:p w:rsidR="0079632D" w:rsidRPr="00353C07" w:rsidRDefault="0079632D" w:rsidP="0079632D">
      <w:pPr>
        <w:autoSpaceDE w:val="0"/>
        <w:autoSpaceDN w:val="0"/>
        <w:adjustRightInd w:val="0"/>
        <w:ind w:firstLine="709"/>
        <w:jc w:val="both"/>
      </w:pPr>
      <w:proofErr w:type="gramStart"/>
      <w:r w:rsidRPr="00AF442A">
        <w:t>Проверк</w:t>
      </w:r>
      <w:r>
        <w:t xml:space="preserve">ой </w:t>
      </w:r>
      <w:r w:rsidRPr="00AF442A">
        <w:t>расходов на оплату труда работников ГБУ «Волгоградский региональный ботанический сад»</w:t>
      </w:r>
      <w:r>
        <w:t xml:space="preserve"> установлено, что в</w:t>
      </w:r>
      <w:r w:rsidRPr="00353C07">
        <w:t xml:space="preserve"> нарушение требований </w:t>
      </w:r>
      <w:r w:rsidR="00797A85" w:rsidRPr="00AF442A">
        <w:rPr>
          <w:lang w:eastAsia="en-US"/>
        </w:rPr>
        <w:t xml:space="preserve">Положения об оплате труда работников государственных учреждений, подведомственных комитету природных ресурсов и экологии Волгоградской области, утвержденного приказом комитета природных ресурсов и экологии Волгоградской области от 13.04.2016 №387 (далее Положение об </w:t>
      </w:r>
      <w:r w:rsidR="00797A85" w:rsidRPr="00AF442A">
        <w:rPr>
          <w:lang w:eastAsia="en-US"/>
        </w:rPr>
        <w:lastRenderedPageBreak/>
        <w:t xml:space="preserve">оплате труда №387) и Положения об оплате труда работников государственных учреждений, подведомственных </w:t>
      </w:r>
      <w:r w:rsidR="00797A85">
        <w:rPr>
          <w:lang w:eastAsia="en-US"/>
        </w:rPr>
        <w:t>к</w:t>
      </w:r>
      <w:r w:rsidR="00797A85" w:rsidRPr="00AF442A">
        <w:rPr>
          <w:lang w:eastAsia="en-US"/>
        </w:rPr>
        <w:t>омитету, утвержденного</w:t>
      </w:r>
      <w:proofErr w:type="gramEnd"/>
      <w:r w:rsidR="00797A85" w:rsidRPr="00AF442A">
        <w:rPr>
          <w:lang w:eastAsia="en-US"/>
        </w:rPr>
        <w:t xml:space="preserve"> приказом </w:t>
      </w:r>
      <w:r w:rsidR="00797A85">
        <w:rPr>
          <w:lang w:eastAsia="en-US"/>
        </w:rPr>
        <w:t>к</w:t>
      </w:r>
      <w:r w:rsidR="00797A85" w:rsidRPr="00AF442A">
        <w:rPr>
          <w:lang w:eastAsia="en-US"/>
        </w:rPr>
        <w:t xml:space="preserve">омитета от 17.05.2017 №686 (далее Положение об оплате труда №686), </w:t>
      </w:r>
      <w:r w:rsidR="00797A85">
        <w:rPr>
          <w:lang w:eastAsia="en-US"/>
        </w:rPr>
        <w:t>у</w:t>
      </w:r>
      <w:r w:rsidRPr="00353C07">
        <w:t xml:space="preserve">чреждением не приняты </w:t>
      </w:r>
      <w:r w:rsidRPr="00353C07">
        <w:rPr>
          <w:lang w:eastAsia="en-US"/>
        </w:rPr>
        <w:t>локальные нормативные акты, устанавливающие</w:t>
      </w:r>
      <w:r w:rsidRPr="00353C07">
        <w:t>:</w:t>
      </w:r>
    </w:p>
    <w:p w:rsidR="0079632D" w:rsidRPr="00353C07" w:rsidRDefault="0079632D" w:rsidP="0079632D">
      <w:pPr>
        <w:widowControl w:val="0"/>
        <w:autoSpaceDE w:val="0"/>
        <w:autoSpaceDN w:val="0"/>
        <w:ind w:firstLine="709"/>
        <w:jc w:val="both"/>
        <w:rPr>
          <w:lang w:eastAsia="en-US"/>
        </w:rPr>
      </w:pPr>
      <w:r w:rsidRPr="00353C07">
        <w:t xml:space="preserve"> -</w:t>
      </w:r>
      <w:r w:rsidRPr="00353C07">
        <w:rPr>
          <w:lang w:eastAsia="en-US"/>
        </w:rPr>
        <w:t>критерии и (или) целевые показатели для оценки эффективности (качества) работы для установления выплат стимулирующего характера работникам;</w:t>
      </w:r>
    </w:p>
    <w:p w:rsidR="0079632D" w:rsidRPr="00353C07" w:rsidRDefault="0079632D" w:rsidP="0079632D">
      <w:pPr>
        <w:widowControl w:val="0"/>
        <w:autoSpaceDE w:val="0"/>
        <w:autoSpaceDN w:val="0"/>
        <w:ind w:firstLine="709"/>
        <w:jc w:val="both"/>
      </w:pPr>
      <w:r w:rsidRPr="00353C07">
        <w:rPr>
          <w:lang w:eastAsia="en-US"/>
        </w:rPr>
        <w:t>-</w:t>
      </w:r>
      <w:r w:rsidRPr="00353C07">
        <w:t xml:space="preserve">порядок оценки выполнения целевых показателей и критериев </w:t>
      </w:r>
      <w:proofErr w:type="gramStart"/>
      <w:r w:rsidRPr="00353C07">
        <w:t>оценки эффективности деятельности заместителя руководителя</w:t>
      </w:r>
      <w:proofErr w:type="gramEnd"/>
      <w:r w:rsidRPr="00353C07">
        <w:t xml:space="preserve"> и главного бухгалтера</w:t>
      </w:r>
      <w:r w:rsidRPr="00353C07">
        <w:rPr>
          <w:lang w:eastAsia="en-US"/>
        </w:rPr>
        <w:t xml:space="preserve"> для установления </w:t>
      </w:r>
      <w:r w:rsidR="00C517EB">
        <w:rPr>
          <w:lang w:eastAsia="en-US"/>
        </w:rPr>
        <w:t xml:space="preserve">им </w:t>
      </w:r>
      <w:r w:rsidRPr="00353C07">
        <w:rPr>
          <w:lang w:eastAsia="en-US"/>
        </w:rPr>
        <w:t>выплат стимулирующего характера</w:t>
      </w:r>
      <w:r w:rsidRPr="00353C07">
        <w:t>;</w:t>
      </w:r>
    </w:p>
    <w:p w:rsidR="0079632D" w:rsidRPr="00353C07" w:rsidRDefault="0079632D" w:rsidP="0079632D">
      <w:pPr>
        <w:widowControl w:val="0"/>
        <w:autoSpaceDE w:val="0"/>
        <w:autoSpaceDN w:val="0"/>
        <w:ind w:firstLine="709"/>
        <w:jc w:val="both"/>
      </w:pPr>
      <w:r w:rsidRPr="00353C07">
        <w:rPr>
          <w:lang w:eastAsia="en-US"/>
        </w:rPr>
        <w:t>-условия установления и размеры надбавки за интенсивность;</w:t>
      </w:r>
    </w:p>
    <w:p w:rsidR="0079632D" w:rsidRPr="00353C07" w:rsidRDefault="0079632D" w:rsidP="0079632D">
      <w:pPr>
        <w:widowControl w:val="0"/>
        <w:autoSpaceDE w:val="0"/>
        <w:autoSpaceDN w:val="0"/>
        <w:ind w:firstLine="709"/>
        <w:jc w:val="both"/>
        <w:rPr>
          <w:lang w:eastAsia="en-US"/>
        </w:rPr>
      </w:pPr>
      <w:r w:rsidRPr="00353C07">
        <w:t>-</w:t>
      </w:r>
      <w:r w:rsidRPr="00353C07">
        <w:rPr>
          <w:lang w:eastAsia="en-US"/>
        </w:rPr>
        <w:t>порядок и условия установления надбавки за наличие ученой степени, почетного звания работникам учреждения;</w:t>
      </w:r>
    </w:p>
    <w:p w:rsidR="0079632D" w:rsidRPr="00353C07" w:rsidRDefault="0079632D" w:rsidP="0079632D">
      <w:pPr>
        <w:widowControl w:val="0"/>
        <w:autoSpaceDE w:val="0"/>
        <w:autoSpaceDN w:val="0"/>
        <w:ind w:firstLine="709"/>
        <w:jc w:val="both"/>
      </w:pPr>
      <w:r w:rsidRPr="00353C07">
        <w:rPr>
          <w:lang w:eastAsia="en-US"/>
        </w:rPr>
        <w:t>-порядок предоставления материальной помощи.</w:t>
      </w:r>
    </w:p>
    <w:p w:rsidR="0079632D" w:rsidRPr="00353C07" w:rsidRDefault="0079632D" w:rsidP="0079632D">
      <w:pPr>
        <w:widowControl w:val="0"/>
        <w:autoSpaceDE w:val="0"/>
        <w:autoSpaceDN w:val="0"/>
        <w:ind w:firstLine="709"/>
        <w:jc w:val="both"/>
      </w:pPr>
      <w:r w:rsidRPr="00353C07">
        <w:t xml:space="preserve">В результате выплаты стимулирующего характера работникам, заместителям директора и главному бухгалтеру установлены </w:t>
      </w:r>
      <w:r w:rsidRPr="00353C07">
        <w:rPr>
          <w:lang w:eastAsia="en-US"/>
        </w:rPr>
        <w:t xml:space="preserve">без учета требований </w:t>
      </w:r>
      <w:r w:rsidRPr="00353C07">
        <w:t xml:space="preserve">Положений об оплате труда №387 и №686. </w:t>
      </w:r>
    </w:p>
    <w:p w:rsidR="0079632D" w:rsidRPr="00353C07" w:rsidRDefault="0079632D" w:rsidP="0079632D">
      <w:pPr>
        <w:widowControl w:val="0"/>
        <w:autoSpaceDE w:val="0"/>
        <w:autoSpaceDN w:val="0"/>
        <w:ind w:firstLine="709"/>
        <w:jc w:val="both"/>
        <w:rPr>
          <w:lang w:eastAsia="en-US"/>
        </w:rPr>
      </w:pPr>
      <w:r w:rsidRPr="000F075D">
        <w:t xml:space="preserve">Кроме того, в нарушение Положений об оплате труда </w:t>
      </w:r>
      <w:r w:rsidR="00C517EB" w:rsidRPr="000F075D">
        <w:t>у</w:t>
      </w:r>
      <w:r w:rsidRPr="000F075D">
        <w:t xml:space="preserve">чреждения не определены показатели и условия премирования, в </w:t>
      </w:r>
      <w:proofErr w:type="gramStart"/>
      <w:r w:rsidRPr="000F075D">
        <w:t>связи</w:t>
      </w:r>
      <w:proofErr w:type="gramEnd"/>
      <w:r w:rsidRPr="000F075D">
        <w:t xml:space="preserve"> с чем премирование работников осуществлялось </w:t>
      </w:r>
      <w:r w:rsidR="000F075D" w:rsidRPr="000F075D">
        <w:t>без учета</w:t>
      </w:r>
      <w:r w:rsidRPr="000F075D">
        <w:t xml:space="preserve"> данных положений.</w:t>
      </w:r>
    </w:p>
    <w:p w:rsidR="0079632D" w:rsidRPr="00353C07" w:rsidRDefault="0079632D" w:rsidP="0079632D">
      <w:pPr>
        <w:ind w:firstLine="709"/>
        <w:jc w:val="both"/>
        <w:outlineLvl w:val="0"/>
        <w:rPr>
          <w:lang w:eastAsia="en-US"/>
        </w:rPr>
      </w:pPr>
      <w:r w:rsidRPr="00353C07">
        <w:rPr>
          <w:lang w:eastAsia="en-US"/>
        </w:rPr>
        <w:t xml:space="preserve">В нарушение Положений об оплате труда, утвержденных приказами </w:t>
      </w:r>
      <w:r w:rsidR="00C517EB">
        <w:rPr>
          <w:lang w:eastAsia="en-US"/>
        </w:rPr>
        <w:t>к</w:t>
      </w:r>
      <w:r w:rsidRPr="00353C07">
        <w:rPr>
          <w:lang w:eastAsia="en-US"/>
        </w:rPr>
        <w:t>омитета, и  Положений об оплате труда, утвержденных приказами</w:t>
      </w:r>
      <w:r w:rsidR="00C517EB">
        <w:rPr>
          <w:lang w:eastAsia="en-US"/>
        </w:rPr>
        <w:t xml:space="preserve"> у</w:t>
      </w:r>
      <w:r w:rsidRPr="00353C07">
        <w:rPr>
          <w:lang w:eastAsia="en-US"/>
        </w:rPr>
        <w:t xml:space="preserve">чреждения, заместителю директора установлена </w:t>
      </w:r>
      <w:r w:rsidRPr="009219E9">
        <w:rPr>
          <w:lang w:eastAsia="en-US"/>
        </w:rPr>
        <w:t>не предусмотренная по этой должности</w:t>
      </w:r>
      <w:r>
        <w:rPr>
          <w:lang w:eastAsia="en-US"/>
        </w:rPr>
        <w:t xml:space="preserve"> </w:t>
      </w:r>
      <w:r w:rsidRPr="00353C07">
        <w:rPr>
          <w:lang w:eastAsia="en-US"/>
        </w:rPr>
        <w:t xml:space="preserve">надбавка за наличие ученой степени. Сумма </w:t>
      </w:r>
      <w:r w:rsidR="002E2E82">
        <w:rPr>
          <w:lang w:eastAsia="en-US"/>
        </w:rPr>
        <w:t>необоснованно</w:t>
      </w:r>
      <w:r w:rsidRPr="00353C07">
        <w:rPr>
          <w:lang w:eastAsia="en-US"/>
        </w:rPr>
        <w:t xml:space="preserve"> выплаченной надбавки в 2017</w:t>
      </w:r>
      <w:r w:rsidR="00C517EB">
        <w:rPr>
          <w:lang w:eastAsia="en-US"/>
        </w:rPr>
        <w:t xml:space="preserve"> году составила 67,2 тыс. руб</w:t>
      </w:r>
      <w:r w:rsidRPr="00353C07">
        <w:rPr>
          <w:lang w:eastAsia="en-US"/>
        </w:rPr>
        <w:t>.</w:t>
      </w:r>
      <w:r w:rsidR="00C517EB">
        <w:rPr>
          <w:lang w:eastAsia="en-US"/>
        </w:rPr>
        <w:t>,</w:t>
      </w:r>
      <w:r w:rsidRPr="00353C07">
        <w:rPr>
          <w:lang w:eastAsia="en-US"/>
        </w:rPr>
        <w:t xml:space="preserve"> </w:t>
      </w:r>
      <w:r w:rsidR="00C517EB">
        <w:rPr>
          <w:lang w:eastAsia="en-US"/>
        </w:rPr>
        <w:t>н</w:t>
      </w:r>
      <w:r w:rsidRPr="00353C07">
        <w:rPr>
          <w:lang w:eastAsia="en-US"/>
        </w:rPr>
        <w:t xml:space="preserve">а 2018 год </w:t>
      </w:r>
      <w:r w:rsidR="00C517EB">
        <w:rPr>
          <w:lang w:eastAsia="en-US"/>
        </w:rPr>
        <w:t>данная надбавка</w:t>
      </w:r>
      <w:r w:rsidRPr="00353C07">
        <w:rPr>
          <w:lang w:eastAsia="en-US"/>
        </w:rPr>
        <w:t xml:space="preserve"> с учетом начислений составит 82,2 тыс. рублей. </w:t>
      </w:r>
    </w:p>
    <w:p w:rsidR="0079632D" w:rsidRPr="00353C07" w:rsidRDefault="0079632D" w:rsidP="0079632D">
      <w:pPr>
        <w:ind w:firstLine="709"/>
        <w:jc w:val="both"/>
        <w:outlineLvl w:val="0"/>
        <w:rPr>
          <w:lang w:eastAsia="en-US"/>
        </w:rPr>
      </w:pPr>
      <w:r w:rsidRPr="00353C07">
        <w:rPr>
          <w:lang w:eastAsia="en-US"/>
        </w:rPr>
        <w:t xml:space="preserve">Работником </w:t>
      </w:r>
      <w:r w:rsidR="00613071">
        <w:rPr>
          <w:lang w:eastAsia="en-US"/>
        </w:rPr>
        <w:t>у</w:t>
      </w:r>
      <w:r w:rsidRPr="00353C07">
        <w:rPr>
          <w:lang w:eastAsia="en-US"/>
        </w:rPr>
        <w:t xml:space="preserve">чреждения выполнялись обязанности временно отсутствующих работников – экономиста и бухгалтера при отсутствии </w:t>
      </w:r>
      <w:r w:rsidR="00613071">
        <w:rPr>
          <w:lang w:eastAsia="en-US"/>
        </w:rPr>
        <w:t xml:space="preserve">соответствующего </w:t>
      </w:r>
      <w:r w:rsidRPr="00353C07">
        <w:rPr>
          <w:lang w:eastAsia="en-US"/>
        </w:rPr>
        <w:t>образования и стажа работы по этим должностям, как предусмотрено действующими квалификационными требованиями и профессиональным стандартом «Бухгалтер», утвержд</w:t>
      </w:r>
      <w:r w:rsidR="00613071">
        <w:rPr>
          <w:lang w:eastAsia="en-US"/>
        </w:rPr>
        <w:t>е</w:t>
      </w:r>
      <w:r w:rsidRPr="00353C07">
        <w:rPr>
          <w:lang w:eastAsia="en-US"/>
        </w:rPr>
        <w:t>нным приказом Минтруда и соцзащиты РФ.</w:t>
      </w:r>
    </w:p>
    <w:p w:rsidR="0079632D" w:rsidRPr="00353C07" w:rsidRDefault="0079632D" w:rsidP="0079632D">
      <w:pPr>
        <w:widowControl w:val="0"/>
        <w:autoSpaceDE w:val="0"/>
        <w:autoSpaceDN w:val="0"/>
        <w:ind w:firstLine="709"/>
        <w:jc w:val="both"/>
        <w:rPr>
          <w:lang w:eastAsia="en-US"/>
        </w:rPr>
      </w:pPr>
      <w:r w:rsidRPr="00353C07">
        <w:rPr>
          <w:lang w:eastAsia="en-US"/>
        </w:rPr>
        <w:t xml:space="preserve">Предусмотренная в </w:t>
      </w:r>
      <w:r w:rsidRPr="00353C07">
        <w:t xml:space="preserve">Положениях об оплате труда, утвержденных приказами </w:t>
      </w:r>
      <w:r w:rsidR="00613071">
        <w:t>у</w:t>
      </w:r>
      <w:r w:rsidRPr="00353C07">
        <w:t xml:space="preserve">чреждения, </w:t>
      </w:r>
      <w:r w:rsidRPr="00353C07">
        <w:rPr>
          <w:lang w:eastAsia="en-US"/>
        </w:rPr>
        <w:t xml:space="preserve">норма о том, что персональный повышающий коэффициент устанавливается на определенный период времени в течение календарного года, не соответствует Положению об оплате труда, утвержденному приказом </w:t>
      </w:r>
      <w:r w:rsidR="00613071">
        <w:rPr>
          <w:lang w:eastAsia="en-US"/>
        </w:rPr>
        <w:t>к</w:t>
      </w:r>
      <w:r w:rsidRPr="00353C07">
        <w:rPr>
          <w:lang w:eastAsia="en-US"/>
        </w:rPr>
        <w:t xml:space="preserve">омитета, предусматривающему, что персональный повышающий коэффициент устанавливается на календарный год. </w:t>
      </w:r>
    </w:p>
    <w:p w:rsidR="0079632D" w:rsidRPr="00353C07" w:rsidRDefault="0079632D" w:rsidP="0079632D">
      <w:pPr>
        <w:widowControl w:val="0"/>
        <w:autoSpaceDE w:val="0"/>
        <w:autoSpaceDN w:val="0"/>
        <w:ind w:firstLine="709"/>
        <w:jc w:val="both"/>
      </w:pPr>
      <w:r w:rsidRPr="00353C07">
        <w:t xml:space="preserve">Проверкой правильности начисления заработной платы за 2017 год установлены переплаты на общую сумму 3 тыс. руб., в результате которых были излишне начислены страховые взносы </w:t>
      </w:r>
      <w:r w:rsidR="00613071">
        <w:t>в размере</w:t>
      </w:r>
      <w:r w:rsidRPr="00353C07">
        <w:t xml:space="preserve"> 0,9 тыс. рублей.</w:t>
      </w:r>
    </w:p>
    <w:p w:rsidR="0067640B" w:rsidRPr="00CD47EF" w:rsidRDefault="0067640B" w:rsidP="0067640B">
      <w:pPr>
        <w:ind w:firstLine="567"/>
        <w:jc w:val="both"/>
      </w:pPr>
      <w:r>
        <w:rPr>
          <w:bCs/>
        </w:rPr>
        <w:tab/>
      </w:r>
      <w:r>
        <w:t>П</w:t>
      </w:r>
      <w:r w:rsidRPr="00CD47EF">
        <w:t>роверк</w:t>
      </w:r>
      <w:r>
        <w:t>ой</w:t>
      </w:r>
      <w:r w:rsidRPr="00CD47EF">
        <w:t xml:space="preserve"> использования средств, направленных на оплату труда работников ГБУ «</w:t>
      </w:r>
      <w:r>
        <w:rPr>
          <w:szCs w:val="24"/>
        </w:rPr>
        <w:t>Волгоградское архитектурно-планировочное бюро»</w:t>
      </w:r>
      <w:r w:rsidR="00977205">
        <w:rPr>
          <w:szCs w:val="24"/>
        </w:rPr>
        <w:t>,</w:t>
      </w:r>
      <w:r>
        <w:t xml:space="preserve"> установлено следующее.</w:t>
      </w:r>
    </w:p>
    <w:p w:rsidR="0067640B" w:rsidRPr="00CD47EF" w:rsidRDefault="0067640B" w:rsidP="0067640B">
      <w:pPr>
        <w:tabs>
          <w:tab w:val="left" w:pos="900"/>
        </w:tabs>
        <w:jc w:val="both"/>
        <w:outlineLvl w:val="0"/>
        <w:rPr>
          <w:i/>
        </w:rPr>
      </w:pPr>
      <w:r>
        <w:rPr>
          <w:rFonts w:eastAsia="Calibri"/>
        </w:rPr>
        <w:t xml:space="preserve">         </w:t>
      </w:r>
      <w:r w:rsidR="00977205">
        <w:rPr>
          <w:rFonts w:eastAsia="Calibri"/>
        </w:rPr>
        <w:t xml:space="preserve">  </w:t>
      </w:r>
      <w:r w:rsidR="00977205">
        <w:t>При н</w:t>
      </w:r>
      <w:r w:rsidRPr="00CD47EF">
        <w:t xml:space="preserve">аличии </w:t>
      </w:r>
      <w:r w:rsidR="00977205">
        <w:t xml:space="preserve">в течение продолжительного времени </w:t>
      </w:r>
      <w:r w:rsidRPr="00CD47EF">
        <w:t xml:space="preserve">значительного количества вакансий </w:t>
      </w:r>
      <w:r w:rsidR="00977205">
        <w:t>у</w:t>
      </w:r>
      <w:r>
        <w:t>чреждением</w:t>
      </w:r>
      <w:r w:rsidRPr="00CD47EF">
        <w:t xml:space="preserve"> </w:t>
      </w:r>
      <w:r w:rsidR="00977205">
        <w:t>не предпринимало</w:t>
      </w:r>
      <w:r w:rsidRPr="00CD47EF">
        <w:t xml:space="preserve">сь  </w:t>
      </w:r>
      <w:r w:rsidR="00977205">
        <w:t xml:space="preserve">достаточных </w:t>
      </w:r>
      <w:r w:rsidRPr="00CD47EF">
        <w:t>мер</w:t>
      </w:r>
      <w:r w:rsidR="00977205">
        <w:t xml:space="preserve"> </w:t>
      </w:r>
      <w:r w:rsidR="00977205" w:rsidRPr="00CD47EF">
        <w:t xml:space="preserve">по </w:t>
      </w:r>
      <w:r w:rsidR="00977205">
        <w:t xml:space="preserve">их </w:t>
      </w:r>
      <w:r w:rsidR="00977205" w:rsidRPr="00CD47EF">
        <w:t>заполнению</w:t>
      </w:r>
      <w:r w:rsidRPr="00CD47EF">
        <w:t>.</w:t>
      </w:r>
      <w:r w:rsidRPr="00CD47EF">
        <w:rPr>
          <w:i/>
        </w:rPr>
        <w:t xml:space="preserve">            </w:t>
      </w:r>
    </w:p>
    <w:p w:rsidR="0067640B" w:rsidRPr="00CD47EF" w:rsidRDefault="00977205" w:rsidP="0067640B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</w:rPr>
      </w:pPr>
      <w:r>
        <w:t xml:space="preserve">   </w:t>
      </w:r>
      <w:r w:rsidR="0067640B" w:rsidRPr="00CD47EF">
        <w:t>В</w:t>
      </w:r>
      <w:r w:rsidR="0067640B" w:rsidRPr="00CD47EF">
        <w:rPr>
          <w:rFonts w:eastAsia="Calibri"/>
        </w:rPr>
        <w:t xml:space="preserve"> нарушение ст</w:t>
      </w:r>
      <w:r>
        <w:rPr>
          <w:rFonts w:eastAsia="Calibri"/>
        </w:rPr>
        <w:t>атьи</w:t>
      </w:r>
      <w:r w:rsidR="0067640B" w:rsidRPr="00CD47EF">
        <w:rPr>
          <w:rFonts w:eastAsia="Calibri"/>
        </w:rPr>
        <w:t xml:space="preserve"> 57 Т</w:t>
      </w:r>
      <w:r>
        <w:rPr>
          <w:rFonts w:eastAsia="Calibri"/>
        </w:rPr>
        <w:t>рудового кодекса</w:t>
      </w:r>
      <w:r w:rsidR="0067640B" w:rsidRPr="00CD47EF">
        <w:rPr>
          <w:rFonts w:eastAsia="Calibri"/>
        </w:rPr>
        <w:t xml:space="preserve"> РФ в 22 </w:t>
      </w:r>
      <w:r w:rsidRPr="00CD47EF">
        <w:rPr>
          <w:rFonts w:eastAsia="Calibri"/>
        </w:rPr>
        <w:t xml:space="preserve">проверенных </w:t>
      </w:r>
      <w:r w:rsidR="0067640B" w:rsidRPr="00CD47EF">
        <w:rPr>
          <w:rFonts w:eastAsia="Calibri"/>
        </w:rPr>
        <w:t>трудовых договорах, заключенных между руководителем и работни</w:t>
      </w:r>
      <w:r>
        <w:rPr>
          <w:rFonts w:eastAsia="Calibri"/>
        </w:rPr>
        <w:t>ками учреждения</w:t>
      </w:r>
      <w:r w:rsidR="0067640B" w:rsidRPr="00CD47EF">
        <w:rPr>
          <w:rFonts w:eastAsia="Calibri"/>
        </w:rPr>
        <w:t xml:space="preserve">, не указаны установленные работникам надбавки стимулирующего характера, их размер, а также </w:t>
      </w:r>
      <w:r w:rsidR="0067640B" w:rsidRPr="00CD47EF">
        <w:t>размер надбавки за общий трудовой стаж.</w:t>
      </w:r>
    </w:p>
    <w:p w:rsidR="0067640B" w:rsidRDefault="008A40B9" w:rsidP="0067640B">
      <w:pPr>
        <w:ind w:firstLine="567"/>
        <w:jc w:val="both"/>
      </w:pPr>
      <w:r>
        <w:tab/>
      </w:r>
      <w:proofErr w:type="gramStart"/>
      <w:r w:rsidR="0067640B" w:rsidRPr="00CD47EF">
        <w:t>В нарушение п</w:t>
      </w:r>
      <w:r>
        <w:t xml:space="preserve">ункта </w:t>
      </w:r>
      <w:r w:rsidR="0067640B" w:rsidRPr="00CD47EF">
        <w:t xml:space="preserve">4.2 </w:t>
      </w:r>
      <w:r w:rsidR="009524F6" w:rsidRPr="006D49FF">
        <w:t xml:space="preserve">Положения об оплате труда работников государственного учреждения, подведомственного </w:t>
      </w:r>
      <w:r w:rsidR="009524F6">
        <w:t>комитету архитектуры и градостроительства Волгоградской области</w:t>
      </w:r>
      <w:r w:rsidR="009524F6" w:rsidRPr="006D49FF">
        <w:t>, утвержд</w:t>
      </w:r>
      <w:r w:rsidR="009524F6">
        <w:t>е</w:t>
      </w:r>
      <w:r w:rsidR="009524F6" w:rsidRPr="006D49FF">
        <w:t xml:space="preserve">нного приказом </w:t>
      </w:r>
      <w:r w:rsidR="009524F6">
        <w:t>комитета</w:t>
      </w:r>
      <w:r w:rsidR="009524F6" w:rsidRPr="006D49FF">
        <w:t xml:space="preserve"> </w:t>
      </w:r>
      <w:r w:rsidR="009524F6">
        <w:t xml:space="preserve">архитектуры </w:t>
      </w:r>
      <w:r w:rsidR="009524F6" w:rsidRPr="006D49FF">
        <w:t>от 29.05.2017 №67-ОД</w:t>
      </w:r>
      <w:r w:rsidR="009524F6">
        <w:t xml:space="preserve"> (далее</w:t>
      </w:r>
      <w:r w:rsidR="009524F6" w:rsidRPr="006D49FF">
        <w:t xml:space="preserve"> </w:t>
      </w:r>
      <w:r w:rsidR="0067640B" w:rsidRPr="00CD47EF">
        <w:t>Положени</w:t>
      </w:r>
      <w:r w:rsidR="009524F6">
        <w:t>е</w:t>
      </w:r>
      <w:r w:rsidR="0067640B" w:rsidRPr="00CD47EF">
        <w:t xml:space="preserve"> №67-ОД</w:t>
      </w:r>
      <w:r w:rsidR="009524F6">
        <w:t>)</w:t>
      </w:r>
      <w:r w:rsidR="0067640B" w:rsidRPr="00CD47EF">
        <w:t xml:space="preserve"> </w:t>
      </w:r>
      <w:r w:rsidR="009524F6">
        <w:t>к</w:t>
      </w:r>
      <w:r w:rsidR="0067640B">
        <w:t xml:space="preserve">омитетом </w:t>
      </w:r>
      <w:r w:rsidR="0067640B" w:rsidRPr="00CD47EF">
        <w:t>в 2017 году не были согласованы к</w:t>
      </w:r>
      <w:r w:rsidR="0067640B" w:rsidRPr="00CD47EF">
        <w:rPr>
          <w:rFonts w:eastAsia="Calibri"/>
        </w:rPr>
        <w:t xml:space="preserve">ритерии и (или) целевые показатели для оценки эффективности (качества) работы </w:t>
      </w:r>
      <w:r w:rsidR="0067640B">
        <w:rPr>
          <w:rFonts w:eastAsia="Calibri"/>
        </w:rPr>
        <w:t>в целях</w:t>
      </w:r>
      <w:r w:rsidR="0067640B" w:rsidRPr="00CD47EF">
        <w:rPr>
          <w:rFonts w:eastAsia="Calibri"/>
        </w:rPr>
        <w:t xml:space="preserve"> установления выплат стимулирующего характера работникам</w:t>
      </w:r>
      <w:r w:rsidR="0067640B">
        <w:rPr>
          <w:rFonts w:eastAsia="Calibri"/>
        </w:rPr>
        <w:t xml:space="preserve"> </w:t>
      </w:r>
      <w:r w:rsidR="009524F6">
        <w:rPr>
          <w:rFonts w:eastAsia="Calibri"/>
        </w:rPr>
        <w:t>у</w:t>
      </w:r>
      <w:r w:rsidR="0067640B">
        <w:rPr>
          <w:rFonts w:eastAsia="Calibri"/>
        </w:rPr>
        <w:t>чреждения</w:t>
      </w:r>
      <w:r w:rsidR="0067640B" w:rsidRPr="00CD47EF">
        <w:t>.</w:t>
      </w:r>
      <w:proofErr w:type="gramEnd"/>
    </w:p>
    <w:p w:rsidR="0067640B" w:rsidRPr="00CD47EF" w:rsidRDefault="009524F6" w:rsidP="0067640B">
      <w:pPr>
        <w:ind w:firstLine="567"/>
        <w:jc w:val="both"/>
      </w:pPr>
      <w:r>
        <w:t xml:space="preserve">  </w:t>
      </w:r>
      <w:r w:rsidR="0067640B" w:rsidRPr="00CD47EF">
        <w:t>В нарушение п</w:t>
      </w:r>
      <w:r>
        <w:t xml:space="preserve">ункта </w:t>
      </w:r>
      <w:r w:rsidR="0067640B" w:rsidRPr="00CD47EF">
        <w:t xml:space="preserve">4.3 Положения №67-ОД локальным нормативным актом учреждения не были определены срок, на который работникам устанавливаются выплаты </w:t>
      </w:r>
      <w:r w:rsidR="0067640B" w:rsidRPr="00CD47EF">
        <w:lastRenderedPageBreak/>
        <w:t xml:space="preserve">стимулирующего характера, основания для пересмотра установленных размеров выплат, порядок оценки критериев и (или) целевых показателей для установления выплат стимулирующего характера работникам.    </w:t>
      </w:r>
    </w:p>
    <w:p w:rsidR="0067640B" w:rsidRPr="00E722B8" w:rsidRDefault="009524F6" w:rsidP="0067640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7640B" w:rsidRPr="00CD47EF">
        <w:rPr>
          <w:rFonts w:ascii="Times New Roman" w:hAnsi="Times New Roman" w:cs="Times New Roman"/>
          <w:sz w:val="24"/>
          <w:szCs w:val="24"/>
        </w:rPr>
        <w:t xml:space="preserve">В приказах </w:t>
      </w:r>
      <w:r>
        <w:rPr>
          <w:rFonts w:ascii="Times New Roman" w:hAnsi="Times New Roman" w:cs="Times New Roman"/>
          <w:sz w:val="24"/>
          <w:szCs w:val="24"/>
        </w:rPr>
        <w:t>учреждения</w:t>
      </w:r>
      <w:r w:rsidR="0067640B" w:rsidRPr="00CD47EF">
        <w:rPr>
          <w:rFonts w:ascii="Times New Roman" w:hAnsi="Times New Roman" w:cs="Times New Roman"/>
          <w:sz w:val="24"/>
          <w:szCs w:val="24"/>
        </w:rPr>
        <w:t xml:space="preserve"> отсутствовали подписи работников, подтверждающие их ознакомление с установленными им размерами </w:t>
      </w:r>
      <w:r w:rsidR="0067640B">
        <w:rPr>
          <w:rFonts w:ascii="Times New Roman" w:hAnsi="Times New Roman" w:cs="Times New Roman"/>
          <w:sz w:val="24"/>
          <w:szCs w:val="24"/>
        </w:rPr>
        <w:t>стимулирующих надбавок</w:t>
      </w:r>
      <w:r w:rsidR="0067640B" w:rsidRPr="00CD47EF">
        <w:rPr>
          <w:rFonts w:ascii="Times New Roman" w:hAnsi="Times New Roman" w:cs="Times New Roman"/>
          <w:sz w:val="24"/>
          <w:szCs w:val="24"/>
        </w:rPr>
        <w:t>.</w:t>
      </w:r>
      <w:r w:rsidR="0067640B" w:rsidRPr="00E722B8">
        <w:rPr>
          <w:rFonts w:ascii="Times New Roman" w:hAnsi="Times New Roman" w:cs="Times New Roman"/>
          <w:sz w:val="24"/>
          <w:szCs w:val="24"/>
        </w:rPr>
        <w:t xml:space="preserve"> </w:t>
      </w:r>
      <w:r w:rsidR="0067640B" w:rsidRPr="007D727D">
        <w:rPr>
          <w:rFonts w:ascii="Times New Roman" w:hAnsi="Times New Roman" w:cs="Times New Roman"/>
          <w:sz w:val="24"/>
          <w:szCs w:val="24"/>
        </w:rPr>
        <w:t>В результате</w:t>
      </w:r>
      <w:r w:rsidR="0067640B">
        <w:t xml:space="preserve"> </w:t>
      </w:r>
      <w:r w:rsidR="0067640B" w:rsidRPr="00FB763F">
        <w:rPr>
          <w:rFonts w:ascii="Times New Roman" w:hAnsi="Times New Roman" w:cs="Times New Roman"/>
          <w:sz w:val="24"/>
          <w:szCs w:val="24"/>
        </w:rPr>
        <w:t xml:space="preserve"> </w:t>
      </w:r>
      <w:r w:rsidR="0067640B">
        <w:rPr>
          <w:rFonts w:ascii="Times New Roman" w:hAnsi="Times New Roman" w:cs="Times New Roman"/>
          <w:sz w:val="24"/>
          <w:szCs w:val="24"/>
        </w:rPr>
        <w:t xml:space="preserve">был </w:t>
      </w:r>
      <w:r w:rsidR="0067640B" w:rsidRPr="00FB763F">
        <w:rPr>
          <w:rFonts w:ascii="Times New Roman" w:hAnsi="Times New Roman" w:cs="Times New Roman"/>
          <w:sz w:val="24"/>
          <w:szCs w:val="24"/>
        </w:rPr>
        <w:t>нарушен абз</w:t>
      </w:r>
      <w:r w:rsidR="005378C8">
        <w:rPr>
          <w:rFonts w:ascii="Times New Roman" w:hAnsi="Times New Roman" w:cs="Times New Roman"/>
          <w:sz w:val="24"/>
          <w:szCs w:val="24"/>
        </w:rPr>
        <w:t xml:space="preserve">ац </w:t>
      </w:r>
      <w:r w:rsidR="0067640B" w:rsidRPr="00FB763F">
        <w:rPr>
          <w:rFonts w:ascii="Times New Roman" w:hAnsi="Times New Roman" w:cs="Times New Roman"/>
          <w:sz w:val="24"/>
          <w:szCs w:val="24"/>
        </w:rPr>
        <w:t>20 ст</w:t>
      </w:r>
      <w:r w:rsidR="005378C8">
        <w:rPr>
          <w:rFonts w:ascii="Times New Roman" w:hAnsi="Times New Roman" w:cs="Times New Roman"/>
          <w:sz w:val="24"/>
          <w:szCs w:val="24"/>
        </w:rPr>
        <w:t xml:space="preserve">атьи </w:t>
      </w:r>
      <w:r w:rsidR="0067640B" w:rsidRPr="00FB763F">
        <w:rPr>
          <w:rFonts w:ascii="Times New Roman" w:hAnsi="Times New Roman" w:cs="Times New Roman"/>
          <w:sz w:val="24"/>
          <w:szCs w:val="24"/>
        </w:rPr>
        <w:t>22 ТК РФ, предусматривающ</w:t>
      </w:r>
      <w:r w:rsidR="0067640B">
        <w:rPr>
          <w:rFonts w:ascii="Times New Roman" w:hAnsi="Times New Roman" w:cs="Times New Roman"/>
          <w:sz w:val="24"/>
          <w:szCs w:val="24"/>
        </w:rPr>
        <w:t>и</w:t>
      </w:r>
      <w:r w:rsidR="0067640B" w:rsidRPr="00FB763F">
        <w:rPr>
          <w:rFonts w:ascii="Times New Roman" w:hAnsi="Times New Roman" w:cs="Times New Roman"/>
          <w:sz w:val="24"/>
          <w:szCs w:val="24"/>
        </w:rPr>
        <w:t xml:space="preserve">й </w:t>
      </w:r>
      <w:r w:rsidR="0067640B">
        <w:rPr>
          <w:rFonts w:ascii="Times New Roman" w:hAnsi="Times New Roman" w:cs="Times New Roman"/>
          <w:sz w:val="24"/>
          <w:szCs w:val="24"/>
        </w:rPr>
        <w:t>ознакомление</w:t>
      </w:r>
      <w:r w:rsidR="0067640B" w:rsidRPr="00FB763F">
        <w:rPr>
          <w:rFonts w:ascii="Times New Roman" w:hAnsi="Times New Roman" w:cs="Times New Roman"/>
          <w:sz w:val="24"/>
          <w:szCs w:val="24"/>
        </w:rPr>
        <w:t xml:space="preserve"> работников под роспись с принимаемыми локальными нормативными актами, непосредственно связанными с их трудовой деятельностью</w:t>
      </w:r>
      <w:r w:rsidR="00542147">
        <w:rPr>
          <w:rFonts w:ascii="Times New Roman" w:hAnsi="Times New Roman" w:cs="Times New Roman"/>
          <w:sz w:val="24"/>
          <w:szCs w:val="24"/>
        </w:rPr>
        <w:t>,</w:t>
      </w:r>
      <w:r w:rsidR="0067640B">
        <w:rPr>
          <w:rFonts w:ascii="Times New Roman" w:hAnsi="Times New Roman" w:cs="Times New Roman"/>
          <w:sz w:val="24"/>
          <w:szCs w:val="24"/>
        </w:rPr>
        <w:t xml:space="preserve"> </w:t>
      </w:r>
      <w:r w:rsidR="00542147">
        <w:rPr>
          <w:rFonts w:ascii="Times New Roman" w:hAnsi="Times New Roman" w:cs="Times New Roman"/>
          <w:sz w:val="24"/>
          <w:szCs w:val="24"/>
        </w:rPr>
        <w:t>т. е.</w:t>
      </w:r>
      <w:r w:rsidR="0067640B" w:rsidRPr="00E722B8">
        <w:rPr>
          <w:rFonts w:ascii="Times New Roman" w:hAnsi="Times New Roman" w:cs="Times New Roman"/>
          <w:sz w:val="24"/>
          <w:szCs w:val="24"/>
        </w:rPr>
        <w:t xml:space="preserve"> работники не располага</w:t>
      </w:r>
      <w:r w:rsidR="0067640B">
        <w:rPr>
          <w:rFonts w:ascii="Times New Roman" w:hAnsi="Times New Roman" w:cs="Times New Roman"/>
          <w:sz w:val="24"/>
          <w:szCs w:val="24"/>
        </w:rPr>
        <w:t>ли</w:t>
      </w:r>
      <w:r w:rsidR="0067640B" w:rsidRPr="00E722B8">
        <w:rPr>
          <w:rFonts w:ascii="Times New Roman" w:hAnsi="Times New Roman" w:cs="Times New Roman"/>
          <w:sz w:val="24"/>
          <w:szCs w:val="24"/>
        </w:rPr>
        <w:t xml:space="preserve"> информацией о том, какие надбавки и в каких размерах им установлены.</w:t>
      </w:r>
    </w:p>
    <w:p w:rsidR="0067640B" w:rsidRPr="0063125B" w:rsidRDefault="0059400F" w:rsidP="0067640B">
      <w:pPr>
        <w:pStyle w:val="ConsPlusNormal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7640B" w:rsidRPr="0063125B">
        <w:rPr>
          <w:rFonts w:ascii="Times New Roman" w:hAnsi="Times New Roman" w:cs="Times New Roman"/>
          <w:sz w:val="24"/>
          <w:szCs w:val="24"/>
        </w:rPr>
        <w:t xml:space="preserve">Должностной оклад руководителя </w:t>
      </w:r>
      <w:r>
        <w:rPr>
          <w:rFonts w:ascii="Times New Roman" w:hAnsi="Times New Roman" w:cs="Times New Roman"/>
          <w:sz w:val="24"/>
          <w:szCs w:val="24"/>
        </w:rPr>
        <w:t>учреждения</w:t>
      </w:r>
      <w:r w:rsidR="0067640B" w:rsidRPr="0063125B">
        <w:rPr>
          <w:rFonts w:ascii="Times New Roman" w:hAnsi="Times New Roman" w:cs="Times New Roman"/>
          <w:sz w:val="24"/>
          <w:szCs w:val="24"/>
        </w:rPr>
        <w:t xml:space="preserve"> в 2017 году составлял 70500 рублей. При этом согласно п</w:t>
      </w:r>
      <w:r>
        <w:rPr>
          <w:rFonts w:ascii="Times New Roman" w:hAnsi="Times New Roman" w:cs="Times New Roman"/>
          <w:sz w:val="24"/>
          <w:szCs w:val="24"/>
        </w:rPr>
        <w:t xml:space="preserve">ункту </w:t>
      </w:r>
      <w:r w:rsidR="0067640B" w:rsidRPr="0063125B">
        <w:rPr>
          <w:rFonts w:ascii="Times New Roman" w:hAnsi="Times New Roman" w:cs="Times New Roman"/>
          <w:sz w:val="24"/>
          <w:szCs w:val="24"/>
        </w:rPr>
        <w:t>10.3 Общих требований к положениям об оплате труда работников государственных учреждений Волгоградской области, утвержд</w:t>
      </w:r>
      <w:r>
        <w:rPr>
          <w:rFonts w:ascii="Times New Roman" w:hAnsi="Times New Roman" w:cs="Times New Roman"/>
          <w:sz w:val="24"/>
          <w:szCs w:val="24"/>
        </w:rPr>
        <w:t>е</w:t>
      </w:r>
      <w:r w:rsidR="0067640B" w:rsidRPr="0063125B">
        <w:rPr>
          <w:rFonts w:ascii="Times New Roman" w:hAnsi="Times New Roman" w:cs="Times New Roman"/>
          <w:sz w:val="24"/>
          <w:szCs w:val="24"/>
        </w:rPr>
        <w:t xml:space="preserve">нных постановлением  Администрации Волгоградской области от 19.01.2016  №4-п (в редакции от 28.08.2017) размер должностного оклада руководителя учреждения не должен превышать 95% ежемесячного оклада руководителя органа исполнительной власти Волгоградской области. Данное требование предусмотрено и внесенными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67640B" w:rsidRPr="0063125B">
        <w:rPr>
          <w:rFonts w:ascii="Times New Roman" w:hAnsi="Times New Roman" w:cs="Times New Roman"/>
          <w:sz w:val="24"/>
          <w:szCs w:val="24"/>
        </w:rPr>
        <w:t>омитетом изменениями в п</w:t>
      </w:r>
      <w:r>
        <w:rPr>
          <w:rFonts w:ascii="Times New Roman" w:hAnsi="Times New Roman" w:cs="Times New Roman"/>
          <w:sz w:val="24"/>
          <w:szCs w:val="24"/>
        </w:rPr>
        <w:t xml:space="preserve">ункт </w:t>
      </w:r>
      <w:r w:rsidR="0067640B" w:rsidRPr="0063125B">
        <w:rPr>
          <w:rFonts w:ascii="Times New Roman" w:hAnsi="Times New Roman" w:cs="Times New Roman"/>
          <w:sz w:val="24"/>
          <w:szCs w:val="24"/>
        </w:rPr>
        <w:t>5.3 и абз</w:t>
      </w:r>
      <w:r>
        <w:rPr>
          <w:rFonts w:ascii="Times New Roman" w:hAnsi="Times New Roman" w:cs="Times New Roman"/>
          <w:sz w:val="24"/>
          <w:szCs w:val="24"/>
        </w:rPr>
        <w:t xml:space="preserve">ац </w:t>
      </w:r>
      <w:r w:rsidR="0067640B" w:rsidRPr="0063125B">
        <w:rPr>
          <w:rFonts w:ascii="Times New Roman" w:hAnsi="Times New Roman" w:cs="Times New Roman"/>
          <w:sz w:val="24"/>
          <w:szCs w:val="24"/>
        </w:rPr>
        <w:t>3 п</w:t>
      </w:r>
      <w:r>
        <w:rPr>
          <w:rFonts w:ascii="Times New Roman" w:hAnsi="Times New Roman" w:cs="Times New Roman"/>
          <w:sz w:val="24"/>
          <w:szCs w:val="24"/>
        </w:rPr>
        <w:t xml:space="preserve">ункта </w:t>
      </w:r>
      <w:r w:rsidR="0067640B" w:rsidRPr="0063125B">
        <w:rPr>
          <w:rFonts w:ascii="Times New Roman" w:hAnsi="Times New Roman" w:cs="Times New Roman"/>
          <w:sz w:val="24"/>
          <w:szCs w:val="24"/>
        </w:rPr>
        <w:t xml:space="preserve">6.1 Положения №67-ОД (редакция от 16.11.2017). </w:t>
      </w:r>
    </w:p>
    <w:p w:rsidR="0067640B" w:rsidRPr="0063125B" w:rsidRDefault="003C76BF" w:rsidP="0067640B">
      <w:pPr>
        <w:pStyle w:val="ConsPlusNormal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7640B" w:rsidRPr="0063125B">
        <w:rPr>
          <w:rFonts w:ascii="Times New Roman" w:hAnsi="Times New Roman" w:cs="Times New Roman"/>
          <w:sz w:val="24"/>
          <w:szCs w:val="24"/>
        </w:rPr>
        <w:t xml:space="preserve">Порядок установления должностного оклада руководителю </w:t>
      </w:r>
      <w:r w:rsidR="0059400F">
        <w:rPr>
          <w:rFonts w:ascii="Times New Roman" w:hAnsi="Times New Roman" w:cs="Times New Roman"/>
          <w:sz w:val="24"/>
          <w:szCs w:val="24"/>
        </w:rPr>
        <w:t>учреждения</w:t>
      </w:r>
      <w:r w:rsidR="0067640B" w:rsidRPr="0063125B">
        <w:rPr>
          <w:rFonts w:ascii="Times New Roman" w:hAnsi="Times New Roman" w:cs="Times New Roman"/>
          <w:sz w:val="24"/>
          <w:szCs w:val="24"/>
        </w:rPr>
        <w:t xml:space="preserve"> был утвержд</w:t>
      </w:r>
      <w:r w:rsidR="0059400F">
        <w:rPr>
          <w:rFonts w:ascii="Times New Roman" w:hAnsi="Times New Roman" w:cs="Times New Roman"/>
          <w:sz w:val="24"/>
          <w:szCs w:val="24"/>
        </w:rPr>
        <w:t>е</w:t>
      </w:r>
      <w:r w:rsidR="0067640B" w:rsidRPr="0063125B">
        <w:rPr>
          <w:rFonts w:ascii="Times New Roman" w:hAnsi="Times New Roman" w:cs="Times New Roman"/>
          <w:sz w:val="24"/>
          <w:szCs w:val="24"/>
        </w:rPr>
        <w:t xml:space="preserve">н приказом </w:t>
      </w:r>
      <w:r w:rsidR="0059400F">
        <w:rPr>
          <w:rFonts w:ascii="Times New Roman" w:hAnsi="Times New Roman" w:cs="Times New Roman"/>
          <w:sz w:val="24"/>
          <w:szCs w:val="24"/>
        </w:rPr>
        <w:t>к</w:t>
      </w:r>
      <w:r w:rsidR="0067640B" w:rsidRPr="0063125B">
        <w:rPr>
          <w:rFonts w:ascii="Times New Roman" w:hAnsi="Times New Roman" w:cs="Times New Roman"/>
          <w:sz w:val="24"/>
          <w:szCs w:val="24"/>
        </w:rPr>
        <w:t xml:space="preserve">омитета архитектуры от 26.02.2018. На основании данного Порядка должностной оклад руководителю с 16.05.2018 установлен в размере 25585 рублей.  </w:t>
      </w:r>
    </w:p>
    <w:p w:rsidR="00B37020" w:rsidRPr="00B37020" w:rsidRDefault="00B37020" w:rsidP="009B3F21">
      <w:pPr>
        <w:autoSpaceDE w:val="0"/>
        <w:autoSpaceDN w:val="0"/>
        <w:adjustRightInd w:val="0"/>
        <w:ind w:firstLine="709"/>
        <w:jc w:val="both"/>
        <w:rPr>
          <w:szCs w:val="24"/>
        </w:rPr>
      </w:pPr>
      <w:proofErr w:type="gramStart"/>
      <w:r>
        <w:rPr>
          <w:szCs w:val="24"/>
        </w:rPr>
        <w:t xml:space="preserve">Положением об оплате труда работников государственных учреждений, подведомственных </w:t>
      </w:r>
      <w:r w:rsidRPr="00EE6716">
        <w:rPr>
          <w:szCs w:val="24"/>
        </w:rPr>
        <w:t>комитету экономической политики и развития Волгоградской области</w:t>
      </w:r>
      <w:r>
        <w:rPr>
          <w:szCs w:val="24"/>
        </w:rPr>
        <w:t>, предусмотрено формирование фонда оплаты труда работников ГАУ «Бизнес-инкубатор» исходя из объема бюджетных ассигнований областного бюджета на текущий финансовый год, доведенных в составе субсидии на финансовое обеспечение выполнения государственного задания на оказание государственных услуг, и средств, поступающих от приносящей доход деятельности.</w:t>
      </w:r>
      <w:proofErr w:type="gramEnd"/>
      <w:r>
        <w:rPr>
          <w:szCs w:val="24"/>
        </w:rPr>
        <w:t xml:space="preserve"> Вместе с тем согласно Порядку </w:t>
      </w:r>
      <w:proofErr w:type="gramStart"/>
      <w:r>
        <w:rPr>
          <w:szCs w:val="24"/>
        </w:rPr>
        <w:t>формирования фонда оплаты труда указанных учреждений</w:t>
      </w:r>
      <w:proofErr w:type="gramEnd"/>
      <w:r>
        <w:rPr>
          <w:szCs w:val="24"/>
        </w:rPr>
        <w:t xml:space="preserve"> фонд формируется только за счет средств областного бюджета, т. е. названные нормативные акты не согласуются друг с другом. </w:t>
      </w:r>
    </w:p>
    <w:p w:rsidR="00B37020" w:rsidRPr="00BE1BB9" w:rsidRDefault="00BE1BB9" w:rsidP="009B3F21">
      <w:pPr>
        <w:autoSpaceDE w:val="0"/>
        <w:autoSpaceDN w:val="0"/>
        <w:adjustRightInd w:val="0"/>
        <w:ind w:firstLine="709"/>
        <w:jc w:val="both"/>
        <w:rPr>
          <w:szCs w:val="24"/>
        </w:rPr>
      </w:pPr>
      <w:r w:rsidRPr="00AA53AB">
        <w:rPr>
          <w:szCs w:val="24"/>
          <w:u w:val="single"/>
        </w:rPr>
        <w:t>Установленные проверками КСП недостатки и нарушения в оплате труда работни</w:t>
      </w:r>
      <w:r w:rsidR="00AA53AB" w:rsidRPr="00AA53AB">
        <w:rPr>
          <w:szCs w:val="24"/>
          <w:u w:val="single"/>
        </w:rPr>
        <w:t>к</w:t>
      </w:r>
      <w:r w:rsidRPr="00AA53AB">
        <w:rPr>
          <w:szCs w:val="24"/>
          <w:u w:val="single"/>
        </w:rPr>
        <w:t>ам государственных учреждений</w:t>
      </w:r>
      <w:r w:rsidR="00AA53AB" w:rsidRPr="00AA53AB">
        <w:rPr>
          <w:szCs w:val="24"/>
          <w:u w:val="single"/>
        </w:rPr>
        <w:t xml:space="preserve"> Волгоградской области свидетельствуют о недостаточном </w:t>
      </w:r>
      <w:proofErr w:type="gramStart"/>
      <w:r w:rsidR="00AA53AB" w:rsidRPr="00AA53AB">
        <w:rPr>
          <w:szCs w:val="24"/>
          <w:u w:val="single"/>
        </w:rPr>
        <w:t>контроле за</w:t>
      </w:r>
      <w:proofErr w:type="gramEnd"/>
      <w:r w:rsidR="00AA53AB" w:rsidRPr="00AA53AB">
        <w:rPr>
          <w:szCs w:val="24"/>
          <w:u w:val="single"/>
        </w:rPr>
        <w:t xml:space="preserve"> этим вопросом со стороны учредителей указанных учреждений</w:t>
      </w:r>
      <w:r w:rsidR="00AA53AB">
        <w:rPr>
          <w:szCs w:val="24"/>
        </w:rPr>
        <w:t>.</w:t>
      </w:r>
      <w:r>
        <w:rPr>
          <w:szCs w:val="24"/>
        </w:rPr>
        <w:t xml:space="preserve"> </w:t>
      </w:r>
    </w:p>
    <w:p w:rsidR="00BE1BB9" w:rsidRDefault="00BE1BB9" w:rsidP="009B3F21">
      <w:pPr>
        <w:autoSpaceDE w:val="0"/>
        <w:autoSpaceDN w:val="0"/>
        <w:adjustRightInd w:val="0"/>
        <w:ind w:firstLine="709"/>
        <w:jc w:val="both"/>
        <w:rPr>
          <w:b/>
          <w:szCs w:val="24"/>
        </w:rPr>
      </w:pPr>
    </w:p>
    <w:p w:rsidR="008128EB" w:rsidRDefault="000F26D8" w:rsidP="004E2F73">
      <w:pPr>
        <w:jc w:val="center"/>
        <w:rPr>
          <w:b/>
        </w:rPr>
      </w:pPr>
      <w:r>
        <w:rPr>
          <w:b/>
        </w:rPr>
        <w:t>6</w:t>
      </w:r>
      <w:r w:rsidR="00F97388">
        <w:rPr>
          <w:b/>
        </w:rPr>
        <w:t xml:space="preserve">. </w:t>
      </w:r>
      <w:r w:rsidR="001303C5">
        <w:rPr>
          <w:b/>
        </w:rPr>
        <w:t>Обобщенная информация</w:t>
      </w:r>
      <w:r w:rsidR="004E2F73" w:rsidRPr="00D10EA3">
        <w:rPr>
          <w:b/>
        </w:rPr>
        <w:t xml:space="preserve"> </w:t>
      </w:r>
      <w:r w:rsidR="001303C5">
        <w:rPr>
          <w:b/>
        </w:rPr>
        <w:t xml:space="preserve">об </w:t>
      </w:r>
      <w:r w:rsidR="004E2F73" w:rsidRPr="00D10EA3">
        <w:rPr>
          <w:b/>
        </w:rPr>
        <w:t>исполнени</w:t>
      </w:r>
      <w:r w:rsidR="001303C5">
        <w:rPr>
          <w:b/>
        </w:rPr>
        <w:t>и</w:t>
      </w:r>
      <w:r w:rsidR="004E2F73" w:rsidRPr="00D10EA3">
        <w:rPr>
          <w:b/>
        </w:rPr>
        <w:t xml:space="preserve"> </w:t>
      </w:r>
      <w:r w:rsidR="009041E6">
        <w:rPr>
          <w:b/>
        </w:rPr>
        <w:t>государственных</w:t>
      </w:r>
      <w:r w:rsidR="004E2F73" w:rsidRPr="00D10EA3">
        <w:rPr>
          <w:b/>
        </w:rPr>
        <w:t xml:space="preserve"> программ</w:t>
      </w:r>
    </w:p>
    <w:p w:rsidR="004E2F73" w:rsidRDefault="009041E6" w:rsidP="004E2F73">
      <w:pPr>
        <w:jc w:val="center"/>
        <w:rPr>
          <w:b/>
        </w:rPr>
      </w:pPr>
      <w:r>
        <w:rPr>
          <w:b/>
        </w:rPr>
        <w:t>Волгоградской области</w:t>
      </w:r>
      <w:r w:rsidR="004E2F73" w:rsidRPr="00D10EA3">
        <w:rPr>
          <w:b/>
        </w:rPr>
        <w:t xml:space="preserve">, </w:t>
      </w:r>
      <w:r w:rsidR="00282C18">
        <w:rPr>
          <w:b/>
        </w:rPr>
        <w:t xml:space="preserve">реализация которых осуществлялась в </w:t>
      </w:r>
      <w:r w:rsidR="004E2F73" w:rsidRPr="00D10EA3">
        <w:rPr>
          <w:b/>
        </w:rPr>
        <w:t>20</w:t>
      </w:r>
      <w:r w:rsidR="002732C4">
        <w:rPr>
          <w:b/>
        </w:rPr>
        <w:t>1</w:t>
      </w:r>
      <w:r w:rsidR="00B21F9C">
        <w:rPr>
          <w:b/>
        </w:rPr>
        <w:t>7</w:t>
      </w:r>
      <w:r w:rsidR="004E2F73" w:rsidRPr="00D10EA3">
        <w:rPr>
          <w:b/>
        </w:rPr>
        <w:t xml:space="preserve"> году. </w:t>
      </w:r>
    </w:p>
    <w:p w:rsidR="007337AC" w:rsidRDefault="007337AC" w:rsidP="004E2F73">
      <w:pPr>
        <w:jc w:val="center"/>
        <w:rPr>
          <w:b/>
        </w:rPr>
      </w:pPr>
    </w:p>
    <w:p w:rsidR="00E83A0D" w:rsidRPr="00F94967" w:rsidRDefault="00E83A0D" w:rsidP="00E83A0D">
      <w:pPr>
        <w:ind w:firstLine="709"/>
        <w:jc w:val="both"/>
        <w:rPr>
          <w:szCs w:val="24"/>
        </w:rPr>
      </w:pPr>
      <w:r w:rsidRPr="00F94967">
        <w:rPr>
          <w:szCs w:val="24"/>
        </w:rPr>
        <w:t>Первоначально закон об областном бюджете на 201</w:t>
      </w:r>
      <w:r>
        <w:rPr>
          <w:szCs w:val="24"/>
        </w:rPr>
        <w:t>7</w:t>
      </w:r>
      <w:r w:rsidRPr="00F94967">
        <w:rPr>
          <w:szCs w:val="24"/>
        </w:rPr>
        <w:t>-201</w:t>
      </w:r>
      <w:r>
        <w:rPr>
          <w:szCs w:val="24"/>
        </w:rPr>
        <w:t>9</w:t>
      </w:r>
      <w:r w:rsidRPr="00F94967">
        <w:rPr>
          <w:szCs w:val="24"/>
        </w:rPr>
        <w:t xml:space="preserve"> годы был принят с перечнем из </w:t>
      </w:r>
      <w:r>
        <w:rPr>
          <w:szCs w:val="24"/>
        </w:rPr>
        <w:t>27</w:t>
      </w:r>
      <w:r w:rsidRPr="00F94967">
        <w:rPr>
          <w:szCs w:val="24"/>
        </w:rPr>
        <w:t xml:space="preserve"> госпрограмм с объемом ассигнований на </w:t>
      </w:r>
      <w:r>
        <w:rPr>
          <w:szCs w:val="24"/>
        </w:rPr>
        <w:t xml:space="preserve"> 66802,3</w:t>
      </w:r>
      <w:r w:rsidRPr="00F94967">
        <w:rPr>
          <w:szCs w:val="24"/>
        </w:rPr>
        <w:t xml:space="preserve"> млн. рублей. В течение года изменения в перечень вносились </w:t>
      </w:r>
      <w:r>
        <w:rPr>
          <w:szCs w:val="24"/>
        </w:rPr>
        <w:t>5</w:t>
      </w:r>
      <w:r w:rsidRPr="00F94967">
        <w:rPr>
          <w:szCs w:val="24"/>
        </w:rPr>
        <w:t xml:space="preserve"> раз, в результате в окончательной редакции закона о бюджете ассигнования на реализацию </w:t>
      </w:r>
      <w:r>
        <w:rPr>
          <w:szCs w:val="24"/>
        </w:rPr>
        <w:t xml:space="preserve">того же количества </w:t>
      </w:r>
      <w:r w:rsidRPr="00F94967">
        <w:rPr>
          <w:szCs w:val="24"/>
        </w:rPr>
        <w:t xml:space="preserve">программ составили </w:t>
      </w:r>
      <w:r>
        <w:rPr>
          <w:szCs w:val="24"/>
        </w:rPr>
        <w:t>80611,7</w:t>
      </w:r>
      <w:r w:rsidRPr="00F94967">
        <w:rPr>
          <w:szCs w:val="24"/>
        </w:rPr>
        <w:t xml:space="preserve"> млн. руб., что на </w:t>
      </w:r>
      <w:r>
        <w:rPr>
          <w:szCs w:val="24"/>
        </w:rPr>
        <w:t>13809,4</w:t>
      </w:r>
      <w:r w:rsidRPr="00F94967">
        <w:rPr>
          <w:szCs w:val="24"/>
        </w:rPr>
        <w:t xml:space="preserve"> млн. руб., или на 20,</w:t>
      </w:r>
      <w:r>
        <w:rPr>
          <w:szCs w:val="24"/>
        </w:rPr>
        <w:t>7</w:t>
      </w:r>
      <w:r w:rsidRPr="00F94967">
        <w:rPr>
          <w:szCs w:val="24"/>
        </w:rPr>
        <w:t>% больше первоначального показателя.</w:t>
      </w:r>
    </w:p>
    <w:p w:rsidR="00E83A0D" w:rsidRPr="00F94967" w:rsidRDefault="00E83A0D" w:rsidP="00E83A0D">
      <w:pPr>
        <w:ind w:firstLine="708"/>
        <w:jc w:val="both"/>
      </w:pPr>
      <w:r w:rsidRPr="00F94967">
        <w:rPr>
          <w:szCs w:val="24"/>
        </w:rPr>
        <w:t>В целом все госпрограммы профинансированы в 201</w:t>
      </w:r>
      <w:r>
        <w:rPr>
          <w:szCs w:val="24"/>
        </w:rPr>
        <w:t>7</w:t>
      </w:r>
      <w:r w:rsidRPr="00F94967">
        <w:rPr>
          <w:szCs w:val="24"/>
        </w:rPr>
        <w:t xml:space="preserve"> году на 7</w:t>
      </w:r>
      <w:r>
        <w:rPr>
          <w:szCs w:val="24"/>
        </w:rPr>
        <w:t>9064</w:t>
      </w:r>
      <w:r w:rsidRPr="00F94967">
        <w:rPr>
          <w:szCs w:val="24"/>
        </w:rPr>
        <w:t xml:space="preserve"> млн. руб., или на </w:t>
      </w:r>
      <w:r>
        <w:rPr>
          <w:szCs w:val="24"/>
        </w:rPr>
        <w:t>98,1</w:t>
      </w:r>
      <w:r w:rsidRPr="00F94967">
        <w:rPr>
          <w:szCs w:val="24"/>
        </w:rPr>
        <w:t>% от уточненного бюджетного показателя.</w:t>
      </w:r>
      <w:r w:rsidRPr="00F94967">
        <w:t xml:space="preserve"> Доля расходов на реализацию госпрограмм в общих расходах областного бюджета составила 91,</w:t>
      </w:r>
      <w:r>
        <w:t>3</w:t>
      </w:r>
      <w:r w:rsidRPr="00F94967">
        <w:t xml:space="preserve"> процента. </w:t>
      </w:r>
    </w:p>
    <w:p w:rsidR="00E83A0D" w:rsidRDefault="00E83A0D" w:rsidP="00E83A0D">
      <w:pPr>
        <w:autoSpaceDE w:val="0"/>
        <w:autoSpaceDN w:val="0"/>
        <w:adjustRightInd w:val="0"/>
        <w:ind w:firstLine="709"/>
        <w:jc w:val="both"/>
      </w:pPr>
      <w:r w:rsidRPr="008665AD">
        <w:t>Пунктом 3.1. Порядка разработки, реализации и оценки эффективности реализации государственных программ Волгоградской области, утвержденного постановлением  Администрации Волгоградской области от 27</w:t>
      </w:r>
      <w:r>
        <w:t>.08.</w:t>
      </w:r>
      <w:r w:rsidRPr="008665AD">
        <w:t>2013 №423-п (далее</w:t>
      </w:r>
      <w:r>
        <w:t xml:space="preserve"> </w:t>
      </w:r>
      <w:r w:rsidRPr="008665AD">
        <w:t>Порядок №423-п)</w:t>
      </w:r>
      <w:r>
        <w:t>,</w:t>
      </w:r>
      <w:r w:rsidRPr="008665AD">
        <w:t xml:space="preserve"> определено, что разработка государственных программ осуществляется на основании перечня государственных программ Волгоградской области</w:t>
      </w:r>
      <w:r>
        <w:t>.</w:t>
      </w:r>
    </w:p>
    <w:p w:rsidR="00E83A0D" w:rsidRPr="008665AD" w:rsidRDefault="00E83A0D" w:rsidP="00E83A0D">
      <w:pPr>
        <w:ind w:firstLine="709"/>
        <w:jc w:val="both"/>
      </w:pPr>
      <w:r w:rsidRPr="008665AD">
        <w:t>Постановлением Администрации Волгоградской области  от 14</w:t>
      </w:r>
      <w:r>
        <w:t>.10.</w:t>
      </w:r>
      <w:r w:rsidRPr="008665AD">
        <w:t>2015 № 621-п был утвержден Перечень государственных программ Волгоградской области (далее Перечень), который являлся основанием для разработки с 2017 года 30 государственных программ.</w:t>
      </w:r>
    </w:p>
    <w:p w:rsidR="00E83A0D" w:rsidRPr="00F94967" w:rsidRDefault="00E83A0D" w:rsidP="00E83A0D">
      <w:pPr>
        <w:autoSpaceDE w:val="0"/>
        <w:autoSpaceDN w:val="0"/>
        <w:adjustRightInd w:val="0"/>
        <w:ind w:firstLine="709"/>
        <w:jc w:val="both"/>
        <w:rPr>
          <w:szCs w:val="24"/>
        </w:rPr>
      </w:pPr>
      <w:r w:rsidRPr="00F94967">
        <w:rPr>
          <w:szCs w:val="24"/>
        </w:rPr>
        <w:lastRenderedPageBreak/>
        <w:t xml:space="preserve">В соответствии с пунктом 2 статьи 45 Закона Волгоградской области от 11.06.2008 №1694-ОД «О бюджетном процессе в Волгоградской области» одновременно с годовым отчетом об исполнении областного бюджета должен представляться </w:t>
      </w:r>
      <w:r>
        <w:rPr>
          <w:szCs w:val="24"/>
          <w:lang w:eastAsia="en-US"/>
        </w:rPr>
        <w:t>сводный годовой доклад о ходе реализации и об оценке эффективности государственных программ Волгоградской области (далее Доклад).</w:t>
      </w:r>
      <w:r w:rsidRPr="00F94967">
        <w:rPr>
          <w:szCs w:val="24"/>
        </w:rPr>
        <w:t xml:space="preserve"> </w:t>
      </w:r>
    </w:p>
    <w:p w:rsidR="00E83A0D" w:rsidRPr="001516AF" w:rsidRDefault="00E83A0D" w:rsidP="00E83A0D">
      <w:pPr>
        <w:ind w:firstLine="709"/>
        <w:jc w:val="both"/>
        <w:rPr>
          <w:szCs w:val="24"/>
        </w:rPr>
      </w:pPr>
      <w:r w:rsidRPr="0073694D">
        <w:rPr>
          <w:szCs w:val="24"/>
        </w:rPr>
        <w:t>Согласно представленному Докладу в течение 2017 года на территории Волгоградской области реализовывалось 29 государственных программ, по двум из которых финансирование на 2017 год не предусм</w:t>
      </w:r>
      <w:r>
        <w:rPr>
          <w:szCs w:val="24"/>
        </w:rPr>
        <w:t>атривалось</w:t>
      </w:r>
      <w:r w:rsidRPr="0073694D">
        <w:rPr>
          <w:szCs w:val="24"/>
        </w:rPr>
        <w:t>.</w:t>
      </w:r>
      <w:r>
        <w:rPr>
          <w:szCs w:val="24"/>
        </w:rPr>
        <w:t xml:space="preserve"> Не утверждена одна госпрограмма из Перечня – «</w:t>
      </w:r>
      <w:r w:rsidRPr="001516AF">
        <w:rPr>
          <w:szCs w:val="24"/>
        </w:rPr>
        <w:t>Развитие конкуренции в сфере потребительского рынка и легкой промышленности на территории Волгоградской области</w:t>
      </w:r>
      <w:r>
        <w:rPr>
          <w:szCs w:val="24"/>
        </w:rPr>
        <w:t>»</w:t>
      </w:r>
      <w:r w:rsidRPr="001516AF">
        <w:rPr>
          <w:szCs w:val="24"/>
        </w:rPr>
        <w:t xml:space="preserve"> (ответственный исполнитель</w:t>
      </w:r>
      <w:r>
        <w:rPr>
          <w:szCs w:val="24"/>
        </w:rPr>
        <w:t xml:space="preserve"> </w:t>
      </w:r>
      <w:r w:rsidRPr="001516AF">
        <w:rPr>
          <w:szCs w:val="24"/>
        </w:rPr>
        <w:t>– комитет промышленности и торговли Волгоградской области).</w:t>
      </w:r>
    </w:p>
    <w:p w:rsidR="00E83A0D" w:rsidRDefault="00E83A0D" w:rsidP="00E83A0D">
      <w:pPr>
        <w:ind w:firstLine="720"/>
        <w:jc w:val="both"/>
        <w:rPr>
          <w:szCs w:val="24"/>
        </w:rPr>
      </w:pPr>
      <w:r w:rsidRPr="00365E5B">
        <w:rPr>
          <w:szCs w:val="24"/>
        </w:rPr>
        <w:t xml:space="preserve">Общая сумма расходов согласно Докладу на реализацию государственных программ Волгоградской области в 2017 году </w:t>
      </w:r>
      <w:r w:rsidRPr="00365E5B">
        <w:rPr>
          <w:szCs w:val="24"/>
          <w:u w:val="single"/>
        </w:rPr>
        <w:t>за счет всех источников финансирования</w:t>
      </w:r>
      <w:r w:rsidRPr="00365E5B">
        <w:rPr>
          <w:szCs w:val="24"/>
        </w:rPr>
        <w:t xml:space="preserve"> составила 122377,1 млн. руб., что соответствует 95,</w:t>
      </w:r>
      <w:r>
        <w:rPr>
          <w:szCs w:val="24"/>
        </w:rPr>
        <w:t>6</w:t>
      </w:r>
      <w:r w:rsidRPr="00365E5B">
        <w:rPr>
          <w:szCs w:val="24"/>
        </w:rPr>
        <w:t>% финансовой потребности, определенной в самих программах. Структура фактических расходов и удовлетворения финансовой потребности госпрограмм в разрезе источников  финансирования представлена в таблице:</w:t>
      </w:r>
    </w:p>
    <w:p w:rsidR="00106021" w:rsidRPr="00106021" w:rsidRDefault="00106021" w:rsidP="00E83A0D">
      <w:pPr>
        <w:ind w:firstLine="720"/>
        <w:jc w:val="both"/>
        <w:rPr>
          <w:sz w:val="16"/>
          <w:szCs w:val="16"/>
        </w:rPr>
      </w:pPr>
    </w:p>
    <w:tbl>
      <w:tblPr>
        <w:tblW w:w="9503" w:type="dxa"/>
        <w:tblInd w:w="10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2699"/>
        <w:gridCol w:w="2126"/>
        <w:gridCol w:w="1843"/>
        <w:gridCol w:w="1275"/>
        <w:gridCol w:w="1560"/>
      </w:tblGrid>
      <w:tr w:rsidR="00E83A0D" w:rsidRPr="00F94967" w:rsidTr="00E83A0D">
        <w:trPr>
          <w:trHeight w:val="254"/>
        </w:trPr>
        <w:tc>
          <w:tcPr>
            <w:tcW w:w="2699" w:type="dxa"/>
            <w:shd w:val="clear" w:color="auto" w:fill="EAF1DD"/>
            <w:vAlign w:val="center"/>
            <w:hideMark/>
          </w:tcPr>
          <w:p w:rsidR="00E83A0D" w:rsidRPr="00106021" w:rsidRDefault="00E83A0D" w:rsidP="003F7D8B">
            <w:pPr>
              <w:jc w:val="center"/>
              <w:rPr>
                <w:bCs/>
                <w:color w:val="000000"/>
                <w:sz w:val="20"/>
              </w:rPr>
            </w:pPr>
            <w:r w:rsidRPr="00106021">
              <w:rPr>
                <w:bCs/>
                <w:color w:val="000000"/>
                <w:sz w:val="20"/>
              </w:rPr>
              <w:t>Источник финансирования государственной программы</w:t>
            </w:r>
          </w:p>
        </w:tc>
        <w:tc>
          <w:tcPr>
            <w:tcW w:w="2126" w:type="dxa"/>
            <w:shd w:val="clear" w:color="auto" w:fill="EAF1DD"/>
          </w:tcPr>
          <w:p w:rsidR="00E83A0D" w:rsidRPr="00106021" w:rsidRDefault="00E83A0D" w:rsidP="003F7D8B">
            <w:pPr>
              <w:jc w:val="center"/>
              <w:rPr>
                <w:bCs/>
                <w:color w:val="000000"/>
                <w:sz w:val="20"/>
              </w:rPr>
            </w:pPr>
            <w:r w:rsidRPr="00106021">
              <w:rPr>
                <w:bCs/>
                <w:color w:val="000000"/>
                <w:sz w:val="20"/>
              </w:rPr>
              <w:t>Предусмотрено государственными программами, млн. руб.</w:t>
            </w:r>
          </w:p>
        </w:tc>
        <w:tc>
          <w:tcPr>
            <w:tcW w:w="1843" w:type="dxa"/>
            <w:shd w:val="clear" w:color="auto" w:fill="EAF1DD"/>
            <w:vAlign w:val="center"/>
            <w:hideMark/>
          </w:tcPr>
          <w:p w:rsidR="00E83A0D" w:rsidRPr="00106021" w:rsidRDefault="00E83A0D" w:rsidP="003F7D8B">
            <w:pPr>
              <w:jc w:val="center"/>
              <w:rPr>
                <w:bCs/>
                <w:color w:val="000000"/>
                <w:sz w:val="20"/>
              </w:rPr>
            </w:pPr>
            <w:r w:rsidRPr="00106021">
              <w:rPr>
                <w:bCs/>
                <w:color w:val="000000"/>
                <w:sz w:val="20"/>
              </w:rPr>
              <w:t>Фактические расходы, млн. руб.</w:t>
            </w:r>
          </w:p>
        </w:tc>
        <w:tc>
          <w:tcPr>
            <w:tcW w:w="1275" w:type="dxa"/>
            <w:shd w:val="clear" w:color="auto" w:fill="EAF1DD"/>
            <w:vAlign w:val="center"/>
            <w:hideMark/>
          </w:tcPr>
          <w:p w:rsidR="00E83A0D" w:rsidRPr="00106021" w:rsidRDefault="00E83A0D" w:rsidP="003F7D8B">
            <w:pPr>
              <w:jc w:val="center"/>
              <w:rPr>
                <w:bCs/>
                <w:color w:val="000000"/>
                <w:sz w:val="20"/>
              </w:rPr>
            </w:pPr>
            <w:r w:rsidRPr="00106021">
              <w:rPr>
                <w:bCs/>
                <w:color w:val="000000"/>
                <w:sz w:val="20"/>
              </w:rPr>
              <w:t xml:space="preserve"> % исполнения</w:t>
            </w:r>
          </w:p>
        </w:tc>
        <w:tc>
          <w:tcPr>
            <w:tcW w:w="1560" w:type="dxa"/>
            <w:shd w:val="clear" w:color="auto" w:fill="EAF1DD"/>
          </w:tcPr>
          <w:p w:rsidR="00E83A0D" w:rsidRPr="00106021" w:rsidRDefault="00E83A0D" w:rsidP="003F7D8B">
            <w:pPr>
              <w:jc w:val="center"/>
              <w:rPr>
                <w:bCs/>
                <w:color w:val="000000"/>
                <w:sz w:val="20"/>
              </w:rPr>
            </w:pPr>
            <w:r w:rsidRPr="00106021">
              <w:rPr>
                <w:bCs/>
                <w:color w:val="000000"/>
                <w:sz w:val="20"/>
              </w:rPr>
              <w:t>Доля факт</w:t>
            </w:r>
            <w:proofErr w:type="gramStart"/>
            <w:r w:rsidRPr="00106021">
              <w:rPr>
                <w:bCs/>
                <w:color w:val="000000"/>
                <w:sz w:val="20"/>
              </w:rPr>
              <w:t>.</w:t>
            </w:r>
            <w:proofErr w:type="gramEnd"/>
            <w:r w:rsidRPr="00106021">
              <w:rPr>
                <w:bCs/>
                <w:color w:val="000000"/>
                <w:sz w:val="20"/>
              </w:rPr>
              <w:t xml:space="preserve"> </w:t>
            </w:r>
            <w:proofErr w:type="gramStart"/>
            <w:r w:rsidRPr="00106021">
              <w:rPr>
                <w:bCs/>
                <w:color w:val="000000"/>
                <w:sz w:val="20"/>
              </w:rPr>
              <w:t>р</w:t>
            </w:r>
            <w:proofErr w:type="gramEnd"/>
            <w:r w:rsidRPr="00106021">
              <w:rPr>
                <w:bCs/>
                <w:color w:val="000000"/>
                <w:sz w:val="20"/>
              </w:rPr>
              <w:t>асходов в общем объеме, %</w:t>
            </w:r>
          </w:p>
        </w:tc>
      </w:tr>
      <w:tr w:rsidR="00E83A0D" w:rsidRPr="00E83A0D" w:rsidTr="00E83A0D">
        <w:trPr>
          <w:trHeight w:val="138"/>
        </w:trPr>
        <w:tc>
          <w:tcPr>
            <w:tcW w:w="2699" w:type="dxa"/>
            <w:shd w:val="clear" w:color="auto" w:fill="auto"/>
            <w:vAlign w:val="bottom"/>
            <w:hideMark/>
          </w:tcPr>
          <w:p w:rsidR="00E83A0D" w:rsidRPr="00E83A0D" w:rsidRDefault="00E83A0D" w:rsidP="003F7D8B">
            <w:pPr>
              <w:rPr>
                <w:color w:val="000000"/>
                <w:sz w:val="20"/>
              </w:rPr>
            </w:pPr>
            <w:r w:rsidRPr="00E83A0D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2126" w:type="dxa"/>
            <w:vAlign w:val="center"/>
          </w:tcPr>
          <w:p w:rsidR="00E83A0D" w:rsidRPr="00E83A0D" w:rsidRDefault="00E83A0D" w:rsidP="003F7D8B">
            <w:pPr>
              <w:jc w:val="center"/>
              <w:rPr>
                <w:color w:val="000000"/>
                <w:sz w:val="20"/>
              </w:rPr>
            </w:pPr>
            <w:r w:rsidRPr="00E83A0D">
              <w:rPr>
                <w:color w:val="000000"/>
                <w:sz w:val="20"/>
              </w:rPr>
              <w:t xml:space="preserve">65 672,8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83A0D" w:rsidRPr="00E83A0D" w:rsidRDefault="00E83A0D" w:rsidP="003F7D8B">
            <w:pPr>
              <w:jc w:val="center"/>
              <w:rPr>
                <w:color w:val="000000"/>
                <w:sz w:val="20"/>
              </w:rPr>
            </w:pPr>
            <w:r w:rsidRPr="00E83A0D">
              <w:rPr>
                <w:color w:val="000000"/>
                <w:sz w:val="20"/>
              </w:rPr>
              <w:t>63 917,3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83A0D" w:rsidRPr="00E83A0D" w:rsidRDefault="00E83A0D" w:rsidP="003F7D8B">
            <w:pPr>
              <w:jc w:val="center"/>
              <w:rPr>
                <w:color w:val="000000"/>
                <w:sz w:val="20"/>
              </w:rPr>
            </w:pPr>
            <w:r w:rsidRPr="00E83A0D">
              <w:rPr>
                <w:color w:val="000000"/>
                <w:sz w:val="20"/>
              </w:rPr>
              <w:t>97,3</w:t>
            </w:r>
          </w:p>
        </w:tc>
        <w:tc>
          <w:tcPr>
            <w:tcW w:w="1560" w:type="dxa"/>
          </w:tcPr>
          <w:p w:rsidR="00E83A0D" w:rsidRPr="00E83A0D" w:rsidRDefault="00E83A0D" w:rsidP="003F7D8B">
            <w:pPr>
              <w:jc w:val="center"/>
              <w:rPr>
                <w:color w:val="000000"/>
                <w:sz w:val="20"/>
              </w:rPr>
            </w:pPr>
            <w:r w:rsidRPr="00E83A0D">
              <w:rPr>
                <w:color w:val="000000"/>
                <w:sz w:val="20"/>
              </w:rPr>
              <w:t>52,2</w:t>
            </w:r>
          </w:p>
        </w:tc>
      </w:tr>
      <w:tr w:rsidR="00E83A0D" w:rsidRPr="00E83A0D" w:rsidTr="00E83A0D">
        <w:trPr>
          <w:trHeight w:val="254"/>
        </w:trPr>
        <w:tc>
          <w:tcPr>
            <w:tcW w:w="2699" w:type="dxa"/>
            <w:shd w:val="clear" w:color="auto" w:fill="auto"/>
            <w:vAlign w:val="bottom"/>
            <w:hideMark/>
          </w:tcPr>
          <w:p w:rsidR="00E83A0D" w:rsidRPr="00E83A0D" w:rsidRDefault="00E83A0D" w:rsidP="003F7D8B">
            <w:pPr>
              <w:rPr>
                <w:color w:val="000000"/>
                <w:sz w:val="20"/>
              </w:rPr>
            </w:pPr>
            <w:r w:rsidRPr="00E83A0D">
              <w:rPr>
                <w:color w:val="000000"/>
                <w:sz w:val="20"/>
              </w:rPr>
              <w:t>Внебюджетные источники</w:t>
            </w:r>
          </w:p>
        </w:tc>
        <w:tc>
          <w:tcPr>
            <w:tcW w:w="2126" w:type="dxa"/>
            <w:vAlign w:val="center"/>
          </w:tcPr>
          <w:p w:rsidR="00E83A0D" w:rsidRPr="00E83A0D" w:rsidRDefault="00E83A0D" w:rsidP="003F7D8B">
            <w:pPr>
              <w:jc w:val="center"/>
              <w:rPr>
                <w:color w:val="000000"/>
                <w:sz w:val="20"/>
              </w:rPr>
            </w:pPr>
            <w:r w:rsidRPr="00E83A0D">
              <w:rPr>
                <w:color w:val="000000"/>
                <w:sz w:val="20"/>
              </w:rPr>
              <w:t xml:space="preserve"> 46 835,8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83A0D" w:rsidRPr="00E83A0D" w:rsidRDefault="00E83A0D" w:rsidP="003F7D8B">
            <w:pPr>
              <w:jc w:val="center"/>
              <w:rPr>
                <w:color w:val="000000"/>
                <w:sz w:val="20"/>
              </w:rPr>
            </w:pPr>
            <w:r w:rsidRPr="00E83A0D">
              <w:rPr>
                <w:color w:val="000000"/>
                <w:sz w:val="20"/>
              </w:rPr>
              <w:t>42 995,6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83A0D" w:rsidRPr="00E83A0D" w:rsidRDefault="00E83A0D" w:rsidP="003F7D8B">
            <w:pPr>
              <w:jc w:val="center"/>
              <w:rPr>
                <w:color w:val="000000"/>
                <w:sz w:val="20"/>
              </w:rPr>
            </w:pPr>
            <w:r w:rsidRPr="00E83A0D">
              <w:rPr>
                <w:color w:val="000000"/>
                <w:sz w:val="20"/>
              </w:rPr>
              <w:t>91,8</w:t>
            </w:r>
          </w:p>
        </w:tc>
        <w:tc>
          <w:tcPr>
            <w:tcW w:w="1560" w:type="dxa"/>
            <w:vAlign w:val="center"/>
          </w:tcPr>
          <w:p w:rsidR="00E83A0D" w:rsidRPr="00E83A0D" w:rsidRDefault="00E83A0D" w:rsidP="003F7D8B">
            <w:pPr>
              <w:jc w:val="center"/>
              <w:rPr>
                <w:color w:val="000000"/>
                <w:sz w:val="20"/>
              </w:rPr>
            </w:pPr>
            <w:r w:rsidRPr="00E83A0D">
              <w:rPr>
                <w:color w:val="000000"/>
                <w:sz w:val="20"/>
              </w:rPr>
              <w:t>35,1</w:t>
            </w:r>
          </w:p>
        </w:tc>
      </w:tr>
      <w:tr w:rsidR="00E83A0D" w:rsidRPr="00E83A0D" w:rsidTr="00E83A0D">
        <w:trPr>
          <w:trHeight w:val="134"/>
        </w:trPr>
        <w:tc>
          <w:tcPr>
            <w:tcW w:w="2699" w:type="dxa"/>
            <w:shd w:val="clear" w:color="auto" w:fill="auto"/>
            <w:vAlign w:val="bottom"/>
            <w:hideMark/>
          </w:tcPr>
          <w:p w:rsidR="00E83A0D" w:rsidRPr="00E83A0D" w:rsidRDefault="00E83A0D" w:rsidP="003F7D8B">
            <w:pPr>
              <w:rPr>
                <w:color w:val="000000"/>
                <w:sz w:val="20"/>
              </w:rPr>
            </w:pPr>
            <w:r w:rsidRPr="00E83A0D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2126" w:type="dxa"/>
            <w:vAlign w:val="center"/>
          </w:tcPr>
          <w:p w:rsidR="00E83A0D" w:rsidRPr="00E83A0D" w:rsidRDefault="00E83A0D" w:rsidP="003F7D8B">
            <w:pPr>
              <w:jc w:val="center"/>
              <w:rPr>
                <w:color w:val="000000"/>
                <w:sz w:val="20"/>
              </w:rPr>
            </w:pPr>
            <w:r w:rsidRPr="00E83A0D">
              <w:rPr>
                <w:color w:val="000000"/>
                <w:sz w:val="20"/>
              </w:rPr>
              <w:t xml:space="preserve">15 006,5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83A0D" w:rsidRPr="00E83A0D" w:rsidRDefault="00E83A0D" w:rsidP="003F7D8B">
            <w:pPr>
              <w:jc w:val="center"/>
              <w:rPr>
                <w:color w:val="000000"/>
                <w:sz w:val="20"/>
              </w:rPr>
            </w:pPr>
            <w:r w:rsidRPr="00E83A0D">
              <w:rPr>
                <w:color w:val="000000"/>
                <w:sz w:val="20"/>
              </w:rPr>
              <w:t>15 146,7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83A0D" w:rsidRPr="00E83A0D" w:rsidRDefault="00E83A0D" w:rsidP="003F7D8B">
            <w:pPr>
              <w:jc w:val="center"/>
              <w:rPr>
                <w:color w:val="000000"/>
                <w:sz w:val="20"/>
              </w:rPr>
            </w:pPr>
            <w:r w:rsidRPr="00E83A0D">
              <w:rPr>
                <w:color w:val="000000"/>
                <w:sz w:val="20"/>
              </w:rPr>
              <w:t>100,9</w:t>
            </w:r>
          </w:p>
        </w:tc>
        <w:tc>
          <w:tcPr>
            <w:tcW w:w="1560" w:type="dxa"/>
          </w:tcPr>
          <w:p w:rsidR="00E83A0D" w:rsidRPr="00E83A0D" w:rsidRDefault="00E83A0D" w:rsidP="003F7D8B">
            <w:pPr>
              <w:jc w:val="center"/>
              <w:rPr>
                <w:color w:val="000000"/>
                <w:sz w:val="20"/>
              </w:rPr>
            </w:pPr>
            <w:r w:rsidRPr="00E83A0D">
              <w:rPr>
                <w:color w:val="000000"/>
                <w:sz w:val="20"/>
              </w:rPr>
              <w:t>12,4</w:t>
            </w:r>
          </w:p>
        </w:tc>
      </w:tr>
      <w:tr w:rsidR="00E83A0D" w:rsidRPr="00E83A0D" w:rsidTr="00E83A0D">
        <w:trPr>
          <w:trHeight w:val="141"/>
        </w:trPr>
        <w:tc>
          <w:tcPr>
            <w:tcW w:w="2699" w:type="dxa"/>
            <w:shd w:val="clear" w:color="auto" w:fill="auto"/>
            <w:vAlign w:val="bottom"/>
            <w:hideMark/>
          </w:tcPr>
          <w:p w:rsidR="00E83A0D" w:rsidRPr="00E83A0D" w:rsidRDefault="00E83A0D" w:rsidP="003F7D8B">
            <w:pPr>
              <w:rPr>
                <w:color w:val="000000"/>
                <w:sz w:val="20"/>
              </w:rPr>
            </w:pPr>
            <w:r w:rsidRPr="00E83A0D">
              <w:rPr>
                <w:color w:val="000000"/>
                <w:sz w:val="20"/>
              </w:rPr>
              <w:t>Местные бюджеты</w:t>
            </w:r>
          </w:p>
        </w:tc>
        <w:tc>
          <w:tcPr>
            <w:tcW w:w="2126" w:type="dxa"/>
            <w:vAlign w:val="center"/>
          </w:tcPr>
          <w:p w:rsidR="00E83A0D" w:rsidRPr="00E83A0D" w:rsidRDefault="00E83A0D" w:rsidP="003F7D8B">
            <w:pPr>
              <w:jc w:val="center"/>
              <w:rPr>
                <w:color w:val="000000"/>
                <w:sz w:val="20"/>
              </w:rPr>
            </w:pPr>
            <w:r w:rsidRPr="00E83A0D">
              <w:rPr>
                <w:color w:val="000000"/>
                <w:sz w:val="20"/>
              </w:rPr>
              <w:t>398,9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83A0D" w:rsidRPr="00E83A0D" w:rsidRDefault="00E83A0D" w:rsidP="003F7D8B">
            <w:pPr>
              <w:jc w:val="center"/>
              <w:rPr>
                <w:color w:val="000000"/>
                <w:sz w:val="20"/>
              </w:rPr>
            </w:pPr>
            <w:r w:rsidRPr="00E83A0D">
              <w:rPr>
                <w:color w:val="000000"/>
                <w:sz w:val="20"/>
              </w:rPr>
              <w:t>317,5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83A0D" w:rsidRPr="00E83A0D" w:rsidRDefault="00E83A0D" w:rsidP="003F7D8B">
            <w:pPr>
              <w:jc w:val="center"/>
              <w:rPr>
                <w:color w:val="000000"/>
                <w:sz w:val="20"/>
              </w:rPr>
            </w:pPr>
            <w:r w:rsidRPr="00E83A0D">
              <w:rPr>
                <w:color w:val="000000"/>
                <w:sz w:val="20"/>
              </w:rPr>
              <w:t>79,6</w:t>
            </w:r>
          </w:p>
        </w:tc>
        <w:tc>
          <w:tcPr>
            <w:tcW w:w="1560" w:type="dxa"/>
          </w:tcPr>
          <w:p w:rsidR="00E83A0D" w:rsidRPr="00E83A0D" w:rsidRDefault="00E83A0D" w:rsidP="003F7D8B">
            <w:pPr>
              <w:jc w:val="center"/>
              <w:rPr>
                <w:color w:val="000000"/>
                <w:sz w:val="20"/>
              </w:rPr>
            </w:pPr>
            <w:r w:rsidRPr="00E83A0D">
              <w:rPr>
                <w:color w:val="000000"/>
                <w:sz w:val="20"/>
              </w:rPr>
              <w:t>0,3</w:t>
            </w:r>
          </w:p>
        </w:tc>
      </w:tr>
      <w:tr w:rsidR="00E83A0D" w:rsidRPr="00E83A0D" w:rsidTr="00E83A0D">
        <w:trPr>
          <w:trHeight w:val="145"/>
        </w:trPr>
        <w:tc>
          <w:tcPr>
            <w:tcW w:w="2699" w:type="dxa"/>
            <w:shd w:val="clear" w:color="auto" w:fill="EAF1DD"/>
            <w:vAlign w:val="bottom"/>
            <w:hideMark/>
          </w:tcPr>
          <w:p w:rsidR="00E83A0D" w:rsidRPr="00E83A0D" w:rsidRDefault="00E83A0D" w:rsidP="003F7D8B">
            <w:pPr>
              <w:rPr>
                <w:b/>
                <w:bCs/>
                <w:color w:val="000000"/>
                <w:sz w:val="20"/>
              </w:rPr>
            </w:pPr>
            <w:r w:rsidRPr="00E83A0D">
              <w:rPr>
                <w:b/>
                <w:bCs/>
                <w:color w:val="000000"/>
                <w:sz w:val="20"/>
              </w:rPr>
              <w:t>ВСЕГО</w:t>
            </w:r>
          </w:p>
        </w:tc>
        <w:tc>
          <w:tcPr>
            <w:tcW w:w="2126" w:type="dxa"/>
            <w:shd w:val="clear" w:color="auto" w:fill="EAF1DD"/>
            <w:vAlign w:val="center"/>
          </w:tcPr>
          <w:p w:rsidR="00E83A0D" w:rsidRPr="00E83A0D" w:rsidRDefault="00E83A0D" w:rsidP="003F7D8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E83A0D">
              <w:rPr>
                <w:b/>
                <w:bCs/>
                <w:color w:val="000000"/>
                <w:sz w:val="20"/>
              </w:rPr>
              <w:t>127 914,0</w:t>
            </w:r>
          </w:p>
        </w:tc>
        <w:tc>
          <w:tcPr>
            <w:tcW w:w="1843" w:type="dxa"/>
            <w:shd w:val="clear" w:color="auto" w:fill="EAF1DD"/>
            <w:vAlign w:val="center"/>
            <w:hideMark/>
          </w:tcPr>
          <w:p w:rsidR="00E83A0D" w:rsidRPr="00E83A0D" w:rsidRDefault="00E83A0D" w:rsidP="003F7D8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E83A0D">
              <w:rPr>
                <w:b/>
                <w:bCs/>
                <w:color w:val="000000"/>
                <w:sz w:val="20"/>
              </w:rPr>
              <w:t>122 377,1</w:t>
            </w:r>
          </w:p>
        </w:tc>
        <w:tc>
          <w:tcPr>
            <w:tcW w:w="1275" w:type="dxa"/>
            <w:shd w:val="clear" w:color="auto" w:fill="EAF1DD"/>
            <w:noWrap/>
            <w:vAlign w:val="center"/>
            <w:hideMark/>
          </w:tcPr>
          <w:p w:rsidR="00E83A0D" w:rsidRPr="00E83A0D" w:rsidRDefault="00E83A0D" w:rsidP="003F7D8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E83A0D">
              <w:rPr>
                <w:b/>
                <w:bCs/>
                <w:color w:val="000000"/>
                <w:sz w:val="20"/>
              </w:rPr>
              <w:t>95,6</w:t>
            </w:r>
          </w:p>
        </w:tc>
        <w:tc>
          <w:tcPr>
            <w:tcW w:w="1560" w:type="dxa"/>
            <w:shd w:val="clear" w:color="auto" w:fill="EAF1DD"/>
          </w:tcPr>
          <w:p w:rsidR="00E83A0D" w:rsidRPr="00E83A0D" w:rsidRDefault="00E83A0D" w:rsidP="003F7D8B">
            <w:pPr>
              <w:jc w:val="center"/>
              <w:rPr>
                <w:b/>
                <w:color w:val="000000"/>
                <w:sz w:val="20"/>
              </w:rPr>
            </w:pPr>
            <w:r w:rsidRPr="00E83A0D">
              <w:rPr>
                <w:b/>
                <w:color w:val="000000"/>
                <w:sz w:val="20"/>
              </w:rPr>
              <w:t>100</w:t>
            </w:r>
          </w:p>
        </w:tc>
      </w:tr>
    </w:tbl>
    <w:p w:rsidR="00E83A0D" w:rsidRPr="00F94967" w:rsidRDefault="00E83A0D" w:rsidP="00E83A0D">
      <w:pPr>
        <w:ind w:firstLine="708"/>
        <w:jc w:val="both"/>
      </w:pPr>
    </w:p>
    <w:p w:rsidR="00E83A0D" w:rsidRPr="00F94967" w:rsidRDefault="00E83A0D" w:rsidP="00E83A0D">
      <w:pPr>
        <w:ind w:firstLine="708"/>
        <w:jc w:val="both"/>
        <w:rPr>
          <w:szCs w:val="24"/>
        </w:rPr>
      </w:pPr>
      <w:r>
        <w:rPr>
          <w:szCs w:val="24"/>
        </w:rPr>
        <w:t>Поряд</w:t>
      </w:r>
      <w:r w:rsidRPr="00F94967">
        <w:rPr>
          <w:szCs w:val="24"/>
        </w:rPr>
        <w:t>к</w:t>
      </w:r>
      <w:r>
        <w:rPr>
          <w:szCs w:val="24"/>
        </w:rPr>
        <w:t>ом</w:t>
      </w:r>
      <w:r w:rsidRPr="00F94967">
        <w:rPr>
          <w:szCs w:val="24"/>
        </w:rPr>
        <w:t xml:space="preserve"> №423-п определен механизм оценки эффективности </w:t>
      </w:r>
      <w:r w:rsidR="003721F9">
        <w:rPr>
          <w:szCs w:val="24"/>
        </w:rPr>
        <w:t xml:space="preserve">реализации </w:t>
      </w:r>
      <w:r w:rsidRPr="00F94967">
        <w:rPr>
          <w:szCs w:val="24"/>
        </w:rPr>
        <w:t xml:space="preserve">государственных программ. </w:t>
      </w:r>
    </w:p>
    <w:p w:rsidR="00E83A0D" w:rsidRPr="00F94967" w:rsidRDefault="00E83A0D" w:rsidP="00E83A0D">
      <w:pPr>
        <w:autoSpaceDE w:val="0"/>
        <w:autoSpaceDN w:val="0"/>
        <w:adjustRightInd w:val="0"/>
        <w:ind w:firstLine="709"/>
        <w:jc w:val="both"/>
        <w:rPr>
          <w:szCs w:val="24"/>
        </w:rPr>
      </w:pPr>
      <w:r w:rsidRPr="00F94967">
        <w:rPr>
          <w:szCs w:val="24"/>
        </w:rPr>
        <w:t xml:space="preserve">Согласно данным Доклада в отчетном году оценка эффективности реализации </w:t>
      </w:r>
      <w:r>
        <w:rPr>
          <w:szCs w:val="24"/>
        </w:rPr>
        <w:t>29</w:t>
      </w:r>
      <w:r w:rsidRPr="00F94967">
        <w:rPr>
          <w:szCs w:val="24"/>
        </w:rPr>
        <w:t xml:space="preserve"> государственных программ дала следующие результаты:</w:t>
      </w:r>
    </w:p>
    <w:p w:rsidR="00E83A0D" w:rsidRPr="00F94967" w:rsidRDefault="00E83A0D" w:rsidP="00E83A0D">
      <w:pPr>
        <w:autoSpaceDE w:val="0"/>
        <w:autoSpaceDN w:val="0"/>
        <w:adjustRightInd w:val="0"/>
        <w:ind w:firstLine="709"/>
        <w:jc w:val="both"/>
        <w:rPr>
          <w:szCs w:val="24"/>
        </w:rPr>
      </w:pPr>
      <w:r w:rsidRPr="00F94967">
        <w:rPr>
          <w:szCs w:val="24"/>
        </w:rPr>
        <w:t>-с высокой эффективностью реализации оценен</w:t>
      </w:r>
      <w:r w:rsidR="003721F9">
        <w:rPr>
          <w:szCs w:val="24"/>
        </w:rPr>
        <w:t>а</w:t>
      </w:r>
      <w:r w:rsidRPr="00F94967">
        <w:rPr>
          <w:szCs w:val="24"/>
        </w:rPr>
        <w:t xml:space="preserve"> 2</w:t>
      </w:r>
      <w:r>
        <w:rPr>
          <w:szCs w:val="24"/>
        </w:rPr>
        <w:t>1</w:t>
      </w:r>
      <w:r w:rsidRPr="00F94967">
        <w:rPr>
          <w:szCs w:val="24"/>
        </w:rPr>
        <w:t xml:space="preserve"> гос</w:t>
      </w:r>
      <w:r w:rsidR="003721F9">
        <w:rPr>
          <w:szCs w:val="24"/>
        </w:rPr>
        <w:t xml:space="preserve">ударственная </w:t>
      </w:r>
      <w:r w:rsidRPr="00F94967">
        <w:rPr>
          <w:szCs w:val="24"/>
        </w:rPr>
        <w:t>программ</w:t>
      </w:r>
      <w:r>
        <w:rPr>
          <w:szCs w:val="24"/>
        </w:rPr>
        <w:t>а</w:t>
      </w:r>
      <w:r w:rsidRPr="00F94967">
        <w:rPr>
          <w:szCs w:val="24"/>
        </w:rPr>
        <w:t xml:space="preserve"> (</w:t>
      </w:r>
      <w:r>
        <w:rPr>
          <w:szCs w:val="24"/>
        </w:rPr>
        <w:t>72,4</w:t>
      </w:r>
      <w:r w:rsidRPr="00F94967">
        <w:rPr>
          <w:szCs w:val="24"/>
        </w:rPr>
        <w:t>% от общего количества);</w:t>
      </w:r>
    </w:p>
    <w:p w:rsidR="003721F9" w:rsidRDefault="00E83A0D" w:rsidP="00E83A0D">
      <w:pPr>
        <w:autoSpaceDE w:val="0"/>
        <w:autoSpaceDN w:val="0"/>
        <w:adjustRightInd w:val="0"/>
        <w:ind w:firstLine="709"/>
        <w:jc w:val="both"/>
        <w:rPr>
          <w:szCs w:val="24"/>
        </w:rPr>
      </w:pPr>
      <w:r w:rsidRPr="00F94967">
        <w:rPr>
          <w:szCs w:val="24"/>
        </w:rPr>
        <w:t>-</w:t>
      </w:r>
      <w:r w:rsidR="003721F9">
        <w:rPr>
          <w:szCs w:val="24"/>
        </w:rPr>
        <w:t>со с</w:t>
      </w:r>
      <w:r w:rsidR="003721F9" w:rsidRPr="00F94967">
        <w:rPr>
          <w:szCs w:val="24"/>
        </w:rPr>
        <w:t>редней</w:t>
      </w:r>
      <w:r w:rsidR="003721F9">
        <w:rPr>
          <w:szCs w:val="24"/>
        </w:rPr>
        <w:t xml:space="preserve"> </w:t>
      </w:r>
      <w:r w:rsidR="003721F9" w:rsidRPr="00F94967">
        <w:rPr>
          <w:szCs w:val="24"/>
        </w:rPr>
        <w:t xml:space="preserve">эффективностью реализации </w:t>
      </w:r>
      <w:r w:rsidR="003721F9">
        <w:rPr>
          <w:szCs w:val="24"/>
        </w:rPr>
        <w:t>-</w:t>
      </w:r>
      <w:r>
        <w:rPr>
          <w:szCs w:val="24"/>
        </w:rPr>
        <w:t xml:space="preserve"> 4 госпрограммы </w:t>
      </w:r>
      <w:r w:rsidR="003721F9" w:rsidRPr="00F94967">
        <w:rPr>
          <w:szCs w:val="24"/>
        </w:rPr>
        <w:t>(13</w:t>
      </w:r>
      <w:r w:rsidR="003721F9">
        <w:rPr>
          <w:szCs w:val="24"/>
        </w:rPr>
        <w:t>,8%);</w:t>
      </w:r>
    </w:p>
    <w:p w:rsidR="00E83A0D" w:rsidRPr="00F94967" w:rsidRDefault="003721F9" w:rsidP="00E83A0D">
      <w:pPr>
        <w:autoSpaceDE w:val="0"/>
        <w:autoSpaceDN w:val="0"/>
        <w:adjustRightInd w:val="0"/>
        <w:ind w:firstLine="709"/>
        <w:jc w:val="both"/>
        <w:rPr>
          <w:szCs w:val="24"/>
        </w:rPr>
      </w:pPr>
      <w:r>
        <w:rPr>
          <w:szCs w:val="24"/>
        </w:rPr>
        <w:t>-</w:t>
      </w:r>
      <w:r w:rsidR="00E83A0D">
        <w:rPr>
          <w:szCs w:val="24"/>
        </w:rPr>
        <w:t>с удовлетворительной</w:t>
      </w:r>
      <w:r w:rsidR="00E83A0D" w:rsidRPr="00F94967">
        <w:rPr>
          <w:szCs w:val="24"/>
        </w:rPr>
        <w:t xml:space="preserve"> эффективностью реализации </w:t>
      </w:r>
      <w:r>
        <w:rPr>
          <w:szCs w:val="24"/>
        </w:rPr>
        <w:t xml:space="preserve">– 4 госпрограммы </w:t>
      </w:r>
      <w:r w:rsidR="00E83A0D" w:rsidRPr="00F94967">
        <w:rPr>
          <w:szCs w:val="24"/>
        </w:rPr>
        <w:t>(13</w:t>
      </w:r>
      <w:r w:rsidR="00E83A0D">
        <w:rPr>
          <w:szCs w:val="24"/>
        </w:rPr>
        <w:t>,8%).</w:t>
      </w:r>
    </w:p>
    <w:p w:rsidR="00963C56" w:rsidRDefault="00E83A0D" w:rsidP="00E83A0D">
      <w:pPr>
        <w:pStyle w:val="ConsPlusNormal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КСП</w:t>
      </w:r>
      <w:r w:rsidRPr="001F1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 сравнительный анализ уровня затрат на реализацию госпрограмм из всех источников финансирования (ресурсов) с оценкой эффективности реализации госпрограмм (</w:t>
      </w:r>
      <w:r w:rsidRPr="00963C5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приложение №</w:t>
      </w:r>
      <w:r w:rsidR="00A976A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4</w:t>
      </w:r>
      <w:r w:rsidRPr="001F1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 </w:t>
      </w:r>
    </w:p>
    <w:p w:rsidR="00E83A0D" w:rsidRPr="00963C56" w:rsidRDefault="00E83A0D" w:rsidP="00963C56">
      <w:pPr>
        <w:pStyle w:val="ConsPlusNormal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7C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и в предыдущий год</w:t>
      </w:r>
      <w:r w:rsidR="00963C5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1F1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сравнительный анализ данных Доклада показал как высокую эффективность программ при неполном финансировании, так и</w:t>
      </w:r>
      <w:r w:rsidR="00963C56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наоборот,</w:t>
      </w:r>
      <w:r w:rsidRPr="001F1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низкую эффективность при полном</w:t>
      </w:r>
      <w:r w:rsidR="00963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финансировании, т. е. </w:t>
      </w:r>
      <w:r w:rsidRPr="00963C56">
        <w:rPr>
          <w:rFonts w:ascii="Times New Roman" w:hAnsi="Times New Roman" w:cs="Times New Roman"/>
          <w:sz w:val="24"/>
          <w:szCs w:val="24"/>
        </w:rPr>
        <w:t xml:space="preserve">в очередной раз </w:t>
      </w:r>
      <w:r w:rsidRPr="00670984">
        <w:rPr>
          <w:rFonts w:ascii="Times New Roman" w:hAnsi="Times New Roman" w:cs="Times New Roman"/>
          <w:sz w:val="24"/>
          <w:szCs w:val="24"/>
          <w:u w:val="single"/>
        </w:rPr>
        <w:t xml:space="preserve">отмечается  дисбаланс между оценкой эффективности </w:t>
      </w:r>
      <w:r w:rsidR="00963C56" w:rsidRPr="00670984">
        <w:rPr>
          <w:rFonts w:ascii="Times New Roman" w:hAnsi="Times New Roman" w:cs="Times New Roman"/>
          <w:sz w:val="24"/>
          <w:szCs w:val="24"/>
          <w:u w:val="single"/>
        </w:rPr>
        <w:t xml:space="preserve">госпрограмм </w:t>
      </w:r>
      <w:r w:rsidRPr="00670984">
        <w:rPr>
          <w:rFonts w:ascii="Times New Roman" w:hAnsi="Times New Roman" w:cs="Times New Roman"/>
          <w:sz w:val="24"/>
          <w:szCs w:val="24"/>
          <w:u w:val="single"/>
        </w:rPr>
        <w:t>и уровнем</w:t>
      </w:r>
      <w:r w:rsidRPr="00963C5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63C56">
        <w:rPr>
          <w:rFonts w:ascii="Times New Roman" w:hAnsi="Times New Roman" w:cs="Times New Roman"/>
          <w:sz w:val="24"/>
          <w:szCs w:val="24"/>
          <w:u w:val="single"/>
        </w:rPr>
        <w:t xml:space="preserve">финансовых </w:t>
      </w:r>
      <w:r w:rsidRPr="00963C56">
        <w:rPr>
          <w:rFonts w:ascii="Times New Roman" w:hAnsi="Times New Roman" w:cs="Times New Roman"/>
          <w:sz w:val="24"/>
          <w:szCs w:val="24"/>
          <w:u w:val="single"/>
        </w:rPr>
        <w:t>затрат</w:t>
      </w:r>
      <w:r w:rsidR="00963C56">
        <w:rPr>
          <w:rFonts w:ascii="Times New Roman" w:hAnsi="Times New Roman" w:cs="Times New Roman"/>
          <w:sz w:val="24"/>
          <w:szCs w:val="24"/>
          <w:u w:val="single"/>
        </w:rPr>
        <w:t xml:space="preserve"> на их реализацию</w:t>
      </w:r>
      <w:r w:rsidRPr="00963C56">
        <w:rPr>
          <w:rFonts w:ascii="Times New Roman" w:hAnsi="Times New Roman" w:cs="Times New Roman"/>
          <w:sz w:val="24"/>
          <w:szCs w:val="24"/>
          <w:u w:val="single"/>
        </w:rPr>
        <w:t xml:space="preserve">, что </w:t>
      </w:r>
      <w:r w:rsidR="00963C56">
        <w:rPr>
          <w:rFonts w:ascii="Times New Roman" w:hAnsi="Times New Roman" w:cs="Times New Roman"/>
          <w:sz w:val="24"/>
          <w:szCs w:val="24"/>
          <w:u w:val="single"/>
        </w:rPr>
        <w:t>является</w:t>
      </w:r>
      <w:r w:rsidRPr="00963C56">
        <w:rPr>
          <w:rFonts w:ascii="Times New Roman" w:hAnsi="Times New Roman" w:cs="Times New Roman"/>
          <w:sz w:val="24"/>
          <w:szCs w:val="24"/>
          <w:u w:val="single"/>
        </w:rPr>
        <w:t xml:space="preserve"> свидетельство</w:t>
      </w:r>
      <w:r w:rsidR="00963C56">
        <w:rPr>
          <w:rFonts w:ascii="Times New Roman" w:hAnsi="Times New Roman" w:cs="Times New Roman"/>
          <w:sz w:val="24"/>
          <w:szCs w:val="24"/>
          <w:u w:val="single"/>
        </w:rPr>
        <w:t>м</w:t>
      </w:r>
      <w:r w:rsidRPr="00963C56">
        <w:rPr>
          <w:rFonts w:ascii="Times New Roman" w:hAnsi="Times New Roman" w:cs="Times New Roman"/>
          <w:sz w:val="24"/>
          <w:szCs w:val="24"/>
          <w:u w:val="single"/>
        </w:rPr>
        <w:t xml:space="preserve"> отсутствии </w:t>
      </w:r>
      <w:proofErr w:type="spellStart"/>
      <w:r w:rsidR="00963C56">
        <w:rPr>
          <w:rFonts w:ascii="Times New Roman" w:hAnsi="Times New Roman" w:cs="Times New Roman"/>
          <w:sz w:val="24"/>
          <w:szCs w:val="24"/>
          <w:u w:val="single"/>
        </w:rPr>
        <w:t>взаимо</w:t>
      </w:r>
      <w:r w:rsidRPr="00963C56">
        <w:rPr>
          <w:rFonts w:ascii="Times New Roman" w:hAnsi="Times New Roman" w:cs="Times New Roman"/>
          <w:sz w:val="24"/>
          <w:szCs w:val="24"/>
          <w:u w:val="single"/>
        </w:rPr>
        <w:t>увязки</w:t>
      </w:r>
      <w:proofErr w:type="spellEnd"/>
      <w:r w:rsidRPr="00963C56">
        <w:rPr>
          <w:rFonts w:ascii="Times New Roman" w:hAnsi="Times New Roman" w:cs="Times New Roman"/>
          <w:sz w:val="24"/>
          <w:szCs w:val="24"/>
          <w:u w:val="single"/>
        </w:rPr>
        <w:t xml:space="preserve"> ресурсов и результатов в </w:t>
      </w:r>
      <w:r w:rsidR="00963C56">
        <w:rPr>
          <w:rFonts w:ascii="Times New Roman" w:hAnsi="Times New Roman" w:cs="Times New Roman"/>
          <w:sz w:val="24"/>
          <w:szCs w:val="24"/>
          <w:u w:val="single"/>
        </w:rPr>
        <w:t>утвержденных гос</w:t>
      </w:r>
      <w:r w:rsidRPr="00963C56">
        <w:rPr>
          <w:rFonts w:ascii="Times New Roman" w:hAnsi="Times New Roman" w:cs="Times New Roman"/>
          <w:sz w:val="24"/>
          <w:szCs w:val="24"/>
          <w:u w:val="single"/>
        </w:rPr>
        <w:t>программах</w:t>
      </w:r>
      <w:r w:rsidRPr="00963C5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83A0D" w:rsidRDefault="00670984" w:rsidP="00E83A0D">
      <w:pPr>
        <w:autoSpaceDE w:val="0"/>
        <w:autoSpaceDN w:val="0"/>
        <w:adjustRightInd w:val="0"/>
        <w:ind w:firstLine="540"/>
        <w:jc w:val="both"/>
        <w:rPr>
          <w:szCs w:val="24"/>
          <w:lang w:eastAsia="en-US"/>
        </w:rPr>
      </w:pPr>
      <w:r>
        <w:rPr>
          <w:szCs w:val="24"/>
        </w:rPr>
        <w:tab/>
      </w:r>
      <w:r w:rsidR="00E83A0D">
        <w:rPr>
          <w:szCs w:val="24"/>
        </w:rPr>
        <w:t xml:space="preserve">При отсутствии в течение ряда лет финансирования из всех источников госпрограммы </w:t>
      </w:r>
      <w:r w:rsidR="00E83A0D" w:rsidRPr="007E0A87">
        <w:rPr>
          <w:szCs w:val="24"/>
        </w:rPr>
        <w:t>«Развитие промышленности Волгоградской области и повышение ее конкурентоспособности»</w:t>
      </w:r>
      <w:r w:rsidR="00E83A0D" w:rsidRPr="001070E7">
        <w:rPr>
          <w:szCs w:val="24"/>
        </w:rPr>
        <w:t xml:space="preserve"> </w:t>
      </w:r>
      <w:r w:rsidR="00E83A0D">
        <w:rPr>
          <w:szCs w:val="24"/>
        </w:rPr>
        <w:t>оценка эффективности е</w:t>
      </w:r>
      <w:r w:rsidR="0084170A">
        <w:rPr>
          <w:szCs w:val="24"/>
        </w:rPr>
        <w:t>е</w:t>
      </w:r>
      <w:r w:rsidR="00E83A0D">
        <w:rPr>
          <w:szCs w:val="24"/>
        </w:rPr>
        <w:t xml:space="preserve"> реализации составляет ежегодно не менее 100 процентов. </w:t>
      </w:r>
      <w:r w:rsidR="0084170A">
        <w:rPr>
          <w:szCs w:val="24"/>
        </w:rPr>
        <w:t xml:space="preserve">Вместе с тем </w:t>
      </w:r>
      <w:r w:rsidR="00E83A0D">
        <w:rPr>
          <w:szCs w:val="24"/>
        </w:rPr>
        <w:t>Порядком №423-п определено, что «</w:t>
      </w:r>
      <w:r w:rsidR="00E83A0D">
        <w:rPr>
          <w:szCs w:val="24"/>
          <w:lang w:eastAsia="en-US"/>
        </w:rPr>
        <w:t xml:space="preserve">эффективность реализации государственной программы (подпрограммы) </w:t>
      </w:r>
      <w:r w:rsidR="002103C5">
        <w:rPr>
          <w:szCs w:val="24"/>
          <w:lang w:eastAsia="en-US"/>
        </w:rPr>
        <w:t>-</w:t>
      </w:r>
      <w:r w:rsidR="00E83A0D">
        <w:rPr>
          <w:szCs w:val="24"/>
          <w:lang w:eastAsia="en-US"/>
        </w:rPr>
        <w:t xml:space="preserve"> </w:t>
      </w:r>
      <w:r w:rsidR="0084170A">
        <w:rPr>
          <w:szCs w:val="24"/>
          <w:lang w:eastAsia="en-US"/>
        </w:rPr>
        <w:t xml:space="preserve">это </w:t>
      </w:r>
      <w:r w:rsidR="00E83A0D" w:rsidRPr="0084170A">
        <w:rPr>
          <w:szCs w:val="24"/>
          <w:lang w:eastAsia="en-US"/>
        </w:rPr>
        <w:t>соотношение достигнутых целевых показателей и ресурсов,</w:t>
      </w:r>
      <w:r w:rsidR="00E83A0D">
        <w:rPr>
          <w:szCs w:val="24"/>
          <w:lang w:eastAsia="en-US"/>
        </w:rPr>
        <w:t xml:space="preserve"> затраченных на их достижение»</w:t>
      </w:r>
      <w:r w:rsidR="0084170A">
        <w:rPr>
          <w:szCs w:val="24"/>
          <w:lang w:eastAsia="en-US"/>
        </w:rPr>
        <w:t>.</w:t>
      </w:r>
      <w:r w:rsidR="00E83A0D">
        <w:rPr>
          <w:szCs w:val="24"/>
          <w:lang w:eastAsia="en-US"/>
        </w:rPr>
        <w:t xml:space="preserve"> </w:t>
      </w:r>
    </w:p>
    <w:p w:rsidR="00E83A0D" w:rsidRDefault="00E83A0D" w:rsidP="00E83A0D">
      <w:pPr>
        <w:pStyle w:val="ConsPlusNormal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Эффективность реализации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второй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не финансируемой в 2017 году госпрограммы «</w:t>
      </w:r>
      <w:r w:rsidRPr="00521F45">
        <w:rPr>
          <w:rFonts w:ascii="Times New Roman" w:hAnsi="Times New Roman" w:cs="Times New Roman"/>
          <w:sz w:val="24"/>
          <w:szCs w:val="24"/>
        </w:rPr>
        <w:t>Развитие и совершенствование системы территориального общественного самоуправления Волгоградской области на 2014-2018 годы</w:t>
      </w:r>
      <w:r>
        <w:rPr>
          <w:rFonts w:ascii="Times New Roman" w:hAnsi="Times New Roman" w:cs="Times New Roman"/>
          <w:sz w:val="24"/>
          <w:szCs w:val="24"/>
        </w:rPr>
        <w:t>» составила согласно Докладу 71,2 процента.</w:t>
      </w:r>
    </w:p>
    <w:p w:rsidR="00E83A0D" w:rsidRPr="005362FC" w:rsidRDefault="00514087" w:rsidP="00E83A0D">
      <w:pPr>
        <w:autoSpaceDE w:val="0"/>
        <w:autoSpaceDN w:val="0"/>
        <w:adjustRightInd w:val="0"/>
        <w:ind w:firstLine="709"/>
        <w:jc w:val="both"/>
        <w:rPr>
          <w:szCs w:val="24"/>
        </w:rPr>
      </w:pPr>
      <w:r>
        <w:rPr>
          <w:szCs w:val="24"/>
        </w:rPr>
        <w:lastRenderedPageBreak/>
        <w:t>В</w:t>
      </w:r>
      <w:r w:rsidR="00E83A0D" w:rsidRPr="005362FC">
        <w:rPr>
          <w:szCs w:val="24"/>
        </w:rPr>
        <w:t xml:space="preserve"> отчетном году утвержденными государственными программами было запланировано выполнение 633 мероприятий, из которых в полном объеме выполнены 574, средняя степень выполнения мероприятий – 90,7</w:t>
      </w:r>
      <w:r>
        <w:rPr>
          <w:szCs w:val="24"/>
        </w:rPr>
        <w:t xml:space="preserve"> процента</w:t>
      </w:r>
      <w:r w:rsidR="00E83A0D" w:rsidRPr="005362FC">
        <w:rPr>
          <w:szCs w:val="24"/>
        </w:rPr>
        <w:t>.</w:t>
      </w:r>
    </w:p>
    <w:p w:rsidR="00E83A0D" w:rsidRDefault="00E83A0D" w:rsidP="00E83A0D">
      <w:pPr>
        <w:pStyle w:val="ConsPlusNormal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</w:t>
      </w:r>
      <w:r w:rsidR="00514087">
        <w:rPr>
          <w:rFonts w:ascii="Times New Roman" w:hAnsi="Times New Roman" w:cs="Times New Roman"/>
          <w:sz w:val="24"/>
          <w:szCs w:val="24"/>
        </w:rPr>
        <w:t>ом</w:t>
      </w:r>
      <w:r>
        <w:rPr>
          <w:rFonts w:ascii="Times New Roman" w:hAnsi="Times New Roman" w:cs="Times New Roman"/>
          <w:sz w:val="24"/>
          <w:szCs w:val="24"/>
        </w:rPr>
        <w:t xml:space="preserve"> приложения 6 к Докладу «Сведения о достижении значений целевых показателей государственных программ Волгоградской области</w:t>
      </w:r>
      <w:r w:rsidR="002207EF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4087">
        <w:rPr>
          <w:rFonts w:ascii="Times New Roman" w:hAnsi="Times New Roman" w:cs="Times New Roman"/>
          <w:sz w:val="24"/>
          <w:szCs w:val="24"/>
        </w:rPr>
        <w:t>установлено</w:t>
      </w:r>
      <w:r>
        <w:rPr>
          <w:rFonts w:ascii="Times New Roman" w:hAnsi="Times New Roman" w:cs="Times New Roman"/>
          <w:sz w:val="24"/>
          <w:szCs w:val="24"/>
        </w:rPr>
        <w:t>, что по ряд</w:t>
      </w:r>
      <w:r w:rsidR="00514087">
        <w:rPr>
          <w:rFonts w:ascii="Times New Roman" w:hAnsi="Times New Roman" w:cs="Times New Roman"/>
          <w:sz w:val="24"/>
          <w:szCs w:val="24"/>
        </w:rPr>
        <w:t>у</w:t>
      </w:r>
      <w:r w:rsidR="002207EF">
        <w:rPr>
          <w:rFonts w:ascii="Times New Roman" w:hAnsi="Times New Roman" w:cs="Times New Roman"/>
          <w:sz w:val="24"/>
          <w:szCs w:val="24"/>
        </w:rPr>
        <w:t xml:space="preserve"> показателей</w:t>
      </w:r>
      <w:r>
        <w:rPr>
          <w:rFonts w:ascii="Times New Roman" w:hAnsi="Times New Roman" w:cs="Times New Roman"/>
          <w:sz w:val="24"/>
          <w:szCs w:val="24"/>
        </w:rPr>
        <w:t xml:space="preserve"> плановы</w:t>
      </w:r>
      <w:r w:rsidR="009A2557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207EF">
        <w:rPr>
          <w:rFonts w:ascii="Times New Roman" w:hAnsi="Times New Roman" w:cs="Times New Roman"/>
          <w:sz w:val="24"/>
          <w:szCs w:val="24"/>
        </w:rPr>
        <w:t>значения</w:t>
      </w:r>
      <w:r>
        <w:rPr>
          <w:rFonts w:ascii="Times New Roman" w:hAnsi="Times New Roman" w:cs="Times New Roman"/>
          <w:sz w:val="24"/>
          <w:szCs w:val="24"/>
        </w:rPr>
        <w:t xml:space="preserve"> 2017 года </w:t>
      </w:r>
      <w:r w:rsidR="009B2034">
        <w:rPr>
          <w:rFonts w:ascii="Times New Roman" w:hAnsi="Times New Roman" w:cs="Times New Roman"/>
          <w:sz w:val="24"/>
          <w:szCs w:val="24"/>
        </w:rPr>
        <w:t xml:space="preserve">ниже </w:t>
      </w:r>
      <w:r>
        <w:rPr>
          <w:rFonts w:ascii="Times New Roman" w:hAnsi="Times New Roman" w:cs="Times New Roman"/>
          <w:sz w:val="24"/>
          <w:szCs w:val="24"/>
        </w:rPr>
        <w:t>факт</w:t>
      </w:r>
      <w:r w:rsidR="009A2557">
        <w:rPr>
          <w:rFonts w:ascii="Times New Roman" w:hAnsi="Times New Roman" w:cs="Times New Roman"/>
          <w:sz w:val="24"/>
          <w:szCs w:val="24"/>
        </w:rPr>
        <w:t>ически сложивш</w:t>
      </w:r>
      <w:r w:rsidR="002207EF">
        <w:rPr>
          <w:rFonts w:ascii="Times New Roman" w:hAnsi="Times New Roman" w:cs="Times New Roman"/>
          <w:sz w:val="24"/>
          <w:szCs w:val="24"/>
        </w:rPr>
        <w:t>ихся</w:t>
      </w:r>
      <w:r w:rsidR="009B2034">
        <w:rPr>
          <w:rFonts w:ascii="Times New Roman" w:hAnsi="Times New Roman" w:cs="Times New Roman"/>
          <w:sz w:val="24"/>
          <w:szCs w:val="24"/>
        </w:rPr>
        <w:t xml:space="preserve"> за</w:t>
      </w:r>
      <w:r w:rsidR="009A25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2016 год</w:t>
      </w:r>
      <w:r w:rsidR="009A2557">
        <w:rPr>
          <w:rFonts w:ascii="Times New Roman" w:hAnsi="Times New Roman" w:cs="Times New Roman"/>
          <w:sz w:val="24"/>
          <w:szCs w:val="24"/>
        </w:rPr>
        <w:t>, что</w:t>
      </w:r>
      <w:r>
        <w:rPr>
          <w:rFonts w:ascii="Times New Roman" w:hAnsi="Times New Roman" w:cs="Times New Roman"/>
          <w:sz w:val="24"/>
          <w:szCs w:val="24"/>
        </w:rPr>
        <w:t xml:space="preserve"> может </w:t>
      </w:r>
      <w:r w:rsidR="009A2557">
        <w:rPr>
          <w:rFonts w:ascii="Times New Roman" w:hAnsi="Times New Roman" w:cs="Times New Roman"/>
          <w:sz w:val="24"/>
          <w:szCs w:val="24"/>
        </w:rPr>
        <w:t>свидетельствовать</w:t>
      </w:r>
      <w:r>
        <w:rPr>
          <w:rFonts w:ascii="Times New Roman" w:hAnsi="Times New Roman" w:cs="Times New Roman"/>
          <w:sz w:val="24"/>
          <w:szCs w:val="24"/>
        </w:rPr>
        <w:t xml:space="preserve"> о </w:t>
      </w:r>
      <w:r w:rsidR="009A2557">
        <w:rPr>
          <w:rFonts w:ascii="Times New Roman" w:hAnsi="Times New Roman" w:cs="Times New Roman"/>
          <w:sz w:val="24"/>
          <w:szCs w:val="24"/>
        </w:rPr>
        <w:t xml:space="preserve">необоснованном </w:t>
      </w:r>
      <w:r>
        <w:rPr>
          <w:rFonts w:ascii="Times New Roman" w:hAnsi="Times New Roman" w:cs="Times New Roman"/>
          <w:sz w:val="24"/>
          <w:szCs w:val="24"/>
        </w:rPr>
        <w:t xml:space="preserve">занижении плановых показателей с целью  </w:t>
      </w:r>
      <w:r w:rsidR="009A2557">
        <w:rPr>
          <w:rFonts w:ascii="Times New Roman" w:hAnsi="Times New Roman" w:cs="Times New Roman"/>
          <w:sz w:val="24"/>
          <w:szCs w:val="24"/>
        </w:rPr>
        <w:t xml:space="preserve">достижения более </w:t>
      </w:r>
      <w:r>
        <w:rPr>
          <w:rFonts w:ascii="Times New Roman" w:hAnsi="Times New Roman" w:cs="Times New Roman"/>
          <w:sz w:val="24"/>
          <w:szCs w:val="24"/>
        </w:rPr>
        <w:t>высокого результата и</w:t>
      </w:r>
      <w:r w:rsidR="009A2557">
        <w:rPr>
          <w:rFonts w:ascii="Times New Roman" w:hAnsi="Times New Roman" w:cs="Times New Roman"/>
          <w:sz w:val="24"/>
          <w:szCs w:val="24"/>
        </w:rPr>
        <w:t>х исполнения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2207EF">
        <w:rPr>
          <w:rFonts w:ascii="Times New Roman" w:hAnsi="Times New Roman" w:cs="Times New Roman"/>
          <w:sz w:val="24"/>
          <w:szCs w:val="24"/>
        </w:rPr>
        <w:t>Примеры таких случаев</w:t>
      </w:r>
      <w:r>
        <w:rPr>
          <w:rFonts w:ascii="Times New Roman" w:hAnsi="Times New Roman" w:cs="Times New Roman"/>
          <w:sz w:val="24"/>
          <w:szCs w:val="24"/>
        </w:rPr>
        <w:t xml:space="preserve"> приведены в </w:t>
      </w:r>
      <w:r w:rsidR="002207EF">
        <w:rPr>
          <w:rFonts w:ascii="Times New Roman" w:hAnsi="Times New Roman" w:cs="Times New Roman"/>
          <w:sz w:val="24"/>
          <w:szCs w:val="24"/>
        </w:rPr>
        <w:t xml:space="preserve">следующей </w:t>
      </w:r>
      <w:r>
        <w:rPr>
          <w:rFonts w:ascii="Times New Roman" w:hAnsi="Times New Roman" w:cs="Times New Roman"/>
          <w:sz w:val="24"/>
          <w:szCs w:val="24"/>
        </w:rPr>
        <w:t>таблице:</w:t>
      </w:r>
    </w:p>
    <w:p w:rsidR="00CA619F" w:rsidRDefault="00CA619F" w:rsidP="00E83A0D">
      <w:pPr>
        <w:pStyle w:val="ConsPlusNormal"/>
        <w:ind w:firstLine="705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11"/>
        <w:gridCol w:w="5485"/>
        <w:gridCol w:w="1086"/>
        <w:gridCol w:w="1087"/>
        <w:gridCol w:w="1087"/>
      </w:tblGrid>
      <w:tr w:rsidR="00E83A0D" w:rsidRPr="0040006F" w:rsidTr="002207EF">
        <w:trPr>
          <w:trHeight w:val="181"/>
        </w:trPr>
        <w:tc>
          <w:tcPr>
            <w:tcW w:w="611" w:type="dxa"/>
            <w:shd w:val="clear" w:color="auto" w:fill="FDE9D9"/>
          </w:tcPr>
          <w:p w:rsidR="00E83A0D" w:rsidRPr="002103C5" w:rsidRDefault="00E83A0D" w:rsidP="00E83A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2103C5">
              <w:rPr>
                <w:rFonts w:ascii="Times New Roman" w:hAnsi="Times New Roman" w:cs="Times New Roman"/>
                <w:b/>
                <w:i/>
              </w:rPr>
              <w:t xml:space="preserve">№ </w:t>
            </w:r>
            <w:proofErr w:type="spellStart"/>
            <w:proofErr w:type="gramStart"/>
            <w:r w:rsidRPr="002103C5">
              <w:rPr>
                <w:rFonts w:ascii="Times New Roman" w:hAnsi="Times New Roman" w:cs="Times New Roman"/>
                <w:b/>
                <w:i/>
              </w:rPr>
              <w:t>п</w:t>
            </w:r>
            <w:proofErr w:type="spellEnd"/>
            <w:proofErr w:type="gramEnd"/>
            <w:r w:rsidRPr="002103C5">
              <w:rPr>
                <w:rFonts w:ascii="Times New Roman" w:hAnsi="Times New Roman" w:cs="Times New Roman"/>
                <w:b/>
                <w:i/>
              </w:rPr>
              <w:t>/</w:t>
            </w:r>
            <w:proofErr w:type="spellStart"/>
            <w:r w:rsidRPr="002103C5">
              <w:rPr>
                <w:rFonts w:ascii="Times New Roman" w:hAnsi="Times New Roman" w:cs="Times New Roman"/>
                <w:b/>
                <w:i/>
              </w:rPr>
              <w:t>п</w:t>
            </w:r>
            <w:proofErr w:type="spellEnd"/>
          </w:p>
        </w:tc>
        <w:tc>
          <w:tcPr>
            <w:tcW w:w="5485" w:type="dxa"/>
            <w:shd w:val="clear" w:color="auto" w:fill="FDE9D9"/>
          </w:tcPr>
          <w:p w:rsidR="00E83A0D" w:rsidRPr="002103C5" w:rsidRDefault="00E83A0D" w:rsidP="00E83A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2103C5">
              <w:rPr>
                <w:rFonts w:ascii="Times New Roman" w:hAnsi="Times New Roman" w:cs="Times New Roman"/>
                <w:b/>
                <w:i/>
              </w:rPr>
              <w:t>Наименование показателя</w:t>
            </w:r>
          </w:p>
        </w:tc>
        <w:tc>
          <w:tcPr>
            <w:tcW w:w="1086" w:type="dxa"/>
            <w:shd w:val="clear" w:color="auto" w:fill="FDE9D9"/>
          </w:tcPr>
          <w:p w:rsidR="00E83A0D" w:rsidRPr="002103C5" w:rsidRDefault="00E83A0D" w:rsidP="00E83A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2103C5">
              <w:rPr>
                <w:rFonts w:ascii="Times New Roman" w:hAnsi="Times New Roman" w:cs="Times New Roman"/>
                <w:b/>
                <w:i/>
              </w:rPr>
              <w:t>Факт 2016 года</w:t>
            </w:r>
          </w:p>
        </w:tc>
        <w:tc>
          <w:tcPr>
            <w:tcW w:w="1087" w:type="dxa"/>
            <w:shd w:val="clear" w:color="auto" w:fill="FDE9D9"/>
          </w:tcPr>
          <w:p w:rsidR="00E83A0D" w:rsidRPr="002103C5" w:rsidRDefault="00E83A0D" w:rsidP="00E83A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2103C5">
              <w:rPr>
                <w:rFonts w:ascii="Times New Roman" w:hAnsi="Times New Roman" w:cs="Times New Roman"/>
                <w:b/>
                <w:i/>
              </w:rPr>
              <w:t>План 2017 года</w:t>
            </w:r>
          </w:p>
        </w:tc>
        <w:tc>
          <w:tcPr>
            <w:tcW w:w="1087" w:type="dxa"/>
            <w:shd w:val="clear" w:color="auto" w:fill="FDE9D9"/>
          </w:tcPr>
          <w:p w:rsidR="00E83A0D" w:rsidRPr="002103C5" w:rsidRDefault="00E83A0D" w:rsidP="00E83A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2103C5">
              <w:rPr>
                <w:rFonts w:ascii="Times New Roman" w:hAnsi="Times New Roman" w:cs="Times New Roman"/>
                <w:b/>
                <w:i/>
              </w:rPr>
              <w:t>Факт 2017 года</w:t>
            </w:r>
          </w:p>
        </w:tc>
      </w:tr>
      <w:tr w:rsidR="00E83A0D" w:rsidTr="002207EF">
        <w:trPr>
          <w:trHeight w:val="181"/>
        </w:trPr>
        <w:tc>
          <w:tcPr>
            <w:tcW w:w="611" w:type="dxa"/>
            <w:shd w:val="clear" w:color="auto" w:fill="EAF1DD"/>
          </w:tcPr>
          <w:p w:rsidR="00E83A0D" w:rsidRPr="00E83A0D" w:rsidRDefault="00E83A0D" w:rsidP="00E83A0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5" w:type="dxa"/>
            <w:gridSpan w:val="4"/>
            <w:shd w:val="clear" w:color="auto" w:fill="EAF1DD"/>
          </w:tcPr>
          <w:p w:rsidR="00E83A0D" w:rsidRPr="00E83A0D" w:rsidRDefault="00E83A0D" w:rsidP="00E83A0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E83A0D">
              <w:rPr>
                <w:rFonts w:ascii="Times New Roman" w:hAnsi="Times New Roman" w:cs="Times New Roman"/>
              </w:rPr>
              <w:t>ГП «Информационное общество»</w:t>
            </w:r>
          </w:p>
        </w:tc>
      </w:tr>
      <w:tr w:rsidR="00E83A0D" w:rsidTr="002207EF">
        <w:trPr>
          <w:trHeight w:val="181"/>
        </w:trPr>
        <w:tc>
          <w:tcPr>
            <w:tcW w:w="611" w:type="dxa"/>
          </w:tcPr>
          <w:p w:rsidR="00E83A0D" w:rsidRPr="002207EF" w:rsidRDefault="00E83A0D" w:rsidP="00E83A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207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85" w:type="dxa"/>
          </w:tcPr>
          <w:p w:rsidR="00E83A0D" w:rsidRPr="00E83A0D" w:rsidRDefault="00E83A0D" w:rsidP="00E83A0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E83A0D">
              <w:rPr>
                <w:rFonts w:ascii="Times New Roman" w:hAnsi="Times New Roman" w:cs="Times New Roman"/>
              </w:rPr>
              <w:t>Доля государственных и муниципальных услуг, которые можно получить в электронном виде, в общем объеме государственных и муниципальных услуг, информация о которых опубликована в государственной информационной системе "Региональный реестр государственных и муниципальных услуг (функций) Волгоградской области"</w:t>
            </w:r>
          </w:p>
        </w:tc>
        <w:tc>
          <w:tcPr>
            <w:tcW w:w="1086" w:type="dxa"/>
          </w:tcPr>
          <w:p w:rsidR="00E83A0D" w:rsidRPr="00173523" w:rsidRDefault="00E83A0D" w:rsidP="00E83A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3523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087" w:type="dxa"/>
          </w:tcPr>
          <w:p w:rsidR="00E83A0D" w:rsidRPr="00173523" w:rsidRDefault="00E83A0D" w:rsidP="00E83A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3523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087" w:type="dxa"/>
          </w:tcPr>
          <w:p w:rsidR="00E83A0D" w:rsidRPr="00173523" w:rsidRDefault="00E83A0D" w:rsidP="00E83A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3523">
              <w:rPr>
                <w:rFonts w:ascii="Times New Roman" w:hAnsi="Times New Roman" w:cs="Times New Roman"/>
              </w:rPr>
              <w:t>95</w:t>
            </w:r>
          </w:p>
        </w:tc>
      </w:tr>
      <w:tr w:rsidR="00E83A0D" w:rsidTr="002207EF">
        <w:trPr>
          <w:trHeight w:val="348"/>
        </w:trPr>
        <w:tc>
          <w:tcPr>
            <w:tcW w:w="611" w:type="dxa"/>
          </w:tcPr>
          <w:p w:rsidR="00E83A0D" w:rsidRPr="002207EF" w:rsidRDefault="00E83A0D" w:rsidP="00E83A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207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85" w:type="dxa"/>
          </w:tcPr>
          <w:p w:rsidR="00E83A0D" w:rsidRPr="00E83A0D" w:rsidRDefault="00E83A0D" w:rsidP="00E83A0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E83A0D">
              <w:rPr>
                <w:rFonts w:ascii="Times New Roman" w:hAnsi="Times New Roman" w:cs="Times New Roman"/>
              </w:rPr>
              <w:t>Доля электронного документооборота органов исполнительной власти Волгоградской области в общем объеме документооборота</w:t>
            </w:r>
          </w:p>
        </w:tc>
        <w:tc>
          <w:tcPr>
            <w:tcW w:w="1086" w:type="dxa"/>
          </w:tcPr>
          <w:p w:rsidR="00E83A0D" w:rsidRPr="00173523" w:rsidRDefault="00E83A0D" w:rsidP="00E83A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3523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087" w:type="dxa"/>
          </w:tcPr>
          <w:p w:rsidR="00E83A0D" w:rsidRPr="00173523" w:rsidRDefault="00E83A0D" w:rsidP="00E83A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3523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087" w:type="dxa"/>
          </w:tcPr>
          <w:p w:rsidR="00E83A0D" w:rsidRPr="00173523" w:rsidRDefault="00E83A0D" w:rsidP="00E83A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3523">
              <w:rPr>
                <w:rFonts w:ascii="Times New Roman" w:hAnsi="Times New Roman" w:cs="Times New Roman"/>
              </w:rPr>
              <w:t>85</w:t>
            </w:r>
          </w:p>
        </w:tc>
      </w:tr>
      <w:tr w:rsidR="00E83A0D" w:rsidTr="002207EF">
        <w:trPr>
          <w:trHeight w:val="348"/>
        </w:trPr>
        <w:tc>
          <w:tcPr>
            <w:tcW w:w="611" w:type="dxa"/>
            <w:shd w:val="clear" w:color="auto" w:fill="EAF1DD"/>
          </w:tcPr>
          <w:p w:rsidR="00E83A0D" w:rsidRPr="002207EF" w:rsidRDefault="00E83A0D" w:rsidP="00E83A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45" w:type="dxa"/>
            <w:gridSpan w:val="4"/>
            <w:shd w:val="clear" w:color="auto" w:fill="EAF1DD"/>
          </w:tcPr>
          <w:p w:rsidR="00E83A0D" w:rsidRPr="00173523" w:rsidRDefault="00E83A0D" w:rsidP="00E83A0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173523">
              <w:rPr>
                <w:rFonts w:ascii="Times New Roman" w:hAnsi="Times New Roman" w:cs="Times New Roman"/>
              </w:rPr>
              <w:t>ГП «Развитие сельского хозяйства и регулирование рынков сельскохозяйственной продукции, сырья и продовольствия»</w:t>
            </w:r>
          </w:p>
        </w:tc>
      </w:tr>
      <w:tr w:rsidR="00E83A0D" w:rsidTr="002207EF">
        <w:trPr>
          <w:trHeight w:val="348"/>
        </w:trPr>
        <w:tc>
          <w:tcPr>
            <w:tcW w:w="611" w:type="dxa"/>
          </w:tcPr>
          <w:p w:rsidR="00E83A0D" w:rsidRPr="002207EF" w:rsidRDefault="00E83A0D" w:rsidP="00E83A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207E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85" w:type="dxa"/>
          </w:tcPr>
          <w:p w:rsidR="00E83A0D" w:rsidRPr="00E83A0D" w:rsidRDefault="00E83A0D" w:rsidP="00E83A0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E83A0D">
              <w:rPr>
                <w:rFonts w:ascii="Times New Roman" w:hAnsi="Times New Roman" w:cs="Times New Roman"/>
              </w:rPr>
              <w:t xml:space="preserve">Индекс производства продукции сельского хозяйства в хозяйствах всех категорий (в сопоставимых ценах) </w:t>
            </w:r>
            <w:proofErr w:type="gramStart"/>
            <w:r w:rsidRPr="00E83A0D">
              <w:rPr>
                <w:rFonts w:ascii="Times New Roman" w:hAnsi="Times New Roman" w:cs="Times New Roman"/>
              </w:rPr>
              <w:t>в</w:t>
            </w:r>
            <w:proofErr w:type="gramEnd"/>
            <w:r w:rsidRPr="00E83A0D">
              <w:rPr>
                <w:rFonts w:ascii="Times New Roman" w:hAnsi="Times New Roman" w:cs="Times New Roman"/>
              </w:rPr>
              <w:t xml:space="preserve"> % </w:t>
            </w:r>
            <w:proofErr w:type="gramStart"/>
            <w:r w:rsidRPr="00E83A0D">
              <w:rPr>
                <w:rFonts w:ascii="Times New Roman" w:hAnsi="Times New Roman" w:cs="Times New Roman"/>
              </w:rPr>
              <w:t>к</w:t>
            </w:r>
            <w:proofErr w:type="gramEnd"/>
            <w:r w:rsidRPr="00E83A0D">
              <w:rPr>
                <w:rFonts w:ascii="Times New Roman" w:hAnsi="Times New Roman" w:cs="Times New Roman"/>
              </w:rPr>
              <w:t xml:space="preserve"> предыдущему году</w:t>
            </w:r>
          </w:p>
        </w:tc>
        <w:tc>
          <w:tcPr>
            <w:tcW w:w="1086" w:type="dxa"/>
          </w:tcPr>
          <w:p w:rsidR="00E83A0D" w:rsidRPr="00173523" w:rsidRDefault="00E83A0D" w:rsidP="00E83A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3523">
              <w:rPr>
                <w:rFonts w:ascii="Times New Roman" w:hAnsi="Times New Roman" w:cs="Times New Roman"/>
              </w:rPr>
              <w:t>113,6</w:t>
            </w:r>
          </w:p>
        </w:tc>
        <w:tc>
          <w:tcPr>
            <w:tcW w:w="1087" w:type="dxa"/>
          </w:tcPr>
          <w:p w:rsidR="00E83A0D" w:rsidRPr="00173523" w:rsidRDefault="00E83A0D" w:rsidP="00E83A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3523">
              <w:rPr>
                <w:rFonts w:ascii="Times New Roman" w:hAnsi="Times New Roman" w:cs="Times New Roman"/>
              </w:rPr>
              <w:t>94,8</w:t>
            </w:r>
          </w:p>
        </w:tc>
        <w:tc>
          <w:tcPr>
            <w:tcW w:w="1087" w:type="dxa"/>
          </w:tcPr>
          <w:p w:rsidR="00E83A0D" w:rsidRPr="00173523" w:rsidRDefault="00E83A0D" w:rsidP="00E83A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3523">
              <w:rPr>
                <w:rFonts w:ascii="Times New Roman" w:hAnsi="Times New Roman" w:cs="Times New Roman"/>
              </w:rPr>
              <w:t>103</w:t>
            </w:r>
          </w:p>
        </w:tc>
      </w:tr>
      <w:tr w:rsidR="00E83A0D" w:rsidTr="002207EF">
        <w:trPr>
          <w:trHeight w:val="348"/>
        </w:trPr>
        <w:tc>
          <w:tcPr>
            <w:tcW w:w="611" w:type="dxa"/>
          </w:tcPr>
          <w:p w:rsidR="00E83A0D" w:rsidRPr="002207EF" w:rsidRDefault="00E83A0D" w:rsidP="00E83A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207E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85" w:type="dxa"/>
          </w:tcPr>
          <w:p w:rsidR="00E83A0D" w:rsidRPr="00E83A0D" w:rsidRDefault="00E83A0D" w:rsidP="00E83A0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E83A0D">
              <w:rPr>
                <w:rFonts w:ascii="Times New Roman" w:hAnsi="Times New Roman" w:cs="Times New Roman"/>
              </w:rPr>
              <w:t xml:space="preserve">Индекс производства продукции растениеводства в хозяйствах всех категорий (в сопоставимых ценах) </w:t>
            </w:r>
            <w:proofErr w:type="gramStart"/>
            <w:r w:rsidRPr="00E83A0D">
              <w:rPr>
                <w:rFonts w:ascii="Times New Roman" w:hAnsi="Times New Roman" w:cs="Times New Roman"/>
              </w:rPr>
              <w:t>в</w:t>
            </w:r>
            <w:proofErr w:type="gramEnd"/>
            <w:r w:rsidRPr="00E83A0D">
              <w:rPr>
                <w:rFonts w:ascii="Times New Roman" w:hAnsi="Times New Roman" w:cs="Times New Roman"/>
              </w:rPr>
              <w:t xml:space="preserve"> % </w:t>
            </w:r>
            <w:proofErr w:type="gramStart"/>
            <w:r w:rsidRPr="00E83A0D">
              <w:rPr>
                <w:rFonts w:ascii="Times New Roman" w:hAnsi="Times New Roman" w:cs="Times New Roman"/>
              </w:rPr>
              <w:t>к</w:t>
            </w:r>
            <w:proofErr w:type="gramEnd"/>
            <w:r w:rsidRPr="00E83A0D">
              <w:rPr>
                <w:rFonts w:ascii="Times New Roman" w:hAnsi="Times New Roman" w:cs="Times New Roman"/>
              </w:rPr>
              <w:t xml:space="preserve"> предыдущему году</w:t>
            </w:r>
          </w:p>
        </w:tc>
        <w:tc>
          <w:tcPr>
            <w:tcW w:w="1086" w:type="dxa"/>
          </w:tcPr>
          <w:p w:rsidR="00E83A0D" w:rsidRPr="00173523" w:rsidRDefault="00E83A0D" w:rsidP="00E83A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3523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1087" w:type="dxa"/>
          </w:tcPr>
          <w:p w:rsidR="00E83A0D" w:rsidRPr="00173523" w:rsidRDefault="00E83A0D" w:rsidP="00E83A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3523">
              <w:rPr>
                <w:rFonts w:ascii="Times New Roman" w:hAnsi="Times New Roman" w:cs="Times New Roman"/>
              </w:rPr>
              <w:t>93,8</w:t>
            </w:r>
          </w:p>
        </w:tc>
        <w:tc>
          <w:tcPr>
            <w:tcW w:w="1087" w:type="dxa"/>
          </w:tcPr>
          <w:p w:rsidR="00E83A0D" w:rsidRPr="00173523" w:rsidRDefault="00E83A0D" w:rsidP="00E83A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3523">
              <w:rPr>
                <w:rFonts w:ascii="Times New Roman" w:hAnsi="Times New Roman" w:cs="Times New Roman"/>
              </w:rPr>
              <w:t>101,7</w:t>
            </w:r>
          </w:p>
        </w:tc>
      </w:tr>
      <w:tr w:rsidR="00E83A0D" w:rsidTr="002207EF">
        <w:trPr>
          <w:trHeight w:val="348"/>
        </w:trPr>
        <w:tc>
          <w:tcPr>
            <w:tcW w:w="611" w:type="dxa"/>
          </w:tcPr>
          <w:p w:rsidR="00E83A0D" w:rsidRPr="002207EF" w:rsidRDefault="00E83A0D" w:rsidP="00E83A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207E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485" w:type="dxa"/>
          </w:tcPr>
          <w:p w:rsidR="00E83A0D" w:rsidRPr="00E83A0D" w:rsidRDefault="00E83A0D" w:rsidP="00E83A0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E83A0D">
              <w:rPr>
                <w:rFonts w:ascii="Times New Roman" w:hAnsi="Times New Roman" w:cs="Times New Roman"/>
              </w:rPr>
              <w:t xml:space="preserve">Индекс производства продукции животноводства в хозяйствах всех категорий (в сопоставимых ценах) </w:t>
            </w:r>
            <w:proofErr w:type="gramStart"/>
            <w:r w:rsidRPr="00E83A0D">
              <w:rPr>
                <w:rFonts w:ascii="Times New Roman" w:hAnsi="Times New Roman" w:cs="Times New Roman"/>
              </w:rPr>
              <w:t>в</w:t>
            </w:r>
            <w:proofErr w:type="gramEnd"/>
            <w:r w:rsidRPr="00E83A0D">
              <w:rPr>
                <w:rFonts w:ascii="Times New Roman" w:hAnsi="Times New Roman" w:cs="Times New Roman"/>
              </w:rPr>
              <w:t xml:space="preserve"> % </w:t>
            </w:r>
            <w:proofErr w:type="gramStart"/>
            <w:r w:rsidRPr="00E83A0D">
              <w:rPr>
                <w:rFonts w:ascii="Times New Roman" w:hAnsi="Times New Roman" w:cs="Times New Roman"/>
              </w:rPr>
              <w:t>к</w:t>
            </w:r>
            <w:proofErr w:type="gramEnd"/>
            <w:r w:rsidRPr="00E83A0D">
              <w:rPr>
                <w:rFonts w:ascii="Times New Roman" w:hAnsi="Times New Roman" w:cs="Times New Roman"/>
              </w:rPr>
              <w:t xml:space="preserve"> предыдущему году</w:t>
            </w:r>
          </w:p>
        </w:tc>
        <w:tc>
          <w:tcPr>
            <w:tcW w:w="1086" w:type="dxa"/>
          </w:tcPr>
          <w:p w:rsidR="00E83A0D" w:rsidRPr="00173523" w:rsidRDefault="00E83A0D" w:rsidP="00E83A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3523">
              <w:rPr>
                <w:rFonts w:ascii="Times New Roman" w:hAnsi="Times New Roman" w:cs="Times New Roman"/>
              </w:rPr>
              <w:t>102,7</w:t>
            </w:r>
          </w:p>
        </w:tc>
        <w:tc>
          <w:tcPr>
            <w:tcW w:w="1087" w:type="dxa"/>
          </w:tcPr>
          <w:p w:rsidR="00E83A0D" w:rsidRPr="00173523" w:rsidRDefault="00E83A0D" w:rsidP="00E83A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3523">
              <w:rPr>
                <w:rFonts w:ascii="Times New Roman" w:hAnsi="Times New Roman" w:cs="Times New Roman"/>
              </w:rPr>
              <w:t>97,5</w:t>
            </w:r>
          </w:p>
        </w:tc>
        <w:tc>
          <w:tcPr>
            <w:tcW w:w="1087" w:type="dxa"/>
          </w:tcPr>
          <w:p w:rsidR="00E83A0D" w:rsidRPr="00173523" w:rsidRDefault="00E83A0D" w:rsidP="00E83A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3523">
              <w:rPr>
                <w:rFonts w:ascii="Times New Roman" w:hAnsi="Times New Roman" w:cs="Times New Roman"/>
              </w:rPr>
              <w:t>106,8</w:t>
            </w:r>
          </w:p>
        </w:tc>
      </w:tr>
      <w:tr w:rsidR="00E83A0D" w:rsidRPr="00196BF3" w:rsidTr="002207EF">
        <w:trPr>
          <w:trHeight w:val="348"/>
        </w:trPr>
        <w:tc>
          <w:tcPr>
            <w:tcW w:w="611" w:type="dxa"/>
            <w:shd w:val="clear" w:color="auto" w:fill="EAF1DD"/>
          </w:tcPr>
          <w:p w:rsidR="00E83A0D" w:rsidRPr="002207EF" w:rsidRDefault="00E83A0D" w:rsidP="00E83A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45" w:type="dxa"/>
            <w:gridSpan w:val="4"/>
            <w:shd w:val="clear" w:color="auto" w:fill="EAF1DD"/>
          </w:tcPr>
          <w:p w:rsidR="00E83A0D" w:rsidRPr="00173523" w:rsidRDefault="00E83A0D" w:rsidP="00E83A0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73523">
              <w:rPr>
                <w:rFonts w:ascii="Times New Roman" w:hAnsi="Times New Roman" w:cs="Times New Roman"/>
              </w:rPr>
              <w:t xml:space="preserve">ГП «Формирование доступной среды жизнедеятельности для инвалидов и </w:t>
            </w:r>
            <w:proofErr w:type="spellStart"/>
            <w:r w:rsidRPr="00173523">
              <w:rPr>
                <w:rFonts w:ascii="Times New Roman" w:hAnsi="Times New Roman" w:cs="Times New Roman"/>
              </w:rPr>
              <w:t>маломобильных</w:t>
            </w:r>
            <w:proofErr w:type="spellEnd"/>
            <w:r w:rsidRPr="00173523">
              <w:rPr>
                <w:rFonts w:ascii="Times New Roman" w:hAnsi="Times New Roman" w:cs="Times New Roman"/>
              </w:rPr>
              <w:t xml:space="preserve"> групп населения в Волгоградской области»</w:t>
            </w:r>
          </w:p>
        </w:tc>
      </w:tr>
      <w:tr w:rsidR="00E83A0D" w:rsidTr="002207EF">
        <w:trPr>
          <w:trHeight w:val="348"/>
        </w:trPr>
        <w:tc>
          <w:tcPr>
            <w:tcW w:w="611" w:type="dxa"/>
          </w:tcPr>
          <w:p w:rsidR="00E83A0D" w:rsidRPr="002207EF" w:rsidRDefault="00E83A0D" w:rsidP="00E83A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207E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485" w:type="dxa"/>
          </w:tcPr>
          <w:p w:rsidR="00E83A0D" w:rsidRPr="00E83A0D" w:rsidRDefault="00E83A0D" w:rsidP="00E83A0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E83A0D">
              <w:rPr>
                <w:rFonts w:ascii="Times New Roman" w:hAnsi="Times New Roman" w:cs="Times New Roman"/>
              </w:rPr>
              <w:t xml:space="preserve">Доля инвалидов, обеспеченных техническими средствами реабилитации в соответствии с региональным перечнем технических средств реабилитации в рамках индивидуальной программы реабилитации или </w:t>
            </w:r>
            <w:proofErr w:type="spellStart"/>
            <w:r w:rsidRPr="00E83A0D">
              <w:rPr>
                <w:rFonts w:ascii="Times New Roman" w:hAnsi="Times New Roman" w:cs="Times New Roman"/>
              </w:rPr>
              <w:t>абилитации</w:t>
            </w:r>
            <w:proofErr w:type="spellEnd"/>
            <w:r w:rsidRPr="00E83A0D">
              <w:rPr>
                <w:rFonts w:ascii="Times New Roman" w:hAnsi="Times New Roman" w:cs="Times New Roman"/>
              </w:rPr>
              <w:t xml:space="preserve"> инвалида, ребенка-инвалида, в общей численности инвалидов Волгоградской области, имеющих рекомендации в рамках индивидуальной программы реабилитации или </w:t>
            </w:r>
            <w:proofErr w:type="spellStart"/>
            <w:r w:rsidRPr="00E83A0D">
              <w:rPr>
                <w:rFonts w:ascii="Times New Roman" w:hAnsi="Times New Roman" w:cs="Times New Roman"/>
              </w:rPr>
              <w:t>абилитации</w:t>
            </w:r>
            <w:proofErr w:type="spellEnd"/>
            <w:r w:rsidRPr="00E83A0D">
              <w:rPr>
                <w:rFonts w:ascii="Times New Roman" w:hAnsi="Times New Roman" w:cs="Times New Roman"/>
              </w:rPr>
              <w:t xml:space="preserve"> инвалида, ребенка-инвалида</w:t>
            </w:r>
            <w:proofErr w:type="gramStart"/>
            <w:r w:rsidRPr="00E83A0D">
              <w:rPr>
                <w:rFonts w:ascii="Times New Roman" w:hAnsi="Times New Roman" w:cs="Times New Roman"/>
              </w:rPr>
              <w:t xml:space="preserve"> (%)</w:t>
            </w:r>
            <w:proofErr w:type="gramEnd"/>
          </w:p>
        </w:tc>
        <w:tc>
          <w:tcPr>
            <w:tcW w:w="1086" w:type="dxa"/>
          </w:tcPr>
          <w:p w:rsidR="00E83A0D" w:rsidRPr="00173523" w:rsidRDefault="00E83A0D" w:rsidP="00E83A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3523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087" w:type="dxa"/>
          </w:tcPr>
          <w:p w:rsidR="00E83A0D" w:rsidRPr="00173523" w:rsidRDefault="00E83A0D" w:rsidP="00E83A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3523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87" w:type="dxa"/>
          </w:tcPr>
          <w:p w:rsidR="00E83A0D" w:rsidRPr="00173523" w:rsidRDefault="00E83A0D" w:rsidP="00E83A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3523">
              <w:rPr>
                <w:rFonts w:ascii="Times New Roman" w:hAnsi="Times New Roman" w:cs="Times New Roman"/>
              </w:rPr>
              <w:t>71</w:t>
            </w:r>
          </w:p>
        </w:tc>
      </w:tr>
      <w:tr w:rsidR="00E83A0D" w:rsidRPr="00196BF3" w:rsidTr="002207EF">
        <w:trPr>
          <w:trHeight w:val="181"/>
        </w:trPr>
        <w:tc>
          <w:tcPr>
            <w:tcW w:w="611" w:type="dxa"/>
            <w:shd w:val="clear" w:color="auto" w:fill="EAF1DD"/>
          </w:tcPr>
          <w:p w:rsidR="00E83A0D" w:rsidRPr="002207EF" w:rsidRDefault="00E83A0D" w:rsidP="00E83A0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745" w:type="dxa"/>
            <w:gridSpan w:val="4"/>
            <w:shd w:val="clear" w:color="auto" w:fill="EAF1DD"/>
          </w:tcPr>
          <w:p w:rsidR="00E83A0D" w:rsidRPr="00173523" w:rsidRDefault="00E83A0D" w:rsidP="00E83A0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73523">
              <w:rPr>
                <w:rFonts w:ascii="Times New Roman" w:hAnsi="Times New Roman" w:cs="Times New Roman"/>
              </w:rPr>
              <w:t>ГП «Развитие физической культуры и спорта в Волгоградской области» на 2014 - 2018 годы</w:t>
            </w:r>
          </w:p>
        </w:tc>
      </w:tr>
      <w:tr w:rsidR="00E83A0D" w:rsidTr="002207EF">
        <w:trPr>
          <w:trHeight w:val="362"/>
        </w:trPr>
        <w:tc>
          <w:tcPr>
            <w:tcW w:w="611" w:type="dxa"/>
          </w:tcPr>
          <w:p w:rsidR="00E83A0D" w:rsidRPr="002207EF" w:rsidRDefault="00E83A0D" w:rsidP="00E83A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207E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485" w:type="dxa"/>
          </w:tcPr>
          <w:p w:rsidR="00E83A0D" w:rsidRPr="00E83A0D" w:rsidRDefault="00E83A0D" w:rsidP="002207E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E83A0D">
              <w:rPr>
                <w:rFonts w:ascii="Times New Roman" w:hAnsi="Times New Roman" w:cs="Times New Roman"/>
              </w:rPr>
              <w:t>Численность спортсменов Волгоградской области, включенных в список кандидатов в спортивные сборные команды РФ по олимпийским видам спорта</w:t>
            </w:r>
          </w:p>
        </w:tc>
        <w:tc>
          <w:tcPr>
            <w:tcW w:w="1086" w:type="dxa"/>
          </w:tcPr>
          <w:p w:rsidR="00E83A0D" w:rsidRPr="00173523" w:rsidRDefault="00E83A0D" w:rsidP="00E83A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3523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087" w:type="dxa"/>
          </w:tcPr>
          <w:p w:rsidR="00E83A0D" w:rsidRPr="00173523" w:rsidRDefault="00E83A0D" w:rsidP="00E83A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352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087" w:type="dxa"/>
          </w:tcPr>
          <w:p w:rsidR="00E83A0D" w:rsidRPr="00173523" w:rsidRDefault="00E83A0D" w:rsidP="00E83A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3523">
              <w:rPr>
                <w:rFonts w:ascii="Times New Roman" w:hAnsi="Times New Roman" w:cs="Times New Roman"/>
              </w:rPr>
              <w:t>49</w:t>
            </w:r>
          </w:p>
        </w:tc>
      </w:tr>
      <w:tr w:rsidR="00E83A0D" w:rsidTr="002207EF">
        <w:trPr>
          <w:trHeight w:val="362"/>
        </w:trPr>
        <w:tc>
          <w:tcPr>
            <w:tcW w:w="611" w:type="dxa"/>
          </w:tcPr>
          <w:p w:rsidR="00E83A0D" w:rsidRPr="002207EF" w:rsidRDefault="00E83A0D" w:rsidP="00E83A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207E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485" w:type="dxa"/>
          </w:tcPr>
          <w:p w:rsidR="00E83A0D" w:rsidRPr="00E83A0D" w:rsidRDefault="00E83A0D" w:rsidP="00E83A0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E83A0D">
              <w:rPr>
                <w:rFonts w:ascii="Times New Roman" w:hAnsi="Times New Roman" w:cs="Times New Roman"/>
              </w:rPr>
              <w:t>Доля учащихся и студентов, систематически занимающихся физической культурой и спортом, в общей численности учащихся и студентов</w:t>
            </w:r>
          </w:p>
        </w:tc>
        <w:tc>
          <w:tcPr>
            <w:tcW w:w="1086" w:type="dxa"/>
          </w:tcPr>
          <w:p w:rsidR="00E83A0D" w:rsidRPr="00173523" w:rsidRDefault="00E83A0D" w:rsidP="00E83A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3523">
              <w:rPr>
                <w:rFonts w:ascii="Times New Roman" w:hAnsi="Times New Roman" w:cs="Times New Roman"/>
              </w:rPr>
              <w:t>81,7</w:t>
            </w:r>
          </w:p>
        </w:tc>
        <w:tc>
          <w:tcPr>
            <w:tcW w:w="1087" w:type="dxa"/>
          </w:tcPr>
          <w:p w:rsidR="00E83A0D" w:rsidRPr="00173523" w:rsidRDefault="00E83A0D" w:rsidP="00E83A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3523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087" w:type="dxa"/>
          </w:tcPr>
          <w:p w:rsidR="00E83A0D" w:rsidRPr="00173523" w:rsidRDefault="00E83A0D" w:rsidP="00E83A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3523">
              <w:rPr>
                <w:rFonts w:ascii="Times New Roman" w:hAnsi="Times New Roman" w:cs="Times New Roman"/>
              </w:rPr>
              <w:t>84,1</w:t>
            </w:r>
          </w:p>
        </w:tc>
      </w:tr>
    </w:tbl>
    <w:p w:rsidR="00E83A0D" w:rsidRDefault="00E83A0D" w:rsidP="00E83A0D">
      <w:pPr>
        <w:pStyle w:val="ConsPlusNormal"/>
        <w:ind w:firstLine="705"/>
        <w:jc w:val="both"/>
        <w:rPr>
          <w:rFonts w:ascii="Times New Roman" w:hAnsi="Times New Roman" w:cs="Times New Roman"/>
          <w:sz w:val="24"/>
          <w:szCs w:val="24"/>
        </w:rPr>
      </w:pPr>
    </w:p>
    <w:p w:rsidR="00E83A0D" w:rsidRDefault="00E83A0D" w:rsidP="00E83A0D">
      <w:pPr>
        <w:pStyle w:val="ConsPlusNormal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Докладе сформулированы основные выводы и ряд предложений в адрес органов исполнительной власти Волгоградской </w:t>
      </w:r>
      <w:r w:rsidR="00D95574">
        <w:rPr>
          <w:rFonts w:ascii="Times New Roman" w:hAnsi="Times New Roman" w:cs="Times New Roman"/>
          <w:sz w:val="24"/>
          <w:szCs w:val="24"/>
        </w:rPr>
        <w:t>области. Следует отметить, что некоторые из них</w:t>
      </w:r>
      <w:r>
        <w:rPr>
          <w:rFonts w:ascii="Times New Roman" w:hAnsi="Times New Roman" w:cs="Times New Roman"/>
          <w:sz w:val="24"/>
          <w:szCs w:val="24"/>
        </w:rPr>
        <w:t xml:space="preserve">  также </w:t>
      </w:r>
      <w:r w:rsidR="00D95574">
        <w:rPr>
          <w:rFonts w:ascii="Times New Roman" w:hAnsi="Times New Roman" w:cs="Times New Roman"/>
          <w:sz w:val="24"/>
          <w:szCs w:val="24"/>
        </w:rPr>
        <w:t xml:space="preserve">были </w:t>
      </w:r>
      <w:r>
        <w:rPr>
          <w:rFonts w:ascii="Times New Roman" w:hAnsi="Times New Roman" w:cs="Times New Roman"/>
          <w:sz w:val="24"/>
          <w:szCs w:val="24"/>
        </w:rPr>
        <w:t>сформулирован</w:t>
      </w:r>
      <w:r w:rsidR="00306456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и в Докладе за 2016 год</w:t>
      </w:r>
      <w:r w:rsidR="00D9557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95574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ри этом Доклад 2017 года не содержит информации о реализации предложений комитета экономической политики и развития Волгоградской области</w:t>
      </w:r>
      <w:r w:rsidR="00D95574">
        <w:rPr>
          <w:rFonts w:ascii="Times New Roman" w:hAnsi="Times New Roman" w:cs="Times New Roman"/>
          <w:sz w:val="24"/>
          <w:szCs w:val="24"/>
        </w:rPr>
        <w:t>, внесенных в адрес органов исполнительной власти по результатам оценки эффективности реализации госпрограмм за 2016 год.</w:t>
      </w:r>
    </w:p>
    <w:p w:rsidR="006F69D5" w:rsidRDefault="00E83A0D" w:rsidP="006F69D5">
      <w:pPr>
        <w:pStyle w:val="ConsPlusNormal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6F69D5">
        <w:rPr>
          <w:rFonts w:ascii="Times New Roman" w:hAnsi="Times New Roman" w:cs="Times New Roman"/>
          <w:sz w:val="24"/>
          <w:szCs w:val="24"/>
        </w:rPr>
        <w:t xml:space="preserve">В этой связи необходимо отметить, что </w:t>
      </w:r>
      <w:r w:rsidR="006F69D5" w:rsidRPr="006F69D5">
        <w:rPr>
          <w:rFonts w:ascii="Times New Roman" w:hAnsi="Times New Roman" w:cs="Times New Roman"/>
          <w:sz w:val="24"/>
          <w:szCs w:val="24"/>
        </w:rPr>
        <w:t>р</w:t>
      </w:r>
      <w:r w:rsidRPr="006F69D5">
        <w:rPr>
          <w:rFonts w:ascii="Times New Roman" w:hAnsi="Times New Roman" w:cs="Times New Roman"/>
          <w:sz w:val="24"/>
          <w:szCs w:val="24"/>
        </w:rPr>
        <w:t>аспоряжением Правительства РФ от 18.04.2018 №694-р утверждена Концепция модернизации бюджетного процесса с внедрением процедуры финансового аудита (далее Концепция).</w:t>
      </w:r>
    </w:p>
    <w:p w:rsidR="00E83A0D" w:rsidRPr="006F69D5" w:rsidRDefault="00E83A0D" w:rsidP="006F69D5">
      <w:pPr>
        <w:pStyle w:val="ConsPlusNormal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6F69D5">
        <w:rPr>
          <w:rFonts w:ascii="Times New Roman" w:hAnsi="Times New Roman" w:cs="Times New Roman"/>
          <w:sz w:val="24"/>
          <w:szCs w:val="24"/>
        </w:rPr>
        <w:t>Цель Концепции – повышение обоснованности предложений федеральных органов исполнительной власти по предоставлению мер государственной поддержки за сч</w:t>
      </w:r>
      <w:r w:rsidR="006F69D5">
        <w:rPr>
          <w:rFonts w:ascii="Times New Roman" w:hAnsi="Times New Roman" w:cs="Times New Roman"/>
          <w:sz w:val="24"/>
          <w:szCs w:val="24"/>
        </w:rPr>
        <w:t>е</w:t>
      </w:r>
      <w:r w:rsidRPr="006F69D5">
        <w:rPr>
          <w:rFonts w:ascii="Times New Roman" w:hAnsi="Times New Roman" w:cs="Times New Roman"/>
          <w:sz w:val="24"/>
          <w:szCs w:val="24"/>
        </w:rPr>
        <w:t>т федерального бюджета в целях реализации госпрограмм, приоритетных проектов</w:t>
      </w:r>
      <w:r w:rsidR="005C0C91">
        <w:rPr>
          <w:rFonts w:ascii="Times New Roman" w:hAnsi="Times New Roman" w:cs="Times New Roman"/>
          <w:sz w:val="24"/>
          <w:szCs w:val="24"/>
        </w:rPr>
        <w:t>,</w:t>
      </w:r>
      <w:r w:rsidRPr="006F69D5">
        <w:rPr>
          <w:rFonts w:ascii="Times New Roman" w:hAnsi="Times New Roman" w:cs="Times New Roman"/>
          <w:sz w:val="24"/>
          <w:szCs w:val="24"/>
        </w:rPr>
        <w:t xml:space="preserve"> за сч</w:t>
      </w:r>
      <w:r w:rsidR="006F69D5">
        <w:rPr>
          <w:rFonts w:ascii="Times New Roman" w:hAnsi="Times New Roman" w:cs="Times New Roman"/>
          <w:sz w:val="24"/>
          <w:szCs w:val="24"/>
        </w:rPr>
        <w:t>е</w:t>
      </w:r>
      <w:r w:rsidRPr="006F69D5">
        <w:rPr>
          <w:rFonts w:ascii="Times New Roman" w:hAnsi="Times New Roman" w:cs="Times New Roman"/>
          <w:sz w:val="24"/>
          <w:szCs w:val="24"/>
        </w:rPr>
        <w:t>т поиска и оценки различных вариантов достижения заявленных целей с использованием лучших практик обоснования и структурирования инициатив в виде проектов.</w:t>
      </w:r>
    </w:p>
    <w:p w:rsidR="00E83A0D" w:rsidRDefault="00E83A0D" w:rsidP="00E83A0D">
      <w:pPr>
        <w:ind w:firstLine="709"/>
        <w:jc w:val="both"/>
        <w:rPr>
          <w:rFonts w:eastAsia="Calibri"/>
          <w:szCs w:val="24"/>
          <w:lang w:eastAsia="en-US"/>
        </w:rPr>
      </w:pPr>
      <w:r w:rsidRPr="006C0EB9">
        <w:rPr>
          <w:rFonts w:eastAsia="Calibri"/>
          <w:szCs w:val="24"/>
          <w:lang w:eastAsia="en-US"/>
        </w:rPr>
        <w:t xml:space="preserve">Внедрение финансового аудита направлено на применение на системной основе </w:t>
      </w:r>
      <w:proofErr w:type="gramStart"/>
      <w:r w:rsidRPr="006C0EB9">
        <w:rPr>
          <w:rFonts w:eastAsia="Calibri"/>
          <w:szCs w:val="24"/>
          <w:lang w:eastAsia="en-US"/>
        </w:rPr>
        <w:t>экспертизы альтернативных вариантов достижения целей реализации</w:t>
      </w:r>
      <w:proofErr w:type="gramEnd"/>
      <w:r w:rsidRPr="006C0EB9">
        <w:rPr>
          <w:rFonts w:eastAsia="Calibri"/>
          <w:szCs w:val="24"/>
          <w:lang w:eastAsia="en-US"/>
        </w:rPr>
        <w:t xml:space="preserve"> мероприятий, выбора и обоснования механизмов их финансирования; регламентацию процедуры подготовки и рассмотрения предложений об увеличении существующих расходных обязательств или о принятии новых расходных обязательств федерального бюджета с применением инструментов проектного финансирования; стимулирование привлечения частных инвестиций; </w:t>
      </w:r>
      <w:proofErr w:type="gramStart"/>
      <w:r w:rsidRPr="006C0EB9">
        <w:rPr>
          <w:rFonts w:eastAsia="Calibri"/>
          <w:szCs w:val="24"/>
          <w:lang w:eastAsia="en-US"/>
        </w:rPr>
        <w:t>внедрение лучших международных практик организации планирования и оценки мероприятий с целью повышения качества их подготовки; сокращение государственного участия при реализации мероприятий и замещение расходов федерального бюджета частными инвестициями; включение в процесс принятия решений о предоставлении средств из федерального бюджета результатов финансового аудита наряду с результатами технологического и ценового аудита обоснования инвестиций;</w:t>
      </w:r>
      <w:proofErr w:type="gramEnd"/>
      <w:r w:rsidRPr="006C0EB9">
        <w:rPr>
          <w:rFonts w:eastAsia="Calibri"/>
          <w:szCs w:val="24"/>
          <w:lang w:eastAsia="en-US"/>
        </w:rPr>
        <w:t xml:space="preserve"> уменьшение рисков </w:t>
      </w:r>
      <w:proofErr w:type="spellStart"/>
      <w:r w:rsidRPr="006C0EB9">
        <w:rPr>
          <w:rFonts w:eastAsia="Calibri"/>
          <w:szCs w:val="24"/>
          <w:lang w:eastAsia="en-US"/>
        </w:rPr>
        <w:t>недостижения</w:t>
      </w:r>
      <w:proofErr w:type="spellEnd"/>
      <w:r w:rsidRPr="006C0EB9">
        <w:rPr>
          <w:rFonts w:eastAsia="Calibri"/>
          <w:szCs w:val="24"/>
          <w:lang w:eastAsia="en-US"/>
        </w:rPr>
        <w:t xml:space="preserve"> или несвоевременного достижения ожидаемых результатов реализации мероприятий в случае сокращения расходов федерального бюджета.</w:t>
      </w:r>
    </w:p>
    <w:p w:rsidR="00E63294" w:rsidRDefault="00E63294" w:rsidP="00E83A0D">
      <w:pPr>
        <w:ind w:firstLine="709"/>
        <w:jc w:val="both"/>
        <w:rPr>
          <w:rFonts w:eastAsia="Calibri"/>
          <w:szCs w:val="24"/>
          <w:lang w:eastAsia="en-US"/>
        </w:rPr>
      </w:pPr>
      <w:proofErr w:type="gramStart"/>
      <w:r>
        <w:rPr>
          <w:szCs w:val="24"/>
        </w:rPr>
        <w:t xml:space="preserve">На основании изложенного считаем необходимым комитету экономической политики и развития Волгоградской области совместно с комитетом финансов Волгоградской области при формировании расходов на новые госпрограммы и внесении изменений в действующие госпрограммы </w:t>
      </w:r>
      <w:r w:rsidRPr="007772A4">
        <w:rPr>
          <w:szCs w:val="24"/>
        </w:rPr>
        <w:t>применять методы финансового аудита, предусмотренные Концепцией модернизации бюджетного процесса с внедрением процедуры финансового аудита,</w:t>
      </w:r>
      <w:r>
        <w:rPr>
          <w:szCs w:val="24"/>
        </w:rPr>
        <w:t xml:space="preserve"> утвержденной </w:t>
      </w:r>
      <w:r w:rsidRPr="006F69D5">
        <w:rPr>
          <w:szCs w:val="24"/>
        </w:rPr>
        <w:t>распоряжением Правительства Р</w:t>
      </w:r>
      <w:r>
        <w:rPr>
          <w:szCs w:val="24"/>
        </w:rPr>
        <w:t xml:space="preserve">оссийской </w:t>
      </w:r>
      <w:r w:rsidRPr="006F69D5">
        <w:rPr>
          <w:szCs w:val="24"/>
        </w:rPr>
        <w:t>Ф</w:t>
      </w:r>
      <w:r>
        <w:rPr>
          <w:szCs w:val="24"/>
        </w:rPr>
        <w:t>едерации</w:t>
      </w:r>
      <w:r w:rsidRPr="006F69D5">
        <w:rPr>
          <w:szCs w:val="24"/>
        </w:rPr>
        <w:t xml:space="preserve"> </w:t>
      </w:r>
      <w:r>
        <w:rPr>
          <w:szCs w:val="24"/>
        </w:rPr>
        <w:t>от 18.04.2018 №694-р.</w:t>
      </w:r>
      <w:proofErr w:type="gramEnd"/>
    </w:p>
    <w:p w:rsidR="006F69D5" w:rsidRPr="006C0EB9" w:rsidRDefault="006F69D5" w:rsidP="00E83A0D">
      <w:pPr>
        <w:ind w:firstLine="709"/>
        <w:jc w:val="both"/>
        <w:rPr>
          <w:rFonts w:eastAsia="Calibri"/>
          <w:szCs w:val="24"/>
          <w:lang w:eastAsia="en-US"/>
        </w:rPr>
      </w:pPr>
    </w:p>
    <w:p w:rsidR="008F21FD" w:rsidRPr="0037440C" w:rsidRDefault="007A0474" w:rsidP="00FA06A9">
      <w:pPr>
        <w:numPr>
          <w:ilvl w:val="0"/>
          <w:numId w:val="2"/>
        </w:numPr>
        <w:jc w:val="center"/>
        <w:rPr>
          <w:b/>
        </w:rPr>
      </w:pPr>
      <w:r w:rsidRPr="0037440C">
        <w:rPr>
          <w:b/>
        </w:rPr>
        <w:t>О</w:t>
      </w:r>
      <w:r w:rsidR="00C90A63" w:rsidRPr="0037440C">
        <w:rPr>
          <w:b/>
        </w:rPr>
        <w:t>рганизация в</w:t>
      </w:r>
      <w:r w:rsidR="00737EA7" w:rsidRPr="0037440C">
        <w:rPr>
          <w:b/>
        </w:rPr>
        <w:t>нутренн</w:t>
      </w:r>
      <w:r w:rsidR="00C90A63" w:rsidRPr="0037440C">
        <w:rPr>
          <w:b/>
        </w:rPr>
        <w:t>его финансового контроля</w:t>
      </w:r>
    </w:p>
    <w:p w:rsidR="00C90A63" w:rsidRDefault="00C90A63" w:rsidP="00D4532E">
      <w:pPr>
        <w:ind w:left="720"/>
        <w:jc w:val="center"/>
        <w:rPr>
          <w:b/>
        </w:rPr>
      </w:pPr>
      <w:r w:rsidRPr="0037440C">
        <w:rPr>
          <w:b/>
        </w:rPr>
        <w:t xml:space="preserve">и </w:t>
      </w:r>
      <w:r w:rsidR="009041E6" w:rsidRPr="0037440C">
        <w:rPr>
          <w:b/>
        </w:rPr>
        <w:t>внутреннего финансового аудита</w:t>
      </w:r>
      <w:r w:rsidR="008F21FD" w:rsidRPr="0037440C">
        <w:rPr>
          <w:b/>
        </w:rPr>
        <w:t>.</w:t>
      </w:r>
      <w:r w:rsidR="00CF550B" w:rsidRPr="0037440C">
        <w:rPr>
          <w:b/>
        </w:rPr>
        <w:t xml:space="preserve"> </w:t>
      </w:r>
      <w:r w:rsidR="008F21FD" w:rsidRPr="0037440C">
        <w:rPr>
          <w:b/>
        </w:rPr>
        <w:t>О</w:t>
      </w:r>
      <w:r w:rsidR="0064695D" w:rsidRPr="0037440C">
        <w:rPr>
          <w:b/>
        </w:rPr>
        <w:t>ценка</w:t>
      </w:r>
      <w:r w:rsidR="00C91DDD" w:rsidRPr="0037440C">
        <w:rPr>
          <w:b/>
        </w:rPr>
        <w:t xml:space="preserve"> </w:t>
      </w:r>
      <w:r w:rsidR="008F21FD" w:rsidRPr="0037440C">
        <w:rPr>
          <w:b/>
        </w:rPr>
        <w:t>их</w:t>
      </w:r>
      <w:r w:rsidRPr="0037440C">
        <w:rPr>
          <w:b/>
        </w:rPr>
        <w:t xml:space="preserve"> эффективност</w:t>
      </w:r>
      <w:r w:rsidR="0064695D" w:rsidRPr="0037440C">
        <w:rPr>
          <w:b/>
        </w:rPr>
        <w:t>и</w:t>
      </w:r>
      <w:r w:rsidRPr="0037440C">
        <w:rPr>
          <w:b/>
        </w:rPr>
        <w:t>.</w:t>
      </w:r>
    </w:p>
    <w:p w:rsidR="00CA6EF4" w:rsidRDefault="00CA6EF4" w:rsidP="00D4532E">
      <w:pPr>
        <w:ind w:left="720"/>
        <w:jc w:val="center"/>
        <w:rPr>
          <w:b/>
        </w:rPr>
      </w:pPr>
    </w:p>
    <w:p w:rsidR="00145A64" w:rsidRDefault="00CB07C0" w:rsidP="00145A64">
      <w:pPr>
        <w:autoSpaceDE w:val="0"/>
        <w:autoSpaceDN w:val="0"/>
        <w:adjustRightInd w:val="0"/>
        <w:ind w:firstLine="540"/>
        <w:jc w:val="both"/>
        <w:rPr>
          <w:szCs w:val="24"/>
          <w:lang w:eastAsia="en-US"/>
        </w:rPr>
      </w:pPr>
      <w:r>
        <w:tab/>
        <w:t>Согласно статье 157 БК РФ о</w:t>
      </w:r>
      <w:r w:rsidR="00145A64">
        <w:t xml:space="preserve">дним из бюджетных полномочий КСП является </w:t>
      </w:r>
      <w:r w:rsidR="00145A64">
        <w:rPr>
          <w:szCs w:val="24"/>
          <w:lang w:eastAsia="en-US"/>
        </w:rPr>
        <w:t>подготовка предложений по совершенствованию осуществления главными администраторами бюджетных средств внутреннего финансового контроля и внутреннего финансового аудита.</w:t>
      </w:r>
    </w:p>
    <w:p w:rsidR="00145A64" w:rsidRPr="005D4C9C" w:rsidRDefault="00CB07C0" w:rsidP="00145A64">
      <w:pPr>
        <w:autoSpaceDE w:val="0"/>
        <w:autoSpaceDN w:val="0"/>
        <w:adjustRightInd w:val="0"/>
        <w:ind w:firstLine="540"/>
        <w:jc w:val="both"/>
        <w:rPr>
          <w:szCs w:val="24"/>
          <w:lang w:eastAsia="en-US"/>
        </w:rPr>
      </w:pPr>
      <w:r>
        <w:rPr>
          <w:szCs w:val="24"/>
          <w:lang w:eastAsia="en-US"/>
        </w:rPr>
        <w:tab/>
      </w:r>
      <w:r w:rsidR="00145A64">
        <w:rPr>
          <w:szCs w:val="24"/>
          <w:lang w:eastAsia="en-US"/>
        </w:rPr>
        <w:t>В</w:t>
      </w:r>
      <w:r w:rsidR="000F7B8D">
        <w:rPr>
          <w:szCs w:val="24"/>
          <w:lang w:eastAsia="en-US"/>
        </w:rPr>
        <w:t xml:space="preserve"> целях реализации</w:t>
      </w:r>
      <w:r w:rsidR="00145A64">
        <w:rPr>
          <w:szCs w:val="24"/>
          <w:lang w:eastAsia="en-US"/>
        </w:rPr>
        <w:t xml:space="preserve"> данного полномочия </w:t>
      </w:r>
      <w:r w:rsidR="00145A64">
        <w:rPr>
          <w:iCs/>
        </w:rPr>
        <w:t xml:space="preserve">ежегодно при проведении внешних </w:t>
      </w:r>
      <w:proofErr w:type="gramStart"/>
      <w:r w:rsidR="00145A64">
        <w:rPr>
          <w:iCs/>
        </w:rPr>
        <w:t>проверок бюджетной отчетности главных администраторов средств областного бюджета</w:t>
      </w:r>
      <w:proofErr w:type="gramEnd"/>
      <w:r w:rsidR="00145A64">
        <w:rPr>
          <w:iCs/>
        </w:rPr>
        <w:t xml:space="preserve"> за истекший финансовый год </w:t>
      </w:r>
      <w:r w:rsidR="000F7B8D">
        <w:rPr>
          <w:iCs/>
        </w:rPr>
        <w:t xml:space="preserve">палатой </w:t>
      </w:r>
      <w:r w:rsidR="00145A64">
        <w:rPr>
          <w:iCs/>
        </w:rPr>
        <w:t>осуществляется оценка организации и эффективности внутреннего финансового контроля и внутреннего финансового аудита.</w:t>
      </w:r>
    </w:p>
    <w:p w:rsidR="00145A64" w:rsidRDefault="00CB07C0" w:rsidP="00145A64">
      <w:pPr>
        <w:autoSpaceDE w:val="0"/>
        <w:autoSpaceDN w:val="0"/>
        <w:adjustRightInd w:val="0"/>
        <w:ind w:firstLine="540"/>
        <w:jc w:val="both"/>
      </w:pPr>
      <w:r>
        <w:tab/>
      </w:r>
      <w:r w:rsidR="00145A64">
        <w:t xml:space="preserve">Бюджетные полномочия главного администратора бюджетных средств по осуществлению внутреннего финансового контроля и внутреннего финансового аудита определены </w:t>
      </w:r>
      <w:r w:rsidR="00145A64">
        <w:rPr>
          <w:iCs/>
        </w:rPr>
        <w:t xml:space="preserve">статьей </w:t>
      </w:r>
      <w:r w:rsidR="00145A64">
        <w:t>160.2-1 БК РФ.</w:t>
      </w:r>
    </w:p>
    <w:p w:rsidR="00220055" w:rsidRDefault="00220055" w:rsidP="00220055">
      <w:pPr>
        <w:autoSpaceDE w:val="0"/>
        <w:autoSpaceDN w:val="0"/>
        <w:adjustRightInd w:val="0"/>
        <w:jc w:val="both"/>
        <w:outlineLvl w:val="0"/>
      </w:pPr>
      <w:r>
        <w:rPr>
          <w:iCs/>
        </w:rPr>
        <w:tab/>
        <w:t xml:space="preserve">В Волгоградской области порядок </w:t>
      </w:r>
      <w:r>
        <w:t xml:space="preserve">осуществления внутреннего финансового контроля и внутреннего финансового аудита </w:t>
      </w:r>
      <w:r>
        <w:rPr>
          <w:iCs/>
        </w:rPr>
        <w:t xml:space="preserve">утвержден </w:t>
      </w:r>
      <w:r>
        <w:t>постановлением Правительства Волгоградской области от 26.05.2014 №266-п (далее Порядок №266-п).</w:t>
      </w:r>
    </w:p>
    <w:p w:rsidR="00220055" w:rsidRPr="00110298" w:rsidRDefault="00220055" w:rsidP="00220055">
      <w:pPr>
        <w:autoSpaceDE w:val="0"/>
        <w:autoSpaceDN w:val="0"/>
        <w:adjustRightInd w:val="0"/>
        <w:jc w:val="both"/>
        <w:outlineLvl w:val="0"/>
        <w:rPr>
          <w:u w:val="single"/>
        </w:rPr>
      </w:pPr>
      <w:r>
        <w:tab/>
        <w:t xml:space="preserve">По итогам анализа организации внутреннего финансового контроля и внутреннего финансового аудита главными администраторами средств областного бюджета за 2017 год </w:t>
      </w:r>
      <w:r w:rsidR="005E1BCA">
        <w:t>установл</w:t>
      </w:r>
      <w:r>
        <w:t xml:space="preserve">ено, что в отдельных органах исполнительной власти проведению </w:t>
      </w:r>
      <w:r w:rsidRPr="00110298">
        <w:rPr>
          <w:u w:val="single"/>
        </w:rPr>
        <w:t>мероприяти</w:t>
      </w:r>
      <w:r>
        <w:rPr>
          <w:u w:val="single"/>
        </w:rPr>
        <w:t>й</w:t>
      </w:r>
      <w:r w:rsidRPr="00110298">
        <w:rPr>
          <w:u w:val="single"/>
        </w:rPr>
        <w:t xml:space="preserve"> внутреннего финансового контроля и аудита не </w:t>
      </w:r>
      <w:r>
        <w:rPr>
          <w:u w:val="single"/>
        </w:rPr>
        <w:t>уделялось достаточное внимание</w:t>
      </w:r>
      <w:r w:rsidRPr="00110298">
        <w:rPr>
          <w:u w:val="single"/>
        </w:rPr>
        <w:t>.</w:t>
      </w:r>
    </w:p>
    <w:p w:rsidR="00220055" w:rsidRDefault="00220055" w:rsidP="005C6114">
      <w:pPr>
        <w:ind w:firstLine="709"/>
        <w:jc w:val="both"/>
        <w:rPr>
          <w:b/>
          <w:i/>
        </w:rPr>
      </w:pPr>
      <w:proofErr w:type="gramStart"/>
      <w:r w:rsidRPr="00F25037">
        <w:t xml:space="preserve">Например, </w:t>
      </w:r>
      <w:r>
        <w:t>с</w:t>
      </w:r>
      <w:r w:rsidRPr="0085739A">
        <w:rPr>
          <w:rFonts w:eastAsia="Calibri"/>
          <w:szCs w:val="24"/>
        </w:rPr>
        <w:t xml:space="preserve">огласно представленным </w:t>
      </w:r>
      <w:r w:rsidRPr="002D2195">
        <w:rPr>
          <w:rFonts w:eastAsia="Calibri"/>
          <w:b/>
          <w:i/>
          <w:szCs w:val="24"/>
        </w:rPr>
        <w:t>комитетом юстиции</w:t>
      </w:r>
      <w:r w:rsidRPr="0085739A">
        <w:rPr>
          <w:rFonts w:eastAsia="Calibri"/>
          <w:szCs w:val="24"/>
        </w:rPr>
        <w:t xml:space="preserve"> </w:t>
      </w:r>
      <w:r w:rsidR="005E1BCA" w:rsidRPr="005E1BCA">
        <w:rPr>
          <w:rFonts w:eastAsia="Calibri"/>
          <w:b/>
          <w:i/>
          <w:szCs w:val="24"/>
        </w:rPr>
        <w:t>Волгоградской области</w:t>
      </w:r>
      <w:r w:rsidR="005E1BCA">
        <w:rPr>
          <w:rFonts w:eastAsia="Calibri"/>
          <w:szCs w:val="24"/>
        </w:rPr>
        <w:t xml:space="preserve"> </w:t>
      </w:r>
      <w:r w:rsidRPr="0085739A">
        <w:rPr>
          <w:rFonts w:eastAsia="Calibri"/>
          <w:szCs w:val="24"/>
        </w:rPr>
        <w:t>отч</w:t>
      </w:r>
      <w:r w:rsidR="005E1BCA">
        <w:rPr>
          <w:rFonts w:eastAsia="Calibri"/>
          <w:szCs w:val="24"/>
        </w:rPr>
        <w:t>е</w:t>
      </w:r>
      <w:r w:rsidRPr="0085739A">
        <w:rPr>
          <w:rFonts w:eastAsia="Calibri"/>
          <w:szCs w:val="24"/>
        </w:rPr>
        <w:t xml:space="preserve">там в 2017 году </w:t>
      </w:r>
      <w:r w:rsidR="005E1BCA" w:rsidRPr="0085739A">
        <w:rPr>
          <w:rFonts w:eastAsia="Calibri"/>
          <w:szCs w:val="24"/>
        </w:rPr>
        <w:t xml:space="preserve">внутренний финансовый контроль </w:t>
      </w:r>
      <w:r w:rsidR="005E1BCA">
        <w:rPr>
          <w:rFonts w:eastAsia="Calibri"/>
          <w:szCs w:val="24"/>
        </w:rPr>
        <w:t xml:space="preserve">проводился </w:t>
      </w:r>
      <w:r w:rsidRPr="0085739A">
        <w:rPr>
          <w:rFonts w:eastAsia="Calibri"/>
          <w:szCs w:val="24"/>
        </w:rPr>
        <w:t xml:space="preserve">в 5 </w:t>
      </w:r>
      <w:r w:rsidRPr="0085739A">
        <w:rPr>
          <w:rFonts w:eastAsia="Calibri"/>
          <w:szCs w:val="24"/>
        </w:rPr>
        <w:lastRenderedPageBreak/>
        <w:t xml:space="preserve">структурных подразделениях </w:t>
      </w:r>
      <w:r w:rsidR="005E1BCA">
        <w:rPr>
          <w:rFonts w:eastAsia="Calibri"/>
          <w:szCs w:val="24"/>
        </w:rPr>
        <w:t xml:space="preserve">комитета </w:t>
      </w:r>
      <w:r w:rsidRPr="0085739A">
        <w:rPr>
          <w:rFonts w:eastAsia="Calibri"/>
          <w:szCs w:val="24"/>
        </w:rPr>
        <w:t>(финансово-экономическом отделе, отделе материально-технического обеспечения, правовом отделе, отделе государственной службы и кадров, отделе информационных технологий и документооборота).</w:t>
      </w:r>
      <w:proofErr w:type="gramEnd"/>
      <w:r w:rsidR="005E1BCA">
        <w:rPr>
          <w:rFonts w:eastAsia="Calibri"/>
          <w:szCs w:val="24"/>
        </w:rPr>
        <w:t xml:space="preserve"> </w:t>
      </w:r>
      <w:r w:rsidRPr="0085739A">
        <w:rPr>
          <w:szCs w:val="24"/>
        </w:rPr>
        <w:t>Согласно журналу внутреннего финансового контроля нарушений и недостатков при исполнении внутренних бюджетных процедур, в том числе при проведении инвентаризации имущества</w:t>
      </w:r>
      <w:r w:rsidR="005E1BCA">
        <w:rPr>
          <w:szCs w:val="24"/>
        </w:rPr>
        <w:t>,</w:t>
      </w:r>
      <w:r w:rsidRPr="0085739A">
        <w:rPr>
          <w:szCs w:val="24"/>
        </w:rPr>
        <w:t xml:space="preserve"> не установлено. </w:t>
      </w:r>
      <w:r w:rsidR="005C6114">
        <w:rPr>
          <w:szCs w:val="24"/>
        </w:rPr>
        <w:t xml:space="preserve">При этом </w:t>
      </w:r>
      <w:r>
        <w:rPr>
          <w:szCs w:val="24"/>
        </w:rPr>
        <w:t xml:space="preserve">внешней </w:t>
      </w:r>
      <w:r w:rsidRPr="0085739A">
        <w:rPr>
          <w:szCs w:val="24"/>
        </w:rPr>
        <w:t>проверк</w:t>
      </w:r>
      <w:r w:rsidR="005C6114">
        <w:rPr>
          <w:szCs w:val="24"/>
        </w:rPr>
        <w:t>ой</w:t>
      </w:r>
      <w:r>
        <w:rPr>
          <w:szCs w:val="24"/>
        </w:rPr>
        <w:t xml:space="preserve"> КСП</w:t>
      </w:r>
      <w:r w:rsidRPr="0085739A">
        <w:rPr>
          <w:szCs w:val="24"/>
        </w:rPr>
        <w:t xml:space="preserve"> </w:t>
      </w:r>
      <w:r w:rsidR="005C6114">
        <w:rPr>
          <w:szCs w:val="24"/>
        </w:rPr>
        <w:t>установлен</w:t>
      </w:r>
      <w:r w:rsidR="00757977">
        <w:rPr>
          <w:szCs w:val="24"/>
        </w:rPr>
        <w:t>о, что о</w:t>
      </w:r>
      <w:r w:rsidR="00757977" w:rsidRPr="006E70D1">
        <w:rPr>
          <w:szCs w:val="24"/>
        </w:rPr>
        <w:t>бязательная инвентаризация активов в целях составления бюджетной отч</w:t>
      </w:r>
      <w:r w:rsidR="00757977">
        <w:rPr>
          <w:szCs w:val="24"/>
        </w:rPr>
        <w:t>е</w:t>
      </w:r>
      <w:r w:rsidR="00757977" w:rsidRPr="006E70D1">
        <w:rPr>
          <w:szCs w:val="24"/>
        </w:rPr>
        <w:t xml:space="preserve">тности </w:t>
      </w:r>
      <w:r w:rsidR="00757977">
        <w:rPr>
          <w:szCs w:val="24"/>
        </w:rPr>
        <w:t>к</w:t>
      </w:r>
      <w:r w:rsidR="00757977" w:rsidRPr="006E70D1">
        <w:rPr>
          <w:szCs w:val="24"/>
        </w:rPr>
        <w:t>омитета за 2017 год пров</w:t>
      </w:r>
      <w:r w:rsidR="00757977">
        <w:rPr>
          <w:szCs w:val="24"/>
        </w:rPr>
        <w:t>едена</w:t>
      </w:r>
      <w:r w:rsidR="00757977" w:rsidRPr="006E70D1">
        <w:rPr>
          <w:szCs w:val="24"/>
        </w:rPr>
        <w:t xml:space="preserve"> ненадлежащим образом, нарушен установленный порядок проведения инвентаризации. Достоверность показателей бухгалтерского уч</w:t>
      </w:r>
      <w:r w:rsidR="00757977">
        <w:rPr>
          <w:szCs w:val="24"/>
        </w:rPr>
        <w:t>е</w:t>
      </w:r>
      <w:r w:rsidR="00757977" w:rsidRPr="006E70D1">
        <w:rPr>
          <w:szCs w:val="24"/>
        </w:rPr>
        <w:t>та и соответственно отч</w:t>
      </w:r>
      <w:r w:rsidR="00757977">
        <w:rPr>
          <w:szCs w:val="24"/>
        </w:rPr>
        <w:t>е</w:t>
      </w:r>
      <w:r w:rsidR="00757977" w:rsidRPr="006E70D1">
        <w:rPr>
          <w:szCs w:val="24"/>
        </w:rPr>
        <w:t xml:space="preserve">тности </w:t>
      </w:r>
      <w:r w:rsidR="008C072C">
        <w:rPr>
          <w:szCs w:val="24"/>
        </w:rPr>
        <w:t>к</w:t>
      </w:r>
      <w:r w:rsidR="00757977" w:rsidRPr="006E70D1">
        <w:rPr>
          <w:szCs w:val="24"/>
        </w:rPr>
        <w:t>омитета не подтверждена.</w:t>
      </w:r>
      <w:r w:rsidR="00757977">
        <w:rPr>
          <w:szCs w:val="24"/>
        </w:rPr>
        <w:t xml:space="preserve"> В ходе проверки организована полная инвентаризация имущества комитета и назначена служебная проверка в отношении ответственных должностных лиц. Н</w:t>
      </w:r>
      <w:r w:rsidRPr="0085739A">
        <w:rPr>
          <w:szCs w:val="24"/>
        </w:rPr>
        <w:t>арушения</w:t>
      </w:r>
      <w:r w:rsidR="00757977">
        <w:rPr>
          <w:szCs w:val="24"/>
        </w:rPr>
        <w:t>, установленные КСП,</w:t>
      </w:r>
      <w:r w:rsidRPr="0085739A">
        <w:rPr>
          <w:szCs w:val="24"/>
        </w:rPr>
        <w:t xml:space="preserve"> свидетельствуют о </w:t>
      </w:r>
      <w:r w:rsidR="00757977">
        <w:rPr>
          <w:szCs w:val="24"/>
        </w:rPr>
        <w:t xml:space="preserve">некачественном проведении (либо </w:t>
      </w:r>
      <w:proofErr w:type="spellStart"/>
      <w:r w:rsidRPr="0085739A">
        <w:rPr>
          <w:szCs w:val="24"/>
        </w:rPr>
        <w:t>непроведении</w:t>
      </w:r>
      <w:proofErr w:type="spellEnd"/>
      <w:r w:rsidRPr="0085739A">
        <w:rPr>
          <w:szCs w:val="24"/>
        </w:rPr>
        <w:t xml:space="preserve">) процедур финансового контроля, а также </w:t>
      </w:r>
      <w:r w:rsidR="00757977">
        <w:rPr>
          <w:szCs w:val="24"/>
        </w:rPr>
        <w:t>мероприятий</w:t>
      </w:r>
      <w:r w:rsidRPr="0085739A">
        <w:rPr>
          <w:szCs w:val="24"/>
        </w:rPr>
        <w:t xml:space="preserve"> финансового аудита</w:t>
      </w:r>
      <w:r>
        <w:rPr>
          <w:szCs w:val="24"/>
        </w:rPr>
        <w:t xml:space="preserve">. </w:t>
      </w:r>
      <w:r>
        <w:rPr>
          <w:b/>
          <w:i/>
        </w:rPr>
        <w:tab/>
      </w:r>
    </w:p>
    <w:p w:rsidR="00220055" w:rsidRDefault="00220055" w:rsidP="00220055">
      <w:pPr>
        <w:ind w:firstLine="709"/>
        <w:jc w:val="both"/>
        <w:rPr>
          <w:szCs w:val="24"/>
        </w:rPr>
      </w:pPr>
      <w:r w:rsidRPr="007B755D">
        <w:rPr>
          <w:szCs w:val="24"/>
        </w:rPr>
        <w:t>В соответствии с планом внутреннего финансового аудита на 2017 год сотрудниками отдела</w:t>
      </w:r>
      <w:r>
        <w:rPr>
          <w:szCs w:val="24"/>
        </w:rPr>
        <w:t xml:space="preserve"> внутреннего финансового аудита </w:t>
      </w:r>
      <w:r w:rsidRPr="007B755D">
        <w:rPr>
          <w:b/>
          <w:i/>
          <w:szCs w:val="24"/>
        </w:rPr>
        <w:t>комитета по сельскому хозяйству</w:t>
      </w:r>
      <w:r>
        <w:rPr>
          <w:szCs w:val="24"/>
        </w:rPr>
        <w:t xml:space="preserve"> </w:t>
      </w:r>
      <w:r w:rsidRPr="008C072C">
        <w:rPr>
          <w:b/>
          <w:i/>
          <w:szCs w:val="24"/>
        </w:rPr>
        <w:t>Волгоградской области</w:t>
      </w:r>
      <w:r w:rsidRPr="007B755D">
        <w:rPr>
          <w:szCs w:val="24"/>
        </w:rPr>
        <w:t xml:space="preserve"> проведен</w:t>
      </w:r>
      <w:r w:rsidR="008C072C">
        <w:rPr>
          <w:szCs w:val="24"/>
        </w:rPr>
        <w:t>о</w:t>
      </w:r>
      <w:r w:rsidRPr="007B755D">
        <w:rPr>
          <w:szCs w:val="24"/>
        </w:rPr>
        <w:t xml:space="preserve"> 5 аудиторских проверок, из них 4 - в структурных подразделениях </w:t>
      </w:r>
      <w:r>
        <w:rPr>
          <w:szCs w:val="24"/>
        </w:rPr>
        <w:t>к</w:t>
      </w:r>
      <w:r w:rsidRPr="007B755D">
        <w:rPr>
          <w:szCs w:val="24"/>
        </w:rPr>
        <w:t>омите</w:t>
      </w:r>
      <w:r>
        <w:rPr>
          <w:szCs w:val="24"/>
        </w:rPr>
        <w:t xml:space="preserve">та. </w:t>
      </w:r>
      <w:r w:rsidRPr="007B755D">
        <w:rPr>
          <w:szCs w:val="24"/>
        </w:rPr>
        <w:t xml:space="preserve">Еще 1 аудиторская проверка проведена в подведомственном </w:t>
      </w:r>
      <w:r>
        <w:rPr>
          <w:szCs w:val="24"/>
        </w:rPr>
        <w:t>к</w:t>
      </w:r>
      <w:r w:rsidRPr="007B755D">
        <w:rPr>
          <w:szCs w:val="24"/>
        </w:rPr>
        <w:t>омитету ГКУ «МАЦ»</w:t>
      </w:r>
      <w:r>
        <w:rPr>
          <w:szCs w:val="24"/>
        </w:rPr>
        <w:t xml:space="preserve">.  В соответствии с представленной комитетом по сельскому хозяйству информацией мероприятиями внутреннего финансового контроля в отделе мелиорации нарушений не установлено. При этом в результате проведенной в 2017 году </w:t>
      </w:r>
      <w:r w:rsidRPr="00255602">
        <w:rPr>
          <w:szCs w:val="24"/>
        </w:rPr>
        <w:t>проверк</w:t>
      </w:r>
      <w:r>
        <w:rPr>
          <w:szCs w:val="24"/>
        </w:rPr>
        <w:t>и</w:t>
      </w:r>
      <w:r w:rsidRPr="00255602">
        <w:rPr>
          <w:szCs w:val="24"/>
        </w:rPr>
        <w:t xml:space="preserve"> КСП в части предоставления субсидий на возмещение части затрат, связанных со строительством, реконструкцией и техническим перевооружением на инновационной технологической основе оросительных и осушительных систем</w:t>
      </w:r>
      <w:r w:rsidR="00D130F5">
        <w:rPr>
          <w:szCs w:val="24"/>
        </w:rPr>
        <w:t>,</w:t>
      </w:r>
      <w:r w:rsidRPr="00255602">
        <w:rPr>
          <w:szCs w:val="24"/>
        </w:rPr>
        <w:t xml:space="preserve"> за 2016 год были выявлены </w:t>
      </w:r>
      <w:r w:rsidR="00D130F5">
        <w:rPr>
          <w:szCs w:val="24"/>
        </w:rPr>
        <w:t xml:space="preserve">многочисленные </w:t>
      </w:r>
      <w:r w:rsidRPr="00255602">
        <w:rPr>
          <w:szCs w:val="24"/>
        </w:rPr>
        <w:t>нарушения</w:t>
      </w:r>
      <w:r>
        <w:rPr>
          <w:szCs w:val="24"/>
        </w:rPr>
        <w:t xml:space="preserve">. Кроме того, </w:t>
      </w:r>
      <w:r w:rsidR="006775EA">
        <w:rPr>
          <w:szCs w:val="24"/>
        </w:rPr>
        <w:t xml:space="preserve">были </w:t>
      </w:r>
      <w:r w:rsidRPr="00255602">
        <w:rPr>
          <w:szCs w:val="24"/>
        </w:rPr>
        <w:t>установлены нарушения</w:t>
      </w:r>
      <w:r>
        <w:rPr>
          <w:szCs w:val="24"/>
        </w:rPr>
        <w:t xml:space="preserve"> </w:t>
      </w:r>
      <w:r w:rsidRPr="00255602">
        <w:rPr>
          <w:szCs w:val="24"/>
        </w:rPr>
        <w:t>действующего законодат</w:t>
      </w:r>
      <w:r w:rsidR="006775EA">
        <w:rPr>
          <w:szCs w:val="24"/>
        </w:rPr>
        <w:t xml:space="preserve">ельства, регулирующего вопросы </w:t>
      </w:r>
      <w:r w:rsidRPr="00255602">
        <w:rPr>
          <w:szCs w:val="24"/>
        </w:rPr>
        <w:t xml:space="preserve">бухгалтерского учета в части </w:t>
      </w:r>
      <w:r w:rsidR="006775EA">
        <w:rPr>
          <w:szCs w:val="24"/>
        </w:rPr>
        <w:t xml:space="preserve">учета </w:t>
      </w:r>
      <w:r w:rsidRPr="00255602">
        <w:rPr>
          <w:szCs w:val="24"/>
        </w:rPr>
        <w:t xml:space="preserve">имущества на балансовых и </w:t>
      </w:r>
      <w:proofErr w:type="spellStart"/>
      <w:r w:rsidRPr="00255602">
        <w:rPr>
          <w:szCs w:val="24"/>
        </w:rPr>
        <w:t>забалансовых</w:t>
      </w:r>
      <w:proofErr w:type="spellEnd"/>
      <w:r w:rsidRPr="00255602">
        <w:rPr>
          <w:szCs w:val="24"/>
        </w:rPr>
        <w:t xml:space="preserve"> счетах, оформления первичных учетных документов,</w:t>
      </w:r>
      <w:r w:rsidR="00D130F5" w:rsidRPr="00D130F5">
        <w:rPr>
          <w:szCs w:val="24"/>
        </w:rPr>
        <w:t xml:space="preserve"> </w:t>
      </w:r>
      <w:r w:rsidR="00D130F5">
        <w:rPr>
          <w:szCs w:val="24"/>
        </w:rPr>
        <w:t>которые</w:t>
      </w:r>
      <w:r w:rsidRPr="00255602">
        <w:rPr>
          <w:szCs w:val="24"/>
        </w:rPr>
        <w:t xml:space="preserve"> привел</w:t>
      </w:r>
      <w:r w:rsidR="00D130F5">
        <w:rPr>
          <w:szCs w:val="24"/>
        </w:rPr>
        <w:t>и</w:t>
      </w:r>
      <w:r w:rsidRPr="00255602">
        <w:rPr>
          <w:szCs w:val="24"/>
        </w:rPr>
        <w:t xml:space="preserve"> к искажению показателей отдельных форм бюджетной отчетности за 2016 год</w:t>
      </w:r>
      <w:r w:rsidR="00D130F5">
        <w:rPr>
          <w:szCs w:val="24"/>
        </w:rPr>
        <w:t xml:space="preserve"> в</w:t>
      </w:r>
      <w:r w:rsidR="00D130F5" w:rsidRPr="00255602">
        <w:rPr>
          <w:szCs w:val="24"/>
        </w:rPr>
        <w:t xml:space="preserve"> ГКУ «МАЦ»</w:t>
      </w:r>
      <w:r w:rsidR="00D130F5">
        <w:rPr>
          <w:szCs w:val="24"/>
        </w:rPr>
        <w:t>.</w:t>
      </w:r>
      <w:r w:rsidRPr="00255602">
        <w:rPr>
          <w:szCs w:val="24"/>
        </w:rPr>
        <w:t xml:space="preserve"> В результате руководитель </w:t>
      </w:r>
      <w:r w:rsidR="00D130F5">
        <w:rPr>
          <w:szCs w:val="24"/>
        </w:rPr>
        <w:t>учреждения</w:t>
      </w:r>
      <w:r w:rsidRPr="00255602">
        <w:rPr>
          <w:szCs w:val="24"/>
        </w:rPr>
        <w:t xml:space="preserve"> был привлечен к административной ответстве</w:t>
      </w:r>
      <w:r>
        <w:rPr>
          <w:szCs w:val="24"/>
        </w:rPr>
        <w:t xml:space="preserve">нности по статье 15.11 </w:t>
      </w:r>
      <w:proofErr w:type="spellStart"/>
      <w:r>
        <w:rPr>
          <w:szCs w:val="24"/>
        </w:rPr>
        <w:t>КоАП</w:t>
      </w:r>
      <w:proofErr w:type="spellEnd"/>
      <w:r>
        <w:rPr>
          <w:szCs w:val="24"/>
        </w:rPr>
        <w:t xml:space="preserve"> РФ.</w:t>
      </w:r>
    </w:p>
    <w:p w:rsidR="00220055" w:rsidRPr="00220055" w:rsidRDefault="00220055" w:rsidP="00220055">
      <w:pPr>
        <w:pStyle w:val="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20055">
        <w:rPr>
          <w:rFonts w:ascii="Times New Roman" w:hAnsi="Times New Roman"/>
          <w:sz w:val="24"/>
          <w:szCs w:val="24"/>
        </w:rPr>
        <w:t xml:space="preserve">В рамках внутреннего финансового аудита </w:t>
      </w:r>
      <w:r w:rsidRPr="00220055">
        <w:rPr>
          <w:rFonts w:ascii="Times New Roman" w:hAnsi="Times New Roman"/>
          <w:b/>
          <w:i/>
          <w:sz w:val="24"/>
          <w:szCs w:val="24"/>
        </w:rPr>
        <w:t>комитет экономической политики и развития</w:t>
      </w:r>
      <w:r w:rsidRPr="00220055">
        <w:rPr>
          <w:rFonts w:ascii="Times New Roman" w:hAnsi="Times New Roman"/>
          <w:sz w:val="24"/>
          <w:szCs w:val="24"/>
        </w:rPr>
        <w:t xml:space="preserve"> Волгоградской области проведено 10 аудиторских проверок (</w:t>
      </w:r>
      <w:r w:rsidR="006775EA">
        <w:rPr>
          <w:rFonts w:ascii="Times New Roman" w:hAnsi="Times New Roman"/>
          <w:sz w:val="24"/>
          <w:szCs w:val="24"/>
        </w:rPr>
        <w:t xml:space="preserve">по 4 из них </w:t>
      </w:r>
      <w:r w:rsidRPr="00220055">
        <w:rPr>
          <w:rFonts w:ascii="Times New Roman" w:hAnsi="Times New Roman"/>
          <w:sz w:val="24"/>
          <w:szCs w:val="24"/>
        </w:rPr>
        <w:t>установлены нарушения), в т</w:t>
      </w:r>
      <w:r w:rsidR="006775EA">
        <w:rPr>
          <w:rFonts w:ascii="Times New Roman" w:hAnsi="Times New Roman"/>
          <w:sz w:val="24"/>
          <w:szCs w:val="24"/>
        </w:rPr>
        <w:t xml:space="preserve">ом </w:t>
      </w:r>
      <w:r w:rsidRPr="00220055">
        <w:rPr>
          <w:rFonts w:ascii="Times New Roman" w:hAnsi="Times New Roman"/>
          <w:sz w:val="24"/>
          <w:szCs w:val="24"/>
        </w:rPr>
        <w:t>ч</w:t>
      </w:r>
      <w:r w:rsidR="006775EA">
        <w:rPr>
          <w:rFonts w:ascii="Times New Roman" w:hAnsi="Times New Roman"/>
          <w:sz w:val="24"/>
          <w:szCs w:val="24"/>
        </w:rPr>
        <w:t>исле</w:t>
      </w:r>
      <w:r w:rsidRPr="00220055">
        <w:rPr>
          <w:rFonts w:ascii="Times New Roman" w:hAnsi="Times New Roman"/>
          <w:sz w:val="24"/>
          <w:szCs w:val="24"/>
        </w:rPr>
        <w:t xml:space="preserve"> </w:t>
      </w:r>
      <w:r w:rsidRPr="00220055">
        <w:rPr>
          <w:rFonts w:ascii="Times New Roman" w:hAnsi="Times New Roman"/>
          <w:sz w:val="24"/>
          <w:szCs w:val="24"/>
          <w:u w:val="single"/>
        </w:rPr>
        <w:t>в июле 2017 года</w:t>
      </w:r>
      <w:r w:rsidR="006775EA" w:rsidRPr="006775EA">
        <w:rPr>
          <w:rFonts w:ascii="Times New Roman" w:hAnsi="Times New Roman"/>
          <w:sz w:val="24"/>
          <w:szCs w:val="24"/>
        </w:rPr>
        <w:t xml:space="preserve"> </w:t>
      </w:r>
      <w:r w:rsidR="006775EA">
        <w:rPr>
          <w:rFonts w:ascii="Times New Roman" w:hAnsi="Times New Roman"/>
          <w:sz w:val="24"/>
          <w:szCs w:val="24"/>
        </w:rPr>
        <w:t>была проведена проверка</w:t>
      </w:r>
      <w:r w:rsidRPr="00220055">
        <w:rPr>
          <w:rFonts w:ascii="Times New Roman" w:hAnsi="Times New Roman"/>
          <w:sz w:val="24"/>
          <w:szCs w:val="24"/>
        </w:rPr>
        <w:t xml:space="preserve"> правильности заполнения </w:t>
      </w:r>
      <w:r w:rsidRPr="006775EA">
        <w:rPr>
          <w:rFonts w:ascii="Times New Roman" w:hAnsi="Times New Roman"/>
          <w:sz w:val="24"/>
          <w:szCs w:val="24"/>
          <w:u w:val="single"/>
        </w:rPr>
        <w:t>бюджетной о</w:t>
      </w:r>
      <w:r w:rsidRPr="00220055">
        <w:rPr>
          <w:rFonts w:ascii="Times New Roman" w:hAnsi="Times New Roman"/>
          <w:sz w:val="24"/>
          <w:szCs w:val="24"/>
          <w:u w:val="single"/>
        </w:rPr>
        <w:t>тчетности за 2016 год</w:t>
      </w:r>
      <w:r w:rsidRPr="00220055">
        <w:rPr>
          <w:rFonts w:ascii="Times New Roman" w:hAnsi="Times New Roman"/>
          <w:sz w:val="24"/>
          <w:szCs w:val="24"/>
        </w:rPr>
        <w:t xml:space="preserve">. По мнению КСП, проведение проверки </w:t>
      </w:r>
      <w:r w:rsidR="006775EA">
        <w:rPr>
          <w:rFonts w:ascii="Times New Roman" w:hAnsi="Times New Roman"/>
          <w:sz w:val="24"/>
          <w:szCs w:val="24"/>
        </w:rPr>
        <w:t xml:space="preserve">за 2016 год </w:t>
      </w:r>
      <w:r w:rsidR="006775EA" w:rsidRPr="00220055">
        <w:rPr>
          <w:rFonts w:ascii="Times New Roman" w:hAnsi="Times New Roman"/>
          <w:sz w:val="24"/>
          <w:szCs w:val="24"/>
        </w:rPr>
        <w:t xml:space="preserve">в июле 2017 года </w:t>
      </w:r>
      <w:r w:rsidRPr="00220055">
        <w:rPr>
          <w:rFonts w:ascii="Times New Roman" w:hAnsi="Times New Roman"/>
          <w:sz w:val="24"/>
          <w:szCs w:val="24"/>
        </w:rPr>
        <w:t>является свидетельством формального подхода</w:t>
      </w:r>
      <w:r w:rsidR="006775EA">
        <w:rPr>
          <w:rFonts w:ascii="Times New Roman" w:hAnsi="Times New Roman"/>
          <w:sz w:val="24"/>
          <w:szCs w:val="24"/>
        </w:rPr>
        <w:t xml:space="preserve"> к организации внутреннего контроля</w:t>
      </w:r>
      <w:r w:rsidRPr="00220055">
        <w:rPr>
          <w:rFonts w:ascii="Times New Roman" w:hAnsi="Times New Roman"/>
          <w:sz w:val="24"/>
          <w:szCs w:val="24"/>
        </w:rPr>
        <w:t xml:space="preserve">, поскольку </w:t>
      </w:r>
      <w:r w:rsidR="006775EA">
        <w:rPr>
          <w:rFonts w:ascii="Times New Roman" w:hAnsi="Times New Roman"/>
          <w:sz w:val="24"/>
          <w:szCs w:val="24"/>
        </w:rPr>
        <w:t>актуаль</w:t>
      </w:r>
      <w:r w:rsidRPr="00220055">
        <w:rPr>
          <w:rFonts w:ascii="Times New Roman" w:hAnsi="Times New Roman"/>
          <w:sz w:val="24"/>
          <w:szCs w:val="24"/>
        </w:rPr>
        <w:t xml:space="preserve">ность проведения проверки после формирования сводной бюджетной отчетности по </w:t>
      </w:r>
      <w:r w:rsidR="006775EA">
        <w:rPr>
          <w:rFonts w:ascii="Times New Roman" w:hAnsi="Times New Roman"/>
          <w:sz w:val="24"/>
          <w:szCs w:val="24"/>
        </w:rPr>
        <w:t>комитету</w:t>
      </w:r>
      <w:r w:rsidRPr="00220055">
        <w:rPr>
          <w:rFonts w:ascii="Times New Roman" w:hAnsi="Times New Roman"/>
          <w:sz w:val="24"/>
          <w:szCs w:val="24"/>
        </w:rPr>
        <w:t xml:space="preserve"> и направления ее в </w:t>
      </w:r>
      <w:r w:rsidR="006775EA">
        <w:rPr>
          <w:rFonts w:ascii="Times New Roman" w:hAnsi="Times New Roman"/>
          <w:sz w:val="24"/>
          <w:szCs w:val="24"/>
        </w:rPr>
        <w:t>комитет финансов</w:t>
      </w:r>
      <w:r w:rsidRPr="00220055">
        <w:rPr>
          <w:rFonts w:ascii="Times New Roman" w:hAnsi="Times New Roman"/>
          <w:sz w:val="24"/>
          <w:szCs w:val="24"/>
        </w:rPr>
        <w:t xml:space="preserve"> уже отсутствовала.</w:t>
      </w:r>
    </w:p>
    <w:p w:rsidR="00220055" w:rsidRDefault="00220055" w:rsidP="00220055">
      <w:pPr>
        <w:ind w:firstLine="709"/>
        <w:jc w:val="both"/>
      </w:pPr>
      <w:r w:rsidRPr="003E7C18">
        <w:rPr>
          <w:szCs w:val="24"/>
        </w:rPr>
        <w:t xml:space="preserve">Согласно отчету сектора финансового аудита </w:t>
      </w:r>
      <w:r w:rsidRPr="009D7876">
        <w:rPr>
          <w:b/>
          <w:i/>
          <w:szCs w:val="24"/>
        </w:rPr>
        <w:t>комитета жилищно-коммунального хозяйства и топливно-энергетического комплекса</w:t>
      </w:r>
      <w:r>
        <w:rPr>
          <w:szCs w:val="24"/>
        </w:rPr>
        <w:t xml:space="preserve"> </w:t>
      </w:r>
      <w:r w:rsidR="002978ED" w:rsidRPr="002978ED">
        <w:rPr>
          <w:b/>
          <w:i/>
          <w:szCs w:val="24"/>
        </w:rPr>
        <w:t>Волгоградской области</w:t>
      </w:r>
      <w:r w:rsidR="002978ED">
        <w:rPr>
          <w:szCs w:val="24"/>
        </w:rPr>
        <w:t xml:space="preserve"> </w:t>
      </w:r>
      <w:r w:rsidRPr="003E7C18">
        <w:rPr>
          <w:szCs w:val="24"/>
        </w:rPr>
        <w:t xml:space="preserve">в 2017 году проведены 4 проверки, в результате которых </w:t>
      </w:r>
      <w:r w:rsidRPr="00154337">
        <w:rPr>
          <w:szCs w:val="24"/>
          <w:u w:val="single"/>
        </w:rPr>
        <w:t>нарушений не установлено</w:t>
      </w:r>
      <w:r>
        <w:rPr>
          <w:szCs w:val="24"/>
        </w:rPr>
        <w:t xml:space="preserve">. Проверки проводились по вопросам: </w:t>
      </w:r>
      <w:r w:rsidRPr="003E7C18">
        <w:t xml:space="preserve">составления бюджетной отчетности </w:t>
      </w:r>
      <w:r w:rsidR="002978ED">
        <w:t>к</w:t>
      </w:r>
      <w:r w:rsidRPr="003E7C18">
        <w:t>омитета; эффективности расходования субсидии из областного бюджета, предоставленной в 2016 году в виде имущественного взноса УНО «Региональный фонд капремонта»;</w:t>
      </w:r>
      <w:r>
        <w:t xml:space="preserve"> </w:t>
      </w:r>
      <w:r w:rsidRPr="003E7C18">
        <w:t xml:space="preserve">формирования и утверждения </w:t>
      </w:r>
      <w:proofErr w:type="spellStart"/>
      <w:r w:rsidRPr="003E7C18">
        <w:t>госзадания</w:t>
      </w:r>
      <w:proofErr w:type="spellEnd"/>
      <w:r w:rsidRPr="003E7C18">
        <w:t xml:space="preserve"> ГБУ </w:t>
      </w:r>
      <w:r w:rsidR="002978ED">
        <w:t xml:space="preserve">«Волгоградский центр </w:t>
      </w:r>
      <w:proofErr w:type="spellStart"/>
      <w:r w:rsidR="002978ED">
        <w:t>энергоэффективности</w:t>
      </w:r>
      <w:proofErr w:type="spellEnd"/>
      <w:r w:rsidR="002978ED">
        <w:t>»</w:t>
      </w:r>
      <w:r w:rsidRPr="003E7C18">
        <w:t xml:space="preserve"> и анализ его исполнения;</w:t>
      </w:r>
      <w:r>
        <w:t xml:space="preserve"> </w:t>
      </w:r>
      <w:r w:rsidRPr="003E7C18">
        <w:t xml:space="preserve">эффективности расходования средств областного бюджета на обводнение и питьевое водоснабжение городских и сельских поселений Волгоградской области (проверка проведена за 2016 год в 1 квартале 2017 года).  </w:t>
      </w:r>
      <w:proofErr w:type="gramStart"/>
      <w:r>
        <w:t>П</w:t>
      </w:r>
      <w:r w:rsidRPr="003E7C18">
        <w:rPr>
          <w:szCs w:val="24"/>
        </w:rPr>
        <w:t xml:space="preserve">роверкой </w:t>
      </w:r>
      <w:r w:rsidR="002978ED">
        <w:rPr>
          <w:szCs w:val="24"/>
        </w:rPr>
        <w:t xml:space="preserve">же </w:t>
      </w:r>
      <w:r w:rsidRPr="003E7C18">
        <w:rPr>
          <w:szCs w:val="24"/>
        </w:rPr>
        <w:t xml:space="preserve">КСП, проведенной </w:t>
      </w:r>
      <w:r w:rsidR="002978ED">
        <w:rPr>
          <w:szCs w:val="24"/>
        </w:rPr>
        <w:t xml:space="preserve">по вопросу использования субсидии их областного бюджета </w:t>
      </w:r>
      <w:r w:rsidR="002978ED" w:rsidRPr="003E7C18">
        <w:t>городски</w:t>
      </w:r>
      <w:r w:rsidR="002978ED">
        <w:t>м</w:t>
      </w:r>
      <w:r w:rsidR="002978ED" w:rsidRPr="003E7C18">
        <w:t xml:space="preserve"> и сельски</w:t>
      </w:r>
      <w:r w:rsidR="002978ED">
        <w:t>м</w:t>
      </w:r>
      <w:r w:rsidR="002978ED" w:rsidRPr="003E7C18">
        <w:t xml:space="preserve"> поселени</w:t>
      </w:r>
      <w:r w:rsidR="002978ED">
        <w:t>ям</w:t>
      </w:r>
      <w:r w:rsidR="002978ED">
        <w:rPr>
          <w:szCs w:val="24"/>
        </w:rPr>
        <w:t xml:space="preserve"> на </w:t>
      </w:r>
      <w:r w:rsidR="002978ED" w:rsidRPr="003E7C18">
        <w:t xml:space="preserve">обводнение и питьевое водоснабжение </w:t>
      </w:r>
      <w:r w:rsidRPr="003E7C18">
        <w:rPr>
          <w:szCs w:val="24"/>
        </w:rPr>
        <w:t xml:space="preserve">за тот же </w:t>
      </w:r>
      <w:r w:rsidR="002978ED">
        <w:rPr>
          <w:szCs w:val="24"/>
        </w:rPr>
        <w:t xml:space="preserve">отчетный </w:t>
      </w:r>
      <w:r w:rsidRPr="003E7C18">
        <w:rPr>
          <w:szCs w:val="24"/>
        </w:rPr>
        <w:t xml:space="preserve">период в 3 квартале 2017 года, установлены </w:t>
      </w:r>
      <w:r w:rsidR="002978ED">
        <w:rPr>
          <w:szCs w:val="24"/>
        </w:rPr>
        <w:t xml:space="preserve">существенные </w:t>
      </w:r>
      <w:r w:rsidRPr="003E7C18">
        <w:rPr>
          <w:szCs w:val="24"/>
        </w:rPr>
        <w:t xml:space="preserve">недостатки и нарушения действующего законодательства, отсутствие надлежащего контроля </w:t>
      </w:r>
      <w:r w:rsidR="002978ED">
        <w:rPr>
          <w:szCs w:val="24"/>
        </w:rPr>
        <w:t>к</w:t>
      </w:r>
      <w:r w:rsidRPr="003E7C18">
        <w:rPr>
          <w:szCs w:val="24"/>
        </w:rPr>
        <w:t xml:space="preserve">омитета за соблюдением критериев отбора муниципальных образований-получателей субсидии, за формированием сводной заявки </w:t>
      </w:r>
      <w:r w:rsidRPr="003E7C18">
        <w:rPr>
          <w:szCs w:val="24"/>
        </w:rPr>
        <w:lastRenderedPageBreak/>
        <w:t>потребности воды на обводнение, а также за фактическим</w:t>
      </w:r>
      <w:proofErr w:type="gramEnd"/>
      <w:r w:rsidRPr="003E7C18">
        <w:rPr>
          <w:szCs w:val="24"/>
        </w:rPr>
        <w:t xml:space="preserve"> использованием закачанной воды получателями субсидий.</w:t>
      </w:r>
    </w:p>
    <w:p w:rsidR="00220055" w:rsidRPr="002978ED" w:rsidRDefault="00220055" w:rsidP="00220055">
      <w:pPr>
        <w:ind w:firstLine="851"/>
        <w:jc w:val="both"/>
        <w:rPr>
          <w:b/>
          <w:i/>
          <w:szCs w:val="24"/>
        </w:rPr>
      </w:pPr>
      <w:r w:rsidRPr="009E7C64">
        <w:rPr>
          <w:szCs w:val="24"/>
        </w:rPr>
        <w:t>Таким образом, можно сделать вывод, что зачастую</w:t>
      </w:r>
      <w:r w:rsidRPr="002978ED">
        <w:rPr>
          <w:b/>
          <w:i/>
          <w:szCs w:val="24"/>
        </w:rPr>
        <w:t xml:space="preserve"> мероприятия внутреннего финансового контроля и внутреннего финансового аудита проводятся </w:t>
      </w:r>
      <w:r w:rsidR="002978ED">
        <w:rPr>
          <w:b/>
          <w:i/>
          <w:szCs w:val="24"/>
        </w:rPr>
        <w:t xml:space="preserve">в органах исполнительной власти </w:t>
      </w:r>
      <w:r w:rsidRPr="002978ED">
        <w:rPr>
          <w:b/>
          <w:i/>
          <w:szCs w:val="24"/>
        </w:rPr>
        <w:t>либо формально, либо имеют низк</w:t>
      </w:r>
      <w:r w:rsidR="002978ED">
        <w:rPr>
          <w:b/>
          <w:i/>
          <w:szCs w:val="24"/>
        </w:rPr>
        <w:t>ую</w:t>
      </w:r>
      <w:r w:rsidRPr="002978ED">
        <w:rPr>
          <w:b/>
          <w:i/>
          <w:szCs w:val="24"/>
        </w:rPr>
        <w:t xml:space="preserve"> </w:t>
      </w:r>
      <w:r w:rsidR="002978ED">
        <w:rPr>
          <w:b/>
          <w:i/>
          <w:szCs w:val="24"/>
        </w:rPr>
        <w:t>результативность</w:t>
      </w:r>
      <w:r w:rsidRPr="002978ED">
        <w:rPr>
          <w:b/>
          <w:i/>
          <w:szCs w:val="24"/>
        </w:rPr>
        <w:t>.</w:t>
      </w:r>
    </w:p>
    <w:p w:rsidR="00220055" w:rsidRDefault="00220055" w:rsidP="00220055">
      <w:pPr>
        <w:ind w:firstLine="851"/>
        <w:jc w:val="both"/>
        <w:rPr>
          <w:szCs w:val="24"/>
        </w:rPr>
      </w:pPr>
      <w:r>
        <w:rPr>
          <w:szCs w:val="24"/>
        </w:rPr>
        <w:t xml:space="preserve">Вместе с тем </w:t>
      </w:r>
      <w:r w:rsidR="00B43A29">
        <w:rPr>
          <w:szCs w:val="24"/>
        </w:rPr>
        <w:t>проверками отмечены</w:t>
      </w:r>
      <w:r>
        <w:rPr>
          <w:szCs w:val="24"/>
        </w:rPr>
        <w:t xml:space="preserve"> и положительные результаты мероприятий внутреннего финансового контроля и</w:t>
      </w:r>
      <w:r w:rsidR="00201B31">
        <w:rPr>
          <w:szCs w:val="24"/>
        </w:rPr>
        <w:t xml:space="preserve"> внутреннего финансового</w:t>
      </w:r>
      <w:r>
        <w:rPr>
          <w:szCs w:val="24"/>
        </w:rPr>
        <w:t xml:space="preserve"> аудита.</w:t>
      </w:r>
    </w:p>
    <w:p w:rsidR="00220055" w:rsidRDefault="00201B31" w:rsidP="00220055">
      <w:pPr>
        <w:ind w:firstLine="851"/>
        <w:jc w:val="both"/>
        <w:rPr>
          <w:szCs w:val="24"/>
        </w:rPr>
      </w:pPr>
      <w:proofErr w:type="gramStart"/>
      <w:r>
        <w:rPr>
          <w:szCs w:val="24"/>
        </w:rPr>
        <w:t xml:space="preserve">Например, </w:t>
      </w:r>
      <w:r w:rsidR="00220055" w:rsidRPr="00080A79">
        <w:rPr>
          <w:b/>
          <w:i/>
          <w:szCs w:val="24"/>
        </w:rPr>
        <w:t>комитетом обеспечения безопасности жизнедеятельности населения</w:t>
      </w:r>
      <w:r w:rsidR="00220055" w:rsidRPr="00080A79">
        <w:rPr>
          <w:szCs w:val="24"/>
        </w:rPr>
        <w:t xml:space="preserve"> </w:t>
      </w:r>
      <w:r w:rsidR="00220055" w:rsidRPr="00201B31">
        <w:rPr>
          <w:b/>
          <w:i/>
          <w:szCs w:val="24"/>
        </w:rPr>
        <w:t>Волгоградской области</w:t>
      </w:r>
      <w:r w:rsidR="00220055" w:rsidRPr="00080A79">
        <w:rPr>
          <w:szCs w:val="24"/>
        </w:rPr>
        <w:t xml:space="preserve"> </w:t>
      </w:r>
      <w:r>
        <w:rPr>
          <w:szCs w:val="24"/>
        </w:rPr>
        <w:t>в</w:t>
      </w:r>
      <w:r w:rsidRPr="00080A79">
        <w:rPr>
          <w:szCs w:val="24"/>
        </w:rPr>
        <w:t xml:space="preserve"> ходе проведенных аудиторских проверок </w:t>
      </w:r>
      <w:r w:rsidR="00220055" w:rsidRPr="00080A79">
        <w:rPr>
          <w:szCs w:val="24"/>
        </w:rPr>
        <w:t>выявлен</w:t>
      </w:r>
      <w:r>
        <w:rPr>
          <w:szCs w:val="24"/>
        </w:rPr>
        <w:t>ы</w:t>
      </w:r>
      <w:r w:rsidR="00220055" w:rsidRPr="00080A79">
        <w:rPr>
          <w:szCs w:val="24"/>
        </w:rPr>
        <w:t xml:space="preserve"> нарушения при заполнении форм годовой бюджетной отчетности, несвоевременная актуализация карт внутреннего финансового контроля в подразделениях</w:t>
      </w:r>
      <w:r>
        <w:rPr>
          <w:szCs w:val="24"/>
        </w:rPr>
        <w:t xml:space="preserve"> комитета</w:t>
      </w:r>
      <w:r w:rsidR="00220055" w:rsidRPr="00080A79">
        <w:rPr>
          <w:szCs w:val="24"/>
        </w:rPr>
        <w:t>, ошибки при начислениях и выплате заработной платы, отсутствие инвентарных номеров</w:t>
      </w:r>
      <w:r>
        <w:rPr>
          <w:szCs w:val="24"/>
        </w:rPr>
        <w:t xml:space="preserve"> и</w:t>
      </w:r>
      <w:r w:rsidR="00220055" w:rsidRPr="00080A79">
        <w:rPr>
          <w:szCs w:val="24"/>
        </w:rPr>
        <w:t xml:space="preserve"> маркировки мягкого инвентаря, недочеты при утверждении штатного расписания</w:t>
      </w:r>
      <w:r>
        <w:rPr>
          <w:szCs w:val="24"/>
        </w:rPr>
        <w:t>,</w:t>
      </w:r>
      <w:r w:rsidR="00220055" w:rsidRPr="00080A79">
        <w:rPr>
          <w:szCs w:val="24"/>
        </w:rPr>
        <w:t xml:space="preserve"> недостатки при разработке и утверждении локальных нормативных актов </w:t>
      </w:r>
      <w:r>
        <w:rPr>
          <w:szCs w:val="24"/>
        </w:rPr>
        <w:t>подведо</w:t>
      </w:r>
      <w:r w:rsidR="003D7D97">
        <w:rPr>
          <w:szCs w:val="24"/>
        </w:rPr>
        <w:t>мствен</w:t>
      </w:r>
      <w:r w:rsidR="00220055" w:rsidRPr="00080A79">
        <w:rPr>
          <w:szCs w:val="24"/>
        </w:rPr>
        <w:t>ных учреждений.</w:t>
      </w:r>
      <w:proofErr w:type="gramEnd"/>
      <w:r w:rsidR="00220055" w:rsidRPr="00080A79">
        <w:rPr>
          <w:szCs w:val="24"/>
        </w:rPr>
        <w:t xml:space="preserve"> На дату проверки </w:t>
      </w:r>
      <w:r w:rsidR="003D7D97">
        <w:rPr>
          <w:szCs w:val="24"/>
        </w:rPr>
        <w:t xml:space="preserve">КСП </w:t>
      </w:r>
      <w:r w:rsidR="00220055" w:rsidRPr="00080A79">
        <w:rPr>
          <w:szCs w:val="24"/>
        </w:rPr>
        <w:t xml:space="preserve">выявленные нарушения </w:t>
      </w:r>
      <w:r w:rsidR="003D7D97">
        <w:rPr>
          <w:szCs w:val="24"/>
        </w:rPr>
        <w:t>в основном были</w:t>
      </w:r>
      <w:r w:rsidR="00220055" w:rsidRPr="00080A79">
        <w:rPr>
          <w:szCs w:val="24"/>
        </w:rPr>
        <w:t xml:space="preserve"> устранены, за исключением разработки и утверждения локальных нормативных актов, которые находятся в процессе согласования</w:t>
      </w:r>
      <w:r w:rsidR="00220055">
        <w:rPr>
          <w:szCs w:val="24"/>
        </w:rPr>
        <w:t>.</w:t>
      </w:r>
    </w:p>
    <w:p w:rsidR="00220055" w:rsidRPr="00080A79" w:rsidRDefault="00A714E5" w:rsidP="00220055">
      <w:pPr>
        <w:autoSpaceDE w:val="0"/>
        <w:autoSpaceDN w:val="0"/>
        <w:adjustRightInd w:val="0"/>
        <w:ind w:firstLine="720"/>
        <w:jc w:val="both"/>
        <w:rPr>
          <w:rFonts w:eastAsia="Calibri"/>
          <w:szCs w:val="24"/>
        </w:rPr>
      </w:pPr>
      <w:r>
        <w:rPr>
          <w:rFonts w:eastAsia="Calibri"/>
          <w:b/>
          <w:i/>
          <w:szCs w:val="24"/>
        </w:rPr>
        <w:t>К</w:t>
      </w:r>
      <w:r w:rsidR="00220055" w:rsidRPr="00080A79">
        <w:rPr>
          <w:rFonts w:eastAsia="Calibri"/>
          <w:b/>
          <w:i/>
          <w:szCs w:val="24"/>
        </w:rPr>
        <w:t>омитетом  здравоохранения</w:t>
      </w:r>
      <w:r w:rsidR="00220055" w:rsidRPr="00080A79">
        <w:rPr>
          <w:rFonts w:eastAsia="Calibri"/>
          <w:szCs w:val="24"/>
        </w:rPr>
        <w:t xml:space="preserve"> </w:t>
      </w:r>
      <w:r w:rsidR="00220055">
        <w:rPr>
          <w:rFonts w:eastAsia="Calibri"/>
          <w:szCs w:val="24"/>
        </w:rPr>
        <w:t xml:space="preserve"> </w:t>
      </w:r>
      <w:r w:rsidR="00220055" w:rsidRPr="00A714E5">
        <w:rPr>
          <w:rFonts w:eastAsia="Calibri"/>
          <w:b/>
          <w:i/>
          <w:szCs w:val="24"/>
        </w:rPr>
        <w:t>Волгоградской области</w:t>
      </w:r>
      <w:r w:rsidR="00220055">
        <w:rPr>
          <w:rFonts w:eastAsia="Calibri"/>
          <w:szCs w:val="24"/>
        </w:rPr>
        <w:t xml:space="preserve"> </w:t>
      </w:r>
      <w:r>
        <w:rPr>
          <w:rFonts w:eastAsia="Calibri"/>
          <w:szCs w:val="24"/>
        </w:rPr>
        <w:t>в</w:t>
      </w:r>
      <w:r w:rsidRPr="00080A79">
        <w:rPr>
          <w:rFonts w:eastAsia="Calibri"/>
          <w:szCs w:val="24"/>
        </w:rPr>
        <w:t xml:space="preserve"> 2017 году </w:t>
      </w:r>
      <w:r w:rsidR="00220055" w:rsidRPr="00080A79">
        <w:rPr>
          <w:rFonts w:eastAsia="Calibri"/>
          <w:szCs w:val="24"/>
        </w:rPr>
        <w:t xml:space="preserve">проведено 8 мероприятий внутреннего финансового аудита, в том числе 6 плановых и 2 внеплановых проверки, которыми выявлено финансовых нарушений на 125 млн. руб., </w:t>
      </w:r>
      <w:r>
        <w:rPr>
          <w:rFonts w:eastAsia="Calibri"/>
          <w:szCs w:val="24"/>
        </w:rPr>
        <w:t xml:space="preserve">на момент проверки КСП </w:t>
      </w:r>
      <w:r w:rsidR="00220055" w:rsidRPr="00080A79">
        <w:rPr>
          <w:rFonts w:eastAsia="Calibri"/>
          <w:szCs w:val="24"/>
        </w:rPr>
        <w:t>устранено 122,4 млн. руб., или 97,9</w:t>
      </w:r>
      <w:r>
        <w:rPr>
          <w:rFonts w:eastAsia="Calibri"/>
          <w:szCs w:val="24"/>
        </w:rPr>
        <w:t xml:space="preserve">% </w:t>
      </w:r>
      <w:proofErr w:type="gramStart"/>
      <w:r>
        <w:rPr>
          <w:rFonts w:eastAsia="Calibri"/>
          <w:szCs w:val="24"/>
        </w:rPr>
        <w:t>от</w:t>
      </w:r>
      <w:proofErr w:type="gramEnd"/>
      <w:r>
        <w:rPr>
          <w:rFonts w:eastAsia="Calibri"/>
          <w:szCs w:val="24"/>
        </w:rPr>
        <w:t xml:space="preserve"> выявленных</w:t>
      </w:r>
      <w:r w:rsidR="00220055" w:rsidRPr="00080A79">
        <w:rPr>
          <w:rFonts w:eastAsia="Calibri"/>
          <w:szCs w:val="24"/>
        </w:rPr>
        <w:t xml:space="preserve">. </w:t>
      </w:r>
    </w:p>
    <w:p w:rsidR="00667F94" w:rsidRDefault="00220055" w:rsidP="00220055">
      <w:pPr>
        <w:ind w:firstLine="851"/>
        <w:jc w:val="both"/>
      </w:pPr>
      <w:r>
        <w:rPr>
          <w:szCs w:val="24"/>
        </w:rPr>
        <w:t xml:space="preserve">Важность </w:t>
      </w:r>
      <w:r w:rsidR="00766E3B">
        <w:rPr>
          <w:szCs w:val="24"/>
        </w:rPr>
        <w:t xml:space="preserve">проведения </w:t>
      </w:r>
      <w:r>
        <w:rPr>
          <w:szCs w:val="24"/>
        </w:rPr>
        <w:t xml:space="preserve">финансового аудита подтверждается </w:t>
      </w:r>
      <w:r w:rsidR="00766E3B">
        <w:rPr>
          <w:szCs w:val="24"/>
        </w:rPr>
        <w:t xml:space="preserve">и вновь принимаемыми Правительством РФ нормативными актами, например, </w:t>
      </w:r>
      <w:r>
        <w:rPr>
          <w:szCs w:val="24"/>
        </w:rPr>
        <w:t>К</w:t>
      </w:r>
      <w:r>
        <w:t>онцепцией модернизации бюджетного процесса с внедрением процедуры финансового аудита</w:t>
      </w:r>
      <w:r w:rsidR="00766E3B">
        <w:t xml:space="preserve">, </w:t>
      </w:r>
      <w:r w:rsidR="00766E3B">
        <w:rPr>
          <w:szCs w:val="24"/>
        </w:rPr>
        <w:t>утвержденной распоряжение Правительства РФ 18.04.2018 №694-р</w:t>
      </w:r>
      <w:r>
        <w:t xml:space="preserve">. </w:t>
      </w:r>
    </w:p>
    <w:p w:rsidR="00220055" w:rsidRPr="002855E6" w:rsidRDefault="00220055" w:rsidP="00220055">
      <w:pPr>
        <w:ind w:firstLine="851"/>
        <w:jc w:val="both"/>
        <w:rPr>
          <w:rFonts w:eastAsia="Calibri"/>
          <w:szCs w:val="24"/>
          <w:lang w:eastAsia="en-US"/>
        </w:rPr>
      </w:pPr>
      <w:proofErr w:type="gramStart"/>
      <w:r>
        <w:rPr>
          <w:szCs w:val="24"/>
        </w:rPr>
        <w:t xml:space="preserve">В этой связи </w:t>
      </w:r>
      <w:r w:rsidR="00667F94">
        <w:rPr>
          <w:szCs w:val="24"/>
        </w:rPr>
        <w:t>следует</w:t>
      </w:r>
      <w:r w:rsidRPr="005E1585">
        <w:rPr>
          <w:szCs w:val="24"/>
        </w:rPr>
        <w:t xml:space="preserve"> </w:t>
      </w:r>
      <w:r w:rsidR="001060CB">
        <w:rPr>
          <w:szCs w:val="24"/>
        </w:rPr>
        <w:t xml:space="preserve">также </w:t>
      </w:r>
      <w:r w:rsidRPr="005E1585">
        <w:rPr>
          <w:szCs w:val="24"/>
        </w:rPr>
        <w:t xml:space="preserve">отметить, что </w:t>
      </w:r>
      <w:r>
        <w:rPr>
          <w:szCs w:val="24"/>
        </w:rPr>
        <w:t>постановлением Правительства РФ от 24.03.2018 №325 в</w:t>
      </w:r>
      <w:r w:rsidRPr="002855E6">
        <w:rPr>
          <w:rFonts w:eastAsia="Calibri"/>
          <w:szCs w:val="24"/>
          <w:lang w:eastAsia="en-US"/>
        </w:rPr>
        <w:t xml:space="preserve"> </w:t>
      </w:r>
      <w:r w:rsidR="001060CB">
        <w:rPr>
          <w:rFonts w:eastAsia="Calibri"/>
          <w:szCs w:val="24"/>
          <w:lang w:eastAsia="en-US"/>
        </w:rPr>
        <w:t>П</w:t>
      </w:r>
      <w:r w:rsidRPr="002855E6">
        <w:rPr>
          <w:rFonts w:eastAsia="Calibri"/>
          <w:szCs w:val="24"/>
          <w:lang w:eastAsia="en-US"/>
        </w:rPr>
        <w:t xml:space="preserve">равила осуществления </w:t>
      </w:r>
      <w:r w:rsidR="001060CB">
        <w:t xml:space="preserve">главными распорядителями (распорядителями) средств федерального бюджета, главными администраторами (администраторами) доходов федерального бюджета, главными администраторами (администраторами) источников финансирования дефицита федерального бюджета </w:t>
      </w:r>
      <w:r w:rsidRPr="002855E6">
        <w:rPr>
          <w:rFonts w:eastAsia="Calibri"/>
          <w:szCs w:val="24"/>
          <w:lang w:eastAsia="en-US"/>
        </w:rPr>
        <w:t xml:space="preserve">внутреннего финансового контроля и внутреннего финансового аудита, утвержденные </w:t>
      </w:r>
      <w:r w:rsidR="001060CB">
        <w:t>постановлением Правительства РФ от 17.03.2014 №193</w:t>
      </w:r>
      <w:r w:rsidRPr="002855E6">
        <w:rPr>
          <w:rFonts w:eastAsia="Calibri"/>
          <w:szCs w:val="24"/>
          <w:lang w:eastAsia="en-US"/>
        </w:rPr>
        <w:t>, внесен ряд изменений.</w:t>
      </w:r>
      <w:proofErr w:type="gramEnd"/>
      <w:r w:rsidRPr="002855E6">
        <w:rPr>
          <w:rFonts w:eastAsia="Calibri"/>
          <w:szCs w:val="24"/>
          <w:lang w:eastAsia="en-US"/>
        </w:rPr>
        <w:t xml:space="preserve"> </w:t>
      </w:r>
      <w:r w:rsidR="001060CB">
        <w:rPr>
          <w:rFonts w:eastAsia="Calibri"/>
          <w:szCs w:val="24"/>
          <w:lang w:eastAsia="en-US"/>
        </w:rPr>
        <w:t xml:space="preserve">Изменения </w:t>
      </w:r>
      <w:r w:rsidRPr="002855E6">
        <w:rPr>
          <w:rFonts w:eastAsia="Calibri"/>
          <w:szCs w:val="24"/>
          <w:lang w:eastAsia="en-US"/>
        </w:rPr>
        <w:t xml:space="preserve">вступают в силу с </w:t>
      </w:r>
      <w:r w:rsidR="001060CB">
        <w:rPr>
          <w:rFonts w:eastAsia="Calibri"/>
          <w:szCs w:val="24"/>
          <w:lang w:eastAsia="en-US"/>
        </w:rPr>
        <w:t>0</w:t>
      </w:r>
      <w:r w:rsidRPr="002855E6">
        <w:rPr>
          <w:rFonts w:eastAsia="Calibri"/>
          <w:szCs w:val="24"/>
          <w:lang w:eastAsia="en-US"/>
        </w:rPr>
        <w:t>5</w:t>
      </w:r>
      <w:r w:rsidR="001060CB">
        <w:rPr>
          <w:rFonts w:eastAsia="Calibri"/>
          <w:szCs w:val="24"/>
          <w:lang w:eastAsia="en-US"/>
        </w:rPr>
        <w:t>.04.2018 и</w:t>
      </w:r>
      <w:r w:rsidRPr="002855E6">
        <w:rPr>
          <w:rFonts w:eastAsia="Calibri"/>
          <w:szCs w:val="24"/>
          <w:lang w:eastAsia="en-US"/>
        </w:rPr>
        <w:t xml:space="preserve"> заключаются в следующем:</w:t>
      </w:r>
    </w:p>
    <w:p w:rsidR="00220055" w:rsidRPr="002855E6" w:rsidRDefault="00220055" w:rsidP="00220055">
      <w:pPr>
        <w:autoSpaceDE w:val="0"/>
        <w:autoSpaceDN w:val="0"/>
        <w:adjustRightInd w:val="0"/>
        <w:ind w:firstLine="539"/>
        <w:jc w:val="both"/>
        <w:rPr>
          <w:rFonts w:eastAsia="Calibri"/>
          <w:szCs w:val="24"/>
          <w:lang w:eastAsia="en-US"/>
        </w:rPr>
      </w:pPr>
      <w:r w:rsidRPr="002855E6">
        <w:rPr>
          <w:rFonts w:eastAsia="Calibri"/>
          <w:szCs w:val="24"/>
          <w:lang w:eastAsia="en-US"/>
        </w:rPr>
        <w:t>-скорректирован порядок формирования и актуализации карты внутреннего финансового контроля;</w:t>
      </w:r>
    </w:p>
    <w:p w:rsidR="00220055" w:rsidRPr="002855E6" w:rsidRDefault="00220055" w:rsidP="00220055">
      <w:pPr>
        <w:autoSpaceDE w:val="0"/>
        <w:autoSpaceDN w:val="0"/>
        <w:adjustRightInd w:val="0"/>
        <w:ind w:firstLine="539"/>
        <w:jc w:val="both"/>
        <w:rPr>
          <w:rFonts w:eastAsia="Calibri"/>
          <w:szCs w:val="24"/>
          <w:lang w:eastAsia="en-US"/>
        </w:rPr>
      </w:pPr>
      <w:r w:rsidRPr="002855E6">
        <w:rPr>
          <w:rFonts w:eastAsia="Calibri"/>
          <w:szCs w:val="24"/>
          <w:lang w:eastAsia="en-US"/>
        </w:rPr>
        <w:t xml:space="preserve">-введен порядок оценки бюджетного риска при проведении </w:t>
      </w:r>
      <w:proofErr w:type="spellStart"/>
      <w:r w:rsidRPr="002855E6">
        <w:rPr>
          <w:rFonts w:eastAsia="Calibri"/>
          <w:szCs w:val="24"/>
          <w:lang w:eastAsia="en-US"/>
        </w:rPr>
        <w:t>финконтроля</w:t>
      </w:r>
      <w:proofErr w:type="spellEnd"/>
      <w:r w:rsidRPr="002855E6">
        <w:rPr>
          <w:rFonts w:eastAsia="Calibri"/>
          <w:szCs w:val="24"/>
          <w:lang w:eastAsia="en-US"/>
        </w:rPr>
        <w:t xml:space="preserve">, даны определения понятиям </w:t>
      </w:r>
      <w:r>
        <w:rPr>
          <w:rFonts w:eastAsia="Calibri"/>
          <w:szCs w:val="24"/>
          <w:lang w:eastAsia="en-US"/>
        </w:rPr>
        <w:t>«</w:t>
      </w:r>
      <w:r w:rsidRPr="002855E6">
        <w:rPr>
          <w:rFonts w:eastAsia="Calibri"/>
          <w:szCs w:val="24"/>
          <w:lang w:eastAsia="en-US"/>
        </w:rPr>
        <w:t>вероятность</w:t>
      </w:r>
      <w:r>
        <w:rPr>
          <w:rFonts w:eastAsia="Calibri"/>
          <w:szCs w:val="24"/>
          <w:lang w:eastAsia="en-US"/>
        </w:rPr>
        <w:t>»</w:t>
      </w:r>
      <w:r w:rsidRPr="002855E6">
        <w:rPr>
          <w:rFonts w:eastAsia="Calibri"/>
          <w:szCs w:val="24"/>
          <w:lang w:eastAsia="en-US"/>
        </w:rPr>
        <w:t xml:space="preserve"> и </w:t>
      </w:r>
      <w:r>
        <w:rPr>
          <w:rFonts w:eastAsia="Calibri"/>
          <w:szCs w:val="24"/>
          <w:lang w:eastAsia="en-US"/>
        </w:rPr>
        <w:t>«</w:t>
      </w:r>
      <w:r w:rsidRPr="002855E6">
        <w:rPr>
          <w:rFonts w:eastAsia="Calibri"/>
          <w:szCs w:val="24"/>
          <w:lang w:eastAsia="en-US"/>
        </w:rPr>
        <w:t>степень влияния</w:t>
      </w:r>
      <w:r>
        <w:rPr>
          <w:rFonts w:eastAsia="Calibri"/>
          <w:szCs w:val="24"/>
          <w:lang w:eastAsia="en-US"/>
        </w:rPr>
        <w:t>»</w:t>
      </w:r>
      <w:r w:rsidRPr="002855E6">
        <w:rPr>
          <w:rFonts w:eastAsia="Calibri"/>
          <w:szCs w:val="24"/>
          <w:lang w:eastAsia="en-US"/>
        </w:rPr>
        <w:t>, описано, что относится к коррупционно опасным операциям;</w:t>
      </w:r>
    </w:p>
    <w:p w:rsidR="00220055" w:rsidRPr="002855E6" w:rsidRDefault="00220055" w:rsidP="00220055">
      <w:pPr>
        <w:autoSpaceDE w:val="0"/>
        <w:autoSpaceDN w:val="0"/>
        <w:adjustRightInd w:val="0"/>
        <w:ind w:firstLine="539"/>
        <w:jc w:val="both"/>
        <w:rPr>
          <w:rFonts w:eastAsia="Calibri"/>
          <w:szCs w:val="24"/>
          <w:lang w:eastAsia="en-US"/>
        </w:rPr>
      </w:pPr>
      <w:r w:rsidRPr="002855E6">
        <w:rPr>
          <w:rFonts w:eastAsia="Calibri"/>
          <w:szCs w:val="24"/>
          <w:lang w:eastAsia="en-US"/>
        </w:rPr>
        <w:t>-уточнено, что входит во внутренний финансовый аудит;</w:t>
      </w:r>
    </w:p>
    <w:p w:rsidR="00220055" w:rsidRDefault="00220055" w:rsidP="00220055">
      <w:pPr>
        <w:autoSpaceDE w:val="0"/>
        <w:autoSpaceDN w:val="0"/>
        <w:adjustRightInd w:val="0"/>
        <w:ind w:firstLine="539"/>
        <w:jc w:val="both"/>
        <w:rPr>
          <w:rFonts w:eastAsia="Calibri"/>
          <w:szCs w:val="24"/>
          <w:lang w:eastAsia="en-US"/>
        </w:rPr>
      </w:pPr>
      <w:r w:rsidRPr="002855E6">
        <w:rPr>
          <w:rFonts w:eastAsia="Calibri"/>
          <w:szCs w:val="24"/>
          <w:lang w:eastAsia="en-US"/>
        </w:rPr>
        <w:t>-закреплено, что подход, основанный на оценке бюджетных рисков, применяется при аудиторской проверке достоверности бюджетной отчетности.</w:t>
      </w:r>
    </w:p>
    <w:p w:rsidR="00220055" w:rsidRPr="00B83BF4" w:rsidRDefault="00220055" w:rsidP="00FB1C44">
      <w:pPr>
        <w:autoSpaceDE w:val="0"/>
        <w:autoSpaceDN w:val="0"/>
        <w:adjustRightInd w:val="0"/>
        <w:ind w:firstLine="540"/>
        <w:jc w:val="both"/>
        <w:rPr>
          <w:rFonts w:eastAsia="Calibri"/>
          <w:szCs w:val="24"/>
          <w:lang w:eastAsia="en-US"/>
        </w:rPr>
      </w:pPr>
      <w:r>
        <w:rPr>
          <w:rFonts w:eastAsia="Calibri"/>
          <w:szCs w:val="24"/>
          <w:lang w:eastAsia="en-US"/>
        </w:rPr>
        <w:t xml:space="preserve">Также приказом Минфина РФ от 29.12.2017 №1401 </w:t>
      </w:r>
      <w:r w:rsidR="0022217E">
        <w:rPr>
          <w:rFonts w:eastAsia="Calibri"/>
          <w:szCs w:val="24"/>
          <w:lang w:eastAsia="en-US"/>
        </w:rPr>
        <w:t xml:space="preserve">были </w:t>
      </w:r>
      <w:r>
        <w:rPr>
          <w:rFonts w:eastAsia="Calibri"/>
          <w:szCs w:val="24"/>
          <w:lang w:eastAsia="en-US"/>
        </w:rPr>
        <w:t>внесены изменения в Методические рекомендации по осуществлению внутреннего финансового аудита.</w:t>
      </w:r>
      <w:r w:rsidR="00641832">
        <w:rPr>
          <w:rFonts w:eastAsia="Calibri"/>
          <w:szCs w:val="24"/>
          <w:lang w:eastAsia="en-US"/>
        </w:rPr>
        <w:t xml:space="preserve"> Данным </w:t>
      </w:r>
      <w:r w:rsidRPr="00B83BF4">
        <w:rPr>
          <w:rFonts w:eastAsia="Calibri"/>
          <w:szCs w:val="24"/>
          <w:lang w:eastAsia="en-US"/>
        </w:rPr>
        <w:t xml:space="preserve">приказом ведомство, по сути, </w:t>
      </w:r>
      <w:proofErr w:type="spellStart"/>
      <w:r w:rsidRPr="00B83BF4">
        <w:rPr>
          <w:rFonts w:eastAsia="Calibri"/>
          <w:szCs w:val="24"/>
          <w:lang w:eastAsia="en-US"/>
        </w:rPr>
        <w:t>переутвердило</w:t>
      </w:r>
      <w:proofErr w:type="spellEnd"/>
      <w:r w:rsidRPr="00B83BF4">
        <w:rPr>
          <w:rFonts w:eastAsia="Calibri"/>
          <w:szCs w:val="24"/>
          <w:lang w:eastAsia="en-US"/>
        </w:rPr>
        <w:t xml:space="preserve"> методические рекомендации, </w:t>
      </w:r>
      <w:r w:rsidR="00641832">
        <w:rPr>
          <w:rFonts w:eastAsia="Calibri"/>
          <w:szCs w:val="24"/>
          <w:lang w:eastAsia="en-US"/>
        </w:rPr>
        <w:t>утвержденные</w:t>
      </w:r>
      <w:r w:rsidRPr="00B83BF4">
        <w:rPr>
          <w:rFonts w:eastAsia="Calibri"/>
          <w:szCs w:val="24"/>
          <w:lang w:eastAsia="en-US"/>
        </w:rPr>
        <w:t xml:space="preserve"> год</w:t>
      </w:r>
      <w:r>
        <w:rPr>
          <w:rFonts w:eastAsia="Calibri"/>
          <w:szCs w:val="24"/>
          <w:lang w:eastAsia="en-US"/>
        </w:rPr>
        <w:t>ом</w:t>
      </w:r>
      <w:r w:rsidRPr="00B83BF4">
        <w:rPr>
          <w:rFonts w:eastAsia="Calibri"/>
          <w:szCs w:val="24"/>
          <w:lang w:eastAsia="en-US"/>
        </w:rPr>
        <w:t xml:space="preserve"> </w:t>
      </w:r>
      <w:r>
        <w:rPr>
          <w:rFonts w:eastAsia="Calibri"/>
          <w:szCs w:val="24"/>
          <w:lang w:eastAsia="en-US"/>
        </w:rPr>
        <w:t>ранее</w:t>
      </w:r>
      <w:r w:rsidRPr="00B83BF4">
        <w:rPr>
          <w:rFonts w:eastAsia="Calibri"/>
          <w:szCs w:val="24"/>
          <w:lang w:eastAsia="en-US"/>
        </w:rPr>
        <w:t>.</w:t>
      </w:r>
      <w:r w:rsidR="00641832">
        <w:rPr>
          <w:rFonts w:eastAsia="Calibri"/>
          <w:szCs w:val="24"/>
          <w:lang w:eastAsia="en-US"/>
        </w:rPr>
        <w:t xml:space="preserve"> В частности у</w:t>
      </w:r>
      <w:r w:rsidRPr="00B83BF4">
        <w:rPr>
          <w:rFonts w:eastAsia="Calibri"/>
          <w:szCs w:val="24"/>
          <w:lang w:eastAsia="en-US"/>
        </w:rPr>
        <w:t>точнен перечень субъектов, на которые распространя</w:t>
      </w:r>
      <w:r w:rsidR="00F66927">
        <w:rPr>
          <w:rFonts w:eastAsia="Calibri"/>
          <w:szCs w:val="24"/>
          <w:lang w:eastAsia="en-US"/>
        </w:rPr>
        <w:t>ются методические рекомендации</w:t>
      </w:r>
      <w:r w:rsidR="00605C45">
        <w:rPr>
          <w:rFonts w:eastAsia="Calibri"/>
          <w:szCs w:val="24"/>
          <w:lang w:eastAsia="en-US"/>
        </w:rPr>
        <w:t xml:space="preserve">. </w:t>
      </w:r>
      <w:r w:rsidR="00605C45" w:rsidRPr="00B83BF4">
        <w:rPr>
          <w:rFonts w:eastAsia="Calibri"/>
          <w:szCs w:val="24"/>
          <w:lang w:eastAsia="en-US"/>
        </w:rPr>
        <w:t xml:space="preserve">К ним отнесены главные распорядители и главные администраторы доходов и источников финансирования дефицита бюджета, </w:t>
      </w:r>
      <w:r w:rsidR="00605C45" w:rsidRPr="00605C45">
        <w:rPr>
          <w:rFonts w:eastAsia="Calibri"/>
          <w:szCs w:val="24"/>
          <w:u w:val="single"/>
          <w:lang w:eastAsia="en-US"/>
        </w:rPr>
        <w:t>а также распорядители и администраторы, которые имеют в своем ведении получателей бюджетных средств</w:t>
      </w:r>
      <w:r w:rsidR="00605C45" w:rsidRPr="00B83BF4">
        <w:rPr>
          <w:rFonts w:eastAsia="Calibri"/>
          <w:szCs w:val="24"/>
          <w:lang w:eastAsia="en-US"/>
        </w:rPr>
        <w:t>, администраторы доходов и источников финансирования дефицита бюджета. Все они, как и ранее, названы главными администраторами (администраторами).</w:t>
      </w:r>
      <w:r w:rsidR="00FB1C44">
        <w:rPr>
          <w:rFonts w:eastAsia="Calibri"/>
          <w:szCs w:val="24"/>
          <w:lang w:eastAsia="en-US"/>
        </w:rPr>
        <w:t xml:space="preserve"> Кроме этого, </w:t>
      </w:r>
      <w:r w:rsidR="00F66927">
        <w:rPr>
          <w:rFonts w:eastAsia="Calibri"/>
          <w:szCs w:val="24"/>
          <w:lang w:eastAsia="en-US"/>
        </w:rPr>
        <w:t xml:space="preserve"> </w:t>
      </w:r>
      <w:r w:rsidRPr="00B83BF4">
        <w:rPr>
          <w:rFonts w:eastAsia="Calibri"/>
          <w:szCs w:val="24"/>
          <w:lang w:eastAsia="en-US"/>
        </w:rPr>
        <w:t>установлено, что считается нарушением и бюджетным риском при проведении внутреннего фин</w:t>
      </w:r>
      <w:r w:rsidR="007A4E04">
        <w:rPr>
          <w:rFonts w:eastAsia="Calibri"/>
          <w:szCs w:val="24"/>
          <w:lang w:eastAsia="en-US"/>
        </w:rPr>
        <w:t xml:space="preserve">ансового </w:t>
      </w:r>
      <w:r w:rsidRPr="00B83BF4">
        <w:rPr>
          <w:rFonts w:eastAsia="Calibri"/>
          <w:szCs w:val="24"/>
          <w:lang w:eastAsia="en-US"/>
        </w:rPr>
        <w:t>аудита</w:t>
      </w:r>
      <w:r w:rsidR="00F66927">
        <w:rPr>
          <w:rFonts w:eastAsia="Calibri"/>
          <w:szCs w:val="24"/>
          <w:lang w:eastAsia="en-US"/>
        </w:rPr>
        <w:t xml:space="preserve">, </w:t>
      </w:r>
      <w:r w:rsidRPr="00B83BF4">
        <w:rPr>
          <w:rFonts w:eastAsia="Calibri"/>
          <w:szCs w:val="24"/>
          <w:lang w:eastAsia="en-US"/>
        </w:rPr>
        <w:t xml:space="preserve">перечислено, какие операции относятся </w:t>
      </w:r>
      <w:proofErr w:type="gramStart"/>
      <w:r w:rsidRPr="00B83BF4">
        <w:rPr>
          <w:rFonts w:eastAsia="Calibri"/>
          <w:szCs w:val="24"/>
          <w:lang w:eastAsia="en-US"/>
        </w:rPr>
        <w:t>к</w:t>
      </w:r>
      <w:proofErr w:type="gramEnd"/>
      <w:r w:rsidRPr="00B83BF4">
        <w:rPr>
          <w:rFonts w:eastAsia="Calibri"/>
          <w:szCs w:val="24"/>
          <w:lang w:eastAsia="en-US"/>
        </w:rPr>
        <w:t xml:space="preserve"> </w:t>
      </w:r>
      <w:hyperlink r:id="rId11" w:history="1">
        <w:r w:rsidRPr="00B83BF4">
          <w:rPr>
            <w:rFonts w:eastAsia="Calibri"/>
            <w:szCs w:val="24"/>
            <w:lang w:eastAsia="en-US"/>
          </w:rPr>
          <w:t>коррупционно-опасным</w:t>
        </w:r>
      </w:hyperlink>
      <w:r w:rsidR="00F66927">
        <w:t xml:space="preserve"> и д</w:t>
      </w:r>
      <w:r w:rsidR="00726D54">
        <w:t>ругие вопросы</w:t>
      </w:r>
      <w:r w:rsidR="00F66927">
        <w:t>.</w:t>
      </w:r>
    </w:p>
    <w:p w:rsidR="00D62A31" w:rsidRPr="000F26D8" w:rsidRDefault="002D54E9" w:rsidP="00B24ACA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0F26D8">
        <w:rPr>
          <w:b/>
        </w:rPr>
        <w:lastRenderedPageBreak/>
        <w:t xml:space="preserve">Выполнение </w:t>
      </w:r>
      <w:r w:rsidR="000F26D8" w:rsidRPr="000F26D8">
        <w:rPr>
          <w:b/>
        </w:rPr>
        <w:t xml:space="preserve">Администрацией </w:t>
      </w:r>
      <w:r w:rsidR="00947D82" w:rsidRPr="000F26D8">
        <w:rPr>
          <w:b/>
        </w:rPr>
        <w:t xml:space="preserve">Волгоградской области и </w:t>
      </w:r>
      <w:r w:rsidRPr="000F26D8">
        <w:rPr>
          <w:b/>
        </w:rPr>
        <w:t>главными</w:t>
      </w:r>
      <w:r w:rsidR="00E64265" w:rsidRPr="000F26D8">
        <w:rPr>
          <w:b/>
        </w:rPr>
        <w:t xml:space="preserve"> </w:t>
      </w:r>
      <w:r w:rsidRPr="000F26D8">
        <w:rPr>
          <w:b/>
        </w:rPr>
        <w:t>администраторами средств областного бюджета</w:t>
      </w:r>
      <w:r w:rsidR="00947D82" w:rsidRPr="000F26D8">
        <w:rPr>
          <w:b/>
        </w:rPr>
        <w:t xml:space="preserve"> рекомендаций </w:t>
      </w:r>
      <w:r w:rsidRPr="000F26D8">
        <w:rPr>
          <w:b/>
        </w:rPr>
        <w:t>КСП</w:t>
      </w:r>
    </w:p>
    <w:p w:rsidR="00947D82" w:rsidRPr="000F26D8" w:rsidRDefault="002D54E9" w:rsidP="00B24ACA">
      <w:pPr>
        <w:ind w:left="1080"/>
        <w:jc w:val="center"/>
        <w:rPr>
          <w:b/>
        </w:rPr>
      </w:pPr>
      <w:r w:rsidRPr="000F26D8">
        <w:rPr>
          <w:b/>
        </w:rPr>
        <w:t>по результатам  внешних проверок бюджетной отчетности</w:t>
      </w:r>
      <w:r w:rsidR="00B21F9C">
        <w:rPr>
          <w:b/>
        </w:rPr>
        <w:t xml:space="preserve"> </w:t>
      </w:r>
      <w:r w:rsidR="00947D82" w:rsidRPr="000F26D8">
        <w:rPr>
          <w:b/>
        </w:rPr>
        <w:t>за 201</w:t>
      </w:r>
      <w:r w:rsidR="00B21F9C">
        <w:rPr>
          <w:b/>
        </w:rPr>
        <w:t>6</w:t>
      </w:r>
      <w:r w:rsidR="00947D82" w:rsidRPr="000F26D8">
        <w:rPr>
          <w:b/>
        </w:rPr>
        <w:t xml:space="preserve"> год.</w:t>
      </w:r>
    </w:p>
    <w:p w:rsidR="00C25E1C" w:rsidRDefault="00C25E1C" w:rsidP="00D62A31">
      <w:pPr>
        <w:ind w:left="1080"/>
        <w:jc w:val="center"/>
        <w:rPr>
          <w:b/>
        </w:rPr>
      </w:pPr>
    </w:p>
    <w:p w:rsidR="00373B76" w:rsidRDefault="00373B76" w:rsidP="00373B76">
      <w:pPr>
        <w:jc w:val="both"/>
      </w:pPr>
      <w:r>
        <w:tab/>
        <w:t xml:space="preserve">В заключении о результатах внешней проверки исполнения Закона Волгоградской области «Об областном бюджете на 2016 год и на плановый период 2017 и 2018 годов» (в части исполнения областного бюджета за 2016 год) КСП сформировала в адрес Администрации Волгоградской области 8 рекомендаций по устранению выявленных нарушений и недостатков. При проведении настоящей проверки подведены итоги выполнения указанных рекомендаций. В результате 2 рекомендации сняты с контроля,  выполнены полностью либо частично 5 предложений палаты, или 83,3% от их общего числа без учета снятых с контроля </w:t>
      </w:r>
      <w:r w:rsidRPr="00063F05">
        <w:rPr>
          <w:b/>
          <w:i/>
          <w:u w:val="single"/>
        </w:rPr>
        <w:t>(приложение №</w:t>
      </w:r>
      <w:r w:rsidR="00A976A1">
        <w:rPr>
          <w:b/>
          <w:i/>
          <w:u w:val="single"/>
        </w:rPr>
        <w:t>5</w:t>
      </w:r>
      <w:r>
        <w:rPr>
          <w:b/>
          <w:i/>
          <w:u w:val="single"/>
        </w:rPr>
        <w:t>)</w:t>
      </w:r>
      <w:r>
        <w:t>. Рекомендация, срок исполнения которой не наступил, продолжа</w:t>
      </w:r>
      <w:r w:rsidR="00A654A9">
        <w:t>е</w:t>
      </w:r>
      <w:r>
        <w:t xml:space="preserve">т оставаться на контроле у КСП.    </w:t>
      </w:r>
    </w:p>
    <w:p w:rsidR="00373B76" w:rsidRDefault="00373B76" w:rsidP="00373B76">
      <w:pPr>
        <w:jc w:val="both"/>
      </w:pPr>
      <w:r>
        <w:tab/>
      </w:r>
      <w:r w:rsidR="002B4BE8">
        <w:t xml:space="preserve"> </w:t>
      </w:r>
      <w:r w:rsidR="002B4BE8" w:rsidRPr="00EB4A50">
        <w:t xml:space="preserve">Помимо этого, по результатам внешних </w:t>
      </w:r>
      <w:proofErr w:type="gramStart"/>
      <w:r w:rsidR="002B4BE8" w:rsidRPr="00EB4A50">
        <w:t>проверок бюджетной отчетности главных администраторов средств областного бюджета</w:t>
      </w:r>
      <w:proofErr w:type="gramEnd"/>
      <w:r w:rsidR="002B4BE8" w:rsidRPr="00EB4A50">
        <w:t xml:space="preserve"> за 2016 год в адрес проверенных </w:t>
      </w:r>
      <w:proofErr w:type="spellStart"/>
      <w:r w:rsidR="002B4BE8" w:rsidRPr="00EB4A50">
        <w:t>ГАБСов</w:t>
      </w:r>
      <w:proofErr w:type="spellEnd"/>
      <w:r w:rsidR="002B4BE8" w:rsidRPr="00EB4A50">
        <w:t xml:space="preserve"> также был</w:t>
      </w:r>
      <w:r w:rsidR="002B4BE8">
        <w:t>о</w:t>
      </w:r>
      <w:r w:rsidR="002B4BE8" w:rsidRPr="00EB4A50">
        <w:t xml:space="preserve"> направлен</w:t>
      </w:r>
      <w:r w:rsidR="002B4BE8">
        <w:t xml:space="preserve">о 125 </w:t>
      </w:r>
      <w:r w:rsidR="002B4BE8" w:rsidRPr="00EB4A50">
        <w:t>рекомендаци</w:t>
      </w:r>
      <w:r w:rsidR="002B4BE8">
        <w:t>й</w:t>
      </w:r>
      <w:r w:rsidR="002B4BE8" w:rsidRPr="00EB4A50">
        <w:t>, содержащи</w:t>
      </w:r>
      <w:r w:rsidR="002B4BE8">
        <w:t>х</w:t>
      </w:r>
      <w:r w:rsidR="002B4BE8" w:rsidRPr="00EB4A50">
        <w:t xml:space="preserve">ся в представлениях </w:t>
      </w:r>
      <w:r w:rsidR="002B4BE8">
        <w:t xml:space="preserve">и информационных письмах </w:t>
      </w:r>
      <w:r w:rsidR="002B4BE8" w:rsidRPr="00EB4A50">
        <w:t>КСП, которыми предлагалось устранить выявленные проверками нарушения</w:t>
      </w:r>
      <w:r w:rsidR="002B4BE8">
        <w:t xml:space="preserve"> и недостатки</w:t>
      </w:r>
      <w:r w:rsidR="002B4BE8" w:rsidRPr="00EB4A50">
        <w:t xml:space="preserve">. На </w:t>
      </w:r>
      <w:r w:rsidR="002B4BE8">
        <w:t xml:space="preserve">дату подготовки настоящего заключения </w:t>
      </w:r>
      <w:r w:rsidR="002B4BE8" w:rsidRPr="00EB4A50">
        <w:t xml:space="preserve">на контроле </w:t>
      </w:r>
      <w:r w:rsidR="002B4BE8">
        <w:t xml:space="preserve">у КСП </w:t>
      </w:r>
      <w:r w:rsidR="002B4BE8" w:rsidRPr="00EB4A50">
        <w:t>оставалось 4 предложения, из которых 1 выполнено</w:t>
      </w:r>
      <w:r w:rsidR="002B4BE8">
        <w:t>,</w:t>
      </w:r>
      <w:r w:rsidR="002B4BE8" w:rsidRPr="00EB4A50">
        <w:t xml:space="preserve"> 1 снято с контроля</w:t>
      </w:r>
      <w:r w:rsidR="002B4BE8">
        <w:t xml:space="preserve"> в связи с утратой актуальности выполнения</w:t>
      </w:r>
      <w:r w:rsidR="002B4BE8" w:rsidRPr="00EB4A50">
        <w:t xml:space="preserve">, реализация </w:t>
      </w:r>
      <w:r w:rsidR="002B4BE8">
        <w:t>еще</w:t>
      </w:r>
      <w:r w:rsidR="002B4BE8" w:rsidRPr="00EB4A50">
        <w:t xml:space="preserve"> 2 рекомендаций остается на контроле КСП </w:t>
      </w:r>
      <w:r w:rsidR="002B4BE8" w:rsidRPr="00EB4A50">
        <w:rPr>
          <w:b/>
          <w:i/>
          <w:u w:val="single"/>
        </w:rPr>
        <w:t>(приложение №</w:t>
      </w:r>
      <w:r w:rsidR="00A976A1">
        <w:rPr>
          <w:b/>
          <w:i/>
          <w:u w:val="single"/>
        </w:rPr>
        <w:t>6</w:t>
      </w:r>
      <w:r w:rsidR="002B4BE8" w:rsidRPr="00EB4A50">
        <w:rPr>
          <w:b/>
          <w:i/>
          <w:u w:val="single"/>
        </w:rPr>
        <w:t>).</w:t>
      </w:r>
    </w:p>
    <w:p w:rsidR="00373B76" w:rsidRDefault="00373B76" w:rsidP="00373B76">
      <w:pPr>
        <w:ind w:left="1080"/>
        <w:jc w:val="both"/>
        <w:rPr>
          <w:b/>
        </w:rPr>
      </w:pPr>
    </w:p>
    <w:p w:rsidR="002B4BE8" w:rsidRDefault="002B4BE8" w:rsidP="002B4BE8">
      <w:pPr>
        <w:ind w:firstLine="708"/>
        <w:jc w:val="both"/>
        <w:rPr>
          <w:b/>
          <w:i/>
          <w:u w:val="single"/>
        </w:rPr>
      </w:pPr>
      <w:r w:rsidRPr="00B77CA9">
        <w:rPr>
          <w:b/>
        </w:rPr>
        <w:t xml:space="preserve">Подводя итог внешней проверки отчета </w:t>
      </w:r>
      <w:r>
        <w:rPr>
          <w:b/>
        </w:rPr>
        <w:t xml:space="preserve">Администрации </w:t>
      </w:r>
      <w:r w:rsidRPr="00B77CA9">
        <w:rPr>
          <w:b/>
        </w:rPr>
        <w:t>Волгоградской области об исполнении областного бюджета за 20</w:t>
      </w:r>
      <w:r>
        <w:rPr>
          <w:b/>
        </w:rPr>
        <w:t>17</w:t>
      </w:r>
      <w:r w:rsidRPr="00B77CA9">
        <w:rPr>
          <w:b/>
        </w:rPr>
        <w:t xml:space="preserve"> год, можно сделать </w:t>
      </w:r>
      <w:r w:rsidRPr="00B77CA9">
        <w:rPr>
          <w:b/>
          <w:i/>
          <w:u w:val="single"/>
        </w:rPr>
        <w:t xml:space="preserve">следующие </w:t>
      </w:r>
      <w:r>
        <w:rPr>
          <w:b/>
          <w:i/>
          <w:u w:val="single"/>
        </w:rPr>
        <w:t>обобщающие выводы:</w:t>
      </w:r>
    </w:p>
    <w:p w:rsidR="002B4BE8" w:rsidRDefault="002B4BE8" w:rsidP="002B4BE8">
      <w:pPr>
        <w:ind w:firstLine="708"/>
        <w:jc w:val="both"/>
        <w:rPr>
          <w:b/>
          <w:i/>
          <w:u w:val="single"/>
        </w:rPr>
      </w:pPr>
    </w:p>
    <w:p w:rsidR="002B4BE8" w:rsidRPr="00AA294C" w:rsidRDefault="002B4BE8" w:rsidP="002B4BE8">
      <w:pPr>
        <w:ind w:firstLine="680"/>
        <w:jc w:val="both"/>
        <w:rPr>
          <w:szCs w:val="24"/>
        </w:rPr>
      </w:pPr>
      <w:r w:rsidRPr="00E45CC3">
        <w:rPr>
          <w:b/>
        </w:rPr>
        <w:t>1.</w:t>
      </w:r>
      <w:r>
        <w:t xml:space="preserve"> Анализ макроэкономических условий исполнения областного бюджета показал, что в 2017 году </w:t>
      </w:r>
      <w:r w:rsidRPr="00AA294C">
        <w:rPr>
          <w:szCs w:val="24"/>
        </w:rPr>
        <w:t>не обеспечено выполнение ряда показателей социально-экономического развития региона, принят</w:t>
      </w:r>
      <w:r>
        <w:rPr>
          <w:szCs w:val="24"/>
        </w:rPr>
        <w:t>ых</w:t>
      </w:r>
      <w:r w:rsidRPr="00AA294C">
        <w:rPr>
          <w:szCs w:val="24"/>
        </w:rPr>
        <w:t xml:space="preserve"> в расчетах к бюджету</w:t>
      </w:r>
      <w:r>
        <w:rPr>
          <w:szCs w:val="24"/>
        </w:rPr>
        <w:t>. В частности не выполнены такие показатели как</w:t>
      </w:r>
      <w:r w:rsidRPr="00AA294C">
        <w:rPr>
          <w:szCs w:val="24"/>
        </w:rPr>
        <w:t xml:space="preserve"> индекс промышленного производства, оборот розничной торговли</w:t>
      </w:r>
      <w:r>
        <w:rPr>
          <w:szCs w:val="24"/>
        </w:rPr>
        <w:t xml:space="preserve"> в действующих ценах</w:t>
      </w:r>
      <w:r w:rsidRPr="00AA294C">
        <w:rPr>
          <w:szCs w:val="24"/>
        </w:rPr>
        <w:t>, объем платных услуг</w:t>
      </w:r>
      <w:r>
        <w:rPr>
          <w:szCs w:val="24"/>
        </w:rPr>
        <w:t xml:space="preserve"> в действующих ценах и сопоставимой оценке к 2016 году</w:t>
      </w:r>
      <w:r w:rsidRPr="00AA294C">
        <w:rPr>
          <w:szCs w:val="24"/>
        </w:rPr>
        <w:t xml:space="preserve">, </w:t>
      </w:r>
      <w:r>
        <w:rPr>
          <w:szCs w:val="24"/>
        </w:rPr>
        <w:t xml:space="preserve">объем инвестиций в основной капитал в сопоставимой оценке к 2016 году, </w:t>
      </w:r>
      <w:r w:rsidRPr="00AA294C">
        <w:rPr>
          <w:szCs w:val="24"/>
        </w:rPr>
        <w:t xml:space="preserve">денежные доходы и денежные расходы населения. </w:t>
      </w:r>
    </w:p>
    <w:p w:rsidR="002B4BE8" w:rsidRDefault="002B4BE8" w:rsidP="002B4BE8">
      <w:pPr>
        <w:ind w:firstLine="680"/>
        <w:jc w:val="both"/>
        <w:rPr>
          <w:szCs w:val="24"/>
        </w:rPr>
      </w:pPr>
      <w:r>
        <w:rPr>
          <w:szCs w:val="24"/>
        </w:rPr>
        <w:t>Особо необходимо отметить</w:t>
      </w:r>
      <w:r w:rsidRPr="005905E7">
        <w:rPr>
          <w:szCs w:val="24"/>
        </w:rPr>
        <w:t xml:space="preserve"> ухудшение показателей, характеризующих</w:t>
      </w:r>
      <w:r w:rsidRPr="00D8716F">
        <w:rPr>
          <w:szCs w:val="24"/>
        </w:rPr>
        <w:t xml:space="preserve"> жизненный уровень населения. </w:t>
      </w:r>
      <w:r>
        <w:rPr>
          <w:szCs w:val="24"/>
        </w:rPr>
        <w:t>Так, д</w:t>
      </w:r>
      <w:r w:rsidRPr="00D8716F">
        <w:rPr>
          <w:szCs w:val="24"/>
        </w:rPr>
        <w:t>енежные доходы в расчете на душу населения в месяц составили 21,2 тыс. руб. и уменьшились в сравнении с 2016 годом на 1,1 процента.</w:t>
      </w:r>
      <w:r>
        <w:rPr>
          <w:szCs w:val="24"/>
        </w:rPr>
        <w:t xml:space="preserve"> Реальный размер</w:t>
      </w:r>
      <w:r w:rsidRPr="00B354B0">
        <w:rPr>
          <w:szCs w:val="24"/>
        </w:rPr>
        <w:t xml:space="preserve"> денежны</w:t>
      </w:r>
      <w:r>
        <w:rPr>
          <w:szCs w:val="24"/>
        </w:rPr>
        <w:t>х</w:t>
      </w:r>
      <w:r w:rsidRPr="00B354B0">
        <w:rPr>
          <w:szCs w:val="24"/>
        </w:rPr>
        <w:t xml:space="preserve"> доход</w:t>
      </w:r>
      <w:r>
        <w:rPr>
          <w:szCs w:val="24"/>
        </w:rPr>
        <w:t>ов</w:t>
      </w:r>
      <w:r w:rsidRPr="00B354B0">
        <w:rPr>
          <w:szCs w:val="24"/>
        </w:rPr>
        <w:t xml:space="preserve"> </w:t>
      </w:r>
      <w:r>
        <w:rPr>
          <w:szCs w:val="24"/>
        </w:rPr>
        <w:t xml:space="preserve">(относительный показатель, исчисленный путем деления индекса номинального размера денежных доходов на индекс потребительских цен за соответствующий временной период) уменьшился </w:t>
      </w:r>
      <w:r w:rsidRPr="00B354B0">
        <w:rPr>
          <w:szCs w:val="24"/>
        </w:rPr>
        <w:t xml:space="preserve">в </w:t>
      </w:r>
      <w:smartTag w:uri="urn:schemas-microsoft-com:office:smarttags" w:element="metricconverter">
        <w:smartTagPr>
          <w:attr w:name="ProductID" w:val="2017 г"/>
        </w:smartTagPr>
        <w:r w:rsidRPr="00B354B0">
          <w:rPr>
            <w:szCs w:val="24"/>
          </w:rPr>
          <w:t>2017 году</w:t>
        </w:r>
      </w:smartTag>
      <w:r w:rsidRPr="00B354B0">
        <w:rPr>
          <w:szCs w:val="24"/>
        </w:rPr>
        <w:t xml:space="preserve"> по сравнению с предыдущим годом на 1,4%, реальные располагаемые денежные доходы (доходы за вычетом обязательных платежей, скорректированные на индекс потребительских цен)</w:t>
      </w:r>
      <w:r>
        <w:rPr>
          <w:szCs w:val="24"/>
        </w:rPr>
        <w:t>,</w:t>
      </w:r>
      <w:r w:rsidRPr="00B354B0">
        <w:rPr>
          <w:szCs w:val="24"/>
        </w:rPr>
        <w:t xml:space="preserve"> </w:t>
      </w:r>
      <w:r>
        <w:rPr>
          <w:szCs w:val="24"/>
        </w:rPr>
        <w:t>-</w:t>
      </w:r>
      <w:r w:rsidRPr="00B354B0">
        <w:rPr>
          <w:szCs w:val="24"/>
        </w:rPr>
        <w:t xml:space="preserve"> на 3,4 процента. </w:t>
      </w:r>
      <w:r>
        <w:rPr>
          <w:szCs w:val="24"/>
        </w:rPr>
        <w:t xml:space="preserve"> </w:t>
      </w:r>
      <w:r w:rsidRPr="00B354B0">
        <w:rPr>
          <w:szCs w:val="24"/>
        </w:rPr>
        <w:t xml:space="preserve">При этом падение реальных денежных доходов населения происходило на фоне роста показателя среднемесячной номинальной заработной платы (+5,1%), который </w:t>
      </w:r>
      <w:r>
        <w:rPr>
          <w:szCs w:val="24"/>
        </w:rPr>
        <w:t>не компенсировал рост потребительских цен.</w:t>
      </w:r>
    </w:p>
    <w:p w:rsidR="002B4BE8" w:rsidRDefault="002B4BE8" w:rsidP="002B4BE8">
      <w:pPr>
        <w:ind w:firstLine="680"/>
        <w:jc w:val="both"/>
      </w:pPr>
    </w:p>
    <w:p w:rsidR="002B4BE8" w:rsidRDefault="002B4BE8" w:rsidP="002B4BE8">
      <w:pPr>
        <w:ind w:firstLine="567"/>
        <w:jc w:val="both"/>
      </w:pPr>
      <w:r w:rsidRPr="00515C49">
        <w:rPr>
          <w:b/>
        </w:rPr>
        <w:t>2.</w:t>
      </w:r>
      <w:r>
        <w:t xml:space="preserve"> </w:t>
      </w:r>
      <w:r w:rsidRPr="001C4DCD">
        <w:t xml:space="preserve">По данным отчета </w:t>
      </w:r>
      <w:r>
        <w:t xml:space="preserve">Администрации Волгоградской </w:t>
      </w:r>
      <w:r w:rsidRPr="001C4DCD">
        <w:t>области фактически в доходы областного бюджета за 201</w:t>
      </w:r>
      <w:r>
        <w:t>7</w:t>
      </w:r>
      <w:r w:rsidRPr="001C4DCD">
        <w:t xml:space="preserve"> год поступило </w:t>
      </w:r>
      <w:r>
        <w:t>85390,1</w:t>
      </w:r>
      <w:r w:rsidRPr="009F5436">
        <w:t xml:space="preserve"> млн. </w:t>
      </w:r>
      <w:r>
        <w:t>руб.</w:t>
      </w:r>
      <w:r w:rsidRPr="001C4DCD">
        <w:t xml:space="preserve">, что на </w:t>
      </w:r>
      <w:r>
        <w:t>2305,7</w:t>
      </w:r>
      <w:r w:rsidRPr="001C4DCD">
        <w:t xml:space="preserve"> млн. руб., или на </w:t>
      </w:r>
      <w:r>
        <w:t>2,6%</w:t>
      </w:r>
      <w:r w:rsidRPr="001C4DCD">
        <w:t xml:space="preserve"> меньше</w:t>
      </w:r>
      <w:r w:rsidRPr="001C4DCD">
        <w:rPr>
          <w:color w:val="FF0000"/>
        </w:rPr>
        <w:t xml:space="preserve"> </w:t>
      </w:r>
      <w:r w:rsidRPr="001C4DCD">
        <w:t>уточненного планового показателя.</w:t>
      </w:r>
      <w:r>
        <w:t xml:space="preserve"> При этом недовыполнение по налоговым доходам составило 1527,4</w:t>
      </w:r>
      <w:r w:rsidRPr="00504437">
        <w:t xml:space="preserve"> млн. руб.</w:t>
      </w:r>
      <w:r>
        <w:t xml:space="preserve"> (-2,5%), что в основном </w:t>
      </w:r>
      <w:r>
        <w:rPr>
          <w:szCs w:val="24"/>
        </w:rPr>
        <w:t>обусловлено невыполнением прогнозных поступлений по акцизам на пиво (-1472,9</w:t>
      </w:r>
      <w:r w:rsidRPr="003C4EA6">
        <w:rPr>
          <w:szCs w:val="24"/>
        </w:rPr>
        <w:t xml:space="preserve"> мл</w:t>
      </w:r>
      <w:r>
        <w:rPr>
          <w:szCs w:val="24"/>
        </w:rPr>
        <w:t>н. руб</w:t>
      </w:r>
      <w:r w:rsidRPr="003C4EA6">
        <w:rPr>
          <w:szCs w:val="24"/>
        </w:rPr>
        <w:t>.</w:t>
      </w:r>
      <w:r>
        <w:rPr>
          <w:szCs w:val="24"/>
        </w:rPr>
        <w:t>) и</w:t>
      </w:r>
      <w:r w:rsidRPr="003C4EA6">
        <w:rPr>
          <w:szCs w:val="24"/>
        </w:rPr>
        <w:t xml:space="preserve"> </w:t>
      </w:r>
      <w:r>
        <w:rPr>
          <w:szCs w:val="24"/>
        </w:rPr>
        <w:t>по налогу на</w:t>
      </w:r>
      <w:r w:rsidRPr="003C4EA6">
        <w:rPr>
          <w:szCs w:val="24"/>
        </w:rPr>
        <w:t xml:space="preserve"> доходы физических</w:t>
      </w:r>
      <w:r w:rsidRPr="0055289E">
        <w:rPr>
          <w:szCs w:val="24"/>
        </w:rPr>
        <w:t xml:space="preserve"> </w:t>
      </w:r>
      <w:r w:rsidRPr="003C4EA6">
        <w:rPr>
          <w:szCs w:val="24"/>
        </w:rPr>
        <w:t>лиц</w:t>
      </w:r>
      <w:r>
        <w:rPr>
          <w:szCs w:val="24"/>
        </w:rPr>
        <w:t xml:space="preserve"> (-794,2</w:t>
      </w:r>
      <w:r w:rsidRPr="003F5424">
        <w:rPr>
          <w:szCs w:val="24"/>
        </w:rPr>
        <w:t xml:space="preserve"> млн. руб</w:t>
      </w:r>
      <w:r>
        <w:rPr>
          <w:szCs w:val="24"/>
        </w:rPr>
        <w:t xml:space="preserve">.). По оценке КСП, невыполнение запланированных показателей по данным налогам объясняется необоснованным завышением прогноза по их поступлениям. Также </w:t>
      </w:r>
      <w:r w:rsidRPr="00C03385">
        <w:t xml:space="preserve">на </w:t>
      </w:r>
      <w:r>
        <w:t xml:space="preserve">434,8 млн. руб. (-21,4%) </w:t>
      </w:r>
      <w:r>
        <w:lastRenderedPageBreak/>
        <w:t xml:space="preserve">недовыполнены неналоговые доходы и на 343,5 млн. руб. недополучены межбюджетные трансферты из федерального бюджета. </w:t>
      </w:r>
    </w:p>
    <w:p w:rsidR="002B4BE8" w:rsidRDefault="002B4BE8" w:rsidP="002B4BE8">
      <w:pPr>
        <w:ind w:firstLine="708"/>
        <w:jc w:val="both"/>
      </w:pPr>
      <w:r>
        <w:t xml:space="preserve">Относительно 2016 года доходы областного бюджета в целом увеличились на 6322,2 млн. руб., или на 8%, что объясняется главным образом ростом безвозмездных поступлений из федерального бюджета (на 5273,6 млн. руб., или на 26,3%). Налоговые и неналоговые доходы областного бюджета увеличились в 2017 году незначительно – на 1048,6 млн. руб., или на 1,8 процента. </w:t>
      </w:r>
    </w:p>
    <w:p w:rsidR="002B4BE8" w:rsidRPr="003C1E1C" w:rsidRDefault="002B4BE8" w:rsidP="002B4BE8">
      <w:pPr>
        <w:autoSpaceDE w:val="0"/>
        <w:autoSpaceDN w:val="0"/>
        <w:adjustRightInd w:val="0"/>
        <w:ind w:firstLine="709"/>
        <w:jc w:val="both"/>
      </w:pPr>
      <w:r>
        <w:t xml:space="preserve">При анализе исполнения бюджетных полномочий главными администраторами доходов областного </w:t>
      </w:r>
      <w:proofErr w:type="gramStart"/>
      <w:r>
        <w:t>бюджета</w:t>
      </w:r>
      <w:proofErr w:type="gramEnd"/>
      <w:r>
        <w:t xml:space="preserve"> по администрированию закрепленных за ними доходов и комитетом финансов Волгоградской области как органом, организующим исполнение бюджета, установлены многочисленные недостатки, которые</w:t>
      </w:r>
      <w:r w:rsidRPr="003C1E1C">
        <w:t xml:space="preserve"> приводят к невозможности объективной оценки выполнения главными администраторами плановых показателей по </w:t>
      </w:r>
      <w:proofErr w:type="spellStart"/>
      <w:r>
        <w:t>администрируемым</w:t>
      </w:r>
      <w:proofErr w:type="spellEnd"/>
      <w:r w:rsidRPr="003C1E1C">
        <w:t xml:space="preserve"> доходам и снижают уровень финансовой дисциплины участников бюджетного процесса в целом.</w:t>
      </w:r>
    </w:p>
    <w:p w:rsidR="002B4BE8" w:rsidRDefault="002B4BE8" w:rsidP="002B4BE8">
      <w:pPr>
        <w:ind w:firstLine="708"/>
        <w:jc w:val="both"/>
      </w:pPr>
    </w:p>
    <w:p w:rsidR="002B4BE8" w:rsidRDefault="002B4BE8" w:rsidP="002B4BE8">
      <w:pPr>
        <w:ind w:firstLine="708"/>
        <w:jc w:val="both"/>
        <w:rPr>
          <w:szCs w:val="24"/>
        </w:rPr>
      </w:pPr>
      <w:r>
        <w:rPr>
          <w:b/>
          <w:szCs w:val="24"/>
        </w:rPr>
        <w:t>3</w:t>
      </w:r>
      <w:r w:rsidRPr="00074D4E">
        <w:rPr>
          <w:b/>
          <w:szCs w:val="24"/>
        </w:rPr>
        <w:t>.</w:t>
      </w:r>
      <w:r>
        <w:rPr>
          <w:szCs w:val="24"/>
        </w:rPr>
        <w:t xml:space="preserve"> Сопоставлением бюджетных ассигнований по расходам главных распорядителей средств областного бюджета, предусмотренных окончательной редакцией закона о бюджете на 2017 год, с уточненными ассигнованиями по сводной бюджетной росписи, отраженными в годовой бюджетной отчетности ГРБС, установлено их несоответствие практически по всем главным распорядителям бюджетных средств. Исходя из этого, можно сделать вывод, что принимается бюджет с одними ассигнованиями, а фактически исполняется совершенно с другими, что обусловлено беспрецедентным количеством полномочий (оснований), предоставленных законодательством Волгоградской области финансовому органу, организующему исполнение областного бюджета. </w:t>
      </w:r>
    </w:p>
    <w:p w:rsidR="002B4BE8" w:rsidRDefault="002B4BE8" w:rsidP="002B4BE8">
      <w:pPr>
        <w:ind w:firstLine="708"/>
        <w:jc w:val="both"/>
        <w:rPr>
          <w:szCs w:val="24"/>
        </w:rPr>
      </w:pPr>
      <w:r>
        <w:rPr>
          <w:szCs w:val="24"/>
        </w:rPr>
        <w:t>В целом в 2017 году Бюджетным кодексом РФ и законодательством Волгоградской области предусматривалось 3</w:t>
      </w:r>
      <w:r w:rsidRPr="009F4752">
        <w:rPr>
          <w:szCs w:val="24"/>
        </w:rPr>
        <w:t>7 видов оснований</w:t>
      </w:r>
      <w:r>
        <w:rPr>
          <w:b/>
          <w:szCs w:val="24"/>
        </w:rPr>
        <w:t xml:space="preserve"> </w:t>
      </w:r>
      <w:r>
        <w:rPr>
          <w:szCs w:val="24"/>
        </w:rPr>
        <w:t>внесения изменений в сводную бюджетную роспись согласно решениям руководителя финансового органа без внесения соответствующих изменений в закон о бюджете (в 2016 году таких оснований было 27).</w:t>
      </w:r>
    </w:p>
    <w:p w:rsidR="002B4BE8" w:rsidRDefault="002B4BE8" w:rsidP="002B4BE8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сравнению с другими регионами (проанализировано по этому вопросу 8 регионов) законодательством Волгоградской области установлено наибольшее количество дополнительных видов оснований для изменения бюджетной росписи.</w:t>
      </w:r>
    </w:p>
    <w:p w:rsidR="002B4BE8" w:rsidRDefault="002B4BE8" w:rsidP="002B4BE8">
      <w:pPr>
        <w:jc w:val="both"/>
        <w:rPr>
          <w:b/>
        </w:rPr>
      </w:pPr>
      <w:r>
        <w:rPr>
          <w:b/>
        </w:rPr>
        <w:tab/>
      </w:r>
    </w:p>
    <w:p w:rsidR="002B4BE8" w:rsidRDefault="002B4BE8" w:rsidP="002B4BE8">
      <w:pPr>
        <w:jc w:val="both"/>
      </w:pPr>
      <w:r>
        <w:rPr>
          <w:b/>
        </w:rPr>
        <w:tab/>
        <w:t>4</w:t>
      </w:r>
      <w:r w:rsidRPr="00253E1E">
        <w:rPr>
          <w:b/>
        </w:rPr>
        <w:t>.</w:t>
      </w:r>
      <w:r>
        <w:t xml:space="preserve"> Практика уменьшения комитетом финансов Волгоградской области лимитов бюджетных обязательств без соответствующего анализа принятых на момент такого уменьшения получателями средств областного бюджета расходных обязательств приводит не только к нарушению пункта 3 статьи 219 БК РФ, но и к образованию существенной кредиторской задолженности, </w:t>
      </w:r>
      <w:proofErr w:type="gramStart"/>
      <w:r>
        <w:t>обязательства</w:t>
      </w:r>
      <w:proofErr w:type="gramEnd"/>
      <w:r>
        <w:t xml:space="preserve"> по погашению которой переходят на следующий финансовый год. На эту практику, сложившуюся в Волгоградской области в последние годы, КСП уже обращала внимание в своих заключениях на отчеты Администрации Волгоградской области об исполнении областного бюджета. Однако, если в предыдущие годы, такое нарушение носило разовый, единичный характер, то при исполнении бюджета в 2017 году оно имело уже массовый и системный характер, так как по итогам года у большинства главных распорядителей бюджетных средств отмечено превышение принятых ими расходных обязательств над доведенными лимитами. </w:t>
      </w:r>
    </w:p>
    <w:p w:rsidR="002B4BE8" w:rsidRDefault="002B4BE8" w:rsidP="002B4BE8">
      <w:pPr>
        <w:jc w:val="both"/>
      </w:pPr>
      <w:r>
        <w:tab/>
      </w:r>
      <w:proofErr w:type="gramStart"/>
      <w:r w:rsidRPr="000A5CAB">
        <w:rPr>
          <w:szCs w:val="24"/>
        </w:rPr>
        <w:t xml:space="preserve">В связи с перераспределением бюджетных ассигнований между текущим финансовым годом и плановым периодом на основании решений комитета финансов объем принятых </w:t>
      </w:r>
      <w:r>
        <w:rPr>
          <w:szCs w:val="24"/>
        </w:rPr>
        <w:t>к</w:t>
      </w:r>
      <w:r w:rsidRPr="000A5CAB">
        <w:rPr>
          <w:szCs w:val="24"/>
        </w:rPr>
        <w:t xml:space="preserve">омитетом </w:t>
      </w:r>
      <w:r>
        <w:rPr>
          <w:szCs w:val="24"/>
        </w:rPr>
        <w:t xml:space="preserve">информационных технологий </w:t>
      </w:r>
      <w:r w:rsidRPr="000A5CAB">
        <w:rPr>
          <w:szCs w:val="24"/>
        </w:rPr>
        <w:t>бюджетных обязательств в 2017 году превысил утвержденный бюджетной росписью объ</w:t>
      </w:r>
      <w:r>
        <w:rPr>
          <w:szCs w:val="24"/>
        </w:rPr>
        <w:t>ем назначений в 2 раза, что повлекло увеличение</w:t>
      </w:r>
      <w:r w:rsidRPr="000A5CAB">
        <w:rPr>
          <w:szCs w:val="24"/>
        </w:rPr>
        <w:t xml:space="preserve"> кредиторской задолженности </w:t>
      </w:r>
      <w:r>
        <w:rPr>
          <w:szCs w:val="24"/>
        </w:rPr>
        <w:t>комитета за минувший год</w:t>
      </w:r>
      <w:r w:rsidRPr="000A5CAB">
        <w:rPr>
          <w:szCs w:val="24"/>
        </w:rPr>
        <w:t xml:space="preserve"> со 120</w:t>
      </w:r>
      <w:r>
        <w:rPr>
          <w:szCs w:val="24"/>
        </w:rPr>
        <w:t>,</w:t>
      </w:r>
      <w:r w:rsidRPr="000A5CAB">
        <w:rPr>
          <w:szCs w:val="24"/>
        </w:rPr>
        <w:t xml:space="preserve">2 </w:t>
      </w:r>
      <w:r>
        <w:rPr>
          <w:szCs w:val="24"/>
        </w:rPr>
        <w:t>млн</w:t>
      </w:r>
      <w:r w:rsidRPr="000A5CAB">
        <w:rPr>
          <w:szCs w:val="24"/>
        </w:rPr>
        <w:t xml:space="preserve">. руб. до 424 </w:t>
      </w:r>
      <w:r>
        <w:rPr>
          <w:szCs w:val="24"/>
        </w:rPr>
        <w:t>млн</w:t>
      </w:r>
      <w:r w:rsidRPr="000A5CAB">
        <w:rPr>
          <w:szCs w:val="24"/>
        </w:rPr>
        <w:t>. руб., или в 3,5 раза.</w:t>
      </w:r>
      <w:proofErr w:type="gramEnd"/>
      <w:r>
        <w:rPr>
          <w:szCs w:val="24"/>
        </w:rPr>
        <w:t xml:space="preserve"> </w:t>
      </w:r>
      <w:r>
        <w:t xml:space="preserve">У комитета строительства превышение принятых расходных обязательств относительно доведенных лимитов составило 746,8 млн. руб., у комитета сельского хозяйства – 60,6 млн. руб., у комитета по управлению государственным имуществом - 56,5 млн. руб. и т. д. </w:t>
      </w:r>
    </w:p>
    <w:p w:rsidR="002B4BE8" w:rsidRDefault="002B4BE8" w:rsidP="002B4BE8">
      <w:pPr>
        <w:ind w:hanging="1068"/>
        <w:jc w:val="both"/>
      </w:pPr>
      <w:r>
        <w:lastRenderedPageBreak/>
        <w:tab/>
      </w:r>
      <w:r>
        <w:tab/>
      </w:r>
      <w:r w:rsidRPr="00061E68">
        <w:rPr>
          <w:b/>
        </w:rPr>
        <w:t>5.</w:t>
      </w:r>
      <w:r>
        <w:t xml:space="preserve"> </w:t>
      </w:r>
      <w:proofErr w:type="gramStart"/>
      <w:r>
        <w:t>Согласно письму комитета финансов Волгоградской области от 13.12.2017 №06-15-01-61/12181 «О составлении и представлении годовой бюджетной отчетности и сводной бухгалтерской отчетности бюджетных и автономных учреждений главными распорядителя бюджетных средств за 2017 год» годовая отчетность представляется в комитет финансов в соответствии с графиком, после чего отдел бухгалтерского учета и консолидированной отчетности комитета финансов не позднее 10 рабочих дней с даты представления</w:t>
      </w:r>
      <w:proofErr w:type="gramEnd"/>
      <w:r>
        <w:t xml:space="preserve"> отчетности осуществляет ее камеральную проверку и принятие.</w:t>
      </w:r>
    </w:p>
    <w:p w:rsidR="002B4BE8" w:rsidRDefault="002B4BE8" w:rsidP="002B4BE8">
      <w:pPr>
        <w:jc w:val="both"/>
      </w:pPr>
      <w:r>
        <w:tab/>
        <w:t xml:space="preserve">При этом проверками, проведенными палатой, установлены случаи нарушений при заполнении различных форм бюджетной отчетности главными администраторами бюджетных средств уже после проведения комитетом финансов камеральных проверок. </w:t>
      </w:r>
    </w:p>
    <w:p w:rsidR="002B4BE8" w:rsidRDefault="002B4BE8" w:rsidP="002B4BE8">
      <w:pPr>
        <w:jc w:val="both"/>
      </w:pPr>
      <w:r>
        <w:tab/>
        <w:t xml:space="preserve">Например, при внешней проверке комитета культуры после проведения камеральной проверки и принятия отчетности комитетом финансов КСП установлено еще 10 случаев нарушения положений Инструкции №191 при составлении 7 форм бюджетной отчетности. При проверке отчетности инспекции государственного жилищного надзора выявлено 8 нарушений в 3 формах (приняты </w:t>
      </w:r>
      <w:proofErr w:type="spellStart"/>
      <w:r>
        <w:t>Облфином</w:t>
      </w:r>
      <w:proofErr w:type="spellEnd"/>
      <w:r>
        <w:t xml:space="preserve"> 28.03.2018, т. е. после сдачи сводной годовой отчетности в Федеральное казначейство). Проверкой состава и содержания бюджетной отчетности комитета по делам территориальных образований, внутренней и информационной политики установлено 12 случаев нарушения положений Инструкции №191н и 4 случая по подведомственному учреждению ГБУ «РИАЦ», из которых в ходе проверки устранено только одно нарушение в отчетности комитета.</w:t>
      </w:r>
    </w:p>
    <w:p w:rsidR="002B4BE8" w:rsidRDefault="002B4BE8" w:rsidP="002B4BE8">
      <w:pPr>
        <w:jc w:val="both"/>
      </w:pPr>
      <w:r>
        <w:tab/>
        <w:t xml:space="preserve">Приведенные факты свидетельствуют о недостаточном качестве проводимых финансовым органом камеральных проверок бюджетной отчетности ГАБС, результатом которого является представление в Федеральное казначейство недостоверной сводной отчетности об исполнении бюджета Волгоградской области за отчетный год. </w:t>
      </w:r>
    </w:p>
    <w:p w:rsidR="002B4BE8" w:rsidRDefault="002B4BE8" w:rsidP="002B4BE8">
      <w:pPr>
        <w:jc w:val="both"/>
      </w:pPr>
    </w:p>
    <w:p w:rsidR="002B4BE8" w:rsidRDefault="002B4BE8" w:rsidP="002B4BE8">
      <w:pPr>
        <w:ind w:hanging="1068"/>
        <w:jc w:val="both"/>
      </w:pPr>
      <w:r>
        <w:tab/>
      </w:r>
      <w:r>
        <w:tab/>
      </w:r>
      <w:r w:rsidRPr="00061E68">
        <w:rPr>
          <w:b/>
        </w:rPr>
        <w:t>6.</w:t>
      </w:r>
      <w:r>
        <w:t xml:space="preserve"> В качестве еще одной причины </w:t>
      </w:r>
      <w:proofErr w:type="gramStart"/>
      <w:r>
        <w:t>недостоверности бюджетной отчетности главных администраторов средств областного бюджета</w:t>
      </w:r>
      <w:proofErr w:type="gramEnd"/>
      <w:r>
        <w:t xml:space="preserve"> и соответственно сводной бюджетной отчетности Волгоградской области следует отметить недостаточный уровень организации внутреннего финансового контроля и внутреннего финансового аудита у самих главных администраторов, о чем также свидетельствуют  результаты внешних проверок КСП. </w:t>
      </w:r>
    </w:p>
    <w:p w:rsidR="002B4BE8" w:rsidRDefault="002B4BE8" w:rsidP="002B4BE8">
      <w:pPr>
        <w:jc w:val="both"/>
      </w:pPr>
      <w:r>
        <w:tab/>
        <w:t>По итогам анализа данного вопроса в органах исполнительной власти Волгоградской области можно сделать вывод о том, что зачастую мероприятии внутреннего финансового контроля и внутреннего финансового аудита проводятся ими либо формально, либо имеют низкую результативность.</w:t>
      </w:r>
      <w:r>
        <w:tab/>
      </w:r>
    </w:p>
    <w:p w:rsidR="002B4BE8" w:rsidRDefault="002B4BE8" w:rsidP="002B4BE8">
      <w:pPr>
        <w:ind w:firstLine="709"/>
        <w:jc w:val="both"/>
        <w:rPr>
          <w:szCs w:val="24"/>
        </w:rPr>
      </w:pPr>
      <w:r>
        <w:rPr>
          <w:szCs w:val="24"/>
        </w:rPr>
        <w:t xml:space="preserve">Например, при проведении мероприятий внутреннего финансового контроля в отделе </w:t>
      </w:r>
      <w:proofErr w:type="gramStart"/>
      <w:r>
        <w:rPr>
          <w:szCs w:val="24"/>
        </w:rPr>
        <w:t>мелиорации комитета сельского хозяйства Волгоградской области нарушений</w:t>
      </w:r>
      <w:proofErr w:type="gramEnd"/>
      <w:r>
        <w:rPr>
          <w:szCs w:val="24"/>
        </w:rPr>
        <w:t xml:space="preserve"> не установлено. </w:t>
      </w:r>
      <w:proofErr w:type="gramStart"/>
      <w:r>
        <w:rPr>
          <w:szCs w:val="24"/>
        </w:rPr>
        <w:t xml:space="preserve">При этом в результате проведенной в 2017 году </w:t>
      </w:r>
      <w:r w:rsidRPr="00255602">
        <w:rPr>
          <w:szCs w:val="24"/>
        </w:rPr>
        <w:t>проверк</w:t>
      </w:r>
      <w:r>
        <w:rPr>
          <w:szCs w:val="24"/>
        </w:rPr>
        <w:t>и</w:t>
      </w:r>
      <w:r w:rsidRPr="00255602">
        <w:rPr>
          <w:szCs w:val="24"/>
        </w:rPr>
        <w:t xml:space="preserve"> КСП в части предоставления субсидий на возмещение части затрат, связанных со строительством, реконструкцией и техническим перевооружением на инновационной технологической основе оросительных и осушительных систем</w:t>
      </w:r>
      <w:r>
        <w:rPr>
          <w:szCs w:val="24"/>
        </w:rPr>
        <w:t>, в</w:t>
      </w:r>
      <w:r w:rsidRPr="00255602">
        <w:rPr>
          <w:szCs w:val="24"/>
        </w:rPr>
        <w:t xml:space="preserve">ыявлены </w:t>
      </w:r>
      <w:r>
        <w:rPr>
          <w:szCs w:val="24"/>
        </w:rPr>
        <w:t xml:space="preserve">многочисленные </w:t>
      </w:r>
      <w:r w:rsidRPr="00255602">
        <w:rPr>
          <w:szCs w:val="24"/>
        </w:rPr>
        <w:t>нарушения</w:t>
      </w:r>
      <w:r>
        <w:rPr>
          <w:szCs w:val="24"/>
        </w:rPr>
        <w:t>, в том числе в</w:t>
      </w:r>
      <w:r w:rsidRPr="00255602">
        <w:rPr>
          <w:szCs w:val="24"/>
        </w:rPr>
        <w:t xml:space="preserve"> </w:t>
      </w:r>
      <w:r>
        <w:rPr>
          <w:szCs w:val="24"/>
        </w:rPr>
        <w:t xml:space="preserve">подведомственном учреждении </w:t>
      </w:r>
      <w:r w:rsidRPr="00255602">
        <w:rPr>
          <w:szCs w:val="24"/>
        </w:rPr>
        <w:t>ГКУ «МАЦ»</w:t>
      </w:r>
      <w:r>
        <w:rPr>
          <w:szCs w:val="24"/>
        </w:rPr>
        <w:t>,</w:t>
      </w:r>
      <w:r w:rsidRPr="00255602">
        <w:rPr>
          <w:szCs w:val="24"/>
        </w:rPr>
        <w:t xml:space="preserve"> руководитель </w:t>
      </w:r>
      <w:r>
        <w:rPr>
          <w:szCs w:val="24"/>
        </w:rPr>
        <w:t>которого</w:t>
      </w:r>
      <w:r w:rsidRPr="00255602">
        <w:rPr>
          <w:szCs w:val="24"/>
        </w:rPr>
        <w:t xml:space="preserve"> привлечен к административной ответстве</w:t>
      </w:r>
      <w:r>
        <w:rPr>
          <w:szCs w:val="24"/>
        </w:rPr>
        <w:t xml:space="preserve">нности по статье 15.11 </w:t>
      </w:r>
      <w:proofErr w:type="spellStart"/>
      <w:r>
        <w:rPr>
          <w:szCs w:val="24"/>
        </w:rPr>
        <w:t>КоАП</w:t>
      </w:r>
      <w:proofErr w:type="spellEnd"/>
      <w:r>
        <w:rPr>
          <w:szCs w:val="24"/>
        </w:rPr>
        <w:t xml:space="preserve"> РФ.</w:t>
      </w:r>
      <w:proofErr w:type="gramEnd"/>
    </w:p>
    <w:p w:rsidR="002B4BE8" w:rsidRPr="00022163" w:rsidRDefault="002B4BE8" w:rsidP="002B4BE8">
      <w:pPr>
        <w:pStyle w:val="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022163">
        <w:rPr>
          <w:rFonts w:ascii="Times New Roman" w:hAnsi="Times New Roman"/>
          <w:sz w:val="24"/>
          <w:szCs w:val="24"/>
        </w:rPr>
        <w:t>ектор</w:t>
      </w:r>
      <w:r>
        <w:rPr>
          <w:rFonts w:ascii="Times New Roman" w:hAnsi="Times New Roman"/>
          <w:sz w:val="24"/>
          <w:szCs w:val="24"/>
        </w:rPr>
        <w:t>ом</w:t>
      </w:r>
      <w:r w:rsidRPr="00022163">
        <w:rPr>
          <w:rFonts w:ascii="Times New Roman" w:hAnsi="Times New Roman"/>
          <w:sz w:val="24"/>
          <w:szCs w:val="24"/>
        </w:rPr>
        <w:t xml:space="preserve"> финансового аудита </w:t>
      </w:r>
      <w:r w:rsidRPr="003C3E49">
        <w:rPr>
          <w:rFonts w:ascii="Times New Roman" w:hAnsi="Times New Roman"/>
          <w:sz w:val="24"/>
          <w:szCs w:val="24"/>
        </w:rPr>
        <w:t>комитета жилищно-коммунального хозяйства и топливно-энергетического комплекса Волгоградской области</w:t>
      </w:r>
      <w:r w:rsidRPr="00022163">
        <w:rPr>
          <w:rFonts w:ascii="Times New Roman" w:hAnsi="Times New Roman"/>
          <w:sz w:val="24"/>
          <w:szCs w:val="24"/>
        </w:rPr>
        <w:t xml:space="preserve"> в 2017 году </w:t>
      </w:r>
      <w:r>
        <w:rPr>
          <w:rFonts w:ascii="Times New Roman" w:hAnsi="Times New Roman"/>
          <w:sz w:val="24"/>
          <w:szCs w:val="24"/>
        </w:rPr>
        <w:t xml:space="preserve">проводилась, в том числе проверка </w:t>
      </w:r>
      <w:r w:rsidRPr="00022163">
        <w:rPr>
          <w:rFonts w:ascii="Times New Roman" w:hAnsi="Times New Roman"/>
          <w:sz w:val="24"/>
          <w:szCs w:val="24"/>
        </w:rPr>
        <w:t>эффективности расходования средств областного бюджета на обводнение и питьевое водоснабжение городских и сельских поселений Волгоградской области.</w:t>
      </w:r>
      <w:r>
        <w:rPr>
          <w:rFonts w:ascii="Times New Roman" w:hAnsi="Times New Roman"/>
          <w:sz w:val="24"/>
          <w:szCs w:val="24"/>
        </w:rPr>
        <w:t xml:space="preserve"> Нарушений не установлено.</w:t>
      </w:r>
      <w:r w:rsidRPr="00022163">
        <w:rPr>
          <w:rFonts w:ascii="Times New Roman" w:hAnsi="Times New Roman"/>
          <w:sz w:val="24"/>
          <w:szCs w:val="24"/>
        </w:rPr>
        <w:t xml:space="preserve">  Проверкой же КСП, проведенной по </w:t>
      </w:r>
      <w:r>
        <w:rPr>
          <w:rFonts w:ascii="Times New Roman" w:hAnsi="Times New Roman"/>
          <w:sz w:val="24"/>
          <w:szCs w:val="24"/>
        </w:rPr>
        <w:t xml:space="preserve">этому </w:t>
      </w:r>
      <w:r w:rsidRPr="00022163">
        <w:rPr>
          <w:rFonts w:ascii="Times New Roman" w:hAnsi="Times New Roman"/>
          <w:sz w:val="24"/>
          <w:szCs w:val="24"/>
        </w:rPr>
        <w:t xml:space="preserve">вопросу </w:t>
      </w:r>
      <w:r>
        <w:rPr>
          <w:rFonts w:ascii="Times New Roman" w:hAnsi="Times New Roman"/>
          <w:sz w:val="24"/>
          <w:szCs w:val="24"/>
        </w:rPr>
        <w:t xml:space="preserve">и </w:t>
      </w:r>
      <w:r w:rsidRPr="00022163">
        <w:rPr>
          <w:rFonts w:ascii="Times New Roman" w:hAnsi="Times New Roman"/>
          <w:sz w:val="24"/>
          <w:szCs w:val="24"/>
        </w:rPr>
        <w:t>за тот же отчетный период</w:t>
      </w:r>
      <w:r>
        <w:rPr>
          <w:rFonts w:ascii="Times New Roman" w:hAnsi="Times New Roman"/>
          <w:sz w:val="24"/>
          <w:szCs w:val="24"/>
        </w:rPr>
        <w:t>,</w:t>
      </w:r>
      <w:r w:rsidRPr="00022163">
        <w:rPr>
          <w:rFonts w:ascii="Times New Roman" w:hAnsi="Times New Roman"/>
          <w:sz w:val="24"/>
          <w:szCs w:val="24"/>
        </w:rPr>
        <w:t xml:space="preserve"> установлены существенные недостатки и нарушения действующего законодательства</w:t>
      </w:r>
      <w:r>
        <w:rPr>
          <w:rFonts w:ascii="Times New Roman" w:hAnsi="Times New Roman"/>
          <w:sz w:val="24"/>
          <w:szCs w:val="24"/>
        </w:rPr>
        <w:t>.</w:t>
      </w:r>
    </w:p>
    <w:p w:rsidR="002B4BE8" w:rsidRDefault="002B4BE8" w:rsidP="002B4BE8">
      <w:pPr>
        <w:jc w:val="both"/>
      </w:pPr>
    </w:p>
    <w:p w:rsidR="002B4BE8" w:rsidRDefault="002B4BE8" w:rsidP="002B4BE8">
      <w:pPr>
        <w:jc w:val="both"/>
      </w:pPr>
      <w:r>
        <w:tab/>
      </w:r>
      <w:r w:rsidRPr="00061E68">
        <w:rPr>
          <w:b/>
        </w:rPr>
        <w:t>7.</w:t>
      </w:r>
      <w:r>
        <w:t xml:space="preserve"> На фоне недостатка доходной базы областного бюджета и, как следствие, недофинансирования предусмотренных бюджетом расходов в 2017 году существенно увеличились расходы на исполнение судебных исков. Так, если в 2016 году по всем </w:t>
      </w:r>
      <w:r>
        <w:lastRenderedPageBreak/>
        <w:t>главным распорядителям бюджетных средств такие расходы составляли 165,2 млн. руб., то в 2017 году они увеличились до 272,3 млн. руб., или на 64,8 процента.</w:t>
      </w:r>
    </w:p>
    <w:p w:rsidR="002B4BE8" w:rsidRDefault="002B4BE8" w:rsidP="002B4BE8">
      <w:pPr>
        <w:jc w:val="both"/>
      </w:pPr>
      <w:r>
        <w:tab/>
        <w:t xml:space="preserve">Расходы на </w:t>
      </w:r>
      <w:r>
        <w:rPr>
          <w:szCs w:val="24"/>
        </w:rPr>
        <w:t>и</w:t>
      </w:r>
      <w:r w:rsidRPr="00067E3E">
        <w:rPr>
          <w:szCs w:val="24"/>
        </w:rPr>
        <w:t xml:space="preserve">сполнение судебных актов в части уплаты штрафов, </w:t>
      </w:r>
      <w:r>
        <w:rPr>
          <w:szCs w:val="24"/>
        </w:rPr>
        <w:t xml:space="preserve">пени, </w:t>
      </w:r>
      <w:r w:rsidRPr="00067E3E">
        <w:rPr>
          <w:szCs w:val="24"/>
        </w:rPr>
        <w:t>судебных издержек</w:t>
      </w:r>
      <w:r>
        <w:t xml:space="preserve"> не отвечают установленному статьей 34 БК РФ принципу эффективности использования бюджетных средств и, по сути, являются неэффективными расходами областного бюджета.</w:t>
      </w:r>
    </w:p>
    <w:p w:rsidR="002B4BE8" w:rsidRDefault="002B4BE8" w:rsidP="002B4BE8">
      <w:pPr>
        <w:jc w:val="both"/>
        <w:rPr>
          <w:szCs w:val="24"/>
        </w:rPr>
      </w:pPr>
      <w:r>
        <w:tab/>
        <w:t xml:space="preserve">Особенно большие суммы штрафов предъявляются комитету строительства Волгоградской области за неисполнение (несвоевременное исполнение) решений судов </w:t>
      </w:r>
      <w:r w:rsidRPr="00067E3E">
        <w:rPr>
          <w:szCs w:val="24"/>
        </w:rPr>
        <w:t>о предоставлении жилых помещений детям-сиротам</w:t>
      </w:r>
      <w:r>
        <w:rPr>
          <w:szCs w:val="24"/>
        </w:rPr>
        <w:t>.</w:t>
      </w:r>
    </w:p>
    <w:p w:rsidR="002B4BE8" w:rsidRPr="00AD5759" w:rsidRDefault="002B4BE8" w:rsidP="002B4BE8">
      <w:pPr>
        <w:ind w:firstLine="709"/>
        <w:jc w:val="both"/>
        <w:rPr>
          <w:rFonts w:eastAsia="Calibri"/>
        </w:rPr>
      </w:pPr>
      <w:proofErr w:type="gramStart"/>
      <w:r w:rsidRPr="00D150BE">
        <w:t xml:space="preserve">За последние 4 года в </w:t>
      </w:r>
      <w:r>
        <w:t>Волгоградской области</w:t>
      </w:r>
      <w:r w:rsidRPr="00D150BE">
        <w:t xml:space="preserve"> ежегодно обеспечивалось жильем от </w:t>
      </w:r>
      <w:r>
        <w:t>7,7</w:t>
      </w:r>
      <w:r w:rsidRPr="00D150BE">
        <w:t xml:space="preserve"> до 14% детей-сирот из общего количества нуждающихся на начало года.</w:t>
      </w:r>
      <w:proofErr w:type="gramEnd"/>
      <w:r w:rsidRPr="00D150BE">
        <w:t xml:space="preserve"> В результате фактическое количество детей-сирот, которые подлежат обеспечению жилыми помещениями на начало финансового года, неуклонно растет, и на 01.01.2018 составило 4706 человек, или увеличилось по сравнению с началом 2017 года на 426 человек (на 10%).</w:t>
      </w:r>
      <w:r w:rsidRPr="00D150BE">
        <w:rPr>
          <w:rFonts w:eastAsia="Calibri"/>
        </w:rPr>
        <w:t xml:space="preserve"> </w:t>
      </w:r>
      <w:r>
        <w:rPr>
          <w:rFonts w:eastAsia="Calibri"/>
        </w:rPr>
        <w:t>По оценке КСП, н</w:t>
      </w:r>
      <w:r w:rsidRPr="00D150BE">
        <w:rPr>
          <w:rFonts w:eastAsia="Calibri"/>
        </w:rPr>
        <w:t xml:space="preserve">а момент окончания реализации </w:t>
      </w:r>
      <w:r>
        <w:t>подпрограммы «Обеспечение жилыми помещениями детей-сирот и детей, оставшихся без попечения родителей, лиц из числа детей-сирот, детей, оставшихся без попечения родителей» госпрограммы «Обеспечение доступным и комфортным жильем жителей Волгоградской области»</w:t>
      </w:r>
      <w:proofErr w:type="gramStart"/>
      <w:r>
        <w:t>.</w:t>
      </w:r>
      <w:proofErr w:type="gramEnd"/>
      <w:r>
        <w:t xml:space="preserve"> </w:t>
      </w:r>
      <w:proofErr w:type="gramStart"/>
      <w:r>
        <w:t>т</w:t>
      </w:r>
      <w:proofErr w:type="gramEnd"/>
      <w:r>
        <w:t xml:space="preserve">. е. на </w:t>
      </w:r>
      <w:r w:rsidRPr="00D150BE">
        <w:rPr>
          <w:rFonts w:eastAsia="Calibri"/>
        </w:rPr>
        <w:t>конец 2020 года расчетное количество детей-сирот, не обеспеченных жильем спец</w:t>
      </w:r>
      <w:r>
        <w:rPr>
          <w:rFonts w:eastAsia="Calibri"/>
        </w:rPr>
        <w:t xml:space="preserve">иального </w:t>
      </w:r>
      <w:r w:rsidRPr="00D150BE">
        <w:rPr>
          <w:rFonts w:eastAsia="Calibri"/>
        </w:rPr>
        <w:t>жил</w:t>
      </w:r>
      <w:r>
        <w:rPr>
          <w:rFonts w:eastAsia="Calibri"/>
        </w:rPr>
        <w:t xml:space="preserve">ищного </w:t>
      </w:r>
      <w:r w:rsidRPr="00D150BE">
        <w:rPr>
          <w:rFonts w:eastAsia="Calibri"/>
        </w:rPr>
        <w:t xml:space="preserve">фонда, </w:t>
      </w:r>
      <w:r>
        <w:rPr>
          <w:rFonts w:eastAsia="Calibri"/>
        </w:rPr>
        <w:t xml:space="preserve">может </w:t>
      </w:r>
      <w:r w:rsidRPr="00D150BE">
        <w:rPr>
          <w:rFonts w:eastAsia="Calibri"/>
        </w:rPr>
        <w:t>составит</w:t>
      </w:r>
      <w:r>
        <w:rPr>
          <w:rFonts w:eastAsia="Calibri"/>
        </w:rPr>
        <w:t>ь</w:t>
      </w:r>
      <w:r w:rsidRPr="00D150BE">
        <w:rPr>
          <w:rFonts w:eastAsia="Calibri"/>
        </w:rPr>
        <w:t xml:space="preserve"> </w:t>
      </w:r>
      <w:r w:rsidRPr="00AD5759">
        <w:rPr>
          <w:rFonts w:eastAsia="Calibri"/>
        </w:rPr>
        <w:t xml:space="preserve">более 5000 человек. </w:t>
      </w:r>
    </w:p>
    <w:p w:rsidR="002B4BE8" w:rsidRPr="00AD5759" w:rsidRDefault="002B4BE8" w:rsidP="002B4BE8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AD5759">
        <w:rPr>
          <w:rFonts w:ascii="Times New Roman" w:hAnsi="Times New Roman"/>
          <w:sz w:val="24"/>
          <w:szCs w:val="24"/>
        </w:rPr>
        <w:t xml:space="preserve">При этом несвоевременное исполнение </w:t>
      </w:r>
      <w:r>
        <w:rPr>
          <w:rFonts w:ascii="Times New Roman" w:hAnsi="Times New Roman"/>
          <w:sz w:val="24"/>
          <w:szCs w:val="24"/>
        </w:rPr>
        <w:t>к</w:t>
      </w:r>
      <w:r w:rsidRPr="00AD5759">
        <w:rPr>
          <w:rFonts w:ascii="Times New Roman" w:hAnsi="Times New Roman"/>
          <w:sz w:val="24"/>
          <w:szCs w:val="24"/>
        </w:rPr>
        <w:t>омитетом мероприятий подпрограммы ведет не только к нарушению законных прав детей-сирот, но и влечет за собой неэффективные расходы областного бюджета на оплату административных штрафов, которые в 2016 году составили 52</w:t>
      </w:r>
      <w:r>
        <w:rPr>
          <w:rFonts w:ascii="Times New Roman" w:hAnsi="Times New Roman"/>
          <w:sz w:val="24"/>
          <w:szCs w:val="24"/>
        </w:rPr>
        <w:t>,</w:t>
      </w:r>
      <w:r w:rsidRPr="00AD5759">
        <w:rPr>
          <w:rFonts w:ascii="Times New Roman" w:hAnsi="Times New Roman"/>
          <w:sz w:val="24"/>
          <w:szCs w:val="24"/>
        </w:rPr>
        <w:t xml:space="preserve">1 </w:t>
      </w:r>
      <w:r>
        <w:rPr>
          <w:rFonts w:ascii="Times New Roman" w:hAnsi="Times New Roman"/>
          <w:sz w:val="24"/>
          <w:szCs w:val="24"/>
        </w:rPr>
        <w:t>млн</w:t>
      </w:r>
      <w:r w:rsidRPr="00AD5759">
        <w:rPr>
          <w:rFonts w:ascii="Times New Roman" w:hAnsi="Times New Roman"/>
          <w:sz w:val="24"/>
          <w:szCs w:val="24"/>
        </w:rPr>
        <w:t xml:space="preserve">. руб., в 2017 году </w:t>
      </w:r>
      <w:r>
        <w:rPr>
          <w:rFonts w:ascii="Times New Roman" w:hAnsi="Times New Roman"/>
          <w:sz w:val="24"/>
          <w:szCs w:val="24"/>
        </w:rPr>
        <w:t>–</w:t>
      </w:r>
      <w:r w:rsidRPr="00AD5759">
        <w:rPr>
          <w:rFonts w:ascii="Times New Roman" w:hAnsi="Times New Roman"/>
          <w:sz w:val="24"/>
          <w:szCs w:val="24"/>
        </w:rPr>
        <w:t xml:space="preserve"> 41</w:t>
      </w:r>
      <w:r>
        <w:rPr>
          <w:rFonts w:ascii="Times New Roman" w:hAnsi="Times New Roman"/>
          <w:sz w:val="24"/>
          <w:szCs w:val="24"/>
        </w:rPr>
        <w:t>,4</w:t>
      </w:r>
      <w:r w:rsidRPr="00AD57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млн</w:t>
      </w:r>
      <w:r w:rsidRPr="00AD5759">
        <w:rPr>
          <w:rFonts w:ascii="Times New Roman" w:hAnsi="Times New Roman"/>
          <w:sz w:val="24"/>
          <w:szCs w:val="24"/>
        </w:rPr>
        <w:t>. рублей.</w:t>
      </w:r>
    </w:p>
    <w:p w:rsidR="002B4BE8" w:rsidRPr="00067E3E" w:rsidRDefault="002B4BE8" w:rsidP="002B4BE8">
      <w:pPr>
        <w:jc w:val="both"/>
      </w:pPr>
      <w:r>
        <w:t xml:space="preserve"> </w:t>
      </w:r>
      <w:r>
        <w:tab/>
        <w:t>Н</w:t>
      </w:r>
      <w:r w:rsidRPr="00067E3E">
        <w:t xml:space="preserve">а 01.01.2018 непогашенная задолженность </w:t>
      </w:r>
      <w:r>
        <w:t xml:space="preserve">комитета строительства </w:t>
      </w:r>
      <w:r w:rsidRPr="00067E3E">
        <w:t>по штрафам составила 60</w:t>
      </w:r>
      <w:r>
        <w:t>,</w:t>
      </w:r>
      <w:r w:rsidRPr="00067E3E">
        <w:t xml:space="preserve">3 </w:t>
      </w:r>
      <w:r>
        <w:t>млн</w:t>
      </w:r>
      <w:r w:rsidRPr="00067E3E">
        <w:t>. руб</w:t>
      </w:r>
      <w:r>
        <w:t>лей</w:t>
      </w:r>
      <w:r w:rsidRPr="00067E3E">
        <w:t>.</w:t>
      </w:r>
    </w:p>
    <w:p w:rsidR="002B4BE8" w:rsidRDefault="002B4BE8" w:rsidP="002B4BE8">
      <w:pPr>
        <w:jc w:val="both"/>
      </w:pPr>
    </w:p>
    <w:p w:rsidR="002B4BE8" w:rsidRDefault="002B4BE8" w:rsidP="002B4BE8">
      <w:pPr>
        <w:ind w:hanging="720"/>
        <w:jc w:val="both"/>
      </w:pPr>
      <w:r>
        <w:tab/>
      </w:r>
      <w:r>
        <w:tab/>
      </w:r>
      <w:r w:rsidRPr="006361A0">
        <w:rPr>
          <w:b/>
        </w:rPr>
        <w:t>8.</w:t>
      </w:r>
      <w:r>
        <w:rPr>
          <w:b/>
        </w:rPr>
        <w:t xml:space="preserve"> </w:t>
      </w:r>
      <w:proofErr w:type="gramStart"/>
      <w:r w:rsidRPr="00166CC0">
        <w:t xml:space="preserve">Согласно </w:t>
      </w:r>
      <w:r>
        <w:t xml:space="preserve">сводной </w:t>
      </w:r>
      <w:r w:rsidRPr="00166CC0">
        <w:t>бюджетной отчетности</w:t>
      </w:r>
      <w:r>
        <w:t xml:space="preserve"> об исполнении бюджета Волгоградской области за последние 3 года существенным образом улучшилась ситуация с использованием целевых субсидий, субвенций и иных межбюджетных трансфертов из федерального бюджета.</w:t>
      </w:r>
      <w:proofErr w:type="gramEnd"/>
      <w:r>
        <w:t xml:space="preserve"> Так, если в 2015 году было возвращено в федеральный бюджет неиспользованных остатков целевых трансфертов в сумме 639,6 млн. руб., в 2016 году – 268 млн. руб., то в 2017 году – 65 млн. рублей.</w:t>
      </w:r>
    </w:p>
    <w:p w:rsidR="002B4BE8" w:rsidRDefault="002B4BE8" w:rsidP="002B4BE8">
      <w:pPr>
        <w:jc w:val="both"/>
      </w:pPr>
      <w:r>
        <w:tab/>
        <w:t>Несмотря на положительную динамику по сокращению в</w:t>
      </w:r>
      <w:r w:rsidRPr="006A01D0">
        <w:t>озврат</w:t>
      </w:r>
      <w:r>
        <w:t>ов неиспользованных остатков</w:t>
      </w:r>
      <w:r w:rsidRPr="006A01D0">
        <w:t xml:space="preserve"> </w:t>
      </w:r>
      <w:r>
        <w:t xml:space="preserve">целевых федеральных средств, нельзя считать этот вопрос полностью решенным. Как показали внешние проверки бюджетной отчетности главных администраторов средств областного бюджета, случаи возврата неиспользованных остатков остаются и обусловлены они, как правило, недостаточной эффективностью работы исполнительных органов власти. </w:t>
      </w:r>
    </w:p>
    <w:p w:rsidR="002B4BE8" w:rsidRPr="004D4ED3" w:rsidRDefault="002B4BE8" w:rsidP="002B4BE8">
      <w:pPr>
        <w:pStyle w:val="20"/>
        <w:spacing w:after="0" w:line="240" w:lineRule="auto"/>
        <w:ind w:firstLine="709"/>
        <w:jc w:val="both"/>
        <w:rPr>
          <w:color w:val="000000"/>
        </w:rPr>
      </w:pPr>
      <w:r>
        <w:t>Так, по итогам 2017 года к</w:t>
      </w:r>
      <w:r w:rsidRPr="004D4ED3">
        <w:t xml:space="preserve">омитетом </w:t>
      </w:r>
      <w:r>
        <w:t xml:space="preserve">культуры Волгоградской области </w:t>
      </w:r>
      <w:r w:rsidRPr="004D4ED3">
        <w:t xml:space="preserve">возвращены </w:t>
      </w:r>
      <w:r>
        <w:t xml:space="preserve">в федеральный бюджет </w:t>
      </w:r>
      <w:r w:rsidRPr="004D4ED3">
        <w:t xml:space="preserve">средства в сумме 3 </w:t>
      </w:r>
      <w:r>
        <w:t>млн</w:t>
      </w:r>
      <w:r w:rsidRPr="004D4ED3">
        <w:t>. руб.</w:t>
      </w:r>
      <w:r>
        <w:t>, выделенные</w:t>
      </w:r>
      <w:r w:rsidRPr="004D4ED3">
        <w:t xml:space="preserve"> на поддержку отрасли культуры, в том числе на мероприятия по выплате денежных поощрений лучшим муниципальным учреждениям культуры, находящимся на территориях сельских поселений, и их работникам. </w:t>
      </w:r>
      <w:r>
        <w:t>Основной причиной возврата послужило позднее принятие (в декабре 2017 года) н</w:t>
      </w:r>
      <w:r w:rsidRPr="002111BB">
        <w:t>ормативн</w:t>
      </w:r>
      <w:r>
        <w:t xml:space="preserve">ых </w:t>
      </w:r>
      <w:r w:rsidRPr="002111BB">
        <w:t>правовы</w:t>
      </w:r>
      <w:r>
        <w:t>х</w:t>
      </w:r>
      <w:r w:rsidRPr="002111BB">
        <w:t xml:space="preserve"> акт</w:t>
      </w:r>
      <w:r>
        <w:t>ов</w:t>
      </w:r>
      <w:r w:rsidRPr="002111BB">
        <w:t>, регламентирующи</w:t>
      </w:r>
      <w:r>
        <w:t>х</w:t>
      </w:r>
      <w:r w:rsidRPr="002111BB">
        <w:t xml:space="preserve"> использование средств федерального бюджета</w:t>
      </w:r>
      <w:r>
        <w:t xml:space="preserve"> на указанные цели. </w:t>
      </w:r>
    </w:p>
    <w:p w:rsidR="002B4BE8" w:rsidRDefault="002B4BE8" w:rsidP="002B4BE8">
      <w:pPr>
        <w:ind w:right="-1" w:firstLine="720"/>
        <w:jc w:val="both"/>
        <w:rPr>
          <w:szCs w:val="24"/>
        </w:rPr>
      </w:pPr>
      <w:r w:rsidRPr="00E327D8">
        <w:t>Кроме того, федеральные субсидии</w:t>
      </w:r>
      <w:r>
        <w:t xml:space="preserve"> возвращались в федеральный бюджет при невыполнении целевых показателей, предусмотренных соглашениями, заключенными Волгоградской областью с федеральными министерствами и ведомствами. </w:t>
      </w:r>
      <w:proofErr w:type="gramStart"/>
      <w:r>
        <w:t>Так, в</w:t>
      </w:r>
      <w:r w:rsidRPr="002E0257">
        <w:rPr>
          <w:szCs w:val="24"/>
        </w:rPr>
        <w:t xml:space="preserve"> 2017 году </w:t>
      </w:r>
      <w:r>
        <w:rPr>
          <w:szCs w:val="24"/>
        </w:rPr>
        <w:t>к</w:t>
      </w:r>
      <w:r w:rsidRPr="002E0257">
        <w:rPr>
          <w:szCs w:val="24"/>
        </w:rPr>
        <w:t>омитетом</w:t>
      </w:r>
      <w:r>
        <w:rPr>
          <w:szCs w:val="24"/>
        </w:rPr>
        <w:t xml:space="preserve"> сельского хозяйства Волгоградской области</w:t>
      </w:r>
      <w:r w:rsidRPr="002E0257">
        <w:rPr>
          <w:szCs w:val="24"/>
        </w:rPr>
        <w:t xml:space="preserve"> во исполнение п</w:t>
      </w:r>
      <w:r>
        <w:rPr>
          <w:szCs w:val="24"/>
        </w:rPr>
        <w:t xml:space="preserve">ункта </w:t>
      </w:r>
      <w:r w:rsidRPr="002E0257">
        <w:rPr>
          <w:szCs w:val="24"/>
        </w:rPr>
        <w:t xml:space="preserve">16 Правил формирования, предоставления и распределения субсидий из федерального бюджета бюджетам субъектов РФ, утвержденных постановлением Правительства РФ от 30.09.2014 №999, осуществлен возврат средств федерального бюджета в связи с </w:t>
      </w:r>
      <w:proofErr w:type="spellStart"/>
      <w:r w:rsidRPr="002E0257">
        <w:rPr>
          <w:szCs w:val="24"/>
        </w:rPr>
        <w:t>недостижением</w:t>
      </w:r>
      <w:proofErr w:type="spellEnd"/>
      <w:r w:rsidRPr="002E0257">
        <w:rPr>
          <w:szCs w:val="24"/>
        </w:rPr>
        <w:t xml:space="preserve"> в </w:t>
      </w:r>
      <w:r w:rsidRPr="002E0257">
        <w:rPr>
          <w:szCs w:val="24"/>
        </w:rPr>
        <w:lastRenderedPageBreak/>
        <w:t>2015</w:t>
      </w:r>
      <w:r>
        <w:rPr>
          <w:szCs w:val="24"/>
        </w:rPr>
        <w:t>-</w:t>
      </w:r>
      <w:r w:rsidRPr="002E0257">
        <w:rPr>
          <w:szCs w:val="24"/>
        </w:rPr>
        <w:t>2016 годах значений отдельных показателей результативности использования по 5 видам субсидий на общую сумму 16</w:t>
      </w:r>
      <w:r>
        <w:rPr>
          <w:szCs w:val="24"/>
        </w:rPr>
        <w:t>,2</w:t>
      </w:r>
      <w:r w:rsidRPr="002E0257">
        <w:rPr>
          <w:szCs w:val="24"/>
        </w:rPr>
        <w:t xml:space="preserve"> </w:t>
      </w:r>
      <w:r>
        <w:rPr>
          <w:szCs w:val="24"/>
        </w:rPr>
        <w:t>млн</w:t>
      </w:r>
      <w:r w:rsidRPr="002E0257">
        <w:rPr>
          <w:szCs w:val="24"/>
        </w:rPr>
        <w:t>. рублей.</w:t>
      </w:r>
      <w:proofErr w:type="gramEnd"/>
    </w:p>
    <w:p w:rsidR="002B4BE8" w:rsidRDefault="002B4BE8" w:rsidP="002B4BE8">
      <w:pPr>
        <w:pStyle w:val="Default"/>
        <w:ind w:firstLine="708"/>
        <w:jc w:val="both"/>
        <w:rPr>
          <w:color w:val="auto"/>
        </w:rPr>
      </w:pPr>
      <w:r>
        <w:rPr>
          <w:color w:val="auto"/>
        </w:rPr>
        <w:t>В рамках с</w:t>
      </w:r>
      <w:r w:rsidRPr="005067CB">
        <w:rPr>
          <w:color w:val="auto"/>
        </w:rPr>
        <w:t>оглашени</w:t>
      </w:r>
      <w:r>
        <w:rPr>
          <w:color w:val="auto"/>
        </w:rPr>
        <w:t>я</w:t>
      </w:r>
      <w:r w:rsidRPr="005067CB">
        <w:rPr>
          <w:color w:val="auto"/>
        </w:rPr>
        <w:t xml:space="preserve"> от 20.02.2017</w:t>
      </w:r>
      <w:r>
        <w:rPr>
          <w:color w:val="auto"/>
        </w:rPr>
        <w:t>, заключенного</w:t>
      </w:r>
      <w:r w:rsidRPr="005067CB">
        <w:rPr>
          <w:color w:val="auto"/>
        </w:rPr>
        <w:t xml:space="preserve"> </w:t>
      </w:r>
      <w:r>
        <w:rPr>
          <w:color w:val="auto"/>
        </w:rPr>
        <w:t xml:space="preserve">между Министерством спорта РФ и Администрацией Волгоградской области, предусматривалось финансирование расходов на строительство в 2017-2018 годах регионального спортивного центра в г. Котельниково, в том числе на 2017 год - в объеме 75 млн. руб. (по 50% за </w:t>
      </w:r>
      <w:r w:rsidR="0042349E">
        <w:rPr>
          <w:color w:val="auto"/>
        </w:rPr>
        <w:t xml:space="preserve">счет </w:t>
      </w:r>
      <w:r>
        <w:rPr>
          <w:color w:val="auto"/>
        </w:rPr>
        <w:t xml:space="preserve">средств федерального и областного бюджетов). Из-за того, что </w:t>
      </w:r>
      <w:r w:rsidRPr="005067CB">
        <w:rPr>
          <w:color w:val="auto"/>
        </w:rPr>
        <w:t>объявл</w:t>
      </w:r>
      <w:r>
        <w:rPr>
          <w:color w:val="auto"/>
        </w:rPr>
        <w:t xml:space="preserve">енные администрацией </w:t>
      </w:r>
      <w:proofErr w:type="spellStart"/>
      <w:r>
        <w:rPr>
          <w:color w:val="auto"/>
        </w:rPr>
        <w:t>Котельниковского</w:t>
      </w:r>
      <w:proofErr w:type="spellEnd"/>
      <w:r>
        <w:rPr>
          <w:color w:val="auto"/>
        </w:rPr>
        <w:t xml:space="preserve"> района</w:t>
      </w:r>
      <w:r w:rsidRPr="005067CB">
        <w:rPr>
          <w:color w:val="auto"/>
        </w:rPr>
        <w:t xml:space="preserve"> электронные аукционы  по строительству </w:t>
      </w:r>
      <w:r>
        <w:rPr>
          <w:color w:val="auto"/>
        </w:rPr>
        <w:t xml:space="preserve"> объекта </w:t>
      </w:r>
      <w:r w:rsidRPr="005067CB">
        <w:rPr>
          <w:color w:val="auto"/>
        </w:rPr>
        <w:t xml:space="preserve">признаны несостоявшимися, так как не </w:t>
      </w:r>
      <w:r>
        <w:rPr>
          <w:color w:val="auto"/>
        </w:rPr>
        <w:t xml:space="preserve">было </w:t>
      </w:r>
      <w:r w:rsidRPr="005067CB">
        <w:rPr>
          <w:color w:val="auto"/>
        </w:rPr>
        <w:t>подано ни одной заявки</w:t>
      </w:r>
      <w:r>
        <w:rPr>
          <w:color w:val="auto"/>
        </w:rPr>
        <w:t xml:space="preserve">, </w:t>
      </w:r>
      <w:r w:rsidRPr="00321FF8">
        <w:rPr>
          <w:color w:val="auto"/>
        </w:rPr>
        <w:t xml:space="preserve">Министерством спорта РФ  отказано предоставить в 2019 году бюджету </w:t>
      </w:r>
      <w:r>
        <w:rPr>
          <w:color w:val="auto"/>
        </w:rPr>
        <w:t xml:space="preserve">Волгоградской </w:t>
      </w:r>
      <w:r w:rsidRPr="00321FF8">
        <w:rPr>
          <w:color w:val="auto"/>
        </w:rPr>
        <w:t>области неосвоенные в 2017 году средства федеральной субсидии в объеме 37,5 млн. руб</w:t>
      </w:r>
      <w:r>
        <w:rPr>
          <w:color w:val="auto"/>
        </w:rPr>
        <w:t>лей</w:t>
      </w:r>
      <w:r w:rsidRPr="00321FF8">
        <w:rPr>
          <w:color w:val="auto"/>
        </w:rPr>
        <w:t>.</w:t>
      </w:r>
      <w:r>
        <w:rPr>
          <w:color w:val="auto"/>
        </w:rPr>
        <w:t xml:space="preserve"> В связи с этим завершение строительства объекта в 2019 году возможно только за счет средств областного бюджета. </w:t>
      </w:r>
    </w:p>
    <w:p w:rsidR="002B4BE8" w:rsidRDefault="002B4BE8" w:rsidP="002B4BE8">
      <w:pPr>
        <w:ind w:left="720"/>
        <w:jc w:val="both"/>
      </w:pPr>
    </w:p>
    <w:p w:rsidR="002B4BE8" w:rsidRDefault="002B4BE8" w:rsidP="002B4BE8">
      <w:pPr>
        <w:autoSpaceDE w:val="0"/>
        <w:autoSpaceDN w:val="0"/>
        <w:adjustRightInd w:val="0"/>
        <w:ind w:firstLine="709"/>
        <w:jc w:val="both"/>
      </w:pPr>
      <w:r>
        <w:rPr>
          <w:b/>
        </w:rPr>
        <w:t>9</w:t>
      </w:r>
      <w:r w:rsidRPr="00314FBD">
        <w:rPr>
          <w:b/>
        </w:rPr>
        <w:t>.</w:t>
      </w:r>
      <w:r>
        <w:t xml:space="preserve"> В рамках </w:t>
      </w:r>
      <w:proofErr w:type="gramStart"/>
      <w:r>
        <w:t>проведения внешних проверок бюджетной отчетности главных администраторов бюджетных средств</w:t>
      </w:r>
      <w:proofErr w:type="gramEnd"/>
      <w:r>
        <w:t xml:space="preserve"> палатой выборочно проверяется бюджетная отчетность подведомственных </w:t>
      </w:r>
      <w:proofErr w:type="spellStart"/>
      <w:r>
        <w:t>ГАБСам</w:t>
      </w:r>
      <w:proofErr w:type="spellEnd"/>
      <w:r>
        <w:t xml:space="preserve"> учреждений, а также отдельные вопросы их деятельности, например, исполнение государственных заданий, вопросы оплаты труда сотрудникам учреждений и другие.  </w:t>
      </w:r>
    </w:p>
    <w:p w:rsidR="002B4BE8" w:rsidRDefault="002B4BE8" w:rsidP="002B4BE8">
      <w:pPr>
        <w:autoSpaceDE w:val="0"/>
        <w:autoSpaceDN w:val="0"/>
        <w:adjustRightInd w:val="0"/>
        <w:ind w:firstLine="709"/>
        <w:jc w:val="both"/>
        <w:rPr>
          <w:szCs w:val="24"/>
        </w:rPr>
      </w:pPr>
      <w:proofErr w:type="gramStart"/>
      <w:r>
        <w:rPr>
          <w:szCs w:val="24"/>
        </w:rPr>
        <w:t xml:space="preserve">Так, при внешних проверках бюджетной отчетности за 2017 год вопросы оплаты труда проверены в ГБУ «Волгоградский региональный ботанический сад», подведомственного </w:t>
      </w:r>
      <w:r w:rsidRPr="00EE6716">
        <w:rPr>
          <w:szCs w:val="24"/>
        </w:rPr>
        <w:t>комитету природных ресурсов, лесного хозяйства и экологии</w:t>
      </w:r>
      <w:r>
        <w:rPr>
          <w:szCs w:val="24"/>
        </w:rPr>
        <w:t xml:space="preserve"> Волгоградской области, ГБУ «Волгоградское архитектурно-планировочное бюро», подведомственного </w:t>
      </w:r>
      <w:r w:rsidRPr="00EE6716">
        <w:rPr>
          <w:szCs w:val="24"/>
        </w:rPr>
        <w:t>комитету архитектуры и градостроительства</w:t>
      </w:r>
      <w:r>
        <w:rPr>
          <w:szCs w:val="24"/>
        </w:rPr>
        <w:t xml:space="preserve"> Волгоградской области, ГАУ «Бизнес-инкубатор», подведомственного </w:t>
      </w:r>
      <w:r w:rsidRPr="00EE6716">
        <w:rPr>
          <w:szCs w:val="24"/>
        </w:rPr>
        <w:t>комитету экономической политики и развития Волгоградской области</w:t>
      </w:r>
      <w:r>
        <w:rPr>
          <w:szCs w:val="24"/>
        </w:rPr>
        <w:t xml:space="preserve">, и некоторых других государственных учреждениях. </w:t>
      </w:r>
      <w:r>
        <w:rPr>
          <w:szCs w:val="24"/>
        </w:rPr>
        <w:tab/>
      </w:r>
      <w:proofErr w:type="gramEnd"/>
    </w:p>
    <w:p w:rsidR="002B4BE8" w:rsidRPr="00BE1BB9" w:rsidRDefault="002B4BE8" w:rsidP="002B4BE8">
      <w:pPr>
        <w:autoSpaceDE w:val="0"/>
        <w:autoSpaceDN w:val="0"/>
        <w:adjustRightInd w:val="0"/>
        <w:ind w:firstLine="709"/>
        <w:jc w:val="both"/>
        <w:rPr>
          <w:szCs w:val="24"/>
        </w:rPr>
      </w:pPr>
      <w:r>
        <w:rPr>
          <w:szCs w:val="24"/>
        </w:rPr>
        <w:t>Проведенными проверками установлены многочисленные нарушения действующих нормативных правовых актов и</w:t>
      </w:r>
      <w:r w:rsidRPr="00314FBD">
        <w:rPr>
          <w:szCs w:val="24"/>
        </w:rPr>
        <w:t xml:space="preserve"> недостатки в оплате труда работникам государственных учреждений Волгоградской области</w:t>
      </w:r>
      <w:r>
        <w:rPr>
          <w:szCs w:val="24"/>
        </w:rPr>
        <w:t>, что</w:t>
      </w:r>
      <w:r w:rsidRPr="00314FBD">
        <w:rPr>
          <w:szCs w:val="24"/>
        </w:rPr>
        <w:t xml:space="preserve"> </w:t>
      </w:r>
      <w:proofErr w:type="gramStart"/>
      <w:r w:rsidRPr="00314FBD">
        <w:rPr>
          <w:szCs w:val="24"/>
        </w:rPr>
        <w:t>свидетельству</w:t>
      </w:r>
      <w:r>
        <w:rPr>
          <w:szCs w:val="24"/>
        </w:rPr>
        <w:t>е</w:t>
      </w:r>
      <w:r w:rsidRPr="00314FBD">
        <w:rPr>
          <w:szCs w:val="24"/>
        </w:rPr>
        <w:t>т</w:t>
      </w:r>
      <w:proofErr w:type="gramEnd"/>
      <w:r>
        <w:rPr>
          <w:szCs w:val="24"/>
        </w:rPr>
        <w:t xml:space="preserve"> прежде всего</w:t>
      </w:r>
      <w:r w:rsidRPr="00314FBD">
        <w:rPr>
          <w:szCs w:val="24"/>
        </w:rPr>
        <w:t xml:space="preserve"> о недостаточном контроле за этим вопросом со стороны учредителей указанных учреждений</w:t>
      </w:r>
      <w:r>
        <w:rPr>
          <w:szCs w:val="24"/>
        </w:rPr>
        <w:t xml:space="preserve">. </w:t>
      </w:r>
    </w:p>
    <w:p w:rsidR="002B4BE8" w:rsidRPr="00E327D8" w:rsidRDefault="002B4BE8" w:rsidP="002B4BE8">
      <w:pPr>
        <w:ind w:left="720"/>
        <w:jc w:val="both"/>
      </w:pPr>
    </w:p>
    <w:p w:rsidR="002B4BE8" w:rsidRPr="00963C56" w:rsidRDefault="002B4BE8" w:rsidP="002B4BE8">
      <w:pPr>
        <w:pStyle w:val="ConsPlusNormal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CA619F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Pr="00CA619F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Pr="00CA619F">
        <w:rPr>
          <w:rFonts w:ascii="Times New Roman" w:hAnsi="Times New Roman" w:cs="Times New Roman"/>
          <w:sz w:val="24"/>
          <w:szCs w:val="24"/>
        </w:rPr>
        <w:t>Как и в предыдущи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CA619F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624DC6">
        <w:rPr>
          <w:rFonts w:ascii="Times New Roman" w:hAnsi="Times New Roman" w:cs="Times New Roman"/>
          <w:sz w:val="24"/>
          <w:szCs w:val="24"/>
        </w:rPr>
        <w:t>с</w:t>
      </w:r>
      <w:r w:rsidRPr="00CA619F">
        <w:rPr>
          <w:rFonts w:ascii="Times New Roman" w:hAnsi="Times New Roman" w:cs="Times New Roman"/>
          <w:sz w:val="24"/>
          <w:szCs w:val="24"/>
        </w:rPr>
        <w:t xml:space="preserve">равнительный анализ сводного годового доклада о ходе реализации и об оценке эффективности государственных программ Волгоградской области показал </w:t>
      </w:r>
      <w:r w:rsidRPr="001F1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высокую эффективность программ при неполном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 </w:t>
      </w:r>
      <w:r w:rsidRPr="001F17C3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финансировании, так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наоборот</w:t>
      </w:r>
      <w:r w:rsidRPr="001F1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низкую эффективность при полном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финансировании, т. е. </w:t>
      </w:r>
      <w:r w:rsidRPr="00963C56">
        <w:rPr>
          <w:rFonts w:ascii="Times New Roman" w:hAnsi="Times New Roman" w:cs="Times New Roman"/>
          <w:sz w:val="24"/>
          <w:szCs w:val="24"/>
        </w:rPr>
        <w:t xml:space="preserve">в очередной раз </w:t>
      </w:r>
      <w:r w:rsidRPr="00CA619F">
        <w:rPr>
          <w:rFonts w:ascii="Times New Roman" w:hAnsi="Times New Roman" w:cs="Times New Roman"/>
          <w:sz w:val="24"/>
          <w:szCs w:val="24"/>
        </w:rPr>
        <w:t>отмечается  дисбаланс между оценкой эффективности госпрограмм и уровнем финансовых затрат на их реализацию, что является свидетельством отсутствии</w:t>
      </w:r>
      <w:proofErr w:type="gramEnd"/>
      <w:r w:rsidRPr="00CA61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619F">
        <w:rPr>
          <w:rFonts w:ascii="Times New Roman" w:hAnsi="Times New Roman" w:cs="Times New Roman"/>
          <w:sz w:val="24"/>
          <w:szCs w:val="24"/>
        </w:rPr>
        <w:t>взаимоувязки</w:t>
      </w:r>
      <w:proofErr w:type="spellEnd"/>
      <w:r w:rsidRPr="00CA619F">
        <w:rPr>
          <w:rFonts w:ascii="Times New Roman" w:hAnsi="Times New Roman" w:cs="Times New Roman"/>
          <w:sz w:val="24"/>
          <w:szCs w:val="24"/>
        </w:rPr>
        <w:t xml:space="preserve"> ресурсов и результатов в утвержденных госпрограммах</w:t>
      </w:r>
      <w:r w:rsidRPr="00963C56">
        <w:rPr>
          <w:rFonts w:ascii="Times New Roman" w:hAnsi="Times New Roman" w:cs="Times New Roman"/>
          <w:sz w:val="24"/>
          <w:szCs w:val="24"/>
        </w:rPr>
        <w:t>.</w:t>
      </w:r>
    </w:p>
    <w:p w:rsidR="002B4BE8" w:rsidRPr="00F94967" w:rsidRDefault="002B4BE8" w:rsidP="002B4BE8">
      <w:pPr>
        <w:autoSpaceDE w:val="0"/>
        <w:autoSpaceDN w:val="0"/>
        <w:adjustRightInd w:val="0"/>
        <w:ind w:firstLine="709"/>
        <w:jc w:val="both"/>
        <w:rPr>
          <w:szCs w:val="24"/>
        </w:rPr>
      </w:pPr>
      <w:proofErr w:type="gramStart"/>
      <w:r>
        <w:rPr>
          <w:szCs w:val="24"/>
        </w:rPr>
        <w:t>Анализом приложения 6 к докладу «Сведения о достижении значений целевых показателей государственных программ Волгоградской области» установлено, что по ряду показателей плановые значения 2017 года ниже фактически сложившихся  за 2016 год, что может свидетельствовать о необоснованном их занижении с целью  достижения более высокого результата их исполнения (госпрограммы «Информационное общество», Развитие сельского хозяйства и регулирование рынков сельскохозяйственной продукции, сырья и продовольствия», «Формирование</w:t>
      </w:r>
      <w:proofErr w:type="gramEnd"/>
      <w:r>
        <w:rPr>
          <w:szCs w:val="24"/>
        </w:rPr>
        <w:t xml:space="preserve"> доступной среды жизнедеятельности для инвалидов и </w:t>
      </w:r>
      <w:proofErr w:type="spellStart"/>
      <w:r>
        <w:rPr>
          <w:szCs w:val="24"/>
        </w:rPr>
        <w:t>маломобильных</w:t>
      </w:r>
      <w:proofErr w:type="spellEnd"/>
      <w:r>
        <w:rPr>
          <w:szCs w:val="24"/>
        </w:rPr>
        <w:t xml:space="preserve"> групп населения в Волгоградской области», «Развитие физической культуры и спорта в Волгоградской области»). </w:t>
      </w:r>
    </w:p>
    <w:p w:rsidR="002B4BE8" w:rsidRDefault="002B4BE8" w:rsidP="002B4BE8">
      <w:pPr>
        <w:ind w:left="720"/>
        <w:jc w:val="both"/>
        <w:rPr>
          <w:b/>
        </w:rPr>
      </w:pPr>
    </w:p>
    <w:p w:rsidR="002B4BE8" w:rsidRDefault="002B4BE8" w:rsidP="002B4BE8">
      <w:pPr>
        <w:ind w:firstLine="708"/>
        <w:jc w:val="both"/>
        <w:rPr>
          <w:b/>
        </w:rPr>
      </w:pPr>
      <w:r w:rsidRPr="00621AA4">
        <w:rPr>
          <w:b/>
        </w:rPr>
        <w:t>На основании изложенного контрольно-счетная палата рекомендует Волгоградской областной Думе по результатам рассмотрения настоящего заключения</w:t>
      </w:r>
      <w:r>
        <w:rPr>
          <w:b/>
        </w:rPr>
        <w:t>:</w:t>
      </w:r>
    </w:p>
    <w:p w:rsidR="002B4BE8" w:rsidRDefault="002B4BE8" w:rsidP="002B4BE8">
      <w:pPr>
        <w:ind w:firstLine="708"/>
        <w:jc w:val="both"/>
        <w:rPr>
          <w:b/>
        </w:rPr>
      </w:pPr>
    </w:p>
    <w:p w:rsidR="002B4BE8" w:rsidRPr="00E86384" w:rsidRDefault="002B4BE8" w:rsidP="002B4BE8">
      <w:pPr>
        <w:ind w:firstLine="708"/>
        <w:jc w:val="both"/>
      </w:pPr>
      <w:proofErr w:type="gramStart"/>
      <w:r>
        <w:t xml:space="preserve">-с целью усиления парламентского контроля за ходом исполнения областного бюджета </w:t>
      </w:r>
      <w:r w:rsidRPr="00E86384">
        <w:t xml:space="preserve">оценить целесообразность </w:t>
      </w:r>
      <w:r>
        <w:t xml:space="preserve">широты полномочий, предоставленных комитету финансов Волгоградской области по внесению изменений в сводную бюджетную роспись </w:t>
      </w:r>
      <w:r>
        <w:lastRenderedPageBreak/>
        <w:t xml:space="preserve">расходов областного бюджета без соответствующего внесения изменений в закон о бюджете, предусмотренных статьей 5.1 </w:t>
      </w:r>
      <w:r>
        <w:rPr>
          <w:szCs w:val="24"/>
        </w:rPr>
        <w:t>Закона Волгоградской области от 11.06.2008 №1694-ОД «О бюджетном процессе</w:t>
      </w:r>
      <w:r>
        <w:t xml:space="preserve"> в Волгоградской области» и статьей 46 Закона Волгоградской области от 15.12.2017</w:t>
      </w:r>
      <w:proofErr w:type="gramEnd"/>
      <w:r>
        <w:t xml:space="preserve"> №124-ОД «Об областном бюджете на 2018 год и плановый период 2019 и 2020 годов» (в 2016 году оснований для самостоятельного внесения изменений в сводную бюджетную роспись у комитета финансов было 16, в 2017 году – уже 27);</w:t>
      </w:r>
    </w:p>
    <w:p w:rsidR="002B4BE8" w:rsidRDefault="002B4BE8" w:rsidP="002B4BE8">
      <w:pPr>
        <w:ind w:firstLine="708"/>
        <w:jc w:val="both"/>
        <w:rPr>
          <w:b/>
        </w:rPr>
      </w:pPr>
    </w:p>
    <w:p w:rsidR="002B4BE8" w:rsidRDefault="002B4BE8" w:rsidP="002B4BE8">
      <w:pPr>
        <w:ind w:firstLine="708"/>
        <w:jc w:val="both"/>
      </w:pPr>
      <w:r w:rsidRPr="00E86384">
        <w:t>-предложить Губернатору Волгоградской области дать следующие поручения органам исполнительной власти:</w:t>
      </w:r>
    </w:p>
    <w:p w:rsidR="002B4BE8" w:rsidRPr="00E86384" w:rsidRDefault="002B4BE8" w:rsidP="002B4BE8">
      <w:pPr>
        <w:ind w:firstLine="708"/>
        <w:jc w:val="both"/>
      </w:pPr>
    </w:p>
    <w:p w:rsidR="002B4BE8" w:rsidRPr="001F652D" w:rsidRDefault="002B4BE8" w:rsidP="002B4BE8">
      <w:pPr>
        <w:pStyle w:val="a3"/>
        <w:numPr>
          <w:ilvl w:val="0"/>
          <w:numId w:val="32"/>
        </w:numPr>
        <w:rPr>
          <w:rFonts w:ascii="Times New Roman" w:hAnsi="Times New Roman"/>
          <w:b/>
          <w:i/>
          <w:u w:val="single"/>
        </w:rPr>
      </w:pPr>
      <w:r w:rsidRPr="001F652D">
        <w:rPr>
          <w:rFonts w:ascii="Times New Roman" w:hAnsi="Times New Roman"/>
          <w:b/>
          <w:i/>
          <w:u w:val="single"/>
        </w:rPr>
        <w:t xml:space="preserve">Комитету экономической политики и развития Волгоградской области: </w:t>
      </w:r>
    </w:p>
    <w:p w:rsidR="002B4BE8" w:rsidRDefault="002B4BE8" w:rsidP="002B4BE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-в целях </w:t>
      </w:r>
      <w:r w:rsidRPr="00CF7C37">
        <w:rPr>
          <w:rFonts w:ascii="Times New Roman" w:hAnsi="Times New Roman" w:cs="Times New Roman"/>
          <w:sz w:val="24"/>
          <w:szCs w:val="24"/>
        </w:rPr>
        <w:t>применени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CF7C37">
        <w:rPr>
          <w:rFonts w:ascii="Times New Roman" w:hAnsi="Times New Roman" w:cs="Times New Roman"/>
          <w:sz w:val="24"/>
          <w:szCs w:val="24"/>
        </w:rPr>
        <w:t xml:space="preserve"> на системной основе </w:t>
      </w:r>
      <w:proofErr w:type="gramStart"/>
      <w:r w:rsidRPr="00CF7C37">
        <w:rPr>
          <w:rFonts w:ascii="Times New Roman" w:hAnsi="Times New Roman" w:cs="Times New Roman"/>
          <w:sz w:val="24"/>
          <w:szCs w:val="24"/>
        </w:rPr>
        <w:t>экспертизы альтернативных вариантов достижения целей реализации мероприятий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госпрограмм</w:t>
      </w:r>
      <w:r w:rsidRPr="00CF7C37">
        <w:rPr>
          <w:rFonts w:ascii="Times New Roman" w:hAnsi="Times New Roman" w:cs="Times New Roman"/>
          <w:sz w:val="24"/>
          <w:szCs w:val="24"/>
        </w:rPr>
        <w:t>, выбора и обоснования механизмов их финансирования; стимулировани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CF7C37">
        <w:rPr>
          <w:rFonts w:ascii="Times New Roman" w:hAnsi="Times New Roman" w:cs="Times New Roman"/>
          <w:sz w:val="24"/>
          <w:szCs w:val="24"/>
        </w:rPr>
        <w:t xml:space="preserve"> привлечения частных инвестиций; внедрени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CF7C37">
        <w:rPr>
          <w:rFonts w:ascii="Times New Roman" w:hAnsi="Times New Roman" w:cs="Times New Roman"/>
          <w:sz w:val="24"/>
          <w:szCs w:val="24"/>
        </w:rPr>
        <w:t xml:space="preserve"> лучших международных практик организации планирования и оценки мероприятий с целью повышения качества их подготовки; </w:t>
      </w:r>
      <w:proofErr w:type="gramStart"/>
      <w:r w:rsidRPr="00CF7C37">
        <w:rPr>
          <w:rFonts w:ascii="Times New Roman" w:hAnsi="Times New Roman" w:cs="Times New Roman"/>
          <w:sz w:val="24"/>
          <w:szCs w:val="24"/>
        </w:rPr>
        <w:t>сокращени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CF7C37">
        <w:rPr>
          <w:rFonts w:ascii="Times New Roman" w:hAnsi="Times New Roman" w:cs="Times New Roman"/>
          <w:sz w:val="24"/>
          <w:szCs w:val="24"/>
        </w:rPr>
        <w:t xml:space="preserve"> государственного участия при реализации мероприятий и замещени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CF7C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бюджетных </w:t>
      </w:r>
      <w:r w:rsidRPr="00CF7C37">
        <w:rPr>
          <w:rFonts w:ascii="Times New Roman" w:hAnsi="Times New Roman" w:cs="Times New Roman"/>
          <w:sz w:val="24"/>
          <w:szCs w:val="24"/>
        </w:rPr>
        <w:t>расходов частными инвестициями</w:t>
      </w:r>
      <w:r>
        <w:rPr>
          <w:rFonts w:ascii="Times New Roman" w:hAnsi="Times New Roman" w:cs="Times New Roman"/>
          <w:sz w:val="24"/>
          <w:szCs w:val="24"/>
        </w:rPr>
        <w:t xml:space="preserve"> совместно с комитетом финансов Волгоградской области при формировании расходов на новые госпрограммы и внесении изменений в действующие госпрограммы </w:t>
      </w:r>
      <w:r w:rsidRPr="006C083B">
        <w:rPr>
          <w:rFonts w:ascii="Times New Roman" w:hAnsi="Times New Roman" w:cs="Times New Roman"/>
          <w:b/>
          <w:i/>
          <w:sz w:val="24"/>
          <w:szCs w:val="24"/>
        </w:rPr>
        <w:t>применять методы финансового аудита, предусмотренные Концепцией модернизации бюджетного процесса с внедрением процедуры финансового аудита,</w:t>
      </w:r>
      <w:r>
        <w:rPr>
          <w:rFonts w:ascii="Times New Roman" w:hAnsi="Times New Roman" w:cs="Times New Roman"/>
          <w:sz w:val="24"/>
          <w:szCs w:val="24"/>
        </w:rPr>
        <w:t xml:space="preserve"> утвержденной </w:t>
      </w:r>
      <w:r w:rsidRPr="006F69D5">
        <w:rPr>
          <w:rFonts w:ascii="Times New Roman" w:hAnsi="Times New Roman" w:cs="Times New Roman"/>
          <w:sz w:val="24"/>
          <w:szCs w:val="24"/>
        </w:rPr>
        <w:t>распоряжением Правительства Р</w:t>
      </w:r>
      <w:r>
        <w:rPr>
          <w:rFonts w:ascii="Times New Roman" w:hAnsi="Times New Roman" w:cs="Times New Roman"/>
          <w:sz w:val="24"/>
          <w:szCs w:val="24"/>
        </w:rPr>
        <w:t xml:space="preserve">оссийской </w:t>
      </w:r>
      <w:r w:rsidRPr="006F69D5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едерации</w:t>
      </w:r>
      <w:r w:rsidRPr="006F69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 18.04.2018 №694-р;</w:t>
      </w:r>
      <w:proofErr w:type="gramEnd"/>
    </w:p>
    <w:p w:rsidR="002B4BE8" w:rsidRDefault="002B4BE8" w:rsidP="002B4BE8">
      <w:pPr>
        <w:pStyle w:val="ConsPlusNormal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Cs w:val="24"/>
        </w:rPr>
        <w:tab/>
        <w:t>-</w:t>
      </w:r>
      <w:r w:rsidRPr="00182AD8">
        <w:rPr>
          <w:rFonts w:ascii="Times New Roman" w:hAnsi="Times New Roman" w:cs="Times New Roman"/>
          <w:sz w:val="24"/>
          <w:szCs w:val="24"/>
        </w:rPr>
        <w:t>усилить</w:t>
      </w:r>
      <w:r>
        <w:rPr>
          <w:szCs w:val="24"/>
        </w:rPr>
        <w:t xml:space="preserve"> </w:t>
      </w:r>
      <w:r w:rsidRPr="001F652D">
        <w:rPr>
          <w:rFonts w:ascii="Times New Roman" w:hAnsi="Times New Roman" w:cs="Times New Roman"/>
          <w:b/>
          <w:i/>
          <w:sz w:val="24"/>
          <w:szCs w:val="24"/>
        </w:rPr>
        <w:t>контроль исполнения</w:t>
      </w:r>
      <w:r w:rsidRPr="001F652D">
        <w:rPr>
          <w:b/>
          <w:i/>
          <w:szCs w:val="24"/>
        </w:rPr>
        <w:t xml:space="preserve"> </w:t>
      </w:r>
      <w:r w:rsidRPr="001F652D">
        <w:rPr>
          <w:rFonts w:ascii="Times New Roman" w:hAnsi="Times New Roman" w:cs="Times New Roman"/>
          <w:b/>
          <w:i/>
          <w:sz w:val="24"/>
          <w:szCs w:val="24"/>
        </w:rPr>
        <w:t>предложений, формируемых комитетом</w:t>
      </w:r>
      <w:r>
        <w:rPr>
          <w:rFonts w:ascii="Times New Roman" w:hAnsi="Times New Roman" w:cs="Times New Roman"/>
          <w:sz w:val="24"/>
          <w:szCs w:val="24"/>
        </w:rPr>
        <w:t xml:space="preserve"> в адрес иных органов исполнительной власти Волгоградской области </w:t>
      </w:r>
      <w:r w:rsidRPr="001F652D">
        <w:rPr>
          <w:rFonts w:ascii="Times New Roman" w:hAnsi="Times New Roman" w:cs="Times New Roman"/>
          <w:b/>
          <w:i/>
          <w:sz w:val="24"/>
          <w:szCs w:val="24"/>
        </w:rPr>
        <w:t>в сводных годовых докладах о ходе реализации и оценке эффективности государственных программ</w:t>
      </w:r>
      <w:r w:rsidRPr="00182AD8">
        <w:rPr>
          <w:rFonts w:ascii="Times New Roman" w:hAnsi="Times New Roman" w:cs="Times New Roman"/>
          <w:sz w:val="24"/>
          <w:szCs w:val="24"/>
        </w:rPr>
        <w:t xml:space="preserve"> Волгоградской области</w:t>
      </w:r>
      <w:r>
        <w:rPr>
          <w:rFonts w:ascii="Times New Roman" w:hAnsi="Times New Roman" w:cs="Times New Roman"/>
          <w:sz w:val="24"/>
          <w:szCs w:val="24"/>
        </w:rPr>
        <w:t>, и, начиная с 2018 года, включать информацию об их реализации в доклады;</w:t>
      </w:r>
    </w:p>
    <w:p w:rsidR="002B4BE8" w:rsidRPr="001F652D" w:rsidRDefault="002B4BE8" w:rsidP="002B4BE8">
      <w:pPr>
        <w:pStyle w:val="ConsPlusNormal"/>
        <w:ind w:firstLine="705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-рассмотреть целесообразность и возможность отбора государственных программ Волгоградской области в качестве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пилотных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1F652D">
        <w:rPr>
          <w:rFonts w:ascii="Times New Roman" w:hAnsi="Times New Roman" w:cs="Times New Roman"/>
          <w:b/>
          <w:i/>
          <w:sz w:val="24"/>
          <w:szCs w:val="24"/>
        </w:rPr>
        <w:t>для внедрений проектных методов при управлении их реализацией.</w:t>
      </w:r>
    </w:p>
    <w:p w:rsidR="002B4BE8" w:rsidRPr="006C0EB9" w:rsidRDefault="002B4BE8" w:rsidP="002B4BE8">
      <w:pPr>
        <w:jc w:val="both"/>
        <w:rPr>
          <w:rFonts w:eastAsia="Calibri"/>
          <w:szCs w:val="24"/>
          <w:lang w:eastAsia="en-US"/>
        </w:rPr>
      </w:pPr>
    </w:p>
    <w:p w:rsidR="002B4BE8" w:rsidRDefault="002B4BE8" w:rsidP="002B4BE8">
      <w:pPr>
        <w:pStyle w:val="a3"/>
        <w:numPr>
          <w:ilvl w:val="0"/>
          <w:numId w:val="32"/>
        </w:numPr>
        <w:rPr>
          <w:rFonts w:ascii="Times New Roman" w:hAnsi="Times New Roman"/>
          <w:b/>
          <w:i/>
          <w:u w:val="single"/>
        </w:rPr>
      </w:pPr>
      <w:r w:rsidRPr="0015677F">
        <w:rPr>
          <w:rFonts w:ascii="Times New Roman" w:hAnsi="Times New Roman"/>
          <w:b/>
          <w:i/>
          <w:u w:val="single"/>
        </w:rPr>
        <w:t>Комитету финансов Волгоградской области:</w:t>
      </w:r>
    </w:p>
    <w:p w:rsidR="002B4BE8" w:rsidRPr="00D7319E" w:rsidRDefault="002B4BE8" w:rsidP="002B4BE8">
      <w:pPr>
        <w:pStyle w:val="a3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proofErr w:type="gramStart"/>
      <w:r>
        <w:rPr>
          <w:rFonts w:ascii="Times New Roman" w:hAnsi="Times New Roman"/>
        </w:rPr>
        <w:t xml:space="preserve">-учитывая значительное количество нарушений нормативных правовых актов, регулирующих вопросы ведения бухгалтерского учета и составления бюджетной отчетности, выявленных КСП по результатам внешних проверок бюджетной отчетности главных администраторов бюджетных средств, в том числе после проведения соответствующих камеральных проверок комитетом финансов Волгоградской области, </w:t>
      </w:r>
      <w:r w:rsidRPr="008D3E62">
        <w:rPr>
          <w:rFonts w:ascii="Times New Roman" w:hAnsi="Times New Roman"/>
          <w:b/>
          <w:i/>
        </w:rPr>
        <w:t xml:space="preserve">провести необходимую работу с финансовыми службами </w:t>
      </w:r>
      <w:r>
        <w:rPr>
          <w:rFonts w:ascii="Times New Roman" w:hAnsi="Times New Roman"/>
          <w:b/>
          <w:i/>
        </w:rPr>
        <w:t>органов исполнительной власти</w:t>
      </w:r>
      <w:r w:rsidRPr="008D3E62">
        <w:rPr>
          <w:rFonts w:ascii="Times New Roman" w:hAnsi="Times New Roman"/>
          <w:b/>
          <w:i/>
        </w:rPr>
        <w:t>, а также с ГКУ «Центр бюджетного учета» с целью недопущения фактов</w:t>
      </w:r>
      <w:proofErr w:type="gramEnd"/>
      <w:r w:rsidRPr="008D3E62">
        <w:rPr>
          <w:rFonts w:ascii="Times New Roman" w:hAnsi="Times New Roman"/>
          <w:b/>
          <w:i/>
        </w:rPr>
        <w:t xml:space="preserve"> сдачи недостоверной бюджетной отчетности </w:t>
      </w:r>
      <w:r>
        <w:rPr>
          <w:rFonts w:ascii="Times New Roman" w:hAnsi="Times New Roman"/>
        </w:rPr>
        <w:t xml:space="preserve">об исполнении бюджета Волгоградской области в Федеральное казначейство; </w:t>
      </w:r>
    </w:p>
    <w:p w:rsidR="002B4BE8" w:rsidRDefault="002B4BE8" w:rsidP="002B4BE8">
      <w:pPr>
        <w:autoSpaceDE w:val="0"/>
        <w:autoSpaceDN w:val="0"/>
        <w:adjustRightInd w:val="0"/>
        <w:ind w:firstLine="709"/>
        <w:jc w:val="both"/>
        <w:outlineLvl w:val="0"/>
      </w:pPr>
      <w:r>
        <w:rPr>
          <w:rFonts w:eastAsia="Calibri"/>
          <w:szCs w:val="24"/>
          <w:lang w:eastAsia="en-US"/>
        </w:rPr>
        <w:t>-</w:t>
      </w:r>
      <w:r w:rsidRPr="00EB503F">
        <w:rPr>
          <w:rFonts w:eastAsia="Calibri"/>
          <w:b/>
          <w:i/>
          <w:szCs w:val="24"/>
          <w:lang w:eastAsia="en-US"/>
        </w:rPr>
        <w:t xml:space="preserve">подготовить изменения в </w:t>
      </w:r>
      <w:r w:rsidRPr="00EB503F">
        <w:rPr>
          <w:b/>
          <w:i/>
        </w:rPr>
        <w:t>Порядок осуществления внутреннего финансового контроля и внутреннего финансового аудита на территории Волгоградской области</w:t>
      </w:r>
      <w:r>
        <w:t>, утвержденный постановлением Правительства области от 26.05.2014 №266-п, в соответствии с изменениями, внесенными в Методические рекомендации по осуществлению внутреннего финансового аудита приказом Минфина РФ от 29.12.2017 №1401, и внести их на рассмотрение Администрации Волгоградской области.</w:t>
      </w:r>
    </w:p>
    <w:p w:rsidR="00B4753F" w:rsidRDefault="00B4753F" w:rsidP="002B4BE8">
      <w:pPr>
        <w:autoSpaceDE w:val="0"/>
        <w:autoSpaceDN w:val="0"/>
        <w:adjustRightInd w:val="0"/>
        <w:ind w:firstLine="709"/>
        <w:jc w:val="both"/>
        <w:outlineLvl w:val="0"/>
      </w:pPr>
    </w:p>
    <w:p w:rsidR="002B4BE8" w:rsidRPr="00A073AC" w:rsidRDefault="002B4BE8" w:rsidP="002B4BE8">
      <w:pPr>
        <w:pStyle w:val="a3"/>
        <w:numPr>
          <w:ilvl w:val="0"/>
          <w:numId w:val="32"/>
        </w:numPr>
        <w:rPr>
          <w:rFonts w:ascii="Times New Roman" w:hAnsi="Times New Roman"/>
          <w:b/>
          <w:i/>
          <w:u w:val="single"/>
        </w:rPr>
      </w:pPr>
      <w:r w:rsidRPr="00A073AC">
        <w:rPr>
          <w:rFonts w:ascii="Times New Roman" w:hAnsi="Times New Roman"/>
          <w:b/>
          <w:i/>
          <w:u w:val="single"/>
        </w:rPr>
        <w:t>Органам исполнительной власти Волгоградской области:</w:t>
      </w:r>
    </w:p>
    <w:p w:rsidR="002B4BE8" w:rsidRDefault="002B4BE8" w:rsidP="002B4BE8">
      <w:pPr>
        <w:pStyle w:val="a3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proofErr w:type="gramStart"/>
      <w:r>
        <w:rPr>
          <w:rFonts w:ascii="Times New Roman" w:hAnsi="Times New Roman"/>
        </w:rPr>
        <w:t xml:space="preserve">-после внесения изменений в </w:t>
      </w:r>
      <w:r w:rsidRPr="008D3E62">
        <w:rPr>
          <w:rFonts w:ascii="Times New Roman" w:hAnsi="Times New Roman"/>
        </w:rPr>
        <w:t xml:space="preserve">Порядок осуществления внутреннего финансового контроля и внутреннего финансового аудита на территории Волгоградской области, утвержденный постановлением Правительства </w:t>
      </w:r>
      <w:r>
        <w:rPr>
          <w:rFonts w:ascii="Times New Roman" w:hAnsi="Times New Roman"/>
        </w:rPr>
        <w:t xml:space="preserve">Волгоградской </w:t>
      </w:r>
      <w:r w:rsidRPr="008D3E62">
        <w:rPr>
          <w:rFonts w:ascii="Times New Roman" w:hAnsi="Times New Roman"/>
        </w:rPr>
        <w:t>области от 26.05.2014 </w:t>
      </w:r>
      <w:r>
        <w:rPr>
          <w:rFonts w:ascii="Times New Roman" w:hAnsi="Times New Roman"/>
        </w:rPr>
        <w:t xml:space="preserve"> </w:t>
      </w:r>
      <w:r w:rsidRPr="008D3E62">
        <w:rPr>
          <w:rFonts w:ascii="Times New Roman" w:hAnsi="Times New Roman"/>
        </w:rPr>
        <w:t>№266-п</w:t>
      </w:r>
      <w:r>
        <w:rPr>
          <w:rFonts w:ascii="Times New Roman" w:hAnsi="Times New Roman"/>
        </w:rPr>
        <w:t xml:space="preserve">, для исполнения своих полномочий, определенных статьей 160.2-1 БК РФ, </w:t>
      </w:r>
      <w:r w:rsidRPr="00EB503F">
        <w:rPr>
          <w:rFonts w:ascii="Times New Roman" w:hAnsi="Times New Roman"/>
          <w:b/>
          <w:i/>
        </w:rPr>
        <w:t xml:space="preserve">привести </w:t>
      </w:r>
      <w:r w:rsidRPr="00EB503F">
        <w:rPr>
          <w:rFonts w:ascii="Times New Roman" w:hAnsi="Times New Roman"/>
          <w:b/>
          <w:i/>
        </w:rPr>
        <w:lastRenderedPageBreak/>
        <w:t>локальные нормативные акты</w:t>
      </w:r>
      <w:r>
        <w:rPr>
          <w:rFonts w:ascii="Times New Roman" w:hAnsi="Times New Roman"/>
        </w:rPr>
        <w:t xml:space="preserve">, регламентирующие процедуры проведения внутреннего финансового аудита, </w:t>
      </w:r>
      <w:r w:rsidRPr="00EB503F">
        <w:rPr>
          <w:rFonts w:ascii="Times New Roman" w:hAnsi="Times New Roman"/>
          <w:b/>
          <w:i/>
        </w:rPr>
        <w:t>в соответствие с Методическими рекомендациями по осуществлению внутреннего финансового аудита, утвержденными приказом Минфина РФ от</w:t>
      </w:r>
      <w:proofErr w:type="gramEnd"/>
      <w:r w:rsidRPr="00EB503F">
        <w:rPr>
          <w:rFonts w:ascii="Times New Roman" w:hAnsi="Times New Roman"/>
          <w:b/>
          <w:i/>
        </w:rPr>
        <w:t xml:space="preserve"> 30.12.2016 №822 </w:t>
      </w:r>
      <w:r w:rsidRPr="00EB503F">
        <w:rPr>
          <w:rFonts w:ascii="Times New Roman" w:hAnsi="Times New Roman"/>
        </w:rPr>
        <w:t>(с учетом изменений, внесенных приказом Минфина РФ от 29.12.2017 №140</w:t>
      </w:r>
      <w:r>
        <w:rPr>
          <w:rFonts w:ascii="Times New Roman" w:hAnsi="Times New Roman"/>
        </w:rPr>
        <w:t>1) и вышеуказанным Порядком;</w:t>
      </w:r>
    </w:p>
    <w:p w:rsidR="002B4BE8" w:rsidRPr="008D3E62" w:rsidRDefault="002B4BE8" w:rsidP="002B4BE8">
      <w:pPr>
        <w:pStyle w:val="a3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proofErr w:type="gramStart"/>
      <w:r>
        <w:rPr>
          <w:rFonts w:ascii="Times New Roman" w:hAnsi="Times New Roman"/>
        </w:rPr>
        <w:t xml:space="preserve">-в целях оптимизации расходов областного бюджета и выполнения обязательств, предусмотренных постановлением Правительства РФ от 27.12.2016 №1506 «О соглашениях, заключаемых Минфином РФ  с высшими должностными лицами субъектов РФ, и мерах ответственности за невыполнение субъектом РФ обязательств, возникающих из указанных соглашений» </w:t>
      </w:r>
      <w:r w:rsidRPr="00EB503F">
        <w:rPr>
          <w:rFonts w:ascii="Times New Roman" w:hAnsi="Times New Roman"/>
          <w:b/>
          <w:i/>
        </w:rPr>
        <w:t>обеспечить безусловное выполнение мероприятий, предусмотренных Программой оптимизации расходов бюджета Волгоградской области на 2017-2019 годы</w:t>
      </w:r>
      <w:r>
        <w:rPr>
          <w:rFonts w:ascii="Times New Roman" w:hAnsi="Times New Roman"/>
        </w:rPr>
        <w:t>, утвержденной постановлением Администрации Волгоградской области от 31.03.2017</w:t>
      </w:r>
      <w:proofErr w:type="gramEnd"/>
      <w:r>
        <w:rPr>
          <w:rFonts w:ascii="Times New Roman" w:hAnsi="Times New Roman"/>
        </w:rPr>
        <w:t xml:space="preserve"> №173-п, в установленные в ней сроки.</w:t>
      </w:r>
    </w:p>
    <w:p w:rsidR="002B4BE8" w:rsidRDefault="002B4BE8" w:rsidP="002B4BE8">
      <w:pPr>
        <w:pStyle w:val="a3"/>
        <w:ind w:left="786" w:firstLine="0"/>
        <w:rPr>
          <w:rFonts w:ascii="Times New Roman" w:hAnsi="Times New Roman"/>
          <w:b/>
        </w:rPr>
      </w:pPr>
    </w:p>
    <w:p w:rsidR="008E409E" w:rsidRDefault="008E409E" w:rsidP="00B2596B">
      <w:pPr>
        <w:pStyle w:val="a3"/>
        <w:ind w:left="786" w:firstLine="0"/>
        <w:rPr>
          <w:rFonts w:ascii="Times New Roman" w:hAnsi="Times New Roman"/>
          <w:b/>
        </w:rPr>
      </w:pPr>
    </w:p>
    <w:p w:rsidR="00C02791" w:rsidRDefault="00C02791" w:rsidP="00B2596B">
      <w:pPr>
        <w:pStyle w:val="a3"/>
        <w:ind w:left="786" w:firstLine="0"/>
        <w:rPr>
          <w:rFonts w:ascii="Times New Roman" w:hAnsi="Times New Roman"/>
          <w:b/>
        </w:rPr>
      </w:pPr>
    </w:p>
    <w:p w:rsidR="00C02791" w:rsidRDefault="00C02791" w:rsidP="00B2596B">
      <w:pPr>
        <w:pStyle w:val="a3"/>
        <w:ind w:left="786" w:firstLine="0"/>
        <w:rPr>
          <w:rFonts w:ascii="Times New Roman" w:hAnsi="Times New Roman"/>
          <w:b/>
        </w:rPr>
      </w:pPr>
    </w:p>
    <w:p w:rsidR="00C02791" w:rsidRDefault="00C02791" w:rsidP="00B2596B">
      <w:pPr>
        <w:pStyle w:val="a3"/>
        <w:ind w:left="786" w:firstLine="0"/>
        <w:rPr>
          <w:rFonts w:ascii="Times New Roman" w:hAnsi="Times New Roman"/>
          <w:b/>
        </w:rPr>
      </w:pPr>
    </w:p>
    <w:p w:rsidR="008E409E" w:rsidRPr="008E409E" w:rsidRDefault="008E409E" w:rsidP="00B2596B">
      <w:pPr>
        <w:pStyle w:val="a3"/>
        <w:ind w:left="786" w:firstLine="0"/>
        <w:rPr>
          <w:rFonts w:ascii="Times New Roman" w:hAnsi="Times New Roman"/>
          <w:b/>
          <w:sz w:val="16"/>
          <w:szCs w:val="16"/>
        </w:rPr>
      </w:pPr>
    </w:p>
    <w:p w:rsidR="004E02E0" w:rsidRDefault="00066E60" w:rsidP="00E32F04">
      <w:pPr>
        <w:pStyle w:val="a3"/>
        <w:ind w:firstLine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Заместитель п</w:t>
      </w:r>
      <w:r w:rsidR="00E32F04" w:rsidRPr="00454AF7">
        <w:rPr>
          <w:rFonts w:ascii="Times New Roman" w:hAnsi="Times New Roman"/>
          <w:b/>
        </w:rPr>
        <w:t>редседател</w:t>
      </w:r>
      <w:r>
        <w:rPr>
          <w:rFonts w:ascii="Times New Roman" w:hAnsi="Times New Roman"/>
          <w:b/>
        </w:rPr>
        <w:t>я</w:t>
      </w:r>
      <w:r w:rsidR="00F151A2">
        <w:rPr>
          <w:rFonts w:ascii="Times New Roman" w:hAnsi="Times New Roman"/>
          <w:b/>
        </w:rPr>
        <w:t xml:space="preserve"> </w:t>
      </w:r>
      <w:r w:rsidR="00E32F04" w:rsidRPr="00454AF7">
        <w:rPr>
          <w:rFonts w:ascii="Times New Roman" w:hAnsi="Times New Roman"/>
          <w:b/>
        </w:rPr>
        <w:t>контрольно-</w:t>
      </w:r>
    </w:p>
    <w:p w:rsidR="00E32F04" w:rsidRPr="00454AF7" w:rsidRDefault="004E02E0" w:rsidP="00E32F04">
      <w:pPr>
        <w:pStyle w:val="a3"/>
        <w:ind w:firstLine="0"/>
        <w:rPr>
          <w:rFonts w:ascii="Times New Roman" w:hAnsi="Times New Roman"/>
          <w:color w:val="auto"/>
        </w:rPr>
      </w:pPr>
      <w:r>
        <w:rPr>
          <w:rFonts w:ascii="Times New Roman" w:hAnsi="Times New Roman"/>
          <w:b/>
        </w:rPr>
        <w:t>с</w:t>
      </w:r>
      <w:r w:rsidR="00E32F04" w:rsidRPr="00454AF7">
        <w:rPr>
          <w:rFonts w:ascii="Times New Roman" w:hAnsi="Times New Roman"/>
          <w:b/>
        </w:rPr>
        <w:t>четной</w:t>
      </w:r>
      <w:r>
        <w:rPr>
          <w:rFonts w:ascii="Times New Roman" w:hAnsi="Times New Roman"/>
          <w:b/>
        </w:rPr>
        <w:t xml:space="preserve"> </w:t>
      </w:r>
      <w:r w:rsidR="00F151A2">
        <w:rPr>
          <w:rFonts w:ascii="Times New Roman" w:hAnsi="Times New Roman"/>
          <w:b/>
        </w:rPr>
        <w:t>п</w:t>
      </w:r>
      <w:r w:rsidR="00E32F04" w:rsidRPr="00454AF7">
        <w:rPr>
          <w:rFonts w:ascii="Times New Roman" w:hAnsi="Times New Roman"/>
          <w:b/>
        </w:rPr>
        <w:t>алаты</w:t>
      </w:r>
      <w:r w:rsidR="00F151A2">
        <w:rPr>
          <w:rFonts w:ascii="Times New Roman" w:hAnsi="Times New Roman"/>
          <w:b/>
        </w:rPr>
        <w:t xml:space="preserve"> Волгоградской области</w:t>
      </w:r>
      <w:r w:rsidR="00E32F04" w:rsidRPr="00454AF7">
        <w:rPr>
          <w:rFonts w:ascii="Times New Roman" w:hAnsi="Times New Roman"/>
          <w:b/>
        </w:rPr>
        <w:t xml:space="preserve">                     </w:t>
      </w:r>
      <w:r w:rsidR="00F151A2">
        <w:rPr>
          <w:rFonts w:ascii="Times New Roman" w:hAnsi="Times New Roman"/>
          <w:b/>
        </w:rPr>
        <w:t xml:space="preserve">                    </w:t>
      </w:r>
      <w:r w:rsidR="004F553D">
        <w:rPr>
          <w:rFonts w:ascii="Times New Roman" w:hAnsi="Times New Roman"/>
          <w:b/>
        </w:rPr>
        <w:t xml:space="preserve">  </w:t>
      </w:r>
      <w:r w:rsidR="00FF3E7C">
        <w:rPr>
          <w:rFonts w:ascii="Times New Roman" w:hAnsi="Times New Roman"/>
          <w:b/>
        </w:rPr>
        <w:t xml:space="preserve">  </w:t>
      </w:r>
      <w:r w:rsidR="009336CE">
        <w:rPr>
          <w:rFonts w:ascii="Times New Roman" w:hAnsi="Times New Roman"/>
          <w:b/>
        </w:rPr>
        <w:t xml:space="preserve"> </w:t>
      </w:r>
      <w:r w:rsidR="00A17EB1">
        <w:rPr>
          <w:rFonts w:ascii="Times New Roman" w:hAnsi="Times New Roman"/>
          <w:b/>
        </w:rPr>
        <w:t xml:space="preserve">   </w:t>
      </w:r>
      <w:r w:rsidR="00066E60">
        <w:rPr>
          <w:rFonts w:ascii="Times New Roman" w:hAnsi="Times New Roman"/>
          <w:b/>
        </w:rPr>
        <w:t xml:space="preserve">Л.М. </w:t>
      </w:r>
      <w:proofErr w:type="spellStart"/>
      <w:r w:rsidR="00066E60">
        <w:rPr>
          <w:rFonts w:ascii="Times New Roman" w:hAnsi="Times New Roman"/>
          <w:b/>
        </w:rPr>
        <w:t>Горгоцкая</w:t>
      </w:r>
      <w:proofErr w:type="spellEnd"/>
      <w:r w:rsidR="00E32F04" w:rsidRPr="00454AF7">
        <w:rPr>
          <w:rFonts w:ascii="Times New Roman" w:hAnsi="Times New Roman"/>
          <w:b/>
        </w:rPr>
        <w:t xml:space="preserve">                                                 </w:t>
      </w:r>
    </w:p>
    <w:sectPr w:rsidR="00E32F04" w:rsidRPr="00454AF7" w:rsidSect="004223D6">
      <w:headerReference w:type="even" r:id="rId12"/>
      <w:headerReference w:type="default" r:id="rId13"/>
      <w:pgSz w:w="11906" w:h="16838"/>
      <w:pgMar w:top="1021" w:right="851" w:bottom="96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6551" w:rsidRDefault="00546551">
      <w:r>
        <w:separator/>
      </w:r>
    </w:p>
  </w:endnote>
  <w:endnote w:type="continuationSeparator" w:id="0">
    <w:p w:rsidR="00546551" w:rsidRDefault="005465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6551" w:rsidRDefault="00546551">
      <w:r>
        <w:separator/>
      </w:r>
    </w:p>
  </w:footnote>
  <w:footnote w:type="continuationSeparator" w:id="0">
    <w:p w:rsidR="00546551" w:rsidRDefault="005465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E9F" w:rsidRDefault="006470E7" w:rsidP="00147F8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70E9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0E9F" w:rsidRDefault="00970E9F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E9F" w:rsidRDefault="006470E7" w:rsidP="00147F8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70E9F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223D6">
      <w:rPr>
        <w:rStyle w:val="a6"/>
        <w:noProof/>
      </w:rPr>
      <w:t>2</w:t>
    </w:r>
    <w:r>
      <w:rPr>
        <w:rStyle w:val="a6"/>
      </w:rPr>
      <w:fldChar w:fldCharType="end"/>
    </w:r>
  </w:p>
  <w:p w:rsidR="00970E9F" w:rsidRDefault="00970E9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1770" w:hanging="1050"/>
      </w:pPr>
    </w:lvl>
  </w:abstractNum>
  <w:abstractNum w:abstractNumId="1">
    <w:nsid w:val="0C5A7AA0"/>
    <w:multiLevelType w:val="hybridMultilevel"/>
    <w:tmpl w:val="7EBE9F2E"/>
    <w:lvl w:ilvl="0" w:tplc="688C47BC">
      <w:start w:val="2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D569C9"/>
    <w:multiLevelType w:val="hybridMultilevel"/>
    <w:tmpl w:val="2134428C"/>
    <w:lvl w:ilvl="0" w:tplc="5068050C">
      <w:start w:val="1"/>
      <w:numFmt w:val="decimal"/>
      <w:lvlText w:val="%1."/>
      <w:lvlJc w:val="left"/>
      <w:pPr>
        <w:ind w:left="1429" w:hanging="360"/>
      </w:pPr>
      <w:rPr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CF37AA0"/>
    <w:multiLevelType w:val="hybridMultilevel"/>
    <w:tmpl w:val="3600294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0D8E24EC"/>
    <w:multiLevelType w:val="hybridMultilevel"/>
    <w:tmpl w:val="A5DE9E06"/>
    <w:lvl w:ilvl="0" w:tplc="F48640A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331B17"/>
    <w:multiLevelType w:val="hybridMultilevel"/>
    <w:tmpl w:val="4A9226AA"/>
    <w:lvl w:ilvl="0" w:tplc="C4546C3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2835BED"/>
    <w:multiLevelType w:val="hybridMultilevel"/>
    <w:tmpl w:val="487048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7815DDD"/>
    <w:multiLevelType w:val="hybridMultilevel"/>
    <w:tmpl w:val="87BC9C4A"/>
    <w:lvl w:ilvl="0" w:tplc="3CA4C5FA">
      <w:start w:val="1"/>
      <w:numFmt w:val="bullet"/>
      <w:lvlText w:val="-"/>
      <w:lvlJc w:val="left"/>
      <w:pPr>
        <w:ind w:left="142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81F1594"/>
    <w:multiLevelType w:val="multilevel"/>
    <w:tmpl w:val="28500CA4"/>
    <w:lvl w:ilvl="0">
      <w:start w:val="1"/>
      <w:numFmt w:val="decimal"/>
      <w:lvlText w:val="%1."/>
      <w:lvlJc w:val="left"/>
      <w:pPr>
        <w:ind w:left="1653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9">
    <w:nsid w:val="18523C45"/>
    <w:multiLevelType w:val="hybridMultilevel"/>
    <w:tmpl w:val="B158FAC6"/>
    <w:lvl w:ilvl="0" w:tplc="0419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>
    <w:nsid w:val="1B4F57FC"/>
    <w:multiLevelType w:val="hybridMultilevel"/>
    <w:tmpl w:val="7200D3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B63E9E"/>
    <w:multiLevelType w:val="hybridMultilevel"/>
    <w:tmpl w:val="E95887D6"/>
    <w:lvl w:ilvl="0" w:tplc="F006BD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2174EA0"/>
    <w:multiLevelType w:val="hybridMultilevel"/>
    <w:tmpl w:val="3DF68786"/>
    <w:lvl w:ilvl="0" w:tplc="936289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37370C0"/>
    <w:multiLevelType w:val="hybridMultilevel"/>
    <w:tmpl w:val="E35E14EE"/>
    <w:lvl w:ilvl="0" w:tplc="E406783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580292A"/>
    <w:multiLevelType w:val="hybridMultilevel"/>
    <w:tmpl w:val="F8F6A078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3B1D0F00"/>
    <w:multiLevelType w:val="hybridMultilevel"/>
    <w:tmpl w:val="9B64C920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DE9636B"/>
    <w:multiLevelType w:val="hybridMultilevel"/>
    <w:tmpl w:val="AB36D36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E243E1C"/>
    <w:multiLevelType w:val="hybridMultilevel"/>
    <w:tmpl w:val="B8A0867A"/>
    <w:lvl w:ilvl="0" w:tplc="6D0E10B8">
      <w:start w:val="8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8">
    <w:nsid w:val="42020A7F"/>
    <w:multiLevelType w:val="multilevel"/>
    <w:tmpl w:val="6388BB0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19">
    <w:nsid w:val="4560325A"/>
    <w:multiLevelType w:val="hybridMultilevel"/>
    <w:tmpl w:val="18A4C480"/>
    <w:lvl w:ilvl="0" w:tplc="3C6457D0">
      <w:start w:val="4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0">
    <w:nsid w:val="47F96CF0"/>
    <w:multiLevelType w:val="hybridMultilevel"/>
    <w:tmpl w:val="5F06F07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4C726BC8"/>
    <w:multiLevelType w:val="hybridMultilevel"/>
    <w:tmpl w:val="BAE6A570"/>
    <w:lvl w:ilvl="0" w:tplc="D0CE06F2">
      <w:start w:val="1"/>
      <w:numFmt w:val="decimal"/>
      <w:lvlText w:val="%1."/>
      <w:lvlJc w:val="left"/>
      <w:pPr>
        <w:ind w:left="1684" w:hanging="9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8601B82"/>
    <w:multiLevelType w:val="hybridMultilevel"/>
    <w:tmpl w:val="DC7CFCD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>
    <w:nsid w:val="5A9B386B"/>
    <w:multiLevelType w:val="hybridMultilevel"/>
    <w:tmpl w:val="236EBF6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62D26373"/>
    <w:multiLevelType w:val="hybridMultilevel"/>
    <w:tmpl w:val="8F206BDE"/>
    <w:lvl w:ilvl="0" w:tplc="3DF8BFA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4FA28FE"/>
    <w:multiLevelType w:val="multilevel"/>
    <w:tmpl w:val="568EE83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abstractNum w:abstractNumId="26">
    <w:nsid w:val="6C944752"/>
    <w:multiLevelType w:val="hybridMultilevel"/>
    <w:tmpl w:val="D3143BD0"/>
    <w:lvl w:ilvl="0" w:tplc="145A1210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DBC1F94"/>
    <w:multiLevelType w:val="hybridMultilevel"/>
    <w:tmpl w:val="BC0473A8"/>
    <w:lvl w:ilvl="0" w:tplc="A596F0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194144C"/>
    <w:multiLevelType w:val="hybridMultilevel"/>
    <w:tmpl w:val="399A54CC"/>
    <w:lvl w:ilvl="0" w:tplc="67B2A1C2">
      <w:start w:val="1"/>
      <w:numFmt w:val="decimal"/>
      <w:lvlText w:val="%1."/>
      <w:lvlJc w:val="left"/>
      <w:pPr>
        <w:ind w:left="90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749C5361"/>
    <w:multiLevelType w:val="hybridMultilevel"/>
    <w:tmpl w:val="BFAA827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ABA72AF"/>
    <w:multiLevelType w:val="hybridMultilevel"/>
    <w:tmpl w:val="C42C6CC4"/>
    <w:lvl w:ilvl="0" w:tplc="0BBCA0A8">
      <w:start w:val="1"/>
      <w:numFmt w:val="decimal"/>
      <w:lvlText w:val="%1."/>
      <w:lvlJc w:val="left"/>
      <w:pPr>
        <w:ind w:left="165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7CD371DE"/>
    <w:multiLevelType w:val="hybridMultilevel"/>
    <w:tmpl w:val="6CFA5568"/>
    <w:lvl w:ilvl="0" w:tplc="86F265F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>
    <w:nsid w:val="7DFB4CF6"/>
    <w:multiLevelType w:val="hybridMultilevel"/>
    <w:tmpl w:val="6D3879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6"/>
  </w:num>
  <w:num w:numId="3">
    <w:abstractNumId w:val="13"/>
  </w:num>
  <w:num w:numId="4">
    <w:abstractNumId w:val="28"/>
  </w:num>
  <w:num w:numId="5">
    <w:abstractNumId w:val="20"/>
  </w:num>
  <w:num w:numId="6">
    <w:abstractNumId w:val="14"/>
  </w:num>
  <w:num w:numId="7">
    <w:abstractNumId w:val="10"/>
  </w:num>
  <w:num w:numId="8">
    <w:abstractNumId w:val="32"/>
  </w:num>
  <w:num w:numId="9">
    <w:abstractNumId w:val="12"/>
  </w:num>
  <w:num w:numId="10">
    <w:abstractNumId w:val="18"/>
  </w:num>
  <w:num w:numId="11">
    <w:abstractNumId w:val="30"/>
  </w:num>
  <w:num w:numId="12">
    <w:abstractNumId w:val="8"/>
  </w:num>
  <w:num w:numId="13">
    <w:abstractNumId w:val="2"/>
  </w:num>
  <w:num w:numId="14">
    <w:abstractNumId w:val="11"/>
  </w:num>
  <w:num w:numId="15">
    <w:abstractNumId w:val="23"/>
  </w:num>
  <w:num w:numId="16">
    <w:abstractNumId w:val="17"/>
  </w:num>
  <w:num w:numId="17">
    <w:abstractNumId w:val="5"/>
  </w:num>
  <w:num w:numId="18">
    <w:abstractNumId w:val="19"/>
  </w:num>
  <w:num w:numId="19">
    <w:abstractNumId w:val="24"/>
  </w:num>
  <w:num w:numId="20">
    <w:abstractNumId w:val="25"/>
  </w:num>
  <w:num w:numId="21">
    <w:abstractNumId w:val="1"/>
  </w:num>
  <w:num w:numId="22">
    <w:abstractNumId w:val="27"/>
  </w:num>
  <w:num w:numId="23">
    <w:abstractNumId w:val="6"/>
  </w:num>
  <w:num w:numId="24">
    <w:abstractNumId w:val="16"/>
  </w:num>
  <w:num w:numId="25">
    <w:abstractNumId w:val="9"/>
  </w:num>
  <w:num w:numId="26">
    <w:abstractNumId w:val="21"/>
  </w:num>
  <w:num w:numId="27">
    <w:abstractNumId w:val="4"/>
  </w:num>
  <w:num w:numId="28">
    <w:abstractNumId w:val="7"/>
  </w:num>
  <w:num w:numId="29">
    <w:abstractNumId w:val="22"/>
  </w:num>
  <w:num w:numId="30">
    <w:abstractNumId w:val="3"/>
  </w:num>
  <w:num w:numId="31">
    <w:abstractNumId w:val="29"/>
  </w:num>
  <w:num w:numId="32">
    <w:abstractNumId w:val="3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152A"/>
    <w:rsid w:val="00000240"/>
    <w:rsid w:val="000002C0"/>
    <w:rsid w:val="000003BE"/>
    <w:rsid w:val="000004E4"/>
    <w:rsid w:val="0000070F"/>
    <w:rsid w:val="00000808"/>
    <w:rsid w:val="000008EF"/>
    <w:rsid w:val="00000A08"/>
    <w:rsid w:val="00000A4E"/>
    <w:rsid w:val="00000AC8"/>
    <w:rsid w:val="00000B80"/>
    <w:rsid w:val="00000E21"/>
    <w:rsid w:val="00000EDA"/>
    <w:rsid w:val="00001027"/>
    <w:rsid w:val="00001044"/>
    <w:rsid w:val="000011C1"/>
    <w:rsid w:val="00001459"/>
    <w:rsid w:val="0000160A"/>
    <w:rsid w:val="00001663"/>
    <w:rsid w:val="00001D03"/>
    <w:rsid w:val="000025E4"/>
    <w:rsid w:val="00002938"/>
    <w:rsid w:val="000029DA"/>
    <w:rsid w:val="00002D37"/>
    <w:rsid w:val="00003318"/>
    <w:rsid w:val="0000336A"/>
    <w:rsid w:val="000034C9"/>
    <w:rsid w:val="000034CE"/>
    <w:rsid w:val="00003DD8"/>
    <w:rsid w:val="00004038"/>
    <w:rsid w:val="0000407C"/>
    <w:rsid w:val="0000432C"/>
    <w:rsid w:val="00004AD3"/>
    <w:rsid w:val="00004CF2"/>
    <w:rsid w:val="00004E27"/>
    <w:rsid w:val="00004EBC"/>
    <w:rsid w:val="000050A5"/>
    <w:rsid w:val="00005101"/>
    <w:rsid w:val="0000521D"/>
    <w:rsid w:val="0000535D"/>
    <w:rsid w:val="00005440"/>
    <w:rsid w:val="00005447"/>
    <w:rsid w:val="00005A13"/>
    <w:rsid w:val="00005AE6"/>
    <w:rsid w:val="00005C28"/>
    <w:rsid w:val="000068E3"/>
    <w:rsid w:val="000068F8"/>
    <w:rsid w:val="00006B26"/>
    <w:rsid w:val="00006C08"/>
    <w:rsid w:val="00006D28"/>
    <w:rsid w:val="00007267"/>
    <w:rsid w:val="00007AFF"/>
    <w:rsid w:val="00007CBB"/>
    <w:rsid w:val="00007D7E"/>
    <w:rsid w:val="00007E88"/>
    <w:rsid w:val="000100A1"/>
    <w:rsid w:val="0001010D"/>
    <w:rsid w:val="00010145"/>
    <w:rsid w:val="00010968"/>
    <w:rsid w:val="00010D44"/>
    <w:rsid w:val="00010E19"/>
    <w:rsid w:val="0001184F"/>
    <w:rsid w:val="0001219C"/>
    <w:rsid w:val="00012390"/>
    <w:rsid w:val="00012418"/>
    <w:rsid w:val="000128C1"/>
    <w:rsid w:val="000128D4"/>
    <w:rsid w:val="00012C91"/>
    <w:rsid w:val="00013490"/>
    <w:rsid w:val="0001362B"/>
    <w:rsid w:val="0001379B"/>
    <w:rsid w:val="00013A4B"/>
    <w:rsid w:val="00013C47"/>
    <w:rsid w:val="00014047"/>
    <w:rsid w:val="0001416B"/>
    <w:rsid w:val="00014C60"/>
    <w:rsid w:val="00014E17"/>
    <w:rsid w:val="00014ED2"/>
    <w:rsid w:val="00014EE0"/>
    <w:rsid w:val="0001574C"/>
    <w:rsid w:val="0001579C"/>
    <w:rsid w:val="000158FB"/>
    <w:rsid w:val="00016228"/>
    <w:rsid w:val="00016331"/>
    <w:rsid w:val="00016AD7"/>
    <w:rsid w:val="00016B47"/>
    <w:rsid w:val="00016D69"/>
    <w:rsid w:val="00017083"/>
    <w:rsid w:val="00017356"/>
    <w:rsid w:val="000173D9"/>
    <w:rsid w:val="000175C0"/>
    <w:rsid w:val="00017857"/>
    <w:rsid w:val="00020169"/>
    <w:rsid w:val="000201C5"/>
    <w:rsid w:val="00020851"/>
    <w:rsid w:val="000208BC"/>
    <w:rsid w:val="00021432"/>
    <w:rsid w:val="0002163B"/>
    <w:rsid w:val="00021B27"/>
    <w:rsid w:val="00021C87"/>
    <w:rsid w:val="00022163"/>
    <w:rsid w:val="000223DD"/>
    <w:rsid w:val="00022499"/>
    <w:rsid w:val="000228C7"/>
    <w:rsid w:val="00022BCA"/>
    <w:rsid w:val="00022DDB"/>
    <w:rsid w:val="00023038"/>
    <w:rsid w:val="000230A5"/>
    <w:rsid w:val="00023544"/>
    <w:rsid w:val="000236EE"/>
    <w:rsid w:val="0002403C"/>
    <w:rsid w:val="000250BF"/>
    <w:rsid w:val="0002512D"/>
    <w:rsid w:val="0002520E"/>
    <w:rsid w:val="00025386"/>
    <w:rsid w:val="0002579C"/>
    <w:rsid w:val="00025B3D"/>
    <w:rsid w:val="00025F37"/>
    <w:rsid w:val="00025F8E"/>
    <w:rsid w:val="000261E8"/>
    <w:rsid w:val="00026A57"/>
    <w:rsid w:val="00026CC6"/>
    <w:rsid w:val="00026DF8"/>
    <w:rsid w:val="0002710E"/>
    <w:rsid w:val="000271B1"/>
    <w:rsid w:val="00027807"/>
    <w:rsid w:val="00027A81"/>
    <w:rsid w:val="00027E12"/>
    <w:rsid w:val="000308E4"/>
    <w:rsid w:val="00030B36"/>
    <w:rsid w:val="00030B7C"/>
    <w:rsid w:val="00030CCB"/>
    <w:rsid w:val="00030E37"/>
    <w:rsid w:val="000311EA"/>
    <w:rsid w:val="00031291"/>
    <w:rsid w:val="00031572"/>
    <w:rsid w:val="00031612"/>
    <w:rsid w:val="00031BA9"/>
    <w:rsid w:val="00031DCB"/>
    <w:rsid w:val="000320FE"/>
    <w:rsid w:val="00032158"/>
    <w:rsid w:val="00032367"/>
    <w:rsid w:val="00032457"/>
    <w:rsid w:val="0003258E"/>
    <w:rsid w:val="00032CB7"/>
    <w:rsid w:val="00032D1F"/>
    <w:rsid w:val="00033200"/>
    <w:rsid w:val="000332EC"/>
    <w:rsid w:val="00033575"/>
    <w:rsid w:val="00033920"/>
    <w:rsid w:val="00033AD5"/>
    <w:rsid w:val="00034667"/>
    <w:rsid w:val="00034712"/>
    <w:rsid w:val="00034B23"/>
    <w:rsid w:val="00034B9C"/>
    <w:rsid w:val="00034C5E"/>
    <w:rsid w:val="00034DE1"/>
    <w:rsid w:val="0003507C"/>
    <w:rsid w:val="000353F7"/>
    <w:rsid w:val="00035703"/>
    <w:rsid w:val="000359EC"/>
    <w:rsid w:val="00035B58"/>
    <w:rsid w:val="00035C82"/>
    <w:rsid w:val="0003602E"/>
    <w:rsid w:val="0003624C"/>
    <w:rsid w:val="00036541"/>
    <w:rsid w:val="00036CC0"/>
    <w:rsid w:val="0003701A"/>
    <w:rsid w:val="000370EF"/>
    <w:rsid w:val="0003721A"/>
    <w:rsid w:val="0003727C"/>
    <w:rsid w:val="0003756F"/>
    <w:rsid w:val="00037725"/>
    <w:rsid w:val="0003788E"/>
    <w:rsid w:val="00037BB4"/>
    <w:rsid w:val="00037BC7"/>
    <w:rsid w:val="00037D0D"/>
    <w:rsid w:val="00037E5A"/>
    <w:rsid w:val="000403D5"/>
    <w:rsid w:val="000404E4"/>
    <w:rsid w:val="0004055F"/>
    <w:rsid w:val="00040605"/>
    <w:rsid w:val="00040691"/>
    <w:rsid w:val="000406A5"/>
    <w:rsid w:val="00040AE6"/>
    <w:rsid w:val="00041008"/>
    <w:rsid w:val="000412E5"/>
    <w:rsid w:val="00041449"/>
    <w:rsid w:val="000415E4"/>
    <w:rsid w:val="000417D3"/>
    <w:rsid w:val="00041CE4"/>
    <w:rsid w:val="00041D97"/>
    <w:rsid w:val="0004288C"/>
    <w:rsid w:val="000428F7"/>
    <w:rsid w:val="000429B3"/>
    <w:rsid w:val="00042B31"/>
    <w:rsid w:val="00042CBA"/>
    <w:rsid w:val="00042DBD"/>
    <w:rsid w:val="00043176"/>
    <w:rsid w:val="00043185"/>
    <w:rsid w:val="00043220"/>
    <w:rsid w:val="000434B3"/>
    <w:rsid w:val="000436D6"/>
    <w:rsid w:val="000436FB"/>
    <w:rsid w:val="00043713"/>
    <w:rsid w:val="00043C4A"/>
    <w:rsid w:val="0004438F"/>
    <w:rsid w:val="00044594"/>
    <w:rsid w:val="000445C9"/>
    <w:rsid w:val="0004467F"/>
    <w:rsid w:val="0004482D"/>
    <w:rsid w:val="00044C47"/>
    <w:rsid w:val="00044C9C"/>
    <w:rsid w:val="00044DF4"/>
    <w:rsid w:val="00044E21"/>
    <w:rsid w:val="00044F6E"/>
    <w:rsid w:val="000450C7"/>
    <w:rsid w:val="00045334"/>
    <w:rsid w:val="00045664"/>
    <w:rsid w:val="000457CB"/>
    <w:rsid w:val="00045BFA"/>
    <w:rsid w:val="00045F75"/>
    <w:rsid w:val="000460B0"/>
    <w:rsid w:val="00046144"/>
    <w:rsid w:val="00046324"/>
    <w:rsid w:val="00046550"/>
    <w:rsid w:val="00046656"/>
    <w:rsid w:val="00046AD9"/>
    <w:rsid w:val="00046B57"/>
    <w:rsid w:val="00047036"/>
    <w:rsid w:val="0004703D"/>
    <w:rsid w:val="00047145"/>
    <w:rsid w:val="000477D2"/>
    <w:rsid w:val="00047967"/>
    <w:rsid w:val="00050020"/>
    <w:rsid w:val="00050242"/>
    <w:rsid w:val="00050896"/>
    <w:rsid w:val="00050983"/>
    <w:rsid w:val="00050B72"/>
    <w:rsid w:val="00050B84"/>
    <w:rsid w:val="00050C1C"/>
    <w:rsid w:val="00050C5B"/>
    <w:rsid w:val="00050DE0"/>
    <w:rsid w:val="0005112C"/>
    <w:rsid w:val="00051305"/>
    <w:rsid w:val="000516F7"/>
    <w:rsid w:val="00051BAB"/>
    <w:rsid w:val="00051DC3"/>
    <w:rsid w:val="00052054"/>
    <w:rsid w:val="000520D3"/>
    <w:rsid w:val="00052202"/>
    <w:rsid w:val="000526F6"/>
    <w:rsid w:val="00052A00"/>
    <w:rsid w:val="00052A1B"/>
    <w:rsid w:val="00052E32"/>
    <w:rsid w:val="00053140"/>
    <w:rsid w:val="000535D5"/>
    <w:rsid w:val="00053739"/>
    <w:rsid w:val="00053EBE"/>
    <w:rsid w:val="00053F2F"/>
    <w:rsid w:val="000540E3"/>
    <w:rsid w:val="000544DB"/>
    <w:rsid w:val="00054B92"/>
    <w:rsid w:val="00054C0E"/>
    <w:rsid w:val="00054C1D"/>
    <w:rsid w:val="00055279"/>
    <w:rsid w:val="00055299"/>
    <w:rsid w:val="000561F5"/>
    <w:rsid w:val="00056FBF"/>
    <w:rsid w:val="000573F8"/>
    <w:rsid w:val="00057503"/>
    <w:rsid w:val="0005752E"/>
    <w:rsid w:val="00060404"/>
    <w:rsid w:val="000606E7"/>
    <w:rsid w:val="000608AF"/>
    <w:rsid w:val="00060ED9"/>
    <w:rsid w:val="0006107B"/>
    <w:rsid w:val="000617D6"/>
    <w:rsid w:val="0006187D"/>
    <w:rsid w:val="00061A2F"/>
    <w:rsid w:val="00061AC9"/>
    <w:rsid w:val="00061E68"/>
    <w:rsid w:val="00062535"/>
    <w:rsid w:val="0006255A"/>
    <w:rsid w:val="00062650"/>
    <w:rsid w:val="00063303"/>
    <w:rsid w:val="00063416"/>
    <w:rsid w:val="0006343C"/>
    <w:rsid w:val="000635D5"/>
    <w:rsid w:val="000635FB"/>
    <w:rsid w:val="00063826"/>
    <w:rsid w:val="00063A7E"/>
    <w:rsid w:val="00063AE5"/>
    <w:rsid w:val="00063E5D"/>
    <w:rsid w:val="00063F05"/>
    <w:rsid w:val="000642E0"/>
    <w:rsid w:val="00064669"/>
    <w:rsid w:val="000646E2"/>
    <w:rsid w:val="00064A6D"/>
    <w:rsid w:val="0006580F"/>
    <w:rsid w:val="00065A06"/>
    <w:rsid w:val="00065AB0"/>
    <w:rsid w:val="00065BAA"/>
    <w:rsid w:val="00065DF9"/>
    <w:rsid w:val="00065F96"/>
    <w:rsid w:val="00065FF3"/>
    <w:rsid w:val="0006606F"/>
    <w:rsid w:val="00066547"/>
    <w:rsid w:val="000669F8"/>
    <w:rsid w:val="00066C7E"/>
    <w:rsid w:val="00066E60"/>
    <w:rsid w:val="000674CF"/>
    <w:rsid w:val="00067C36"/>
    <w:rsid w:val="00067EAD"/>
    <w:rsid w:val="000700B6"/>
    <w:rsid w:val="000707DB"/>
    <w:rsid w:val="0007106E"/>
    <w:rsid w:val="0007111E"/>
    <w:rsid w:val="00071C7D"/>
    <w:rsid w:val="00071E63"/>
    <w:rsid w:val="00072071"/>
    <w:rsid w:val="00072696"/>
    <w:rsid w:val="00072BB9"/>
    <w:rsid w:val="00072C00"/>
    <w:rsid w:val="00072FE0"/>
    <w:rsid w:val="00073107"/>
    <w:rsid w:val="00073239"/>
    <w:rsid w:val="000733BE"/>
    <w:rsid w:val="0007343A"/>
    <w:rsid w:val="0007365F"/>
    <w:rsid w:val="00073BEB"/>
    <w:rsid w:val="00073DA8"/>
    <w:rsid w:val="00073E82"/>
    <w:rsid w:val="000749DC"/>
    <w:rsid w:val="00074B5A"/>
    <w:rsid w:val="00074D35"/>
    <w:rsid w:val="00074D4E"/>
    <w:rsid w:val="00074F03"/>
    <w:rsid w:val="0007515D"/>
    <w:rsid w:val="000751AB"/>
    <w:rsid w:val="000751E0"/>
    <w:rsid w:val="00075336"/>
    <w:rsid w:val="000754A1"/>
    <w:rsid w:val="000755FE"/>
    <w:rsid w:val="00075766"/>
    <w:rsid w:val="000757D4"/>
    <w:rsid w:val="00075B6D"/>
    <w:rsid w:val="00075C30"/>
    <w:rsid w:val="00075DB5"/>
    <w:rsid w:val="00075FC2"/>
    <w:rsid w:val="00076211"/>
    <w:rsid w:val="000765BB"/>
    <w:rsid w:val="000766B2"/>
    <w:rsid w:val="000766E9"/>
    <w:rsid w:val="00077437"/>
    <w:rsid w:val="000774E4"/>
    <w:rsid w:val="0007772C"/>
    <w:rsid w:val="0007775D"/>
    <w:rsid w:val="00077B58"/>
    <w:rsid w:val="00080337"/>
    <w:rsid w:val="000812C9"/>
    <w:rsid w:val="000814A1"/>
    <w:rsid w:val="000817D4"/>
    <w:rsid w:val="00081858"/>
    <w:rsid w:val="00081996"/>
    <w:rsid w:val="00081F40"/>
    <w:rsid w:val="0008211B"/>
    <w:rsid w:val="00082623"/>
    <w:rsid w:val="0008270A"/>
    <w:rsid w:val="000827F7"/>
    <w:rsid w:val="0008292A"/>
    <w:rsid w:val="000829A4"/>
    <w:rsid w:val="00082CE0"/>
    <w:rsid w:val="00082EF3"/>
    <w:rsid w:val="00082F4D"/>
    <w:rsid w:val="00083EBF"/>
    <w:rsid w:val="00083F17"/>
    <w:rsid w:val="000843D9"/>
    <w:rsid w:val="00084476"/>
    <w:rsid w:val="000844A2"/>
    <w:rsid w:val="000844A3"/>
    <w:rsid w:val="00084538"/>
    <w:rsid w:val="000847C3"/>
    <w:rsid w:val="000849DE"/>
    <w:rsid w:val="00084A54"/>
    <w:rsid w:val="00084AA0"/>
    <w:rsid w:val="00084C1B"/>
    <w:rsid w:val="00084E01"/>
    <w:rsid w:val="0008529A"/>
    <w:rsid w:val="0008558C"/>
    <w:rsid w:val="000856EE"/>
    <w:rsid w:val="000856F4"/>
    <w:rsid w:val="0008574E"/>
    <w:rsid w:val="0008578D"/>
    <w:rsid w:val="00085C26"/>
    <w:rsid w:val="00085E4B"/>
    <w:rsid w:val="00086052"/>
    <w:rsid w:val="0008666C"/>
    <w:rsid w:val="000866C2"/>
    <w:rsid w:val="000866DD"/>
    <w:rsid w:val="00086BD1"/>
    <w:rsid w:val="00086C71"/>
    <w:rsid w:val="00086E4D"/>
    <w:rsid w:val="000875D2"/>
    <w:rsid w:val="000878CC"/>
    <w:rsid w:val="00087A8E"/>
    <w:rsid w:val="00087B8C"/>
    <w:rsid w:val="00087E09"/>
    <w:rsid w:val="000900ED"/>
    <w:rsid w:val="0009026C"/>
    <w:rsid w:val="00090635"/>
    <w:rsid w:val="000908EB"/>
    <w:rsid w:val="00090A1C"/>
    <w:rsid w:val="00090A71"/>
    <w:rsid w:val="00090EFE"/>
    <w:rsid w:val="00090F03"/>
    <w:rsid w:val="000914AF"/>
    <w:rsid w:val="000914B2"/>
    <w:rsid w:val="00091594"/>
    <w:rsid w:val="000916A8"/>
    <w:rsid w:val="000918DE"/>
    <w:rsid w:val="00091D19"/>
    <w:rsid w:val="00091EC9"/>
    <w:rsid w:val="00092866"/>
    <w:rsid w:val="000929BD"/>
    <w:rsid w:val="00092ECC"/>
    <w:rsid w:val="00092F04"/>
    <w:rsid w:val="000930CD"/>
    <w:rsid w:val="000930D6"/>
    <w:rsid w:val="0009378C"/>
    <w:rsid w:val="00093CC9"/>
    <w:rsid w:val="00094000"/>
    <w:rsid w:val="000940FF"/>
    <w:rsid w:val="0009428D"/>
    <w:rsid w:val="00094371"/>
    <w:rsid w:val="00094380"/>
    <w:rsid w:val="000945AB"/>
    <w:rsid w:val="0009485B"/>
    <w:rsid w:val="00094FC2"/>
    <w:rsid w:val="00095067"/>
    <w:rsid w:val="00095117"/>
    <w:rsid w:val="00096641"/>
    <w:rsid w:val="00096779"/>
    <w:rsid w:val="000970D2"/>
    <w:rsid w:val="0009741F"/>
    <w:rsid w:val="00097953"/>
    <w:rsid w:val="000979A1"/>
    <w:rsid w:val="00097CA6"/>
    <w:rsid w:val="000A0239"/>
    <w:rsid w:val="000A03AF"/>
    <w:rsid w:val="000A04AB"/>
    <w:rsid w:val="000A0FDB"/>
    <w:rsid w:val="000A10A9"/>
    <w:rsid w:val="000A147B"/>
    <w:rsid w:val="000A196A"/>
    <w:rsid w:val="000A1AFF"/>
    <w:rsid w:val="000A1C1D"/>
    <w:rsid w:val="000A2124"/>
    <w:rsid w:val="000A2B1C"/>
    <w:rsid w:val="000A2FE1"/>
    <w:rsid w:val="000A311A"/>
    <w:rsid w:val="000A33D1"/>
    <w:rsid w:val="000A37B8"/>
    <w:rsid w:val="000A385B"/>
    <w:rsid w:val="000A3901"/>
    <w:rsid w:val="000A3951"/>
    <w:rsid w:val="000A42B2"/>
    <w:rsid w:val="000A445A"/>
    <w:rsid w:val="000A4A3E"/>
    <w:rsid w:val="000A4EFF"/>
    <w:rsid w:val="000A52D0"/>
    <w:rsid w:val="000A535C"/>
    <w:rsid w:val="000A58DF"/>
    <w:rsid w:val="000A5EC6"/>
    <w:rsid w:val="000A60F6"/>
    <w:rsid w:val="000A6CA8"/>
    <w:rsid w:val="000A71D7"/>
    <w:rsid w:val="000A750E"/>
    <w:rsid w:val="000A75C2"/>
    <w:rsid w:val="000A763D"/>
    <w:rsid w:val="000A7880"/>
    <w:rsid w:val="000A7E2E"/>
    <w:rsid w:val="000A7E8A"/>
    <w:rsid w:val="000A7EF6"/>
    <w:rsid w:val="000B0050"/>
    <w:rsid w:val="000B01A9"/>
    <w:rsid w:val="000B028F"/>
    <w:rsid w:val="000B0301"/>
    <w:rsid w:val="000B0577"/>
    <w:rsid w:val="000B05DC"/>
    <w:rsid w:val="000B0FDA"/>
    <w:rsid w:val="000B11E2"/>
    <w:rsid w:val="000B135C"/>
    <w:rsid w:val="000B1553"/>
    <w:rsid w:val="000B1902"/>
    <w:rsid w:val="000B1C56"/>
    <w:rsid w:val="000B2409"/>
    <w:rsid w:val="000B2629"/>
    <w:rsid w:val="000B2883"/>
    <w:rsid w:val="000B2AC7"/>
    <w:rsid w:val="000B3254"/>
    <w:rsid w:val="000B3A86"/>
    <w:rsid w:val="000B43E1"/>
    <w:rsid w:val="000B45DF"/>
    <w:rsid w:val="000B468D"/>
    <w:rsid w:val="000B47A7"/>
    <w:rsid w:val="000B47C1"/>
    <w:rsid w:val="000B4DB1"/>
    <w:rsid w:val="000B5793"/>
    <w:rsid w:val="000B5A6C"/>
    <w:rsid w:val="000B5BC3"/>
    <w:rsid w:val="000B613B"/>
    <w:rsid w:val="000B63B6"/>
    <w:rsid w:val="000B6432"/>
    <w:rsid w:val="000B6829"/>
    <w:rsid w:val="000B683A"/>
    <w:rsid w:val="000B6964"/>
    <w:rsid w:val="000B6BDA"/>
    <w:rsid w:val="000B71BF"/>
    <w:rsid w:val="000B7334"/>
    <w:rsid w:val="000B73AD"/>
    <w:rsid w:val="000B754E"/>
    <w:rsid w:val="000B7673"/>
    <w:rsid w:val="000B7925"/>
    <w:rsid w:val="000B795F"/>
    <w:rsid w:val="000B7A0A"/>
    <w:rsid w:val="000B7E8B"/>
    <w:rsid w:val="000C06BD"/>
    <w:rsid w:val="000C0736"/>
    <w:rsid w:val="000C0881"/>
    <w:rsid w:val="000C08ED"/>
    <w:rsid w:val="000C0BEE"/>
    <w:rsid w:val="000C0C73"/>
    <w:rsid w:val="000C0EF4"/>
    <w:rsid w:val="000C134D"/>
    <w:rsid w:val="000C14CA"/>
    <w:rsid w:val="000C1501"/>
    <w:rsid w:val="000C18FE"/>
    <w:rsid w:val="000C1965"/>
    <w:rsid w:val="000C1C45"/>
    <w:rsid w:val="000C1D14"/>
    <w:rsid w:val="000C22BF"/>
    <w:rsid w:val="000C231C"/>
    <w:rsid w:val="000C2358"/>
    <w:rsid w:val="000C2ACB"/>
    <w:rsid w:val="000C2D95"/>
    <w:rsid w:val="000C3492"/>
    <w:rsid w:val="000C3552"/>
    <w:rsid w:val="000C355A"/>
    <w:rsid w:val="000C37E7"/>
    <w:rsid w:val="000C39F8"/>
    <w:rsid w:val="000C3A87"/>
    <w:rsid w:val="000C3A89"/>
    <w:rsid w:val="000C42AD"/>
    <w:rsid w:val="000C43EF"/>
    <w:rsid w:val="000C49EC"/>
    <w:rsid w:val="000C4B27"/>
    <w:rsid w:val="000C4BEF"/>
    <w:rsid w:val="000C4CD5"/>
    <w:rsid w:val="000C4F4A"/>
    <w:rsid w:val="000C5547"/>
    <w:rsid w:val="000C5B17"/>
    <w:rsid w:val="000C5C6E"/>
    <w:rsid w:val="000C5D33"/>
    <w:rsid w:val="000C6146"/>
    <w:rsid w:val="000C62FC"/>
    <w:rsid w:val="000C63A4"/>
    <w:rsid w:val="000C68DA"/>
    <w:rsid w:val="000C69F4"/>
    <w:rsid w:val="000C6A00"/>
    <w:rsid w:val="000C6B91"/>
    <w:rsid w:val="000C6D2D"/>
    <w:rsid w:val="000C6E59"/>
    <w:rsid w:val="000C6E85"/>
    <w:rsid w:val="000C70E4"/>
    <w:rsid w:val="000C72C7"/>
    <w:rsid w:val="000C7457"/>
    <w:rsid w:val="000C7A95"/>
    <w:rsid w:val="000C7ADB"/>
    <w:rsid w:val="000C7AE3"/>
    <w:rsid w:val="000C7C0B"/>
    <w:rsid w:val="000C7C81"/>
    <w:rsid w:val="000D00D1"/>
    <w:rsid w:val="000D0FCA"/>
    <w:rsid w:val="000D1246"/>
    <w:rsid w:val="000D138F"/>
    <w:rsid w:val="000D13D1"/>
    <w:rsid w:val="000D22BC"/>
    <w:rsid w:val="000D2518"/>
    <w:rsid w:val="000D370A"/>
    <w:rsid w:val="000D37C7"/>
    <w:rsid w:val="000D39EC"/>
    <w:rsid w:val="000D3C71"/>
    <w:rsid w:val="000D417B"/>
    <w:rsid w:val="000D4283"/>
    <w:rsid w:val="000D4845"/>
    <w:rsid w:val="000D4EE5"/>
    <w:rsid w:val="000D6C6C"/>
    <w:rsid w:val="000D706C"/>
    <w:rsid w:val="000D71FD"/>
    <w:rsid w:val="000D737D"/>
    <w:rsid w:val="000D74D7"/>
    <w:rsid w:val="000D7578"/>
    <w:rsid w:val="000D75A0"/>
    <w:rsid w:val="000D7838"/>
    <w:rsid w:val="000D7BBD"/>
    <w:rsid w:val="000D7C57"/>
    <w:rsid w:val="000D7D78"/>
    <w:rsid w:val="000E035C"/>
    <w:rsid w:val="000E0396"/>
    <w:rsid w:val="000E08F0"/>
    <w:rsid w:val="000E0928"/>
    <w:rsid w:val="000E0EAB"/>
    <w:rsid w:val="000E14B4"/>
    <w:rsid w:val="000E1AA2"/>
    <w:rsid w:val="000E1DB3"/>
    <w:rsid w:val="000E2318"/>
    <w:rsid w:val="000E24C4"/>
    <w:rsid w:val="000E2E16"/>
    <w:rsid w:val="000E311F"/>
    <w:rsid w:val="000E3642"/>
    <w:rsid w:val="000E3A66"/>
    <w:rsid w:val="000E42D3"/>
    <w:rsid w:val="000E48D6"/>
    <w:rsid w:val="000E4B7C"/>
    <w:rsid w:val="000E51A5"/>
    <w:rsid w:val="000E56C6"/>
    <w:rsid w:val="000E5EAB"/>
    <w:rsid w:val="000E5F82"/>
    <w:rsid w:val="000E5FA0"/>
    <w:rsid w:val="000E6031"/>
    <w:rsid w:val="000E616B"/>
    <w:rsid w:val="000E616C"/>
    <w:rsid w:val="000E6663"/>
    <w:rsid w:val="000E6794"/>
    <w:rsid w:val="000E6FFB"/>
    <w:rsid w:val="000E715E"/>
    <w:rsid w:val="000E7433"/>
    <w:rsid w:val="000E7529"/>
    <w:rsid w:val="000E7870"/>
    <w:rsid w:val="000E7DF4"/>
    <w:rsid w:val="000F03FD"/>
    <w:rsid w:val="000F074C"/>
    <w:rsid w:val="000F075D"/>
    <w:rsid w:val="000F0781"/>
    <w:rsid w:val="000F0DA1"/>
    <w:rsid w:val="000F1B0D"/>
    <w:rsid w:val="000F1C14"/>
    <w:rsid w:val="000F1C85"/>
    <w:rsid w:val="000F2253"/>
    <w:rsid w:val="000F248E"/>
    <w:rsid w:val="000F25D8"/>
    <w:rsid w:val="000F2625"/>
    <w:rsid w:val="000F26D8"/>
    <w:rsid w:val="000F27BF"/>
    <w:rsid w:val="000F2F72"/>
    <w:rsid w:val="000F3016"/>
    <w:rsid w:val="000F3102"/>
    <w:rsid w:val="000F310C"/>
    <w:rsid w:val="000F3122"/>
    <w:rsid w:val="000F3282"/>
    <w:rsid w:val="000F3978"/>
    <w:rsid w:val="000F3AED"/>
    <w:rsid w:val="000F3CAB"/>
    <w:rsid w:val="000F3F9E"/>
    <w:rsid w:val="000F3FE3"/>
    <w:rsid w:val="000F4081"/>
    <w:rsid w:val="000F42B9"/>
    <w:rsid w:val="000F42D1"/>
    <w:rsid w:val="000F4AB9"/>
    <w:rsid w:val="000F4D7C"/>
    <w:rsid w:val="000F4D82"/>
    <w:rsid w:val="000F4E6E"/>
    <w:rsid w:val="000F51C2"/>
    <w:rsid w:val="000F535B"/>
    <w:rsid w:val="000F55E0"/>
    <w:rsid w:val="000F595A"/>
    <w:rsid w:val="000F5A2F"/>
    <w:rsid w:val="000F5A9E"/>
    <w:rsid w:val="000F5EDF"/>
    <w:rsid w:val="000F6046"/>
    <w:rsid w:val="000F6164"/>
    <w:rsid w:val="000F65DA"/>
    <w:rsid w:val="000F677E"/>
    <w:rsid w:val="000F6BA0"/>
    <w:rsid w:val="000F7081"/>
    <w:rsid w:val="000F72CA"/>
    <w:rsid w:val="000F7442"/>
    <w:rsid w:val="000F748B"/>
    <w:rsid w:val="000F75AA"/>
    <w:rsid w:val="000F7848"/>
    <w:rsid w:val="000F799B"/>
    <w:rsid w:val="000F79C5"/>
    <w:rsid w:val="000F7B6A"/>
    <w:rsid w:val="000F7B8D"/>
    <w:rsid w:val="000F7DB1"/>
    <w:rsid w:val="000F7E45"/>
    <w:rsid w:val="001004F5"/>
    <w:rsid w:val="001006F0"/>
    <w:rsid w:val="00100A02"/>
    <w:rsid w:val="00100B76"/>
    <w:rsid w:val="00100DC0"/>
    <w:rsid w:val="00100F15"/>
    <w:rsid w:val="00100FD0"/>
    <w:rsid w:val="001010E9"/>
    <w:rsid w:val="00101948"/>
    <w:rsid w:val="00101AF1"/>
    <w:rsid w:val="00101C29"/>
    <w:rsid w:val="00101EBE"/>
    <w:rsid w:val="0010208F"/>
    <w:rsid w:val="001022D7"/>
    <w:rsid w:val="0010231F"/>
    <w:rsid w:val="00102770"/>
    <w:rsid w:val="00102DB9"/>
    <w:rsid w:val="0010337A"/>
    <w:rsid w:val="001033EE"/>
    <w:rsid w:val="00103C37"/>
    <w:rsid w:val="00103C3D"/>
    <w:rsid w:val="00103C99"/>
    <w:rsid w:val="00103E31"/>
    <w:rsid w:val="0010452D"/>
    <w:rsid w:val="00104585"/>
    <w:rsid w:val="00104A94"/>
    <w:rsid w:val="00104DAA"/>
    <w:rsid w:val="00104EF1"/>
    <w:rsid w:val="00104F41"/>
    <w:rsid w:val="00104FFD"/>
    <w:rsid w:val="00105291"/>
    <w:rsid w:val="00105B00"/>
    <w:rsid w:val="00105C88"/>
    <w:rsid w:val="00105E0F"/>
    <w:rsid w:val="00106021"/>
    <w:rsid w:val="001060CB"/>
    <w:rsid w:val="001061B8"/>
    <w:rsid w:val="00106B47"/>
    <w:rsid w:val="00106C5F"/>
    <w:rsid w:val="001073A1"/>
    <w:rsid w:val="001079FE"/>
    <w:rsid w:val="00107FE4"/>
    <w:rsid w:val="00110213"/>
    <w:rsid w:val="00110298"/>
    <w:rsid w:val="0011041C"/>
    <w:rsid w:val="00110613"/>
    <w:rsid w:val="0011071F"/>
    <w:rsid w:val="00110D07"/>
    <w:rsid w:val="00110FD8"/>
    <w:rsid w:val="001110CA"/>
    <w:rsid w:val="0011136C"/>
    <w:rsid w:val="0011161A"/>
    <w:rsid w:val="00111726"/>
    <w:rsid w:val="00111848"/>
    <w:rsid w:val="001119D8"/>
    <w:rsid w:val="00111D6F"/>
    <w:rsid w:val="00111E1C"/>
    <w:rsid w:val="00111EFE"/>
    <w:rsid w:val="0011213E"/>
    <w:rsid w:val="001128C1"/>
    <w:rsid w:val="00112ACF"/>
    <w:rsid w:val="0011307C"/>
    <w:rsid w:val="00113325"/>
    <w:rsid w:val="001134B7"/>
    <w:rsid w:val="001139F9"/>
    <w:rsid w:val="00113AC5"/>
    <w:rsid w:val="00113B38"/>
    <w:rsid w:val="00114039"/>
    <w:rsid w:val="00114172"/>
    <w:rsid w:val="0011455C"/>
    <w:rsid w:val="00114613"/>
    <w:rsid w:val="001148DA"/>
    <w:rsid w:val="00114B2B"/>
    <w:rsid w:val="00114F95"/>
    <w:rsid w:val="00115052"/>
    <w:rsid w:val="001151BB"/>
    <w:rsid w:val="001154E2"/>
    <w:rsid w:val="001159B9"/>
    <w:rsid w:val="00115F0C"/>
    <w:rsid w:val="001161DE"/>
    <w:rsid w:val="0011629D"/>
    <w:rsid w:val="0011656C"/>
    <w:rsid w:val="00116829"/>
    <w:rsid w:val="00116A0B"/>
    <w:rsid w:val="00117091"/>
    <w:rsid w:val="0011774B"/>
    <w:rsid w:val="001178B0"/>
    <w:rsid w:val="00117ABB"/>
    <w:rsid w:val="00117B5B"/>
    <w:rsid w:val="00117C79"/>
    <w:rsid w:val="0012006D"/>
    <w:rsid w:val="0012015B"/>
    <w:rsid w:val="001205A6"/>
    <w:rsid w:val="00120792"/>
    <w:rsid w:val="001211EE"/>
    <w:rsid w:val="0012122C"/>
    <w:rsid w:val="001214C7"/>
    <w:rsid w:val="00121828"/>
    <w:rsid w:val="001221AE"/>
    <w:rsid w:val="00122A87"/>
    <w:rsid w:val="00122B59"/>
    <w:rsid w:val="00122DD7"/>
    <w:rsid w:val="00123458"/>
    <w:rsid w:val="0012352D"/>
    <w:rsid w:val="00123580"/>
    <w:rsid w:val="00123979"/>
    <w:rsid w:val="00123987"/>
    <w:rsid w:val="00123AAF"/>
    <w:rsid w:val="001240F1"/>
    <w:rsid w:val="0012418E"/>
    <w:rsid w:val="00124A6F"/>
    <w:rsid w:val="00124BB5"/>
    <w:rsid w:val="00124F9E"/>
    <w:rsid w:val="0012520B"/>
    <w:rsid w:val="001259FD"/>
    <w:rsid w:val="00125A1B"/>
    <w:rsid w:val="00125A1C"/>
    <w:rsid w:val="00125B3B"/>
    <w:rsid w:val="00125C08"/>
    <w:rsid w:val="00125C40"/>
    <w:rsid w:val="00125FE9"/>
    <w:rsid w:val="00126115"/>
    <w:rsid w:val="00126934"/>
    <w:rsid w:val="00127192"/>
    <w:rsid w:val="00127519"/>
    <w:rsid w:val="00127570"/>
    <w:rsid w:val="001275AB"/>
    <w:rsid w:val="00127C23"/>
    <w:rsid w:val="001303C5"/>
    <w:rsid w:val="001303D0"/>
    <w:rsid w:val="001308C8"/>
    <w:rsid w:val="001308DA"/>
    <w:rsid w:val="00130981"/>
    <w:rsid w:val="00130989"/>
    <w:rsid w:val="001309B7"/>
    <w:rsid w:val="00130A39"/>
    <w:rsid w:val="0013101B"/>
    <w:rsid w:val="00131497"/>
    <w:rsid w:val="00131712"/>
    <w:rsid w:val="00131782"/>
    <w:rsid w:val="00131C61"/>
    <w:rsid w:val="00131C72"/>
    <w:rsid w:val="001320D9"/>
    <w:rsid w:val="001320F8"/>
    <w:rsid w:val="001321D0"/>
    <w:rsid w:val="001324FB"/>
    <w:rsid w:val="00132784"/>
    <w:rsid w:val="00132845"/>
    <w:rsid w:val="0013291C"/>
    <w:rsid w:val="001329A1"/>
    <w:rsid w:val="00132EE9"/>
    <w:rsid w:val="0013323F"/>
    <w:rsid w:val="00133652"/>
    <w:rsid w:val="00133B61"/>
    <w:rsid w:val="00133D5F"/>
    <w:rsid w:val="00134296"/>
    <w:rsid w:val="0013442E"/>
    <w:rsid w:val="0013443F"/>
    <w:rsid w:val="0013452A"/>
    <w:rsid w:val="0013474E"/>
    <w:rsid w:val="001347C7"/>
    <w:rsid w:val="00135163"/>
    <w:rsid w:val="001353DD"/>
    <w:rsid w:val="001355EF"/>
    <w:rsid w:val="001359F3"/>
    <w:rsid w:val="00135B9C"/>
    <w:rsid w:val="00135DCC"/>
    <w:rsid w:val="00135E10"/>
    <w:rsid w:val="00135F90"/>
    <w:rsid w:val="0013633A"/>
    <w:rsid w:val="00136349"/>
    <w:rsid w:val="0013646F"/>
    <w:rsid w:val="00136876"/>
    <w:rsid w:val="00137118"/>
    <w:rsid w:val="0013769D"/>
    <w:rsid w:val="0013770D"/>
    <w:rsid w:val="0013777F"/>
    <w:rsid w:val="00137879"/>
    <w:rsid w:val="00137B68"/>
    <w:rsid w:val="00137BC5"/>
    <w:rsid w:val="00137CE2"/>
    <w:rsid w:val="00140007"/>
    <w:rsid w:val="001402D0"/>
    <w:rsid w:val="00140311"/>
    <w:rsid w:val="00140823"/>
    <w:rsid w:val="001408B6"/>
    <w:rsid w:val="001409B1"/>
    <w:rsid w:val="00140BE9"/>
    <w:rsid w:val="00140E14"/>
    <w:rsid w:val="00140FC9"/>
    <w:rsid w:val="00141168"/>
    <w:rsid w:val="0014136C"/>
    <w:rsid w:val="001418D2"/>
    <w:rsid w:val="00141A50"/>
    <w:rsid w:val="00141E96"/>
    <w:rsid w:val="00141FFD"/>
    <w:rsid w:val="0014207C"/>
    <w:rsid w:val="00142160"/>
    <w:rsid w:val="00142774"/>
    <w:rsid w:val="0014293D"/>
    <w:rsid w:val="00142B62"/>
    <w:rsid w:val="00142D2E"/>
    <w:rsid w:val="001431A5"/>
    <w:rsid w:val="00143238"/>
    <w:rsid w:val="001434A8"/>
    <w:rsid w:val="00143794"/>
    <w:rsid w:val="00143AAF"/>
    <w:rsid w:val="00143D4A"/>
    <w:rsid w:val="001448FD"/>
    <w:rsid w:val="00144B17"/>
    <w:rsid w:val="001453B6"/>
    <w:rsid w:val="00145744"/>
    <w:rsid w:val="00145A64"/>
    <w:rsid w:val="00146E94"/>
    <w:rsid w:val="00147107"/>
    <w:rsid w:val="00147448"/>
    <w:rsid w:val="00147CB2"/>
    <w:rsid w:val="00147D28"/>
    <w:rsid w:val="00147E7D"/>
    <w:rsid w:val="00147E83"/>
    <w:rsid w:val="00147F8E"/>
    <w:rsid w:val="0015001C"/>
    <w:rsid w:val="0015068F"/>
    <w:rsid w:val="00150985"/>
    <w:rsid w:val="00150B20"/>
    <w:rsid w:val="00150BED"/>
    <w:rsid w:val="00150EC6"/>
    <w:rsid w:val="00150F70"/>
    <w:rsid w:val="001512DF"/>
    <w:rsid w:val="001513BF"/>
    <w:rsid w:val="001514E5"/>
    <w:rsid w:val="001514FC"/>
    <w:rsid w:val="00151688"/>
    <w:rsid w:val="0015169E"/>
    <w:rsid w:val="00151B2F"/>
    <w:rsid w:val="00151C0F"/>
    <w:rsid w:val="00152105"/>
    <w:rsid w:val="001524E8"/>
    <w:rsid w:val="001526F5"/>
    <w:rsid w:val="0015330F"/>
    <w:rsid w:val="00153924"/>
    <w:rsid w:val="001539F8"/>
    <w:rsid w:val="00153DF2"/>
    <w:rsid w:val="00154CC4"/>
    <w:rsid w:val="00154F08"/>
    <w:rsid w:val="00155628"/>
    <w:rsid w:val="001557FF"/>
    <w:rsid w:val="00155ABF"/>
    <w:rsid w:val="00155F3C"/>
    <w:rsid w:val="001560EB"/>
    <w:rsid w:val="001561F2"/>
    <w:rsid w:val="0015648B"/>
    <w:rsid w:val="001565C1"/>
    <w:rsid w:val="001565E0"/>
    <w:rsid w:val="00156730"/>
    <w:rsid w:val="0015677F"/>
    <w:rsid w:val="001568DE"/>
    <w:rsid w:val="00156A6D"/>
    <w:rsid w:val="00156C55"/>
    <w:rsid w:val="00156CDD"/>
    <w:rsid w:val="00156DE3"/>
    <w:rsid w:val="00156E72"/>
    <w:rsid w:val="00157512"/>
    <w:rsid w:val="0015751C"/>
    <w:rsid w:val="00157703"/>
    <w:rsid w:val="00157777"/>
    <w:rsid w:val="00157A87"/>
    <w:rsid w:val="00157B92"/>
    <w:rsid w:val="00157FC0"/>
    <w:rsid w:val="00160002"/>
    <w:rsid w:val="00160105"/>
    <w:rsid w:val="00160146"/>
    <w:rsid w:val="00160799"/>
    <w:rsid w:val="00160830"/>
    <w:rsid w:val="00160C81"/>
    <w:rsid w:val="001610F5"/>
    <w:rsid w:val="00161147"/>
    <w:rsid w:val="001611EA"/>
    <w:rsid w:val="0016194E"/>
    <w:rsid w:val="00161CC8"/>
    <w:rsid w:val="00161E51"/>
    <w:rsid w:val="00161E5B"/>
    <w:rsid w:val="00161F96"/>
    <w:rsid w:val="00161FE1"/>
    <w:rsid w:val="001621C9"/>
    <w:rsid w:val="00162204"/>
    <w:rsid w:val="00162484"/>
    <w:rsid w:val="00162736"/>
    <w:rsid w:val="00162A53"/>
    <w:rsid w:val="00162EE0"/>
    <w:rsid w:val="00162EE5"/>
    <w:rsid w:val="001635A0"/>
    <w:rsid w:val="0016365A"/>
    <w:rsid w:val="00163897"/>
    <w:rsid w:val="00163985"/>
    <w:rsid w:val="00163A8F"/>
    <w:rsid w:val="00163B7C"/>
    <w:rsid w:val="00163C33"/>
    <w:rsid w:val="00163C38"/>
    <w:rsid w:val="00163FA3"/>
    <w:rsid w:val="001640A3"/>
    <w:rsid w:val="001640E7"/>
    <w:rsid w:val="00164895"/>
    <w:rsid w:val="00165393"/>
    <w:rsid w:val="00165580"/>
    <w:rsid w:val="001656C7"/>
    <w:rsid w:val="001657B3"/>
    <w:rsid w:val="00165BA6"/>
    <w:rsid w:val="00165E0B"/>
    <w:rsid w:val="001663F4"/>
    <w:rsid w:val="00166973"/>
    <w:rsid w:val="00166CC0"/>
    <w:rsid w:val="00166D9A"/>
    <w:rsid w:val="00166DBA"/>
    <w:rsid w:val="00166EC5"/>
    <w:rsid w:val="00166F87"/>
    <w:rsid w:val="0016722F"/>
    <w:rsid w:val="001673A8"/>
    <w:rsid w:val="0017010A"/>
    <w:rsid w:val="0017072B"/>
    <w:rsid w:val="00170AC6"/>
    <w:rsid w:val="00170D99"/>
    <w:rsid w:val="0017108E"/>
    <w:rsid w:val="001714BC"/>
    <w:rsid w:val="001714BF"/>
    <w:rsid w:val="0017160D"/>
    <w:rsid w:val="00171794"/>
    <w:rsid w:val="00171A00"/>
    <w:rsid w:val="00171B34"/>
    <w:rsid w:val="001720E5"/>
    <w:rsid w:val="001721A8"/>
    <w:rsid w:val="001722AF"/>
    <w:rsid w:val="00172996"/>
    <w:rsid w:val="001729FC"/>
    <w:rsid w:val="001731B1"/>
    <w:rsid w:val="00173523"/>
    <w:rsid w:val="00173999"/>
    <w:rsid w:val="00173A1B"/>
    <w:rsid w:val="00173D30"/>
    <w:rsid w:val="001747A1"/>
    <w:rsid w:val="0017485B"/>
    <w:rsid w:val="001748E1"/>
    <w:rsid w:val="001748EF"/>
    <w:rsid w:val="00174A1B"/>
    <w:rsid w:val="00174A4F"/>
    <w:rsid w:val="00174CA7"/>
    <w:rsid w:val="00174D35"/>
    <w:rsid w:val="00174D9B"/>
    <w:rsid w:val="00174EC0"/>
    <w:rsid w:val="001751C5"/>
    <w:rsid w:val="001752F5"/>
    <w:rsid w:val="00175335"/>
    <w:rsid w:val="00175442"/>
    <w:rsid w:val="001755F7"/>
    <w:rsid w:val="00175B7F"/>
    <w:rsid w:val="001761FE"/>
    <w:rsid w:val="0017697A"/>
    <w:rsid w:val="00176993"/>
    <w:rsid w:val="00176AC3"/>
    <w:rsid w:val="001770D8"/>
    <w:rsid w:val="0017758B"/>
    <w:rsid w:val="001775CE"/>
    <w:rsid w:val="00177666"/>
    <w:rsid w:val="00177986"/>
    <w:rsid w:val="00180042"/>
    <w:rsid w:val="001804B4"/>
    <w:rsid w:val="0018054E"/>
    <w:rsid w:val="00180838"/>
    <w:rsid w:val="00180E60"/>
    <w:rsid w:val="001814D0"/>
    <w:rsid w:val="001815E7"/>
    <w:rsid w:val="00181932"/>
    <w:rsid w:val="00181EBA"/>
    <w:rsid w:val="00182000"/>
    <w:rsid w:val="0018200A"/>
    <w:rsid w:val="0018207B"/>
    <w:rsid w:val="00182674"/>
    <w:rsid w:val="001826C2"/>
    <w:rsid w:val="0018272F"/>
    <w:rsid w:val="001827A3"/>
    <w:rsid w:val="00182850"/>
    <w:rsid w:val="00182904"/>
    <w:rsid w:val="00182AD8"/>
    <w:rsid w:val="00182D58"/>
    <w:rsid w:val="001836A5"/>
    <w:rsid w:val="00183727"/>
    <w:rsid w:val="00183AC2"/>
    <w:rsid w:val="00183B56"/>
    <w:rsid w:val="00183B68"/>
    <w:rsid w:val="00183E36"/>
    <w:rsid w:val="001840F8"/>
    <w:rsid w:val="00184188"/>
    <w:rsid w:val="0018447A"/>
    <w:rsid w:val="001844F9"/>
    <w:rsid w:val="001847B7"/>
    <w:rsid w:val="00184918"/>
    <w:rsid w:val="00184A5F"/>
    <w:rsid w:val="00184C21"/>
    <w:rsid w:val="00184FA5"/>
    <w:rsid w:val="00185145"/>
    <w:rsid w:val="00185626"/>
    <w:rsid w:val="001857CE"/>
    <w:rsid w:val="0018590B"/>
    <w:rsid w:val="00186D67"/>
    <w:rsid w:val="00186E05"/>
    <w:rsid w:val="0018728B"/>
    <w:rsid w:val="00187481"/>
    <w:rsid w:val="00187813"/>
    <w:rsid w:val="00187ECD"/>
    <w:rsid w:val="00190271"/>
    <w:rsid w:val="00190519"/>
    <w:rsid w:val="00190657"/>
    <w:rsid w:val="00190826"/>
    <w:rsid w:val="0019095F"/>
    <w:rsid w:val="00190BF4"/>
    <w:rsid w:val="00190E76"/>
    <w:rsid w:val="00190FAF"/>
    <w:rsid w:val="0019105B"/>
    <w:rsid w:val="0019251D"/>
    <w:rsid w:val="00192607"/>
    <w:rsid w:val="001927F4"/>
    <w:rsid w:val="00192DE9"/>
    <w:rsid w:val="00192FDA"/>
    <w:rsid w:val="001936FC"/>
    <w:rsid w:val="001938C4"/>
    <w:rsid w:val="00193AD5"/>
    <w:rsid w:val="00193AE2"/>
    <w:rsid w:val="00193B2E"/>
    <w:rsid w:val="00193E9E"/>
    <w:rsid w:val="00193F93"/>
    <w:rsid w:val="001942E1"/>
    <w:rsid w:val="001951A0"/>
    <w:rsid w:val="001951EC"/>
    <w:rsid w:val="001952F0"/>
    <w:rsid w:val="00195944"/>
    <w:rsid w:val="00195D92"/>
    <w:rsid w:val="00195EC2"/>
    <w:rsid w:val="00196451"/>
    <w:rsid w:val="001966A0"/>
    <w:rsid w:val="0019676D"/>
    <w:rsid w:val="00196835"/>
    <w:rsid w:val="00196897"/>
    <w:rsid w:val="001971A9"/>
    <w:rsid w:val="00197C10"/>
    <w:rsid w:val="00197D42"/>
    <w:rsid w:val="00197D95"/>
    <w:rsid w:val="001A09B1"/>
    <w:rsid w:val="001A0A85"/>
    <w:rsid w:val="001A0B0A"/>
    <w:rsid w:val="001A0C68"/>
    <w:rsid w:val="001A13C4"/>
    <w:rsid w:val="001A177A"/>
    <w:rsid w:val="001A18CA"/>
    <w:rsid w:val="001A1A21"/>
    <w:rsid w:val="001A1C0C"/>
    <w:rsid w:val="001A1D41"/>
    <w:rsid w:val="001A1E9D"/>
    <w:rsid w:val="001A2424"/>
    <w:rsid w:val="001A2CFD"/>
    <w:rsid w:val="001A2DB2"/>
    <w:rsid w:val="001A3398"/>
    <w:rsid w:val="001A353D"/>
    <w:rsid w:val="001A3CDF"/>
    <w:rsid w:val="001A43E4"/>
    <w:rsid w:val="001A45CF"/>
    <w:rsid w:val="001A4793"/>
    <w:rsid w:val="001A4873"/>
    <w:rsid w:val="001A4F24"/>
    <w:rsid w:val="001A5E0E"/>
    <w:rsid w:val="001A600A"/>
    <w:rsid w:val="001A63ED"/>
    <w:rsid w:val="001A67FD"/>
    <w:rsid w:val="001A6F88"/>
    <w:rsid w:val="001A75BF"/>
    <w:rsid w:val="001A782F"/>
    <w:rsid w:val="001A7879"/>
    <w:rsid w:val="001A7C49"/>
    <w:rsid w:val="001A7F10"/>
    <w:rsid w:val="001A7FDE"/>
    <w:rsid w:val="001B0C90"/>
    <w:rsid w:val="001B0D2B"/>
    <w:rsid w:val="001B0EBD"/>
    <w:rsid w:val="001B0FF7"/>
    <w:rsid w:val="001B13D9"/>
    <w:rsid w:val="001B1947"/>
    <w:rsid w:val="001B1C39"/>
    <w:rsid w:val="001B1D03"/>
    <w:rsid w:val="001B206F"/>
    <w:rsid w:val="001B2209"/>
    <w:rsid w:val="001B241B"/>
    <w:rsid w:val="001B26B6"/>
    <w:rsid w:val="001B26D3"/>
    <w:rsid w:val="001B26FE"/>
    <w:rsid w:val="001B2929"/>
    <w:rsid w:val="001B2A1E"/>
    <w:rsid w:val="001B2BD3"/>
    <w:rsid w:val="001B3005"/>
    <w:rsid w:val="001B33FC"/>
    <w:rsid w:val="001B34AF"/>
    <w:rsid w:val="001B34D0"/>
    <w:rsid w:val="001B3590"/>
    <w:rsid w:val="001B3F55"/>
    <w:rsid w:val="001B4765"/>
    <w:rsid w:val="001B47E3"/>
    <w:rsid w:val="001B4834"/>
    <w:rsid w:val="001B4977"/>
    <w:rsid w:val="001B4A09"/>
    <w:rsid w:val="001B4B40"/>
    <w:rsid w:val="001B4D73"/>
    <w:rsid w:val="001B5339"/>
    <w:rsid w:val="001B5633"/>
    <w:rsid w:val="001B5F0E"/>
    <w:rsid w:val="001B619A"/>
    <w:rsid w:val="001B6234"/>
    <w:rsid w:val="001B676E"/>
    <w:rsid w:val="001B6ABF"/>
    <w:rsid w:val="001B6C5D"/>
    <w:rsid w:val="001B75AC"/>
    <w:rsid w:val="001B770A"/>
    <w:rsid w:val="001B7A24"/>
    <w:rsid w:val="001C0136"/>
    <w:rsid w:val="001C017A"/>
    <w:rsid w:val="001C01C3"/>
    <w:rsid w:val="001C0256"/>
    <w:rsid w:val="001C040E"/>
    <w:rsid w:val="001C0462"/>
    <w:rsid w:val="001C07BE"/>
    <w:rsid w:val="001C09FC"/>
    <w:rsid w:val="001C0B4B"/>
    <w:rsid w:val="001C0D59"/>
    <w:rsid w:val="001C1420"/>
    <w:rsid w:val="001C146F"/>
    <w:rsid w:val="001C15A9"/>
    <w:rsid w:val="001C16DA"/>
    <w:rsid w:val="001C17BF"/>
    <w:rsid w:val="001C1F92"/>
    <w:rsid w:val="001C22B3"/>
    <w:rsid w:val="001C23CE"/>
    <w:rsid w:val="001C27B9"/>
    <w:rsid w:val="001C2D5E"/>
    <w:rsid w:val="001C2EFB"/>
    <w:rsid w:val="001C324F"/>
    <w:rsid w:val="001C3267"/>
    <w:rsid w:val="001C34AC"/>
    <w:rsid w:val="001C376E"/>
    <w:rsid w:val="001C3A0A"/>
    <w:rsid w:val="001C3F3B"/>
    <w:rsid w:val="001C4316"/>
    <w:rsid w:val="001C43DA"/>
    <w:rsid w:val="001C4481"/>
    <w:rsid w:val="001C47D9"/>
    <w:rsid w:val="001C4DCD"/>
    <w:rsid w:val="001C51B5"/>
    <w:rsid w:val="001C531A"/>
    <w:rsid w:val="001C5465"/>
    <w:rsid w:val="001C5861"/>
    <w:rsid w:val="001C5937"/>
    <w:rsid w:val="001C6041"/>
    <w:rsid w:val="001C68D0"/>
    <w:rsid w:val="001C6CED"/>
    <w:rsid w:val="001C7199"/>
    <w:rsid w:val="001C7241"/>
    <w:rsid w:val="001C7247"/>
    <w:rsid w:val="001C7B54"/>
    <w:rsid w:val="001C7DCE"/>
    <w:rsid w:val="001D0579"/>
    <w:rsid w:val="001D07D0"/>
    <w:rsid w:val="001D100F"/>
    <w:rsid w:val="001D123E"/>
    <w:rsid w:val="001D1556"/>
    <w:rsid w:val="001D1579"/>
    <w:rsid w:val="001D17D1"/>
    <w:rsid w:val="001D1A78"/>
    <w:rsid w:val="001D1DE2"/>
    <w:rsid w:val="001D219A"/>
    <w:rsid w:val="001D27BC"/>
    <w:rsid w:val="001D2D24"/>
    <w:rsid w:val="001D2E41"/>
    <w:rsid w:val="001D3014"/>
    <w:rsid w:val="001D3074"/>
    <w:rsid w:val="001D3194"/>
    <w:rsid w:val="001D3255"/>
    <w:rsid w:val="001D37C7"/>
    <w:rsid w:val="001D4361"/>
    <w:rsid w:val="001D467A"/>
    <w:rsid w:val="001D48CD"/>
    <w:rsid w:val="001D49BD"/>
    <w:rsid w:val="001D4AF6"/>
    <w:rsid w:val="001D4BF7"/>
    <w:rsid w:val="001D4C01"/>
    <w:rsid w:val="001D4ED9"/>
    <w:rsid w:val="001D5019"/>
    <w:rsid w:val="001D5451"/>
    <w:rsid w:val="001D5BCE"/>
    <w:rsid w:val="001D5FBC"/>
    <w:rsid w:val="001D5FCE"/>
    <w:rsid w:val="001D6012"/>
    <w:rsid w:val="001D6742"/>
    <w:rsid w:val="001D6D94"/>
    <w:rsid w:val="001D6E63"/>
    <w:rsid w:val="001D7623"/>
    <w:rsid w:val="001D7B33"/>
    <w:rsid w:val="001E0803"/>
    <w:rsid w:val="001E12F5"/>
    <w:rsid w:val="001E164F"/>
    <w:rsid w:val="001E16A3"/>
    <w:rsid w:val="001E1885"/>
    <w:rsid w:val="001E1BA0"/>
    <w:rsid w:val="001E1E7D"/>
    <w:rsid w:val="001E1FFF"/>
    <w:rsid w:val="001E24AB"/>
    <w:rsid w:val="001E264F"/>
    <w:rsid w:val="001E2E66"/>
    <w:rsid w:val="001E31C4"/>
    <w:rsid w:val="001E32EB"/>
    <w:rsid w:val="001E33E6"/>
    <w:rsid w:val="001E3403"/>
    <w:rsid w:val="001E37CF"/>
    <w:rsid w:val="001E396A"/>
    <w:rsid w:val="001E3970"/>
    <w:rsid w:val="001E399B"/>
    <w:rsid w:val="001E3DC8"/>
    <w:rsid w:val="001E408D"/>
    <w:rsid w:val="001E4392"/>
    <w:rsid w:val="001E4CA2"/>
    <w:rsid w:val="001E5D4B"/>
    <w:rsid w:val="001E5EDA"/>
    <w:rsid w:val="001E6390"/>
    <w:rsid w:val="001E6401"/>
    <w:rsid w:val="001E6488"/>
    <w:rsid w:val="001E64D9"/>
    <w:rsid w:val="001E69A5"/>
    <w:rsid w:val="001E6BF0"/>
    <w:rsid w:val="001E6DFA"/>
    <w:rsid w:val="001E7245"/>
    <w:rsid w:val="001E74F6"/>
    <w:rsid w:val="001E7547"/>
    <w:rsid w:val="001E7739"/>
    <w:rsid w:val="001E7A5C"/>
    <w:rsid w:val="001E7BE6"/>
    <w:rsid w:val="001E7DEB"/>
    <w:rsid w:val="001E7FCF"/>
    <w:rsid w:val="001F0E68"/>
    <w:rsid w:val="001F0E8D"/>
    <w:rsid w:val="001F1509"/>
    <w:rsid w:val="001F16DD"/>
    <w:rsid w:val="001F186C"/>
    <w:rsid w:val="001F1CA9"/>
    <w:rsid w:val="001F1EDA"/>
    <w:rsid w:val="001F1FD6"/>
    <w:rsid w:val="001F22FA"/>
    <w:rsid w:val="001F2912"/>
    <w:rsid w:val="001F2BDD"/>
    <w:rsid w:val="001F3151"/>
    <w:rsid w:val="001F32CB"/>
    <w:rsid w:val="001F3458"/>
    <w:rsid w:val="001F34EE"/>
    <w:rsid w:val="001F36A5"/>
    <w:rsid w:val="001F379A"/>
    <w:rsid w:val="001F3FDA"/>
    <w:rsid w:val="001F43D3"/>
    <w:rsid w:val="001F45CA"/>
    <w:rsid w:val="001F4641"/>
    <w:rsid w:val="001F465C"/>
    <w:rsid w:val="001F5072"/>
    <w:rsid w:val="001F508C"/>
    <w:rsid w:val="001F5912"/>
    <w:rsid w:val="001F595C"/>
    <w:rsid w:val="001F5A36"/>
    <w:rsid w:val="001F5AB9"/>
    <w:rsid w:val="001F5C36"/>
    <w:rsid w:val="001F6122"/>
    <w:rsid w:val="001F6289"/>
    <w:rsid w:val="001F63AA"/>
    <w:rsid w:val="001F652D"/>
    <w:rsid w:val="001F6646"/>
    <w:rsid w:val="001F675C"/>
    <w:rsid w:val="001F6F61"/>
    <w:rsid w:val="001F707A"/>
    <w:rsid w:val="001F70EE"/>
    <w:rsid w:val="001F72E3"/>
    <w:rsid w:val="001F77FC"/>
    <w:rsid w:val="001F7910"/>
    <w:rsid w:val="001F7E09"/>
    <w:rsid w:val="00200025"/>
    <w:rsid w:val="002006E8"/>
    <w:rsid w:val="0020163E"/>
    <w:rsid w:val="002018F6"/>
    <w:rsid w:val="00201B31"/>
    <w:rsid w:val="00201BF8"/>
    <w:rsid w:val="00201E3D"/>
    <w:rsid w:val="002029B7"/>
    <w:rsid w:val="00202B35"/>
    <w:rsid w:val="00202D17"/>
    <w:rsid w:val="002030CE"/>
    <w:rsid w:val="002032E5"/>
    <w:rsid w:val="0020357A"/>
    <w:rsid w:val="0020379C"/>
    <w:rsid w:val="0020387E"/>
    <w:rsid w:val="00203899"/>
    <w:rsid w:val="00203C4F"/>
    <w:rsid w:val="00203F05"/>
    <w:rsid w:val="00203F50"/>
    <w:rsid w:val="00204E60"/>
    <w:rsid w:val="00204EC2"/>
    <w:rsid w:val="002054C1"/>
    <w:rsid w:val="00205AAB"/>
    <w:rsid w:val="00205ADD"/>
    <w:rsid w:val="00205E5B"/>
    <w:rsid w:val="0020631F"/>
    <w:rsid w:val="00206BAD"/>
    <w:rsid w:val="00206F5E"/>
    <w:rsid w:val="0020702E"/>
    <w:rsid w:val="00207554"/>
    <w:rsid w:val="00207C78"/>
    <w:rsid w:val="002103C5"/>
    <w:rsid w:val="002104F2"/>
    <w:rsid w:val="00210E66"/>
    <w:rsid w:val="0021123E"/>
    <w:rsid w:val="002116EB"/>
    <w:rsid w:val="0021171F"/>
    <w:rsid w:val="00211BF2"/>
    <w:rsid w:val="00211C5E"/>
    <w:rsid w:val="00211F8F"/>
    <w:rsid w:val="0021200A"/>
    <w:rsid w:val="00212128"/>
    <w:rsid w:val="00212370"/>
    <w:rsid w:val="0021272C"/>
    <w:rsid w:val="00212BF1"/>
    <w:rsid w:val="00212E6F"/>
    <w:rsid w:val="00213683"/>
    <w:rsid w:val="00213897"/>
    <w:rsid w:val="002139DC"/>
    <w:rsid w:val="00213BD7"/>
    <w:rsid w:val="00213D18"/>
    <w:rsid w:val="00213D50"/>
    <w:rsid w:val="0021471A"/>
    <w:rsid w:val="00214CD2"/>
    <w:rsid w:val="00214EA7"/>
    <w:rsid w:val="00214F04"/>
    <w:rsid w:val="00214FC1"/>
    <w:rsid w:val="002158F2"/>
    <w:rsid w:val="00215D40"/>
    <w:rsid w:val="002165B1"/>
    <w:rsid w:val="002169BE"/>
    <w:rsid w:val="00216C00"/>
    <w:rsid w:val="00216C89"/>
    <w:rsid w:val="00216F4F"/>
    <w:rsid w:val="0021755A"/>
    <w:rsid w:val="00217798"/>
    <w:rsid w:val="002178F3"/>
    <w:rsid w:val="00220055"/>
    <w:rsid w:val="00220432"/>
    <w:rsid w:val="002207EF"/>
    <w:rsid w:val="0022121A"/>
    <w:rsid w:val="00221941"/>
    <w:rsid w:val="00221E91"/>
    <w:rsid w:val="0022217E"/>
    <w:rsid w:val="0022218F"/>
    <w:rsid w:val="002221BE"/>
    <w:rsid w:val="0022222C"/>
    <w:rsid w:val="00222264"/>
    <w:rsid w:val="00222491"/>
    <w:rsid w:val="002226F7"/>
    <w:rsid w:val="00222774"/>
    <w:rsid w:val="00222A62"/>
    <w:rsid w:val="00222B8F"/>
    <w:rsid w:val="00222BDF"/>
    <w:rsid w:val="0022318A"/>
    <w:rsid w:val="002232FB"/>
    <w:rsid w:val="00223466"/>
    <w:rsid w:val="0022375E"/>
    <w:rsid w:val="00223EDC"/>
    <w:rsid w:val="00224104"/>
    <w:rsid w:val="002241B8"/>
    <w:rsid w:val="00224A68"/>
    <w:rsid w:val="00224B73"/>
    <w:rsid w:val="002251F6"/>
    <w:rsid w:val="00225483"/>
    <w:rsid w:val="002274BC"/>
    <w:rsid w:val="00227B3E"/>
    <w:rsid w:val="00227CE3"/>
    <w:rsid w:val="00227D62"/>
    <w:rsid w:val="00230001"/>
    <w:rsid w:val="0023001A"/>
    <w:rsid w:val="002304D2"/>
    <w:rsid w:val="00230872"/>
    <w:rsid w:val="002308A1"/>
    <w:rsid w:val="00230BE1"/>
    <w:rsid w:val="00230D98"/>
    <w:rsid w:val="00230DE5"/>
    <w:rsid w:val="00231BD4"/>
    <w:rsid w:val="002320E7"/>
    <w:rsid w:val="00232522"/>
    <w:rsid w:val="0023262A"/>
    <w:rsid w:val="00232787"/>
    <w:rsid w:val="00232997"/>
    <w:rsid w:val="00232D1E"/>
    <w:rsid w:val="00232ED0"/>
    <w:rsid w:val="0023309B"/>
    <w:rsid w:val="002330D3"/>
    <w:rsid w:val="00233872"/>
    <w:rsid w:val="002339BF"/>
    <w:rsid w:val="00233DF6"/>
    <w:rsid w:val="002341FD"/>
    <w:rsid w:val="002342A6"/>
    <w:rsid w:val="00234730"/>
    <w:rsid w:val="0023499C"/>
    <w:rsid w:val="002350CA"/>
    <w:rsid w:val="00235658"/>
    <w:rsid w:val="002356BE"/>
    <w:rsid w:val="00235805"/>
    <w:rsid w:val="0023596B"/>
    <w:rsid w:val="00235E57"/>
    <w:rsid w:val="0023606B"/>
    <w:rsid w:val="002360CC"/>
    <w:rsid w:val="0023614B"/>
    <w:rsid w:val="002363AC"/>
    <w:rsid w:val="00236408"/>
    <w:rsid w:val="002367F6"/>
    <w:rsid w:val="0023681B"/>
    <w:rsid w:val="00236BF0"/>
    <w:rsid w:val="00236CDE"/>
    <w:rsid w:val="00236E81"/>
    <w:rsid w:val="00236F26"/>
    <w:rsid w:val="00236F7F"/>
    <w:rsid w:val="00237077"/>
    <w:rsid w:val="002370FB"/>
    <w:rsid w:val="002372E2"/>
    <w:rsid w:val="00237447"/>
    <w:rsid w:val="002376ED"/>
    <w:rsid w:val="00237898"/>
    <w:rsid w:val="00237CB2"/>
    <w:rsid w:val="00240252"/>
    <w:rsid w:val="00240636"/>
    <w:rsid w:val="00240C6C"/>
    <w:rsid w:val="00240FA4"/>
    <w:rsid w:val="0024110F"/>
    <w:rsid w:val="0024119A"/>
    <w:rsid w:val="002420E1"/>
    <w:rsid w:val="002423C0"/>
    <w:rsid w:val="00242D60"/>
    <w:rsid w:val="00242E0E"/>
    <w:rsid w:val="002431D6"/>
    <w:rsid w:val="00243853"/>
    <w:rsid w:val="00243A33"/>
    <w:rsid w:val="00244636"/>
    <w:rsid w:val="00244A74"/>
    <w:rsid w:val="00244B1F"/>
    <w:rsid w:val="00244CFB"/>
    <w:rsid w:val="00245122"/>
    <w:rsid w:val="002453E4"/>
    <w:rsid w:val="0024568E"/>
    <w:rsid w:val="002458F0"/>
    <w:rsid w:val="00245916"/>
    <w:rsid w:val="0024592A"/>
    <w:rsid w:val="00245B4D"/>
    <w:rsid w:val="00245CF3"/>
    <w:rsid w:val="00245F3C"/>
    <w:rsid w:val="00245FFC"/>
    <w:rsid w:val="00246088"/>
    <w:rsid w:val="00246289"/>
    <w:rsid w:val="00246467"/>
    <w:rsid w:val="00246513"/>
    <w:rsid w:val="0024693D"/>
    <w:rsid w:val="00246947"/>
    <w:rsid w:val="00246D85"/>
    <w:rsid w:val="00246ED8"/>
    <w:rsid w:val="00246F24"/>
    <w:rsid w:val="00246F5D"/>
    <w:rsid w:val="00246F8F"/>
    <w:rsid w:val="002477F3"/>
    <w:rsid w:val="0024797B"/>
    <w:rsid w:val="00247DB6"/>
    <w:rsid w:val="00247E8E"/>
    <w:rsid w:val="00250239"/>
    <w:rsid w:val="002505D0"/>
    <w:rsid w:val="00250829"/>
    <w:rsid w:val="00250A2A"/>
    <w:rsid w:val="00250DB9"/>
    <w:rsid w:val="00251D3B"/>
    <w:rsid w:val="00252695"/>
    <w:rsid w:val="00252818"/>
    <w:rsid w:val="00252A9E"/>
    <w:rsid w:val="00252DA2"/>
    <w:rsid w:val="00252FEF"/>
    <w:rsid w:val="00253020"/>
    <w:rsid w:val="00253780"/>
    <w:rsid w:val="00253B49"/>
    <w:rsid w:val="00253B5E"/>
    <w:rsid w:val="00253E1E"/>
    <w:rsid w:val="00254124"/>
    <w:rsid w:val="002541DD"/>
    <w:rsid w:val="002549D2"/>
    <w:rsid w:val="0025604F"/>
    <w:rsid w:val="002560E9"/>
    <w:rsid w:val="002562EB"/>
    <w:rsid w:val="0025632D"/>
    <w:rsid w:val="00256B08"/>
    <w:rsid w:val="00257044"/>
    <w:rsid w:val="002578FA"/>
    <w:rsid w:val="00257C0B"/>
    <w:rsid w:val="00257C6E"/>
    <w:rsid w:val="002605F7"/>
    <w:rsid w:val="0026080C"/>
    <w:rsid w:val="00260AA3"/>
    <w:rsid w:val="00260B25"/>
    <w:rsid w:val="00260B34"/>
    <w:rsid w:val="00260F24"/>
    <w:rsid w:val="00260FF1"/>
    <w:rsid w:val="00261E32"/>
    <w:rsid w:val="00262138"/>
    <w:rsid w:val="00262326"/>
    <w:rsid w:val="00262C90"/>
    <w:rsid w:val="00262CCA"/>
    <w:rsid w:val="00262E3A"/>
    <w:rsid w:val="00262E9F"/>
    <w:rsid w:val="00263067"/>
    <w:rsid w:val="002636DA"/>
    <w:rsid w:val="00263779"/>
    <w:rsid w:val="00263D49"/>
    <w:rsid w:val="00263FF1"/>
    <w:rsid w:val="00264946"/>
    <w:rsid w:val="00264DCB"/>
    <w:rsid w:val="002653B4"/>
    <w:rsid w:val="00265701"/>
    <w:rsid w:val="00265752"/>
    <w:rsid w:val="00265ABC"/>
    <w:rsid w:val="00266292"/>
    <w:rsid w:val="0026686E"/>
    <w:rsid w:val="00266BC8"/>
    <w:rsid w:val="00266D54"/>
    <w:rsid w:val="002672D8"/>
    <w:rsid w:val="002676BD"/>
    <w:rsid w:val="0026796F"/>
    <w:rsid w:val="00267CE5"/>
    <w:rsid w:val="002702F4"/>
    <w:rsid w:val="00270839"/>
    <w:rsid w:val="00271226"/>
    <w:rsid w:val="0027166D"/>
    <w:rsid w:val="002718B4"/>
    <w:rsid w:val="00271933"/>
    <w:rsid w:val="00271B77"/>
    <w:rsid w:val="00271BBD"/>
    <w:rsid w:val="002720CB"/>
    <w:rsid w:val="00272150"/>
    <w:rsid w:val="002721D0"/>
    <w:rsid w:val="00272307"/>
    <w:rsid w:val="00272574"/>
    <w:rsid w:val="0027268E"/>
    <w:rsid w:val="00272934"/>
    <w:rsid w:val="00272AC0"/>
    <w:rsid w:val="002730CB"/>
    <w:rsid w:val="002731C4"/>
    <w:rsid w:val="002732C4"/>
    <w:rsid w:val="002734AC"/>
    <w:rsid w:val="00273637"/>
    <w:rsid w:val="00273842"/>
    <w:rsid w:val="00273A48"/>
    <w:rsid w:val="00273A84"/>
    <w:rsid w:val="00273E80"/>
    <w:rsid w:val="00273EA7"/>
    <w:rsid w:val="002746AB"/>
    <w:rsid w:val="00274841"/>
    <w:rsid w:val="0027555B"/>
    <w:rsid w:val="00275AC1"/>
    <w:rsid w:val="00275D0C"/>
    <w:rsid w:val="00276476"/>
    <w:rsid w:val="00276547"/>
    <w:rsid w:val="0027673A"/>
    <w:rsid w:val="00276F1C"/>
    <w:rsid w:val="0027774B"/>
    <w:rsid w:val="0027779A"/>
    <w:rsid w:val="00277A1F"/>
    <w:rsid w:val="0028020E"/>
    <w:rsid w:val="00280CC8"/>
    <w:rsid w:val="00280DAD"/>
    <w:rsid w:val="0028116D"/>
    <w:rsid w:val="002811CF"/>
    <w:rsid w:val="002812A5"/>
    <w:rsid w:val="002813FA"/>
    <w:rsid w:val="00281883"/>
    <w:rsid w:val="00281AE0"/>
    <w:rsid w:val="00281C4C"/>
    <w:rsid w:val="00281FD4"/>
    <w:rsid w:val="002821D3"/>
    <w:rsid w:val="00282454"/>
    <w:rsid w:val="002824BF"/>
    <w:rsid w:val="00282C18"/>
    <w:rsid w:val="00282E29"/>
    <w:rsid w:val="00282E6B"/>
    <w:rsid w:val="00283306"/>
    <w:rsid w:val="00283617"/>
    <w:rsid w:val="00283741"/>
    <w:rsid w:val="002838A6"/>
    <w:rsid w:val="00283AB3"/>
    <w:rsid w:val="00283B6E"/>
    <w:rsid w:val="002840A4"/>
    <w:rsid w:val="0028458D"/>
    <w:rsid w:val="0028473E"/>
    <w:rsid w:val="00284A98"/>
    <w:rsid w:val="00284B2D"/>
    <w:rsid w:val="00284CB9"/>
    <w:rsid w:val="00284D12"/>
    <w:rsid w:val="00284E55"/>
    <w:rsid w:val="0028537C"/>
    <w:rsid w:val="002854B1"/>
    <w:rsid w:val="00285779"/>
    <w:rsid w:val="00285E14"/>
    <w:rsid w:val="00286133"/>
    <w:rsid w:val="00286547"/>
    <w:rsid w:val="002866D8"/>
    <w:rsid w:val="00286894"/>
    <w:rsid w:val="00286ACA"/>
    <w:rsid w:val="00286BB1"/>
    <w:rsid w:val="00287497"/>
    <w:rsid w:val="00287555"/>
    <w:rsid w:val="00287C00"/>
    <w:rsid w:val="00287DCF"/>
    <w:rsid w:val="00287E43"/>
    <w:rsid w:val="00290360"/>
    <w:rsid w:val="002907BD"/>
    <w:rsid w:val="002909F1"/>
    <w:rsid w:val="00290A6D"/>
    <w:rsid w:val="00291358"/>
    <w:rsid w:val="002918EF"/>
    <w:rsid w:val="00291B28"/>
    <w:rsid w:val="00291BAD"/>
    <w:rsid w:val="00291C1C"/>
    <w:rsid w:val="00291CFC"/>
    <w:rsid w:val="00291D6C"/>
    <w:rsid w:val="002924A6"/>
    <w:rsid w:val="00292601"/>
    <w:rsid w:val="00292636"/>
    <w:rsid w:val="0029267E"/>
    <w:rsid w:val="002926AC"/>
    <w:rsid w:val="00292AF0"/>
    <w:rsid w:val="00292AF3"/>
    <w:rsid w:val="00292CC7"/>
    <w:rsid w:val="00293A8E"/>
    <w:rsid w:val="00293CCC"/>
    <w:rsid w:val="00293F3B"/>
    <w:rsid w:val="00294266"/>
    <w:rsid w:val="0029432E"/>
    <w:rsid w:val="00294420"/>
    <w:rsid w:val="002945D3"/>
    <w:rsid w:val="002945FE"/>
    <w:rsid w:val="0029461A"/>
    <w:rsid w:val="00294D08"/>
    <w:rsid w:val="00294EFE"/>
    <w:rsid w:val="00295A8E"/>
    <w:rsid w:val="00295D00"/>
    <w:rsid w:val="00295E99"/>
    <w:rsid w:val="00296573"/>
    <w:rsid w:val="002967DF"/>
    <w:rsid w:val="00296FC7"/>
    <w:rsid w:val="00297237"/>
    <w:rsid w:val="00297528"/>
    <w:rsid w:val="00297570"/>
    <w:rsid w:val="00297845"/>
    <w:rsid w:val="002978BC"/>
    <w:rsid w:val="002978ED"/>
    <w:rsid w:val="002A007D"/>
    <w:rsid w:val="002A00AE"/>
    <w:rsid w:val="002A010D"/>
    <w:rsid w:val="002A0386"/>
    <w:rsid w:val="002A05D7"/>
    <w:rsid w:val="002A0A9F"/>
    <w:rsid w:val="002A0CCC"/>
    <w:rsid w:val="002A1120"/>
    <w:rsid w:val="002A1288"/>
    <w:rsid w:val="002A16AE"/>
    <w:rsid w:val="002A188C"/>
    <w:rsid w:val="002A1CFD"/>
    <w:rsid w:val="002A1EB9"/>
    <w:rsid w:val="002A1EE7"/>
    <w:rsid w:val="002A228F"/>
    <w:rsid w:val="002A22DE"/>
    <w:rsid w:val="002A2690"/>
    <w:rsid w:val="002A26BE"/>
    <w:rsid w:val="002A27A8"/>
    <w:rsid w:val="002A2D31"/>
    <w:rsid w:val="002A2E72"/>
    <w:rsid w:val="002A30E0"/>
    <w:rsid w:val="002A3227"/>
    <w:rsid w:val="002A3A0D"/>
    <w:rsid w:val="002A3D5D"/>
    <w:rsid w:val="002A44A3"/>
    <w:rsid w:val="002A4610"/>
    <w:rsid w:val="002A46F6"/>
    <w:rsid w:val="002A474F"/>
    <w:rsid w:val="002A47E4"/>
    <w:rsid w:val="002A4989"/>
    <w:rsid w:val="002A4EA8"/>
    <w:rsid w:val="002A4F12"/>
    <w:rsid w:val="002A521F"/>
    <w:rsid w:val="002A562F"/>
    <w:rsid w:val="002A56DF"/>
    <w:rsid w:val="002A5A2D"/>
    <w:rsid w:val="002A5CB1"/>
    <w:rsid w:val="002A5DEE"/>
    <w:rsid w:val="002A6030"/>
    <w:rsid w:val="002A6067"/>
    <w:rsid w:val="002A6578"/>
    <w:rsid w:val="002A6623"/>
    <w:rsid w:val="002A66E1"/>
    <w:rsid w:val="002A6871"/>
    <w:rsid w:val="002A6CC1"/>
    <w:rsid w:val="002A6F04"/>
    <w:rsid w:val="002A73EE"/>
    <w:rsid w:val="002A7DFE"/>
    <w:rsid w:val="002B00EA"/>
    <w:rsid w:val="002B01C4"/>
    <w:rsid w:val="002B096E"/>
    <w:rsid w:val="002B0AEF"/>
    <w:rsid w:val="002B0E7C"/>
    <w:rsid w:val="002B0FB4"/>
    <w:rsid w:val="002B1D1D"/>
    <w:rsid w:val="002B1E14"/>
    <w:rsid w:val="002B1FE6"/>
    <w:rsid w:val="002B2071"/>
    <w:rsid w:val="002B21E7"/>
    <w:rsid w:val="002B23B9"/>
    <w:rsid w:val="002B26A6"/>
    <w:rsid w:val="002B26A9"/>
    <w:rsid w:val="002B273D"/>
    <w:rsid w:val="002B3164"/>
    <w:rsid w:val="002B318B"/>
    <w:rsid w:val="002B3527"/>
    <w:rsid w:val="002B35DF"/>
    <w:rsid w:val="002B38AB"/>
    <w:rsid w:val="002B390A"/>
    <w:rsid w:val="002B39AB"/>
    <w:rsid w:val="002B3C9C"/>
    <w:rsid w:val="002B3CFA"/>
    <w:rsid w:val="002B40FE"/>
    <w:rsid w:val="002B42AA"/>
    <w:rsid w:val="002B43D8"/>
    <w:rsid w:val="002B450F"/>
    <w:rsid w:val="002B47C3"/>
    <w:rsid w:val="002B49C0"/>
    <w:rsid w:val="002B4BE8"/>
    <w:rsid w:val="002B4C0A"/>
    <w:rsid w:val="002B4EB3"/>
    <w:rsid w:val="002B4EEA"/>
    <w:rsid w:val="002B4EF5"/>
    <w:rsid w:val="002B53AB"/>
    <w:rsid w:val="002B53B0"/>
    <w:rsid w:val="002B53E1"/>
    <w:rsid w:val="002B5464"/>
    <w:rsid w:val="002B5630"/>
    <w:rsid w:val="002B5865"/>
    <w:rsid w:val="002B5A0D"/>
    <w:rsid w:val="002B694B"/>
    <w:rsid w:val="002B6E6E"/>
    <w:rsid w:val="002B6F91"/>
    <w:rsid w:val="002B7696"/>
    <w:rsid w:val="002B76BD"/>
    <w:rsid w:val="002B7AE1"/>
    <w:rsid w:val="002C0083"/>
    <w:rsid w:val="002C03AB"/>
    <w:rsid w:val="002C05FE"/>
    <w:rsid w:val="002C0ABD"/>
    <w:rsid w:val="002C10A0"/>
    <w:rsid w:val="002C10DB"/>
    <w:rsid w:val="002C1454"/>
    <w:rsid w:val="002C14A5"/>
    <w:rsid w:val="002C15AC"/>
    <w:rsid w:val="002C1963"/>
    <w:rsid w:val="002C1A76"/>
    <w:rsid w:val="002C2570"/>
    <w:rsid w:val="002C2732"/>
    <w:rsid w:val="002C2E88"/>
    <w:rsid w:val="002C3660"/>
    <w:rsid w:val="002C366A"/>
    <w:rsid w:val="002C3B00"/>
    <w:rsid w:val="002C3CB8"/>
    <w:rsid w:val="002C3D29"/>
    <w:rsid w:val="002C4050"/>
    <w:rsid w:val="002C42F4"/>
    <w:rsid w:val="002C4410"/>
    <w:rsid w:val="002C4552"/>
    <w:rsid w:val="002C456B"/>
    <w:rsid w:val="002C457A"/>
    <w:rsid w:val="002C49AF"/>
    <w:rsid w:val="002C4B11"/>
    <w:rsid w:val="002C4C2F"/>
    <w:rsid w:val="002C4D0D"/>
    <w:rsid w:val="002C518D"/>
    <w:rsid w:val="002C5536"/>
    <w:rsid w:val="002C5868"/>
    <w:rsid w:val="002C59FB"/>
    <w:rsid w:val="002C5BD0"/>
    <w:rsid w:val="002C5C3D"/>
    <w:rsid w:val="002C5ED1"/>
    <w:rsid w:val="002C6636"/>
    <w:rsid w:val="002C6732"/>
    <w:rsid w:val="002C6791"/>
    <w:rsid w:val="002C6848"/>
    <w:rsid w:val="002C6ECB"/>
    <w:rsid w:val="002C71B9"/>
    <w:rsid w:val="002C71FB"/>
    <w:rsid w:val="002C7353"/>
    <w:rsid w:val="002C74F7"/>
    <w:rsid w:val="002C7BDA"/>
    <w:rsid w:val="002C7BEB"/>
    <w:rsid w:val="002D008B"/>
    <w:rsid w:val="002D07BD"/>
    <w:rsid w:val="002D0A40"/>
    <w:rsid w:val="002D0C85"/>
    <w:rsid w:val="002D0D20"/>
    <w:rsid w:val="002D1066"/>
    <w:rsid w:val="002D122D"/>
    <w:rsid w:val="002D1B3E"/>
    <w:rsid w:val="002D216A"/>
    <w:rsid w:val="002D2192"/>
    <w:rsid w:val="002D2251"/>
    <w:rsid w:val="002D2311"/>
    <w:rsid w:val="002D27B2"/>
    <w:rsid w:val="002D2B05"/>
    <w:rsid w:val="002D2D3D"/>
    <w:rsid w:val="002D2EB4"/>
    <w:rsid w:val="002D2F07"/>
    <w:rsid w:val="002D3109"/>
    <w:rsid w:val="002D3CD1"/>
    <w:rsid w:val="002D42FA"/>
    <w:rsid w:val="002D454C"/>
    <w:rsid w:val="002D45B7"/>
    <w:rsid w:val="002D45C5"/>
    <w:rsid w:val="002D4753"/>
    <w:rsid w:val="002D48F8"/>
    <w:rsid w:val="002D49EE"/>
    <w:rsid w:val="002D4ABC"/>
    <w:rsid w:val="002D4C99"/>
    <w:rsid w:val="002D5104"/>
    <w:rsid w:val="002D5467"/>
    <w:rsid w:val="002D54E9"/>
    <w:rsid w:val="002D557B"/>
    <w:rsid w:val="002D597A"/>
    <w:rsid w:val="002D5A2E"/>
    <w:rsid w:val="002D5F47"/>
    <w:rsid w:val="002D622B"/>
    <w:rsid w:val="002D6984"/>
    <w:rsid w:val="002D69AE"/>
    <w:rsid w:val="002D6BD1"/>
    <w:rsid w:val="002D6E9B"/>
    <w:rsid w:val="002D70DB"/>
    <w:rsid w:val="002D74C1"/>
    <w:rsid w:val="002D7E3F"/>
    <w:rsid w:val="002E003B"/>
    <w:rsid w:val="002E0155"/>
    <w:rsid w:val="002E01FE"/>
    <w:rsid w:val="002E0724"/>
    <w:rsid w:val="002E0991"/>
    <w:rsid w:val="002E0A87"/>
    <w:rsid w:val="002E0A98"/>
    <w:rsid w:val="002E0AEA"/>
    <w:rsid w:val="002E1A2B"/>
    <w:rsid w:val="002E1F88"/>
    <w:rsid w:val="002E1FC4"/>
    <w:rsid w:val="002E2080"/>
    <w:rsid w:val="002E2396"/>
    <w:rsid w:val="002E2548"/>
    <w:rsid w:val="002E29C1"/>
    <w:rsid w:val="002E29E2"/>
    <w:rsid w:val="002E2C5A"/>
    <w:rsid w:val="002E2E82"/>
    <w:rsid w:val="002E2E8B"/>
    <w:rsid w:val="002E2EF3"/>
    <w:rsid w:val="002E30AF"/>
    <w:rsid w:val="002E3519"/>
    <w:rsid w:val="002E35B9"/>
    <w:rsid w:val="002E3AF5"/>
    <w:rsid w:val="002E3BF2"/>
    <w:rsid w:val="002E3E02"/>
    <w:rsid w:val="002E411B"/>
    <w:rsid w:val="002E4493"/>
    <w:rsid w:val="002E4CC3"/>
    <w:rsid w:val="002E4FCD"/>
    <w:rsid w:val="002E4FD3"/>
    <w:rsid w:val="002E509E"/>
    <w:rsid w:val="002E52AA"/>
    <w:rsid w:val="002E5626"/>
    <w:rsid w:val="002E5A74"/>
    <w:rsid w:val="002E61C1"/>
    <w:rsid w:val="002E633E"/>
    <w:rsid w:val="002E66B6"/>
    <w:rsid w:val="002E6941"/>
    <w:rsid w:val="002E69F7"/>
    <w:rsid w:val="002E6ED2"/>
    <w:rsid w:val="002E701B"/>
    <w:rsid w:val="002E7428"/>
    <w:rsid w:val="002E755E"/>
    <w:rsid w:val="002E76F1"/>
    <w:rsid w:val="002E7B57"/>
    <w:rsid w:val="002E7DCC"/>
    <w:rsid w:val="002F0272"/>
    <w:rsid w:val="002F062D"/>
    <w:rsid w:val="002F091A"/>
    <w:rsid w:val="002F0975"/>
    <w:rsid w:val="002F141C"/>
    <w:rsid w:val="002F1980"/>
    <w:rsid w:val="002F1A2B"/>
    <w:rsid w:val="002F1A8E"/>
    <w:rsid w:val="002F1B03"/>
    <w:rsid w:val="002F1FEC"/>
    <w:rsid w:val="002F2679"/>
    <w:rsid w:val="002F2B89"/>
    <w:rsid w:val="002F30A2"/>
    <w:rsid w:val="002F3462"/>
    <w:rsid w:val="002F3535"/>
    <w:rsid w:val="002F3B7E"/>
    <w:rsid w:val="002F429D"/>
    <w:rsid w:val="002F4B3D"/>
    <w:rsid w:val="002F4F34"/>
    <w:rsid w:val="002F4FB6"/>
    <w:rsid w:val="002F58B0"/>
    <w:rsid w:val="002F5E5A"/>
    <w:rsid w:val="002F5EE4"/>
    <w:rsid w:val="002F65BA"/>
    <w:rsid w:val="002F65D5"/>
    <w:rsid w:val="002F6822"/>
    <w:rsid w:val="002F6AE4"/>
    <w:rsid w:val="002F6B77"/>
    <w:rsid w:val="002F6DDB"/>
    <w:rsid w:val="002F6E5C"/>
    <w:rsid w:val="002F6FCD"/>
    <w:rsid w:val="002F7A57"/>
    <w:rsid w:val="002F7E63"/>
    <w:rsid w:val="00300008"/>
    <w:rsid w:val="003004F8"/>
    <w:rsid w:val="00300538"/>
    <w:rsid w:val="003006B0"/>
    <w:rsid w:val="00300776"/>
    <w:rsid w:val="00300846"/>
    <w:rsid w:val="00300878"/>
    <w:rsid w:val="003009C5"/>
    <w:rsid w:val="00300D37"/>
    <w:rsid w:val="0030153F"/>
    <w:rsid w:val="00301863"/>
    <w:rsid w:val="003018BE"/>
    <w:rsid w:val="00301A4F"/>
    <w:rsid w:val="00301E9D"/>
    <w:rsid w:val="0030205A"/>
    <w:rsid w:val="003025C2"/>
    <w:rsid w:val="0030261D"/>
    <w:rsid w:val="003026BE"/>
    <w:rsid w:val="00302933"/>
    <w:rsid w:val="00302C7B"/>
    <w:rsid w:val="00303010"/>
    <w:rsid w:val="003030D0"/>
    <w:rsid w:val="0030328D"/>
    <w:rsid w:val="00303A70"/>
    <w:rsid w:val="00303F47"/>
    <w:rsid w:val="0030424D"/>
    <w:rsid w:val="00304447"/>
    <w:rsid w:val="00304805"/>
    <w:rsid w:val="00304AB0"/>
    <w:rsid w:val="00304CFB"/>
    <w:rsid w:val="00304E94"/>
    <w:rsid w:val="00304EFF"/>
    <w:rsid w:val="0030505C"/>
    <w:rsid w:val="0030591F"/>
    <w:rsid w:val="00305B12"/>
    <w:rsid w:val="00305D14"/>
    <w:rsid w:val="00305E53"/>
    <w:rsid w:val="00306315"/>
    <w:rsid w:val="003063CD"/>
    <w:rsid w:val="00306456"/>
    <w:rsid w:val="0030689D"/>
    <w:rsid w:val="003069FF"/>
    <w:rsid w:val="00306AB5"/>
    <w:rsid w:val="0030712A"/>
    <w:rsid w:val="003073C1"/>
    <w:rsid w:val="00307948"/>
    <w:rsid w:val="00307A91"/>
    <w:rsid w:val="00307CF5"/>
    <w:rsid w:val="00307DAF"/>
    <w:rsid w:val="00307FFE"/>
    <w:rsid w:val="003101C8"/>
    <w:rsid w:val="00310550"/>
    <w:rsid w:val="003105A8"/>
    <w:rsid w:val="00310719"/>
    <w:rsid w:val="00310CD1"/>
    <w:rsid w:val="00310E9E"/>
    <w:rsid w:val="00310F8B"/>
    <w:rsid w:val="0031110E"/>
    <w:rsid w:val="003111F0"/>
    <w:rsid w:val="00311291"/>
    <w:rsid w:val="003113D0"/>
    <w:rsid w:val="00311A24"/>
    <w:rsid w:val="00311C32"/>
    <w:rsid w:val="00312574"/>
    <w:rsid w:val="00312672"/>
    <w:rsid w:val="00312689"/>
    <w:rsid w:val="00312898"/>
    <w:rsid w:val="00313047"/>
    <w:rsid w:val="003130FB"/>
    <w:rsid w:val="0031323D"/>
    <w:rsid w:val="00313255"/>
    <w:rsid w:val="00313786"/>
    <w:rsid w:val="0031396A"/>
    <w:rsid w:val="00313B20"/>
    <w:rsid w:val="0031428D"/>
    <w:rsid w:val="003143AD"/>
    <w:rsid w:val="003144C6"/>
    <w:rsid w:val="00314850"/>
    <w:rsid w:val="003149FF"/>
    <w:rsid w:val="00314DB7"/>
    <w:rsid w:val="00314EC7"/>
    <w:rsid w:val="00314FBD"/>
    <w:rsid w:val="00315879"/>
    <w:rsid w:val="003159D0"/>
    <w:rsid w:val="00315F89"/>
    <w:rsid w:val="003160E5"/>
    <w:rsid w:val="00316391"/>
    <w:rsid w:val="003164E7"/>
    <w:rsid w:val="00316585"/>
    <w:rsid w:val="003168B1"/>
    <w:rsid w:val="00317440"/>
    <w:rsid w:val="003174EF"/>
    <w:rsid w:val="003175A4"/>
    <w:rsid w:val="00317DAB"/>
    <w:rsid w:val="00317E61"/>
    <w:rsid w:val="00317FA7"/>
    <w:rsid w:val="003200EF"/>
    <w:rsid w:val="003202C0"/>
    <w:rsid w:val="003202D8"/>
    <w:rsid w:val="003204E5"/>
    <w:rsid w:val="003206ED"/>
    <w:rsid w:val="003206F3"/>
    <w:rsid w:val="00320BA6"/>
    <w:rsid w:val="00320D9E"/>
    <w:rsid w:val="003213DD"/>
    <w:rsid w:val="0032149D"/>
    <w:rsid w:val="00321C24"/>
    <w:rsid w:val="00321FF8"/>
    <w:rsid w:val="003225C0"/>
    <w:rsid w:val="00322A8F"/>
    <w:rsid w:val="00322BFE"/>
    <w:rsid w:val="00322F57"/>
    <w:rsid w:val="00323024"/>
    <w:rsid w:val="0032332C"/>
    <w:rsid w:val="0032351D"/>
    <w:rsid w:val="0032361D"/>
    <w:rsid w:val="0032402D"/>
    <w:rsid w:val="00324642"/>
    <w:rsid w:val="003246FF"/>
    <w:rsid w:val="00324898"/>
    <w:rsid w:val="00324984"/>
    <w:rsid w:val="00324AC1"/>
    <w:rsid w:val="00324B18"/>
    <w:rsid w:val="00324B3D"/>
    <w:rsid w:val="00324CA5"/>
    <w:rsid w:val="00325500"/>
    <w:rsid w:val="00325A5E"/>
    <w:rsid w:val="0032642F"/>
    <w:rsid w:val="00326707"/>
    <w:rsid w:val="00326D6D"/>
    <w:rsid w:val="003271E6"/>
    <w:rsid w:val="00327606"/>
    <w:rsid w:val="00327663"/>
    <w:rsid w:val="00327964"/>
    <w:rsid w:val="00327966"/>
    <w:rsid w:val="00327E39"/>
    <w:rsid w:val="00327EA5"/>
    <w:rsid w:val="00327ED6"/>
    <w:rsid w:val="0033048D"/>
    <w:rsid w:val="00330592"/>
    <w:rsid w:val="003305D2"/>
    <w:rsid w:val="0033065E"/>
    <w:rsid w:val="00331132"/>
    <w:rsid w:val="003316D0"/>
    <w:rsid w:val="00331869"/>
    <w:rsid w:val="00332072"/>
    <w:rsid w:val="00332096"/>
    <w:rsid w:val="00332219"/>
    <w:rsid w:val="0033237A"/>
    <w:rsid w:val="003325C4"/>
    <w:rsid w:val="003327CC"/>
    <w:rsid w:val="00332A7E"/>
    <w:rsid w:val="00332EC5"/>
    <w:rsid w:val="00332FFB"/>
    <w:rsid w:val="003330EF"/>
    <w:rsid w:val="003331D9"/>
    <w:rsid w:val="003336A4"/>
    <w:rsid w:val="003336C0"/>
    <w:rsid w:val="00333AB8"/>
    <w:rsid w:val="00333B3A"/>
    <w:rsid w:val="00333BBB"/>
    <w:rsid w:val="00333FDE"/>
    <w:rsid w:val="00334096"/>
    <w:rsid w:val="0033472C"/>
    <w:rsid w:val="00334821"/>
    <w:rsid w:val="00334A63"/>
    <w:rsid w:val="00334D00"/>
    <w:rsid w:val="00335017"/>
    <w:rsid w:val="0033529D"/>
    <w:rsid w:val="003352BD"/>
    <w:rsid w:val="003359DA"/>
    <w:rsid w:val="00335BDF"/>
    <w:rsid w:val="00335CC4"/>
    <w:rsid w:val="00335CCD"/>
    <w:rsid w:val="00335DDB"/>
    <w:rsid w:val="00335F7D"/>
    <w:rsid w:val="003364F5"/>
    <w:rsid w:val="0033660A"/>
    <w:rsid w:val="00336EA0"/>
    <w:rsid w:val="00337165"/>
    <w:rsid w:val="0033763F"/>
    <w:rsid w:val="00337907"/>
    <w:rsid w:val="00337D01"/>
    <w:rsid w:val="00337D1A"/>
    <w:rsid w:val="00337F4C"/>
    <w:rsid w:val="003400DF"/>
    <w:rsid w:val="00340436"/>
    <w:rsid w:val="003408FD"/>
    <w:rsid w:val="00340CAF"/>
    <w:rsid w:val="00340F4B"/>
    <w:rsid w:val="00341032"/>
    <w:rsid w:val="003414E1"/>
    <w:rsid w:val="0034155C"/>
    <w:rsid w:val="00341677"/>
    <w:rsid w:val="00341705"/>
    <w:rsid w:val="00341862"/>
    <w:rsid w:val="00341BEB"/>
    <w:rsid w:val="00341C97"/>
    <w:rsid w:val="00341F3D"/>
    <w:rsid w:val="0034240C"/>
    <w:rsid w:val="003424C3"/>
    <w:rsid w:val="003427DE"/>
    <w:rsid w:val="00343189"/>
    <w:rsid w:val="00343294"/>
    <w:rsid w:val="003432B3"/>
    <w:rsid w:val="00343653"/>
    <w:rsid w:val="00343831"/>
    <w:rsid w:val="00343BCC"/>
    <w:rsid w:val="00343D0A"/>
    <w:rsid w:val="00343D6F"/>
    <w:rsid w:val="003449B7"/>
    <w:rsid w:val="00344C1B"/>
    <w:rsid w:val="00344C4C"/>
    <w:rsid w:val="00344DCA"/>
    <w:rsid w:val="00345261"/>
    <w:rsid w:val="00345302"/>
    <w:rsid w:val="00345756"/>
    <w:rsid w:val="003458FC"/>
    <w:rsid w:val="003459D2"/>
    <w:rsid w:val="00345BB0"/>
    <w:rsid w:val="00345BB4"/>
    <w:rsid w:val="003463EE"/>
    <w:rsid w:val="00346A87"/>
    <w:rsid w:val="00346AE7"/>
    <w:rsid w:val="00346E84"/>
    <w:rsid w:val="00346F87"/>
    <w:rsid w:val="00347508"/>
    <w:rsid w:val="003475C8"/>
    <w:rsid w:val="003476C2"/>
    <w:rsid w:val="00347AEB"/>
    <w:rsid w:val="00350754"/>
    <w:rsid w:val="00350C34"/>
    <w:rsid w:val="003515A2"/>
    <w:rsid w:val="003515EB"/>
    <w:rsid w:val="003517A2"/>
    <w:rsid w:val="0035246E"/>
    <w:rsid w:val="003524D2"/>
    <w:rsid w:val="0035273E"/>
    <w:rsid w:val="00352780"/>
    <w:rsid w:val="003527E3"/>
    <w:rsid w:val="00352EF4"/>
    <w:rsid w:val="00353065"/>
    <w:rsid w:val="00353159"/>
    <w:rsid w:val="0035327D"/>
    <w:rsid w:val="003537E6"/>
    <w:rsid w:val="003538A2"/>
    <w:rsid w:val="003539B8"/>
    <w:rsid w:val="00354357"/>
    <w:rsid w:val="003548B8"/>
    <w:rsid w:val="00354BB3"/>
    <w:rsid w:val="00355701"/>
    <w:rsid w:val="003559C6"/>
    <w:rsid w:val="00355D9C"/>
    <w:rsid w:val="00355EC8"/>
    <w:rsid w:val="0035699A"/>
    <w:rsid w:val="00356BEA"/>
    <w:rsid w:val="00356FC7"/>
    <w:rsid w:val="00356FC9"/>
    <w:rsid w:val="003577A1"/>
    <w:rsid w:val="00360306"/>
    <w:rsid w:val="00360384"/>
    <w:rsid w:val="00360C99"/>
    <w:rsid w:val="00360CF4"/>
    <w:rsid w:val="00360DD3"/>
    <w:rsid w:val="003612DB"/>
    <w:rsid w:val="003615FA"/>
    <w:rsid w:val="00361DC0"/>
    <w:rsid w:val="003626D2"/>
    <w:rsid w:val="00362920"/>
    <w:rsid w:val="00362A66"/>
    <w:rsid w:val="00362B77"/>
    <w:rsid w:val="00362C57"/>
    <w:rsid w:val="00362C87"/>
    <w:rsid w:val="00362E88"/>
    <w:rsid w:val="00363061"/>
    <w:rsid w:val="003634A1"/>
    <w:rsid w:val="00363BEC"/>
    <w:rsid w:val="00363C0B"/>
    <w:rsid w:val="00363E39"/>
    <w:rsid w:val="00363EB5"/>
    <w:rsid w:val="00364252"/>
    <w:rsid w:val="00364283"/>
    <w:rsid w:val="00364EBB"/>
    <w:rsid w:val="00364F6B"/>
    <w:rsid w:val="00365151"/>
    <w:rsid w:val="0036522D"/>
    <w:rsid w:val="003652ED"/>
    <w:rsid w:val="00365461"/>
    <w:rsid w:val="00365809"/>
    <w:rsid w:val="0036592B"/>
    <w:rsid w:val="00365C1A"/>
    <w:rsid w:val="00365DC2"/>
    <w:rsid w:val="00365FB1"/>
    <w:rsid w:val="003660B5"/>
    <w:rsid w:val="003660FE"/>
    <w:rsid w:val="003661B8"/>
    <w:rsid w:val="00366731"/>
    <w:rsid w:val="00366751"/>
    <w:rsid w:val="0036687C"/>
    <w:rsid w:val="0036694D"/>
    <w:rsid w:val="00366C30"/>
    <w:rsid w:val="00366C71"/>
    <w:rsid w:val="00367A2A"/>
    <w:rsid w:val="00367A85"/>
    <w:rsid w:val="003705ED"/>
    <w:rsid w:val="00370824"/>
    <w:rsid w:val="0037099C"/>
    <w:rsid w:val="00370C03"/>
    <w:rsid w:val="0037142F"/>
    <w:rsid w:val="003715E5"/>
    <w:rsid w:val="003718BF"/>
    <w:rsid w:val="00371CA8"/>
    <w:rsid w:val="003721F9"/>
    <w:rsid w:val="00372505"/>
    <w:rsid w:val="00372D27"/>
    <w:rsid w:val="00372DC5"/>
    <w:rsid w:val="00372F75"/>
    <w:rsid w:val="00373146"/>
    <w:rsid w:val="00373274"/>
    <w:rsid w:val="003738FC"/>
    <w:rsid w:val="00373B76"/>
    <w:rsid w:val="003742FE"/>
    <w:rsid w:val="0037440C"/>
    <w:rsid w:val="00374585"/>
    <w:rsid w:val="003745E6"/>
    <w:rsid w:val="00374967"/>
    <w:rsid w:val="00375126"/>
    <w:rsid w:val="00375502"/>
    <w:rsid w:val="00375FBD"/>
    <w:rsid w:val="003763C6"/>
    <w:rsid w:val="0037650F"/>
    <w:rsid w:val="003766DB"/>
    <w:rsid w:val="003769C2"/>
    <w:rsid w:val="00376D21"/>
    <w:rsid w:val="00376FE6"/>
    <w:rsid w:val="0037704A"/>
    <w:rsid w:val="003770B2"/>
    <w:rsid w:val="003771CC"/>
    <w:rsid w:val="00377479"/>
    <w:rsid w:val="003774B4"/>
    <w:rsid w:val="0038033F"/>
    <w:rsid w:val="003808C3"/>
    <w:rsid w:val="00380B94"/>
    <w:rsid w:val="00380FBB"/>
    <w:rsid w:val="0038116B"/>
    <w:rsid w:val="00381AE7"/>
    <w:rsid w:val="00381B0A"/>
    <w:rsid w:val="00381C9F"/>
    <w:rsid w:val="00381DE8"/>
    <w:rsid w:val="0038214E"/>
    <w:rsid w:val="00382379"/>
    <w:rsid w:val="00382781"/>
    <w:rsid w:val="00382B6F"/>
    <w:rsid w:val="003830D3"/>
    <w:rsid w:val="00383854"/>
    <w:rsid w:val="003838DA"/>
    <w:rsid w:val="003839A6"/>
    <w:rsid w:val="00383A1C"/>
    <w:rsid w:val="00383AE0"/>
    <w:rsid w:val="00383C56"/>
    <w:rsid w:val="00384095"/>
    <w:rsid w:val="00384427"/>
    <w:rsid w:val="00384567"/>
    <w:rsid w:val="00384673"/>
    <w:rsid w:val="003846E6"/>
    <w:rsid w:val="003847D6"/>
    <w:rsid w:val="00384BE4"/>
    <w:rsid w:val="00384D36"/>
    <w:rsid w:val="00384FDE"/>
    <w:rsid w:val="0038538B"/>
    <w:rsid w:val="003854A1"/>
    <w:rsid w:val="00385753"/>
    <w:rsid w:val="00385787"/>
    <w:rsid w:val="0038591C"/>
    <w:rsid w:val="00385A12"/>
    <w:rsid w:val="00385BF3"/>
    <w:rsid w:val="00386079"/>
    <w:rsid w:val="0038644B"/>
    <w:rsid w:val="00386466"/>
    <w:rsid w:val="00386470"/>
    <w:rsid w:val="00386BB7"/>
    <w:rsid w:val="00386FF6"/>
    <w:rsid w:val="00387235"/>
    <w:rsid w:val="00387286"/>
    <w:rsid w:val="0038732A"/>
    <w:rsid w:val="003875E9"/>
    <w:rsid w:val="003879FD"/>
    <w:rsid w:val="00387C9F"/>
    <w:rsid w:val="00387CAC"/>
    <w:rsid w:val="003903F3"/>
    <w:rsid w:val="003906D0"/>
    <w:rsid w:val="0039070C"/>
    <w:rsid w:val="003907A0"/>
    <w:rsid w:val="00390846"/>
    <w:rsid w:val="00390B06"/>
    <w:rsid w:val="00390B09"/>
    <w:rsid w:val="00390E22"/>
    <w:rsid w:val="003910A9"/>
    <w:rsid w:val="0039111B"/>
    <w:rsid w:val="003913E1"/>
    <w:rsid w:val="003914C5"/>
    <w:rsid w:val="003917E7"/>
    <w:rsid w:val="00391876"/>
    <w:rsid w:val="003918B1"/>
    <w:rsid w:val="00391B2B"/>
    <w:rsid w:val="00391DB5"/>
    <w:rsid w:val="00392184"/>
    <w:rsid w:val="00392548"/>
    <w:rsid w:val="003926AD"/>
    <w:rsid w:val="003927A0"/>
    <w:rsid w:val="003928AA"/>
    <w:rsid w:val="00392A02"/>
    <w:rsid w:val="00392C84"/>
    <w:rsid w:val="00392FB3"/>
    <w:rsid w:val="003930C3"/>
    <w:rsid w:val="003931A1"/>
    <w:rsid w:val="00393411"/>
    <w:rsid w:val="00393583"/>
    <w:rsid w:val="003939A2"/>
    <w:rsid w:val="00393C70"/>
    <w:rsid w:val="00394558"/>
    <w:rsid w:val="003945B1"/>
    <w:rsid w:val="003945C1"/>
    <w:rsid w:val="003948E5"/>
    <w:rsid w:val="00394988"/>
    <w:rsid w:val="00394CD0"/>
    <w:rsid w:val="00395364"/>
    <w:rsid w:val="003953B9"/>
    <w:rsid w:val="0039583F"/>
    <w:rsid w:val="00395BCD"/>
    <w:rsid w:val="00395EC3"/>
    <w:rsid w:val="00395EF0"/>
    <w:rsid w:val="00396DA2"/>
    <w:rsid w:val="00397033"/>
    <w:rsid w:val="003975F2"/>
    <w:rsid w:val="0039771A"/>
    <w:rsid w:val="00397E93"/>
    <w:rsid w:val="00397EE2"/>
    <w:rsid w:val="00397EF4"/>
    <w:rsid w:val="003A04FD"/>
    <w:rsid w:val="003A0BB9"/>
    <w:rsid w:val="003A0FA0"/>
    <w:rsid w:val="003A12D5"/>
    <w:rsid w:val="003A12EA"/>
    <w:rsid w:val="003A13BB"/>
    <w:rsid w:val="003A1537"/>
    <w:rsid w:val="003A1575"/>
    <w:rsid w:val="003A1678"/>
    <w:rsid w:val="003A179F"/>
    <w:rsid w:val="003A19F4"/>
    <w:rsid w:val="003A1C77"/>
    <w:rsid w:val="003A1D38"/>
    <w:rsid w:val="003A25B3"/>
    <w:rsid w:val="003A2B39"/>
    <w:rsid w:val="003A2F50"/>
    <w:rsid w:val="003A3138"/>
    <w:rsid w:val="003A31A2"/>
    <w:rsid w:val="003A3B66"/>
    <w:rsid w:val="003A3CFE"/>
    <w:rsid w:val="003A433C"/>
    <w:rsid w:val="003A460B"/>
    <w:rsid w:val="003A4842"/>
    <w:rsid w:val="003A499F"/>
    <w:rsid w:val="003A4A28"/>
    <w:rsid w:val="003A4D62"/>
    <w:rsid w:val="003A4F56"/>
    <w:rsid w:val="003A5056"/>
    <w:rsid w:val="003A53C7"/>
    <w:rsid w:val="003A553E"/>
    <w:rsid w:val="003A5D1E"/>
    <w:rsid w:val="003A6524"/>
    <w:rsid w:val="003A6599"/>
    <w:rsid w:val="003A6893"/>
    <w:rsid w:val="003A6B1C"/>
    <w:rsid w:val="003A6E51"/>
    <w:rsid w:val="003A6F8C"/>
    <w:rsid w:val="003A744C"/>
    <w:rsid w:val="003A7A62"/>
    <w:rsid w:val="003A7B57"/>
    <w:rsid w:val="003A7C95"/>
    <w:rsid w:val="003B0214"/>
    <w:rsid w:val="003B0398"/>
    <w:rsid w:val="003B063C"/>
    <w:rsid w:val="003B0BAA"/>
    <w:rsid w:val="003B0C9C"/>
    <w:rsid w:val="003B1303"/>
    <w:rsid w:val="003B1A4E"/>
    <w:rsid w:val="003B1BC6"/>
    <w:rsid w:val="003B20EA"/>
    <w:rsid w:val="003B2583"/>
    <w:rsid w:val="003B2E47"/>
    <w:rsid w:val="003B2ECC"/>
    <w:rsid w:val="003B3276"/>
    <w:rsid w:val="003B34F6"/>
    <w:rsid w:val="003B3756"/>
    <w:rsid w:val="003B39B9"/>
    <w:rsid w:val="003B39C5"/>
    <w:rsid w:val="003B3E42"/>
    <w:rsid w:val="003B425D"/>
    <w:rsid w:val="003B4266"/>
    <w:rsid w:val="003B439F"/>
    <w:rsid w:val="003B4847"/>
    <w:rsid w:val="003B48BF"/>
    <w:rsid w:val="003B4E21"/>
    <w:rsid w:val="003B53DB"/>
    <w:rsid w:val="003B552A"/>
    <w:rsid w:val="003B57E9"/>
    <w:rsid w:val="003B59B7"/>
    <w:rsid w:val="003B5A48"/>
    <w:rsid w:val="003B6109"/>
    <w:rsid w:val="003B6575"/>
    <w:rsid w:val="003B6579"/>
    <w:rsid w:val="003B6627"/>
    <w:rsid w:val="003B6992"/>
    <w:rsid w:val="003B6DAC"/>
    <w:rsid w:val="003B7061"/>
    <w:rsid w:val="003B71B4"/>
    <w:rsid w:val="003B766E"/>
    <w:rsid w:val="003B76D2"/>
    <w:rsid w:val="003B7E2D"/>
    <w:rsid w:val="003B7F6E"/>
    <w:rsid w:val="003C0170"/>
    <w:rsid w:val="003C02CB"/>
    <w:rsid w:val="003C0CDF"/>
    <w:rsid w:val="003C0D7D"/>
    <w:rsid w:val="003C0FBE"/>
    <w:rsid w:val="003C10B2"/>
    <w:rsid w:val="003C11BE"/>
    <w:rsid w:val="003C1221"/>
    <w:rsid w:val="003C14E5"/>
    <w:rsid w:val="003C1BB6"/>
    <w:rsid w:val="003C1E1C"/>
    <w:rsid w:val="003C22E5"/>
    <w:rsid w:val="003C2BFF"/>
    <w:rsid w:val="003C2EA2"/>
    <w:rsid w:val="003C300E"/>
    <w:rsid w:val="003C3756"/>
    <w:rsid w:val="003C39FC"/>
    <w:rsid w:val="003C3E49"/>
    <w:rsid w:val="003C4397"/>
    <w:rsid w:val="003C439A"/>
    <w:rsid w:val="003C44F4"/>
    <w:rsid w:val="003C463D"/>
    <w:rsid w:val="003C4CEF"/>
    <w:rsid w:val="003C51E7"/>
    <w:rsid w:val="003C540B"/>
    <w:rsid w:val="003C54F2"/>
    <w:rsid w:val="003C5699"/>
    <w:rsid w:val="003C57DA"/>
    <w:rsid w:val="003C5BC0"/>
    <w:rsid w:val="003C5C4C"/>
    <w:rsid w:val="003C6472"/>
    <w:rsid w:val="003C6D27"/>
    <w:rsid w:val="003C710D"/>
    <w:rsid w:val="003C7234"/>
    <w:rsid w:val="003C76BF"/>
    <w:rsid w:val="003C76D5"/>
    <w:rsid w:val="003C773D"/>
    <w:rsid w:val="003C7FCB"/>
    <w:rsid w:val="003D079D"/>
    <w:rsid w:val="003D0DA3"/>
    <w:rsid w:val="003D1576"/>
    <w:rsid w:val="003D183F"/>
    <w:rsid w:val="003D1D30"/>
    <w:rsid w:val="003D2033"/>
    <w:rsid w:val="003D2042"/>
    <w:rsid w:val="003D21F1"/>
    <w:rsid w:val="003D22C2"/>
    <w:rsid w:val="003D2800"/>
    <w:rsid w:val="003D2815"/>
    <w:rsid w:val="003D2906"/>
    <w:rsid w:val="003D2B1D"/>
    <w:rsid w:val="003D2DEC"/>
    <w:rsid w:val="003D356C"/>
    <w:rsid w:val="003D3A2A"/>
    <w:rsid w:val="003D3BEC"/>
    <w:rsid w:val="003D3D9B"/>
    <w:rsid w:val="003D3F33"/>
    <w:rsid w:val="003D423E"/>
    <w:rsid w:val="003D4615"/>
    <w:rsid w:val="003D4AAC"/>
    <w:rsid w:val="003D4C39"/>
    <w:rsid w:val="003D4D72"/>
    <w:rsid w:val="003D5484"/>
    <w:rsid w:val="003D55CD"/>
    <w:rsid w:val="003D584B"/>
    <w:rsid w:val="003D5D47"/>
    <w:rsid w:val="003D5D9B"/>
    <w:rsid w:val="003D6570"/>
    <w:rsid w:val="003D6580"/>
    <w:rsid w:val="003D700C"/>
    <w:rsid w:val="003D76C3"/>
    <w:rsid w:val="003D7AF5"/>
    <w:rsid w:val="003D7B7F"/>
    <w:rsid w:val="003D7D03"/>
    <w:rsid w:val="003D7D97"/>
    <w:rsid w:val="003E056D"/>
    <w:rsid w:val="003E0653"/>
    <w:rsid w:val="003E0AA1"/>
    <w:rsid w:val="003E1677"/>
    <w:rsid w:val="003E16CB"/>
    <w:rsid w:val="003E183B"/>
    <w:rsid w:val="003E19BD"/>
    <w:rsid w:val="003E1F42"/>
    <w:rsid w:val="003E212A"/>
    <w:rsid w:val="003E213D"/>
    <w:rsid w:val="003E22A4"/>
    <w:rsid w:val="003E264D"/>
    <w:rsid w:val="003E280F"/>
    <w:rsid w:val="003E291E"/>
    <w:rsid w:val="003E294B"/>
    <w:rsid w:val="003E2EA1"/>
    <w:rsid w:val="003E31BE"/>
    <w:rsid w:val="003E31F6"/>
    <w:rsid w:val="003E3B2E"/>
    <w:rsid w:val="003E3CBE"/>
    <w:rsid w:val="003E405A"/>
    <w:rsid w:val="003E422B"/>
    <w:rsid w:val="003E4439"/>
    <w:rsid w:val="003E4498"/>
    <w:rsid w:val="003E44B4"/>
    <w:rsid w:val="003E46B4"/>
    <w:rsid w:val="003E4723"/>
    <w:rsid w:val="003E47CD"/>
    <w:rsid w:val="003E4875"/>
    <w:rsid w:val="003E4B48"/>
    <w:rsid w:val="003E4DEA"/>
    <w:rsid w:val="003E56C1"/>
    <w:rsid w:val="003E58F3"/>
    <w:rsid w:val="003E5BC2"/>
    <w:rsid w:val="003E5ED9"/>
    <w:rsid w:val="003E67E3"/>
    <w:rsid w:val="003E6848"/>
    <w:rsid w:val="003E6B59"/>
    <w:rsid w:val="003E6E15"/>
    <w:rsid w:val="003E6E90"/>
    <w:rsid w:val="003E744F"/>
    <w:rsid w:val="003F04EF"/>
    <w:rsid w:val="003F060E"/>
    <w:rsid w:val="003F064C"/>
    <w:rsid w:val="003F082B"/>
    <w:rsid w:val="003F09ED"/>
    <w:rsid w:val="003F0E8F"/>
    <w:rsid w:val="003F114C"/>
    <w:rsid w:val="003F157E"/>
    <w:rsid w:val="003F1606"/>
    <w:rsid w:val="003F1609"/>
    <w:rsid w:val="003F1750"/>
    <w:rsid w:val="003F175D"/>
    <w:rsid w:val="003F17F1"/>
    <w:rsid w:val="003F241B"/>
    <w:rsid w:val="003F27F6"/>
    <w:rsid w:val="003F2C08"/>
    <w:rsid w:val="003F2C2C"/>
    <w:rsid w:val="003F2C73"/>
    <w:rsid w:val="003F2EA4"/>
    <w:rsid w:val="003F3282"/>
    <w:rsid w:val="003F3329"/>
    <w:rsid w:val="003F339F"/>
    <w:rsid w:val="003F33DA"/>
    <w:rsid w:val="003F3489"/>
    <w:rsid w:val="003F354F"/>
    <w:rsid w:val="003F379F"/>
    <w:rsid w:val="003F3866"/>
    <w:rsid w:val="003F3B5B"/>
    <w:rsid w:val="003F4416"/>
    <w:rsid w:val="003F44AF"/>
    <w:rsid w:val="003F4561"/>
    <w:rsid w:val="003F4899"/>
    <w:rsid w:val="003F495D"/>
    <w:rsid w:val="003F4EEB"/>
    <w:rsid w:val="003F4F52"/>
    <w:rsid w:val="003F5171"/>
    <w:rsid w:val="003F5515"/>
    <w:rsid w:val="003F5576"/>
    <w:rsid w:val="003F56D4"/>
    <w:rsid w:val="003F571B"/>
    <w:rsid w:val="003F5B73"/>
    <w:rsid w:val="003F5CF7"/>
    <w:rsid w:val="003F6148"/>
    <w:rsid w:val="003F6B46"/>
    <w:rsid w:val="003F7450"/>
    <w:rsid w:val="003F7CC6"/>
    <w:rsid w:val="003F7CDF"/>
    <w:rsid w:val="003F7D8B"/>
    <w:rsid w:val="00400A72"/>
    <w:rsid w:val="00400B40"/>
    <w:rsid w:val="00400BF8"/>
    <w:rsid w:val="00400D12"/>
    <w:rsid w:val="00400FC4"/>
    <w:rsid w:val="00401227"/>
    <w:rsid w:val="004015B8"/>
    <w:rsid w:val="0040163F"/>
    <w:rsid w:val="004018DC"/>
    <w:rsid w:val="00401CDC"/>
    <w:rsid w:val="00401E42"/>
    <w:rsid w:val="004022EF"/>
    <w:rsid w:val="00402338"/>
    <w:rsid w:val="00402395"/>
    <w:rsid w:val="0040246D"/>
    <w:rsid w:val="0040257B"/>
    <w:rsid w:val="00402934"/>
    <w:rsid w:val="00402F06"/>
    <w:rsid w:val="004037B6"/>
    <w:rsid w:val="004038BC"/>
    <w:rsid w:val="004039D4"/>
    <w:rsid w:val="00403C64"/>
    <w:rsid w:val="00403C73"/>
    <w:rsid w:val="00403CF5"/>
    <w:rsid w:val="00403D8B"/>
    <w:rsid w:val="00403E17"/>
    <w:rsid w:val="0040411C"/>
    <w:rsid w:val="00404372"/>
    <w:rsid w:val="00404845"/>
    <w:rsid w:val="00404932"/>
    <w:rsid w:val="00404945"/>
    <w:rsid w:val="00404B05"/>
    <w:rsid w:val="00404DDC"/>
    <w:rsid w:val="00404EBC"/>
    <w:rsid w:val="004050BA"/>
    <w:rsid w:val="004051C2"/>
    <w:rsid w:val="00406255"/>
    <w:rsid w:val="0040670A"/>
    <w:rsid w:val="00406E0B"/>
    <w:rsid w:val="00407166"/>
    <w:rsid w:val="00407582"/>
    <w:rsid w:val="0040759A"/>
    <w:rsid w:val="004075B3"/>
    <w:rsid w:val="004075D1"/>
    <w:rsid w:val="0040766D"/>
    <w:rsid w:val="00407702"/>
    <w:rsid w:val="0040781C"/>
    <w:rsid w:val="00407892"/>
    <w:rsid w:val="00407F38"/>
    <w:rsid w:val="00410159"/>
    <w:rsid w:val="004101C7"/>
    <w:rsid w:val="004103A5"/>
    <w:rsid w:val="004105CB"/>
    <w:rsid w:val="00410658"/>
    <w:rsid w:val="00410685"/>
    <w:rsid w:val="00410A08"/>
    <w:rsid w:val="00410C29"/>
    <w:rsid w:val="00410E4C"/>
    <w:rsid w:val="00410F2A"/>
    <w:rsid w:val="004113AD"/>
    <w:rsid w:val="0041149C"/>
    <w:rsid w:val="004116F1"/>
    <w:rsid w:val="004117C2"/>
    <w:rsid w:val="0041183A"/>
    <w:rsid w:val="004118A3"/>
    <w:rsid w:val="004119D7"/>
    <w:rsid w:val="004119E2"/>
    <w:rsid w:val="00411A62"/>
    <w:rsid w:val="00411CA5"/>
    <w:rsid w:val="00411D80"/>
    <w:rsid w:val="00411DD4"/>
    <w:rsid w:val="00412187"/>
    <w:rsid w:val="004121E9"/>
    <w:rsid w:val="00412597"/>
    <w:rsid w:val="004125E7"/>
    <w:rsid w:val="00412704"/>
    <w:rsid w:val="0041285F"/>
    <w:rsid w:val="00412B4C"/>
    <w:rsid w:val="00412CA4"/>
    <w:rsid w:val="00412D4C"/>
    <w:rsid w:val="00413580"/>
    <w:rsid w:val="00413805"/>
    <w:rsid w:val="004140FB"/>
    <w:rsid w:val="0041468F"/>
    <w:rsid w:val="00414C26"/>
    <w:rsid w:val="00414ED5"/>
    <w:rsid w:val="00415004"/>
    <w:rsid w:val="00415491"/>
    <w:rsid w:val="00415E96"/>
    <w:rsid w:val="0041612A"/>
    <w:rsid w:val="0041630F"/>
    <w:rsid w:val="004164F7"/>
    <w:rsid w:val="00416532"/>
    <w:rsid w:val="004166D8"/>
    <w:rsid w:val="00416749"/>
    <w:rsid w:val="00416766"/>
    <w:rsid w:val="004168E2"/>
    <w:rsid w:val="00416F89"/>
    <w:rsid w:val="0041727C"/>
    <w:rsid w:val="004176F8"/>
    <w:rsid w:val="0041798D"/>
    <w:rsid w:val="00417B18"/>
    <w:rsid w:val="00420172"/>
    <w:rsid w:val="004201CD"/>
    <w:rsid w:val="004203BB"/>
    <w:rsid w:val="0042048E"/>
    <w:rsid w:val="004204D7"/>
    <w:rsid w:val="0042098D"/>
    <w:rsid w:val="00420B7C"/>
    <w:rsid w:val="00420D46"/>
    <w:rsid w:val="00421768"/>
    <w:rsid w:val="004218D6"/>
    <w:rsid w:val="00421E34"/>
    <w:rsid w:val="00422290"/>
    <w:rsid w:val="004223D6"/>
    <w:rsid w:val="00422577"/>
    <w:rsid w:val="00422966"/>
    <w:rsid w:val="00422A58"/>
    <w:rsid w:val="00423018"/>
    <w:rsid w:val="0042349E"/>
    <w:rsid w:val="0042358A"/>
    <w:rsid w:val="00423597"/>
    <w:rsid w:val="00423A33"/>
    <w:rsid w:val="00423C97"/>
    <w:rsid w:val="00423DA9"/>
    <w:rsid w:val="00423DFE"/>
    <w:rsid w:val="0042430D"/>
    <w:rsid w:val="00424312"/>
    <w:rsid w:val="0042465A"/>
    <w:rsid w:val="00424A68"/>
    <w:rsid w:val="00424ECF"/>
    <w:rsid w:val="0042540A"/>
    <w:rsid w:val="004257E0"/>
    <w:rsid w:val="004258B3"/>
    <w:rsid w:val="00425B06"/>
    <w:rsid w:val="004264CD"/>
    <w:rsid w:val="00426C68"/>
    <w:rsid w:val="00426D71"/>
    <w:rsid w:val="00426F80"/>
    <w:rsid w:val="00427693"/>
    <w:rsid w:val="004279E5"/>
    <w:rsid w:val="00427EC2"/>
    <w:rsid w:val="00430221"/>
    <w:rsid w:val="0043054A"/>
    <w:rsid w:val="004305DC"/>
    <w:rsid w:val="00430ED4"/>
    <w:rsid w:val="00430FE1"/>
    <w:rsid w:val="0043182C"/>
    <w:rsid w:val="00432479"/>
    <w:rsid w:val="00432A68"/>
    <w:rsid w:val="004331B9"/>
    <w:rsid w:val="00433279"/>
    <w:rsid w:val="00433A2B"/>
    <w:rsid w:val="00433AA9"/>
    <w:rsid w:val="00433F7A"/>
    <w:rsid w:val="00433F82"/>
    <w:rsid w:val="00433FBA"/>
    <w:rsid w:val="0043435A"/>
    <w:rsid w:val="00434614"/>
    <w:rsid w:val="0043475D"/>
    <w:rsid w:val="00434817"/>
    <w:rsid w:val="00434E8D"/>
    <w:rsid w:val="004355F6"/>
    <w:rsid w:val="0043568B"/>
    <w:rsid w:val="0043578C"/>
    <w:rsid w:val="00435B80"/>
    <w:rsid w:val="00435D50"/>
    <w:rsid w:val="00435E08"/>
    <w:rsid w:val="0043602A"/>
    <w:rsid w:val="00436087"/>
    <w:rsid w:val="004363FA"/>
    <w:rsid w:val="0043660A"/>
    <w:rsid w:val="00436744"/>
    <w:rsid w:val="00436BAA"/>
    <w:rsid w:val="00436C21"/>
    <w:rsid w:val="004376E8"/>
    <w:rsid w:val="004377B7"/>
    <w:rsid w:val="00437856"/>
    <w:rsid w:val="00437A8E"/>
    <w:rsid w:val="00440032"/>
    <w:rsid w:val="0044036A"/>
    <w:rsid w:val="00440E7D"/>
    <w:rsid w:val="00440EDF"/>
    <w:rsid w:val="004416E4"/>
    <w:rsid w:val="0044171E"/>
    <w:rsid w:val="00441AB2"/>
    <w:rsid w:val="00441C73"/>
    <w:rsid w:val="00442016"/>
    <w:rsid w:val="00442221"/>
    <w:rsid w:val="004423D9"/>
    <w:rsid w:val="00442516"/>
    <w:rsid w:val="00442564"/>
    <w:rsid w:val="00442714"/>
    <w:rsid w:val="00442D7D"/>
    <w:rsid w:val="00442E99"/>
    <w:rsid w:val="00443259"/>
    <w:rsid w:val="004437A5"/>
    <w:rsid w:val="00443A21"/>
    <w:rsid w:val="00443A6A"/>
    <w:rsid w:val="00443B31"/>
    <w:rsid w:val="00443E30"/>
    <w:rsid w:val="0044412A"/>
    <w:rsid w:val="004442D6"/>
    <w:rsid w:val="004444CD"/>
    <w:rsid w:val="00444521"/>
    <w:rsid w:val="004445CE"/>
    <w:rsid w:val="004446BA"/>
    <w:rsid w:val="00444D66"/>
    <w:rsid w:val="00445465"/>
    <w:rsid w:val="00445716"/>
    <w:rsid w:val="00445ADB"/>
    <w:rsid w:val="00445CAE"/>
    <w:rsid w:val="004461E4"/>
    <w:rsid w:val="004465C8"/>
    <w:rsid w:val="00446C7A"/>
    <w:rsid w:val="00446D34"/>
    <w:rsid w:val="00447425"/>
    <w:rsid w:val="00447587"/>
    <w:rsid w:val="00447BE2"/>
    <w:rsid w:val="00447FFD"/>
    <w:rsid w:val="00450246"/>
    <w:rsid w:val="004502C7"/>
    <w:rsid w:val="00450496"/>
    <w:rsid w:val="00450A27"/>
    <w:rsid w:val="00450A7B"/>
    <w:rsid w:val="00451515"/>
    <w:rsid w:val="0045155F"/>
    <w:rsid w:val="00451698"/>
    <w:rsid w:val="004517BD"/>
    <w:rsid w:val="004518C6"/>
    <w:rsid w:val="004519EC"/>
    <w:rsid w:val="0045233C"/>
    <w:rsid w:val="0045269E"/>
    <w:rsid w:val="00452716"/>
    <w:rsid w:val="004528A8"/>
    <w:rsid w:val="00452D2F"/>
    <w:rsid w:val="00452F8C"/>
    <w:rsid w:val="00453D98"/>
    <w:rsid w:val="00454175"/>
    <w:rsid w:val="004547E9"/>
    <w:rsid w:val="004548CE"/>
    <w:rsid w:val="00454A95"/>
    <w:rsid w:val="00454D03"/>
    <w:rsid w:val="00454FEC"/>
    <w:rsid w:val="004554A3"/>
    <w:rsid w:val="004554F0"/>
    <w:rsid w:val="004557B6"/>
    <w:rsid w:val="004564A9"/>
    <w:rsid w:val="0045671B"/>
    <w:rsid w:val="00456A8F"/>
    <w:rsid w:val="00456E91"/>
    <w:rsid w:val="00456F2D"/>
    <w:rsid w:val="0045733E"/>
    <w:rsid w:val="00457480"/>
    <w:rsid w:val="004574AB"/>
    <w:rsid w:val="004577CE"/>
    <w:rsid w:val="00457AA5"/>
    <w:rsid w:val="00457FD3"/>
    <w:rsid w:val="00460006"/>
    <w:rsid w:val="00460149"/>
    <w:rsid w:val="00460E4A"/>
    <w:rsid w:val="0046143C"/>
    <w:rsid w:val="004614A8"/>
    <w:rsid w:val="00461AFB"/>
    <w:rsid w:val="00461B0E"/>
    <w:rsid w:val="00461CCA"/>
    <w:rsid w:val="00462084"/>
    <w:rsid w:val="00462560"/>
    <w:rsid w:val="00462679"/>
    <w:rsid w:val="00462981"/>
    <w:rsid w:val="00462AF9"/>
    <w:rsid w:val="00462B95"/>
    <w:rsid w:val="00462E46"/>
    <w:rsid w:val="00463583"/>
    <w:rsid w:val="00463D1B"/>
    <w:rsid w:val="0046423E"/>
    <w:rsid w:val="0046435C"/>
    <w:rsid w:val="004646BC"/>
    <w:rsid w:val="00464CA1"/>
    <w:rsid w:val="004650EE"/>
    <w:rsid w:val="00465317"/>
    <w:rsid w:val="00465937"/>
    <w:rsid w:val="00465AE0"/>
    <w:rsid w:val="00465DBC"/>
    <w:rsid w:val="00465F1C"/>
    <w:rsid w:val="00466047"/>
    <w:rsid w:val="004663A9"/>
    <w:rsid w:val="00466737"/>
    <w:rsid w:val="004668FD"/>
    <w:rsid w:val="0046691F"/>
    <w:rsid w:val="00466B90"/>
    <w:rsid w:val="00467095"/>
    <w:rsid w:val="00467786"/>
    <w:rsid w:val="00467A76"/>
    <w:rsid w:val="00467B7F"/>
    <w:rsid w:val="00467C50"/>
    <w:rsid w:val="00467C79"/>
    <w:rsid w:val="0047047B"/>
    <w:rsid w:val="004706F1"/>
    <w:rsid w:val="00470B2D"/>
    <w:rsid w:val="004713A0"/>
    <w:rsid w:val="0047191A"/>
    <w:rsid w:val="00471BE7"/>
    <w:rsid w:val="00471E5D"/>
    <w:rsid w:val="00472AEA"/>
    <w:rsid w:val="00472D1A"/>
    <w:rsid w:val="0047309C"/>
    <w:rsid w:val="00473499"/>
    <w:rsid w:val="00473960"/>
    <w:rsid w:val="00473D45"/>
    <w:rsid w:val="00473E2D"/>
    <w:rsid w:val="00473EF8"/>
    <w:rsid w:val="00473F80"/>
    <w:rsid w:val="00473FCC"/>
    <w:rsid w:val="00474009"/>
    <w:rsid w:val="0047442E"/>
    <w:rsid w:val="00474C37"/>
    <w:rsid w:val="00474F3A"/>
    <w:rsid w:val="00475054"/>
    <w:rsid w:val="00475399"/>
    <w:rsid w:val="00475709"/>
    <w:rsid w:val="00475786"/>
    <w:rsid w:val="00475A67"/>
    <w:rsid w:val="00475F02"/>
    <w:rsid w:val="00475F9A"/>
    <w:rsid w:val="00476052"/>
    <w:rsid w:val="0047606F"/>
    <w:rsid w:val="0047611B"/>
    <w:rsid w:val="0047646A"/>
    <w:rsid w:val="00476A3E"/>
    <w:rsid w:val="00476E52"/>
    <w:rsid w:val="00477110"/>
    <w:rsid w:val="00477418"/>
    <w:rsid w:val="0047753B"/>
    <w:rsid w:val="0047765D"/>
    <w:rsid w:val="00477D30"/>
    <w:rsid w:val="00477D49"/>
    <w:rsid w:val="004800C7"/>
    <w:rsid w:val="004803E8"/>
    <w:rsid w:val="004812C8"/>
    <w:rsid w:val="0048147D"/>
    <w:rsid w:val="00481E13"/>
    <w:rsid w:val="004820FB"/>
    <w:rsid w:val="00482425"/>
    <w:rsid w:val="004828BE"/>
    <w:rsid w:val="00483352"/>
    <w:rsid w:val="0048348B"/>
    <w:rsid w:val="004834B0"/>
    <w:rsid w:val="00483856"/>
    <w:rsid w:val="00483AFF"/>
    <w:rsid w:val="00483DBB"/>
    <w:rsid w:val="004846BB"/>
    <w:rsid w:val="0048475A"/>
    <w:rsid w:val="004849BC"/>
    <w:rsid w:val="004851AE"/>
    <w:rsid w:val="004853AC"/>
    <w:rsid w:val="00485A14"/>
    <w:rsid w:val="00485AD3"/>
    <w:rsid w:val="00486137"/>
    <w:rsid w:val="004861FD"/>
    <w:rsid w:val="00486272"/>
    <w:rsid w:val="00486728"/>
    <w:rsid w:val="004869F4"/>
    <w:rsid w:val="00486BEE"/>
    <w:rsid w:val="00486F28"/>
    <w:rsid w:val="0048748D"/>
    <w:rsid w:val="0048774F"/>
    <w:rsid w:val="0048786E"/>
    <w:rsid w:val="004878AF"/>
    <w:rsid w:val="0049003D"/>
    <w:rsid w:val="004902A6"/>
    <w:rsid w:val="0049075F"/>
    <w:rsid w:val="004908C4"/>
    <w:rsid w:val="004909DB"/>
    <w:rsid w:val="00490BC6"/>
    <w:rsid w:val="00490C85"/>
    <w:rsid w:val="00491A01"/>
    <w:rsid w:val="00491C1C"/>
    <w:rsid w:val="00491C9C"/>
    <w:rsid w:val="0049220C"/>
    <w:rsid w:val="0049241B"/>
    <w:rsid w:val="004924F8"/>
    <w:rsid w:val="00492845"/>
    <w:rsid w:val="004928EE"/>
    <w:rsid w:val="004929CC"/>
    <w:rsid w:val="004929ED"/>
    <w:rsid w:val="00492DFD"/>
    <w:rsid w:val="00492EAA"/>
    <w:rsid w:val="0049323C"/>
    <w:rsid w:val="004939F4"/>
    <w:rsid w:val="00493B7F"/>
    <w:rsid w:val="00493D54"/>
    <w:rsid w:val="004940FD"/>
    <w:rsid w:val="0049431E"/>
    <w:rsid w:val="004944ED"/>
    <w:rsid w:val="00494551"/>
    <w:rsid w:val="004947D4"/>
    <w:rsid w:val="00494883"/>
    <w:rsid w:val="00494C16"/>
    <w:rsid w:val="00494EA0"/>
    <w:rsid w:val="00495618"/>
    <w:rsid w:val="00495682"/>
    <w:rsid w:val="004957BC"/>
    <w:rsid w:val="0049589A"/>
    <w:rsid w:val="00495CCE"/>
    <w:rsid w:val="00496079"/>
    <w:rsid w:val="00496345"/>
    <w:rsid w:val="00496644"/>
    <w:rsid w:val="0049679A"/>
    <w:rsid w:val="0049697C"/>
    <w:rsid w:val="00496C05"/>
    <w:rsid w:val="004973F3"/>
    <w:rsid w:val="00497A51"/>
    <w:rsid w:val="00497DC8"/>
    <w:rsid w:val="00497E8D"/>
    <w:rsid w:val="004A008A"/>
    <w:rsid w:val="004A058C"/>
    <w:rsid w:val="004A069C"/>
    <w:rsid w:val="004A0C12"/>
    <w:rsid w:val="004A11ED"/>
    <w:rsid w:val="004A11F7"/>
    <w:rsid w:val="004A126D"/>
    <w:rsid w:val="004A137F"/>
    <w:rsid w:val="004A15E2"/>
    <w:rsid w:val="004A167D"/>
    <w:rsid w:val="004A1B8B"/>
    <w:rsid w:val="004A1DD7"/>
    <w:rsid w:val="004A28C3"/>
    <w:rsid w:val="004A2AE3"/>
    <w:rsid w:val="004A2DD7"/>
    <w:rsid w:val="004A3077"/>
    <w:rsid w:val="004A3101"/>
    <w:rsid w:val="004A32D4"/>
    <w:rsid w:val="004A39F9"/>
    <w:rsid w:val="004A3D57"/>
    <w:rsid w:val="004A4482"/>
    <w:rsid w:val="004A48E6"/>
    <w:rsid w:val="004A5156"/>
    <w:rsid w:val="004A52C7"/>
    <w:rsid w:val="004A5349"/>
    <w:rsid w:val="004A53E6"/>
    <w:rsid w:val="004A6107"/>
    <w:rsid w:val="004A6189"/>
    <w:rsid w:val="004A6922"/>
    <w:rsid w:val="004A6A73"/>
    <w:rsid w:val="004A6AD7"/>
    <w:rsid w:val="004A6B26"/>
    <w:rsid w:val="004A6B75"/>
    <w:rsid w:val="004A6D06"/>
    <w:rsid w:val="004A6D98"/>
    <w:rsid w:val="004A6E56"/>
    <w:rsid w:val="004A6F77"/>
    <w:rsid w:val="004A715B"/>
    <w:rsid w:val="004A7A33"/>
    <w:rsid w:val="004B07B7"/>
    <w:rsid w:val="004B09FC"/>
    <w:rsid w:val="004B0A39"/>
    <w:rsid w:val="004B0A8F"/>
    <w:rsid w:val="004B0CFB"/>
    <w:rsid w:val="004B0D25"/>
    <w:rsid w:val="004B103F"/>
    <w:rsid w:val="004B1AD5"/>
    <w:rsid w:val="004B2296"/>
    <w:rsid w:val="004B2382"/>
    <w:rsid w:val="004B2801"/>
    <w:rsid w:val="004B2A74"/>
    <w:rsid w:val="004B2B8E"/>
    <w:rsid w:val="004B2FB0"/>
    <w:rsid w:val="004B3072"/>
    <w:rsid w:val="004B30DC"/>
    <w:rsid w:val="004B31CF"/>
    <w:rsid w:val="004B335B"/>
    <w:rsid w:val="004B3521"/>
    <w:rsid w:val="004B37FC"/>
    <w:rsid w:val="004B401F"/>
    <w:rsid w:val="004B4B80"/>
    <w:rsid w:val="004B4F57"/>
    <w:rsid w:val="004B52C2"/>
    <w:rsid w:val="004B5533"/>
    <w:rsid w:val="004B5776"/>
    <w:rsid w:val="004B58AD"/>
    <w:rsid w:val="004B65AA"/>
    <w:rsid w:val="004B6AF2"/>
    <w:rsid w:val="004B74B0"/>
    <w:rsid w:val="004B7AFD"/>
    <w:rsid w:val="004B7ED1"/>
    <w:rsid w:val="004B7F05"/>
    <w:rsid w:val="004C0104"/>
    <w:rsid w:val="004C02D5"/>
    <w:rsid w:val="004C0323"/>
    <w:rsid w:val="004C04AE"/>
    <w:rsid w:val="004C0980"/>
    <w:rsid w:val="004C0ABF"/>
    <w:rsid w:val="004C0DBA"/>
    <w:rsid w:val="004C1832"/>
    <w:rsid w:val="004C1A47"/>
    <w:rsid w:val="004C1BA0"/>
    <w:rsid w:val="004C1CE8"/>
    <w:rsid w:val="004C1F0F"/>
    <w:rsid w:val="004C23B2"/>
    <w:rsid w:val="004C2C34"/>
    <w:rsid w:val="004C2C42"/>
    <w:rsid w:val="004C340F"/>
    <w:rsid w:val="004C362C"/>
    <w:rsid w:val="004C38B2"/>
    <w:rsid w:val="004C3AB5"/>
    <w:rsid w:val="004C3BDD"/>
    <w:rsid w:val="004C4674"/>
    <w:rsid w:val="004C4E83"/>
    <w:rsid w:val="004C544A"/>
    <w:rsid w:val="004C54E7"/>
    <w:rsid w:val="004C5726"/>
    <w:rsid w:val="004C63D8"/>
    <w:rsid w:val="004C675D"/>
    <w:rsid w:val="004C699B"/>
    <w:rsid w:val="004C7467"/>
    <w:rsid w:val="004C7A3D"/>
    <w:rsid w:val="004C7D76"/>
    <w:rsid w:val="004C7FBC"/>
    <w:rsid w:val="004D0294"/>
    <w:rsid w:val="004D0563"/>
    <w:rsid w:val="004D06C6"/>
    <w:rsid w:val="004D0793"/>
    <w:rsid w:val="004D0A30"/>
    <w:rsid w:val="004D1312"/>
    <w:rsid w:val="004D1388"/>
    <w:rsid w:val="004D17F8"/>
    <w:rsid w:val="004D1829"/>
    <w:rsid w:val="004D191C"/>
    <w:rsid w:val="004D1A8E"/>
    <w:rsid w:val="004D21DD"/>
    <w:rsid w:val="004D253C"/>
    <w:rsid w:val="004D2564"/>
    <w:rsid w:val="004D25AD"/>
    <w:rsid w:val="004D25FB"/>
    <w:rsid w:val="004D2618"/>
    <w:rsid w:val="004D27A0"/>
    <w:rsid w:val="004D2811"/>
    <w:rsid w:val="004D2D73"/>
    <w:rsid w:val="004D2DAA"/>
    <w:rsid w:val="004D2DF9"/>
    <w:rsid w:val="004D3406"/>
    <w:rsid w:val="004D3F44"/>
    <w:rsid w:val="004D44B6"/>
    <w:rsid w:val="004D4A6E"/>
    <w:rsid w:val="004D5BA7"/>
    <w:rsid w:val="004D5E4C"/>
    <w:rsid w:val="004D6F68"/>
    <w:rsid w:val="004D7358"/>
    <w:rsid w:val="004D77BE"/>
    <w:rsid w:val="004D795A"/>
    <w:rsid w:val="004D7A5A"/>
    <w:rsid w:val="004D7F29"/>
    <w:rsid w:val="004E02E0"/>
    <w:rsid w:val="004E034F"/>
    <w:rsid w:val="004E0367"/>
    <w:rsid w:val="004E09E1"/>
    <w:rsid w:val="004E0A17"/>
    <w:rsid w:val="004E0FD8"/>
    <w:rsid w:val="004E193D"/>
    <w:rsid w:val="004E1B31"/>
    <w:rsid w:val="004E1D5D"/>
    <w:rsid w:val="004E1F03"/>
    <w:rsid w:val="004E2196"/>
    <w:rsid w:val="004E2237"/>
    <w:rsid w:val="004E266F"/>
    <w:rsid w:val="004E268B"/>
    <w:rsid w:val="004E2B63"/>
    <w:rsid w:val="004E2D24"/>
    <w:rsid w:val="004E2F73"/>
    <w:rsid w:val="004E312A"/>
    <w:rsid w:val="004E31FA"/>
    <w:rsid w:val="004E3CBD"/>
    <w:rsid w:val="004E3D0B"/>
    <w:rsid w:val="004E492E"/>
    <w:rsid w:val="004E4955"/>
    <w:rsid w:val="004E5134"/>
    <w:rsid w:val="004E5217"/>
    <w:rsid w:val="004E5389"/>
    <w:rsid w:val="004E5F33"/>
    <w:rsid w:val="004E5FD8"/>
    <w:rsid w:val="004E6281"/>
    <w:rsid w:val="004E6286"/>
    <w:rsid w:val="004E633F"/>
    <w:rsid w:val="004E69C5"/>
    <w:rsid w:val="004E6BCD"/>
    <w:rsid w:val="004E6F4D"/>
    <w:rsid w:val="004E740D"/>
    <w:rsid w:val="004E7430"/>
    <w:rsid w:val="004E7612"/>
    <w:rsid w:val="004E7C43"/>
    <w:rsid w:val="004E7CA5"/>
    <w:rsid w:val="004E7ECF"/>
    <w:rsid w:val="004F009C"/>
    <w:rsid w:val="004F017B"/>
    <w:rsid w:val="004F0493"/>
    <w:rsid w:val="004F0759"/>
    <w:rsid w:val="004F09E8"/>
    <w:rsid w:val="004F0A33"/>
    <w:rsid w:val="004F0D97"/>
    <w:rsid w:val="004F0FD1"/>
    <w:rsid w:val="004F1D3A"/>
    <w:rsid w:val="004F1D65"/>
    <w:rsid w:val="004F1DF7"/>
    <w:rsid w:val="004F2445"/>
    <w:rsid w:val="004F2667"/>
    <w:rsid w:val="004F2D91"/>
    <w:rsid w:val="004F30DF"/>
    <w:rsid w:val="004F321A"/>
    <w:rsid w:val="004F3B42"/>
    <w:rsid w:val="004F3C40"/>
    <w:rsid w:val="004F3DDB"/>
    <w:rsid w:val="004F40FC"/>
    <w:rsid w:val="004F4606"/>
    <w:rsid w:val="004F4D2F"/>
    <w:rsid w:val="004F4E45"/>
    <w:rsid w:val="004F4FEF"/>
    <w:rsid w:val="004F553D"/>
    <w:rsid w:val="004F56A7"/>
    <w:rsid w:val="004F587F"/>
    <w:rsid w:val="004F5D34"/>
    <w:rsid w:val="004F5EFE"/>
    <w:rsid w:val="004F6030"/>
    <w:rsid w:val="004F6374"/>
    <w:rsid w:val="004F63C6"/>
    <w:rsid w:val="004F64AF"/>
    <w:rsid w:val="004F6746"/>
    <w:rsid w:val="004F69F9"/>
    <w:rsid w:val="004F6CDD"/>
    <w:rsid w:val="004F6D87"/>
    <w:rsid w:val="004F7026"/>
    <w:rsid w:val="004F7623"/>
    <w:rsid w:val="004F7741"/>
    <w:rsid w:val="004F776E"/>
    <w:rsid w:val="005001F9"/>
    <w:rsid w:val="0050028A"/>
    <w:rsid w:val="005002ED"/>
    <w:rsid w:val="00500726"/>
    <w:rsid w:val="00501139"/>
    <w:rsid w:val="00501590"/>
    <w:rsid w:val="005017CC"/>
    <w:rsid w:val="00501886"/>
    <w:rsid w:val="00501C75"/>
    <w:rsid w:val="00501DBE"/>
    <w:rsid w:val="00501EDB"/>
    <w:rsid w:val="00502048"/>
    <w:rsid w:val="0050248B"/>
    <w:rsid w:val="005028C0"/>
    <w:rsid w:val="0050292A"/>
    <w:rsid w:val="005029F8"/>
    <w:rsid w:val="00502CD9"/>
    <w:rsid w:val="00503534"/>
    <w:rsid w:val="0050386C"/>
    <w:rsid w:val="00503D76"/>
    <w:rsid w:val="00504E1D"/>
    <w:rsid w:val="00504EDF"/>
    <w:rsid w:val="00505605"/>
    <w:rsid w:val="00505F1A"/>
    <w:rsid w:val="005063F8"/>
    <w:rsid w:val="00506C59"/>
    <w:rsid w:val="00506CB5"/>
    <w:rsid w:val="00506E2F"/>
    <w:rsid w:val="00506EF8"/>
    <w:rsid w:val="00506F67"/>
    <w:rsid w:val="00506F9D"/>
    <w:rsid w:val="00507107"/>
    <w:rsid w:val="005077EC"/>
    <w:rsid w:val="005078EA"/>
    <w:rsid w:val="00510271"/>
    <w:rsid w:val="005104E7"/>
    <w:rsid w:val="005114D8"/>
    <w:rsid w:val="00511A03"/>
    <w:rsid w:val="00511CC4"/>
    <w:rsid w:val="00511FD6"/>
    <w:rsid w:val="0051202C"/>
    <w:rsid w:val="005125B1"/>
    <w:rsid w:val="00512BB4"/>
    <w:rsid w:val="0051318B"/>
    <w:rsid w:val="005133BD"/>
    <w:rsid w:val="0051403D"/>
    <w:rsid w:val="00514087"/>
    <w:rsid w:val="00514321"/>
    <w:rsid w:val="005144D7"/>
    <w:rsid w:val="00514735"/>
    <w:rsid w:val="005148E9"/>
    <w:rsid w:val="00514EEF"/>
    <w:rsid w:val="00515212"/>
    <w:rsid w:val="0051526F"/>
    <w:rsid w:val="00515AFC"/>
    <w:rsid w:val="00515C49"/>
    <w:rsid w:val="00516174"/>
    <w:rsid w:val="00516286"/>
    <w:rsid w:val="00516414"/>
    <w:rsid w:val="0051647D"/>
    <w:rsid w:val="00516718"/>
    <w:rsid w:val="00516A0A"/>
    <w:rsid w:val="00516F00"/>
    <w:rsid w:val="00517394"/>
    <w:rsid w:val="00517757"/>
    <w:rsid w:val="005177FA"/>
    <w:rsid w:val="00517C3A"/>
    <w:rsid w:val="005208AE"/>
    <w:rsid w:val="00520958"/>
    <w:rsid w:val="005209C2"/>
    <w:rsid w:val="00520DCD"/>
    <w:rsid w:val="0052140F"/>
    <w:rsid w:val="00521951"/>
    <w:rsid w:val="005219B3"/>
    <w:rsid w:val="00521BD8"/>
    <w:rsid w:val="00521FEA"/>
    <w:rsid w:val="0052228B"/>
    <w:rsid w:val="0052247B"/>
    <w:rsid w:val="0052271B"/>
    <w:rsid w:val="00522BA4"/>
    <w:rsid w:val="00522BAD"/>
    <w:rsid w:val="00522EAE"/>
    <w:rsid w:val="00522FDC"/>
    <w:rsid w:val="005233F2"/>
    <w:rsid w:val="00523860"/>
    <w:rsid w:val="005238C0"/>
    <w:rsid w:val="00523A3B"/>
    <w:rsid w:val="00523BD5"/>
    <w:rsid w:val="00523DCF"/>
    <w:rsid w:val="0052450C"/>
    <w:rsid w:val="0052470A"/>
    <w:rsid w:val="005248D0"/>
    <w:rsid w:val="00524DDC"/>
    <w:rsid w:val="00525539"/>
    <w:rsid w:val="00525965"/>
    <w:rsid w:val="00525BCB"/>
    <w:rsid w:val="00525ECA"/>
    <w:rsid w:val="00526165"/>
    <w:rsid w:val="00526535"/>
    <w:rsid w:val="00526971"/>
    <w:rsid w:val="00526A20"/>
    <w:rsid w:val="00526AF1"/>
    <w:rsid w:val="00526D97"/>
    <w:rsid w:val="0052718A"/>
    <w:rsid w:val="00527341"/>
    <w:rsid w:val="005277D6"/>
    <w:rsid w:val="00527935"/>
    <w:rsid w:val="00527B92"/>
    <w:rsid w:val="00527DAF"/>
    <w:rsid w:val="00527DFC"/>
    <w:rsid w:val="00527DFE"/>
    <w:rsid w:val="0053004F"/>
    <w:rsid w:val="00530067"/>
    <w:rsid w:val="00530175"/>
    <w:rsid w:val="00530248"/>
    <w:rsid w:val="00530483"/>
    <w:rsid w:val="005309B5"/>
    <w:rsid w:val="005309CC"/>
    <w:rsid w:val="00530BE3"/>
    <w:rsid w:val="00530DFE"/>
    <w:rsid w:val="005311BF"/>
    <w:rsid w:val="005312EA"/>
    <w:rsid w:val="00531CFB"/>
    <w:rsid w:val="00532A59"/>
    <w:rsid w:val="00533147"/>
    <w:rsid w:val="005332C2"/>
    <w:rsid w:val="00533C0F"/>
    <w:rsid w:val="00533D40"/>
    <w:rsid w:val="005345CB"/>
    <w:rsid w:val="00534773"/>
    <w:rsid w:val="00534893"/>
    <w:rsid w:val="00534B30"/>
    <w:rsid w:val="00534E03"/>
    <w:rsid w:val="0053556B"/>
    <w:rsid w:val="00535A9E"/>
    <w:rsid w:val="00535D3C"/>
    <w:rsid w:val="00535F10"/>
    <w:rsid w:val="00535F47"/>
    <w:rsid w:val="00535F82"/>
    <w:rsid w:val="00536009"/>
    <w:rsid w:val="005360A1"/>
    <w:rsid w:val="005367C0"/>
    <w:rsid w:val="005369E4"/>
    <w:rsid w:val="005372EA"/>
    <w:rsid w:val="005376BD"/>
    <w:rsid w:val="005376EF"/>
    <w:rsid w:val="005378C8"/>
    <w:rsid w:val="00537D97"/>
    <w:rsid w:val="00537DBA"/>
    <w:rsid w:val="0054008C"/>
    <w:rsid w:val="00540626"/>
    <w:rsid w:val="00540651"/>
    <w:rsid w:val="0054065E"/>
    <w:rsid w:val="005407E5"/>
    <w:rsid w:val="00540803"/>
    <w:rsid w:val="00540812"/>
    <w:rsid w:val="00540AA8"/>
    <w:rsid w:val="0054115A"/>
    <w:rsid w:val="00541497"/>
    <w:rsid w:val="0054167D"/>
    <w:rsid w:val="00542005"/>
    <w:rsid w:val="00542147"/>
    <w:rsid w:val="005432D9"/>
    <w:rsid w:val="00543777"/>
    <w:rsid w:val="00543972"/>
    <w:rsid w:val="00543C02"/>
    <w:rsid w:val="00543D8D"/>
    <w:rsid w:val="00543EE5"/>
    <w:rsid w:val="00543F3A"/>
    <w:rsid w:val="0054407D"/>
    <w:rsid w:val="005441B2"/>
    <w:rsid w:val="00544322"/>
    <w:rsid w:val="0054490D"/>
    <w:rsid w:val="00544D18"/>
    <w:rsid w:val="0054500A"/>
    <w:rsid w:val="0054505B"/>
    <w:rsid w:val="00545B7E"/>
    <w:rsid w:val="00545EAB"/>
    <w:rsid w:val="00546181"/>
    <w:rsid w:val="00546351"/>
    <w:rsid w:val="005464E0"/>
    <w:rsid w:val="00546551"/>
    <w:rsid w:val="0054662D"/>
    <w:rsid w:val="00546835"/>
    <w:rsid w:val="00546A79"/>
    <w:rsid w:val="00546B82"/>
    <w:rsid w:val="00547163"/>
    <w:rsid w:val="005476CD"/>
    <w:rsid w:val="0054785D"/>
    <w:rsid w:val="0054795A"/>
    <w:rsid w:val="00547A46"/>
    <w:rsid w:val="00547B52"/>
    <w:rsid w:val="00547DBD"/>
    <w:rsid w:val="00547EA2"/>
    <w:rsid w:val="005501AA"/>
    <w:rsid w:val="00550264"/>
    <w:rsid w:val="005507EA"/>
    <w:rsid w:val="00550DA9"/>
    <w:rsid w:val="0055107D"/>
    <w:rsid w:val="00551787"/>
    <w:rsid w:val="005518C0"/>
    <w:rsid w:val="00551ED6"/>
    <w:rsid w:val="005520FE"/>
    <w:rsid w:val="0055211C"/>
    <w:rsid w:val="00552401"/>
    <w:rsid w:val="00552527"/>
    <w:rsid w:val="00552735"/>
    <w:rsid w:val="0055277D"/>
    <w:rsid w:val="00552BD5"/>
    <w:rsid w:val="00553017"/>
    <w:rsid w:val="005531D5"/>
    <w:rsid w:val="0055364A"/>
    <w:rsid w:val="0055401C"/>
    <w:rsid w:val="00554027"/>
    <w:rsid w:val="0055441F"/>
    <w:rsid w:val="005545EB"/>
    <w:rsid w:val="0055465C"/>
    <w:rsid w:val="0055509C"/>
    <w:rsid w:val="00555D13"/>
    <w:rsid w:val="00555D19"/>
    <w:rsid w:val="00555F03"/>
    <w:rsid w:val="00555F3E"/>
    <w:rsid w:val="00556041"/>
    <w:rsid w:val="005570F9"/>
    <w:rsid w:val="005570FF"/>
    <w:rsid w:val="0055712F"/>
    <w:rsid w:val="00557154"/>
    <w:rsid w:val="00557F75"/>
    <w:rsid w:val="00560253"/>
    <w:rsid w:val="005604FD"/>
    <w:rsid w:val="005608CE"/>
    <w:rsid w:val="005619D5"/>
    <w:rsid w:val="00561A32"/>
    <w:rsid w:val="0056232F"/>
    <w:rsid w:val="00562343"/>
    <w:rsid w:val="005623E7"/>
    <w:rsid w:val="0056305C"/>
    <w:rsid w:val="00563094"/>
    <w:rsid w:val="00563226"/>
    <w:rsid w:val="00563361"/>
    <w:rsid w:val="005633FD"/>
    <w:rsid w:val="0056345F"/>
    <w:rsid w:val="00563800"/>
    <w:rsid w:val="00563FED"/>
    <w:rsid w:val="00564196"/>
    <w:rsid w:val="00564517"/>
    <w:rsid w:val="0056458C"/>
    <w:rsid w:val="00564678"/>
    <w:rsid w:val="00564738"/>
    <w:rsid w:val="00565077"/>
    <w:rsid w:val="005651A4"/>
    <w:rsid w:val="005654F2"/>
    <w:rsid w:val="00565669"/>
    <w:rsid w:val="0056598C"/>
    <w:rsid w:val="0056618D"/>
    <w:rsid w:val="005671DB"/>
    <w:rsid w:val="005672D0"/>
    <w:rsid w:val="00567367"/>
    <w:rsid w:val="00567589"/>
    <w:rsid w:val="005676B2"/>
    <w:rsid w:val="00567842"/>
    <w:rsid w:val="00567AD2"/>
    <w:rsid w:val="00567FDF"/>
    <w:rsid w:val="00570253"/>
    <w:rsid w:val="0057052B"/>
    <w:rsid w:val="005710B8"/>
    <w:rsid w:val="00571201"/>
    <w:rsid w:val="00571320"/>
    <w:rsid w:val="0057132C"/>
    <w:rsid w:val="005714B8"/>
    <w:rsid w:val="005720A4"/>
    <w:rsid w:val="00572576"/>
    <w:rsid w:val="00572E26"/>
    <w:rsid w:val="005733B8"/>
    <w:rsid w:val="005733C1"/>
    <w:rsid w:val="00573536"/>
    <w:rsid w:val="005737EE"/>
    <w:rsid w:val="00573CB7"/>
    <w:rsid w:val="00574162"/>
    <w:rsid w:val="00574DFB"/>
    <w:rsid w:val="00574EAE"/>
    <w:rsid w:val="005756DB"/>
    <w:rsid w:val="00575AE5"/>
    <w:rsid w:val="00575B8E"/>
    <w:rsid w:val="00575F81"/>
    <w:rsid w:val="005764BB"/>
    <w:rsid w:val="00576F2A"/>
    <w:rsid w:val="005772E0"/>
    <w:rsid w:val="005772F4"/>
    <w:rsid w:val="0057736A"/>
    <w:rsid w:val="005773D9"/>
    <w:rsid w:val="005773FF"/>
    <w:rsid w:val="0057796D"/>
    <w:rsid w:val="00577B48"/>
    <w:rsid w:val="00577E59"/>
    <w:rsid w:val="00577EE8"/>
    <w:rsid w:val="00577F57"/>
    <w:rsid w:val="005801DC"/>
    <w:rsid w:val="005804F1"/>
    <w:rsid w:val="005807A9"/>
    <w:rsid w:val="0058085A"/>
    <w:rsid w:val="00580BCB"/>
    <w:rsid w:val="00581072"/>
    <w:rsid w:val="00581396"/>
    <w:rsid w:val="005819C0"/>
    <w:rsid w:val="00581D5F"/>
    <w:rsid w:val="00581E06"/>
    <w:rsid w:val="00581E91"/>
    <w:rsid w:val="005826CC"/>
    <w:rsid w:val="00582AC5"/>
    <w:rsid w:val="00582B88"/>
    <w:rsid w:val="00582C32"/>
    <w:rsid w:val="00582E48"/>
    <w:rsid w:val="00582F1E"/>
    <w:rsid w:val="005830C1"/>
    <w:rsid w:val="00583759"/>
    <w:rsid w:val="005838EA"/>
    <w:rsid w:val="00583DA7"/>
    <w:rsid w:val="00583F8F"/>
    <w:rsid w:val="005842BD"/>
    <w:rsid w:val="00584683"/>
    <w:rsid w:val="005847CD"/>
    <w:rsid w:val="00584A8D"/>
    <w:rsid w:val="00584C04"/>
    <w:rsid w:val="00585009"/>
    <w:rsid w:val="0058534B"/>
    <w:rsid w:val="00585DC3"/>
    <w:rsid w:val="00586086"/>
    <w:rsid w:val="00586324"/>
    <w:rsid w:val="0058634D"/>
    <w:rsid w:val="005865EC"/>
    <w:rsid w:val="005865FA"/>
    <w:rsid w:val="0058673E"/>
    <w:rsid w:val="00586EF5"/>
    <w:rsid w:val="00586FFC"/>
    <w:rsid w:val="005871BA"/>
    <w:rsid w:val="0058721E"/>
    <w:rsid w:val="00587450"/>
    <w:rsid w:val="00587505"/>
    <w:rsid w:val="005876D2"/>
    <w:rsid w:val="005877D0"/>
    <w:rsid w:val="0058786B"/>
    <w:rsid w:val="0059075D"/>
    <w:rsid w:val="0059096E"/>
    <w:rsid w:val="00590A1B"/>
    <w:rsid w:val="005910F1"/>
    <w:rsid w:val="00591139"/>
    <w:rsid w:val="005911AD"/>
    <w:rsid w:val="00591673"/>
    <w:rsid w:val="00591724"/>
    <w:rsid w:val="00591D3E"/>
    <w:rsid w:val="0059213D"/>
    <w:rsid w:val="00592DB7"/>
    <w:rsid w:val="005935ED"/>
    <w:rsid w:val="005935EE"/>
    <w:rsid w:val="0059400F"/>
    <w:rsid w:val="00594170"/>
    <w:rsid w:val="00594203"/>
    <w:rsid w:val="005945F2"/>
    <w:rsid w:val="005948E4"/>
    <w:rsid w:val="00594A68"/>
    <w:rsid w:val="00594AA5"/>
    <w:rsid w:val="00594F72"/>
    <w:rsid w:val="00594F96"/>
    <w:rsid w:val="005950D9"/>
    <w:rsid w:val="005951D1"/>
    <w:rsid w:val="0059546B"/>
    <w:rsid w:val="0059600E"/>
    <w:rsid w:val="00596323"/>
    <w:rsid w:val="005964A4"/>
    <w:rsid w:val="005967F7"/>
    <w:rsid w:val="005968AA"/>
    <w:rsid w:val="00596D25"/>
    <w:rsid w:val="0059766C"/>
    <w:rsid w:val="0059772A"/>
    <w:rsid w:val="005977D7"/>
    <w:rsid w:val="005979E9"/>
    <w:rsid w:val="00597C6F"/>
    <w:rsid w:val="005A08DD"/>
    <w:rsid w:val="005A0CCD"/>
    <w:rsid w:val="005A0CEC"/>
    <w:rsid w:val="005A0D71"/>
    <w:rsid w:val="005A106F"/>
    <w:rsid w:val="005A12FD"/>
    <w:rsid w:val="005A1809"/>
    <w:rsid w:val="005A1B66"/>
    <w:rsid w:val="005A1D0F"/>
    <w:rsid w:val="005A1F1C"/>
    <w:rsid w:val="005A23AF"/>
    <w:rsid w:val="005A2543"/>
    <w:rsid w:val="005A2634"/>
    <w:rsid w:val="005A2690"/>
    <w:rsid w:val="005A2A9E"/>
    <w:rsid w:val="005A2C5C"/>
    <w:rsid w:val="005A2D0D"/>
    <w:rsid w:val="005A3347"/>
    <w:rsid w:val="005A35CE"/>
    <w:rsid w:val="005A37C2"/>
    <w:rsid w:val="005A3825"/>
    <w:rsid w:val="005A3EE7"/>
    <w:rsid w:val="005A3F22"/>
    <w:rsid w:val="005A3FF1"/>
    <w:rsid w:val="005A40A6"/>
    <w:rsid w:val="005A47DC"/>
    <w:rsid w:val="005A4916"/>
    <w:rsid w:val="005A4AD2"/>
    <w:rsid w:val="005A4D42"/>
    <w:rsid w:val="005A519C"/>
    <w:rsid w:val="005A53BD"/>
    <w:rsid w:val="005A57ED"/>
    <w:rsid w:val="005A5B57"/>
    <w:rsid w:val="005A5DBD"/>
    <w:rsid w:val="005A6537"/>
    <w:rsid w:val="005A65C5"/>
    <w:rsid w:val="005A6876"/>
    <w:rsid w:val="005A69CC"/>
    <w:rsid w:val="005A6AD0"/>
    <w:rsid w:val="005A7156"/>
    <w:rsid w:val="005A72E3"/>
    <w:rsid w:val="005A7688"/>
    <w:rsid w:val="005A76A7"/>
    <w:rsid w:val="005A7C28"/>
    <w:rsid w:val="005A7C65"/>
    <w:rsid w:val="005A7CE6"/>
    <w:rsid w:val="005A7DEF"/>
    <w:rsid w:val="005B02D3"/>
    <w:rsid w:val="005B0397"/>
    <w:rsid w:val="005B0BCA"/>
    <w:rsid w:val="005B0E4E"/>
    <w:rsid w:val="005B0ECC"/>
    <w:rsid w:val="005B0F3D"/>
    <w:rsid w:val="005B107F"/>
    <w:rsid w:val="005B133F"/>
    <w:rsid w:val="005B1450"/>
    <w:rsid w:val="005B14A9"/>
    <w:rsid w:val="005B1EE5"/>
    <w:rsid w:val="005B244D"/>
    <w:rsid w:val="005B278D"/>
    <w:rsid w:val="005B2C43"/>
    <w:rsid w:val="005B32AF"/>
    <w:rsid w:val="005B330A"/>
    <w:rsid w:val="005B365E"/>
    <w:rsid w:val="005B418B"/>
    <w:rsid w:val="005B469D"/>
    <w:rsid w:val="005B498E"/>
    <w:rsid w:val="005B4A4F"/>
    <w:rsid w:val="005B4F2D"/>
    <w:rsid w:val="005B5481"/>
    <w:rsid w:val="005B54F0"/>
    <w:rsid w:val="005B6218"/>
    <w:rsid w:val="005B6703"/>
    <w:rsid w:val="005B6ACB"/>
    <w:rsid w:val="005B6B7C"/>
    <w:rsid w:val="005B6E5F"/>
    <w:rsid w:val="005B6F99"/>
    <w:rsid w:val="005B70FE"/>
    <w:rsid w:val="005B7817"/>
    <w:rsid w:val="005B7871"/>
    <w:rsid w:val="005C0BA3"/>
    <w:rsid w:val="005C0C91"/>
    <w:rsid w:val="005C0CAB"/>
    <w:rsid w:val="005C0EAB"/>
    <w:rsid w:val="005C119B"/>
    <w:rsid w:val="005C1655"/>
    <w:rsid w:val="005C21B7"/>
    <w:rsid w:val="005C247D"/>
    <w:rsid w:val="005C2A9B"/>
    <w:rsid w:val="005C3115"/>
    <w:rsid w:val="005C37B2"/>
    <w:rsid w:val="005C3812"/>
    <w:rsid w:val="005C381B"/>
    <w:rsid w:val="005C3E3F"/>
    <w:rsid w:val="005C3FD6"/>
    <w:rsid w:val="005C4345"/>
    <w:rsid w:val="005C43FD"/>
    <w:rsid w:val="005C4C1A"/>
    <w:rsid w:val="005C4FFD"/>
    <w:rsid w:val="005C5359"/>
    <w:rsid w:val="005C539D"/>
    <w:rsid w:val="005C5694"/>
    <w:rsid w:val="005C5BBE"/>
    <w:rsid w:val="005C5E1E"/>
    <w:rsid w:val="005C6114"/>
    <w:rsid w:val="005C64B0"/>
    <w:rsid w:val="005C6508"/>
    <w:rsid w:val="005C6E9A"/>
    <w:rsid w:val="005C7414"/>
    <w:rsid w:val="005C74F4"/>
    <w:rsid w:val="005C76DE"/>
    <w:rsid w:val="005C7982"/>
    <w:rsid w:val="005C7CFA"/>
    <w:rsid w:val="005D01E7"/>
    <w:rsid w:val="005D05C9"/>
    <w:rsid w:val="005D0B78"/>
    <w:rsid w:val="005D0B87"/>
    <w:rsid w:val="005D0BCE"/>
    <w:rsid w:val="005D0DF7"/>
    <w:rsid w:val="005D1094"/>
    <w:rsid w:val="005D1E8C"/>
    <w:rsid w:val="005D22C1"/>
    <w:rsid w:val="005D2516"/>
    <w:rsid w:val="005D29D0"/>
    <w:rsid w:val="005D2A77"/>
    <w:rsid w:val="005D2BB2"/>
    <w:rsid w:val="005D2CD4"/>
    <w:rsid w:val="005D301D"/>
    <w:rsid w:val="005D3110"/>
    <w:rsid w:val="005D33E5"/>
    <w:rsid w:val="005D39B9"/>
    <w:rsid w:val="005D3D6E"/>
    <w:rsid w:val="005D3E32"/>
    <w:rsid w:val="005D3FBC"/>
    <w:rsid w:val="005D441D"/>
    <w:rsid w:val="005D4714"/>
    <w:rsid w:val="005D4B52"/>
    <w:rsid w:val="005D5989"/>
    <w:rsid w:val="005D5C51"/>
    <w:rsid w:val="005D5CB6"/>
    <w:rsid w:val="005D6139"/>
    <w:rsid w:val="005D6EE5"/>
    <w:rsid w:val="005D7381"/>
    <w:rsid w:val="005D7650"/>
    <w:rsid w:val="005E02D7"/>
    <w:rsid w:val="005E061A"/>
    <w:rsid w:val="005E07E0"/>
    <w:rsid w:val="005E0858"/>
    <w:rsid w:val="005E0BC2"/>
    <w:rsid w:val="005E0E78"/>
    <w:rsid w:val="005E121E"/>
    <w:rsid w:val="005E1291"/>
    <w:rsid w:val="005E1585"/>
    <w:rsid w:val="005E165A"/>
    <w:rsid w:val="005E16CF"/>
    <w:rsid w:val="005E172A"/>
    <w:rsid w:val="005E1BCA"/>
    <w:rsid w:val="005E1D15"/>
    <w:rsid w:val="005E20CF"/>
    <w:rsid w:val="005E214C"/>
    <w:rsid w:val="005E27AD"/>
    <w:rsid w:val="005E3053"/>
    <w:rsid w:val="005E31B6"/>
    <w:rsid w:val="005E31BB"/>
    <w:rsid w:val="005E3ABF"/>
    <w:rsid w:val="005E3D2A"/>
    <w:rsid w:val="005E410A"/>
    <w:rsid w:val="005E43D2"/>
    <w:rsid w:val="005E465F"/>
    <w:rsid w:val="005E4666"/>
    <w:rsid w:val="005E47FF"/>
    <w:rsid w:val="005E4869"/>
    <w:rsid w:val="005E4972"/>
    <w:rsid w:val="005E49BA"/>
    <w:rsid w:val="005E4D3D"/>
    <w:rsid w:val="005E4E07"/>
    <w:rsid w:val="005E50F1"/>
    <w:rsid w:val="005E5191"/>
    <w:rsid w:val="005E519E"/>
    <w:rsid w:val="005E51B5"/>
    <w:rsid w:val="005E5398"/>
    <w:rsid w:val="005E54E9"/>
    <w:rsid w:val="005E54FC"/>
    <w:rsid w:val="005E59BE"/>
    <w:rsid w:val="005E5B08"/>
    <w:rsid w:val="005E5BD6"/>
    <w:rsid w:val="005E6281"/>
    <w:rsid w:val="005E645C"/>
    <w:rsid w:val="005E679B"/>
    <w:rsid w:val="005E6AC1"/>
    <w:rsid w:val="005E7E09"/>
    <w:rsid w:val="005F00A4"/>
    <w:rsid w:val="005F078D"/>
    <w:rsid w:val="005F0C10"/>
    <w:rsid w:val="005F171A"/>
    <w:rsid w:val="005F1A55"/>
    <w:rsid w:val="005F1B98"/>
    <w:rsid w:val="005F1BF3"/>
    <w:rsid w:val="005F2018"/>
    <w:rsid w:val="005F22F6"/>
    <w:rsid w:val="005F2797"/>
    <w:rsid w:val="005F27C1"/>
    <w:rsid w:val="005F28EC"/>
    <w:rsid w:val="005F2925"/>
    <w:rsid w:val="005F29C9"/>
    <w:rsid w:val="005F2DD5"/>
    <w:rsid w:val="005F2FA5"/>
    <w:rsid w:val="005F316D"/>
    <w:rsid w:val="005F3809"/>
    <w:rsid w:val="005F3864"/>
    <w:rsid w:val="005F3A13"/>
    <w:rsid w:val="005F3DD6"/>
    <w:rsid w:val="005F3E9B"/>
    <w:rsid w:val="005F411B"/>
    <w:rsid w:val="005F42F7"/>
    <w:rsid w:val="005F4B8C"/>
    <w:rsid w:val="005F4BC1"/>
    <w:rsid w:val="005F4F43"/>
    <w:rsid w:val="005F4FB2"/>
    <w:rsid w:val="005F5333"/>
    <w:rsid w:val="005F5491"/>
    <w:rsid w:val="005F5ABF"/>
    <w:rsid w:val="005F5F88"/>
    <w:rsid w:val="005F6A79"/>
    <w:rsid w:val="005F6BCA"/>
    <w:rsid w:val="005F6CBD"/>
    <w:rsid w:val="005F6EB8"/>
    <w:rsid w:val="005F71E1"/>
    <w:rsid w:val="005F721E"/>
    <w:rsid w:val="005F7BDC"/>
    <w:rsid w:val="005F7D67"/>
    <w:rsid w:val="00600018"/>
    <w:rsid w:val="0060006A"/>
    <w:rsid w:val="0060007C"/>
    <w:rsid w:val="006000E3"/>
    <w:rsid w:val="006004E7"/>
    <w:rsid w:val="00600814"/>
    <w:rsid w:val="00600846"/>
    <w:rsid w:val="006009E3"/>
    <w:rsid w:val="00600B55"/>
    <w:rsid w:val="0060108D"/>
    <w:rsid w:val="006013D1"/>
    <w:rsid w:val="006019AA"/>
    <w:rsid w:val="00601A1B"/>
    <w:rsid w:val="00601B5D"/>
    <w:rsid w:val="00601D34"/>
    <w:rsid w:val="00601DD1"/>
    <w:rsid w:val="00602E49"/>
    <w:rsid w:val="00602FEA"/>
    <w:rsid w:val="00602FFF"/>
    <w:rsid w:val="006033F6"/>
    <w:rsid w:val="0060347F"/>
    <w:rsid w:val="006037A3"/>
    <w:rsid w:val="00603EDC"/>
    <w:rsid w:val="0060471D"/>
    <w:rsid w:val="00604979"/>
    <w:rsid w:val="00604A2B"/>
    <w:rsid w:val="00604E13"/>
    <w:rsid w:val="00605063"/>
    <w:rsid w:val="00605268"/>
    <w:rsid w:val="006052BE"/>
    <w:rsid w:val="00605C45"/>
    <w:rsid w:val="00605FC0"/>
    <w:rsid w:val="006062CF"/>
    <w:rsid w:val="00606381"/>
    <w:rsid w:val="006064C2"/>
    <w:rsid w:val="0060697F"/>
    <w:rsid w:val="00606A10"/>
    <w:rsid w:val="00607045"/>
    <w:rsid w:val="0060727D"/>
    <w:rsid w:val="006074D2"/>
    <w:rsid w:val="00607C80"/>
    <w:rsid w:val="00607E83"/>
    <w:rsid w:val="00610858"/>
    <w:rsid w:val="00610BB4"/>
    <w:rsid w:val="00610F56"/>
    <w:rsid w:val="006111AC"/>
    <w:rsid w:val="006112C0"/>
    <w:rsid w:val="0061130B"/>
    <w:rsid w:val="006117B5"/>
    <w:rsid w:val="006119E1"/>
    <w:rsid w:val="00611A15"/>
    <w:rsid w:val="00611AFA"/>
    <w:rsid w:val="0061211A"/>
    <w:rsid w:val="006127B5"/>
    <w:rsid w:val="00612D08"/>
    <w:rsid w:val="00612D93"/>
    <w:rsid w:val="00612DB7"/>
    <w:rsid w:val="00612FB2"/>
    <w:rsid w:val="00613071"/>
    <w:rsid w:val="0061319B"/>
    <w:rsid w:val="00613B2A"/>
    <w:rsid w:val="00613C5A"/>
    <w:rsid w:val="00614C9F"/>
    <w:rsid w:val="00615054"/>
    <w:rsid w:val="006161AB"/>
    <w:rsid w:val="0061629F"/>
    <w:rsid w:val="0061651E"/>
    <w:rsid w:val="00616BA6"/>
    <w:rsid w:val="00617271"/>
    <w:rsid w:val="006172BB"/>
    <w:rsid w:val="00617625"/>
    <w:rsid w:val="00617673"/>
    <w:rsid w:val="006176F4"/>
    <w:rsid w:val="00620A1F"/>
    <w:rsid w:val="00620C2A"/>
    <w:rsid w:val="00620EEB"/>
    <w:rsid w:val="00620F5B"/>
    <w:rsid w:val="0062124D"/>
    <w:rsid w:val="0062126D"/>
    <w:rsid w:val="006215B0"/>
    <w:rsid w:val="00621A43"/>
    <w:rsid w:val="00621AA4"/>
    <w:rsid w:val="00621C14"/>
    <w:rsid w:val="00621E00"/>
    <w:rsid w:val="00621E5A"/>
    <w:rsid w:val="006224A4"/>
    <w:rsid w:val="006224FD"/>
    <w:rsid w:val="00622C09"/>
    <w:rsid w:val="0062364C"/>
    <w:rsid w:val="006237E5"/>
    <w:rsid w:val="0062391D"/>
    <w:rsid w:val="00623CE2"/>
    <w:rsid w:val="00623DBC"/>
    <w:rsid w:val="00623E76"/>
    <w:rsid w:val="00623FE1"/>
    <w:rsid w:val="00624A71"/>
    <w:rsid w:val="00624C30"/>
    <w:rsid w:val="00624DC6"/>
    <w:rsid w:val="00624E39"/>
    <w:rsid w:val="00625112"/>
    <w:rsid w:val="0062523A"/>
    <w:rsid w:val="00625274"/>
    <w:rsid w:val="0062536A"/>
    <w:rsid w:val="006254E1"/>
    <w:rsid w:val="006255B3"/>
    <w:rsid w:val="006258E6"/>
    <w:rsid w:val="00625CDA"/>
    <w:rsid w:val="006265A1"/>
    <w:rsid w:val="00627157"/>
    <w:rsid w:val="00627305"/>
    <w:rsid w:val="00627412"/>
    <w:rsid w:val="006274FC"/>
    <w:rsid w:val="00627572"/>
    <w:rsid w:val="006276C7"/>
    <w:rsid w:val="00627BB9"/>
    <w:rsid w:val="006300AA"/>
    <w:rsid w:val="006301DD"/>
    <w:rsid w:val="00630914"/>
    <w:rsid w:val="00630A31"/>
    <w:rsid w:val="006310FB"/>
    <w:rsid w:val="0063134F"/>
    <w:rsid w:val="006313B2"/>
    <w:rsid w:val="006315B9"/>
    <w:rsid w:val="006319D0"/>
    <w:rsid w:val="006321D6"/>
    <w:rsid w:val="00632F98"/>
    <w:rsid w:val="006338FF"/>
    <w:rsid w:val="00633A10"/>
    <w:rsid w:val="00633D00"/>
    <w:rsid w:val="00633DBD"/>
    <w:rsid w:val="0063426C"/>
    <w:rsid w:val="0063452C"/>
    <w:rsid w:val="006346DF"/>
    <w:rsid w:val="00634CA7"/>
    <w:rsid w:val="00635098"/>
    <w:rsid w:val="006350F4"/>
    <w:rsid w:val="006355FC"/>
    <w:rsid w:val="00635EB9"/>
    <w:rsid w:val="006361A0"/>
    <w:rsid w:val="00636358"/>
    <w:rsid w:val="006363F9"/>
    <w:rsid w:val="00636661"/>
    <w:rsid w:val="0063668E"/>
    <w:rsid w:val="006372A4"/>
    <w:rsid w:val="0063730E"/>
    <w:rsid w:val="0063739A"/>
    <w:rsid w:val="0063750A"/>
    <w:rsid w:val="00637532"/>
    <w:rsid w:val="00637934"/>
    <w:rsid w:val="006379D3"/>
    <w:rsid w:val="00637A2F"/>
    <w:rsid w:val="00637E3D"/>
    <w:rsid w:val="00637F92"/>
    <w:rsid w:val="00640115"/>
    <w:rsid w:val="0064020A"/>
    <w:rsid w:val="00640643"/>
    <w:rsid w:val="0064097C"/>
    <w:rsid w:val="00640EF0"/>
    <w:rsid w:val="0064107C"/>
    <w:rsid w:val="0064132E"/>
    <w:rsid w:val="00641832"/>
    <w:rsid w:val="0064195A"/>
    <w:rsid w:val="00641C68"/>
    <w:rsid w:val="0064295E"/>
    <w:rsid w:val="00642DE2"/>
    <w:rsid w:val="00642F91"/>
    <w:rsid w:val="00642F9D"/>
    <w:rsid w:val="00643070"/>
    <w:rsid w:val="00643586"/>
    <w:rsid w:val="006437C2"/>
    <w:rsid w:val="00643857"/>
    <w:rsid w:val="00643902"/>
    <w:rsid w:val="00643AE1"/>
    <w:rsid w:val="00643D57"/>
    <w:rsid w:val="00643F61"/>
    <w:rsid w:val="006446FF"/>
    <w:rsid w:val="00644D60"/>
    <w:rsid w:val="00644E27"/>
    <w:rsid w:val="00644EB9"/>
    <w:rsid w:val="00644EC8"/>
    <w:rsid w:val="00644F80"/>
    <w:rsid w:val="006455BA"/>
    <w:rsid w:val="00645AF2"/>
    <w:rsid w:val="00645EDB"/>
    <w:rsid w:val="00646080"/>
    <w:rsid w:val="006462D1"/>
    <w:rsid w:val="00646886"/>
    <w:rsid w:val="0064695D"/>
    <w:rsid w:val="00646B21"/>
    <w:rsid w:val="00646CB2"/>
    <w:rsid w:val="00646EB9"/>
    <w:rsid w:val="006470E7"/>
    <w:rsid w:val="006473A6"/>
    <w:rsid w:val="006474D3"/>
    <w:rsid w:val="00647E60"/>
    <w:rsid w:val="0065010A"/>
    <w:rsid w:val="006503A2"/>
    <w:rsid w:val="00650E5C"/>
    <w:rsid w:val="00651474"/>
    <w:rsid w:val="006515B2"/>
    <w:rsid w:val="006516BC"/>
    <w:rsid w:val="00651838"/>
    <w:rsid w:val="00651C0D"/>
    <w:rsid w:val="00651C4B"/>
    <w:rsid w:val="00651D0E"/>
    <w:rsid w:val="00651F86"/>
    <w:rsid w:val="00651F91"/>
    <w:rsid w:val="00652204"/>
    <w:rsid w:val="006523F4"/>
    <w:rsid w:val="006525D2"/>
    <w:rsid w:val="00652AA2"/>
    <w:rsid w:val="00652C0F"/>
    <w:rsid w:val="00652D6D"/>
    <w:rsid w:val="006536FD"/>
    <w:rsid w:val="00653C41"/>
    <w:rsid w:val="00653D22"/>
    <w:rsid w:val="006544EF"/>
    <w:rsid w:val="00654563"/>
    <w:rsid w:val="0065497E"/>
    <w:rsid w:val="00654E0E"/>
    <w:rsid w:val="0065552C"/>
    <w:rsid w:val="0065554D"/>
    <w:rsid w:val="00655568"/>
    <w:rsid w:val="00655572"/>
    <w:rsid w:val="0065560E"/>
    <w:rsid w:val="00655622"/>
    <w:rsid w:val="006559DA"/>
    <w:rsid w:val="00655EEE"/>
    <w:rsid w:val="00655FAC"/>
    <w:rsid w:val="006562C2"/>
    <w:rsid w:val="00656678"/>
    <w:rsid w:val="00656859"/>
    <w:rsid w:val="00656B76"/>
    <w:rsid w:val="00656D40"/>
    <w:rsid w:val="00656D8D"/>
    <w:rsid w:val="00657009"/>
    <w:rsid w:val="006572AB"/>
    <w:rsid w:val="006574C6"/>
    <w:rsid w:val="00657557"/>
    <w:rsid w:val="00657F56"/>
    <w:rsid w:val="00657FDA"/>
    <w:rsid w:val="0066029B"/>
    <w:rsid w:val="006606B4"/>
    <w:rsid w:val="00660CE5"/>
    <w:rsid w:val="00661319"/>
    <w:rsid w:val="00662068"/>
    <w:rsid w:val="006626AF"/>
    <w:rsid w:val="006626EB"/>
    <w:rsid w:val="00662767"/>
    <w:rsid w:val="0066276E"/>
    <w:rsid w:val="00662D1A"/>
    <w:rsid w:val="00662D62"/>
    <w:rsid w:val="00662E36"/>
    <w:rsid w:val="00662F6E"/>
    <w:rsid w:val="00663458"/>
    <w:rsid w:val="006636A4"/>
    <w:rsid w:val="00663CC5"/>
    <w:rsid w:val="00663EB7"/>
    <w:rsid w:val="006640C9"/>
    <w:rsid w:val="006642B7"/>
    <w:rsid w:val="00664537"/>
    <w:rsid w:val="006648F6"/>
    <w:rsid w:val="00664930"/>
    <w:rsid w:val="006649D0"/>
    <w:rsid w:val="00664A06"/>
    <w:rsid w:val="00664CD7"/>
    <w:rsid w:val="00664ECE"/>
    <w:rsid w:val="006651B3"/>
    <w:rsid w:val="00665254"/>
    <w:rsid w:val="006653E1"/>
    <w:rsid w:val="00665528"/>
    <w:rsid w:val="0066556B"/>
    <w:rsid w:val="00665736"/>
    <w:rsid w:val="00666C3C"/>
    <w:rsid w:val="00666D73"/>
    <w:rsid w:val="00666DD1"/>
    <w:rsid w:val="00666FBB"/>
    <w:rsid w:val="00667648"/>
    <w:rsid w:val="00667671"/>
    <w:rsid w:val="00667F94"/>
    <w:rsid w:val="00667FDA"/>
    <w:rsid w:val="006700F7"/>
    <w:rsid w:val="006703F7"/>
    <w:rsid w:val="00670459"/>
    <w:rsid w:val="00670984"/>
    <w:rsid w:val="00670CE6"/>
    <w:rsid w:val="00670E90"/>
    <w:rsid w:val="0067155E"/>
    <w:rsid w:val="00671A25"/>
    <w:rsid w:val="00671B4F"/>
    <w:rsid w:val="00671E78"/>
    <w:rsid w:val="00672284"/>
    <w:rsid w:val="006722D6"/>
    <w:rsid w:val="00672844"/>
    <w:rsid w:val="00672A5D"/>
    <w:rsid w:val="00672CF0"/>
    <w:rsid w:val="00672E7C"/>
    <w:rsid w:val="00672F05"/>
    <w:rsid w:val="006734E3"/>
    <w:rsid w:val="00673533"/>
    <w:rsid w:val="0067371A"/>
    <w:rsid w:val="00673875"/>
    <w:rsid w:val="0067396D"/>
    <w:rsid w:val="00673ACF"/>
    <w:rsid w:val="00673C68"/>
    <w:rsid w:val="00674436"/>
    <w:rsid w:val="00674547"/>
    <w:rsid w:val="00674843"/>
    <w:rsid w:val="006748A5"/>
    <w:rsid w:val="00674ACA"/>
    <w:rsid w:val="00674C2A"/>
    <w:rsid w:val="00674C5D"/>
    <w:rsid w:val="006751E7"/>
    <w:rsid w:val="00675673"/>
    <w:rsid w:val="00675FC8"/>
    <w:rsid w:val="00675FD9"/>
    <w:rsid w:val="00676052"/>
    <w:rsid w:val="006761FA"/>
    <w:rsid w:val="006763B9"/>
    <w:rsid w:val="0067640B"/>
    <w:rsid w:val="006769BF"/>
    <w:rsid w:val="00676A44"/>
    <w:rsid w:val="00677005"/>
    <w:rsid w:val="00677277"/>
    <w:rsid w:val="006775EA"/>
    <w:rsid w:val="0067781F"/>
    <w:rsid w:val="006779A3"/>
    <w:rsid w:val="00677A70"/>
    <w:rsid w:val="0068055F"/>
    <w:rsid w:val="006805A3"/>
    <w:rsid w:val="006807CD"/>
    <w:rsid w:val="00680C9F"/>
    <w:rsid w:val="00680E3D"/>
    <w:rsid w:val="00680F4B"/>
    <w:rsid w:val="0068101A"/>
    <w:rsid w:val="006812C0"/>
    <w:rsid w:val="0068146A"/>
    <w:rsid w:val="00681529"/>
    <w:rsid w:val="00681933"/>
    <w:rsid w:val="00681D41"/>
    <w:rsid w:val="00682453"/>
    <w:rsid w:val="00682697"/>
    <w:rsid w:val="00682719"/>
    <w:rsid w:val="006827D0"/>
    <w:rsid w:val="006828FD"/>
    <w:rsid w:val="006829E6"/>
    <w:rsid w:val="00683372"/>
    <w:rsid w:val="00683947"/>
    <w:rsid w:val="006839C9"/>
    <w:rsid w:val="00683AC9"/>
    <w:rsid w:val="00683B73"/>
    <w:rsid w:val="00683D09"/>
    <w:rsid w:val="00683FB2"/>
    <w:rsid w:val="00683FBE"/>
    <w:rsid w:val="0068417E"/>
    <w:rsid w:val="0068431E"/>
    <w:rsid w:val="006843BA"/>
    <w:rsid w:val="006846AF"/>
    <w:rsid w:val="006847F7"/>
    <w:rsid w:val="00684D06"/>
    <w:rsid w:val="00684FC7"/>
    <w:rsid w:val="006850C6"/>
    <w:rsid w:val="0068516B"/>
    <w:rsid w:val="006852CE"/>
    <w:rsid w:val="0068564C"/>
    <w:rsid w:val="00685EEC"/>
    <w:rsid w:val="00685F11"/>
    <w:rsid w:val="00685FF2"/>
    <w:rsid w:val="006865CA"/>
    <w:rsid w:val="00686F34"/>
    <w:rsid w:val="00687386"/>
    <w:rsid w:val="006873E3"/>
    <w:rsid w:val="006873E5"/>
    <w:rsid w:val="00687985"/>
    <w:rsid w:val="00687A07"/>
    <w:rsid w:val="00687A9B"/>
    <w:rsid w:val="006902CC"/>
    <w:rsid w:val="00690370"/>
    <w:rsid w:val="00690456"/>
    <w:rsid w:val="00690575"/>
    <w:rsid w:val="006906DB"/>
    <w:rsid w:val="006908DB"/>
    <w:rsid w:val="006911FE"/>
    <w:rsid w:val="006912B5"/>
    <w:rsid w:val="006912D6"/>
    <w:rsid w:val="0069137D"/>
    <w:rsid w:val="006913AA"/>
    <w:rsid w:val="0069179B"/>
    <w:rsid w:val="006918AA"/>
    <w:rsid w:val="00691917"/>
    <w:rsid w:val="00691AF0"/>
    <w:rsid w:val="00691B27"/>
    <w:rsid w:val="00691FED"/>
    <w:rsid w:val="006925DD"/>
    <w:rsid w:val="00693108"/>
    <w:rsid w:val="00693145"/>
    <w:rsid w:val="0069374F"/>
    <w:rsid w:val="006938DB"/>
    <w:rsid w:val="00693A5C"/>
    <w:rsid w:val="00693ABB"/>
    <w:rsid w:val="00693B33"/>
    <w:rsid w:val="00694149"/>
    <w:rsid w:val="006945A3"/>
    <w:rsid w:val="0069468B"/>
    <w:rsid w:val="006947BD"/>
    <w:rsid w:val="00694FDD"/>
    <w:rsid w:val="00695007"/>
    <w:rsid w:val="0069517C"/>
    <w:rsid w:val="006951D4"/>
    <w:rsid w:val="006953A7"/>
    <w:rsid w:val="006953EA"/>
    <w:rsid w:val="006956F2"/>
    <w:rsid w:val="00695C17"/>
    <w:rsid w:val="00695E38"/>
    <w:rsid w:val="00695EA8"/>
    <w:rsid w:val="00696389"/>
    <w:rsid w:val="006965A0"/>
    <w:rsid w:val="00696969"/>
    <w:rsid w:val="00696CB2"/>
    <w:rsid w:val="006976C5"/>
    <w:rsid w:val="006977DD"/>
    <w:rsid w:val="006A01D0"/>
    <w:rsid w:val="006A01D5"/>
    <w:rsid w:val="006A0A5F"/>
    <w:rsid w:val="006A11B3"/>
    <w:rsid w:val="006A14EE"/>
    <w:rsid w:val="006A1C70"/>
    <w:rsid w:val="006A216B"/>
    <w:rsid w:val="006A2207"/>
    <w:rsid w:val="006A2593"/>
    <w:rsid w:val="006A2668"/>
    <w:rsid w:val="006A29A7"/>
    <w:rsid w:val="006A2D61"/>
    <w:rsid w:val="006A3831"/>
    <w:rsid w:val="006A3849"/>
    <w:rsid w:val="006A3B18"/>
    <w:rsid w:val="006A3C4B"/>
    <w:rsid w:val="006A3CEB"/>
    <w:rsid w:val="006A3E3F"/>
    <w:rsid w:val="006A3FA7"/>
    <w:rsid w:val="006A4305"/>
    <w:rsid w:val="006A43E5"/>
    <w:rsid w:val="006A44FD"/>
    <w:rsid w:val="006A46A5"/>
    <w:rsid w:val="006A46B9"/>
    <w:rsid w:val="006A46DD"/>
    <w:rsid w:val="006A4FEA"/>
    <w:rsid w:val="006A50DC"/>
    <w:rsid w:val="006A547E"/>
    <w:rsid w:val="006A5A30"/>
    <w:rsid w:val="006A5C6A"/>
    <w:rsid w:val="006A5C8A"/>
    <w:rsid w:val="006A6252"/>
    <w:rsid w:val="006A6C6A"/>
    <w:rsid w:val="006A6D5D"/>
    <w:rsid w:val="006A7167"/>
    <w:rsid w:val="006A73D3"/>
    <w:rsid w:val="006A7728"/>
    <w:rsid w:val="006A7B71"/>
    <w:rsid w:val="006A7CA9"/>
    <w:rsid w:val="006B05F3"/>
    <w:rsid w:val="006B0943"/>
    <w:rsid w:val="006B0F96"/>
    <w:rsid w:val="006B1576"/>
    <w:rsid w:val="006B1B4E"/>
    <w:rsid w:val="006B2057"/>
    <w:rsid w:val="006B256D"/>
    <w:rsid w:val="006B2691"/>
    <w:rsid w:val="006B26EE"/>
    <w:rsid w:val="006B2B6E"/>
    <w:rsid w:val="006B36E6"/>
    <w:rsid w:val="006B3A40"/>
    <w:rsid w:val="006B3D34"/>
    <w:rsid w:val="006B3DE6"/>
    <w:rsid w:val="006B3FC7"/>
    <w:rsid w:val="006B4358"/>
    <w:rsid w:val="006B52C8"/>
    <w:rsid w:val="006B5495"/>
    <w:rsid w:val="006B5A14"/>
    <w:rsid w:val="006B5AAB"/>
    <w:rsid w:val="006B5B4D"/>
    <w:rsid w:val="006B5E6F"/>
    <w:rsid w:val="006B6228"/>
    <w:rsid w:val="006B6356"/>
    <w:rsid w:val="006B637F"/>
    <w:rsid w:val="006B6476"/>
    <w:rsid w:val="006B6B4F"/>
    <w:rsid w:val="006B6BA1"/>
    <w:rsid w:val="006B709D"/>
    <w:rsid w:val="006B71E5"/>
    <w:rsid w:val="006B7970"/>
    <w:rsid w:val="006B7C19"/>
    <w:rsid w:val="006B7E12"/>
    <w:rsid w:val="006C0005"/>
    <w:rsid w:val="006C0451"/>
    <w:rsid w:val="006C083B"/>
    <w:rsid w:val="006C0AA9"/>
    <w:rsid w:val="006C0DAF"/>
    <w:rsid w:val="006C1A3B"/>
    <w:rsid w:val="006C1DDD"/>
    <w:rsid w:val="006C264A"/>
    <w:rsid w:val="006C27F5"/>
    <w:rsid w:val="006C2E2E"/>
    <w:rsid w:val="006C3131"/>
    <w:rsid w:val="006C3448"/>
    <w:rsid w:val="006C3AA0"/>
    <w:rsid w:val="006C3E27"/>
    <w:rsid w:val="006C3F8D"/>
    <w:rsid w:val="006C4082"/>
    <w:rsid w:val="006C45E3"/>
    <w:rsid w:val="006C45EA"/>
    <w:rsid w:val="006C4C3D"/>
    <w:rsid w:val="006C4F77"/>
    <w:rsid w:val="006C5462"/>
    <w:rsid w:val="006C567A"/>
    <w:rsid w:val="006C571C"/>
    <w:rsid w:val="006C5E0B"/>
    <w:rsid w:val="006C60BA"/>
    <w:rsid w:val="006C616A"/>
    <w:rsid w:val="006C6250"/>
    <w:rsid w:val="006C6449"/>
    <w:rsid w:val="006C661A"/>
    <w:rsid w:val="006C66DE"/>
    <w:rsid w:val="006C6E3A"/>
    <w:rsid w:val="006C6F10"/>
    <w:rsid w:val="006C73EC"/>
    <w:rsid w:val="006C76B6"/>
    <w:rsid w:val="006C787A"/>
    <w:rsid w:val="006C7B75"/>
    <w:rsid w:val="006D0149"/>
    <w:rsid w:val="006D029E"/>
    <w:rsid w:val="006D02CD"/>
    <w:rsid w:val="006D03A3"/>
    <w:rsid w:val="006D0A68"/>
    <w:rsid w:val="006D0A8C"/>
    <w:rsid w:val="006D0B0A"/>
    <w:rsid w:val="006D0D3A"/>
    <w:rsid w:val="006D0F02"/>
    <w:rsid w:val="006D0FD0"/>
    <w:rsid w:val="006D11C6"/>
    <w:rsid w:val="006D162D"/>
    <w:rsid w:val="006D1946"/>
    <w:rsid w:val="006D1BD7"/>
    <w:rsid w:val="006D1C7A"/>
    <w:rsid w:val="006D1CB4"/>
    <w:rsid w:val="006D1EB1"/>
    <w:rsid w:val="006D24FB"/>
    <w:rsid w:val="006D2511"/>
    <w:rsid w:val="006D2ACD"/>
    <w:rsid w:val="006D2E0D"/>
    <w:rsid w:val="006D3002"/>
    <w:rsid w:val="006D3143"/>
    <w:rsid w:val="006D31BE"/>
    <w:rsid w:val="006D32B1"/>
    <w:rsid w:val="006D332F"/>
    <w:rsid w:val="006D34A6"/>
    <w:rsid w:val="006D356E"/>
    <w:rsid w:val="006D365F"/>
    <w:rsid w:val="006D36D6"/>
    <w:rsid w:val="006D37BB"/>
    <w:rsid w:val="006D3D8F"/>
    <w:rsid w:val="006D4218"/>
    <w:rsid w:val="006D4AD5"/>
    <w:rsid w:val="006D4BE7"/>
    <w:rsid w:val="006D4DA7"/>
    <w:rsid w:val="006D4FD6"/>
    <w:rsid w:val="006D5A4C"/>
    <w:rsid w:val="006D5A4E"/>
    <w:rsid w:val="006D5D15"/>
    <w:rsid w:val="006D5E2F"/>
    <w:rsid w:val="006D60DD"/>
    <w:rsid w:val="006D6527"/>
    <w:rsid w:val="006D6664"/>
    <w:rsid w:val="006D6F2F"/>
    <w:rsid w:val="006D70FB"/>
    <w:rsid w:val="006D7337"/>
    <w:rsid w:val="006D7982"/>
    <w:rsid w:val="006D7A9A"/>
    <w:rsid w:val="006D7FCC"/>
    <w:rsid w:val="006E013E"/>
    <w:rsid w:val="006E0405"/>
    <w:rsid w:val="006E05E5"/>
    <w:rsid w:val="006E0D20"/>
    <w:rsid w:val="006E0D29"/>
    <w:rsid w:val="006E10FE"/>
    <w:rsid w:val="006E1896"/>
    <w:rsid w:val="006E1DA9"/>
    <w:rsid w:val="006E260A"/>
    <w:rsid w:val="006E2706"/>
    <w:rsid w:val="006E28C5"/>
    <w:rsid w:val="006E2AAA"/>
    <w:rsid w:val="006E2DC6"/>
    <w:rsid w:val="006E3432"/>
    <w:rsid w:val="006E395B"/>
    <w:rsid w:val="006E3CBD"/>
    <w:rsid w:val="006E42FD"/>
    <w:rsid w:val="006E4C7A"/>
    <w:rsid w:val="006E4CBB"/>
    <w:rsid w:val="006E4D97"/>
    <w:rsid w:val="006E4FA6"/>
    <w:rsid w:val="006E5106"/>
    <w:rsid w:val="006E5359"/>
    <w:rsid w:val="006E55B5"/>
    <w:rsid w:val="006E5A73"/>
    <w:rsid w:val="006E5AC9"/>
    <w:rsid w:val="006E6849"/>
    <w:rsid w:val="006E6A6E"/>
    <w:rsid w:val="006E6CF8"/>
    <w:rsid w:val="006E6DF1"/>
    <w:rsid w:val="006E6EFF"/>
    <w:rsid w:val="006E70D5"/>
    <w:rsid w:val="006E7288"/>
    <w:rsid w:val="006E72CC"/>
    <w:rsid w:val="006E73FF"/>
    <w:rsid w:val="006E75F4"/>
    <w:rsid w:val="006E79A4"/>
    <w:rsid w:val="006F0246"/>
    <w:rsid w:val="006F0907"/>
    <w:rsid w:val="006F0A70"/>
    <w:rsid w:val="006F109A"/>
    <w:rsid w:val="006F1B4F"/>
    <w:rsid w:val="006F1FEF"/>
    <w:rsid w:val="006F2295"/>
    <w:rsid w:val="006F2347"/>
    <w:rsid w:val="006F2510"/>
    <w:rsid w:val="006F28DD"/>
    <w:rsid w:val="006F2E0B"/>
    <w:rsid w:val="006F3047"/>
    <w:rsid w:val="006F328B"/>
    <w:rsid w:val="006F35DE"/>
    <w:rsid w:val="006F3A79"/>
    <w:rsid w:val="006F3C66"/>
    <w:rsid w:val="006F4265"/>
    <w:rsid w:val="006F4332"/>
    <w:rsid w:val="006F4BD5"/>
    <w:rsid w:val="006F4C19"/>
    <w:rsid w:val="006F4E5A"/>
    <w:rsid w:val="006F513F"/>
    <w:rsid w:val="006F51AC"/>
    <w:rsid w:val="006F55EC"/>
    <w:rsid w:val="006F597F"/>
    <w:rsid w:val="006F5ACD"/>
    <w:rsid w:val="006F5B5E"/>
    <w:rsid w:val="006F5E35"/>
    <w:rsid w:val="006F62C9"/>
    <w:rsid w:val="006F62F0"/>
    <w:rsid w:val="006F69D5"/>
    <w:rsid w:val="006F7032"/>
    <w:rsid w:val="006F70E5"/>
    <w:rsid w:val="006F7675"/>
    <w:rsid w:val="006F79CD"/>
    <w:rsid w:val="006F7BBD"/>
    <w:rsid w:val="00700427"/>
    <w:rsid w:val="00700464"/>
    <w:rsid w:val="00700493"/>
    <w:rsid w:val="00700C64"/>
    <w:rsid w:val="00700D2C"/>
    <w:rsid w:val="00701654"/>
    <w:rsid w:val="007018CA"/>
    <w:rsid w:val="0070195C"/>
    <w:rsid w:val="00701AC9"/>
    <w:rsid w:val="00701C33"/>
    <w:rsid w:val="00701F31"/>
    <w:rsid w:val="007021F9"/>
    <w:rsid w:val="0070276F"/>
    <w:rsid w:val="00702A00"/>
    <w:rsid w:val="00702C8E"/>
    <w:rsid w:val="00703073"/>
    <w:rsid w:val="00703465"/>
    <w:rsid w:val="00703638"/>
    <w:rsid w:val="00703990"/>
    <w:rsid w:val="00703E81"/>
    <w:rsid w:val="00703FD6"/>
    <w:rsid w:val="00703FED"/>
    <w:rsid w:val="00704111"/>
    <w:rsid w:val="007044C1"/>
    <w:rsid w:val="007045E8"/>
    <w:rsid w:val="007047E3"/>
    <w:rsid w:val="007049B3"/>
    <w:rsid w:val="00704C68"/>
    <w:rsid w:val="00704D91"/>
    <w:rsid w:val="007052B9"/>
    <w:rsid w:val="00705A7D"/>
    <w:rsid w:val="00705F36"/>
    <w:rsid w:val="0070600E"/>
    <w:rsid w:val="007061A2"/>
    <w:rsid w:val="00706EF2"/>
    <w:rsid w:val="00706F26"/>
    <w:rsid w:val="007070AA"/>
    <w:rsid w:val="00707783"/>
    <w:rsid w:val="007079B7"/>
    <w:rsid w:val="007101A2"/>
    <w:rsid w:val="0071033C"/>
    <w:rsid w:val="0071050D"/>
    <w:rsid w:val="00710B85"/>
    <w:rsid w:val="00710C9D"/>
    <w:rsid w:val="00711369"/>
    <w:rsid w:val="0071146A"/>
    <w:rsid w:val="007114AE"/>
    <w:rsid w:val="007115F1"/>
    <w:rsid w:val="00711C9E"/>
    <w:rsid w:val="00711E30"/>
    <w:rsid w:val="00711FA8"/>
    <w:rsid w:val="00712670"/>
    <w:rsid w:val="00712BB8"/>
    <w:rsid w:val="00712BDC"/>
    <w:rsid w:val="00712BF8"/>
    <w:rsid w:val="00712C2C"/>
    <w:rsid w:val="00712D3D"/>
    <w:rsid w:val="00713082"/>
    <w:rsid w:val="0071324B"/>
    <w:rsid w:val="007134DE"/>
    <w:rsid w:val="00713618"/>
    <w:rsid w:val="00713860"/>
    <w:rsid w:val="007146AE"/>
    <w:rsid w:val="00714D06"/>
    <w:rsid w:val="007152C3"/>
    <w:rsid w:val="00715404"/>
    <w:rsid w:val="00715435"/>
    <w:rsid w:val="0071547C"/>
    <w:rsid w:val="00715B8A"/>
    <w:rsid w:val="00716019"/>
    <w:rsid w:val="0071651F"/>
    <w:rsid w:val="0071664E"/>
    <w:rsid w:val="00716837"/>
    <w:rsid w:val="00716929"/>
    <w:rsid w:val="00716AE0"/>
    <w:rsid w:val="00716F21"/>
    <w:rsid w:val="007171DE"/>
    <w:rsid w:val="007171F9"/>
    <w:rsid w:val="0071737A"/>
    <w:rsid w:val="007177E4"/>
    <w:rsid w:val="00717A2A"/>
    <w:rsid w:val="00717B00"/>
    <w:rsid w:val="00717B4B"/>
    <w:rsid w:val="00717C21"/>
    <w:rsid w:val="00717CDE"/>
    <w:rsid w:val="00717DF5"/>
    <w:rsid w:val="00717FD9"/>
    <w:rsid w:val="0072019A"/>
    <w:rsid w:val="0072019B"/>
    <w:rsid w:val="0072020F"/>
    <w:rsid w:val="00720488"/>
    <w:rsid w:val="0072049C"/>
    <w:rsid w:val="00720788"/>
    <w:rsid w:val="00720939"/>
    <w:rsid w:val="00720967"/>
    <w:rsid w:val="00720E87"/>
    <w:rsid w:val="00721035"/>
    <w:rsid w:val="00721446"/>
    <w:rsid w:val="00721580"/>
    <w:rsid w:val="007219B7"/>
    <w:rsid w:val="0072207D"/>
    <w:rsid w:val="0072249D"/>
    <w:rsid w:val="00722535"/>
    <w:rsid w:val="00722B89"/>
    <w:rsid w:val="00722FD7"/>
    <w:rsid w:val="00723042"/>
    <w:rsid w:val="007232CB"/>
    <w:rsid w:val="00723323"/>
    <w:rsid w:val="007238D7"/>
    <w:rsid w:val="00723910"/>
    <w:rsid w:val="00723CE2"/>
    <w:rsid w:val="00724521"/>
    <w:rsid w:val="00724ACD"/>
    <w:rsid w:val="00724C20"/>
    <w:rsid w:val="00724F7F"/>
    <w:rsid w:val="007258C0"/>
    <w:rsid w:val="00725C9E"/>
    <w:rsid w:val="00725D0C"/>
    <w:rsid w:val="007260C7"/>
    <w:rsid w:val="007268C7"/>
    <w:rsid w:val="00726A7D"/>
    <w:rsid w:val="00726C26"/>
    <w:rsid w:val="00726CBF"/>
    <w:rsid w:val="00726CC4"/>
    <w:rsid w:val="00726D54"/>
    <w:rsid w:val="00726E30"/>
    <w:rsid w:val="007271B7"/>
    <w:rsid w:val="007273B4"/>
    <w:rsid w:val="007279EA"/>
    <w:rsid w:val="00727EE4"/>
    <w:rsid w:val="00730098"/>
    <w:rsid w:val="00730189"/>
    <w:rsid w:val="00730780"/>
    <w:rsid w:val="0073088D"/>
    <w:rsid w:val="007308AD"/>
    <w:rsid w:val="00730988"/>
    <w:rsid w:val="00730DB4"/>
    <w:rsid w:val="0073100B"/>
    <w:rsid w:val="00731348"/>
    <w:rsid w:val="0073195C"/>
    <w:rsid w:val="00731C56"/>
    <w:rsid w:val="00731D19"/>
    <w:rsid w:val="00732021"/>
    <w:rsid w:val="007320B4"/>
    <w:rsid w:val="00732475"/>
    <w:rsid w:val="0073259D"/>
    <w:rsid w:val="00732780"/>
    <w:rsid w:val="007327EE"/>
    <w:rsid w:val="00732C2A"/>
    <w:rsid w:val="00732D8E"/>
    <w:rsid w:val="007330DB"/>
    <w:rsid w:val="00733146"/>
    <w:rsid w:val="007333B1"/>
    <w:rsid w:val="007333EC"/>
    <w:rsid w:val="0073343D"/>
    <w:rsid w:val="007334C5"/>
    <w:rsid w:val="0073353A"/>
    <w:rsid w:val="007337AC"/>
    <w:rsid w:val="00733CEB"/>
    <w:rsid w:val="007341AA"/>
    <w:rsid w:val="007348EE"/>
    <w:rsid w:val="00734C06"/>
    <w:rsid w:val="00734D6B"/>
    <w:rsid w:val="0073508B"/>
    <w:rsid w:val="0073591F"/>
    <w:rsid w:val="00736265"/>
    <w:rsid w:val="007362E6"/>
    <w:rsid w:val="007370E7"/>
    <w:rsid w:val="007373F5"/>
    <w:rsid w:val="007378B0"/>
    <w:rsid w:val="007378DF"/>
    <w:rsid w:val="00737A08"/>
    <w:rsid w:val="00737AC1"/>
    <w:rsid w:val="00737B33"/>
    <w:rsid w:val="00737CD0"/>
    <w:rsid w:val="00737CD6"/>
    <w:rsid w:val="00737E5F"/>
    <w:rsid w:val="00737EA7"/>
    <w:rsid w:val="00740076"/>
    <w:rsid w:val="00740465"/>
    <w:rsid w:val="007406CC"/>
    <w:rsid w:val="00740DCA"/>
    <w:rsid w:val="00740F66"/>
    <w:rsid w:val="007411F1"/>
    <w:rsid w:val="007412C4"/>
    <w:rsid w:val="007416EE"/>
    <w:rsid w:val="00741FE5"/>
    <w:rsid w:val="00742611"/>
    <w:rsid w:val="00742B58"/>
    <w:rsid w:val="00742BCD"/>
    <w:rsid w:val="00742EA6"/>
    <w:rsid w:val="00742F7C"/>
    <w:rsid w:val="0074388C"/>
    <w:rsid w:val="00743F33"/>
    <w:rsid w:val="00743F50"/>
    <w:rsid w:val="00743FE8"/>
    <w:rsid w:val="007441E2"/>
    <w:rsid w:val="007443B7"/>
    <w:rsid w:val="007444A3"/>
    <w:rsid w:val="007444BD"/>
    <w:rsid w:val="00745383"/>
    <w:rsid w:val="0074551F"/>
    <w:rsid w:val="00746168"/>
    <w:rsid w:val="007461A2"/>
    <w:rsid w:val="00746279"/>
    <w:rsid w:val="0074683B"/>
    <w:rsid w:val="0074700E"/>
    <w:rsid w:val="00747212"/>
    <w:rsid w:val="0074731F"/>
    <w:rsid w:val="007473B9"/>
    <w:rsid w:val="007477C0"/>
    <w:rsid w:val="00747916"/>
    <w:rsid w:val="00747A91"/>
    <w:rsid w:val="00747B59"/>
    <w:rsid w:val="00747CA4"/>
    <w:rsid w:val="00750032"/>
    <w:rsid w:val="00750195"/>
    <w:rsid w:val="0075060F"/>
    <w:rsid w:val="00750707"/>
    <w:rsid w:val="007507CA"/>
    <w:rsid w:val="00750C66"/>
    <w:rsid w:val="00750D9F"/>
    <w:rsid w:val="00750DA3"/>
    <w:rsid w:val="007510E0"/>
    <w:rsid w:val="007511BB"/>
    <w:rsid w:val="00751692"/>
    <w:rsid w:val="00751D2A"/>
    <w:rsid w:val="00752841"/>
    <w:rsid w:val="00752945"/>
    <w:rsid w:val="007531E0"/>
    <w:rsid w:val="00753267"/>
    <w:rsid w:val="007537CE"/>
    <w:rsid w:val="007539DA"/>
    <w:rsid w:val="00753A01"/>
    <w:rsid w:val="00754158"/>
    <w:rsid w:val="007541C0"/>
    <w:rsid w:val="00754409"/>
    <w:rsid w:val="0075446A"/>
    <w:rsid w:val="007547D6"/>
    <w:rsid w:val="00754AC0"/>
    <w:rsid w:val="007550D0"/>
    <w:rsid w:val="007553AE"/>
    <w:rsid w:val="0075548A"/>
    <w:rsid w:val="007555DA"/>
    <w:rsid w:val="007555EF"/>
    <w:rsid w:val="00755E24"/>
    <w:rsid w:val="0075603B"/>
    <w:rsid w:val="007561B3"/>
    <w:rsid w:val="007561CA"/>
    <w:rsid w:val="007564E5"/>
    <w:rsid w:val="00756564"/>
    <w:rsid w:val="00756687"/>
    <w:rsid w:val="00756B77"/>
    <w:rsid w:val="00756D11"/>
    <w:rsid w:val="00756D9F"/>
    <w:rsid w:val="00756FC1"/>
    <w:rsid w:val="00757084"/>
    <w:rsid w:val="00757357"/>
    <w:rsid w:val="0075768E"/>
    <w:rsid w:val="00757705"/>
    <w:rsid w:val="00757977"/>
    <w:rsid w:val="00757B68"/>
    <w:rsid w:val="007603A8"/>
    <w:rsid w:val="00760662"/>
    <w:rsid w:val="00760B1F"/>
    <w:rsid w:val="00760E48"/>
    <w:rsid w:val="0076106B"/>
    <w:rsid w:val="0076121D"/>
    <w:rsid w:val="00761358"/>
    <w:rsid w:val="00761A41"/>
    <w:rsid w:val="00761E3B"/>
    <w:rsid w:val="007620D8"/>
    <w:rsid w:val="0076227C"/>
    <w:rsid w:val="00762958"/>
    <w:rsid w:val="00762AA4"/>
    <w:rsid w:val="00763CB6"/>
    <w:rsid w:val="00763D11"/>
    <w:rsid w:val="00764B5B"/>
    <w:rsid w:val="0076501A"/>
    <w:rsid w:val="007651C4"/>
    <w:rsid w:val="00765264"/>
    <w:rsid w:val="00765761"/>
    <w:rsid w:val="00765A78"/>
    <w:rsid w:val="00765CC2"/>
    <w:rsid w:val="00765DFF"/>
    <w:rsid w:val="00765FA9"/>
    <w:rsid w:val="00766106"/>
    <w:rsid w:val="00766272"/>
    <w:rsid w:val="007663EB"/>
    <w:rsid w:val="0076653C"/>
    <w:rsid w:val="00766582"/>
    <w:rsid w:val="00766682"/>
    <w:rsid w:val="00766A4B"/>
    <w:rsid w:val="00766B4B"/>
    <w:rsid w:val="00766D74"/>
    <w:rsid w:val="00766E3B"/>
    <w:rsid w:val="00767179"/>
    <w:rsid w:val="007673BA"/>
    <w:rsid w:val="007679F8"/>
    <w:rsid w:val="00767F1A"/>
    <w:rsid w:val="00770038"/>
    <w:rsid w:val="0077014C"/>
    <w:rsid w:val="007703C5"/>
    <w:rsid w:val="00770810"/>
    <w:rsid w:val="007709DB"/>
    <w:rsid w:val="00770CCD"/>
    <w:rsid w:val="0077114F"/>
    <w:rsid w:val="00771180"/>
    <w:rsid w:val="007718F8"/>
    <w:rsid w:val="00771D63"/>
    <w:rsid w:val="007721B6"/>
    <w:rsid w:val="00772854"/>
    <w:rsid w:val="00772B61"/>
    <w:rsid w:val="00772D57"/>
    <w:rsid w:val="00772F41"/>
    <w:rsid w:val="00773096"/>
    <w:rsid w:val="007735C8"/>
    <w:rsid w:val="00773676"/>
    <w:rsid w:val="00773B3A"/>
    <w:rsid w:val="0077411D"/>
    <w:rsid w:val="007742F1"/>
    <w:rsid w:val="00774975"/>
    <w:rsid w:val="00774CC5"/>
    <w:rsid w:val="0077558C"/>
    <w:rsid w:val="00775A10"/>
    <w:rsid w:val="00775DC2"/>
    <w:rsid w:val="007760BE"/>
    <w:rsid w:val="007761E6"/>
    <w:rsid w:val="0077659E"/>
    <w:rsid w:val="00776654"/>
    <w:rsid w:val="007767FE"/>
    <w:rsid w:val="007768B5"/>
    <w:rsid w:val="007769C4"/>
    <w:rsid w:val="00776C0B"/>
    <w:rsid w:val="00776E14"/>
    <w:rsid w:val="00776E7B"/>
    <w:rsid w:val="00776F34"/>
    <w:rsid w:val="00777501"/>
    <w:rsid w:val="00777741"/>
    <w:rsid w:val="007802E3"/>
    <w:rsid w:val="00780302"/>
    <w:rsid w:val="007807CB"/>
    <w:rsid w:val="0078082D"/>
    <w:rsid w:val="00780FB3"/>
    <w:rsid w:val="00781000"/>
    <w:rsid w:val="00781268"/>
    <w:rsid w:val="00781FC3"/>
    <w:rsid w:val="00782843"/>
    <w:rsid w:val="0078298E"/>
    <w:rsid w:val="00782D79"/>
    <w:rsid w:val="007830B4"/>
    <w:rsid w:val="00783376"/>
    <w:rsid w:val="00783601"/>
    <w:rsid w:val="0078380B"/>
    <w:rsid w:val="00783C28"/>
    <w:rsid w:val="00783F9D"/>
    <w:rsid w:val="00784964"/>
    <w:rsid w:val="00784B98"/>
    <w:rsid w:val="00784F81"/>
    <w:rsid w:val="0078564C"/>
    <w:rsid w:val="00785A3B"/>
    <w:rsid w:val="00785A4A"/>
    <w:rsid w:val="00785B96"/>
    <w:rsid w:val="00785F7D"/>
    <w:rsid w:val="0078618D"/>
    <w:rsid w:val="007861EB"/>
    <w:rsid w:val="00786315"/>
    <w:rsid w:val="00786323"/>
    <w:rsid w:val="007863DA"/>
    <w:rsid w:val="00786E75"/>
    <w:rsid w:val="00787291"/>
    <w:rsid w:val="0078750F"/>
    <w:rsid w:val="0078758F"/>
    <w:rsid w:val="00787E44"/>
    <w:rsid w:val="00787F49"/>
    <w:rsid w:val="00790491"/>
    <w:rsid w:val="0079069C"/>
    <w:rsid w:val="00790741"/>
    <w:rsid w:val="00790842"/>
    <w:rsid w:val="0079086D"/>
    <w:rsid w:val="007908ED"/>
    <w:rsid w:val="00791209"/>
    <w:rsid w:val="007915D8"/>
    <w:rsid w:val="007916C8"/>
    <w:rsid w:val="007916EE"/>
    <w:rsid w:val="007917DF"/>
    <w:rsid w:val="00791B59"/>
    <w:rsid w:val="00791E5A"/>
    <w:rsid w:val="007927F5"/>
    <w:rsid w:val="00792D2A"/>
    <w:rsid w:val="00792D56"/>
    <w:rsid w:val="00792E28"/>
    <w:rsid w:val="00792EAC"/>
    <w:rsid w:val="00793462"/>
    <w:rsid w:val="00793731"/>
    <w:rsid w:val="0079380E"/>
    <w:rsid w:val="00793B3F"/>
    <w:rsid w:val="00793B7A"/>
    <w:rsid w:val="00793EE1"/>
    <w:rsid w:val="00793F92"/>
    <w:rsid w:val="00794878"/>
    <w:rsid w:val="00794C58"/>
    <w:rsid w:val="007960D1"/>
    <w:rsid w:val="0079632D"/>
    <w:rsid w:val="0079651B"/>
    <w:rsid w:val="00796642"/>
    <w:rsid w:val="00796803"/>
    <w:rsid w:val="00796FA5"/>
    <w:rsid w:val="0079700A"/>
    <w:rsid w:val="007970C8"/>
    <w:rsid w:val="00797224"/>
    <w:rsid w:val="007975EC"/>
    <w:rsid w:val="00797A85"/>
    <w:rsid w:val="00797CD7"/>
    <w:rsid w:val="00797DF2"/>
    <w:rsid w:val="007A007A"/>
    <w:rsid w:val="007A0474"/>
    <w:rsid w:val="007A0602"/>
    <w:rsid w:val="007A062B"/>
    <w:rsid w:val="007A0902"/>
    <w:rsid w:val="007A15BA"/>
    <w:rsid w:val="007A1BA0"/>
    <w:rsid w:val="007A21BA"/>
    <w:rsid w:val="007A25C9"/>
    <w:rsid w:val="007A2E13"/>
    <w:rsid w:val="007A32E5"/>
    <w:rsid w:val="007A3386"/>
    <w:rsid w:val="007A3898"/>
    <w:rsid w:val="007A3926"/>
    <w:rsid w:val="007A4375"/>
    <w:rsid w:val="007A48AF"/>
    <w:rsid w:val="007A4E04"/>
    <w:rsid w:val="007A4EB7"/>
    <w:rsid w:val="007A53BF"/>
    <w:rsid w:val="007A53FC"/>
    <w:rsid w:val="007A5468"/>
    <w:rsid w:val="007A5578"/>
    <w:rsid w:val="007A5643"/>
    <w:rsid w:val="007A60C9"/>
    <w:rsid w:val="007A678A"/>
    <w:rsid w:val="007A67C1"/>
    <w:rsid w:val="007A7001"/>
    <w:rsid w:val="007A7916"/>
    <w:rsid w:val="007B0415"/>
    <w:rsid w:val="007B04EE"/>
    <w:rsid w:val="007B0A46"/>
    <w:rsid w:val="007B0D9D"/>
    <w:rsid w:val="007B0EDA"/>
    <w:rsid w:val="007B1589"/>
    <w:rsid w:val="007B15C7"/>
    <w:rsid w:val="007B16DA"/>
    <w:rsid w:val="007B1AD9"/>
    <w:rsid w:val="007B1E9D"/>
    <w:rsid w:val="007B28F5"/>
    <w:rsid w:val="007B2A16"/>
    <w:rsid w:val="007B2C59"/>
    <w:rsid w:val="007B2C76"/>
    <w:rsid w:val="007B3019"/>
    <w:rsid w:val="007B30FF"/>
    <w:rsid w:val="007B3352"/>
    <w:rsid w:val="007B35D6"/>
    <w:rsid w:val="007B360B"/>
    <w:rsid w:val="007B3797"/>
    <w:rsid w:val="007B39EB"/>
    <w:rsid w:val="007B4721"/>
    <w:rsid w:val="007B492A"/>
    <w:rsid w:val="007B4AF5"/>
    <w:rsid w:val="007B4B4E"/>
    <w:rsid w:val="007B4C10"/>
    <w:rsid w:val="007B4D81"/>
    <w:rsid w:val="007B50F7"/>
    <w:rsid w:val="007B5206"/>
    <w:rsid w:val="007B5569"/>
    <w:rsid w:val="007B5B1D"/>
    <w:rsid w:val="007B5B24"/>
    <w:rsid w:val="007B5E6C"/>
    <w:rsid w:val="007B671E"/>
    <w:rsid w:val="007B6811"/>
    <w:rsid w:val="007B6A47"/>
    <w:rsid w:val="007B6C07"/>
    <w:rsid w:val="007B74C8"/>
    <w:rsid w:val="007B7626"/>
    <w:rsid w:val="007B7718"/>
    <w:rsid w:val="007B799C"/>
    <w:rsid w:val="007B79A1"/>
    <w:rsid w:val="007B7DAB"/>
    <w:rsid w:val="007B7DCE"/>
    <w:rsid w:val="007B7E70"/>
    <w:rsid w:val="007B7EBF"/>
    <w:rsid w:val="007B7FE3"/>
    <w:rsid w:val="007B7FFA"/>
    <w:rsid w:val="007C007E"/>
    <w:rsid w:val="007C00CD"/>
    <w:rsid w:val="007C03F1"/>
    <w:rsid w:val="007C0B32"/>
    <w:rsid w:val="007C0C45"/>
    <w:rsid w:val="007C0FEB"/>
    <w:rsid w:val="007C102E"/>
    <w:rsid w:val="007C1320"/>
    <w:rsid w:val="007C1681"/>
    <w:rsid w:val="007C16F5"/>
    <w:rsid w:val="007C1735"/>
    <w:rsid w:val="007C180D"/>
    <w:rsid w:val="007C1A2F"/>
    <w:rsid w:val="007C1BE0"/>
    <w:rsid w:val="007C1F1C"/>
    <w:rsid w:val="007C223D"/>
    <w:rsid w:val="007C2490"/>
    <w:rsid w:val="007C2867"/>
    <w:rsid w:val="007C2FB5"/>
    <w:rsid w:val="007C3624"/>
    <w:rsid w:val="007C362E"/>
    <w:rsid w:val="007C3ED6"/>
    <w:rsid w:val="007C3F4C"/>
    <w:rsid w:val="007C479A"/>
    <w:rsid w:val="007C4EE1"/>
    <w:rsid w:val="007C54F0"/>
    <w:rsid w:val="007C5603"/>
    <w:rsid w:val="007C5774"/>
    <w:rsid w:val="007C5A63"/>
    <w:rsid w:val="007C5BE5"/>
    <w:rsid w:val="007C5F77"/>
    <w:rsid w:val="007C5FB0"/>
    <w:rsid w:val="007C618A"/>
    <w:rsid w:val="007C61EA"/>
    <w:rsid w:val="007C621A"/>
    <w:rsid w:val="007C623B"/>
    <w:rsid w:val="007C646A"/>
    <w:rsid w:val="007C68EE"/>
    <w:rsid w:val="007C6C35"/>
    <w:rsid w:val="007C6E67"/>
    <w:rsid w:val="007C6EB4"/>
    <w:rsid w:val="007C769E"/>
    <w:rsid w:val="007C7B47"/>
    <w:rsid w:val="007C7FB4"/>
    <w:rsid w:val="007D0072"/>
    <w:rsid w:val="007D0227"/>
    <w:rsid w:val="007D04BE"/>
    <w:rsid w:val="007D04D7"/>
    <w:rsid w:val="007D09DC"/>
    <w:rsid w:val="007D0A19"/>
    <w:rsid w:val="007D12EE"/>
    <w:rsid w:val="007D183A"/>
    <w:rsid w:val="007D18C4"/>
    <w:rsid w:val="007D1A2A"/>
    <w:rsid w:val="007D1A49"/>
    <w:rsid w:val="007D1D7D"/>
    <w:rsid w:val="007D20DA"/>
    <w:rsid w:val="007D2129"/>
    <w:rsid w:val="007D2A43"/>
    <w:rsid w:val="007D2A85"/>
    <w:rsid w:val="007D2D62"/>
    <w:rsid w:val="007D2F38"/>
    <w:rsid w:val="007D321C"/>
    <w:rsid w:val="007D379D"/>
    <w:rsid w:val="007D3807"/>
    <w:rsid w:val="007D3A34"/>
    <w:rsid w:val="007D3B64"/>
    <w:rsid w:val="007D3C7D"/>
    <w:rsid w:val="007D3E3E"/>
    <w:rsid w:val="007D4255"/>
    <w:rsid w:val="007D4B67"/>
    <w:rsid w:val="007D4E8F"/>
    <w:rsid w:val="007D4F3B"/>
    <w:rsid w:val="007D5377"/>
    <w:rsid w:val="007D5451"/>
    <w:rsid w:val="007D548E"/>
    <w:rsid w:val="007D5557"/>
    <w:rsid w:val="007D59AB"/>
    <w:rsid w:val="007D5A47"/>
    <w:rsid w:val="007D5A96"/>
    <w:rsid w:val="007D6344"/>
    <w:rsid w:val="007D66A0"/>
    <w:rsid w:val="007D6A48"/>
    <w:rsid w:val="007D70DD"/>
    <w:rsid w:val="007E0261"/>
    <w:rsid w:val="007E0706"/>
    <w:rsid w:val="007E07DA"/>
    <w:rsid w:val="007E0811"/>
    <w:rsid w:val="007E0A75"/>
    <w:rsid w:val="007E16D9"/>
    <w:rsid w:val="007E17B1"/>
    <w:rsid w:val="007E1BCC"/>
    <w:rsid w:val="007E1CC9"/>
    <w:rsid w:val="007E1DB9"/>
    <w:rsid w:val="007E2057"/>
    <w:rsid w:val="007E20CD"/>
    <w:rsid w:val="007E260B"/>
    <w:rsid w:val="007E2A63"/>
    <w:rsid w:val="007E301C"/>
    <w:rsid w:val="007E3042"/>
    <w:rsid w:val="007E3689"/>
    <w:rsid w:val="007E3AF1"/>
    <w:rsid w:val="007E3B8A"/>
    <w:rsid w:val="007E4181"/>
    <w:rsid w:val="007E542E"/>
    <w:rsid w:val="007E58FC"/>
    <w:rsid w:val="007E5963"/>
    <w:rsid w:val="007E5A77"/>
    <w:rsid w:val="007E6133"/>
    <w:rsid w:val="007E676F"/>
    <w:rsid w:val="007E6AE6"/>
    <w:rsid w:val="007E6AE7"/>
    <w:rsid w:val="007E762A"/>
    <w:rsid w:val="007E795D"/>
    <w:rsid w:val="007E79FF"/>
    <w:rsid w:val="007E7F5E"/>
    <w:rsid w:val="007F00D1"/>
    <w:rsid w:val="007F03B6"/>
    <w:rsid w:val="007F0568"/>
    <w:rsid w:val="007F07ED"/>
    <w:rsid w:val="007F0E0D"/>
    <w:rsid w:val="007F0ED3"/>
    <w:rsid w:val="007F0EEB"/>
    <w:rsid w:val="007F1066"/>
    <w:rsid w:val="007F1512"/>
    <w:rsid w:val="007F17F8"/>
    <w:rsid w:val="007F1835"/>
    <w:rsid w:val="007F1A39"/>
    <w:rsid w:val="007F1C81"/>
    <w:rsid w:val="007F1D4F"/>
    <w:rsid w:val="007F23ED"/>
    <w:rsid w:val="007F267F"/>
    <w:rsid w:val="007F2B18"/>
    <w:rsid w:val="007F2E6A"/>
    <w:rsid w:val="007F318F"/>
    <w:rsid w:val="007F33A8"/>
    <w:rsid w:val="007F33AC"/>
    <w:rsid w:val="007F3410"/>
    <w:rsid w:val="007F34A4"/>
    <w:rsid w:val="007F38A5"/>
    <w:rsid w:val="007F3ECB"/>
    <w:rsid w:val="007F4BEA"/>
    <w:rsid w:val="007F4E85"/>
    <w:rsid w:val="007F53B6"/>
    <w:rsid w:val="007F5513"/>
    <w:rsid w:val="007F56BB"/>
    <w:rsid w:val="007F5858"/>
    <w:rsid w:val="007F5CBD"/>
    <w:rsid w:val="007F5F00"/>
    <w:rsid w:val="007F64AD"/>
    <w:rsid w:val="007F67A3"/>
    <w:rsid w:val="007F7229"/>
    <w:rsid w:val="007F7235"/>
    <w:rsid w:val="007F753F"/>
    <w:rsid w:val="007F7AD7"/>
    <w:rsid w:val="008004B8"/>
    <w:rsid w:val="00800FA0"/>
    <w:rsid w:val="00801708"/>
    <w:rsid w:val="00801DEB"/>
    <w:rsid w:val="00801DF1"/>
    <w:rsid w:val="00801FE2"/>
    <w:rsid w:val="00802539"/>
    <w:rsid w:val="00802E3C"/>
    <w:rsid w:val="008036E7"/>
    <w:rsid w:val="0080390B"/>
    <w:rsid w:val="008039E3"/>
    <w:rsid w:val="00803B15"/>
    <w:rsid w:val="00803BA4"/>
    <w:rsid w:val="00803F86"/>
    <w:rsid w:val="00804789"/>
    <w:rsid w:val="00804CC6"/>
    <w:rsid w:val="008051A4"/>
    <w:rsid w:val="00805680"/>
    <w:rsid w:val="00805A30"/>
    <w:rsid w:val="00805BBD"/>
    <w:rsid w:val="00805DD3"/>
    <w:rsid w:val="00805FC9"/>
    <w:rsid w:val="0080604F"/>
    <w:rsid w:val="00806187"/>
    <w:rsid w:val="00806393"/>
    <w:rsid w:val="00806643"/>
    <w:rsid w:val="0080686E"/>
    <w:rsid w:val="00806E6C"/>
    <w:rsid w:val="00806F37"/>
    <w:rsid w:val="00806FB2"/>
    <w:rsid w:val="00806FFE"/>
    <w:rsid w:val="008075E6"/>
    <w:rsid w:val="00807796"/>
    <w:rsid w:val="0080798A"/>
    <w:rsid w:val="008101AF"/>
    <w:rsid w:val="0081032A"/>
    <w:rsid w:val="0081056E"/>
    <w:rsid w:val="008112E1"/>
    <w:rsid w:val="008113A7"/>
    <w:rsid w:val="00811496"/>
    <w:rsid w:val="0081158C"/>
    <w:rsid w:val="00811D8E"/>
    <w:rsid w:val="008128EB"/>
    <w:rsid w:val="00812A3F"/>
    <w:rsid w:val="00812F6E"/>
    <w:rsid w:val="00812FE0"/>
    <w:rsid w:val="0081300B"/>
    <w:rsid w:val="008130B2"/>
    <w:rsid w:val="008137CF"/>
    <w:rsid w:val="00813869"/>
    <w:rsid w:val="00813E50"/>
    <w:rsid w:val="00813F4D"/>
    <w:rsid w:val="00814652"/>
    <w:rsid w:val="00814723"/>
    <w:rsid w:val="008148D5"/>
    <w:rsid w:val="00814D06"/>
    <w:rsid w:val="0081509B"/>
    <w:rsid w:val="00815295"/>
    <w:rsid w:val="0081539F"/>
    <w:rsid w:val="008154A2"/>
    <w:rsid w:val="008154BC"/>
    <w:rsid w:val="00815506"/>
    <w:rsid w:val="0081572A"/>
    <w:rsid w:val="00815A11"/>
    <w:rsid w:val="00815A9D"/>
    <w:rsid w:val="008160BD"/>
    <w:rsid w:val="00816391"/>
    <w:rsid w:val="00816876"/>
    <w:rsid w:val="00816A03"/>
    <w:rsid w:val="00816AC6"/>
    <w:rsid w:val="00817307"/>
    <w:rsid w:val="00817E49"/>
    <w:rsid w:val="0082074D"/>
    <w:rsid w:val="00820DA2"/>
    <w:rsid w:val="0082142C"/>
    <w:rsid w:val="0082144C"/>
    <w:rsid w:val="00821497"/>
    <w:rsid w:val="00821DBD"/>
    <w:rsid w:val="0082271F"/>
    <w:rsid w:val="008228DC"/>
    <w:rsid w:val="00822A8A"/>
    <w:rsid w:val="00822B49"/>
    <w:rsid w:val="0082336B"/>
    <w:rsid w:val="00823A7E"/>
    <w:rsid w:val="00823C2F"/>
    <w:rsid w:val="00823CA2"/>
    <w:rsid w:val="00823EE0"/>
    <w:rsid w:val="00824D80"/>
    <w:rsid w:val="00825433"/>
    <w:rsid w:val="00825630"/>
    <w:rsid w:val="0082583C"/>
    <w:rsid w:val="008259F2"/>
    <w:rsid w:val="00825BC1"/>
    <w:rsid w:val="00825C72"/>
    <w:rsid w:val="00825D10"/>
    <w:rsid w:val="00825E62"/>
    <w:rsid w:val="0082610C"/>
    <w:rsid w:val="0082620C"/>
    <w:rsid w:val="00826435"/>
    <w:rsid w:val="0082653E"/>
    <w:rsid w:val="00826CF1"/>
    <w:rsid w:val="00826F03"/>
    <w:rsid w:val="00827077"/>
    <w:rsid w:val="008271B4"/>
    <w:rsid w:val="0082728E"/>
    <w:rsid w:val="0082761A"/>
    <w:rsid w:val="008278C8"/>
    <w:rsid w:val="00827C36"/>
    <w:rsid w:val="00827E74"/>
    <w:rsid w:val="00827F67"/>
    <w:rsid w:val="00827FB0"/>
    <w:rsid w:val="008301AF"/>
    <w:rsid w:val="00830384"/>
    <w:rsid w:val="008304F3"/>
    <w:rsid w:val="008305AA"/>
    <w:rsid w:val="0083081B"/>
    <w:rsid w:val="00830967"/>
    <w:rsid w:val="008309B1"/>
    <w:rsid w:val="0083116A"/>
    <w:rsid w:val="00831B58"/>
    <w:rsid w:val="00831B9C"/>
    <w:rsid w:val="00831DFA"/>
    <w:rsid w:val="00832304"/>
    <w:rsid w:val="008323EB"/>
    <w:rsid w:val="00832872"/>
    <w:rsid w:val="00832E8B"/>
    <w:rsid w:val="0083311C"/>
    <w:rsid w:val="00833703"/>
    <w:rsid w:val="008339A4"/>
    <w:rsid w:val="00833F58"/>
    <w:rsid w:val="00834D94"/>
    <w:rsid w:val="00834FF4"/>
    <w:rsid w:val="0083518E"/>
    <w:rsid w:val="0083542E"/>
    <w:rsid w:val="008354D2"/>
    <w:rsid w:val="0083555F"/>
    <w:rsid w:val="00835B1C"/>
    <w:rsid w:val="00835D30"/>
    <w:rsid w:val="00835EAB"/>
    <w:rsid w:val="00835ECE"/>
    <w:rsid w:val="00836707"/>
    <w:rsid w:val="00836BD3"/>
    <w:rsid w:val="00836CCF"/>
    <w:rsid w:val="00836F12"/>
    <w:rsid w:val="0083781D"/>
    <w:rsid w:val="00837915"/>
    <w:rsid w:val="00837916"/>
    <w:rsid w:val="00837A12"/>
    <w:rsid w:val="0084005E"/>
    <w:rsid w:val="00840270"/>
    <w:rsid w:val="0084037F"/>
    <w:rsid w:val="008403CF"/>
    <w:rsid w:val="0084097F"/>
    <w:rsid w:val="00840DA3"/>
    <w:rsid w:val="00840DEE"/>
    <w:rsid w:val="00841231"/>
    <w:rsid w:val="008412B3"/>
    <w:rsid w:val="00841652"/>
    <w:rsid w:val="0084170A"/>
    <w:rsid w:val="00841781"/>
    <w:rsid w:val="00841A8F"/>
    <w:rsid w:val="00841CA8"/>
    <w:rsid w:val="00842225"/>
    <w:rsid w:val="00842656"/>
    <w:rsid w:val="00842D52"/>
    <w:rsid w:val="00843374"/>
    <w:rsid w:val="008433E8"/>
    <w:rsid w:val="0084377C"/>
    <w:rsid w:val="008437FC"/>
    <w:rsid w:val="00843CCD"/>
    <w:rsid w:val="00844767"/>
    <w:rsid w:val="00844A47"/>
    <w:rsid w:val="00844EA2"/>
    <w:rsid w:val="008454AF"/>
    <w:rsid w:val="008455D6"/>
    <w:rsid w:val="00845A4E"/>
    <w:rsid w:val="00845B52"/>
    <w:rsid w:val="00845C70"/>
    <w:rsid w:val="00845F8B"/>
    <w:rsid w:val="008466B3"/>
    <w:rsid w:val="00846CFF"/>
    <w:rsid w:val="00847624"/>
    <w:rsid w:val="0084796E"/>
    <w:rsid w:val="00847AB9"/>
    <w:rsid w:val="00847C0B"/>
    <w:rsid w:val="008508CC"/>
    <w:rsid w:val="00850D4F"/>
    <w:rsid w:val="00850DB2"/>
    <w:rsid w:val="0085108F"/>
    <w:rsid w:val="008510A9"/>
    <w:rsid w:val="00851868"/>
    <w:rsid w:val="0085192E"/>
    <w:rsid w:val="00851B7A"/>
    <w:rsid w:val="00851C4B"/>
    <w:rsid w:val="00851D6A"/>
    <w:rsid w:val="00851FD1"/>
    <w:rsid w:val="008521E4"/>
    <w:rsid w:val="0085231B"/>
    <w:rsid w:val="00853942"/>
    <w:rsid w:val="00853D64"/>
    <w:rsid w:val="00853D65"/>
    <w:rsid w:val="008541BE"/>
    <w:rsid w:val="00854AE1"/>
    <w:rsid w:val="00854EA7"/>
    <w:rsid w:val="00855726"/>
    <w:rsid w:val="00855CD1"/>
    <w:rsid w:val="00856603"/>
    <w:rsid w:val="00856CBA"/>
    <w:rsid w:val="00856FCD"/>
    <w:rsid w:val="008576A9"/>
    <w:rsid w:val="00857CCC"/>
    <w:rsid w:val="00857D81"/>
    <w:rsid w:val="00857F0C"/>
    <w:rsid w:val="008601D6"/>
    <w:rsid w:val="00860529"/>
    <w:rsid w:val="00860B3C"/>
    <w:rsid w:val="00860EC5"/>
    <w:rsid w:val="00860F6F"/>
    <w:rsid w:val="00861406"/>
    <w:rsid w:val="008616A5"/>
    <w:rsid w:val="00861C03"/>
    <w:rsid w:val="00861C1D"/>
    <w:rsid w:val="00861E26"/>
    <w:rsid w:val="00862026"/>
    <w:rsid w:val="0086232E"/>
    <w:rsid w:val="008627B9"/>
    <w:rsid w:val="00862A8C"/>
    <w:rsid w:val="00862E8A"/>
    <w:rsid w:val="00863142"/>
    <w:rsid w:val="008639EC"/>
    <w:rsid w:val="00863BFE"/>
    <w:rsid w:val="0086406A"/>
    <w:rsid w:val="0086407F"/>
    <w:rsid w:val="0086506F"/>
    <w:rsid w:val="00865196"/>
    <w:rsid w:val="008652BC"/>
    <w:rsid w:val="0086549A"/>
    <w:rsid w:val="00865843"/>
    <w:rsid w:val="00865948"/>
    <w:rsid w:val="008659CF"/>
    <w:rsid w:val="00865DE9"/>
    <w:rsid w:val="00865DF8"/>
    <w:rsid w:val="00865F4E"/>
    <w:rsid w:val="0086682B"/>
    <w:rsid w:val="00866B7A"/>
    <w:rsid w:val="008670C0"/>
    <w:rsid w:val="008672D9"/>
    <w:rsid w:val="00867E4F"/>
    <w:rsid w:val="00867EDB"/>
    <w:rsid w:val="008704FC"/>
    <w:rsid w:val="008708E6"/>
    <w:rsid w:val="00870970"/>
    <w:rsid w:val="00870A90"/>
    <w:rsid w:val="00870B3E"/>
    <w:rsid w:val="00870BB3"/>
    <w:rsid w:val="00870C56"/>
    <w:rsid w:val="00871161"/>
    <w:rsid w:val="008718AB"/>
    <w:rsid w:val="00871B11"/>
    <w:rsid w:val="00872161"/>
    <w:rsid w:val="0087244D"/>
    <w:rsid w:val="00872477"/>
    <w:rsid w:val="0087260A"/>
    <w:rsid w:val="0087273A"/>
    <w:rsid w:val="008734D6"/>
    <w:rsid w:val="00873522"/>
    <w:rsid w:val="008735E5"/>
    <w:rsid w:val="008736A5"/>
    <w:rsid w:val="00873977"/>
    <w:rsid w:val="00873BCD"/>
    <w:rsid w:val="00873E33"/>
    <w:rsid w:val="0087402A"/>
    <w:rsid w:val="00874918"/>
    <w:rsid w:val="00874BA4"/>
    <w:rsid w:val="00874EF5"/>
    <w:rsid w:val="00874F88"/>
    <w:rsid w:val="0087509D"/>
    <w:rsid w:val="00875678"/>
    <w:rsid w:val="00875737"/>
    <w:rsid w:val="00875AF6"/>
    <w:rsid w:val="00875B2F"/>
    <w:rsid w:val="00875E31"/>
    <w:rsid w:val="008763F4"/>
    <w:rsid w:val="00876CC6"/>
    <w:rsid w:val="00876D3E"/>
    <w:rsid w:val="00877181"/>
    <w:rsid w:val="00877231"/>
    <w:rsid w:val="00877942"/>
    <w:rsid w:val="008800AD"/>
    <w:rsid w:val="00880171"/>
    <w:rsid w:val="008809FE"/>
    <w:rsid w:val="00880C51"/>
    <w:rsid w:val="00880F2B"/>
    <w:rsid w:val="008810BD"/>
    <w:rsid w:val="008811E2"/>
    <w:rsid w:val="00881315"/>
    <w:rsid w:val="00881B40"/>
    <w:rsid w:val="00881C59"/>
    <w:rsid w:val="00881DE7"/>
    <w:rsid w:val="00881F17"/>
    <w:rsid w:val="00882566"/>
    <w:rsid w:val="008826F6"/>
    <w:rsid w:val="008828BC"/>
    <w:rsid w:val="00882A46"/>
    <w:rsid w:val="00882CBC"/>
    <w:rsid w:val="0088310C"/>
    <w:rsid w:val="0088380D"/>
    <w:rsid w:val="00883ED2"/>
    <w:rsid w:val="0088436B"/>
    <w:rsid w:val="00884504"/>
    <w:rsid w:val="00884795"/>
    <w:rsid w:val="00884964"/>
    <w:rsid w:val="00884EDB"/>
    <w:rsid w:val="008855A6"/>
    <w:rsid w:val="00885903"/>
    <w:rsid w:val="0088610C"/>
    <w:rsid w:val="0088618B"/>
    <w:rsid w:val="00886360"/>
    <w:rsid w:val="0088650F"/>
    <w:rsid w:val="00886743"/>
    <w:rsid w:val="008868A3"/>
    <w:rsid w:val="00886C41"/>
    <w:rsid w:val="0088753A"/>
    <w:rsid w:val="0088762A"/>
    <w:rsid w:val="0088777E"/>
    <w:rsid w:val="008877EA"/>
    <w:rsid w:val="008878C4"/>
    <w:rsid w:val="00887C76"/>
    <w:rsid w:val="00887EDF"/>
    <w:rsid w:val="00887EFE"/>
    <w:rsid w:val="00890873"/>
    <w:rsid w:val="00890B95"/>
    <w:rsid w:val="00890BF4"/>
    <w:rsid w:val="00890E8C"/>
    <w:rsid w:val="00890F50"/>
    <w:rsid w:val="00890FF5"/>
    <w:rsid w:val="00891328"/>
    <w:rsid w:val="00891420"/>
    <w:rsid w:val="00891675"/>
    <w:rsid w:val="00891741"/>
    <w:rsid w:val="008918B1"/>
    <w:rsid w:val="00891C90"/>
    <w:rsid w:val="00891CF3"/>
    <w:rsid w:val="00891D1D"/>
    <w:rsid w:val="008927F4"/>
    <w:rsid w:val="00892A3A"/>
    <w:rsid w:val="00892A48"/>
    <w:rsid w:val="00892D85"/>
    <w:rsid w:val="00893940"/>
    <w:rsid w:val="00893BE9"/>
    <w:rsid w:val="00893D58"/>
    <w:rsid w:val="00893DC6"/>
    <w:rsid w:val="0089418C"/>
    <w:rsid w:val="008942FA"/>
    <w:rsid w:val="00894770"/>
    <w:rsid w:val="0089489A"/>
    <w:rsid w:val="00894956"/>
    <w:rsid w:val="00894994"/>
    <w:rsid w:val="00894A1B"/>
    <w:rsid w:val="00894B5D"/>
    <w:rsid w:val="00894CA2"/>
    <w:rsid w:val="00894DD1"/>
    <w:rsid w:val="00894FBE"/>
    <w:rsid w:val="00895068"/>
    <w:rsid w:val="00895119"/>
    <w:rsid w:val="008954F8"/>
    <w:rsid w:val="0089559D"/>
    <w:rsid w:val="00895642"/>
    <w:rsid w:val="0089564E"/>
    <w:rsid w:val="00895751"/>
    <w:rsid w:val="00895779"/>
    <w:rsid w:val="00895F71"/>
    <w:rsid w:val="00896200"/>
    <w:rsid w:val="008964D6"/>
    <w:rsid w:val="008965ED"/>
    <w:rsid w:val="00896693"/>
    <w:rsid w:val="00896964"/>
    <w:rsid w:val="00896AC9"/>
    <w:rsid w:val="00896B46"/>
    <w:rsid w:val="00896F1A"/>
    <w:rsid w:val="00896FC2"/>
    <w:rsid w:val="00897592"/>
    <w:rsid w:val="00897874"/>
    <w:rsid w:val="00897AF6"/>
    <w:rsid w:val="00897BDB"/>
    <w:rsid w:val="00897F8B"/>
    <w:rsid w:val="008A0825"/>
    <w:rsid w:val="008A0A18"/>
    <w:rsid w:val="008A0AA6"/>
    <w:rsid w:val="008A10C5"/>
    <w:rsid w:val="008A1490"/>
    <w:rsid w:val="008A1819"/>
    <w:rsid w:val="008A1863"/>
    <w:rsid w:val="008A1B82"/>
    <w:rsid w:val="008A201E"/>
    <w:rsid w:val="008A2114"/>
    <w:rsid w:val="008A2275"/>
    <w:rsid w:val="008A23B6"/>
    <w:rsid w:val="008A2865"/>
    <w:rsid w:val="008A2A5C"/>
    <w:rsid w:val="008A2CA9"/>
    <w:rsid w:val="008A33C8"/>
    <w:rsid w:val="008A3453"/>
    <w:rsid w:val="008A3757"/>
    <w:rsid w:val="008A3D6A"/>
    <w:rsid w:val="008A3E55"/>
    <w:rsid w:val="008A40B9"/>
    <w:rsid w:val="008A4377"/>
    <w:rsid w:val="008A487D"/>
    <w:rsid w:val="008A488D"/>
    <w:rsid w:val="008A4A41"/>
    <w:rsid w:val="008A4C5A"/>
    <w:rsid w:val="008A51E1"/>
    <w:rsid w:val="008A5339"/>
    <w:rsid w:val="008A5364"/>
    <w:rsid w:val="008A5394"/>
    <w:rsid w:val="008A55C4"/>
    <w:rsid w:val="008A589C"/>
    <w:rsid w:val="008A5C5C"/>
    <w:rsid w:val="008A5E1F"/>
    <w:rsid w:val="008A6227"/>
    <w:rsid w:val="008A6285"/>
    <w:rsid w:val="008A6CE2"/>
    <w:rsid w:val="008A6D72"/>
    <w:rsid w:val="008A7353"/>
    <w:rsid w:val="008A7713"/>
    <w:rsid w:val="008A7C75"/>
    <w:rsid w:val="008B01AE"/>
    <w:rsid w:val="008B036E"/>
    <w:rsid w:val="008B05FA"/>
    <w:rsid w:val="008B0D0E"/>
    <w:rsid w:val="008B1872"/>
    <w:rsid w:val="008B1D91"/>
    <w:rsid w:val="008B2198"/>
    <w:rsid w:val="008B29B3"/>
    <w:rsid w:val="008B3E47"/>
    <w:rsid w:val="008B4013"/>
    <w:rsid w:val="008B40DD"/>
    <w:rsid w:val="008B49A3"/>
    <w:rsid w:val="008B4A47"/>
    <w:rsid w:val="008B4BD9"/>
    <w:rsid w:val="008B4CD3"/>
    <w:rsid w:val="008B4FA1"/>
    <w:rsid w:val="008B4FA7"/>
    <w:rsid w:val="008B513E"/>
    <w:rsid w:val="008B51E3"/>
    <w:rsid w:val="008B53C0"/>
    <w:rsid w:val="008B568F"/>
    <w:rsid w:val="008B569A"/>
    <w:rsid w:val="008B5C8E"/>
    <w:rsid w:val="008B5F02"/>
    <w:rsid w:val="008B5F68"/>
    <w:rsid w:val="008B636A"/>
    <w:rsid w:val="008B6772"/>
    <w:rsid w:val="008B6786"/>
    <w:rsid w:val="008B69A4"/>
    <w:rsid w:val="008B69D4"/>
    <w:rsid w:val="008B6A3F"/>
    <w:rsid w:val="008B6A62"/>
    <w:rsid w:val="008B6D16"/>
    <w:rsid w:val="008B6E5F"/>
    <w:rsid w:val="008B7518"/>
    <w:rsid w:val="008B7A20"/>
    <w:rsid w:val="008B7BBE"/>
    <w:rsid w:val="008C072C"/>
    <w:rsid w:val="008C0AB0"/>
    <w:rsid w:val="008C0B41"/>
    <w:rsid w:val="008C0B93"/>
    <w:rsid w:val="008C100E"/>
    <w:rsid w:val="008C1174"/>
    <w:rsid w:val="008C198F"/>
    <w:rsid w:val="008C1AD8"/>
    <w:rsid w:val="008C1BEB"/>
    <w:rsid w:val="008C2544"/>
    <w:rsid w:val="008C2A9F"/>
    <w:rsid w:val="008C2AD6"/>
    <w:rsid w:val="008C2C10"/>
    <w:rsid w:val="008C2E44"/>
    <w:rsid w:val="008C4176"/>
    <w:rsid w:val="008C4509"/>
    <w:rsid w:val="008C480A"/>
    <w:rsid w:val="008C4E3F"/>
    <w:rsid w:val="008C4F14"/>
    <w:rsid w:val="008C534C"/>
    <w:rsid w:val="008C53AB"/>
    <w:rsid w:val="008C59E4"/>
    <w:rsid w:val="008C5C17"/>
    <w:rsid w:val="008C63B7"/>
    <w:rsid w:val="008C66D4"/>
    <w:rsid w:val="008C6E4D"/>
    <w:rsid w:val="008C7660"/>
    <w:rsid w:val="008C79A9"/>
    <w:rsid w:val="008C7AA3"/>
    <w:rsid w:val="008C7FA5"/>
    <w:rsid w:val="008D0165"/>
    <w:rsid w:val="008D0309"/>
    <w:rsid w:val="008D05AD"/>
    <w:rsid w:val="008D066F"/>
    <w:rsid w:val="008D076F"/>
    <w:rsid w:val="008D0BDE"/>
    <w:rsid w:val="008D0DA7"/>
    <w:rsid w:val="008D127F"/>
    <w:rsid w:val="008D1689"/>
    <w:rsid w:val="008D1987"/>
    <w:rsid w:val="008D2113"/>
    <w:rsid w:val="008D2159"/>
    <w:rsid w:val="008D23C9"/>
    <w:rsid w:val="008D2545"/>
    <w:rsid w:val="008D25A2"/>
    <w:rsid w:val="008D2712"/>
    <w:rsid w:val="008D286D"/>
    <w:rsid w:val="008D28B7"/>
    <w:rsid w:val="008D29CC"/>
    <w:rsid w:val="008D2A36"/>
    <w:rsid w:val="008D2DCB"/>
    <w:rsid w:val="008D2DE7"/>
    <w:rsid w:val="008D2E88"/>
    <w:rsid w:val="008D3547"/>
    <w:rsid w:val="008D3BEA"/>
    <w:rsid w:val="008D3DB9"/>
    <w:rsid w:val="008D3E62"/>
    <w:rsid w:val="008D414F"/>
    <w:rsid w:val="008D481E"/>
    <w:rsid w:val="008D4A36"/>
    <w:rsid w:val="008D4DD7"/>
    <w:rsid w:val="008D4FB8"/>
    <w:rsid w:val="008D51E3"/>
    <w:rsid w:val="008D545D"/>
    <w:rsid w:val="008D59B8"/>
    <w:rsid w:val="008D61D4"/>
    <w:rsid w:val="008D6426"/>
    <w:rsid w:val="008D648E"/>
    <w:rsid w:val="008D6582"/>
    <w:rsid w:val="008D6D96"/>
    <w:rsid w:val="008D7018"/>
    <w:rsid w:val="008D7193"/>
    <w:rsid w:val="008D745F"/>
    <w:rsid w:val="008D7A78"/>
    <w:rsid w:val="008D7E00"/>
    <w:rsid w:val="008D7F29"/>
    <w:rsid w:val="008E005E"/>
    <w:rsid w:val="008E0085"/>
    <w:rsid w:val="008E05C3"/>
    <w:rsid w:val="008E0701"/>
    <w:rsid w:val="008E0CA2"/>
    <w:rsid w:val="008E0F7B"/>
    <w:rsid w:val="008E0FCE"/>
    <w:rsid w:val="008E1208"/>
    <w:rsid w:val="008E1589"/>
    <w:rsid w:val="008E158A"/>
    <w:rsid w:val="008E18CB"/>
    <w:rsid w:val="008E1C53"/>
    <w:rsid w:val="008E1C83"/>
    <w:rsid w:val="008E1E75"/>
    <w:rsid w:val="008E264D"/>
    <w:rsid w:val="008E277C"/>
    <w:rsid w:val="008E281C"/>
    <w:rsid w:val="008E28AC"/>
    <w:rsid w:val="008E2CC9"/>
    <w:rsid w:val="008E38D4"/>
    <w:rsid w:val="008E3A8C"/>
    <w:rsid w:val="008E3AC8"/>
    <w:rsid w:val="008E3BF1"/>
    <w:rsid w:val="008E409E"/>
    <w:rsid w:val="008E48C1"/>
    <w:rsid w:val="008E5239"/>
    <w:rsid w:val="008E55BB"/>
    <w:rsid w:val="008E6212"/>
    <w:rsid w:val="008E648E"/>
    <w:rsid w:val="008E692C"/>
    <w:rsid w:val="008E6B3C"/>
    <w:rsid w:val="008E7595"/>
    <w:rsid w:val="008E7AFD"/>
    <w:rsid w:val="008F00A1"/>
    <w:rsid w:val="008F0271"/>
    <w:rsid w:val="008F027E"/>
    <w:rsid w:val="008F09E4"/>
    <w:rsid w:val="008F0D63"/>
    <w:rsid w:val="008F0FEB"/>
    <w:rsid w:val="008F13B6"/>
    <w:rsid w:val="008F171E"/>
    <w:rsid w:val="008F1933"/>
    <w:rsid w:val="008F1A19"/>
    <w:rsid w:val="008F1B35"/>
    <w:rsid w:val="008F1BDC"/>
    <w:rsid w:val="008F1D98"/>
    <w:rsid w:val="008F1DDA"/>
    <w:rsid w:val="008F1E04"/>
    <w:rsid w:val="008F1FFA"/>
    <w:rsid w:val="008F200D"/>
    <w:rsid w:val="008F21FD"/>
    <w:rsid w:val="008F239C"/>
    <w:rsid w:val="008F26E2"/>
    <w:rsid w:val="008F270F"/>
    <w:rsid w:val="008F28AA"/>
    <w:rsid w:val="008F2E67"/>
    <w:rsid w:val="008F2F5D"/>
    <w:rsid w:val="008F303F"/>
    <w:rsid w:val="008F318C"/>
    <w:rsid w:val="008F3266"/>
    <w:rsid w:val="008F347A"/>
    <w:rsid w:val="008F348B"/>
    <w:rsid w:val="008F3C1B"/>
    <w:rsid w:val="008F3C70"/>
    <w:rsid w:val="008F43FF"/>
    <w:rsid w:val="008F4657"/>
    <w:rsid w:val="008F48BE"/>
    <w:rsid w:val="008F4D96"/>
    <w:rsid w:val="008F4DD4"/>
    <w:rsid w:val="008F53A5"/>
    <w:rsid w:val="008F53BA"/>
    <w:rsid w:val="008F579C"/>
    <w:rsid w:val="008F58D4"/>
    <w:rsid w:val="008F5909"/>
    <w:rsid w:val="008F5C2D"/>
    <w:rsid w:val="008F5E99"/>
    <w:rsid w:val="008F6515"/>
    <w:rsid w:val="008F6716"/>
    <w:rsid w:val="008F6CB7"/>
    <w:rsid w:val="008F6DC3"/>
    <w:rsid w:val="008F6EC2"/>
    <w:rsid w:val="008F7068"/>
    <w:rsid w:val="008F711C"/>
    <w:rsid w:val="008F77B1"/>
    <w:rsid w:val="008F7F4C"/>
    <w:rsid w:val="00900170"/>
    <w:rsid w:val="00900224"/>
    <w:rsid w:val="00900DE5"/>
    <w:rsid w:val="00900E25"/>
    <w:rsid w:val="00900F3A"/>
    <w:rsid w:val="009014AE"/>
    <w:rsid w:val="00901620"/>
    <w:rsid w:val="009016D1"/>
    <w:rsid w:val="00901E40"/>
    <w:rsid w:val="0090213A"/>
    <w:rsid w:val="009024C4"/>
    <w:rsid w:val="0090255D"/>
    <w:rsid w:val="009027C3"/>
    <w:rsid w:val="009027E0"/>
    <w:rsid w:val="00902962"/>
    <w:rsid w:val="00902A4E"/>
    <w:rsid w:val="00902A84"/>
    <w:rsid w:val="00902E9B"/>
    <w:rsid w:val="00903762"/>
    <w:rsid w:val="009038D3"/>
    <w:rsid w:val="00903906"/>
    <w:rsid w:val="00903BFC"/>
    <w:rsid w:val="00903F84"/>
    <w:rsid w:val="009040D8"/>
    <w:rsid w:val="009041E6"/>
    <w:rsid w:val="009042B0"/>
    <w:rsid w:val="00904323"/>
    <w:rsid w:val="009046BB"/>
    <w:rsid w:val="00904823"/>
    <w:rsid w:val="00904941"/>
    <w:rsid w:val="00904D43"/>
    <w:rsid w:val="00904D8A"/>
    <w:rsid w:val="009052E9"/>
    <w:rsid w:val="00905839"/>
    <w:rsid w:val="009059E5"/>
    <w:rsid w:val="00905A36"/>
    <w:rsid w:val="0090618B"/>
    <w:rsid w:val="00906596"/>
    <w:rsid w:val="00906930"/>
    <w:rsid w:val="009073F5"/>
    <w:rsid w:val="00907893"/>
    <w:rsid w:val="009078AB"/>
    <w:rsid w:val="00910481"/>
    <w:rsid w:val="009106E9"/>
    <w:rsid w:val="009108BD"/>
    <w:rsid w:val="00910F65"/>
    <w:rsid w:val="0091161E"/>
    <w:rsid w:val="00911992"/>
    <w:rsid w:val="00911C5B"/>
    <w:rsid w:val="00912124"/>
    <w:rsid w:val="0091219A"/>
    <w:rsid w:val="009128A9"/>
    <w:rsid w:val="00912945"/>
    <w:rsid w:val="00913220"/>
    <w:rsid w:val="009135CA"/>
    <w:rsid w:val="00913894"/>
    <w:rsid w:val="00913C51"/>
    <w:rsid w:val="0091418E"/>
    <w:rsid w:val="0091420E"/>
    <w:rsid w:val="00914F80"/>
    <w:rsid w:val="00914FE7"/>
    <w:rsid w:val="009150A4"/>
    <w:rsid w:val="009150EF"/>
    <w:rsid w:val="0091538F"/>
    <w:rsid w:val="00915492"/>
    <w:rsid w:val="00915643"/>
    <w:rsid w:val="0091565F"/>
    <w:rsid w:val="009157E6"/>
    <w:rsid w:val="00915A64"/>
    <w:rsid w:val="00915AA8"/>
    <w:rsid w:val="00915D73"/>
    <w:rsid w:val="00916287"/>
    <w:rsid w:val="009168C1"/>
    <w:rsid w:val="009174BA"/>
    <w:rsid w:val="00917853"/>
    <w:rsid w:val="00917AB7"/>
    <w:rsid w:val="009203B5"/>
    <w:rsid w:val="00920521"/>
    <w:rsid w:val="009207DF"/>
    <w:rsid w:val="009213F8"/>
    <w:rsid w:val="00921BDB"/>
    <w:rsid w:val="00921DFB"/>
    <w:rsid w:val="0092225F"/>
    <w:rsid w:val="009228B7"/>
    <w:rsid w:val="00922D08"/>
    <w:rsid w:val="0092323C"/>
    <w:rsid w:val="00923984"/>
    <w:rsid w:val="00923ADB"/>
    <w:rsid w:val="009240FB"/>
    <w:rsid w:val="00924263"/>
    <w:rsid w:val="00924B4E"/>
    <w:rsid w:val="00924D85"/>
    <w:rsid w:val="00924DB6"/>
    <w:rsid w:val="0092520C"/>
    <w:rsid w:val="00925472"/>
    <w:rsid w:val="009258D7"/>
    <w:rsid w:val="00925EE6"/>
    <w:rsid w:val="00926002"/>
    <w:rsid w:val="009262F1"/>
    <w:rsid w:val="00926420"/>
    <w:rsid w:val="009265DF"/>
    <w:rsid w:val="009266DF"/>
    <w:rsid w:val="0092683B"/>
    <w:rsid w:val="00926949"/>
    <w:rsid w:val="00927606"/>
    <w:rsid w:val="00927EE0"/>
    <w:rsid w:val="009300CF"/>
    <w:rsid w:val="00930576"/>
    <w:rsid w:val="00930953"/>
    <w:rsid w:val="00930DC5"/>
    <w:rsid w:val="00930EC9"/>
    <w:rsid w:val="00931241"/>
    <w:rsid w:val="00931909"/>
    <w:rsid w:val="00931DCB"/>
    <w:rsid w:val="00932068"/>
    <w:rsid w:val="009326B6"/>
    <w:rsid w:val="009326F1"/>
    <w:rsid w:val="0093291C"/>
    <w:rsid w:val="0093291F"/>
    <w:rsid w:val="0093296D"/>
    <w:rsid w:val="00932B96"/>
    <w:rsid w:val="00932BB2"/>
    <w:rsid w:val="00933362"/>
    <w:rsid w:val="0093367D"/>
    <w:rsid w:val="009336CE"/>
    <w:rsid w:val="0093395C"/>
    <w:rsid w:val="00933BF7"/>
    <w:rsid w:val="00933CA5"/>
    <w:rsid w:val="00933CFA"/>
    <w:rsid w:val="00933D58"/>
    <w:rsid w:val="0093403F"/>
    <w:rsid w:val="009343E7"/>
    <w:rsid w:val="00934418"/>
    <w:rsid w:val="009348D6"/>
    <w:rsid w:val="00934BF3"/>
    <w:rsid w:val="00934CAA"/>
    <w:rsid w:val="00935339"/>
    <w:rsid w:val="0093548A"/>
    <w:rsid w:val="009359DD"/>
    <w:rsid w:val="00935DD1"/>
    <w:rsid w:val="00936763"/>
    <w:rsid w:val="0093689A"/>
    <w:rsid w:val="00936F5A"/>
    <w:rsid w:val="0093720A"/>
    <w:rsid w:val="009374F3"/>
    <w:rsid w:val="00937546"/>
    <w:rsid w:val="009378BE"/>
    <w:rsid w:val="009378EE"/>
    <w:rsid w:val="00937AEC"/>
    <w:rsid w:val="00937FCD"/>
    <w:rsid w:val="00940239"/>
    <w:rsid w:val="009404AB"/>
    <w:rsid w:val="00940563"/>
    <w:rsid w:val="009408AE"/>
    <w:rsid w:val="00940A29"/>
    <w:rsid w:val="00940B01"/>
    <w:rsid w:val="00940CA2"/>
    <w:rsid w:val="009410B4"/>
    <w:rsid w:val="009412D1"/>
    <w:rsid w:val="0094155D"/>
    <w:rsid w:val="0094174A"/>
    <w:rsid w:val="00941B93"/>
    <w:rsid w:val="00941E3B"/>
    <w:rsid w:val="00942393"/>
    <w:rsid w:val="009423D3"/>
    <w:rsid w:val="009429F6"/>
    <w:rsid w:val="00942EB5"/>
    <w:rsid w:val="0094307E"/>
    <w:rsid w:val="009430DE"/>
    <w:rsid w:val="00943AF1"/>
    <w:rsid w:val="00943F2B"/>
    <w:rsid w:val="0094444D"/>
    <w:rsid w:val="009445D2"/>
    <w:rsid w:val="00944857"/>
    <w:rsid w:val="00944962"/>
    <w:rsid w:val="00944D22"/>
    <w:rsid w:val="00944D3A"/>
    <w:rsid w:val="00944F44"/>
    <w:rsid w:val="009450A8"/>
    <w:rsid w:val="00945CA1"/>
    <w:rsid w:val="00945D71"/>
    <w:rsid w:val="00946010"/>
    <w:rsid w:val="0094629D"/>
    <w:rsid w:val="00946509"/>
    <w:rsid w:val="009465D1"/>
    <w:rsid w:val="00946820"/>
    <w:rsid w:val="00946872"/>
    <w:rsid w:val="00946A06"/>
    <w:rsid w:val="00946E74"/>
    <w:rsid w:val="0094715D"/>
    <w:rsid w:val="009471C5"/>
    <w:rsid w:val="009477AD"/>
    <w:rsid w:val="00947B93"/>
    <w:rsid w:val="00947D82"/>
    <w:rsid w:val="009500A6"/>
    <w:rsid w:val="00950209"/>
    <w:rsid w:val="0095046C"/>
    <w:rsid w:val="009506E4"/>
    <w:rsid w:val="0095080C"/>
    <w:rsid w:val="00950DA1"/>
    <w:rsid w:val="00950DA4"/>
    <w:rsid w:val="009513BC"/>
    <w:rsid w:val="0095140C"/>
    <w:rsid w:val="00951856"/>
    <w:rsid w:val="00951AD8"/>
    <w:rsid w:val="00951AF1"/>
    <w:rsid w:val="00951C65"/>
    <w:rsid w:val="00951D12"/>
    <w:rsid w:val="00951D5F"/>
    <w:rsid w:val="00951E87"/>
    <w:rsid w:val="00951F0D"/>
    <w:rsid w:val="009524F6"/>
    <w:rsid w:val="009525B3"/>
    <w:rsid w:val="009528ED"/>
    <w:rsid w:val="00952D0C"/>
    <w:rsid w:val="00952FE4"/>
    <w:rsid w:val="00953221"/>
    <w:rsid w:val="0095380A"/>
    <w:rsid w:val="009539C9"/>
    <w:rsid w:val="00953A44"/>
    <w:rsid w:val="00953B08"/>
    <w:rsid w:val="00953D59"/>
    <w:rsid w:val="00953DD9"/>
    <w:rsid w:val="00954229"/>
    <w:rsid w:val="00954584"/>
    <w:rsid w:val="0095541C"/>
    <w:rsid w:val="0095584F"/>
    <w:rsid w:val="00955971"/>
    <w:rsid w:val="009561B7"/>
    <w:rsid w:val="00956C1F"/>
    <w:rsid w:val="00956CA5"/>
    <w:rsid w:val="0095715B"/>
    <w:rsid w:val="009571C3"/>
    <w:rsid w:val="00957227"/>
    <w:rsid w:val="009574CC"/>
    <w:rsid w:val="009574D5"/>
    <w:rsid w:val="009578A2"/>
    <w:rsid w:val="00957F5D"/>
    <w:rsid w:val="0096074D"/>
    <w:rsid w:val="00960ADC"/>
    <w:rsid w:val="00960C03"/>
    <w:rsid w:val="00960D30"/>
    <w:rsid w:val="00960E36"/>
    <w:rsid w:val="00960FDE"/>
    <w:rsid w:val="009610FF"/>
    <w:rsid w:val="009615CD"/>
    <w:rsid w:val="0096174E"/>
    <w:rsid w:val="009617E7"/>
    <w:rsid w:val="00961835"/>
    <w:rsid w:val="00961E7B"/>
    <w:rsid w:val="00961EB3"/>
    <w:rsid w:val="009621F6"/>
    <w:rsid w:val="0096231A"/>
    <w:rsid w:val="00962728"/>
    <w:rsid w:val="00962A28"/>
    <w:rsid w:val="0096306B"/>
    <w:rsid w:val="00963185"/>
    <w:rsid w:val="009635D8"/>
    <w:rsid w:val="00963A37"/>
    <w:rsid w:val="00963C37"/>
    <w:rsid w:val="00963C56"/>
    <w:rsid w:val="00963C7A"/>
    <w:rsid w:val="00963E13"/>
    <w:rsid w:val="00964228"/>
    <w:rsid w:val="009645B1"/>
    <w:rsid w:val="0096462A"/>
    <w:rsid w:val="00964864"/>
    <w:rsid w:val="00964865"/>
    <w:rsid w:val="00964882"/>
    <w:rsid w:val="00965062"/>
    <w:rsid w:val="0096592E"/>
    <w:rsid w:val="00965B3F"/>
    <w:rsid w:val="00965E3A"/>
    <w:rsid w:val="00965E76"/>
    <w:rsid w:val="00966C4D"/>
    <w:rsid w:val="0096723C"/>
    <w:rsid w:val="0096737E"/>
    <w:rsid w:val="009678D6"/>
    <w:rsid w:val="00967C2A"/>
    <w:rsid w:val="00967F1A"/>
    <w:rsid w:val="00970E9F"/>
    <w:rsid w:val="00970EA9"/>
    <w:rsid w:val="00970F0A"/>
    <w:rsid w:val="00970F44"/>
    <w:rsid w:val="009711F5"/>
    <w:rsid w:val="00971248"/>
    <w:rsid w:val="00971711"/>
    <w:rsid w:val="009717E7"/>
    <w:rsid w:val="00971B48"/>
    <w:rsid w:val="009725B6"/>
    <w:rsid w:val="0097285D"/>
    <w:rsid w:val="00972C18"/>
    <w:rsid w:val="00972EAD"/>
    <w:rsid w:val="00972FCE"/>
    <w:rsid w:val="0097302A"/>
    <w:rsid w:val="009738E3"/>
    <w:rsid w:val="009739A7"/>
    <w:rsid w:val="00973BA3"/>
    <w:rsid w:val="00973BC6"/>
    <w:rsid w:val="00973C51"/>
    <w:rsid w:val="00973D05"/>
    <w:rsid w:val="00973EEB"/>
    <w:rsid w:val="00973F7B"/>
    <w:rsid w:val="009742FB"/>
    <w:rsid w:val="00974B18"/>
    <w:rsid w:val="00974BD2"/>
    <w:rsid w:val="009759CD"/>
    <w:rsid w:val="009763DA"/>
    <w:rsid w:val="00976467"/>
    <w:rsid w:val="00976703"/>
    <w:rsid w:val="00976979"/>
    <w:rsid w:val="00976AC0"/>
    <w:rsid w:val="00976F19"/>
    <w:rsid w:val="009770F8"/>
    <w:rsid w:val="009771C7"/>
    <w:rsid w:val="00977205"/>
    <w:rsid w:val="00977625"/>
    <w:rsid w:val="00977AEA"/>
    <w:rsid w:val="00977B3F"/>
    <w:rsid w:val="00977D6B"/>
    <w:rsid w:val="00977D8C"/>
    <w:rsid w:val="00977E7E"/>
    <w:rsid w:val="00977E81"/>
    <w:rsid w:val="00977FB5"/>
    <w:rsid w:val="009804A2"/>
    <w:rsid w:val="00980CEA"/>
    <w:rsid w:val="009811F2"/>
    <w:rsid w:val="00981644"/>
    <w:rsid w:val="00981CD1"/>
    <w:rsid w:val="00981E6D"/>
    <w:rsid w:val="00981EEF"/>
    <w:rsid w:val="00981FD8"/>
    <w:rsid w:val="009822EA"/>
    <w:rsid w:val="00982329"/>
    <w:rsid w:val="00982733"/>
    <w:rsid w:val="00982EB9"/>
    <w:rsid w:val="00982EFD"/>
    <w:rsid w:val="009831C3"/>
    <w:rsid w:val="009832A8"/>
    <w:rsid w:val="00983482"/>
    <w:rsid w:val="0098359B"/>
    <w:rsid w:val="0098393D"/>
    <w:rsid w:val="00983B6E"/>
    <w:rsid w:val="00983FEE"/>
    <w:rsid w:val="00984262"/>
    <w:rsid w:val="009843DA"/>
    <w:rsid w:val="0098449D"/>
    <w:rsid w:val="009847D1"/>
    <w:rsid w:val="00984857"/>
    <w:rsid w:val="00984AE1"/>
    <w:rsid w:val="00984C82"/>
    <w:rsid w:val="0098546B"/>
    <w:rsid w:val="009854E5"/>
    <w:rsid w:val="0098562A"/>
    <w:rsid w:val="00985C77"/>
    <w:rsid w:val="00985D3F"/>
    <w:rsid w:val="00986444"/>
    <w:rsid w:val="00986B0E"/>
    <w:rsid w:val="00986D04"/>
    <w:rsid w:val="009870F8"/>
    <w:rsid w:val="00987401"/>
    <w:rsid w:val="0098743B"/>
    <w:rsid w:val="00987607"/>
    <w:rsid w:val="009876AF"/>
    <w:rsid w:val="00987917"/>
    <w:rsid w:val="009879A2"/>
    <w:rsid w:val="00987F12"/>
    <w:rsid w:val="00990D0F"/>
    <w:rsid w:val="009912A1"/>
    <w:rsid w:val="009912F3"/>
    <w:rsid w:val="009913E7"/>
    <w:rsid w:val="00991AA6"/>
    <w:rsid w:val="00991D4F"/>
    <w:rsid w:val="0099236F"/>
    <w:rsid w:val="00992AFB"/>
    <w:rsid w:val="00992B17"/>
    <w:rsid w:val="00992BFB"/>
    <w:rsid w:val="009930D2"/>
    <w:rsid w:val="009930E9"/>
    <w:rsid w:val="0099311F"/>
    <w:rsid w:val="00993159"/>
    <w:rsid w:val="0099333B"/>
    <w:rsid w:val="00993593"/>
    <w:rsid w:val="009939ED"/>
    <w:rsid w:val="00994C39"/>
    <w:rsid w:val="00994C54"/>
    <w:rsid w:val="00994DD9"/>
    <w:rsid w:val="00995090"/>
    <w:rsid w:val="00995198"/>
    <w:rsid w:val="00995350"/>
    <w:rsid w:val="00995828"/>
    <w:rsid w:val="00995AA1"/>
    <w:rsid w:val="00995AA8"/>
    <w:rsid w:val="00996135"/>
    <w:rsid w:val="009965B9"/>
    <w:rsid w:val="00996617"/>
    <w:rsid w:val="00996AA4"/>
    <w:rsid w:val="00996D06"/>
    <w:rsid w:val="009970BE"/>
    <w:rsid w:val="0099741C"/>
    <w:rsid w:val="00997525"/>
    <w:rsid w:val="0099769B"/>
    <w:rsid w:val="009977BF"/>
    <w:rsid w:val="009978AC"/>
    <w:rsid w:val="00997A47"/>
    <w:rsid w:val="00997BDC"/>
    <w:rsid w:val="00997C8D"/>
    <w:rsid w:val="00997E86"/>
    <w:rsid w:val="009A0533"/>
    <w:rsid w:val="009A0CA4"/>
    <w:rsid w:val="009A10FD"/>
    <w:rsid w:val="009A1118"/>
    <w:rsid w:val="009A1233"/>
    <w:rsid w:val="009A163B"/>
    <w:rsid w:val="009A179A"/>
    <w:rsid w:val="009A23ED"/>
    <w:rsid w:val="009A2557"/>
    <w:rsid w:val="009A25F8"/>
    <w:rsid w:val="009A263C"/>
    <w:rsid w:val="009A2E57"/>
    <w:rsid w:val="009A36E8"/>
    <w:rsid w:val="009A37B1"/>
    <w:rsid w:val="009A381B"/>
    <w:rsid w:val="009A38EE"/>
    <w:rsid w:val="009A3B30"/>
    <w:rsid w:val="009A405E"/>
    <w:rsid w:val="009A4096"/>
    <w:rsid w:val="009A4694"/>
    <w:rsid w:val="009A4D58"/>
    <w:rsid w:val="009A4FDF"/>
    <w:rsid w:val="009A5664"/>
    <w:rsid w:val="009A5BAD"/>
    <w:rsid w:val="009A68F0"/>
    <w:rsid w:val="009A69CF"/>
    <w:rsid w:val="009A6B67"/>
    <w:rsid w:val="009A6F65"/>
    <w:rsid w:val="009A6F9F"/>
    <w:rsid w:val="009A7873"/>
    <w:rsid w:val="009A7BEE"/>
    <w:rsid w:val="009A7BF7"/>
    <w:rsid w:val="009B005D"/>
    <w:rsid w:val="009B0276"/>
    <w:rsid w:val="009B032B"/>
    <w:rsid w:val="009B0888"/>
    <w:rsid w:val="009B0A92"/>
    <w:rsid w:val="009B1499"/>
    <w:rsid w:val="009B2034"/>
    <w:rsid w:val="009B22DA"/>
    <w:rsid w:val="009B27D2"/>
    <w:rsid w:val="009B2DB1"/>
    <w:rsid w:val="009B3241"/>
    <w:rsid w:val="009B39FE"/>
    <w:rsid w:val="009B3A4B"/>
    <w:rsid w:val="009B3C53"/>
    <w:rsid w:val="009B3CD1"/>
    <w:rsid w:val="009B3F21"/>
    <w:rsid w:val="009B42B8"/>
    <w:rsid w:val="009B4381"/>
    <w:rsid w:val="009B48A5"/>
    <w:rsid w:val="009B4C6F"/>
    <w:rsid w:val="009B4C7B"/>
    <w:rsid w:val="009B5B05"/>
    <w:rsid w:val="009B5B36"/>
    <w:rsid w:val="009B5B96"/>
    <w:rsid w:val="009B5C1D"/>
    <w:rsid w:val="009B5C5A"/>
    <w:rsid w:val="009B5D04"/>
    <w:rsid w:val="009B6085"/>
    <w:rsid w:val="009B62D9"/>
    <w:rsid w:val="009B6C74"/>
    <w:rsid w:val="009B6CFE"/>
    <w:rsid w:val="009B734B"/>
    <w:rsid w:val="009B7427"/>
    <w:rsid w:val="009B773B"/>
    <w:rsid w:val="009B7909"/>
    <w:rsid w:val="009B7913"/>
    <w:rsid w:val="009B7AB0"/>
    <w:rsid w:val="009B7C39"/>
    <w:rsid w:val="009B7C4A"/>
    <w:rsid w:val="009B7E44"/>
    <w:rsid w:val="009C0020"/>
    <w:rsid w:val="009C09E3"/>
    <w:rsid w:val="009C0A65"/>
    <w:rsid w:val="009C0BD5"/>
    <w:rsid w:val="009C0D03"/>
    <w:rsid w:val="009C11FF"/>
    <w:rsid w:val="009C1889"/>
    <w:rsid w:val="009C18EF"/>
    <w:rsid w:val="009C1C73"/>
    <w:rsid w:val="009C1CB6"/>
    <w:rsid w:val="009C1CC6"/>
    <w:rsid w:val="009C27C1"/>
    <w:rsid w:val="009C2FAF"/>
    <w:rsid w:val="009C3413"/>
    <w:rsid w:val="009C343A"/>
    <w:rsid w:val="009C365A"/>
    <w:rsid w:val="009C369F"/>
    <w:rsid w:val="009C3A67"/>
    <w:rsid w:val="009C3EEC"/>
    <w:rsid w:val="009C4461"/>
    <w:rsid w:val="009C4518"/>
    <w:rsid w:val="009C45AD"/>
    <w:rsid w:val="009C494D"/>
    <w:rsid w:val="009C4D05"/>
    <w:rsid w:val="009C4DC3"/>
    <w:rsid w:val="009C4E3A"/>
    <w:rsid w:val="009C503F"/>
    <w:rsid w:val="009C53B1"/>
    <w:rsid w:val="009C5447"/>
    <w:rsid w:val="009C5665"/>
    <w:rsid w:val="009C57B5"/>
    <w:rsid w:val="009C57EC"/>
    <w:rsid w:val="009C5878"/>
    <w:rsid w:val="009C5B0C"/>
    <w:rsid w:val="009C5D37"/>
    <w:rsid w:val="009C646E"/>
    <w:rsid w:val="009C6997"/>
    <w:rsid w:val="009C6C7B"/>
    <w:rsid w:val="009C6DD1"/>
    <w:rsid w:val="009C6E1A"/>
    <w:rsid w:val="009C75D3"/>
    <w:rsid w:val="009C76DC"/>
    <w:rsid w:val="009C7C85"/>
    <w:rsid w:val="009C7D1F"/>
    <w:rsid w:val="009D0165"/>
    <w:rsid w:val="009D03DD"/>
    <w:rsid w:val="009D080C"/>
    <w:rsid w:val="009D091F"/>
    <w:rsid w:val="009D09A5"/>
    <w:rsid w:val="009D0A0B"/>
    <w:rsid w:val="009D0F9E"/>
    <w:rsid w:val="009D10DF"/>
    <w:rsid w:val="009D1492"/>
    <w:rsid w:val="009D14A8"/>
    <w:rsid w:val="009D15FA"/>
    <w:rsid w:val="009D18A6"/>
    <w:rsid w:val="009D1D07"/>
    <w:rsid w:val="009D255E"/>
    <w:rsid w:val="009D2901"/>
    <w:rsid w:val="009D29CC"/>
    <w:rsid w:val="009D2CE6"/>
    <w:rsid w:val="009D35A8"/>
    <w:rsid w:val="009D36F2"/>
    <w:rsid w:val="009D3B46"/>
    <w:rsid w:val="009D3DE3"/>
    <w:rsid w:val="009D3E2C"/>
    <w:rsid w:val="009D3F91"/>
    <w:rsid w:val="009D401A"/>
    <w:rsid w:val="009D429B"/>
    <w:rsid w:val="009D432B"/>
    <w:rsid w:val="009D4502"/>
    <w:rsid w:val="009D455E"/>
    <w:rsid w:val="009D49C2"/>
    <w:rsid w:val="009D4A8A"/>
    <w:rsid w:val="009D4E26"/>
    <w:rsid w:val="009D52B9"/>
    <w:rsid w:val="009D53FD"/>
    <w:rsid w:val="009D5438"/>
    <w:rsid w:val="009D56C5"/>
    <w:rsid w:val="009D5966"/>
    <w:rsid w:val="009D5AA6"/>
    <w:rsid w:val="009D5D2C"/>
    <w:rsid w:val="009D707E"/>
    <w:rsid w:val="009D750C"/>
    <w:rsid w:val="009D7548"/>
    <w:rsid w:val="009D79F2"/>
    <w:rsid w:val="009D7A32"/>
    <w:rsid w:val="009D7DC7"/>
    <w:rsid w:val="009E022C"/>
    <w:rsid w:val="009E05DB"/>
    <w:rsid w:val="009E14FF"/>
    <w:rsid w:val="009E1B3F"/>
    <w:rsid w:val="009E1E4D"/>
    <w:rsid w:val="009E219B"/>
    <w:rsid w:val="009E21BD"/>
    <w:rsid w:val="009E27B5"/>
    <w:rsid w:val="009E29E6"/>
    <w:rsid w:val="009E2A2B"/>
    <w:rsid w:val="009E2F1A"/>
    <w:rsid w:val="009E30A5"/>
    <w:rsid w:val="009E31D1"/>
    <w:rsid w:val="009E3208"/>
    <w:rsid w:val="009E321E"/>
    <w:rsid w:val="009E3574"/>
    <w:rsid w:val="009E35BB"/>
    <w:rsid w:val="009E3797"/>
    <w:rsid w:val="009E3B19"/>
    <w:rsid w:val="009E3F89"/>
    <w:rsid w:val="009E40BB"/>
    <w:rsid w:val="009E42D9"/>
    <w:rsid w:val="009E45C8"/>
    <w:rsid w:val="009E464E"/>
    <w:rsid w:val="009E4A38"/>
    <w:rsid w:val="009E4AD7"/>
    <w:rsid w:val="009E4B7E"/>
    <w:rsid w:val="009E4D0A"/>
    <w:rsid w:val="009E4E23"/>
    <w:rsid w:val="009E4E58"/>
    <w:rsid w:val="009E55A8"/>
    <w:rsid w:val="009E5809"/>
    <w:rsid w:val="009E588F"/>
    <w:rsid w:val="009E591E"/>
    <w:rsid w:val="009E605C"/>
    <w:rsid w:val="009E60DF"/>
    <w:rsid w:val="009E6439"/>
    <w:rsid w:val="009E69C5"/>
    <w:rsid w:val="009E6CCD"/>
    <w:rsid w:val="009E711B"/>
    <w:rsid w:val="009E7390"/>
    <w:rsid w:val="009E7440"/>
    <w:rsid w:val="009E7509"/>
    <w:rsid w:val="009E76D0"/>
    <w:rsid w:val="009E7868"/>
    <w:rsid w:val="009E7AFC"/>
    <w:rsid w:val="009E7B94"/>
    <w:rsid w:val="009E7C64"/>
    <w:rsid w:val="009F0457"/>
    <w:rsid w:val="009F0DDA"/>
    <w:rsid w:val="009F11CD"/>
    <w:rsid w:val="009F11D7"/>
    <w:rsid w:val="009F21DA"/>
    <w:rsid w:val="009F21FA"/>
    <w:rsid w:val="009F266C"/>
    <w:rsid w:val="009F2681"/>
    <w:rsid w:val="009F26AC"/>
    <w:rsid w:val="009F2EA0"/>
    <w:rsid w:val="009F2EF2"/>
    <w:rsid w:val="009F3329"/>
    <w:rsid w:val="009F3438"/>
    <w:rsid w:val="009F3660"/>
    <w:rsid w:val="009F3A75"/>
    <w:rsid w:val="009F41E0"/>
    <w:rsid w:val="009F4752"/>
    <w:rsid w:val="009F48A3"/>
    <w:rsid w:val="009F4AFC"/>
    <w:rsid w:val="009F4B33"/>
    <w:rsid w:val="009F4CA0"/>
    <w:rsid w:val="009F5055"/>
    <w:rsid w:val="009F50A4"/>
    <w:rsid w:val="009F50C5"/>
    <w:rsid w:val="009F50DE"/>
    <w:rsid w:val="009F51B7"/>
    <w:rsid w:val="009F5306"/>
    <w:rsid w:val="009F5569"/>
    <w:rsid w:val="009F5B1C"/>
    <w:rsid w:val="009F5D7A"/>
    <w:rsid w:val="009F61E0"/>
    <w:rsid w:val="009F635F"/>
    <w:rsid w:val="009F65B0"/>
    <w:rsid w:val="009F6696"/>
    <w:rsid w:val="009F66C4"/>
    <w:rsid w:val="009F68AF"/>
    <w:rsid w:val="009F6A74"/>
    <w:rsid w:val="009F7182"/>
    <w:rsid w:val="009F737A"/>
    <w:rsid w:val="009F7602"/>
    <w:rsid w:val="009F764F"/>
    <w:rsid w:val="009F795E"/>
    <w:rsid w:val="009F7D15"/>
    <w:rsid w:val="009F7E47"/>
    <w:rsid w:val="00A0009E"/>
    <w:rsid w:val="00A0017C"/>
    <w:rsid w:val="00A00824"/>
    <w:rsid w:val="00A00878"/>
    <w:rsid w:val="00A00BB6"/>
    <w:rsid w:val="00A00FC2"/>
    <w:rsid w:val="00A014CC"/>
    <w:rsid w:val="00A01BA8"/>
    <w:rsid w:val="00A01C46"/>
    <w:rsid w:val="00A01D47"/>
    <w:rsid w:val="00A021BC"/>
    <w:rsid w:val="00A022C5"/>
    <w:rsid w:val="00A02428"/>
    <w:rsid w:val="00A029C6"/>
    <w:rsid w:val="00A02B15"/>
    <w:rsid w:val="00A02CFD"/>
    <w:rsid w:val="00A02E58"/>
    <w:rsid w:val="00A030A4"/>
    <w:rsid w:val="00A030C6"/>
    <w:rsid w:val="00A03259"/>
    <w:rsid w:val="00A03785"/>
    <w:rsid w:val="00A03818"/>
    <w:rsid w:val="00A03ADD"/>
    <w:rsid w:val="00A03B9E"/>
    <w:rsid w:val="00A03BD2"/>
    <w:rsid w:val="00A04007"/>
    <w:rsid w:val="00A04112"/>
    <w:rsid w:val="00A04140"/>
    <w:rsid w:val="00A046DE"/>
    <w:rsid w:val="00A04A24"/>
    <w:rsid w:val="00A04A2C"/>
    <w:rsid w:val="00A04DE0"/>
    <w:rsid w:val="00A04F1B"/>
    <w:rsid w:val="00A051B9"/>
    <w:rsid w:val="00A0572C"/>
    <w:rsid w:val="00A05FE2"/>
    <w:rsid w:val="00A06035"/>
    <w:rsid w:val="00A0604A"/>
    <w:rsid w:val="00A06180"/>
    <w:rsid w:val="00A06292"/>
    <w:rsid w:val="00A06654"/>
    <w:rsid w:val="00A066CB"/>
    <w:rsid w:val="00A06D4F"/>
    <w:rsid w:val="00A071C0"/>
    <w:rsid w:val="00A0727B"/>
    <w:rsid w:val="00A073AC"/>
    <w:rsid w:val="00A074B6"/>
    <w:rsid w:val="00A07685"/>
    <w:rsid w:val="00A07BF5"/>
    <w:rsid w:val="00A07D81"/>
    <w:rsid w:val="00A10433"/>
    <w:rsid w:val="00A10657"/>
    <w:rsid w:val="00A108E2"/>
    <w:rsid w:val="00A1098E"/>
    <w:rsid w:val="00A10BA1"/>
    <w:rsid w:val="00A10C06"/>
    <w:rsid w:val="00A10CB5"/>
    <w:rsid w:val="00A10EF0"/>
    <w:rsid w:val="00A1110A"/>
    <w:rsid w:val="00A113F7"/>
    <w:rsid w:val="00A11A98"/>
    <w:rsid w:val="00A11E4D"/>
    <w:rsid w:val="00A11F1A"/>
    <w:rsid w:val="00A11F66"/>
    <w:rsid w:val="00A128CC"/>
    <w:rsid w:val="00A12CB3"/>
    <w:rsid w:val="00A12D71"/>
    <w:rsid w:val="00A12E5A"/>
    <w:rsid w:val="00A12E79"/>
    <w:rsid w:val="00A131AA"/>
    <w:rsid w:val="00A13528"/>
    <w:rsid w:val="00A13537"/>
    <w:rsid w:val="00A135CD"/>
    <w:rsid w:val="00A1385B"/>
    <w:rsid w:val="00A13D27"/>
    <w:rsid w:val="00A13E99"/>
    <w:rsid w:val="00A13F90"/>
    <w:rsid w:val="00A1400D"/>
    <w:rsid w:val="00A140C9"/>
    <w:rsid w:val="00A1455C"/>
    <w:rsid w:val="00A147FF"/>
    <w:rsid w:val="00A14874"/>
    <w:rsid w:val="00A148E1"/>
    <w:rsid w:val="00A1494E"/>
    <w:rsid w:val="00A14B90"/>
    <w:rsid w:val="00A1511D"/>
    <w:rsid w:val="00A1531D"/>
    <w:rsid w:val="00A153BD"/>
    <w:rsid w:val="00A159BD"/>
    <w:rsid w:val="00A15D89"/>
    <w:rsid w:val="00A15E43"/>
    <w:rsid w:val="00A15F8D"/>
    <w:rsid w:val="00A165A8"/>
    <w:rsid w:val="00A1681E"/>
    <w:rsid w:val="00A168A4"/>
    <w:rsid w:val="00A169EB"/>
    <w:rsid w:val="00A17623"/>
    <w:rsid w:val="00A176CD"/>
    <w:rsid w:val="00A17C4F"/>
    <w:rsid w:val="00A17D2F"/>
    <w:rsid w:val="00A17EB1"/>
    <w:rsid w:val="00A200A5"/>
    <w:rsid w:val="00A20DD6"/>
    <w:rsid w:val="00A20E12"/>
    <w:rsid w:val="00A21713"/>
    <w:rsid w:val="00A21A6F"/>
    <w:rsid w:val="00A21C16"/>
    <w:rsid w:val="00A21C2D"/>
    <w:rsid w:val="00A2203B"/>
    <w:rsid w:val="00A222F0"/>
    <w:rsid w:val="00A2264F"/>
    <w:rsid w:val="00A22C63"/>
    <w:rsid w:val="00A23532"/>
    <w:rsid w:val="00A237B9"/>
    <w:rsid w:val="00A23B76"/>
    <w:rsid w:val="00A23CAE"/>
    <w:rsid w:val="00A240F6"/>
    <w:rsid w:val="00A243F1"/>
    <w:rsid w:val="00A24824"/>
    <w:rsid w:val="00A24826"/>
    <w:rsid w:val="00A24871"/>
    <w:rsid w:val="00A24A65"/>
    <w:rsid w:val="00A2517E"/>
    <w:rsid w:val="00A2538D"/>
    <w:rsid w:val="00A25441"/>
    <w:rsid w:val="00A25549"/>
    <w:rsid w:val="00A25A16"/>
    <w:rsid w:val="00A25ACC"/>
    <w:rsid w:val="00A264B7"/>
    <w:rsid w:val="00A2662F"/>
    <w:rsid w:val="00A26748"/>
    <w:rsid w:val="00A26EB8"/>
    <w:rsid w:val="00A271A0"/>
    <w:rsid w:val="00A27BE2"/>
    <w:rsid w:val="00A30092"/>
    <w:rsid w:val="00A3030A"/>
    <w:rsid w:val="00A303AC"/>
    <w:rsid w:val="00A3062A"/>
    <w:rsid w:val="00A30ABB"/>
    <w:rsid w:val="00A30AFB"/>
    <w:rsid w:val="00A30B1F"/>
    <w:rsid w:val="00A30D2E"/>
    <w:rsid w:val="00A30E00"/>
    <w:rsid w:val="00A3117F"/>
    <w:rsid w:val="00A31895"/>
    <w:rsid w:val="00A31AFE"/>
    <w:rsid w:val="00A31BC6"/>
    <w:rsid w:val="00A31CE7"/>
    <w:rsid w:val="00A32109"/>
    <w:rsid w:val="00A32279"/>
    <w:rsid w:val="00A32541"/>
    <w:rsid w:val="00A32556"/>
    <w:rsid w:val="00A32724"/>
    <w:rsid w:val="00A32961"/>
    <w:rsid w:val="00A32B8A"/>
    <w:rsid w:val="00A32CB7"/>
    <w:rsid w:val="00A3306F"/>
    <w:rsid w:val="00A330A9"/>
    <w:rsid w:val="00A331AF"/>
    <w:rsid w:val="00A3347D"/>
    <w:rsid w:val="00A3358C"/>
    <w:rsid w:val="00A33637"/>
    <w:rsid w:val="00A338F3"/>
    <w:rsid w:val="00A3395D"/>
    <w:rsid w:val="00A33A1C"/>
    <w:rsid w:val="00A34022"/>
    <w:rsid w:val="00A340B4"/>
    <w:rsid w:val="00A340D5"/>
    <w:rsid w:val="00A340DE"/>
    <w:rsid w:val="00A341B8"/>
    <w:rsid w:val="00A34267"/>
    <w:rsid w:val="00A3453E"/>
    <w:rsid w:val="00A346FB"/>
    <w:rsid w:val="00A347A4"/>
    <w:rsid w:val="00A347DA"/>
    <w:rsid w:val="00A35097"/>
    <w:rsid w:val="00A351B7"/>
    <w:rsid w:val="00A351E5"/>
    <w:rsid w:val="00A35563"/>
    <w:rsid w:val="00A35741"/>
    <w:rsid w:val="00A358F5"/>
    <w:rsid w:val="00A35A06"/>
    <w:rsid w:val="00A35D99"/>
    <w:rsid w:val="00A362EA"/>
    <w:rsid w:val="00A3646F"/>
    <w:rsid w:val="00A3666C"/>
    <w:rsid w:val="00A36742"/>
    <w:rsid w:val="00A36818"/>
    <w:rsid w:val="00A36D7C"/>
    <w:rsid w:val="00A3739D"/>
    <w:rsid w:val="00A37655"/>
    <w:rsid w:val="00A40081"/>
    <w:rsid w:val="00A4068F"/>
    <w:rsid w:val="00A40A85"/>
    <w:rsid w:val="00A40C1E"/>
    <w:rsid w:val="00A410A6"/>
    <w:rsid w:val="00A416B0"/>
    <w:rsid w:val="00A41A0C"/>
    <w:rsid w:val="00A4211D"/>
    <w:rsid w:val="00A42331"/>
    <w:rsid w:val="00A42464"/>
    <w:rsid w:val="00A431F8"/>
    <w:rsid w:val="00A4327E"/>
    <w:rsid w:val="00A432B4"/>
    <w:rsid w:val="00A433B7"/>
    <w:rsid w:val="00A436D3"/>
    <w:rsid w:val="00A437FC"/>
    <w:rsid w:val="00A43896"/>
    <w:rsid w:val="00A438E0"/>
    <w:rsid w:val="00A439C9"/>
    <w:rsid w:val="00A43C36"/>
    <w:rsid w:val="00A43C43"/>
    <w:rsid w:val="00A43E7D"/>
    <w:rsid w:val="00A44345"/>
    <w:rsid w:val="00A443F9"/>
    <w:rsid w:val="00A44604"/>
    <w:rsid w:val="00A447F5"/>
    <w:rsid w:val="00A44AF9"/>
    <w:rsid w:val="00A44C70"/>
    <w:rsid w:val="00A45879"/>
    <w:rsid w:val="00A45B16"/>
    <w:rsid w:val="00A45B38"/>
    <w:rsid w:val="00A46248"/>
    <w:rsid w:val="00A4635E"/>
    <w:rsid w:val="00A46459"/>
    <w:rsid w:val="00A46715"/>
    <w:rsid w:val="00A46812"/>
    <w:rsid w:val="00A46EF0"/>
    <w:rsid w:val="00A47125"/>
    <w:rsid w:val="00A474C3"/>
    <w:rsid w:val="00A47713"/>
    <w:rsid w:val="00A4772C"/>
    <w:rsid w:val="00A47846"/>
    <w:rsid w:val="00A5011B"/>
    <w:rsid w:val="00A506AF"/>
    <w:rsid w:val="00A5076F"/>
    <w:rsid w:val="00A50A7A"/>
    <w:rsid w:val="00A50B78"/>
    <w:rsid w:val="00A50BBA"/>
    <w:rsid w:val="00A50E17"/>
    <w:rsid w:val="00A50EEB"/>
    <w:rsid w:val="00A50F2F"/>
    <w:rsid w:val="00A50F76"/>
    <w:rsid w:val="00A51051"/>
    <w:rsid w:val="00A51066"/>
    <w:rsid w:val="00A5136B"/>
    <w:rsid w:val="00A515B8"/>
    <w:rsid w:val="00A51BB1"/>
    <w:rsid w:val="00A51D28"/>
    <w:rsid w:val="00A5208F"/>
    <w:rsid w:val="00A524C4"/>
    <w:rsid w:val="00A5291B"/>
    <w:rsid w:val="00A529BE"/>
    <w:rsid w:val="00A52B41"/>
    <w:rsid w:val="00A52C83"/>
    <w:rsid w:val="00A52CD0"/>
    <w:rsid w:val="00A52DF2"/>
    <w:rsid w:val="00A52FB0"/>
    <w:rsid w:val="00A53480"/>
    <w:rsid w:val="00A539B0"/>
    <w:rsid w:val="00A53C83"/>
    <w:rsid w:val="00A54735"/>
    <w:rsid w:val="00A54852"/>
    <w:rsid w:val="00A54A5D"/>
    <w:rsid w:val="00A54AC8"/>
    <w:rsid w:val="00A55326"/>
    <w:rsid w:val="00A557AE"/>
    <w:rsid w:val="00A55882"/>
    <w:rsid w:val="00A55F43"/>
    <w:rsid w:val="00A5664F"/>
    <w:rsid w:val="00A56900"/>
    <w:rsid w:val="00A56D93"/>
    <w:rsid w:val="00A56E33"/>
    <w:rsid w:val="00A576C1"/>
    <w:rsid w:val="00A57CD7"/>
    <w:rsid w:val="00A60115"/>
    <w:rsid w:val="00A601E6"/>
    <w:rsid w:val="00A60559"/>
    <w:rsid w:val="00A60CDF"/>
    <w:rsid w:val="00A60D70"/>
    <w:rsid w:val="00A614C9"/>
    <w:rsid w:val="00A615CF"/>
    <w:rsid w:val="00A619D8"/>
    <w:rsid w:val="00A61A4E"/>
    <w:rsid w:val="00A61E21"/>
    <w:rsid w:val="00A622A0"/>
    <w:rsid w:val="00A62771"/>
    <w:rsid w:val="00A6292B"/>
    <w:rsid w:val="00A62A6B"/>
    <w:rsid w:val="00A63A03"/>
    <w:rsid w:val="00A64168"/>
    <w:rsid w:val="00A6474D"/>
    <w:rsid w:val="00A64A62"/>
    <w:rsid w:val="00A65314"/>
    <w:rsid w:val="00A65417"/>
    <w:rsid w:val="00A65428"/>
    <w:rsid w:val="00A654A9"/>
    <w:rsid w:val="00A654B7"/>
    <w:rsid w:val="00A657F9"/>
    <w:rsid w:val="00A65838"/>
    <w:rsid w:val="00A65EAC"/>
    <w:rsid w:val="00A65FE5"/>
    <w:rsid w:val="00A664AD"/>
    <w:rsid w:val="00A666CF"/>
    <w:rsid w:val="00A66788"/>
    <w:rsid w:val="00A6685C"/>
    <w:rsid w:val="00A66BBD"/>
    <w:rsid w:val="00A66C6C"/>
    <w:rsid w:val="00A66E3D"/>
    <w:rsid w:val="00A66F63"/>
    <w:rsid w:val="00A670E2"/>
    <w:rsid w:val="00A67222"/>
    <w:rsid w:val="00A6747C"/>
    <w:rsid w:val="00A67695"/>
    <w:rsid w:val="00A677F0"/>
    <w:rsid w:val="00A6790A"/>
    <w:rsid w:val="00A67A20"/>
    <w:rsid w:val="00A67D48"/>
    <w:rsid w:val="00A67E71"/>
    <w:rsid w:val="00A70087"/>
    <w:rsid w:val="00A714E5"/>
    <w:rsid w:val="00A71590"/>
    <w:rsid w:val="00A71749"/>
    <w:rsid w:val="00A71CD0"/>
    <w:rsid w:val="00A72063"/>
    <w:rsid w:val="00A720FF"/>
    <w:rsid w:val="00A72427"/>
    <w:rsid w:val="00A73181"/>
    <w:rsid w:val="00A73216"/>
    <w:rsid w:val="00A732D0"/>
    <w:rsid w:val="00A734D6"/>
    <w:rsid w:val="00A73E31"/>
    <w:rsid w:val="00A74043"/>
    <w:rsid w:val="00A743D4"/>
    <w:rsid w:val="00A74456"/>
    <w:rsid w:val="00A74479"/>
    <w:rsid w:val="00A744D5"/>
    <w:rsid w:val="00A74746"/>
    <w:rsid w:val="00A7475A"/>
    <w:rsid w:val="00A74BEC"/>
    <w:rsid w:val="00A74DF7"/>
    <w:rsid w:val="00A74FF4"/>
    <w:rsid w:val="00A752EB"/>
    <w:rsid w:val="00A754B2"/>
    <w:rsid w:val="00A757A7"/>
    <w:rsid w:val="00A75BA1"/>
    <w:rsid w:val="00A75BA3"/>
    <w:rsid w:val="00A75C30"/>
    <w:rsid w:val="00A75CC5"/>
    <w:rsid w:val="00A75FC8"/>
    <w:rsid w:val="00A75FE6"/>
    <w:rsid w:val="00A767FB"/>
    <w:rsid w:val="00A7720E"/>
    <w:rsid w:val="00A773A3"/>
    <w:rsid w:val="00A77871"/>
    <w:rsid w:val="00A77A19"/>
    <w:rsid w:val="00A77CA0"/>
    <w:rsid w:val="00A77D89"/>
    <w:rsid w:val="00A800D7"/>
    <w:rsid w:val="00A80576"/>
    <w:rsid w:val="00A80EBD"/>
    <w:rsid w:val="00A810A9"/>
    <w:rsid w:val="00A81304"/>
    <w:rsid w:val="00A81B4B"/>
    <w:rsid w:val="00A81C02"/>
    <w:rsid w:val="00A81CCB"/>
    <w:rsid w:val="00A81DCE"/>
    <w:rsid w:val="00A82051"/>
    <w:rsid w:val="00A8253B"/>
    <w:rsid w:val="00A82836"/>
    <w:rsid w:val="00A82921"/>
    <w:rsid w:val="00A830FD"/>
    <w:rsid w:val="00A8330C"/>
    <w:rsid w:val="00A83611"/>
    <w:rsid w:val="00A8387D"/>
    <w:rsid w:val="00A8394E"/>
    <w:rsid w:val="00A83F53"/>
    <w:rsid w:val="00A83FB8"/>
    <w:rsid w:val="00A840FF"/>
    <w:rsid w:val="00A84544"/>
    <w:rsid w:val="00A84861"/>
    <w:rsid w:val="00A849B9"/>
    <w:rsid w:val="00A849D3"/>
    <w:rsid w:val="00A84A42"/>
    <w:rsid w:val="00A84A50"/>
    <w:rsid w:val="00A84C71"/>
    <w:rsid w:val="00A84F28"/>
    <w:rsid w:val="00A84FEA"/>
    <w:rsid w:val="00A8519A"/>
    <w:rsid w:val="00A8538B"/>
    <w:rsid w:val="00A8576C"/>
    <w:rsid w:val="00A858FB"/>
    <w:rsid w:val="00A85DA2"/>
    <w:rsid w:val="00A86264"/>
    <w:rsid w:val="00A86F0A"/>
    <w:rsid w:val="00A86F6C"/>
    <w:rsid w:val="00A87118"/>
    <w:rsid w:val="00A8735B"/>
    <w:rsid w:val="00A8743B"/>
    <w:rsid w:val="00A875AD"/>
    <w:rsid w:val="00A87609"/>
    <w:rsid w:val="00A87A56"/>
    <w:rsid w:val="00A87BAE"/>
    <w:rsid w:val="00A87F12"/>
    <w:rsid w:val="00A9013A"/>
    <w:rsid w:val="00A90580"/>
    <w:rsid w:val="00A905C0"/>
    <w:rsid w:val="00A90B5C"/>
    <w:rsid w:val="00A90E0D"/>
    <w:rsid w:val="00A90E28"/>
    <w:rsid w:val="00A91070"/>
    <w:rsid w:val="00A912DB"/>
    <w:rsid w:val="00A91BB6"/>
    <w:rsid w:val="00A91D23"/>
    <w:rsid w:val="00A91FA2"/>
    <w:rsid w:val="00A92005"/>
    <w:rsid w:val="00A9209E"/>
    <w:rsid w:val="00A920C3"/>
    <w:rsid w:val="00A92566"/>
    <w:rsid w:val="00A92C85"/>
    <w:rsid w:val="00A92DAF"/>
    <w:rsid w:val="00A93674"/>
    <w:rsid w:val="00A9369A"/>
    <w:rsid w:val="00A940C2"/>
    <w:rsid w:val="00A94137"/>
    <w:rsid w:val="00A94273"/>
    <w:rsid w:val="00A945DA"/>
    <w:rsid w:val="00A94646"/>
    <w:rsid w:val="00A94AF4"/>
    <w:rsid w:val="00A94B83"/>
    <w:rsid w:val="00A94DCD"/>
    <w:rsid w:val="00A94E38"/>
    <w:rsid w:val="00A94FA5"/>
    <w:rsid w:val="00A95054"/>
    <w:rsid w:val="00A95226"/>
    <w:rsid w:val="00A952E6"/>
    <w:rsid w:val="00A95327"/>
    <w:rsid w:val="00A9540E"/>
    <w:rsid w:val="00A95826"/>
    <w:rsid w:val="00A95A77"/>
    <w:rsid w:val="00A95F74"/>
    <w:rsid w:val="00A9601B"/>
    <w:rsid w:val="00A965EB"/>
    <w:rsid w:val="00A968AA"/>
    <w:rsid w:val="00A968B3"/>
    <w:rsid w:val="00A96D0F"/>
    <w:rsid w:val="00A96D67"/>
    <w:rsid w:val="00A96F51"/>
    <w:rsid w:val="00A976A1"/>
    <w:rsid w:val="00A97750"/>
    <w:rsid w:val="00A977F5"/>
    <w:rsid w:val="00A97841"/>
    <w:rsid w:val="00A97CCF"/>
    <w:rsid w:val="00AA0007"/>
    <w:rsid w:val="00AA01C4"/>
    <w:rsid w:val="00AA03C8"/>
    <w:rsid w:val="00AA0479"/>
    <w:rsid w:val="00AA07DB"/>
    <w:rsid w:val="00AA0830"/>
    <w:rsid w:val="00AA088F"/>
    <w:rsid w:val="00AA0CDE"/>
    <w:rsid w:val="00AA105D"/>
    <w:rsid w:val="00AA134A"/>
    <w:rsid w:val="00AA1493"/>
    <w:rsid w:val="00AA1DBE"/>
    <w:rsid w:val="00AA22CC"/>
    <w:rsid w:val="00AA29EB"/>
    <w:rsid w:val="00AA2CA4"/>
    <w:rsid w:val="00AA2D13"/>
    <w:rsid w:val="00AA2D20"/>
    <w:rsid w:val="00AA3201"/>
    <w:rsid w:val="00AA322E"/>
    <w:rsid w:val="00AA38B6"/>
    <w:rsid w:val="00AA3AC0"/>
    <w:rsid w:val="00AA3C04"/>
    <w:rsid w:val="00AA43B6"/>
    <w:rsid w:val="00AA441C"/>
    <w:rsid w:val="00AA4776"/>
    <w:rsid w:val="00AA4F88"/>
    <w:rsid w:val="00AA53AB"/>
    <w:rsid w:val="00AA5BA5"/>
    <w:rsid w:val="00AA5D50"/>
    <w:rsid w:val="00AA6143"/>
    <w:rsid w:val="00AA6310"/>
    <w:rsid w:val="00AA6607"/>
    <w:rsid w:val="00AA6D56"/>
    <w:rsid w:val="00AA737E"/>
    <w:rsid w:val="00AA73AF"/>
    <w:rsid w:val="00AA7550"/>
    <w:rsid w:val="00AA779C"/>
    <w:rsid w:val="00AA7ECD"/>
    <w:rsid w:val="00AB02EA"/>
    <w:rsid w:val="00AB0345"/>
    <w:rsid w:val="00AB0859"/>
    <w:rsid w:val="00AB0B3E"/>
    <w:rsid w:val="00AB0C56"/>
    <w:rsid w:val="00AB0F58"/>
    <w:rsid w:val="00AB11C0"/>
    <w:rsid w:val="00AB12B7"/>
    <w:rsid w:val="00AB1525"/>
    <w:rsid w:val="00AB1551"/>
    <w:rsid w:val="00AB1657"/>
    <w:rsid w:val="00AB1ACC"/>
    <w:rsid w:val="00AB1AE8"/>
    <w:rsid w:val="00AB1B61"/>
    <w:rsid w:val="00AB1D4D"/>
    <w:rsid w:val="00AB1FD8"/>
    <w:rsid w:val="00AB267C"/>
    <w:rsid w:val="00AB2988"/>
    <w:rsid w:val="00AB2A0A"/>
    <w:rsid w:val="00AB2B7A"/>
    <w:rsid w:val="00AB2B92"/>
    <w:rsid w:val="00AB2D9B"/>
    <w:rsid w:val="00AB31B0"/>
    <w:rsid w:val="00AB3515"/>
    <w:rsid w:val="00AB37F9"/>
    <w:rsid w:val="00AB3A84"/>
    <w:rsid w:val="00AB4031"/>
    <w:rsid w:val="00AB43A6"/>
    <w:rsid w:val="00AB4C57"/>
    <w:rsid w:val="00AB4EC8"/>
    <w:rsid w:val="00AB5490"/>
    <w:rsid w:val="00AB5C79"/>
    <w:rsid w:val="00AB5F57"/>
    <w:rsid w:val="00AB5F7E"/>
    <w:rsid w:val="00AB650E"/>
    <w:rsid w:val="00AB6704"/>
    <w:rsid w:val="00AB6A85"/>
    <w:rsid w:val="00AB6DCC"/>
    <w:rsid w:val="00AB70CA"/>
    <w:rsid w:val="00AB70F7"/>
    <w:rsid w:val="00AB7B2E"/>
    <w:rsid w:val="00AB7BA1"/>
    <w:rsid w:val="00AC08BA"/>
    <w:rsid w:val="00AC0AB9"/>
    <w:rsid w:val="00AC139D"/>
    <w:rsid w:val="00AC148B"/>
    <w:rsid w:val="00AC1596"/>
    <w:rsid w:val="00AC1BF7"/>
    <w:rsid w:val="00AC1DEF"/>
    <w:rsid w:val="00AC228B"/>
    <w:rsid w:val="00AC22C7"/>
    <w:rsid w:val="00AC23D2"/>
    <w:rsid w:val="00AC2DEE"/>
    <w:rsid w:val="00AC3420"/>
    <w:rsid w:val="00AC371E"/>
    <w:rsid w:val="00AC457D"/>
    <w:rsid w:val="00AC4C56"/>
    <w:rsid w:val="00AC4CD2"/>
    <w:rsid w:val="00AC51A3"/>
    <w:rsid w:val="00AC59B7"/>
    <w:rsid w:val="00AC5D9D"/>
    <w:rsid w:val="00AC5E50"/>
    <w:rsid w:val="00AC5F3B"/>
    <w:rsid w:val="00AC6027"/>
    <w:rsid w:val="00AC6171"/>
    <w:rsid w:val="00AC63F8"/>
    <w:rsid w:val="00AC64A5"/>
    <w:rsid w:val="00AC6D79"/>
    <w:rsid w:val="00AC6DB1"/>
    <w:rsid w:val="00AC6FC0"/>
    <w:rsid w:val="00AC7247"/>
    <w:rsid w:val="00AC74B9"/>
    <w:rsid w:val="00AC7650"/>
    <w:rsid w:val="00AC7E02"/>
    <w:rsid w:val="00AD04D4"/>
    <w:rsid w:val="00AD0713"/>
    <w:rsid w:val="00AD07DA"/>
    <w:rsid w:val="00AD08E3"/>
    <w:rsid w:val="00AD0FF9"/>
    <w:rsid w:val="00AD11DD"/>
    <w:rsid w:val="00AD134C"/>
    <w:rsid w:val="00AD14F3"/>
    <w:rsid w:val="00AD16DA"/>
    <w:rsid w:val="00AD174B"/>
    <w:rsid w:val="00AD1862"/>
    <w:rsid w:val="00AD1A9C"/>
    <w:rsid w:val="00AD1E5A"/>
    <w:rsid w:val="00AD282D"/>
    <w:rsid w:val="00AD28F5"/>
    <w:rsid w:val="00AD2D2E"/>
    <w:rsid w:val="00AD2E79"/>
    <w:rsid w:val="00AD331C"/>
    <w:rsid w:val="00AD37D7"/>
    <w:rsid w:val="00AD3A72"/>
    <w:rsid w:val="00AD4246"/>
    <w:rsid w:val="00AD4739"/>
    <w:rsid w:val="00AD49A6"/>
    <w:rsid w:val="00AD4F00"/>
    <w:rsid w:val="00AD506B"/>
    <w:rsid w:val="00AD54C4"/>
    <w:rsid w:val="00AD5DA2"/>
    <w:rsid w:val="00AD67A2"/>
    <w:rsid w:val="00AD67B1"/>
    <w:rsid w:val="00AD6A00"/>
    <w:rsid w:val="00AD6BB2"/>
    <w:rsid w:val="00AD6F0B"/>
    <w:rsid w:val="00AD7749"/>
    <w:rsid w:val="00AD79A6"/>
    <w:rsid w:val="00AD7B45"/>
    <w:rsid w:val="00AD7CA6"/>
    <w:rsid w:val="00AD7F62"/>
    <w:rsid w:val="00AE0217"/>
    <w:rsid w:val="00AE075A"/>
    <w:rsid w:val="00AE08F2"/>
    <w:rsid w:val="00AE09D0"/>
    <w:rsid w:val="00AE0B53"/>
    <w:rsid w:val="00AE0E07"/>
    <w:rsid w:val="00AE100B"/>
    <w:rsid w:val="00AE1259"/>
    <w:rsid w:val="00AE13CA"/>
    <w:rsid w:val="00AE1A1A"/>
    <w:rsid w:val="00AE1BDF"/>
    <w:rsid w:val="00AE2696"/>
    <w:rsid w:val="00AE283F"/>
    <w:rsid w:val="00AE2A9F"/>
    <w:rsid w:val="00AE2EA6"/>
    <w:rsid w:val="00AE2FE1"/>
    <w:rsid w:val="00AE32CD"/>
    <w:rsid w:val="00AE3351"/>
    <w:rsid w:val="00AE3666"/>
    <w:rsid w:val="00AE381C"/>
    <w:rsid w:val="00AE390A"/>
    <w:rsid w:val="00AE393C"/>
    <w:rsid w:val="00AE3C67"/>
    <w:rsid w:val="00AE3EE6"/>
    <w:rsid w:val="00AE3F12"/>
    <w:rsid w:val="00AE409D"/>
    <w:rsid w:val="00AE41E5"/>
    <w:rsid w:val="00AE44E4"/>
    <w:rsid w:val="00AE4A20"/>
    <w:rsid w:val="00AE516D"/>
    <w:rsid w:val="00AE52F5"/>
    <w:rsid w:val="00AE5310"/>
    <w:rsid w:val="00AE5948"/>
    <w:rsid w:val="00AE5D50"/>
    <w:rsid w:val="00AE5E5A"/>
    <w:rsid w:val="00AE5FF1"/>
    <w:rsid w:val="00AE600F"/>
    <w:rsid w:val="00AE613E"/>
    <w:rsid w:val="00AE6719"/>
    <w:rsid w:val="00AE6972"/>
    <w:rsid w:val="00AE6988"/>
    <w:rsid w:val="00AE6A9F"/>
    <w:rsid w:val="00AE6B97"/>
    <w:rsid w:val="00AE7512"/>
    <w:rsid w:val="00AE7627"/>
    <w:rsid w:val="00AE79B4"/>
    <w:rsid w:val="00AE7D8F"/>
    <w:rsid w:val="00AE7F70"/>
    <w:rsid w:val="00AF0ACD"/>
    <w:rsid w:val="00AF0EA8"/>
    <w:rsid w:val="00AF1074"/>
    <w:rsid w:val="00AF1483"/>
    <w:rsid w:val="00AF1880"/>
    <w:rsid w:val="00AF18F4"/>
    <w:rsid w:val="00AF1C46"/>
    <w:rsid w:val="00AF20A9"/>
    <w:rsid w:val="00AF2728"/>
    <w:rsid w:val="00AF27BC"/>
    <w:rsid w:val="00AF27FA"/>
    <w:rsid w:val="00AF28AE"/>
    <w:rsid w:val="00AF2B44"/>
    <w:rsid w:val="00AF2F56"/>
    <w:rsid w:val="00AF3076"/>
    <w:rsid w:val="00AF32F4"/>
    <w:rsid w:val="00AF344E"/>
    <w:rsid w:val="00AF35F7"/>
    <w:rsid w:val="00AF3C37"/>
    <w:rsid w:val="00AF4058"/>
    <w:rsid w:val="00AF407F"/>
    <w:rsid w:val="00AF42E6"/>
    <w:rsid w:val="00AF4E21"/>
    <w:rsid w:val="00AF50AE"/>
    <w:rsid w:val="00AF50EE"/>
    <w:rsid w:val="00AF5B0B"/>
    <w:rsid w:val="00AF5C82"/>
    <w:rsid w:val="00AF5D4E"/>
    <w:rsid w:val="00AF5DBA"/>
    <w:rsid w:val="00AF650A"/>
    <w:rsid w:val="00AF682F"/>
    <w:rsid w:val="00AF70AD"/>
    <w:rsid w:val="00AF726D"/>
    <w:rsid w:val="00AF76C6"/>
    <w:rsid w:val="00AF7B8D"/>
    <w:rsid w:val="00AF7FF1"/>
    <w:rsid w:val="00B00057"/>
    <w:rsid w:val="00B001AE"/>
    <w:rsid w:val="00B00509"/>
    <w:rsid w:val="00B00800"/>
    <w:rsid w:val="00B008A6"/>
    <w:rsid w:val="00B00B52"/>
    <w:rsid w:val="00B00EB5"/>
    <w:rsid w:val="00B00EF2"/>
    <w:rsid w:val="00B018AB"/>
    <w:rsid w:val="00B0198F"/>
    <w:rsid w:val="00B01BD1"/>
    <w:rsid w:val="00B01EE3"/>
    <w:rsid w:val="00B0214F"/>
    <w:rsid w:val="00B0251F"/>
    <w:rsid w:val="00B02580"/>
    <w:rsid w:val="00B02626"/>
    <w:rsid w:val="00B0276D"/>
    <w:rsid w:val="00B02879"/>
    <w:rsid w:val="00B0292B"/>
    <w:rsid w:val="00B02989"/>
    <w:rsid w:val="00B02AB9"/>
    <w:rsid w:val="00B02B31"/>
    <w:rsid w:val="00B02E3E"/>
    <w:rsid w:val="00B03297"/>
    <w:rsid w:val="00B0360B"/>
    <w:rsid w:val="00B03F35"/>
    <w:rsid w:val="00B03FC3"/>
    <w:rsid w:val="00B04076"/>
    <w:rsid w:val="00B04565"/>
    <w:rsid w:val="00B0476B"/>
    <w:rsid w:val="00B04B5F"/>
    <w:rsid w:val="00B04D34"/>
    <w:rsid w:val="00B051E6"/>
    <w:rsid w:val="00B05292"/>
    <w:rsid w:val="00B05442"/>
    <w:rsid w:val="00B054C8"/>
    <w:rsid w:val="00B055BB"/>
    <w:rsid w:val="00B05DE2"/>
    <w:rsid w:val="00B062E6"/>
    <w:rsid w:val="00B065C2"/>
    <w:rsid w:val="00B06A2F"/>
    <w:rsid w:val="00B06ADA"/>
    <w:rsid w:val="00B06B34"/>
    <w:rsid w:val="00B06BEE"/>
    <w:rsid w:val="00B06E1A"/>
    <w:rsid w:val="00B07251"/>
    <w:rsid w:val="00B07353"/>
    <w:rsid w:val="00B07998"/>
    <w:rsid w:val="00B07A17"/>
    <w:rsid w:val="00B07D0B"/>
    <w:rsid w:val="00B07DEA"/>
    <w:rsid w:val="00B07F78"/>
    <w:rsid w:val="00B1003B"/>
    <w:rsid w:val="00B1026B"/>
    <w:rsid w:val="00B10638"/>
    <w:rsid w:val="00B10B20"/>
    <w:rsid w:val="00B116C1"/>
    <w:rsid w:val="00B11A8A"/>
    <w:rsid w:val="00B11E50"/>
    <w:rsid w:val="00B121D7"/>
    <w:rsid w:val="00B124CC"/>
    <w:rsid w:val="00B12B23"/>
    <w:rsid w:val="00B12DEE"/>
    <w:rsid w:val="00B13088"/>
    <w:rsid w:val="00B13515"/>
    <w:rsid w:val="00B1355C"/>
    <w:rsid w:val="00B13605"/>
    <w:rsid w:val="00B13D22"/>
    <w:rsid w:val="00B13D79"/>
    <w:rsid w:val="00B146C5"/>
    <w:rsid w:val="00B14C42"/>
    <w:rsid w:val="00B14EB1"/>
    <w:rsid w:val="00B152EE"/>
    <w:rsid w:val="00B15418"/>
    <w:rsid w:val="00B1547E"/>
    <w:rsid w:val="00B154A6"/>
    <w:rsid w:val="00B155A4"/>
    <w:rsid w:val="00B156BB"/>
    <w:rsid w:val="00B15A7B"/>
    <w:rsid w:val="00B15E1A"/>
    <w:rsid w:val="00B16E15"/>
    <w:rsid w:val="00B16FFD"/>
    <w:rsid w:val="00B17107"/>
    <w:rsid w:val="00B1761D"/>
    <w:rsid w:val="00B1761F"/>
    <w:rsid w:val="00B178F7"/>
    <w:rsid w:val="00B179CF"/>
    <w:rsid w:val="00B17A20"/>
    <w:rsid w:val="00B17B3F"/>
    <w:rsid w:val="00B17FBA"/>
    <w:rsid w:val="00B2032F"/>
    <w:rsid w:val="00B2049B"/>
    <w:rsid w:val="00B20DFF"/>
    <w:rsid w:val="00B2148D"/>
    <w:rsid w:val="00B2180B"/>
    <w:rsid w:val="00B2193B"/>
    <w:rsid w:val="00B21A7F"/>
    <w:rsid w:val="00B21C9B"/>
    <w:rsid w:val="00B21D0D"/>
    <w:rsid w:val="00B21D84"/>
    <w:rsid w:val="00B21EAB"/>
    <w:rsid w:val="00B21F9C"/>
    <w:rsid w:val="00B225C7"/>
    <w:rsid w:val="00B22C14"/>
    <w:rsid w:val="00B22CF1"/>
    <w:rsid w:val="00B2346E"/>
    <w:rsid w:val="00B2399B"/>
    <w:rsid w:val="00B23B24"/>
    <w:rsid w:val="00B23F69"/>
    <w:rsid w:val="00B24242"/>
    <w:rsid w:val="00B243DA"/>
    <w:rsid w:val="00B24ACA"/>
    <w:rsid w:val="00B24CFF"/>
    <w:rsid w:val="00B25161"/>
    <w:rsid w:val="00B25282"/>
    <w:rsid w:val="00B255BD"/>
    <w:rsid w:val="00B25777"/>
    <w:rsid w:val="00B2596B"/>
    <w:rsid w:val="00B25B58"/>
    <w:rsid w:val="00B25CA8"/>
    <w:rsid w:val="00B25E1C"/>
    <w:rsid w:val="00B25FDF"/>
    <w:rsid w:val="00B25FE5"/>
    <w:rsid w:val="00B267AD"/>
    <w:rsid w:val="00B267EB"/>
    <w:rsid w:val="00B26802"/>
    <w:rsid w:val="00B26840"/>
    <w:rsid w:val="00B2697B"/>
    <w:rsid w:val="00B26AFE"/>
    <w:rsid w:val="00B26C0D"/>
    <w:rsid w:val="00B26C4C"/>
    <w:rsid w:val="00B26CE5"/>
    <w:rsid w:val="00B272CE"/>
    <w:rsid w:val="00B272F4"/>
    <w:rsid w:val="00B273DD"/>
    <w:rsid w:val="00B27869"/>
    <w:rsid w:val="00B279F5"/>
    <w:rsid w:val="00B27E1F"/>
    <w:rsid w:val="00B27E8A"/>
    <w:rsid w:val="00B301FD"/>
    <w:rsid w:val="00B30595"/>
    <w:rsid w:val="00B30913"/>
    <w:rsid w:val="00B30B80"/>
    <w:rsid w:val="00B30DCD"/>
    <w:rsid w:val="00B30E02"/>
    <w:rsid w:val="00B31B27"/>
    <w:rsid w:val="00B31D20"/>
    <w:rsid w:val="00B31DB2"/>
    <w:rsid w:val="00B320C1"/>
    <w:rsid w:val="00B321EF"/>
    <w:rsid w:val="00B32235"/>
    <w:rsid w:val="00B323F2"/>
    <w:rsid w:val="00B324E9"/>
    <w:rsid w:val="00B329E6"/>
    <w:rsid w:val="00B32A65"/>
    <w:rsid w:val="00B32C1A"/>
    <w:rsid w:val="00B32C76"/>
    <w:rsid w:val="00B333FD"/>
    <w:rsid w:val="00B33416"/>
    <w:rsid w:val="00B33768"/>
    <w:rsid w:val="00B33792"/>
    <w:rsid w:val="00B341BF"/>
    <w:rsid w:val="00B342F4"/>
    <w:rsid w:val="00B34677"/>
    <w:rsid w:val="00B3487A"/>
    <w:rsid w:val="00B35098"/>
    <w:rsid w:val="00B35157"/>
    <w:rsid w:val="00B356A1"/>
    <w:rsid w:val="00B35B58"/>
    <w:rsid w:val="00B35BC3"/>
    <w:rsid w:val="00B35D21"/>
    <w:rsid w:val="00B35E9F"/>
    <w:rsid w:val="00B36524"/>
    <w:rsid w:val="00B367F6"/>
    <w:rsid w:val="00B36BDC"/>
    <w:rsid w:val="00B36E60"/>
    <w:rsid w:val="00B37020"/>
    <w:rsid w:val="00B37279"/>
    <w:rsid w:val="00B3737C"/>
    <w:rsid w:val="00B40212"/>
    <w:rsid w:val="00B404CD"/>
    <w:rsid w:val="00B4080C"/>
    <w:rsid w:val="00B40C8B"/>
    <w:rsid w:val="00B4124B"/>
    <w:rsid w:val="00B412A5"/>
    <w:rsid w:val="00B4131B"/>
    <w:rsid w:val="00B418E0"/>
    <w:rsid w:val="00B41BA2"/>
    <w:rsid w:val="00B427AE"/>
    <w:rsid w:val="00B42930"/>
    <w:rsid w:val="00B42D77"/>
    <w:rsid w:val="00B43079"/>
    <w:rsid w:val="00B433E8"/>
    <w:rsid w:val="00B43A29"/>
    <w:rsid w:val="00B443A4"/>
    <w:rsid w:val="00B445E1"/>
    <w:rsid w:val="00B44BC0"/>
    <w:rsid w:val="00B44DAE"/>
    <w:rsid w:val="00B45250"/>
    <w:rsid w:val="00B46AA0"/>
    <w:rsid w:val="00B46D77"/>
    <w:rsid w:val="00B4705B"/>
    <w:rsid w:val="00B47094"/>
    <w:rsid w:val="00B47193"/>
    <w:rsid w:val="00B471B0"/>
    <w:rsid w:val="00B471E4"/>
    <w:rsid w:val="00B4753F"/>
    <w:rsid w:val="00B4787A"/>
    <w:rsid w:val="00B479B6"/>
    <w:rsid w:val="00B47C25"/>
    <w:rsid w:val="00B47C37"/>
    <w:rsid w:val="00B503CB"/>
    <w:rsid w:val="00B508C1"/>
    <w:rsid w:val="00B50C3A"/>
    <w:rsid w:val="00B50C83"/>
    <w:rsid w:val="00B50D03"/>
    <w:rsid w:val="00B518FD"/>
    <w:rsid w:val="00B51AEC"/>
    <w:rsid w:val="00B51D15"/>
    <w:rsid w:val="00B51F7A"/>
    <w:rsid w:val="00B5225D"/>
    <w:rsid w:val="00B522B1"/>
    <w:rsid w:val="00B525CB"/>
    <w:rsid w:val="00B52A74"/>
    <w:rsid w:val="00B52C06"/>
    <w:rsid w:val="00B52D77"/>
    <w:rsid w:val="00B531C0"/>
    <w:rsid w:val="00B53676"/>
    <w:rsid w:val="00B536C3"/>
    <w:rsid w:val="00B538D4"/>
    <w:rsid w:val="00B538DF"/>
    <w:rsid w:val="00B53AD7"/>
    <w:rsid w:val="00B54953"/>
    <w:rsid w:val="00B549AB"/>
    <w:rsid w:val="00B55453"/>
    <w:rsid w:val="00B55631"/>
    <w:rsid w:val="00B55B8D"/>
    <w:rsid w:val="00B55BD8"/>
    <w:rsid w:val="00B55D0E"/>
    <w:rsid w:val="00B5636B"/>
    <w:rsid w:val="00B56A4B"/>
    <w:rsid w:val="00B56F3D"/>
    <w:rsid w:val="00B56F73"/>
    <w:rsid w:val="00B5734C"/>
    <w:rsid w:val="00B5763A"/>
    <w:rsid w:val="00B576E1"/>
    <w:rsid w:val="00B57B42"/>
    <w:rsid w:val="00B57D22"/>
    <w:rsid w:val="00B57FA8"/>
    <w:rsid w:val="00B60801"/>
    <w:rsid w:val="00B60E3F"/>
    <w:rsid w:val="00B6106B"/>
    <w:rsid w:val="00B61104"/>
    <w:rsid w:val="00B61C18"/>
    <w:rsid w:val="00B61E66"/>
    <w:rsid w:val="00B61FC4"/>
    <w:rsid w:val="00B620F8"/>
    <w:rsid w:val="00B62334"/>
    <w:rsid w:val="00B62C96"/>
    <w:rsid w:val="00B63618"/>
    <w:rsid w:val="00B63BEF"/>
    <w:rsid w:val="00B63DE0"/>
    <w:rsid w:val="00B64244"/>
    <w:rsid w:val="00B64840"/>
    <w:rsid w:val="00B649C4"/>
    <w:rsid w:val="00B64A21"/>
    <w:rsid w:val="00B653CD"/>
    <w:rsid w:val="00B6540A"/>
    <w:rsid w:val="00B65488"/>
    <w:rsid w:val="00B65707"/>
    <w:rsid w:val="00B6579E"/>
    <w:rsid w:val="00B65A6F"/>
    <w:rsid w:val="00B65E98"/>
    <w:rsid w:val="00B6607D"/>
    <w:rsid w:val="00B6630E"/>
    <w:rsid w:val="00B6631B"/>
    <w:rsid w:val="00B664A8"/>
    <w:rsid w:val="00B668AE"/>
    <w:rsid w:val="00B66AC9"/>
    <w:rsid w:val="00B66C50"/>
    <w:rsid w:val="00B67809"/>
    <w:rsid w:val="00B67C62"/>
    <w:rsid w:val="00B67D4E"/>
    <w:rsid w:val="00B67F31"/>
    <w:rsid w:val="00B70519"/>
    <w:rsid w:val="00B70760"/>
    <w:rsid w:val="00B70894"/>
    <w:rsid w:val="00B70EB9"/>
    <w:rsid w:val="00B714CF"/>
    <w:rsid w:val="00B716E8"/>
    <w:rsid w:val="00B71751"/>
    <w:rsid w:val="00B71BF5"/>
    <w:rsid w:val="00B71F24"/>
    <w:rsid w:val="00B72363"/>
    <w:rsid w:val="00B72C22"/>
    <w:rsid w:val="00B72CBC"/>
    <w:rsid w:val="00B72DB3"/>
    <w:rsid w:val="00B73894"/>
    <w:rsid w:val="00B739A9"/>
    <w:rsid w:val="00B73A99"/>
    <w:rsid w:val="00B73E21"/>
    <w:rsid w:val="00B73F40"/>
    <w:rsid w:val="00B740DC"/>
    <w:rsid w:val="00B740DE"/>
    <w:rsid w:val="00B742ED"/>
    <w:rsid w:val="00B74310"/>
    <w:rsid w:val="00B74341"/>
    <w:rsid w:val="00B7443F"/>
    <w:rsid w:val="00B74653"/>
    <w:rsid w:val="00B74675"/>
    <w:rsid w:val="00B74BA2"/>
    <w:rsid w:val="00B74D84"/>
    <w:rsid w:val="00B74E0E"/>
    <w:rsid w:val="00B75224"/>
    <w:rsid w:val="00B753AB"/>
    <w:rsid w:val="00B754A1"/>
    <w:rsid w:val="00B762E6"/>
    <w:rsid w:val="00B764AA"/>
    <w:rsid w:val="00B76550"/>
    <w:rsid w:val="00B7674B"/>
    <w:rsid w:val="00B7726E"/>
    <w:rsid w:val="00B778E5"/>
    <w:rsid w:val="00B77921"/>
    <w:rsid w:val="00B80227"/>
    <w:rsid w:val="00B80558"/>
    <w:rsid w:val="00B80EE1"/>
    <w:rsid w:val="00B812BB"/>
    <w:rsid w:val="00B812DC"/>
    <w:rsid w:val="00B81872"/>
    <w:rsid w:val="00B81ACB"/>
    <w:rsid w:val="00B81E79"/>
    <w:rsid w:val="00B827C1"/>
    <w:rsid w:val="00B8295A"/>
    <w:rsid w:val="00B82D00"/>
    <w:rsid w:val="00B82D15"/>
    <w:rsid w:val="00B82D58"/>
    <w:rsid w:val="00B83258"/>
    <w:rsid w:val="00B83D9C"/>
    <w:rsid w:val="00B83E2E"/>
    <w:rsid w:val="00B8425A"/>
    <w:rsid w:val="00B843F0"/>
    <w:rsid w:val="00B84863"/>
    <w:rsid w:val="00B84BFC"/>
    <w:rsid w:val="00B84F07"/>
    <w:rsid w:val="00B851C7"/>
    <w:rsid w:val="00B851E8"/>
    <w:rsid w:val="00B852E5"/>
    <w:rsid w:val="00B8570E"/>
    <w:rsid w:val="00B857AD"/>
    <w:rsid w:val="00B85962"/>
    <w:rsid w:val="00B85C47"/>
    <w:rsid w:val="00B85D91"/>
    <w:rsid w:val="00B85FAA"/>
    <w:rsid w:val="00B86C3C"/>
    <w:rsid w:val="00B86C88"/>
    <w:rsid w:val="00B86F8A"/>
    <w:rsid w:val="00B87043"/>
    <w:rsid w:val="00B8714F"/>
    <w:rsid w:val="00B875C4"/>
    <w:rsid w:val="00B8782D"/>
    <w:rsid w:val="00B87B17"/>
    <w:rsid w:val="00B87B6D"/>
    <w:rsid w:val="00B90A6B"/>
    <w:rsid w:val="00B90D2E"/>
    <w:rsid w:val="00B90FF6"/>
    <w:rsid w:val="00B9111F"/>
    <w:rsid w:val="00B914D3"/>
    <w:rsid w:val="00B915EC"/>
    <w:rsid w:val="00B919A7"/>
    <w:rsid w:val="00B91D75"/>
    <w:rsid w:val="00B91DBC"/>
    <w:rsid w:val="00B9255A"/>
    <w:rsid w:val="00B9292C"/>
    <w:rsid w:val="00B930D4"/>
    <w:rsid w:val="00B933DC"/>
    <w:rsid w:val="00B93868"/>
    <w:rsid w:val="00B93905"/>
    <w:rsid w:val="00B93C4C"/>
    <w:rsid w:val="00B940A6"/>
    <w:rsid w:val="00B9498B"/>
    <w:rsid w:val="00B94DEE"/>
    <w:rsid w:val="00B958EB"/>
    <w:rsid w:val="00B95ED6"/>
    <w:rsid w:val="00B96465"/>
    <w:rsid w:val="00B965C6"/>
    <w:rsid w:val="00B9662C"/>
    <w:rsid w:val="00B96D70"/>
    <w:rsid w:val="00B96E28"/>
    <w:rsid w:val="00B96E53"/>
    <w:rsid w:val="00B96EBC"/>
    <w:rsid w:val="00B96EEF"/>
    <w:rsid w:val="00B97345"/>
    <w:rsid w:val="00B9792E"/>
    <w:rsid w:val="00B97DE4"/>
    <w:rsid w:val="00B97E3A"/>
    <w:rsid w:val="00BA0035"/>
    <w:rsid w:val="00BA0044"/>
    <w:rsid w:val="00BA02A6"/>
    <w:rsid w:val="00BA0E3B"/>
    <w:rsid w:val="00BA0EC7"/>
    <w:rsid w:val="00BA0EDE"/>
    <w:rsid w:val="00BA0F25"/>
    <w:rsid w:val="00BA0F6F"/>
    <w:rsid w:val="00BA1043"/>
    <w:rsid w:val="00BA1515"/>
    <w:rsid w:val="00BA1633"/>
    <w:rsid w:val="00BA18AA"/>
    <w:rsid w:val="00BA197A"/>
    <w:rsid w:val="00BA1DE9"/>
    <w:rsid w:val="00BA1F4B"/>
    <w:rsid w:val="00BA209C"/>
    <w:rsid w:val="00BA20A2"/>
    <w:rsid w:val="00BA2535"/>
    <w:rsid w:val="00BA29E0"/>
    <w:rsid w:val="00BA31CA"/>
    <w:rsid w:val="00BA3242"/>
    <w:rsid w:val="00BA47BF"/>
    <w:rsid w:val="00BA4D59"/>
    <w:rsid w:val="00BA5084"/>
    <w:rsid w:val="00BA509B"/>
    <w:rsid w:val="00BA526C"/>
    <w:rsid w:val="00BA5554"/>
    <w:rsid w:val="00BA5CFF"/>
    <w:rsid w:val="00BA5DD7"/>
    <w:rsid w:val="00BA660E"/>
    <w:rsid w:val="00BA6983"/>
    <w:rsid w:val="00BA6B18"/>
    <w:rsid w:val="00BA7028"/>
    <w:rsid w:val="00BA7696"/>
    <w:rsid w:val="00BA7F1A"/>
    <w:rsid w:val="00BB01AB"/>
    <w:rsid w:val="00BB03AD"/>
    <w:rsid w:val="00BB0BEA"/>
    <w:rsid w:val="00BB0EE6"/>
    <w:rsid w:val="00BB1211"/>
    <w:rsid w:val="00BB129E"/>
    <w:rsid w:val="00BB12B7"/>
    <w:rsid w:val="00BB1364"/>
    <w:rsid w:val="00BB162A"/>
    <w:rsid w:val="00BB1857"/>
    <w:rsid w:val="00BB18C6"/>
    <w:rsid w:val="00BB1930"/>
    <w:rsid w:val="00BB1EC3"/>
    <w:rsid w:val="00BB205D"/>
    <w:rsid w:val="00BB21B9"/>
    <w:rsid w:val="00BB2247"/>
    <w:rsid w:val="00BB2EE3"/>
    <w:rsid w:val="00BB33AD"/>
    <w:rsid w:val="00BB39AE"/>
    <w:rsid w:val="00BB3CD8"/>
    <w:rsid w:val="00BB402E"/>
    <w:rsid w:val="00BB4469"/>
    <w:rsid w:val="00BB4632"/>
    <w:rsid w:val="00BB46BD"/>
    <w:rsid w:val="00BB4B24"/>
    <w:rsid w:val="00BB4BB1"/>
    <w:rsid w:val="00BB5251"/>
    <w:rsid w:val="00BB592F"/>
    <w:rsid w:val="00BB6223"/>
    <w:rsid w:val="00BB6809"/>
    <w:rsid w:val="00BB6E64"/>
    <w:rsid w:val="00BB6E69"/>
    <w:rsid w:val="00BB7073"/>
    <w:rsid w:val="00BB71B1"/>
    <w:rsid w:val="00BB75FA"/>
    <w:rsid w:val="00BB7723"/>
    <w:rsid w:val="00BB7784"/>
    <w:rsid w:val="00BB7BB8"/>
    <w:rsid w:val="00BC004F"/>
    <w:rsid w:val="00BC02B2"/>
    <w:rsid w:val="00BC040B"/>
    <w:rsid w:val="00BC067F"/>
    <w:rsid w:val="00BC0900"/>
    <w:rsid w:val="00BC10EB"/>
    <w:rsid w:val="00BC139C"/>
    <w:rsid w:val="00BC13CF"/>
    <w:rsid w:val="00BC14B8"/>
    <w:rsid w:val="00BC1559"/>
    <w:rsid w:val="00BC1D88"/>
    <w:rsid w:val="00BC209B"/>
    <w:rsid w:val="00BC2299"/>
    <w:rsid w:val="00BC24A9"/>
    <w:rsid w:val="00BC2687"/>
    <w:rsid w:val="00BC2A6D"/>
    <w:rsid w:val="00BC2B36"/>
    <w:rsid w:val="00BC2D83"/>
    <w:rsid w:val="00BC2FF3"/>
    <w:rsid w:val="00BC3144"/>
    <w:rsid w:val="00BC317F"/>
    <w:rsid w:val="00BC3507"/>
    <w:rsid w:val="00BC3982"/>
    <w:rsid w:val="00BC4062"/>
    <w:rsid w:val="00BC467B"/>
    <w:rsid w:val="00BC4780"/>
    <w:rsid w:val="00BC486F"/>
    <w:rsid w:val="00BC57A8"/>
    <w:rsid w:val="00BC57F8"/>
    <w:rsid w:val="00BC601B"/>
    <w:rsid w:val="00BC6146"/>
    <w:rsid w:val="00BC622C"/>
    <w:rsid w:val="00BC6859"/>
    <w:rsid w:val="00BC6A39"/>
    <w:rsid w:val="00BC6F82"/>
    <w:rsid w:val="00BC7072"/>
    <w:rsid w:val="00BC731A"/>
    <w:rsid w:val="00BC769D"/>
    <w:rsid w:val="00BC7A41"/>
    <w:rsid w:val="00BC7CB6"/>
    <w:rsid w:val="00BC7D51"/>
    <w:rsid w:val="00BC7DD1"/>
    <w:rsid w:val="00BC7EB8"/>
    <w:rsid w:val="00BD013C"/>
    <w:rsid w:val="00BD0248"/>
    <w:rsid w:val="00BD0429"/>
    <w:rsid w:val="00BD0703"/>
    <w:rsid w:val="00BD0BA5"/>
    <w:rsid w:val="00BD0C26"/>
    <w:rsid w:val="00BD1190"/>
    <w:rsid w:val="00BD13AD"/>
    <w:rsid w:val="00BD1876"/>
    <w:rsid w:val="00BD1A3E"/>
    <w:rsid w:val="00BD2341"/>
    <w:rsid w:val="00BD2BC1"/>
    <w:rsid w:val="00BD2CBD"/>
    <w:rsid w:val="00BD2FC0"/>
    <w:rsid w:val="00BD3040"/>
    <w:rsid w:val="00BD334D"/>
    <w:rsid w:val="00BD3438"/>
    <w:rsid w:val="00BD3546"/>
    <w:rsid w:val="00BD3C16"/>
    <w:rsid w:val="00BD3F2B"/>
    <w:rsid w:val="00BD422D"/>
    <w:rsid w:val="00BD4746"/>
    <w:rsid w:val="00BD4EF3"/>
    <w:rsid w:val="00BD5021"/>
    <w:rsid w:val="00BD5912"/>
    <w:rsid w:val="00BD59F1"/>
    <w:rsid w:val="00BD5B04"/>
    <w:rsid w:val="00BD6493"/>
    <w:rsid w:val="00BD65D0"/>
    <w:rsid w:val="00BD6636"/>
    <w:rsid w:val="00BD6881"/>
    <w:rsid w:val="00BD6E32"/>
    <w:rsid w:val="00BD6E91"/>
    <w:rsid w:val="00BD7140"/>
    <w:rsid w:val="00BD74EA"/>
    <w:rsid w:val="00BD754A"/>
    <w:rsid w:val="00BD75A9"/>
    <w:rsid w:val="00BD7764"/>
    <w:rsid w:val="00BD7E6F"/>
    <w:rsid w:val="00BE0325"/>
    <w:rsid w:val="00BE04F1"/>
    <w:rsid w:val="00BE063E"/>
    <w:rsid w:val="00BE0DF1"/>
    <w:rsid w:val="00BE1282"/>
    <w:rsid w:val="00BE1456"/>
    <w:rsid w:val="00BE15F1"/>
    <w:rsid w:val="00BE16DE"/>
    <w:rsid w:val="00BE1BB9"/>
    <w:rsid w:val="00BE1C68"/>
    <w:rsid w:val="00BE1DD0"/>
    <w:rsid w:val="00BE2308"/>
    <w:rsid w:val="00BE265A"/>
    <w:rsid w:val="00BE309F"/>
    <w:rsid w:val="00BE34D7"/>
    <w:rsid w:val="00BE374F"/>
    <w:rsid w:val="00BE3886"/>
    <w:rsid w:val="00BE38A3"/>
    <w:rsid w:val="00BE38DB"/>
    <w:rsid w:val="00BE3A15"/>
    <w:rsid w:val="00BE3A7D"/>
    <w:rsid w:val="00BE3B48"/>
    <w:rsid w:val="00BE3DA9"/>
    <w:rsid w:val="00BE3EAD"/>
    <w:rsid w:val="00BE40FD"/>
    <w:rsid w:val="00BE41F8"/>
    <w:rsid w:val="00BE4254"/>
    <w:rsid w:val="00BE46E4"/>
    <w:rsid w:val="00BE47FE"/>
    <w:rsid w:val="00BE4AC7"/>
    <w:rsid w:val="00BE5D85"/>
    <w:rsid w:val="00BE643A"/>
    <w:rsid w:val="00BE68C3"/>
    <w:rsid w:val="00BE6E26"/>
    <w:rsid w:val="00BE6E49"/>
    <w:rsid w:val="00BE709B"/>
    <w:rsid w:val="00BE777D"/>
    <w:rsid w:val="00BE7CC0"/>
    <w:rsid w:val="00BE7D62"/>
    <w:rsid w:val="00BF010F"/>
    <w:rsid w:val="00BF021A"/>
    <w:rsid w:val="00BF04F1"/>
    <w:rsid w:val="00BF095A"/>
    <w:rsid w:val="00BF0FB9"/>
    <w:rsid w:val="00BF13D2"/>
    <w:rsid w:val="00BF16BE"/>
    <w:rsid w:val="00BF1B94"/>
    <w:rsid w:val="00BF1C9D"/>
    <w:rsid w:val="00BF20E5"/>
    <w:rsid w:val="00BF22C8"/>
    <w:rsid w:val="00BF252C"/>
    <w:rsid w:val="00BF2589"/>
    <w:rsid w:val="00BF2ADF"/>
    <w:rsid w:val="00BF2B24"/>
    <w:rsid w:val="00BF2C7D"/>
    <w:rsid w:val="00BF2CAD"/>
    <w:rsid w:val="00BF2CC8"/>
    <w:rsid w:val="00BF2D52"/>
    <w:rsid w:val="00BF2FC8"/>
    <w:rsid w:val="00BF363C"/>
    <w:rsid w:val="00BF366B"/>
    <w:rsid w:val="00BF37B7"/>
    <w:rsid w:val="00BF3A19"/>
    <w:rsid w:val="00BF3D54"/>
    <w:rsid w:val="00BF4033"/>
    <w:rsid w:val="00BF4237"/>
    <w:rsid w:val="00BF44C3"/>
    <w:rsid w:val="00BF46D5"/>
    <w:rsid w:val="00BF4BC0"/>
    <w:rsid w:val="00BF4C1A"/>
    <w:rsid w:val="00BF4C73"/>
    <w:rsid w:val="00BF4DF4"/>
    <w:rsid w:val="00BF4E3D"/>
    <w:rsid w:val="00BF5176"/>
    <w:rsid w:val="00BF5491"/>
    <w:rsid w:val="00BF5930"/>
    <w:rsid w:val="00BF5940"/>
    <w:rsid w:val="00BF685C"/>
    <w:rsid w:val="00BF6CA2"/>
    <w:rsid w:val="00BF7264"/>
    <w:rsid w:val="00BF73AB"/>
    <w:rsid w:val="00BF78A8"/>
    <w:rsid w:val="00BF790B"/>
    <w:rsid w:val="00BF7F55"/>
    <w:rsid w:val="00BF7F88"/>
    <w:rsid w:val="00C0056D"/>
    <w:rsid w:val="00C010BF"/>
    <w:rsid w:val="00C0144B"/>
    <w:rsid w:val="00C01A79"/>
    <w:rsid w:val="00C01B6E"/>
    <w:rsid w:val="00C01B89"/>
    <w:rsid w:val="00C01FC6"/>
    <w:rsid w:val="00C0228E"/>
    <w:rsid w:val="00C022FD"/>
    <w:rsid w:val="00C0267A"/>
    <w:rsid w:val="00C02791"/>
    <w:rsid w:val="00C027EC"/>
    <w:rsid w:val="00C028C6"/>
    <w:rsid w:val="00C02C4A"/>
    <w:rsid w:val="00C03A68"/>
    <w:rsid w:val="00C048B8"/>
    <w:rsid w:val="00C04E1C"/>
    <w:rsid w:val="00C04F69"/>
    <w:rsid w:val="00C05100"/>
    <w:rsid w:val="00C06291"/>
    <w:rsid w:val="00C06367"/>
    <w:rsid w:val="00C06688"/>
    <w:rsid w:val="00C066C5"/>
    <w:rsid w:val="00C06DD4"/>
    <w:rsid w:val="00C06F56"/>
    <w:rsid w:val="00C07062"/>
    <w:rsid w:val="00C0714D"/>
    <w:rsid w:val="00C072CD"/>
    <w:rsid w:val="00C072D3"/>
    <w:rsid w:val="00C07AD0"/>
    <w:rsid w:val="00C07BA2"/>
    <w:rsid w:val="00C10175"/>
    <w:rsid w:val="00C103D9"/>
    <w:rsid w:val="00C110BD"/>
    <w:rsid w:val="00C111E3"/>
    <w:rsid w:val="00C11656"/>
    <w:rsid w:val="00C119A8"/>
    <w:rsid w:val="00C12567"/>
    <w:rsid w:val="00C1260E"/>
    <w:rsid w:val="00C12A83"/>
    <w:rsid w:val="00C12AED"/>
    <w:rsid w:val="00C12C26"/>
    <w:rsid w:val="00C12FE1"/>
    <w:rsid w:val="00C133AA"/>
    <w:rsid w:val="00C13B06"/>
    <w:rsid w:val="00C13B7E"/>
    <w:rsid w:val="00C13CE4"/>
    <w:rsid w:val="00C1411A"/>
    <w:rsid w:val="00C1422D"/>
    <w:rsid w:val="00C14367"/>
    <w:rsid w:val="00C14408"/>
    <w:rsid w:val="00C14541"/>
    <w:rsid w:val="00C1485D"/>
    <w:rsid w:val="00C15104"/>
    <w:rsid w:val="00C15179"/>
    <w:rsid w:val="00C15AF3"/>
    <w:rsid w:val="00C15C12"/>
    <w:rsid w:val="00C15CF9"/>
    <w:rsid w:val="00C15D1E"/>
    <w:rsid w:val="00C15DB9"/>
    <w:rsid w:val="00C16198"/>
    <w:rsid w:val="00C167FB"/>
    <w:rsid w:val="00C169EF"/>
    <w:rsid w:val="00C16AA7"/>
    <w:rsid w:val="00C17EC2"/>
    <w:rsid w:val="00C17F6A"/>
    <w:rsid w:val="00C2032F"/>
    <w:rsid w:val="00C20451"/>
    <w:rsid w:val="00C20623"/>
    <w:rsid w:val="00C207D3"/>
    <w:rsid w:val="00C20DBA"/>
    <w:rsid w:val="00C20E93"/>
    <w:rsid w:val="00C21009"/>
    <w:rsid w:val="00C214CB"/>
    <w:rsid w:val="00C21680"/>
    <w:rsid w:val="00C217A9"/>
    <w:rsid w:val="00C217C2"/>
    <w:rsid w:val="00C21E8E"/>
    <w:rsid w:val="00C21E9E"/>
    <w:rsid w:val="00C22849"/>
    <w:rsid w:val="00C22A54"/>
    <w:rsid w:val="00C22E53"/>
    <w:rsid w:val="00C2320A"/>
    <w:rsid w:val="00C236A7"/>
    <w:rsid w:val="00C23A64"/>
    <w:rsid w:val="00C24D53"/>
    <w:rsid w:val="00C24E8B"/>
    <w:rsid w:val="00C24FF8"/>
    <w:rsid w:val="00C25006"/>
    <w:rsid w:val="00C25921"/>
    <w:rsid w:val="00C25BF2"/>
    <w:rsid w:val="00C25E1C"/>
    <w:rsid w:val="00C25E9E"/>
    <w:rsid w:val="00C25EE5"/>
    <w:rsid w:val="00C26110"/>
    <w:rsid w:val="00C26120"/>
    <w:rsid w:val="00C2631A"/>
    <w:rsid w:val="00C263AC"/>
    <w:rsid w:val="00C26967"/>
    <w:rsid w:val="00C26C88"/>
    <w:rsid w:val="00C2726F"/>
    <w:rsid w:val="00C275DE"/>
    <w:rsid w:val="00C27B60"/>
    <w:rsid w:val="00C30ED0"/>
    <w:rsid w:val="00C310D6"/>
    <w:rsid w:val="00C31299"/>
    <w:rsid w:val="00C314EE"/>
    <w:rsid w:val="00C31743"/>
    <w:rsid w:val="00C317E3"/>
    <w:rsid w:val="00C318AE"/>
    <w:rsid w:val="00C31F59"/>
    <w:rsid w:val="00C31F9A"/>
    <w:rsid w:val="00C327C4"/>
    <w:rsid w:val="00C3301E"/>
    <w:rsid w:val="00C33282"/>
    <w:rsid w:val="00C33306"/>
    <w:rsid w:val="00C338BE"/>
    <w:rsid w:val="00C33A20"/>
    <w:rsid w:val="00C33AF6"/>
    <w:rsid w:val="00C33F73"/>
    <w:rsid w:val="00C3489F"/>
    <w:rsid w:val="00C34C6F"/>
    <w:rsid w:val="00C34E19"/>
    <w:rsid w:val="00C350F4"/>
    <w:rsid w:val="00C35109"/>
    <w:rsid w:val="00C35176"/>
    <w:rsid w:val="00C355CE"/>
    <w:rsid w:val="00C35832"/>
    <w:rsid w:val="00C35C93"/>
    <w:rsid w:val="00C35D0F"/>
    <w:rsid w:val="00C35D12"/>
    <w:rsid w:val="00C36056"/>
    <w:rsid w:val="00C360A6"/>
    <w:rsid w:val="00C370C8"/>
    <w:rsid w:val="00C37736"/>
    <w:rsid w:val="00C3788C"/>
    <w:rsid w:val="00C379B7"/>
    <w:rsid w:val="00C37BA8"/>
    <w:rsid w:val="00C37EC7"/>
    <w:rsid w:val="00C401CA"/>
    <w:rsid w:val="00C405D0"/>
    <w:rsid w:val="00C40605"/>
    <w:rsid w:val="00C40614"/>
    <w:rsid w:val="00C40886"/>
    <w:rsid w:val="00C40CE1"/>
    <w:rsid w:val="00C40E22"/>
    <w:rsid w:val="00C411B3"/>
    <w:rsid w:val="00C412B5"/>
    <w:rsid w:val="00C41328"/>
    <w:rsid w:val="00C4138F"/>
    <w:rsid w:val="00C41579"/>
    <w:rsid w:val="00C41847"/>
    <w:rsid w:val="00C41C0F"/>
    <w:rsid w:val="00C427A6"/>
    <w:rsid w:val="00C42871"/>
    <w:rsid w:val="00C428E1"/>
    <w:rsid w:val="00C428ED"/>
    <w:rsid w:val="00C43222"/>
    <w:rsid w:val="00C43469"/>
    <w:rsid w:val="00C435B9"/>
    <w:rsid w:val="00C43773"/>
    <w:rsid w:val="00C43FF3"/>
    <w:rsid w:val="00C441C2"/>
    <w:rsid w:val="00C446FD"/>
    <w:rsid w:val="00C449C1"/>
    <w:rsid w:val="00C44B56"/>
    <w:rsid w:val="00C44C0F"/>
    <w:rsid w:val="00C4505B"/>
    <w:rsid w:val="00C45148"/>
    <w:rsid w:val="00C45267"/>
    <w:rsid w:val="00C45618"/>
    <w:rsid w:val="00C45A80"/>
    <w:rsid w:val="00C45B03"/>
    <w:rsid w:val="00C45D23"/>
    <w:rsid w:val="00C45E75"/>
    <w:rsid w:val="00C4633D"/>
    <w:rsid w:val="00C463BC"/>
    <w:rsid w:val="00C4673B"/>
    <w:rsid w:val="00C46756"/>
    <w:rsid w:val="00C46920"/>
    <w:rsid w:val="00C46A3D"/>
    <w:rsid w:val="00C46DA7"/>
    <w:rsid w:val="00C46EAC"/>
    <w:rsid w:val="00C4759A"/>
    <w:rsid w:val="00C478EB"/>
    <w:rsid w:val="00C500ED"/>
    <w:rsid w:val="00C50506"/>
    <w:rsid w:val="00C5056E"/>
    <w:rsid w:val="00C50825"/>
    <w:rsid w:val="00C50BC5"/>
    <w:rsid w:val="00C50E29"/>
    <w:rsid w:val="00C51315"/>
    <w:rsid w:val="00C514FC"/>
    <w:rsid w:val="00C5153C"/>
    <w:rsid w:val="00C517EB"/>
    <w:rsid w:val="00C51A89"/>
    <w:rsid w:val="00C51C84"/>
    <w:rsid w:val="00C521D1"/>
    <w:rsid w:val="00C52544"/>
    <w:rsid w:val="00C528B2"/>
    <w:rsid w:val="00C52DCA"/>
    <w:rsid w:val="00C532C7"/>
    <w:rsid w:val="00C53310"/>
    <w:rsid w:val="00C53765"/>
    <w:rsid w:val="00C5379D"/>
    <w:rsid w:val="00C53B12"/>
    <w:rsid w:val="00C53C32"/>
    <w:rsid w:val="00C545E0"/>
    <w:rsid w:val="00C545EF"/>
    <w:rsid w:val="00C5460D"/>
    <w:rsid w:val="00C54C85"/>
    <w:rsid w:val="00C54CB8"/>
    <w:rsid w:val="00C54DA5"/>
    <w:rsid w:val="00C54E12"/>
    <w:rsid w:val="00C54F25"/>
    <w:rsid w:val="00C55069"/>
    <w:rsid w:val="00C55200"/>
    <w:rsid w:val="00C55E33"/>
    <w:rsid w:val="00C56161"/>
    <w:rsid w:val="00C566BC"/>
    <w:rsid w:val="00C5676F"/>
    <w:rsid w:val="00C568C3"/>
    <w:rsid w:val="00C56BFC"/>
    <w:rsid w:val="00C57CCE"/>
    <w:rsid w:val="00C57D6A"/>
    <w:rsid w:val="00C6016C"/>
    <w:rsid w:val="00C602D6"/>
    <w:rsid w:val="00C60680"/>
    <w:rsid w:val="00C60A4A"/>
    <w:rsid w:val="00C60E14"/>
    <w:rsid w:val="00C61002"/>
    <w:rsid w:val="00C6120C"/>
    <w:rsid w:val="00C61B15"/>
    <w:rsid w:val="00C61EA7"/>
    <w:rsid w:val="00C62089"/>
    <w:rsid w:val="00C625E7"/>
    <w:rsid w:val="00C627E5"/>
    <w:rsid w:val="00C62937"/>
    <w:rsid w:val="00C62F2F"/>
    <w:rsid w:val="00C633A4"/>
    <w:rsid w:val="00C63493"/>
    <w:rsid w:val="00C638DC"/>
    <w:rsid w:val="00C63FF7"/>
    <w:rsid w:val="00C6417F"/>
    <w:rsid w:val="00C6488A"/>
    <w:rsid w:val="00C6490F"/>
    <w:rsid w:val="00C65021"/>
    <w:rsid w:val="00C65075"/>
    <w:rsid w:val="00C6543B"/>
    <w:rsid w:val="00C6570B"/>
    <w:rsid w:val="00C6579E"/>
    <w:rsid w:val="00C65DB8"/>
    <w:rsid w:val="00C6612C"/>
    <w:rsid w:val="00C667E5"/>
    <w:rsid w:val="00C66960"/>
    <w:rsid w:val="00C66DDE"/>
    <w:rsid w:val="00C66E81"/>
    <w:rsid w:val="00C6727A"/>
    <w:rsid w:val="00C6737C"/>
    <w:rsid w:val="00C673F2"/>
    <w:rsid w:val="00C67801"/>
    <w:rsid w:val="00C6798A"/>
    <w:rsid w:val="00C67F3A"/>
    <w:rsid w:val="00C7063E"/>
    <w:rsid w:val="00C706E4"/>
    <w:rsid w:val="00C70C2E"/>
    <w:rsid w:val="00C70EA1"/>
    <w:rsid w:val="00C70FDE"/>
    <w:rsid w:val="00C7125D"/>
    <w:rsid w:val="00C713B9"/>
    <w:rsid w:val="00C715C3"/>
    <w:rsid w:val="00C7163B"/>
    <w:rsid w:val="00C71D4F"/>
    <w:rsid w:val="00C7221A"/>
    <w:rsid w:val="00C7246E"/>
    <w:rsid w:val="00C7297C"/>
    <w:rsid w:val="00C729D2"/>
    <w:rsid w:val="00C72A04"/>
    <w:rsid w:val="00C72B4F"/>
    <w:rsid w:val="00C73365"/>
    <w:rsid w:val="00C7363D"/>
    <w:rsid w:val="00C74676"/>
    <w:rsid w:val="00C747A6"/>
    <w:rsid w:val="00C74837"/>
    <w:rsid w:val="00C74D70"/>
    <w:rsid w:val="00C753DD"/>
    <w:rsid w:val="00C755E5"/>
    <w:rsid w:val="00C75C76"/>
    <w:rsid w:val="00C75D1C"/>
    <w:rsid w:val="00C75D75"/>
    <w:rsid w:val="00C761C3"/>
    <w:rsid w:val="00C762C9"/>
    <w:rsid w:val="00C76732"/>
    <w:rsid w:val="00C76977"/>
    <w:rsid w:val="00C769E6"/>
    <w:rsid w:val="00C76CC1"/>
    <w:rsid w:val="00C77116"/>
    <w:rsid w:val="00C77176"/>
    <w:rsid w:val="00C77380"/>
    <w:rsid w:val="00C7794C"/>
    <w:rsid w:val="00C77D10"/>
    <w:rsid w:val="00C77D49"/>
    <w:rsid w:val="00C77DA5"/>
    <w:rsid w:val="00C80062"/>
    <w:rsid w:val="00C80343"/>
    <w:rsid w:val="00C803C1"/>
    <w:rsid w:val="00C8056C"/>
    <w:rsid w:val="00C805A1"/>
    <w:rsid w:val="00C80644"/>
    <w:rsid w:val="00C80685"/>
    <w:rsid w:val="00C80B14"/>
    <w:rsid w:val="00C80B1A"/>
    <w:rsid w:val="00C80BE3"/>
    <w:rsid w:val="00C80EE8"/>
    <w:rsid w:val="00C8106E"/>
    <w:rsid w:val="00C81549"/>
    <w:rsid w:val="00C8158F"/>
    <w:rsid w:val="00C8185F"/>
    <w:rsid w:val="00C81874"/>
    <w:rsid w:val="00C81A52"/>
    <w:rsid w:val="00C81EE4"/>
    <w:rsid w:val="00C82076"/>
    <w:rsid w:val="00C821C8"/>
    <w:rsid w:val="00C82465"/>
    <w:rsid w:val="00C82876"/>
    <w:rsid w:val="00C82933"/>
    <w:rsid w:val="00C82953"/>
    <w:rsid w:val="00C829DB"/>
    <w:rsid w:val="00C829F9"/>
    <w:rsid w:val="00C82A89"/>
    <w:rsid w:val="00C82F13"/>
    <w:rsid w:val="00C82F9A"/>
    <w:rsid w:val="00C8309A"/>
    <w:rsid w:val="00C83139"/>
    <w:rsid w:val="00C832C2"/>
    <w:rsid w:val="00C832E9"/>
    <w:rsid w:val="00C83342"/>
    <w:rsid w:val="00C83A86"/>
    <w:rsid w:val="00C83C2D"/>
    <w:rsid w:val="00C842AE"/>
    <w:rsid w:val="00C843B7"/>
    <w:rsid w:val="00C84426"/>
    <w:rsid w:val="00C84495"/>
    <w:rsid w:val="00C848EB"/>
    <w:rsid w:val="00C84987"/>
    <w:rsid w:val="00C84C11"/>
    <w:rsid w:val="00C84FD8"/>
    <w:rsid w:val="00C85305"/>
    <w:rsid w:val="00C853F1"/>
    <w:rsid w:val="00C855B9"/>
    <w:rsid w:val="00C85A6E"/>
    <w:rsid w:val="00C85C9F"/>
    <w:rsid w:val="00C85F0D"/>
    <w:rsid w:val="00C860CF"/>
    <w:rsid w:val="00C86279"/>
    <w:rsid w:val="00C8648C"/>
    <w:rsid w:val="00C86837"/>
    <w:rsid w:val="00C86B98"/>
    <w:rsid w:val="00C871F7"/>
    <w:rsid w:val="00C87213"/>
    <w:rsid w:val="00C87263"/>
    <w:rsid w:val="00C8726B"/>
    <w:rsid w:val="00C87596"/>
    <w:rsid w:val="00C876EC"/>
    <w:rsid w:val="00C877F1"/>
    <w:rsid w:val="00C878D3"/>
    <w:rsid w:val="00C878F4"/>
    <w:rsid w:val="00C8791B"/>
    <w:rsid w:val="00C87B6A"/>
    <w:rsid w:val="00C87C92"/>
    <w:rsid w:val="00C9008A"/>
    <w:rsid w:val="00C90A63"/>
    <w:rsid w:val="00C91464"/>
    <w:rsid w:val="00C91964"/>
    <w:rsid w:val="00C91DDD"/>
    <w:rsid w:val="00C920C4"/>
    <w:rsid w:val="00C9228D"/>
    <w:rsid w:val="00C922D6"/>
    <w:rsid w:val="00C92319"/>
    <w:rsid w:val="00C92400"/>
    <w:rsid w:val="00C9269C"/>
    <w:rsid w:val="00C926C2"/>
    <w:rsid w:val="00C92A1F"/>
    <w:rsid w:val="00C92B47"/>
    <w:rsid w:val="00C92B48"/>
    <w:rsid w:val="00C92C2A"/>
    <w:rsid w:val="00C93A53"/>
    <w:rsid w:val="00C93E0F"/>
    <w:rsid w:val="00C940D3"/>
    <w:rsid w:val="00C9450C"/>
    <w:rsid w:val="00C94583"/>
    <w:rsid w:val="00C95D0E"/>
    <w:rsid w:val="00C95D87"/>
    <w:rsid w:val="00C95E53"/>
    <w:rsid w:val="00C95ECD"/>
    <w:rsid w:val="00C95F73"/>
    <w:rsid w:val="00C96195"/>
    <w:rsid w:val="00C9620A"/>
    <w:rsid w:val="00C9654F"/>
    <w:rsid w:val="00C96693"/>
    <w:rsid w:val="00C97822"/>
    <w:rsid w:val="00C97C3F"/>
    <w:rsid w:val="00C97CEB"/>
    <w:rsid w:val="00C97D01"/>
    <w:rsid w:val="00CA0188"/>
    <w:rsid w:val="00CA0264"/>
    <w:rsid w:val="00CA048E"/>
    <w:rsid w:val="00CA051A"/>
    <w:rsid w:val="00CA057E"/>
    <w:rsid w:val="00CA0ABD"/>
    <w:rsid w:val="00CA0B76"/>
    <w:rsid w:val="00CA0ED6"/>
    <w:rsid w:val="00CA0F89"/>
    <w:rsid w:val="00CA14B1"/>
    <w:rsid w:val="00CA1614"/>
    <w:rsid w:val="00CA17F3"/>
    <w:rsid w:val="00CA1BCE"/>
    <w:rsid w:val="00CA1C68"/>
    <w:rsid w:val="00CA1D6B"/>
    <w:rsid w:val="00CA1EC6"/>
    <w:rsid w:val="00CA1F12"/>
    <w:rsid w:val="00CA2055"/>
    <w:rsid w:val="00CA22AB"/>
    <w:rsid w:val="00CA2371"/>
    <w:rsid w:val="00CA2809"/>
    <w:rsid w:val="00CA2A95"/>
    <w:rsid w:val="00CA2DF7"/>
    <w:rsid w:val="00CA2F23"/>
    <w:rsid w:val="00CA32D2"/>
    <w:rsid w:val="00CA33BB"/>
    <w:rsid w:val="00CA34BE"/>
    <w:rsid w:val="00CA37FF"/>
    <w:rsid w:val="00CA3D9E"/>
    <w:rsid w:val="00CA3EC5"/>
    <w:rsid w:val="00CA436C"/>
    <w:rsid w:val="00CA5669"/>
    <w:rsid w:val="00CA5A39"/>
    <w:rsid w:val="00CA5A5F"/>
    <w:rsid w:val="00CA5DD0"/>
    <w:rsid w:val="00CA619F"/>
    <w:rsid w:val="00CA620D"/>
    <w:rsid w:val="00CA6428"/>
    <w:rsid w:val="00CA64BE"/>
    <w:rsid w:val="00CA65B2"/>
    <w:rsid w:val="00CA6712"/>
    <w:rsid w:val="00CA677C"/>
    <w:rsid w:val="00CA6BCD"/>
    <w:rsid w:val="00CA6EF4"/>
    <w:rsid w:val="00CA74A8"/>
    <w:rsid w:val="00CA75A6"/>
    <w:rsid w:val="00CA7603"/>
    <w:rsid w:val="00CA7BBE"/>
    <w:rsid w:val="00CB03AA"/>
    <w:rsid w:val="00CB03C0"/>
    <w:rsid w:val="00CB05E6"/>
    <w:rsid w:val="00CB0689"/>
    <w:rsid w:val="00CB07C0"/>
    <w:rsid w:val="00CB08A7"/>
    <w:rsid w:val="00CB0952"/>
    <w:rsid w:val="00CB0C66"/>
    <w:rsid w:val="00CB0E99"/>
    <w:rsid w:val="00CB1022"/>
    <w:rsid w:val="00CB10D2"/>
    <w:rsid w:val="00CB13F5"/>
    <w:rsid w:val="00CB152A"/>
    <w:rsid w:val="00CB1574"/>
    <w:rsid w:val="00CB16A4"/>
    <w:rsid w:val="00CB16D8"/>
    <w:rsid w:val="00CB1B2A"/>
    <w:rsid w:val="00CB1E40"/>
    <w:rsid w:val="00CB2185"/>
    <w:rsid w:val="00CB22D5"/>
    <w:rsid w:val="00CB296D"/>
    <w:rsid w:val="00CB2B3B"/>
    <w:rsid w:val="00CB2FC3"/>
    <w:rsid w:val="00CB34B2"/>
    <w:rsid w:val="00CB3A4F"/>
    <w:rsid w:val="00CB3B01"/>
    <w:rsid w:val="00CB3B78"/>
    <w:rsid w:val="00CB3FFE"/>
    <w:rsid w:val="00CB4A9D"/>
    <w:rsid w:val="00CB4C84"/>
    <w:rsid w:val="00CB51F0"/>
    <w:rsid w:val="00CB553B"/>
    <w:rsid w:val="00CB5EFF"/>
    <w:rsid w:val="00CB5FCA"/>
    <w:rsid w:val="00CB6003"/>
    <w:rsid w:val="00CB62BE"/>
    <w:rsid w:val="00CB65D0"/>
    <w:rsid w:val="00CB6882"/>
    <w:rsid w:val="00CB6A81"/>
    <w:rsid w:val="00CB6E22"/>
    <w:rsid w:val="00CB6EA7"/>
    <w:rsid w:val="00CB6FAC"/>
    <w:rsid w:val="00CB6FB5"/>
    <w:rsid w:val="00CB7577"/>
    <w:rsid w:val="00CB7806"/>
    <w:rsid w:val="00CB7C6D"/>
    <w:rsid w:val="00CB7DE7"/>
    <w:rsid w:val="00CC003A"/>
    <w:rsid w:val="00CC03CB"/>
    <w:rsid w:val="00CC0661"/>
    <w:rsid w:val="00CC1163"/>
    <w:rsid w:val="00CC1264"/>
    <w:rsid w:val="00CC20DB"/>
    <w:rsid w:val="00CC210E"/>
    <w:rsid w:val="00CC2601"/>
    <w:rsid w:val="00CC2CB1"/>
    <w:rsid w:val="00CC328C"/>
    <w:rsid w:val="00CC38CD"/>
    <w:rsid w:val="00CC3CAF"/>
    <w:rsid w:val="00CC3CFC"/>
    <w:rsid w:val="00CC3D0C"/>
    <w:rsid w:val="00CC3DEA"/>
    <w:rsid w:val="00CC3FDF"/>
    <w:rsid w:val="00CC4230"/>
    <w:rsid w:val="00CC4373"/>
    <w:rsid w:val="00CC4DF7"/>
    <w:rsid w:val="00CC4EA0"/>
    <w:rsid w:val="00CC4F9E"/>
    <w:rsid w:val="00CC537F"/>
    <w:rsid w:val="00CC5CDB"/>
    <w:rsid w:val="00CC5DBA"/>
    <w:rsid w:val="00CC607B"/>
    <w:rsid w:val="00CC60D1"/>
    <w:rsid w:val="00CC61FC"/>
    <w:rsid w:val="00CC646B"/>
    <w:rsid w:val="00CC66CD"/>
    <w:rsid w:val="00CC6DE6"/>
    <w:rsid w:val="00CC7063"/>
    <w:rsid w:val="00CC7170"/>
    <w:rsid w:val="00CC793F"/>
    <w:rsid w:val="00CC7C98"/>
    <w:rsid w:val="00CD08F2"/>
    <w:rsid w:val="00CD0D34"/>
    <w:rsid w:val="00CD0DA8"/>
    <w:rsid w:val="00CD10DE"/>
    <w:rsid w:val="00CD12C2"/>
    <w:rsid w:val="00CD143A"/>
    <w:rsid w:val="00CD177E"/>
    <w:rsid w:val="00CD1B35"/>
    <w:rsid w:val="00CD1C3E"/>
    <w:rsid w:val="00CD1E62"/>
    <w:rsid w:val="00CD1EEE"/>
    <w:rsid w:val="00CD200E"/>
    <w:rsid w:val="00CD21B2"/>
    <w:rsid w:val="00CD283A"/>
    <w:rsid w:val="00CD2C05"/>
    <w:rsid w:val="00CD2C97"/>
    <w:rsid w:val="00CD3132"/>
    <w:rsid w:val="00CD3268"/>
    <w:rsid w:val="00CD36E3"/>
    <w:rsid w:val="00CD3B5F"/>
    <w:rsid w:val="00CD3E9E"/>
    <w:rsid w:val="00CD45DA"/>
    <w:rsid w:val="00CD4965"/>
    <w:rsid w:val="00CD5399"/>
    <w:rsid w:val="00CD56AE"/>
    <w:rsid w:val="00CD5860"/>
    <w:rsid w:val="00CD59A8"/>
    <w:rsid w:val="00CD5F8C"/>
    <w:rsid w:val="00CD6261"/>
    <w:rsid w:val="00CD6C1A"/>
    <w:rsid w:val="00CD6EC7"/>
    <w:rsid w:val="00CD6EF4"/>
    <w:rsid w:val="00CD710E"/>
    <w:rsid w:val="00CD7239"/>
    <w:rsid w:val="00CD7331"/>
    <w:rsid w:val="00CD73C8"/>
    <w:rsid w:val="00CD79CE"/>
    <w:rsid w:val="00CD7DFA"/>
    <w:rsid w:val="00CE0386"/>
    <w:rsid w:val="00CE0468"/>
    <w:rsid w:val="00CE0918"/>
    <w:rsid w:val="00CE0CF1"/>
    <w:rsid w:val="00CE0E26"/>
    <w:rsid w:val="00CE1305"/>
    <w:rsid w:val="00CE137E"/>
    <w:rsid w:val="00CE1600"/>
    <w:rsid w:val="00CE16C9"/>
    <w:rsid w:val="00CE1C5D"/>
    <w:rsid w:val="00CE21B5"/>
    <w:rsid w:val="00CE2634"/>
    <w:rsid w:val="00CE2C66"/>
    <w:rsid w:val="00CE2E8C"/>
    <w:rsid w:val="00CE30B1"/>
    <w:rsid w:val="00CE335D"/>
    <w:rsid w:val="00CE3653"/>
    <w:rsid w:val="00CE37E9"/>
    <w:rsid w:val="00CE3C58"/>
    <w:rsid w:val="00CE3D9E"/>
    <w:rsid w:val="00CE433D"/>
    <w:rsid w:val="00CE4B8E"/>
    <w:rsid w:val="00CE5179"/>
    <w:rsid w:val="00CE52B3"/>
    <w:rsid w:val="00CE57F1"/>
    <w:rsid w:val="00CE5F7D"/>
    <w:rsid w:val="00CE6C49"/>
    <w:rsid w:val="00CE6F09"/>
    <w:rsid w:val="00CE7161"/>
    <w:rsid w:val="00CE7250"/>
    <w:rsid w:val="00CE727B"/>
    <w:rsid w:val="00CE7344"/>
    <w:rsid w:val="00CE73A7"/>
    <w:rsid w:val="00CE78CF"/>
    <w:rsid w:val="00CE790B"/>
    <w:rsid w:val="00CE794F"/>
    <w:rsid w:val="00CE7A62"/>
    <w:rsid w:val="00CE7F3E"/>
    <w:rsid w:val="00CF005C"/>
    <w:rsid w:val="00CF0177"/>
    <w:rsid w:val="00CF0C9C"/>
    <w:rsid w:val="00CF0EBB"/>
    <w:rsid w:val="00CF0EBF"/>
    <w:rsid w:val="00CF114F"/>
    <w:rsid w:val="00CF1287"/>
    <w:rsid w:val="00CF13F8"/>
    <w:rsid w:val="00CF16A2"/>
    <w:rsid w:val="00CF18FE"/>
    <w:rsid w:val="00CF1CA7"/>
    <w:rsid w:val="00CF1F6A"/>
    <w:rsid w:val="00CF1F6F"/>
    <w:rsid w:val="00CF202D"/>
    <w:rsid w:val="00CF240A"/>
    <w:rsid w:val="00CF269A"/>
    <w:rsid w:val="00CF288D"/>
    <w:rsid w:val="00CF2ED7"/>
    <w:rsid w:val="00CF32CA"/>
    <w:rsid w:val="00CF37EB"/>
    <w:rsid w:val="00CF3951"/>
    <w:rsid w:val="00CF41AF"/>
    <w:rsid w:val="00CF42DB"/>
    <w:rsid w:val="00CF477B"/>
    <w:rsid w:val="00CF4BD6"/>
    <w:rsid w:val="00CF4D0A"/>
    <w:rsid w:val="00CF4EB9"/>
    <w:rsid w:val="00CF4EE1"/>
    <w:rsid w:val="00CF550B"/>
    <w:rsid w:val="00CF55E7"/>
    <w:rsid w:val="00CF5E0E"/>
    <w:rsid w:val="00CF6D6C"/>
    <w:rsid w:val="00CF758F"/>
    <w:rsid w:val="00CF760D"/>
    <w:rsid w:val="00CF78CD"/>
    <w:rsid w:val="00CF7C37"/>
    <w:rsid w:val="00D00033"/>
    <w:rsid w:val="00D001B0"/>
    <w:rsid w:val="00D002F8"/>
    <w:rsid w:val="00D00324"/>
    <w:rsid w:val="00D00765"/>
    <w:rsid w:val="00D00782"/>
    <w:rsid w:val="00D00786"/>
    <w:rsid w:val="00D00BFB"/>
    <w:rsid w:val="00D01008"/>
    <w:rsid w:val="00D010D6"/>
    <w:rsid w:val="00D011CC"/>
    <w:rsid w:val="00D011DC"/>
    <w:rsid w:val="00D017DF"/>
    <w:rsid w:val="00D018BB"/>
    <w:rsid w:val="00D01B5F"/>
    <w:rsid w:val="00D02432"/>
    <w:rsid w:val="00D0246F"/>
    <w:rsid w:val="00D025DB"/>
    <w:rsid w:val="00D02692"/>
    <w:rsid w:val="00D02791"/>
    <w:rsid w:val="00D02819"/>
    <w:rsid w:val="00D028D3"/>
    <w:rsid w:val="00D02DE9"/>
    <w:rsid w:val="00D03013"/>
    <w:rsid w:val="00D034E2"/>
    <w:rsid w:val="00D03815"/>
    <w:rsid w:val="00D0402F"/>
    <w:rsid w:val="00D04182"/>
    <w:rsid w:val="00D042F7"/>
    <w:rsid w:val="00D04750"/>
    <w:rsid w:val="00D0543F"/>
    <w:rsid w:val="00D05665"/>
    <w:rsid w:val="00D05962"/>
    <w:rsid w:val="00D05C63"/>
    <w:rsid w:val="00D05DAF"/>
    <w:rsid w:val="00D062CD"/>
    <w:rsid w:val="00D06421"/>
    <w:rsid w:val="00D06679"/>
    <w:rsid w:val="00D068B8"/>
    <w:rsid w:val="00D06D91"/>
    <w:rsid w:val="00D06EA7"/>
    <w:rsid w:val="00D07BB7"/>
    <w:rsid w:val="00D07D88"/>
    <w:rsid w:val="00D07F31"/>
    <w:rsid w:val="00D07F79"/>
    <w:rsid w:val="00D10511"/>
    <w:rsid w:val="00D107AF"/>
    <w:rsid w:val="00D10870"/>
    <w:rsid w:val="00D10949"/>
    <w:rsid w:val="00D11331"/>
    <w:rsid w:val="00D113BD"/>
    <w:rsid w:val="00D116FF"/>
    <w:rsid w:val="00D11713"/>
    <w:rsid w:val="00D11C3B"/>
    <w:rsid w:val="00D123FB"/>
    <w:rsid w:val="00D1240F"/>
    <w:rsid w:val="00D12709"/>
    <w:rsid w:val="00D12B51"/>
    <w:rsid w:val="00D12BB9"/>
    <w:rsid w:val="00D130F5"/>
    <w:rsid w:val="00D13188"/>
    <w:rsid w:val="00D1360B"/>
    <w:rsid w:val="00D13640"/>
    <w:rsid w:val="00D138A4"/>
    <w:rsid w:val="00D13B8F"/>
    <w:rsid w:val="00D13D5F"/>
    <w:rsid w:val="00D1412A"/>
    <w:rsid w:val="00D141DB"/>
    <w:rsid w:val="00D14699"/>
    <w:rsid w:val="00D147B6"/>
    <w:rsid w:val="00D152C2"/>
    <w:rsid w:val="00D1571C"/>
    <w:rsid w:val="00D15B17"/>
    <w:rsid w:val="00D15F55"/>
    <w:rsid w:val="00D165D2"/>
    <w:rsid w:val="00D16DB2"/>
    <w:rsid w:val="00D16FB4"/>
    <w:rsid w:val="00D170A6"/>
    <w:rsid w:val="00D17119"/>
    <w:rsid w:val="00D172AA"/>
    <w:rsid w:val="00D17569"/>
    <w:rsid w:val="00D176D4"/>
    <w:rsid w:val="00D17A7A"/>
    <w:rsid w:val="00D17E1C"/>
    <w:rsid w:val="00D20134"/>
    <w:rsid w:val="00D20147"/>
    <w:rsid w:val="00D205A2"/>
    <w:rsid w:val="00D2098A"/>
    <w:rsid w:val="00D20BF2"/>
    <w:rsid w:val="00D20BFC"/>
    <w:rsid w:val="00D20E15"/>
    <w:rsid w:val="00D212A5"/>
    <w:rsid w:val="00D21C05"/>
    <w:rsid w:val="00D22087"/>
    <w:rsid w:val="00D22138"/>
    <w:rsid w:val="00D224EF"/>
    <w:rsid w:val="00D22871"/>
    <w:rsid w:val="00D22D47"/>
    <w:rsid w:val="00D22D56"/>
    <w:rsid w:val="00D22E06"/>
    <w:rsid w:val="00D23155"/>
    <w:rsid w:val="00D232AA"/>
    <w:rsid w:val="00D233E7"/>
    <w:rsid w:val="00D234EA"/>
    <w:rsid w:val="00D24342"/>
    <w:rsid w:val="00D246B0"/>
    <w:rsid w:val="00D24927"/>
    <w:rsid w:val="00D24B79"/>
    <w:rsid w:val="00D24DC3"/>
    <w:rsid w:val="00D25027"/>
    <w:rsid w:val="00D250DC"/>
    <w:rsid w:val="00D25401"/>
    <w:rsid w:val="00D25775"/>
    <w:rsid w:val="00D264DA"/>
    <w:rsid w:val="00D267BC"/>
    <w:rsid w:val="00D26B6E"/>
    <w:rsid w:val="00D26E91"/>
    <w:rsid w:val="00D2721C"/>
    <w:rsid w:val="00D2775A"/>
    <w:rsid w:val="00D277BD"/>
    <w:rsid w:val="00D27A38"/>
    <w:rsid w:val="00D27EED"/>
    <w:rsid w:val="00D27F61"/>
    <w:rsid w:val="00D3011D"/>
    <w:rsid w:val="00D3014E"/>
    <w:rsid w:val="00D30171"/>
    <w:rsid w:val="00D305AA"/>
    <w:rsid w:val="00D31103"/>
    <w:rsid w:val="00D31411"/>
    <w:rsid w:val="00D31437"/>
    <w:rsid w:val="00D3159F"/>
    <w:rsid w:val="00D316DF"/>
    <w:rsid w:val="00D317A4"/>
    <w:rsid w:val="00D318DD"/>
    <w:rsid w:val="00D3215D"/>
    <w:rsid w:val="00D327A8"/>
    <w:rsid w:val="00D32A4C"/>
    <w:rsid w:val="00D32B59"/>
    <w:rsid w:val="00D32E77"/>
    <w:rsid w:val="00D32EAF"/>
    <w:rsid w:val="00D33938"/>
    <w:rsid w:val="00D33A03"/>
    <w:rsid w:val="00D33B4D"/>
    <w:rsid w:val="00D33BEC"/>
    <w:rsid w:val="00D344DB"/>
    <w:rsid w:val="00D35221"/>
    <w:rsid w:val="00D35275"/>
    <w:rsid w:val="00D35468"/>
    <w:rsid w:val="00D35537"/>
    <w:rsid w:val="00D359E1"/>
    <w:rsid w:val="00D35D06"/>
    <w:rsid w:val="00D35F10"/>
    <w:rsid w:val="00D361F7"/>
    <w:rsid w:val="00D366F3"/>
    <w:rsid w:val="00D3676E"/>
    <w:rsid w:val="00D36B18"/>
    <w:rsid w:val="00D36B34"/>
    <w:rsid w:val="00D36B48"/>
    <w:rsid w:val="00D36C1C"/>
    <w:rsid w:val="00D36F21"/>
    <w:rsid w:val="00D36F27"/>
    <w:rsid w:val="00D3753A"/>
    <w:rsid w:val="00D379CE"/>
    <w:rsid w:val="00D37A0D"/>
    <w:rsid w:val="00D37C14"/>
    <w:rsid w:val="00D400BA"/>
    <w:rsid w:val="00D403C5"/>
    <w:rsid w:val="00D40C15"/>
    <w:rsid w:val="00D415EB"/>
    <w:rsid w:val="00D41809"/>
    <w:rsid w:val="00D41BAC"/>
    <w:rsid w:val="00D41C35"/>
    <w:rsid w:val="00D41DD0"/>
    <w:rsid w:val="00D42096"/>
    <w:rsid w:val="00D42166"/>
    <w:rsid w:val="00D4275D"/>
    <w:rsid w:val="00D42902"/>
    <w:rsid w:val="00D42927"/>
    <w:rsid w:val="00D4293F"/>
    <w:rsid w:val="00D433E2"/>
    <w:rsid w:val="00D43449"/>
    <w:rsid w:val="00D43631"/>
    <w:rsid w:val="00D4387A"/>
    <w:rsid w:val="00D43BFD"/>
    <w:rsid w:val="00D43C52"/>
    <w:rsid w:val="00D43C5E"/>
    <w:rsid w:val="00D43D46"/>
    <w:rsid w:val="00D44104"/>
    <w:rsid w:val="00D441B1"/>
    <w:rsid w:val="00D446B8"/>
    <w:rsid w:val="00D44EAB"/>
    <w:rsid w:val="00D4532E"/>
    <w:rsid w:val="00D454DE"/>
    <w:rsid w:val="00D4557B"/>
    <w:rsid w:val="00D455B3"/>
    <w:rsid w:val="00D457CE"/>
    <w:rsid w:val="00D45812"/>
    <w:rsid w:val="00D45B73"/>
    <w:rsid w:val="00D45B75"/>
    <w:rsid w:val="00D45D81"/>
    <w:rsid w:val="00D45FEA"/>
    <w:rsid w:val="00D465EB"/>
    <w:rsid w:val="00D46891"/>
    <w:rsid w:val="00D46A56"/>
    <w:rsid w:val="00D46DF3"/>
    <w:rsid w:val="00D46E63"/>
    <w:rsid w:val="00D46E8C"/>
    <w:rsid w:val="00D4704A"/>
    <w:rsid w:val="00D472F1"/>
    <w:rsid w:val="00D475C1"/>
    <w:rsid w:val="00D47643"/>
    <w:rsid w:val="00D47669"/>
    <w:rsid w:val="00D478DE"/>
    <w:rsid w:val="00D47959"/>
    <w:rsid w:val="00D47A3F"/>
    <w:rsid w:val="00D47F9F"/>
    <w:rsid w:val="00D502A8"/>
    <w:rsid w:val="00D50A81"/>
    <w:rsid w:val="00D5115F"/>
    <w:rsid w:val="00D51815"/>
    <w:rsid w:val="00D520B9"/>
    <w:rsid w:val="00D52CF0"/>
    <w:rsid w:val="00D52D40"/>
    <w:rsid w:val="00D52F55"/>
    <w:rsid w:val="00D52FB4"/>
    <w:rsid w:val="00D53118"/>
    <w:rsid w:val="00D5395B"/>
    <w:rsid w:val="00D543AA"/>
    <w:rsid w:val="00D543B6"/>
    <w:rsid w:val="00D54704"/>
    <w:rsid w:val="00D548D0"/>
    <w:rsid w:val="00D54B7E"/>
    <w:rsid w:val="00D54DD3"/>
    <w:rsid w:val="00D5515D"/>
    <w:rsid w:val="00D5579B"/>
    <w:rsid w:val="00D55B0B"/>
    <w:rsid w:val="00D55C71"/>
    <w:rsid w:val="00D55C85"/>
    <w:rsid w:val="00D55F98"/>
    <w:rsid w:val="00D56128"/>
    <w:rsid w:val="00D56136"/>
    <w:rsid w:val="00D56168"/>
    <w:rsid w:val="00D56296"/>
    <w:rsid w:val="00D562B9"/>
    <w:rsid w:val="00D56392"/>
    <w:rsid w:val="00D563CF"/>
    <w:rsid w:val="00D56866"/>
    <w:rsid w:val="00D56887"/>
    <w:rsid w:val="00D570D0"/>
    <w:rsid w:val="00D576C6"/>
    <w:rsid w:val="00D57C2D"/>
    <w:rsid w:val="00D60A63"/>
    <w:rsid w:val="00D60ED2"/>
    <w:rsid w:val="00D612B6"/>
    <w:rsid w:val="00D614E9"/>
    <w:rsid w:val="00D61712"/>
    <w:rsid w:val="00D61D6B"/>
    <w:rsid w:val="00D61EB2"/>
    <w:rsid w:val="00D6291B"/>
    <w:rsid w:val="00D62A31"/>
    <w:rsid w:val="00D62EB4"/>
    <w:rsid w:val="00D62F0C"/>
    <w:rsid w:val="00D62F12"/>
    <w:rsid w:val="00D630EC"/>
    <w:rsid w:val="00D633B5"/>
    <w:rsid w:val="00D63960"/>
    <w:rsid w:val="00D63BB4"/>
    <w:rsid w:val="00D63FAD"/>
    <w:rsid w:val="00D645C8"/>
    <w:rsid w:val="00D64620"/>
    <w:rsid w:val="00D646C8"/>
    <w:rsid w:val="00D64891"/>
    <w:rsid w:val="00D64920"/>
    <w:rsid w:val="00D6498A"/>
    <w:rsid w:val="00D649EF"/>
    <w:rsid w:val="00D64D32"/>
    <w:rsid w:val="00D64F3E"/>
    <w:rsid w:val="00D652F3"/>
    <w:rsid w:val="00D65B6E"/>
    <w:rsid w:val="00D65C86"/>
    <w:rsid w:val="00D65E43"/>
    <w:rsid w:val="00D65FD7"/>
    <w:rsid w:val="00D65FF9"/>
    <w:rsid w:val="00D66098"/>
    <w:rsid w:val="00D6629C"/>
    <w:rsid w:val="00D66F45"/>
    <w:rsid w:val="00D67325"/>
    <w:rsid w:val="00D673AE"/>
    <w:rsid w:val="00D6758A"/>
    <w:rsid w:val="00D67857"/>
    <w:rsid w:val="00D6785B"/>
    <w:rsid w:val="00D67D06"/>
    <w:rsid w:val="00D67EB8"/>
    <w:rsid w:val="00D67FCA"/>
    <w:rsid w:val="00D70000"/>
    <w:rsid w:val="00D70154"/>
    <w:rsid w:val="00D702D6"/>
    <w:rsid w:val="00D70661"/>
    <w:rsid w:val="00D706B8"/>
    <w:rsid w:val="00D70C6D"/>
    <w:rsid w:val="00D71226"/>
    <w:rsid w:val="00D71328"/>
    <w:rsid w:val="00D7139F"/>
    <w:rsid w:val="00D71600"/>
    <w:rsid w:val="00D71954"/>
    <w:rsid w:val="00D71966"/>
    <w:rsid w:val="00D71B77"/>
    <w:rsid w:val="00D71BB7"/>
    <w:rsid w:val="00D71DAE"/>
    <w:rsid w:val="00D7210A"/>
    <w:rsid w:val="00D72144"/>
    <w:rsid w:val="00D723ED"/>
    <w:rsid w:val="00D724F5"/>
    <w:rsid w:val="00D72631"/>
    <w:rsid w:val="00D72C9B"/>
    <w:rsid w:val="00D72F64"/>
    <w:rsid w:val="00D730CF"/>
    <w:rsid w:val="00D7319E"/>
    <w:rsid w:val="00D7326D"/>
    <w:rsid w:val="00D73783"/>
    <w:rsid w:val="00D73CC7"/>
    <w:rsid w:val="00D74141"/>
    <w:rsid w:val="00D7502A"/>
    <w:rsid w:val="00D753A7"/>
    <w:rsid w:val="00D757A0"/>
    <w:rsid w:val="00D75F21"/>
    <w:rsid w:val="00D7623A"/>
    <w:rsid w:val="00D76272"/>
    <w:rsid w:val="00D7664B"/>
    <w:rsid w:val="00D76691"/>
    <w:rsid w:val="00D766B8"/>
    <w:rsid w:val="00D76929"/>
    <w:rsid w:val="00D773B5"/>
    <w:rsid w:val="00D77755"/>
    <w:rsid w:val="00D77A74"/>
    <w:rsid w:val="00D77C22"/>
    <w:rsid w:val="00D77C2B"/>
    <w:rsid w:val="00D80A3D"/>
    <w:rsid w:val="00D80B03"/>
    <w:rsid w:val="00D80B7A"/>
    <w:rsid w:val="00D80BAB"/>
    <w:rsid w:val="00D80C4E"/>
    <w:rsid w:val="00D80CEA"/>
    <w:rsid w:val="00D813C3"/>
    <w:rsid w:val="00D81981"/>
    <w:rsid w:val="00D819D4"/>
    <w:rsid w:val="00D81BB9"/>
    <w:rsid w:val="00D81C7F"/>
    <w:rsid w:val="00D81C99"/>
    <w:rsid w:val="00D821D7"/>
    <w:rsid w:val="00D8278F"/>
    <w:rsid w:val="00D8294E"/>
    <w:rsid w:val="00D82A80"/>
    <w:rsid w:val="00D82BF3"/>
    <w:rsid w:val="00D82CA8"/>
    <w:rsid w:val="00D83122"/>
    <w:rsid w:val="00D832F9"/>
    <w:rsid w:val="00D83344"/>
    <w:rsid w:val="00D839A3"/>
    <w:rsid w:val="00D83CFC"/>
    <w:rsid w:val="00D843FB"/>
    <w:rsid w:val="00D8493E"/>
    <w:rsid w:val="00D85121"/>
    <w:rsid w:val="00D851C4"/>
    <w:rsid w:val="00D852F6"/>
    <w:rsid w:val="00D85776"/>
    <w:rsid w:val="00D859FD"/>
    <w:rsid w:val="00D85B01"/>
    <w:rsid w:val="00D861E9"/>
    <w:rsid w:val="00D86550"/>
    <w:rsid w:val="00D866DB"/>
    <w:rsid w:val="00D86E2D"/>
    <w:rsid w:val="00D86E58"/>
    <w:rsid w:val="00D8718B"/>
    <w:rsid w:val="00D873C1"/>
    <w:rsid w:val="00D878A8"/>
    <w:rsid w:val="00D900E3"/>
    <w:rsid w:val="00D90187"/>
    <w:rsid w:val="00D90AFF"/>
    <w:rsid w:val="00D91761"/>
    <w:rsid w:val="00D919D0"/>
    <w:rsid w:val="00D9214D"/>
    <w:rsid w:val="00D9223A"/>
    <w:rsid w:val="00D9290C"/>
    <w:rsid w:val="00D92BF6"/>
    <w:rsid w:val="00D92C1B"/>
    <w:rsid w:val="00D92D1B"/>
    <w:rsid w:val="00D931C8"/>
    <w:rsid w:val="00D934F9"/>
    <w:rsid w:val="00D9360F"/>
    <w:rsid w:val="00D93AB6"/>
    <w:rsid w:val="00D93C5D"/>
    <w:rsid w:val="00D9404B"/>
    <w:rsid w:val="00D948EA"/>
    <w:rsid w:val="00D94AB0"/>
    <w:rsid w:val="00D94B79"/>
    <w:rsid w:val="00D94BD0"/>
    <w:rsid w:val="00D94CE2"/>
    <w:rsid w:val="00D94F79"/>
    <w:rsid w:val="00D95574"/>
    <w:rsid w:val="00D95844"/>
    <w:rsid w:val="00D95B17"/>
    <w:rsid w:val="00D95B80"/>
    <w:rsid w:val="00D95C7E"/>
    <w:rsid w:val="00D95CCC"/>
    <w:rsid w:val="00D95DBF"/>
    <w:rsid w:val="00D96383"/>
    <w:rsid w:val="00D96550"/>
    <w:rsid w:val="00D966EA"/>
    <w:rsid w:val="00D967A1"/>
    <w:rsid w:val="00D96A8B"/>
    <w:rsid w:val="00D97089"/>
    <w:rsid w:val="00D972FF"/>
    <w:rsid w:val="00D97511"/>
    <w:rsid w:val="00D975B3"/>
    <w:rsid w:val="00D977CA"/>
    <w:rsid w:val="00D97B01"/>
    <w:rsid w:val="00D97DC8"/>
    <w:rsid w:val="00D97E86"/>
    <w:rsid w:val="00DA0433"/>
    <w:rsid w:val="00DA04EB"/>
    <w:rsid w:val="00DA0534"/>
    <w:rsid w:val="00DA06CF"/>
    <w:rsid w:val="00DA0D2F"/>
    <w:rsid w:val="00DA0F12"/>
    <w:rsid w:val="00DA10F9"/>
    <w:rsid w:val="00DA11EE"/>
    <w:rsid w:val="00DA12BE"/>
    <w:rsid w:val="00DA137A"/>
    <w:rsid w:val="00DA16AF"/>
    <w:rsid w:val="00DA17BB"/>
    <w:rsid w:val="00DA1907"/>
    <w:rsid w:val="00DA236A"/>
    <w:rsid w:val="00DA264C"/>
    <w:rsid w:val="00DA2792"/>
    <w:rsid w:val="00DA2C15"/>
    <w:rsid w:val="00DA2D9E"/>
    <w:rsid w:val="00DA2FCA"/>
    <w:rsid w:val="00DA30BE"/>
    <w:rsid w:val="00DA3661"/>
    <w:rsid w:val="00DA368B"/>
    <w:rsid w:val="00DA37D7"/>
    <w:rsid w:val="00DA3891"/>
    <w:rsid w:val="00DA3AF0"/>
    <w:rsid w:val="00DA3B99"/>
    <w:rsid w:val="00DA3D99"/>
    <w:rsid w:val="00DA3EC5"/>
    <w:rsid w:val="00DA403F"/>
    <w:rsid w:val="00DA41BD"/>
    <w:rsid w:val="00DA4CD8"/>
    <w:rsid w:val="00DA5109"/>
    <w:rsid w:val="00DA5310"/>
    <w:rsid w:val="00DA5CC4"/>
    <w:rsid w:val="00DA5F48"/>
    <w:rsid w:val="00DA6911"/>
    <w:rsid w:val="00DA6DE8"/>
    <w:rsid w:val="00DA6E38"/>
    <w:rsid w:val="00DA6F0A"/>
    <w:rsid w:val="00DA709C"/>
    <w:rsid w:val="00DA739F"/>
    <w:rsid w:val="00DA7A75"/>
    <w:rsid w:val="00DB01AD"/>
    <w:rsid w:val="00DB0A80"/>
    <w:rsid w:val="00DB0B06"/>
    <w:rsid w:val="00DB0B83"/>
    <w:rsid w:val="00DB0BC5"/>
    <w:rsid w:val="00DB0FDD"/>
    <w:rsid w:val="00DB145A"/>
    <w:rsid w:val="00DB155C"/>
    <w:rsid w:val="00DB1E9F"/>
    <w:rsid w:val="00DB2494"/>
    <w:rsid w:val="00DB28ED"/>
    <w:rsid w:val="00DB2A76"/>
    <w:rsid w:val="00DB2E48"/>
    <w:rsid w:val="00DB3BC2"/>
    <w:rsid w:val="00DB3F86"/>
    <w:rsid w:val="00DB4094"/>
    <w:rsid w:val="00DB4271"/>
    <w:rsid w:val="00DB44BF"/>
    <w:rsid w:val="00DB4A9B"/>
    <w:rsid w:val="00DB505E"/>
    <w:rsid w:val="00DB5255"/>
    <w:rsid w:val="00DB53FE"/>
    <w:rsid w:val="00DB54AB"/>
    <w:rsid w:val="00DB5E93"/>
    <w:rsid w:val="00DB6A76"/>
    <w:rsid w:val="00DB78AA"/>
    <w:rsid w:val="00DB795B"/>
    <w:rsid w:val="00DB7DF6"/>
    <w:rsid w:val="00DB7E2D"/>
    <w:rsid w:val="00DC0061"/>
    <w:rsid w:val="00DC07BF"/>
    <w:rsid w:val="00DC07CC"/>
    <w:rsid w:val="00DC0B09"/>
    <w:rsid w:val="00DC0E8F"/>
    <w:rsid w:val="00DC17AB"/>
    <w:rsid w:val="00DC1899"/>
    <w:rsid w:val="00DC20A4"/>
    <w:rsid w:val="00DC2318"/>
    <w:rsid w:val="00DC231D"/>
    <w:rsid w:val="00DC2627"/>
    <w:rsid w:val="00DC2653"/>
    <w:rsid w:val="00DC29FF"/>
    <w:rsid w:val="00DC2B98"/>
    <w:rsid w:val="00DC2BDA"/>
    <w:rsid w:val="00DC2BEB"/>
    <w:rsid w:val="00DC2EA5"/>
    <w:rsid w:val="00DC2F52"/>
    <w:rsid w:val="00DC3267"/>
    <w:rsid w:val="00DC339E"/>
    <w:rsid w:val="00DC356C"/>
    <w:rsid w:val="00DC38D4"/>
    <w:rsid w:val="00DC39EF"/>
    <w:rsid w:val="00DC3CB3"/>
    <w:rsid w:val="00DC446B"/>
    <w:rsid w:val="00DC46CC"/>
    <w:rsid w:val="00DC496A"/>
    <w:rsid w:val="00DC4DFB"/>
    <w:rsid w:val="00DC5014"/>
    <w:rsid w:val="00DC5D39"/>
    <w:rsid w:val="00DC6704"/>
    <w:rsid w:val="00DC6FB8"/>
    <w:rsid w:val="00DC74B9"/>
    <w:rsid w:val="00DC7804"/>
    <w:rsid w:val="00DC7AF2"/>
    <w:rsid w:val="00DD024C"/>
    <w:rsid w:val="00DD04D4"/>
    <w:rsid w:val="00DD0F83"/>
    <w:rsid w:val="00DD1048"/>
    <w:rsid w:val="00DD1916"/>
    <w:rsid w:val="00DD1F74"/>
    <w:rsid w:val="00DD22C6"/>
    <w:rsid w:val="00DD23DA"/>
    <w:rsid w:val="00DD2B55"/>
    <w:rsid w:val="00DD2C88"/>
    <w:rsid w:val="00DD2CA1"/>
    <w:rsid w:val="00DD336F"/>
    <w:rsid w:val="00DD3371"/>
    <w:rsid w:val="00DD3498"/>
    <w:rsid w:val="00DD34D1"/>
    <w:rsid w:val="00DD3614"/>
    <w:rsid w:val="00DD37C3"/>
    <w:rsid w:val="00DD3B1D"/>
    <w:rsid w:val="00DD4575"/>
    <w:rsid w:val="00DD47FD"/>
    <w:rsid w:val="00DD4820"/>
    <w:rsid w:val="00DD4AF6"/>
    <w:rsid w:val="00DD4F89"/>
    <w:rsid w:val="00DD5052"/>
    <w:rsid w:val="00DD51C1"/>
    <w:rsid w:val="00DD524C"/>
    <w:rsid w:val="00DD5488"/>
    <w:rsid w:val="00DD5552"/>
    <w:rsid w:val="00DD56D8"/>
    <w:rsid w:val="00DD5AA8"/>
    <w:rsid w:val="00DD5B7A"/>
    <w:rsid w:val="00DD5FF5"/>
    <w:rsid w:val="00DD6432"/>
    <w:rsid w:val="00DD69F4"/>
    <w:rsid w:val="00DD6B65"/>
    <w:rsid w:val="00DD6D97"/>
    <w:rsid w:val="00DD6F4F"/>
    <w:rsid w:val="00DD6F94"/>
    <w:rsid w:val="00DD7077"/>
    <w:rsid w:val="00DD707A"/>
    <w:rsid w:val="00DD7098"/>
    <w:rsid w:val="00DD709C"/>
    <w:rsid w:val="00DD728A"/>
    <w:rsid w:val="00DD7388"/>
    <w:rsid w:val="00DD73BE"/>
    <w:rsid w:val="00DD755B"/>
    <w:rsid w:val="00DD75A8"/>
    <w:rsid w:val="00DD7684"/>
    <w:rsid w:val="00DE010B"/>
    <w:rsid w:val="00DE0129"/>
    <w:rsid w:val="00DE0574"/>
    <w:rsid w:val="00DE064B"/>
    <w:rsid w:val="00DE09B1"/>
    <w:rsid w:val="00DE0F59"/>
    <w:rsid w:val="00DE1269"/>
    <w:rsid w:val="00DE186D"/>
    <w:rsid w:val="00DE1EC6"/>
    <w:rsid w:val="00DE231C"/>
    <w:rsid w:val="00DE246A"/>
    <w:rsid w:val="00DE2799"/>
    <w:rsid w:val="00DE2A9A"/>
    <w:rsid w:val="00DE2CEF"/>
    <w:rsid w:val="00DE30CB"/>
    <w:rsid w:val="00DE3356"/>
    <w:rsid w:val="00DE3499"/>
    <w:rsid w:val="00DE4170"/>
    <w:rsid w:val="00DE4746"/>
    <w:rsid w:val="00DE4877"/>
    <w:rsid w:val="00DE4934"/>
    <w:rsid w:val="00DE4975"/>
    <w:rsid w:val="00DE4C1D"/>
    <w:rsid w:val="00DE4FC1"/>
    <w:rsid w:val="00DE536D"/>
    <w:rsid w:val="00DE53DA"/>
    <w:rsid w:val="00DE55B5"/>
    <w:rsid w:val="00DE5ECD"/>
    <w:rsid w:val="00DE5F18"/>
    <w:rsid w:val="00DE6574"/>
    <w:rsid w:val="00DE6615"/>
    <w:rsid w:val="00DE6818"/>
    <w:rsid w:val="00DE6CA4"/>
    <w:rsid w:val="00DE7481"/>
    <w:rsid w:val="00DE75ED"/>
    <w:rsid w:val="00DE770B"/>
    <w:rsid w:val="00DE7DA2"/>
    <w:rsid w:val="00DF0185"/>
    <w:rsid w:val="00DF02E1"/>
    <w:rsid w:val="00DF03D9"/>
    <w:rsid w:val="00DF0852"/>
    <w:rsid w:val="00DF1254"/>
    <w:rsid w:val="00DF18C7"/>
    <w:rsid w:val="00DF1A5F"/>
    <w:rsid w:val="00DF1AEF"/>
    <w:rsid w:val="00DF1EEE"/>
    <w:rsid w:val="00DF2359"/>
    <w:rsid w:val="00DF2688"/>
    <w:rsid w:val="00DF278F"/>
    <w:rsid w:val="00DF283D"/>
    <w:rsid w:val="00DF2A8A"/>
    <w:rsid w:val="00DF2EE1"/>
    <w:rsid w:val="00DF39A2"/>
    <w:rsid w:val="00DF3A23"/>
    <w:rsid w:val="00DF3B17"/>
    <w:rsid w:val="00DF3B73"/>
    <w:rsid w:val="00DF3BDF"/>
    <w:rsid w:val="00DF3EEA"/>
    <w:rsid w:val="00DF40D7"/>
    <w:rsid w:val="00DF45E0"/>
    <w:rsid w:val="00DF48B2"/>
    <w:rsid w:val="00DF491B"/>
    <w:rsid w:val="00DF4C6F"/>
    <w:rsid w:val="00DF4E4C"/>
    <w:rsid w:val="00DF5B57"/>
    <w:rsid w:val="00DF5BD3"/>
    <w:rsid w:val="00DF5F33"/>
    <w:rsid w:val="00DF5F8F"/>
    <w:rsid w:val="00DF601C"/>
    <w:rsid w:val="00DF6326"/>
    <w:rsid w:val="00DF6476"/>
    <w:rsid w:val="00DF6596"/>
    <w:rsid w:val="00DF6BCC"/>
    <w:rsid w:val="00DF6C64"/>
    <w:rsid w:val="00DF6CBE"/>
    <w:rsid w:val="00DF6E73"/>
    <w:rsid w:val="00DF6FAB"/>
    <w:rsid w:val="00DF7183"/>
    <w:rsid w:val="00DF7208"/>
    <w:rsid w:val="00DF729C"/>
    <w:rsid w:val="00DF7301"/>
    <w:rsid w:val="00DF73AD"/>
    <w:rsid w:val="00DF7639"/>
    <w:rsid w:val="00DF7A33"/>
    <w:rsid w:val="00DF7B68"/>
    <w:rsid w:val="00E0043F"/>
    <w:rsid w:val="00E0101F"/>
    <w:rsid w:val="00E01293"/>
    <w:rsid w:val="00E01A8B"/>
    <w:rsid w:val="00E0218E"/>
    <w:rsid w:val="00E02201"/>
    <w:rsid w:val="00E02239"/>
    <w:rsid w:val="00E0236E"/>
    <w:rsid w:val="00E02612"/>
    <w:rsid w:val="00E02621"/>
    <w:rsid w:val="00E027EF"/>
    <w:rsid w:val="00E02AE0"/>
    <w:rsid w:val="00E03144"/>
    <w:rsid w:val="00E036DD"/>
    <w:rsid w:val="00E036E8"/>
    <w:rsid w:val="00E03744"/>
    <w:rsid w:val="00E043C3"/>
    <w:rsid w:val="00E04665"/>
    <w:rsid w:val="00E046CC"/>
    <w:rsid w:val="00E04776"/>
    <w:rsid w:val="00E04863"/>
    <w:rsid w:val="00E048E0"/>
    <w:rsid w:val="00E04C71"/>
    <w:rsid w:val="00E050F4"/>
    <w:rsid w:val="00E05127"/>
    <w:rsid w:val="00E052C5"/>
    <w:rsid w:val="00E0531B"/>
    <w:rsid w:val="00E05798"/>
    <w:rsid w:val="00E05B15"/>
    <w:rsid w:val="00E05B24"/>
    <w:rsid w:val="00E0618C"/>
    <w:rsid w:val="00E061E9"/>
    <w:rsid w:val="00E063F4"/>
    <w:rsid w:val="00E06440"/>
    <w:rsid w:val="00E06488"/>
    <w:rsid w:val="00E0673F"/>
    <w:rsid w:val="00E0674E"/>
    <w:rsid w:val="00E06945"/>
    <w:rsid w:val="00E06E5C"/>
    <w:rsid w:val="00E06E70"/>
    <w:rsid w:val="00E074D0"/>
    <w:rsid w:val="00E079D5"/>
    <w:rsid w:val="00E07B40"/>
    <w:rsid w:val="00E07D20"/>
    <w:rsid w:val="00E10451"/>
    <w:rsid w:val="00E104DF"/>
    <w:rsid w:val="00E10537"/>
    <w:rsid w:val="00E106E4"/>
    <w:rsid w:val="00E10814"/>
    <w:rsid w:val="00E10A12"/>
    <w:rsid w:val="00E10B31"/>
    <w:rsid w:val="00E10BC0"/>
    <w:rsid w:val="00E11273"/>
    <w:rsid w:val="00E113A5"/>
    <w:rsid w:val="00E1142B"/>
    <w:rsid w:val="00E11B0F"/>
    <w:rsid w:val="00E11CBE"/>
    <w:rsid w:val="00E11FE4"/>
    <w:rsid w:val="00E1204B"/>
    <w:rsid w:val="00E120D0"/>
    <w:rsid w:val="00E1251C"/>
    <w:rsid w:val="00E1276C"/>
    <w:rsid w:val="00E12849"/>
    <w:rsid w:val="00E12D7A"/>
    <w:rsid w:val="00E1309A"/>
    <w:rsid w:val="00E1316B"/>
    <w:rsid w:val="00E133B9"/>
    <w:rsid w:val="00E13546"/>
    <w:rsid w:val="00E13B89"/>
    <w:rsid w:val="00E13BB0"/>
    <w:rsid w:val="00E1413F"/>
    <w:rsid w:val="00E1416D"/>
    <w:rsid w:val="00E14FEB"/>
    <w:rsid w:val="00E154EA"/>
    <w:rsid w:val="00E1598B"/>
    <w:rsid w:val="00E15AB8"/>
    <w:rsid w:val="00E15B52"/>
    <w:rsid w:val="00E15C77"/>
    <w:rsid w:val="00E1629C"/>
    <w:rsid w:val="00E16733"/>
    <w:rsid w:val="00E16C9C"/>
    <w:rsid w:val="00E16D5B"/>
    <w:rsid w:val="00E16F93"/>
    <w:rsid w:val="00E17133"/>
    <w:rsid w:val="00E17D0F"/>
    <w:rsid w:val="00E20001"/>
    <w:rsid w:val="00E202B7"/>
    <w:rsid w:val="00E20D16"/>
    <w:rsid w:val="00E20E97"/>
    <w:rsid w:val="00E20EFB"/>
    <w:rsid w:val="00E20F14"/>
    <w:rsid w:val="00E210C4"/>
    <w:rsid w:val="00E2146B"/>
    <w:rsid w:val="00E21739"/>
    <w:rsid w:val="00E2183B"/>
    <w:rsid w:val="00E22611"/>
    <w:rsid w:val="00E22DCF"/>
    <w:rsid w:val="00E231D0"/>
    <w:rsid w:val="00E233CC"/>
    <w:rsid w:val="00E23AA0"/>
    <w:rsid w:val="00E23BDF"/>
    <w:rsid w:val="00E241F1"/>
    <w:rsid w:val="00E242AA"/>
    <w:rsid w:val="00E24435"/>
    <w:rsid w:val="00E2488A"/>
    <w:rsid w:val="00E24D08"/>
    <w:rsid w:val="00E24F43"/>
    <w:rsid w:val="00E2503F"/>
    <w:rsid w:val="00E25126"/>
    <w:rsid w:val="00E252A2"/>
    <w:rsid w:val="00E254DB"/>
    <w:rsid w:val="00E25650"/>
    <w:rsid w:val="00E257D0"/>
    <w:rsid w:val="00E25B3C"/>
    <w:rsid w:val="00E25DA3"/>
    <w:rsid w:val="00E260E3"/>
    <w:rsid w:val="00E26351"/>
    <w:rsid w:val="00E26472"/>
    <w:rsid w:val="00E267ED"/>
    <w:rsid w:val="00E26938"/>
    <w:rsid w:val="00E269D4"/>
    <w:rsid w:val="00E26E91"/>
    <w:rsid w:val="00E271B2"/>
    <w:rsid w:val="00E27335"/>
    <w:rsid w:val="00E273A1"/>
    <w:rsid w:val="00E27EF4"/>
    <w:rsid w:val="00E30804"/>
    <w:rsid w:val="00E308BE"/>
    <w:rsid w:val="00E30F85"/>
    <w:rsid w:val="00E30FFF"/>
    <w:rsid w:val="00E311C5"/>
    <w:rsid w:val="00E31283"/>
    <w:rsid w:val="00E31511"/>
    <w:rsid w:val="00E31923"/>
    <w:rsid w:val="00E31D16"/>
    <w:rsid w:val="00E31EA6"/>
    <w:rsid w:val="00E323EF"/>
    <w:rsid w:val="00E327D8"/>
    <w:rsid w:val="00E3282D"/>
    <w:rsid w:val="00E329BF"/>
    <w:rsid w:val="00E32BC0"/>
    <w:rsid w:val="00E32D67"/>
    <w:rsid w:val="00E32EFA"/>
    <w:rsid w:val="00E32F04"/>
    <w:rsid w:val="00E330E6"/>
    <w:rsid w:val="00E33137"/>
    <w:rsid w:val="00E331E2"/>
    <w:rsid w:val="00E33262"/>
    <w:rsid w:val="00E33359"/>
    <w:rsid w:val="00E333F9"/>
    <w:rsid w:val="00E3352D"/>
    <w:rsid w:val="00E339A2"/>
    <w:rsid w:val="00E34118"/>
    <w:rsid w:val="00E342E8"/>
    <w:rsid w:val="00E343EB"/>
    <w:rsid w:val="00E34968"/>
    <w:rsid w:val="00E34C69"/>
    <w:rsid w:val="00E35592"/>
    <w:rsid w:val="00E355FB"/>
    <w:rsid w:val="00E35608"/>
    <w:rsid w:val="00E35AA6"/>
    <w:rsid w:val="00E35D12"/>
    <w:rsid w:val="00E364BA"/>
    <w:rsid w:val="00E36673"/>
    <w:rsid w:val="00E36892"/>
    <w:rsid w:val="00E36BCF"/>
    <w:rsid w:val="00E370E1"/>
    <w:rsid w:val="00E371A1"/>
    <w:rsid w:val="00E37268"/>
    <w:rsid w:val="00E373B5"/>
    <w:rsid w:val="00E3758C"/>
    <w:rsid w:val="00E378F3"/>
    <w:rsid w:val="00E37B35"/>
    <w:rsid w:val="00E37B46"/>
    <w:rsid w:val="00E40643"/>
    <w:rsid w:val="00E4094A"/>
    <w:rsid w:val="00E40E1B"/>
    <w:rsid w:val="00E40F27"/>
    <w:rsid w:val="00E4112E"/>
    <w:rsid w:val="00E4144F"/>
    <w:rsid w:val="00E4177B"/>
    <w:rsid w:val="00E41CB7"/>
    <w:rsid w:val="00E421C9"/>
    <w:rsid w:val="00E423C8"/>
    <w:rsid w:val="00E42BE7"/>
    <w:rsid w:val="00E42F22"/>
    <w:rsid w:val="00E431CD"/>
    <w:rsid w:val="00E43538"/>
    <w:rsid w:val="00E43882"/>
    <w:rsid w:val="00E43E19"/>
    <w:rsid w:val="00E43E80"/>
    <w:rsid w:val="00E440D0"/>
    <w:rsid w:val="00E44920"/>
    <w:rsid w:val="00E44A53"/>
    <w:rsid w:val="00E44C82"/>
    <w:rsid w:val="00E44C8B"/>
    <w:rsid w:val="00E450B8"/>
    <w:rsid w:val="00E454D3"/>
    <w:rsid w:val="00E4557D"/>
    <w:rsid w:val="00E457A9"/>
    <w:rsid w:val="00E457FB"/>
    <w:rsid w:val="00E45B64"/>
    <w:rsid w:val="00E45CA8"/>
    <w:rsid w:val="00E45CC3"/>
    <w:rsid w:val="00E45DC5"/>
    <w:rsid w:val="00E460FD"/>
    <w:rsid w:val="00E46373"/>
    <w:rsid w:val="00E464F7"/>
    <w:rsid w:val="00E465B9"/>
    <w:rsid w:val="00E468AF"/>
    <w:rsid w:val="00E46C14"/>
    <w:rsid w:val="00E472FC"/>
    <w:rsid w:val="00E47619"/>
    <w:rsid w:val="00E479A8"/>
    <w:rsid w:val="00E50140"/>
    <w:rsid w:val="00E503DA"/>
    <w:rsid w:val="00E507E2"/>
    <w:rsid w:val="00E507F7"/>
    <w:rsid w:val="00E5097F"/>
    <w:rsid w:val="00E50D0A"/>
    <w:rsid w:val="00E51277"/>
    <w:rsid w:val="00E518B8"/>
    <w:rsid w:val="00E519CF"/>
    <w:rsid w:val="00E51B41"/>
    <w:rsid w:val="00E51D33"/>
    <w:rsid w:val="00E51E07"/>
    <w:rsid w:val="00E51FCC"/>
    <w:rsid w:val="00E52069"/>
    <w:rsid w:val="00E52090"/>
    <w:rsid w:val="00E523DD"/>
    <w:rsid w:val="00E526B4"/>
    <w:rsid w:val="00E53060"/>
    <w:rsid w:val="00E532AB"/>
    <w:rsid w:val="00E53483"/>
    <w:rsid w:val="00E535EC"/>
    <w:rsid w:val="00E53A27"/>
    <w:rsid w:val="00E53B59"/>
    <w:rsid w:val="00E53CE8"/>
    <w:rsid w:val="00E53E12"/>
    <w:rsid w:val="00E54030"/>
    <w:rsid w:val="00E5472D"/>
    <w:rsid w:val="00E54AC7"/>
    <w:rsid w:val="00E54B2B"/>
    <w:rsid w:val="00E54CAF"/>
    <w:rsid w:val="00E54CEE"/>
    <w:rsid w:val="00E553EA"/>
    <w:rsid w:val="00E5558C"/>
    <w:rsid w:val="00E55857"/>
    <w:rsid w:val="00E55900"/>
    <w:rsid w:val="00E55BEB"/>
    <w:rsid w:val="00E563A4"/>
    <w:rsid w:val="00E56B4D"/>
    <w:rsid w:val="00E56D44"/>
    <w:rsid w:val="00E5728E"/>
    <w:rsid w:val="00E57572"/>
    <w:rsid w:val="00E576D6"/>
    <w:rsid w:val="00E576E9"/>
    <w:rsid w:val="00E5775B"/>
    <w:rsid w:val="00E578D1"/>
    <w:rsid w:val="00E57CC4"/>
    <w:rsid w:val="00E57E5E"/>
    <w:rsid w:val="00E60429"/>
    <w:rsid w:val="00E6043E"/>
    <w:rsid w:val="00E60684"/>
    <w:rsid w:val="00E60B24"/>
    <w:rsid w:val="00E60C2C"/>
    <w:rsid w:val="00E60DF7"/>
    <w:rsid w:val="00E60E16"/>
    <w:rsid w:val="00E61058"/>
    <w:rsid w:val="00E61354"/>
    <w:rsid w:val="00E613A2"/>
    <w:rsid w:val="00E616F6"/>
    <w:rsid w:val="00E616FA"/>
    <w:rsid w:val="00E6172F"/>
    <w:rsid w:val="00E618CD"/>
    <w:rsid w:val="00E618D4"/>
    <w:rsid w:val="00E61EAB"/>
    <w:rsid w:val="00E61F18"/>
    <w:rsid w:val="00E62016"/>
    <w:rsid w:val="00E624A6"/>
    <w:rsid w:val="00E6262A"/>
    <w:rsid w:val="00E6288D"/>
    <w:rsid w:val="00E62C6D"/>
    <w:rsid w:val="00E62C98"/>
    <w:rsid w:val="00E62C9A"/>
    <w:rsid w:val="00E63294"/>
    <w:rsid w:val="00E635DD"/>
    <w:rsid w:val="00E63A3A"/>
    <w:rsid w:val="00E64265"/>
    <w:rsid w:val="00E64A5F"/>
    <w:rsid w:val="00E64DBE"/>
    <w:rsid w:val="00E6532E"/>
    <w:rsid w:val="00E656A0"/>
    <w:rsid w:val="00E65C40"/>
    <w:rsid w:val="00E65D07"/>
    <w:rsid w:val="00E65D4F"/>
    <w:rsid w:val="00E65F3E"/>
    <w:rsid w:val="00E6617E"/>
    <w:rsid w:val="00E66520"/>
    <w:rsid w:val="00E666BF"/>
    <w:rsid w:val="00E66E54"/>
    <w:rsid w:val="00E66E9D"/>
    <w:rsid w:val="00E66FB6"/>
    <w:rsid w:val="00E672B6"/>
    <w:rsid w:val="00E6765B"/>
    <w:rsid w:val="00E708CA"/>
    <w:rsid w:val="00E70DB4"/>
    <w:rsid w:val="00E7112F"/>
    <w:rsid w:val="00E711E2"/>
    <w:rsid w:val="00E7190B"/>
    <w:rsid w:val="00E71C32"/>
    <w:rsid w:val="00E71F66"/>
    <w:rsid w:val="00E72085"/>
    <w:rsid w:val="00E724AA"/>
    <w:rsid w:val="00E72F2D"/>
    <w:rsid w:val="00E7360C"/>
    <w:rsid w:val="00E73BCE"/>
    <w:rsid w:val="00E73DD9"/>
    <w:rsid w:val="00E73EC7"/>
    <w:rsid w:val="00E73F50"/>
    <w:rsid w:val="00E743F5"/>
    <w:rsid w:val="00E74523"/>
    <w:rsid w:val="00E748BB"/>
    <w:rsid w:val="00E749C3"/>
    <w:rsid w:val="00E74C55"/>
    <w:rsid w:val="00E74EE1"/>
    <w:rsid w:val="00E7511E"/>
    <w:rsid w:val="00E7521A"/>
    <w:rsid w:val="00E75298"/>
    <w:rsid w:val="00E75444"/>
    <w:rsid w:val="00E75470"/>
    <w:rsid w:val="00E75BEC"/>
    <w:rsid w:val="00E75D06"/>
    <w:rsid w:val="00E75FD9"/>
    <w:rsid w:val="00E7646B"/>
    <w:rsid w:val="00E765C2"/>
    <w:rsid w:val="00E76A6D"/>
    <w:rsid w:val="00E76E4E"/>
    <w:rsid w:val="00E76F77"/>
    <w:rsid w:val="00E76FB8"/>
    <w:rsid w:val="00E77883"/>
    <w:rsid w:val="00E77D0A"/>
    <w:rsid w:val="00E77DFA"/>
    <w:rsid w:val="00E77F8E"/>
    <w:rsid w:val="00E77FED"/>
    <w:rsid w:val="00E800FC"/>
    <w:rsid w:val="00E80954"/>
    <w:rsid w:val="00E80C55"/>
    <w:rsid w:val="00E80D6D"/>
    <w:rsid w:val="00E80E1C"/>
    <w:rsid w:val="00E81085"/>
    <w:rsid w:val="00E8127A"/>
    <w:rsid w:val="00E81306"/>
    <w:rsid w:val="00E813EE"/>
    <w:rsid w:val="00E81533"/>
    <w:rsid w:val="00E8176A"/>
    <w:rsid w:val="00E81EE2"/>
    <w:rsid w:val="00E82109"/>
    <w:rsid w:val="00E8248E"/>
    <w:rsid w:val="00E826F6"/>
    <w:rsid w:val="00E829D0"/>
    <w:rsid w:val="00E82D65"/>
    <w:rsid w:val="00E832E9"/>
    <w:rsid w:val="00E83393"/>
    <w:rsid w:val="00E83617"/>
    <w:rsid w:val="00E837C9"/>
    <w:rsid w:val="00E839BE"/>
    <w:rsid w:val="00E83A0D"/>
    <w:rsid w:val="00E83A8D"/>
    <w:rsid w:val="00E83BA2"/>
    <w:rsid w:val="00E83E6F"/>
    <w:rsid w:val="00E843FB"/>
    <w:rsid w:val="00E84947"/>
    <w:rsid w:val="00E84A33"/>
    <w:rsid w:val="00E84B4D"/>
    <w:rsid w:val="00E84C72"/>
    <w:rsid w:val="00E84E34"/>
    <w:rsid w:val="00E84E55"/>
    <w:rsid w:val="00E84FA9"/>
    <w:rsid w:val="00E855D1"/>
    <w:rsid w:val="00E857D2"/>
    <w:rsid w:val="00E8588F"/>
    <w:rsid w:val="00E858FE"/>
    <w:rsid w:val="00E85BCB"/>
    <w:rsid w:val="00E86079"/>
    <w:rsid w:val="00E860C0"/>
    <w:rsid w:val="00E86213"/>
    <w:rsid w:val="00E8633C"/>
    <w:rsid w:val="00E86384"/>
    <w:rsid w:val="00E864B8"/>
    <w:rsid w:val="00E86810"/>
    <w:rsid w:val="00E868FC"/>
    <w:rsid w:val="00E86B80"/>
    <w:rsid w:val="00E86C79"/>
    <w:rsid w:val="00E86D3F"/>
    <w:rsid w:val="00E871A5"/>
    <w:rsid w:val="00E873CD"/>
    <w:rsid w:val="00E87ED1"/>
    <w:rsid w:val="00E87F15"/>
    <w:rsid w:val="00E903A7"/>
    <w:rsid w:val="00E90571"/>
    <w:rsid w:val="00E90B73"/>
    <w:rsid w:val="00E90EA2"/>
    <w:rsid w:val="00E913E0"/>
    <w:rsid w:val="00E91420"/>
    <w:rsid w:val="00E91648"/>
    <w:rsid w:val="00E917C0"/>
    <w:rsid w:val="00E91800"/>
    <w:rsid w:val="00E91ADD"/>
    <w:rsid w:val="00E91DE5"/>
    <w:rsid w:val="00E9204B"/>
    <w:rsid w:val="00E92145"/>
    <w:rsid w:val="00E927EA"/>
    <w:rsid w:val="00E929E5"/>
    <w:rsid w:val="00E92D6E"/>
    <w:rsid w:val="00E92D99"/>
    <w:rsid w:val="00E92E70"/>
    <w:rsid w:val="00E92FD9"/>
    <w:rsid w:val="00E933A1"/>
    <w:rsid w:val="00E93614"/>
    <w:rsid w:val="00E938FE"/>
    <w:rsid w:val="00E942CE"/>
    <w:rsid w:val="00E942EE"/>
    <w:rsid w:val="00E943CD"/>
    <w:rsid w:val="00E945CD"/>
    <w:rsid w:val="00E94651"/>
    <w:rsid w:val="00E94B79"/>
    <w:rsid w:val="00E94CD8"/>
    <w:rsid w:val="00E94F86"/>
    <w:rsid w:val="00E94F8C"/>
    <w:rsid w:val="00E95066"/>
    <w:rsid w:val="00E95125"/>
    <w:rsid w:val="00E958FE"/>
    <w:rsid w:val="00E959ED"/>
    <w:rsid w:val="00E95A67"/>
    <w:rsid w:val="00E95E6E"/>
    <w:rsid w:val="00E961A3"/>
    <w:rsid w:val="00E9668E"/>
    <w:rsid w:val="00E969E3"/>
    <w:rsid w:val="00E97225"/>
    <w:rsid w:val="00E9792C"/>
    <w:rsid w:val="00E97B91"/>
    <w:rsid w:val="00E97CE1"/>
    <w:rsid w:val="00E97F20"/>
    <w:rsid w:val="00EA04BD"/>
    <w:rsid w:val="00EA0880"/>
    <w:rsid w:val="00EA0B10"/>
    <w:rsid w:val="00EA0CE7"/>
    <w:rsid w:val="00EA0E5D"/>
    <w:rsid w:val="00EA1463"/>
    <w:rsid w:val="00EA1487"/>
    <w:rsid w:val="00EA174A"/>
    <w:rsid w:val="00EA17A7"/>
    <w:rsid w:val="00EA18F0"/>
    <w:rsid w:val="00EA1A30"/>
    <w:rsid w:val="00EA1E9D"/>
    <w:rsid w:val="00EA1FE5"/>
    <w:rsid w:val="00EA20E2"/>
    <w:rsid w:val="00EA23DC"/>
    <w:rsid w:val="00EA2DDF"/>
    <w:rsid w:val="00EA2E6E"/>
    <w:rsid w:val="00EA306B"/>
    <w:rsid w:val="00EA3192"/>
    <w:rsid w:val="00EA3269"/>
    <w:rsid w:val="00EA3436"/>
    <w:rsid w:val="00EA351A"/>
    <w:rsid w:val="00EA3AD0"/>
    <w:rsid w:val="00EA3B35"/>
    <w:rsid w:val="00EA3DD4"/>
    <w:rsid w:val="00EA418C"/>
    <w:rsid w:val="00EA42E9"/>
    <w:rsid w:val="00EA4813"/>
    <w:rsid w:val="00EA4869"/>
    <w:rsid w:val="00EA4AB3"/>
    <w:rsid w:val="00EA4D77"/>
    <w:rsid w:val="00EA5537"/>
    <w:rsid w:val="00EA5844"/>
    <w:rsid w:val="00EA58D6"/>
    <w:rsid w:val="00EA58F5"/>
    <w:rsid w:val="00EA5D5C"/>
    <w:rsid w:val="00EA5D6B"/>
    <w:rsid w:val="00EA5D8B"/>
    <w:rsid w:val="00EA5F4F"/>
    <w:rsid w:val="00EA6042"/>
    <w:rsid w:val="00EA6051"/>
    <w:rsid w:val="00EA679A"/>
    <w:rsid w:val="00EA6BC6"/>
    <w:rsid w:val="00EA6EFB"/>
    <w:rsid w:val="00EA6FB2"/>
    <w:rsid w:val="00EA7112"/>
    <w:rsid w:val="00EA7261"/>
    <w:rsid w:val="00EA72C2"/>
    <w:rsid w:val="00EA7353"/>
    <w:rsid w:val="00EA74C6"/>
    <w:rsid w:val="00EA75F2"/>
    <w:rsid w:val="00EA77AE"/>
    <w:rsid w:val="00EA784E"/>
    <w:rsid w:val="00EA7C64"/>
    <w:rsid w:val="00EA7E72"/>
    <w:rsid w:val="00EB07B2"/>
    <w:rsid w:val="00EB0DC2"/>
    <w:rsid w:val="00EB100D"/>
    <w:rsid w:val="00EB16AE"/>
    <w:rsid w:val="00EB1715"/>
    <w:rsid w:val="00EB1944"/>
    <w:rsid w:val="00EB1B34"/>
    <w:rsid w:val="00EB1D0F"/>
    <w:rsid w:val="00EB1E1F"/>
    <w:rsid w:val="00EB1EC0"/>
    <w:rsid w:val="00EB20FF"/>
    <w:rsid w:val="00EB2A11"/>
    <w:rsid w:val="00EB2D27"/>
    <w:rsid w:val="00EB3108"/>
    <w:rsid w:val="00EB3ADE"/>
    <w:rsid w:val="00EB3BA9"/>
    <w:rsid w:val="00EB3DC5"/>
    <w:rsid w:val="00EB431B"/>
    <w:rsid w:val="00EB4541"/>
    <w:rsid w:val="00EB46A2"/>
    <w:rsid w:val="00EB4737"/>
    <w:rsid w:val="00EB47D5"/>
    <w:rsid w:val="00EB4B56"/>
    <w:rsid w:val="00EB4C35"/>
    <w:rsid w:val="00EB503F"/>
    <w:rsid w:val="00EB507D"/>
    <w:rsid w:val="00EB53A5"/>
    <w:rsid w:val="00EB6202"/>
    <w:rsid w:val="00EB6ABF"/>
    <w:rsid w:val="00EB6B02"/>
    <w:rsid w:val="00EB7050"/>
    <w:rsid w:val="00EB71C0"/>
    <w:rsid w:val="00EB7853"/>
    <w:rsid w:val="00EB7874"/>
    <w:rsid w:val="00EB7C40"/>
    <w:rsid w:val="00EC0592"/>
    <w:rsid w:val="00EC0EFB"/>
    <w:rsid w:val="00EC12EE"/>
    <w:rsid w:val="00EC165B"/>
    <w:rsid w:val="00EC1877"/>
    <w:rsid w:val="00EC18A3"/>
    <w:rsid w:val="00EC1B58"/>
    <w:rsid w:val="00EC1D44"/>
    <w:rsid w:val="00EC1DE0"/>
    <w:rsid w:val="00EC2215"/>
    <w:rsid w:val="00EC23E5"/>
    <w:rsid w:val="00EC2733"/>
    <w:rsid w:val="00EC2C9C"/>
    <w:rsid w:val="00EC300F"/>
    <w:rsid w:val="00EC3097"/>
    <w:rsid w:val="00EC3153"/>
    <w:rsid w:val="00EC3468"/>
    <w:rsid w:val="00EC3635"/>
    <w:rsid w:val="00EC38A9"/>
    <w:rsid w:val="00EC38DC"/>
    <w:rsid w:val="00EC3AFC"/>
    <w:rsid w:val="00EC3B76"/>
    <w:rsid w:val="00EC3D08"/>
    <w:rsid w:val="00EC4303"/>
    <w:rsid w:val="00EC4348"/>
    <w:rsid w:val="00EC4705"/>
    <w:rsid w:val="00EC4A7C"/>
    <w:rsid w:val="00EC4DFE"/>
    <w:rsid w:val="00EC50C4"/>
    <w:rsid w:val="00EC5540"/>
    <w:rsid w:val="00EC5A42"/>
    <w:rsid w:val="00EC5CCD"/>
    <w:rsid w:val="00EC5E12"/>
    <w:rsid w:val="00EC61F2"/>
    <w:rsid w:val="00EC623F"/>
    <w:rsid w:val="00EC6C32"/>
    <w:rsid w:val="00EC6F55"/>
    <w:rsid w:val="00EC7221"/>
    <w:rsid w:val="00EC726A"/>
    <w:rsid w:val="00EC726B"/>
    <w:rsid w:val="00EC7472"/>
    <w:rsid w:val="00EC78F8"/>
    <w:rsid w:val="00EC7CA7"/>
    <w:rsid w:val="00ED03A4"/>
    <w:rsid w:val="00ED04E8"/>
    <w:rsid w:val="00ED0694"/>
    <w:rsid w:val="00ED07FC"/>
    <w:rsid w:val="00ED0B8A"/>
    <w:rsid w:val="00ED0BE6"/>
    <w:rsid w:val="00ED1137"/>
    <w:rsid w:val="00ED154D"/>
    <w:rsid w:val="00ED1E83"/>
    <w:rsid w:val="00ED1F51"/>
    <w:rsid w:val="00ED2028"/>
    <w:rsid w:val="00ED2767"/>
    <w:rsid w:val="00ED290D"/>
    <w:rsid w:val="00ED2C18"/>
    <w:rsid w:val="00ED35A4"/>
    <w:rsid w:val="00ED4002"/>
    <w:rsid w:val="00ED405A"/>
    <w:rsid w:val="00ED41D0"/>
    <w:rsid w:val="00ED42B2"/>
    <w:rsid w:val="00ED4729"/>
    <w:rsid w:val="00ED4C0F"/>
    <w:rsid w:val="00ED5106"/>
    <w:rsid w:val="00ED5312"/>
    <w:rsid w:val="00ED54FD"/>
    <w:rsid w:val="00ED5791"/>
    <w:rsid w:val="00ED5AE4"/>
    <w:rsid w:val="00ED6092"/>
    <w:rsid w:val="00ED65A8"/>
    <w:rsid w:val="00ED65D6"/>
    <w:rsid w:val="00ED680D"/>
    <w:rsid w:val="00ED694F"/>
    <w:rsid w:val="00ED6DC5"/>
    <w:rsid w:val="00ED7303"/>
    <w:rsid w:val="00ED73F6"/>
    <w:rsid w:val="00ED74EB"/>
    <w:rsid w:val="00ED7525"/>
    <w:rsid w:val="00ED77C5"/>
    <w:rsid w:val="00ED7A58"/>
    <w:rsid w:val="00ED7F9A"/>
    <w:rsid w:val="00EE02D9"/>
    <w:rsid w:val="00EE0491"/>
    <w:rsid w:val="00EE07E9"/>
    <w:rsid w:val="00EE0ABE"/>
    <w:rsid w:val="00EE0BD5"/>
    <w:rsid w:val="00EE0D50"/>
    <w:rsid w:val="00EE0E04"/>
    <w:rsid w:val="00EE1286"/>
    <w:rsid w:val="00EE147C"/>
    <w:rsid w:val="00EE15C7"/>
    <w:rsid w:val="00EE1C2B"/>
    <w:rsid w:val="00EE2184"/>
    <w:rsid w:val="00EE2923"/>
    <w:rsid w:val="00EE293F"/>
    <w:rsid w:val="00EE2C72"/>
    <w:rsid w:val="00EE2EBE"/>
    <w:rsid w:val="00EE2F0F"/>
    <w:rsid w:val="00EE31D6"/>
    <w:rsid w:val="00EE34A9"/>
    <w:rsid w:val="00EE34D9"/>
    <w:rsid w:val="00EE34FB"/>
    <w:rsid w:val="00EE3C5C"/>
    <w:rsid w:val="00EE4431"/>
    <w:rsid w:val="00EE445E"/>
    <w:rsid w:val="00EE4A7F"/>
    <w:rsid w:val="00EE4C55"/>
    <w:rsid w:val="00EE4E12"/>
    <w:rsid w:val="00EE5094"/>
    <w:rsid w:val="00EE5268"/>
    <w:rsid w:val="00EE52B2"/>
    <w:rsid w:val="00EE5322"/>
    <w:rsid w:val="00EE55EB"/>
    <w:rsid w:val="00EE5864"/>
    <w:rsid w:val="00EE58D1"/>
    <w:rsid w:val="00EE5932"/>
    <w:rsid w:val="00EE5CE0"/>
    <w:rsid w:val="00EE5F67"/>
    <w:rsid w:val="00EE6057"/>
    <w:rsid w:val="00EE60EC"/>
    <w:rsid w:val="00EE670D"/>
    <w:rsid w:val="00EE6716"/>
    <w:rsid w:val="00EE6779"/>
    <w:rsid w:val="00EE6855"/>
    <w:rsid w:val="00EE68BC"/>
    <w:rsid w:val="00EE6954"/>
    <w:rsid w:val="00EE6E83"/>
    <w:rsid w:val="00EE7054"/>
    <w:rsid w:val="00EE777F"/>
    <w:rsid w:val="00EE7AB0"/>
    <w:rsid w:val="00EE7BBD"/>
    <w:rsid w:val="00EE7C58"/>
    <w:rsid w:val="00EE7CCC"/>
    <w:rsid w:val="00EE7D21"/>
    <w:rsid w:val="00EF046A"/>
    <w:rsid w:val="00EF0723"/>
    <w:rsid w:val="00EF0C77"/>
    <w:rsid w:val="00EF0EAD"/>
    <w:rsid w:val="00EF1DE8"/>
    <w:rsid w:val="00EF1FEF"/>
    <w:rsid w:val="00EF28CD"/>
    <w:rsid w:val="00EF29CE"/>
    <w:rsid w:val="00EF3698"/>
    <w:rsid w:val="00EF381B"/>
    <w:rsid w:val="00EF3A64"/>
    <w:rsid w:val="00EF420D"/>
    <w:rsid w:val="00EF4312"/>
    <w:rsid w:val="00EF45FD"/>
    <w:rsid w:val="00EF466C"/>
    <w:rsid w:val="00EF4711"/>
    <w:rsid w:val="00EF4875"/>
    <w:rsid w:val="00EF4C1B"/>
    <w:rsid w:val="00EF53DF"/>
    <w:rsid w:val="00EF5821"/>
    <w:rsid w:val="00EF5AB9"/>
    <w:rsid w:val="00EF5BEF"/>
    <w:rsid w:val="00EF5EF1"/>
    <w:rsid w:val="00EF64AC"/>
    <w:rsid w:val="00EF6920"/>
    <w:rsid w:val="00EF6B2F"/>
    <w:rsid w:val="00EF6B7D"/>
    <w:rsid w:val="00EF6D1A"/>
    <w:rsid w:val="00EF6EFC"/>
    <w:rsid w:val="00EF73E2"/>
    <w:rsid w:val="00EF7481"/>
    <w:rsid w:val="00EF7528"/>
    <w:rsid w:val="00EF79A1"/>
    <w:rsid w:val="00EF7E52"/>
    <w:rsid w:val="00EF7F08"/>
    <w:rsid w:val="00F00B69"/>
    <w:rsid w:val="00F01464"/>
    <w:rsid w:val="00F01602"/>
    <w:rsid w:val="00F018F9"/>
    <w:rsid w:val="00F01BC9"/>
    <w:rsid w:val="00F01F05"/>
    <w:rsid w:val="00F021E8"/>
    <w:rsid w:val="00F028B3"/>
    <w:rsid w:val="00F02A30"/>
    <w:rsid w:val="00F02CB2"/>
    <w:rsid w:val="00F02EC6"/>
    <w:rsid w:val="00F03B80"/>
    <w:rsid w:val="00F03E42"/>
    <w:rsid w:val="00F0541E"/>
    <w:rsid w:val="00F05881"/>
    <w:rsid w:val="00F05BE8"/>
    <w:rsid w:val="00F05E73"/>
    <w:rsid w:val="00F061AB"/>
    <w:rsid w:val="00F0641D"/>
    <w:rsid w:val="00F077A5"/>
    <w:rsid w:val="00F0792E"/>
    <w:rsid w:val="00F07B57"/>
    <w:rsid w:val="00F07F46"/>
    <w:rsid w:val="00F103C2"/>
    <w:rsid w:val="00F10602"/>
    <w:rsid w:val="00F106A1"/>
    <w:rsid w:val="00F10BCB"/>
    <w:rsid w:val="00F10F2B"/>
    <w:rsid w:val="00F11418"/>
    <w:rsid w:val="00F11571"/>
    <w:rsid w:val="00F1194F"/>
    <w:rsid w:val="00F11B76"/>
    <w:rsid w:val="00F11BEB"/>
    <w:rsid w:val="00F11D4D"/>
    <w:rsid w:val="00F11D4E"/>
    <w:rsid w:val="00F11DC1"/>
    <w:rsid w:val="00F11F6D"/>
    <w:rsid w:val="00F11FA4"/>
    <w:rsid w:val="00F12009"/>
    <w:rsid w:val="00F12A89"/>
    <w:rsid w:val="00F130A9"/>
    <w:rsid w:val="00F132F6"/>
    <w:rsid w:val="00F134FC"/>
    <w:rsid w:val="00F13528"/>
    <w:rsid w:val="00F137C7"/>
    <w:rsid w:val="00F139AA"/>
    <w:rsid w:val="00F13B61"/>
    <w:rsid w:val="00F13E31"/>
    <w:rsid w:val="00F141B9"/>
    <w:rsid w:val="00F141E6"/>
    <w:rsid w:val="00F14538"/>
    <w:rsid w:val="00F147A2"/>
    <w:rsid w:val="00F147FC"/>
    <w:rsid w:val="00F14E04"/>
    <w:rsid w:val="00F151A2"/>
    <w:rsid w:val="00F151FA"/>
    <w:rsid w:val="00F15EA8"/>
    <w:rsid w:val="00F16142"/>
    <w:rsid w:val="00F16559"/>
    <w:rsid w:val="00F1670D"/>
    <w:rsid w:val="00F16B2D"/>
    <w:rsid w:val="00F1723B"/>
    <w:rsid w:val="00F17437"/>
    <w:rsid w:val="00F17461"/>
    <w:rsid w:val="00F17604"/>
    <w:rsid w:val="00F1760B"/>
    <w:rsid w:val="00F17919"/>
    <w:rsid w:val="00F17CA1"/>
    <w:rsid w:val="00F20082"/>
    <w:rsid w:val="00F20157"/>
    <w:rsid w:val="00F20798"/>
    <w:rsid w:val="00F2094C"/>
    <w:rsid w:val="00F21643"/>
    <w:rsid w:val="00F21FB8"/>
    <w:rsid w:val="00F2226D"/>
    <w:rsid w:val="00F223D7"/>
    <w:rsid w:val="00F226A1"/>
    <w:rsid w:val="00F2274F"/>
    <w:rsid w:val="00F22F45"/>
    <w:rsid w:val="00F23292"/>
    <w:rsid w:val="00F23A84"/>
    <w:rsid w:val="00F23F82"/>
    <w:rsid w:val="00F24008"/>
    <w:rsid w:val="00F242A0"/>
    <w:rsid w:val="00F24368"/>
    <w:rsid w:val="00F243D7"/>
    <w:rsid w:val="00F24765"/>
    <w:rsid w:val="00F2487B"/>
    <w:rsid w:val="00F24C25"/>
    <w:rsid w:val="00F25130"/>
    <w:rsid w:val="00F25226"/>
    <w:rsid w:val="00F257F2"/>
    <w:rsid w:val="00F2583E"/>
    <w:rsid w:val="00F2586C"/>
    <w:rsid w:val="00F25A94"/>
    <w:rsid w:val="00F25D9E"/>
    <w:rsid w:val="00F2673E"/>
    <w:rsid w:val="00F269F4"/>
    <w:rsid w:val="00F26ECF"/>
    <w:rsid w:val="00F26F20"/>
    <w:rsid w:val="00F27316"/>
    <w:rsid w:val="00F27B8E"/>
    <w:rsid w:val="00F30110"/>
    <w:rsid w:val="00F30243"/>
    <w:rsid w:val="00F3039A"/>
    <w:rsid w:val="00F30B30"/>
    <w:rsid w:val="00F30C43"/>
    <w:rsid w:val="00F313A5"/>
    <w:rsid w:val="00F31681"/>
    <w:rsid w:val="00F31971"/>
    <w:rsid w:val="00F31C3A"/>
    <w:rsid w:val="00F31D5E"/>
    <w:rsid w:val="00F323AB"/>
    <w:rsid w:val="00F32C47"/>
    <w:rsid w:val="00F32E56"/>
    <w:rsid w:val="00F32E73"/>
    <w:rsid w:val="00F335C5"/>
    <w:rsid w:val="00F336E8"/>
    <w:rsid w:val="00F33745"/>
    <w:rsid w:val="00F33CE1"/>
    <w:rsid w:val="00F3406A"/>
    <w:rsid w:val="00F341A3"/>
    <w:rsid w:val="00F34B33"/>
    <w:rsid w:val="00F34E4A"/>
    <w:rsid w:val="00F34F69"/>
    <w:rsid w:val="00F354CB"/>
    <w:rsid w:val="00F3560E"/>
    <w:rsid w:val="00F35D14"/>
    <w:rsid w:val="00F35D40"/>
    <w:rsid w:val="00F35FE1"/>
    <w:rsid w:val="00F3601F"/>
    <w:rsid w:val="00F36036"/>
    <w:rsid w:val="00F36105"/>
    <w:rsid w:val="00F36398"/>
    <w:rsid w:val="00F36CB5"/>
    <w:rsid w:val="00F36E2F"/>
    <w:rsid w:val="00F3726F"/>
    <w:rsid w:val="00F37285"/>
    <w:rsid w:val="00F3735E"/>
    <w:rsid w:val="00F3736E"/>
    <w:rsid w:val="00F3741E"/>
    <w:rsid w:val="00F37547"/>
    <w:rsid w:val="00F3757C"/>
    <w:rsid w:val="00F40037"/>
    <w:rsid w:val="00F400AE"/>
    <w:rsid w:val="00F4012F"/>
    <w:rsid w:val="00F403D1"/>
    <w:rsid w:val="00F4069E"/>
    <w:rsid w:val="00F40A48"/>
    <w:rsid w:val="00F40BCC"/>
    <w:rsid w:val="00F40C6F"/>
    <w:rsid w:val="00F40E05"/>
    <w:rsid w:val="00F411B0"/>
    <w:rsid w:val="00F41511"/>
    <w:rsid w:val="00F41BE4"/>
    <w:rsid w:val="00F41DD1"/>
    <w:rsid w:val="00F42018"/>
    <w:rsid w:val="00F4214B"/>
    <w:rsid w:val="00F42150"/>
    <w:rsid w:val="00F4223F"/>
    <w:rsid w:val="00F42324"/>
    <w:rsid w:val="00F42561"/>
    <w:rsid w:val="00F42AC5"/>
    <w:rsid w:val="00F42E1A"/>
    <w:rsid w:val="00F43030"/>
    <w:rsid w:val="00F43335"/>
    <w:rsid w:val="00F43601"/>
    <w:rsid w:val="00F43682"/>
    <w:rsid w:val="00F43951"/>
    <w:rsid w:val="00F43ADE"/>
    <w:rsid w:val="00F43C7F"/>
    <w:rsid w:val="00F43D43"/>
    <w:rsid w:val="00F4470B"/>
    <w:rsid w:val="00F44850"/>
    <w:rsid w:val="00F44889"/>
    <w:rsid w:val="00F458CA"/>
    <w:rsid w:val="00F45B6C"/>
    <w:rsid w:val="00F45C29"/>
    <w:rsid w:val="00F45E08"/>
    <w:rsid w:val="00F45F0B"/>
    <w:rsid w:val="00F45F13"/>
    <w:rsid w:val="00F46110"/>
    <w:rsid w:val="00F46149"/>
    <w:rsid w:val="00F465FB"/>
    <w:rsid w:val="00F46A2C"/>
    <w:rsid w:val="00F46E7A"/>
    <w:rsid w:val="00F476CC"/>
    <w:rsid w:val="00F47738"/>
    <w:rsid w:val="00F4777B"/>
    <w:rsid w:val="00F477CC"/>
    <w:rsid w:val="00F47E58"/>
    <w:rsid w:val="00F47F88"/>
    <w:rsid w:val="00F50245"/>
    <w:rsid w:val="00F5024F"/>
    <w:rsid w:val="00F502A6"/>
    <w:rsid w:val="00F505BD"/>
    <w:rsid w:val="00F50E23"/>
    <w:rsid w:val="00F50F32"/>
    <w:rsid w:val="00F516CF"/>
    <w:rsid w:val="00F5179E"/>
    <w:rsid w:val="00F5194E"/>
    <w:rsid w:val="00F520D9"/>
    <w:rsid w:val="00F524B6"/>
    <w:rsid w:val="00F525C9"/>
    <w:rsid w:val="00F52A1C"/>
    <w:rsid w:val="00F52AC0"/>
    <w:rsid w:val="00F52B18"/>
    <w:rsid w:val="00F534EB"/>
    <w:rsid w:val="00F5355F"/>
    <w:rsid w:val="00F537B9"/>
    <w:rsid w:val="00F539FD"/>
    <w:rsid w:val="00F53A9D"/>
    <w:rsid w:val="00F53CF9"/>
    <w:rsid w:val="00F5403E"/>
    <w:rsid w:val="00F54C4E"/>
    <w:rsid w:val="00F54F48"/>
    <w:rsid w:val="00F54F5E"/>
    <w:rsid w:val="00F556F7"/>
    <w:rsid w:val="00F55928"/>
    <w:rsid w:val="00F56268"/>
    <w:rsid w:val="00F5654A"/>
    <w:rsid w:val="00F566C0"/>
    <w:rsid w:val="00F5693C"/>
    <w:rsid w:val="00F56986"/>
    <w:rsid w:val="00F569E6"/>
    <w:rsid w:val="00F56BBB"/>
    <w:rsid w:val="00F57E48"/>
    <w:rsid w:val="00F605F9"/>
    <w:rsid w:val="00F60CEE"/>
    <w:rsid w:val="00F60DA2"/>
    <w:rsid w:val="00F611CB"/>
    <w:rsid w:val="00F61399"/>
    <w:rsid w:val="00F614F4"/>
    <w:rsid w:val="00F61837"/>
    <w:rsid w:val="00F618B2"/>
    <w:rsid w:val="00F6215C"/>
    <w:rsid w:val="00F6277B"/>
    <w:rsid w:val="00F62945"/>
    <w:rsid w:val="00F62D60"/>
    <w:rsid w:val="00F631F1"/>
    <w:rsid w:val="00F63285"/>
    <w:rsid w:val="00F63472"/>
    <w:rsid w:val="00F637F5"/>
    <w:rsid w:val="00F6394B"/>
    <w:rsid w:val="00F63B11"/>
    <w:rsid w:val="00F63DC7"/>
    <w:rsid w:val="00F641C7"/>
    <w:rsid w:val="00F64261"/>
    <w:rsid w:val="00F64358"/>
    <w:rsid w:val="00F6466D"/>
    <w:rsid w:val="00F64F28"/>
    <w:rsid w:val="00F65CA7"/>
    <w:rsid w:val="00F65DC0"/>
    <w:rsid w:val="00F660DE"/>
    <w:rsid w:val="00F661DF"/>
    <w:rsid w:val="00F664B0"/>
    <w:rsid w:val="00F665A4"/>
    <w:rsid w:val="00F666F4"/>
    <w:rsid w:val="00F66797"/>
    <w:rsid w:val="00F66868"/>
    <w:rsid w:val="00F66927"/>
    <w:rsid w:val="00F66D38"/>
    <w:rsid w:val="00F66D51"/>
    <w:rsid w:val="00F66E81"/>
    <w:rsid w:val="00F67489"/>
    <w:rsid w:val="00F674D3"/>
    <w:rsid w:val="00F67CF6"/>
    <w:rsid w:val="00F67D37"/>
    <w:rsid w:val="00F67ED7"/>
    <w:rsid w:val="00F705CE"/>
    <w:rsid w:val="00F7119E"/>
    <w:rsid w:val="00F713CC"/>
    <w:rsid w:val="00F71851"/>
    <w:rsid w:val="00F71AAB"/>
    <w:rsid w:val="00F71D52"/>
    <w:rsid w:val="00F71D91"/>
    <w:rsid w:val="00F727CE"/>
    <w:rsid w:val="00F7288F"/>
    <w:rsid w:val="00F72993"/>
    <w:rsid w:val="00F72D89"/>
    <w:rsid w:val="00F72F03"/>
    <w:rsid w:val="00F73359"/>
    <w:rsid w:val="00F734B1"/>
    <w:rsid w:val="00F73B95"/>
    <w:rsid w:val="00F73F20"/>
    <w:rsid w:val="00F74112"/>
    <w:rsid w:val="00F7433E"/>
    <w:rsid w:val="00F7441F"/>
    <w:rsid w:val="00F7454D"/>
    <w:rsid w:val="00F747B7"/>
    <w:rsid w:val="00F74918"/>
    <w:rsid w:val="00F74A5C"/>
    <w:rsid w:val="00F74BDF"/>
    <w:rsid w:val="00F750E6"/>
    <w:rsid w:val="00F7576E"/>
    <w:rsid w:val="00F76391"/>
    <w:rsid w:val="00F76D2B"/>
    <w:rsid w:val="00F76F90"/>
    <w:rsid w:val="00F76FED"/>
    <w:rsid w:val="00F770DC"/>
    <w:rsid w:val="00F77142"/>
    <w:rsid w:val="00F77231"/>
    <w:rsid w:val="00F773DE"/>
    <w:rsid w:val="00F779B3"/>
    <w:rsid w:val="00F77B7A"/>
    <w:rsid w:val="00F77F2B"/>
    <w:rsid w:val="00F77F43"/>
    <w:rsid w:val="00F8043A"/>
    <w:rsid w:val="00F805EF"/>
    <w:rsid w:val="00F80908"/>
    <w:rsid w:val="00F80CB2"/>
    <w:rsid w:val="00F8101E"/>
    <w:rsid w:val="00F81080"/>
    <w:rsid w:val="00F8118B"/>
    <w:rsid w:val="00F81710"/>
    <w:rsid w:val="00F81E2B"/>
    <w:rsid w:val="00F81EE4"/>
    <w:rsid w:val="00F82214"/>
    <w:rsid w:val="00F82381"/>
    <w:rsid w:val="00F82662"/>
    <w:rsid w:val="00F82684"/>
    <w:rsid w:val="00F82E53"/>
    <w:rsid w:val="00F8456B"/>
    <w:rsid w:val="00F846ED"/>
    <w:rsid w:val="00F847A6"/>
    <w:rsid w:val="00F849DC"/>
    <w:rsid w:val="00F84B5D"/>
    <w:rsid w:val="00F84FB6"/>
    <w:rsid w:val="00F854F7"/>
    <w:rsid w:val="00F85B96"/>
    <w:rsid w:val="00F8652C"/>
    <w:rsid w:val="00F86649"/>
    <w:rsid w:val="00F86A71"/>
    <w:rsid w:val="00F86E73"/>
    <w:rsid w:val="00F878C8"/>
    <w:rsid w:val="00F87C41"/>
    <w:rsid w:val="00F87F36"/>
    <w:rsid w:val="00F901BC"/>
    <w:rsid w:val="00F9027C"/>
    <w:rsid w:val="00F9027D"/>
    <w:rsid w:val="00F9052F"/>
    <w:rsid w:val="00F907C5"/>
    <w:rsid w:val="00F908EA"/>
    <w:rsid w:val="00F90A0F"/>
    <w:rsid w:val="00F90C9A"/>
    <w:rsid w:val="00F90D0C"/>
    <w:rsid w:val="00F90FE5"/>
    <w:rsid w:val="00F910DF"/>
    <w:rsid w:val="00F9131A"/>
    <w:rsid w:val="00F9153A"/>
    <w:rsid w:val="00F917A5"/>
    <w:rsid w:val="00F91AF6"/>
    <w:rsid w:val="00F91BA8"/>
    <w:rsid w:val="00F91CF2"/>
    <w:rsid w:val="00F928A3"/>
    <w:rsid w:val="00F92A6C"/>
    <w:rsid w:val="00F93308"/>
    <w:rsid w:val="00F9339F"/>
    <w:rsid w:val="00F933A0"/>
    <w:rsid w:val="00F93FD8"/>
    <w:rsid w:val="00F941A8"/>
    <w:rsid w:val="00F944EB"/>
    <w:rsid w:val="00F9474F"/>
    <w:rsid w:val="00F94F29"/>
    <w:rsid w:val="00F94F6C"/>
    <w:rsid w:val="00F9519F"/>
    <w:rsid w:val="00F9543B"/>
    <w:rsid w:val="00F95622"/>
    <w:rsid w:val="00F957D7"/>
    <w:rsid w:val="00F9595E"/>
    <w:rsid w:val="00F95CF9"/>
    <w:rsid w:val="00F95ED8"/>
    <w:rsid w:val="00F96009"/>
    <w:rsid w:val="00F962BD"/>
    <w:rsid w:val="00F9655A"/>
    <w:rsid w:val="00F967CD"/>
    <w:rsid w:val="00F96BC0"/>
    <w:rsid w:val="00F97046"/>
    <w:rsid w:val="00F9712A"/>
    <w:rsid w:val="00F97388"/>
    <w:rsid w:val="00F97681"/>
    <w:rsid w:val="00F9771B"/>
    <w:rsid w:val="00F977F2"/>
    <w:rsid w:val="00F97A98"/>
    <w:rsid w:val="00F97BE3"/>
    <w:rsid w:val="00F97BF1"/>
    <w:rsid w:val="00F97EB3"/>
    <w:rsid w:val="00F97FFC"/>
    <w:rsid w:val="00FA024E"/>
    <w:rsid w:val="00FA043B"/>
    <w:rsid w:val="00FA050F"/>
    <w:rsid w:val="00FA06A9"/>
    <w:rsid w:val="00FA06B9"/>
    <w:rsid w:val="00FA078D"/>
    <w:rsid w:val="00FA093A"/>
    <w:rsid w:val="00FA0940"/>
    <w:rsid w:val="00FA0A98"/>
    <w:rsid w:val="00FA0CEC"/>
    <w:rsid w:val="00FA0D4B"/>
    <w:rsid w:val="00FA0DD8"/>
    <w:rsid w:val="00FA122C"/>
    <w:rsid w:val="00FA145C"/>
    <w:rsid w:val="00FA14E5"/>
    <w:rsid w:val="00FA17CB"/>
    <w:rsid w:val="00FA18FB"/>
    <w:rsid w:val="00FA1B5C"/>
    <w:rsid w:val="00FA1B6C"/>
    <w:rsid w:val="00FA1BAD"/>
    <w:rsid w:val="00FA1BBA"/>
    <w:rsid w:val="00FA1F21"/>
    <w:rsid w:val="00FA26FA"/>
    <w:rsid w:val="00FA2B95"/>
    <w:rsid w:val="00FA2C74"/>
    <w:rsid w:val="00FA2FD1"/>
    <w:rsid w:val="00FA30BC"/>
    <w:rsid w:val="00FA3297"/>
    <w:rsid w:val="00FA3FBE"/>
    <w:rsid w:val="00FA4927"/>
    <w:rsid w:val="00FA49F5"/>
    <w:rsid w:val="00FA4B6B"/>
    <w:rsid w:val="00FA5282"/>
    <w:rsid w:val="00FA56D6"/>
    <w:rsid w:val="00FA59AB"/>
    <w:rsid w:val="00FA5F73"/>
    <w:rsid w:val="00FA64CF"/>
    <w:rsid w:val="00FA66B2"/>
    <w:rsid w:val="00FA6A82"/>
    <w:rsid w:val="00FA6E63"/>
    <w:rsid w:val="00FA7607"/>
    <w:rsid w:val="00FA7850"/>
    <w:rsid w:val="00FA7A1F"/>
    <w:rsid w:val="00FA7A44"/>
    <w:rsid w:val="00FA7AA4"/>
    <w:rsid w:val="00FA7E65"/>
    <w:rsid w:val="00FB0283"/>
    <w:rsid w:val="00FB0318"/>
    <w:rsid w:val="00FB0356"/>
    <w:rsid w:val="00FB0450"/>
    <w:rsid w:val="00FB07C7"/>
    <w:rsid w:val="00FB09CD"/>
    <w:rsid w:val="00FB09F6"/>
    <w:rsid w:val="00FB140A"/>
    <w:rsid w:val="00FB1542"/>
    <w:rsid w:val="00FB16F6"/>
    <w:rsid w:val="00FB1C44"/>
    <w:rsid w:val="00FB2529"/>
    <w:rsid w:val="00FB25DD"/>
    <w:rsid w:val="00FB262F"/>
    <w:rsid w:val="00FB2744"/>
    <w:rsid w:val="00FB27C6"/>
    <w:rsid w:val="00FB2A0D"/>
    <w:rsid w:val="00FB2AEB"/>
    <w:rsid w:val="00FB2D37"/>
    <w:rsid w:val="00FB2E86"/>
    <w:rsid w:val="00FB2F33"/>
    <w:rsid w:val="00FB34C2"/>
    <w:rsid w:val="00FB34DB"/>
    <w:rsid w:val="00FB4168"/>
    <w:rsid w:val="00FB43EE"/>
    <w:rsid w:val="00FB45AC"/>
    <w:rsid w:val="00FB495A"/>
    <w:rsid w:val="00FB4998"/>
    <w:rsid w:val="00FB51AA"/>
    <w:rsid w:val="00FB522B"/>
    <w:rsid w:val="00FB55F3"/>
    <w:rsid w:val="00FB5654"/>
    <w:rsid w:val="00FB5BD2"/>
    <w:rsid w:val="00FB5CEB"/>
    <w:rsid w:val="00FB5D93"/>
    <w:rsid w:val="00FB5FBE"/>
    <w:rsid w:val="00FB61C0"/>
    <w:rsid w:val="00FB6522"/>
    <w:rsid w:val="00FB67D5"/>
    <w:rsid w:val="00FB67D9"/>
    <w:rsid w:val="00FB6CDF"/>
    <w:rsid w:val="00FB7505"/>
    <w:rsid w:val="00FB76A1"/>
    <w:rsid w:val="00FB79D2"/>
    <w:rsid w:val="00FB7CDC"/>
    <w:rsid w:val="00FC016D"/>
    <w:rsid w:val="00FC0598"/>
    <w:rsid w:val="00FC0C16"/>
    <w:rsid w:val="00FC0D8B"/>
    <w:rsid w:val="00FC0DFA"/>
    <w:rsid w:val="00FC0E08"/>
    <w:rsid w:val="00FC145D"/>
    <w:rsid w:val="00FC14F6"/>
    <w:rsid w:val="00FC16CE"/>
    <w:rsid w:val="00FC1AB1"/>
    <w:rsid w:val="00FC1C99"/>
    <w:rsid w:val="00FC1E04"/>
    <w:rsid w:val="00FC2708"/>
    <w:rsid w:val="00FC2852"/>
    <w:rsid w:val="00FC28E7"/>
    <w:rsid w:val="00FC2AFE"/>
    <w:rsid w:val="00FC2DE3"/>
    <w:rsid w:val="00FC2E96"/>
    <w:rsid w:val="00FC315D"/>
    <w:rsid w:val="00FC3190"/>
    <w:rsid w:val="00FC3A10"/>
    <w:rsid w:val="00FC3A8F"/>
    <w:rsid w:val="00FC4411"/>
    <w:rsid w:val="00FC4449"/>
    <w:rsid w:val="00FC4755"/>
    <w:rsid w:val="00FC4AC4"/>
    <w:rsid w:val="00FC4BEA"/>
    <w:rsid w:val="00FC5D40"/>
    <w:rsid w:val="00FC5E0A"/>
    <w:rsid w:val="00FC6013"/>
    <w:rsid w:val="00FC6218"/>
    <w:rsid w:val="00FC6259"/>
    <w:rsid w:val="00FC6314"/>
    <w:rsid w:val="00FC6681"/>
    <w:rsid w:val="00FC6775"/>
    <w:rsid w:val="00FC6938"/>
    <w:rsid w:val="00FC6A33"/>
    <w:rsid w:val="00FC6DED"/>
    <w:rsid w:val="00FC6F84"/>
    <w:rsid w:val="00FC7155"/>
    <w:rsid w:val="00FC74E3"/>
    <w:rsid w:val="00FC77FF"/>
    <w:rsid w:val="00FC7991"/>
    <w:rsid w:val="00FC7A10"/>
    <w:rsid w:val="00FC7B87"/>
    <w:rsid w:val="00FC7E6C"/>
    <w:rsid w:val="00FD0026"/>
    <w:rsid w:val="00FD0083"/>
    <w:rsid w:val="00FD0098"/>
    <w:rsid w:val="00FD090F"/>
    <w:rsid w:val="00FD11DF"/>
    <w:rsid w:val="00FD135C"/>
    <w:rsid w:val="00FD1389"/>
    <w:rsid w:val="00FD16A3"/>
    <w:rsid w:val="00FD176C"/>
    <w:rsid w:val="00FD1B17"/>
    <w:rsid w:val="00FD1D1F"/>
    <w:rsid w:val="00FD2559"/>
    <w:rsid w:val="00FD266A"/>
    <w:rsid w:val="00FD2B1E"/>
    <w:rsid w:val="00FD2FB9"/>
    <w:rsid w:val="00FD3142"/>
    <w:rsid w:val="00FD334A"/>
    <w:rsid w:val="00FD343B"/>
    <w:rsid w:val="00FD347F"/>
    <w:rsid w:val="00FD365C"/>
    <w:rsid w:val="00FD3A44"/>
    <w:rsid w:val="00FD3B28"/>
    <w:rsid w:val="00FD3CFA"/>
    <w:rsid w:val="00FD405D"/>
    <w:rsid w:val="00FD44B2"/>
    <w:rsid w:val="00FD466E"/>
    <w:rsid w:val="00FD4730"/>
    <w:rsid w:val="00FD4799"/>
    <w:rsid w:val="00FD47CF"/>
    <w:rsid w:val="00FD4811"/>
    <w:rsid w:val="00FD4868"/>
    <w:rsid w:val="00FD4C11"/>
    <w:rsid w:val="00FD4D23"/>
    <w:rsid w:val="00FD5273"/>
    <w:rsid w:val="00FD54AB"/>
    <w:rsid w:val="00FD59C1"/>
    <w:rsid w:val="00FD59E9"/>
    <w:rsid w:val="00FD5A47"/>
    <w:rsid w:val="00FD5C0E"/>
    <w:rsid w:val="00FD5DCB"/>
    <w:rsid w:val="00FD6569"/>
    <w:rsid w:val="00FD6920"/>
    <w:rsid w:val="00FD6A6D"/>
    <w:rsid w:val="00FD6C00"/>
    <w:rsid w:val="00FD7295"/>
    <w:rsid w:val="00FD738C"/>
    <w:rsid w:val="00FD78D6"/>
    <w:rsid w:val="00FD7900"/>
    <w:rsid w:val="00FD7985"/>
    <w:rsid w:val="00FD7A22"/>
    <w:rsid w:val="00FD7AC8"/>
    <w:rsid w:val="00FD7ADB"/>
    <w:rsid w:val="00FD7C8C"/>
    <w:rsid w:val="00FE0B3E"/>
    <w:rsid w:val="00FE0F68"/>
    <w:rsid w:val="00FE0FCE"/>
    <w:rsid w:val="00FE134F"/>
    <w:rsid w:val="00FE149A"/>
    <w:rsid w:val="00FE1510"/>
    <w:rsid w:val="00FE153F"/>
    <w:rsid w:val="00FE189A"/>
    <w:rsid w:val="00FE19C7"/>
    <w:rsid w:val="00FE1DF6"/>
    <w:rsid w:val="00FE20A2"/>
    <w:rsid w:val="00FE2825"/>
    <w:rsid w:val="00FE3024"/>
    <w:rsid w:val="00FE3789"/>
    <w:rsid w:val="00FE3C16"/>
    <w:rsid w:val="00FE3FA1"/>
    <w:rsid w:val="00FE40AA"/>
    <w:rsid w:val="00FE417F"/>
    <w:rsid w:val="00FE43CA"/>
    <w:rsid w:val="00FE456F"/>
    <w:rsid w:val="00FE4819"/>
    <w:rsid w:val="00FE4BDA"/>
    <w:rsid w:val="00FE4D6B"/>
    <w:rsid w:val="00FE4D74"/>
    <w:rsid w:val="00FE4E2C"/>
    <w:rsid w:val="00FE4E2E"/>
    <w:rsid w:val="00FE4EC9"/>
    <w:rsid w:val="00FE50C9"/>
    <w:rsid w:val="00FE5600"/>
    <w:rsid w:val="00FE56CC"/>
    <w:rsid w:val="00FE58DA"/>
    <w:rsid w:val="00FE58FD"/>
    <w:rsid w:val="00FE5E2C"/>
    <w:rsid w:val="00FE6051"/>
    <w:rsid w:val="00FE6072"/>
    <w:rsid w:val="00FE6307"/>
    <w:rsid w:val="00FE66B5"/>
    <w:rsid w:val="00FE6BAC"/>
    <w:rsid w:val="00FE6D49"/>
    <w:rsid w:val="00FE7A10"/>
    <w:rsid w:val="00FE7E76"/>
    <w:rsid w:val="00FF039F"/>
    <w:rsid w:val="00FF08EB"/>
    <w:rsid w:val="00FF174E"/>
    <w:rsid w:val="00FF1AEF"/>
    <w:rsid w:val="00FF1E53"/>
    <w:rsid w:val="00FF23DC"/>
    <w:rsid w:val="00FF2411"/>
    <w:rsid w:val="00FF269E"/>
    <w:rsid w:val="00FF3071"/>
    <w:rsid w:val="00FF32FD"/>
    <w:rsid w:val="00FF337B"/>
    <w:rsid w:val="00FF3E5E"/>
    <w:rsid w:val="00FF3E7C"/>
    <w:rsid w:val="00FF3E96"/>
    <w:rsid w:val="00FF426D"/>
    <w:rsid w:val="00FF4454"/>
    <w:rsid w:val="00FF51A6"/>
    <w:rsid w:val="00FF563A"/>
    <w:rsid w:val="00FF5768"/>
    <w:rsid w:val="00FF576E"/>
    <w:rsid w:val="00FF5A2D"/>
    <w:rsid w:val="00FF603F"/>
    <w:rsid w:val="00FF6303"/>
    <w:rsid w:val="00FF6651"/>
    <w:rsid w:val="00FF69D9"/>
    <w:rsid w:val="00FF6C24"/>
    <w:rsid w:val="00FF79DA"/>
    <w:rsid w:val="00FF7A25"/>
    <w:rsid w:val="00FF7D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uiPriority="99" w:qFormat="1"/>
    <w:lsdException w:name="Subtitle" w:qFormat="1"/>
    <w:lsdException w:name="Body Text 2" w:uiPriority="99"/>
    <w:lsdException w:name="Body Text 3" w:uiPriority="99"/>
    <w:lsdException w:name="Strong" w:uiPriority="22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56A1"/>
    <w:rPr>
      <w:sz w:val="24"/>
    </w:rPr>
  </w:style>
  <w:style w:type="paragraph" w:styleId="1">
    <w:name w:val="heading 1"/>
    <w:basedOn w:val="a"/>
    <w:next w:val="a"/>
    <w:link w:val="10"/>
    <w:qFormat/>
    <w:rsid w:val="00E1316B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Надин стиль,Основной текст 1,Нумерованный список !!,Iniiaiie oaeno 1,Ioia?iaaiiue nienie !!,Iaaei noeeu,Основной текст без отступа"/>
    <w:basedOn w:val="a"/>
    <w:link w:val="a4"/>
    <w:rsid w:val="00B356A1"/>
    <w:pPr>
      <w:widowControl w:val="0"/>
      <w:ind w:firstLine="485"/>
      <w:jc w:val="both"/>
    </w:pPr>
    <w:rPr>
      <w:rFonts w:ascii="Arial" w:hAnsi="Arial"/>
      <w:snapToGrid w:val="0"/>
      <w:color w:val="000000"/>
    </w:rPr>
  </w:style>
  <w:style w:type="paragraph" w:customStyle="1" w:styleId="11">
    <w:name w:val="1"/>
    <w:rsid w:val="007D2F38"/>
    <w:rPr>
      <w:sz w:val="24"/>
    </w:rPr>
  </w:style>
  <w:style w:type="paragraph" w:styleId="a5">
    <w:name w:val="header"/>
    <w:basedOn w:val="a"/>
    <w:rsid w:val="007D2F3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D2F38"/>
  </w:style>
  <w:style w:type="table" w:styleId="a7">
    <w:name w:val="Table Grid"/>
    <w:basedOn w:val="a1"/>
    <w:rsid w:val="00E518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link w:val="a9"/>
    <w:uiPriority w:val="34"/>
    <w:qFormat/>
    <w:rsid w:val="00956CA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Title"/>
    <w:basedOn w:val="a"/>
    <w:link w:val="ab"/>
    <w:uiPriority w:val="99"/>
    <w:qFormat/>
    <w:rsid w:val="00965E3A"/>
    <w:pPr>
      <w:jc w:val="center"/>
    </w:pPr>
    <w:rPr>
      <w:szCs w:val="24"/>
    </w:rPr>
  </w:style>
  <w:style w:type="paragraph" w:customStyle="1" w:styleId="ac">
    <w:name w:val="Список_без_б"/>
    <w:basedOn w:val="a"/>
    <w:rsid w:val="005C4345"/>
    <w:pPr>
      <w:spacing w:before="40" w:after="40"/>
      <w:ind w:left="357"/>
      <w:jc w:val="both"/>
    </w:pPr>
    <w:rPr>
      <w:sz w:val="22"/>
    </w:rPr>
  </w:style>
  <w:style w:type="paragraph" w:customStyle="1" w:styleId="ConsPlusNormal">
    <w:name w:val="ConsPlusNormal"/>
    <w:link w:val="ConsPlusNormal0"/>
    <w:qFormat/>
    <w:rsid w:val="002C4410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customStyle="1" w:styleId="ad">
    <w:name w:val="Прижатый влево"/>
    <w:basedOn w:val="a"/>
    <w:next w:val="a"/>
    <w:uiPriority w:val="99"/>
    <w:rsid w:val="00084538"/>
    <w:pPr>
      <w:autoSpaceDE w:val="0"/>
      <w:autoSpaceDN w:val="0"/>
      <w:adjustRightInd w:val="0"/>
    </w:pPr>
    <w:rPr>
      <w:rFonts w:ascii="Arial" w:hAnsi="Arial" w:cs="Arial"/>
      <w:szCs w:val="24"/>
    </w:rPr>
  </w:style>
  <w:style w:type="character" w:customStyle="1" w:styleId="ab">
    <w:name w:val="Название Знак"/>
    <w:basedOn w:val="a0"/>
    <w:link w:val="aa"/>
    <w:uiPriority w:val="99"/>
    <w:rsid w:val="001B7A24"/>
    <w:rPr>
      <w:sz w:val="24"/>
      <w:szCs w:val="24"/>
      <w:lang w:val="ru-RU" w:eastAsia="ru-RU" w:bidi="ar-SA"/>
    </w:rPr>
  </w:style>
  <w:style w:type="paragraph" w:styleId="ae">
    <w:name w:val="Document Map"/>
    <w:basedOn w:val="a"/>
    <w:link w:val="af"/>
    <w:rsid w:val="001061B8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rsid w:val="001061B8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583F8F"/>
    <w:pPr>
      <w:widowControl w:val="0"/>
      <w:suppressAutoHyphens/>
      <w:autoSpaceDE w:val="0"/>
    </w:pPr>
    <w:rPr>
      <w:rFonts w:eastAsia="Calibri"/>
      <w:b/>
      <w:bCs/>
      <w:sz w:val="24"/>
      <w:szCs w:val="24"/>
      <w:lang w:eastAsia="ar-SA"/>
    </w:rPr>
  </w:style>
  <w:style w:type="paragraph" w:customStyle="1" w:styleId="af0">
    <w:name w:val="Текст обл.доклада"/>
    <w:basedOn w:val="a"/>
    <w:rsid w:val="00583F8F"/>
    <w:pPr>
      <w:jc w:val="both"/>
    </w:pPr>
    <w:rPr>
      <w:rFonts w:ascii="TimesET" w:hAnsi="TimesET"/>
      <w:sz w:val="22"/>
    </w:rPr>
  </w:style>
  <w:style w:type="paragraph" w:styleId="2">
    <w:name w:val="Body Text Indent 2"/>
    <w:basedOn w:val="a"/>
    <w:rsid w:val="00D22D47"/>
    <w:pPr>
      <w:spacing w:after="120" w:line="480" w:lineRule="auto"/>
      <w:ind w:left="283"/>
    </w:pPr>
    <w:rPr>
      <w:szCs w:val="24"/>
    </w:rPr>
  </w:style>
  <w:style w:type="paragraph" w:customStyle="1" w:styleId="12">
    <w:name w:val="Без интервала1"/>
    <w:rsid w:val="00183AC2"/>
    <w:rPr>
      <w:rFonts w:ascii="Calibri" w:hAnsi="Calibri"/>
      <w:sz w:val="22"/>
      <w:szCs w:val="22"/>
      <w:lang w:eastAsia="en-US"/>
    </w:rPr>
  </w:style>
  <w:style w:type="paragraph" w:styleId="af1">
    <w:name w:val="annotation text"/>
    <w:basedOn w:val="a"/>
    <w:rsid w:val="00663CC5"/>
    <w:rPr>
      <w:sz w:val="20"/>
    </w:rPr>
  </w:style>
  <w:style w:type="paragraph" w:customStyle="1" w:styleId="af2">
    <w:name w:val="Комментарий"/>
    <w:basedOn w:val="a"/>
    <w:next w:val="a"/>
    <w:uiPriority w:val="99"/>
    <w:rsid w:val="00663CC5"/>
    <w:pPr>
      <w:widowControl w:val="0"/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8"/>
      <w:szCs w:val="28"/>
    </w:rPr>
  </w:style>
  <w:style w:type="paragraph" w:styleId="3">
    <w:name w:val="Body Text Indent 3"/>
    <w:basedOn w:val="a"/>
    <w:link w:val="30"/>
    <w:unhideWhenUsed/>
    <w:rsid w:val="00F061AB"/>
    <w:pPr>
      <w:spacing w:after="120" w:line="276" w:lineRule="auto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rsid w:val="00F061AB"/>
    <w:rPr>
      <w:rFonts w:ascii="Calibri" w:eastAsia="Calibri" w:hAnsi="Calibri"/>
      <w:sz w:val="16"/>
      <w:szCs w:val="16"/>
      <w:lang w:val="ru-RU" w:eastAsia="en-US" w:bidi="ar-SA"/>
    </w:rPr>
  </w:style>
  <w:style w:type="paragraph" w:customStyle="1" w:styleId="af3">
    <w:name w:val="Таблицы (моноширинный)"/>
    <w:basedOn w:val="a"/>
    <w:next w:val="a"/>
    <w:rsid w:val="009E6439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</w:rPr>
  </w:style>
  <w:style w:type="paragraph" w:styleId="20">
    <w:name w:val="Body Text 2"/>
    <w:basedOn w:val="a"/>
    <w:link w:val="21"/>
    <w:uiPriority w:val="99"/>
    <w:rsid w:val="00F57E48"/>
    <w:pPr>
      <w:spacing w:after="120" w:line="480" w:lineRule="auto"/>
    </w:pPr>
    <w:rPr>
      <w:szCs w:val="24"/>
    </w:rPr>
  </w:style>
  <w:style w:type="paragraph" w:customStyle="1" w:styleId="13">
    <w:name w:val="Абзац списка1"/>
    <w:basedOn w:val="a"/>
    <w:link w:val="ListParagraphChar"/>
    <w:rsid w:val="00AD16D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4">
    <w:name w:val="footer"/>
    <w:basedOn w:val="a"/>
    <w:rsid w:val="004A3D57"/>
    <w:pPr>
      <w:tabs>
        <w:tab w:val="center" w:pos="4677"/>
        <w:tab w:val="right" w:pos="9355"/>
      </w:tabs>
    </w:pPr>
  </w:style>
  <w:style w:type="character" w:styleId="af5">
    <w:name w:val="Hyperlink"/>
    <w:basedOn w:val="a0"/>
    <w:rsid w:val="007547D6"/>
    <w:rPr>
      <w:color w:val="0000FF"/>
      <w:u w:val="single"/>
    </w:rPr>
  </w:style>
  <w:style w:type="character" w:customStyle="1" w:styleId="ei1">
    <w:name w:val="ei1"/>
    <w:basedOn w:val="a0"/>
    <w:rsid w:val="007547D6"/>
  </w:style>
  <w:style w:type="character" w:customStyle="1" w:styleId="10">
    <w:name w:val="Заголовок 1 Знак"/>
    <w:basedOn w:val="a0"/>
    <w:link w:val="1"/>
    <w:rsid w:val="00E1316B"/>
    <w:rPr>
      <w:rFonts w:ascii="Arial" w:hAnsi="Arial"/>
      <w:b/>
      <w:bCs/>
      <w:color w:val="000080"/>
    </w:rPr>
  </w:style>
  <w:style w:type="paragraph" w:customStyle="1" w:styleId="ConsPlusNonformat">
    <w:name w:val="ConsPlusNonformat"/>
    <w:rsid w:val="00DE493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6">
    <w:name w:val="Body Text"/>
    <w:aliases w:val="Основной текст Знак,Òàáë òåêñò, Знак"/>
    <w:basedOn w:val="a"/>
    <w:link w:val="14"/>
    <w:rsid w:val="001C7247"/>
    <w:pPr>
      <w:spacing w:after="120"/>
    </w:pPr>
    <w:rPr>
      <w:szCs w:val="24"/>
    </w:rPr>
  </w:style>
  <w:style w:type="character" w:customStyle="1" w:styleId="14">
    <w:name w:val="Основной текст Знак1"/>
    <w:aliases w:val="Основной текст Знак Знак,Òàáë òåêñò Знак, Знак Знак"/>
    <w:basedOn w:val="a0"/>
    <w:link w:val="af6"/>
    <w:rsid w:val="001C7247"/>
    <w:rPr>
      <w:sz w:val="24"/>
      <w:szCs w:val="24"/>
    </w:rPr>
  </w:style>
  <w:style w:type="paragraph" w:customStyle="1" w:styleId="af7">
    <w:name w:val="Заголовок статьи"/>
    <w:basedOn w:val="a"/>
    <w:next w:val="a"/>
    <w:rsid w:val="004851AE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</w:rPr>
  </w:style>
  <w:style w:type="character" w:customStyle="1" w:styleId="af8">
    <w:name w:val="Цветовое выделение"/>
    <w:uiPriority w:val="99"/>
    <w:rsid w:val="004851AE"/>
    <w:rPr>
      <w:b/>
      <w:bCs/>
      <w:color w:val="000080"/>
      <w:sz w:val="20"/>
      <w:szCs w:val="20"/>
    </w:rPr>
  </w:style>
  <w:style w:type="paragraph" w:customStyle="1" w:styleId="ConsNormal">
    <w:name w:val="ConsNormal"/>
    <w:rsid w:val="00DD4F89"/>
    <w:pPr>
      <w:widowControl w:val="0"/>
      <w:suppressAutoHyphens/>
      <w:autoSpaceDE w:val="0"/>
      <w:ind w:firstLine="720"/>
    </w:pPr>
    <w:rPr>
      <w:rFonts w:ascii="Arial" w:eastAsia="Arial" w:hAnsi="Arial" w:cs="Arial"/>
      <w:sz w:val="24"/>
      <w:szCs w:val="24"/>
      <w:lang w:eastAsia="ar-SA"/>
    </w:rPr>
  </w:style>
  <w:style w:type="paragraph" w:styleId="af9">
    <w:name w:val="Normal (Web)"/>
    <w:basedOn w:val="a"/>
    <w:uiPriority w:val="99"/>
    <w:rsid w:val="006E42FD"/>
    <w:pPr>
      <w:spacing w:before="100" w:beforeAutospacing="1" w:after="100" w:afterAutospacing="1"/>
    </w:pPr>
    <w:rPr>
      <w:szCs w:val="24"/>
    </w:rPr>
  </w:style>
  <w:style w:type="paragraph" w:customStyle="1" w:styleId="msonormalcxspmiddle">
    <w:name w:val="msonormalcxspmiddle"/>
    <w:basedOn w:val="a"/>
    <w:uiPriority w:val="99"/>
    <w:rsid w:val="00BB7723"/>
    <w:pPr>
      <w:spacing w:before="100" w:beforeAutospacing="1" w:after="100" w:afterAutospacing="1"/>
    </w:pPr>
    <w:rPr>
      <w:szCs w:val="24"/>
    </w:rPr>
  </w:style>
  <w:style w:type="paragraph" w:styleId="afa">
    <w:name w:val="Plain Text"/>
    <w:basedOn w:val="a"/>
    <w:link w:val="afb"/>
    <w:uiPriority w:val="99"/>
    <w:rsid w:val="002732C4"/>
    <w:pPr>
      <w:ind w:firstLine="720"/>
      <w:jc w:val="both"/>
    </w:pPr>
    <w:rPr>
      <w:rFonts w:ascii="Courier New" w:hAnsi="Courier New"/>
      <w:sz w:val="20"/>
    </w:rPr>
  </w:style>
  <w:style w:type="character" w:customStyle="1" w:styleId="afb">
    <w:name w:val="Текст Знак"/>
    <w:basedOn w:val="a0"/>
    <w:link w:val="afa"/>
    <w:uiPriority w:val="99"/>
    <w:rsid w:val="002732C4"/>
    <w:rPr>
      <w:rFonts w:ascii="Courier New" w:hAnsi="Courier New"/>
    </w:rPr>
  </w:style>
  <w:style w:type="paragraph" w:styleId="afc">
    <w:name w:val="endnote text"/>
    <w:basedOn w:val="a"/>
    <w:link w:val="afd"/>
    <w:rsid w:val="00DE75ED"/>
    <w:rPr>
      <w:rFonts w:eastAsia="Calibri"/>
      <w:sz w:val="20"/>
    </w:rPr>
  </w:style>
  <w:style w:type="character" w:customStyle="1" w:styleId="apple-style-span">
    <w:name w:val="apple-style-span"/>
    <w:basedOn w:val="a0"/>
    <w:rsid w:val="00683947"/>
  </w:style>
  <w:style w:type="paragraph" w:customStyle="1" w:styleId="u">
    <w:name w:val="u"/>
    <w:basedOn w:val="a"/>
    <w:rsid w:val="00683947"/>
    <w:pPr>
      <w:spacing w:before="100" w:beforeAutospacing="1" w:after="100" w:afterAutospacing="1"/>
    </w:pPr>
    <w:rPr>
      <w:szCs w:val="24"/>
    </w:rPr>
  </w:style>
  <w:style w:type="paragraph" w:customStyle="1" w:styleId="210">
    <w:name w:val="Основной текст с отступом 21"/>
    <w:basedOn w:val="a"/>
    <w:rsid w:val="002924A6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character" w:customStyle="1" w:styleId="afe">
    <w:name w:val="Гипертекстовая ссылка"/>
    <w:basedOn w:val="a0"/>
    <w:uiPriority w:val="99"/>
    <w:rsid w:val="006A01D5"/>
    <w:rPr>
      <w:color w:val="008000"/>
    </w:rPr>
  </w:style>
  <w:style w:type="character" w:customStyle="1" w:styleId="21">
    <w:name w:val="Основной текст 2 Знак"/>
    <w:basedOn w:val="a0"/>
    <w:link w:val="20"/>
    <w:uiPriority w:val="99"/>
    <w:rsid w:val="00646EB9"/>
    <w:rPr>
      <w:sz w:val="24"/>
      <w:szCs w:val="24"/>
    </w:rPr>
  </w:style>
  <w:style w:type="character" w:customStyle="1" w:styleId="a9">
    <w:name w:val="Абзац списка Знак"/>
    <w:basedOn w:val="a0"/>
    <w:link w:val="a8"/>
    <w:uiPriority w:val="34"/>
    <w:rsid w:val="0072207D"/>
    <w:rPr>
      <w:rFonts w:ascii="Calibri" w:eastAsia="Calibri" w:hAnsi="Calibri"/>
      <w:sz w:val="22"/>
      <w:szCs w:val="22"/>
      <w:lang w:eastAsia="en-US"/>
    </w:rPr>
  </w:style>
  <w:style w:type="paragraph" w:styleId="aff">
    <w:name w:val="No Spacing"/>
    <w:uiPriority w:val="99"/>
    <w:qFormat/>
    <w:rsid w:val="00190FAF"/>
    <w:pPr>
      <w:ind w:firstLine="709"/>
    </w:pPr>
    <w:rPr>
      <w:rFonts w:ascii="Calibri" w:hAnsi="Calibri" w:cs="Calibri"/>
      <w:sz w:val="24"/>
      <w:szCs w:val="24"/>
    </w:rPr>
  </w:style>
  <w:style w:type="paragraph" w:customStyle="1" w:styleId="ConsPlusCell">
    <w:name w:val="ConsPlusCell"/>
    <w:uiPriority w:val="99"/>
    <w:rsid w:val="00BB4BB1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afd">
    <w:name w:val="Текст концевой сноски Знак"/>
    <w:basedOn w:val="a0"/>
    <w:link w:val="afc"/>
    <w:locked/>
    <w:rsid w:val="006E6DF1"/>
    <w:rPr>
      <w:rFonts w:eastAsia="Calibri"/>
    </w:rPr>
  </w:style>
  <w:style w:type="paragraph" w:customStyle="1" w:styleId="aff0">
    <w:name w:val="Таблица обл.доклада"/>
    <w:basedOn w:val="a"/>
    <w:rsid w:val="00FC5D40"/>
    <w:pPr>
      <w:jc w:val="both"/>
    </w:pPr>
    <w:rPr>
      <w:rFonts w:ascii="TimesET" w:hAnsi="TimesET"/>
      <w:sz w:val="20"/>
    </w:rPr>
  </w:style>
  <w:style w:type="paragraph" w:styleId="aff1">
    <w:name w:val="footnote text"/>
    <w:aliases w:val="Table_Footnote_last,Текст сноски-FN,Oaeno niinee-FN,Oaeno niinee Ciae,Текст сноски Знак Знак,Текст сноски Знак Знак Знак,F1,Footnote Text Char Знак Знак,Footnote Text Char Знак,Текст сноски1,Текст сноски-FN1,Текст сноски Знак2,Style 7,ft,f"/>
    <w:basedOn w:val="a"/>
    <w:link w:val="aff2"/>
    <w:uiPriority w:val="99"/>
    <w:rsid w:val="00FC5D40"/>
    <w:rPr>
      <w:sz w:val="20"/>
    </w:rPr>
  </w:style>
  <w:style w:type="character" w:customStyle="1" w:styleId="aff2">
    <w:name w:val="Текст сноски Знак"/>
    <w:aliases w:val="Table_Footnote_last Знак,Текст сноски-FN Знак,Oaeno niinee-FN Знак,Oaeno niinee Ciae Знак,Текст сноски Знак Знак Знак1,Текст сноски Знак Знак Знак Знак,F1 Знак,Footnote Text Char Знак Знак Знак,Footnote Text Char Знак Знак1,ft Знак"/>
    <w:basedOn w:val="a0"/>
    <w:link w:val="aff1"/>
    <w:uiPriority w:val="99"/>
    <w:rsid w:val="00FC5D40"/>
  </w:style>
  <w:style w:type="paragraph" w:customStyle="1" w:styleId="Default">
    <w:name w:val="Default"/>
    <w:rsid w:val="006A1C7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ListParagraphChar">
    <w:name w:val="List Paragraph Char"/>
    <w:basedOn w:val="a0"/>
    <w:link w:val="13"/>
    <w:locked/>
    <w:rsid w:val="00A9013A"/>
    <w:rPr>
      <w:rFonts w:ascii="Calibri" w:hAnsi="Calibri"/>
      <w:sz w:val="22"/>
      <w:szCs w:val="22"/>
    </w:rPr>
  </w:style>
  <w:style w:type="paragraph" w:customStyle="1" w:styleId="22">
    <w:name w:val="Абзац списка2"/>
    <w:basedOn w:val="a"/>
    <w:rsid w:val="00D6629C"/>
    <w:pPr>
      <w:ind w:left="720"/>
      <w:contextualSpacing/>
    </w:pPr>
    <w:rPr>
      <w:rFonts w:eastAsia="Calibri"/>
      <w:szCs w:val="24"/>
    </w:rPr>
  </w:style>
  <w:style w:type="character" w:customStyle="1" w:styleId="spellchecker-word-highlight">
    <w:name w:val="spellchecker-word-highlight"/>
    <w:basedOn w:val="a0"/>
    <w:rsid w:val="00296FC7"/>
  </w:style>
  <w:style w:type="character" w:customStyle="1" w:styleId="a4">
    <w:name w:val="Основной текст с отступом Знак"/>
    <w:aliases w:val="Надин стиль Знак,Основной текст 1 Знак,Нумерованный список !! Знак,Iniiaiie oaeno 1 Знак,Ioia?iaaiiue nienie !! Знак,Iaaei noeeu Знак,Основной текст без отступа Знак"/>
    <w:basedOn w:val="a0"/>
    <w:link w:val="a3"/>
    <w:rsid w:val="003A2B39"/>
    <w:rPr>
      <w:rFonts w:ascii="Arial" w:hAnsi="Arial"/>
      <w:snapToGrid w:val="0"/>
      <w:color w:val="000000"/>
      <w:sz w:val="24"/>
    </w:rPr>
  </w:style>
  <w:style w:type="character" w:styleId="aff3">
    <w:name w:val="Strong"/>
    <w:basedOn w:val="a0"/>
    <w:uiPriority w:val="22"/>
    <w:qFormat/>
    <w:rsid w:val="00467B7F"/>
    <w:rPr>
      <w:b/>
      <w:bCs/>
    </w:rPr>
  </w:style>
  <w:style w:type="paragraph" w:customStyle="1" w:styleId="31">
    <w:name w:val="Âåðõíèé êîëîíòèòóë31"/>
    <w:basedOn w:val="a"/>
    <w:rsid w:val="002A05D7"/>
    <w:pPr>
      <w:widowControl w:val="0"/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0"/>
    </w:rPr>
  </w:style>
  <w:style w:type="character" w:customStyle="1" w:styleId="ConsPlusNormal0">
    <w:name w:val="ConsPlusNormal Знак"/>
    <w:link w:val="ConsPlusNormal"/>
    <w:locked/>
    <w:rsid w:val="00A17D2F"/>
    <w:rPr>
      <w:rFonts w:ascii="Arial" w:eastAsia="Calibri" w:hAnsi="Arial" w:cs="Arial"/>
      <w:lang w:eastAsia="en-US" w:bidi="ar-SA"/>
    </w:rPr>
  </w:style>
  <w:style w:type="character" w:customStyle="1" w:styleId="FontStyle13">
    <w:name w:val="Font Style13"/>
    <w:basedOn w:val="a0"/>
    <w:uiPriority w:val="99"/>
    <w:rsid w:val="00E6532E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uiPriority w:val="99"/>
    <w:rsid w:val="00F65CA7"/>
    <w:pPr>
      <w:widowControl w:val="0"/>
      <w:autoSpaceDE w:val="0"/>
      <w:autoSpaceDN w:val="0"/>
      <w:adjustRightInd w:val="0"/>
      <w:spacing w:line="277" w:lineRule="exact"/>
      <w:ind w:firstLine="710"/>
      <w:jc w:val="both"/>
    </w:pPr>
    <w:rPr>
      <w:szCs w:val="24"/>
    </w:rPr>
  </w:style>
  <w:style w:type="character" w:customStyle="1" w:styleId="FontStyle32">
    <w:name w:val="Font Style32"/>
    <w:basedOn w:val="a0"/>
    <w:uiPriority w:val="99"/>
    <w:rsid w:val="00F65CA7"/>
    <w:rPr>
      <w:rFonts w:ascii="Times New Roman" w:hAnsi="Times New Roman" w:cs="Times New Roman"/>
      <w:sz w:val="22"/>
      <w:szCs w:val="22"/>
    </w:rPr>
  </w:style>
  <w:style w:type="character" w:customStyle="1" w:styleId="FontStyle36">
    <w:name w:val="Font Style36"/>
    <w:basedOn w:val="a0"/>
    <w:uiPriority w:val="99"/>
    <w:rsid w:val="00F65CA7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8">
    <w:name w:val="Font Style38"/>
    <w:basedOn w:val="a0"/>
    <w:uiPriority w:val="99"/>
    <w:rsid w:val="00F65CA7"/>
    <w:rPr>
      <w:rFonts w:ascii="Times New Roman" w:hAnsi="Times New Roman" w:cs="Times New Roman"/>
      <w:sz w:val="14"/>
      <w:szCs w:val="14"/>
    </w:rPr>
  </w:style>
  <w:style w:type="paragraph" w:customStyle="1" w:styleId="Style5">
    <w:name w:val="Style5"/>
    <w:basedOn w:val="a"/>
    <w:uiPriority w:val="99"/>
    <w:rsid w:val="00F65CA7"/>
    <w:pPr>
      <w:widowControl w:val="0"/>
      <w:autoSpaceDE w:val="0"/>
      <w:autoSpaceDN w:val="0"/>
      <w:adjustRightInd w:val="0"/>
      <w:spacing w:line="298" w:lineRule="exact"/>
      <w:ind w:firstLine="691"/>
      <w:jc w:val="both"/>
    </w:pPr>
    <w:rPr>
      <w:szCs w:val="24"/>
    </w:rPr>
  </w:style>
  <w:style w:type="character" w:customStyle="1" w:styleId="FontStyle67">
    <w:name w:val="Font Style67"/>
    <w:basedOn w:val="a0"/>
    <w:uiPriority w:val="99"/>
    <w:rsid w:val="00F65CA7"/>
    <w:rPr>
      <w:rFonts w:ascii="Times New Roman" w:hAnsi="Times New Roman" w:cs="Times New Roman"/>
      <w:sz w:val="26"/>
      <w:szCs w:val="26"/>
    </w:rPr>
  </w:style>
  <w:style w:type="paragraph" w:customStyle="1" w:styleId="aff4">
    <w:name w:val="Нормальный (таблица)"/>
    <w:basedOn w:val="a"/>
    <w:next w:val="a"/>
    <w:uiPriority w:val="99"/>
    <w:rsid w:val="005B365E"/>
    <w:pPr>
      <w:autoSpaceDE w:val="0"/>
      <w:autoSpaceDN w:val="0"/>
      <w:adjustRightInd w:val="0"/>
      <w:jc w:val="both"/>
    </w:pPr>
    <w:rPr>
      <w:rFonts w:ascii="Arial" w:eastAsia="Calibri" w:hAnsi="Arial" w:cs="Arial"/>
      <w:szCs w:val="24"/>
      <w:lang w:eastAsia="en-US"/>
    </w:rPr>
  </w:style>
  <w:style w:type="paragraph" w:customStyle="1" w:styleId="aff5">
    <w:name w:val="Документ"/>
    <w:basedOn w:val="a"/>
    <w:link w:val="aff6"/>
    <w:rsid w:val="00B97E3A"/>
    <w:pPr>
      <w:spacing w:line="360" w:lineRule="auto"/>
      <w:ind w:firstLine="709"/>
      <w:jc w:val="both"/>
    </w:pPr>
    <w:rPr>
      <w:sz w:val="28"/>
    </w:rPr>
  </w:style>
  <w:style w:type="character" w:customStyle="1" w:styleId="aff6">
    <w:name w:val="Документ Знак"/>
    <w:basedOn w:val="a0"/>
    <w:link w:val="aff5"/>
    <w:locked/>
    <w:rsid w:val="00B97E3A"/>
    <w:rPr>
      <w:sz w:val="28"/>
    </w:rPr>
  </w:style>
  <w:style w:type="paragraph" w:customStyle="1" w:styleId="Style6">
    <w:name w:val="Style6"/>
    <w:basedOn w:val="a"/>
    <w:uiPriority w:val="99"/>
    <w:rsid w:val="00F20157"/>
    <w:pPr>
      <w:widowControl w:val="0"/>
      <w:autoSpaceDE w:val="0"/>
      <w:autoSpaceDN w:val="0"/>
      <w:adjustRightInd w:val="0"/>
      <w:spacing w:line="275" w:lineRule="exact"/>
      <w:ind w:firstLine="715"/>
      <w:jc w:val="both"/>
    </w:pPr>
    <w:rPr>
      <w:szCs w:val="24"/>
    </w:rPr>
  </w:style>
  <w:style w:type="character" w:customStyle="1" w:styleId="FontStyle51">
    <w:name w:val="Font Style51"/>
    <w:basedOn w:val="a0"/>
    <w:uiPriority w:val="99"/>
    <w:rsid w:val="00F20157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uiPriority w:val="99"/>
    <w:rsid w:val="00090EFE"/>
    <w:pPr>
      <w:widowControl w:val="0"/>
      <w:autoSpaceDE w:val="0"/>
      <w:autoSpaceDN w:val="0"/>
      <w:adjustRightInd w:val="0"/>
      <w:spacing w:line="277" w:lineRule="exact"/>
      <w:ind w:firstLine="542"/>
      <w:jc w:val="both"/>
    </w:pPr>
    <w:rPr>
      <w:szCs w:val="24"/>
    </w:rPr>
  </w:style>
  <w:style w:type="paragraph" w:customStyle="1" w:styleId="Style49">
    <w:name w:val="Style49"/>
    <w:basedOn w:val="a"/>
    <w:uiPriority w:val="99"/>
    <w:rsid w:val="005E6281"/>
    <w:pPr>
      <w:widowControl w:val="0"/>
      <w:autoSpaceDE w:val="0"/>
      <w:autoSpaceDN w:val="0"/>
      <w:adjustRightInd w:val="0"/>
      <w:spacing w:line="278" w:lineRule="exact"/>
      <w:jc w:val="center"/>
    </w:pPr>
    <w:rPr>
      <w:szCs w:val="24"/>
    </w:rPr>
  </w:style>
  <w:style w:type="character" w:customStyle="1" w:styleId="FontStyle52">
    <w:name w:val="Font Style52"/>
    <w:basedOn w:val="a0"/>
    <w:uiPriority w:val="99"/>
    <w:rsid w:val="005E6281"/>
    <w:rPr>
      <w:rFonts w:ascii="Times New Roman" w:hAnsi="Times New Roman" w:cs="Times New Roman"/>
      <w:b/>
      <w:bCs/>
      <w:i/>
      <w:iCs/>
      <w:sz w:val="22"/>
      <w:szCs w:val="22"/>
    </w:rPr>
  </w:style>
  <w:style w:type="paragraph" w:styleId="32">
    <w:name w:val="Body Text 3"/>
    <w:basedOn w:val="a"/>
    <w:link w:val="33"/>
    <w:uiPriority w:val="99"/>
    <w:rsid w:val="00E616FA"/>
    <w:pPr>
      <w:spacing w:after="120"/>
    </w:pPr>
    <w:rPr>
      <w:sz w:val="16"/>
      <w:szCs w:val="16"/>
      <w:lang w:val="en-US" w:eastAsia="en-US"/>
    </w:rPr>
  </w:style>
  <w:style w:type="character" w:customStyle="1" w:styleId="33">
    <w:name w:val="Основной текст 3 Знак"/>
    <w:basedOn w:val="a0"/>
    <w:link w:val="32"/>
    <w:uiPriority w:val="99"/>
    <w:rsid w:val="00E616FA"/>
    <w:rPr>
      <w:sz w:val="16"/>
      <w:szCs w:val="16"/>
      <w:lang w:val="en-US" w:eastAsia="en-US"/>
    </w:rPr>
  </w:style>
  <w:style w:type="character" w:customStyle="1" w:styleId="resultitem">
    <w:name w:val="resultitem"/>
    <w:basedOn w:val="a0"/>
    <w:rsid w:val="00F87C41"/>
  </w:style>
  <w:style w:type="paragraph" w:customStyle="1" w:styleId="15">
    <w:name w:val="Абзац списка1"/>
    <w:basedOn w:val="a"/>
    <w:uiPriority w:val="99"/>
    <w:rsid w:val="005D29D0"/>
    <w:pPr>
      <w:widowControl w:val="0"/>
      <w:autoSpaceDN w:val="0"/>
      <w:adjustRightInd w:val="0"/>
      <w:spacing w:after="200" w:line="276" w:lineRule="auto"/>
      <w:ind w:left="720"/>
    </w:pPr>
    <w:rPr>
      <w:rFonts w:ascii="Calibri" w:hAnsi="Calibri" w:cs="Calibri"/>
      <w:sz w:val="22"/>
      <w:szCs w:val="22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9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7F7AF338BC086BD36A69F226B050BF32C9539BBEE33F56F629A4454E01EFA1FB805818D02FBBC22D48EC0AFY6J4M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1F0501BA5D1970CA4E8137C73CDCD2978B85316CD9DFD56AEC58EC4B902CC163A70AF4070D13974w85F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110688351B7EE4999C77F049DD65AC31CFD25800BB1062D940294AEEE8C717FC7B2439B24A1B767978A37C16f9o0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52C94B46550A2E721ED7F195B885B7B213D11C1698477B9C18436C1A226259A43A01DAC65B84A911D662A7DzCI1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6CAE5-CC7F-4DDF-B7BD-3196D304B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60</Pages>
  <Words>32529</Words>
  <Characters>185421</Characters>
  <Application>Microsoft Office Word</Application>
  <DocSecurity>0</DocSecurity>
  <Lines>1545</Lines>
  <Paragraphs>435</Paragraphs>
  <ScaleCrop>false</ScaleCrop>
  <Company/>
  <LinksUpToDate>false</LinksUpToDate>
  <CharactersWithSpaces>217515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Пользователь</dc:creator>
  <cp:lastModifiedBy>Самарцева</cp:lastModifiedBy>
  <cp:revision>28</cp:revision>
  <cp:lastPrinted>2018-05-25T10:07:00Z</cp:lastPrinted>
  <dcterms:created xsi:type="dcterms:W3CDTF">2018-05-22T14:22:00Z</dcterms:created>
  <dcterms:modified xsi:type="dcterms:W3CDTF">2018-05-25T10:07:00Z</dcterms:modified>
</cp:coreProperties>
</file>